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0E40D" w14:textId="6CEFB4C9" w:rsidR="00E04559" w:rsidRPr="00E65375" w:rsidRDefault="009D02A3" w:rsidP="009D02A3">
      <w:pPr>
        <w:pStyle w:val="Pagedecouverture"/>
        <w:rPr>
          <w:noProof/>
        </w:rPr>
      </w:pPr>
      <w:r>
        <w:rPr>
          <w:noProof/>
        </w:rPr>
        <w:pict w14:anchorId="63725A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C590FDDD-4A03-4293-85B4-3CF0910BE476" style="width:455.25pt;height:383.25pt">
            <v:imagedata r:id="rId11" o:title=""/>
          </v:shape>
        </w:pict>
      </w:r>
    </w:p>
    <w:p w14:paraId="377AB299" w14:textId="77777777" w:rsidR="00960194" w:rsidRPr="009F56E6" w:rsidRDefault="00960194" w:rsidP="00960194">
      <w:pPr>
        <w:pStyle w:val="Pagedecouverture"/>
        <w:rPr>
          <w:noProof/>
        </w:rPr>
        <w:sectPr w:rsidR="00960194" w:rsidRPr="009F56E6" w:rsidSect="009D02A3">
          <w:footerReference w:type="default" r:id="rId12"/>
          <w:pgSz w:w="11907" w:h="16839"/>
          <w:pgMar w:top="1134" w:right="1417" w:bottom="1134" w:left="1417" w:header="709" w:footer="709" w:gutter="0"/>
          <w:pgNumType w:start="0"/>
          <w:cols w:space="720"/>
          <w:docGrid w:linePitch="360"/>
        </w:sectPr>
      </w:pPr>
    </w:p>
    <w:p w14:paraId="466F56C2" w14:textId="335F2A5F" w:rsidR="00E70ABC" w:rsidRPr="009F56E6" w:rsidRDefault="00E70ABC" w:rsidP="00EA43B8">
      <w:pPr>
        <w:pStyle w:val="Exposdesmotifstitre"/>
        <w:rPr>
          <w:noProof/>
        </w:rPr>
      </w:pPr>
      <w:bookmarkStart w:id="0" w:name="_GoBack"/>
      <w:bookmarkEnd w:id="0"/>
      <w:r w:rsidRPr="009F56E6">
        <w:rPr>
          <w:noProof/>
        </w:rPr>
        <w:lastRenderedPageBreak/>
        <w:t>EXPLANATORY MEMORANDUM</w:t>
      </w:r>
    </w:p>
    <w:p w14:paraId="31886283" w14:textId="6B5DFFDF" w:rsidR="00220060" w:rsidRPr="009F56E6" w:rsidRDefault="00220060" w:rsidP="00220060">
      <w:pPr>
        <w:pStyle w:val="ManualHeading1"/>
        <w:rPr>
          <w:noProof/>
        </w:rPr>
      </w:pPr>
      <w:r w:rsidRPr="009F56E6">
        <w:rPr>
          <w:noProof/>
        </w:rPr>
        <w:t>CONTEXT OF THE PROPOSAL</w:t>
      </w:r>
    </w:p>
    <w:p w14:paraId="5837FD73" w14:textId="77777777" w:rsidR="00220060" w:rsidRPr="009F56E6" w:rsidRDefault="00220060" w:rsidP="00220060">
      <w:pPr>
        <w:pStyle w:val="ManualHeading2"/>
        <w:rPr>
          <w:rFonts w:eastAsia="Arial Unicode MS"/>
          <w:noProof/>
        </w:rPr>
      </w:pPr>
      <w:r w:rsidRPr="009F56E6">
        <w:rPr>
          <w:rFonts w:eastAsia="Arial Unicode MS"/>
          <w:noProof/>
          <w:color w:val="000000"/>
          <w:u w:color="000000"/>
          <w:bdr w:val="nil"/>
          <w:lang w:eastAsia="en-GB"/>
        </w:rPr>
        <w:t>•</w:t>
      </w:r>
      <w:r w:rsidRPr="009F56E6">
        <w:rPr>
          <w:rFonts w:eastAsia="Arial Unicode MS"/>
          <w:noProof/>
          <w:color w:val="000000"/>
          <w:u w:color="000000"/>
          <w:bdr w:val="nil"/>
          <w:lang w:eastAsia="en-GB"/>
        </w:rPr>
        <w:tab/>
      </w:r>
      <w:r w:rsidRPr="009F56E6">
        <w:rPr>
          <w:rFonts w:eastAsia="Arial Unicode MS"/>
          <w:noProof/>
        </w:rPr>
        <w:t xml:space="preserve">Reasons for the proposal </w:t>
      </w:r>
    </w:p>
    <w:p w14:paraId="3BAEDBA8" w14:textId="2E7B6EF1" w:rsidR="00191B5B" w:rsidRPr="009F56E6" w:rsidRDefault="00220060" w:rsidP="00220060">
      <w:pPr>
        <w:pBdr>
          <w:top w:val="nil"/>
          <w:left w:val="nil"/>
          <w:bottom w:val="nil"/>
          <w:right w:val="nil"/>
          <w:between w:val="nil"/>
          <w:bar w:val="nil"/>
        </w:pBdr>
        <w:spacing w:before="0" w:after="240"/>
        <w:rPr>
          <w:rFonts w:eastAsia="Arial Unicode MS"/>
          <w:noProof/>
        </w:rPr>
      </w:pPr>
      <w:r w:rsidRPr="009F56E6">
        <w:rPr>
          <w:rFonts w:eastAsia="Arial Unicode MS"/>
          <w:noProof/>
        </w:rPr>
        <w:t xml:space="preserve">Criminality across Europe undermines EU citizens’ security and well-being. </w:t>
      </w:r>
      <w:r w:rsidR="00F506D5" w:rsidRPr="009F56E6">
        <w:rPr>
          <w:rFonts w:eastAsia="Arial Unicode MS"/>
          <w:noProof/>
        </w:rPr>
        <w:t>Law enforcement authorities need robust and performant tools t</w:t>
      </w:r>
      <w:r w:rsidR="005574F8" w:rsidRPr="009F56E6">
        <w:rPr>
          <w:rFonts w:eastAsia="Arial Unicode MS"/>
          <w:noProof/>
        </w:rPr>
        <w:t xml:space="preserve">o fight crime effectively. </w:t>
      </w:r>
      <w:r w:rsidR="00203EC4" w:rsidRPr="009F56E6">
        <w:rPr>
          <w:rFonts w:eastAsia="Arial Unicode MS"/>
          <w:noProof/>
        </w:rPr>
        <w:t>C</w:t>
      </w:r>
      <w:r w:rsidR="005574F8" w:rsidRPr="009F56E6">
        <w:rPr>
          <w:rFonts w:eastAsia="Arial Unicode MS"/>
          <w:noProof/>
        </w:rPr>
        <w:t>ooperation and information sharing are the most powerful means to combat crime and pursue justice.</w:t>
      </w:r>
      <w:r w:rsidR="005574F8" w:rsidRPr="00CE3F2A">
        <w:rPr>
          <w:rStyle w:val="FootnoteReference0"/>
          <w:noProof/>
        </w:rPr>
        <w:footnoteReference w:id="2"/>
      </w:r>
      <w:r w:rsidR="00F506D5" w:rsidRPr="009F56E6">
        <w:rPr>
          <w:rFonts w:eastAsia="Arial Unicode MS"/>
          <w:noProof/>
        </w:rPr>
        <w:t xml:space="preserve"> In</w:t>
      </w:r>
      <w:r w:rsidRPr="009F56E6">
        <w:rPr>
          <w:rFonts w:eastAsia="Arial Unicode MS"/>
          <w:noProof/>
        </w:rPr>
        <w:t xml:space="preserve"> 2021, more than 70% of organised crime groups </w:t>
      </w:r>
      <w:r w:rsidR="0078064E">
        <w:rPr>
          <w:rFonts w:eastAsia="Arial Unicode MS"/>
          <w:noProof/>
        </w:rPr>
        <w:t>were found to be</w:t>
      </w:r>
      <w:r w:rsidR="0078064E" w:rsidRPr="009F56E6">
        <w:rPr>
          <w:rFonts w:eastAsia="Arial Unicode MS"/>
          <w:noProof/>
        </w:rPr>
        <w:t xml:space="preserve"> </w:t>
      </w:r>
      <w:r w:rsidRPr="009F56E6">
        <w:rPr>
          <w:rFonts w:eastAsia="Arial Unicode MS"/>
          <w:noProof/>
        </w:rPr>
        <w:t>present in more than three Member States.</w:t>
      </w:r>
      <w:r w:rsidR="00F506D5" w:rsidRPr="009F56E6">
        <w:rPr>
          <w:rStyle w:val="FootnoteReference0"/>
          <w:rFonts w:eastAsia="Arial Unicode MS"/>
          <w:noProof/>
        </w:rPr>
        <w:footnoteReference w:id="3"/>
      </w:r>
      <w:r w:rsidRPr="009F56E6">
        <w:rPr>
          <w:rFonts w:eastAsia="Arial Unicode MS"/>
          <w:noProof/>
        </w:rPr>
        <w:t xml:space="preserve"> Even the seemingly most local crime may have links to other places in Europe where the same perpetrator carried out his</w:t>
      </w:r>
      <w:r w:rsidR="000952F0" w:rsidRPr="009F56E6">
        <w:rPr>
          <w:rFonts w:eastAsia="Arial Unicode MS"/>
          <w:noProof/>
        </w:rPr>
        <w:t>/her</w:t>
      </w:r>
      <w:r w:rsidRPr="009F56E6">
        <w:rPr>
          <w:rFonts w:eastAsia="Arial Unicode MS"/>
          <w:noProof/>
        </w:rPr>
        <w:t xml:space="preserve"> criminal acts. </w:t>
      </w:r>
      <w:r w:rsidR="004722EC" w:rsidRPr="009F56E6">
        <w:rPr>
          <w:rFonts w:eastAsia="Arial Unicode MS"/>
          <w:noProof/>
        </w:rPr>
        <w:t>Similarly</w:t>
      </w:r>
      <w:r w:rsidR="00176CD7">
        <w:rPr>
          <w:rFonts w:eastAsia="Arial Unicode MS"/>
          <w:noProof/>
        </w:rPr>
        <w:t>,</w:t>
      </w:r>
      <w:r w:rsidR="004722EC" w:rsidRPr="009F56E6">
        <w:rPr>
          <w:rFonts w:eastAsia="Arial Unicode MS"/>
          <w:noProof/>
        </w:rPr>
        <w:t xml:space="preserve"> links of presumably local crime to organised crime structures and operations are often not obvious. </w:t>
      </w:r>
      <w:r w:rsidR="00203EC4" w:rsidRPr="009F56E6">
        <w:rPr>
          <w:rFonts w:eastAsia="Arial Unicode MS"/>
          <w:noProof/>
        </w:rPr>
        <w:t>Therefore, to be able to effectively fight crime</w:t>
      </w:r>
      <w:r w:rsidRPr="009F56E6">
        <w:rPr>
          <w:rFonts w:eastAsia="Arial Unicode MS"/>
          <w:noProof/>
        </w:rPr>
        <w:t xml:space="preserve">, law enforcement authorities need to be able </w:t>
      </w:r>
      <w:r w:rsidR="00722A77" w:rsidRPr="009F56E6">
        <w:rPr>
          <w:rFonts w:eastAsia="Arial Unicode MS"/>
          <w:noProof/>
        </w:rPr>
        <w:t xml:space="preserve">to exchange data </w:t>
      </w:r>
      <w:r w:rsidRPr="009F56E6">
        <w:rPr>
          <w:rFonts w:eastAsia="Arial Unicode MS"/>
          <w:noProof/>
        </w:rPr>
        <w:t xml:space="preserve">in a timely manner. </w:t>
      </w:r>
      <w:r w:rsidR="006F4BC9" w:rsidRPr="009F56E6">
        <w:rPr>
          <w:rFonts w:eastAsia="Arial Unicode MS"/>
          <w:noProof/>
        </w:rPr>
        <w:t>The EU has</w:t>
      </w:r>
      <w:r w:rsidR="00203EC4" w:rsidRPr="009F56E6">
        <w:rPr>
          <w:rFonts w:eastAsia="Arial Unicode MS"/>
          <w:noProof/>
        </w:rPr>
        <w:t xml:space="preserve"> already</w:t>
      </w:r>
      <w:r w:rsidR="006F4BC9" w:rsidRPr="009F56E6">
        <w:rPr>
          <w:rFonts w:eastAsia="Arial Unicode MS"/>
          <w:noProof/>
        </w:rPr>
        <w:t xml:space="preserve"> provided law enforcement with a range of tools to facilitate</w:t>
      </w:r>
      <w:r w:rsidR="00176CD7">
        <w:rPr>
          <w:rFonts w:eastAsia="Arial Unicode MS"/>
          <w:noProof/>
        </w:rPr>
        <w:t xml:space="preserve"> the</w:t>
      </w:r>
      <w:r w:rsidR="006F4BC9" w:rsidRPr="009F56E6">
        <w:rPr>
          <w:rFonts w:eastAsia="Arial Unicode MS"/>
          <w:noProof/>
        </w:rPr>
        <w:t xml:space="preserve"> exchange of information</w:t>
      </w:r>
      <w:r w:rsidR="00176CD7">
        <w:rPr>
          <w:rFonts w:eastAsia="Arial Unicode MS"/>
          <w:noProof/>
        </w:rPr>
        <w:t>, which</w:t>
      </w:r>
      <w:r w:rsidR="006F4BC9" w:rsidRPr="009F56E6">
        <w:rPr>
          <w:rFonts w:eastAsia="Arial Unicode MS"/>
          <w:noProof/>
        </w:rPr>
        <w:t xml:space="preserve"> ha</w:t>
      </w:r>
      <w:r w:rsidR="007A03F1" w:rsidRPr="009F56E6">
        <w:rPr>
          <w:rFonts w:eastAsia="Arial Unicode MS"/>
          <w:noProof/>
        </w:rPr>
        <w:t>ve</w:t>
      </w:r>
      <w:r w:rsidR="0078064E">
        <w:rPr>
          <w:rFonts w:eastAsia="Arial Unicode MS"/>
          <w:noProof/>
        </w:rPr>
        <w:t xml:space="preserve"> proven</w:t>
      </w:r>
      <w:r w:rsidR="006F4BC9" w:rsidRPr="009F56E6">
        <w:rPr>
          <w:rFonts w:eastAsia="Arial Unicode MS"/>
          <w:noProof/>
        </w:rPr>
        <w:t xml:space="preserve"> crucial in uncovering criminal activities and networks</w:t>
      </w:r>
      <w:r w:rsidR="00176CD7">
        <w:rPr>
          <w:rFonts w:eastAsia="Arial Unicode MS"/>
          <w:noProof/>
        </w:rPr>
        <w:t>,</w:t>
      </w:r>
      <w:r w:rsidR="00203EC4" w:rsidRPr="00CE3F2A">
        <w:rPr>
          <w:rStyle w:val="FootnoteReference0"/>
          <w:noProof/>
        </w:rPr>
        <w:footnoteReference w:id="4"/>
      </w:r>
      <w:r w:rsidR="00203EC4" w:rsidRPr="009F56E6">
        <w:rPr>
          <w:rFonts w:eastAsia="Arial Unicode MS"/>
          <w:noProof/>
        </w:rPr>
        <w:t xml:space="preserve"> but </w:t>
      </w:r>
      <w:r w:rsidR="00B75168" w:rsidRPr="009F56E6">
        <w:rPr>
          <w:noProof/>
        </w:rPr>
        <w:t>there</w:t>
      </w:r>
      <w:r w:rsidR="0078064E">
        <w:rPr>
          <w:noProof/>
        </w:rPr>
        <w:t xml:space="preserve"> are</w:t>
      </w:r>
      <w:r w:rsidR="00B75168" w:rsidRPr="009F56E6">
        <w:rPr>
          <w:noProof/>
        </w:rPr>
        <w:t xml:space="preserve"> still information gaps that need to be addressed</w:t>
      </w:r>
      <w:r w:rsidR="006F4BC9" w:rsidRPr="009F56E6">
        <w:rPr>
          <w:rFonts w:eastAsia="Arial Unicode MS"/>
          <w:noProof/>
        </w:rPr>
        <w:t>.</w:t>
      </w:r>
      <w:r w:rsidR="0078064E">
        <w:rPr>
          <w:rFonts w:eastAsia="Arial Unicode MS"/>
          <w:noProof/>
        </w:rPr>
        <w:t xml:space="preserve"> Moreover, with</w:t>
      </w:r>
      <w:r w:rsidR="0078064E" w:rsidRPr="006B2E41">
        <w:rPr>
          <w:rFonts w:eastAsia="Arial Unicode MS"/>
          <w:noProof/>
        </w:rPr>
        <w:t xml:space="preserve"> data stored separately in various </w:t>
      </w:r>
      <w:r w:rsidR="00DD712D" w:rsidRPr="00DD712D">
        <w:rPr>
          <w:rFonts w:eastAsia="Arial Unicode MS"/>
          <w:noProof/>
        </w:rPr>
        <w:t xml:space="preserve">national IT systems as well as </w:t>
      </w:r>
      <w:r w:rsidR="0078064E" w:rsidRPr="006B2E41">
        <w:rPr>
          <w:rFonts w:eastAsia="Arial Unicode MS"/>
          <w:noProof/>
        </w:rPr>
        <w:t xml:space="preserve">large-scale IT systems at the EU level, </w:t>
      </w:r>
      <w:r w:rsidR="0078064E">
        <w:rPr>
          <w:rFonts w:eastAsia="Arial Unicode MS"/>
          <w:noProof/>
        </w:rPr>
        <w:t>there is a need to ensure the</w:t>
      </w:r>
      <w:r w:rsidR="0078064E" w:rsidRPr="006B2E41">
        <w:rPr>
          <w:rFonts w:eastAsia="Arial Unicode MS"/>
          <w:noProof/>
        </w:rPr>
        <w:t xml:space="preserve"> systems can communicate with each other.</w:t>
      </w:r>
    </w:p>
    <w:p w14:paraId="55F9B19F" w14:textId="3946D8B3" w:rsidR="00F506D5" w:rsidRPr="009F56E6" w:rsidRDefault="00203EC4" w:rsidP="008954B0">
      <w:pPr>
        <w:pBdr>
          <w:top w:val="nil"/>
          <w:left w:val="nil"/>
          <w:bottom w:val="nil"/>
          <w:right w:val="nil"/>
          <w:between w:val="nil"/>
          <w:bar w:val="nil"/>
        </w:pBdr>
        <w:spacing w:before="0" w:after="240"/>
        <w:rPr>
          <w:rFonts w:eastAsia="Arial Unicode MS"/>
          <w:noProof/>
        </w:rPr>
      </w:pPr>
      <w:r w:rsidRPr="009F56E6">
        <w:rPr>
          <w:rFonts w:eastAsia="Arial Unicode MS"/>
          <w:noProof/>
        </w:rPr>
        <w:t>I</w:t>
      </w:r>
      <w:r w:rsidR="00220060" w:rsidRPr="009F56E6">
        <w:rPr>
          <w:rFonts w:eastAsia="Arial Unicode MS"/>
          <w:noProof/>
        </w:rPr>
        <w:t>n an area without internal border</w:t>
      </w:r>
      <w:r w:rsidR="000952F0" w:rsidRPr="009F56E6">
        <w:rPr>
          <w:rFonts w:eastAsia="Arial Unicode MS"/>
          <w:noProof/>
        </w:rPr>
        <w:t xml:space="preserve"> controls (the ‘Schengen’ area)</w:t>
      </w:r>
      <w:r w:rsidR="00220060" w:rsidRPr="009F56E6">
        <w:rPr>
          <w:rFonts w:eastAsia="Arial Unicode MS"/>
          <w:noProof/>
        </w:rPr>
        <w:t>, there are still borders and obstacles when it comes to data exchange between law enforcement authorities,</w:t>
      </w:r>
      <w:r w:rsidR="00D94595" w:rsidRPr="009F56E6">
        <w:rPr>
          <w:rStyle w:val="FootnoteReference0"/>
          <w:rFonts w:eastAsia="Arial Unicode MS"/>
          <w:noProof/>
        </w:rPr>
        <w:footnoteReference w:id="5"/>
      </w:r>
      <w:r w:rsidR="00220060" w:rsidRPr="009F56E6">
        <w:rPr>
          <w:rFonts w:eastAsia="Arial Unicode MS"/>
          <w:noProof/>
        </w:rPr>
        <w:t xml:space="preserve"> which leads to blind spots and loopholes for numerous criminals and terrorists that act in more than one Member State. </w:t>
      </w:r>
      <w:r w:rsidR="00F506D5" w:rsidRPr="009F56E6">
        <w:rPr>
          <w:rFonts w:eastAsia="Arial Unicode MS"/>
          <w:noProof/>
        </w:rPr>
        <w:t>Th</w:t>
      </w:r>
      <w:r w:rsidR="006F4BC9" w:rsidRPr="009F56E6">
        <w:rPr>
          <w:rFonts w:eastAsia="Arial Unicode MS"/>
          <w:noProof/>
        </w:rPr>
        <w:t>is</w:t>
      </w:r>
      <w:r w:rsidR="00F506D5" w:rsidRPr="009F56E6">
        <w:rPr>
          <w:rFonts w:eastAsia="Arial Unicode MS"/>
          <w:noProof/>
        </w:rPr>
        <w:t xml:space="preserve"> initiative, together with </w:t>
      </w:r>
      <w:r w:rsidR="006F4BC9" w:rsidRPr="009F56E6">
        <w:rPr>
          <w:rFonts w:eastAsia="Arial Unicode MS"/>
          <w:noProof/>
        </w:rPr>
        <w:t xml:space="preserve">the </w:t>
      </w:r>
      <w:r w:rsidR="00F506D5" w:rsidRPr="009F56E6">
        <w:rPr>
          <w:rFonts w:eastAsia="Arial Unicode MS"/>
          <w:noProof/>
        </w:rPr>
        <w:t>proposal</w:t>
      </w:r>
      <w:r w:rsidR="0078064E">
        <w:rPr>
          <w:rFonts w:eastAsia="Arial Unicode MS"/>
          <w:noProof/>
        </w:rPr>
        <w:t xml:space="preserve">, </w:t>
      </w:r>
      <w:r w:rsidR="0078064E" w:rsidRPr="009F56E6">
        <w:rPr>
          <w:rFonts w:eastAsia="Arial Unicode MS"/>
          <w:noProof/>
        </w:rPr>
        <w:t>adopted in parallel</w:t>
      </w:r>
      <w:r w:rsidR="0078064E">
        <w:rPr>
          <w:rFonts w:eastAsia="Arial Unicode MS"/>
          <w:noProof/>
        </w:rPr>
        <w:t>,</w:t>
      </w:r>
      <w:r w:rsidR="00F506D5" w:rsidRPr="009F56E6">
        <w:rPr>
          <w:rFonts w:eastAsia="Arial Unicode MS"/>
          <w:noProof/>
        </w:rPr>
        <w:t xml:space="preserve"> for a </w:t>
      </w:r>
      <w:r w:rsidR="00613DB2" w:rsidRPr="009F56E6">
        <w:rPr>
          <w:rFonts w:eastAsia="Arial Unicode MS"/>
          <w:noProof/>
        </w:rPr>
        <w:t>Directive on information exchange</w:t>
      </w:r>
      <w:r w:rsidR="00447BE4" w:rsidRPr="00447BE4">
        <w:rPr>
          <w:rFonts w:eastAsia="Arial Unicode MS"/>
          <w:noProof/>
        </w:rPr>
        <w:t xml:space="preserve"> </w:t>
      </w:r>
      <w:r w:rsidR="00447BE4">
        <w:rPr>
          <w:rFonts w:eastAsia="Arial Unicode MS"/>
          <w:noProof/>
        </w:rPr>
        <w:t>between law enforcement authorities of Member States</w:t>
      </w:r>
      <w:r w:rsidR="0078064E">
        <w:rPr>
          <w:rFonts w:eastAsia="Arial Unicode MS"/>
          <w:noProof/>
        </w:rPr>
        <w:t>,</w:t>
      </w:r>
      <w:r w:rsidR="006F4BC9" w:rsidRPr="009F56E6">
        <w:rPr>
          <w:rStyle w:val="FootnoteReference0"/>
          <w:rFonts w:eastAsia="Arial Unicode MS"/>
          <w:noProof/>
        </w:rPr>
        <w:footnoteReference w:id="6"/>
      </w:r>
      <w:r w:rsidR="00F506D5" w:rsidRPr="009F56E6">
        <w:rPr>
          <w:rFonts w:eastAsia="Arial Unicode MS"/>
          <w:noProof/>
        </w:rPr>
        <w:t xml:space="preserve"> aim </w:t>
      </w:r>
      <w:r w:rsidR="004E7A8F" w:rsidRPr="009F56E6">
        <w:rPr>
          <w:rFonts w:eastAsia="Arial Unicode MS"/>
          <w:noProof/>
        </w:rPr>
        <w:t>to reinforce</w:t>
      </w:r>
      <w:r w:rsidR="00F506D5" w:rsidRPr="009F56E6">
        <w:rPr>
          <w:rFonts w:eastAsia="Arial Unicode MS"/>
          <w:noProof/>
        </w:rPr>
        <w:t xml:space="preserve"> the exchange of information between Member States</w:t>
      </w:r>
      <w:r w:rsidR="006F4BC9" w:rsidRPr="009F56E6">
        <w:rPr>
          <w:rFonts w:eastAsia="Arial Unicode MS"/>
          <w:noProof/>
        </w:rPr>
        <w:t xml:space="preserve"> and therefore provide</w:t>
      </w:r>
      <w:r w:rsidRPr="009F56E6">
        <w:rPr>
          <w:rFonts w:eastAsia="Arial Unicode MS"/>
          <w:noProof/>
        </w:rPr>
        <w:t xml:space="preserve"> EU law enforcement authorities with</w:t>
      </w:r>
      <w:r w:rsidR="006F4BC9" w:rsidRPr="009F56E6">
        <w:rPr>
          <w:rFonts w:eastAsia="Arial Unicode MS"/>
          <w:noProof/>
        </w:rPr>
        <w:t xml:space="preserve"> </w:t>
      </w:r>
      <w:r w:rsidR="00B75168" w:rsidRPr="009F56E6">
        <w:rPr>
          <w:rFonts w:eastAsia="Arial Unicode MS"/>
          <w:noProof/>
        </w:rPr>
        <w:t xml:space="preserve">enhanced </w:t>
      </w:r>
      <w:r w:rsidR="006F4BC9" w:rsidRPr="009F56E6">
        <w:rPr>
          <w:rFonts w:eastAsia="Arial Unicode MS"/>
          <w:noProof/>
        </w:rPr>
        <w:t>tools to fight crime and terrorism</w:t>
      </w:r>
      <w:r w:rsidR="00F506D5" w:rsidRPr="009F56E6">
        <w:rPr>
          <w:rFonts w:eastAsia="Arial Unicode MS"/>
          <w:noProof/>
        </w:rPr>
        <w:t>.</w:t>
      </w:r>
      <w:r w:rsidR="00F506D5" w:rsidRPr="009F56E6">
        <w:rPr>
          <w:rStyle w:val="FootnoteReference0"/>
          <w:rFonts w:eastAsia="Arial Unicode MS"/>
          <w:noProof/>
        </w:rPr>
        <w:footnoteReference w:id="7"/>
      </w:r>
    </w:p>
    <w:p w14:paraId="1F5964A9" w14:textId="0AFEAA4A" w:rsidR="004A34BE" w:rsidRDefault="006C1AAC" w:rsidP="008954B0">
      <w:pPr>
        <w:pBdr>
          <w:top w:val="nil"/>
          <w:left w:val="nil"/>
          <w:bottom w:val="nil"/>
          <w:right w:val="nil"/>
          <w:between w:val="nil"/>
          <w:bar w:val="nil"/>
        </w:pBdr>
        <w:spacing w:before="0" w:after="240"/>
        <w:rPr>
          <w:rFonts w:eastAsia="Arial Unicode MS"/>
          <w:noProof/>
          <w:lang w:val="en-US"/>
        </w:rPr>
      </w:pPr>
      <w:r w:rsidRPr="009F56E6">
        <w:rPr>
          <w:rFonts w:eastAsia="Arial Unicode MS"/>
          <w:noProof/>
          <w:lang w:val="en-US"/>
        </w:rPr>
        <w:t>For more than ten years, the</w:t>
      </w:r>
      <w:r w:rsidRPr="009F56E6" w:rsidDel="006F4BC9">
        <w:rPr>
          <w:rFonts w:eastAsia="Arial Unicode MS"/>
          <w:noProof/>
          <w:lang w:val="en-US"/>
        </w:rPr>
        <w:t xml:space="preserve"> </w:t>
      </w:r>
      <w:r w:rsidR="00191B5B" w:rsidRPr="009F56E6">
        <w:rPr>
          <w:rFonts w:eastAsia="Arial Unicode MS"/>
          <w:noProof/>
          <w:lang w:val="en-US"/>
        </w:rPr>
        <w:t xml:space="preserve">Prüm </w:t>
      </w:r>
      <w:r w:rsidR="006F4BC9" w:rsidRPr="009F56E6">
        <w:rPr>
          <w:rFonts w:eastAsia="Arial Unicode MS"/>
          <w:noProof/>
          <w:lang w:val="en-US"/>
        </w:rPr>
        <w:t xml:space="preserve">framework </w:t>
      </w:r>
      <w:r w:rsidRPr="009F56E6">
        <w:rPr>
          <w:rFonts w:eastAsia="Arial Unicode MS"/>
          <w:noProof/>
          <w:lang w:val="en-US"/>
        </w:rPr>
        <w:t>has enabled</w:t>
      </w:r>
      <w:r w:rsidR="00191B5B" w:rsidRPr="009F56E6">
        <w:rPr>
          <w:rFonts w:eastAsia="Arial Unicode MS"/>
          <w:noProof/>
          <w:lang w:val="en-US"/>
        </w:rPr>
        <w:t xml:space="preserve"> l</w:t>
      </w:r>
      <w:r w:rsidR="004B1769" w:rsidRPr="009F56E6">
        <w:rPr>
          <w:rFonts w:eastAsia="Arial Unicode MS"/>
          <w:noProof/>
          <w:lang w:val="en-US"/>
        </w:rPr>
        <w:t xml:space="preserve">aw enforcement authorities </w:t>
      </w:r>
      <w:r w:rsidRPr="009F56E6">
        <w:rPr>
          <w:rFonts w:eastAsia="Arial Unicode MS"/>
          <w:noProof/>
          <w:lang w:val="en-US"/>
        </w:rPr>
        <w:t>across</w:t>
      </w:r>
      <w:r w:rsidR="006F4BC9" w:rsidRPr="009F56E6">
        <w:rPr>
          <w:rFonts w:eastAsia="Arial Unicode MS"/>
          <w:noProof/>
          <w:lang w:val="en-US"/>
        </w:rPr>
        <w:t xml:space="preserve"> the EU to</w:t>
      </w:r>
      <w:r w:rsidR="004B1769" w:rsidRPr="009F56E6">
        <w:rPr>
          <w:rFonts w:eastAsia="Arial Unicode MS"/>
          <w:noProof/>
          <w:lang w:val="en-US"/>
        </w:rPr>
        <w:t xml:space="preserve"> exchange information. </w:t>
      </w:r>
      <w:r w:rsidR="006F4BC9" w:rsidRPr="009F56E6">
        <w:rPr>
          <w:rFonts w:eastAsia="Arial Unicode MS"/>
          <w:noProof/>
          <w:lang w:val="en-US"/>
        </w:rPr>
        <w:t>The Prüm Decisions</w:t>
      </w:r>
      <w:r w:rsidR="000952F0" w:rsidRPr="009F56E6">
        <w:rPr>
          <w:rFonts w:eastAsia="Arial Unicode MS"/>
          <w:noProof/>
          <w:lang w:val="en-US"/>
        </w:rPr>
        <w:t>,</w:t>
      </w:r>
      <w:r w:rsidR="006F4BC9" w:rsidRPr="00CE3F2A">
        <w:rPr>
          <w:rStyle w:val="FootnoteReference0"/>
          <w:noProof/>
        </w:rPr>
        <w:footnoteReference w:id="8"/>
      </w:r>
      <w:r w:rsidR="006F4BC9" w:rsidRPr="009F56E6">
        <w:rPr>
          <w:rFonts w:eastAsia="Arial Unicode MS"/>
          <w:noProof/>
          <w:lang w:val="en-US"/>
        </w:rPr>
        <w:t xml:space="preserve"> a</w:t>
      </w:r>
      <w:r w:rsidR="004B1769" w:rsidRPr="009F56E6">
        <w:rPr>
          <w:rFonts w:eastAsia="Arial Unicode MS"/>
          <w:noProof/>
          <w:lang w:val="en-US"/>
        </w:rPr>
        <w:t>dopted in 2</w:t>
      </w:r>
      <w:r w:rsidR="00220060" w:rsidRPr="009F56E6">
        <w:rPr>
          <w:rFonts w:eastAsia="Arial Unicode MS"/>
          <w:noProof/>
          <w:lang w:val="en-US"/>
        </w:rPr>
        <w:t xml:space="preserve">008 </w:t>
      </w:r>
      <w:r w:rsidR="004B1769" w:rsidRPr="009F56E6">
        <w:rPr>
          <w:rFonts w:eastAsia="Arial Unicode MS"/>
          <w:noProof/>
          <w:lang w:val="en-US"/>
        </w:rPr>
        <w:t>with the</w:t>
      </w:r>
      <w:r w:rsidR="00220060" w:rsidRPr="009F56E6">
        <w:rPr>
          <w:rFonts w:eastAsia="Arial Unicode MS"/>
          <w:noProof/>
          <w:lang w:val="en-US"/>
        </w:rPr>
        <w:t xml:space="preserve"> aim </w:t>
      </w:r>
      <w:r w:rsidR="00DD712D">
        <w:rPr>
          <w:rFonts w:eastAsia="Arial Unicode MS"/>
          <w:noProof/>
          <w:lang w:val="en-US"/>
        </w:rPr>
        <w:t>of</w:t>
      </w:r>
      <w:r w:rsidR="00220060" w:rsidRPr="009F56E6">
        <w:rPr>
          <w:rFonts w:eastAsia="Arial Unicode MS"/>
          <w:noProof/>
          <w:lang w:val="en-US"/>
        </w:rPr>
        <w:t xml:space="preserve"> support</w:t>
      </w:r>
      <w:r w:rsidR="00DD712D">
        <w:rPr>
          <w:rFonts w:eastAsia="Arial Unicode MS"/>
          <w:noProof/>
          <w:lang w:val="en-US"/>
        </w:rPr>
        <w:t>ing</w:t>
      </w:r>
      <w:r w:rsidR="00220060" w:rsidRPr="009F56E6">
        <w:rPr>
          <w:rFonts w:eastAsia="Arial Unicode MS"/>
          <w:noProof/>
          <w:lang w:val="en-US"/>
        </w:rPr>
        <w:t xml:space="preserve"> cross-border police and judicial cooperation related to criminal matters</w:t>
      </w:r>
      <w:r w:rsidR="004B1769" w:rsidRPr="009F56E6">
        <w:rPr>
          <w:rFonts w:eastAsia="Arial Unicode MS"/>
          <w:noProof/>
          <w:lang w:val="en-US"/>
        </w:rPr>
        <w:t xml:space="preserve">, </w:t>
      </w:r>
      <w:r w:rsidR="00947B9C" w:rsidRPr="009F56E6">
        <w:rPr>
          <w:rFonts w:eastAsia="Arial Unicode MS"/>
          <w:noProof/>
          <w:lang w:val="en-US"/>
        </w:rPr>
        <w:t>provide</w:t>
      </w:r>
      <w:r w:rsidRPr="009F56E6">
        <w:rPr>
          <w:rFonts w:eastAsia="Arial Unicode MS"/>
          <w:noProof/>
          <w:lang w:val="en-US"/>
        </w:rPr>
        <w:t xml:space="preserve"> </w:t>
      </w:r>
      <w:r w:rsidR="00B75168" w:rsidRPr="009F56E6">
        <w:rPr>
          <w:rFonts w:eastAsia="Arial Unicode MS"/>
          <w:noProof/>
          <w:lang w:val="en-US"/>
        </w:rPr>
        <w:t xml:space="preserve">for </w:t>
      </w:r>
      <w:r w:rsidRPr="009F56E6">
        <w:rPr>
          <w:rFonts w:eastAsia="Arial Unicode MS"/>
          <w:noProof/>
          <w:lang w:val="en-US"/>
        </w:rPr>
        <w:t>the automated</w:t>
      </w:r>
      <w:r w:rsidR="00220060" w:rsidRPr="009F56E6">
        <w:rPr>
          <w:rFonts w:eastAsia="Arial Unicode MS"/>
          <w:noProof/>
          <w:lang w:val="en-US"/>
        </w:rPr>
        <w:t xml:space="preserve"> exchange </w:t>
      </w:r>
      <w:r w:rsidRPr="009F56E6">
        <w:rPr>
          <w:rFonts w:eastAsia="Arial Unicode MS"/>
          <w:noProof/>
          <w:lang w:val="en-US"/>
        </w:rPr>
        <w:t>of</w:t>
      </w:r>
      <w:r w:rsidR="00220060" w:rsidRPr="009F56E6">
        <w:rPr>
          <w:rFonts w:eastAsia="Arial Unicode MS"/>
          <w:noProof/>
          <w:lang w:val="en-US"/>
        </w:rPr>
        <w:t xml:space="preserve"> </w:t>
      </w:r>
      <w:r w:rsidR="00191B5B" w:rsidRPr="009F56E6">
        <w:rPr>
          <w:rFonts w:eastAsia="Arial Unicode MS"/>
          <w:noProof/>
          <w:lang w:val="en-US"/>
        </w:rPr>
        <w:t xml:space="preserve">specific data </w:t>
      </w:r>
      <w:r w:rsidR="004B1769" w:rsidRPr="009F56E6">
        <w:rPr>
          <w:rFonts w:eastAsia="Arial Unicode MS"/>
          <w:noProof/>
          <w:lang w:val="en-US"/>
        </w:rPr>
        <w:t>(DNA profiles, fingerprints and vehicle registration</w:t>
      </w:r>
      <w:r w:rsidRPr="009F56E6">
        <w:rPr>
          <w:rFonts w:eastAsia="Arial Unicode MS"/>
          <w:noProof/>
          <w:lang w:val="en-US"/>
        </w:rPr>
        <w:t xml:space="preserve"> data</w:t>
      </w:r>
      <w:r w:rsidR="004B1769" w:rsidRPr="009F56E6">
        <w:rPr>
          <w:rFonts w:eastAsia="Arial Unicode MS"/>
          <w:noProof/>
          <w:lang w:val="en-US"/>
        </w:rPr>
        <w:t>)</w:t>
      </w:r>
      <w:r w:rsidR="00220060" w:rsidRPr="009F56E6">
        <w:rPr>
          <w:rFonts w:eastAsia="Arial Unicode MS"/>
          <w:noProof/>
          <w:lang w:val="en-US"/>
        </w:rPr>
        <w:t xml:space="preserve"> between authorities responsible for the prevention</w:t>
      </w:r>
      <w:r w:rsidR="00404355" w:rsidRPr="009F56E6">
        <w:rPr>
          <w:rFonts w:eastAsia="Arial Unicode MS"/>
          <w:noProof/>
          <w:lang w:val="en-US"/>
        </w:rPr>
        <w:t>, detection</w:t>
      </w:r>
      <w:r w:rsidR="00220060" w:rsidRPr="009F56E6">
        <w:rPr>
          <w:rFonts w:eastAsia="Arial Unicode MS"/>
          <w:noProof/>
          <w:lang w:val="en-US"/>
        </w:rPr>
        <w:t xml:space="preserve"> and investigation of criminal offences</w:t>
      </w:r>
      <w:r w:rsidR="004B1769" w:rsidRPr="009F56E6">
        <w:rPr>
          <w:rFonts w:eastAsia="Arial Unicode MS"/>
          <w:noProof/>
          <w:lang w:val="en-US"/>
        </w:rPr>
        <w:t xml:space="preserve">. </w:t>
      </w:r>
      <w:r w:rsidR="006F4BC9" w:rsidRPr="009F56E6">
        <w:rPr>
          <w:rFonts w:eastAsia="Arial Unicode MS"/>
          <w:noProof/>
          <w:lang w:val="en-US"/>
        </w:rPr>
        <w:t xml:space="preserve">The </w:t>
      </w:r>
      <w:r w:rsidR="00722A77" w:rsidRPr="009F56E6">
        <w:rPr>
          <w:rFonts w:eastAsia="Arial Unicode MS"/>
          <w:noProof/>
          <w:lang w:val="en-US"/>
        </w:rPr>
        <w:t xml:space="preserve">Prüm framework </w:t>
      </w:r>
      <w:r w:rsidR="006F4BC9" w:rsidRPr="009F56E6">
        <w:rPr>
          <w:rFonts w:eastAsia="Arial Unicode MS"/>
          <w:noProof/>
          <w:lang w:val="en-US"/>
        </w:rPr>
        <w:t>is successfully contributing to fight</w:t>
      </w:r>
      <w:r w:rsidR="00947B9C" w:rsidRPr="009F56E6">
        <w:rPr>
          <w:rFonts w:eastAsia="Arial Unicode MS"/>
          <w:noProof/>
          <w:lang w:val="en-US"/>
        </w:rPr>
        <w:t>ing</w:t>
      </w:r>
      <w:r w:rsidR="006F4BC9" w:rsidRPr="009F56E6">
        <w:rPr>
          <w:rFonts w:eastAsia="Arial Unicode MS"/>
          <w:noProof/>
          <w:lang w:val="en-US"/>
        </w:rPr>
        <w:t xml:space="preserve"> crime and terrorism</w:t>
      </w:r>
      <w:r w:rsidR="006F12CF" w:rsidRPr="009F56E6">
        <w:rPr>
          <w:rFonts w:eastAsia="Arial Unicode MS"/>
          <w:noProof/>
          <w:lang w:val="en-US"/>
        </w:rPr>
        <w:t xml:space="preserve"> in the EU</w:t>
      </w:r>
      <w:r w:rsidR="006F4BC9" w:rsidRPr="009F56E6">
        <w:rPr>
          <w:rFonts w:eastAsia="Arial Unicode MS"/>
          <w:noProof/>
          <w:lang w:val="en-US"/>
        </w:rPr>
        <w:t xml:space="preserve">, but </w:t>
      </w:r>
      <w:r w:rsidR="006F12CF" w:rsidRPr="009F56E6">
        <w:rPr>
          <w:rFonts w:eastAsia="Arial Unicode MS"/>
          <w:noProof/>
          <w:lang w:val="en-US"/>
        </w:rPr>
        <w:t>there are</w:t>
      </w:r>
      <w:r w:rsidR="006F4BC9" w:rsidRPr="009F56E6">
        <w:rPr>
          <w:rFonts w:eastAsia="Arial Unicode MS"/>
          <w:noProof/>
          <w:lang w:val="en-US"/>
        </w:rPr>
        <w:t xml:space="preserve"> still loopholes </w:t>
      </w:r>
      <w:r w:rsidR="006F12CF" w:rsidRPr="009F56E6">
        <w:rPr>
          <w:rFonts w:eastAsia="Arial Unicode MS"/>
          <w:noProof/>
          <w:lang w:val="en-US"/>
        </w:rPr>
        <w:t xml:space="preserve">in the field of information exchange </w:t>
      </w:r>
      <w:r w:rsidR="006F4BC9" w:rsidRPr="009F56E6">
        <w:rPr>
          <w:rFonts w:eastAsia="Arial Unicode MS"/>
          <w:noProof/>
          <w:lang w:val="en-US"/>
        </w:rPr>
        <w:t xml:space="preserve">and </w:t>
      </w:r>
      <w:r w:rsidR="006F12CF" w:rsidRPr="009F56E6">
        <w:rPr>
          <w:rFonts w:eastAsia="Arial Unicode MS"/>
          <w:noProof/>
          <w:lang w:val="en-US"/>
        </w:rPr>
        <w:t xml:space="preserve">therefore there is </w:t>
      </w:r>
      <w:r w:rsidR="006F4BC9" w:rsidRPr="009F56E6">
        <w:rPr>
          <w:rFonts w:eastAsia="Arial Unicode MS"/>
          <w:noProof/>
          <w:lang w:val="en-US"/>
        </w:rPr>
        <w:t xml:space="preserve">room for </w:t>
      </w:r>
      <w:r w:rsidR="006F12CF" w:rsidRPr="009F56E6">
        <w:rPr>
          <w:rFonts w:eastAsia="Arial Unicode MS"/>
          <w:noProof/>
          <w:lang w:val="en-US"/>
        </w:rPr>
        <w:t xml:space="preserve">further </w:t>
      </w:r>
      <w:r w:rsidR="006F4BC9" w:rsidRPr="009F56E6">
        <w:rPr>
          <w:rFonts w:eastAsia="Arial Unicode MS"/>
          <w:noProof/>
          <w:lang w:val="en-US"/>
        </w:rPr>
        <w:t>improvement.</w:t>
      </w:r>
    </w:p>
    <w:p w14:paraId="603EB690" w14:textId="469C176C" w:rsidR="00191B5B" w:rsidRPr="009F56E6" w:rsidRDefault="004A34BE" w:rsidP="008954B0">
      <w:pPr>
        <w:pBdr>
          <w:top w:val="nil"/>
          <w:left w:val="nil"/>
          <w:bottom w:val="nil"/>
          <w:right w:val="nil"/>
          <w:between w:val="nil"/>
          <w:bar w:val="nil"/>
        </w:pBdr>
        <w:spacing w:before="0" w:after="240"/>
        <w:rPr>
          <w:rFonts w:eastAsia="Arial Unicode MS"/>
          <w:noProof/>
          <w:lang w:val="en-US"/>
        </w:rPr>
      </w:pPr>
      <w:r w:rsidRPr="009F56E6">
        <w:rPr>
          <w:noProof/>
        </w:rPr>
        <w:t>The Council Conclusions on the implementation of the Prüm Decisions ten years after their adoption underlined the importance of the automated searching and comparison of DNA profiles, dactyloscopic data and vehicle registration data for tackling terrorism and cross-border crime. The Council also invited the Commission to consider revising the Prüm Decisions with a view to broadening their scope and to updating the necessary technical and legal requirements.</w:t>
      </w:r>
      <w:r w:rsidR="006F4BC9" w:rsidRPr="00CE3F2A">
        <w:rPr>
          <w:rStyle w:val="FootnoteReference0"/>
          <w:noProof/>
        </w:rPr>
        <w:footnoteReference w:id="9"/>
      </w:r>
    </w:p>
    <w:p w14:paraId="263B5BAC" w14:textId="18C5F274" w:rsidR="00220060" w:rsidRPr="009F56E6" w:rsidRDefault="00D04F21" w:rsidP="008954B0">
      <w:pPr>
        <w:pBdr>
          <w:top w:val="nil"/>
          <w:left w:val="nil"/>
          <w:bottom w:val="nil"/>
          <w:right w:val="nil"/>
          <w:between w:val="nil"/>
          <w:bar w:val="nil"/>
        </w:pBdr>
        <w:spacing w:before="0" w:after="240"/>
        <w:rPr>
          <w:rFonts w:eastAsia="Arial Unicode MS"/>
          <w:noProof/>
          <w:lang w:val="en-US"/>
        </w:rPr>
      </w:pPr>
      <w:r w:rsidRPr="009F56E6">
        <w:rPr>
          <w:rFonts w:eastAsia="Arial Unicode MS"/>
          <w:noProof/>
          <w:lang w:val="en-US"/>
        </w:rPr>
        <w:t xml:space="preserve">Prüm II builds on the existing Prüm framework, reinforcing </w:t>
      </w:r>
      <w:r w:rsidR="006F4BC9" w:rsidRPr="009F56E6">
        <w:rPr>
          <w:rFonts w:eastAsia="Arial Unicode MS"/>
          <w:noProof/>
          <w:lang w:val="en-US"/>
        </w:rPr>
        <w:t>an</w:t>
      </w:r>
      <w:r w:rsidR="00DD712D">
        <w:rPr>
          <w:rFonts w:eastAsia="Arial Unicode MS"/>
          <w:noProof/>
          <w:lang w:val="en-US"/>
        </w:rPr>
        <w:t xml:space="preserve">d </w:t>
      </w:r>
      <w:r w:rsidR="00DD712D" w:rsidRPr="00DD712D">
        <w:rPr>
          <w:rFonts w:eastAsia="Arial Unicode MS"/>
          <w:noProof/>
        </w:rPr>
        <w:t>modernis</w:t>
      </w:r>
      <w:r w:rsidRPr="00DD712D">
        <w:rPr>
          <w:rFonts w:eastAsia="Arial Unicode MS"/>
          <w:noProof/>
        </w:rPr>
        <w:t>ing</w:t>
      </w:r>
      <w:r w:rsidRPr="009F56E6">
        <w:rPr>
          <w:rFonts w:eastAsia="Arial Unicode MS"/>
          <w:noProof/>
          <w:lang w:val="en-US"/>
        </w:rPr>
        <w:t xml:space="preserve"> the framework</w:t>
      </w:r>
      <w:r w:rsidR="00DD712D">
        <w:rPr>
          <w:rFonts w:eastAsia="Arial Unicode MS"/>
          <w:noProof/>
          <w:lang w:val="en-US"/>
        </w:rPr>
        <w:t xml:space="preserve"> and allowing </w:t>
      </w:r>
      <w:r w:rsidR="00DD712D" w:rsidRPr="006B2E41">
        <w:rPr>
          <w:rFonts w:eastAsia="Arial Unicode MS"/>
          <w:noProof/>
          <w:lang w:val="en-US"/>
        </w:rPr>
        <w:t xml:space="preserve">interoperability </w:t>
      </w:r>
      <w:r w:rsidR="00DD712D">
        <w:rPr>
          <w:rFonts w:eastAsia="Arial Unicode MS"/>
          <w:noProof/>
          <w:lang w:val="en-US"/>
        </w:rPr>
        <w:t xml:space="preserve">with other </w:t>
      </w:r>
      <w:r w:rsidR="00DD712D" w:rsidRPr="006B2E41">
        <w:rPr>
          <w:rFonts w:eastAsia="Arial Unicode MS"/>
          <w:noProof/>
          <w:lang w:val="en-US"/>
        </w:rPr>
        <w:t>EU information systems</w:t>
      </w:r>
      <w:r w:rsidR="006F12CF" w:rsidRPr="009F56E6">
        <w:rPr>
          <w:rFonts w:eastAsia="Arial Unicode MS"/>
          <w:noProof/>
          <w:lang w:val="en-US"/>
        </w:rPr>
        <w:t>. It will</w:t>
      </w:r>
      <w:r w:rsidR="006F4BC9" w:rsidRPr="009F56E6">
        <w:rPr>
          <w:rFonts w:eastAsia="Arial Unicode MS"/>
          <w:noProof/>
          <w:lang w:val="en-US"/>
        </w:rPr>
        <w:t xml:space="preserve"> ensur</w:t>
      </w:r>
      <w:r w:rsidR="006F12CF" w:rsidRPr="009F56E6">
        <w:rPr>
          <w:rFonts w:eastAsia="Arial Unicode MS"/>
          <w:noProof/>
          <w:lang w:val="en-US"/>
        </w:rPr>
        <w:t>e</w:t>
      </w:r>
      <w:r w:rsidR="006F4BC9" w:rsidRPr="009F56E6">
        <w:rPr>
          <w:rFonts w:eastAsia="Arial Unicode MS"/>
          <w:noProof/>
          <w:lang w:val="en-US"/>
        </w:rPr>
        <w:t xml:space="preserve"> that </w:t>
      </w:r>
      <w:r w:rsidR="00722A77" w:rsidRPr="009F56E6">
        <w:rPr>
          <w:rFonts w:eastAsia="Arial Unicode MS"/>
          <w:noProof/>
          <w:lang w:val="en-US"/>
        </w:rPr>
        <w:t>all the relevant data that is available</w:t>
      </w:r>
      <w:r w:rsidR="004722EC" w:rsidRPr="009F56E6">
        <w:rPr>
          <w:rFonts w:eastAsia="Arial Unicode MS"/>
          <w:noProof/>
          <w:lang w:val="en-US"/>
        </w:rPr>
        <w:t xml:space="preserve"> for law enforcement authorities</w:t>
      </w:r>
      <w:r w:rsidRPr="009F56E6">
        <w:rPr>
          <w:rFonts w:eastAsia="Arial Unicode MS"/>
          <w:noProof/>
          <w:lang w:val="en-US"/>
        </w:rPr>
        <w:t xml:space="preserve"> in a Member State</w:t>
      </w:r>
      <w:r w:rsidR="00722A77" w:rsidRPr="009F56E6">
        <w:rPr>
          <w:rFonts w:eastAsia="Arial Unicode MS"/>
          <w:noProof/>
          <w:lang w:val="en-US"/>
        </w:rPr>
        <w:t xml:space="preserve"> </w:t>
      </w:r>
      <w:r w:rsidR="006F4BC9" w:rsidRPr="009F56E6">
        <w:rPr>
          <w:rFonts w:eastAsia="Arial Unicode MS"/>
          <w:noProof/>
          <w:lang w:val="en-US"/>
        </w:rPr>
        <w:t>can be used</w:t>
      </w:r>
      <w:r w:rsidR="006F12CF" w:rsidRPr="009F56E6">
        <w:rPr>
          <w:rFonts w:eastAsia="Arial Unicode MS"/>
          <w:noProof/>
          <w:lang w:val="en-US"/>
        </w:rPr>
        <w:t xml:space="preserve"> by law enforcement authorities</w:t>
      </w:r>
      <w:r w:rsidRPr="009F56E6">
        <w:rPr>
          <w:rFonts w:eastAsia="Arial Unicode MS"/>
          <w:noProof/>
          <w:lang w:val="en-US"/>
        </w:rPr>
        <w:t xml:space="preserve"> in other Member States</w:t>
      </w:r>
      <w:r w:rsidR="006F12CF" w:rsidRPr="009F56E6">
        <w:rPr>
          <w:rFonts w:eastAsia="Arial Unicode MS"/>
          <w:noProof/>
          <w:lang w:val="en-US"/>
        </w:rPr>
        <w:t>. It will also</w:t>
      </w:r>
      <w:r w:rsidR="00203EC4" w:rsidRPr="009F56E6">
        <w:rPr>
          <w:rFonts w:eastAsia="Arial Unicode MS"/>
          <w:noProof/>
          <w:lang w:val="en-US"/>
        </w:rPr>
        <w:t xml:space="preserve"> ensure that Europol can provide support to Member State</w:t>
      </w:r>
      <w:r w:rsidR="00176CD7">
        <w:rPr>
          <w:rFonts w:eastAsia="Arial Unicode MS"/>
          <w:noProof/>
          <w:lang w:val="en-US"/>
        </w:rPr>
        <w:t>s</w:t>
      </w:r>
      <w:r w:rsidR="00203EC4" w:rsidRPr="009F56E6">
        <w:rPr>
          <w:rFonts w:eastAsia="Arial Unicode MS"/>
          <w:noProof/>
          <w:lang w:val="en-US"/>
        </w:rPr>
        <w:t xml:space="preserve"> in the context of the Prüm framework</w:t>
      </w:r>
      <w:r w:rsidR="006F12CF" w:rsidRPr="009F56E6">
        <w:rPr>
          <w:rFonts w:eastAsia="Arial Unicode MS"/>
          <w:noProof/>
          <w:lang w:val="en-US"/>
        </w:rPr>
        <w:t>.</w:t>
      </w:r>
      <w:r w:rsidR="00203EC4" w:rsidRPr="009F56E6">
        <w:rPr>
          <w:rFonts w:eastAsia="Arial Unicode MS"/>
          <w:noProof/>
          <w:lang w:val="en-US"/>
        </w:rPr>
        <w:t xml:space="preserve"> </w:t>
      </w:r>
      <w:r w:rsidR="005535F1" w:rsidRPr="009F56E6">
        <w:rPr>
          <w:rFonts w:eastAsia="Arial Unicode MS"/>
          <w:noProof/>
          <w:lang w:val="en-US"/>
        </w:rPr>
        <w:t>This initiative provides for the creation of</w:t>
      </w:r>
      <w:r w:rsidR="00203EC4" w:rsidRPr="009F56E6">
        <w:rPr>
          <w:rFonts w:eastAsia="Arial Unicode MS"/>
          <w:noProof/>
          <w:lang w:val="en-US"/>
        </w:rPr>
        <w:t xml:space="preserve"> a new architecture that allows for easier and faster exchange of data</w:t>
      </w:r>
      <w:r w:rsidR="00203EC4" w:rsidRPr="009F56E6">
        <w:rPr>
          <w:rFonts w:eastAsia="Arial Unicode MS"/>
          <w:noProof/>
        </w:rPr>
        <w:t xml:space="preserve"> between Member States </w:t>
      </w:r>
      <w:r w:rsidR="0094528A" w:rsidRPr="009F56E6">
        <w:rPr>
          <w:rFonts w:eastAsia="Arial Unicode MS"/>
          <w:noProof/>
        </w:rPr>
        <w:t>and that ensures</w:t>
      </w:r>
      <w:r w:rsidR="00203EC4" w:rsidRPr="009F56E6">
        <w:rPr>
          <w:rFonts w:eastAsia="Arial Unicode MS"/>
          <w:noProof/>
        </w:rPr>
        <w:t xml:space="preserve"> a high level of protection of fundamental rights.</w:t>
      </w:r>
      <w:r w:rsidR="006F4BC9" w:rsidRPr="009F56E6">
        <w:rPr>
          <w:rFonts w:eastAsia="Arial Unicode MS"/>
          <w:noProof/>
          <w:lang w:val="en-US"/>
        </w:rPr>
        <w:t xml:space="preserve"> </w:t>
      </w:r>
    </w:p>
    <w:p w14:paraId="6D2F9167" w14:textId="77777777" w:rsidR="00220060" w:rsidRPr="009F56E6" w:rsidRDefault="00220060" w:rsidP="00220060">
      <w:pPr>
        <w:pStyle w:val="ManualHeading2"/>
        <w:rPr>
          <w:rFonts w:eastAsia="Arial Unicode MS"/>
          <w:noProof/>
        </w:rPr>
      </w:pPr>
      <w:r w:rsidRPr="009F56E6">
        <w:rPr>
          <w:rFonts w:eastAsia="Arial Unicode MS"/>
          <w:noProof/>
          <w:color w:val="000000"/>
          <w:u w:color="000000"/>
          <w:bdr w:val="nil"/>
          <w:lang w:val="en-US" w:eastAsia="en-GB"/>
        </w:rPr>
        <w:t>•</w:t>
      </w:r>
      <w:r w:rsidRPr="009F56E6">
        <w:rPr>
          <w:rFonts w:eastAsia="Arial Unicode MS"/>
          <w:noProof/>
          <w:color w:val="000000"/>
          <w:u w:color="000000"/>
          <w:bdr w:val="nil"/>
          <w:lang w:val="en-US" w:eastAsia="en-GB"/>
        </w:rPr>
        <w:tab/>
      </w:r>
      <w:r w:rsidRPr="009F56E6">
        <w:rPr>
          <w:rFonts w:eastAsia="Arial Unicode MS"/>
          <w:noProof/>
        </w:rPr>
        <w:t xml:space="preserve">Objectives of the proposal </w:t>
      </w:r>
    </w:p>
    <w:p w14:paraId="54EA1234" w14:textId="13158BE8" w:rsidR="00220060" w:rsidRPr="009F56E6" w:rsidRDefault="00220060" w:rsidP="00220060">
      <w:pPr>
        <w:pStyle w:val="Text2"/>
        <w:ind w:left="0"/>
        <w:rPr>
          <w:noProof/>
        </w:rPr>
      </w:pPr>
      <w:r w:rsidRPr="009F56E6">
        <w:rPr>
          <w:noProof/>
        </w:rPr>
        <w:t>The general objective of this</w:t>
      </w:r>
      <w:r w:rsidRPr="009F56E6" w:rsidDel="008954B0">
        <w:rPr>
          <w:noProof/>
        </w:rPr>
        <w:t xml:space="preserve"> </w:t>
      </w:r>
      <w:r w:rsidR="008954B0" w:rsidRPr="009F56E6">
        <w:rPr>
          <w:noProof/>
        </w:rPr>
        <w:t xml:space="preserve">proposal </w:t>
      </w:r>
      <w:r w:rsidRPr="009F56E6">
        <w:rPr>
          <w:noProof/>
        </w:rPr>
        <w:t xml:space="preserve">results from the </w:t>
      </w:r>
      <w:r w:rsidR="00722A77" w:rsidRPr="009F56E6">
        <w:rPr>
          <w:noProof/>
        </w:rPr>
        <w:t xml:space="preserve">Treaty-based goal </w:t>
      </w:r>
      <w:r w:rsidRPr="009F56E6">
        <w:rPr>
          <w:noProof/>
        </w:rPr>
        <w:t>of contributing to the internal security of the European Union. Among measures to do so, the collection, storage, processing, analysis and exchange of relevant information is listed.</w:t>
      </w:r>
      <w:r w:rsidR="00722A77" w:rsidRPr="009F56E6">
        <w:rPr>
          <w:rStyle w:val="FootnoteReference0"/>
          <w:noProof/>
        </w:rPr>
        <w:footnoteReference w:id="10"/>
      </w:r>
      <w:r w:rsidRPr="009F56E6">
        <w:rPr>
          <w:noProof/>
        </w:rPr>
        <w:t xml:space="preserve"> The general objective of this instrument is</w:t>
      </w:r>
      <w:r w:rsidR="0065084C" w:rsidRPr="009F56E6">
        <w:rPr>
          <w:noProof/>
        </w:rPr>
        <w:t xml:space="preserve"> thus</w:t>
      </w:r>
      <w:r w:rsidRPr="009F56E6">
        <w:rPr>
          <w:noProof/>
        </w:rPr>
        <w:t xml:space="preserve"> to improve, streamline and facilitate the exchange of information</w:t>
      </w:r>
      <w:r w:rsidR="00B75168" w:rsidRPr="009F56E6">
        <w:rPr>
          <w:noProof/>
        </w:rPr>
        <w:t xml:space="preserve"> for the purpose of </w:t>
      </w:r>
      <w:r w:rsidR="00046B8C">
        <w:rPr>
          <w:noProof/>
        </w:rPr>
        <w:t xml:space="preserve">the </w:t>
      </w:r>
      <w:r w:rsidR="00B75168" w:rsidRPr="009F56E6">
        <w:rPr>
          <w:noProof/>
        </w:rPr>
        <w:t>prevention, detection and investigation of criminal and terrorist offences</w:t>
      </w:r>
      <w:r w:rsidRPr="009F56E6">
        <w:rPr>
          <w:noProof/>
        </w:rPr>
        <w:t xml:space="preserve"> between Member States’ law enforcement authorities, but also with Europol as the EU criminal information hub.</w:t>
      </w:r>
    </w:p>
    <w:p w14:paraId="25B97686" w14:textId="505D27E8" w:rsidR="00220060" w:rsidRPr="009F56E6" w:rsidRDefault="0065084C" w:rsidP="00220060">
      <w:pPr>
        <w:pStyle w:val="Text2"/>
        <w:spacing w:after="100"/>
        <w:ind w:left="0"/>
        <w:rPr>
          <w:rFonts w:eastAsia="Calibri"/>
          <w:noProof/>
          <w:lang w:val="en-US"/>
        </w:rPr>
      </w:pPr>
      <w:r w:rsidRPr="009F56E6">
        <w:rPr>
          <w:rFonts w:eastAsia="Calibri"/>
          <w:noProof/>
        </w:rPr>
        <w:t>T</w:t>
      </w:r>
      <w:r w:rsidR="00220060" w:rsidRPr="009F56E6">
        <w:rPr>
          <w:rFonts w:eastAsia="Calibri"/>
          <w:noProof/>
        </w:rPr>
        <w:t>he specific policy objective</w:t>
      </w:r>
      <w:r w:rsidRPr="009F56E6">
        <w:rPr>
          <w:rFonts w:eastAsia="Calibri"/>
          <w:noProof/>
        </w:rPr>
        <w:t>s</w:t>
      </w:r>
      <w:r w:rsidR="00220060" w:rsidRPr="009F56E6">
        <w:rPr>
          <w:rFonts w:eastAsia="Calibri"/>
          <w:noProof/>
        </w:rPr>
        <w:t xml:space="preserve"> of this proposal </w:t>
      </w:r>
      <w:r w:rsidRPr="009F56E6">
        <w:rPr>
          <w:rFonts w:eastAsia="Calibri"/>
          <w:noProof/>
        </w:rPr>
        <w:t>are</w:t>
      </w:r>
      <w:r w:rsidR="00220060" w:rsidRPr="009F56E6">
        <w:rPr>
          <w:rFonts w:eastAsia="Calibri"/>
          <w:noProof/>
        </w:rPr>
        <w:t xml:space="preserve"> to: </w:t>
      </w:r>
    </w:p>
    <w:p w14:paraId="18372790" w14:textId="4F657418" w:rsidR="00F138DB" w:rsidRPr="009F56E6" w:rsidRDefault="00C304BF" w:rsidP="00C304BF">
      <w:pPr>
        <w:pStyle w:val="Point0"/>
        <w:rPr>
          <w:noProof/>
          <w:lang w:val="en-US"/>
        </w:rPr>
      </w:pPr>
      <w:r w:rsidRPr="00C304BF">
        <w:t>(a)</w:t>
      </w:r>
      <w:r w:rsidRPr="00C304BF">
        <w:tab/>
      </w:r>
      <w:r w:rsidR="00220060" w:rsidRPr="009F56E6">
        <w:rPr>
          <w:noProof/>
          <w:lang w:val="en-US"/>
        </w:rPr>
        <w:t>Provid</w:t>
      </w:r>
      <w:r w:rsidR="00C24166" w:rsidRPr="009F56E6">
        <w:rPr>
          <w:noProof/>
          <w:lang w:val="en-US"/>
        </w:rPr>
        <w:t>e</w:t>
      </w:r>
      <w:r w:rsidR="00220060" w:rsidRPr="009F56E6">
        <w:rPr>
          <w:noProof/>
          <w:lang w:val="en-US"/>
        </w:rPr>
        <w:t xml:space="preserve"> a technical solution for efficient automated exchange of data between law enforcement authorities to make them aware of relevant data that is available in the national database of another Member State;</w:t>
      </w:r>
    </w:p>
    <w:p w14:paraId="48689B81" w14:textId="0D71520D" w:rsidR="00F138DB" w:rsidRPr="00F138DB" w:rsidRDefault="00C304BF" w:rsidP="00C304BF">
      <w:pPr>
        <w:pStyle w:val="Point0"/>
        <w:rPr>
          <w:noProof/>
          <w:lang w:val="en-US"/>
        </w:rPr>
      </w:pPr>
      <w:r w:rsidRPr="00C304BF">
        <w:t>(b)</w:t>
      </w:r>
      <w:r w:rsidRPr="00C304BF">
        <w:tab/>
      </w:r>
      <w:r w:rsidR="00220060" w:rsidRPr="00F138DB">
        <w:rPr>
          <w:noProof/>
          <w:lang w:val="en-US"/>
        </w:rPr>
        <w:t>Ensur</w:t>
      </w:r>
      <w:r w:rsidR="00C24166" w:rsidRPr="00F138DB">
        <w:rPr>
          <w:noProof/>
          <w:lang w:val="en-US"/>
        </w:rPr>
        <w:t>e</w:t>
      </w:r>
      <w:r w:rsidR="00220060" w:rsidRPr="00F138DB">
        <w:rPr>
          <w:noProof/>
          <w:lang w:val="en-US"/>
        </w:rPr>
        <w:t xml:space="preserve"> that more relevant data (in terms of data categories) from national databases in other Member States is available to all competent law enforcement authorities;</w:t>
      </w:r>
    </w:p>
    <w:p w14:paraId="181436FD" w14:textId="28E25205" w:rsidR="00F138DB" w:rsidRPr="00F138DB" w:rsidRDefault="00C304BF" w:rsidP="00C304BF">
      <w:pPr>
        <w:pStyle w:val="Point0"/>
        <w:rPr>
          <w:noProof/>
          <w:lang w:val="en-US"/>
        </w:rPr>
      </w:pPr>
      <w:r w:rsidRPr="00C304BF">
        <w:t>(c)</w:t>
      </w:r>
      <w:r w:rsidRPr="00C304BF">
        <w:tab/>
      </w:r>
      <w:r w:rsidR="00220060" w:rsidRPr="00F138DB">
        <w:rPr>
          <w:noProof/>
          <w:lang w:val="en-US"/>
        </w:rPr>
        <w:t>Ensur</w:t>
      </w:r>
      <w:r w:rsidR="00C24166" w:rsidRPr="00F138DB">
        <w:rPr>
          <w:noProof/>
          <w:lang w:val="en-US"/>
        </w:rPr>
        <w:t xml:space="preserve">e that </w:t>
      </w:r>
      <w:r w:rsidR="00220060" w:rsidRPr="00F138DB">
        <w:rPr>
          <w:noProof/>
          <w:lang w:val="en-US"/>
        </w:rPr>
        <w:t>relevant data (in terms of sources of data) from Europol’s database</w:t>
      </w:r>
      <w:r w:rsidR="00447BE4">
        <w:rPr>
          <w:noProof/>
          <w:lang w:val="en-US"/>
        </w:rPr>
        <w:t>s</w:t>
      </w:r>
      <w:r w:rsidR="00220060" w:rsidRPr="00F138DB">
        <w:rPr>
          <w:noProof/>
          <w:lang w:val="en-US"/>
        </w:rPr>
        <w:t xml:space="preserve"> is available to law enforcement authorities;</w:t>
      </w:r>
    </w:p>
    <w:p w14:paraId="18430358" w14:textId="41D52467" w:rsidR="00220060" w:rsidRPr="00F138DB" w:rsidRDefault="00C304BF" w:rsidP="00C304BF">
      <w:pPr>
        <w:pStyle w:val="Point0"/>
        <w:rPr>
          <w:noProof/>
          <w:lang w:val="en-US"/>
        </w:rPr>
      </w:pPr>
      <w:r w:rsidRPr="00C304BF">
        <w:t>(d)</w:t>
      </w:r>
      <w:r w:rsidRPr="00C304BF">
        <w:tab/>
      </w:r>
      <w:r w:rsidR="00220060" w:rsidRPr="00F138DB">
        <w:rPr>
          <w:noProof/>
          <w:lang w:val="en-US"/>
        </w:rPr>
        <w:t>Provid</w:t>
      </w:r>
      <w:r w:rsidR="00C24166" w:rsidRPr="00F138DB">
        <w:rPr>
          <w:noProof/>
          <w:lang w:val="en-US"/>
        </w:rPr>
        <w:t>e</w:t>
      </w:r>
      <w:r w:rsidR="00220060" w:rsidRPr="00F138DB">
        <w:rPr>
          <w:noProof/>
          <w:lang w:val="en-US"/>
        </w:rPr>
        <w:t xml:space="preserve"> law enforcement authorities with efficient access to the actual data corresponding to a ‘hit’ that is available in the national database of another Member State.</w:t>
      </w:r>
    </w:p>
    <w:p w14:paraId="5DE3FDE4" w14:textId="77777777" w:rsidR="00220060" w:rsidRPr="00E951DA" w:rsidRDefault="00220060" w:rsidP="00220060">
      <w:pPr>
        <w:pStyle w:val="ManualHeading2"/>
        <w:rPr>
          <w:noProof/>
          <w:color w:val="000000"/>
          <w:u w:color="000000"/>
          <w:bdr w:val="nil"/>
          <w:lang w:val="en-US"/>
        </w:rPr>
      </w:pPr>
      <w:r w:rsidRPr="009F56E6">
        <w:rPr>
          <w:rFonts w:eastAsia="Arial Unicode MS"/>
          <w:noProof/>
          <w:color w:val="000000"/>
          <w:u w:color="000000"/>
          <w:bdr w:val="nil"/>
          <w:lang w:val="en-US" w:eastAsia="en-GB"/>
        </w:rPr>
        <w:t>•</w:t>
      </w:r>
      <w:r w:rsidRPr="009F56E6">
        <w:rPr>
          <w:rFonts w:eastAsia="Arial Unicode MS"/>
          <w:noProof/>
          <w:color w:val="000000"/>
          <w:u w:color="000000"/>
          <w:bdr w:val="nil"/>
          <w:lang w:val="en-US" w:eastAsia="en-GB"/>
        </w:rPr>
        <w:tab/>
      </w:r>
      <w:r w:rsidRPr="009F56E6">
        <w:rPr>
          <w:rFonts w:eastAsia="Arial Unicode MS"/>
          <w:noProof/>
        </w:rPr>
        <w:t>Consistency with existing policy provisions in the policy area</w:t>
      </w:r>
    </w:p>
    <w:p w14:paraId="25423145" w14:textId="2E9C3EA5" w:rsidR="00066836" w:rsidRPr="009F56E6" w:rsidRDefault="00A51C63" w:rsidP="004A67AE">
      <w:pPr>
        <w:pBdr>
          <w:top w:val="nil"/>
          <w:left w:val="nil"/>
          <w:bottom w:val="nil"/>
          <w:right w:val="nil"/>
          <w:between w:val="nil"/>
          <w:bar w:val="nil"/>
        </w:pBdr>
        <w:spacing w:before="0" w:after="240"/>
        <w:rPr>
          <w:rFonts w:eastAsia="Arial Unicode MS"/>
          <w:noProof/>
          <w:lang w:val="en-IE"/>
        </w:rPr>
      </w:pPr>
      <w:r w:rsidRPr="009F56E6">
        <w:rPr>
          <w:rFonts w:eastAsia="Arial Unicode MS"/>
          <w:noProof/>
          <w:lang w:val="en-US"/>
        </w:rPr>
        <w:t xml:space="preserve">The recent Schengen </w:t>
      </w:r>
      <w:r w:rsidR="00ED1C79" w:rsidRPr="009F56E6">
        <w:rPr>
          <w:rFonts w:eastAsia="Arial Unicode MS"/>
          <w:noProof/>
          <w:lang w:val="en-US"/>
        </w:rPr>
        <w:t>S</w:t>
      </w:r>
      <w:r w:rsidRPr="009F56E6">
        <w:rPr>
          <w:rFonts w:eastAsia="Arial Unicode MS"/>
          <w:noProof/>
          <w:lang w:val="en-US"/>
        </w:rPr>
        <w:t>trategy</w:t>
      </w:r>
      <w:r w:rsidR="00ED1C79" w:rsidRPr="009F56E6">
        <w:rPr>
          <w:rStyle w:val="FootnoteReference0"/>
          <w:rFonts w:eastAsia="Arial Unicode MS"/>
          <w:noProof/>
          <w:lang w:val="en-US"/>
        </w:rPr>
        <w:footnoteReference w:id="11"/>
      </w:r>
      <w:r w:rsidRPr="009F56E6">
        <w:rPr>
          <w:rFonts w:eastAsia="Arial Unicode MS"/>
          <w:noProof/>
          <w:lang w:val="en-US"/>
        </w:rPr>
        <w:t xml:space="preserve"> announced several measures to step up police cooperation and information exchange between law enforcement authorities to enhance security in an inherently interdependent area without internal borders. Together with the proposal for a </w:t>
      </w:r>
      <w:r w:rsidR="00613DB2" w:rsidRPr="009F56E6">
        <w:rPr>
          <w:rFonts w:eastAsia="Arial Unicode MS"/>
          <w:noProof/>
        </w:rPr>
        <w:t>Directive on information exchange</w:t>
      </w:r>
      <w:r w:rsidR="000564CE" w:rsidRPr="000564CE">
        <w:rPr>
          <w:rFonts w:eastAsia="Arial Unicode MS"/>
          <w:noProof/>
        </w:rPr>
        <w:t xml:space="preserve"> </w:t>
      </w:r>
      <w:r w:rsidR="000564CE">
        <w:rPr>
          <w:rFonts w:eastAsia="Arial Unicode MS"/>
          <w:noProof/>
        </w:rPr>
        <w:t>between law enforcement authorities of Member States</w:t>
      </w:r>
      <w:r w:rsidRPr="009F56E6">
        <w:rPr>
          <w:rFonts w:eastAsia="Arial Unicode MS"/>
          <w:noProof/>
          <w:lang w:val="en-US"/>
        </w:rPr>
        <w:t>, t</w:t>
      </w:r>
      <w:r w:rsidR="00066836" w:rsidRPr="009F56E6">
        <w:rPr>
          <w:rFonts w:eastAsia="Arial Unicode MS"/>
          <w:noProof/>
          <w:lang w:val="en-US"/>
        </w:rPr>
        <w:t xml:space="preserve">his proposal </w:t>
      </w:r>
      <w:r w:rsidR="004A67AE" w:rsidRPr="009F56E6">
        <w:rPr>
          <w:rFonts w:eastAsia="Arial Unicode MS"/>
          <w:noProof/>
          <w:lang w:val="en-US"/>
        </w:rPr>
        <w:t xml:space="preserve">contributes to the </w:t>
      </w:r>
      <w:r w:rsidR="00ED1C79" w:rsidRPr="009F56E6">
        <w:rPr>
          <w:rFonts w:eastAsia="Arial Unicode MS"/>
          <w:noProof/>
          <w:lang w:val="en-US"/>
        </w:rPr>
        <w:t xml:space="preserve">objectives </w:t>
      </w:r>
      <w:r w:rsidR="004A67AE" w:rsidRPr="009F56E6">
        <w:rPr>
          <w:rFonts w:eastAsia="Arial Unicode MS"/>
          <w:noProof/>
          <w:lang w:val="en-US"/>
        </w:rPr>
        <w:t xml:space="preserve">of </w:t>
      </w:r>
      <w:r w:rsidR="00A721F6" w:rsidRPr="009F56E6">
        <w:rPr>
          <w:rFonts w:eastAsia="Arial Unicode MS"/>
          <w:noProof/>
          <w:lang w:val="en-US"/>
        </w:rPr>
        <w:t>this</w:t>
      </w:r>
      <w:r w:rsidR="004A67AE" w:rsidRPr="009F56E6">
        <w:rPr>
          <w:rFonts w:eastAsia="Arial Unicode MS"/>
          <w:noProof/>
          <w:lang w:val="en-US"/>
        </w:rPr>
        <w:t xml:space="preserve"> strategy by </w:t>
      </w:r>
      <w:r w:rsidR="00E67DAB" w:rsidRPr="009F56E6">
        <w:rPr>
          <w:rFonts w:eastAsia="Arial Unicode MS"/>
          <w:noProof/>
          <w:lang w:val="en-US"/>
        </w:rPr>
        <w:t xml:space="preserve">ensuring that law enforcement authorities </w:t>
      </w:r>
      <w:r w:rsidR="00311DA8" w:rsidRPr="009F56E6">
        <w:rPr>
          <w:rFonts w:eastAsia="Arial Unicode MS"/>
          <w:noProof/>
          <w:lang w:val="en-US"/>
        </w:rPr>
        <w:t xml:space="preserve">in one Member State </w:t>
      </w:r>
      <w:r w:rsidR="00E67DAB" w:rsidRPr="009F56E6">
        <w:rPr>
          <w:rFonts w:eastAsia="Arial Unicode MS"/>
          <w:noProof/>
          <w:lang w:val="en-US"/>
        </w:rPr>
        <w:t xml:space="preserve">have access to the </w:t>
      </w:r>
      <w:r w:rsidR="004722EC" w:rsidRPr="009F56E6">
        <w:rPr>
          <w:rFonts w:eastAsia="Arial Unicode MS"/>
          <w:noProof/>
          <w:lang w:val="en-US"/>
        </w:rPr>
        <w:t xml:space="preserve">same </w:t>
      </w:r>
      <w:r w:rsidR="00E67DAB" w:rsidRPr="009F56E6">
        <w:rPr>
          <w:rFonts w:eastAsia="Arial Unicode MS"/>
          <w:noProof/>
          <w:lang w:val="en-US"/>
        </w:rPr>
        <w:t xml:space="preserve">information </w:t>
      </w:r>
      <w:r w:rsidR="00DD712D">
        <w:rPr>
          <w:rFonts w:eastAsia="Arial Unicode MS"/>
          <w:noProof/>
          <w:lang w:val="en-US"/>
        </w:rPr>
        <w:t>that</w:t>
      </w:r>
      <w:r w:rsidR="00311DA8" w:rsidRPr="009F56E6">
        <w:rPr>
          <w:rFonts w:eastAsia="Arial Unicode MS"/>
          <w:noProof/>
          <w:lang w:val="en-US"/>
        </w:rPr>
        <w:t xml:space="preserve"> is </w:t>
      </w:r>
      <w:r w:rsidR="00E67DAB" w:rsidRPr="009F56E6">
        <w:rPr>
          <w:rFonts w:eastAsia="Arial Unicode MS"/>
          <w:noProof/>
          <w:lang w:val="en-US"/>
        </w:rPr>
        <w:t xml:space="preserve">available to </w:t>
      </w:r>
      <w:r w:rsidR="000120D1" w:rsidRPr="009F56E6">
        <w:rPr>
          <w:rFonts w:eastAsia="Arial Unicode MS"/>
          <w:noProof/>
          <w:lang w:val="en-US"/>
        </w:rPr>
        <w:t xml:space="preserve">their colleagues </w:t>
      </w:r>
      <w:r w:rsidR="00CD2034" w:rsidRPr="009F56E6">
        <w:rPr>
          <w:rFonts w:eastAsia="Arial Unicode MS"/>
          <w:noProof/>
          <w:lang w:val="en-US"/>
        </w:rPr>
        <w:t xml:space="preserve">in </w:t>
      </w:r>
      <w:r w:rsidR="000120D1" w:rsidRPr="009F56E6">
        <w:rPr>
          <w:rFonts w:eastAsia="Arial Unicode MS"/>
          <w:noProof/>
          <w:lang w:val="en-US"/>
        </w:rPr>
        <w:t>an</w:t>
      </w:r>
      <w:r w:rsidR="00CD2034" w:rsidRPr="009F56E6">
        <w:rPr>
          <w:rFonts w:eastAsia="Arial Unicode MS"/>
          <w:noProof/>
          <w:lang w:val="en-US"/>
        </w:rPr>
        <w:t>other Member State.</w:t>
      </w:r>
    </w:p>
    <w:p w14:paraId="5212520D" w14:textId="12ED9445" w:rsidR="001E387C" w:rsidRPr="009F56E6" w:rsidRDefault="001E387C" w:rsidP="001E387C">
      <w:pPr>
        <w:pBdr>
          <w:top w:val="nil"/>
          <w:left w:val="nil"/>
          <w:bottom w:val="nil"/>
          <w:right w:val="nil"/>
          <w:between w:val="nil"/>
          <w:bar w:val="nil"/>
        </w:pBdr>
        <w:spacing w:before="0" w:after="240"/>
        <w:rPr>
          <w:rFonts w:eastAsia="Arial Unicode MS"/>
          <w:noProof/>
          <w:lang w:val="en-US"/>
        </w:rPr>
      </w:pPr>
      <w:r w:rsidRPr="009F56E6">
        <w:rPr>
          <w:rFonts w:eastAsia="Arial Unicode MS"/>
          <w:noProof/>
          <w:lang w:val="en-US"/>
        </w:rPr>
        <w:t xml:space="preserve">The proposal comes within the </w:t>
      </w:r>
      <w:r w:rsidR="004871A3" w:rsidRPr="009F56E6">
        <w:rPr>
          <w:rFonts w:eastAsia="Arial Unicode MS"/>
          <w:noProof/>
          <w:lang w:val="en-US"/>
        </w:rPr>
        <w:t xml:space="preserve">wider </w:t>
      </w:r>
      <w:r w:rsidRPr="009F56E6">
        <w:rPr>
          <w:rFonts w:eastAsia="Arial Unicode MS"/>
          <w:noProof/>
          <w:lang w:val="en-US"/>
        </w:rPr>
        <w:t>landscape of the large-scale EU information systems that has developed substantially since the adoption of the Prüm framework. This includes the three EU central information systems that are in operation: the Schengen Information System (SIS), the Visa Information System (VIS) and the Eurodac system.</w:t>
      </w:r>
      <w:r w:rsidRPr="00CE3F2A">
        <w:rPr>
          <w:rStyle w:val="FootnoteReference0"/>
          <w:noProof/>
        </w:rPr>
        <w:footnoteReference w:id="12"/>
      </w:r>
      <w:r w:rsidRPr="009F56E6">
        <w:rPr>
          <w:rFonts w:eastAsia="Arial Unicode MS"/>
          <w:noProof/>
          <w:lang w:val="en-US"/>
        </w:rPr>
        <w:t xml:space="preserve"> In addition, three new systems are currently in development phase: the Entry/Exit System (EES</w:t>
      </w:r>
      <w:r w:rsidRPr="009F56E6">
        <w:rPr>
          <w:rFonts w:eastAsia="Arial Unicode MS"/>
          <w:noProof/>
        </w:rPr>
        <w:t>), the European Travel Information and Authorisation System (ETIAS) and the centralised system for the identification of Member States holding conviction information on third</w:t>
      </w:r>
      <w:r w:rsidRPr="009F56E6">
        <w:rPr>
          <w:rFonts w:eastAsia="Arial Unicode MS"/>
          <w:noProof/>
          <w:lang w:val="en-US"/>
        </w:rPr>
        <w:t>-country nationals and stateless persons (ECRIS-TCN system).</w:t>
      </w:r>
      <w:r w:rsidRPr="00CE3F2A">
        <w:rPr>
          <w:rStyle w:val="FootnoteReference0"/>
          <w:noProof/>
        </w:rPr>
        <w:footnoteReference w:id="13"/>
      </w:r>
      <w:r w:rsidRPr="009F56E6">
        <w:rPr>
          <w:rFonts w:eastAsia="Arial Unicode MS"/>
          <w:noProof/>
          <w:lang w:val="en-US"/>
        </w:rPr>
        <w:t xml:space="preserve"> All these current and future systems are linked through the interoperability framework for the EU information systems</w:t>
      </w:r>
      <w:r w:rsidRPr="00CE3F2A">
        <w:rPr>
          <w:rStyle w:val="FootnoteReference0"/>
          <w:noProof/>
        </w:rPr>
        <w:footnoteReference w:id="14"/>
      </w:r>
      <w:r w:rsidRPr="009F56E6">
        <w:rPr>
          <w:rFonts w:eastAsia="Arial Unicode MS"/>
          <w:noProof/>
          <w:lang w:val="en-US"/>
        </w:rPr>
        <w:t xml:space="preserve"> for security, border and migration management, adopted in 2019, and which is currently being put in place. The revisions included in this proposal </w:t>
      </w:r>
      <w:r w:rsidR="00B616A8" w:rsidRPr="009F56E6">
        <w:rPr>
          <w:rFonts w:eastAsia="Arial Unicode MS"/>
          <w:noProof/>
          <w:lang w:val="en-US"/>
        </w:rPr>
        <w:t xml:space="preserve">seek to align the Prüm framework with the </w:t>
      </w:r>
      <w:r w:rsidR="00CB2265" w:rsidRPr="009F56E6">
        <w:rPr>
          <w:rFonts w:eastAsia="Arial Unicode MS"/>
          <w:noProof/>
          <w:lang w:val="en-US"/>
        </w:rPr>
        <w:t>interoperability framework</w:t>
      </w:r>
      <w:r w:rsidRPr="009F56E6">
        <w:rPr>
          <w:rFonts w:eastAsia="Arial Unicode MS"/>
          <w:noProof/>
          <w:lang w:val="en-US"/>
        </w:rPr>
        <w:t>, notably when it comes to the exchange of data and the overall architecture provided by the interoperability of EU information systems. This would provide for fast and controlled access to the information that law enforcement officers need to perform their tasks and for which they have access rights.</w:t>
      </w:r>
    </w:p>
    <w:p w14:paraId="75A53B25" w14:textId="77777777" w:rsidR="00F168A8" w:rsidRPr="009F56E6" w:rsidRDefault="00F168A8" w:rsidP="00F168A8">
      <w:pPr>
        <w:pBdr>
          <w:top w:val="nil"/>
          <w:left w:val="nil"/>
          <w:bottom w:val="nil"/>
          <w:right w:val="nil"/>
          <w:between w:val="nil"/>
          <w:bar w:val="nil"/>
        </w:pBdr>
        <w:spacing w:before="0" w:after="240"/>
        <w:rPr>
          <w:rFonts w:eastAsia="Arial Unicode MS"/>
          <w:noProof/>
        </w:rPr>
      </w:pPr>
      <w:r w:rsidRPr="009F56E6">
        <w:rPr>
          <w:rFonts w:eastAsia="Arial Unicode MS"/>
          <w:noProof/>
        </w:rPr>
        <w:t>The SIS already contains alerts on missing persons and allows searches based on fingerprints. The SIS is a hit/no hit, actionable centralised information system directly accessible to a large number of frontline end-users containing alerts and providing immediate response on the spot, with actions to be taken related to the subject of the alert. The SIS is mostly used at police, border and custom checks, and by visa and immigration authorities in their routine procedures and checks.</w:t>
      </w:r>
    </w:p>
    <w:p w14:paraId="63328E3D" w14:textId="5EDAFD7D" w:rsidR="00220060" w:rsidRPr="009F56E6" w:rsidRDefault="00F168A8" w:rsidP="00F168A8">
      <w:pPr>
        <w:pBdr>
          <w:top w:val="nil"/>
          <w:left w:val="nil"/>
          <w:bottom w:val="nil"/>
          <w:right w:val="nil"/>
          <w:between w:val="nil"/>
          <w:bar w:val="nil"/>
        </w:pBdr>
        <w:spacing w:before="0" w:after="240"/>
        <w:rPr>
          <w:rFonts w:eastAsia="Arial Unicode MS"/>
          <w:noProof/>
        </w:rPr>
      </w:pPr>
      <w:r w:rsidRPr="009F56E6">
        <w:rPr>
          <w:rFonts w:eastAsia="Arial Unicode MS"/>
          <w:noProof/>
        </w:rPr>
        <w:t>In contrast, the Prüm framework does not have any central component/database at EU level and it is used only in criminal investigations. It allows other Member States to access the de-personalised sub-sets of national criminal DNA and fingerprint databases of all connected Member States. This access is granted to national contact points only. While the hit/no hit response is provided within seconds or minutes, it may take weeks or even months to receive the corresponding personal data related to the hit.</w:t>
      </w:r>
      <w:r w:rsidR="00220060" w:rsidRPr="009F56E6">
        <w:rPr>
          <w:rFonts w:eastAsia="Arial Unicode MS"/>
          <w:noProof/>
        </w:rPr>
        <w:t xml:space="preserve"> </w:t>
      </w:r>
    </w:p>
    <w:p w14:paraId="7C71786B" w14:textId="77777777" w:rsidR="00220060" w:rsidRPr="009F56E6" w:rsidRDefault="00220060" w:rsidP="00220060">
      <w:pPr>
        <w:pStyle w:val="ManualHeading1"/>
        <w:rPr>
          <w:noProof/>
        </w:rPr>
      </w:pPr>
      <w:r w:rsidRPr="009F56E6">
        <w:rPr>
          <w:noProof/>
        </w:rPr>
        <w:t>2.</w:t>
      </w:r>
      <w:r w:rsidRPr="009F56E6">
        <w:rPr>
          <w:noProof/>
        </w:rPr>
        <w:tab/>
        <w:t>LEGAL BASIS, SUBSIDIARITY AND PROPORTIONALITY</w:t>
      </w:r>
    </w:p>
    <w:p w14:paraId="28259E3B" w14:textId="77777777" w:rsidR="00220060" w:rsidRPr="009F56E6" w:rsidRDefault="00220060" w:rsidP="00220060">
      <w:pPr>
        <w:pStyle w:val="ManualHeading2"/>
        <w:rPr>
          <w:rFonts w:eastAsia="Arial Unicode MS"/>
          <w:noProof/>
          <w:u w:color="000000"/>
          <w:bdr w:val="nil"/>
          <w:lang w:val="en-US" w:eastAsia="en-GB"/>
        </w:rPr>
      </w:pPr>
      <w:r w:rsidRPr="009F56E6">
        <w:rPr>
          <w:rFonts w:eastAsia="Arial Unicode MS"/>
          <w:noProof/>
          <w:u w:color="000000"/>
          <w:bdr w:val="nil"/>
          <w:lang w:val="en-US" w:eastAsia="en-GB"/>
        </w:rPr>
        <w:t>•</w:t>
      </w:r>
      <w:r w:rsidRPr="009F56E6">
        <w:rPr>
          <w:rFonts w:eastAsia="Arial Unicode MS"/>
          <w:noProof/>
          <w:u w:color="000000"/>
          <w:bdr w:val="nil"/>
          <w:lang w:val="en-US" w:eastAsia="en-GB"/>
        </w:rPr>
        <w:tab/>
        <w:t>Legal basis</w:t>
      </w:r>
    </w:p>
    <w:p w14:paraId="4634037E" w14:textId="7375AEC4" w:rsidR="00220060" w:rsidRPr="009F56E6" w:rsidRDefault="00220060" w:rsidP="00B32F97">
      <w:pPr>
        <w:pBdr>
          <w:top w:val="nil"/>
          <w:left w:val="nil"/>
          <w:bottom w:val="nil"/>
          <w:right w:val="nil"/>
          <w:between w:val="nil"/>
          <w:bar w:val="nil"/>
        </w:pBdr>
        <w:spacing w:before="0" w:after="240"/>
        <w:rPr>
          <w:rFonts w:eastAsia="Arial Unicode MS"/>
          <w:noProof/>
        </w:rPr>
      </w:pPr>
      <w:r w:rsidRPr="009F56E6">
        <w:rPr>
          <w:rFonts w:eastAsia="Arial Unicode MS"/>
          <w:noProof/>
        </w:rPr>
        <w:t>The legal basis of this propos</w:t>
      </w:r>
      <w:r w:rsidR="00F02C2E" w:rsidRPr="009F56E6">
        <w:rPr>
          <w:rFonts w:eastAsia="Arial Unicode MS"/>
          <w:noProof/>
        </w:rPr>
        <w:t>al</w:t>
      </w:r>
      <w:r w:rsidRPr="009F56E6">
        <w:rPr>
          <w:rFonts w:eastAsia="Arial Unicode MS"/>
          <w:noProof/>
        </w:rPr>
        <w:t xml:space="preserve"> </w:t>
      </w:r>
      <w:r w:rsidR="00F02C2E" w:rsidRPr="009F56E6">
        <w:rPr>
          <w:rFonts w:eastAsia="Arial Unicode MS"/>
          <w:noProof/>
        </w:rPr>
        <w:t>are</w:t>
      </w:r>
      <w:r w:rsidR="00C87EEF" w:rsidRPr="009F56E6">
        <w:rPr>
          <w:rFonts w:eastAsia="Arial Unicode MS"/>
          <w:noProof/>
        </w:rPr>
        <w:t xml:space="preserve"> the following provisions</w:t>
      </w:r>
      <w:r w:rsidR="00530977" w:rsidRPr="009F56E6">
        <w:rPr>
          <w:rFonts w:eastAsia="Arial Unicode MS"/>
          <w:noProof/>
        </w:rPr>
        <w:t xml:space="preserve"> </w:t>
      </w:r>
      <w:r w:rsidRPr="009F56E6">
        <w:rPr>
          <w:rFonts w:eastAsia="Arial Unicode MS"/>
          <w:noProof/>
        </w:rPr>
        <w:t>of the Treaty on the Functioning of the European Union</w:t>
      </w:r>
      <w:r w:rsidR="00F02C2E" w:rsidRPr="009F56E6">
        <w:rPr>
          <w:rFonts w:eastAsia="Arial Unicode MS"/>
          <w:noProof/>
        </w:rPr>
        <w:t xml:space="preserve"> (TFEU)</w:t>
      </w:r>
      <w:r w:rsidR="00C87EEF" w:rsidRPr="009F56E6">
        <w:rPr>
          <w:rFonts w:eastAsia="Arial Unicode MS"/>
          <w:noProof/>
        </w:rPr>
        <w:t xml:space="preserve">: </w:t>
      </w:r>
      <w:r w:rsidR="00275611" w:rsidRPr="009F56E6">
        <w:rPr>
          <w:noProof/>
        </w:rPr>
        <w:t xml:space="preserve">Article </w:t>
      </w:r>
      <w:r w:rsidR="000564CE">
        <w:rPr>
          <w:noProof/>
        </w:rPr>
        <w:t>16(2</w:t>
      </w:r>
      <w:r w:rsidR="00275611" w:rsidRPr="009F56E6">
        <w:rPr>
          <w:noProof/>
        </w:rPr>
        <w:t xml:space="preserve">), Article 87(2)(a) </w:t>
      </w:r>
      <w:r w:rsidR="00275611" w:rsidRPr="009F56E6" w:rsidDel="00530977">
        <w:rPr>
          <w:noProof/>
        </w:rPr>
        <w:t xml:space="preserve">and </w:t>
      </w:r>
      <w:r w:rsidR="00275611" w:rsidRPr="009F56E6">
        <w:rPr>
          <w:noProof/>
        </w:rPr>
        <w:t>Article 88(2</w:t>
      </w:r>
      <w:r w:rsidR="00530977" w:rsidRPr="009F56E6" w:rsidDel="00275611">
        <w:rPr>
          <w:noProof/>
        </w:rPr>
        <w:t>)</w:t>
      </w:r>
      <w:r w:rsidRPr="009F56E6">
        <w:rPr>
          <w:rFonts w:eastAsia="Arial Unicode MS"/>
          <w:noProof/>
        </w:rPr>
        <w:t>.</w:t>
      </w:r>
      <w:r w:rsidR="000564CE">
        <w:rPr>
          <w:rFonts w:eastAsia="Arial Unicode MS"/>
          <w:noProof/>
        </w:rPr>
        <w:t xml:space="preserve"> </w:t>
      </w:r>
    </w:p>
    <w:p w14:paraId="5476CC3E" w14:textId="78574F69" w:rsidR="00220060" w:rsidRPr="009F56E6" w:rsidRDefault="00296359" w:rsidP="00220060">
      <w:pPr>
        <w:pBdr>
          <w:top w:val="nil"/>
          <w:left w:val="nil"/>
          <w:bottom w:val="nil"/>
          <w:right w:val="nil"/>
          <w:between w:val="nil"/>
          <w:bar w:val="nil"/>
        </w:pBdr>
        <w:spacing w:before="0" w:after="240"/>
        <w:rPr>
          <w:rFonts w:eastAsia="Arial Unicode MS"/>
          <w:noProof/>
        </w:rPr>
      </w:pPr>
      <w:r>
        <w:rPr>
          <w:noProof/>
        </w:rPr>
        <w:t>Under Article 16(2), the Union has the power to adopt measures relating to the protection of individuals with regard to the processing of personal data by Union institutions, bodies, offices and agencies and by Member States when carrying out activities which fall within the scope of Union law, and the rules relating to the free movement of such data.</w:t>
      </w:r>
      <w:r w:rsidR="00275611" w:rsidRPr="009F56E6">
        <w:rPr>
          <w:rFonts w:eastAsia="Arial Unicode MS"/>
          <w:noProof/>
        </w:rPr>
        <w:t xml:space="preserve"> </w:t>
      </w:r>
      <w:r w:rsidR="00220060" w:rsidRPr="009F56E6">
        <w:rPr>
          <w:rFonts w:eastAsia="Arial Unicode MS"/>
          <w:noProof/>
        </w:rPr>
        <w:t>Under</w:t>
      </w:r>
      <w:r w:rsidR="00275611" w:rsidRPr="009F56E6">
        <w:rPr>
          <w:rFonts w:eastAsia="Arial Unicode MS"/>
          <w:noProof/>
        </w:rPr>
        <w:t xml:space="preserve"> point (a) of</w:t>
      </w:r>
      <w:r w:rsidR="00220060" w:rsidRPr="009F56E6">
        <w:rPr>
          <w:rFonts w:eastAsia="Arial Unicode MS"/>
          <w:noProof/>
        </w:rPr>
        <w:t xml:space="preserve"> Article </w:t>
      </w:r>
      <w:r w:rsidR="00530977" w:rsidRPr="009F56E6">
        <w:rPr>
          <w:rFonts w:eastAsia="Arial Unicode MS"/>
          <w:noProof/>
        </w:rPr>
        <w:t>87(2</w:t>
      </w:r>
      <w:r w:rsidR="00C87EEF" w:rsidRPr="009F56E6" w:rsidDel="00275611">
        <w:rPr>
          <w:rFonts w:eastAsia="Arial Unicode MS"/>
          <w:noProof/>
        </w:rPr>
        <w:t>)</w:t>
      </w:r>
      <w:r w:rsidR="00B15E68" w:rsidRPr="009F56E6">
        <w:rPr>
          <w:rFonts w:eastAsia="Arial Unicode MS"/>
          <w:noProof/>
        </w:rPr>
        <w:t>,</w:t>
      </w:r>
      <w:r w:rsidR="00220060" w:rsidRPr="009F56E6">
        <w:rPr>
          <w:rFonts w:eastAsia="Arial Unicode MS"/>
          <w:noProof/>
        </w:rPr>
        <w:t xml:space="preserve"> the Union has the power to</w:t>
      </w:r>
      <w:r w:rsidR="005D79C5" w:rsidRPr="009F56E6">
        <w:rPr>
          <w:rFonts w:eastAsia="Arial Unicode MS"/>
          <w:noProof/>
        </w:rPr>
        <w:t xml:space="preserve"> </w:t>
      </w:r>
      <w:r w:rsidR="00C87EEF" w:rsidRPr="009F56E6">
        <w:rPr>
          <w:rFonts w:eastAsia="Arial Unicode MS"/>
          <w:noProof/>
        </w:rPr>
        <w:t>adopt measures on the c</w:t>
      </w:r>
      <w:r w:rsidR="00CD2034" w:rsidRPr="009F56E6">
        <w:rPr>
          <w:rFonts w:eastAsia="Arial Unicode MS"/>
          <w:noProof/>
        </w:rPr>
        <w:t xml:space="preserve">ollection, storage, processing, </w:t>
      </w:r>
      <w:r w:rsidR="00C87EEF" w:rsidRPr="009F56E6">
        <w:rPr>
          <w:rFonts w:eastAsia="Arial Unicode MS"/>
          <w:noProof/>
        </w:rPr>
        <w:t>analysis and exchange of relevant information to ensure police cooperation among Member States’ competent authorities, including police, customs and other specialised enforcement services in relation to the prevention, detection and investigation of criminal offences. Under Article 88(2), the European Parliament and the Council can determine Europol’s structure, operation, field of action and tasks.</w:t>
      </w:r>
    </w:p>
    <w:p w14:paraId="2C1A5F6F" w14:textId="4C805959" w:rsidR="00220060" w:rsidRPr="009F56E6" w:rsidRDefault="00220060" w:rsidP="00220060">
      <w:pPr>
        <w:pStyle w:val="ManualHeading2"/>
        <w:rPr>
          <w:rFonts w:eastAsia="Arial Unicode MS"/>
          <w:noProof/>
          <w:u w:color="000000"/>
          <w:bdr w:val="nil"/>
          <w:lang w:val="en-US" w:eastAsia="en-GB"/>
        </w:rPr>
      </w:pPr>
      <w:r w:rsidRPr="009F56E6">
        <w:rPr>
          <w:rFonts w:eastAsia="Arial Unicode MS"/>
          <w:noProof/>
          <w:u w:color="000000"/>
          <w:bdr w:val="nil"/>
          <w:lang w:val="en-US" w:eastAsia="en-GB"/>
        </w:rPr>
        <w:t>•</w:t>
      </w:r>
      <w:r w:rsidRPr="009F56E6">
        <w:rPr>
          <w:rFonts w:eastAsia="Arial Unicode MS"/>
          <w:noProof/>
          <w:u w:color="000000"/>
          <w:bdr w:val="nil"/>
          <w:lang w:val="en-US" w:eastAsia="en-GB"/>
        </w:rPr>
        <w:tab/>
        <w:t xml:space="preserve">Subsidiarity </w:t>
      </w:r>
    </w:p>
    <w:p w14:paraId="0ACBE996" w14:textId="5FBDD034" w:rsidR="00220060" w:rsidRPr="009F56E6" w:rsidRDefault="00220060" w:rsidP="00220060">
      <w:pPr>
        <w:spacing w:after="100"/>
        <w:rPr>
          <w:noProof/>
          <w:szCs w:val="24"/>
          <w:lang w:val="en-US"/>
        </w:rPr>
      </w:pPr>
      <w:r w:rsidRPr="009F56E6">
        <w:rPr>
          <w:noProof/>
          <w:szCs w:val="24"/>
        </w:rPr>
        <w:t xml:space="preserve">The improvement of information exchange </w:t>
      </w:r>
      <w:r w:rsidR="00C87EEF" w:rsidRPr="009F56E6">
        <w:rPr>
          <w:noProof/>
          <w:szCs w:val="24"/>
        </w:rPr>
        <w:t>among police and law enforcement authorities</w:t>
      </w:r>
      <w:r w:rsidRPr="009F56E6">
        <w:rPr>
          <w:noProof/>
          <w:szCs w:val="24"/>
        </w:rPr>
        <w:t xml:space="preserve"> </w:t>
      </w:r>
      <w:r w:rsidR="00C87EEF" w:rsidRPr="009F56E6">
        <w:rPr>
          <w:noProof/>
          <w:szCs w:val="24"/>
        </w:rPr>
        <w:t>within</w:t>
      </w:r>
      <w:r w:rsidRPr="009F56E6">
        <w:rPr>
          <w:noProof/>
          <w:szCs w:val="24"/>
        </w:rPr>
        <w:t xml:space="preserve"> the </w:t>
      </w:r>
      <w:r w:rsidR="00C87EEF" w:rsidRPr="009F56E6">
        <w:rPr>
          <w:noProof/>
          <w:szCs w:val="24"/>
        </w:rPr>
        <w:t>EU</w:t>
      </w:r>
      <w:r w:rsidRPr="009F56E6">
        <w:rPr>
          <w:noProof/>
          <w:szCs w:val="24"/>
        </w:rPr>
        <w:t xml:space="preserve"> cannot be sufficiently achieved by Member States in isolation, owing to the cross-border nature of crime fighting and security issues. Member States must rely on one another in these matters.</w:t>
      </w:r>
    </w:p>
    <w:p w14:paraId="4BCCE52D" w14:textId="2830F614" w:rsidR="00220060" w:rsidRPr="009F56E6" w:rsidRDefault="00220060" w:rsidP="00220060">
      <w:pPr>
        <w:spacing w:after="100"/>
        <w:rPr>
          <w:noProof/>
          <w:szCs w:val="24"/>
        </w:rPr>
      </w:pPr>
      <w:r w:rsidRPr="009F56E6">
        <w:rPr>
          <w:rFonts w:eastAsia="Calibri"/>
          <w:noProof/>
          <w:szCs w:val="24"/>
          <w:lang w:eastAsia="en-GB"/>
        </w:rPr>
        <w:t>Through several implementation projects at EU level,</w:t>
      </w:r>
      <w:r w:rsidRPr="009F56E6">
        <w:rPr>
          <w:rStyle w:val="FootnoteReference0"/>
          <w:rFonts w:eastAsia="Calibri"/>
          <w:noProof/>
          <w:szCs w:val="24"/>
          <w:lang w:eastAsia="en-GB"/>
        </w:rPr>
        <w:footnoteReference w:id="15"/>
      </w:r>
      <w:r w:rsidRPr="009F56E6">
        <w:rPr>
          <w:rFonts w:eastAsia="Calibri"/>
          <w:noProof/>
          <w:szCs w:val="24"/>
          <w:lang w:eastAsia="en-GB"/>
        </w:rPr>
        <w:t xml:space="preserve"> </w:t>
      </w:r>
      <w:r w:rsidRPr="009F56E6">
        <w:rPr>
          <w:noProof/>
          <w:szCs w:val="24"/>
        </w:rPr>
        <w:t xml:space="preserve">Member States have tried to take action to address the shortcomings of </w:t>
      </w:r>
      <w:r w:rsidR="00296359">
        <w:rPr>
          <w:noProof/>
          <w:szCs w:val="24"/>
        </w:rPr>
        <w:t xml:space="preserve">the current </w:t>
      </w:r>
      <w:r w:rsidRPr="009F56E6">
        <w:rPr>
          <w:noProof/>
          <w:szCs w:val="24"/>
        </w:rPr>
        <w:t>Prüm</w:t>
      </w:r>
      <w:r w:rsidR="00296359">
        <w:rPr>
          <w:noProof/>
          <w:szCs w:val="24"/>
        </w:rPr>
        <w:t xml:space="preserve"> framework</w:t>
      </w:r>
      <w:r w:rsidR="00C87EEF" w:rsidRPr="009F56E6">
        <w:rPr>
          <w:noProof/>
          <w:szCs w:val="24"/>
        </w:rPr>
        <w:t>.</w:t>
      </w:r>
      <w:r w:rsidRPr="009F56E6">
        <w:rPr>
          <w:rStyle w:val="FootnoteReference0"/>
          <w:noProof/>
          <w:szCs w:val="24"/>
        </w:rPr>
        <w:footnoteReference w:id="16"/>
      </w:r>
      <w:r w:rsidRPr="009F56E6">
        <w:rPr>
          <w:noProof/>
          <w:szCs w:val="24"/>
        </w:rPr>
        <w:t xml:space="preserve"> </w:t>
      </w:r>
      <w:r w:rsidR="00C87EEF" w:rsidRPr="009F56E6">
        <w:rPr>
          <w:noProof/>
          <w:szCs w:val="24"/>
        </w:rPr>
        <w:t>D</w:t>
      </w:r>
      <w:r w:rsidRPr="009F56E6">
        <w:rPr>
          <w:noProof/>
          <w:szCs w:val="24"/>
        </w:rPr>
        <w:t xml:space="preserve">espite all these actions, </w:t>
      </w:r>
      <w:r w:rsidR="00126246" w:rsidRPr="009F56E6">
        <w:rPr>
          <w:noProof/>
          <w:szCs w:val="24"/>
        </w:rPr>
        <w:t xml:space="preserve">many of the </w:t>
      </w:r>
      <w:r w:rsidRPr="009F56E6">
        <w:rPr>
          <w:noProof/>
          <w:szCs w:val="24"/>
        </w:rPr>
        <w:t xml:space="preserve">shortcomings remained the same as the ones described in </w:t>
      </w:r>
      <w:r w:rsidR="00126246" w:rsidRPr="009F56E6">
        <w:rPr>
          <w:noProof/>
          <w:szCs w:val="24"/>
        </w:rPr>
        <w:t xml:space="preserve">the </w:t>
      </w:r>
      <w:r w:rsidRPr="009F56E6">
        <w:rPr>
          <w:noProof/>
          <w:szCs w:val="24"/>
        </w:rPr>
        <w:t xml:space="preserve">2012 </w:t>
      </w:r>
      <w:r w:rsidR="0063073B" w:rsidRPr="009F56E6">
        <w:rPr>
          <w:noProof/>
          <w:szCs w:val="24"/>
        </w:rPr>
        <w:t>r</w:t>
      </w:r>
      <w:r w:rsidRPr="009F56E6">
        <w:rPr>
          <w:noProof/>
          <w:szCs w:val="24"/>
        </w:rPr>
        <w:t>eport</w:t>
      </w:r>
      <w:r w:rsidR="0063073B" w:rsidRPr="009F56E6">
        <w:rPr>
          <w:noProof/>
          <w:szCs w:val="24"/>
        </w:rPr>
        <w:t xml:space="preserve"> on the implementation of the Prüm Decision</w:t>
      </w:r>
      <w:r w:rsidRPr="009F56E6">
        <w:rPr>
          <w:noProof/>
          <w:szCs w:val="24"/>
        </w:rPr>
        <w:t>.</w:t>
      </w:r>
      <w:r w:rsidRPr="009F56E6">
        <w:rPr>
          <w:rStyle w:val="FootnoteReference0"/>
          <w:noProof/>
          <w:szCs w:val="24"/>
        </w:rPr>
        <w:footnoteReference w:id="17"/>
      </w:r>
      <w:r w:rsidRPr="009F56E6">
        <w:rPr>
          <w:noProof/>
          <w:szCs w:val="24"/>
        </w:rPr>
        <w:t xml:space="preserve"> This </w:t>
      </w:r>
      <w:r w:rsidR="00C87EEF" w:rsidRPr="009F56E6">
        <w:rPr>
          <w:noProof/>
          <w:szCs w:val="24"/>
        </w:rPr>
        <w:t>show</w:t>
      </w:r>
      <w:r w:rsidR="00BC4292" w:rsidRPr="009F56E6">
        <w:rPr>
          <w:noProof/>
          <w:szCs w:val="24"/>
        </w:rPr>
        <w:t>s</w:t>
      </w:r>
      <w:r w:rsidR="00C87EEF" w:rsidRPr="009F56E6">
        <w:rPr>
          <w:noProof/>
          <w:szCs w:val="24"/>
        </w:rPr>
        <w:t xml:space="preserve"> the need for</w:t>
      </w:r>
      <w:r w:rsidRPr="009F56E6">
        <w:rPr>
          <w:noProof/>
          <w:szCs w:val="24"/>
        </w:rPr>
        <w:t xml:space="preserve"> EU action as </w:t>
      </w:r>
      <w:r w:rsidR="00C87EEF" w:rsidRPr="009F56E6">
        <w:rPr>
          <w:noProof/>
          <w:szCs w:val="24"/>
        </w:rPr>
        <w:t xml:space="preserve">measures implemented </w:t>
      </w:r>
      <w:r w:rsidRPr="009F56E6">
        <w:rPr>
          <w:noProof/>
          <w:szCs w:val="24"/>
        </w:rPr>
        <w:t xml:space="preserve">by Member States </w:t>
      </w:r>
      <w:r w:rsidR="00F02C2E" w:rsidRPr="009F56E6">
        <w:rPr>
          <w:noProof/>
          <w:szCs w:val="24"/>
        </w:rPr>
        <w:t xml:space="preserve">alone </w:t>
      </w:r>
      <w:r w:rsidR="00BC4292" w:rsidRPr="009F56E6">
        <w:rPr>
          <w:noProof/>
          <w:szCs w:val="24"/>
        </w:rPr>
        <w:t xml:space="preserve">have </w:t>
      </w:r>
      <w:r w:rsidR="00C87EEF" w:rsidRPr="009F56E6">
        <w:rPr>
          <w:noProof/>
          <w:szCs w:val="24"/>
        </w:rPr>
        <w:t xml:space="preserve">not </w:t>
      </w:r>
      <w:r w:rsidR="00BC4292" w:rsidRPr="009F56E6">
        <w:rPr>
          <w:noProof/>
          <w:szCs w:val="24"/>
        </w:rPr>
        <w:t xml:space="preserve">proved </w:t>
      </w:r>
      <w:r w:rsidR="00C87EEF" w:rsidRPr="009F56E6">
        <w:rPr>
          <w:noProof/>
          <w:szCs w:val="24"/>
        </w:rPr>
        <w:t xml:space="preserve">sufficient to address the limitations </w:t>
      </w:r>
      <w:r w:rsidR="00CD2034" w:rsidRPr="009F56E6">
        <w:rPr>
          <w:noProof/>
          <w:szCs w:val="24"/>
        </w:rPr>
        <w:t>of the current Prüm framework</w:t>
      </w:r>
      <w:r w:rsidR="006D232D">
        <w:rPr>
          <w:noProof/>
          <w:szCs w:val="24"/>
        </w:rPr>
        <w:t>.</w:t>
      </w:r>
    </w:p>
    <w:p w14:paraId="7D45CD05" w14:textId="29FA7369" w:rsidR="00220060" w:rsidRPr="009F56E6" w:rsidRDefault="00BC4292" w:rsidP="00220060">
      <w:pPr>
        <w:spacing w:after="100"/>
        <w:rPr>
          <w:noProof/>
          <w:szCs w:val="24"/>
        </w:rPr>
      </w:pPr>
      <w:r w:rsidRPr="009F56E6">
        <w:rPr>
          <w:noProof/>
          <w:szCs w:val="24"/>
        </w:rPr>
        <w:t>Moreover, c</w:t>
      </w:r>
      <w:r w:rsidR="006803F5" w:rsidRPr="009F56E6">
        <w:rPr>
          <w:noProof/>
          <w:szCs w:val="24"/>
        </w:rPr>
        <w:t xml:space="preserve">ommon EU level rules, standards and requirements facilitate information exchanges while providing compatibility between different national systems. This in turn allows for a certain level of automation in information exchange workflows that release law enforcement officers from labour-intensive manual activities. </w:t>
      </w:r>
    </w:p>
    <w:p w14:paraId="0A8DC6D0" w14:textId="77777777" w:rsidR="00220060" w:rsidRPr="00E951DA" w:rsidRDefault="00220060" w:rsidP="00220060">
      <w:pPr>
        <w:pStyle w:val="ManualHeading2"/>
        <w:rPr>
          <w:noProof/>
          <w:u w:color="000000"/>
          <w:bdr w:val="nil"/>
          <w:lang w:val="en-US"/>
        </w:rPr>
      </w:pPr>
      <w:r w:rsidRPr="009F56E6">
        <w:rPr>
          <w:rFonts w:eastAsia="Arial Unicode MS"/>
          <w:noProof/>
          <w:u w:color="000000"/>
          <w:bdr w:val="nil"/>
          <w:lang w:val="en-US" w:eastAsia="en-GB"/>
        </w:rPr>
        <w:t>•</w:t>
      </w:r>
      <w:r w:rsidRPr="009F56E6">
        <w:rPr>
          <w:rFonts w:eastAsia="Arial Unicode MS"/>
          <w:noProof/>
          <w:u w:color="000000"/>
          <w:bdr w:val="nil"/>
          <w:lang w:val="en-US" w:eastAsia="en-GB"/>
        </w:rPr>
        <w:tab/>
        <w:t>Proportionality</w:t>
      </w:r>
    </w:p>
    <w:p w14:paraId="51CE88D3" w14:textId="488E6CCD" w:rsidR="00550FF2" w:rsidRPr="009F56E6" w:rsidRDefault="00550FF2">
      <w:pPr>
        <w:rPr>
          <w:noProof/>
        </w:rPr>
      </w:pPr>
      <w:r w:rsidRPr="009F56E6">
        <w:rPr>
          <w:noProof/>
        </w:rPr>
        <w:t>As explained in full detail in the impact assessment accompanying this proposed Regulation, the policy choices made in this proposal are considered proportionate. T</w:t>
      </w:r>
      <w:r w:rsidR="00F02C2E" w:rsidRPr="009F56E6">
        <w:rPr>
          <w:noProof/>
        </w:rPr>
        <w:t>his is because t</w:t>
      </w:r>
      <w:r w:rsidRPr="009F56E6">
        <w:rPr>
          <w:noProof/>
        </w:rPr>
        <w:t>hey do not go beyond what i</w:t>
      </w:r>
      <w:r w:rsidR="00914BF6">
        <w:rPr>
          <w:noProof/>
        </w:rPr>
        <w:t>s</w:t>
      </w:r>
      <w:r w:rsidRPr="009F56E6">
        <w:rPr>
          <w:noProof/>
        </w:rPr>
        <w:t xml:space="preserve"> necessary to achieve the </w:t>
      </w:r>
      <w:r w:rsidR="00BC4292" w:rsidRPr="009F56E6">
        <w:rPr>
          <w:noProof/>
        </w:rPr>
        <w:t xml:space="preserve">identified </w:t>
      </w:r>
      <w:r w:rsidRPr="009F56E6">
        <w:rPr>
          <w:noProof/>
        </w:rPr>
        <w:t xml:space="preserve">objectives. </w:t>
      </w:r>
    </w:p>
    <w:p w14:paraId="3F2A163D" w14:textId="43389CFE" w:rsidR="004D3911" w:rsidRPr="009F56E6" w:rsidRDefault="004722EC" w:rsidP="00AB3D92">
      <w:pPr>
        <w:pBdr>
          <w:top w:val="nil"/>
          <w:left w:val="nil"/>
          <w:bottom w:val="nil"/>
          <w:right w:val="nil"/>
          <w:between w:val="nil"/>
          <w:bar w:val="nil"/>
        </w:pBdr>
        <w:spacing w:before="0" w:after="240"/>
        <w:rPr>
          <w:rFonts w:eastAsia="Arial Unicode MS"/>
          <w:iCs/>
          <w:noProof/>
        </w:rPr>
      </w:pPr>
      <w:r w:rsidRPr="009F56E6">
        <w:rPr>
          <w:rFonts w:eastAsia="Arial Unicode MS"/>
          <w:iCs/>
          <w:noProof/>
        </w:rPr>
        <w:t xml:space="preserve">The proposal envisages the creation of </w:t>
      </w:r>
      <w:r w:rsidRPr="009F56E6">
        <w:rPr>
          <w:rFonts w:eastAsia="Arial Unicode MS"/>
          <w:b/>
          <w:bCs/>
          <w:iCs/>
          <w:noProof/>
        </w:rPr>
        <w:t>central router</w:t>
      </w:r>
      <w:r w:rsidR="000106C1" w:rsidRPr="009F56E6">
        <w:rPr>
          <w:rFonts w:eastAsia="Arial Unicode MS"/>
          <w:b/>
          <w:bCs/>
          <w:iCs/>
          <w:noProof/>
        </w:rPr>
        <w:t>s</w:t>
      </w:r>
      <w:r w:rsidR="000106C1" w:rsidRPr="009F56E6">
        <w:rPr>
          <w:rFonts w:eastAsia="Arial Unicode MS"/>
          <w:bCs/>
          <w:iCs/>
          <w:noProof/>
        </w:rPr>
        <w:t xml:space="preserve"> (the Prüm II router and EPRIS)</w:t>
      </w:r>
      <w:r w:rsidRPr="009F56E6">
        <w:rPr>
          <w:rFonts w:eastAsia="Arial Unicode MS"/>
          <w:iCs/>
          <w:noProof/>
        </w:rPr>
        <w:t xml:space="preserve"> that would</w:t>
      </w:r>
      <w:r w:rsidR="00620E4B">
        <w:rPr>
          <w:rFonts w:eastAsia="Arial Unicode MS"/>
          <w:iCs/>
          <w:noProof/>
        </w:rPr>
        <w:t xml:space="preserve"> each</w:t>
      </w:r>
      <w:r w:rsidRPr="009F56E6">
        <w:rPr>
          <w:rFonts w:eastAsia="Arial Unicode MS"/>
          <w:iCs/>
          <w:noProof/>
        </w:rPr>
        <w:t xml:space="preserve"> act as a connecting point between Member States. This is a hybrid approach between a decentralised and centralised solution without any data storage at central level. It will imply </w:t>
      </w:r>
      <w:r w:rsidR="00DD712D">
        <w:rPr>
          <w:rFonts w:eastAsia="Arial Unicode MS"/>
          <w:iCs/>
          <w:noProof/>
        </w:rPr>
        <w:t>that</w:t>
      </w:r>
      <w:r w:rsidRPr="009F56E6">
        <w:rPr>
          <w:rFonts w:eastAsia="Arial Unicode MS"/>
          <w:iCs/>
          <w:noProof/>
        </w:rPr>
        <w:t xml:space="preserve"> national databases in each Member State </w:t>
      </w:r>
      <w:r w:rsidR="00DD712D">
        <w:rPr>
          <w:rFonts w:eastAsia="Arial Unicode MS"/>
          <w:iCs/>
          <w:noProof/>
        </w:rPr>
        <w:t>will</w:t>
      </w:r>
      <w:r w:rsidRPr="009F56E6">
        <w:rPr>
          <w:rFonts w:eastAsia="Arial Unicode MS"/>
          <w:iCs/>
          <w:noProof/>
        </w:rPr>
        <w:t xml:space="preserve"> all connect to the central router</w:t>
      </w:r>
      <w:r w:rsidR="003E0FAC" w:rsidRPr="009F56E6">
        <w:rPr>
          <w:rFonts w:eastAsia="Arial Unicode MS"/>
          <w:iCs/>
          <w:noProof/>
        </w:rPr>
        <w:t xml:space="preserve"> instead of connecting to one another</w:t>
      </w:r>
      <w:r w:rsidRPr="009F56E6">
        <w:rPr>
          <w:rFonts w:eastAsia="Arial Unicode MS"/>
          <w:iCs/>
          <w:noProof/>
        </w:rPr>
        <w:t>. The</w:t>
      </w:r>
      <w:r w:rsidR="000106C1" w:rsidRPr="009F56E6">
        <w:rPr>
          <w:rFonts w:eastAsia="Arial Unicode MS"/>
          <w:iCs/>
          <w:noProof/>
        </w:rPr>
        <w:t>se</w:t>
      </w:r>
      <w:r w:rsidRPr="009F56E6">
        <w:rPr>
          <w:rFonts w:eastAsia="Arial Unicode MS"/>
          <w:iCs/>
          <w:noProof/>
        </w:rPr>
        <w:t xml:space="preserve"> router</w:t>
      </w:r>
      <w:r w:rsidR="000106C1" w:rsidRPr="009F56E6">
        <w:rPr>
          <w:rFonts w:eastAsia="Arial Unicode MS"/>
          <w:iCs/>
          <w:noProof/>
        </w:rPr>
        <w:t>s</w:t>
      </w:r>
      <w:r w:rsidRPr="009F56E6">
        <w:rPr>
          <w:rFonts w:eastAsia="Arial Unicode MS"/>
          <w:iCs/>
          <w:noProof/>
        </w:rPr>
        <w:t xml:space="preserve"> would serve as message broker</w:t>
      </w:r>
      <w:r w:rsidR="000106C1" w:rsidRPr="009F56E6">
        <w:rPr>
          <w:rFonts w:eastAsia="Arial Unicode MS"/>
          <w:iCs/>
          <w:noProof/>
        </w:rPr>
        <w:t>s</w:t>
      </w:r>
      <w:r w:rsidRPr="009F56E6">
        <w:rPr>
          <w:rFonts w:eastAsia="Arial Unicode MS"/>
          <w:iCs/>
          <w:noProof/>
        </w:rPr>
        <w:t xml:space="preserve"> forwarding search transactions and replies to national systems, without creating new data processes, enlarging access rights or replacing national databases. This approach would ensure that la</w:t>
      </w:r>
      <w:r w:rsidR="00DD712D">
        <w:rPr>
          <w:rFonts w:eastAsia="Arial Unicode MS"/>
          <w:iCs/>
          <w:noProof/>
        </w:rPr>
        <w:t>w enforcement authorities have</w:t>
      </w:r>
      <w:r w:rsidRPr="009F56E6">
        <w:rPr>
          <w:rFonts w:eastAsia="Arial Unicode MS"/>
          <w:iCs/>
          <w:noProof/>
        </w:rPr>
        <w:t xml:space="preserve"> fast and controlled access to the information that they need to perform their tasks, in line with their access rights. The router would facilitate the implementation by Member States of existing and future data exchanges in the context of the Prüm framework. </w:t>
      </w:r>
    </w:p>
    <w:p w14:paraId="1FEFE787" w14:textId="117A46DF" w:rsidR="00B751EA" w:rsidRPr="009F56E6" w:rsidRDefault="005D1E0A" w:rsidP="00D71349">
      <w:pPr>
        <w:pBdr>
          <w:top w:val="nil"/>
          <w:left w:val="nil"/>
          <w:bottom w:val="nil"/>
          <w:right w:val="nil"/>
          <w:between w:val="nil"/>
          <w:bar w:val="nil"/>
        </w:pBdr>
        <w:spacing w:before="0" w:after="240"/>
        <w:rPr>
          <w:rFonts w:eastAsia="Arial Unicode MS"/>
          <w:iCs/>
          <w:noProof/>
        </w:rPr>
      </w:pPr>
      <w:r w:rsidRPr="009F56E6">
        <w:rPr>
          <w:rFonts w:eastAsia="Arial Unicode MS"/>
          <w:iCs/>
          <w:noProof/>
        </w:rPr>
        <w:t xml:space="preserve">The </w:t>
      </w:r>
      <w:r w:rsidRPr="009F56E6">
        <w:rPr>
          <w:rFonts w:eastAsia="Arial Unicode MS"/>
          <w:b/>
          <w:bCs/>
          <w:iCs/>
          <w:noProof/>
        </w:rPr>
        <w:t>automated exchange of additional data categories</w:t>
      </w:r>
      <w:r w:rsidR="00B751EA" w:rsidRPr="009F56E6">
        <w:rPr>
          <w:rFonts w:eastAsia="Arial Unicode MS"/>
          <w:iCs/>
          <w:noProof/>
        </w:rPr>
        <w:t>, such as facial images and police records,</w:t>
      </w:r>
      <w:r w:rsidRPr="009F56E6">
        <w:rPr>
          <w:rFonts w:eastAsia="Arial Unicode MS"/>
          <w:iCs/>
          <w:noProof/>
        </w:rPr>
        <w:t xml:space="preserve"> </w:t>
      </w:r>
      <w:r w:rsidR="00BC4292" w:rsidRPr="009F56E6">
        <w:rPr>
          <w:rFonts w:eastAsia="Arial Unicode MS"/>
          <w:iCs/>
          <w:noProof/>
        </w:rPr>
        <w:t xml:space="preserve">is </w:t>
      </w:r>
      <w:r w:rsidRPr="009F56E6">
        <w:rPr>
          <w:rFonts w:eastAsia="Arial Unicode MS"/>
          <w:iCs/>
          <w:noProof/>
        </w:rPr>
        <w:t>crucial for</w:t>
      </w:r>
      <w:r w:rsidR="00BC4292" w:rsidRPr="009F56E6">
        <w:rPr>
          <w:rFonts w:eastAsia="Arial Unicode MS"/>
          <w:iCs/>
          <w:noProof/>
        </w:rPr>
        <w:t xml:space="preserve"> effective criminal</w:t>
      </w:r>
      <w:r w:rsidRPr="009F56E6">
        <w:rPr>
          <w:rFonts w:eastAsia="Arial Unicode MS"/>
          <w:iCs/>
          <w:noProof/>
        </w:rPr>
        <w:t xml:space="preserve"> investigations</w:t>
      </w:r>
      <w:r w:rsidR="00BC4292" w:rsidRPr="009F56E6">
        <w:rPr>
          <w:rFonts w:eastAsia="Arial Unicode MS"/>
          <w:iCs/>
          <w:noProof/>
        </w:rPr>
        <w:t xml:space="preserve"> and for</w:t>
      </w:r>
      <w:r w:rsidRPr="009F56E6">
        <w:rPr>
          <w:rFonts w:eastAsia="Arial Unicode MS"/>
          <w:iCs/>
          <w:noProof/>
        </w:rPr>
        <w:t xml:space="preserve"> identifying criminals.</w:t>
      </w:r>
      <w:r w:rsidR="00B751EA" w:rsidRPr="009F56E6">
        <w:rPr>
          <w:rFonts w:eastAsia="Arial Unicode MS"/>
          <w:iCs/>
          <w:noProof/>
        </w:rPr>
        <w:t xml:space="preserve"> </w:t>
      </w:r>
      <w:r w:rsidR="000A52D3" w:rsidRPr="009F56E6">
        <w:rPr>
          <w:rFonts w:eastAsia="Arial Unicode MS"/>
          <w:iCs/>
          <w:noProof/>
        </w:rPr>
        <w:t>The</w:t>
      </w:r>
      <w:r w:rsidR="00BC4292" w:rsidRPr="009F56E6">
        <w:rPr>
          <w:rFonts w:eastAsia="Arial Unicode MS"/>
          <w:iCs/>
          <w:noProof/>
        </w:rPr>
        <w:t xml:space="preserve"> introduction of these</w:t>
      </w:r>
      <w:r w:rsidR="000A52D3" w:rsidRPr="009F56E6">
        <w:rPr>
          <w:rFonts w:eastAsia="Arial Unicode MS"/>
          <w:iCs/>
          <w:noProof/>
        </w:rPr>
        <w:t xml:space="preserve"> additional data categories </w:t>
      </w:r>
      <w:r w:rsidR="00CD2034" w:rsidRPr="009F56E6">
        <w:rPr>
          <w:rFonts w:eastAsia="Arial Unicode MS"/>
          <w:iCs/>
          <w:noProof/>
        </w:rPr>
        <w:t xml:space="preserve">would </w:t>
      </w:r>
      <w:r w:rsidR="000A52D3" w:rsidRPr="009F56E6">
        <w:rPr>
          <w:rFonts w:eastAsia="Arial Unicode MS"/>
          <w:iCs/>
          <w:noProof/>
        </w:rPr>
        <w:t xml:space="preserve">not lead to storing new categories of data as Member States already collect them under national law and store them in national databases. </w:t>
      </w:r>
      <w:r w:rsidR="00BC4292" w:rsidRPr="009F56E6">
        <w:rPr>
          <w:rFonts w:eastAsia="Arial Unicode MS"/>
          <w:iCs/>
          <w:noProof/>
        </w:rPr>
        <w:t xml:space="preserve">The exchange of these new data categories would </w:t>
      </w:r>
      <w:r w:rsidR="000A52D3" w:rsidRPr="009F56E6">
        <w:rPr>
          <w:rFonts w:eastAsia="Arial Unicode MS"/>
          <w:iCs/>
          <w:noProof/>
        </w:rPr>
        <w:t>constitute a new processing of data</w:t>
      </w:r>
      <w:r w:rsidR="00BC4292" w:rsidRPr="009F56E6">
        <w:rPr>
          <w:rFonts w:eastAsia="Arial Unicode MS"/>
          <w:iCs/>
          <w:noProof/>
        </w:rPr>
        <w:t>. However,</w:t>
      </w:r>
      <w:r w:rsidR="000A52D3" w:rsidRPr="009F56E6">
        <w:rPr>
          <w:rFonts w:eastAsia="Arial Unicode MS"/>
          <w:iCs/>
          <w:noProof/>
        </w:rPr>
        <w:t xml:space="preserve"> it </w:t>
      </w:r>
      <w:r w:rsidR="00BC4292" w:rsidRPr="009F56E6">
        <w:rPr>
          <w:rFonts w:eastAsia="Arial Unicode MS"/>
          <w:iCs/>
          <w:noProof/>
        </w:rPr>
        <w:t>would be</w:t>
      </w:r>
      <w:r w:rsidR="000A52D3" w:rsidRPr="009F56E6">
        <w:rPr>
          <w:rFonts w:eastAsia="Arial Unicode MS"/>
          <w:iCs/>
          <w:noProof/>
        </w:rPr>
        <w:t xml:space="preserve"> limited to the extent necessary to achieve its purpose</w:t>
      </w:r>
      <w:r w:rsidR="00BC4292" w:rsidRPr="009F56E6">
        <w:rPr>
          <w:rFonts w:eastAsia="Arial Unicode MS"/>
          <w:iCs/>
          <w:noProof/>
        </w:rPr>
        <w:t xml:space="preserve"> and </w:t>
      </w:r>
      <w:r w:rsidR="000A52D3" w:rsidRPr="009F56E6">
        <w:rPr>
          <w:rFonts w:eastAsia="Arial Unicode MS"/>
          <w:iCs/>
          <w:noProof/>
        </w:rPr>
        <w:t>it</w:t>
      </w:r>
      <w:r w:rsidR="00BC4292" w:rsidRPr="009F56E6">
        <w:rPr>
          <w:rFonts w:eastAsia="Arial Unicode MS"/>
          <w:iCs/>
          <w:noProof/>
        </w:rPr>
        <w:t xml:space="preserve"> would</w:t>
      </w:r>
      <w:r w:rsidR="000A52D3" w:rsidRPr="009F56E6">
        <w:rPr>
          <w:rFonts w:eastAsia="Arial Unicode MS"/>
          <w:iCs/>
          <w:noProof/>
        </w:rPr>
        <w:t xml:space="preserve"> only </w:t>
      </w:r>
      <w:r w:rsidR="00BC4292" w:rsidRPr="009F56E6">
        <w:rPr>
          <w:rFonts w:eastAsia="Arial Unicode MS"/>
          <w:iCs/>
          <w:noProof/>
        </w:rPr>
        <w:t>allow</w:t>
      </w:r>
      <w:r w:rsidR="000A52D3" w:rsidRPr="009F56E6">
        <w:rPr>
          <w:rFonts w:eastAsia="Arial Unicode MS"/>
          <w:iCs/>
          <w:noProof/>
        </w:rPr>
        <w:t xml:space="preserve"> for comparison of data in case-by-case situations</w:t>
      </w:r>
      <w:r w:rsidR="000D4EE7" w:rsidRPr="009F56E6">
        <w:rPr>
          <w:rFonts w:eastAsia="Arial Unicode MS"/>
          <w:iCs/>
          <w:noProof/>
        </w:rPr>
        <w:t>. A set of several safeguards (e.g. sharing full data only if there is a “hit” following a query) are also foreseen in the proposal</w:t>
      </w:r>
      <w:r w:rsidR="000A52D3" w:rsidRPr="009F56E6">
        <w:rPr>
          <w:rFonts w:eastAsia="Arial Unicode MS"/>
          <w:iCs/>
          <w:noProof/>
        </w:rPr>
        <w:t xml:space="preserve">. </w:t>
      </w:r>
    </w:p>
    <w:p w14:paraId="7369084E" w14:textId="2B10D047" w:rsidR="000D4EE7" w:rsidRPr="009F56E6" w:rsidRDefault="0050759D" w:rsidP="004632BF">
      <w:pPr>
        <w:pBdr>
          <w:top w:val="nil"/>
          <w:left w:val="nil"/>
          <w:bottom w:val="nil"/>
          <w:right w:val="nil"/>
          <w:between w:val="nil"/>
          <w:bar w:val="nil"/>
        </w:pBdr>
        <w:spacing w:before="0" w:after="240"/>
        <w:rPr>
          <w:rFonts w:eastAsia="Arial Unicode MS"/>
          <w:iCs/>
          <w:noProof/>
        </w:rPr>
      </w:pPr>
      <w:r w:rsidRPr="009F56E6">
        <w:rPr>
          <w:rFonts w:eastAsia="Arial Unicode MS"/>
          <w:iCs/>
          <w:noProof/>
        </w:rPr>
        <w:t xml:space="preserve">With this proposal, </w:t>
      </w:r>
      <w:r w:rsidRPr="009F56E6">
        <w:rPr>
          <w:rFonts w:eastAsia="Arial Unicode MS"/>
          <w:b/>
          <w:bCs/>
          <w:iCs/>
          <w:noProof/>
        </w:rPr>
        <w:t>Europol</w:t>
      </w:r>
      <w:r w:rsidRPr="009F56E6">
        <w:rPr>
          <w:rFonts w:eastAsia="Arial Unicode MS"/>
          <w:iCs/>
          <w:noProof/>
        </w:rPr>
        <w:t xml:space="preserve"> </w:t>
      </w:r>
      <w:r w:rsidR="00925300" w:rsidRPr="009F56E6">
        <w:rPr>
          <w:rFonts w:eastAsia="Arial Unicode MS"/>
          <w:iCs/>
          <w:noProof/>
        </w:rPr>
        <w:t>will form</w:t>
      </w:r>
      <w:r w:rsidRPr="009F56E6">
        <w:rPr>
          <w:rFonts w:eastAsia="Arial Unicode MS"/>
          <w:iCs/>
          <w:noProof/>
        </w:rPr>
        <w:t xml:space="preserve"> an integral part of the Prüm framework, </w:t>
      </w:r>
      <w:r w:rsidR="00DD712D" w:rsidRPr="009F56E6">
        <w:rPr>
          <w:rFonts w:eastAsia="Arial Unicode MS"/>
          <w:iCs/>
          <w:noProof/>
        </w:rPr>
        <w:t xml:space="preserve">firstly </w:t>
      </w:r>
      <w:r w:rsidRPr="009F56E6">
        <w:rPr>
          <w:rFonts w:eastAsia="Arial Unicode MS"/>
          <w:iCs/>
          <w:noProof/>
        </w:rPr>
        <w:t xml:space="preserve">by </w:t>
      </w:r>
      <w:r w:rsidR="000D4EE7" w:rsidRPr="009F56E6">
        <w:rPr>
          <w:rFonts w:eastAsia="Arial Unicode MS"/>
          <w:iCs/>
          <w:noProof/>
        </w:rPr>
        <w:t xml:space="preserve">enabling Member States to automatically </w:t>
      </w:r>
      <w:r w:rsidR="00DD712D" w:rsidRPr="009F56E6">
        <w:rPr>
          <w:rFonts w:eastAsia="Arial Unicode MS"/>
          <w:iCs/>
          <w:noProof/>
        </w:rPr>
        <w:t xml:space="preserve">check </w:t>
      </w:r>
      <w:r w:rsidR="000D4EE7" w:rsidRPr="009F56E6">
        <w:rPr>
          <w:rFonts w:eastAsia="Arial Unicode MS"/>
          <w:iCs/>
          <w:noProof/>
        </w:rPr>
        <w:t>third</w:t>
      </w:r>
      <w:r w:rsidR="00BC4292" w:rsidRPr="009F56E6">
        <w:rPr>
          <w:rFonts w:eastAsia="Arial Unicode MS"/>
          <w:iCs/>
          <w:noProof/>
        </w:rPr>
        <w:t xml:space="preserve"> </w:t>
      </w:r>
      <w:r w:rsidR="000D4EE7" w:rsidRPr="009F56E6">
        <w:rPr>
          <w:rFonts w:eastAsia="Arial Unicode MS"/>
          <w:iCs/>
          <w:noProof/>
        </w:rPr>
        <w:t>country</w:t>
      </w:r>
      <w:r w:rsidR="00BC4292" w:rsidRPr="009F56E6">
        <w:rPr>
          <w:rFonts w:eastAsia="Arial Unicode MS"/>
          <w:iCs/>
          <w:noProof/>
        </w:rPr>
        <w:t>-</w:t>
      </w:r>
      <w:r w:rsidR="000D4EE7" w:rsidRPr="009F56E6">
        <w:rPr>
          <w:rFonts w:eastAsia="Arial Unicode MS"/>
          <w:iCs/>
          <w:noProof/>
        </w:rPr>
        <w:t xml:space="preserve">sourced </w:t>
      </w:r>
      <w:r w:rsidR="00BC4292" w:rsidRPr="009F56E6">
        <w:rPr>
          <w:rFonts w:eastAsia="Arial Unicode MS"/>
          <w:iCs/>
          <w:noProof/>
        </w:rPr>
        <w:t xml:space="preserve">biometric </w:t>
      </w:r>
      <w:r w:rsidR="000D4EE7" w:rsidRPr="009F56E6">
        <w:rPr>
          <w:rFonts w:eastAsia="Arial Unicode MS"/>
          <w:iCs/>
          <w:noProof/>
        </w:rPr>
        <w:t xml:space="preserve">data </w:t>
      </w:r>
      <w:r w:rsidR="00BC4292" w:rsidRPr="009F56E6">
        <w:rPr>
          <w:rFonts w:eastAsia="Arial Unicode MS"/>
          <w:iCs/>
          <w:noProof/>
        </w:rPr>
        <w:t xml:space="preserve">held </w:t>
      </w:r>
      <w:r w:rsidR="000D4EE7" w:rsidRPr="009F56E6">
        <w:rPr>
          <w:rFonts w:eastAsia="Arial Unicode MS"/>
          <w:iCs/>
          <w:noProof/>
        </w:rPr>
        <w:t>at Europol</w:t>
      </w:r>
      <w:r w:rsidRPr="009F56E6">
        <w:rPr>
          <w:rFonts w:eastAsia="Arial Unicode MS"/>
          <w:iCs/>
          <w:noProof/>
        </w:rPr>
        <w:t xml:space="preserve">. </w:t>
      </w:r>
      <w:r w:rsidR="001D460F" w:rsidRPr="009F56E6">
        <w:rPr>
          <w:rFonts w:eastAsia="Arial Unicode MS"/>
          <w:iCs/>
          <w:noProof/>
        </w:rPr>
        <w:t xml:space="preserve">Secondly, Europol could also check </w:t>
      </w:r>
      <w:r w:rsidR="004632BF" w:rsidRPr="009F56E6">
        <w:rPr>
          <w:rFonts w:eastAsia="Arial Unicode MS"/>
          <w:iCs/>
          <w:noProof/>
        </w:rPr>
        <w:t>third</w:t>
      </w:r>
      <w:r w:rsidR="00BC4292" w:rsidRPr="009F56E6">
        <w:rPr>
          <w:rFonts w:eastAsia="Arial Unicode MS"/>
          <w:iCs/>
          <w:noProof/>
        </w:rPr>
        <w:t xml:space="preserve"> </w:t>
      </w:r>
      <w:r w:rsidR="004632BF" w:rsidRPr="009F56E6">
        <w:rPr>
          <w:rFonts w:eastAsia="Arial Unicode MS"/>
          <w:iCs/>
          <w:noProof/>
        </w:rPr>
        <w:t>country</w:t>
      </w:r>
      <w:r w:rsidR="00BC4292" w:rsidRPr="009F56E6">
        <w:rPr>
          <w:rFonts w:eastAsia="Arial Unicode MS"/>
          <w:iCs/>
          <w:noProof/>
        </w:rPr>
        <w:t>-</w:t>
      </w:r>
      <w:r w:rsidR="004632BF" w:rsidRPr="009F56E6">
        <w:rPr>
          <w:rFonts w:eastAsia="Arial Unicode MS"/>
          <w:iCs/>
          <w:noProof/>
        </w:rPr>
        <w:t xml:space="preserve">sourced </w:t>
      </w:r>
      <w:r w:rsidR="001D460F" w:rsidRPr="009F56E6">
        <w:rPr>
          <w:rFonts w:eastAsia="Arial Unicode MS"/>
          <w:iCs/>
          <w:noProof/>
        </w:rPr>
        <w:t xml:space="preserve">data against </w:t>
      </w:r>
      <w:r w:rsidR="00BC4292" w:rsidRPr="009F56E6">
        <w:rPr>
          <w:rFonts w:eastAsia="Arial Unicode MS"/>
          <w:iCs/>
          <w:noProof/>
        </w:rPr>
        <w:t xml:space="preserve">Member States’ </w:t>
      </w:r>
      <w:r w:rsidR="001D460F" w:rsidRPr="009F56E6">
        <w:rPr>
          <w:rFonts w:eastAsia="Arial Unicode MS"/>
          <w:iCs/>
          <w:noProof/>
        </w:rPr>
        <w:t xml:space="preserve">national databases. </w:t>
      </w:r>
      <w:r w:rsidR="004722EC" w:rsidRPr="009F56E6">
        <w:rPr>
          <w:rFonts w:eastAsia="Arial Unicode MS"/>
          <w:iCs/>
          <w:noProof/>
        </w:rPr>
        <w:t>These two aspects of Europol’s involvement in the new Prüm framework</w:t>
      </w:r>
      <w:r w:rsidR="000106C1" w:rsidRPr="009F56E6">
        <w:rPr>
          <w:rFonts w:eastAsia="Arial Unicode MS"/>
          <w:iCs/>
          <w:noProof/>
        </w:rPr>
        <w:t>, in accordance with Europol’s tasks as set out in Regulation</w:t>
      </w:r>
      <w:r w:rsidR="004420CB" w:rsidRPr="009F56E6">
        <w:rPr>
          <w:rFonts w:eastAsia="Arial Unicode MS"/>
          <w:iCs/>
          <w:noProof/>
        </w:rPr>
        <w:t xml:space="preserve"> </w:t>
      </w:r>
      <w:r w:rsidR="004420CB" w:rsidRPr="00CE3F2A">
        <w:rPr>
          <w:noProof/>
        </w:rPr>
        <w:t>(EU) 2016/794</w:t>
      </w:r>
      <w:r w:rsidR="000106C1" w:rsidRPr="009F56E6">
        <w:rPr>
          <w:rFonts w:eastAsia="Arial Unicode MS"/>
          <w:iCs/>
          <w:noProof/>
        </w:rPr>
        <w:t xml:space="preserve">, </w:t>
      </w:r>
      <w:r w:rsidR="004722EC" w:rsidRPr="009F56E6">
        <w:rPr>
          <w:rFonts w:eastAsia="Arial Unicode MS"/>
          <w:iCs/>
          <w:noProof/>
        </w:rPr>
        <w:t xml:space="preserve">would guarantee that no gaps occur in relation </w:t>
      </w:r>
      <w:r w:rsidR="00DD712D">
        <w:rPr>
          <w:rFonts w:eastAsia="Arial Unicode MS"/>
          <w:iCs/>
          <w:noProof/>
        </w:rPr>
        <w:t>to</w:t>
      </w:r>
      <w:r w:rsidR="004722EC" w:rsidRPr="009F56E6">
        <w:rPr>
          <w:rFonts w:eastAsia="Arial Unicode MS"/>
          <w:iCs/>
          <w:noProof/>
        </w:rPr>
        <w:t xml:space="preserve"> data related to serious crime and terrorism received from third countries.</w:t>
      </w:r>
      <w:r w:rsidR="001D460F" w:rsidRPr="009F56E6">
        <w:rPr>
          <w:rFonts w:eastAsia="Arial Unicode MS"/>
          <w:iCs/>
          <w:noProof/>
        </w:rPr>
        <w:t xml:space="preserve"> In an open society in a globalised world, d</w:t>
      </w:r>
      <w:r w:rsidR="000D4EE7" w:rsidRPr="009F56E6">
        <w:rPr>
          <w:rFonts w:eastAsia="Arial Unicode MS"/>
          <w:iCs/>
          <w:noProof/>
        </w:rPr>
        <w:t xml:space="preserve">ata provided by third countries on criminals and terrorists is </w:t>
      </w:r>
      <w:r w:rsidR="001D460F" w:rsidRPr="009F56E6">
        <w:rPr>
          <w:rFonts w:eastAsia="Arial Unicode MS"/>
          <w:iCs/>
          <w:noProof/>
        </w:rPr>
        <w:t>crucial</w:t>
      </w:r>
      <w:r w:rsidR="000D4EE7" w:rsidRPr="009F56E6">
        <w:rPr>
          <w:rFonts w:eastAsia="Arial Unicode MS"/>
          <w:iCs/>
          <w:noProof/>
        </w:rPr>
        <w:t xml:space="preserve">. It would allow for the potential identification of criminals known by countries outside the EU, while at the same time benefitting from strong safeguards with respect to the protection of privacy and fundamental rights and freedoms of individuals established in the Europol cooperation agreements with third countries. </w:t>
      </w:r>
    </w:p>
    <w:p w14:paraId="3AC33248" w14:textId="1AF0BF7A" w:rsidR="00D71349" w:rsidRPr="009F56E6" w:rsidRDefault="00925300" w:rsidP="00220060">
      <w:pPr>
        <w:pBdr>
          <w:top w:val="nil"/>
          <w:left w:val="nil"/>
          <w:bottom w:val="nil"/>
          <w:right w:val="nil"/>
          <w:between w:val="nil"/>
          <w:bar w:val="nil"/>
        </w:pBdr>
        <w:spacing w:before="0" w:after="240"/>
        <w:rPr>
          <w:rFonts w:eastAsia="Arial Unicode MS"/>
          <w:iCs/>
          <w:noProof/>
        </w:rPr>
      </w:pPr>
      <w:r w:rsidRPr="009F56E6">
        <w:rPr>
          <w:rFonts w:eastAsia="Arial Unicode MS"/>
          <w:iCs/>
          <w:noProof/>
        </w:rPr>
        <w:t xml:space="preserve">The </w:t>
      </w:r>
      <w:r w:rsidR="00296359">
        <w:rPr>
          <w:rFonts w:eastAsia="Arial Unicode MS"/>
          <w:iCs/>
          <w:noProof/>
        </w:rPr>
        <w:t>revised</w:t>
      </w:r>
      <w:r w:rsidRPr="009F56E6">
        <w:rPr>
          <w:rFonts w:eastAsia="Arial Unicode MS"/>
          <w:iCs/>
          <w:noProof/>
        </w:rPr>
        <w:t xml:space="preserve"> </w:t>
      </w:r>
      <w:r w:rsidRPr="009F56E6">
        <w:rPr>
          <w:rFonts w:eastAsia="Arial Unicode MS"/>
          <w:b/>
          <w:bCs/>
          <w:iCs/>
          <w:noProof/>
        </w:rPr>
        <w:t>hit-follow-up exchange process</w:t>
      </w:r>
      <w:r w:rsidRPr="009F56E6">
        <w:rPr>
          <w:rFonts w:eastAsia="Arial Unicode MS"/>
          <w:iCs/>
          <w:noProof/>
        </w:rPr>
        <w:t xml:space="preserve"> </w:t>
      </w:r>
      <w:r w:rsidR="003D3F5A" w:rsidRPr="009F56E6">
        <w:rPr>
          <w:rFonts w:eastAsia="Arial Unicode MS"/>
          <w:iCs/>
          <w:noProof/>
        </w:rPr>
        <w:t xml:space="preserve">would </w:t>
      </w:r>
      <w:r w:rsidRPr="009F56E6">
        <w:rPr>
          <w:rFonts w:eastAsia="Arial Unicode MS"/>
          <w:iCs/>
          <w:noProof/>
        </w:rPr>
        <w:t xml:space="preserve">contribute to the internal security of the European Union by simplifying and streamlining the exchange of law enforcement information. Compared to the current situation where the </w:t>
      </w:r>
      <w:r w:rsidR="003D3F5A" w:rsidRPr="009F56E6">
        <w:rPr>
          <w:rFonts w:eastAsia="Arial Unicode MS"/>
          <w:iCs/>
          <w:noProof/>
        </w:rPr>
        <w:t xml:space="preserve">exchange of </w:t>
      </w:r>
      <w:r w:rsidRPr="009F56E6">
        <w:rPr>
          <w:rFonts w:eastAsia="Arial Unicode MS"/>
          <w:iCs/>
          <w:noProof/>
        </w:rPr>
        <w:t xml:space="preserve">information following a hit </w:t>
      </w:r>
      <w:r w:rsidR="00296359">
        <w:rPr>
          <w:rFonts w:eastAsia="Arial Unicode MS"/>
          <w:iCs/>
          <w:noProof/>
        </w:rPr>
        <w:t>is governed by</w:t>
      </w:r>
      <w:r w:rsidR="003D3F5A" w:rsidRPr="009F56E6">
        <w:rPr>
          <w:rFonts w:eastAsia="Arial Unicode MS"/>
          <w:iCs/>
          <w:noProof/>
        </w:rPr>
        <w:t xml:space="preserve"> national law and is thereby subject to different rules and </w:t>
      </w:r>
      <w:r w:rsidR="00BA0520" w:rsidRPr="009F56E6">
        <w:rPr>
          <w:rFonts w:eastAsia="Arial Unicode MS"/>
          <w:iCs/>
          <w:noProof/>
        </w:rPr>
        <w:t>procedures</w:t>
      </w:r>
      <w:r w:rsidR="003D3F5A" w:rsidRPr="009F56E6">
        <w:rPr>
          <w:rFonts w:eastAsia="Arial Unicode MS"/>
          <w:iCs/>
          <w:noProof/>
        </w:rPr>
        <w:t xml:space="preserve">, </w:t>
      </w:r>
      <w:r w:rsidRPr="009F56E6">
        <w:rPr>
          <w:rFonts w:eastAsia="Arial Unicode MS"/>
          <w:iCs/>
          <w:noProof/>
        </w:rPr>
        <w:t xml:space="preserve">common rules harmonising this second step of the Prüm process </w:t>
      </w:r>
      <w:r w:rsidR="003D3F5A" w:rsidRPr="009F56E6">
        <w:rPr>
          <w:rFonts w:eastAsia="Arial Unicode MS"/>
          <w:iCs/>
          <w:noProof/>
        </w:rPr>
        <w:t xml:space="preserve">would </w:t>
      </w:r>
      <w:r w:rsidRPr="009F56E6">
        <w:rPr>
          <w:rFonts w:eastAsia="Arial Unicode MS"/>
          <w:iCs/>
          <w:noProof/>
        </w:rPr>
        <w:t>give predictability to all users</w:t>
      </w:r>
      <w:r w:rsidR="009D2469" w:rsidRPr="009F56E6">
        <w:rPr>
          <w:noProof/>
        </w:rPr>
        <w:t>, as they would all know what data they would get in this step.</w:t>
      </w:r>
      <w:r w:rsidR="009D2469" w:rsidRPr="009F56E6">
        <w:rPr>
          <w:rFonts w:eastAsia="Arial Unicode MS"/>
          <w:iCs/>
          <w:noProof/>
        </w:rPr>
        <w:t xml:space="preserve"> </w:t>
      </w:r>
      <w:r w:rsidR="003D3F5A" w:rsidRPr="009F56E6">
        <w:rPr>
          <w:rFonts w:eastAsia="Arial Unicode MS"/>
          <w:iCs/>
          <w:noProof/>
        </w:rPr>
        <w:t>T</w:t>
      </w:r>
      <w:r w:rsidR="003B6F5C" w:rsidRPr="009F56E6">
        <w:rPr>
          <w:rFonts w:eastAsia="Arial Unicode MS"/>
          <w:iCs/>
          <w:noProof/>
        </w:rPr>
        <w:t xml:space="preserve">he exchange of data </w:t>
      </w:r>
      <w:r w:rsidR="003D3F5A" w:rsidRPr="009F56E6">
        <w:rPr>
          <w:rFonts w:eastAsia="Arial Unicode MS"/>
          <w:iCs/>
          <w:noProof/>
        </w:rPr>
        <w:t xml:space="preserve">would be facilitated </w:t>
      </w:r>
      <w:r w:rsidR="003B6F5C" w:rsidRPr="009F56E6">
        <w:rPr>
          <w:rFonts w:eastAsia="Arial Unicode MS"/>
          <w:iCs/>
          <w:noProof/>
        </w:rPr>
        <w:t xml:space="preserve">through </w:t>
      </w:r>
      <w:r w:rsidR="00E25F1E" w:rsidRPr="009F56E6">
        <w:rPr>
          <w:rFonts w:eastAsia="Arial Unicode MS"/>
          <w:iCs/>
          <w:noProof/>
        </w:rPr>
        <w:t>partial automation, which means that</w:t>
      </w:r>
      <w:r w:rsidR="003B6F5C" w:rsidRPr="009F56E6">
        <w:rPr>
          <w:rFonts w:eastAsia="Arial Unicode MS"/>
          <w:iCs/>
          <w:noProof/>
        </w:rPr>
        <w:t xml:space="preserve"> human intervention </w:t>
      </w:r>
      <w:r w:rsidR="003D3F5A" w:rsidRPr="009F56E6">
        <w:rPr>
          <w:rFonts w:eastAsia="Arial Unicode MS"/>
          <w:iCs/>
          <w:noProof/>
        </w:rPr>
        <w:t xml:space="preserve">would </w:t>
      </w:r>
      <w:r w:rsidR="003B6F5C" w:rsidRPr="009F56E6">
        <w:rPr>
          <w:rFonts w:eastAsia="Arial Unicode MS"/>
          <w:iCs/>
          <w:noProof/>
        </w:rPr>
        <w:t xml:space="preserve">still be needed before any </w:t>
      </w:r>
      <w:r w:rsidR="00296359">
        <w:rPr>
          <w:rFonts w:eastAsia="Arial Unicode MS"/>
          <w:iCs/>
          <w:noProof/>
        </w:rPr>
        <w:t xml:space="preserve">comprehensive </w:t>
      </w:r>
      <w:r w:rsidR="003B6F5C" w:rsidRPr="009F56E6">
        <w:rPr>
          <w:rFonts w:eastAsia="Arial Unicode MS"/>
          <w:iCs/>
          <w:noProof/>
        </w:rPr>
        <w:t xml:space="preserve">follow-up data exchange </w:t>
      </w:r>
      <w:r w:rsidR="003D3F5A" w:rsidRPr="009F56E6">
        <w:rPr>
          <w:rFonts w:eastAsia="Arial Unicode MS"/>
          <w:iCs/>
          <w:noProof/>
        </w:rPr>
        <w:t>can take place</w:t>
      </w:r>
      <w:r w:rsidR="003B6F5C" w:rsidRPr="009F56E6">
        <w:rPr>
          <w:rFonts w:eastAsia="Arial Unicode MS"/>
          <w:iCs/>
          <w:noProof/>
        </w:rPr>
        <w:t>.</w:t>
      </w:r>
      <w:r w:rsidR="003D3F5A" w:rsidRPr="009F56E6">
        <w:rPr>
          <w:rFonts w:eastAsia="Arial Unicode MS"/>
          <w:iCs/>
          <w:noProof/>
        </w:rPr>
        <w:t xml:space="preserve"> Member States would retain ownership/control over their data.</w:t>
      </w:r>
    </w:p>
    <w:p w14:paraId="762FFAE9" w14:textId="77777777" w:rsidR="00220060" w:rsidRPr="009F56E6" w:rsidRDefault="00220060" w:rsidP="00220060">
      <w:pPr>
        <w:pStyle w:val="ManualHeading2"/>
        <w:rPr>
          <w:rFonts w:eastAsia="Arial Unicode MS"/>
          <w:noProof/>
          <w:u w:color="000000"/>
          <w:bdr w:val="nil"/>
          <w:lang w:val="en-US" w:eastAsia="en-GB"/>
        </w:rPr>
      </w:pPr>
      <w:r w:rsidRPr="009F56E6">
        <w:rPr>
          <w:rFonts w:eastAsia="Arial Unicode MS"/>
          <w:noProof/>
          <w:u w:color="000000"/>
          <w:bdr w:val="nil"/>
          <w:lang w:val="en-US" w:eastAsia="en-GB"/>
        </w:rPr>
        <w:t>•</w:t>
      </w:r>
      <w:r w:rsidRPr="009F56E6">
        <w:rPr>
          <w:rFonts w:eastAsia="Arial Unicode MS"/>
          <w:noProof/>
          <w:u w:color="000000"/>
          <w:bdr w:val="nil"/>
          <w:lang w:val="en-US" w:eastAsia="en-GB"/>
        </w:rPr>
        <w:tab/>
        <w:t>Choice of the instrument</w:t>
      </w:r>
    </w:p>
    <w:p w14:paraId="7A4F37E0" w14:textId="0512679D" w:rsidR="005D79C5" w:rsidRPr="009F56E6" w:rsidRDefault="0003722E" w:rsidP="005D79C5">
      <w:pPr>
        <w:pBdr>
          <w:top w:val="nil"/>
          <w:left w:val="nil"/>
          <w:bottom w:val="nil"/>
          <w:right w:val="nil"/>
          <w:between w:val="nil"/>
          <w:bar w:val="nil"/>
        </w:pBdr>
        <w:spacing w:before="0" w:after="240"/>
        <w:rPr>
          <w:rFonts w:eastAsia="Arial Unicode MS"/>
          <w:noProof/>
        </w:rPr>
      </w:pPr>
      <w:r w:rsidRPr="009F56E6">
        <w:rPr>
          <w:rFonts w:eastAsia="Arial Unicode MS"/>
          <w:noProof/>
        </w:rPr>
        <w:t xml:space="preserve">A Regulation of the European Parliament and the Council is proposed. The proposed legislation builds on an existing framework of Council Decisions </w:t>
      </w:r>
      <w:r w:rsidR="006803F5" w:rsidRPr="009F56E6">
        <w:rPr>
          <w:rFonts w:eastAsia="Arial Unicode MS"/>
          <w:noProof/>
        </w:rPr>
        <w:t>contributing</w:t>
      </w:r>
      <w:r w:rsidRPr="009F56E6">
        <w:rPr>
          <w:rFonts w:eastAsia="Arial Unicode MS"/>
          <w:noProof/>
        </w:rPr>
        <w:t xml:space="preserve"> to cross-border cooperation between EU Member States in the fields of justice and home affairs.</w:t>
      </w:r>
      <w:r w:rsidRPr="009F56E6">
        <w:rPr>
          <w:rStyle w:val="FootnoteReference0"/>
          <w:rFonts w:eastAsia="Arial Unicode MS"/>
          <w:noProof/>
        </w:rPr>
        <w:footnoteReference w:id="18"/>
      </w:r>
    </w:p>
    <w:p w14:paraId="3605A7D4" w14:textId="56828B20" w:rsidR="0003722E" w:rsidRPr="009F56E6" w:rsidRDefault="00925300" w:rsidP="005D79C5">
      <w:pPr>
        <w:pBdr>
          <w:top w:val="nil"/>
          <w:left w:val="nil"/>
          <w:bottom w:val="nil"/>
          <w:right w:val="nil"/>
          <w:between w:val="nil"/>
          <w:bar w:val="nil"/>
        </w:pBdr>
        <w:spacing w:before="0" w:after="240"/>
        <w:rPr>
          <w:rFonts w:eastAsia="Arial Unicode MS"/>
          <w:noProof/>
          <w:lang w:val="en-IE"/>
        </w:rPr>
      </w:pPr>
      <w:r w:rsidRPr="009F56E6">
        <w:rPr>
          <w:rFonts w:eastAsia="Arial Unicode MS"/>
          <w:noProof/>
          <w:lang w:val="en-IE"/>
        </w:rPr>
        <w:t>In view</w:t>
      </w:r>
      <w:r w:rsidR="00BA371A" w:rsidRPr="009F56E6">
        <w:rPr>
          <w:rFonts w:eastAsia="Arial Unicode MS"/>
          <w:noProof/>
          <w:lang w:val="en-IE"/>
        </w:rPr>
        <w:t xml:space="preserve"> of the need for the proposed measures to be directly applicable and uniformly </w:t>
      </w:r>
      <w:r w:rsidR="00B17948" w:rsidRPr="009F56E6">
        <w:rPr>
          <w:rFonts w:eastAsia="Arial Unicode MS"/>
          <w:noProof/>
          <w:lang w:val="en-IE"/>
        </w:rPr>
        <w:t xml:space="preserve">applied </w:t>
      </w:r>
      <w:r w:rsidR="00BA371A" w:rsidRPr="009F56E6">
        <w:rPr>
          <w:rFonts w:eastAsia="Arial Unicode MS"/>
          <w:noProof/>
          <w:lang w:val="en-IE"/>
        </w:rPr>
        <w:t xml:space="preserve">across Member States, </w:t>
      </w:r>
      <w:r w:rsidR="00B17948" w:rsidRPr="009F56E6">
        <w:rPr>
          <w:rFonts w:eastAsia="Arial Unicode MS"/>
          <w:noProof/>
          <w:lang w:val="en-IE"/>
        </w:rPr>
        <w:t xml:space="preserve">as well as to </w:t>
      </w:r>
      <w:r w:rsidR="003C709E" w:rsidRPr="009F56E6">
        <w:rPr>
          <w:rFonts w:eastAsia="Arial Unicode MS"/>
          <w:noProof/>
          <w:lang w:val="en-IE"/>
        </w:rPr>
        <w:t xml:space="preserve">enhance </w:t>
      </w:r>
      <w:r w:rsidR="00B17948" w:rsidRPr="009F56E6">
        <w:rPr>
          <w:rFonts w:eastAsia="Arial Unicode MS"/>
          <w:noProof/>
          <w:lang w:val="en-IE"/>
        </w:rPr>
        <w:t>the</w:t>
      </w:r>
      <w:r w:rsidR="00BA371A" w:rsidRPr="009F56E6">
        <w:rPr>
          <w:rFonts w:eastAsia="Arial Unicode MS"/>
          <w:noProof/>
          <w:lang w:val="en-IE"/>
        </w:rPr>
        <w:t xml:space="preserve"> exchange of information, a Regulation is therefore the appropriate choice of legal instrument.</w:t>
      </w:r>
    </w:p>
    <w:p w14:paraId="5417AF1F" w14:textId="77777777" w:rsidR="00220060" w:rsidRPr="009F56E6" w:rsidRDefault="00220060" w:rsidP="00220060">
      <w:pPr>
        <w:pStyle w:val="ManualHeading1"/>
        <w:rPr>
          <w:noProof/>
        </w:rPr>
      </w:pPr>
      <w:r w:rsidRPr="009F56E6">
        <w:rPr>
          <w:noProof/>
        </w:rPr>
        <w:t>3.</w:t>
      </w:r>
      <w:r w:rsidRPr="009F56E6">
        <w:rPr>
          <w:noProof/>
        </w:rPr>
        <w:tab/>
        <w:t>RESULTS OF EX-POST EVALUATIONS, STAKEHOLDER CONSULTATIONS AND IMPACT ASSESSMENTS</w:t>
      </w:r>
    </w:p>
    <w:p w14:paraId="2BA62343" w14:textId="22662CF2" w:rsidR="00220060" w:rsidRPr="009F56E6" w:rsidRDefault="00220060" w:rsidP="00220060">
      <w:pPr>
        <w:pStyle w:val="ManualHeading2"/>
        <w:rPr>
          <w:rFonts w:eastAsia="Arial Unicode MS"/>
          <w:noProof/>
          <w:u w:color="000000"/>
          <w:bdr w:val="nil"/>
          <w:lang w:val="en-US" w:eastAsia="en-GB"/>
        </w:rPr>
      </w:pPr>
      <w:r w:rsidRPr="009F56E6">
        <w:rPr>
          <w:rFonts w:eastAsia="Arial Unicode MS"/>
          <w:noProof/>
          <w:u w:color="000000"/>
          <w:bdr w:val="nil"/>
          <w:lang w:val="en-US" w:eastAsia="en-GB"/>
        </w:rPr>
        <w:t>•</w:t>
      </w:r>
      <w:r w:rsidRPr="009F56E6">
        <w:rPr>
          <w:rFonts w:eastAsia="Arial Unicode MS"/>
          <w:noProof/>
          <w:u w:color="000000"/>
          <w:bdr w:val="nil"/>
          <w:lang w:val="en-US" w:eastAsia="en-GB"/>
        </w:rPr>
        <w:tab/>
        <w:t>Ex-post evaluations of existing legislation</w:t>
      </w:r>
    </w:p>
    <w:p w14:paraId="668BA8A6" w14:textId="51C93BC4" w:rsidR="00220060" w:rsidRPr="009F56E6" w:rsidRDefault="00D80C7D" w:rsidP="00D80C7D">
      <w:pPr>
        <w:pBdr>
          <w:top w:val="nil"/>
          <w:left w:val="nil"/>
          <w:bottom w:val="nil"/>
          <w:right w:val="nil"/>
          <w:between w:val="nil"/>
          <w:bar w:val="nil"/>
        </w:pBdr>
        <w:spacing w:before="0" w:after="240"/>
        <w:rPr>
          <w:rFonts w:eastAsia="Calibri" w:cs="Arial"/>
          <w:noProof/>
        </w:rPr>
      </w:pPr>
      <w:r w:rsidRPr="00CE3F2A">
        <w:rPr>
          <w:noProof/>
        </w:rPr>
        <w:t xml:space="preserve">Overall, </w:t>
      </w:r>
      <w:r w:rsidR="00E25F1E" w:rsidRPr="00CE3F2A">
        <w:rPr>
          <w:noProof/>
        </w:rPr>
        <w:t>the evaluation of the Prüm framework</w:t>
      </w:r>
      <w:r w:rsidR="00E25F1E" w:rsidRPr="009F56E6">
        <w:rPr>
          <w:rStyle w:val="FootnoteReference0"/>
          <w:rFonts w:eastAsia="Arial Unicode MS"/>
          <w:noProof/>
        </w:rPr>
        <w:footnoteReference w:id="19"/>
      </w:r>
      <w:r w:rsidR="00E25F1E" w:rsidRPr="00CE3F2A">
        <w:rPr>
          <w:noProof/>
        </w:rPr>
        <w:t xml:space="preserve"> </w:t>
      </w:r>
      <w:r w:rsidRPr="00CE3F2A">
        <w:rPr>
          <w:noProof/>
        </w:rPr>
        <w:t xml:space="preserve">showed that </w:t>
      </w:r>
      <w:r w:rsidR="001B5A53" w:rsidRPr="009F56E6">
        <w:rPr>
          <w:rFonts w:eastAsia="Calibri" w:cs="Arial"/>
          <w:noProof/>
        </w:rPr>
        <w:t xml:space="preserve">searching and comparing DNA, fingerprint and vehicle registration data in other Member States’ databases for the prevention and investigation of criminal offences, are of paramount importance for safeguarding the internal security of the EU and the safety of its citizens. </w:t>
      </w:r>
      <w:r w:rsidR="001B5A53" w:rsidRPr="00CE3F2A">
        <w:rPr>
          <w:noProof/>
        </w:rPr>
        <w:t xml:space="preserve">The evaluation further demonstrated </w:t>
      </w:r>
      <w:r w:rsidR="001B5A53" w:rsidRPr="00CE3F2A" w:rsidDel="006400FD">
        <w:rPr>
          <w:noProof/>
        </w:rPr>
        <w:t>that</w:t>
      </w:r>
      <w:r w:rsidR="001B5A53" w:rsidRPr="00CE3F2A">
        <w:rPr>
          <w:noProof/>
        </w:rPr>
        <w:t xml:space="preserve"> </w:t>
      </w:r>
      <w:r w:rsidRPr="00CE3F2A">
        <w:rPr>
          <w:noProof/>
        </w:rPr>
        <w:t xml:space="preserve">the Prüm Decisions have helped </w:t>
      </w:r>
      <w:r w:rsidR="001B5A53" w:rsidRPr="00CE3F2A">
        <w:rPr>
          <w:noProof/>
        </w:rPr>
        <w:t xml:space="preserve">to </w:t>
      </w:r>
      <w:r w:rsidRPr="00CE3F2A">
        <w:rPr>
          <w:noProof/>
        </w:rPr>
        <w:t xml:space="preserve">establish common EU level rules, standards and requirements, to facilitate information exchange and provide compatibility between different national systems. </w:t>
      </w:r>
    </w:p>
    <w:p w14:paraId="5357C642" w14:textId="12CA8638" w:rsidR="00D66307" w:rsidRPr="009F56E6" w:rsidRDefault="00D66307" w:rsidP="00D80C7D">
      <w:pPr>
        <w:pBdr>
          <w:top w:val="nil"/>
          <w:left w:val="nil"/>
          <w:bottom w:val="nil"/>
          <w:right w:val="nil"/>
          <w:between w:val="nil"/>
          <w:bar w:val="nil"/>
        </w:pBdr>
        <w:spacing w:before="0" w:after="240"/>
        <w:rPr>
          <w:rFonts w:eastAsia="Calibri" w:cs="Arial"/>
          <w:noProof/>
        </w:rPr>
      </w:pPr>
      <w:r w:rsidRPr="009F56E6">
        <w:rPr>
          <w:rFonts w:eastAsia="Calibri" w:cs="Arial"/>
          <w:noProof/>
        </w:rPr>
        <w:t xml:space="preserve">However, since the </w:t>
      </w:r>
      <w:r w:rsidR="006B5DC2" w:rsidRPr="009F56E6">
        <w:rPr>
          <w:rFonts w:eastAsia="Calibri" w:cs="Arial"/>
          <w:noProof/>
        </w:rPr>
        <w:t>expiration of the deadline for</w:t>
      </w:r>
      <w:r w:rsidR="003611BD">
        <w:rPr>
          <w:rFonts w:eastAsia="Calibri" w:cs="Arial"/>
          <w:noProof/>
        </w:rPr>
        <w:t xml:space="preserve"> the</w:t>
      </w:r>
      <w:r w:rsidR="006B5DC2" w:rsidRPr="009F56E6">
        <w:rPr>
          <w:rFonts w:eastAsia="Calibri" w:cs="Arial"/>
          <w:noProof/>
        </w:rPr>
        <w:t xml:space="preserve"> </w:t>
      </w:r>
      <w:r w:rsidRPr="009F56E6">
        <w:rPr>
          <w:rFonts w:eastAsia="Calibri" w:cs="Arial"/>
          <w:noProof/>
        </w:rPr>
        <w:t xml:space="preserve">implementation of the Prüm framework ten years ago, the EU </w:t>
      </w:r>
      <w:r w:rsidR="000453BD" w:rsidRPr="009F56E6">
        <w:rPr>
          <w:rFonts w:eastAsia="Calibri" w:cs="Arial"/>
          <w:noProof/>
        </w:rPr>
        <w:t xml:space="preserve">has </w:t>
      </w:r>
      <w:r w:rsidRPr="009F56E6">
        <w:rPr>
          <w:rFonts w:eastAsia="Calibri" w:cs="Arial"/>
          <w:noProof/>
        </w:rPr>
        <w:t xml:space="preserve">adopted several other measures on the facilitation of </w:t>
      </w:r>
      <w:r w:rsidR="006C42AD">
        <w:rPr>
          <w:rFonts w:eastAsia="Calibri" w:cs="Arial"/>
          <w:noProof/>
        </w:rPr>
        <w:t xml:space="preserve">the </w:t>
      </w:r>
      <w:r w:rsidRPr="009F56E6">
        <w:rPr>
          <w:rFonts w:eastAsia="Calibri" w:cs="Arial"/>
          <w:noProof/>
        </w:rPr>
        <w:t>exchange of information between law enforcement authorities,</w:t>
      </w:r>
      <w:r w:rsidRPr="00CE3F2A">
        <w:rPr>
          <w:rStyle w:val="FootnoteReference0"/>
          <w:noProof/>
        </w:rPr>
        <w:footnoteReference w:id="20"/>
      </w:r>
      <w:r w:rsidRPr="009F56E6">
        <w:rPr>
          <w:rFonts w:eastAsia="Calibri"/>
          <w:noProof/>
          <w:szCs w:val="24"/>
        </w:rPr>
        <w:t xml:space="preserve"> </w:t>
      </w:r>
      <w:r w:rsidRPr="009F56E6">
        <w:rPr>
          <w:rFonts w:eastAsia="Calibri" w:cs="Arial"/>
          <w:noProof/>
        </w:rPr>
        <w:t>including the interoperability framework</w:t>
      </w:r>
      <w:r w:rsidR="009A3BD7" w:rsidRPr="009F56E6">
        <w:rPr>
          <w:rFonts w:eastAsia="Calibri" w:cs="Arial"/>
          <w:noProof/>
        </w:rPr>
        <w:t>.</w:t>
      </w:r>
      <w:r w:rsidRPr="00CE3F2A">
        <w:rPr>
          <w:rStyle w:val="FootnoteReference0"/>
          <w:noProof/>
        </w:rPr>
        <w:footnoteReference w:id="21"/>
      </w:r>
      <w:r w:rsidR="009A3BD7" w:rsidRPr="009F56E6">
        <w:rPr>
          <w:rFonts w:eastAsia="Calibri"/>
          <w:noProof/>
          <w:szCs w:val="24"/>
        </w:rPr>
        <w:t xml:space="preserve"> </w:t>
      </w:r>
      <w:r w:rsidR="0098140E" w:rsidRPr="009F56E6">
        <w:rPr>
          <w:rFonts w:eastAsia="Calibri" w:cs="Arial"/>
          <w:noProof/>
        </w:rPr>
        <w:t>Additionally, provisions</w:t>
      </w:r>
      <w:r w:rsidRPr="009F56E6">
        <w:rPr>
          <w:rFonts w:eastAsia="Calibri" w:cs="Arial"/>
          <w:noProof/>
        </w:rPr>
        <w:t xml:space="preserve"> on the technical specifications of queries, security measures and communication </w:t>
      </w:r>
      <w:r w:rsidR="00ED1C79" w:rsidRPr="009F56E6">
        <w:rPr>
          <w:rFonts w:eastAsia="Calibri" w:cs="Arial"/>
          <w:noProof/>
        </w:rPr>
        <w:t xml:space="preserve">have </w:t>
      </w:r>
      <w:r w:rsidRPr="009F56E6">
        <w:rPr>
          <w:rFonts w:eastAsia="Calibri" w:cs="Arial"/>
          <w:noProof/>
        </w:rPr>
        <w:t>not</w:t>
      </w:r>
      <w:r w:rsidRPr="009F56E6" w:rsidDel="00C5751B">
        <w:rPr>
          <w:rFonts w:eastAsia="Calibri" w:cs="Arial"/>
          <w:noProof/>
        </w:rPr>
        <w:t xml:space="preserve"> </w:t>
      </w:r>
      <w:r w:rsidR="00C5751B" w:rsidRPr="009F56E6">
        <w:rPr>
          <w:rFonts w:eastAsia="Calibri" w:cs="Arial"/>
          <w:noProof/>
        </w:rPr>
        <w:t xml:space="preserve">been updated </w:t>
      </w:r>
      <w:r w:rsidRPr="009F56E6">
        <w:rPr>
          <w:rFonts w:eastAsia="Calibri" w:cs="Arial"/>
          <w:noProof/>
        </w:rPr>
        <w:t>since the adoption of the Prüm Decisions</w:t>
      </w:r>
      <w:r w:rsidR="00ED1C79" w:rsidRPr="009F56E6">
        <w:rPr>
          <w:rFonts w:eastAsia="Calibri" w:cs="Arial"/>
          <w:noProof/>
        </w:rPr>
        <w:t xml:space="preserve"> in 2008</w:t>
      </w:r>
      <w:r w:rsidRPr="009F56E6">
        <w:rPr>
          <w:rFonts w:eastAsia="Calibri" w:cs="Arial"/>
          <w:noProof/>
        </w:rPr>
        <w:t>.</w:t>
      </w:r>
      <w:r w:rsidRPr="009F56E6">
        <w:rPr>
          <w:rStyle w:val="FootnoteReference0"/>
          <w:rFonts w:eastAsia="Calibri" w:cs="Arial"/>
          <w:noProof/>
        </w:rPr>
        <w:footnoteReference w:id="22"/>
      </w:r>
      <w:r w:rsidRPr="009F56E6">
        <w:rPr>
          <w:rFonts w:eastAsia="Calibri" w:cs="Arial"/>
          <w:noProof/>
        </w:rPr>
        <w:t xml:space="preserve"> Some of these rules are outdated as forensic science and technology have significantly developed </w:t>
      </w:r>
      <w:r w:rsidR="009A3BD7" w:rsidRPr="009F56E6">
        <w:rPr>
          <w:rFonts w:eastAsia="Calibri" w:cs="Arial"/>
          <w:noProof/>
        </w:rPr>
        <w:t>in the past decade</w:t>
      </w:r>
      <w:r w:rsidRPr="009F56E6">
        <w:rPr>
          <w:rFonts w:eastAsia="Calibri" w:cs="Arial"/>
          <w:noProof/>
        </w:rPr>
        <w:t>.</w:t>
      </w:r>
    </w:p>
    <w:p w14:paraId="3B5FFD05" w14:textId="20EE7E58" w:rsidR="00D66307" w:rsidRPr="009F56E6" w:rsidRDefault="00D66307" w:rsidP="00D80C7D">
      <w:pPr>
        <w:pBdr>
          <w:top w:val="nil"/>
          <w:left w:val="nil"/>
          <w:bottom w:val="nil"/>
          <w:right w:val="nil"/>
          <w:between w:val="nil"/>
          <w:bar w:val="nil"/>
        </w:pBdr>
        <w:spacing w:before="0" w:after="240"/>
        <w:rPr>
          <w:rFonts w:eastAsia="Calibri" w:cs="Arial"/>
          <w:noProof/>
        </w:rPr>
      </w:pPr>
      <w:r w:rsidRPr="009F56E6">
        <w:rPr>
          <w:rFonts w:eastAsia="Calibri" w:cs="Arial"/>
          <w:noProof/>
        </w:rPr>
        <w:t>The evaluation also</w:t>
      </w:r>
      <w:r w:rsidR="009A3BD7" w:rsidRPr="009F56E6">
        <w:rPr>
          <w:rFonts w:eastAsia="Calibri" w:cs="Arial"/>
          <w:noProof/>
        </w:rPr>
        <w:t xml:space="preserve"> found</w:t>
      </w:r>
      <w:r w:rsidR="00ED1C79" w:rsidRPr="009F56E6">
        <w:rPr>
          <w:rFonts w:eastAsia="Calibri" w:cs="Arial"/>
          <w:noProof/>
        </w:rPr>
        <w:t xml:space="preserve"> that</w:t>
      </w:r>
      <w:r w:rsidR="009A3BD7" w:rsidRPr="009F56E6">
        <w:rPr>
          <w:rFonts w:eastAsia="Calibri" w:cs="Arial"/>
          <w:noProof/>
        </w:rPr>
        <w:t xml:space="preserve"> the implementation of the Prüm Decisions in the past ten years </w:t>
      </w:r>
      <w:r w:rsidR="00ED1C79" w:rsidRPr="009F56E6">
        <w:rPr>
          <w:rFonts w:eastAsia="Calibri" w:cs="Arial"/>
          <w:noProof/>
        </w:rPr>
        <w:t xml:space="preserve">has been slow </w:t>
      </w:r>
      <w:r w:rsidR="009A3BD7" w:rsidRPr="009F56E6">
        <w:rPr>
          <w:rFonts w:eastAsia="Calibri" w:cs="Arial"/>
          <w:noProof/>
        </w:rPr>
        <w:t xml:space="preserve">and that </w:t>
      </w:r>
      <w:r w:rsidR="00B160C7" w:rsidRPr="009F56E6">
        <w:rPr>
          <w:rFonts w:eastAsia="Calibri" w:cs="Arial"/>
          <w:noProof/>
        </w:rPr>
        <w:t>not all Member States have taken the necessary steps to implement the Decisions.</w:t>
      </w:r>
      <w:r w:rsidR="00E047AB" w:rsidRPr="009F56E6">
        <w:rPr>
          <w:rStyle w:val="FootnoteReference0"/>
          <w:rFonts w:eastAsia="Calibri" w:cs="Arial"/>
          <w:noProof/>
        </w:rPr>
        <w:footnoteReference w:id="23"/>
      </w:r>
      <w:r w:rsidR="00B160C7" w:rsidRPr="009F56E6">
        <w:rPr>
          <w:rFonts w:eastAsia="Calibri" w:cs="Arial"/>
          <w:noProof/>
        </w:rPr>
        <w:t xml:space="preserve"> </w:t>
      </w:r>
      <w:r w:rsidR="009A3BD7" w:rsidRPr="009F56E6">
        <w:rPr>
          <w:rFonts w:eastAsia="Calibri" w:cs="Arial"/>
          <w:noProof/>
        </w:rPr>
        <w:t>As a consequence, a number of bilateral connections</w:t>
      </w:r>
      <w:r w:rsidR="009A3BD7" w:rsidRPr="009F56E6" w:rsidDel="00ED1C79">
        <w:rPr>
          <w:rFonts w:eastAsia="Calibri" w:cs="Arial"/>
          <w:noProof/>
        </w:rPr>
        <w:t xml:space="preserve"> </w:t>
      </w:r>
      <w:r w:rsidR="00ED1C79" w:rsidRPr="009F56E6">
        <w:rPr>
          <w:rFonts w:eastAsia="Calibri" w:cs="Arial"/>
          <w:noProof/>
        </w:rPr>
        <w:t xml:space="preserve">have </w:t>
      </w:r>
      <w:r w:rsidR="009A3BD7" w:rsidRPr="009F56E6">
        <w:rPr>
          <w:rFonts w:eastAsia="Calibri" w:cs="Arial"/>
          <w:noProof/>
        </w:rPr>
        <w:t xml:space="preserve">not </w:t>
      </w:r>
      <w:r w:rsidR="00ED1C79" w:rsidRPr="009F56E6">
        <w:rPr>
          <w:rFonts w:eastAsia="Calibri" w:cs="Arial"/>
          <w:noProof/>
        </w:rPr>
        <w:t xml:space="preserve">been </w:t>
      </w:r>
      <w:r w:rsidR="009A3BD7" w:rsidRPr="009F56E6">
        <w:rPr>
          <w:rFonts w:eastAsia="Calibri" w:cs="Arial"/>
          <w:noProof/>
        </w:rPr>
        <w:t>established</w:t>
      </w:r>
      <w:r w:rsidR="00103C4A" w:rsidRPr="009F56E6">
        <w:rPr>
          <w:rFonts w:eastAsia="Calibri" w:cs="Arial"/>
          <w:noProof/>
        </w:rPr>
        <w:t>,</w:t>
      </w:r>
      <w:r w:rsidR="009A3BD7" w:rsidRPr="009F56E6">
        <w:rPr>
          <w:rFonts w:eastAsia="Calibri" w:cs="Arial"/>
          <w:noProof/>
        </w:rPr>
        <w:t xml:space="preserve"> and queries cannot be </w:t>
      </w:r>
      <w:r w:rsidR="0098140E" w:rsidRPr="009F56E6">
        <w:rPr>
          <w:rFonts w:eastAsia="Calibri" w:cs="Arial"/>
          <w:noProof/>
        </w:rPr>
        <w:t>launched to</w:t>
      </w:r>
      <w:r w:rsidR="009A3BD7" w:rsidRPr="009F56E6">
        <w:rPr>
          <w:rFonts w:eastAsia="Calibri" w:cs="Arial"/>
          <w:noProof/>
        </w:rPr>
        <w:t xml:space="preserve"> some Member States</w:t>
      </w:r>
      <w:r w:rsidR="0098140E" w:rsidRPr="009F56E6">
        <w:rPr>
          <w:rFonts w:eastAsia="Calibri" w:cs="Arial"/>
          <w:noProof/>
        </w:rPr>
        <w:t>’ databases</w:t>
      </w:r>
      <w:r w:rsidR="009A3BD7" w:rsidRPr="009F56E6">
        <w:rPr>
          <w:rFonts w:eastAsia="Calibri" w:cs="Arial"/>
          <w:noProof/>
        </w:rPr>
        <w:t>. Findings of the evaluation also showed that the follow-up to hits occur</w:t>
      </w:r>
      <w:r w:rsidR="00A36E24" w:rsidRPr="009F56E6">
        <w:rPr>
          <w:rFonts w:eastAsia="Calibri" w:cs="Arial"/>
          <w:noProof/>
        </w:rPr>
        <w:t>s</w:t>
      </w:r>
      <w:r w:rsidR="009A3BD7" w:rsidRPr="009F56E6">
        <w:rPr>
          <w:rFonts w:eastAsia="Calibri" w:cs="Arial"/>
          <w:noProof/>
        </w:rPr>
        <w:t xml:space="preserve"> based on national law and therefore </w:t>
      </w:r>
      <w:r w:rsidR="00A36E24" w:rsidRPr="009F56E6">
        <w:rPr>
          <w:rFonts w:eastAsia="Calibri" w:cs="Arial"/>
          <w:noProof/>
        </w:rPr>
        <w:t xml:space="preserve">falls </w:t>
      </w:r>
      <w:r w:rsidR="009A3BD7" w:rsidRPr="009F56E6">
        <w:rPr>
          <w:rFonts w:eastAsia="Calibri" w:cs="Arial"/>
          <w:noProof/>
        </w:rPr>
        <w:t xml:space="preserve">outside the scope of the Prüm Decisions. Differences in national rules and procedures </w:t>
      </w:r>
      <w:r w:rsidR="00103C4A" w:rsidRPr="009F56E6">
        <w:rPr>
          <w:rFonts w:eastAsia="Calibri" w:cs="Arial"/>
          <w:noProof/>
        </w:rPr>
        <w:t xml:space="preserve">can cause, in several instances, significant time-lags for competent authorities to receive information following a hit. </w:t>
      </w:r>
      <w:r w:rsidR="009A3BD7" w:rsidRPr="009F56E6">
        <w:rPr>
          <w:rFonts w:eastAsia="Calibri" w:cs="Arial"/>
          <w:noProof/>
        </w:rPr>
        <w:t xml:space="preserve">This state of play affects the functioning of the Prüm system </w:t>
      </w:r>
      <w:r w:rsidR="00103C4A" w:rsidRPr="009F56E6">
        <w:rPr>
          <w:rFonts w:eastAsia="Calibri" w:cs="Arial"/>
          <w:noProof/>
        </w:rPr>
        <w:t>as well as</w:t>
      </w:r>
      <w:r w:rsidR="009A3BD7" w:rsidRPr="009F56E6">
        <w:rPr>
          <w:rFonts w:eastAsia="Calibri" w:cs="Arial"/>
          <w:noProof/>
        </w:rPr>
        <w:t xml:space="preserve"> the effective exchange of information </w:t>
      </w:r>
      <w:r w:rsidR="006C42AD">
        <w:rPr>
          <w:rFonts w:eastAsia="Calibri" w:cs="Arial"/>
          <w:noProof/>
        </w:rPr>
        <w:t>between</w:t>
      </w:r>
      <w:r w:rsidR="006C42AD" w:rsidRPr="009F56E6">
        <w:rPr>
          <w:rFonts w:eastAsia="Calibri" w:cs="Arial"/>
          <w:noProof/>
        </w:rPr>
        <w:t xml:space="preserve"> </w:t>
      </w:r>
      <w:r w:rsidR="009A3BD7" w:rsidRPr="009F56E6">
        <w:rPr>
          <w:rFonts w:eastAsia="Calibri" w:cs="Arial"/>
          <w:noProof/>
        </w:rPr>
        <w:t>Member States by decreasing the possibility that criminals are identified, and cross-border links between crimes are detected.</w:t>
      </w:r>
    </w:p>
    <w:p w14:paraId="272C1004" w14:textId="1F4DF428" w:rsidR="00103C4A" w:rsidRPr="009F56E6" w:rsidRDefault="00103C4A" w:rsidP="00D80C7D">
      <w:pPr>
        <w:pBdr>
          <w:top w:val="nil"/>
          <w:left w:val="nil"/>
          <w:bottom w:val="nil"/>
          <w:right w:val="nil"/>
          <w:between w:val="nil"/>
          <w:bar w:val="nil"/>
        </w:pBdr>
        <w:spacing w:before="0" w:after="240"/>
        <w:rPr>
          <w:rFonts w:eastAsia="Calibri"/>
          <w:noProof/>
          <w:szCs w:val="24"/>
          <w:lang w:eastAsia="en-GB"/>
        </w:rPr>
      </w:pPr>
      <w:r w:rsidRPr="009F56E6">
        <w:rPr>
          <w:rFonts w:eastAsia="Calibri" w:cs="Arial"/>
          <w:noProof/>
        </w:rPr>
        <w:t xml:space="preserve">The </w:t>
      </w:r>
      <w:r w:rsidR="001E7652" w:rsidRPr="009F56E6">
        <w:rPr>
          <w:rFonts w:eastAsia="Calibri" w:cs="Arial"/>
          <w:noProof/>
        </w:rPr>
        <w:t xml:space="preserve">findings of the </w:t>
      </w:r>
      <w:r w:rsidRPr="009F56E6">
        <w:rPr>
          <w:rFonts w:eastAsia="Calibri" w:cs="Arial"/>
          <w:noProof/>
        </w:rPr>
        <w:t xml:space="preserve">evaluation supported the preparation of the impact assessment and </w:t>
      </w:r>
      <w:r w:rsidR="007F6246" w:rsidRPr="009F56E6">
        <w:rPr>
          <w:rFonts w:eastAsia="Calibri" w:cs="Arial"/>
          <w:noProof/>
        </w:rPr>
        <w:t xml:space="preserve">of </w:t>
      </w:r>
      <w:r w:rsidRPr="009F56E6">
        <w:rPr>
          <w:rFonts w:eastAsia="Calibri" w:cs="Arial"/>
          <w:noProof/>
        </w:rPr>
        <w:t>this proposal.</w:t>
      </w:r>
    </w:p>
    <w:p w14:paraId="0C6F782E" w14:textId="2798F749" w:rsidR="00220060" w:rsidRPr="009F56E6" w:rsidRDefault="00220060" w:rsidP="00220060">
      <w:pPr>
        <w:pStyle w:val="ManualHeading2"/>
        <w:rPr>
          <w:rFonts w:eastAsia="Arial Unicode MS"/>
          <w:noProof/>
          <w:u w:color="000000"/>
          <w:bdr w:val="nil"/>
          <w:lang w:val="en-US" w:eastAsia="en-GB"/>
        </w:rPr>
      </w:pPr>
      <w:r w:rsidRPr="009F56E6">
        <w:rPr>
          <w:rFonts w:eastAsia="Arial Unicode MS"/>
          <w:noProof/>
          <w:u w:color="000000"/>
          <w:bdr w:val="nil"/>
          <w:lang w:val="en-US" w:eastAsia="en-GB"/>
        </w:rPr>
        <w:t xml:space="preserve">• </w:t>
      </w:r>
      <w:r w:rsidRPr="009F56E6">
        <w:rPr>
          <w:rFonts w:eastAsia="Arial Unicode MS"/>
          <w:noProof/>
          <w:u w:color="000000"/>
          <w:bdr w:val="nil"/>
          <w:lang w:val="en-US" w:eastAsia="en-GB"/>
        </w:rPr>
        <w:tab/>
      </w:r>
      <w:r w:rsidR="0078382C" w:rsidRPr="009F56E6">
        <w:rPr>
          <w:rFonts w:eastAsia="Arial Unicode MS"/>
          <w:noProof/>
          <w:u w:color="000000"/>
          <w:bdr w:val="nil"/>
          <w:lang w:val="en-US" w:eastAsia="en-GB"/>
        </w:rPr>
        <w:t>Stakeholder consultations</w:t>
      </w:r>
    </w:p>
    <w:p w14:paraId="4AC0435E" w14:textId="15383A85" w:rsidR="00220060" w:rsidRPr="00CE3F2A" w:rsidRDefault="00220060" w:rsidP="00220060">
      <w:pPr>
        <w:pBdr>
          <w:top w:val="nil"/>
          <w:left w:val="nil"/>
          <w:bottom w:val="nil"/>
          <w:right w:val="nil"/>
          <w:between w:val="nil"/>
          <w:bar w:val="nil"/>
        </w:pBdr>
        <w:spacing w:before="0" w:after="240"/>
        <w:rPr>
          <w:noProof/>
        </w:rPr>
      </w:pPr>
      <w:r w:rsidRPr="00CE3F2A">
        <w:rPr>
          <w:noProof/>
        </w:rPr>
        <w:t xml:space="preserve">The preparation of this proposal involved targeted consultations of concerned stakeholders, including end-users of the system, namely Member States’ authorities using the Prüm automated data exchange ranging from law enforcement and judicial authorities, national vehicle registration authorities, to national database custodians and forensic laboratories. Europol and eu-LISA were also consulted in view of their </w:t>
      </w:r>
      <w:r w:rsidR="0098140E" w:rsidRPr="00CE3F2A">
        <w:rPr>
          <w:noProof/>
        </w:rPr>
        <w:t xml:space="preserve">respective expertise and their </w:t>
      </w:r>
      <w:r w:rsidRPr="00CE3F2A">
        <w:rPr>
          <w:noProof/>
        </w:rPr>
        <w:t xml:space="preserve">potential role in the new Prüm framework. </w:t>
      </w:r>
    </w:p>
    <w:p w14:paraId="4CE552AD" w14:textId="1D7787D1" w:rsidR="00220060" w:rsidRPr="00CE3F2A" w:rsidRDefault="005917F0" w:rsidP="00220060">
      <w:pPr>
        <w:pBdr>
          <w:top w:val="nil"/>
          <w:left w:val="nil"/>
          <w:bottom w:val="nil"/>
          <w:right w:val="nil"/>
          <w:between w:val="nil"/>
          <w:bar w:val="nil"/>
        </w:pBdr>
        <w:spacing w:before="0" w:after="240"/>
        <w:rPr>
          <w:noProof/>
        </w:rPr>
      </w:pPr>
      <w:r w:rsidRPr="00CE3F2A">
        <w:rPr>
          <w:noProof/>
        </w:rPr>
        <w:t xml:space="preserve">The </w:t>
      </w:r>
      <w:r w:rsidR="00F309B5" w:rsidRPr="00CE3F2A">
        <w:rPr>
          <w:noProof/>
        </w:rPr>
        <w:t>FRA, as well as n</w:t>
      </w:r>
      <w:r w:rsidR="00220060" w:rsidRPr="00CE3F2A">
        <w:rPr>
          <w:noProof/>
        </w:rPr>
        <w:t>on-governmental organisations such as EDRi (European Digital Rights) and intergovernmental organisations (</w:t>
      </w:r>
      <w:r w:rsidR="004B0DD0" w:rsidRPr="00CE3F2A">
        <w:rPr>
          <w:noProof/>
        </w:rPr>
        <w:t>Eucaris</w:t>
      </w:r>
      <w:r w:rsidR="00220060" w:rsidRPr="00CE3F2A">
        <w:rPr>
          <w:noProof/>
        </w:rPr>
        <w:t xml:space="preserve"> – European car and driving licence information systems) </w:t>
      </w:r>
      <w:r w:rsidR="001806E7" w:rsidRPr="00CE3F2A">
        <w:rPr>
          <w:noProof/>
        </w:rPr>
        <w:t>also provided input</w:t>
      </w:r>
      <w:r w:rsidR="00220060" w:rsidRPr="00CE3F2A">
        <w:rPr>
          <w:noProof/>
        </w:rPr>
        <w:t xml:space="preserve"> </w:t>
      </w:r>
      <w:r w:rsidR="001806E7" w:rsidRPr="00CE3F2A">
        <w:rPr>
          <w:noProof/>
        </w:rPr>
        <w:t xml:space="preserve">in light of their </w:t>
      </w:r>
      <w:r w:rsidR="00220060" w:rsidRPr="00CE3F2A">
        <w:rPr>
          <w:noProof/>
        </w:rPr>
        <w:t>expertise.</w:t>
      </w:r>
    </w:p>
    <w:p w14:paraId="3CB28E0E" w14:textId="6466788D" w:rsidR="00D03472" w:rsidRPr="009F56E6" w:rsidRDefault="00220060" w:rsidP="00220060">
      <w:pPr>
        <w:pBdr>
          <w:top w:val="nil"/>
          <w:left w:val="nil"/>
          <w:bottom w:val="nil"/>
          <w:right w:val="nil"/>
          <w:between w:val="nil"/>
          <w:bar w:val="nil"/>
        </w:pBdr>
        <w:spacing w:before="0" w:after="240"/>
        <w:rPr>
          <w:rFonts w:eastAsia="Calibri" w:cs="Arial"/>
          <w:noProof/>
        </w:rPr>
      </w:pPr>
      <w:r w:rsidRPr="009F56E6">
        <w:rPr>
          <w:rFonts w:eastAsia="Arial Unicode MS"/>
          <w:noProof/>
        </w:rPr>
        <w:t>Consultation activities</w:t>
      </w:r>
      <w:r w:rsidR="00EE34C6">
        <w:rPr>
          <w:rFonts w:eastAsia="Arial Unicode MS"/>
          <w:noProof/>
        </w:rPr>
        <w:t xml:space="preserve"> in the context of the preparation of the impact assessment underpinning this proposal</w:t>
      </w:r>
      <w:r w:rsidRPr="009F56E6">
        <w:rPr>
          <w:rFonts w:eastAsia="Arial Unicode MS"/>
          <w:noProof/>
        </w:rPr>
        <w:t xml:space="preserve"> gather</w:t>
      </w:r>
      <w:r w:rsidR="004F035E" w:rsidRPr="009F56E6">
        <w:rPr>
          <w:rFonts w:eastAsia="Arial Unicode MS"/>
          <w:noProof/>
        </w:rPr>
        <w:t>ed</w:t>
      </w:r>
      <w:r w:rsidRPr="009F56E6">
        <w:rPr>
          <w:rFonts w:eastAsia="Arial Unicode MS"/>
          <w:noProof/>
        </w:rPr>
        <w:t xml:space="preserve"> feedback from stakeholders in various fora</w:t>
      </w:r>
      <w:r w:rsidR="004F035E" w:rsidRPr="009F56E6">
        <w:rPr>
          <w:rFonts w:eastAsia="Arial Unicode MS"/>
          <w:noProof/>
        </w:rPr>
        <w:t>. These activities included notably</w:t>
      </w:r>
      <w:r w:rsidRPr="009F56E6">
        <w:rPr>
          <w:rFonts w:eastAsia="Arial Unicode MS"/>
          <w:noProof/>
        </w:rPr>
        <w:t xml:space="preserve"> an inception impact assessment, a public consultation and a series of </w:t>
      </w:r>
      <w:r w:rsidR="00473B00" w:rsidRPr="009F56E6">
        <w:rPr>
          <w:rFonts w:eastAsia="Arial Unicode MS"/>
          <w:noProof/>
        </w:rPr>
        <w:t>technical workshops</w:t>
      </w:r>
      <w:r w:rsidRPr="009F56E6">
        <w:rPr>
          <w:rFonts w:eastAsia="Arial Unicode MS"/>
          <w:noProof/>
        </w:rPr>
        <w:t>.</w:t>
      </w:r>
      <w:r w:rsidR="00500AC6" w:rsidRPr="009F56E6">
        <w:rPr>
          <w:rFonts w:eastAsia="Arial Unicode MS"/>
          <w:noProof/>
        </w:rPr>
        <w:t xml:space="preserve"> </w:t>
      </w:r>
      <w:r w:rsidR="00D72FE3" w:rsidRPr="009F56E6">
        <w:rPr>
          <w:rFonts w:eastAsia="Arial Unicode MS"/>
          <w:noProof/>
        </w:rPr>
        <w:t>A f</w:t>
      </w:r>
      <w:r w:rsidR="00133482" w:rsidRPr="009F56E6">
        <w:rPr>
          <w:rFonts w:eastAsia="Arial Unicode MS"/>
          <w:noProof/>
        </w:rPr>
        <w:t xml:space="preserve">easibility study </w:t>
      </w:r>
      <w:r w:rsidR="00D72FE3" w:rsidRPr="009F56E6">
        <w:rPr>
          <w:rFonts w:eastAsia="Arial Unicode MS"/>
          <w:noProof/>
        </w:rPr>
        <w:t>was conducted based on desk research, interviews with subject matter experts, questionnaires and three expert</w:t>
      </w:r>
      <w:r w:rsidR="00133482" w:rsidRPr="009F56E6">
        <w:rPr>
          <w:rFonts w:eastAsia="Arial Unicode MS"/>
          <w:noProof/>
        </w:rPr>
        <w:t xml:space="preserve"> workshops</w:t>
      </w:r>
      <w:r w:rsidR="009A2E61" w:rsidRPr="009F56E6">
        <w:rPr>
          <w:rFonts w:eastAsia="Arial Unicode MS"/>
          <w:noProof/>
        </w:rPr>
        <w:t>, and examined the feasibility of improving information exchange under the Prüm Decisions</w:t>
      </w:r>
      <w:r w:rsidR="00D72FE3" w:rsidRPr="009F56E6">
        <w:rPr>
          <w:rFonts w:eastAsia="Arial Unicode MS"/>
          <w:noProof/>
        </w:rPr>
        <w:t>.</w:t>
      </w:r>
    </w:p>
    <w:p w14:paraId="76348F83" w14:textId="7475455B" w:rsidR="00103C4A" w:rsidRPr="009F56E6" w:rsidRDefault="00D03472" w:rsidP="00220060">
      <w:pPr>
        <w:pBdr>
          <w:top w:val="nil"/>
          <w:left w:val="nil"/>
          <w:bottom w:val="nil"/>
          <w:right w:val="nil"/>
          <w:between w:val="nil"/>
          <w:bar w:val="nil"/>
        </w:pBdr>
        <w:spacing w:before="0" w:after="240"/>
        <w:rPr>
          <w:rFonts w:eastAsia="Arial Unicode MS"/>
          <w:noProof/>
        </w:rPr>
      </w:pPr>
      <w:r w:rsidRPr="009F56E6">
        <w:rPr>
          <w:noProof/>
          <w:szCs w:val="24"/>
          <w:lang w:eastAsia="fr-BE"/>
        </w:rPr>
        <w:t>Regular discussions on law enforcement information exchange and specifically on the Prüm Decisions in the Council Working Party DAPIX/IXIM</w:t>
      </w:r>
      <w:r w:rsidRPr="009F56E6">
        <w:rPr>
          <w:rStyle w:val="FootnoteReference0"/>
          <w:noProof/>
          <w:szCs w:val="24"/>
          <w:lang w:eastAsia="fr-BE"/>
        </w:rPr>
        <w:footnoteReference w:id="24"/>
      </w:r>
      <w:r w:rsidRPr="009F56E6">
        <w:rPr>
          <w:noProof/>
          <w:szCs w:val="24"/>
          <w:lang w:eastAsia="fr-BE"/>
        </w:rPr>
        <w:t xml:space="preserve"> also contributed to preparing this proposal.</w:t>
      </w:r>
    </w:p>
    <w:p w14:paraId="15ED9977" w14:textId="1FFE2ED9" w:rsidR="00220060" w:rsidRPr="009F56E6" w:rsidRDefault="00F617B0" w:rsidP="00220060">
      <w:pPr>
        <w:pBdr>
          <w:top w:val="nil"/>
          <w:left w:val="nil"/>
          <w:bottom w:val="nil"/>
          <w:right w:val="nil"/>
          <w:between w:val="nil"/>
          <w:bar w:val="nil"/>
        </w:pBdr>
        <w:spacing w:before="0" w:after="240"/>
        <w:rPr>
          <w:rFonts w:eastAsia="Arial Unicode MS"/>
          <w:noProof/>
          <w:lang w:val="en-IE"/>
        </w:rPr>
      </w:pPr>
      <w:r w:rsidRPr="009F56E6">
        <w:rPr>
          <w:rFonts w:eastAsia="Arial Unicode MS"/>
          <w:noProof/>
        </w:rPr>
        <w:t>An</w:t>
      </w:r>
      <w:r w:rsidR="0098298C" w:rsidRPr="009F56E6">
        <w:rPr>
          <w:rFonts w:eastAsia="Arial Unicode MS"/>
          <w:noProof/>
        </w:rPr>
        <w:t xml:space="preserve"> </w:t>
      </w:r>
      <w:r w:rsidR="00220060" w:rsidRPr="009F56E6">
        <w:rPr>
          <w:rFonts w:eastAsia="Arial Unicode MS"/>
          <w:b/>
          <w:bCs/>
          <w:noProof/>
        </w:rPr>
        <w:t>inception impact assessment</w:t>
      </w:r>
      <w:r w:rsidR="00220060" w:rsidRPr="009F56E6">
        <w:rPr>
          <w:rFonts w:eastAsia="Arial Unicode MS"/>
          <w:noProof/>
        </w:rPr>
        <w:t xml:space="preserve"> </w:t>
      </w:r>
      <w:r w:rsidRPr="009F56E6">
        <w:rPr>
          <w:rFonts w:eastAsia="Arial Unicode MS"/>
          <w:noProof/>
        </w:rPr>
        <w:t>was published for feedback from August to October 2020, with a total of six contributions received.</w:t>
      </w:r>
      <w:r w:rsidRPr="009F56E6">
        <w:rPr>
          <w:rStyle w:val="FootnoteReference0"/>
          <w:rFonts w:eastAsia="Arial Unicode MS"/>
          <w:noProof/>
        </w:rPr>
        <w:footnoteReference w:id="25"/>
      </w:r>
    </w:p>
    <w:p w14:paraId="5725262C" w14:textId="25CAC72F" w:rsidR="00220060" w:rsidRPr="009F56E6" w:rsidRDefault="00220060" w:rsidP="00220060">
      <w:pPr>
        <w:pBdr>
          <w:top w:val="nil"/>
          <w:left w:val="nil"/>
          <w:bottom w:val="nil"/>
          <w:right w:val="nil"/>
          <w:between w:val="nil"/>
          <w:bar w:val="nil"/>
        </w:pBdr>
        <w:spacing w:before="0" w:after="240"/>
        <w:rPr>
          <w:rFonts w:eastAsia="Calibri"/>
          <w:noProof/>
          <w:szCs w:val="24"/>
        </w:rPr>
      </w:pPr>
      <w:r w:rsidRPr="009F56E6">
        <w:rPr>
          <w:rFonts w:eastAsia="Arial Unicode MS"/>
          <w:noProof/>
        </w:rPr>
        <w:t xml:space="preserve">A </w:t>
      </w:r>
      <w:r w:rsidRPr="009F56E6">
        <w:rPr>
          <w:rFonts w:eastAsia="Arial Unicode MS"/>
          <w:b/>
          <w:bCs/>
          <w:noProof/>
        </w:rPr>
        <w:t>public consultation</w:t>
      </w:r>
      <w:r w:rsidRPr="009F56E6">
        <w:rPr>
          <w:rFonts w:eastAsia="Arial Unicode MS"/>
          <w:noProof/>
        </w:rPr>
        <w:t xml:space="preserve"> advertised on </w:t>
      </w:r>
      <w:r w:rsidR="00A554F3" w:rsidRPr="009F56E6">
        <w:rPr>
          <w:rFonts w:eastAsia="Arial Unicode MS"/>
          <w:noProof/>
        </w:rPr>
        <w:t xml:space="preserve">the </w:t>
      </w:r>
      <w:r w:rsidRPr="009F56E6">
        <w:rPr>
          <w:rFonts w:eastAsia="Arial Unicode MS"/>
          <w:noProof/>
        </w:rPr>
        <w:t xml:space="preserve">European Commission’s website targeted the general public. Replies confirmed that the existing Prüm framework </w:t>
      </w:r>
      <w:r w:rsidR="00A554F3" w:rsidRPr="009F56E6">
        <w:rPr>
          <w:rFonts w:eastAsia="Arial Unicode MS"/>
          <w:noProof/>
        </w:rPr>
        <w:t xml:space="preserve">is </w:t>
      </w:r>
      <w:r w:rsidRPr="009F56E6">
        <w:rPr>
          <w:rFonts w:eastAsia="Arial Unicode MS"/>
          <w:noProof/>
        </w:rPr>
        <w:t xml:space="preserve">relevant for the prevention and investigation of criminal offences, and </w:t>
      </w:r>
      <w:r w:rsidR="00A554F3" w:rsidRPr="009F56E6">
        <w:rPr>
          <w:rFonts w:eastAsia="Arial Unicode MS"/>
          <w:noProof/>
        </w:rPr>
        <w:t xml:space="preserve">has </w:t>
      </w:r>
      <w:r w:rsidRPr="009F56E6">
        <w:rPr>
          <w:rFonts w:eastAsia="Arial Unicode MS"/>
          <w:noProof/>
        </w:rPr>
        <w:t xml:space="preserve">improved the exchange of data between Member States’ law enforcement authorities. By preventing the need to query each Member State bilaterally, the automated data exchange under the Prüm framework </w:t>
      </w:r>
      <w:r w:rsidR="00A554F3" w:rsidRPr="009F56E6">
        <w:rPr>
          <w:rFonts w:eastAsia="Arial Unicode MS"/>
          <w:noProof/>
        </w:rPr>
        <w:t xml:space="preserve">has </w:t>
      </w:r>
      <w:r w:rsidRPr="009F56E6">
        <w:rPr>
          <w:rFonts w:eastAsia="Arial Unicode MS"/>
          <w:noProof/>
        </w:rPr>
        <w:t xml:space="preserve">also brought efficiency gains. Replies further confirmed the coherence of the framework with EU and international actions in this field, and that it </w:t>
      </w:r>
      <w:r w:rsidR="00A554F3" w:rsidRPr="009F56E6">
        <w:rPr>
          <w:rFonts w:eastAsia="Arial Unicode MS"/>
          <w:noProof/>
        </w:rPr>
        <w:t xml:space="preserve">has </w:t>
      </w:r>
      <w:r w:rsidRPr="009F56E6">
        <w:rPr>
          <w:rFonts w:eastAsia="Arial Unicode MS"/>
          <w:noProof/>
        </w:rPr>
        <w:t>added</w:t>
      </w:r>
      <w:r w:rsidR="00A554F3" w:rsidRPr="009F56E6">
        <w:rPr>
          <w:rFonts w:eastAsia="Arial Unicode MS"/>
          <w:noProof/>
        </w:rPr>
        <w:t>-</w:t>
      </w:r>
      <w:r w:rsidR="00A513F3" w:rsidRPr="009F56E6">
        <w:rPr>
          <w:rFonts w:eastAsia="Arial Unicode MS"/>
          <w:noProof/>
        </w:rPr>
        <w:t>value compared</w:t>
      </w:r>
      <w:r w:rsidRPr="009F56E6">
        <w:rPr>
          <w:rFonts w:eastAsia="Calibri"/>
          <w:noProof/>
          <w:szCs w:val="24"/>
        </w:rPr>
        <w:t xml:space="preserve"> to what Member States could achieve in the field of law enforcement information exchange in the absence of the Prüm framework. In terms of strengthening the current framework, most respondents agreed that</w:t>
      </w:r>
      <w:r w:rsidR="00A554F3" w:rsidRPr="009F56E6">
        <w:rPr>
          <w:rFonts w:eastAsia="Calibri"/>
          <w:noProof/>
          <w:szCs w:val="24"/>
        </w:rPr>
        <w:t xml:space="preserve"> the fact that</w:t>
      </w:r>
      <w:r w:rsidRPr="009F56E6">
        <w:rPr>
          <w:rFonts w:eastAsia="Calibri"/>
          <w:noProof/>
          <w:szCs w:val="24"/>
        </w:rPr>
        <w:t xml:space="preserve"> </w:t>
      </w:r>
      <w:r w:rsidR="00A554F3" w:rsidRPr="009F56E6">
        <w:rPr>
          <w:rFonts w:eastAsia="Calibri"/>
          <w:noProof/>
          <w:szCs w:val="24"/>
        </w:rPr>
        <w:t xml:space="preserve">some </w:t>
      </w:r>
      <w:r w:rsidRPr="009F56E6">
        <w:rPr>
          <w:rFonts w:eastAsia="Calibri"/>
          <w:noProof/>
          <w:szCs w:val="24"/>
        </w:rPr>
        <w:t xml:space="preserve">data categories </w:t>
      </w:r>
      <w:r w:rsidR="00A554F3" w:rsidRPr="009F56E6">
        <w:rPr>
          <w:rFonts w:eastAsia="Calibri"/>
          <w:noProof/>
          <w:szCs w:val="24"/>
        </w:rPr>
        <w:t xml:space="preserve">are not covered by the framework and </w:t>
      </w:r>
      <w:r w:rsidRPr="009F56E6">
        <w:rPr>
          <w:rFonts w:eastAsia="Calibri"/>
          <w:noProof/>
          <w:szCs w:val="24"/>
        </w:rPr>
        <w:t xml:space="preserve">are </w:t>
      </w:r>
      <w:r w:rsidR="00A554F3" w:rsidRPr="009F56E6">
        <w:rPr>
          <w:rFonts w:eastAsia="Calibri"/>
          <w:noProof/>
          <w:szCs w:val="24"/>
        </w:rPr>
        <w:t>therefore</w:t>
      </w:r>
      <w:r w:rsidRPr="009F56E6">
        <w:rPr>
          <w:rFonts w:eastAsia="Calibri"/>
          <w:noProof/>
          <w:szCs w:val="24"/>
        </w:rPr>
        <w:t xml:space="preserve"> exchanged by sending manual queries is a shortcoming</w:t>
      </w:r>
      <w:r w:rsidR="00F617B0" w:rsidRPr="009F56E6">
        <w:rPr>
          <w:rFonts w:eastAsia="Calibri"/>
          <w:noProof/>
          <w:szCs w:val="24"/>
        </w:rPr>
        <w:t>.</w:t>
      </w:r>
    </w:p>
    <w:p w14:paraId="47364BD0" w14:textId="6F480F8B" w:rsidR="00220060" w:rsidRPr="009F56E6" w:rsidRDefault="00F617B0" w:rsidP="00220060">
      <w:pPr>
        <w:pBdr>
          <w:top w:val="nil"/>
          <w:left w:val="nil"/>
          <w:bottom w:val="nil"/>
          <w:right w:val="nil"/>
          <w:between w:val="nil"/>
          <w:bar w:val="nil"/>
        </w:pBdr>
        <w:spacing w:before="0" w:after="240"/>
        <w:rPr>
          <w:rFonts w:eastAsia="Calibri"/>
          <w:noProof/>
          <w:szCs w:val="24"/>
        </w:rPr>
      </w:pPr>
      <w:r w:rsidRPr="009F56E6">
        <w:rPr>
          <w:rFonts w:eastAsia="Calibri"/>
          <w:noProof/>
          <w:szCs w:val="24"/>
        </w:rPr>
        <w:t>The Commission’s services also organised a series of t</w:t>
      </w:r>
      <w:r w:rsidR="005D79C5" w:rsidRPr="009F56E6">
        <w:rPr>
          <w:rFonts w:eastAsia="Calibri"/>
          <w:noProof/>
          <w:szCs w:val="24"/>
        </w:rPr>
        <w:t xml:space="preserve">argeted </w:t>
      </w:r>
      <w:r w:rsidR="00031F9B" w:rsidRPr="009F56E6">
        <w:rPr>
          <w:rFonts w:eastAsia="Calibri"/>
          <w:noProof/>
          <w:szCs w:val="24"/>
        </w:rPr>
        <w:t xml:space="preserve">informal </w:t>
      </w:r>
      <w:r w:rsidR="00031F9B" w:rsidRPr="009F56E6">
        <w:rPr>
          <w:rFonts w:eastAsia="Calibri"/>
          <w:b/>
          <w:noProof/>
          <w:szCs w:val="24"/>
        </w:rPr>
        <w:t>technical</w:t>
      </w:r>
      <w:r w:rsidR="00031F9B" w:rsidRPr="009F56E6">
        <w:rPr>
          <w:rFonts w:eastAsia="Calibri"/>
          <w:noProof/>
          <w:szCs w:val="24"/>
        </w:rPr>
        <w:t xml:space="preserve"> </w:t>
      </w:r>
      <w:r w:rsidR="00031F9B" w:rsidRPr="009F56E6">
        <w:rPr>
          <w:rFonts w:eastAsia="Calibri"/>
          <w:b/>
          <w:bCs/>
          <w:noProof/>
          <w:szCs w:val="24"/>
        </w:rPr>
        <w:t>workshops</w:t>
      </w:r>
      <w:r w:rsidR="00031F9B" w:rsidRPr="009F56E6">
        <w:rPr>
          <w:rFonts w:eastAsia="Calibri"/>
          <w:noProof/>
          <w:szCs w:val="24"/>
        </w:rPr>
        <w:t xml:space="preserve"> </w:t>
      </w:r>
      <w:r w:rsidRPr="009F56E6">
        <w:rPr>
          <w:rFonts w:eastAsia="Calibri"/>
          <w:noProof/>
          <w:szCs w:val="24"/>
        </w:rPr>
        <w:t>with experts from Member States and Schengen Associated Countries. The workshops aimed at bringing together end-users for an exchange of views on the options, which were being envisaged and assessed to strengthen the Prüm framework, from a technical perspective.</w:t>
      </w:r>
    </w:p>
    <w:p w14:paraId="75FA9F0C" w14:textId="77777777" w:rsidR="00220060" w:rsidRPr="00CE3F2A" w:rsidRDefault="00220060" w:rsidP="00220060">
      <w:pPr>
        <w:pBdr>
          <w:top w:val="nil"/>
          <w:left w:val="nil"/>
          <w:bottom w:val="nil"/>
          <w:right w:val="nil"/>
          <w:between w:val="nil"/>
          <w:bar w:val="nil"/>
        </w:pBdr>
        <w:spacing w:before="0" w:after="240"/>
        <w:rPr>
          <w:noProof/>
        </w:rPr>
      </w:pPr>
      <w:r w:rsidRPr="00CE3F2A">
        <w:rPr>
          <w:noProof/>
        </w:rPr>
        <w:t>The accompanying impact assessment sets out a more detailed description of the stakeholder consultation (Annex 2).</w:t>
      </w:r>
    </w:p>
    <w:p w14:paraId="0D619A6A" w14:textId="77777777" w:rsidR="00220060" w:rsidRPr="009F56E6" w:rsidRDefault="00220060" w:rsidP="00220060">
      <w:pPr>
        <w:pStyle w:val="ManualHeading2"/>
        <w:rPr>
          <w:rFonts w:eastAsia="Arial Unicode MS"/>
          <w:noProof/>
          <w:u w:color="000000"/>
          <w:bdr w:val="nil"/>
          <w:lang w:val="en-US" w:eastAsia="en-GB"/>
        </w:rPr>
      </w:pPr>
      <w:r w:rsidRPr="009F56E6">
        <w:rPr>
          <w:rFonts w:eastAsia="Arial Unicode MS"/>
          <w:noProof/>
          <w:u w:color="000000"/>
          <w:bdr w:val="nil"/>
          <w:lang w:val="en-US" w:eastAsia="en-GB"/>
        </w:rPr>
        <w:t>•</w:t>
      </w:r>
      <w:r w:rsidRPr="009F56E6">
        <w:rPr>
          <w:rFonts w:eastAsia="Arial Unicode MS"/>
          <w:noProof/>
          <w:u w:color="000000"/>
          <w:bdr w:val="nil"/>
          <w:lang w:val="en-US" w:eastAsia="en-GB"/>
        </w:rPr>
        <w:tab/>
        <w:t>Impact assessment</w:t>
      </w:r>
    </w:p>
    <w:p w14:paraId="7DB7149A" w14:textId="47D10C42" w:rsidR="00C9541E" w:rsidRPr="00CE3F2A" w:rsidRDefault="00220060" w:rsidP="00C9541E">
      <w:pPr>
        <w:pBdr>
          <w:top w:val="nil"/>
          <w:left w:val="nil"/>
          <w:bottom w:val="nil"/>
          <w:right w:val="nil"/>
          <w:between w:val="nil"/>
          <w:bar w:val="nil"/>
        </w:pBdr>
        <w:spacing w:before="0" w:after="240"/>
        <w:rPr>
          <w:noProof/>
        </w:rPr>
      </w:pPr>
      <w:r w:rsidRPr="00CE3F2A">
        <w:rPr>
          <w:noProof/>
        </w:rPr>
        <w:t>The proposal is supported by an impact assessment as presented in the accompanying Staff Working Document</w:t>
      </w:r>
      <w:r w:rsidR="00133482" w:rsidRPr="00CE3F2A">
        <w:rPr>
          <w:noProof/>
        </w:rPr>
        <w:t xml:space="preserve"> [Prüm impact assessment reference]</w:t>
      </w:r>
      <w:r w:rsidRPr="00CE3F2A">
        <w:rPr>
          <w:noProof/>
        </w:rPr>
        <w:t>.</w:t>
      </w:r>
      <w:r w:rsidR="00C9541E" w:rsidRPr="00CE3F2A">
        <w:rPr>
          <w:noProof/>
        </w:rPr>
        <w:t xml:space="preserve"> The Regulatory Scrutiny Board reviewed the draft impact assessment at its meeting of 14 July 2021 and delivered its </w:t>
      </w:r>
      <w:r w:rsidR="00E74D11" w:rsidRPr="00CE3F2A">
        <w:rPr>
          <w:noProof/>
        </w:rPr>
        <w:t xml:space="preserve">positive </w:t>
      </w:r>
      <w:r w:rsidR="003D7F81" w:rsidRPr="00CE3F2A">
        <w:rPr>
          <w:noProof/>
        </w:rPr>
        <w:t>opinion</w:t>
      </w:r>
      <w:r w:rsidR="00C9541E" w:rsidRPr="00CE3F2A">
        <w:rPr>
          <w:noProof/>
        </w:rPr>
        <w:t xml:space="preserve"> on 16 July 2021. </w:t>
      </w:r>
    </w:p>
    <w:p w14:paraId="1D0DDEF9" w14:textId="78F42FDB" w:rsidR="00220060" w:rsidRPr="00CE3F2A" w:rsidRDefault="00C9541E" w:rsidP="00220060">
      <w:pPr>
        <w:pBdr>
          <w:top w:val="nil"/>
          <w:left w:val="nil"/>
          <w:bottom w:val="nil"/>
          <w:right w:val="nil"/>
          <w:between w:val="nil"/>
          <w:bar w:val="nil"/>
        </w:pBdr>
        <w:spacing w:before="0" w:after="240"/>
        <w:rPr>
          <w:noProof/>
        </w:rPr>
      </w:pPr>
      <w:r w:rsidRPr="00CE3F2A">
        <w:rPr>
          <w:noProof/>
        </w:rPr>
        <w:t>The impact assessment concluded that:</w:t>
      </w:r>
    </w:p>
    <w:p w14:paraId="0590717C" w14:textId="79BC249A" w:rsidR="00C9541E" w:rsidRPr="005A04A2" w:rsidRDefault="00C304BF" w:rsidP="00C304BF">
      <w:pPr>
        <w:pStyle w:val="Point0"/>
        <w:rPr>
          <w:noProof/>
        </w:rPr>
      </w:pPr>
      <w:r w:rsidRPr="00C304BF">
        <w:t>(1)</w:t>
      </w:r>
      <w:r w:rsidRPr="00C304BF">
        <w:tab/>
      </w:r>
      <w:r w:rsidR="00C9541E" w:rsidRPr="00CE3F2A">
        <w:rPr>
          <w:noProof/>
        </w:rPr>
        <w:t xml:space="preserve">To meet the objective of providing a technical solution for efficient automated exchange of data, </w:t>
      </w:r>
      <w:r w:rsidR="00AD31A0" w:rsidRPr="00CE3F2A">
        <w:rPr>
          <w:noProof/>
        </w:rPr>
        <w:t xml:space="preserve">a </w:t>
      </w:r>
      <w:r w:rsidR="00C9541E" w:rsidRPr="00CE3F2A">
        <w:rPr>
          <w:noProof/>
        </w:rPr>
        <w:t>hybrid solution between a decentralised and a centralised approach without data storage at central level should be applied.</w:t>
      </w:r>
    </w:p>
    <w:p w14:paraId="533B4E42" w14:textId="4E3C48A8" w:rsidR="00C9541E" w:rsidRPr="005A04A2" w:rsidRDefault="00C304BF" w:rsidP="00C304BF">
      <w:pPr>
        <w:pStyle w:val="Point0"/>
        <w:rPr>
          <w:noProof/>
        </w:rPr>
      </w:pPr>
      <w:r w:rsidRPr="00C304BF">
        <w:t>(2)</w:t>
      </w:r>
      <w:r w:rsidRPr="00C304BF">
        <w:tab/>
      </w:r>
      <w:r w:rsidR="00C9541E" w:rsidRPr="00CE3F2A">
        <w:rPr>
          <w:noProof/>
        </w:rPr>
        <w:t>To meet the objective of ensuring that more relevant data (in terms of data categories) is available</w:t>
      </w:r>
      <w:r w:rsidR="00AD31A0" w:rsidRPr="00CE3F2A">
        <w:rPr>
          <w:noProof/>
        </w:rPr>
        <w:t xml:space="preserve"> to law enforcement authorities</w:t>
      </w:r>
      <w:r w:rsidR="00C9541E" w:rsidRPr="00CE3F2A">
        <w:rPr>
          <w:noProof/>
        </w:rPr>
        <w:t>, the exchange of facial images and police records should be introduced.</w:t>
      </w:r>
    </w:p>
    <w:p w14:paraId="60E7B9D7" w14:textId="3F2A20E2" w:rsidR="00C9541E" w:rsidRPr="005A04A2" w:rsidRDefault="00C304BF" w:rsidP="00C304BF">
      <w:pPr>
        <w:pStyle w:val="Point0"/>
        <w:rPr>
          <w:noProof/>
        </w:rPr>
      </w:pPr>
      <w:r w:rsidRPr="00C304BF">
        <w:t>(3)</w:t>
      </w:r>
      <w:r w:rsidRPr="00C304BF">
        <w:tab/>
      </w:r>
      <w:r w:rsidR="00C9541E" w:rsidRPr="00CE3F2A">
        <w:rPr>
          <w:noProof/>
        </w:rPr>
        <w:t>To meet the objective of ensuring that relevant d</w:t>
      </w:r>
      <w:r w:rsidR="00AD31A0" w:rsidRPr="00CE3F2A">
        <w:rPr>
          <w:noProof/>
        </w:rPr>
        <w:t>ata from Europol’s database</w:t>
      </w:r>
      <w:r w:rsidR="008A0DB1">
        <w:rPr>
          <w:noProof/>
        </w:rPr>
        <w:t>s</w:t>
      </w:r>
      <w:r w:rsidR="00AD31A0" w:rsidRPr="00CE3F2A">
        <w:rPr>
          <w:noProof/>
        </w:rPr>
        <w:t xml:space="preserve"> is</w:t>
      </w:r>
      <w:r w:rsidR="00C9541E" w:rsidRPr="00CE3F2A">
        <w:rPr>
          <w:noProof/>
        </w:rPr>
        <w:t xml:space="preserve"> available to law enforcement authorities, Member States should be able to check automatically third</w:t>
      </w:r>
      <w:r w:rsidR="00A36E24" w:rsidRPr="00CE3F2A">
        <w:rPr>
          <w:noProof/>
        </w:rPr>
        <w:t xml:space="preserve"> </w:t>
      </w:r>
      <w:r w:rsidR="00C9541E" w:rsidRPr="00CE3F2A">
        <w:rPr>
          <w:noProof/>
        </w:rPr>
        <w:t>country</w:t>
      </w:r>
      <w:r w:rsidR="00A36E24" w:rsidRPr="00CE3F2A">
        <w:rPr>
          <w:noProof/>
        </w:rPr>
        <w:t>-</w:t>
      </w:r>
      <w:r w:rsidR="00C9541E" w:rsidRPr="00CE3F2A">
        <w:rPr>
          <w:noProof/>
        </w:rPr>
        <w:t xml:space="preserve">sourced </w:t>
      </w:r>
      <w:r w:rsidR="00C5751B" w:rsidRPr="00CE3F2A">
        <w:rPr>
          <w:noProof/>
        </w:rPr>
        <w:t xml:space="preserve">biometric </w:t>
      </w:r>
      <w:r w:rsidR="00C9541E" w:rsidRPr="00CE3F2A">
        <w:rPr>
          <w:noProof/>
        </w:rPr>
        <w:t xml:space="preserve">data at Europol as part of the Prüm framework. </w:t>
      </w:r>
      <w:r w:rsidR="0098298C" w:rsidRPr="00CE3F2A">
        <w:rPr>
          <w:noProof/>
        </w:rPr>
        <w:t>Europol should also be able to check third</w:t>
      </w:r>
      <w:r w:rsidR="00A36E24" w:rsidRPr="00CE3F2A">
        <w:rPr>
          <w:noProof/>
        </w:rPr>
        <w:t xml:space="preserve"> </w:t>
      </w:r>
      <w:r w:rsidR="0098298C" w:rsidRPr="00CE3F2A">
        <w:rPr>
          <w:noProof/>
        </w:rPr>
        <w:t>country</w:t>
      </w:r>
      <w:r w:rsidR="00A36E24" w:rsidRPr="00CE3F2A">
        <w:rPr>
          <w:noProof/>
        </w:rPr>
        <w:t>-</w:t>
      </w:r>
      <w:r w:rsidR="0098298C" w:rsidRPr="00CE3F2A">
        <w:rPr>
          <w:noProof/>
        </w:rPr>
        <w:t xml:space="preserve">sourced data against </w:t>
      </w:r>
      <w:r w:rsidR="00A36E24" w:rsidRPr="00CE3F2A">
        <w:rPr>
          <w:noProof/>
        </w:rPr>
        <w:t xml:space="preserve">Member States’ </w:t>
      </w:r>
      <w:r w:rsidR="0098298C" w:rsidRPr="00CE3F2A">
        <w:rPr>
          <w:noProof/>
        </w:rPr>
        <w:t>national databases.</w:t>
      </w:r>
    </w:p>
    <w:p w14:paraId="0FECC51B" w14:textId="4B7413D8" w:rsidR="0098298C" w:rsidRPr="005A04A2" w:rsidRDefault="00C304BF" w:rsidP="00C304BF">
      <w:pPr>
        <w:pStyle w:val="Point0"/>
        <w:rPr>
          <w:noProof/>
        </w:rPr>
      </w:pPr>
      <w:r w:rsidRPr="00C304BF">
        <w:t>(4)</w:t>
      </w:r>
      <w:r w:rsidRPr="00C304BF">
        <w:tab/>
      </w:r>
      <w:r w:rsidR="0098298C" w:rsidRPr="00CE3F2A">
        <w:rPr>
          <w:noProof/>
        </w:rPr>
        <w:t xml:space="preserve">To meet the objective of providing efficient access to the actual data corresponding to a ‘hit’ that is available in the national database of another Member State or at Europol, the follow-up process should be regulated at EU level with a semi-automated exchange of </w:t>
      </w:r>
      <w:r w:rsidR="00A36E24" w:rsidRPr="00CE3F2A">
        <w:rPr>
          <w:noProof/>
        </w:rPr>
        <w:t xml:space="preserve">the </w:t>
      </w:r>
      <w:r w:rsidR="0098298C" w:rsidRPr="00CE3F2A">
        <w:rPr>
          <w:noProof/>
        </w:rPr>
        <w:t>actual data corresponding to a ‘hit’.</w:t>
      </w:r>
    </w:p>
    <w:p w14:paraId="49CB0D40" w14:textId="514BB9D0" w:rsidR="0098298C" w:rsidRPr="00CE3F2A" w:rsidRDefault="00E74D11" w:rsidP="0098298C">
      <w:pPr>
        <w:pBdr>
          <w:top w:val="nil"/>
          <w:left w:val="nil"/>
          <w:bottom w:val="nil"/>
          <w:right w:val="nil"/>
          <w:between w:val="nil"/>
          <w:bar w:val="nil"/>
        </w:pBdr>
        <w:spacing w:before="0" w:after="240"/>
        <w:rPr>
          <w:noProof/>
        </w:rPr>
      </w:pPr>
      <w:r w:rsidRPr="00CE3F2A">
        <w:rPr>
          <w:noProof/>
        </w:rPr>
        <w:t>The major positive impact of this proposal will be to respond effectively to the identified problems and reinforce the current Prüm framework with targeted and strong additional capabilities to step up its support to Member States in reinforcing information exchange with the final objective of preventing and investigating criminal and terrorist offences, in full compliance with fundamental rights.</w:t>
      </w:r>
    </w:p>
    <w:p w14:paraId="0C86E8B9" w14:textId="576E71B3" w:rsidR="0098298C" w:rsidRPr="00CE3F2A" w:rsidRDefault="0098298C" w:rsidP="0098298C">
      <w:pPr>
        <w:pBdr>
          <w:top w:val="nil"/>
          <w:left w:val="nil"/>
          <w:bottom w:val="nil"/>
          <w:right w:val="nil"/>
          <w:between w:val="nil"/>
          <w:bar w:val="nil"/>
        </w:pBdr>
        <w:spacing w:before="0" w:after="240"/>
        <w:rPr>
          <w:noProof/>
        </w:rPr>
      </w:pPr>
      <w:r w:rsidRPr="00CE3F2A">
        <w:rPr>
          <w:noProof/>
        </w:rPr>
        <w:t xml:space="preserve">The ultimate beneficiaries of all preferred options are the citizens, who will directly and indirectly benefit from better crime fighting and lower crime rates. In terms of efficiency, the main beneficiaries are national law enforcement authorities. </w:t>
      </w:r>
    </w:p>
    <w:p w14:paraId="2B7A35B1" w14:textId="2DC3A8E8" w:rsidR="0098298C" w:rsidRPr="009F56E6" w:rsidRDefault="0098298C" w:rsidP="0098298C">
      <w:pPr>
        <w:pBdr>
          <w:top w:val="nil"/>
          <w:left w:val="nil"/>
          <w:bottom w:val="nil"/>
          <w:right w:val="nil"/>
          <w:between w:val="nil"/>
          <w:bar w:val="nil"/>
        </w:pBdr>
        <w:spacing w:before="0" w:after="240"/>
        <w:rPr>
          <w:noProof/>
        </w:rPr>
      </w:pPr>
      <w:r w:rsidRPr="00CE3F2A">
        <w:rPr>
          <w:noProof/>
        </w:rPr>
        <w:t xml:space="preserve">The immediate financial and economic impacts of the proposal will </w:t>
      </w:r>
      <w:r w:rsidRPr="009F56E6">
        <w:rPr>
          <w:noProof/>
        </w:rPr>
        <w:t xml:space="preserve">require investments at both EU and Member States’ level. It is expected that the </w:t>
      </w:r>
      <w:r w:rsidR="00AD31A0" w:rsidRPr="009F56E6">
        <w:rPr>
          <w:noProof/>
        </w:rPr>
        <w:t>projected investments</w:t>
      </w:r>
      <w:r w:rsidRPr="009F56E6">
        <w:rPr>
          <w:noProof/>
        </w:rPr>
        <w:t xml:space="preserve"> </w:t>
      </w:r>
      <w:r w:rsidR="00AD31A0" w:rsidRPr="009F56E6">
        <w:rPr>
          <w:noProof/>
        </w:rPr>
        <w:t>costs will</w:t>
      </w:r>
      <w:r w:rsidRPr="009F56E6">
        <w:rPr>
          <w:noProof/>
        </w:rPr>
        <w:t xml:space="preserve"> be outweighed by benefits and savings, notably at the Member States’ level. Despite the initial investments, the creation of the central Prüm router will save costs for Member States as </w:t>
      </w:r>
      <w:r w:rsidR="000453BD" w:rsidRPr="009F56E6">
        <w:rPr>
          <w:noProof/>
        </w:rPr>
        <w:t xml:space="preserve">the router </w:t>
      </w:r>
      <w:r w:rsidRPr="009F56E6">
        <w:rPr>
          <w:noProof/>
        </w:rPr>
        <w:t>would not require</w:t>
      </w:r>
      <w:r w:rsidR="00E74D11" w:rsidRPr="009F56E6">
        <w:rPr>
          <w:noProof/>
        </w:rPr>
        <w:t xml:space="preserve"> each Member State to</w:t>
      </w:r>
      <w:r w:rsidRPr="009F56E6">
        <w:rPr>
          <w:noProof/>
        </w:rPr>
        <w:t xml:space="preserve"> </w:t>
      </w:r>
      <w:r w:rsidR="009170E2" w:rsidRPr="009F56E6">
        <w:rPr>
          <w:noProof/>
        </w:rPr>
        <w:t>creat</w:t>
      </w:r>
      <w:r w:rsidR="00E74D11" w:rsidRPr="009F56E6">
        <w:rPr>
          <w:noProof/>
        </w:rPr>
        <w:t>e (and maintain)</w:t>
      </w:r>
      <w:r w:rsidRPr="009F56E6">
        <w:rPr>
          <w:noProof/>
        </w:rPr>
        <w:t xml:space="preserve"> as many connections as there are Member States and data categories. </w:t>
      </w:r>
    </w:p>
    <w:p w14:paraId="16D10213" w14:textId="0F0DF791" w:rsidR="001F3176" w:rsidRPr="005C36EA" w:rsidRDefault="00220060" w:rsidP="005C36EA">
      <w:pPr>
        <w:pStyle w:val="ManualHeading2"/>
        <w:rPr>
          <w:rFonts w:eastAsia="Arial Unicode MS"/>
          <w:noProof/>
          <w:u w:color="000000"/>
          <w:bdr w:val="nil"/>
          <w:lang w:val="en-US" w:eastAsia="en-GB"/>
        </w:rPr>
      </w:pPr>
      <w:r w:rsidRPr="009F56E6">
        <w:rPr>
          <w:rFonts w:eastAsia="Arial Unicode MS"/>
          <w:noProof/>
          <w:u w:color="000000"/>
          <w:bdr w:val="nil"/>
          <w:lang w:val="en-US" w:eastAsia="en-GB"/>
        </w:rPr>
        <w:t>•</w:t>
      </w:r>
      <w:r w:rsidRPr="009F56E6">
        <w:rPr>
          <w:rFonts w:eastAsia="Arial Unicode MS"/>
          <w:noProof/>
          <w:u w:color="000000"/>
          <w:bdr w:val="nil"/>
          <w:lang w:val="en-US" w:eastAsia="en-GB"/>
        </w:rPr>
        <w:tab/>
        <w:t>Fundamental rights</w:t>
      </w:r>
    </w:p>
    <w:p w14:paraId="6AB430A1" w14:textId="3767FC91" w:rsidR="00220060" w:rsidRPr="009F56E6" w:rsidRDefault="00220060" w:rsidP="00220060">
      <w:pPr>
        <w:pBdr>
          <w:top w:val="nil"/>
          <w:left w:val="nil"/>
          <w:bottom w:val="nil"/>
          <w:right w:val="nil"/>
          <w:between w:val="nil"/>
          <w:bar w:val="nil"/>
        </w:pBdr>
        <w:spacing w:before="0" w:after="240"/>
        <w:rPr>
          <w:rFonts w:eastAsia="Arial Unicode MS"/>
          <w:noProof/>
          <w:lang w:val="en-US"/>
        </w:rPr>
      </w:pPr>
      <w:r w:rsidRPr="009F56E6">
        <w:rPr>
          <w:rFonts w:eastAsia="Arial Unicode MS"/>
          <w:noProof/>
          <w:lang w:val="en-US"/>
        </w:rPr>
        <w:t xml:space="preserve">In accordance with the </w:t>
      </w:r>
      <w:r w:rsidR="00834938" w:rsidRPr="009F56E6">
        <w:rPr>
          <w:rFonts w:eastAsia="Arial Unicode MS"/>
          <w:noProof/>
          <w:lang w:val="en-US"/>
        </w:rPr>
        <w:t xml:space="preserve">EU </w:t>
      </w:r>
      <w:r w:rsidRPr="009F56E6">
        <w:rPr>
          <w:rFonts w:eastAsia="Arial Unicode MS"/>
          <w:noProof/>
          <w:lang w:val="en-US"/>
        </w:rPr>
        <w:t xml:space="preserve">Charter of Fundamental Rights, to which EU </w:t>
      </w:r>
      <w:r w:rsidR="00AD31A0" w:rsidRPr="009F56E6">
        <w:rPr>
          <w:rFonts w:eastAsia="Arial Unicode MS"/>
          <w:noProof/>
          <w:lang w:val="en-US"/>
        </w:rPr>
        <w:t>institutions and Member States</w:t>
      </w:r>
      <w:r w:rsidRPr="009F56E6">
        <w:rPr>
          <w:rFonts w:eastAsia="Arial Unicode MS"/>
          <w:noProof/>
          <w:lang w:val="en-US"/>
        </w:rPr>
        <w:t xml:space="preserve"> are bound </w:t>
      </w:r>
      <w:r w:rsidR="00AD31A0" w:rsidRPr="009F56E6">
        <w:rPr>
          <w:rFonts w:eastAsia="Arial Unicode MS"/>
          <w:noProof/>
          <w:lang w:val="en-US"/>
        </w:rPr>
        <w:t xml:space="preserve">when they implement EU law </w:t>
      </w:r>
      <w:r w:rsidRPr="009F56E6">
        <w:rPr>
          <w:rFonts w:eastAsia="Arial Unicode MS"/>
          <w:noProof/>
          <w:lang w:val="en-US"/>
        </w:rPr>
        <w:t xml:space="preserve">(Article 51(1) of the Charter), </w:t>
      </w:r>
      <w:r w:rsidR="000C2349">
        <w:rPr>
          <w:rFonts w:eastAsia="Arial Unicode MS"/>
          <w:noProof/>
          <w:lang w:val="en-US"/>
        </w:rPr>
        <w:t xml:space="preserve">and </w:t>
      </w:r>
      <w:r w:rsidR="00AF5B42">
        <w:rPr>
          <w:rFonts w:eastAsia="Arial Unicode MS"/>
          <w:noProof/>
          <w:lang w:val="en-US"/>
        </w:rPr>
        <w:t xml:space="preserve">with </w:t>
      </w:r>
      <w:r w:rsidR="000C2349">
        <w:rPr>
          <w:rFonts w:eastAsia="Arial Unicode MS"/>
          <w:noProof/>
          <w:lang w:val="en-US"/>
        </w:rPr>
        <w:t xml:space="preserve">the principle of non-discrimination, </w:t>
      </w:r>
      <w:r w:rsidRPr="009F56E6">
        <w:rPr>
          <w:rFonts w:eastAsia="Arial Unicode MS"/>
          <w:noProof/>
          <w:lang w:val="en-US"/>
        </w:rPr>
        <w:t>the opportunities offered by the options presented need to be balanced with the obligation to ensure that interferences with fundamental rights that may derive from them are limited to what is strictly necessary to genuinely meet the objectives of general interest pursued, subject to the principle of proportionality (Article 52(1) of the Charter).</w:t>
      </w:r>
    </w:p>
    <w:p w14:paraId="1DBA7B7D" w14:textId="0F086343" w:rsidR="00220060" w:rsidRDefault="00220060" w:rsidP="00220060">
      <w:pPr>
        <w:pBdr>
          <w:top w:val="nil"/>
          <w:left w:val="nil"/>
          <w:bottom w:val="nil"/>
          <w:right w:val="nil"/>
          <w:between w:val="nil"/>
          <w:bar w:val="nil"/>
        </w:pBdr>
        <w:spacing w:before="0" w:after="240"/>
        <w:rPr>
          <w:rFonts w:eastAsia="Arial Unicode MS"/>
          <w:noProof/>
          <w:lang w:val="en-US"/>
        </w:rPr>
      </w:pPr>
      <w:r w:rsidRPr="009F56E6">
        <w:rPr>
          <w:rFonts w:eastAsia="Arial Unicode MS"/>
          <w:noProof/>
          <w:lang w:val="en-US"/>
        </w:rPr>
        <w:t xml:space="preserve">The proposed solutions offer the opportunity to adopt targeted preventive measures to enhance security. As such, they can contribute </w:t>
      </w:r>
      <w:r w:rsidR="00292BE9">
        <w:rPr>
          <w:rFonts w:eastAsia="Arial Unicode MS"/>
          <w:noProof/>
          <w:lang w:val="en-US"/>
        </w:rPr>
        <w:t>pursue the legitimate objective of facilitating the fight against crime</w:t>
      </w:r>
      <w:r w:rsidRPr="009F56E6">
        <w:rPr>
          <w:rFonts w:eastAsia="Arial Unicode MS"/>
          <w:noProof/>
          <w:lang w:val="en-US"/>
        </w:rPr>
        <w:t>, which also implies a positive obligation on authorities to take preventive operational measures to protect an individual whose life is at risk, if they know or ought to have known of the existence of an immediate risk</w:t>
      </w:r>
      <w:r w:rsidR="008242FE">
        <w:rPr>
          <w:rFonts w:eastAsia="Arial Unicode MS"/>
          <w:noProof/>
          <w:lang w:val="en-US"/>
        </w:rPr>
        <w:t>.</w:t>
      </w:r>
      <w:r w:rsidRPr="00CE3F2A">
        <w:rPr>
          <w:rStyle w:val="FootnoteReference0"/>
          <w:noProof/>
        </w:rPr>
        <w:footnoteReference w:id="26"/>
      </w:r>
    </w:p>
    <w:p w14:paraId="7C7C8D16" w14:textId="4FD4AB99" w:rsidR="004652CA" w:rsidRPr="00CE3F2A" w:rsidRDefault="001F3176" w:rsidP="0003774E">
      <w:pPr>
        <w:pStyle w:val="ManualHeading2"/>
        <w:rPr>
          <w:noProof/>
          <w:sz w:val="16"/>
          <w:u w:color="000000"/>
          <w:bdr w:val="nil"/>
          <w:lang w:eastAsia="en-GB"/>
        </w:rPr>
      </w:pPr>
      <w:r w:rsidRPr="009F56E6">
        <w:rPr>
          <w:rFonts w:eastAsia="Arial Unicode MS"/>
          <w:noProof/>
          <w:u w:color="000000"/>
          <w:bdr w:val="nil"/>
          <w:lang w:val="en-US" w:eastAsia="en-GB"/>
        </w:rPr>
        <w:t>•</w:t>
      </w:r>
      <w:r w:rsidRPr="009F56E6">
        <w:rPr>
          <w:rFonts w:eastAsia="Arial Unicode MS"/>
          <w:noProof/>
          <w:u w:color="000000"/>
          <w:bdr w:val="nil"/>
          <w:lang w:val="en-US" w:eastAsia="en-GB"/>
        </w:rPr>
        <w:tab/>
      </w:r>
      <w:r w:rsidR="004652CA" w:rsidRPr="00CE3F2A">
        <w:rPr>
          <w:noProof/>
          <w:u w:color="000000"/>
          <w:bdr w:val="nil"/>
          <w:lang w:val="en-US" w:eastAsia="en-GB"/>
        </w:rPr>
        <w:t xml:space="preserve">Protection of personal data </w:t>
      </w:r>
    </w:p>
    <w:p w14:paraId="16202C93" w14:textId="7B466D71" w:rsidR="00220060" w:rsidRPr="009F56E6" w:rsidRDefault="00220060" w:rsidP="00220060">
      <w:pPr>
        <w:pBdr>
          <w:top w:val="nil"/>
          <w:left w:val="nil"/>
          <w:bottom w:val="nil"/>
          <w:right w:val="nil"/>
          <w:between w:val="nil"/>
          <w:bar w:val="nil"/>
        </w:pBdr>
        <w:spacing w:before="0" w:after="240"/>
        <w:rPr>
          <w:rFonts w:eastAsia="Arial Unicode MS"/>
          <w:noProof/>
          <w:lang w:val="en-US"/>
        </w:rPr>
      </w:pPr>
      <w:r w:rsidRPr="009F56E6">
        <w:rPr>
          <w:rFonts w:eastAsia="Arial Unicode MS"/>
          <w:noProof/>
          <w:lang w:val="en-US"/>
        </w:rPr>
        <w:t xml:space="preserve">Exchange of information has an impact on the right to the protection of personal data. This right is established by </w:t>
      </w:r>
      <w:r w:rsidR="00BC78BE" w:rsidRPr="009F56E6">
        <w:rPr>
          <w:rFonts w:eastAsia="Arial Unicode MS"/>
          <w:noProof/>
          <w:lang w:val="en-US"/>
        </w:rPr>
        <w:t xml:space="preserve">Article 8 of the Charter </w:t>
      </w:r>
      <w:r w:rsidRPr="009F56E6">
        <w:rPr>
          <w:rFonts w:eastAsia="Arial Unicode MS"/>
          <w:noProof/>
          <w:lang w:val="en-US"/>
        </w:rPr>
        <w:t>and Article 16 of the Treaty on the Functioning of the European Union, and in Article 8 of the European Convention on Human Rights. As underlined by the Court of Justice of the EU,</w:t>
      </w:r>
      <w:r w:rsidRPr="00CE3F2A">
        <w:rPr>
          <w:rStyle w:val="FootnoteReference0"/>
          <w:noProof/>
        </w:rPr>
        <w:footnoteReference w:id="27"/>
      </w:r>
      <w:r w:rsidRPr="009F56E6">
        <w:rPr>
          <w:rFonts w:eastAsia="Arial Unicode MS"/>
          <w:noProof/>
          <w:lang w:val="en-US"/>
        </w:rPr>
        <w:t xml:space="preserve"> the right to the protection of personal data is not an absolute right but must be considered in relation to its function in society.</w:t>
      </w:r>
      <w:r w:rsidR="004652CA" w:rsidRPr="009F56E6">
        <w:rPr>
          <w:noProof/>
        </w:rPr>
        <w:t xml:space="preserve"> Data protection is closely linked to respect for private and family life protected by Article 7 of the Charter.</w:t>
      </w:r>
      <w:r w:rsidRPr="009F56E6" w:rsidDel="004652CA">
        <w:rPr>
          <w:rFonts w:eastAsia="Arial Unicode MS"/>
          <w:noProof/>
          <w:lang w:val="en-US"/>
        </w:rPr>
        <w:t xml:space="preserve"> </w:t>
      </w:r>
    </w:p>
    <w:p w14:paraId="259ACE38" w14:textId="607B5C53" w:rsidR="00220060" w:rsidRPr="009F56E6" w:rsidRDefault="00187F21" w:rsidP="00220060">
      <w:pPr>
        <w:pBdr>
          <w:top w:val="nil"/>
          <w:left w:val="nil"/>
          <w:bottom w:val="nil"/>
          <w:right w:val="nil"/>
          <w:between w:val="nil"/>
          <w:bar w:val="nil"/>
        </w:pBdr>
        <w:spacing w:before="0" w:after="240"/>
        <w:rPr>
          <w:rFonts w:eastAsia="Arial Unicode MS"/>
          <w:noProof/>
          <w:lang w:val="en-US"/>
        </w:rPr>
      </w:pPr>
      <w:r w:rsidRPr="009F56E6">
        <w:rPr>
          <w:noProof/>
        </w:rPr>
        <w:t xml:space="preserve">As regards Prüm, the applicable data protection </w:t>
      </w:r>
      <w:r w:rsidR="003D7F81" w:rsidRPr="009F56E6">
        <w:rPr>
          <w:noProof/>
        </w:rPr>
        <w:t xml:space="preserve">legislation </w:t>
      </w:r>
      <w:r w:rsidR="003D7F81" w:rsidRPr="009F56E6">
        <w:rPr>
          <w:rFonts w:eastAsia="Arial Unicode MS"/>
          <w:noProof/>
          <w:lang w:val="en-US"/>
        </w:rPr>
        <w:t>is</w:t>
      </w:r>
      <w:r w:rsidR="00220060" w:rsidRPr="009F56E6">
        <w:rPr>
          <w:rFonts w:eastAsia="Arial Unicode MS"/>
          <w:noProof/>
          <w:lang w:val="en-US"/>
        </w:rPr>
        <w:t xml:space="preserve"> Directive (EU) 2016/680. Indeed, the Prüm framework provides for processing of personal data carried out in the context of the exchange of information between law enforcement authorities responsible for the prevention and investigation of criminal offences.</w:t>
      </w:r>
    </w:p>
    <w:p w14:paraId="3EE5F7B6" w14:textId="77777777" w:rsidR="00220060" w:rsidRPr="009F56E6" w:rsidRDefault="00220060" w:rsidP="00220060">
      <w:pPr>
        <w:pBdr>
          <w:top w:val="nil"/>
          <w:left w:val="nil"/>
          <w:bottom w:val="nil"/>
          <w:right w:val="nil"/>
          <w:between w:val="nil"/>
          <w:bar w:val="nil"/>
        </w:pBdr>
        <w:spacing w:before="0" w:after="240"/>
        <w:rPr>
          <w:rFonts w:eastAsia="Arial Unicode MS"/>
          <w:noProof/>
          <w:lang w:val="en-US"/>
        </w:rPr>
      </w:pPr>
      <w:r w:rsidRPr="009F56E6">
        <w:rPr>
          <w:rFonts w:eastAsia="Arial Unicode MS"/>
          <w:noProof/>
          <w:lang w:val="en-US"/>
        </w:rPr>
        <w:t>The free movement of data within the EU is not to be restricted for reasons of data protection. However, a series of principles must be met. Indeed, to be lawful, any limitation on the exercise of the fundamental rights protected by the Charter must comply with the following criteria, laid down in its Article 52(1):</w:t>
      </w:r>
    </w:p>
    <w:p w14:paraId="175CD1E5" w14:textId="190AB951" w:rsidR="00220060" w:rsidRPr="005A04A2" w:rsidRDefault="00C304BF" w:rsidP="00C304BF">
      <w:pPr>
        <w:pStyle w:val="Point0"/>
        <w:rPr>
          <w:noProof/>
        </w:rPr>
      </w:pPr>
      <w:r w:rsidRPr="00C304BF">
        <w:t>(1)</w:t>
      </w:r>
      <w:r w:rsidRPr="00C304BF">
        <w:tab/>
      </w:r>
      <w:r w:rsidR="00220060" w:rsidRPr="00CE3F2A">
        <w:rPr>
          <w:noProof/>
        </w:rPr>
        <w:t>it must be provided for by law;</w:t>
      </w:r>
    </w:p>
    <w:p w14:paraId="5EECEA53" w14:textId="6A74AC81" w:rsidR="00220060" w:rsidRPr="005A04A2" w:rsidRDefault="00C304BF" w:rsidP="00C304BF">
      <w:pPr>
        <w:pStyle w:val="Point0"/>
        <w:rPr>
          <w:noProof/>
        </w:rPr>
      </w:pPr>
      <w:r w:rsidRPr="00C304BF">
        <w:t>(2)</w:t>
      </w:r>
      <w:r w:rsidRPr="00C304BF">
        <w:tab/>
      </w:r>
      <w:r w:rsidR="00220060" w:rsidRPr="00CE3F2A">
        <w:rPr>
          <w:noProof/>
        </w:rPr>
        <w:t>it must respect the essence of the rights;</w:t>
      </w:r>
    </w:p>
    <w:p w14:paraId="41E64B78" w14:textId="26717A7C" w:rsidR="00220060" w:rsidRPr="005A04A2" w:rsidRDefault="00C304BF" w:rsidP="00C304BF">
      <w:pPr>
        <w:pStyle w:val="Point0"/>
        <w:rPr>
          <w:noProof/>
        </w:rPr>
      </w:pPr>
      <w:r w:rsidRPr="00C304BF">
        <w:t>(3)</w:t>
      </w:r>
      <w:r w:rsidRPr="00C304BF">
        <w:tab/>
      </w:r>
      <w:r w:rsidR="00220060" w:rsidRPr="00CE3F2A">
        <w:rPr>
          <w:noProof/>
        </w:rPr>
        <w:t>it must genuinely meet objectives of general interest recognised by the Union or the need to protect the rights and freedoms of others;</w:t>
      </w:r>
    </w:p>
    <w:p w14:paraId="3AEA01DA" w14:textId="6F22D5D0" w:rsidR="00220060" w:rsidRPr="005A04A2" w:rsidRDefault="00C304BF" w:rsidP="00C304BF">
      <w:pPr>
        <w:pStyle w:val="Point0"/>
        <w:rPr>
          <w:noProof/>
        </w:rPr>
      </w:pPr>
      <w:r w:rsidRPr="00C304BF">
        <w:t>(4)</w:t>
      </w:r>
      <w:r w:rsidRPr="00C304BF">
        <w:tab/>
      </w:r>
      <w:r w:rsidR="00220060" w:rsidRPr="00CE3F2A">
        <w:rPr>
          <w:noProof/>
        </w:rPr>
        <w:t>it must be necessary; and</w:t>
      </w:r>
    </w:p>
    <w:p w14:paraId="3E55D812" w14:textId="6D2CEA3B" w:rsidR="00220060" w:rsidRPr="005A04A2" w:rsidRDefault="00C304BF" w:rsidP="00C304BF">
      <w:pPr>
        <w:pStyle w:val="Point0"/>
        <w:rPr>
          <w:noProof/>
        </w:rPr>
      </w:pPr>
      <w:r w:rsidRPr="00C304BF">
        <w:t>(5)</w:t>
      </w:r>
      <w:r w:rsidRPr="00C304BF">
        <w:tab/>
      </w:r>
      <w:r w:rsidR="00220060" w:rsidRPr="00CE3F2A">
        <w:rPr>
          <w:noProof/>
        </w:rPr>
        <w:t>it must be proportional.</w:t>
      </w:r>
    </w:p>
    <w:p w14:paraId="08380F63" w14:textId="17F2FF25" w:rsidR="004652CA" w:rsidRDefault="004652CA" w:rsidP="00C5751B">
      <w:pPr>
        <w:pStyle w:val="default"/>
        <w:jc w:val="both"/>
        <w:rPr>
          <w:noProof/>
        </w:rPr>
      </w:pPr>
      <w:r w:rsidRPr="009F56E6">
        <w:rPr>
          <w:noProof/>
        </w:rPr>
        <w:t xml:space="preserve">This proposal embeds all these data protection rules, as set out in full detail in the impact assessment accompanying this proposed Regulation. The proposal is based on the principles of </w:t>
      </w:r>
      <w:r w:rsidR="00D236CE" w:rsidRPr="009F56E6">
        <w:rPr>
          <w:noProof/>
        </w:rPr>
        <w:t>data protection by design and by default</w:t>
      </w:r>
      <w:r w:rsidRPr="009F56E6">
        <w:rPr>
          <w:noProof/>
        </w:rPr>
        <w:t xml:space="preserve">. It includes all appropriate provisions limiting data processing to what is necessary for the specific purpose and granting data access only to those entities that ‘need to know’. Access to data is reserved exclusively for duly </w:t>
      </w:r>
      <w:r w:rsidRPr="009F56E6">
        <w:rPr>
          <w:noProof/>
          <w:lang w:val="en-GB"/>
        </w:rPr>
        <w:t>authorised</w:t>
      </w:r>
      <w:r w:rsidRPr="009F56E6">
        <w:rPr>
          <w:noProof/>
        </w:rPr>
        <w:t xml:space="preserve"> staff of Member State</w:t>
      </w:r>
      <w:r w:rsidR="008A0DB1">
        <w:rPr>
          <w:noProof/>
        </w:rPr>
        <w:t>s’</w:t>
      </w:r>
      <w:r w:rsidRPr="009F56E6">
        <w:rPr>
          <w:noProof/>
        </w:rPr>
        <w:t xml:space="preserve"> authorities or EU bodies that are competent for the specific purposes of </w:t>
      </w:r>
      <w:r w:rsidR="00E11D31">
        <w:rPr>
          <w:noProof/>
        </w:rPr>
        <w:t xml:space="preserve">the revised </w:t>
      </w:r>
      <w:r w:rsidR="00C5751B" w:rsidRPr="009F56E6">
        <w:rPr>
          <w:noProof/>
          <w:lang w:val="en-GB"/>
        </w:rPr>
        <w:t xml:space="preserve">Prüm </w:t>
      </w:r>
      <w:r w:rsidR="00E11D31">
        <w:rPr>
          <w:noProof/>
          <w:lang w:val="en-GB"/>
        </w:rPr>
        <w:t>framework</w:t>
      </w:r>
      <w:r w:rsidR="00C5751B" w:rsidRPr="009F56E6">
        <w:rPr>
          <w:noProof/>
          <w:lang w:val="en-GB"/>
        </w:rPr>
        <w:t xml:space="preserve"> </w:t>
      </w:r>
      <w:r w:rsidRPr="009F56E6">
        <w:rPr>
          <w:noProof/>
        </w:rPr>
        <w:t xml:space="preserve">and limited to the extent that the data are required for the performance of tasks in accordance with these purposes. </w:t>
      </w:r>
    </w:p>
    <w:p w14:paraId="6032FF4A" w14:textId="440CB3F7" w:rsidR="00A75D8D" w:rsidRPr="009F56E6" w:rsidRDefault="00BA0B97" w:rsidP="00BA0B97">
      <w:pPr>
        <w:pStyle w:val="default"/>
        <w:jc w:val="both"/>
        <w:rPr>
          <w:noProof/>
          <w:lang w:val="en-GB"/>
        </w:rPr>
      </w:pPr>
      <w:r w:rsidRPr="00BA0B97">
        <w:rPr>
          <w:noProof/>
          <w:lang w:val="en-GB"/>
        </w:rPr>
        <w:t>The Commission will, at the time of publishing the report assessing the effect given to [Council Recommendation on operational police cooperation] by the Member States referred to under point 9(d) of that Recommendation, decide whether there is a need for EU legislation on cross-border operational police cooperation. Should there be a need for such legislation, the Commission will make a legislative proposal on cross-border operational police cooperation, which will also ensure the alignment of the provisions of Decision 2008/615/JHA and Decision 2008/616/JHA which were not covered under th</w:t>
      </w:r>
      <w:r w:rsidR="00D41077">
        <w:rPr>
          <w:noProof/>
          <w:lang w:val="en-GB"/>
        </w:rPr>
        <w:t>is proposal</w:t>
      </w:r>
      <w:r w:rsidRPr="00BA0B97">
        <w:rPr>
          <w:noProof/>
          <w:lang w:val="en-GB"/>
        </w:rPr>
        <w:t xml:space="preserve"> with Directive 2016/680, in line with the results of the assessment under Article 62(6) of Directive 2016/680. Should there not be a need for EU legislation on cross-border operational police cooperation, the Commission will make a legislative proposal to ensure this same alignment, in line with the results of the assessment under Article 62(6) of Directive 2016/680.</w:t>
      </w:r>
    </w:p>
    <w:p w14:paraId="3E7392F8" w14:textId="7CA961CE" w:rsidR="00220060" w:rsidRPr="00E951DA" w:rsidRDefault="00220060" w:rsidP="00220060">
      <w:pPr>
        <w:pStyle w:val="ManualHeading1"/>
        <w:rPr>
          <w:noProof/>
        </w:rPr>
      </w:pPr>
      <w:r w:rsidRPr="009F56E6">
        <w:rPr>
          <w:noProof/>
        </w:rPr>
        <w:t>4.</w:t>
      </w:r>
      <w:r w:rsidRPr="009F56E6">
        <w:rPr>
          <w:noProof/>
        </w:rPr>
        <w:tab/>
      </w:r>
      <w:r w:rsidR="0078382C" w:rsidRPr="009F56E6">
        <w:rPr>
          <w:noProof/>
        </w:rPr>
        <w:t>BUDGETARY IMPLICATIONS</w:t>
      </w:r>
    </w:p>
    <w:p w14:paraId="31F66D14" w14:textId="77777777" w:rsidR="001F2654" w:rsidRPr="009F56E6" w:rsidRDefault="001F2654" w:rsidP="001F2654">
      <w:pPr>
        <w:rPr>
          <w:noProof/>
        </w:rPr>
      </w:pPr>
      <w:r w:rsidRPr="009F56E6">
        <w:rPr>
          <w:noProof/>
        </w:rPr>
        <w:t xml:space="preserve">This </w:t>
      </w:r>
      <w:r w:rsidRPr="009F56E6">
        <w:rPr>
          <w:rFonts w:eastAsia="Arial Unicode MS"/>
          <w:noProof/>
        </w:rPr>
        <w:t xml:space="preserve">legislative </w:t>
      </w:r>
      <w:r w:rsidRPr="009F56E6">
        <w:rPr>
          <w:noProof/>
        </w:rPr>
        <w:t xml:space="preserve">initiative would have an impact on the budget and staff needs of eu-LISA and Europol. </w:t>
      </w:r>
    </w:p>
    <w:p w14:paraId="1D185E64" w14:textId="773293D7" w:rsidR="001F2654" w:rsidRPr="009F56E6" w:rsidRDefault="001F2654" w:rsidP="001F2654">
      <w:pPr>
        <w:rPr>
          <w:noProof/>
        </w:rPr>
      </w:pPr>
      <w:r w:rsidRPr="009F56E6">
        <w:rPr>
          <w:noProof/>
        </w:rPr>
        <w:t>For eu-LISA, it is estimated that an additio</w:t>
      </w:r>
      <w:r w:rsidR="001366C4">
        <w:rPr>
          <w:noProof/>
        </w:rPr>
        <w:t>nal budget of around EUR 16</w:t>
      </w:r>
      <w:r w:rsidRPr="009F56E6">
        <w:rPr>
          <w:noProof/>
        </w:rPr>
        <w:t xml:space="preserve"> million and around 10 additional posts would be needed for the overall MFF period to ensure that eu-LISA has the necessary resources to enforce the tasks attributed to the Agency in this proposed Regulation. </w:t>
      </w:r>
      <w:r w:rsidR="0020142F">
        <w:rPr>
          <w:noProof/>
        </w:rPr>
        <w:t>The budget allocated to eu-LISA will be offset against the BMVI.</w:t>
      </w:r>
    </w:p>
    <w:p w14:paraId="3136A51D" w14:textId="666626E7" w:rsidR="001F2654" w:rsidRPr="009F56E6" w:rsidRDefault="001F2654" w:rsidP="001F2654">
      <w:pPr>
        <w:rPr>
          <w:noProof/>
        </w:rPr>
      </w:pPr>
      <w:r w:rsidRPr="009F56E6">
        <w:rPr>
          <w:noProof/>
        </w:rPr>
        <w:t>For Europol, it is estimated that an additional budget of around EUR 7 million and around 5 additional posts would be needed for the overall MFF period to ensure that Europol has the necessary resources to enforce the tasks attributed to the Agency in this proposed Regulation.</w:t>
      </w:r>
      <w:r w:rsidR="0020142F">
        <w:rPr>
          <w:noProof/>
        </w:rPr>
        <w:t xml:space="preserve"> The budget allocated to Europol will be offset against the ISF. </w:t>
      </w:r>
      <w:r w:rsidRPr="009F56E6">
        <w:rPr>
          <w:noProof/>
        </w:rPr>
        <w:t xml:space="preserve"> </w:t>
      </w:r>
    </w:p>
    <w:p w14:paraId="6E17A85E" w14:textId="5F0D29EE" w:rsidR="00220060" w:rsidRPr="00E951DA" w:rsidRDefault="001F2654" w:rsidP="00220060">
      <w:pPr>
        <w:pStyle w:val="ManualHeading1"/>
        <w:rPr>
          <w:noProof/>
        </w:rPr>
      </w:pPr>
      <w:r w:rsidRPr="009F56E6" w:rsidDel="001F2654">
        <w:rPr>
          <w:rFonts w:eastAsia="Arial Unicode MS"/>
          <w:noProof/>
        </w:rPr>
        <w:t xml:space="preserve"> </w:t>
      </w:r>
      <w:r w:rsidR="00220060" w:rsidRPr="009F56E6">
        <w:rPr>
          <w:noProof/>
        </w:rPr>
        <w:t>5.</w:t>
      </w:r>
      <w:r w:rsidR="00220060" w:rsidRPr="009F56E6">
        <w:rPr>
          <w:noProof/>
        </w:rPr>
        <w:tab/>
        <w:t>OTHER ELEMENTS</w:t>
      </w:r>
    </w:p>
    <w:p w14:paraId="1CA320FA" w14:textId="77777777" w:rsidR="00220060" w:rsidRPr="009F56E6" w:rsidRDefault="00220060" w:rsidP="00220060">
      <w:pPr>
        <w:pStyle w:val="ManualHeading2"/>
        <w:rPr>
          <w:rFonts w:eastAsia="Arial Unicode MS"/>
          <w:noProof/>
          <w:u w:color="000000"/>
          <w:bdr w:val="nil"/>
          <w:lang w:val="en-US" w:eastAsia="en-GB"/>
        </w:rPr>
      </w:pPr>
      <w:r w:rsidRPr="009F56E6">
        <w:rPr>
          <w:rFonts w:eastAsia="Arial Unicode MS"/>
          <w:noProof/>
          <w:u w:color="000000"/>
          <w:bdr w:val="nil"/>
          <w:lang w:val="en-US" w:eastAsia="en-GB"/>
        </w:rPr>
        <w:t>•</w:t>
      </w:r>
      <w:r w:rsidRPr="009F56E6">
        <w:rPr>
          <w:rFonts w:eastAsia="Arial Unicode MS"/>
          <w:noProof/>
          <w:u w:color="000000"/>
          <w:bdr w:val="nil"/>
          <w:lang w:val="en-US" w:eastAsia="en-GB"/>
        </w:rPr>
        <w:tab/>
        <w:t>Implementation plans and monitoring, evaluation and reporting arrangements</w:t>
      </w:r>
    </w:p>
    <w:p w14:paraId="3934CFFE" w14:textId="7E7A64FF" w:rsidR="00220060" w:rsidRPr="009F56E6" w:rsidRDefault="00220060" w:rsidP="00220060">
      <w:pPr>
        <w:pBdr>
          <w:top w:val="nil"/>
          <w:left w:val="nil"/>
          <w:bottom w:val="nil"/>
          <w:right w:val="nil"/>
          <w:between w:val="nil"/>
          <w:bar w:val="nil"/>
        </w:pBdr>
        <w:spacing w:before="0" w:after="240"/>
        <w:rPr>
          <w:rFonts w:eastAsia="Arial Unicode MS"/>
          <w:noProof/>
        </w:rPr>
      </w:pPr>
      <w:r w:rsidRPr="009F56E6">
        <w:rPr>
          <w:rFonts w:eastAsia="Arial Unicode MS"/>
          <w:noProof/>
        </w:rPr>
        <w:t xml:space="preserve">The Commission will ensure that the necessary arrangements are in place to monitor the functioning of the measures proposed and evaluate them against the main policy objectives. </w:t>
      </w:r>
      <w:r w:rsidR="007C488A">
        <w:rPr>
          <w:rFonts w:eastAsia="Arial Unicode MS"/>
          <w:noProof/>
        </w:rPr>
        <w:t>Two</w:t>
      </w:r>
      <w:r w:rsidRPr="009F56E6">
        <w:rPr>
          <w:rFonts w:eastAsia="Arial Unicode MS"/>
          <w:noProof/>
        </w:rPr>
        <w:t xml:space="preserve"> years after the new functionalities are put in place and operating, and every </w:t>
      </w:r>
      <w:r w:rsidR="007C488A">
        <w:rPr>
          <w:rFonts w:eastAsia="Arial Unicode MS"/>
          <w:noProof/>
        </w:rPr>
        <w:t>two</w:t>
      </w:r>
      <w:r w:rsidRPr="009F56E6">
        <w:rPr>
          <w:rFonts w:eastAsia="Arial Unicode MS"/>
          <w:noProof/>
        </w:rPr>
        <w:t xml:space="preserve"> years thereafter, Union Agencies should submit to the European Parliament, the Council and the Commission a report on the technical functioning of the new proposed measures. In addition,</w:t>
      </w:r>
      <w:r w:rsidR="00185751">
        <w:rPr>
          <w:rFonts w:eastAsia="Arial Unicode MS"/>
          <w:noProof/>
        </w:rPr>
        <w:t xml:space="preserve"> three</w:t>
      </w:r>
      <w:r w:rsidR="00185751" w:rsidRPr="009F56E6">
        <w:rPr>
          <w:rFonts w:eastAsia="Arial Unicode MS"/>
          <w:noProof/>
        </w:rPr>
        <w:t xml:space="preserve"> years after the new functionalities are put in place and operating, and every four years thereafter,</w:t>
      </w:r>
      <w:r w:rsidRPr="009F56E6">
        <w:rPr>
          <w:rFonts w:eastAsia="Arial Unicode MS"/>
          <w:noProof/>
        </w:rPr>
        <w:t xml:space="preserve"> the Commission should produce an overall evaluation of the measures, including on any direct or indirect impact on fundamental rights. It should examine results achieved against objectives and assess the continuing validity of the underlying rationale and any implications for future options. The Commission should submit the evaluation reports to the European Parliament and the Council.</w:t>
      </w:r>
      <w:r w:rsidRPr="009F56E6">
        <w:rPr>
          <w:rFonts w:eastAsia="Arial Unicode MS"/>
          <w:noProof/>
        </w:rPr>
        <w:tab/>
      </w:r>
    </w:p>
    <w:p w14:paraId="1911FACB" w14:textId="77777777" w:rsidR="00220060" w:rsidRPr="00E951DA" w:rsidRDefault="00220060" w:rsidP="00220060">
      <w:pPr>
        <w:pStyle w:val="ManualHeading2"/>
        <w:rPr>
          <w:noProof/>
          <w:u w:color="000000"/>
          <w:bdr w:val="nil"/>
          <w:lang w:val="en-US"/>
        </w:rPr>
      </w:pPr>
      <w:r w:rsidRPr="009F56E6">
        <w:rPr>
          <w:rFonts w:eastAsia="Arial Unicode MS"/>
          <w:noProof/>
          <w:u w:color="000000"/>
          <w:bdr w:val="nil"/>
          <w:lang w:val="en-US" w:eastAsia="en-GB"/>
        </w:rPr>
        <w:t>•</w:t>
      </w:r>
      <w:r w:rsidRPr="009F56E6">
        <w:rPr>
          <w:rFonts w:eastAsia="Arial Unicode MS"/>
          <w:noProof/>
          <w:u w:color="000000"/>
          <w:bdr w:val="nil"/>
          <w:lang w:val="en-US" w:eastAsia="en-GB"/>
        </w:rPr>
        <w:tab/>
        <w:t>Detailed explanation of the specific provisions of the proposal</w:t>
      </w:r>
    </w:p>
    <w:p w14:paraId="54D6BE8A" w14:textId="537DEFBC" w:rsidR="000B0DFC" w:rsidRPr="00CE3F2A" w:rsidRDefault="002C0B77" w:rsidP="00003FD6">
      <w:pPr>
        <w:rPr>
          <w:noProof/>
        </w:rPr>
      </w:pPr>
      <w:r w:rsidRPr="00CE3F2A">
        <w:rPr>
          <w:noProof/>
        </w:rPr>
        <w:t>Chapter 1 sets out the general provisions for this Regulation</w:t>
      </w:r>
      <w:r w:rsidR="00B45DC9" w:rsidRPr="00CE3F2A">
        <w:rPr>
          <w:noProof/>
        </w:rPr>
        <w:t xml:space="preserve"> with its</w:t>
      </w:r>
      <w:r w:rsidRPr="00CE3F2A" w:rsidDel="00B45DC9">
        <w:rPr>
          <w:noProof/>
        </w:rPr>
        <w:t xml:space="preserve"> </w:t>
      </w:r>
      <w:r w:rsidRPr="00CE3F2A">
        <w:rPr>
          <w:noProof/>
        </w:rPr>
        <w:t>subject matter</w:t>
      </w:r>
      <w:r w:rsidR="00CF35D6" w:rsidRPr="00CE3F2A">
        <w:rPr>
          <w:noProof/>
        </w:rPr>
        <w:t>,</w:t>
      </w:r>
      <w:r w:rsidRPr="00CE3F2A" w:rsidDel="00CF35D6">
        <w:rPr>
          <w:noProof/>
        </w:rPr>
        <w:t xml:space="preserve"> </w:t>
      </w:r>
      <w:r w:rsidRPr="00CE3F2A">
        <w:rPr>
          <w:noProof/>
        </w:rPr>
        <w:t>purpose</w:t>
      </w:r>
      <w:r w:rsidR="00CF35D6" w:rsidRPr="00CE3F2A">
        <w:rPr>
          <w:noProof/>
        </w:rPr>
        <w:t xml:space="preserve"> and scope</w:t>
      </w:r>
      <w:r w:rsidR="00B45DC9" w:rsidRPr="00CE3F2A">
        <w:rPr>
          <w:noProof/>
        </w:rPr>
        <w:t xml:space="preserve">. It provides </w:t>
      </w:r>
      <w:r w:rsidRPr="00CE3F2A">
        <w:rPr>
          <w:noProof/>
        </w:rPr>
        <w:t xml:space="preserve">a list of definitions </w:t>
      </w:r>
      <w:r w:rsidR="00B45DC9" w:rsidRPr="00CE3F2A">
        <w:rPr>
          <w:noProof/>
        </w:rPr>
        <w:t>and</w:t>
      </w:r>
      <w:r w:rsidRPr="00CE3F2A">
        <w:rPr>
          <w:noProof/>
        </w:rPr>
        <w:t xml:space="preserve"> </w:t>
      </w:r>
      <w:r w:rsidR="00D236CE" w:rsidRPr="00CE3F2A">
        <w:rPr>
          <w:noProof/>
        </w:rPr>
        <w:t>recall</w:t>
      </w:r>
      <w:r w:rsidR="00B45DC9" w:rsidRPr="00CE3F2A">
        <w:rPr>
          <w:noProof/>
        </w:rPr>
        <w:t>s</w:t>
      </w:r>
      <w:r w:rsidR="00D236CE" w:rsidRPr="00CE3F2A">
        <w:rPr>
          <w:noProof/>
        </w:rPr>
        <w:t xml:space="preserve"> that the processing of personal data for the purposes of this Regulation shall respect the principle of non-discrimination and other fundamental rights</w:t>
      </w:r>
      <w:r w:rsidR="00CD2034" w:rsidRPr="00CE3F2A">
        <w:rPr>
          <w:noProof/>
        </w:rPr>
        <w:t>.</w:t>
      </w:r>
    </w:p>
    <w:p w14:paraId="0F4E07E7" w14:textId="12676ABC" w:rsidR="001548FB" w:rsidRPr="00CE3F2A" w:rsidRDefault="001548FB" w:rsidP="00003FD6">
      <w:pPr>
        <w:rPr>
          <w:noProof/>
        </w:rPr>
      </w:pPr>
      <w:r w:rsidRPr="00CE3F2A">
        <w:rPr>
          <w:noProof/>
        </w:rPr>
        <w:t xml:space="preserve">Chapter 2 </w:t>
      </w:r>
      <w:r w:rsidR="002C0B77" w:rsidRPr="00CE3F2A">
        <w:rPr>
          <w:noProof/>
        </w:rPr>
        <w:t>sets out the provisions for the exchange of the categories</w:t>
      </w:r>
      <w:r w:rsidRPr="00CE3F2A">
        <w:rPr>
          <w:noProof/>
        </w:rPr>
        <w:t xml:space="preserve"> of data </w:t>
      </w:r>
      <w:r w:rsidR="002C0B77" w:rsidRPr="00CE3F2A">
        <w:rPr>
          <w:noProof/>
        </w:rPr>
        <w:t xml:space="preserve">under this Regulation, namely </w:t>
      </w:r>
      <w:r w:rsidR="000B44D7" w:rsidRPr="00CE3F2A">
        <w:rPr>
          <w:noProof/>
        </w:rPr>
        <w:t xml:space="preserve">the </w:t>
      </w:r>
      <w:r w:rsidR="002C0B77" w:rsidRPr="00CE3F2A">
        <w:rPr>
          <w:noProof/>
        </w:rPr>
        <w:t xml:space="preserve">exchange of </w:t>
      </w:r>
      <w:r w:rsidRPr="00CE3F2A">
        <w:rPr>
          <w:noProof/>
        </w:rPr>
        <w:t>DNA profiles,</w:t>
      </w:r>
      <w:r w:rsidRPr="00CE3F2A" w:rsidDel="00CF35D6">
        <w:rPr>
          <w:noProof/>
        </w:rPr>
        <w:t xml:space="preserve"> </w:t>
      </w:r>
      <w:r w:rsidRPr="00CE3F2A">
        <w:rPr>
          <w:noProof/>
        </w:rPr>
        <w:t>dactyloscopic data, vehicle registration data, facial images</w:t>
      </w:r>
      <w:r w:rsidR="002C0B77" w:rsidRPr="00CE3F2A">
        <w:rPr>
          <w:noProof/>
        </w:rPr>
        <w:t xml:space="preserve"> and</w:t>
      </w:r>
      <w:r w:rsidRPr="00CE3F2A">
        <w:rPr>
          <w:noProof/>
        </w:rPr>
        <w:t xml:space="preserve"> police records</w:t>
      </w:r>
      <w:r w:rsidR="002C0B77" w:rsidRPr="00CE3F2A">
        <w:rPr>
          <w:noProof/>
        </w:rPr>
        <w:t xml:space="preserve">. The principles for the exchange, </w:t>
      </w:r>
      <w:r w:rsidR="000B44D7" w:rsidRPr="00CE3F2A">
        <w:rPr>
          <w:noProof/>
        </w:rPr>
        <w:t xml:space="preserve">the </w:t>
      </w:r>
      <w:r w:rsidR="002C0B77" w:rsidRPr="00CE3F2A">
        <w:rPr>
          <w:noProof/>
        </w:rPr>
        <w:t>automated search of data</w:t>
      </w:r>
      <w:r w:rsidR="00CF35D6" w:rsidRPr="00CE3F2A">
        <w:rPr>
          <w:noProof/>
        </w:rPr>
        <w:t>,</w:t>
      </w:r>
      <w:r w:rsidR="002C0B77" w:rsidRPr="00CE3F2A">
        <w:rPr>
          <w:noProof/>
        </w:rPr>
        <w:t xml:space="preserve"> </w:t>
      </w:r>
      <w:r w:rsidR="00D2607E">
        <w:rPr>
          <w:noProof/>
        </w:rPr>
        <w:t>the rules for requests and answers</w:t>
      </w:r>
      <w:r w:rsidR="00921CD9" w:rsidRPr="00CE3F2A">
        <w:rPr>
          <w:noProof/>
        </w:rPr>
        <w:t xml:space="preserve"> are detailed in a separate section for each category of data</w:t>
      </w:r>
      <w:r w:rsidR="00CF35D6" w:rsidRPr="00CE3F2A">
        <w:rPr>
          <w:noProof/>
        </w:rPr>
        <w:t xml:space="preserve"> respectively</w:t>
      </w:r>
      <w:r w:rsidR="00921CD9" w:rsidRPr="00CE3F2A">
        <w:rPr>
          <w:noProof/>
        </w:rPr>
        <w:t>.</w:t>
      </w:r>
      <w:r w:rsidR="00CF35D6" w:rsidRPr="00CE3F2A">
        <w:rPr>
          <w:noProof/>
        </w:rPr>
        <w:t xml:space="preserve"> Chapter 2 also contains common provisions for the exchange of data</w:t>
      </w:r>
      <w:r w:rsidR="00D2607E">
        <w:rPr>
          <w:noProof/>
        </w:rPr>
        <w:t xml:space="preserve">, </w:t>
      </w:r>
      <w:r w:rsidR="00D2607E" w:rsidRPr="00CE3F2A">
        <w:rPr>
          <w:noProof/>
        </w:rPr>
        <w:t>the setting up of national contact points and implementing measure</w:t>
      </w:r>
      <w:r w:rsidR="00CF35D6" w:rsidRPr="00CE3F2A">
        <w:rPr>
          <w:noProof/>
        </w:rPr>
        <w:t xml:space="preserve">. </w:t>
      </w:r>
    </w:p>
    <w:p w14:paraId="58E66A31" w14:textId="24767841" w:rsidR="001548FB" w:rsidRPr="00CE3F2A" w:rsidRDefault="00921CD9" w:rsidP="00352351">
      <w:pPr>
        <w:rPr>
          <w:noProof/>
        </w:rPr>
      </w:pPr>
      <w:r w:rsidRPr="00CE3F2A">
        <w:rPr>
          <w:noProof/>
        </w:rPr>
        <w:t xml:space="preserve">Chapter 3 </w:t>
      </w:r>
      <w:r w:rsidR="00443C07" w:rsidRPr="00CE3F2A">
        <w:rPr>
          <w:noProof/>
        </w:rPr>
        <w:t xml:space="preserve">sets out the details for the new (technical) architecture for the exchange of data. </w:t>
      </w:r>
      <w:r w:rsidR="00E11D31">
        <w:rPr>
          <w:noProof/>
        </w:rPr>
        <w:t>T</w:t>
      </w:r>
      <w:r w:rsidR="005956D9" w:rsidRPr="00CE3F2A">
        <w:rPr>
          <w:noProof/>
        </w:rPr>
        <w:t xml:space="preserve">he first section of this chapter </w:t>
      </w:r>
      <w:r w:rsidR="00443C07" w:rsidRPr="00CE3F2A">
        <w:rPr>
          <w:noProof/>
        </w:rPr>
        <w:t xml:space="preserve">includes provisions describing the central router, </w:t>
      </w:r>
      <w:r w:rsidR="00FC57A7" w:rsidRPr="00CE3F2A">
        <w:rPr>
          <w:noProof/>
        </w:rPr>
        <w:t xml:space="preserve">the use of the router and </w:t>
      </w:r>
      <w:r w:rsidR="005956D9" w:rsidRPr="00CE3F2A">
        <w:rPr>
          <w:noProof/>
        </w:rPr>
        <w:t xml:space="preserve">the </w:t>
      </w:r>
      <w:r w:rsidR="00FC57A7" w:rsidRPr="00CE3F2A">
        <w:rPr>
          <w:noProof/>
        </w:rPr>
        <w:t xml:space="preserve">launching </w:t>
      </w:r>
      <w:r w:rsidR="005956D9" w:rsidRPr="00CE3F2A">
        <w:rPr>
          <w:noProof/>
        </w:rPr>
        <w:t xml:space="preserve">of </w:t>
      </w:r>
      <w:r w:rsidR="00FC57A7" w:rsidRPr="00CE3F2A">
        <w:rPr>
          <w:noProof/>
        </w:rPr>
        <w:t xml:space="preserve">queries. </w:t>
      </w:r>
      <w:r w:rsidR="005917F0" w:rsidRPr="00CE3F2A">
        <w:rPr>
          <w:noProof/>
        </w:rPr>
        <w:t>I</w:t>
      </w:r>
      <w:r w:rsidR="00FC57A7" w:rsidRPr="00CE3F2A">
        <w:rPr>
          <w:noProof/>
        </w:rPr>
        <w:t>mplementing act</w:t>
      </w:r>
      <w:r w:rsidR="005917F0" w:rsidRPr="00CE3F2A">
        <w:rPr>
          <w:noProof/>
        </w:rPr>
        <w:t>s</w:t>
      </w:r>
      <w:r w:rsidR="00FC57A7" w:rsidRPr="00CE3F2A">
        <w:rPr>
          <w:noProof/>
        </w:rPr>
        <w:t xml:space="preserve"> </w:t>
      </w:r>
      <w:r w:rsidR="00D236CE" w:rsidRPr="00CE3F2A">
        <w:rPr>
          <w:noProof/>
        </w:rPr>
        <w:t xml:space="preserve">will </w:t>
      </w:r>
      <w:r w:rsidR="00FC57A7" w:rsidRPr="00CE3F2A">
        <w:rPr>
          <w:noProof/>
        </w:rPr>
        <w:t>be needed to specify the technical procedures</w:t>
      </w:r>
      <w:r w:rsidR="005956D9" w:rsidRPr="00CE3F2A">
        <w:rPr>
          <w:noProof/>
        </w:rPr>
        <w:t xml:space="preserve"> for these queries</w:t>
      </w:r>
      <w:r w:rsidR="00FC57A7" w:rsidRPr="00CE3F2A">
        <w:rPr>
          <w:noProof/>
        </w:rPr>
        <w:t>. This</w:t>
      </w:r>
      <w:r w:rsidR="00FC57A7" w:rsidRPr="00CE3F2A" w:rsidDel="005956D9">
        <w:rPr>
          <w:noProof/>
        </w:rPr>
        <w:t xml:space="preserve"> </w:t>
      </w:r>
      <w:r w:rsidR="005956D9" w:rsidRPr="00CE3F2A">
        <w:rPr>
          <w:noProof/>
        </w:rPr>
        <w:t xml:space="preserve">section </w:t>
      </w:r>
      <w:r w:rsidR="00FC57A7" w:rsidRPr="00CE3F2A">
        <w:rPr>
          <w:noProof/>
        </w:rPr>
        <w:t xml:space="preserve">also includes provisions on the interoperability </w:t>
      </w:r>
      <w:r w:rsidR="00A36ADD" w:rsidRPr="009F56E6">
        <w:rPr>
          <w:rFonts w:eastAsia="Arial Unicode MS"/>
          <w:noProof/>
          <w:lang w:val="en-IE"/>
        </w:rPr>
        <w:t xml:space="preserve">between the router and the Common Identity Repository </w:t>
      </w:r>
      <w:r w:rsidR="00FC57A7" w:rsidRPr="00CE3F2A">
        <w:rPr>
          <w:noProof/>
        </w:rPr>
        <w:t>for the purposes of law enforcement</w:t>
      </w:r>
      <w:r w:rsidR="005956D9" w:rsidRPr="00CE3F2A">
        <w:rPr>
          <w:noProof/>
        </w:rPr>
        <w:t xml:space="preserve"> access</w:t>
      </w:r>
      <w:r w:rsidR="00FC57A7" w:rsidRPr="00CE3F2A">
        <w:rPr>
          <w:noProof/>
        </w:rPr>
        <w:t xml:space="preserve">, </w:t>
      </w:r>
      <w:r w:rsidR="005A5F09" w:rsidRPr="00CE3F2A">
        <w:rPr>
          <w:noProof/>
        </w:rPr>
        <w:t xml:space="preserve">the </w:t>
      </w:r>
      <w:r w:rsidR="00FC57A7" w:rsidRPr="00CE3F2A">
        <w:rPr>
          <w:noProof/>
        </w:rPr>
        <w:t>keeping</w:t>
      </w:r>
      <w:r w:rsidR="005A5F09" w:rsidRPr="00CE3F2A">
        <w:rPr>
          <w:noProof/>
        </w:rPr>
        <w:t xml:space="preserve"> of</w:t>
      </w:r>
      <w:r w:rsidR="00FC57A7" w:rsidRPr="00CE3F2A">
        <w:rPr>
          <w:noProof/>
        </w:rPr>
        <w:t xml:space="preserve"> logs of </w:t>
      </w:r>
      <w:r w:rsidR="005956D9" w:rsidRPr="00CE3F2A">
        <w:rPr>
          <w:noProof/>
        </w:rPr>
        <w:t xml:space="preserve">all </w:t>
      </w:r>
      <w:r w:rsidR="00FC57A7" w:rsidRPr="00CE3F2A">
        <w:rPr>
          <w:noProof/>
        </w:rPr>
        <w:t xml:space="preserve">data processing operations in the router, </w:t>
      </w:r>
      <w:r w:rsidR="00D2607E">
        <w:rPr>
          <w:noProof/>
        </w:rPr>
        <w:t xml:space="preserve">the quality check </w:t>
      </w:r>
      <w:r w:rsidR="00FC57A7" w:rsidRPr="00CE3F2A">
        <w:rPr>
          <w:noProof/>
        </w:rPr>
        <w:t xml:space="preserve">and </w:t>
      </w:r>
      <w:r w:rsidR="005A5F09" w:rsidRPr="00CE3F2A">
        <w:rPr>
          <w:noProof/>
        </w:rPr>
        <w:t xml:space="preserve">the </w:t>
      </w:r>
      <w:r w:rsidR="00FC57A7" w:rsidRPr="00CE3F2A">
        <w:rPr>
          <w:noProof/>
        </w:rPr>
        <w:t xml:space="preserve">notification procedures in case of technical impossibility to use the router. A second section provides details on the use of the European Police Records Index System (EPRIS) for the </w:t>
      </w:r>
      <w:r w:rsidR="005956D9" w:rsidRPr="00CE3F2A">
        <w:rPr>
          <w:noProof/>
        </w:rPr>
        <w:t>exchange</w:t>
      </w:r>
      <w:r w:rsidR="00FC57A7" w:rsidRPr="00CE3F2A">
        <w:rPr>
          <w:noProof/>
        </w:rPr>
        <w:t xml:space="preserve"> of police records.</w:t>
      </w:r>
      <w:r w:rsidR="005956D9" w:rsidRPr="00CE3F2A">
        <w:rPr>
          <w:noProof/>
        </w:rPr>
        <w:t xml:space="preserve"> This section also includes provisions on the keeping of logs of all data processing operations in EPRIS, and the notification procedures in case of technical impossibility to use EPRIS</w:t>
      </w:r>
      <w:r w:rsidR="005E0A80" w:rsidRPr="00CE3F2A">
        <w:rPr>
          <w:noProof/>
        </w:rPr>
        <w:t>.</w:t>
      </w:r>
    </w:p>
    <w:p w14:paraId="1A84B97D" w14:textId="47CA9E43" w:rsidR="001548FB" w:rsidRPr="00CE3F2A" w:rsidRDefault="001548FB" w:rsidP="00352351">
      <w:pPr>
        <w:rPr>
          <w:noProof/>
        </w:rPr>
      </w:pPr>
      <w:r w:rsidRPr="00CE3F2A">
        <w:rPr>
          <w:noProof/>
        </w:rPr>
        <w:t xml:space="preserve">Chapter </w:t>
      </w:r>
      <w:r w:rsidR="000B3FF5" w:rsidRPr="00CE3F2A">
        <w:rPr>
          <w:noProof/>
        </w:rPr>
        <w:t>4</w:t>
      </w:r>
      <w:r w:rsidRPr="00CE3F2A">
        <w:rPr>
          <w:noProof/>
        </w:rPr>
        <w:t xml:space="preserve"> </w:t>
      </w:r>
      <w:r w:rsidR="00FC57A7" w:rsidRPr="00CE3F2A">
        <w:rPr>
          <w:noProof/>
        </w:rPr>
        <w:t>sets</w:t>
      </w:r>
      <w:r w:rsidR="00BF0777" w:rsidRPr="00CE3F2A">
        <w:rPr>
          <w:noProof/>
        </w:rPr>
        <w:t xml:space="preserve"> out the processes for </w:t>
      </w:r>
      <w:r w:rsidR="00BC75A1" w:rsidRPr="00CE3F2A">
        <w:rPr>
          <w:noProof/>
        </w:rPr>
        <w:t>exchange of data following a</w:t>
      </w:r>
      <w:r w:rsidR="00BF0777" w:rsidRPr="00CE3F2A">
        <w:rPr>
          <w:noProof/>
        </w:rPr>
        <w:t xml:space="preserve"> </w:t>
      </w:r>
      <w:r w:rsidR="00BC75A1" w:rsidRPr="00CE3F2A">
        <w:rPr>
          <w:noProof/>
        </w:rPr>
        <w:t>match</w:t>
      </w:r>
      <w:r w:rsidR="00BF0777" w:rsidRPr="00CE3F2A">
        <w:rPr>
          <w:noProof/>
        </w:rPr>
        <w:t>.</w:t>
      </w:r>
      <w:r w:rsidR="00BF0777" w:rsidRPr="00CE3F2A" w:rsidDel="00BC75A1">
        <w:rPr>
          <w:noProof/>
        </w:rPr>
        <w:t xml:space="preserve"> </w:t>
      </w:r>
      <w:r w:rsidR="00BC75A1" w:rsidRPr="00CE3F2A">
        <w:rPr>
          <w:noProof/>
        </w:rPr>
        <w:t xml:space="preserve">It includes a provision on the </w:t>
      </w:r>
      <w:r w:rsidR="00E11D31">
        <w:rPr>
          <w:noProof/>
        </w:rPr>
        <w:t xml:space="preserve">automated </w:t>
      </w:r>
      <w:r w:rsidR="00BC75A1" w:rsidRPr="00CE3F2A">
        <w:rPr>
          <w:noProof/>
        </w:rPr>
        <w:t xml:space="preserve">exchange of </w:t>
      </w:r>
      <w:r w:rsidR="0078382C" w:rsidRPr="00CE3F2A">
        <w:rPr>
          <w:noProof/>
        </w:rPr>
        <w:t xml:space="preserve">core </w:t>
      </w:r>
      <w:r w:rsidR="00BC75A1" w:rsidRPr="00CE3F2A">
        <w:rPr>
          <w:noProof/>
        </w:rPr>
        <w:t>data</w:t>
      </w:r>
      <w:r w:rsidR="003E0FAC" w:rsidRPr="00CE3F2A">
        <w:rPr>
          <w:noProof/>
        </w:rPr>
        <w:t>,</w:t>
      </w:r>
      <w:r w:rsidR="003E0FAC" w:rsidRPr="009F56E6">
        <w:rPr>
          <w:noProof/>
          <w:szCs w:val="24"/>
        </w:rPr>
        <w:t xml:space="preserve"> with data limited to what is necessary to</w:t>
      </w:r>
      <w:r w:rsidR="003E0FAC" w:rsidRPr="009F56E6" w:rsidDel="00B26EEC">
        <w:rPr>
          <w:noProof/>
          <w:szCs w:val="24"/>
        </w:rPr>
        <w:t xml:space="preserve"> </w:t>
      </w:r>
      <w:r w:rsidR="003E0FAC" w:rsidRPr="009F56E6">
        <w:rPr>
          <w:noProof/>
          <w:szCs w:val="24"/>
        </w:rPr>
        <w:t>enable the identification</w:t>
      </w:r>
      <w:r w:rsidR="000106C1" w:rsidRPr="009F56E6">
        <w:rPr>
          <w:noProof/>
          <w:szCs w:val="24"/>
        </w:rPr>
        <w:t xml:space="preserve"> of the individual concerned</w:t>
      </w:r>
      <w:r w:rsidR="003E0FAC" w:rsidRPr="009F56E6">
        <w:rPr>
          <w:noProof/>
          <w:szCs w:val="24"/>
        </w:rPr>
        <w:t>,</w:t>
      </w:r>
      <w:r w:rsidR="00BC75A1" w:rsidRPr="00CE3F2A">
        <w:rPr>
          <w:noProof/>
        </w:rPr>
        <w:t xml:space="preserve"> and a provision on the exchange of data at any stage of the process under this Regulation</w:t>
      </w:r>
      <w:r w:rsidR="00D2607E">
        <w:rPr>
          <w:noProof/>
        </w:rPr>
        <w:t xml:space="preserve"> which is not explicitly described under this Regulation</w:t>
      </w:r>
      <w:r w:rsidR="00BC75A1" w:rsidRPr="00CE3F2A">
        <w:rPr>
          <w:noProof/>
        </w:rPr>
        <w:t>.</w:t>
      </w:r>
      <w:r w:rsidR="00BF0777" w:rsidRPr="00CE3F2A">
        <w:rPr>
          <w:noProof/>
        </w:rPr>
        <w:t xml:space="preserve"> </w:t>
      </w:r>
    </w:p>
    <w:p w14:paraId="70CCA229" w14:textId="22A18780" w:rsidR="001548FB" w:rsidRPr="00CE3F2A" w:rsidRDefault="001548FB" w:rsidP="00352351">
      <w:pPr>
        <w:spacing w:before="0" w:after="200"/>
        <w:rPr>
          <w:noProof/>
        </w:rPr>
      </w:pPr>
      <w:r w:rsidRPr="00CE3F2A">
        <w:rPr>
          <w:noProof/>
        </w:rPr>
        <w:t xml:space="preserve">Chapter </w:t>
      </w:r>
      <w:r w:rsidR="000B3FF5" w:rsidRPr="00CE3F2A">
        <w:rPr>
          <w:noProof/>
        </w:rPr>
        <w:t>5</w:t>
      </w:r>
      <w:r w:rsidRPr="00CE3F2A">
        <w:rPr>
          <w:noProof/>
        </w:rPr>
        <w:t xml:space="preserve"> </w:t>
      </w:r>
      <w:r w:rsidR="002E1E9E" w:rsidRPr="00CE3F2A">
        <w:rPr>
          <w:noProof/>
        </w:rPr>
        <w:t>contains provisions on</w:t>
      </w:r>
      <w:r w:rsidR="00BF0777" w:rsidRPr="00CE3F2A">
        <w:rPr>
          <w:noProof/>
        </w:rPr>
        <w:t xml:space="preserve"> the access by Member States to third country-sourced </w:t>
      </w:r>
      <w:r w:rsidR="00BC75A1" w:rsidRPr="00CE3F2A">
        <w:rPr>
          <w:noProof/>
        </w:rPr>
        <w:t xml:space="preserve">biometric data </w:t>
      </w:r>
      <w:r w:rsidR="00BF0777" w:rsidRPr="00CE3F2A">
        <w:rPr>
          <w:noProof/>
        </w:rPr>
        <w:t>stored by Europol</w:t>
      </w:r>
      <w:r w:rsidR="00FE6E80" w:rsidRPr="00CE3F2A">
        <w:rPr>
          <w:noProof/>
        </w:rPr>
        <w:t xml:space="preserve"> and </w:t>
      </w:r>
      <w:r w:rsidR="002E1E9E" w:rsidRPr="00CE3F2A">
        <w:rPr>
          <w:noProof/>
        </w:rPr>
        <w:t xml:space="preserve">on </w:t>
      </w:r>
      <w:r w:rsidR="00FE6E80" w:rsidRPr="00CE3F2A">
        <w:rPr>
          <w:noProof/>
        </w:rPr>
        <w:t>the access by Europol to data stored in Member States’ database</w:t>
      </w:r>
      <w:r w:rsidR="007A6506" w:rsidRPr="00CE3F2A">
        <w:rPr>
          <w:noProof/>
        </w:rPr>
        <w:t>s</w:t>
      </w:r>
      <w:r w:rsidR="00BF0777" w:rsidRPr="00CE3F2A">
        <w:rPr>
          <w:noProof/>
        </w:rPr>
        <w:t>.</w:t>
      </w:r>
      <w:r w:rsidRPr="00CE3F2A">
        <w:rPr>
          <w:noProof/>
        </w:rPr>
        <w:t xml:space="preserve"> </w:t>
      </w:r>
    </w:p>
    <w:p w14:paraId="7575F01C" w14:textId="67F05169" w:rsidR="001548FB" w:rsidRPr="00CE3F2A" w:rsidRDefault="001548FB" w:rsidP="00352351">
      <w:pPr>
        <w:rPr>
          <w:noProof/>
        </w:rPr>
      </w:pPr>
      <w:r w:rsidRPr="00CE3F2A">
        <w:rPr>
          <w:noProof/>
        </w:rPr>
        <w:t xml:space="preserve">Chapter </w:t>
      </w:r>
      <w:r w:rsidR="000B3FF5" w:rsidRPr="00CE3F2A">
        <w:rPr>
          <w:noProof/>
        </w:rPr>
        <w:t>6</w:t>
      </w:r>
      <w:r w:rsidR="00CE4516" w:rsidRPr="00CE3F2A">
        <w:rPr>
          <w:noProof/>
        </w:rPr>
        <w:t xml:space="preserve"> </w:t>
      </w:r>
      <w:r w:rsidR="00A44048" w:rsidRPr="00CE3F2A">
        <w:rPr>
          <w:noProof/>
        </w:rPr>
        <w:t>on</w:t>
      </w:r>
      <w:r w:rsidR="00FE6E80" w:rsidRPr="00CE3F2A">
        <w:rPr>
          <w:noProof/>
        </w:rPr>
        <w:t xml:space="preserve"> data</w:t>
      </w:r>
      <w:r w:rsidRPr="00CE3F2A">
        <w:rPr>
          <w:noProof/>
        </w:rPr>
        <w:t xml:space="preserve"> protection</w:t>
      </w:r>
      <w:r w:rsidR="00FE6E80" w:rsidRPr="00CE3F2A" w:rsidDel="00A44048">
        <w:rPr>
          <w:noProof/>
        </w:rPr>
        <w:t xml:space="preserve"> </w:t>
      </w:r>
      <w:r w:rsidR="00CE4516" w:rsidRPr="00CE3F2A">
        <w:rPr>
          <w:noProof/>
        </w:rPr>
        <w:t xml:space="preserve">contains </w:t>
      </w:r>
      <w:r w:rsidR="00FE6E80" w:rsidRPr="00CE3F2A">
        <w:rPr>
          <w:noProof/>
        </w:rPr>
        <w:t xml:space="preserve">provisions ensuring that data under this Regulation </w:t>
      </w:r>
      <w:r w:rsidR="00CE4516" w:rsidRPr="00CE3F2A">
        <w:rPr>
          <w:noProof/>
        </w:rPr>
        <w:t>are</w:t>
      </w:r>
      <w:r w:rsidR="00FE6E80" w:rsidRPr="00CE3F2A">
        <w:rPr>
          <w:noProof/>
        </w:rPr>
        <w:t xml:space="preserve"> processed lawfully and appropriately, in line with the provisions of Directive </w:t>
      </w:r>
      <w:r w:rsidR="00E11D31" w:rsidRPr="00E11D31">
        <w:rPr>
          <w:noProof/>
        </w:rPr>
        <w:t>(EU)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w:t>
      </w:r>
      <w:r w:rsidR="00FE6E80" w:rsidRPr="00CE3F2A">
        <w:rPr>
          <w:noProof/>
        </w:rPr>
        <w:t>.</w:t>
      </w:r>
      <w:r w:rsidR="00174AEA">
        <w:rPr>
          <w:rStyle w:val="FootnoteReference0"/>
          <w:noProof/>
        </w:rPr>
        <w:footnoteReference w:id="28"/>
      </w:r>
      <w:r w:rsidR="00FE6E80" w:rsidRPr="00CE3F2A">
        <w:rPr>
          <w:noProof/>
        </w:rPr>
        <w:t xml:space="preserve"> It explains who the data process</w:t>
      </w:r>
      <w:r w:rsidR="003E666A">
        <w:rPr>
          <w:noProof/>
        </w:rPr>
        <w:t>o</w:t>
      </w:r>
      <w:r w:rsidR="00FE6E80" w:rsidRPr="00CE3F2A">
        <w:rPr>
          <w:noProof/>
        </w:rPr>
        <w:t xml:space="preserve">r will be for the processing of data </w:t>
      </w:r>
      <w:r w:rsidR="00E11D31">
        <w:rPr>
          <w:noProof/>
        </w:rPr>
        <w:t>pursuant to</w:t>
      </w:r>
      <w:r w:rsidR="00E11D31" w:rsidRPr="00CE3F2A">
        <w:rPr>
          <w:noProof/>
        </w:rPr>
        <w:t xml:space="preserve"> </w:t>
      </w:r>
      <w:r w:rsidR="00FE6E80" w:rsidRPr="00CE3F2A">
        <w:rPr>
          <w:noProof/>
        </w:rPr>
        <w:t>this Regulation</w:t>
      </w:r>
      <w:r w:rsidR="002E1E9E" w:rsidRPr="00CE3F2A">
        <w:rPr>
          <w:noProof/>
        </w:rPr>
        <w:t>. It</w:t>
      </w:r>
      <w:r w:rsidR="00FE6E80" w:rsidRPr="00CE3F2A">
        <w:rPr>
          <w:noProof/>
        </w:rPr>
        <w:t xml:space="preserve"> sets out measures required from eu-LISA and Member State</w:t>
      </w:r>
      <w:r w:rsidR="002E1E9E" w:rsidRPr="00CE3F2A">
        <w:rPr>
          <w:noProof/>
        </w:rPr>
        <w:t>s’</w:t>
      </w:r>
      <w:r w:rsidR="00FE6E80" w:rsidRPr="00CE3F2A">
        <w:rPr>
          <w:noProof/>
        </w:rPr>
        <w:t xml:space="preserve"> authorities to ensure the security of data processing, the appropriate handling of security incidents</w:t>
      </w:r>
      <w:r w:rsidR="002E1E9E" w:rsidRPr="00CE3F2A">
        <w:rPr>
          <w:noProof/>
        </w:rPr>
        <w:t xml:space="preserve"> and</w:t>
      </w:r>
      <w:r w:rsidR="00FE6E80" w:rsidRPr="00CE3F2A">
        <w:rPr>
          <w:noProof/>
        </w:rPr>
        <w:t xml:space="preserve"> the monitoring of compliance with the measures in this Regulation. </w:t>
      </w:r>
      <w:r w:rsidR="000B3FF5" w:rsidRPr="00CE3F2A">
        <w:rPr>
          <w:noProof/>
        </w:rPr>
        <w:t xml:space="preserve">The chapter also sets out the provisions relating to supervision and audit in relation to data protection. It underlines the principle that data processed under this Regulation </w:t>
      </w:r>
      <w:r w:rsidR="002E1E9E" w:rsidRPr="00CE3F2A">
        <w:rPr>
          <w:noProof/>
        </w:rPr>
        <w:t xml:space="preserve">shall </w:t>
      </w:r>
      <w:r w:rsidR="000B3FF5" w:rsidRPr="00CE3F2A">
        <w:rPr>
          <w:noProof/>
        </w:rPr>
        <w:t>not be transferred or made available to any third country</w:t>
      </w:r>
      <w:r w:rsidR="002E1E9E" w:rsidRPr="00CE3F2A">
        <w:rPr>
          <w:noProof/>
        </w:rPr>
        <w:t xml:space="preserve"> or</w:t>
      </w:r>
      <w:r w:rsidR="000B3FF5" w:rsidRPr="00CE3F2A">
        <w:rPr>
          <w:noProof/>
        </w:rPr>
        <w:t xml:space="preserve"> international organisation </w:t>
      </w:r>
      <w:r w:rsidR="002E1E9E" w:rsidRPr="00CE3F2A">
        <w:rPr>
          <w:noProof/>
        </w:rPr>
        <w:t>in an automated manner</w:t>
      </w:r>
      <w:r w:rsidR="000B3FF5" w:rsidRPr="00CE3F2A">
        <w:rPr>
          <w:noProof/>
        </w:rPr>
        <w:t>.</w:t>
      </w:r>
    </w:p>
    <w:p w14:paraId="48894DB2" w14:textId="3C1A5EC4" w:rsidR="001548FB" w:rsidRPr="00CE3F2A" w:rsidRDefault="001548FB" w:rsidP="00003FD6">
      <w:pPr>
        <w:rPr>
          <w:noProof/>
        </w:rPr>
      </w:pPr>
      <w:r w:rsidRPr="00CE3F2A">
        <w:rPr>
          <w:noProof/>
        </w:rPr>
        <w:t xml:space="preserve">Chapter </w:t>
      </w:r>
      <w:r w:rsidR="000B3FF5" w:rsidRPr="00CE3F2A">
        <w:rPr>
          <w:noProof/>
        </w:rPr>
        <w:t xml:space="preserve">7 details the responsibilities of Member States, Europol, and eu-LISA </w:t>
      </w:r>
      <w:r w:rsidR="002E1E9E" w:rsidRPr="00CE3F2A">
        <w:rPr>
          <w:noProof/>
        </w:rPr>
        <w:t>respectively</w:t>
      </w:r>
      <w:r w:rsidR="000B3FF5" w:rsidRPr="00CE3F2A">
        <w:rPr>
          <w:noProof/>
        </w:rPr>
        <w:t xml:space="preserve"> in the implementation of the measures in this </w:t>
      </w:r>
      <w:r w:rsidR="002E1E9E" w:rsidRPr="00CE3F2A">
        <w:rPr>
          <w:noProof/>
        </w:rPr>
        <w:t>Regulation</w:t>
      </w:r>
      <w:r w:rsidR="000B3FF5" w:rsidRPr="00CE3F2A">
        <w:rPr>
          <w:noProof/>
        </w:rPr>
        <w:t xml:space="preserve">. </w:t>
      </w:r>
    </w:p>
    <w:p w14:paraId="190C604D" w14:textId="68D5EA85" w:rsidR="001548FB" w:rsidRPr="00CE3F2A" w:rsidRDefault="001548FB" w:rsidP="00003FD6">
      <w:pPr>
        <w:rPr>
          <w:noProof/>
        </w:rPr>
      </w:pPr>
      <w:r w:rsidRPr="00CE3F2A">
        <w:rPr>
          <w:noProof/>
        </w:rPr>
        <w:t xml:space="preserve">Chapter </w:t>
      </w:r>
      <w:r w:rsidR="000B3FF5" w:rsidRPr="00CE3F2A">
        <w:rPr>
          <w:noProof/>
        </w:rPr>
        <w:t>8 concerns a</w:t>
      </w:r>
      <w:r w:rsidRPr="00CE3F2A">
        <w:rPr>
          <w:noProof/>
        </w:rPr>
        <w:t xml:space="preserve">mendments </w:t>
      </w:r>
      <w:r w:rsidR="002E1E9E" w:rsidRPr="00CE3F2A">
        <w:rPr>
          <w:noProof/>
        </w:rPr>
        <w:t xml:space="preserve">to </w:t>
      </w:r>
      <w:r w:rsidR="000B3FF5" w:rsidRPr="00CE3F2A">
        <w:rPr>
          <w:noProof/>
        </w:rPr>
        <w:t xml:space="preserve">other </w:t>
      </w:r>
      <w:r w:rsidR="002E1E9E" w:rsidRPr="00CE3F2A">
        <w:rPr>
          <w:noProof/>
        </w:rPr>
        <w:t xml:space="preserve">existing </w:t>
      </w:r>
      <w:r w:rsidRPr="00CE3F2A">
        <w:rPr>
          <w:noProof/>
        </w:rPr>
        <w:t>instruments</w:t>
      </w:r>
      <w:r w:rsidR="002E1E9E" w:rsidRPr="00CE3F2A">
        <w:rPr>
          <w:noProof/>
        </w:rPr>
        <w:t xml:space="preserve">, namely </w:t>
      </w:r>
      <w:r w:rsidR="003E666A">
        <w:rPr>
          <w:noProof/>
        </w:rPr>
        <w:t xml:space="preserve">Decisions 2008/615/JHA and 2008/616/JHA, </w:t>
      </w:r>
      <w:r w:rsidR="002E1E9E" w:rsidRPr="00CE3F2A">
        <w:rPr>
          <w:noProof/>
        </w:rPr>
        <w:t xml:space="preserve">Regulation (EU) 2018/1726, Regulation (EU) 2019/817 and Regulation (EU) 2019/818. </w:t>
      </w:r>
    </w:p>
    <w:p w14:paraId="5122A4AE" w14:textId="09700922" w:rsidR="000B3FF5" w:rsidRPr="009F56E6" w:rsidRDefault="000B3FF5" w:rsidP="000B3FF5">
      <w:pPr>
        <w:rPr>
          <w:noProof/>
        </w:rPr>
      </w:pPr>
      <w:r w:rsidRPr="009F56E6">
        <w:rPr>
          <w:noProof/>
        </w:rPr>
        <w:t xml:space="preserve">Chapter 9 </w:t>
      </w:r>
      <w:r w:rsidR="00395598" w:rsidRPr="009F56E6">
        <w:rPr>
          <w:noProof/>
        </w:rPr>
        <w:t xml:space="preserve">on final provisions </w:t>
      </w:r>
      <w:r w:rsidRPr="009F56E6">
        <w:rPr>
          <w:noProof/>
        </w:rPr>
        <w:t xml:space="preserve">sets out </w:t>
      </w:r>
      <w:r w:rsidR="00395598" w:rsidRPr="009F56E6">
        <w:rPr>
          <w:noProof/>
        </w:rPr>
        <w:t xml:space="preserve">the </w:t>
      </w:r>
      <w:r w:rsidRPr="009F56E6">
        <w:rPr>
          <w:noProof/>
        </w:rPr>
        <w:t xml:space="preserve">details relating to reporting </w:t>
      </w:r>
      <w:r w:rsidR="00395598" w:rsidRPr="009F56E6">
        <w:rPr>
          <w:noProof/>
        </w:rPr>
        <w:t>and statistics</w:t>
      </w:r>
      <w:r w:rsidR="000613E3">
        <w:rPr>
          <w:noProof/>
        </w:rPr>
        <w:t>,</w:t>
      </w:r>
      <w:r w:rsidR="00395598" w:rsidRPr="009F56E6">
        <w:rPr>
          <w:noProof/>
        </w:rPr>
        <w:t xml:space="preserve"> costs, notifications</w:t>
      </w:r>
      <w:r w:rsidR="00660AC3">
        <w:rPr>
          <w:noProof/>
        </w:rPr>
        <w:t>, transitional provisions and derogations</w:t>
      </w:r>
      <w:r w:rsidR="00395598" w:rsidRPr="009F56E6">
        <w:rPr>
          <w:noProof/>
        </w:rPr>
        <w:t>. It also sets out the requirements for the start of operations of the measures proposed under this Regulation. The chapter also provides for the setting up of a committee and the adoption of a practical handbook</w:t>
      </w:r>
      <w:r w:rsidRPr="009F56E6">
        <w:rPr>
          <w:noProof/>
        </w:rPr>
        <w:t xml:space="preserve"> to support implementation and management of this Regulation</w:t>
      </w:r>
      <w:r w:rsidR="00D52FC0" w:rsidRPr="009F56E6">
        <w:rPr>
          <w:noProof/>
        </w:rPr>
        <w:t>.</w:t>
      </w:r>
      <w:r w:rsidRPr="009F56E6">
        <w:rPr>
          <w:noProof/>
        </w:rPr>
        <w:t xml:space="preserve"> </w:t>
      </w:r>
      <w:r w:rsidR="00D52FC0" w:rsidRPr="009F56E6">
        <w:rPr>
          <w:noProof/>
        </w:rPr>
        <w:t xml:space="preserve">It also includes a provision on </w:t>
      </w:r>
      <w:r w:rsidRPr="009F56E6">
        <w:rPr>
          <w:noProof/>
        </w:rPr>
        <w:t xml:space="preserve">monitoring and evaluation and </w:t>
      </w:r>
      <w:r w:rsidR="00D52FC0" w:rsidRPr="009F56E6">
        <w:rPr>
          <w:noProof/>
        </w:rPr>
        <w:t xml:space="preserve">a </w:t>
      </w:r>
      <w:r w:rsidRPr="009F56E6">
        <w:rPr>
          <w:noProof/>
        </w:rPr>
        <w:t xml:space="preserve">provision </w:t>
      </w:r>
      <w:r w:rsidR="00D52FC0" w:rsidRPr="009F56E6">
        <w:rPr>
          <w:noProof/>
        </w:rPr>
        <w:t xml:space="preserve">on </w:t>
      </w:r>
      <w:r w:rsidRPr="009F56E6">
        <w:rPr>
          <w:noProof/>
        </w:rPr>
        <w:t>the entry into force and applicability of this Regulation.</w:t>
      </w:r>
      <w:r w:rsidR="00280E66">
        <w:rPr>
          <w:noProof/>
        </w:rPr>
        <w:t xml:space="preserve"> Notably, this Regulation replaces </w:t>
      </w:r>
      <w:r w:rsidR="00280E66" w:rsidRPr="009F56E6">
        <w:rPr>
          <w:noProof/>
        </w:rPr>
        <w:t xml:space="preserve">Articles 2 </w:t>
      </w:r>
      <w:r w:rsidR="00280E66">
        <w:rPr>
          <w:noProof/>
        </w:rPr>
        <w:t>to</w:t>
      </w:r>
      <w:r w:rsidR="00280E66" w:rsidRPr="009F56E6">
        <w:rPr>
          <w:noProof/>
        </w:rPr>
        <w:t xml:space="preserve"> 6 and Sections 2 and 3 of Chapter 2</w:t>
      </w:r>
      <w:r w:rsidR="00280E66">
        <w:rPr>
          <w:noProof/>
        </w:rPr>
        <w:t xml:space="preserve"> of Council Decision 2008/615/JHA and </w:t>
      </w:r>
      <w:r w:rsidR="00280E66" w:rsidRPr="009F56E6">
        <w:rPr>
          <w:noProof/>
        </w:rPr>
        <w:t>Chapters 2</w:t>
      </w:r>
      <w:r w:rsidR="00280E66">
        <w:rPr>
          <w:noProof/>
        </w:rPr>
        <w:t xml:space="preserve"> to</w:t>
      </w:r>
      <w:r w:rsidR="00280E66" w:rsidRPr="009F56E6">
        <w:rPr>
          <w:noProof/>
        </w:rPr>
        <w:t xml:space="preserve"> 5 and Articles 18, 20 and 21</w:t>
      </w:r>
      <w:r w:rsidR="00280E66">
        <w:rPr>
          <w:noProof/>
        </w:rPr>
        <w:t xml:space="preserve"> of Council Decision 2008/616/JHA which will consequently be deleted from those Council Decisions from the date of application of this Regulation. The effect of those amendments will be that the replaced and deleted provisions no longer apply to any Member State.</w:t>
      </w:r>
    </w:p>
    <w:p w14:paraId="75F24C17" w14:textId="54F3DB23" w:rsidR="00220060" w:rsidRPr="009F56E6" w:rsidRDefault="00220060">
      <w:pPr>
        <w:spacing w:before="0" w:after="200" w:line="276" w:lineRule="auto"/>
        <w:jc w:val="left"/>
        <w:rPr>
          <w:noProof/>
        </w:rPr>
      </w:pPr>
      <w:r w:rsidRPr="009F56E6">
        <w:rPr>
          <w:noProof/>
        </w:rPr>
        <w:br w:type="page"/>
      </w:r>
    </w:p>
    <w:p w14:paraId="741AE857" w14:textId="287C1667" w:rsidR="00813EB6" w:rsidRDefault="001B206A" w:rsidP="001B206A">
      <w:pPr>
        <w:pStyle w:val="Rfrenceinterinstitutionnelle"/>
        <w:rPr>
          <w:noProof/>
        </w:rPr>
      </w:pPr>
      <w:r w:rsidRPr="001B206A">
        <w:t>2021/0410 (COD)</w:t>
      </w:r>
    </w:p>
    <w:p w14:paraId="28974207" w14:textId="210483D9" w:rsidR="00E70ABC" w:rsidRPr="009F56E6" w:rsidRDefault="009A6A20" w:rsidP="009A6A20">
      <w:pPr>
        <w:pStyle w:val="Statut"/>
        <w:rPr>
          <w:noProof/>
        </w:rPr>
      </w:pPr>
      <w:r w:rsidRPr="009A6A20">
        <w:rPr>
          <w:noProof/>
        </w:rPr>
        <w:t>Proposal for a</w:t>
      </w:r>
    </w:p>
    <w:p w14:paraId="4DCCCACD" w14:textId="32BE1157" w:rsidR="00E70ABC" w:rsidRPr="009F56E6" w:rsidRDefault="009A6A20" w:rsidP="009A6A20">
      <w:pPr>
        <w:pStyle w:val="Typedudocument"/>
        <w:rPr>
          <w:noProof/>
        </w:rPr>
      </w:pPr>
      <w:r w:rsidRPr="009A6A20">
        <w:rPr>
          <w:noProof/>
        </w:rPr>
        <w:t>REGULATION OF THE EUROPEAN PARLIAMENT AND OF THE COUNCIL</w:t>
      </w:r>
    </w:p>
    <w:p w14:paraId="448D0685" w14:textId="246FD20B" w:rsidR="00E70ABC" w:rsidRPr="009F56E6" w:rsidRDefault="009A6A20" w:rsidP="009A6A20">
      <w:pPr>
        <w:pStyle w:val="Titreobjet"/>
        <w:rPr>
          <w:noProof/>
        </w:rPr>
      </w:pPr>
      <w:r w:rsidRPr="009A6A20">
        <w:rPr>
          <w:noProof/>
        </w:rPr>
        <w:t>on automated data exchange for police cooperation (“Prüm II”), amending Council Decisions 2008/615/JHA and 2008/616/JHA and Regulations (EU) 2018/1726, 2019/817 and 2019/818 of the European Parliament and of the Council</w:t>
      </w:r>
    </w:p>
    <w:p w14:paraId="713FF34E" w14:textId="77777777" w:rsidR="00E70ABC" w:rsidRPr="009F56E6" w:rsidRDefault="00E70ABC" w:rsidP="00EA43B8">
      <w:pPr>
        <w:pStyle w:val="Institutionquiagit"/>
        <w:rPr>
          <w:noProof/>
        </w:rPr>
      </w:pPr>
      <w:r w:rsidRPr="009F56E6">
        <w:rPr>
          <w:noProof/>
        </w:rPr>
        <w:t>THE EUROPEAN PARLIAMENT AND THE COUNCIL OF THE EUROPEAN UNION,</w:t>
      </w:r>
    </w:p>
    <w:p w14:paraId="3D65F31E" w14:textId="104936A2" w:rsidR="00E70ABC" w:rsidRPr="009F56E6" w:rsidRDefault="00E70ABC" w:rsidP="00EA43B8">
      <w:pPr>
        <w:rPr>
          <w:noProof/>
        </w:rPr>
      </w:pPr>
      <w:r w:rsidRPr="009F56E6">
        <w:rPr>
          <w:noProof/>
        </w:rPr>
        <w:t xml:space="preserve">Having </w:t>
      </w:r>
      <w:r w:rsidRPr="00583E15">
        <w:rPr>
          <w:noProof/>
        </w:rPr>
        <w:t>regard to the Treaty on the Functioning of the European Union, and in particular</w:t>
      </w:r>
      <w:r w:rsidR="00583E15" w:rsidRPr="0003774E">
        <w:rPr>
          <w:noProof/>
        </w:rPr>
        <w:t xml:space="preserve"> Article 16(2</w:t>
      </w:r>
      <w:r w:rsidR="00583E15" w:rsidRPr="009F56E6">
        <w:rPr>
          <w:noProof/>
        </w:rPr>
        <w:t>)</w:t>
      </w:r>
      <w:r w:rsidR="000A746D" w:rsidRPr="00583E15">
        <w:rPr>
          <w:noProof/>
        </w:rPr>
        <w:t xml:space="preserve">, </w:t>
      </w:r>
      <w:r w:rsidRPr="009F56E6">
        <w:rPr>
          <w:noProof/>
        </w:rPr>
        <w:t>Article</w:t>
      </w:r>
      <w:r w:rsidR="00A16FB5" w:rsidRPr="009F56E6">
        <w:rPr>
          <w:noProof/>
        </w:rPr>
        <w:t xml:space="preserve"> 87(2)</w:t>
      </w:r>
      <w:r w:rsidR="00583E15">
        <w:rPr>
          <w:noProof/>
        </w:rPr>
        <w:t xml:space="preserve">, point </w:t>
      </w:r>
      <w:r w:rsidR="00A16FB5" w:rsidRPr="009F56E6">
        <w:rPr>
          <w:noProof/>
        </w:rPr>
        <w:t>(a)</w:t>
      </w:r>
      <w:r w:rsidR="00583E15">
        <w:rPr>
          <w:noProof/>
        </w:rPr>
        <w:t>,</w:t>
      </w:r>
      <w:r w:rsidRPr="009F56E6">
        <w:rPr>
          <w:noProof/>
        </w:rPr>
        <w:t xml:space="preserve"> </w:t>
      </w:r>
      <w:r w:rsidR="00530977" w:rsidRPr="009F56E6" w:rsidDel="00530977">
        <w:rPr>
          <w:noProof/>
        </w:rPr>
        <w:t xml:space="preserve">and </w:t>
      </w:r>
      <w:r w:rsidR="00530977" w:rsidRPr="009F56E6">
        <w:rPr>
          <w:noProof/>
        </w:rPr>
        <w:t>Article 88(2)</w:t>
      </w:r>
      <w:r w:rsidR="00BC6691" w:rsidRPr="009F56E6">
        <w:rPr>
          <w:noProof/>
        </w:rPr>
        <w:t xml:space="preserve"> </w:t>
      </w:r>
      <w:r w:rsidRPr="009F56E6">
        <w:rPr>
          <w:noProof/>
        </w:rPr>
        <w:t>thereof,</w:t>
      </w:r>
    </w:p>
    <w:p w14:paraId="0B2CA270" w14:textId="77777777" w:rsidR="00E70ABC" w:rsidRPr="009F56E6" w:rsidRDefault="00E70ABC" w:rsidP="00EA43B8">
      <w:pPr>
        <w:rPr>
          <w:noProof/>
        </w:rPr>
      </w:pPr>
      <w:r w:rsidRPr="009F56E6">
        <w:rPr>
          <w:noProof/>
        </w:rPr>
        <w:t>Having regard to the proposal from the European Commission,</w:t>
      </w:r>
    </w:p>
    <w:p w14:paraId="4A6062AD" w14:textId="77777777" w:rsidR="00E70ABC" w:rsidRPr="009F56E6" w:rsidRDefault="00E70ABC" w:rsidP="00EA43B8">
      <w:pPr>
        <w:rPr>
          <w:noProof/>
        </w:rPr>
      </w:pPr>
      <w:r w:rsidRPr="009F56E6">
        <w:rPr>
          <w:noProof/>
        </w:rPr>
        <w:t>After transmission of the draft legislative act to the national parliaments,</w:t>
      </w:r>
    </w:p>
    <w:p w14:paraId="6EB66554" w14:textId="577AAFF6" w:rsidR="00E70ABC" w:rsidRPr="009F56E6" w:rsidRDefault="00E70ABC" w:rsidP="00EA43B8">
      <w:pPr>
        <w:rPr>
          <w:noProof/>
        </w:rPr>
      </w:pPr>
      <w:r w:rsidRPr="009F56E6">
        <w:rPr>
          <w:noProof/>
        </w:rPr>
        <w:t>Having regard to the opinion of the European Economic and Social Committee</w:t>
      </w:r>
      <w:r w:rsidRPr="009F56E6">
        <w:rPr>
          <w:rStyle w:val="FootnoteReference0"/>
          <w:noProof/>
        </w:rPr>
        <w:footnoteReference w:id="29"/>
      </w:r>
      <w:r w:rsidR="00C4704B">
        <w:rPr>
          <w:noProof/>
        </w:rPr>
        <w:t>,</w:t>
      </w:r>
    </w:p>
    <w:p w14:paraId="665A4997" w14:textId="1BFC322B" w:rsidR="00E70ABC" w:rsidRPr="009F56E6" w:rsidRDefault="00E70ABC" w:rsidP="00EA43B8">
      <w:pPr>
        <w:rPr>
          <w:noProof/>
        </w:rPr>
      </w:pPr>
      <w:r w:rsidRPr="009F56E6">
        <w:rPr>
          <w:noProof/>
        </w:rPr>
        <w:t>Having regard to the opinion of the Committee of the Regions</w:t>
      </w:r>
      <w:r w:rsidRPr="009F56E6">
        <w:rPr>
          <w:rStyle w:val="FootnoteReference0"/>
          <w:noProof/>
        </w:rPr>
        <w:footnoteReference w:id="30"/>
      </w:r>
      <w:r w:rsidR="00C4704B">
        <w:rPr>
          <w:noProof/>
        </w:rPr>
        <w:t>,</w:t>
      </w:r>
    </w:p>
    <w:p w14:paraId="30C60C49" w14:textId="77777777" w:rsidR="00E70ABC" w:rsidRPr="009F56E6" w:rsidRDefault="00E70ABC" w:rsidP="00EA43B8">
      <w:pPr>
        <w:rPr>
          <w:noProof/>
        </w:rPr>
      </w:pPr>
      <w:r w:rsidRPr="009F56E6">
        <w:rPr>
          <w:noProof/>
        </w:rPr>
        <w:t>Acting in accordance with the ordinary legislative procedure,</w:t>
      </w:r>
    </w:p>
    <w:p w14:paraId="38D20B9C" w14:textId="77777777" w:rsidR="00E70ABC" w:rsidRPr="009F56E6" w:rsidRDefault="00E70ABC" w:rsidP="00EA43B8">
      <w:pPr>
        <w:rPr>
          <w:noProof/>
        </w:rPr>
      </w:pPr>
      <w:r w:rsidRPr="009F56E6">
        <w:rPr>
          <w:noProof/>
        </w:rPr>
        <w:t>Whereas:</w:t>
      </w:r>
    </w:p>
    <w:p w14:paraId="1AC077FA" w14:textId="661C77CD" w:rsidR="00922A29" w:rsidRPr="009F56E6" w:rsidRDefault="00C304BF" w:rsidP="00C304BF">
      <w:pPr>
        <w:pStyle w:val="ManualConsidrant"/>
        <w:rPr>
          <w:noProof/>
        </w:rPr>
      </w:pPr>
      <w:r w:rsidRPr="00C304BF">
        <w:t>(1)</w:t>
      </w:r>
      <w:r w:rsidRPr="00C304BF">
        <w:tab/>
      </w:r>
      <w:r w:rsidR="00CA16CB" w:rsidRPr="009F56E6">
        <w:rPr>
          <w:noProof/>
        </w:rPr>
        <w:t>The Union has set itself the objective of offering its citizens an area of freedom, security and justice without internal frontiers, in which the free movement of persons is ensured. That objective should be achieved by means of, among others, appropriate measures to prevent and combat crime, including organised crime and terrorism.</w:t>
      </w:r>
    </w:p>
    <w:p w14:paraId="5A9B12F3" w14:textId="669E6884" w:rsidR="008309A3" w:rsidRPr="00CE3F2A" w:rsidRDefault="00C304BF" w:rsidP="00C304BF">
      <w:pPr>
        <w:pStyle w:val="ManualConsidrant"/>
        <w:rPr>
          <w:noProof/>
        </w:rPr>
      </w:pPr>
      <w:r w:rsidRPr="00C304BF">
        <w:t>(2)</w:t>
      </w:r>
      <w:r w:rsidRPr="00C304BF">
        <w:tab/>
      </w:r>
      <w:r w:rsidR="008309A3" w:rsidRPr="00CE3F2A">
        <w:rPr>
          <w:noProof/>
        </w:rPr>
        <w:t xml:space="preserve">That objective requires that </w:t>
      </w:r>
      <w:r w:rsidR="008309A3" w:rsidRPr="009F56E6">
        <w:rPr>
          <w:noProof/>
        </w:rPr>
        <w:t>law enforcement authorities</w:t>
      </w:r>
      <w:r w:rsidR="002C49EB" w:rsidRPr="009F56E6">
        <w:rPr>
          <w:noProof/>
        </w:rPr>
        <w:t xml:space="preserve"> </w:t>
      </w:r>
      <w:r w:rsidR="00A3164B" w:rsidRPr="009F56E6">
        <w:rPr>
          <w:noProof/>
        </w:rPr>
        <w:t>exchange data, in an efficient and timely manner, in order to effectively fight crime.</w:t>
      </w:r>
    </w:p>
    <w:p w14:paraId="1F9CF317" w14:textId="200478E3" w:rsidR="001457F0" w:rsidRPr="009F56E6" w:rsidRDefault="00C304BF" w:rsidP="00C304BF">
      <w:pPr>
        <w:pStyle w:val="ManualConsidrant"/>
        <w:rPr>
          <w:noProof/>
        </w:rPr>
      </w:pPr>
      <w:r w:rsidRPr="00C304BF">
        <w:t>(3)</w:t>
      </w:r>
      <w:r w:rsidRPr="00C304BF">
        <w:tab/>
      </w:r>
      <w:r w:rsidR="001457F0" w:rsidRPr="009F56E6">
        <w:rPr>
          <w:noProof/>
        </w:rPr>
        <w:t xml:space="preserve">The objective of this Regulation </w:t>
      </w:r>
      <w:r w:rsidR="001457F0">
        <w:rPr>
          <w:noProof/>
        </w:rPr>
        <w:t>is</w:t>
      </w:r>
      <w:r w:rsidR="001457F0" w:rsidRPr="009F56E6">
        <w:rPr>
          <w:noProof/>
        </w:rPr>
        <w:t xml:space="preserve"> therefore to improve, streamline and facilitate the exchange of criminal information between Member States’ law enforcement authorities, but also with </w:t>
      </w:r>
      <w:r w:rsidR="001457F0">
        <w:rPr>
          <w:noProof/>
        </w:rPr>
        <w:t xml:space="preserve">the </w:t>
      </w:r>
      <w:r w:rsidR="001457F0" w:rsidRPr="009F56E6">
        <w:rPr>
          <w:noProof/>
        </w:rPr>
        <w:t>European Union Agency for Law Enforcement Cooperation established by Regulation (EU) No 2016/794</w:t>
      </w:r>
      <w:r w:rsidR="001457F0">
        <w:rPr>
          <w:noProof/>
        </w:rPr>
        <w:t xml:space="preserve"> of the European Parliament and of the Council</w:t>
      </w:r>
      <w:r w:rsidR="001457F0">
        <w:rPr>
          <w:rStyle w:val="FootnoteReference0"/>
          <w:noProof/>
        </w:rPr>
        <w:footnoteReference w:id="31"/>
      </w:r>
      <w:r w:rsidR="001457F0">
        <w:rPr>
          <w:noProof/>
        </w:rPr>
        <w:t xml:space="preserve"> (</w:t>
      </w:r>
      <w:r w:rsidR="001457F0" w:rsidRPr="009F56E6">
        <w:rPr>
          <w:noProof/>
        </w:rPr>
        <w:t>Europol</w:t>
      </w:r>
      <w:r w:rsidR="001457F0">
        <w:rPr>
          <w:noProof/>
        </w:rPr>
        <w:t>)</w:t>
      </w:r>
      <w:r w:rsidR="001457F0" w:rsidRPr="009F56E6">
        <w:rPr>
          <w:noProof/>
        </w:rPr>
        <w:t xml:space="preserve"> as the </w:t>
      </w:r>
      <w:r w:rsidR="001457F0">
        <w:rPr>
          <w:noProof/>
        </w:rPr>
        <w:t>Union criminal</w:t>
      </w:r>
      <w:r w:rsidR="001457F0" w:rsidRPr="009F56E6">
        <w:rPr>
          <w:noProof/>
        </w:rPr>
        <w:t xml:space="preserve"> information hub.</w:t>
      </w:r>
    </w:p>
    <w:p w14:paraId="6CAC84F7" w14:textId="658AFC78" w:rsidR="00986398" w:rsidRPr="00CE3F2A" w:rsidRDefault="00C304BF" w:rsidP="00C304BF">
      <w:pPr>
        <w:pStyle w:val="ManualConsidrant"/>
        <w:rPr>
          <w:noProof/>
        </w:rPr>
      </w:pPr>
      <w:r w:rsidRPr="00C304BF">
        <w:t>(4)</w:t>
      </w:r>
      <w:r w:rsidRPr="00C304BF">
        <w:tab/>
      </w:r>
      <w:r w:rsidR="00986398" w:rsidRPr="00CE3F2A">
        <w:rPr>
          <w:noProof/>
        </w:rPr>
        <w:t>Council Decision</w:t>
      </w:r>
      <w:r w:rsidR="00CC250A">
        <w:rPr>
          <w:noProof/>
        </w:rPr>
        <w:t>s</w:t>
      </w:r>
      <w:r w:rsidR="00986398" w:rsidRPr="00CE3F2A">
        <w:rPr>
          <w:noProof/>
        </w:rPr>
        <w:t xml:space="preserve"> 2008/615/JHA</w:t>
      </w:r>
      <w:r w:rsidR="00986398" w:rsidRPr="009F56E6">
        <w:rPr>
          <w:rStyle w:val="FootnoteReference0"/>
          <w:noProof/>
        </w:rPr>
        <w:footnoteReference w:id="32"/>
      </w:r>
      <w:r w:rsidR="00986398" w:rsidRPr="00CE3F2A">
        <w:rPr>
          <w:noProof/>
        </w:rPr>
        <w:t xml:space="preserve"> and 2008/616/JHA</w:t>
      </w:r>
      <w:r w:rsidR="0009152A" w:rsidRPr="009F56E6">
        <w:rPr>
          <w:rStyle w:val="FootnoteReference0"/>
          <w:noProof/>
        </w:rPr>
        <w:footnoteReference w:id="33"/>
      </w:r>
      <w:r w:rsidR="00986398" w:rsidRPr="00CE3F2A">
        <w:rPr>
          <w:noProof/>
        </w:rPr>
        <w:t xml:space="preserve"> </w:t>
      </w:r>
      <w:r w:rsidR="001457F0">
        <w:rPr>
          <w:noProof/>
        </w:rPr>
        <w:t xml:space="preserve">laying down rules for </w:t>
      </w:r>
      <w:r w:rsidR="00A3164B" w:rsidRPr="00CE3F2A">
        <w:rPr>
          <w:noProof/>
        </w:rPr>
        <w:t xml:space="preserve">the </w:t>
      </w:r>
      <w:r w:rsidR="005B3A20" w:rsidRPr="00CE3F2A">
        <w:rPr>
          <w:noProof/>
        </w:rPr>
        <w:t>exchange of information between</w:t>
      </w:r>
      <w:r w:rsidR="00A3164B" w:rsidRPr="00CE3F2A">
        <w:rPr>
          <w:noProof/>
        </w:rPr>
        <w:t xml:space="preserve"> authorities </w:t>
      </w:r>
      <w:r w:rsidR="005B3A20" w:rsidRPr="00CE3F2A">
        <w:rPr>
          <w:noProof/>
        </w:rPr>
        <w:t xml:space="preserve">responsible for the prevention and investigation of criminal offences </w:t>
      </w:r>
      <w:r w:rsidR="00A3164B" w:rsidRPr="00CE3F2A">
        <w:rPr>
          <w:noProof/>
        </w:rPr>
        <w:t xml:space="preserve">by providing for the automated transfer </w:t>
      </w:r>
      <w:r w:rsidR="005B3A20" w:rsidRPr="00CE3F2A">
        <w:rPr>
          <w:noProof/>
        </w:rPr>
        <w:t>of DNA profiles, dactyloscopic data and certain vehicle registration data</w:t>
      </w:r>
      <w:r w:rsidR="001457F0">
        <w:rPr>
          <w:noProof/>
        </w:rPr>
        <w:t>, have</w:t>
      </w:r>
      <w:r w:rsidR="001457F0" w:rsidRPr="009F56E6">
        <w:rPr>
          <w:noProof/>
        </w:rPr>
        <w:t xml:space="preserve"> </w:t>
      </w:r>
      <w:r w:rsidR="00DD712D">
        <w:rPr>
          <w:noProof/>
        </w:rPr>
        <w:t>proven</w:t>
      </w:r>
      <w:r w:rsidR="001457F0">
        <w:rPr>
          <w:noProof/>
        </w:rPr>
        <w:t xml:space="preserve"> important </w:t>
      </w:r>
      <w:r w:rsidR="001457F0" w:rsidRPr="009F56E6">
        <w:rPr>
          <w:noProof/>
        </w:rPr>
        <w:t>for tackling terrorism and cross-border crime.</w:t>
      </w:r>
    </w:p>
    <w:p w14:paraId="3B98EC24" w14:textId="48404B06" w:rsidR="00E70ABC" w:rsidRPr="00F75305" w:rsidRDefault="00C304BF" w:rsidP="00C304BF">
      <w:pPr>
        <w:pStyle w:val="ManualConsidrant"/>
        <w:rPr>
          <w:noProof/>
        </w:rPr>
      </w:pPr>
      <w:r w:rsidRPr="00C304BF">
        <w:t>(5)</w:t>
      </w:r>
      <w:r w:rsidRPr="00C304BF">
        <w:tab/>
      </w:r>
      <w:r w:rsidR="00104552" w:rsidRPr="009F56E6">
        <w:rPr>
          <w:noProof/>
        </w:rPr>
        <w:t xml:space="preserve">This Regulation </w:t>
      </w:r>
      <w:r w:rsidR="00A3164B" w:rsidRPr="009F56E6">
        <w:rPr>
          <w:noProof/>
        </w:rPr>
        <w:t>should lay</w:t>
      </w:r>
      <w:r w:rsidR="00104552" w:rsidRPr="009F56E6">
        <w:rPr>
          <w:noProof/>
        </w:rPr>
        <w:t xml:space="preserve"> down the conditions and procedures for the automated transfer of DNA profiles, </w:t>
      </w:r>
      <w:r w:rsidR="00104552" w:rsidRPr="00A14B86">
        <w:rPr>
          <w:noProof/>
        </w:rPr>
        <w:t xml:space="preserve">dactyloscopic data, vehicle registration data, facial images and police records. This </w:t>
      </w:r>
      <w:r w:rsidR="00A3164B" w:rsidRPr="00A14B86">
        <w:rPr>
          <w:noProof/>
        </w:rPr>
        <w:t>should be</w:t>
      </w:r>
      <w:r w:rsidR="00104552" w:rsidRPr="00A14B86">
        <w:rPr>
          <w:noProof/>
        </w:rPr>
        <w:t xml:space="preserve"> without prejudice to the processing of any of these data in the Schengen </w:t>
      </w:r>
      <w:r w:rsidR="00104552" w:rsidRPr="003A7AEA">
        <w:rPr>
          <w:noProof/>
        </w:rPr>
        <w:t>Information System (SIS) or the exchange of supplementary information related to them via the SIRENE bureaux or to the rights of individuals whose data is processed therein.</w:t>
      </w:r>
    </w:p>
    <w:p w14:paraId="0A17AD64" w14:textId="2F897AFF" w:rsidR="00472612" w:rsidRPr="00A14B86" w:rsidRDefault="00C304BF" w:rsidP="00C304BF">
      <w:pPr>
        <w:pStyle w:val="ManualConsidrant"/>
        <w:rPr>
          <w:noProof/>
        </w:rPr>
      </w:pPr>
      <w:r w:rsidRPr="00C304BF">
        <w:t>(6)</w:t>
      </w:r>
      <w:r w:rsidRPr="00C304BF">
        <w:tab/>
      </w:r>
      <w:r w:rsidR="00377F8B" w:rsidRPr="00A14B86">
        <w:rPr>
          <w:noProof/>
        </w:rPr>
        <w:t>The processing of personal data and the exchange of personal data for the purposes of this Regulation should not result in discrimination against persons on any grounds. It should fully respect human dignity and integrity and other fundamental rights, including the right to respect for one's private life and to the protection of personal data</w:t>
      </w:r>
      <w:r w:rsidR="00A26839">
        <w:rPr>
          <w:noProof/>
        </w:rPr>
        <w:t>, in accordance with the Charter of Fundamental Rights of the European Union</w:t>
      </w:r>
      <w:r w:rsidR="00377F8B" w:rsidRPr="00A14B86">
        <w:rPr>
          <w:noProof/>
        </w:rPr>
        <w:t>.</w:t>
      </w:r>
    </w:p>
    <w:p w14:paraId="6561FF3C" w14:textId="4921C4D8" w:rsidR="00251B14" w:rsidRPr="00A14B86" w:rsidRDefault="00C304BF" w:rsidP="00C304BF">
      <w:pPr>
        <w:pStyle w:val="ManualConsidrant"/>
        <w:rPr>
          <w:noProof/>
        </w:rPr>
      </w:pPr>
      <w:r w:rsidRPr="00C304BF">
        <w:t>(7)</w:t>
      </w:r>
      <w:r w:rsidRPr="00C304BF">
        <w:tab/>
      </w:r>
      <w:r w:rsidR="00251B14" w:rsidRPr="00A14B86">
        <w:rPr>
          <w:noProof/>
        </w:rPr>
        <w:t xml:space="preserve">By providing for the </w:t>
      </w:r>
      <w:r w:rsidR="00583E15" w:rsidRPr="00A14B86">
        <w:rPr>
          <w:noProof/>
        </w:rPr>
        <w:t xml:space="preserve">automated </w:t>
      </w:r>
      <w:r w:rsidR="00A14B86">
        <w:rPr>
          <w:noProof/>
        </w:rPr>
        <w:t>search or comparison</w:t>
      </w:r>
      <w:r w:rsidR="00A14B86" w:rsidRPr="00A14B86">
        <w:rPr>
          <w:noProof/>
        </w:rPr>
        <w:t xml:space="preserve"> </w:t>
      </w:r>
      <w:r w:rsidR="00251B14" w:rsidRPr="00A14B86">
        <w:rPr>
          <w:noProof/>
        </w:rPr>
        <w:t xml:space="preserve">of DNA profiles, dactyloscopic data, vehicle registration data, facial images and police records, the purpose of </w:t>
      </w:r>
      <w:r w:rsidR="001457F0">
        <w:rPr>
          <w:noProof/>
        </w:rPr>
        <w:t>this Regulation</w:t>
      </w:r>
      <w:r w:rsidR="00251B14" w:rsidRPr="00A14B86">
        <w:rPr>
          <w:noProof/>
        </w:rPr>
        <w:t xml:space="preserve"> </w:t>
      </w:r>
      <w:r w:rsidR="001457F0">
        <w:rPr>
          <w:noProof/>
        </w:rPr>
        <w:t>is</w:t>
      </w:r>
      <w:r w:rsidR="001457F0" w:rsidRPr="00A14B86">
        <w:rPr>
          <w:noProof/>
        </w:rPr>
        <w:t xml:space="preserve"> </w:t>
      </w:r>
      <w:r w:rsidR="00251B14" w:rsidRPr="00A14B86">
        <w:rPr>
          <w:noProof/>
        </w:rPr>
        <w:t xml:space="preserve">also to allow for the search </w:t>
      </w:r>
      <w:r w:rsidR="001457F0">
        <w:rPr>
          <w:noProof/>
        </w:rPr>
        <w:t>of</w:t>
      </w:r>
      <w:r w:rsidR="001457F0" w:rsidRPr="00A14B86">
        <w:rPr>
          <w:noProof/>
        </w:rPr>
        <w:t xml:space="preserve"> </w:t>
      </w:r>
      <w:r w:rsidR="00251B14" w:rsidRPr="00A14B86">
        <w:rPr>
          <w:noProof/>
        </w:rPr>
        <w:t xml:space="preserve">missing persons and unidentified human remains. This should be without prejudice to the entry of SIS alerts on missing persons and the exchange of supplementary information on such alerts </w:t>
      </w:r>
      <w:r w:rsidR="001457F0">
        <w:rPr>
          <w:noProof/>
        </w:rPr>
        <w:t>under</w:t>
      </w:r>
      <w:r w:rsidR="00251B14" w:rsidRPr="00A14B86">
        <w:rPr>
          <w:noProof/>
        </w:rPr>
        <w:t xml:space="preserve"> Regulation (EU) 2018/1862</w:t>
      </w:r>
      <w:r w:rsidR="001457F0" w:rsidRPr="001457F0">
        <w:rPr>
          <w:noProof/>
        </w:rPr>
        <w:t xml:space="preserve"> </w:t>
      </w:r>
      <w:r w:rsidR="001457F0" w:rsidRPr="00E8496C">
        <w:rPr>
          <w:noProof/>
        </w:rPr>
        <w:t>of the European Parliament and of the Council</w:t>
      </w:r>
      <w:r w:rsidR="001457F0">
        <w:rPr>
          <w:noProof/>
        </w:rPr>
        <w:t>.</w:t>
      </w:r>
      <w:r w:rsidR="001457F0" w:rsidRPr="00FC1288">
        <w:rPr>
          <w:rStyle w:val="FootnoteReference0"/>
          <w:noProof/>
        </w:rPr>
        <w:footnoteReference w:id="34"/>
      </w:r>
    </w:p>
    <w:p w14:paraId="0233161E" w14:textId="6CBDD1AD" w:rsidR="008F4982" w:rsidRPr="009F56E6" w:rsidRDefault="00C304BF" w:rsidP="00C304BF">
      <w:pPr>
        <w:pStyle w:val="ManualConsidrant"/>
        <w:rPr>
          <w:noProof/>
        </w:rPr>
      </w:pPr>
      <w:r w:rsidRPr="00C304BF">
        <w:t>(8)</w:t>
      </w:r>
      <w:r w:rsidRPr="00C304BF">
        <w:tab/>
      </w:r>
      <w:r w:rsidR="00A8404A" w:rsidRPr="009F56E6">
        <w:rPr>
          <w:noProof/>
        </w:rPr>
        <w:t xml:space="preserve">The Directive </w:t>
      </w:r>
      <w:r w:rsidR="00CC250A">
        <w:rPr>
          <w:noProof/>
        </w:rPr>
        <w:t>(EU) …/… [</w:t>
      </w:r>
      <w:r w:rsidR="00A8404A" w:rsidRPr="0003774E">
        <w:rPr>
          <w:i/>
          <w:noProof/>
        </w:rPr>
        <w:t>on information exchange between law enforcement authorities of Member States</w:t>
      </w:r>
      <w:r w:rsidR="001457F0">
        <w:rPr>
          <w:noProof/>
        </w:rPr>
        <w:t>]</w:t>
      </w:r>
      <w:r w:rsidR="001E4695" w:rsidRPr="009F56E6">
        <w:rPr>
          <w:noProof/>
        </w:rPr>
        <w:t xml:space="preserve"> </w:t>
      </w:r>
      <w:r w:rsidR="00B80ACA" w:rsidRPr="009F56E6">
        <w:rPr>
          <w:noProof/>
        </w:rPr>
        <w:t>provide</w:t>
      </w:r>
      <w:r w:rsidR="001457F0">
        <w:rPr>
          <w:noProof/>
        </w:rPr>
        <w:t>s</w:t>
      </w:r>
      <w:r w:rsidR="00B80ACA" w:rsidRPr="009F56E6">
        <w:rPr>
          <w:noProof/>
        </w:rPr>
        <w:t xml:space="preserve"> a coherent </w:t>
      </w:r>
      <w:r w:rsidR="001457F0">
        <w:rPr>
          <w:noProof/>
        </w:rPr>
        <w:t>Union</w:t>
      </w:r>
      <w:r w:rsidR="001457F0" w:rsidRPr="009F56E6">
        <w:rPr>
          <w:noProof/>
        </w:rPr>
        <w:t xml:space="preserve"> </w:t>
      </w:r>
      <w:r w:rsidR="00B80ACA" w:rsidRPr="009F56E6">
        <w:rPr>
          <w:noProof/>
        </w:rPr>
        <w:t>legal framework to ensure that law enforcement authorities have equivalent access to information held by other Member States when they need it to fight crime and terrorism. To enhance information exchange, th</w:t>
      </w:r>
      <w:r w:rsidR="001457F0">
        <w:rPr>
          <w:noProof/>
        </w:rPr>
        <w:t>at</w:t>
      </w:r>
      <w:r w:rsidR="00B80ACA" w:rsidRPr="009F56E6">
        <w:rPr>
          <w:noProof/>
        </w:rPr>
        <w:t xml:space="preserve"> </w:t>
      </w:r>
      <w:r w:rsidR="00A8404A" w:rsidRPr="009F56E6">
        <w:rPr>
          <w:noProof/>
        </w:rPr>
        <w:t xml:space="preserve">Directive </w:t>
      </w:r>
      <w:r w:rsidR="00B80ACA" w:rsidRPr="009F56E6">
        <w:rPr>
          <w:noProof/>
        </w:rPr>
        <w:t>formalise</w:t>
      </w:r>
      <w:r w:rsidR="001457F0">
        <w:rPr>
          <w:noProof/>
        </w:rPr>
        <w:t>s</w:t>
      </w:r>
      <w:r w:rsidR="00B80ACA" w:rsidRPr="009F56E6">
        <w:rPr>
          <w:noProof/>
        </w:rPr>
        <w:t xml:space="preserve"> and clarif</w:t>
      </w:r>
      <w:r w:rsidR="001457F0">
        <w:rPr>
          <w:noProof/>
        </w:rPr>
        <w:t>ies</w:t>
      </w:r>
      <w:r w:rsidR="00B80ACA" w:rsidRPr="009F56E6">
        <w:rPr>
          <w:noProof/>
        </w:rPr>
        <w:t xml:space="preserve"> the procedures for information sharing </w:t>
      </w:r>
      <w:r w:rsidR="00B55A81">
        <w:rPr>
          <w:noProof/>
        </w:rPr>
        <w:t>between</w:t>
      </w:r>
      <w:r w:rsidR="00B55A81" w:rsidRPr="009F56E6">
        <w:rPr>
          <w:noProof/>
        </w:rPr>
        <w:t xml:space="preserve"> </w:t>
      </w:r>
      <w:r w:rsidR="00B80ACA" w:rsidRPr="009F56E6">
        <w:rPr>
          <w:noProof/>
        </w:rPr>
        <w:t>Member States, in particular for investigat</w:t>
      </w:r>
      <w:r w:rsidR="00184817">
        <w:rPr>
          <w:noProof/>
        </w:rPr>
        <w:t>ive</w:t>
      </w:r>
      <w:r w:rsidR="00B80ACA" w:rsidRPr="009F56E6">
        <w:rPr>
          <w:noProof/>
        </w:rPr>
        <w:t xml:space="preserve"> purposes, including the role of the ‘Single Point of Contact’ for such exchanges, and making full use of Europol’s information exchange channel SIENA</w:t>
      </w:r>
      <w:r w:rsidR="00583E15" w:rsidRPr="005D65A8">
        <w:rPr>
          <w:noProof/>
        </w:rPr>
        <w:t>.</w:t>
      </w:r>
      <w:r w:rsidR="00A14B86">
        <w:rPr>
          <w:noProof/>
        </w:rPr>
        <w:t xml:space="preserve"> Any exchange of information beyond what is provided for in this Regulation should be regulated by Directive </w:t>
      </w:r>
      <w:r w:rsidR="00CC250A">
        <w:rPr>
          <w:noProof/>
        </w:rPr>
        <w:t>(EU) …/… [</w:t>
      </w:r>
      <w:r w:rsidR="00A14B86" w:rsidRPr="0003774E">
        <w:rPr>
          <w:i/>
          <w:noProof/>
        </w:rPr>
        <w:t>on information exchange between law enforcement authorities of Member States</w:t>
      </w:r>
      <w:r w:rsidR="00184817">
        <w:rPr>
          <w:noProof/>
        </w:rPr>
        <w:t>]</w:t>
      </w:r>
      <w:r w:rsidR="00A14B86">
        <w:rPr>
          <w:noProof/>
        </w:rPr>
        <w:t>.</w:t>
      </w:r>
    </w:p>
    <w:p w14:paraId="06902DC5" w14:textId="16C70955" w:rsidR="001F6256" w:rsidRPr="009F56E6" w:rsidRDefault="00C304BF" w:rsidP="00C304BF">
      <w:pPr>
        <w:pStyle w:val="ManualConsidrant"/>
        <w:rPr>
          <w:noProof/>
        </w:rPr>
      </w:pPr>
      <w:r w:rsidRPr="00C304BF">
        <w:t>(9)</w:t>
      </w:r>
      <w:r w:rsidRPr="00C304BF">
        <w:tab/>
      </w:r>
      <w:r w:rsidR="001F6256" w:rsidRPr="009F56E6">
        <w:rPr>
          <w:noProof/>
        </w:rPr>
        <w:t xml:space="preserve">For </w:t>
      </w:r>
      <w:r w:rsidR="000A4294" w:rsidRPr="009F56E6">
        <w:rPr>
          <w:noProof/>
        </w:rPr>
        <w:t xml:space="preserve">the </w:t>
      </w:r>
      <w:r w:rsidR="001F6256" w:rsidRPr="009F56E6">
        <w:rPr>
          <w:noProof/>
        </w:rPr>
        <w:t>automated searching of vehicle registration data</w:t>
      </w:r>
      <w:r w:rsidR="000C7180">
        <w:rPr>
          <w:noProof/>
        </w:rPr>
        <w:t>,</w:t>
      </w:r>
      <w:r w:rsidR="001F6256" w:rsidRPr="009F56E6">
        <w:rPr>
          <w:noProof/>
        </w:rPr>
        <w:t xml:space="preserve"> Member States should use the European Vehicle and Driving Licence Information System (Eucaris)</w:t>
      </w:r>
      <w:r w:rsidR="001457F0">
        <w:rPr>
          <w:noProof/>
        </w:rPr>
        <w:t xml:space="preserve"> set up by the Treaty concerning a European Vehicle and Driving Licence Information System (EUCARIS)</w:t>
      </w:r>
      <w:r w:rsidR="001F6256" w:rsidRPr="009F56E6">
        <w:rPr>
          <w:noProof/>
        </w:rPr>
        <w:t xml:space="preserve"> designed for this purpose. </w:t>
      </w:r>
      <w:r w:rsidR="000A4294" w:rsidRPr="009F56E6">
        <w:rPr>
          <w:noProof/>
        </w:rPr>
        <w:t xml:space="preserve">Eucaris </w:t>
      </w:r>
      <w:r w:rsidR="001457F0">
        <w:rPr>
          <w:noProof/>
        </w:rPr>
        <w:t xml:space="preserve">should </w:t>
      </w:r>
      <w:r w:rsidR="000A4294" w:rsidRPr="009F56E6">
        <w:rPr>
          <w:noProof/>
        </w:rPr>
        <w:t>connect all participating Member States in a network</w:t>
      </w:r>
      <w:r w:rsidR="003E0FAC" w:rsidRPr="009F56E6">
        <w:rPr>
          <w:noProof/>
        </w:rPr>
        <w:t>.</w:t>
      </w:r>
      <w:r w:rsidR="000A4294" w:rsidRPr="009F56E6">
        <w:rPr>
          <w:noProof/>
        </w:rPr>
        <w:t xml:space="preserve"> </w:t>
      </w:r>
      <w:r w:rsidR="00247B2A" w:rsidRPr="009F56E6">
        <w:rPr>
          <w:noProof/>
        </w:rPr>
        <w:t>There is no central component needed for the communication to be established</w:t>
      </w:r>
      <w:r w:rsidR="003E0FAC" w:rsidRPr="009F56E6">
        <w:rPr>
          <w:noProof/>
        </w:rPr>
        <w:t xml:space="preserve"> as each Member State communicates directly to the other connected Member States</w:t>
      </w:r>
      <w:r w:rsidR="00247B2A" w:rsidRPr="009F56E6">
        <w:rPr>
          <w:noProof/>
        </w:rPr>
        <w:t>.</w:t>
      </w:r>
    </w:p>
    <w:p w14:paraId="414D1FBA" w14:textId="4CD4B23F" w:rsidR="00403208" w:rsidRPr="009F56E6" w:rsidRDefault="00C304BF" w:rsidP="00C304BF">
      <w:pPr>
        <w:pStyle w:val="ManualConsidrant"/>
        <w:rPr>
          <w:noProof/>
        </w:rPr>
      </w:pPr>
      <w:r w:rsidRPr="00C304BF">
        <w:t>(10)</w:t>
      </w:r>
      <w:r w:rsidRPr="00C304BF">
        <w:tab/>
      </w:r>
      <w:r w:rsidR="000F74F3" w:rsidRPr="009F56E6">
        <w:rPr>
          <w:noProof/>
        </w:rPr>
        <w:t xml:space="preserve">The </w:t>
      </w:r>
      <w:r w:rsidR="000F74F3" w:rsidRPr="00A14B86">
        <w:rPr>
          <w:noProof/>
        </w:rPr>
        <w:t xml:space="preserve">identification of a criminal is essential for a successful criminal investigation and prosecution. The </w:t>
      </w:r>
      <w:r w:rsidR="000F74F3" w:rsidRPr="0003774E">
        <w:rPr>
          <w:noProof/>
        </w:rPr>
        <w:t xml:space="preserve">automated </w:t>
      </w:r>
      <w:r w:rsidR="00A14B86" w:rsidRPr="00A14B86">
        <w:rPr>
          <w:noProof/>
        </w:rPr>
        <w:t>search</w:t>
      </w:r>
      <w:r w:rsidR="000C7180">
        <w:rPr>
          <w:noProof/>
        </w:rPr>
        <w:t>ing</w:t>
      </w:r>
      <w:r w:rsidR="00A14B86" w:rsidRPr="00A14B86">
        <w:rPr>
          <w:noProof/>
        </w:rPr>
        <w:t xml:space="preserve"> </w:t>
      </w:r>
      <w:r w:rsidR="000F74F3" w:rsidRPr="00A14B86">
        <w:rPr>
          <w:noProof/>
        </w:rPr>
        <w:t xml:space="preserve">of facial images of suspects and convicted criminals </w:t>
      </w:r>
      <w:r w:rsidR="0011515F">
        <w:rPr>
          <w:noProof/>
        </w:rPr>
        <w:t>sh</w:t>
      </w:r>
      <w:r w:rsidR="000F74F3" w:rsidRPr="00A14B86">
        <w:rPr>
          <w:noProof/>
        </w:rPr>
        <w:t>ould</w:t>
      </w:r>
      <w:r w:rsidR="000F74F3" w:rsidRPr="009F56E6">
        <w:rPr>
          <w:noProof/>
        </w:rPr>
        <w:t xml:space="preserve"> provide for additional information for successfully identifying criminals and fighting crime. </w:t>
      </w:r>
    </w:p>
    <w:p w14:paraId="46C6F0A5" w14:textId="54654A00" w:rsidR="00403208" w:rsidRPr="009F56E6" w:rsidRDefault="00C304BF" w:rsidP="00C304BF">
      <w:pPr>
        <w:pStyle w:val="ManualConsidrant"/>
        <w:rPr>
          <w:noProof/>
        </w:rPr>
      </w:pPr>
      <w:r w:rsidRPr="00C304BF">
        <w:t>(11)</w:t>
      </w:r>
      <w:r w:rsidRPr="00C304BF">
        <w:tab/>
      </w:r>
      <w:r w:rsidR="007857BF" w:rsidRPr="00A14B86">
        <w:rPr>
          <w:noProof/>
        </w:rPr>
        <w:t xml:space="preserve">The </w:t>
      </w:r>
      <w:r w:rsidR="007857BF" w:rsidRPr="0003774E">
        <w:rPr>
          <w:noProof/>
        </w:rPr>
        <w:t xml:space="preserve">automated </w:t>
      </w:r>
      <w:r w:rsidR="00A14B86" w:rsidRPr="00A14B86">
        <w:rPr>
          <w:noProof/>
        </w:rPr>
        <w:t>search</w:t>
      </w:r>
      <w:r w:rsidR="00A14B86" w:rsidRPr="003A7AEA">
        <w:rPr>
          <w:noProof/>
        </w:rPr>
        <w:t xml:space="preserve"> or comparison </w:t>
      </w:r>
      <w:r w:rsidR="007857BF" w:rsidRPr="003A7AEA">
        <w:rPr>
          <w:noProof/>
        </w:rPr>
        <w:t xml:space="preserve">of biometric data (DNA profiles, dactyloscopic data and facial images) </w:t>
      </w:r>
      <w:r w:rsidR="005B3A20" w:rsidRPr="003A7AEA">
        <w:rPr>
          <w:noProof/>
        </w:rPr>
        <w:t>between authorities responsible for the prevention</w:t>
      </w:r>
      <w:r w:rsidR="00614A30">
        <w:rPr>
          <w:noProof/>
        </w:rPr>
        <w:t>, detection</w:t>
      </w:r>
      <w:r w:rsidR="005B3A20" w:rsidRPr="003A7AEA">
        <w:rPr>
          <w:noProof/>
        </w:rPr>
        <w:t xml:space="preserve"> and investigation</w:t>
      </w:r>
      <w:r w:rsidR="005B3A20" w:rsidRPr="009F56E6">
        <w:rPr>
          <w:noProof/>
        </w:rPr>
        <w:t xml:space="preserve"> of criminal offences </w:t>
      </w:r>
      <w:r w:rsidR="007857BF" w:rsidRPr="009F56E6">
        <w:rPr>
          <w:noProof/>
        </w:rPr>
        <w:t xml:space="preserve">under this Regulation </w:t>
      </w:r>
      <w:r w:rsidR="009351DF" w:rsidRPr="009F56E6">
        <w:rPr>
          <w:noProof/>
        </w:rPr>
        <w:t>should only concern data contained in databases established for the prevention, detection and investigation of criminal offences</w:t>
      </w:r>
      <w:r w:rsidR="007857BF" w:rsidRPr="009F56E6">
        <w:rPr>
          <w:noProof/>
        </w:rPr>
        <w:t>.</w:t>
      </w:r>
    </w:p>
    <w:p w14:paraId="1AB64C00" w14:textId="7D62DA80" w:rsidR="00086CE7" w:rsidRPr="009F56E6" w:rsidRDefault="00C304BF" w:rsidP="00C304BF">
      <w:pPr>
        <w:pStyle w:val="ManualConsidrant"/>
        <w:rPr>
          <w:noProof/>
        </w:rPr>
      </w:pPr>
      <w:r w:rsidRPr="00C304BF">
        <w:t>(12)</w:t>
      </w:r>
      <w:r w:rsidRPr="00C304BF">
        <w:tab/>
      </w:r>
      <w:r w:rsidR="00086CE7" w:rsidRPr="009F56E6">
        <w:rPr>
          <w:noProof/>
        </w:rPr>
        <w:t xml:space="preserve">Participation in the exchange of </w:t>
      </w:r>
      <w:r w:rsidR="00247B2A" w:rsidRPr="009F56E6">
        <w:rPr>
          <w:noProof/>
        </w:rPr>
        <w:t>police records should remain voluntary</w:t>
      </w:r>
      <w:r w:rsidR="00086CE7" w:rsidRPr="009F56E6">
        <w:rPr>
          <w:noProof/>
        </w:rPr>
        <w:t xml:space="preserve">. Where Member States decide to participate, in the spirit of reciprocity, it should not be possible for them to query other Member States’ databases if they do not make their own data available for queries by other Member States. </w:t>
      </w:r>
    </w:p>
    <w:p w14:paraId="38B531D7" w14:textId="6882CF98" w:rsidR="00DA784E" w:rsidRPr="009F56E6" w:rsidRDefault="00C304BF" w:rsidP="00C304BF">
      <w:pPr>
        <w:pStyle w:val="ManualConsidrant"/>
        <w:rPr>
          <w:noProof/>
        </w:rPr>
      </w:pPr>
      <w:r w:rsidRPr="00C304BF">
        <w:t>(13)</w:t>
      </w:r>
      <w:r w:rsidRPr="00C304BF">
        <w:tab/>
      </w:r>
      <w:r w:rsidR="00D81CD4" w:rsidRPr="009F56E6">
        <w:rPr>
          <w:noProof/>
        </w:rPr>
        <w:t xml:space="preserve">In recent years, Europol has received a large amount of biometric data of </w:t>
      </w:r>
      <w:r w:rsidR="003A7AEA">
        <w:rPr>
          <w:noProof/>
        </w:rPr>
        <w:t xml:space="preserve">suspected and convicted </w:t>
      </w:r>
      <w:r w:rsidR="00583E15" w:rsidRPr="009F56E6">
        <w:rPr>
          <w:noProof/>
        </w:rPr>
        <w:t>terrorists and criminals</w:t>
      </w:r>
      <w:r w:rsidR="00583E15">
        <w:rPr>
          <w:noProof/>
        </w:rPr>
        <w:t xml:space="preserve"> </w:t>
      </w:r>
      <w:r w:rsidR="00D81CD4" w:rsidRPr="009F56E6">
        <w:rPr>
          <w:noProof/>
        </w:rPr>
        <w:t xml:space="preserve">from several third countries. Including third country-sourced data stored at Europol in the Prüm framework </w:t>
      </w:r>
      <w:r w:rsidR="00EE6C96">
        <w:rPr>
          <w:noProof/>
        </w:rPr>
        <w:t>and thus making</w:t>
      </w:r>
      <w:r w:rsidR="008C4AC9" w:rsidRPr="009F56E6">
        <w:rPr>
          <w:noProof/>
        </w:rPr>
        <w:t xml:space="preserve"> this data available to law enforcement authorities</w:t>
      </w:r>
      <w:r w:rsidR="00EE6C96">
        <w:rPr>
          <w:noProof/>
        </w:rPr>
        <w:t xml:space="preserve"> is necessary for better </w:t>
      </w:r>
      <w:r w:rsidR="00EE6C96" w:rsidRPr="009F56E6">
        <w:rPr>
          <w:noProof/>
        </w:rPr>
        <w:t>prevention and investigation of criminal offences</w:t>
      </w:r>
      <w:r w:rsidR="00EE6C96">
        <w:rPr>
          <w:noProof/>
        </w:rPr>
        <w:t>.</w:t>
      </w:r>
      <w:r w:rsidR="008C4AC9" w:rsidRPr="009F56E6">
        <w:rPr>
          <w:noProof/>
        </w:rPr>
        <w:t xml:space="preserve"> </w:t>
      </w:r>
      <w:r w:rsidR="00EE6C96">
        <w:rPr>
          <w:noProof/>
        </w:rPr>
        <w:t>It also</w:t>
      </w:r>
      <w:r w:rsidR="008C4AC9" w:rsidRPr="009F56E6">
        <w:rPr>
          <w:noProof/>
        </w:rPr>
        <w:t xml:space="preserve"> </w:t>
      </w:r>
      <w:r w:rsidR="00D81CD4" w:rsidRPr="009F56E6">
        <w:rPr>
          <w:noProof/>
        </w:rPr>
        <w:t>contribute</w:t>
      </w:r>
      <w:r w:rsidR="00EE6C96">
        <w:rPr>
          <w:noProof/>
        </w:rPr>
        <w:t>s</w:t>
      </w:r>
      <w:r w:rsidR="00D81CD4" w:rsidRPr="009F56E6">
        <w:rPr>
          <w:noProof/>
        </w:rPr>
        <w:t xml:space="preserve"> to building synergies between different law enforcement tools</w:t>
      </w:r>
      <w:r w:rsidR="00027273" w:rsidRPr="009F56E6">
        <w:rPr>
          <w:noProof/>
        </w:rPr>
        <w:t>.</w:t>
      </w:r>
    </w:p>
    <w:p w14:paraId="0BE2B7D8" w14:textId="519F54BE" w:rsidR="008F4982" w:rsidRPr="009F56E6" w:rsidRDefault="00C304BF" w:rsidP="00C304BF">
      <w:pPr>
        <w:pStyle w:val="ManualConsidrant"/>
        <w:rPr>
          <w:noProof/>
        </w:rPr>
      </w:pPr>
      <w:r w:rsidRPr="00C304BF">
        <w:t>(14)</w:t>
      </w:r>
      <w:r w:rsidRPr="00C304BF">
        <w:tab/>
      </w:r>
      <w:r w:rsidR="00F77596" w:rsidRPr="009F56E6">
        <w:rPr>
          <w:noProof/>
        </w:rPr>
        <w:t xml:space="preserve">Europol should be able to search Member States’ databases under the Prüm framework with data received from third countries in order to establish cross-border links between criminal cases. Being able to use Prüm data, next to other databases available </w:t>
      </w:r>
      <w:r w:rsidR="00E934BC">
        <w:rPr>
          <w:noProof/>
        </w:rPr>
        <w:t>to</w:t>
      </w:r>
      <w:r w:rsidR="00E934BC" w:rsidRPr="009F56E6">
        <w:rPr>
          <w:noProof/>
        </w:rPr>
        <w:t xml:space="preserve"> </w:t>
      </w:r>
      <w:r w:rsidR="00F77596" w:rsidRPr="009F56E6">
        <w:rPr>
          <w:noProof/>
        </w:rPr>
        <w:t xml:space="preserve">Europol, </w:t>
      </w:r>
      <w:r w:rsidR="00E934BC">
        <w:rPr>
          <w:noProof/>
        </w:rPr>
        <w:t>sh</w:t>
      </w:r>
      <w:r w:rsidR="00F77596" w:rsidRPr="009F56E6">
        <w:rPr>
          <w:noProof/>
        </w:rPr>
        <w:t xml:space="preserve">ould allow establishing more complete and informed analysis on the criminal investigations and </w:t>
      </w:r>
      <w:r w:rsidR="00E934BC">
        <w:rPr>
          <w:noProof/>
        </w:rPr>
        <w:t>sh</w:t>
      </w:r>
      <w:r w:rsidR="00F77596" w:rsidRPr="009F56E6">
        <w:rPr>
          <w:noProof/>
        </w:rPr>
        <w:t>ould allow Europol to provide better support to Member States</w:t>
      </w:r>
      <w:r w:rsidR="00E934BC">
        <w:rPr>
          <w:noProof/>
        </w:rPr>
        <w:t>’</w:t>
      </w:r>
      <w:r w:rsidR="00027273" w:rsidRPr="009F56E6">
        <w:rPr>
          <w:noProof/>
        </w:rPr>
        <w:t xml:space="preserve"> law enforcement authorities</w:t>
      </w:r>
      <w:r w:rsidR="00F77596" w:rsidRPr="009F56E6">
        <w:rPr>
          <w:noProof/>
        </w:rPr>
        <w:t>.</w:t>
      </w:r>
      <w:r w:rsidR="00AA2432" w:rsidRPr="009F56E6">
        <w:rPr>
          <w:noProof/>
        </w:rPr>
        <w:t xml:space="preserve"> In case of a match between data used for the search and data held in Member States’ databases, Member States </w:t>
      </w:r>
      <w:r w:rsidR="005A3C8A" w:rsidRPr="009F56E6">
        <w:rPr>
          <w:noProof/>
        </w:rPr>
        <w:t>may</w:t>
      </w:r>
      <w:r w:rsidR="00AA2432" w:rsidRPr="009F56E6">
        <w:rPr>
          <w:noProof/>
        </w:rPr>
        <w:t xml:space="preserve"> supply Europol with the information necessary for it to fulfil its </w:t>
      </w:r>
      <w:r w:rsidR="00E934BC">
        <w:rPr>
          <w:noProof/>
        </w:rPr>
        <w:t>tasks</w:t>
      </w:r>
      <w:r w:rsidR="00AA2432" w:rsidRPr="009F56E6">
        <w:rPr>
          <w:noProof/>
        </w:rPr>
        <w:t xml:space="preserve">. </w:t>
      </w:r>
    </w:p>
    <w:p w14:paraId="590ACE1F" w14:textId="3E475547" w:rsidR="00403208" w:rsidRPr="009F56E6" w:rsidRDefault="00C304BF" w:rsidP="00C304BF">
      <w:pPr>
        <w:pStyle w:val="ManualConsidrant"/>
        <w:rPr>
          <w:noProof/>
        </w:rPr>
      </w:pPr>
      <w:r w:rsidRPr="00C304BF">
        <w:t>(15)</w:t>
      </w:r>
      <w:r w:rsidRPr="00C304BF">
        <w:tab/>
      </w:r>
      <w:r w:rsidR="00022746" w:rsidRPr="009F56E6">
        <w:rPr>
          <w:noProof/>
        </w:rPr>
        <w:t xml:space="preserve">Decisions </w:t>
      </w:r>
      <w:r w:rsidR="00FC30DE" w:rsidRPr="00CE3F2A">
        <w:rPr>
          <w:noProof/>
        </w:rPr>
        <w:t>2008/615/JHA</w:t>
      </w:r>
      <w:r w:rsidR="00FC30DE" w:rsidRPr="00B215D6">
        <w:rPr>
          <w:noProof/>
        </w:rPr>
        <w:t xml:space="preserve"> </w:t>
      </w:r>
      <w:r w:rsidR="00FC30DE" w:rsidRPr="00CE3F2A">
        <w:rPr>
          <w:noProof/>
        </w:rPr>
        <w:t>and 2008/616/JHA</w:t>
      </w:r>
      <w:r w:rsidR="00FC30DE">
        <w:rPr>
          <w:noProof/>
        </w:rPr>
        <w:t xml:space="preserve"> </w:t>
      </w:r>
      <w:r w:rsidR="00022746" w:rsidRPr="009F56E6">
        <w:rPr>
          <w:noProof/>
        </w:rPr>
        <w:t xml:space="preserve">provide for a network of bilateral connections between the national databases of Member States. </w:t>
      </w:r>
      <w:r w:rsidR="00022746" w:rsidRPr="009F56E6">
        <w:rPr>
          <w:rFonts w:eastAsia="Calibri"/>
          <w:noProof/>
          <w:szCs w:val="24"/>
        </w:rPr>
        <w:t>As a consequence of this technical architecture, each Member State should establish at least 26 connections</w:t>
      </w:r>
      <w:r w:rsidR="00D777FA">
        <w:rPr>
          <w:rFonts w:eastAsia="Calibri"/>
          <w:noProof/>
          <w:szCs w:val="24"/>
        </w:rPr>
        <w:t>, that means</w:t>
      </w:r>
      <w:r w:rsidR="00022746" w:rsidRPr="009F56E6">
        <w:rPr>
          <w:rFonts w:eastAsia="Calibri"/>
          <w:noProof/>
          <w:szCs w:val="24"/>
        </w:rPr>
        <w:t xml:space="preserve"> a connection with each Member State</w:t>
      </w:r>
      <w:r w:rsidR="00D777FA">
        <w:rPr>
          <w:rFonts w:eastAsia="Calibri"/>
          <w:noProof/>
          <w:szCs w:val="24"/>
        </w:rPr>
        <w:t>,</w:t>
      </w:r>
      <w:r w:rsidR="00022746" w:rsidRPr="009F56E6">
        <w:rPr>
          <w:rFonts w:eastAsia="Calibri"/>
          <w:noProof/>
          <w:szCs w:val="24"/>
        </w:rPr>
        <w:t xml:space="preserve"> per data category. The</w:t>
      </w:r>
      <w:r w:rsidR="00022746" w:rsidRPr="009F56E6" w:rsidDel="00027273">
        <w:rPr>
          <w:rFonts w:eastAsia="Calibri"/>
          <w:noProof/>
          <w:szCs w:val="24"/>
        </w:rPr>
        <w:t xml:space="preserve"> </w:t>
      </w:r>
      <w:r w:rsidR="00022746" w:rsidRPr="009F56E6">
        <w:rPr>
          <w:rFonts w:eastAsia="Calibri"/>
          <w:noProof/>
          <w:szCs w:val="24"/>
        </w:rPr>
        <w:t>router</w:t>
      </w:r>
      <w:r w:rsidR="00027273" w:rsidRPr="009F56E6">
        <w:rPr>
          <w:rFonts w:eastAsia="Calibri"/>
          <w:noProof/>
          <w:szCs w:val="24"/>
        </w:rPr>
        <w:t xml:space="preserve"> </w:t>
      </w:r>
      <w:r w:rsidR="00247B2A" w:rsidRPr="009F56E6">
        <w:rPr>
          <w:rFonts w:eastAsia="Calibri"/>
          <w:noProof/>
          <w:szCs w:val="24"/>
        </w:rPr>
        <w:t xml:space="preserve">and </w:t>
      </w:r>
      <w:r w:rsidR="00D777FA">
        <w:rPr>
          <w:rFonts w:eastAsia="Calibri"/>
          <w:noProof/>
          <w:szCs w:val="24"/>
        </w:rPr>
        <w:t xml:space="preserve">the </w:t>
      </w:r>
      <w:r w:rsidR="00D777FA">
        <w:rPr>
          <w:noProof/>
        </w:rPr>
        <w:t>European Police Records Index System</w:t>
      </w:r>
      <w:r w:rsidR="00D777FA">
        <w:rPr>
          <w:rFonts w:eastAsia="Calibri"/>
          <w:noProof/>
          <w:szCs w:val="24"/>
        </w:rPr>
        <w:t xml:space="preserve"> (</w:t>
      </w:r>
      <w:r w:rsidR="00247B2A" w:rsidRPr="009F56E6">
        <w:rPr>
          <w:rFonts w:eastAsia="Calibri"/>
          <w:noProof/>
          <w:szCs w:val="24"/>
        </w:rPr>
        <w:t>EPRIS</w:t>
      </w:r>
      <w:r w:rsidR="00D777FA">
        <w:rPr>
          <w:rFonts w:eastAsia="Calibri"/>
          <w:noProof/>
          <w:szCs w:val="24"/>
        </w:rPr>
        <w:t>)</w:t>
      </w:r>
      <w:r w:rsidR="00247B2A" w:rsidRPr="009F56E6">
        <w:rPr>
          <w:rFonts w:eastAsia="Calibri"/>
          <w:noProof/>
          <w:szCs w:val="24"/>
        </w:rPr>
        <w:t xml:space="preserve"> </w:t>
      </w:r>
      <w:r w:rsidR="00D777FA">
        <w:rPr>
          <w:rFonts w:eastAsia="Calibri"/>
          <w:noProof/>
          <w:szCs w:val="24"/>
        </w:rPr>
        <w:t>established by</w:t>
      </w:r>
      <w:r w:rsidR="00D777FA" w:rsidRPr="009F56E6">
        <w:rPr>
          <w:rFonts w:eastAsia="Calibri"/>
          <w:noProof/>
          <w:szCs w:val="24"/>
        </w:rPr>
        <w:t xml:space="preserve"> </w:t>
      </w:r>
      <w:r w:rsidR="00022746" w:rsidRPr="009F56E6">
        <w:rPr>
          <w:rFonts w:eastAsia="Calibri"/>
          <w:noProof/>
          <w:szCs w:val="24"/>
        </w:rPr>
        <w:t xml:space="preserve">this Regulation should simplify the </w:t>
      </w:r>
      <w:r w:rsidR="00D777FA">
        <w:rPr>
          <w:rFonts w:eastAsia="Calibri"/>
          <w:noProof/>
          <w:szCs w:val="24"/>
        </w:rPr>
        <w:t>technical</w:t>
      </w:r>
      <w:r w:rsidR="00D777FA" w:rsidRPr="009F56E6">
        <w:rPr>
          <w:rFonts w:eastAsia="Calibri"/>
          <w:noProof/>
          <w:szCs w:val="24"/>
        </w:rPr>
        <w:t xml:space="preserve"> </w:t>
      </w:r>
      <w:r w:rsidR="00022746" w:rsidRPr="009F56E6">
        <w:rPr>
          <w:rFonts w:eastAsia="Calibri"/>
          <w:noProof/>
          <w:szCs w:val="24"/>
        </w:rPr>
        <w:t>architecture of the Prüm framework and serve as connecting point</w:t>
      </w:r>
      <w:r w:rsidR="00D777FA">
        <w:rPr>
          <w:rFonts w:eastAsia="Calibri"/>
          <w:noProof/>
          <w:szCs w:val="24"/>
        </w:rPr>
        <w:t>s</w:t>
      </w:r>
      <w:r w:rsidR="00022746" w:rsidRPr="009F56E6">
        <w:rPr>
          <w:rFonts w:eastAsia="Calibri"/>
          <w:noProof/>
          <w:szCs w:val="24"/>
        </w:rPr>
        <w:t xml:space="preserve"> between all Member States.</w:t>
      </w:r>
      <w:r w:rsidR="00027273" w:rsidRPr="009F56E6">
        <w:rPr>
          <w:rFonts w:eastAsia="Calibri"/>
          <w:noProof/>
          <w:szCs w:val="24"/>
        </w:rPr>
        <w:t xml:space="preserve"> The router should require a single connection per Member State in relation to biometric data and EPRIS should require a single connection per Member State in relation to police records.</w:t>
      </w:r>
      <w:r w:rsidR="00022746" w:rsidRPr="009F56E6">
        <w:rPr>
          <w:rFonts w:eastAsia="Calibri"/>
          <w:noProof/>
          <w:szCs w:val="24"/>
        </w:rPr>
        <w:t xml:space="preserve"> </w:t>
      </w:r>
    </w:p>
    <w:p w14:paraId="0E924F7C" w14:textId="58332CB7" w:rsidR="00403208" w:rsidRPr="009F56E6" w:rsidRDefault="00C304BF" w:rsidP="00C304BF">
      <w:pPr>
        <w:pStyle w:val="ManualConsidrant"/>
        <w:rPr>
          <w:noProof/>
        </w:rPr>
      </w:pPr>
      <w:r w:rsidRPr="00C304BF">
        <w:t>(16)</w:t>
      </w:r>
      <w:r w:rsidRPr="00C304BF">
        <w:tab/>
      </w:r>
      <w:r w:rsidR="009007A5" w:rsidRPr="009F56E6">
        <w:rPr>
          <w:noProof/>
        </w:rPr>
        <w:t xml:space="preserve">The router should be connected to the European Search Portal </w:t>
      </w:r>
      <w:r w:rsidR="00AD7E29" w:rsidRPr="009F56E6">
        <w:rPr>
          <w:noProof/>
        </w:rPr>
        <w:t xml:space="preserve">established </w:t>
      </w:r>
      <w:r w:rsidR="00AD7E29">
        <w:rPr>
          <w:noProof/>
        </w:rPr>
        <w:t>by</w:t>
      </w:r>
      <w:r w:rsidR="00AD7E29" w:rsidRPr="009F56E6">
        <w:rPr>
          <w:noProof/>
        </w:rPr>
        <w:t xml:space="preserve"> Article 6 of Regulation (EU) 2019/817 </w:t>
      </w:r>
      <w:r w:rsidR="00AD7E29">
        <w:rPr>
          <w:noProof/>
        </w:rPr>
        <w:t>of the European Parliament and of the Council</w:t>
      </w:r>
      <w:r w:rsidR="00AD7E29">
        <w:rPr>
          <w:rStyle w:val="FootnoteReference0"/>
          <w:noProof/>
        </w:rPr>
        <w:footnoteReference w:id="35"/>
      </w:r>
      <w:r w:rsidR="00AD7E29">
        <w:rPr>
          <w:noProof/>
        </w:rPr>
        <w:t xml:space="preserve"> and </w:t>
      </w:r>
      <w:r w:rsidR="00AD7E29" w:rsidRPr="009F56E6">
        <w:rPr>
          <w:noProof/>
        </w:rPr>
        <w:t>Article 6 of Regulation (EU) 2019/81</w:t>
      </w:r>
      <w:r w:rsidR="00AD7E29">
        <w:rPr>
          <w:noProof/>
        </w:rPr>
        <w:t>8</w:t>
      </w:r>
      <w:r w:rsidR="00AD7E29" w:rsidRPr="009F56E6">
        <w:rPr>
          <w:noProof/>
        </w:rPr>
        <w:t xml:space="preserve"> </w:t>
      </w:r>
      <w:r w:rsidR="00AD7E29">
        <w:rPr>
          <w:noProof/>
        </w:rPr>
        <w:t>of the European Parliament and of the Council</w:t>
      </w:r>
      <w:r w:rsidR="00AD7E29">
        <w:rPr>
          <w:rStyle w:val="FootnoteReference0"/>
          <w:noProof/>
        </w:rPr>
        <w:footnoteReference w:id="36"/>
      </w:r>
      <w:r w:rsidR="00AD7E29">
        <w:rPr>
          <w:noProof/>
        </w:rPr>
        <w:t xml:space="preserve"> </w:t>
      </w:r>
      <w:r w:rsidR="009007A5" w:rsidRPr="009F56E6">
        <w:rPr>
          <w:noProof/>
        </w:rPr>
        <w:t xml:space="preserve">to allow </w:t>
      </w:r>
      <w:r w:rsidR="00583E15" w:rsidRPr="009F56E6">
        <w:rPr>
          <w:noProof/>
        </w:rPr>
        <w:t>Member States</w:t>
      </w:r>
      <w:r w:rsidR="00AD7E29">
        <w:rPr>
          <w:noProof/>
        </w:rPr>
        <w:t>’</w:t>
      </w:r>
      <w:r w:rsidR="00583E15" w:rsidRPr="009F56E6">
        <w:rPr>
          <w:noProof/>
        </w:rPr>
        <w:t xml:space="preserve"> authorities </w:t>
      </w:r>
      <w:r w:rsidR="009007A5" w:rsidRPr="009F56E6">
        <w:rPr>
          <w:noProof/>
        </w:rPr>
        <w:t xml:space="preserve">and Europol to launch queries to national databases under this Regulation simultaneously to </w:t>
      </w:r>
      <w:r w:rsidR="00247B2A" w:rsidRPr="009F56E6">
        <w:rPr>
          <w:noProof/>
        </w:rPr>
        <w:t>queries to the Common Identity Repository</w:t>
      </w:r>
      <w:r w:rsidR="00AD7E29">
        <w:rPr>
          <w:noProof/>
        </w:rPr>
        <w:t xml:space="preserve"> </w:t>
      </w:r>
      <w:r w:rsidR="00AD7E29" w:rsidRPr="009F56E6">
        <w:rPr>
          <w:noProof/>
        </w:rPr>
        <w:t xml:space="preserve">established </w:t>
      </w:r>
      <w:r w:rsidR="00AD7E29">
        <w:rPr>
          <w:noProof/>
        </w:rPr>
        <w:t>by</w:t>
      </w:r>
      <w:r w:rsidR="00AD7E29" w:rsidRPr="009F56E6">
        <w:rPr>
          <w:noProof/>
        </w:rPr>
        <w:t xml:space="preserve"> Article </w:t>
      </w:r>
      <w:r w:rsidR="00AD7E29">
        <w:rPr>
          <w:noProof/>
        </w:rPr>
        <w:t>17</w:t>
      </w:r>
      <w:r w:rsidR="00AD7E29" w:rsidRPr="009F56E6">
        <w:rPr>
          <w:noProof/>
        </w:rPr>
        <w:t xml:space="preserve"> of Regulation (EU) 2019/</w:t>
      </w:r>
      <w:r w:rsidR="00AD7E29">
        <w:rPr>
          <w:noProof/>
        </w:rPr>
        <w:t xml:space="preserve">817 and </w:t>
      </w:r>
      <w:r w:rsidR="00AD7E29" w:rsidRPr="009F56E6">
        <w:rPr>
          <w:noProof/>
        </w:rPr>
        <w:t xml:space="preserve">Article </w:t>
      </w:r>
      <w:r w:rsidR="00AD7E29">
        <w:rPr>
          <w:noProof/>
        </w:rPr>
        <w:t>17</w:t>
      </w:r>
      <w:r w:rsidR="00AD7E29" w:rsidRPr="009F56E6">
        <w:rPr>
          <w:noProof/>
        </w:rPr>
        <w:t xml:space="preserve"> of Regulation (EU) 2019/</w:t>
      </w:r>
      <w:r w:rsidR="00AD7E29">
        <w:rPr>
          <w:noProof/>
        </w:rPr>
        <w:t>818</w:t>
      </w:r>
      <w:r w:rsidR="00247B2A" w:rsidRPr="009F56E6">
        <w:rPr>
          <w:noProof/>
        </w:rPr>
        <w:t xml:space="preserve"> </w:t>
      </w:r>
      <w:r w:rsidR="005A3C8A" w:rsidRPr="009F56E6">
        <w:rPr>
          <w:noProof/>
        </w:rPr>
        <w:t>for law enforcement purposes</w:t>
      </w:r>
      <w:r w:rsidR="009007A5" w:rsidRPr="009F56E6">
        <w:rPr>
          <w:noProof/>
        </w:rPr>
        <w:t>.</w:t>
      </w:r>
    </w:p>
    <w:p w14:paraId="1F748B54" w14:textId="4B67624E" w:rsidR="0011418C" w:rsidRPr="009F56E6" w:rsidRDefault="00C304BF" w:rsidP="00C304BF">
      <w:pPr>
        <w:pStyle w:val="ManualConsidrant"/>
        <w:rPr>
          <w:noProof/>
        </w:rPr>
      </w:pPr>
      <w:r w:rsidRPr="00C304BF">
        <w:t>(17)</w:t>
      </w:r>
      <w:r w:rsidRPr="00C304BF">
        <w:tab/>
      </w:r>
      <w:r w:rsidR="00A8750D" w:rsidRPr="009F56E6">
        <w:rPr>
          <w:noProof/>
        </w:rPr>
        <w:t xml:space="preserve">In case of a </w:t>
      </w:r>
      <w:r w:rsidR="00A8750D" w:rsidRPr="00CE3F2A">
        <w:rPr>
          <w:noProof/>
        </w:rPr>
        <w:t>match between the data used for the search or comparison and data held in the national database of the requested Member State(s), and upon confirmation of this match by the requesting Member State, the requested Member State should return a limited set of core data via the router within 24 hours.</w:t>
      </w:r>
      <w:r w:rsidR="00A04F8B">
        <w:rPr>
          <w:noProof/>
        </w:rPr>
        <w:t xml:space="preserve"> The deadline would ensure fast communication exchange between Member State</w:t>
      </w:r>
      <w:r w:rsidR="000930A8">
        <w:rPr>
          <w:noProof/>
        </w:rPr>
        <w:t>s’</w:t>
      </w:r>
      <w:r w:rsidR="00A04F8B">
        <w:rPr>
          <w:noProof/>
        </w:rPr>
        <w:t xml:space="preserve"> authorities.</w:t>
      </w:r>
      <w:r w:rsidR="00A8750D" w:rsidRPr="00CE3F2A">
        <w:rPr>
          <w:noProof/>
        </w:rPr>
        <w:t xml:space="preserve"> </w:t>
      </w:r>
      <w:r w:rsidR="00A8750D" w:rsidRPr="009F56E6">
        <w:rPr>
          <w:noProof/>
          <w:szCs w:val="24"/>
        </w:rPr>
        <w:t xml:space="preserve">Member States </w:t>
      </w:r>
      <w:r w:rsidR="008F58A0">
        <w:rPr>
          <w:noProof/>
          <w:szCs w:val="24"/>
        </w:rPr>
        <w:t>sh</w:t>
      </w:r>
      <w:r w:rsidR="00A8750D" w:rsidRPr="009F56E6">
        <w:rPr>
          <w:noProof/>
          <w:szCs w:val="24"/>
        </w:rPr>
        <w:t xml:space="preserve">ould retain control over the release of this limited set of core data. </w:t>
      </w:r>
      <w:r w:rsidR="00A8750D" w:rsidRPr="00CE3F2A">
        <w:rPr>
          <w:noProof/>
        </w:rPr>
        <w:t xml:space="preserve">A certain degree of human intervention </w:t>
      </w:r>
      <w:r w:rsidR="00773414">
        <w:rPr>
          <w:noProof/>
        </w:rPr>
        <w:t>sh</w:t>
      </w:r>
      <w:r w:rsidR="00A8750D" w:rsidRPr="00CE3F2A">
        <w:rPr>
          <w:noProof/>
        </w:rPr>
        <w:t>ould be maintained at key points in the process, including for the decision to release personal data to the requesting Member State</w:t>
      </w:r>
      <w:r w:rsidR="00A04F8B">
        <w:rPr>
          <w:noProof/>
        </w:rPr>
        <w:t xml:space="preserve"> in order to ensure that there would be no automated exchange of core data</w:t>
      </w:r>
      <w:r w:rsidR="00A8750D" w:rsidRPr="00CE3F2A">
        <w:rPr>
          <w:noProof/>
        </w:rPr>
        <w:t>.</w:t>
      </w:r>
    </w:p>
    <w:p w14:paraId="6D9F8166" w14:textId="15933510" w:rsidR="00027273" w:rsidRPr="009F56E6" w:rsidRDefault="00C304BF" w:rsidP="00C304BF">
      <w:pPr>
        <w:pStyle w:val="ManualConsidrant"/>
        <w:rPr>
          <w:noProof/>
        </w:rPr>
      </w:pPr>
      <w:r w:rsidRPr="00C304BF">
        <w:t>(18)</w:t>
      </w:r>
      <w:r w:rsidRPr="00C304BF">
        <w:tab/>
      </w:r>
      <w:r w:rsidR="00027273" w:rsidRPr="009F56E6">
        <w:rPr>
          <w:noProof/>
        </w:rPr>
        <w:t xml:space="preserve">Any </w:t>
      </w:r>
      <w:r w:rsidR="00027273" w:rsidRPr="003A7AEA">
        <w:rPr>
          <w:noProof/>
        </w:rPr>
        <w:t xml:space="preserve">exchange between </w:t>
      </w:r>
      <w:r w:rsidR="00027273" w:rsidRPr="0003774E">
        <w:rPr>
          <w:noProof/>
        </w:rPr>
        <w:t>Member States’ authorities</w:t>
      </w:r>
      <w:r w:rsidR="00027273" w:rsidRPr="003A7AEA">
        <w:rPr>
          <w:noProof/>
        </w:rPr>
        <w:t xml:space="preserve"> or with Europol at any stage of one of the processes described</w:t>
      </w:r>
      <w:r w:rsidR="00027273" w:rsidRPr="009F56E6">
        <w:rPr>
          <w:noProof/>
        </w:rPr>
        <w:t xml:space="preserve"> under this Regulation</w:t>
      </w:r>
      <w:r w:rsidR="0029319E" w:rsidRPr="009F56E6">
        <w:rPr>
          <w:noProof/>
        </w:rPr>
        <w:t xml:space="preserve">, </w:t>
      </w:r>
      <w:r w:rsidR="00583E15" w:rsidRPr="009F56E6">
        <w:rPr>
          <w:noProof/>
        </w:rPr>
        <w:t>which is not explicitly described in this Regulation,</w:t>
      </w:r>
      <w:r w:rsidR="00027273" w:rsidRPr="009F56E6">
        <w:rPr>
          <w:noProof/>
        </w:rPr>
        <w:t xml:space="preserve"> should take place </w:t>
      </w:r>
      <w:r w:rsidR="00247B2A" w:rsidRPr="009F56E6">
        <w:rPr>
          <w:noProof/>
        </w:rPr>
        <w:t>via SIENA</w:t>
      </w:r>
      <w:r w:rsidR="00A04F8B">
        <w:rPr>
          <w:noProof/>
        </w:rPr>
        <w:t xml:space="preserve"> to ensure </w:t>
      </w:r>
      <w:r w:rsidR="000930A8">
        <w:rPr>
          <w:noProof/>
        </w:rPr>
        <w:t xml:space="preserve">that </w:t>
      </w:r>
      <w:r w:rsidR="00A04F8B">
        <w:rPr>
          <w:noProof/>
        </w:rPr>
        <w:t>a common, secure and reliable channel of communication is used by all Member States</w:t>
      </w:r>
      <w:r w:rsidR="00027273" w:rsidRPr="009F56E6">
        <w:rPr>
          <w:noProof/>
        </w:rPr>
        <w:t xml:space="preserve">. </w:t>
      </w:r>
    </w:p>
    <w:p w14:paraId="01C8D65A" w14:textId="3EEFEE3B" w:rsidR="003B4E07" w:rsidRDefault="00C304BF" w:rsidP="00C304BF">
      <w:pPr>
        <w:pStyle w:val="ManualConsidrant"/>
        <w:rPr>
          <w:noProof/>
        </w:rPr>
      </w:pPr>
      <w:r w:rsidRPr="00C304BF">
        <w:t>(19)</w:t>
      </w:r>
      <w:r w:rsidRPr="00C304BF">
        <w:tab/>
      </w:r>
      <w:r w:rsidR="003B4E07" w:rsidRPr="009F56E6">
        <w:rPr>
          <w:noProof/>
        </w:rPr>
        <w:t>The universal message format (UMF) standard should be used in the development of the router and EPRIS. Any automated exchange of data in accordance with this Regulation should use the UMF standard. Member State</w:t>
      </w:r>
      <w:r w:rsidR="003B0D68">
        <w:rPr>
          <w:noProof/>
        </w:rPr>
        <w:t>s’</w:t>
      </w:r>
      <w:r w:rsidR="003B4E07" w:rsidRPr="009F56E6">
        <w:rPr>
          <w:noProof/>
        </w:rPr>
        <w:t xml:space="preserve"> authorities and Europol are encouraged to use the UMF standard also in relation to any further exchange of data between them in the context of the Prüm II framework.</w:t>
      </w:r>
      <w:r w:rsidR="00A04F8B">
        <w:rPr>
          <w:noProof/>
        </w:rPr>
        <w:t xml:space="preserve"> The UMF standard should serve as a standard for structured, cross-border information exchange between information systems, authorities or organisations in the field of Justice and Home Affairs. </w:t>
      </w:r>
    </w:p>
    <w:p w14:paraId="2ED5B52E" w14:textId="77D19938" w:rsidR="00C27E40" w:rsidRPr="009F56E6" w:rsidRDefault="00C304BF" w:rsidP="00C304BF">
      <w:pPr>
        <w:pStyle w:val="ManualConsidrant"/>
        <w:rPr>
          <w:noProof/>
        </w:rPr>
      </w:pPr>
      <w:r w:rsidRPr="00C304BF">
        <w:t>(20)</w:t>
      </w:r>
      <w:r w:rsidRPr="00C304BF">
        <w:tab/>
      </w:r>
      <w:r w:rsidR="00C27E40">
        <w:rPr>
          <w:noProof/>
        </w:rPr>
        <w:t>Only non-classified information should be exchanged via the Prüm II framework.</w:t>
      </w:r>
    </w:p>
    <w:p w14:paraId="4E12D546" w14:textId="57C33B95" w:rsidR="003B0D68" w:rsidRDefault="00C304BF" w:rsidP="00C304BF">
      <w:pPr>
        <w:pStyle w:val="ManualConsidrant"/>
        <w:rPr>
          <w:noProof/>
        </w:rPr>
      </w:pPr>
      <w:r w:rsidRPr="00C304BF">
        <w:t>(21)</w:t>
      </w:r>
      <w:r w:rsidRPr="00C304BF">
        <w:tab/>
      </w:r>
      <w:r w:rsidR="00BD0673" w:rsidRPr="009F56E6">
        <w:rPr>
          <w:noProof/>
        </w:rPr>
        <w:t xml:space="preserve">Certain aspects of </w:t>
      </w:r>
      <w:r w:rsidR="003B0D68">
        <w:rPr>
          <w:noProof/>
        </w:rPr>
        <w:t xml:space="preserve">the </w:t>
      </w:r>
      <w:r w:rsidR="00BD0673" w:rsidRPr="009F56E6">
        <w:rPr>
          <w:noProof/>
        </w:rPr>
        <w:t xml:space="preserve">Prüm II </w:t>
      </w:r>
      <w:r w:rsidR="003B0D68">
        <w:rPr>
          <w:noProof/>
        </w:rPr>
        <w:t xml:space="preserve">framework </w:t>
      </w:r>
      <w:r w:rsidR="00BD0673" w:rsidRPr="009F56E6">
        <w:rPr>
          <w:noProof/>
        </w:rPr>
        <w:t xml:space="preserve">cannot be covered exhaustively by this Regulation given their technical, highly detailed and frequently changing nature. Those aspects include, for example, technical arrangements and specifications for automated searching procedures, the standards for data exchange and the data elements to be exchanged. </w:t>
      </w:r>
      <w:r w:rsidR="003B0D68" w:rsidRPr="009413D3">
        <w:rPr>
          <w:noProof/>
        </w:rPr>
        <w:t>In order to ensure uniform conditions for the implementation</w:t>
      </w:r>
      <w:r w:rsidR="003B0D68">
        <w:rPr>
          <w:noProof/>
        </w:rPr>
        <w:t xml:space="preserve"> </w:t>
      </w:r>
      <w:r w:rsidR="003B0D68" w:rsidRPr="009413D3">
        <w:rPr>
          <w:noProof/>
        </w:rPr>
        <w:t>of this</w:t>
      </w:r>
      <w:r w:rsidR="003B0D68">
        <w:rPr>
          <w:noProof/>
        </w:rPr>
        <w:t xml:space="preserve"> </w:t>
      </w:r>
      <w:r w:rsidR="003B0D68" w:rsidRPr="009F56E6">
        <w:rPr>
          <w:noProof/>
        </w:rPr>
        <w:t>Regulation</w:t>
      </w:r>
      <w:r w:rsidR="003B0D68" w:rsidRPr="009413D3">
        <w:rPr>
          <w:noProof/>
        </w:rPr>
        <w:t xml:space="preserve"> implementing</w:t>
      </w:r>
      <w:r w:rsidR="003B0D68">
        <w:rPr>
          <w:noProof/>
        </w:rPr>
        <w:t xml:space="preserve"> powers should be </w:t>
      </w:r>
      <w:r w:rsidR="003B0D68" w:rsidRPr="009413D3">
        <w:rPr>
          <w:noProof/>
        </w:rPr>
        <w:t>conferred on</w:t>
      </w:r>
      <w:r w:rsidR="003B0D68">
        <w:rPr>
          <w:noProof/>
        </w:rPr>
        <w:t xml:space="preserve"> </w:t>
      </w:r>
      <w:r w:rsidR="003B0D68" w:rsidRPr="009413D3">
        <w:rPr>
          <w:noProof/>
        </w:rPr>
        <w:t>the Commission. Those powers should be exercised in accordance with Regulation (EU) No 182/2011 of the</w:t>
      </w:r>
      <w:r w:rsidR="003B0D68">
        <w:rPr>
          <w:noProof/>
        </w:rPr>
        <w:t xml:space="preserve"> European Parliament and </w:t>
      </w:r>
      <w:r w:rsidR="003B0D68" w:rsidRPr="009413D3">
        <w:rPr>
          <w:noProof/>
        </w:rPr>
        <w:t>of the Council</w:t>
      </w:r>
      <w:r w:rsidR="003B0D68">
        <w:rPr>
          <w:noProof/>
        </w:rPr>
        <w:t>.</w:t>
      </w:r>
      <w:r w:rsidR="003B0D68">
        <w:rPr>
          <w:rStyle w:val="FootnoteReference0"/>
          <w:noProof/>
        </w:rPr>
        <w:footnoteReference w:id="37"/>
      </w:r>
      <w:r w:rsidR="003B0D68">
        <w:rPr>
          <w:noProof/>
        </w:rPr>
        <w:t xml:space="preserve"> </w:t>
      </w:r>
    </w:p>
    <w:p w14:paraId="770F52CB" w14:textId="299517EA" w:rsidR="003B0D68" w:rsidRDefault="00C304BF" w:rsidP="00C304BF">
      <w:pPr>
        <w:pStyle w:val="ManualConsidrant"/>
        <w:rPr>
          <w:noProof/>
        </w:rPr>
      </w:pPr>
      <w:r w:rsidRPr="00C304BF">
        <w:t>(22)</w:t>
      </w:r>
      <w:r w:rsidRPr="00C304BF">
        <w:tab/>
      </w:r>
      <w:r w:rsidR="003B0D68">
        <w:rPr>
          <w:noProof/>
        </w:rPr>
        <w:t xml:space="preserve">As this Regulation provides for the establishment of the new </w:t>
      </w:r>
      <w:r w:rsidR="001819E0">
        <w:rPr>
          <w:noProof/>
        </w:rPr>
        <w:t xml:space="preserve">Prüm </w:t>
      </w:r>
      <w:r w:rsidR="003B0D68">
        <w:rPr>
          <w:noProof/>
        </w:rPr>
        <w:t xml:space="preserve">framework, relevant provisions of Decisions </w:t>
      </w:r>
      <w:r w:rsidR="003B0D68" w:rsidRPr="00CE3F2A">
        <w:rPr>
          <w:noProof/>
        </w:rPr>
        <w:t>2008/615/JHA</w:t>
      </w:r>
      <w:r w:rsidR="003B0D68" w:rsidRPr="00B215D6">
        <w:rPr>
          <w:noProof/>
        </w:rPr>
        <w:t xml:space="preserve"> </w:t>
      </w:r>
      <w:r w:rsidR="003B0D68" w:rsidRPr="00CE3F2A">
        <w:rPr>
          <w:noProof/>
        </w:rPr>
        <w:t>and 2008/616/JHA</w:t>
      </w:r>
      <w:r w:rsidR="003B0D68">
        <w:rPr>
          <w:noProof/>
        </w:rPr>
        <w:t xml:space="preserve"> should be deleted. Those </w:t>
      </w:r>
      <w:r w:rsidR="003B0D68" w:rsidRPr="00CE3F2A">
        <w:rPr>
          <w:noProof/>
        </w:rPr>
        <w:t>Decision</w:t>
      </w:r>
      <w:r w:rsidR="003B0D68">
        <w:rPr>
          <w:noProof/>
        </w:rPr>
        <w:t>s</w:t>
      </w:r>
      <w:r w:rsidR="003B0D68" w:rsidRPr="00CE3F2A">
        <w:rPr>
          <w:noProof/>
        </w:rPr>
        <w:t xml:space="preserve"> </w:t>
      </w:r>
      <w:r w:rsidR="003B0D68">
        <w:rPr>
          <w:noProof/>
        </w:rPr>
        <w:t>should therefore be amended accordingly.</w:t>
      </w:r>
    </w:p>
    <w:p w14:paraId="787C79E4" w14:textId="6516750B" w:rsidR="001A0A26" w:rsidRPr="009F56E6" w:rsidRDefault="00C304BF" w:rsidP="00C304BF">
      <w:pPr>
        <w:pStyle w:val="ManualConsidrant"/>
        <w:rPr>
          <w:noProof/>
        </w:rPr>
      </w:pPr>
      <w:r w:rsidRPr="00C304BF">
        <w:t>(23)</w:t>
      </w:r>
      <w:r w:rsidRPr="00C304BF">
        <w:tab/>
      </w:r>
      <w:r w:rsidR="003B0D68">
        <w:rPr>
          <w:noProof/>
        </w:rPr>
        <w:t xml:space="preserve">As the router should be developed and managed by </w:t>
      </w:r>
      <w:r w:rsidR="001819E0">
        <w:rPr>
          <w:noProof/>
        </w:rPr>
        <w:t xml:space="preserve">the </w:t>
      </w:r>
      <w:r w:rsidR="003B0D68" w:rsidRPr="009F56E6">
        <w:rPr>
          <w:noProof/>
        </w:rPr>
        <w:t>European Union Agency for the Operational Management of Large-Scale Information Systems in the Area of Freedom, Security and Justice established by Regulation (EU) 2018/1726</w:t>
      </w:r>
      <w:r w:rsidR="003B0D68">
        <w:rPr>
          <w:noProof/>
        </w:rPr>
        <w:t xml:space="preserve"> of the European Parliament and of the Council</w:t>
      </w:r>
      <w:r w:rsidR="003B0D68">
        <w:rPr>
          <w:rStyle w:val="FootnoteReference0"/>
          <w:noProof/>
        </w:rPr>
        <w:footnoteReference w:id="38"/>
      </w:r>
      <w:r w:rsidR="003B0D68">
        <w:rPr>
          <w:noProof/>
        </w:rPr>
        <w:t xml:space="preserve"> (eu-LISA), it is therefore necessary to amend </w:t>
      </w:r>
      <w:r w:rsidR="003B0D68" w:rsidRPr="00DE008D">
        <w:rPr>
          <w:noProof/>
        </w:rPr>
        <w:t>Regulation (EU) 2018/1726</w:t>
      </w:r>
      <w:r w:rsidR="003B0D68">
        <w:rPr>
          <w:noProof/>
        </w:rPr>
        <w:t xml:space="preserve"> by adding that to the tasks of eu-LISA. </w:t>
      </w:r>
      <w:r w:rsidR="00C44207">
        <w:rPr>
          <w:noProof/>
        </w:rPr>
        <w:t xml:space="preserve">In order to allow for the router to be connected to the European Search Portal to carry out </w:t>
      </w:r>
      <w:r w:rsidR="00C44207" w:rsidRPr="00A04F8B">
        <w:rPr>
          <w:noProof/>
        </w:rPr>
        <w:t xml:space="preserve">simultaneous searches of the router and the </w:t>
      </w:r>
      <w:r w:rsidR="00C44207" w:rsidRPr="00C44207">
        <w:rPr>
          <w:noProof/>
        </w:rPr>
        <w:t>Common Identity Repository</w:t>
      </w:r>
      <w:r w:rsidR="003B0D68" w:rsidRPr="00C44207">
        <w:rPr>
          <w:noProof/>
        </w:rPr>
        <w:t xml:space="preserve"> it is therefore necessary to amend Regulation (EU) 2019/817.</w:t>
      </w:r>
      <w:r w:rsidR="003B0D68" w:rsidRPr="00C44207">
        <w:rPr>
          <w:b/>
          <w:noProof/>
        </w:rPr>
        <w:t xml:space="preserve"> </w:t>
      </w:r>
      <w:r w:rsidR="00C44207" w:rsidRPr="00C44207">
        <w:rPr>
          <w:noProof/>
        </w:rPr>
        <w:t>In order to allow for the router to be connected to the European Search Portal to carry out simultaneous searches of the router and the Common Identity Repository</w:t>
      </w:r>
      <w:r w:rsidR="00C44207" w:rsidRPr="0003774E">
        <w:rPr>
          <w:noProof/>
        </w:rPr>
        <w:t xml:space="preserve"> and in order to store reports and statistics of the router on the Common Repository for Reporting and Statistics </w:t>
      </w:r>
      <w:r w:rsidR="003B0D68" w:rsidRPr="00C44207">
        <w:rPr>
          <w:noProof/>
        </w:rPr>
        <w:t>it is therefore necessary to amend Regulation (EU) 2019/818. Those Regulations should therefore</w:t>
      </w:r>
      <w:r w:rsidR="003B0D68">
        <w:rPr>
          <w:noProof/>
        </w:rPr>
        <w:t xml:space="preserve"> be amended accordingly.</w:t>
      </w:r>
    </w:p>
    <w:p w14:paraId="3E21CD01" w14:textId="6BDF002B" w:rsidR="001A0A26" w:rsidRPr="009F56E6" w:rsidRDefault="00C304BF" w:rsidP="00C304BF">
      <w:pPr>
        <w:pStyle w:val="ManualConsidrant"/>
        <w:rPr>
          <w:noProof/>
        </w:rPr>
      </w:pPr>
      <w:r w:rsidRPr="00C304BF">
        <w:t>(24)</w:t>
      </w:r>
      <w:r w:rsidRPr="00C304BF">
        <w:tab/>
      </w:r>
      <w:r w:rsidR="001A0A26" w:rsidRPr="009F56E6">
        <w:rPr>
          <w:noProof/>
        </w:rPr>
        <w:t xml:space="preserve">In accordance with Articles 1 and 2 of Protocol No 22 on the position of Denmark, annexed to the </w:t>
      </w:r>
      <w:r w:rsidR="001819E0" w:rsidRPr="00FC6C6C">
        <w:rPr>
          <w:noProof/>
        </w:rPr>
        <w:t xml:space="preserve">Treaty on European Union </w:t>
      </w:r>
      <w:r w:rsidR="001A0A26" w:rsidRPr="009F56E6">
        <w:rPr>
          <w:noProof/>
        </w:rPr>
        <w:t xml:space="preserve">and to the </w:t>
      </w:r>
      <w:r w:rsidR="001819E0" w:rsidRPr="00FC6C6C">
        <w:rPr>
          <w:noProof/>
        </w:rPr>
        <w:t>Treaty on the Functioning of the European Union</w:t>
      </w:r>
      <w:r w:rsidR="001A0A26" w:rsidRPr="009F56E6">
        <w:rPr>
          <w:noProof/>
        </w:rPr>
        <w:t>, Denmark is not taking part in the adoption of this Regulation and is not bound by it or subject to its application.</w:t>
      </w:r>
    </w:p>
    <w:p w14:paraId="0EA3E467" w14:textId="64D21E3D" w:rsidR="00251B14" w:rsidRPr="009F56E6" w:rsidRDefault="00C304BF" w:rsidP="00C304BF">
      <w:pPr>
        <w:pStyle w:val="ManualConsidrant"/>
        <w:rPr>
          <w:noProof/>
        </w:rPr>
      </w:pPr>
      <w:r w:rsidRPr="00C304BF">
        <w:t>(25)</w:t>
      </w:r>
      <w:r w:rsidRPr="00C304BF">
        <w:tab/>
      </w:r>
      <w:r w:rsidR="00251B14" w:rsidRPr="009F56E6">
        <w:rPr>
          <w:noProof/>
        </w:rPr>
        <w:t>[In accordance with Article 3 of the Protocol (No 21) on the position of the United Kingdom and Ireland in respect of the area of freedom, security and justice, annexed to the Treaty on European Union and the Treaty on the Functioning of the European Union, Ireland has notified its wish to take part in the adoption and application of this Regulation.] OR [In accordance with Articles 1 and 2 of Protocol No 21 on the position of the United Kingdom and Ireland in respect of the area of freedom, security and justice, annexed to the Treaty on European Union and to the Treaty on the Functioning of the European Union, and without prejudice to Article 4 of that Protocol, Ireland is not taking part in the adoption of this Regulation and is not bound by it or subject to its application.]</w:t>
      </w:r>
    </w:p>
    <w:p w14:paraId="155BC177" w14:textId="6D9E1680" w:rsidR="00403208" w:rsidRPr="009F56E6" w:rsidRDefault="00C304BF" w:rsidP="00C304BF">
      <w:pPr>
        <w:pStyle w:val="ManualConsidrant"/>
        <w:rPr>
          <w:noProof/>
        </w:rPr>
      </w:pPr>
      <w:r w:rsidRPr="00C304BF">
        <w:t>(26)</w:t>
      </w:r>
      <w:r w:rsidRPr="00C304BF">
        <w:tab/>
      </w:r>
      <w:r w:rsidR="001A0A26" w:rsidRPr="009F56E6">
        <w:rPr>
          <w:noProof/>
        </w:rPr>
        <w:t xml:space="preserve">The European Data Protection Supervisor was consulted in accordance with </w:t>
      </w:r>
      <w:r w:rsidR="001819E0">
        <w:rPr>
          <w:noProof/>
        </w:rPr>
        <w:t>Article</w:t>
      </w:r>
      <w:r w:rsidR="001819E0" w:rsidRPr="009F56E6">
        <w:rPr>
          <w:noProof/>
        </w:rPr>
        <w:t xml:space="preserve"> </w:t>
      </w:r>
      <w:r w:rsidR="001819E0">
        <w:rPr>
          <w:noProof/>
          <w:szCs w:val="24"/>
        </w:rPr>
        <w:t>42(1) of Regulation (EU) 2018/1725 of the European Parliament and of the Council</w:t>
      </w:r>
      <w:r w:rsidR="001819E0">
        <w:rPr>
          <w:rStyle w:val="FootnoteReference0"/>
          <w:noProof/>
          <w:szCs w:val="24"/>
        </w:rPr>
        <w:footnoteReference w:id="39"/>
      </w:r>
      <w:r w:rsidR="001A0A26" w:rsidRPr="009F56E6">
        <w:rPr>
          <w:noProof/>
        </w:rPr>
        <w:t xml:space="preserve"> and delivered an opinion on </w:t>
      </w:r>
      <w:r w:rsidR="00251B14" w:rsidRPr="009F56E6">
        <w:rPr>
          <w:noProof/>
        </w:rPr>
        <w:t>[</w:t>
      </w:r>
      <w:r w:rsidR="00D362B9" w:rsidRPr="009F56E6">
        <w:rPr>
          <w:noProof/>
        </w:rPr>
        <w:t>XX</w:t>
      </w:r>
      <w:r w:rsidR="00251B14" w:rsidRPr="009F56E6">
        <w:rPr>
          <w:noProof/>
        </w:rPr>
        <w:t>]</w:t>
      </w:r>
      <w:r w:rsidR="001819E0">
        <w:rPr>
          <w:rStyle w:val="FootnoteReference0"/>
          <w:noProof/>
        </w:rPr>
        <w:footnoteReference w:id="40"/>
      </w:r>
      <w:r w:rsidR="008F58A0">
        <w:rPr>
          <w:noProof/>
        </w:rPr>
        <w:t>.</w:t>
      </w:r>
    </w:p>
    <w:p w14:paraId="74A80302" w14:textId="77777777" w:rsidR="00E70ABC" w:rsidRPr="009F56E6" w:rsidRDefault="00E70ABC" w:rsidP="00EA43B8">
      <w:pPr>
        <w:pStyle w:val="Formuledadoption"/>
        <w:rPr>
          <w:noProof/>
        </w:rPr>
      </w:pPr>
      <w:r w:rsidRPr="009F56E6">
        <w:rPr>
          <w:noProof/>
        </w:rPr>
        <w:t>HAVE ADOPTED THIS REGULATION:</w:t>
      </w:r>
    </w:p>
    <w:p w14:paraId="6C884D13" w14:textId="77777777" w:rsidR="00E70ABC" w:rsidRPr="009F56E6" w:rsidRDefault="00E53E83" w:rsidP="00EA43B8">
      <w:pPr>
        <w:pStyle w:val="Titrearticle"/>
        <w:rPr>
          <w:i w:val="0"/>
          <w:noProof/>
        </w:rPr>
      </w:pPr>
      <w:r w:rsidRPr="009F56E6">
        <w:rPr>
          <w:i w:val="0"/>
          <w:noProof/>
        </w:rPr>
        <w:t>CHAPTER 1</w:t>
      </w:r>
    </w:p>
    <w:p w14:paraId="4401BABA" w14:textId="08874E7C" w:rsidR="00E53E83" w:rsidRPr="009F56E6" w:rsidRDefault="00E53E83" w:rsidP="00E53E83">
      <w:pPr>
        <w:jc w:val="center"/>
        <w:rPr>
          <w:b/>
          <w:noProof/>
        </w:rPr>
      </w:pPr>
      <w:r w:rsidRPr="009F56E6">
        <w:rPr>
          <w:b/>
          <w:noProof/>
        </w:rPr>
        <w:t xml:space="preserve">GENERAL </w:t>
      </w:r>
      <w:r w:rsidR="00B60667">
        <w:rPr>
          <w:b/>
          <w:noProof/>
        </w:rPr>
        <w:t>PROVISIONS</w:t>
      </w:r>
    </w:p>
    <w:p w14:paraId="11654FE8" w14:textId="77777777" w:rsidR="007657FC" w:rsidRPr="009F56E6" w:rsidRDefault="007657FC" w:rsidP="007657FC">
      <w:pPr>
        <w:pStyle w:val="Titrearticle"/>
        <w:rPr>
          <w:noProof/>
        </w:rPr>
      </w:pPr>
      <w:r w:rsidRPr="009F56E6">
        <w:rPr>
          <w:noProof/>
        </w:rPr>
        <w:t>Article 1</w:t>
      </w:r>
    </w:p>
    <w:p w14:paraId="76B7450E" w14:textId="77777777" w:rsidR="00E53E83" w:rsidRPr="009F56E6" w:rsidRDefault="00205A21" w:rsidP="00E53E83">
      <w:pPr>
        <w:jc w:val="center"/>
        <w:rPr>
          <w:b/>
          <w:noProof/>
        </w:rPr>
      </w:pPr>
      <w:r w:rsidRPr="009F56E6">
        <w:rPr>
          <w:b/>
          <w:noProof/>
        </w:rPr>
        <w:t>Subject matter</w:t>
      </w:r>
    </w:p>
    <w:p w14:paraId="19E0CBF6" w14:textId="77777777" w:rsidR="008F58A0" w:rsidRDefault="00FC0CF3" w:rsidP="007A03F1">
      <w:pPr>
        <w:rPr>
          <w:noProof/>
        </w:rPr>
      </w:pPr>
      <w:r w:rsidRPr="009F56E6">
        <w:rPr>
          <w:noProof/>
        </w:rPr>
        <w:t xml:space="preserve">This Regulation establishes a </w:t>
      </w:r>
      <w:r w:rsidR="00A3186D" w:rsidRPr="009F56E6">
        <w:rPr>
          <w:noProof/>
        </w:rPr>
        <w:t>framework</w:t>
      </w:r>
      <w:r w:rsidR="0047465A" w:rsidRPr="009F56E6">
        <w:rPr>
          <w:noProof/>
        </w:rPr>
        <w:t xml:space="preserve"> </w:t>
      </w:r>
      <w:r w:rsidRPr="009F56E6">
        <w:rPr>
          <w:noProof/>
        </w:rPr>
        <w:t>for</w:t>
      </w:r>
      <w:r w:rsidR="002F5A1A" w:rsidRPr="009F56E6">
        <w:rPr>
          <w:noProof/>
        </w:rPr>
        <w:t xml:space="preserve"> the exchange of</w:t>
      </w:r>
      <w:r w:rsidR="00247B2A" w:rsidRPr="009F56E6">
        <w:rPr>
          <w:noProof/>
        </w:rPr>
        <w:t xml:space="preserve"> </w:t>
      </w:r>
      <w:r w:rsidR="002F5A1A" w:rsidRPr="009F56E6">
        <w:rPr>
          <w:noProof/>
        </w:rPr>
        <w:t>information between authorities responsible for the prevention</w:t>
      </w:r>
      <w:r w:rsidR="00404355" w:rsidRPr="009F56E6">
        <w:rPr>
          <w:noProof/>
        </w:rPr>
        <w:t>, detection</w:t>
      </w:r>
      <w:r w:rsidR="002F5A1A" w:rsidRPr="009F56E6">
        <w:rPr>
          <w:noProof/>
        </w:rPr>
        <w:t xml:space="preserve"> and investigation of criminal offences</w:t>
      </w:r>
      <w:r w:rsidR="00A3186D" w:rsidRPr="009F56E6">
        <w:rPr>
          <w:noProof/>
        </w:rPr>
        <w:t xml:space="preserve"> (</w:t>
      </w:r>
      <w:r w:rsidR="00F867C6" w:rsidRPr="009F56E6">
        <w:rPr>
          <w:noProof/>
        </w:rPr>
        <w:t>Prüm II</w:t>
      </w:r>
      <w:r w:rsidR="00A3186D" w:rsidRPr="009F56E6">
        <w:rPr>
          <w:noProof/>
        </w:rPr>
        <w:t>)</w:t>
      </w:r>
      <w:r w:rsidR="002F5A1A" w:rsidRPr="009F56E6">
        <w:rPr>
          <w:noProof/>
        </w:rPr>
        <w:t xml:space="preserve">. </w:t>
      </w:r>
    </w:p>
    <w:p w14:paraId="2A43C952" w14:textId="49C4BDD3" w:rsidR="00FC0CF3" w:rsidRPr="009F56E6" w:rsidRDefault="002F5A1A" w:rsidP="007A03F1">
      <w:pPr>
        <w:rPr>
          <w:noProof/>
        </w:rPr>
      </w:pPr>
      <w:r w:rsidRPr="009F56E6">
        <w:rPr>
          <w:noProof/>
        </w:rPr>
        <w:t xml:space="preserve">This Regulation lays down the conditions and procedures for the </w:t>
      </w:r>
      <w:r w:rsidR="007A03F1" w:rsidRPr="003A7AEA">
        <w:rPr>
          <w:noProof/>
        </w:rPr>
        <w:t xml:space="preserve">automated </w:t>
      </w:r>
      <w:r w:rsidR="000A746D" w:rsidRPr="003A7AEA">
        <w:rPr>
          <w:noProof/>
        </w:rPr>
        <w:t xml:space="preserve">searching </w:t>
      </w:r>
      <w:r w:rsidRPr="003A7AEA">
        <w:rPr>
          <w:noProof/>
        </w:rPr>
        <w:t>of DNA profiles, dactyloscopic data, facial images</w:t>
      </w:r>
      <w:r w:rsidR="00870889" w:rsidRPr="003A7AEA">
        <w:rPr>
          <w:noProof/>
        </w:rPr>
        <w:t>,</w:t>
      </w:r>
      <w:r w:rsidRPr="003A7AEA">
        <w:rPr>
          <w:noProof/>
        </w:rPr>
        <w:t xml:space="preserve"> police records</w:t>
      </w:r>
      <w:r w:rsidR="000A746D" w:rsidRPr="003A7AEA">
        <w:rPr>
          <w:noProof/>
        </w:rPr>
        <w:t xml:space="preserve"> and </w:t>
      </w:r>
      <w:r w:rsidR="00870889" w:rsidRPr="003A7AEA">
        <w:rPr>
          <w:noProof/>
        </w:rPr>
        <w:t xml:space="preserve">certain vehicle registration data </w:t>
      </w:r>
      <w:r w:rsidR="000A746D" w:rsidRPr="003A7AEA">
        <w:rPr>
          <w:noProof/>
        </w:rPr>
        <w:t xml:space="preserve">and </w:t>
      </w:r>
      <w:r w:rsidR="003A7AEA" w:rsidRPr="0003774E">
        <w:rPr>
          <w:noProof/>
        </w:rPr>
        <w:t xml:space="preserve">the </w:t>
      </w:r>
      <w:r w:rsidR="002F079B" w:rsidRPr="0003774E">
        <w:rPr>
          <w:noProof/>
        </w:rPr>
        <w:t>rules regarding</w:t>
      </w:r>
      <w:r w:rsidR="002F079B" w:rsidRPr="003A7AEA">
        <w:rPr>
          <w:noProof/>
        </w:rPr>
        <w:t xml:space="preserve"> the exchange of</w:t>
      </w:r>
      <w:r w:rsidR="003A7AEA" w:rsidRPr="003A7AEA">
        <w:rPr>
          <w:noProof/>
        </w:rPr>
        <w:t xml:space="preserve"> core</w:t>
      </w:r>
      <w:r w:rsidR="002F079B" w:rsidRPr="003A7AEA">
        <w:rPr>
          <w:noProof/>
        </w:rPr>
        <w:t xml:space="preserve"> data following a match</w:t>
      </w:r>
      <w:r w:rsidRPr="003A7AEA">
        <w:rPr>
          <w:noProof/>
        </w:rPr>
        <w:t>.</w:t>
      </w:r>
    </w:p>
    <w:p w14:paraId="297F88E5" w14:textId="77777777" w:rsidR="00205A21" w:rsidRPr="009F56E6" w:rsidRDefault="005009DF" w:rsidP="00205A21">
      <w:pPr>
        <w:pStyle w:val="Titrearticle"/>
        <w:rPr>
          <w:noProof/>
        </w:rPr>
      </w:pPr>
      <w:r w:rsidRPr="009F56E6">
        <w:rPr>
          <w:noProof/>
        </w:rPr>
        <w:t>Article 2</w:t>
      </w:r>
    </w:p>
    <w:p w14:paraId="1CB37882" w14:textId="4C8F7601" w:rsidR="00205A21" w:rsidRPr="009F56E6" w:rsidRDefault="00F81861" w:rsidP="00205A21">
      <w:pPr>
        <w:jc w:val="center"/>
        <w:rPr>
          <w:b/>
          <w:noProof/>
        </w:rPr>
      </w:pPr>
      <w:r w:rsidRPr="009F56E6">
        <w:rPr>
          <w:b/>
          <w:noProof/>
        </w:rPr>
        <w:t>Purpose</w:t>
      </w:r>
    </w:p>
    <w:p w14:paraId="72EB5DCA" w14:textId="71BB0E88" w:rsidR="00AF048A" w:rsidRPr="009F56E6" w:rsidRDefault="005A3C8A" w:rsidP="00EA43B8">
      <w:pPr>
        <w:rPr>
          <w:noProof/>
        </w:rPr>
      </w:pPr>
      <w:r w:rsidRPr="009F56E6">
        <w:rPr>
          <w:noProof/>
        </w:rPr>
        <w:t>T</w:t>
      </w:r>
      <w:r w:rsidR="00EA43B8" w:rsidRPr="009F56E6">
        <w:rPr>
          <w:noProof/>
        </w:rPr>
        <w:t xml:space="preserve">he </w:t>
      </w:r>
      <w:r w:rsidR="00F81861" w:rsidRPr="009F56E6">
        <w:rPr>
          <w:noProof/>
        </w:rPr>
        <w:t>purpose</w:t>
      </w:r>
      <w:r w:rsidR="00AF048A" w:rsidRPr="009F56E6">
        <w:rPr>
          <w:noProof/>
        </w:rPr>
        <w:t xml:space="preserve"> of </w:t>
      </w:r>
      <w:r w:rsidR="00005E55" w:rsidRPr="009F56E6">
        <w:rPr>
          <w:noProof/>
        </w:rPr>
        <w:t xml:space="preserve">Prüm II </w:t>
      </w:r>
      <w:r w:rsidR="00AF048A" w:rsidRPr="009F56E6">
        <w:rPr>
          <w:noProof/>
        </w:rPr>
        <w:t>shall be to</w:t>
      </w:r>
      <w:r w:rsidR="00EA43B8" w:rsidRPr="009F56E6">
        <w:rPr>
          <w:noProof/>
        </w:rPr>
        <w:t xml:space="preserve"> </w:t>
      </w:r>
      <w:r w:rsidR="00DD6E61" w:rsidRPr="009F56E6">
        <w:rPr>
          <w:noProof/>
        </w:rPr>
        <w:t xml:space="preserve">step up cross-border cooperation in matters </w:t>
      </w:r>
      <w:r w:rsidR="003C099B" w:rsidRPr="009F56E6">
        <w:rPr>
          <w:noProof/>
        </w:rPr>
        <w:t xml:space="preserve">covered by Part III, Title V, Chapter 5 </w:t>
      </w:r>
      <w:r w:rsidR="008F58A0" w:rsidRPr="009F56E6">
        <w:rPr>
          <w:rFonts w:eastAsia="Arial Unicode MS"/>
          <w:noProof/>
        </w:rPr>
        <w:t>of the Treaty on the Functioning of the European Union</w:t>
      </w:r>
      <w:r w:rsidR="003C099B" w:rsidRPr="009F56E6">
        <w:rPr>
          <w:noProof/>
        </w:rPr>
        <w:t>, particularly the exchange of information between authorities responsible for the prevention</w:t>
      </w:r>
      <w:r w:rsidR="00B16E91" w:rsidRPr="009F56E6">
        <w:rPr>
          <w:noProof/>
        </w:rPr>
        <w:t>, detection</w:t>
      </w:r>
      <w:r w:rsidR="003C099B" w:rsidRPr="009F56E6">
        <w:rPr>
          <w:noProof/>
        </w:rPr>
        <w:t xml:space="preserve"> and investigation of criminal off</w:t>
      </w:r>
      <w:r w:rsidR="00EA43B8" w:rsidRPr="009F56E6">
        <w:rPr>
          <w:noProof/>
        </w:rPr>
        <w:t>ences.</w:t>
      </w:r>
    </w:p>
    <w:p w14:paraId="2C8A3EFC" w14:textId="30297104" w:rsidR="00EA43B8" w:rsidRPr="009F56E6" w:rsidRDefault="005A3C8A" w:rsidP="00EA43B8">
      <w:pPr>
        <w:rPr>
          <w:noProof/>
        </w:rPr>
      </w:pPr>
      <w:r w:rsidRPr="009F56E6">
        <w:rPr>
          <w:noProof/>
        </w:rPr>
        <w:t>The</w:t>
      </w:r>
      <w:r w:rsidR="00016385" w:rsidRPr="009F56E6">
        <w:rPr>
          <w:noProof/>
        </w:rPr>
        <w:t xml:space="preserve"> </w:t>
      </w:r>
      <w:r w:rsidR="00F81861" w:rsidRPr="009F56E6">
        <w:rPr>
          <w:noProof/>
        </w:rPr>
        <w:t>purpose</w:t>
      </w:r>
      <w:r w:rsidR="00016385" w:rsidRPr="009F56E6">
        <w:rPr>
          <w:noProof/>
        </w:rPr>
        <w:t xml:space="preserve"> of </w:t>
      </w:r>
      <w:r w:rsidR="00005E55" w:rsidRPr="009F56E6">
        <w:rPr>
          <w:noProof/>
        </w:rPr>
        <w:t xml:space="preserve">Prüm II </w:t>
      </w:r>
      <w:r w:rsidR="00016385" w:rsidRPr="009F56E6">
        <w:rPr>
          <w:noProof/>
        </w:rPr>
        <w:t xml:space="preserve">shall also be to allow for the search for missing persons </w:t>
      </w:r>
      <w:r w:rsidR="002434E1" w:rsidRPr="009F56E6">
        <w:rPr>
          <w:noProof/>
        </w:rPr>
        <w:t>and unidentified human remains</w:t>
      </w:r>
      <w:r w:rsidR="00F75DDE" w:rsidRPr="009F56E6">
        <w:rPr>
          <w:noProof/>
        </w:rPr>
        <w:t xml:space="preserve"> by </w:t>
      </w:r>
      <w:r w:rsidR="00E72471" w:rsidRPr="009F56E6">
        <w:rPr>
          <w:noProof/>
        </w:rPr>
        <w:t>authorities responsible for the prevention, detection and investigation of criminal offences</w:t>
      </w:r>
      <w:r w:rsidR="002434E1" w:rsidRPr="009F56E6">
        <w:rPr>
          <w:noProof/>
        </w:rPr>
        <w:t>.</w:t>
      </w:r>
    </w:p>
    <w:p w14:paraId="451CB942" w14:textId="77777777" w:rsidR="00205A21" w:rsidRPr="009F56E6" w:rsidRDefault="007B014D" w:rsidP="00205A21">
      <w:pPr>
        <w:pStyle w:val="Titrearticle"/>
        <w:rPr>
          <w:noProof/>
        </w:rPr>
      </w:pPr>
      <w:r w:rsidRPr="009F56E6">
        <w:rPr>
          <w:noProof/>
        </w:rPr>
        <w:t>Article 3</w:t>
      </w:r>
    </w:p>
    <w:p w14:paraId="79FBE5DA" w14:textId="77777777" w:rsidR="007657FC" w:rsidRPr="00CE3F2A" w:rsidRDefault="007B014D" w:rsidP="00553669">
      <w:pPr>
        <w:jc w:val="center"/>
        <w:rPr>
          <w:noProof/>
        </w:rPr>
      </w:pPr>
      <w:r w:rsidRPr="009F56E6">
        <w:rPr>
          <w:b/>
          <w:noProof/>
        </w:rPr>
        <w:t>Scope</w:t>
      </w:r>
    </w:p>
    <w:p w14:paraId="0E7F38F4" w14:textId="181F901B" w:rsidR="00E638E3" w:rsidRPr="009F56E6" w:rsidRDefault="0010333F" w:rsidP="000106C1">
      <w:pPr>
        <w:pStyle w:val="ManualNumPar1"/>
        <w:ind w:left="0" w:firstLine="0"/>
        <w:rPr>
          <w:noProof/>
        </w:rPr>
      </w:pPr>
      <w:r w:rsidRPr="00CE3F2A">
        <w:rPr>
          <w:noProof/>
        </w:rPr>
        <w:t xml:space="preserve">This Regulation applies </w:t>
      </w:r>
      <w:r w:rsidR="00E638E3" w:rsidRPr="00CE3F2A">
        <w:rPr>
          <w:noProof/>
        </w:rPr>
        <w:t>to</w:t>
      </w:r>
      <w:r w:rsidR="002F079B">
        <w:rPr>
          <w:noProof/>
        </w:rPr>
        <w:t xml:space="preserve"> </w:t>
      </w:r>
      <w:r w:rsidR="002F079B" w:rsidRPr="00CE3F2A">
        <w:rPr>
          <w:noProof/>
        </w:rPr>
        <w:t xml:space="preserve">the </w:t>
      </w:r>
      <w:r w:rsidR="002F079B" w:rsidRPr="009F56E6">
        <w:rPr>
          <w:noProof/>
        </w:rPr>
        <w:t xml:space="preserve">national databases used for the automated transfer of the categories of </w:t>
      </w:r>
      <w:r w:rsidR="002F079B" w:rsidRPr="002F079B">
        <w:rPr>
          <w:noProof/>
        </w:rPr>
        <w:t>DNA profiles, dactyloscopic data, facial images, police records and certain vehicle registration data</w:t>
      </w:r>
      <w:r w:rsidR="002F079B">
        <w:rPr>
          <w:noProof/>
        </w:rPr>
        <w:t>.</w:t>
      </w:r>
    </w:p>
    <w:p w14:paraId="645B382C" w14:textId="4DCA2EFC" w:rsidR="00205A21" w:rsidRPr="009F56E6" w:rsidRDefault="00BC05E8" w:rsidP="00205A21">
      <w:pPr>
        <w:pStyle w:val="Titrearticle"/>
        <w:rPr>
          <w:noProof/>
        </w:rPr>
      </w:pPr>
      <w:r w:rsidRPr="009F56E6">
        <w:rPr>
          <w:noProof/>
        </w:rPr>
        <w:t>Article 4</w:t>
      </w:r>
    </w:p>
    <w:p w14:paraId="1A86DF08" w14:textId="4075D4B7" w:rsidR="00205A21" w:rsidRPr="009F56E6" w:rsidRDefault="00BC05E8" w:rsidP="00205A21">
      <w:pPr>
        <w:jc w:val="center"/>
        <w:rPr>
          <w:b/>
          <w:noProof/>
        </w:rPr>
      </w:pPr>
      <w:r w:rsidRPr="009F56E6">
        <w:rPr>
          <w:b/>
          <w:noProof/>
        </w:rPr>
        <w:t>Definitions</w:t>
      </w:r>
    </w:p>
    <w:p w14:paraId="2B5CE4C4" w14:textId="600CCAB4" w:rsidR="00BE6612" w:rsidRPr="009F56E6" w:rsidRDefault="00BE6612" w:rsidP="00BE6612">
      <w:pPr>
        <w:rPr>
          <w:noProof/>
        </w:rPr>
      </w:pPr>
      <w:r w:rsidRPr="009F56E6">
        <w:rPr>
          <w:noProof/>
        </w:rPr>
        <w:t>For the purposes of this Regulation</w:t>
      </w:r>
      <w:r w:rsidR="00553669" w:rsidRPr="009F56E6">
        <w:rPr>
          <w:noProof/>
        </w:rPr>
        <w:t>, the following definitions apply</w:t>
      </w:r>
      <w:r w:rsidRPr="009F56E6">
        <w:rPr>
          <w:noProof/>
        </w:rPr>
        <w:t>:</w:t>
      </w:r>
    </w:p>
    <w:p w14:paraId="2DA762F8" w14:textId="4C04C248" w:rsidR="00B475CB" w:rsidRPr="009F56E6" w:rsidRDefault="00C304BF" w:rsidP="00C304BF">
      <w:pPr>
        <w:pStyle w:val="Point0"/>
        <w:rPr>
          <w:noProof/>
        </w:rPr>
      </w:pPr>
      <w:r w:rsidRPr="00C304BF">
        <w:t>(1)</w:t>
      </w:r>
      <w:r w:rsidRPr="00C304BF">
        <w:tab/>
      </w:r>
      <w:r w:rsidR="00B475CB" w:rsidRPr="009F56E6">
        <w:rPr>
          <w:noProof/>
        </w:rPr>
        <w:t>‘loci’ means the particular molecular structure at the various DNA locations;</w:t>
      </w:r>
    </w:p>
    <w:p w14:paraId="15121848" w14:textId="0BB5798D" w:rsidR="00031BF6" w:rsidRPr="009F56E6" w:rsidRDefault="00C304BF" w:rsidP="00C304BF">
      <w:pPr>
        <w:pStyle w:val="Point0"/>
        <w:rPr>
          <w:noProof/>
        </w:rPr>
      </w:pPr>
      <w:r w:rsidRPr="00C304BF">
        <w:t>(2)</w:t>
      </w:r>
      <w:r w:rsidRPr="00C304BF">
        <w:tab/>
      </w:r>
      <w:r w:rsidR="00BE6612" w:rsidRPr="009F56E6">
        <w:rPr>
          <w:noProof/>
        </w:rPr>
        <w:t>‘DNA profile’ means a letter or number code which represents a set of identification characteristics of the non-coding part of an analysed human DNA sample, the particular molecular structure at the various DNA locations;</w:t>
      </w:r>
    </w:p>
    <w:p w14:paraId="09AED14A" w14:textId="4FF8828F" w:rsidR="00AE3BE6" w:rsidRPr="009F56E6" w:rsidRDefault="00C304BF" w:rsidP="00C304BF">
      <w:pPr>
        <w:pStyle w:val="Point0"/>
        <w:rPr>
          <w:noProof/>
        </w:rPr>
      </w:pPr>
      <w:r w:rsidRPr="00C304BF">
        <w:t>(3)</w:t>
      </w:r>
      <w:r w:rsidRPr="00C304BF">
        <w:tab/>
      </w:r>
      <w:r w:rsidR="00BE6612" w:rsidRPr="009F56E6">
        <w:rPr>
          <w:noProof/>
        </w:rPr>
        <w:t>‘non-coding part of DNA’ means chromosome regions not genetically expressed, i.e. not known to provide for any functional properties of an organism;</w:t>
      </w:r>
    </w:p>
    <w:p w14:paraId="06B5C6E5" w14:textId="64BD5F29" w:rsidR="00AE3BE6" w:rsidRPr="009F56E6" w:rsidRDefault="00C304BF" w:rsidP="00C304BF">
      <w:pPr>
        <w:pStyle w:val="Point0"/>
        <w:rPr>
          <w:noProof/>
        </w:rPr>
      </w:pPr>
      <w:r w:rsidRPr="00C304BF">
        <w:t>(4)</w:t>
      </w:r>
      <w:r w:rsidRPr="00C304BF">
        <w:tab/>
      </w:r>
      <w:r w:rsidR="00BE6612" w:rsidRPr="009F56E6">
        <w:rPr>
          <w:noProof/>
        </w:rPr>
        <w:t>‘DNA reference data’ mean</w:t>
      </w:r>
      <w:r w:rsidR="005F6BB4">
        <w:rPr>
          <w:noProof/>
        </w:rPr>
        <w:t>s</w:t>
      </w:r>
      <w:r w:rsidR="00BE6612" w:rsidRPr="009F56E6">
        <w:rPr>
          <w:noProof/>
        </w:rPr>
        <w:t xml:space="preserve"> DNA profile and </w:t>
      </w:r>
      <w:r w:rsidR="002F079B">
        <w:rPr>
          <w:noProof/>
        </w:rPr>
        <w:t xml:space="preserve">the </w:t>
      </w:r>
      <w:r w:rsidR="00BE6612" w:rsidRPr="009F56E6">
        <w:rPr>
          <w:noProof/>
        </w:rPr>
        <w:t>reference number</w:t>
      </w:r>
      <w:r w:rsidR="002F079B">
        <w:rPr>
          <w:noProof/>
        </w:rPr>
        <w:t xml:space="preserve"> referred to in Article 9</w:t>
      </w:r>
      <w:r w:rsidR="00BE6612" w:rsidRPr="009F56E6">
        <w:rPr>
          <w:noProof/>
        </w:rPr>
        <w:t>;</w:t>
      </w:r>
    </w:p>
    <w:p w14:paraId="5D0A0E4C" w14:textId="27C25180" w:rsidR="00AE3BE6" w:rsidRPr="009F56E6" w:rsidRDefault="00C304BF" w:rsidP="00C304BF">
      <w:pPr>
        <w:pStyle w:val="Point0"/>
        <w:rPr>
          <w:noProof/>
        </w:rPr>
      </w:pPr>
      <w:r w:rsidRPr="00C304BF">
        <w:t>(5)</w:t>
      </w:r>
      <w:r w:rsidRPr="00C304BF">
        <w:tab/>
      </w:r>
      <w:r w:rsidR="00BE6612" w:rsidRPr="009F56E6">
        <w:rPr>
          <w:noProof/>
        </w:rPr>
        <w:t>‘reference DNA profile’ means the DNA profile of an identified person;</w:t>
      </w:r>
    </w:p>
    <w:p w14:paraId="09FDC650" w14:textId="75B47A3C" w:rsidR="00AE3BE6" w:rsidRPr="009F56E6" w:rsidRDefault="00C304BF" w:rsidP="00C304BF">
      <w:pPr>
        <w:pStyle w:val="Point0"/>
        <w:rPr>
          <w:noProof/>
        </w:rPr>
      </w:pPr>
      <w:r w:rsidRPr="00C304BF">
        <w:t>(6)</w:t>
      </w:r>
      <w:r w:rsidRPr="00C304BF">
        <w:tab/>
      </w:r>
      <w:r w:rsidR="00BE6612" w:rsidRPr="009F56E6">
        <w:rPr>
          <w:noProof/>
        </w:rPr>
        <w:t>‘unidentified DNA profile’ means the DNA profile obtained from traces collected during the investigation of criminal offences and belonging to a person not yet identified;</w:t>
      </w:r>
    </w:p>
    <w:p w14:paraId="5C8C0B6E" w14:textId="3BACF80A" w:rsidR="00AE3BE6" w:rsidRPr="009F56E6" w:rsidRDefault="00C304BF" w:rsidP="00C304BF">
      <w:pPr>
        <w:pStyle w:val="Point0"/>
        <w:rPr>
          <w:noProof/>
        </w:rPr>
      </w:pPr>
      <w:r w:rsidRPr="00C304BF">
        <w:t>(7)</w:t>
      </w:r>
      <w:r w:rsidRPr="00C304BF">
        <w:tab/>
      </w:r>
      <w:r w:rsidR="00BE6612" w:rsidRPr="009F56E6">
        <w:rPr>
          <w:noProof/>
        </w:rPr>
        <w:t>‘dactyloscopic data’ mean</w:t>
      </w:r>
      <w:r w:rsidR="00DA1FC3" w:rsidRPr="009F56E6">
        <w:rPr>
          <w:noProof/>
        </w:rPr>
        <w:t>s</w:t>
      </w:r>
      <w:r w:rsidR="00BE6612" w:rsidRPr="009F56E6">
        <w:rPr>
          <w:noProof/>
        </w:rPr>
        <w:t xml:space="preserve"> fingerprint images, images of fingerprint latents, palm prints, palm print latents and templates of such images (coded minutiae), when they are stored and dealt with in an automated database;</w:t>
      </w:r>
    </w:p>
    <w:p w14:paraId="561F0387" w14:textId="1228A0C9" w:rsidR="00DA1FC3" w:rsidRPr="009F56E6" w:rsidRDefault="00C304BF" w:rsidP="00C304BF">
      <w:pPr>
        <w:pStyle w:val="Point0"/>
        <w:rPr>
          <w:noProof/>
        </w:rPr>
      </w:pPr>
      <w:r w:rsidRPr="00C304BF">
        <w:t>(8)</w:t>
      </w:r>
      <w:r w:rsidRPr="00C304BF">
        <w:tab/>
      </w:r>
      <w:r w:rsidR="00DA1FC3" w:rsidRPr="009F56E6">
        <w:rPr>
          <w:noProof/>
        </w:rPr>
        <w:t xml:space="preserve">‘dactyloscopic reference data’ means dactyloscopic data and </w:t>
      </w:r>
      <w:r w:rsidR="002F079B">
        <w:rPr>
          <w:noProof/>
        </w:rPr>
        <w:t xml:space="preserve">the </w:t>
      </w:r>
      <w:r w:rsidR="00DA1FC3" w:rsidRPr="009F56E6">
        <w:rPr>
          <w:noProof/>
        </w:rPr>
        <w:t>reference number</w:t>
      </w:r>
      <w:r w:rsidR="002F079B">
        <w:rPr>
          <w:noProof/>
        </w:rPr>
        <w:t xml:space="preserve"> referred to in Article 14</w:t>
      </w:r>
      <w:r w:rsidR="00DA1FC3" w:rsidRPr="009F56E6">
        <w:rPr>
          <w:noProof/>
        </w:rPr>
        <w:t>;</w:t>
      </w:r>
    </w:p>
    <w:p w14:paraId="4A4A1C1F" w14:textId="181FAC7B" w:rsidR="00BE6612" w:rsidRPr="00F75305" w:rsidRDefault="00C304BF" w:rsidP="00C304BF">
      <w:pPr>
        <w:pStyle w:val="Point0"/>
        <w:rPr>
          <w:noProof/>
        </w:rPr>
      </w:pPr>
      <w:r w:rsidRPr="00C304BF">
        <w:t>(9)</w:t>
      </w:r>
      <w:r w:rsidRPr="00C304BF">
        <w:tab/>
      </w:r>
      <w:r w:rsidR="00BE6612" w:rsidRPr="00F75305">
        <w:rPr>
          <w:noProof/>
        </w:rPr>
        <w:t xml:space="preserve">‘individual case’ means a single investigation </w:t>
      </w:r>
      <w:r w:rsidR="00BE6612" w:rsidRPr="0003774E">
        <w:rPr>
          <w:noProof/>
        </w:rPr>
        <w:t>file</w:t>
      </w:r>
      <w:r w:rsidR="00882E23" w:rsidRPr="00F75305">
        <w:rPr>
          <w:noProof/>
        </w:rPr>
        <w:t>;</w:t>
      </w:r>
      <w:r w:rsidR="00BE6612" w:rsidRPr="00F75305">
        <w:rPr>
          <w:noProof/>
        </w:rPr>
        <w:t xml:space="preserve"> </w:t>
      </w:r>
    </w:p>
    <w:p w14:paraId="2E536142" w14:textId="34B4D36C" w:rsidR="00F724BA" w:rsidRPr="009F56E6" w:rsidRDefault="00C304BF" w:rsidP="00C304BF">
      <w:pPr>
        <w:pStyle w:val="Point0"/>
        <w:rPr>
          <w:noProof/>
        </w:rPr>
      </w:pPr>
      <w:r w:rsidRPr="00C304BF">
        <w:t>(10)</w:t>
      </w:r>
      <w:r w:rsidRPr="00C304BF">
        <w:tab/>
      </w:r>
      <w:r w:rsidR="00031BF6" w:rsidRPr="00C606FC">
        <w:rPr>
          <w:noProof/>
        </w:rPr>
        <w:t>‘facial image’ means digita</w:t>
      </w:r>
      <w:r w:rsidR="006030AF" w:rsidRPr="001C624B">
        <w:rPr>
          <w:noProof/>
        </w:rPr>
        <w:t>l image</w:t>
      </w:r>
      <w:r w:rsidR="00F724BA" w:rsidRPr="001C624B">
        <w:rPr>
          <w:noProof/>
        </w:rPr>
        <w:t xml:space="preserve"> of the face</w:t>
      </w:r>
      <w:r w:rsidR="00F724BA" w:rsidRPr="009F56E6">
        <w:rPr>
          <w:noProof/>
        </w:rPr>
        <w:t>;</w:t>
      </w:r>
    </w:p>
    <w:p w14:paraId="7A6A1BBE" w14:textId="1C2AE58B" w:rsidR="00AE3BE6" w:rsidRPr="009F56E6" w:rsidRDefault="00C304BF" w:rsidP="00C304BF">
      <w:pPr>
        <w:pStyle w:val="Point0"/>
        <w:rPr>
          <w:noProof/>
        </w:rPr>
      </w:pPr>
      <w:r w:rsidRPr="00C304BF">
        <w:t>(11)</w:t>
      </w:r>
      <w:r w:rsidRPr="00C304BF">
        <w:tab/>
      </w:r>
      <w:r w:rsidR="00031BF6" w:rsidRPr="009F56E6">
        <w:rPr>
          <w:noProof/>
        </w:rPr>
        <w:t xml:space="preserve">‘biometric data’ means </w:t>
      </w:r>
      <w:r w:rsidR="00F724BA" w:rsidRPr="009F56E6">
        <w:rPr>
          <w:noProof/>
        </w:rPr>
        <w:t xml:space="preserve">DNA </w:t>
      </w:r>
      <w:r w:rsidR="005F6BB4">
        <w:rPr>
          <w:noProof/>
        </w:rPr>
        <w:t>profiles</w:t>
      </w:r>
      <w:r w:rsidR="00F724BA" w:rsidRPr="009F56E6">
        <w:rPr>
          <w:noProof/>
        </w:rPr>
        <w:t>, dactyloscopic</w:t>
      </w:r>
      <w:r w:rsidR="00031BF6" w:rsidRPr="009F56E6">
        <w:rPr>
          <w:noProof/>
        </w:rPr>
        <w:t xml:space="preserve"> data </w:t>
      </w:r>
      <w:r w:rsidR="00D30CCD" w:rsidRPr="009F56E6">
        <w:rPr>
          <w:noProof/>
        </w:rPr>
        <w:t>or</w:t>
      </w:r>
      <w:r w:rsidR="00031BF6" w:rsidRPr="009F56E6">
        <w:rPr>
          <w:noProof/>
        </w:rPr>
        <w:t xml:space="preserve"> facial image</w:t>
      </w:r>
      <w:r w:rsidR="00B15641" w:rsidRPr="009F56E6">
        <w:rPr>
          <w:noProof/>
        </w:rPr>
        <w:t>s</w:t>
      </w:r>
      <w:r w:rsidR="00031BF6" w:rsidRPr="009F56E6">
        <w:rPr>
          <w:noProof/>
        </w:rPr>
        <w:t>;</w:t>
      </w:r>
    </w:p>
    <w:p w14:paraId="7CAC2F72" w14:textId="48DE8897" w:rsidR="00526C90" w:rsidRPr="009F56E6" w:rsidRDefault="00C304BF" w:rsidP="00C304BF">
      <w:pPr>
        <w:pStyle w:val="Point0"/>
        <w:rPr>
          <w:noProof/>
        </w:rPr>
      </w:pPr>
      <w:r w:rsidRPr="00C304BF">
        <w:t>(12)</w:t>
      </w:r>
      <w:r w:rsidRPr="00C304BF">
        <w:tab/>
      </w:r>
      <w:r w:rsidR="001D05FF" w:rsidRPr="009F56E6">
        <w:rPr>
          <w:noProof/>
        </w:rPr>
        <w:t>‘match’ means the existence of a correspondence as a result of an automated comparison between personal data recorded or being recorded in an information system or database;</w:t>
      </w:r>
    </w:p>
    <w:p w14:paraId="7953369E" w14:textId="655D56F9" w:rsidR="00F75305" w:rsidRPr="00F75305" w:rsidRDefault="00C304BF" w:rsidP="00C304BF">
      <w:pPr>
        <w:pStyle w:val="Point0"/>
        <w:rPr>
          <w:noProof/>
        </w:rPr>
      </w:pPr>
      <w:r w:rsidRPr="00C304BF">
        <w:t>(13)</w:t>
      </w:r>
      <w:r w:rsidRPr="00C304BF">
        <w:tab/>
      </w:r>
      <w:r w:rsidR="00F75305" w:rsidRPr="00F75305">
        <w:rPr>
          <w:noProof/>
        </w:rPr>
        <w:t>‘</w:t>
      </w:r>
      <w:r w:rsidR="00F75305" w:rsidRPr="000B761E">
        <w:rPr>
          <w:noProof/>
        </w:rPr>
        <w:t xml:space="preserve">candidate’ means </w:t>
      </w:r>
      <w:r w:rsidR="00F75305">
        <w:rPr>
          <w:noProof/>
        </w:rPr>
        <w:t xml:space="preserve">data </w:t>
      </w:r>
      <w:r w:rsidR="00F75305" w:rsidRPr="000B761E">
        <w:rPr>
          <w:noProof/>
        </w:rPr>
        <w:t>with which a match occurred;</w:t>
      </w:r>
    </w:p>
    <w:p w14:paraId="1941A82E" w14:textId="486853A2" w:rsidR="00526C90" w:rsidRPr="009F56E6" w:rsidRDefault="00C304BF" w:rsidP="00C304BF">
      <w:pPr>
        <w:pStyle w:val="Point0"/>
        <w:rPr>
          <w:noProof/>
        </w:rPr>
      </w:pPr>
      <w:r w:rsidRPr="00C304BF">
        <w:t>(14)</w:t>
      </w:r>
      <w:r w:rsidRPr="00C304BF">
        <w:tab/>
      </w:r>
      <w:r w:rsidR="00F911A7" w:rsidRPr="009F56E6">
        <w:rPr>
          <w:noProof/>
        </w:rPr>
        <w:t xml:space="preserve">‘requesting Member State’ means the Member State which is conducting a search through </w:t>
      </w:r>
      <w:r w:rsidR="00174B92" w:rsidRPr="009F56E6">
        <w:rPr>
          <w:noProof/>
        </w:rPr>
        <w:t>Prüm II</w:t>
      </w:r>
      <w:r w:rsidR="00F911A7" w:rsidRPr="009F56E6">
        <w:rPr>
          <w:noProof/>
        </w:rPr>
        <w:t>;</w:t>
      </w:r>
    </w:p>
    <w:p w14:paraId="2BF365BA" w14:textId="375163A4" w:rsidR="00526C90" w:rsidRPr="009F56E6" w:rsidRDefault="00C304BF" w:rsidP="00C304BF">
      <w:pPr>
        <w:pStyle w:val="Point0"/>
        <w:rPr>
          <w:noProof/>
        </w:rPr>
      </w:pPr>
      <w:r w:rsidRPr="00C304BF">
        <w:t>(15)</w:t>
      </w:r>
      <w:r w:rsidRPr="00C304BF">
        <w:tab/>
      </w:r>
      <w:r w:rsidR="00F911A7" w:rsidRPr="009F56E6">
        <w:rPr>
          <w:noProof/>
        </w:rPr>
        <w:t>‘requested Member State’ means the Member State in which</w:t>
      </w:r>
      <w:r w:rsidR="007A5335" w:rsidRPr="009F56E6">
        <w:rPr>
          <w:noProof/>
        </w:rPr>
        <w:t xml:space="preserve"> databases</w:t>
      </w:r>
      <w:r w:rsidR="00F911A7" w:rsidRPr="009F56E6">
        <w:rPr>
          <w:noProof/>
        </w:rPr>
        <w:t xml:space="preserve"> the search is conducted </w:t>
      </w:r>
      <w:r w:rsidR="00F51891" w:rsidRPr="009F56E6">
        <w:rPr>
          <w:noProof/>
        </w:rPr>
        <w:t xml:space="preserve">through </w:t>
      </w:r>
      <w:r w:rsidR="00174B92" w:rsidRPr="009F56E6">
        <w:rPr>
          <w:noProof/>
        </w:rPr>
        <w:t>Prüm II</w:t>
      </w:r>
      <w:r w:rsidR="00F51891" w:rsidRPr="009F56E6">
        <w:rPr>
          <w:noProof/>
        </w:rPr>
        <w:t xml:space="preserve"> </w:t>
      </w:r>
      <w:r w:rsidR="00556670" w:rsidRPr="009F56E6">
        <w:rPr>
          <w:noProof/>
        </w:rPr>
        <w:t>by the requesting Member State;</w:t>
      </w:r>
    </w:p>
    <w:p w14:paraId="460EC969" w14:textId="00E39ED8" w:rsidR="00367D51" w:rsidRDefault="00C304BF" w:rsidP="00C304BF">
      <w:pPr>
        <w:pStyle w:val="Point0"/>
        <w:rPr>
          <w:noProof/>
        </w:rPr>
      </w:pPr>
      <w:r w:rsidRPr="00C304BF">
        <w:t>(16)</w:t>
      </w:r>
      <w:r w:rsidRPr="00C304BF">
        <w:tab/>
      </w:r>
      <w:r w:rsidR="00367D51" w:rsidRPr="009F56E6">
        <w:rPr>
          <w:noProof/>
        </w:rPr>
        <w:t>‘police record</w:t>
      </w:r>
      <w:r w:rsidR="005C51D1" w:rsidRPr="009F56E6">
        <w:rPr>
          <w:noProof/>
        </w:rPr>
        <w:t>s</w:t>
      </w:r>
      <w:r w:rsidR="00367D51" w:rsidRPr="009F56E6">
        <w:rPr>
          <w:noProof/>
        </w:rPr>
        <w:t xml:space="preserve">’ means </w:t>
      </w:r>
      <w:r w:rsidR="00603717" w:rsidRPr="009F56E6">
        <w:rPr>
          <w:noProof/>
        </w:rPr>
        <w:t>any information available in the national register or registers recording data of competent authorities, for the prevention, detection</w:t>
      </w:r>
      <w:r w:rsidR="006B3800">
        <w:rPr>
          <w:noProof/>
        </w:rPr>
        <w:t xml:space="preserve"> and</w:t>
      </w:r>
      <w:r w:rsidR="00603717" w:rsidRPr="009F56E6">
        <w:rPr>
          <w:noProof/>
        </w:rPr>
        <w:t xml:space="preserve"> investigation of criminal offences</w:t>
      </w:r>
      <w:r w:rsidR="006030AF" w:rsidRPr="009F56E6">
        <w:rPr>
          <w:noProof/>
        </w:rPr>
        <w:t>;</w:t>
      </w:r>
    </w:p>
    <w:p w14:paraId="51E7A75C" w14:textId="431111C6" w:rsidR="0060359F" w:rsidRPr="009F56E6" w:rsidRDefault="00C304BF" w:rsidP="00C304BF">
      <w:pPr>
        <w:pStyle w:val="Point0"/>
        <w:rPr>
          <w:noProof/>
        </w:rPr>
      </w:pPr>
      <w:r w:rsidRPr="00C304BF">
        <w:t>(17)</w:t>
      </w:r>
      <w:r w:rsidRPr="00C304BF">
        <w:tab/>
      </w:r>
      <w:r w:rsidR="0060359F">
        <w:rPr>
          <w:noProof/>
        </w:rPr>
        <w:t xml:space="preserve">‘pseudonymisation’ </w:t>
      </w:r>
      <w:r w:rsidR="00D02E39" w:rsidRPr="00D02E39">
        <w:rPr>
          <w:noProof/>
        </w:rPr>
        <w:t>means 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w:t>
      </w:r>
      <w:r w:rsidR="00D02E39" w:rsidRPr="00D02E39" w:rsidDel="00D02E39">
        <w:rPr>
          <w:noProof/>
        </w:rPr>
        <w:t xml:space="preserve"> </w:t>
      </w:r>
    </w:p>
    <w:p w14:paraId="0BE554C1" w14:textId="05A9182C" w:rsidR="006657E3" w:rsidRPr="009F56E6" w:rsidRDefault="00C304BF" w:rsidP="00C304BF">
      <w:pPr>
        <w:pStyle w:val="Point0"/>
        <w:rPr>
          <w:noProof/>
        </w:rPr>
      </w:pPr>
      <w:r w:rsidRPr="00C304BF">
        <w:t>(18)</w:t>
      </w:r>
      <w:r w:rsidRPr="00C304BF">
        <w:tab/>
      </w:r>
      <w:r w:rsidR="006657E3" w:rsidRPr="009F56E6">
        <w:rPr>
          <w:noProof/>
        </w:rPr>
        <w:t>‘Europol data’ means</w:t>
      </w:r>
      <w:r w:rsidR="00882E23" w:rsidRPr="009F56E6">
        <w:rPr>
          <w:noProof/>
        </w:rPr>
        <w:t xml:space="preserve"> </w:t>
      </w:r>
      <w:r w:rsidR="00AF4CE9">
        <w:rPr>
          <w:noProof/>
        </w:rPr>
        <w:t xml:space="preserve">any </w:t>
      </w:r>
      <w:r w:rsidR="00882E23" w:rsidRPr="009F56E6">
        <w:rPr>
          <w:noProof/>
        </w:rPr>
        <w:t xml:space="preserve">personal data processed by Europol </w:t>
      </w:r>
      <w:r w:rsidR="00B02048">
        <w:rPr>
          <w:noProof/>
        </w:rPr>
        <w:t xml:space="preserve">in accordance with </w:t>
      </w:r>
      <w:r w:rsidR="00882E23" w:rsidRPr="009F56E6">
        <w:rPr>
          <w:noProof/>
        </w:rPr>
        <w:t>Regulation (EU) 2016/794;</w:t>
      </w:r>
    </w:p>
    <w:p w14:paraId="7764BF70" w14:textId="22508272" w:rsidR="00234964" w:rsidRPr="009F56E6" w:rsidRDefault="00C304BF" w:rsidP="00C304BF">
      <w:pPr>
        <w:pStyle w:val="Point0"/>
        <w:rPr>
          <w:noProof/>
        </w:rPr>
      </w:pPr>
      <w:r w:rsidRPr="00C304BF">
        <w:t>(19)</w:t>
      </w:r>
      <w:r w:rsidRPr="00C304BF">
        <w:tab/>
      </w:r>
      <w:r w:rsidR="005F6BB4">
        <w:rPr>
          <w:noProof/>
        </w:rPr>
        <w:t>‘supervisory authority</w:t>
      </w:r>
      <w:r w:rsidR="00234964" w:rsidRPr="009F56E6">
        <w:rPr>
          <w:noProof/>
        </w:rPr>
        <w:t>’</w:t>
      </w:r>
      <w:r w:rsidR="00265982" w:rsidRPr="009F56E6">
        <w:rPr>
          <w:noProof/>
        </w:rPr>
        <w:t xml:space="preserve"> means</w:t>
      </w:r>
      <w:r w:rsidR="005F6BB4">
        <w:rPr>
          <w:noProof/>
        </w:rPr>
        <w:t xml:space="preserve"> </w:t>
      </w:r>
      <w:r w:rsidR="005F6BB4" w:rsidRPr="005F6BB4">
        <w:rPr>
          <w:noProof/>
        </w:rPr>
        <w:t>an independent public authority established by a Member State pursuant to Article 41 of Directive (EU) 2016/680 of the European Parliament and of the Council</w:t>
      </w:r>
      <w:r w:rsidR="005F6BB4" w:rsidRPr="00FC1288">
        <w:rPr>
          <w:rStyle w:val="FootnoteReference0"/>
          <w:noProof/>
        </w:rPr>
        <w:footnoteReference w:id="41"/>
      </w:r>
      <w:r w:rsidR="009C1F86">
        <w:rPr>
          <w:noProof/>
        </w:rPr>
        <w:t>;</w:t>
      </w:r>
    </w:p>
    <w:p w14:paraId="49B50D74" w14:textId="750A2C40" w:rsidR="00D362B9" w:rsidRPr="009F56E6" w:rsidRDefault="00C304BF" w:rsidP="00C304BF">
      <w:pPr>
        <w:pStyle w:val="Point0"/>
        <w:rPr>
          <w:noProof/>
        </w:rPr>
      </w:pPr>
      <w:r w:rsidRPr="00C304BF">
        <w:t>(20)</w:t>
      </w:r>
      <w:r w:rsidRPr="00C304BF">
        <w:tab/>
      </w:r>
      <w:r w:rsidR="00D362B9" w:rsidRPr="009F56E6">
        <w:rPr>
          <w:noProof/>
        </w:rPr>
        <w:t xml:space="preserve">‘SIENA’ means </w:t>
      </w:r>
      <w:r w:rsidR="00BA1C30" w:rsidRPr="009F56E6">
        <w:rPr>
          <w:noProof/>
        </w:rPr>
        <w:t>the secure information exchange network application</w:t>
      </w:r>
      <w:r w:rsidR="00F75305">
        <w:rPr>
          <w:noProof/>
        </w:rPr>
        <w:t>,</w:t>
      </w:r>
      <w:r w:rsidR="00F75305" w:rsidRPr="00F75305">
        <w:rPr>
          <w:noProof/>
        </w:rPr>
        <w:t xml:space="preserve"> </w:t>
      </w:r>
      <w:r w:rsidR="00F75305" w:rsidRPr="00B37EB8">
        <w:rPr>
          <w:noProof/>
        </w:rPr>
        <w:t xml:space="preserve">managed by Europol, </w:t>
      </w:r>
      <w:r w:rsidR="00BA1C30" w:rsidRPr="009F56E6">
        <w:rPr>
          <w:noProof/>
        </w:rPr>
        <w:t>aimed at facilitating the exchange of information between Member States and Europol;</w:t>
      </w:r>
      <w:r w:rsidR="005F6BB4">
        <w:rPr>
          <w:noProof/>
        </w:rPr>
        <w:t xml:space="preserve"> </w:t>
      </w:r>
    </w:p>
    <w:p w14:paraId="16E01BC6" w14:textId="676A534A" w:rsidR="00E57D31" w:rsidRDefault="00C304BF" w:rsidP="00C304BF">
      <w:pPr>
        <w:pStyle w:val="Point0"/>
        <w:rPr>
          <w:noProof/>
        </w:rPr>
      </w:pPr>
      <w:r w:rsidRPr="00C304BF">
        <w:t>(21)</w:t>
      </w:r>
      <w:r w:rsidRPr="00C304BF">
        <w:tab/>
      </w:r>
      <w:r w:rsidR="00E57D31" w:rsidRPr="0095133B">
        <w:rPr>
          <w:noProof/>
        </w:rPr>
        <w:t xml:space="preserve">‘significant incident’ means any incident unless it has </w:t>
      </w:r>
      <w:r w:rsidR="005F6BB4">
        <w:rPr>
          <w:noProof/>
        </w:rPr>
        <w:t xml:space="preserve">a </w:t>
      </w:r>
      <w:r w:rsidR="00E57D31" w:rsidRPr="0095133B">
        <w:rPr>
          <w:noProof/>
        </w:rPr>
        <w:t>limited impact and is likely to be already well understood in terms of method or technology;</w:t>
      </w:r>
    </w:p>
    <w:p w14:paraId="2E963214" w14:textId="6A1FF797" w:rsidR="00E57D31" w:rsidRDefault="00C304BF" w:rsidP="00C304BF">
      <w:pPr>
        <w:pStyle w:val="Point0"/>
        <w:rPr>
          <w:noProof/>
        </w:rPr>
      </w:pPr>
      <w:r w:rsidRPr="00C304BF">
        <w:t>(22)</w:t>
      </w:r>
      <w:r w:rsidRPr="00C304BF">
        <w:tab/>
      </w:r>
      <w:r w:rsidR="00E57D31" w:rsidRPr="0095133B">
        <w:rPr>
          <w:noProof/>
        </w:rPr>
        <w:t>‘significant cyber threat’ means a cyber threat with the intention, opportunity and capability to cause a significant incident;</w:t>
      </w:r>
    </w:p>
    <w:p w14:paraId="530BF71E" w14:textId="4E4C8F3D" w:rsidR="00E57D31" w:rsidRDefault="00C304BF" w:rsidP="00C304BF">
      <w:pPr>
        <w:pStyle w:val="Point0"/>
        <w:rPr>
          <w:noProof/>
        </w:rPr>
      </w:pPr>
      <w:r w:rsidRPr="00C304BF">
        <w:t>(23)</w:t>
      </w:r>
      <w:r w:rsidRPr="00C304BF">
        <w:tab/>
      </w:r>
      <w:r w:rsidR="00E57D31" w:rsidRPr="0095133B">
        <w:rPr>
          <w:noProof/>
        </w:rPr>
        <w:t>‘significant vulnerability’ means a vulnerability that will likely lead to a significant incident if it is exploited;</w:t>
      </w:r>
    </w:p>
    <w:p w14:paraId="17C1359C" w14:textId="1B7E1085" w:rsidR="00AE3BE6" w:rsidRPr="009F56E6" w:rsidRDefault="00C304BF" w:rsidP="00C304BF">
      <w:pPr>
        <w:pStyle w:val="Point0"/>
        <w:rPr>
          <w:noProof/>
        </w:rPr>
      </w:pPr>
      <w:r w:rsidRPr="00C304BF">
        <w:t>(24)</w:t>
      </w:r>
      <w:r w:rsidRPr="00C304BF">
        <w:tab/>
      </w:r>
      <w:r w:rsidR="00E57D31" w:rsidRPr="0095133B">
        <w:rPr>
          <w:noProof/>
        </w:rPr>
        <w:t>‘incident’ means</w:t>
      </w:r>
      <w:r w:rsidR="00D83376">
        <w:rPr>
          <w:noProof/>
        </w:rPr>
        <w:t xml:space="preserve"> an</w:t>
      </w:r>
      <w:r w:rsidR="00E57D31" w:rsidRPr="0095133B">
        <w:rPr>
          <w:noProof/>
        </w:rPr>
        <w:t xml:space="preserve"> incident within the meaning of Article 4(5) of Directive</w:t>
      </w:r>
      <w:r w:rsidR="009C1F86">
        <w:rPr>
          <w:noProof/>
        </w:rPr>
        <w:t xml:space="preserve"> </w:t>
      </w:r>
      <w:r w:rsidR="009C1F86" w:rsidRPr="005F6BB4">
        <w:rPr>
          <w:noProof/>
        </w:rPr>
        <w:t xml:space="preserve">(EU) </w:t>
      </w:r>
      <w:r w:rsidR="009C1F86">
        <w:rPr>
          <w:noProof/>
        </w:rPr>
        <w:t>…</w:t>
      </w:r>
      <w:r w:rsidR="009C1F86" w:rsidRPr="005F6BB4">
        <w:rPr>
          <w:noProof/>
        </w:rPr>
        <w:t>/</w:t>
      </w:r>
      <w:r w:rsidR="009C1F86">
        <w:rPr>
          <w:noProof/>
        </w:rPr>
        <w:t>…</w:t>
      </w:r>
      <w:r w:rsidR="009C1F86" w:rsidRPr="005F6BB4">
        <w:rPr>
          <w:noProof/>
        </w:rPr>
        <w:t xml:space="preserve"> of the European Parliament and of the Council</w:t>
      </w:r>
      <w:r w:rsidR="009C1F86">
        <w:rPr>
          <w:rStyle w:val="FootnoteReference0"/>
          <w:noProof/>
        </w:rPr>
        <w:footnoteReference w:id="42"/>
      </w:r>
      <w:r w:rsidR="00E57D31" w:rsidRPr="0095133B">
        <w:rPr>
          <w:noProof/>
        </w:rPr>
        <w:t xml:space="preserve"> [</w:t>
      </w:r>
      <w:r w:rsidR="00E57D31" w:rsidRPr="00926358">
        <w:rPr>
          <w:i/>
          <w:noProof/>
        </w:rPr>
        <w:t>proposal NIS 2</w:t>
      </w:r>
      <w:r w:rsidR="00E57D31" w:rsidRPr="0095133B">
        <w:rPr>
          <w:noProof/>
        </w:rPr>
        <w:t>]</w:t>
      </w:r>
      <w:r w:rsidR="005C51D1" w:rsidRPr="009F56E6">
        <w:rPr>
          <w:noProof/>
        </w:rPr>
        <w:t>.</w:t>
      </w:r>
      <w:r w:rsidR="00425858" w:rsidRPr="009F56E6">
        <w:rPr>
          <w:noProof/>
        </w:rPr>
        <w:t xml:space="preserve"> </w:t>
      </w:r>
    </w:p>
    <w:p w14:paraId="7E4326E0" w14:textId="1E3688D0" w:rsidR="00185BE8" w:rsidRPr="009F56E6" w:rsidRDefault="00185BE8" w:rsidP="00205A21">
      <w:pPr>
        <w:rPr>
          <w:noProof/>
        </w:rPr>
      </w:pPr>
    </w:p>
    <w:p w14:paraId="35492C31" w14:textId="77777777" w:rsidR="006517D1" w:rsidRPr="009F56E6" w:rsidRDefault="006517D1" w:rsidP="00205A21">
      <w:pPr>
        <w:rPr>
          <w:noProof/>
        </w:rPr>
      </w:pPr>
    </w:p>
    <w:p w14:paraId="360C6EC0" w14:textId="6AF24B54" w:rsidR="00684280" w:rsidRPr="009F56E6" w:rsidRDefault="00684280" w:rsidP="00684280">
      <w:pPr>
        <w:pStyle w:val="Titrearticle"/>
        <w:rPr>
          <w:i w:val="0"/>
          <w:noProof/>
        </w:rPr>
      </w:pPr>
      <w:r w:rsidRPr="009F56E6">
        <w:rPr>
          <w:i w:val="0"/>
          <w:noProof/>
        </w:rPr>
        <w:t>CHAPTER 2</w:t>
      </w:r>
    </w:p>
    <w:p w14:paraId="55879990" w14:textId="5943777A" w:rsidR="007657FC" w:rsidRPr="009F56E6" w:rsidRDefault="00684280" w:rsidP="00077805">
      <w:pPr>
        <w:jc w:val="center"/>
        <w:rPr>
          <w:b/>
          <w:noProof/>
        </w:rPr>
      </w:pPr>
      <w:r w:rsidRPr="009F56E6">
        <w:rPr>
          <w:b/>
          <w:noProof/>
        </w:rPr>
        <w:t>EXCHANGE OF DATA</w:t>
      </w:r>
    </w:p>
    <w:p w14:paraId="64B90470" w14:textId="5B9FFACA" w:rsidR="00965456" w:rsidRPr="007C7BE5" w:rsidRDefault="00965456" w:rsidP="00965456">
      <w:pPr>
        <w:pStyle w:val="Titrearticle"/>
        <w:rPr>
          <w:i w:val="0"/>
          <w:noProof/>
        </w:rPr>
      </w:pPr>
      <w:r w:rsidRPr="007C7BE5">
        <w:rPr>
          <w:i w:val="0"/>
          <w:noProof/>
        </w:rPr>
        <w:t>SECTION 1</w:t>
      </w:r>
    </w:p>
    <w:p w14:paraId="48663688" w14:textId="4E8E0985" w:rsidR="00965456" w:rsidRPr="007C7BE5" w:rsidRDefault="00965456" w:rsidP="00077805">
      <w:pPr>
        <w:jc w:val="center"/>
        <w:rPr>
          <w:b/>
          <w:noProof/>
        </w:rPr>
      </w:pPr>
      <w:r w:rsidRPr="007C7BE5">
        <w:rPr>
          <w:b/>
          <w:noProof/>
        </w:rPr>
        <w:t>DNA profiles</w:t>
      </w:r>
    </w:p>
    <w:p w14:paraId="4E1B01F4" w14:textId="2D2B647D" w:rsidR="00205A21" w:rsidRPr="009F56E6" w:rsidRDefault="003A17C8" w:rsidP="00205A21">
      <w:pPr>
        <w:pStyle w:val="Titrearticle"/>
        <w:rPr>
          <w:noProof/>
        </w:rPr>
      </w:pPr>
      <w:r w:rsidRPr="009F56E6">
        <w:rPr>
          <w:noProof/>
        </w:rPr>
        <w:t xml:space="preserve">Article </w:t>
      </w:r>
      <w:r w:rsidR="000763B1">
        <w:rPr>
          <w:noProof/>
        </w:rPr>
        <w:t>5</w:t>
      </w:r>
    </w:p>
    <w:p w14:paraId="72E24D4D" w14:textId="63F9B0EF" w:rsidR="0040694F" w:rsidRPr="009F56E6" w:rsidRDefault="005662E1" w:rsidP="0040694F">
      <w:pPr>
        <w:jc w:val="center"/>
        <w:rPr>
          <w:b/>
          <w:noProof/>
        </w:rPr>
      </w:pPr>
      <w:r w:rsidRPr="009F56E6">
        <w:rPr>
          <w:b/>
          <w:noProof/>
        </w:rPr>
        <w:t>Establishment of national DNA analysis files</w:t>
      </w:r>
    </w:p>
    <w:p w14:paraId="10A29F94" w14:textId="74BAC97A" w:rsidR="00DF0EF9" w:rsidRDefault="009A3A7B" w:rsidP="009A3A7B">
      <w:pPr>
        <w:rPr>
          <w:noProof/>
        </w:rPr>
      </w:pPr>
      <w:r w:rsidRPr="009F56E6">
        <w:rPr>
          <w:noProof/>
        </w:rPr>
        <w:t>1. Member States shall open</w:t>
      </w:r>
      <w:r w:rsidR="00B74E86" w:rsidRPr="009F56E6">
        <w:rPr>
          <w:noProof/>
        </w:rPr>
        <w:t xml:space="preserve"> and keep national DNA analysis </w:t>
      </w:r>
      <w:r w:rsidRPr="009F56E6">
        <w:rPr>
          <w:noProof/>
        </w:rPr>
        <w:t xml:space="preserve">files for the investigation of criminal offences. </w:t>
      </w:r>
    </w:p>
    <w:p w14:paraId="313AD421" w14:textId="66561CFA" w:rsidR="009A3A7B" w:rsidRPr="009F56E6" w:rsidRDefault="009A3A7B" w:rsidP="009A3A7B">
      <w:pPr>
        <w:rPr>
          <w:noProof/>
        </w:rPr>
      </w:pPr>
      <w:r w:rsidRPr="009F56E6">
        <w:rPr>
          <w:noProof/>
        </w:rPr>
        <w:t>Processing of data</w:t>
      </w:r>
      <w:r w:rsidR="00B74E86" w:rsidRPr="009F56E6">
        <w:rPr>
          <w:noProof/>
        </w:rPr>
        <w:t xml:space="preserve"> </w:t>
      </w:r>
      <w:r w:rsidRPr="009F56E6">
        <w:rPr>
          <w:noProof/>
        </w:rPr>
        <w:t xml:space="preserve">kept in those files, under this </w:t>
      </w:r>
      <w:r w:rsidR="00ED1B47" w:rsidRPr="009F56E6">
        <w:rPr>
          <w:noProof/>
        </w:rPr>
        <w:t>Regulation</w:t>
      </w:r>
      <w:r w:rsidRPr="009F56E6">
        <w:rPr>
          <w:noProof/>
        </w:rPr>
        <w:t>, shall be carried out in</w:t>
      </w:r>
      <w:r w:rsidR="00B74E86" w:rsidRPr="009F56E6">
        <w:rPr>
          <w:noProof/>
        </w:rPr>
        <w:t xml:space="preserve"> </w:t>
      </w:r>
      <w:r w:rsidRPr="009F56E6">
        <w:rPr>
          <w:noProof/>
        </w:rPr>
        <w:t xml:space="preserve">accordance with this </w:t>
      </w:r>
      <w:r w:rsidR="00ED1B47" w:rsidRPr="009F56E6">
        <w:rPr>
          <w:noProof/>
        </w:rPr>
        <w:t>Regulation</w:t>
      </w:r>
      <w:r w:rsidRPr="009F56E6">
        <w:rPr>
          <w:noProof/>
        </w:rPr>
        <w:t>, in compliance with the national</w:t>
      </w:r>
      <w:r w:rsidR="00B74E86" w:rsidRPr="009F56E6">
        <w:rPr>
          <w:noProof/>
        </w:rPr>
        <w:t xml:space="preserve"> </w:t>
      </w:r>
      <w:r w:rsidRPr="009F56E6">
        <w:rPr>
          <w:noProof/>
        </w:rPr>
        <w:t>law</w:t>
      </w:r>
      <w:r w:rsidR="008E25EF" w:rsidRPr="009F56E6">
        <w:rPr>
          <w:noProof/>
        </w:rPr>
        <w:t xml:space="preserve"> of the Member States</w:t>
      </w:r>
      <w:r w:rsidRPr="009F56E6">
        <w:rPr>
          <w:noProof/>
        </w:rPr>
        <w:t xml:space="preserve"> applicable to the processing</w:t>
      </w:r>
      <w:r w:rsidR="005F6BB4">
        <w:rPr>
          <w:noProof/>
        </w:rPr>
        <w:t xml:space="preserve"> of those data</w:t>
      </w:r>
      <w:r w:rsidRPr="009F56E6">
        <w:rPr>
          <w:noProof/>
        </w:rPr>
        <w:t>.</w:t>
      </w:r>
    </w:p>
    <w:p w14:paraId="79FBE114" w14:textId="1CEA8EA3" w:rsidR="00DF0EF9" w:rsidRDefault="009A3A7B" w:rsidP="009A3A7B">
      <w:pPr>
        <w:rPr>
          <w:noProof/>
        </w:rPr>
      </w:pPr>
      <w:r w:rsidRPr="009F56E6">
        <w:rPr>
          <w:noProof/>
        </w:rPr>
        <w:t>2. Member</w:t>
      </w:r>
      <w:r w:rsidR="00B74E86" w:rsidRPr="009F56E6">
        <w:rPr>
          <w:noProof/>
        </w:rPr>
        <w:t xml:space="preserve"> </w:t>
      </w:r>
      <w:r w:rsidRPr="009F56E6">
        <w:rPr>
          <w:noProof/>
        </w:rPr>
        <w:t xml:space="preserve">States shall ensure the availability of </w:t>
      </w:r>
      <w:r w:rsidR="005F6BB4">
        <w:rPr>
          <w:noProof/>
        </w:rPr>
        <w:t>DNA</w:t>
      </w:r>
      <w:r w:rsidRPr="009F56E6">
        <w:rPr>
          <w:noProof/>
        </w:rPr>
        <w:t xml:space="preserve"> reference data from their</w:t>
      </w:r>
      <w:r w:rsidR="00B74E86" w:rsidRPr="009F56E6">
        <w:rPr>
          <w:noProof/>
        </w:rPr>
        <w:t xml:space="preserve"> </w:t>
      </w:r>
      <w:r w:rsidRPr="009F56E6">
        <w:rPr>
          <w:noProof/>
        </w:rPr>
        <w:t xml:space="preserve">national DNA analysis files as referred to in paragraph 1. </w:t>
      </w:r>
    </w:p>
    <w:p w14:paraId="1C3DDCD1" w14:textId="6D6EB39E" w:rsidR="00DF0EF9" w:rsidRDefault="005F6BB4" w:rsidP="009A3A7B">
      <w:pPr>
        <w:rPr>
          <w:noProof/>
        </w:rPr>
      </w:pPr>
      <w:r>
        <w:rPr>
          <w:noProof/>
        </w:rPr>
        <w:t>DNA</w:t>
      </w:r>
      <w:r w:rsidR="009A3A7B" w:rsidRPr="009F56E6">
        <w:rPr>
          <w:noProof/>
        </w:rPr>
        <w:t xml:space="preserve"> </w:t>
      </w:r>
      <w:r w:rsidR="00DF0EF9">
        <w:rPr>
          <w:noProof/>
        </w:rPr>
        <w:t>r</w:t>
      </w:r>
      <w:r w:rsidR="009A3A7B" w:rsidRPr="009F56E6">
        <w:rPr>
          <w:noProof/>
        </w:rPr>
        <w:t>eference data shall not contain any data from which</w:t>
      </w:r>
      <w:r w:rsidR="00B74E86" w:rsidRPr="009F56E6">
        <w:rPr>
          <w:noProof/>
        </w:rPr>
        <w:t xml:space="preserve"> </w:t>
      </w:r>
      <w:r w:rsidR="000B34E6" w:rsidRPr="009F56E6">
        <w:rPr>
          <w:noProof/>
        </w:rPr>
        <w:t>an individual</w:t>
      </w:r>
      <w:r w:rsidR="009A3A7B" w:rsidRPr="009F56E6">
        <w:rPr>
          <w:noProof/>
        </w:rPr>
        <w:t xml:space="preserve"> can be directly identified. </w:t>
      </w:r>
    </w:p>
    <w:p w14:paraId="2D073DB5" w14:textId="0CF132FD" w:rsidR="009A3A7B" w:rsidRPr="009F56E6" w:rsidRDefault="005F6BB4" w:rsidP="009A3A7B">
      <w:pPr>
        <w:rPr>
          <w:noProof/>
        </w:rPr>
      </w:pPr>
      <w:r>
        <w:rPr>
          <w:noProof/>
        </w:rPr>
        <w:t>DNA r</w:t>
      </w:r>
      <w:r w:rsidR="009A3A7B" w:rsidRPr="009F56E6">
        <w:rPr>
          <w:noProof/>
        </w:rPr>
        <w:t>eference data which is</w:t>
      </w:r>
      <w:r w:rsidR="00B74E86" w:rsidRPr="009F56E6">
        <w:rPr>
          <w:noProof/>
        </w:rPr>
        <w:t xml:space="preserve"> </w:t>
      </w:r>
      <w:r w:rsidR="009A3A7B" w:rsidRPr="009F56E6">
        <w:rPr>
          <w:noProof/>
        </w:rPr>
        <w:t>not attributed to any individual (unidentified DNA profiles) shall</w:t>
      </w:r>
      <w:r w:rsidR="00B74E86" w:rsidRPr="009F56E6">
        <w:rPr>
          <w:noProof/>
        </w:rPr>
        <w:t xml:space="preserve"> </w:t>
      </w:r>
      <w:r w:rsidR="009A3A7B" w:rsidRPr="009F56E6">
        <w:rPr>
          <w:noProof/>
        </w:rPr>
        <w:t>be recognisable as such.</w:t>
      </w:r>
    </w:p>
    <w:p w14:paraId="78FBFC80" w14:textId="6E7C34F2" w:rsidR="00205A21" w:rsidRPr="009F56E6" w:rsidRDefault="002C146E" w:rsidP="00205A21">
      <w:pPr>
        <w:pStyle w:val="Titrearticle"/>
        <w:rPr>
          <w:noProof/>
        </w:rPr>
      </w:pPr>
      <w:r w:rsidRPr="009F56E6">
        <w:rPr>
          <w:noProof/>
        </w:rPr>
        <w:t xml:space="preserve">Article </w:t>
      </w:r>
      <w:r w:rsidR="000763B1">
        <w:rPr>
          <w:noProof/>
        </w:rPr>
        <w:t>6</w:t>
      </w:r>
    </w:p>
    <w:p w14:paraId="68DA537B" w14:textId="54E988E4" w:rsidR="0040694F" w:rsidRPr="009F56E6" w:rsidRDefault="005662E1" w:rsidP="0040694F">
      <w:pPr>
        <w:jc w:val="center"/>
        <w:rPr>
          <w:b/>
          <w:noProof/>
        </w:rPr>
      </w:pPr>
      <w:r w:rsidRPr="009F56E6">
        <w:rPr>
          <w:b/>
          <w:noProof/>
        </w:rPr>
        <w:t>Automated searching of DNA profiles</w:t>
      </w:r>
    </w:p>
    <w:p w14:paraId="307BC002" w14:textId="0E79A673" w:rsidR="008966CA" w:rsidRDefault="009A3A7B" w:rsidP="009A3A7B">
      <w:pPr>
        <w:rPr>
          <w:noProof/>
        </w:rPr>
      </w:pPr>
      <w:r w:rsidRPr="009F56E6">
        <w:rPr>
          <w:noProof/>
        </w:rPr>
        <w:t>1.</w:t>
      </w:r>
      <w:r w:rsidR="00BE3941" w:rsidRPr="009F56E6">
        <w:rPr>
          <w:noProof/>
        </w:rPr>
        <w:t xml:space="preserve"> </w:t>
      </w:r>
      <w:r w:rsidR="00B74E86" w:rsidRPr="009F56E6">
        <w:rPr>
          <w:noProof/>
        </w:rPr>
        <w:t xml:space="preserve">Member States </w:t>
      </w:r>
      <w:r w:rsidRPr="009F56E6">
        <w:rPr>
          <w:noProof/>
        </w:rPr>
        <w:t xml:space="preserve">shall allow national contact points </w:t>
      </w:r>
      <w:r w:rsidR="00A8650A" w:rsidRPr="009F56E6">
        <w:rPr>
          <w:noProof/>
        </w:rPr>
        <w:t xml:space="preserve">referred to in Article </w:t>
      </w:r>
      <w:r w:rsidR="00E576DB" w:rsidRPr="009F56E6">
        <w:rPr>
          <w:noProof/>
        </w:rPr>
        <w:t>2</w:t>
      </w:r>
      <w:r w:rsidR="00920A11">
        <w:rPr>
          <w:noProof/>
        </w:rPr>
        <w:t>9</w:t>
      </w:r>
      <w:r w:rsidR="00CA6AA8" w:rsidRPr="009F56E6">
        <w:rPr>
          <w:noProof/>
        </w:rPr>
        <w:t xml:space="preserve"> and Europol</w:t>
      </w:r>
      <w:r w:rsidRPr="009F56E6">
        <w:rPr>
          <w:noProof/>
        </w:rPr>
        <w:t xml:space="preserve"> access to the </w:t>
      </w:r>
      <w:r w:rsidR="00BD562B">
        <w:rPr>
          <w:noProof/>
        </w:rPr>
        <w:t xml:space="preserve">DNA </w:t>
      </w:r>
      <w:r w:rsidRPr="009F56E6">
        <w:rPr>
          <w:noProof/>
        </w:rPr>
        <w:t>reference data in their DNA</w:t>
      </w:r>
      <w:r w:rsidR="00B74E86" w:rsidRPr="009F56E6">
        <w:rPr>
          <w:noProof/>
        </w:rPr>
        <w:t xml:space="preserve"> </w:t>
      </w:r>
      <w:r w:rsidRPr="009F56E6">
        <w:rPr>
          <w:noProof/>
        </w:rPr>
        <w:t>analysis files, to conduct automated searches by</w:t>
      </w:r>
      <w:r w:rsidR="00B74E86" w:rsidRPr="009F56E6">
        <w:rPr>
          <w:noProof/>
        </w:rPr>
        <w:t xml:space="preserve"> </w:t>
      </w:r>
      <w:r w:rsidRPr="009F56E6">
        <w:rPr>
          <w:noProof/>
        </w:rPr>
        <w:t>comparing DNA profiles</w:t>
      </w:r>
      <w:r w:rsidR="008E25EF" w:rsidRPr="009F56E6">
        <w:rPr>
          <w:noProof/>
        </w:rPr>
        <w:t xml:space="preserve"> for the investigation of criminal offences</w:t>
      </w:r>
      <w:r w:rsidRPr="009F56E6">
        <w:rPr>
          <w:noProof/>
        </w:rPr>
        <w:t xml:space="preserve">. </w:t>
      </w:r>
    </w:p>
    <w:p w14:paraId="0D385D45" w14:textId="4592EC30" w:rsidR="009A3A7B" w:rsidRPr="009F56E6" w:rsidRDefault="009A3A7B" w:rsidP="009A3A7B">
      <w:pPr>
        <w:rPr>
          <w:noProof/>
        </w:rPr>
      </w:pPr>
      <w:r w:rsidRPr="009F56E6">
        <w:rPr>
          <w:noProof/>
        </w:rPr>
        <w:t>Searches may be conducted only in</w:t>
      </w:r>
      <w:r w:rsidR="00B74E86" w:rsidRPr="009F56E6">
        <w:rPr>
          <w:noProof/>
        </w:rPr>
        <w:t xml:space="preserve"> </w:t>
      </w:r>
      <w:r w:rsidRPr="009F56E6">
        <w:rPr>
          <w:noProof/>
        </w:rPr>
        <w:t>individual cases and in compliance with the national law</w:t>
      </w:r>
      <w:r w:rsidR="00BD562B" w:rsidRPr="00BD562B">
        <w:rPr>
          <w:noProof/>
        </w:rPr>
        <w:t xml:space="preserve"> </w:t>
      </w:r>
      <w:r w:rsidR="00BD562B">
        <w:rPr>
          <w:noProof/>
        </w:rPr>
        <w:t xml:space="preserve">of the </w:t>
      </w:r>
      <w:r w:rsidRPr="009F56E6">
        <w:rPr>
          <w:noProof/>
        </w:rPr>
        <w:t>requesting Member</w:t>
      </w:r>
      <w:r w:rsidR="00B74E86" w:rsidRPr="009F56E6">
        <w:rPr>
          <w:noProof/>
        </w:rPr>
        <w:t xml:space="preserve"> </w:t>
      </w:r>
      <w:r w:rsidR="00BD562B">
        <w:rPr>
          <w:noProof/>
        </w:rPr>
        <w:t>State</w:t>
      </w:r>
      <w:r w:rsidRPr="009F56E6">
        <w:rPr>
          <w:noProof/>
        </w:rPr>
        <w:t>.</w:t>
      </w:r>
    </w:p>
    <w:p w14:paraId="126901B2" w14:textId="77777777" w:rsidR="008966CA" w:rsidRDefault="009A3A7B" w:rsidP="00454217">
      <w:pPr>
        <w:rPr>
          <w:noProof/>
        </w:rPr>
      </w:pPr>
      <w:r w:rsidRPr="009F56E6">
        <w:rPr>
          <w:noProof/>
        </w:rPr>
        <w:t xml:space="preserve">2. Should an automated search show that a </w:t>
      </w:r>
      <w:r w:rsidR="00BD562B" w:rsidRPr="009F56E6">
        <w:rPr>
          <w:noProof/>
        </w:rPr>
        <w:t xml:space="preserve">supplied </w:t>
      </w:r>
      <w:r w:rsidRPr="009F56E6">
        <w:rPr>
          <w:noProof/>
        </w:rPr>
        <w:t>DNA profile</w:t>
      </w:r>
      <w:r w:rsidR="00424A5C" w:rsidRPr="009F56E6">
        <w:rPr>
          <w:noProof/>
        </w:rPr>
        <w:t xml:space="preserve"> </w:t>
      </w:r>
      <w:r w:rsidRPr="009F56E6">
        <w:rPr>
          <w:noProof/>
        </w:rPr>
        <w:t xml:space="preserve">matches DNA profiles entered in the </w:t>
      </w:r>
      <w:r w:rsidR="00BD562B">
        <w:rPr>
          <w:noProof/>
        </w:rPr>
        <w:t>requested</w:t>
      </w:r>
      <w:r w:rsidRPr="009F56E6">
        <w:rPr>
          <w:noProof/>
        </w:rPr>
        <w:t xml:space="preserve"> Member</w:t>
      </w:r>
      <w:r w:rsidR="00424A5C" w:rsidRPr="009F56E6">
        <w:rPr>
          <w:noProof/>
        </w:rPr>
        <w:t xml:space="preserve"> </w:t>
      </w:r>
      <w:r w:rsidRPr="009F56E6">
        <w:rPr>
          <w:noProof/>
        </w:rPr>
        <w:t xml:space="preserve">State's searched file, the national contact point of the </w:t>
      </w:r>
      <w:r w:rsidR="006A6F5A" w:rsidRPr="009F56E6">
        <w:rPr>
          <w:noProof/>
        </w:rPr>
        <w:t xml:space="preserve">requesting </w:t>
      </w:r>
      <w:r w:rsidRPr="009F56E6">
        <w:rPr>
          <w:noProof/>
        </w:rPr>
        <w:t xml:space="preserve">Member State shall receive in an automated way the </w:t>
      </w:r>
      <w:r w:rsidR="00BD562B">
        <w:rPr>
          <w:noProof/>
        </w:rPr>
        <w:t xml:space="preserve">DNA </w:t>
      </w:r>
      <w:r w:rsidRPr="009F56E6">
        <w:rPr>
          <w:noProof/>
        </w:rPr>
        <w:t>reference</w:t>
      </w:r>
      <w:r w:rsidR="00424A5C" w:rsidRPr="009F56E6">
        <w:rPr>
          <w:noProof/>
        </w:rPr>
        <w:t xml:space="preserve"> </w:t>
      </w:r>
      <w:r w:rsidRPr="009F56E6">
        <w:rPr>
          <w:noProof/>
        </w:rPr>
        <w:t xml:space="preserve">data with which a match has been found. </w:t>
      </w:r>
    </w:p>
    <w:p w14:paraId="7E15C26A" w14:textId="32160921" w:rsidR="00454217" w:rsidRPr="009F56E6" w:rsidRDefault="009A3A7B" w:rsidP="00454217">
      <w:pPr>
        <w:rPr>
          <w:noProof/>
        </w:rPr>
      </w:pPr>
      <w:r w:rsidRPr="009F56E6">
        <w:rPr>
          <w:noProof/>
        </w:rPr>
        <w:t xml:space="preserve">If </w:t>
      </w:r>
      <w:r w:rsidR="00BD562B">
        <w:rPr>
          <w:noProof/>
        </w:rPr>
        <w:t>there is</w:t>
      </w:r>
      <w:r w:rsidRPr="009F56E6">
        <w:rPr>
          <w:noProof/>
        </w:rPr>
        <w:t xml:space="preserve"> no match, </w:t>
      </w:r>
      <w:r w:rsidR="000B34E6" w:rsidRPr="009F56E6">
        <w:rPr>
          <w:noProof/>
        </w:rPr>
        <w:t xml:space="preserve">the </w:t>
      </w:r>
      <w:r w:rsidR="006A6F5A" w:rsidRPr="009F56E6">
        <w:rPr>
          <w:noProof/>
        </w:rPr>
        <w:t xml:space="preserve">requesting </w:t>
      </w:r>
      <w:r w:rsidR="000B34E6" w:rsidRPr="009F56E6">
        <w:rPr>
          <w:noProof/>
        </w:rPr>
        <w:t xml:space="preserve">Member State shall be notified </w:t>
      </w:r>
      <w:r w:rsidR="00BD562B">
        <w:rPr>
          <w:noProof/>
        </w:rPr>
        <w:t xml:space="preserve">about it </w:t>
      </w:r>
      <w:r w:rsidR="000B34E6" w:rsidRPr="009F56E6">
        <w:rPr>
          <w:noProof/>
        </w:rPr>
        <w:t xml:space="preserve">in an </w:t>
      </w:r>
      <w:r w:rsidRPr="009F56E6">
        <w:rPr>
          <w:noProof/>
        </w:rPr>
        <w:t xml:space="preserve">automated </w:t>
      </w:r>
      <w:r w:rsidR="000B34E6" w:rsidRPr="009F56E6">
        <w:rPr>
          <w:noProof/>
        </w:rPr>
        <w:t>manner</w:t>
      </w:r>
      <w:r w:rsidR="00454217" w:rsidRPr="009F56E6">
        <w:rPr>
          <w:noProof/>
        </w:rPr>
        <w:t>.</w:t>
      </w:r>
    </w:p>
    <w:p w14:paraId="77558116" w14:textId="2FB81000" w:rsidR="00454217" w:rsidRPr="009F56E6" w:rsidRDefault="007F60F5" w:rsidP="00454217">
      <w:pPr>
        <w:rPr>
          <w:noProof/>
        </w:rPr>
      </w:pPr>
      <w:r w:rsidRPr="009F56E6">
        <w:rPr>
          <w:noProof/>
        </w:rPr>
        <w:t xml:space="preserve">3. </w:t>
      </w:r>
      <w:r w:rsidR="00321F4C" w:rsidRPr="009F56E6">
        <w:rPr>
          <w:noProof/>
        </w:rPr>
        <w:t xml:space="preserve">The </w:t>
      </w:r>
      <w:r w:rsidR="008966CA" w:rsidRPr="00C606FC">
        <w:rPr>
          <w:noProof/>
        </w:rPr>
        <w:t>national contact point of the requesting Member State</w:t>
      </w:r>
      <w:r w:rsidR="008966CA">
        <w:rPr>
          <w:noProof/>
        </w:rPr>
        <w:t xml:space="preserve"> shall</w:t>
      </w:r>
      <w:r w:rsidR="008966CA" w:rsidRPr="00C606FC">
        <w:rPr>
          <w:noProof/>
        </w:rPr>
        <w:t xml:space="preserve"> </w:t>
      </w:r>
      <w:r w:rsidR="00321F4C" w:rsidRPr="009F56E6">
        <w:rPr>
          <w:noProof/>
        </w:rPr>
        <w:t xml:space="preserve">confirm a match of DNA </w:t>
      </w:r>
      <w:r w:rsidR="00273867">
        <w:rPr>
          <w:noProof/>
        </w:rPr>
        <w:t>profiles</w:t>
      </w:r>
      <w:r w:rsidR="00321F4C" w:rsidRPr="009F56E6">
        <w:rPr>
          <w:noProof/>
        </w:rPr>
        <w:t xml:space="preserve"> data with </w:t>
      </w:r>
      <w:r w:rsidR="00BD562B">
        <w:rPr>
          <w:noProof/>
        </w:rPr>
        <w:t>DNA</w:t>
      </w:r>
      <w:r w:rsidR="00321F4C" w:rsidRPr="009F56E6">
        <w:rPr>
          <w:noProof/>
        </w:rPr>
        <w:t xml:space="preserve"> reference data held by the </w:t>
      </w:r>
      <w:r w:rsidR="00BD562B">
        <w:rPr>
          <w:noProof/>
        </w:rPr>
        <w:t xml:space="preserve">requested </w:t>
      </w:r>
      <w:r w:rsidR="00321F4C" w:rsidRPr="009F56E6">
        <w:rPr>
          <w:noProof/>
        </w:rPr>
        <w:t xml:space="preserve">Member State </w:t>
      </w:r>
      <w:r w:rsidR="00C606FC" w:rsidRPr="0003774E">
        <w:rPr>
          <w:noProof/>
        </w:rPr>
        <w:t>following</w:t>
      </w:r>
      <w:r w:rsidR="00321F4C" w:rsidRPr="0003774E">
        <w:rPr>
          <w:noProof/>
        </w:rPr>
        <w:t xml:space="preserve"> the</w:t>
      </w:r>
      <w:r w:rsidR="00321F4C" w:rsidRPr="00C606FC">
        <w:rPr>
          <w:noProof/>
        </w:rPr>
        <w:t xml:space="preserve"> automa</w:t>
      </w:r>
      <w:r w:rsidR="00321F4C" w:rsidRPr="009F56E6">
        <w:rPr>
          <w:noProof/>
        </w:rPr>
        <w:t xml:space="preserve">ted supply of the </w:t>
      </w:r>
      <w:r w:rsidR="00BD562B">
        <w:rPr>
          <w:noProof/>
        </w:rPr>
        <w:t xml:space="preserve">DNA </w:t>
      </w:r>
      <w:r w:rsidR="00321F4C" w:rsidRPr="009F56E6">
        <w:rPr>
          <w:noProof/>
        </w:rPr>
        <w:t xml:space="preserve">reference data required for </w:t>
      </w:r>
      <w:r w:rsidR="00B85B42" w:rsidRPr="009F56E6">
        <w:rPr>
          <w:noProof/>
        </w:rPr>
        <w:t>confirming a match</w:t>
      </w:r>
      <w:r w:rsidR="00321F4C" w:rsidRPr="009F56E6">
        <w:rPr>
          <w:noProof/>
        </w:rPr>
        <w:t>.</w:t>
      </w:r>
    </w:p>
    <w:p w14:paraId="5A20D7DA" w14:textId="434AAA24" w:rsidR="00205A21" w:rsidRPr="009F56E6" w:rsidRDefault="003A17C8" w:rsidP="00205A21">
      <w:pPr>
        <w:pStyle w:val="Titrearticle"/>
        <w:rPr>
          <w:noProof/>
        </w:rPr>
      </w:pPr>
      <w:r w:rsidRPr="009F56E6">
        <w:rPr>
          <w:noProof/>
        </w:rPr>
        <w:t xml:space="preserve">Article </w:t>
      </w:r>
      <w:r w:rsidR="001F05D4">
        <w:rPr>
          <w:noProof/>
        </w:rPr>
        <w:t>7</w:t>
      </w:r>
    </w:p>
    <w:p w14:paraId="3905B95C" w14:textId="44F7A60B" w:rsidR="00205A21" w:rsidRPr="009F56E6" w:rsidRDefault="00025AA9" w:rsidP="00205A21">
      <w:pPr>
        <w:jc w:val="center"/>
        <w:rPr>
          <w:b/>
          <w:noProof/>
        </w:rPr>
      </w:pPr>
      <w:r w:rsidRPr="009F56E6">
        <w:rPr>
          <w:b/>
          <w:noProof/>
        </w:rPr>
        <w:t xml:space="preserve">Automated comparison of </w:t>
      </w:r>
      <w:r w:rsidR="005A7936" w:rsidRPr="009F56E6">
        <w:rPr>
          <w:b/>
          <w:noProof/>
        </w:rPr>
        <w:t xml:space="preserve">unidentified </w:t>
      </w:r>
      <w:r w:rsidRPr="009F56E6">
        <w:rPr>
          <w:b/>
          <w:noProof/>
        </w:rPr>
        <w:t>DNA profiles</w:t>
      </w:r>
    </w:p>
    <w:p w14:paraId="06AB835D" w14:textId="4D88309E" w:rsidR="009A3A7B" w:rsidRPr="009F56E6" w:rsidRDefault="009A3A7B" w:rsidP="009A3A7B">
      <w:pPr>
        <w:rPr>
          <w:noProof/>
        </w:rPr>
      </w:pPr>
      <w:r w:rsidRPr="009F56E6">
        <w:rPr>
          <w:noProof/>
        </w:rPr>
        <w:t>1.</w:t>
      </w:r>
      <w:r w:rsidR="000A746D" w:rsidRPr="009F56E6">
        <w:rPr>
          <w:noProof/>
        </w:rPr>
        <w:t xml:space="preserve"> </w:t>
      </w:r>
      <w:r w:rsidR="00424A5C" w:rsidRPr="009F56E6">
        <w:rPr>
          <w:noProof/>
        </w:rPr>
        <w:t xml:space="preserve">Member States </w:t>
      </w:r>
      <w:r w:rsidR="00BD562B">
        <w:rPr>
          <w:noProof/>
        </w:rPr>
        <w:t>may</w:t>
      </w:r>
      <w:r w:rsidRPr="009F56E6">
        <w:rPr>
          <w:noProof/>
        </w:rPr>
        <w:t>, via their national contact points,</w:t>
      </w:r>
      <w:r w:rsidR="00424A5C" w:rsidRPr="009F56E6">
        <w:rPr>
          <w:noProof/>
        </w:rPr>
        <w:t xml:space="preserve"> </w:t>
      </w:r>
      <w:r w:rsidRPr="009F56E6">
        <w:rPr>
          <w:noProof/>
        </w:rPr>
        <w:t>compare the DNA profiles of their unidentified DNA profiles</w:t>
      </w:r>
      <w:r w:rsidR="00424A5C" w:rsidRPr="009F56E6">
        <w:rPr>
          <w:noProof/>
        </w:rPr>
        <w:t xml:space="preserve"> </w:t>
      </w:r>
      <w:r w:rsidRPr="009F56E6">
        <w:rPr>
          <w:noProof/>
        </w:rPr>
        <w:t xml:space="preserve">with all DNA profiles from other national DNA analysis </w:t>
      </w:r>
      <w:r w:rsidR="00BD562B">
        <w:rPr>
          <w:noProof/>
        </w:rPr>
        <w:t>files</w:t>
      </w:r>
      <w:r w:rsidR="00ED5650" w:rsidRPr="009F56E6">
        <w:rPr>
          <w:noProof/>
        </w:rPr>
        <w:t xml:space="preserve"> for the investigation of criminal offences</w:t>
      </w:r>
      <w:r w:rsidRPr="009F56E6">
        <w:rPr>
          <w:noProof/>
        </w:rPr>
        <w:t>. Profiles shall be supplied and compared in</w:t>
      </w:r>
      <w:r w:rsidR="00424A5C" w:rsidRPr="009F56E6">
        <w:rPr>
          <w:noProof/>
        </w:rPr>
        <w:t xml:space="preserve"> </w:t>
      </w:r>
      <w:r w:rsidR="00137F0A" w:rsidRPr="009F56E6">
        <w:rPr>
          <w:noProof/>
        </w:rPr>
        <w:t xml:space="preserve">an </w:t>
      </w:r>
      <w:r w:rsidRPr="009F56E6">
        <w:rPr>
          <w:noProof/>
        </w:rPr>
        <w:t xml:space="preserve">automated </w:t>
      </w:r>
      <w:r w:rsidR="00137F0A" w:rsidRPr="009F56E6">
        <w:rPr>
          <w:noProof/>
        </w:rPr>
        <w:t>manner</w:t>
      </w:r>
      <w:r w:rsidRPr="009F56E6">
        <w:rPr>
          <w:noProof/>
        </w:rPr>
        <w:t xml:space="preserve">. </w:t>
      </w:r>
    </w:p>
    <w:p w14:paraId="445948AC" w14:textId="087C46F9" w:rsidR="009A3A7B" w:rsidRPr="009F56E6" w:rsidRDefault="009A3A7B" w:rsidP="009A3A7B">
      <w:pPr>
        <w:rPr>
          <w:noProof/>
        </w:rPr>
      </w:pPr>
      <w:r w:rsidRPr="009F56E6">
        <w:rPr>
          <w:noProof/>
        </w:rPr>
        <w:t xml:space="preserve">2. Should a </w:t>
      </w:r>
      <w:r w:rsidR="00BD562B">
        <w:rPr>
          <w:noProof/>
        </w:rPr>
        <w:t>requested</w:t>
      </w:r>
      <w:r w:rsidRPr="009F56E6">
        <w:rPr>
          <w:noProof/>
        </w:rPr>
        <w:t xml:space="preserve"> Member State, as a result of the comparison</w:t>
      </w:r>
      <w:r w:rsidR="00424A5C" w:rsidRPr="009F56E6">
        <w:rPr>
          <w:noProof/>
        </w:rPr>
        <w:t xml:space="preserve"> </w:t>
      </w:r>
      <w:r w:rsidRPr="009F56E6">
        <w:rPr>
          <w:noProof/>
        </w:rPr>
        <w:t>referred to in paragraph 1, find that any DNA profiles supplied</w:t>
      </w:r>
      <w:r w:rsidR="00424A5C" w:rsidRPr="009F56E6">
        <w:rPr>
          <w:noProof/>
        </w:rPr>
        <w:t xml:space="preserve"> </w:t>
      </w:r>
      <w:r w:rsidRPr="009F56E6">
        <w:rPr>
          <w:noProof/>
        </w:rPr>
        <w:t>match any of those in its DNA analysis files, it shall, without</w:t>
      </w:r>
      <w:r w:rsidR="00424A5C" w:rsidRPr="009F56E6">
        <w:rPr>
          <w:noProof/>
        </w:rPr>
        <w:t xml:space="preserve"> </w:t>
      </w:r>
      <w:r w:rsidRPr="009F56E6">
        <w:rPr>
          <w:noProof/>
        </w:rPr>
        <w:t>delay, supply the national contact point</w:t>
      </w:r>
      <w:r w:rsidR="00424A5C" w:rsidRPr="009F56E6">
        <w:rPr>
          <w:noProof/>
        </w:rPr>
        <w:t xml:space="preserve"> </w:t>
      </w:r>
      <w:r w:rsidR="00BD562B">
        <w:rPr>
          <w:noProof/>
        </w:rPr>
        <w:t xml:space="preserve">of the requesting Member State </w:t>
      </w:r>
      <w:r w:rsidRPr="009F56E6">
        <w:rPr>
          <w:noProof/>
        </w:rPr>
        <w:t xml:space="preserve">with the </w:t>
      </w:r>
      <w:r w:rsidR="00BD562B">
        <w:rPr>
          <w:noProof/>
        </w:rPr>
        <w:t xml:space="preserve">DNA </w:t>
      </w:r>
      <w:r w:rsidRPr="009F56E6">
        <w:rPr>
          <w:noProof/>
        </w:rPr>
        <w:t>reference data with which a match has been found.</w:t>
      </w:r>
    </w:p>
    <w:p w14:paraId="352C03E8" w14:textId="7CBDFCA1" w:rsidR="009A3A7B" w:rsidRDefault="007F60F5" w:rsidP="00D104F7">
      <w:pPr>
        <w:rPr>
          <w:noProof/>
        </w:rPr>
      </w:pPr>
      <w:r w:rsidRPr="009F56E6">
        <w:rPr>
          <w:noProof/>
        </w:rPr>
        <w:t xml:space="preserve">3. </w:t>
      </w:r>
      <w:r w:rsidR="00321F4C" w:rsidRPr="009F56E6">
        <w:rPr>
          <w:noProof/>
        </w:rPr>
        <w:t xml:space="preserve">The confirmation of a match of DNA </w:t>
      </w:r>
      <w:r w:rsidR="00273867">
        <w:rPr>
          <w:noProof/>
        </w:rPr>
        <w:t>profiles</w:t>
      </w:r>
      <w:r w:rsidR="00321F4C" w:rsidRPr="009F56E6">
        <w:rPr>
          <w:noProof/>
        </w:rPr>
        <w:t xml:space="preserve"> with </w:t>
      </w:r>
      <w:r w:rsidR="00BD562B">
        <w:rPr>
          <w:noProof/>
        </w:rPr>
        <w:t xml:space="preserve">DNA </w:t>
      </w:r>
      <w:r w:rsidR="00321F4C" w:rsidRPr="009F56E6">
        <w:rPr>
          <w:noProof/>
        </w:rPr>
        <w:t xml:space="preserve">reference data held by the </w:t>
      </w:r>
      <w:r w:rsidR="00BD562B">
        <w:rPr>
          <w:noProof/>
        </w:rPr>
        <w:t xml:space="preserve">requested </w:t>
      </w:r>
      <w:r w:rsidR="00321F4C" w:rsidRPr="009F56E6">
        <w:rPr>
          <w:noProof/>
        </w:rPr>
        <w:t>Member State shall be carri</w:t>
      </w:r>
      <w:r w:rsidR="00321F4C" w:rsidRPr="00C606FC">
        <w:rPr>
          <w:noProof/>
        </w:rPr>
        <w:t xml:space="preserve">ed out by the national contact point of </w:t>
      </w:r>
      <w:r w:rsidR="002C146E" w:rsidRPr="00C606FC">
        <w:rPr>
          <w:noProof/>
        </w:rPr>
        <w:t>the requesting Member State</w:t>
      </w:r>
      <w:r w:rsidR="00321F4C" w:rsidRPr="00C606FC">
        <w:rPr>
          <w:noProof/>
        </w:rPr>
        <w:t xml:space="preserve"> </w:t>
      </w:r>
      <w:r w:rsidR="00C606FC" w:rsidRPr="00C606FC">
        <w:rPr>
          <w:noProof/>
        </w:rPr>
        <w:t>follo</w:t>
      </w:r>
      <w:r w:rsidR="00C606FC" w:rsidRPr="001C624B">
        <w:rPr>
          <w:noProof/>
        </w:rPr>
        <w:t xml:space="preserve">wing </w:t>
      </w:r>
      <w:r w:rsidR="00321F4C" w:rsidRPr="0003774E">
        <w:rPr>
          <w:noProof/>
        </w:rPr>
        <w:t>the</w:t>
      </w:r>
      <w:r w:rsidR="00321F4C" w:rsidRPr="00C606FC">
        <w:rPr>
          <w:noProof/>
        </w:rPr>
        <w:t xml:space="preserve"> automated</w:t>
      </w:r>
      <w:r w:rsidR="00321F4C" w:rsidRPr="009F56E6">
        <w:rPr>
          <w:noProof/>
        </w:rPr>
        <w:t xml:space="preserve"> supply of the </w:t>
      </w:r>
      <w:r w:rsidR="00BD562B">
        <w:rPr>
          <w:noProof/>
        </w:rPr>
        <w:t xml:space="preserve">DNA </w:t>
      </w:r>
      <w:r w:rsidR="00321F4C" w:rsidRPr="009F56E6">
        <w:rPr>
          <w:noProof/>
        </w:rPr>
        <w:t xml:space="preserve">reference data required for </w:t>
      </w:r>
      <w:r w:rsidR="00870889" w:rsidRPr="009F56E6">
        <w:rPr>
          <w:noProof/>
        </w:rPr>
        <w:t>confirming a match</w:t>
      </w:r>
      <w:r w:rsidR="00321F4C" w:rsidRPr="009F56E6">
        <w:rPr>
          <w:noProof/>
        </w:rPr>
        <w:t>.</w:t>
      </w:r>
    </w:p>
    <w:p w14:paraId="657469DD" w14:textId="1B008F90" w:rsidR="000763B1" w:rsidRPr="009F56E6" w:rsidRDefault="000763B1" w:rsidP="000763B1">
      <w:pPr>
        <w:pStyle w:val="Titrearticle"/>
        <w:rPr>
          <w:noProof/>
        </w:rPr>
      </w:pPr>
      <w:r w:rsidRPr="009F56E6">
        <w:rPr>
          <w:noProof/>
        </w:rPr>
        <w:t>Article 8</w:t>
      </w:r>
    </w:p>
    <w:p w14:paraId="3E0E357A" w14:textId="77777777" w:rsidR="000763B1" w:rsidRPr="009F56E6" w:rsidRDefault="000763B1" w:rsidP="000763B1">
      <w:pPr>
        <w:jc w:val="center"/>
        <w:rPr>
          <w:b/>
          <w:noProof/>
        </w:rPr>
      </w:pPr>
      <w:r>
        <w:rPr>
          <w:b/>
          <w:noProof/>
        </w:rPr>
        <w:t>Reporting about</w:t>
      </w:r>
      <w:r w:rsidRPr="009F56E6">
        <w:rPr>
          <w:b/>
          <w:noProof/>
        </w:rPr>
        <w:t xml:space="preserve"> DNA </w:t>
      </w:r>
      <w:r w:rsidRPr="009E4065">
        <w:rPr>
          <w:b/>
          <w:noProof/>
        </w:rPr>
        <w:t xml:space="preserve">analysis files </w:t>
      </w:r>
    </w:p>
    <w:p w14:paraId="45FBBFFD" w14:textId="34A27A5A" w:rsidR="000763B1" w:rsidRPr="009F56E6" w:rsidRDefault="000763B1" w:rsidP="000763B1">
      <w:pPr>
        <w:rPr>
          <w:noProof/>
        </w:rPr>
      </w:pPr>
      <w:r w:rsidRPr="009F56E6">
        <w:rPr>
          <w:noProof/>
        </w:rPr>
        <w:t>Each Member State shall inform the Commission and eu-LISA of the national DNA analysis files</w:t>
      </w:r>
      <w:r>
        <w:rPr>
          <w:noProof/>
        </w:rPr>
        <w:t>,</w:t>
      </w:r>
      <w:r w:rsidRPr="009F56E6">
        <w:rPr>
          <w:noProof/>
        </w:rPr>
        <w:t xml:space="preserve"> to which Articles </w:t>
      </w:r>
      <w:r>
        <w:rPr>
          <w:noProof/>
        </w:rPr>
        <w:t>5 to 7</w:t>
      </w:r>
      <w:r w:rsidRPr="009F56E6">
        <w:rPr>
          <w:noProof/>
        </w:rPr>
        <w:t xml:space="preserve"> apply</w:t>
      </w:r>
      <w:r>
        <w:rPr>
          <w:noProof/>
        </w:rPr>
        <w:t>,</w:t>
      </w:r>
      <w:r w:rsidRPr="009F56E6">
        <w:rPr>
          <w:noProof/>
        </w:rPr>
        <w:t xml:space="preserve"> in </w:t>
      </w:r>
      <w:r w:rsidRPr="001333AD">
        <w:rPr>
          <w:noProof/>
        </w:rPr>
        <w:t>accordance with Article 73.</w:t>
      </w:r>
    </w:p>
    <w:p w14:paraId="793F7DE0" w14:textId="49C97A42" w:rsidR="0028579C" w:rsidRPr="009F56E6" w:rsidRDefault="0028579C" w:rsidP="0028579C">
      <w:pPr>
        <w:pStyle w:val="Titrearticle"/>
        <w:rPr>
          <w:noProof/>
        </w:rPr>
      </w:pPr>
      <w:r w:rsidRPr="009F56E6">
        <w:rPr>
          <w:noProof/>
        </w:rPr>
        <w:t xml:space="preserve">Article </w:t>
      </w:r>
      <w:r w:rsidR="00D4487E" w:rsidRPr="009F56E6">
        <w:rPr>
          <w:noProof/>
        </w:rPr>
        <w:t>9</w:t>
      </w:r>
    </w:p>
    <w:p w14:paraId="13CCED2B" w14:textId="37D22128" w:rsidR="0028579C" w:rsidRPr="009F56E6" w:rsidRDefault="0028579C" w:rsidP="0028579C">
      <w:pPr>
        <w:jc w:val="center"/>
        <w:rPr>
          <w:b/>
          <w:noProof/>
        </w:rPr>
      </w:pPr>
      <w:r w:rsidRPr="009F56E6">
        <w:rPr>
          <w:b/>
          <w:noProof/>
        </w:rPr>
        <w:t xml:space="preserve">Reference numbers for DNA </w:t>
      </w:r>
      <w:r w:rsidR="00BD562B">
        <w:rPr>
          <w:b/>
          <w:noProof/>
        </w:rPr>
        <w:t>profiles</w:t>
      </w:r>
    </w:p>
    <w:p w14:paraId="0B9766E2" w14:textId="4134A2FE" w:rsidR="00F11F85" w:rsidRPr="009F56E6" w:rsidRDefault="00F11F85" w:rsidP="00F11F85">
      <w:pPr>
        <w:rPr>
          <w:noProof/>
        </w:rPr>
      </w:pPr>
      <w:r w:rsidRPr="009F56E6">
        <w:rPr>
          <w:noProof/>
        </w:rPr>
        <w:t xml:space="preserve">The reference numbers </w:t>
      </w:r>
      <w:r w:rsidR="0087506E" w:rsidRPr="009F56E6">
        <w:rPr>
          <w:noProof/>
        </w:rPr>
        <w:t xml:space="preserve">for DNA </w:t>
      </w:r>
      <w:r w:rsidR="00BD562B">
        <w:rPr>
          <w:noProof/>
        </w:rPr>
        <w:t>profiles</w:t>
      </w:r>
      <w:r w:rsidRPr="009F56E6">
        <w:rPr>
          <w:noProof/>
        </w:rPr>
        <w:t xml:space="preserve"> shall </w:t>
      </w:r>
      <w:r w:rsidR="00BD562B">
        <w:rPr>
          <w:noProof/>
        </w:rPr>
        <w:t>be the</w:t>
      </w:r>
      <w:r w:rsidRPr="009F56E6">
        <w:rPr>
          <w:noProof/>
        </w:rPr>
        <w:t xml:space="preserve"> combination of the</w:t>
      </w:r>
      <w:r w:rsidR="00F60B6A" w:rsidRPr="009F56E6">
        <w:rPr>
          <w:noProof/>
        </w:rPr>
        <w:t xml:space="preserve"> </w:t>
      </w:r>
      <w:r w:rsidRPr="009F56E6">
        <w:rPr>
          <w:noProof/>
        </w:rPr>
        <w:t>following:</w:t>
      </w:r>
    </w:p>
    <w:p w14:paraId="42238A81" w14:textId="41D82130" w:rsidR="00F60B6A" w:rsidRPr="009F56E6" w:rsidRDefault="00C304BF" w:rsidP="00C304BF">
      <w:pPr>
        <w:pStyle w:val="Point0"/>
        <w:rPr>
          <w:noProof/>
        </w:rPr>
      </w:pPr>
      <w:r w:rsidRPr="00C304BF">
        <w:t>(a)</w:t>
      </w:r>
      <w:r w:rsidRPr="00C304BF">
        <w:tab/>
      </w:r>
      <w:r w:rsidR="00F11F85" w:rsidRPr="009F56E6">
        <w:rPr>
          <w:noProof/>
        </w:rPr>
        <w:t xml:space="preserve">a </w:t>
      </w:r>
      <w:r w:rsidR="0087506E" w:rsidRPr="009F56E6">
        <w:rPr>
          <w:noProof/>
        </w:rPr>
        <w:t xml:space="preserve">reference number </w:t>
      </w:r>
      <w:r w:rsidR="00F11F85" w:rsidRPr="009F56E6">
        <w:rPr>
          <w:noProof/>
        </w:rPr>
        <w:t xml:space="preserve">allowing Member </w:t>
      </w:r>
      <w:r w:rsidR="00F60B6A" w:rsidRPr="009F56E6">
        <w:rPr>
          <w:noProof/>
        </w:rPr>
        <w:t xml:space="preserve">States, in case of a match, </w:t>
      </w:r>
      <w:r w:rsidR="00F11F85" w:rsidRPr="009F56E6">
        <w:rPr>
          <w:noProof/>
        </w:rPr>
        <w:t xml:space="preserve">to retrieve </w:t>
      </w:r>
      <w:r w:rsidR="00B47DCD" w:rsidRPr="009F56E6">
        <w:rPr>
          <w:noProof/>
        </w:rPr>
        <w:t xml:space="preserve">further </w:t>
      </w:r>
      <w:r w:rsidR="00F11F85" w:rsidRPr="009F56E6">
        <w:rPr>
          <w:noProof/>
        </w:rPr>
        <w:t>data and other information in their</w:t>
      </w:r>
      <w:r w:rsidR="00F60B6A" w:rsidRPr="009F56E6">
        <w:rPr>
          <w:noProof/>
        </w:rPr>
        <w:t xml:space="preserve"> </w:t>
      </w:r>
      <w:r w:rsidR="00F11F85" w:rsidRPr="009F56E6">
        <w:rPr>
          <w:noProof/>
        </w:rPr>
        <w:t xml:space="preserve">databases </w:t>
      </w:r>
      <w:r w:rsidR="00273867">
        <w:rPr>
          <w:noProof/>
        </w:rPr>
        <w:t xml:space="preserve">referred to in Article </w:t>
      </w:r>
      <w:r w:rsidR="000763B1">
        <w:rPr>
          <w:noProof/>
        </w:rPr>
        <w:t>5</w:t>
      </w:r>
      <w:r w:rsidR="00273867">
        <w:rPr>
          <w:noProof/>
        </w:rPr>
        <w:t xml:space="preserve"> </w:t>
      </w:r>
      <w:r w:rsidR="00F11F85" w:rsidRPr="009F56E6">
        <w:rPr>
          <w:noProof/>
        </w:rPr>
        <w:t>in order to supply it to one, several or all of the</w:t>
      </w:r>
      <w:r w:rsidR="00F60B6A" w:rsidRPr="009F56E6">
        <w:rPr>
          <w:noProof/>
        </w:rPr>
        <w:t xml:space="preserve"> </w:t>
      </w:r>
      <w:r w:rsidR="00BD562B">
        <w:rPr>
          <w:noProof/>
        </w:rPr>
        <w:t xml:space="preserve">other </w:t>
      </w:r>
      <w:r w:rsidR="00F11F85" w:rsidRPr="009F56E6">
        <w:rPr>
          <w:noProof/>
        </w:rPr>
        <w:t>Member States in accordance with Article</w:t>
      </w:r>
      <w:r w:rsidR="00DD2724" w:rsidRPr="009F56E6">
        <w:rPr>
          <w:noProof/>
        </w:rPr>
        <w:t xml:space="preserve">s </w:t>
      </w:r>
      <w:r w:rsidR="00E576DB" w:rsidRPr="009F56E6">
        <w:rPr>
          <w:noProof/>
        </w:rPr>
        <w:t>4</w:t>
      </w:r>
      <w:r w:rsidR="00920A11">
        <w:rPr>
          <w:noProof/>
        </w:rPr>
        <w:t>7</w:t>
      </w:r>
      <w:r w:rsidR="00E576DB" w:rsidRPr="00E951DA">
        <w:rPr>
          <w:noProof/>
        </w:rPr>
        <w:t xml:space="preserve"> and </w:t>
      </w:r>
      <w:r w:rsidR="00E576DB" w:rsidRPr="009F56E6">
        <w:rPr>
          <w:noProof/>
        </w:rPr>
        <w:t>4</w:t>
      </w:r>
      <w:r w:rsidR="00920A11">
        <w:rPr>
          <w:noProof/>
        </w:rPr>
        <w:t>8</w:t>
      </w:r>
      <w:r w:rsidR="00F11F85" w:rsidRPr="009F56E6">
        <w:rPr>
          <w:noProof/>
        </w:rPr>
        <w:t>;</w:t>
      </w:r>
    </w:p>
    <w:p w14:paraId="69DAF320" w14:textId="423D399D" w:rsidR="00F60B6A" w:rsidRPr="001C624B" w:rsidRDefault="00C304BF" w:rsidP="00C304BF">
      <w:pPr>
        <w:pStyle w:val="Point0"/>
        <w:rPr>
          <w:noProof/>
        </w:rPr>
      </w:pPr>
      <w:r w:rsidRPr="00C304BF">
        <w:t>(b)</w:t>
      </w:r>
      <w:r w:rsidRPr="00C304BF">
        <w:tab/>
      </w:r>
      <w:r w:rsidR="00F11F85" w:rsidRPr="009F56E6">
        <w:rPr>
          <w:noProof/>
        </w:rPr>
        <w:t xml:space="preserve">a code to indicate </w:t>
      </w:r>
      <w:r w:rsidR="00F11F85" w:rsidRPr="001C624B">
        <w:rPr>
          <w:noProof/>
        </w:rPr>
        <w:t xml:space="preserve">the </w:t>
      </w:r>
      <w:r w:rsidR="0087506E" w:rsidRPr="00FC3487">
        <w:rPr>
          <w:noProof/>
        </w:rPr>
        <w:t xml:space="preserve">Member State </w:t>
      </w:r>
      <w:r w:rsidR="001C624B" w:rsidRPr="001C624B">
        <w:rPr>
          <w:noProof/>
        </w:rPr>
        <w:t>which holds</w:t>
      </w:r>
      <w:r w:rsidR="00F60B6A" w:rsidRPr="001C624B">
        <w:rPr>
          <w:noProof/>
        </w:rPr>
        <w:t xml:space="preserve"> the DNA profile</w:t>
      </w:r>
      <w:r w:rsidR="00F11F85" w:rsidRPr="001C624B">
        <w:rPr>
          <w:noProof/>
        </w:rPr>
        <w:t>;</w:t>
      </w:r>
    </w:p>
    <w:p w14:paraId="7CC88CC0" w14:textId="59984934" w:rsidR="00F11F85" w:rsidRPr="009F56E6" w:rsidRDefault="00C304BF" w:rsidP="00C304BF">
      <w:pPr>
        <w:pStyle w:val="Point0"/>
        <w:rPr>
          <w:noProof/>
        </w:rPr>
      </w:pPr>
      <w:r w:rsidRPr="00C304BF">
        <w:t>(c)</w:t>
      </w:r>
      <w:r w:rsidRPr="00C304BF">
        <w:tab/>
      </w:r>
      <w:r w:rsidR="00F60B6A" w:rsidRPr="00FA3A6D">
        <w:rPr>
          <w:noProof/>
        </w:rPr>
        <w:t>a code to indicate th</w:t>
      </w:r>
      <w:r w:rsidR="00F60B6A" w:rsidRPr="009F56E6">
        <w:rPr>
          <w:noProof/>
        </w:rPr>
        <w:t xml:space="preserve">e type of </w:t>
      </w:r>
      <w:r w:rsidR="00F11F85" w:rsidRPr="009F56E6">
        <w:rPr>
          <w:noProof/>
        </w:rPr>
        <w:t>DNA profile</w:t>
      </w:r>
      <w:r w:rsidR="00BD562B">
        <w:rPr>
          <w:noProof/>
        </w:rPr>
        <w:t xml:space="preserve"> (reference DNA profiles or unidentified DNA profiles)</w:t>
      </w:r>
      <w:r w:rsidR="00F11F85" w:rsidRPr="009F56E6">
        <w:rPr>
          <w:noProof/>
        </w:rPr>
        <w:t>.</w:t>
      </w:r>
    </w:p>
    <w:p w14:paraId="124DBAB0" w14:textId="18B3C2A9" w:rsidR="0028579C" w:rsidRPr="009F56E6" w:rsidRDefault="0028579C" w:rsidP="0028579C">
      <w:pPr>
        <w:pStyle w:val="Titrearticle"/>
        <w:rPr>
          <w:noProof/>
        </w:rPr>
      </w:pPr>
      <w:r w:rsidRPr="009F56E6">
        <w:rPr>
          <w:noProof/>
        </w:rPr>
        <w:t xml:space="preserve">Article </w:t>
      </w:r>
      <w:r w:rsidR="00D4487E" w:rsidRPr="009F56E6">
        <w:rPr>
          <w:noProof/>
        </w:rPr>
        <w:t>10</w:t>
      </w:r>
    </w:p>
    <w:p w14:paraId="4AFFAF4E" w14:textId="53ED9C78" w:rsidR="0028579C" w:rsidRPr="009F56E6" w:rsidRDefault="0028579C" w:rsidP="0028579C">
      <w:pPr>
        <w:jc w:val="center"/>
        <w:rPr>
          <w:b/>
          <w:noProof/>
        </w:rPr>
      </w:pPr>
      <w:r w:rsidRPr="009F56E6">
        <w:rPr>
          <w:b/>
          <w:noProof/>
        </w:rPr>
        <w:t xml:space="preserve">Principles of DNA </w:t>
      </w:r>
      <w:r w:rsidR="00BD562B">
        <w:rPr>
          <w:b/>
          <w:noProof/>
        </w:rPr>
        <w:t xml:space="preserve">reference </w:t>
      </w:r>
      <w:r w:rsidRPr="009F56E6">
        <w:rPr>
          <w:b/>
          <w:noProof/>
        </w:rPr>
        <w:t>data exchange</w:t>
      </w:r>
    </w:p>
    <w:p w14:paraId="2470AEC5" w14:textId="7706B5B4" w:rsidR="00743C4D" w:rsidRPr="009F56E6" w:rsidRDefault="000E1EC3" w:rsidP="00743C4D">
      <w:pPr>
        <w:rPr>
          <w:noProof/>
        </w:rPr>
      </w:pPr>
      <w:r w:rsidRPr="009F56E6">
        <w:rPr>
          <w:noProof/>
        </w:rPr>
        <w:t>1</w:t>
      </w:r>
      <w:r w:rsidR="00743C4D" w:rsidRPr="009F56E6">
        <w:rPr>
          <w:noProof/>
        </w:rPr>
        <w:t xml:space="preserve">. Appropriate measures shall be </w:t>
      </w:r>
      <w:r w:rsidR="00F60B6A" w:rsidRPr="009F56E6">
        <w:rPr>
          <w:noProof/>
        </w:rPr>
        <w:t xml:space="preserve">taken to ensure confidentiality </w:t>
      </w:r>
      <w:r w:rsidR="00743C4D" w:rsidRPr="009F56E6">
        <w:rPr>
          <w:noProof/>
        </w:rPr>
        <w:t xml:space="preserve">and </w:t>
      </w:r>
      <w:r w:rsidR="00743C4D" w:rsidRPr="001C624B">
        <w:rPr>
          <w:noProof/>
        </w:rPr>
        <w:t xml:space="preserve">integrity for </w:t>
      </w:r>
      <w:r w:rsidR="00777764" w:rsidRPr="00FC3487">
        <w:rPr>
          <w:noProof/>
        </w:rPr>
        <w:t xml:space="preserve">DNA reference </w:t>
      </w:r>
      <w:r w:rsidR="00743C4D" w:rsidRPr="00FC3487">
        <w:rPr>
          <w:noProof/>
        </w:rPr>
        <w:t>data</w:t>
      </w:r>
      <w:r w:rsidR="00743C4D" w:rsidRPr="001C624B">
        <w:rPr>
          <w:noProof/>
        </w:rPr>
        <w:t xml:space="preserve"> being sent to other Member States,</w:t>
      </w:r>
      <w:r w:rsidR="00F60B6A" w:rsidRPr="001C624B">
        <w:rPr>
          <w:noProof/>
        </w:rPr>
        <w:t xml:space="preserve"> </w:t>
      </w:r>
      <w:r w:rsidR="00743C4D" w:rsidRPr="001C624B">
        <w:rPr>
          <w:noProof/>
        </w:rPr>
        <w:t>including their encryption.</w:t>
      </w:r>
    </w:p>
    <w:p w14:paraId="6ED15FAE" w14:textId="52110245" w:rsidR="00743C4D" w:rsidRPr="009F56E6" w:rsidRDefault="000E1EC3" w:rsidP="00743C4D">
      <w:pPr>
        <w:rPr>
          <w:noProof/>
        </w:rPr>
      </w:pPr>
      <w:r w:rsidRPr="009F56E6">
        <w:rPr>
          <w:noProof/>
        </w:rPr>
        <w:t>2</w:t>
      </w:r>
      <w:r w:rsidR="00743C4D" w:rsidRPr="009F56E6">
        <w:rPr>
          <w:noProof/>
        </w:rPr>
        <w:t>. Member States shall</w:t>
      </w:r>
      <w:r w:rsidR="00F60B6A" w:rsidRPr="009F56E6">
        <w:rPr>
          <w:noProof/>
        </w:rPr>
        <w:t xml:space="preserve"> take the necessary measures to </w:t>
      </w:r>
      <w:r w:rsidR="00743C4D" w:rsidRPr="009F56E6">
        <w:rPr>
          <w:noProof/>
        </w:rPr>
        <w:t>guarantee the integrity of the DNA profiles made available or</w:t>
      </w:r>
      <w:r w:rsidR="00F60B6A" w:rsidRPr="009F56E6">
        <w:rPr>
          <w:noProof/>
        </w:rPr>
        <w:t xml:space="preserve"> </w:t>
      </w:r>
      <w:r w:rsidR="00743C4D" w:rsidRPr="009F56E6">
        <w:rPr>
          <w:noProof/>
        </w:rPr>
        <w:t>sent for comparison to the other Member States and to ensure</w:t>
      </w:r>
      <w:r w:rsidR="00F60B6A" w:rsidRPr="009F56E6">
        <w:rPr>
          <w:noProof/>
        </w:rPr>
        <w:t xml:space="preserve"> </w:t>
      </w:r>
      <w:r w:rsidR="00743C4D" w:rsidRPr="009F56E6">
        <w:rPr>
          <w:noProof/>
        </w:rPr>
        <w:t xml:space="preserve">that </w:t>
      </w:r>
      <w:r w:rsidR="00777764">
        <w:rPr>
          <w:noProof/>
        </w:rPr>
        <w:t>tho</w:t>
      </w:r>
      <w:r w:rsidR="00743C4D" w:rsidRPr="009F56E6">
        <w:rPr>
          <w:noProof/>
        </w:rPr>
        <w:t xml:space="preserve">se measures comply with </w:t>
      </w:r>
      <w:r w:rsidR="0031715A" w:rsidRPr="009F56E6">
        <w:rPr>
          <w:noProof/>
        </w:rPr>
        <w:t xml:space="preserve">the </w:t>
      </w:r>
      <w:r w:rsidR="00FF19D5" w:rsidRPr="009F56E6">
        <w:rPr>
          <w:noProof/>
        </w:rPr>
        <w:t>relevant international standards</w:t>
      </w:r>
      <w:r w:rsidR="0067337C" w:rsidRPr="009F56E6">
        <w:rPr>
          <w:noProof/>
        </w:rPr>
        <w:t xml:space="preserve"> for DNA data exchange</w:t>
      </w:r>
      <w:r w:rsidR="002F50B4" w:rsidRPr="009F56E6">
        <w:rPr>
          <w:noProof/>
        </w:rPr>
        <w:t>.</w:t>
      </w:r>
    </w:p>
    <w:p w14:paraId="39B2DE6A" w14:textId="458670B0" w:rsidR="00743C4D" w:rsidRPr="009F56E6" w:rsidRDefault="000E1EC3" w:rsidP="00743C4D">
      <w:pPr>
        <w:rPr>
          <w:noProof/>
        </w:rPr>
      </w:pPr>
      <w:r w:rsidRPr="009F56E6">
        <w:rPr>
          <w:noProof/>
        </w:rPr>
        <w:t>3</w:t>
      </w:r>
      <w:r w:rsidR="00743C4D" w:rsidRPr="009F56E6">
        <w:rPr>
          <w:noProof/>
        </w:rPr>
        <w:t xml:space="preserve">. </w:t>
      </w:r>
      <w:r w:rsidR="0031715A" w:rsidRPr="009F56E6">
        <w:rPr>
          <w:noProof/>
        </w:rPr>
        <w:t xml:space="preserve">The Commission shall adopt implementing acts to specify the </w:t>
      </w:r>
      <w:r w:rsidR="00FF19D5" w:rsidRPr="009F56E6">
        <w:rPr>
          <w:noProof/>
        </w:rPr>
        <w:t>relevant</w:t>
      </w:r>
      <w:r w:rsidR="00EF4C55" w:rsidRPr="009F56E6">
        <w:rPr>
          <w:noProof/>
        </w:rPr>
        <w:t xml:space="preserve"> international</w:t>
      </w:r>
      <w:r w:rsidR="00FF19D5" w:rsidRPr="009F56E6">
        <w:rPr>
          <w:noProof/>
        </w:rPr>
        <w:t xml:space="preserve"> standards </w:t>
      </w:r>
      <w:r w:rsidR="0031715A" w:rsidRPr="009F56E6">
        <w:rPr>
          <w:noProof/>
        </w:rPr>
        <w:t xml:space="preserve">that </w:t>
      </w:r>
      <w:r w:rsidR="00777764">
        <w:rPr>
          <w:noProof/>
        </w:rPr>
        <w:t>are to</w:t>
      </w:r>
      <w:r w:rsidR="0031715A" w:rsidRPr="009F56E6">
        <w:rPr>
          <w:noProof/>
        </w:rPr>
        <w:t xml:space="preserve"> be used by Member States for DNA </w:t>
      </w:r>
      <w:r w:rsidR="00777764">
        <w:rPr>
          <w:noProof/>
        </w:rPr>
        <w:t xml:space="preserve">reference </w:t>
      </w:r>
      <w:r w:rsidR="0031715A" w:rsidRPr="009F56E6">
        <w:rPr>
          <w:noProof/>
        </w:rPr>
        <w:t xml:space="preserve">data exchange. Those implementing acts shall be adopted in accordance with the procedure referred to in Article </w:t>
      </w:r>
      <w:r w:rsidR="00E576DB" w:rsidRPr="009F56E6">
        <w:rPr>
          <w:noProof/>
        </w:rPr>
        <w:t>7</w:t>
      </w:r>
      <w:r w:rsidR="00920A11">
        <w:rPr>
          <w:noProof/>
        </w:rPr>
        <w:t>6</w:t>
      </w:r>
      <w:r w:rsidR="00EF268D" w:rsidRPr="00E951DA">
        <w:rPr>
          <w:noProof/>
        </w:rPr>
        <w:t>(2)</w:t>
      </w:r>
      <w:r w:rsidR="0031715A" w:rsidRPr="009F56E6">
        <w:rPr>
          <w:noProof/>
        </w:rPr>
        <w:t>.</w:t>
      </w:r>
      <w:r w:rsidR="00743C4D" w:rsidRPr="009F56E6">
        <w:rPr>
          <w:noProof/>
        </w:rPr>
        <w:t xml:space="preserve"> </w:t>
      </w:r>
    </w:p>
    <w:p w14:paraId="00041909" w14:textId="78EF199C" w:rsidR="0028579C" w:rsidRPr="009F56E6" w:rsidRDefault="0028579C" w:rsidP="0028579C">
      <w:pPr>
        <w:pStyle w:val="Titrearticle"/>
        <w:rPr>
          <w:noProof/>
        </w:rPr>
      </w:pPr>
      <w:r w:rsidRPr="009F56E6">
        <w:rPr>
          <w:noProof/>
        </w:rPr>
        <w:t xml:space="preserve">Article </w:t>
      </w:r>
      <w:r w:rsidR="00745866" w:rsidRPr="009F56E6">
        <w:rPr>
          <w:noProof/>
        </w:rPr>
        <w:t>11</w:t>
      </w:r>
    </w:p>
    <w:p w14:paraId="38412B56" w14:textId="65D4560D" w:rsidR="0028579C" w:rsidRPr="009F56E6" w:rsidRDefault="0028579C" w:rsidP="0028579C">
      <w:pPr>
        <w:jc w:val="center"/>
        <w:rPr>
          <w:b/>
          <w:noProof/>
        </w:rPr>
      </w:pPr>
      <w:r w:rsidRPr="009F56E6">
        <w:rPr>
          <w:b/>
          <w:noProof/>
        </w:rPr>
        <w:t xml:space="preserve">Rules for requests and answers </w:t>
      </w:r>
      <w:r w:rsidR="00DC6263" w:rsidRPr="009F56E6">
        <w:rPr>
          <w:b/>
          <w:noProof/>
        </w:rPr>
        <w:t>regarding</w:t>
      </w:r>
      <w:r w:rsidRPr="009F56E6">
        <w:rPr>
          <w:b/>
          <w:noProof/>
        </w:rPr>
        <w:t xml:space="preserve"> DNA </w:t>
      </w:r>
      <w:r w:rsidR="00777764">
        <w:rPr>
          <w:b/>
          <w:noProof/>
        </w:rPr>
        <w:t>profiles</w:t>
      </w:r>
    </w:p>
    <w:p w14:paraId="4B213955" w14:textId="13280EB2" w:rsidR="00743C4D" w:rsidRPr="009F56E6" w:rsidRDefault="00743C4D" w:rsidP="00743C4D">
      <w:pPr>
        <w:rPr>
          <w:noProof/>
        </w:rPr>
      </w:pPr>
      <w:r w:rsidRPr="009F56E6">
        <w:rPr>
          <w:noProof/>
        </w:rPr>
        <w:t>1. A request for an autom</w:t>
      </w:r>
      <w:r w:rsidR="00F60B6A" w:rsidRPr="009F56E6">
        <w:rPr>
          <w:noProof/>
        </w:rPr>
        <w:t>ated search or comparison</w:t>
      </w:r>
      <w:r w:rsidRPr="009F56E6">
        <w:rPr>
          <w:noProof/>
        </w:rPr>
        <w:t xml:space="preserve"> shall</w:t>
      </w:r>
      <w:r w:rsidR="00F60B6A" w:rsidRPr="009F56E6">
        <w:rPr>
          <w:noProof/>
        </w:rPr>
        <w:t xml:space="preserve"> </w:t>
      </w:r>
      <w:r w:rsidRPr="009F56E6">
        <w:rPr>
          <w:noProof/>
        </w:rPr>
        <w:t>include only the following information:</w:t>
      </w:r>
    </w:p>
    <w:p w14:paraId="1607A4FD" w14:textId="59E8F8A9" w:rsidR="00F60B6A" w:rsidRPr="009F56E6" w:rsidRDefault="00C304BF" w:rsidP="00C304BF">
      <w:pPr>
        <w:pStyle w:val="Point0"/>
        <w:rPr>
          <w:noProof/>
        </w:rPr>
      </w:pPr>
      <w:r w:rsidRPr="00C304BF">
        <w:t>(a)</w:t>
      </w:r>
      <w:r w:rsidRPr="00C304BF">
        <w:tab/>
      </w:r>
      <w:r w:rsidR="00743C4D" w:rsidRPr="009F56E6">
        <w:rPr>
          <w:noProof/>
        </w:rPr>
        <w:t>the code of the requesting Member State;</w:t>
      </w:r>
    </w:p>
    <w:p w14:paraId="7BB8914D" w14:textId="1C614035" w:rsidR="00F60B6A" w:rsidRPr="009F56E6" w:rsidRDefault="00C304BF" w:rsidP="00C304BF">
      <w:pPr>
        <w:pStyle w:val="Point0"/>
        <w:rPr>
          <w:noProof/>
        </w:rPr>
      </w:pPr>
      <w:r w:rsidRPr="00C304BF">
        <w:t>(b)</w:t>
      </w:r>
      <w:r w:rsidRPr="00C304BF">
        <w:tab/>
      </w:r>
      <w:r w:rsidR="00743C4D" w:rsidRPr="009F56E6">
        <w:rPr>
          <w:noProof/>
        </w:rPr>
        <w:t>the date, time and indication number of the request;</w:t>
      </w:r>
    </w:p>
    <w:p w14:paraId="03CF52AA" w14:textId="43512E12" w:rsidR="00F60B6A" w:rsidRPr="009F56E6" w:rsidRDefault="00C304BF" w:rsidP="00C304BF">
      <w:pPr>
        <w:pStyle w:val="Point0"/>
        <w:rPr>
          <w:noProof/>
        </w:rPr>
      </w:pPr>
      <w:r w:rsidRPr="00C304BF">
        <w:t>(c)</w:t>
      </w:r>
      <w:r w:rsidRPr="00C304BF">
        <w:tab/>
      </w:r>
      <w:r w:rsidR="00743C4D" w:rsidRPr="009F56E6">
        <w:rPr>
          <w:noProof/>
        </w:rPr>
        <w:t>DNA profi</w:t>
      </w:r>
      <w:r w:rsidR="00F60B6A" w:rsidRPr="009F56E6">
        <w:rPr>
          <w:noProof/>
        </w:rPr>
        <w:t>les and their reference numbers</w:t>
      </w:r>
      <w:r w:rsidR="00777764">
        <w:rPr>
          <w:noProof/>
        </w:rPr>
        <w:t xml:space="preserve"> referred to in Article 9</w:t>
      </w:r>
      <w:r w:rsidR="00F60B6A" w:rsidRPr="009F56E6">
        <w:rPr>
          <w:noProof/>
        </w:rPr>
        <w:t>;</w:t>
      </w:r>
    </w:p>
    <w:p w14:paraId="7A157411" w14:textId="2C11D626" w:rsidR="00F60B6A" w:rsidRPr="009F56E6" w:rsidRDefault="00C304BF" w:rsidP="00C304BF">
      <w:pPr>
        <w:pStyle w:val="Point0"/>
        <w:rPr>
          <w:noProof/>
        </w:rPr>
      </w:pPr>
      <w:r w:rsidRPr="00C304BF">
        <w:t>(d)</w:t>
      </w:r>
      <w:r w:rsidRPr="00C304BF">
        <w:tab/>
      </w:r>
      <w:r w:rsidR="00743C4D" w:rsidRPr="009F56E6">
        <w:rPr>
          <w:noProof/>
        </w:rPr>
        <w:t>the types of DNA profiles transmitted (unidentified DNA</w:t>
      </w:r>
      <w:r w:rsidR="00F60B6A" w:rsidRPr="009F56E6">
        <w:rPr>
          <w:noProof/>
        </w:rPr>
        <w:t xml:space="preserve"> </w:t>
      </w:r>
      <w:r w:rsidR="00743C4D" w:rsidRPr="009F56E6">
        <w:rPr>
          <w:noProof/>
        </w:rPr>
        <w:t>profiles or reference DNA profiles)</w:t>
      </w:r>
      <w:r w:rsidR="00AE1DE5" w:rsidRPr="009F56E6">
        <w:rPr>
          <w:noProof/>
        </w:rPr>
        <w:t>.</w:t>
      </w:r>
    </w:p>
    <w:p w14:paraId="4A7025D4" w14:textId="2EED29B6" w:rsidR="00743C4D" w:rsidRPr="009F56E6" w:rsidRDefault="00743C4D" w:rsidP="00743C4D">
      <w:pPr>
        <w:rPr>
          <w:noProof/>
        </w:rPr>
      </w:pPr>
      <w:r w:rsidRPr="009F56E6">
        <w:rPr>
          <w:noProof/>
        </w:rPr>
        <w:t xml:space="preserve">2. The </w:t>
      </w:r>
      <w:r w:rsidR="00454217" w:rsidRPr="009F56E6">
        <w:rPr>
          <w:noProof/>
        </w:rPr>
        <w:t>answer to</w:t>
      </w:r>
      <w:r w:rsidR="00F60B6A" w:rsidRPr="009F56E6">
        <w:rPr>
          <w:noProof/>
        </w:rPr>
        <w:t xml:space="preserve"> the request referred to in </w:t>
      </w:r>
      <w:r w:rsidRPr="009F56E6">
        <w:rPr>
          <w:noProof/>
        </w:rPr>
        <w:t>paragraph 1 shall contain only the following information:</w:t>
      </w:r>
    </w:p>
    <w:p w14:paraId="71B71F57" w14:textId="6295E8D3" w:rsidR="00F60B6A" w:rsidRPr="009F56E6" w:rsidRDefault="00C304BF" w:rsidP="00C304BF">
      <w:pPr>
        <w:pStyle w:val="Point0"/>
        <w:rPr>
          <w:noProof/>
        </w:rPr>
      </w:pPr>
      <w:r w:rsidRPr="00C304BF">
        <w:t>(a)</w:t>
      </w:r>
      <w:r w:rsidRPr="00C304BF">
        <w:tab/>
      </w:r>
      <w:r w:rsidR="00743C4D" w:rsidRPr="009F56E6">
        <w:rPr>
          <w:noProof/>
        </w:rPr>
        <w:t>an indication as to whether there were one or more</w:t>
      </w:r>
      <w:r w:rsidR="00F60B6A" w:rsidRPr="009F56E6">
        <w:rPr>
          <w:noProof/>
        </w:rPr>
        <w:t xml:space="preserve"> </w:t>
      </w:r>
      <w:r w:rsidR="00CD2034" w:rsidRPr="009F56E6">
        <w:rPr>
          <w:noProof/>
        </w:rPr>
        <w:t xml:space="preserve">matches </w:t>
      </w:r>
      <w:r w:rsidR="00743C4D" w:rsidRPr="009F56E6">
        <w:rPr>
          <w:noProof/>
        </w:rPr>
        <w:t>or no matches ;</w:t>
      </w:r>
    </w:p>
    <w:p w14:paraId="1082F8A8" w14:textId="52CB76B5" w:rsidR="00CB2713" w:rsidRPr="009F56E6" w:rsidRDefault="00C304BF" w:rsidP="00C304BF">
      <w:pPr>
        <w:pStyle w:val="Point0"/>
        <w:rPr>
          <w:noProof/>
        </w:rPr>
      </w:pPr>
      <w:r w:rsidRPr="00C304BF">
        <w:t>(b)</w:t>
      </w:r>
      <w:r w:rsidRPr="00C304BF">
        <w:tab/>
      </w:r>
      <w:r w:rsidR="00743C4D" w:rsidRPr="009F56E6">
        <w:rPr>
          <w:noProof/>
        </w:rPr>
        <w:t>the date, time and indication number of the request;</w:t>
      </w:r>
    </w:p>
    <w:p w14:paraId="10354FEC" w14:textId="507FD2EC" w:rsidR="00CB2713" w:rsidRPr="009F56E6" w:rsidRDefault="00C304BF" w:rsidP="00C304BF">
      <w:pPr>
        <w:pStyle w:val="Point0"/>
        <w:rPr>
          <w:noProof/>
        </w:rPr>
      </w:pPr>
      <w:r w:rsidRPr="00C304BF">
        <w:t>(c)</w:t>
      </w:r>
      <w:r w:rsidRPr="00C304BF">
        <w:tab/>
      </w:r>
      <w:r w:rsidR="00743C4D" w:rsidRPr="009F56E6">
        <w:rPr>
          <w:noProof/>
        </w:rPr>
        <w:t>the date, time and indication number of the answer;</w:t>
      </w:r>
    </w:p>
    <w:p w14:paraId="0BCED069" w14:textId="309EA07E" w:rsidR="00CB2713" w:rsidRPr="009F56E6" w:rsidRDefault="00C304BF" w:rsidP="00C304BF">
      <w:pPr>
        <w:pStyle w:val="Point0"/>
        <w:rPr>
          <w:noProof/>
        </w:rPr>
      </w:pPr>
      <w:r w:rsidRPr="00C304BF">
        <w:t>(d)</w:t>
      </w:r>
      <w:r w:rsidRPr="00C304BF">
        <w:tab/>
      </w:r>
      <w:r w:rsidR="00743C4D" w:rsidRPr="009F56E6">
        <w:rPr>
          <w:noProof/>
        </w:rPr>
        <w:t>the</w:t>
      </w:r>
      <w:r w:rsidR="00FF19D5" w:rsidRPr="009F56E6">
        <w:rPr>
          <w:noProof/>
        </w:rPr>
        <w:t xml:space="preserve"> codes of the requesting </w:t>
      </w:r>
      <w:r w:rsidR="00743C4D" w:rsidRPr="009F56E6">
        <w:rPr>
          <w:noProof/>
        </w:rPr>
        <w:t>and requested</w:t>
      </w:r>
      <w:r w:rsidR="00F60B6A" w:rsidRPr="009F56E6">
        <w:rPr>
          <w:noProof/>
        </w:rPr>
        <w:t xml:space="preserve"> </w:t>
      </w:r>
      <w:r w:rsidR="00743C4D" w:rsidRPr="009F56E6">
        <w:rPr>
          <w:noProof/>
        </w:rPr>
        <w:t>Member States;</w:t>
      </w:r>
    </w:p>
    <w:p w14:paraId="45F92A5F" w14:textId="7E4ED06B" w:rsidR="00CB2713" w:rsidRPr="009F56E6" w:rsidRDefault="00C304BF" w:rsidP="00C304BF">
      <w:pPr>
        <w:pStyle w:val="Point0"/>
        <w:rPr>
          <w:noProof/>
        </w:rPr>
      </w:pPr>
      <w:r w:rsidRPr="00C304BF">
        <w:t>(e)</w:t>
      </w:r>
      <w:r w:rsidRPr="00C304BF">
        <w:tab/>
      </w:r>
      <w:r w:rsidR="00743C4D" w:rsidRPr="009F56E6">
        <w:rPr>
          <w:noProof/>
        </w:rPr>
        <w:t>the reference numbers of the</w:t>
      </w:r>
      <w:r w:rsidR="00AE1DE5" w:rsidRPr="009F56E6">
        <w:rPr>
          <w:noProof/>
        </w:rPr>
        <w:t xml:space="preserve"> DNA profiles from the</w:t>
      </w:r>
      <w:r w:rsidR="00743C4D" w:rsidRPr="009F56E6">
        <w:rPr>
          <w:noProof/>
        </w:rPr>
        <w:t xml:space="preserve"> requesting and requested</w:t>
      </w:r>
      <w:r w:rsidR="00F60B6A" w:rsidRPr="009F56E6">
        <w:rPr>
          <w:noProof/>
        </w:rPr>
        <w:t xml:space="preserve"> </w:t>
      </w:r>
      <w:r w:rsidR="00743C4D" w:rsidRPr="009F56E6">
        <w:rPr>
          <w:noProof/>
        </w:rPr>
        <w:t>Member States;</w:t>
      </w:r>
    </w:p>
    <w:p w14:paraId="27EF8302" w14:textId="0A085FC5" w:rsidR="00CB2713" w:rsidRPr="009F56E6" w:rsidRDefault="00C304BF" w:rsidP="00C304BF">
      <w:pPr>
        <w:pStyle w:val="Point0"/>
        <w:rPr>
          <w:noProof/>
        </w:rPr>
      </w:pPr>
      <w:r w:rsidRPr="00C304BF">
        <w:t>(f)</w:t>
      </w:r>
      <w:r w:rsidRPr="00C304BF">
        <w:tab/>
      </w:r>
      <w:r w:rsidR="00743C4D" w:rsidRPr="009F56E6">
        <w:rPr>
          <w:noProof/>
        </w:rPr>
        <w:t>the type of DNA profiles transmitted (unidentified DNA</w:t>
      </w:r>
      <w:r w:rsidR="00F60B6A" w:rsidRPr="009F56E6">
        <w:rPr>
          <w:noProof/>
        </w:rPr>
        <w:t xml:space="preserve"> </w:t>
      </w:r>
      <w:r w:rsidR="00743C4D" w:rsidRPr="009F56E6">
        <w:rPr>
          <w:noProof/>
        </w:rPr>
        <w:t>profiles or reference DNA profiles);</w:t>
      </w:r>
    </w:p>
    <w:p w14:paraId="30994DD9" w14:textId="3B0D587C" w:rsidR="00743C4D" w:rsidRPr="009F56E6" w:rsidRDefault="00C304BF" w:rsidP="00C304BF">
      <w:pPr>
        <w:pStyle w:val="Point0"/>
        <w:rPr>
          <w:noProof/>
        </w:rPr>
      </w:pPr>
      <w:r w:rsidRPr="00C304BF">
        <w:t>(g)</w:t>
      </w:r>
      <w:r w:rsidRPr="00C304BF">
        <w:tab/>
      </w:r>
      <w:r w:rsidR="00743C4D" w:rsidRPr="009F56E6">
        <w:rPr>
          <w:noProof/>
        </w:rPr>
        <w:t>the matching DNA profiles</w:t>
      </w:r>
      <w:r w:rsidR="00A754BF" w:rsidRPr="009F56E6">
        <w:rPr>
          <w:noProof/>
        </w:rPr>
        <w:t>.</w:t>
      </w:r>
    </w:p>
    <w:p w14:paraId="62796B73" w14:textId="519DDBB0" w:rsidR="00F34910" w:rsidRPr="009F56E6" w:rsidRDefault="00743C4D" w:rsidP="00743C4D">
      <w:pPr>
        <w:rPr>
          <w:noProof/>
        </w:rPr>
      </w:pPr>
      <w:r w:rsidRPr="009F56E6">
        <w:rPr>
          <w:noProof/>
        </w:rPr>
        <w:t xml:space="preserve">3. Automated notification of a </w:t>
      </w:r>
      <w:r w:rsidR="00CB2713" w:rsidRPr="009F56E6">
        <w:rPr>
          <w:noProof/>
        </w:rPr>
        <w:t>match shall only be provided if</w:t>
      </w:r>
      <w:r w:rsidR="00F60B6A" w:rsidRPr="009F56E6">
        <w:rPr>
          <w:noProof/>
        </w:rPr>
        <w:t xml:space="preserve"> </w:t>
      </w:r>
      <w:r w:rsidRPr="009F56E6">
        <w:rPr>
          <w:noProof/>
        </w:rPr>
        <w:t>the automated search or comparison has resulted in a match of a</w:t>
      </w:r>
      <w:r w:rsidR="00F60B6A" w:rsidRPr="009F56E6">
        <w:rPr>
          <w:noProof/>
        </w:rPr>
        <w:t xml:space="preserve"> </w:t>
      </w:r>
      <w:r w:rsidRPr="009F56E6">
        <w:rPr>
          <w:noProof/>
        </w:rPr>
        <w:t>minimum number of loci.</w:t>
      </w:r>
      <w:r w:rsidR="00F34910" w:rsidRPr="009F56E6">
        <w:rPr>
          <w:noProof/>
        </w:rPr>
        <w:t xml:space="preserve"> </w:t>
      </w:r>
      <w:r w:rsidR="00406723" w:rsidRPr="009F56E6">
        <w:rPr>
          <w:noProof/>
        </w:rPr>
        <w:t>The Commission shall adopt implementing acts to specify t</w:t>
      </w:r>
      <w:r w:rsidR="00F34910" w:rsidRPr="009F56E6">
        <w:rPr>
          <w:noProof/>
        </w:rPr>
        <w:t>his minimum number of loci</w:t>
      </w:r>
      <w:r w:rsidR="006F3BCA" w:rsidRPr="009F56E6">
        <w:rPr>
          <w:noProof/>
        </w:rPr>
        <w:t>,</w:t>
      </w:r>
      <w:r w:rsidR="00F34910" w:rsidRPr="009F56E6">
        <w:rPr>
          <w:noProof/>
        </w:rPr>
        <w:t xml:space="preserve"> in accordance with the procedure referred to in Article </w:t>
      </w:r>
      <w:r w:rsidR="00E576DB" w:rsidRPr="009F56E6">
        <w:rPr>
          <w:noProof/>
        </w:rPr>
        <w:t>7</w:t>
      </w:r>
      <w:r w:rsidR="00920A11">
        <w:rPr>
          <w:noProof/>
        </w:rPr>
        <w:t>6</w:t>
      </w:r>
      <w:r w:rsidR="00EF268D" w:rsidRPr="00E951DA">
        <w:rPr>
          <w:noProof/>
        </w:rPr>
        <w:t>(2)</w:t>
      </w:r>
      <w:r w:rsidR="00F34910" w:rsidRPr="009F56E6">
        <w:rPr>
          <w:noProof/>
        </w:rPr>
        <w:t xml:space="preserve">. </w:t>
      </w:r>
    </w:p>
    <w:p w14:paraId="75D272A0" w14:textId="4BCC4AB9" w:rsidR="0033372A" w:rsidRPr="009F56E6" w:rsidRDefault="0033372A" w:rsidP="00743C4D">
      <w:pPr>
        <w:rPr>
          <w:noProof/>
        </w:rPr>
      </w:pPr>
      <w:r w:rsidRPr="009F56E6">
        <w:rPr>
          <w:noProof/>
        </w:rPr>
        <w:t xml:space="preserve">4. Where a search or comparison with unidentified DNA profiles results in a match, each requested Member State </w:t>
      </w:r>
      <w:r w:rsidR="002F50B4" w:rsidRPr="009F56E6">
        <w:rPr>
          <w:noProof/>
        </w:rPr>
        <w:t>with matching</w:t>
      </w:r>
      <w:r w:rsidRPr="009F56E6">
        <w:rPr>
          <w:noProof/>
        </w:rPr>
        <w:t xml:space="preserve"> data may insert a marking in its national database indicating that there has been a match for that DNA profile following another Member State's search or comparison.</w:t>
      </w:r>
    </w:p>
    <w:p w14:paraId="7BCCE451" w14:textId="6A05C62F" w:rsidR="002E1813" w:rsidRPr="009F56E6" w:rsidRDefault="0033372A" w:rsidP="00743C4D">
      <w:pPr>
        <w:rPr>
          <w:noProof/>
        </w:rPr>
      </w:pPr>
      <w:r w:rsidRPr="009F56E6">
        <w:rPr>
          <w:noProof/>
        </w:rPr>
        <w:t>5</w:t>
      </w:r>
      <w:r w:rsidR="00743C4D" w:rsidRPr="009F56E6">
        <w:rPr>
          <w:noProof/>
        </w:rPr>
        <w:t>. Member States shall e</w:t>
      </w:r>
      <w:r w:rsidR="00CB2713" w:rsidRPr="009F56E6">
        <w:rPr>
          <w:noProof/>
        </w:rPr>
        <w:t xml:space="preserve">nsure that requests </w:t>
      </w:r>
      <w:r w:rsidR="0016435A" w:rsidRPr="009F56E6">
        <w:rPr>
          <w:noProof/>
        </w:rPr>
        <w:t xml:space="preserve">are consistent </w:t>
      </w:r>
      <w:r w:rsidR="00CB2713" w:rsidRPr="001C624B">
        <w:rPr>
          <w:noProof/>
        </w:rPr>
        <w:t>with</w:t>
      </w:r>
      <w:r w:rsidR="00F60B6A" w:rsidRPr="001C624B">
        <w:rPr>
          <w:noProof/>
        </w:rPr>
        <w:t xml:space="preserve"> </w:t>
      </w:r>
      <w:r w:rsidR="00743C4D" w:rsidRPr="00FC3487">
        <w:rPr>
          <w:noProof/>
        </w:rPr>
        <w:t>declarati</w:t>
      </w:r>
      <w:r w:rsidR="00CE5760" w:rsidRPr="00FC3487">
        <w:rPr>
          <w:noProof/>
        </w:rPr>
        <w:t>ons</w:t>
      </w:r>
      <w:r w:rsidR="00CE5760" w:rsidRPr="001C624B">
        <w:rPr>
          <w:noProof/>
        </w:rPr>
        <w:t xml:space="preserve"> </w:t>
      </w:r>
      <w:r w:rsidR="00D81478" w:rsidRPr="001C624B">
        <w:rPr>
          <w:noProof/>
        </w:rPr>
        <w:t>sent</w:t>
      </w:r>
      <w:r w:rsidR="00CE5760" w:rsidRPr="001C624B">
        <w:rPr>
          <w:noProof/>
        </w:rPr>
        <w:t xml:space="preserve"> pursuant to Article </w:t>
      </w:r>
      <w:r w:rsidR="000763B1">
        <w:rPr>
          <w:noProof/>
        </w:rPr>
        <w:t>8</w:t>
      </w:r>
      <w:r w:rsidR="0087308A">
        <w:rPr>
          <w:noProof/>
        </w:rPr>
        <w:t>.</w:t>
      </w:r>
      <w:r w:rsidR="00743C4D" w:rsidRPr="0060359F">
        <w:rPr>
          <w:noProof/>
        </w:rPr>
        <w:t xml:space="preserve"> Th</w:t>
      </w:r>
      <w:r w:rsidR="008966CA">
        <w:rPr>
          <w:noProof/>
        </w:rPr>
        <w:t>o</w:t>
      </w:r>
      <w:r w:rsidR="00743C4D" w:rsidRPr="0060359F">
        <w:rPr>
          <w:noProof/>
        </w:rPr>
        <w:t>se declarations shall be reproduced in the</w:t>
      </w:r>
      <w:r w:rsidR="00F60B6A" w:rsidRPr="0060359F">
        <w:rPr>
          <w:noProof/>
        </w:rPr>
        <w:t xml:space="preserve"> </w:t>
      </w:r>
      <w:r w:rsidR="00D81478" w:rsidRPr="0060359F">
        <w:rPr>
          <w:noProof/>
        </w:rPr>
        <w:t>practical</w:t>
      </w:r>
      <w:r w:rsidR="00071E93" w:rsidRPr="0060359F">
        <w:rPr>
          <w:noProof/>
        </w:rPr>
        <w:t xml:space="preserve"> handbook</w:t>
      </w:r>
      <w:r w:rsidR="00071E93" w:rsidRPr="009F56E6">
        <w:rPr>
          <w:noProof/>
        </w:rPr>
        <w:t xml:space="preserve"> referred to in Article </w:t>
      </w:r>
      <w:r w:rsidR="00F776FA" w:rsidRPr="009F56E6">
        <w:rPr>
          <w:noProof/>
        </w:rPr>
        <w:t>7</w:t>
      </w:r>
      <w:r w:rsidR="00920A11">
        <w:rPr>
          <w:noProof/>
        </w:rPr>
        <w:t>8</w:t>
      </w:r>
      <w:r w:rsidR="00743C4D" w:rsidRPr="009F56E6">
        <w:rPr>
          <w:noProof/>
        </w:rPr>
        <w:t>.</w:t>
      </w:r>
    </w:p>
    <w:p w14:paraId="69BA029A" w14:textId="6EF18A2E" w:rsidR="003A17C8" w:rsidRPr="007C7BE5" w:rsidRDefault="003A17C8" w:rsidP="003A17C8">
      <w:pPr>
        <w:pStyle w:val="Titrearticle"/>
        <w:rPr>
          <w:i w:val="0"/>
          <w:noProof/>
        </w:rPr>
      </w:pPr>
      <w:r w:rsidRPr="007C7BE5">
        <w:rPr>
          <w:i w:val="0"/>
          <w:noProof/>
        </w:rPr>
        <w:t>SECTION 2</w:t>
      </w:r>
    </w:p>
    <w:p w14:paraId="65F3006E" w14:textId="1E19E878" w:rsidR="007657FC" w:rsidRPr="007C7BE5" w:rsidRDefault="003A17C8" w:rsidP="00077805">
      <w:pPr>
        <w:jc w:val="center"/>
        <w:rPr>
          <w:b/>
          <w:noProof/>
        </w:rPr>
      </w:pPr>
      <w:r w:rsidRPr="007C7BE5">
        <w:rPr>
          <w:b/>
          <w:noProof/>
        </w:rPr>
        <w:t>Dactyloscopic data</w:t>
      </w:r>
    </w:p>
    <w:p w14:paraId="29FCD979" w14:textId="683D90DF" w:rsidR="009E24EF" w:rsidRPr="009F56E6" w:rsidRDefault="009E24EF" w:rsidP="009E24EF">
      <w:pPr>
        <w:pStyle w:val="Titrearticle"/>
        <w:rPr>
          <w:noProof/>
        </w:rPr>
      </w:pPr>
      <w:r w:rsidRPr="009F56E6">
        <w:rPr>
          <w:noProof/>
        </w:rPr>
        <w:t>Article 1</w:t>
      </w:r>
      <w:r w:rsidR="00745866" w:rsidRPr="009F56E6">
        <w:rPr>
          <w:noProof/>
        </w:rPr>
        <w:t>2</w:t>
      </w:r>
    </w:p>
    <w:p w14:paraId="642FCC60" w14:textId="69266C71" w:rsidR="009E24EF" w:rsidRPr="009F56E6" w:rsidRDefault="00F73CB5" w:rsidP="009E24EF">
      <w:pPr>
        <w:jc w:val="center"/>
        <w:rPr>
          <w:b/>
          <w:noProof/>
        </w:rPr>
      </w:pPr>
      <w:r w:rsidRPr="009F56E6">
        <w:rPr>
          <w:b/>
          <w:noProof/>
        </w:rPr>
        <w:t xml:space="preserve">Dactyloscopic </w:t>
      </w:r>
      <w:r w:rsidR="00D81478">
        <w:rPr>
          <w:b/>
          <w:noProof/>
        </w:rPr>
        <w:t xml:space="preserve">reference </w:t>
      </w:r>
      <w:r w:rsidRPr="009F56E6">
        <w:rPr>
          <w:b/>
          <w:noProof/>
        </w:rPr>
        <w:t>data</w:t>
      </w:r>
    </w:p>
    <w:p w14:paraId="2CE63C8E" w14:textId="2C6B3D11" w:rsidR="0065530D" w:rsidRDefault="0065530D" w:rsidP="00743C4D">
      <w:pPr>
        <w:rPr>
          <w:noProof/>
        </w:rPr>
      </w:pPr>
      <w:r>
        <w:rPr>
          <w:noProof/>
        </w:rPr>
        <w:t xml:space="preserve">1. </w:t>
      </w:r>
      <w:r w:rsidR="00CB2713" w:rsidRPr="009F56E6">
        <w:rPr>
          <w:noProof/>
        </w:rPr>
        <w:t xml:space="preserve">Member States </w:t>
      </w:r>
      <w:r w:rsidR="00743C4D" w:rsidRPr="009F56E6">
        <w:rPr>
          <w:noProof/>
        </w:rPr>
        <w:t xml:space="preserve">shall ensure the availability of </w:t>
      </w:r>
      <w:r w:rsidR="00D81478">
        <w:rPr>
          <w:noProof/>
        </w:rPr>
        <w:t>dactyloscopic</w:t>
      </w:r>
      <w:r w:rsidR="00743C4D" w:rsidRPr="009F56E6">
        <w:rPr>
          <w:noProof/>
        </w:rPr>
        <w:t xml:space="preserve"> reference data from the file for the</w:t>
      </w:r>
      <w:r w:rsidR="00CB2713" w:rsidRPr="009F56E6">
        <w:rPr>
          <w:noProof/>
        </w:rPr>
        <w:t xml:space="preserve"> </w:t>
      </w:r>
      <w:r w:rsidR="00743C4D" w:rsidRPr="009F56E6">
        <w:rPr>
          <w:noProof/>
        </w:rPr>
        <w:t>national automated fingerprint identification systems established</w:t>
      </w:r>
      <w:r w:rsidR="00CB2713" w:rsidRPr="009F56E6">
        <w:rPr>
          <w:noProof/>
        </w:rPr>
        <w:t xml:space="preserve"> </w:t>
      </w:r>
      <w:r w:rsidR="00743C4D" w:rsidRPr="009F56E6">
        <w:rPr>
          <w:noProof/>
        </w:rPr>
        <w:t>for the prevention</w:t>
      </w:r>
      <w:r w:rsidR="00404355" w:rsidRPr="009F56E6">
        <w:rPr>
          <w:noProof/>
        </w:rPr>
        <w:t>, detection</w:t>
      </w:r>
      <w:r w:rsidR="00743C4D" w:rsidRPr="009F56E6">
        <w:rPr>
          <w:noProof/>
        </w:rPr>
        <w:t xml:space="preserve"> and investigation of criminal offences.</w:t>
      </w:r>
      <w:r w:rsidR="00CB2713" w:rsidRPr="009F56E6">
        <w:rPr>
          <w:noProof/>
        </w:rPr>
        <w:t xml:space="preserve"> </w:t>
      </w:r>
    </w:p>
    <w:p w14:paraId="5D6B1B8E" w14:textId="611816B5" w:rsidR="0065530D" w:rsidRDefault="0065530D" w:rsidP="00743C4D">
      <w:pPr>
        <w:rPr>
          <w:noProof/>
        </w:rPr>
      </w:pPr>
      <w:r>
        <w:rPr>
          <w:noProof/>
        </w:rPr>
        <w:t xml:space="preserve">2. </w:t>
      </w:r>
      <w:r w:rsidR="00D81478">
        <w:rPr>
          <w:noProof/>
        </w:rPr>
        <w:t>Dactyloscopic</w:t>
      </w:r>
      <w:r w:rsidR="00CB2713" w:rsidRPr="009F56E6">
        <w:rPr>
          <w:noProof/>
        </w:rPr>
        <w:t xml:space="preserve"> </w:t>
      </w:r>
      <w:r w:rsidR="00743C4D" w:rsidRPr="009F56E6">
        <w:rPr>
          <w:noProof/>
        </w:rPr>
        <w:t xml:space="preserve">reference </w:t>
      </w:r>
      <w:r w:rsidR="00182CD1" w:rsidRPr="009F56E6">
        <w:rPr>
          <w:noProof/>
        </w:rPr>
        <w:t xml:space="preserve">data shall not contain any data from which an individual can be directly identified. </w:t>
      </w:r>
    </w:p>
    <w:p w14:paraId="5E66E1F5" w14:textId="0FA9EE97" w:rsidR="00743C4D" w:rsidRPr="009F56E6" w:rsidRDefault="0065530D" w:rsidP="00743C4D">
      <w:pPr>
        <w:rPr>
          <w:noProof/>
        </w:rPr>
      </w:pPr>
      <w:r>
        <w:rPr>
          <w:noProof/>
        </w:rPr>
        <w:t xml:space="preserve">3. </w:t>
      </w:r>
      <w:r w:rsidR="00D81478">
        <w:rPr>
          <w:noProof/>
        </w:rPr>
        <w:t>Dactyloscopic</w:t>
      </w:r>
      <w:r w:rsidR="00182CD1" w:rsidRPr="009F56E6">
        <w:rPr>
          <w:noProof/>
        </w:rPr>
        <w:t xml:space="preserve"> </w:t>
      </w:r>
      <w:r w:rsidR="00D81478">
        <w:rPr>
          <w:noProof/>
        </w:rPr>
        <w:t>r</w:t>
      </w:r>
      <w:r w:rsidR="00743C4D" w:rsidRPr="009F56E6">
        <w:rPr>
          <w:noProof/>
        </w:rPr>
        <w:t>eference data</w:t>
      </w:r>
      <w:r w:rsidR="00CB2713" w:rsidRPr="009F56E6">
        <w:rPr>
          <w:noProof/>
        </w:rPr>
        <w:t xml:space="preserve"> </w:t>
      </w:r>
      <w:r w:rsidR="00743C4D" w:rsidRPr="009F56E6">
        <w:rPr>
          <w:noProof/>
        </w:rPr>
        <w:t>which is not attributed to any individual (unidentified dactyloscopic</w:t>
      </w:r>
      <w:r w:rsidR="00CB2713" w:rsidRPr="009F56E6">
        <w:rPr>
          <w:noProof/>
        </w:rPr>
        <w:t xml:space="preserve"> </w:t>
      </w:r>
      <w:r w:rsidR="00743C4D" w:rsidRPr="009F56E6">
        <w:rPr>
          <w:noProof/>
        </w:rPr>
        <w:t xml:space="preserve">data) </w:t>
      </w:r>
      <w:r w:rsidR="00D81478">
        <w:rPr>
          <w:noProof/>
        </w:rPr>
        <w:t>shall</w:t>
      </w:r>
      <w:r w:rsidR="00743C4D" w:rsidRPr="009F56E6">
        <w:rPr>
          <w:noProof/>
        </w:rPr>
        <w:t xml:space="preserve"> be recognisable as such.</w:t>
      </w:r>
    </w:p>
    <w:p w14:paraId="36646B01" w14:textId="3883D6D8" w:rsidR="00205A21" w:rsidRPr="009F56E6" w:rsidRDefault="00205A21" w:rsidP="00205A21">
      <w:pPr>
        <w:pStyle w:val="Titrearticle"/>
        <w:rPr>
          <w:noProof/>
        </w:rPr>
      </w:pPr>
      <w:r w:rsidRPr="009F56E6">
        <w:rPr>
          <w:noProof/>
        </w:rPr>
        <w:t>Article 1</w:t>
      </w:r>
      <w:r w:rsidR="00745866" w:rsidRPr="009F56E6">
        <w:rPr>
          <w:noProof/>
        </w:rPr>
        <w:t>3</w:t>
      </w:r>
    </w:p>
    <w:p w14:paraId="4569E68C" w14:textId="61FF6B96" w:rsidR="00205A21" w:rsidRPr="009F56E6" w:rsidRDefault="00F73CB5" w:rsidP="00205A21">
      <w:pPr>
        <w:jc w:val="center"/>
        <w:rPr>
          <w:b/>
          <w:noProof/>
        </w:rPr>
      </w:pPr>
      <w:r w:rsidRPr="009F56E6">
        <w:rPr>
          <w:b/>
          <w:noProof/>
        </w:rPr>
        <w:t>Automated searching of dactyloscopic data</w:t>
      </w:r>
    </w:p>
    <w:p w14:paraId="5229D9B0" w14:textId="33CE684E" w:rsidR="00BA0889" w:rsidRDefault="00743C4D" w:rsidP="00743C4D">
      <w:pPr>
        <w:rPr>
          <w:noProof/>
        </w:rPr>
      </w:pPr>
      <w:r w:rsidRPr="009F56E6">
        <w:rPr>
          <w:noProof/>
        </w:rPr>
        <w:t>1. For the prevention</w:t>
      </w:r>
      <w:r w:rsidR="00404355" w:rsidRPr="009F56E6">
        <w:rPr>
          <w:noProof/>
        </w:rPr>
        <w:t>, detection</w:t>
      </w:r>
      <w:r w:rsidRPr="009F56E6">
        <w:rPr>
          <w:noProof/>
        </w:rPr>
        <w:t xml:space="preserve"> and inve</w:t>
      </w:r>
      <w:r w:rsidR="00CB2713" w:rsidRPr="009F56E6">
        <w:rPr>
          <w:noProof/>
        </w:rPr>
        <w:t xml:space="preserve">stigation of criminal offences, </w:t>
      </w:r>
      <w:r w:rsidRPr="009F56E6">
        <w:rPr>
          <w:noProof/>
        </w:rPr>
        <w:t>Member States shall allow national contact</w:t>
      </w:r>
      <w:r w:rsidR="00CB2713" w:rsidRPr="009F56E6">
        <w:rPr>
          <w:noProof/>
        </w:rPr>
        <w:t xml:space="preserve"> </w:t>
      </w:r>
      <w:r w:rsidRPr="009F56E6">
        <w:rPr>
          <w:noProof/>
        </w:rPr>
        <w:t>points</w:t>
      </w:r>
      <w:r w:rsidR="00D81478" w:rsidRPr="00D81478">
        <w:rPr>
          <w:noProof/>
        </w:rPr>
        <w:t xml:space="preserve"> </w:t>
      </w:r>
      <w:r w:rsidR="00D81478">
        <w:rPr>
          <w:noProof/>
        </w:rPr>
        <w:t>of other Member States</w:t>
      </w:r>
      <w:r w:rsidR="00CA6AA8" w:rsidRPr="009F56E6">
        <w:rPr>
          <w:noProof/>
        </w:rPr>
        <w:t xml:space="preserve"> and Europol</w:t>
      </w:r>
      <w:r w:rsidRPr="009F56E6">
        <w:rPr>
          <w:noProof/>
        </w:rPr>
        <w:t xml:space="preserve"> access to the </w:t>
      </w:r>
      <w:r w:rsidR="00D81478">
        <w:rPr>
          <w:noProof/>
        </w:rPr>
        <w:t>dactyloscopic</w:t>
      </w:r>
      <w:r w:rsidRPr="009F56E6">
        <w:rPr>
          <w:noProof/>
        </w:rPr>
        <w:t xml:space="preserve"> reference data in</w:t>
      </w:r>
      <w:r w:rsidR="00CB2713" w:rsidRPr="009F56E6">
        <w:rPr>
          <w:noProof/>
        </w:rPr>
        <w:t xml:space="preserve"> </w:t>
      </w:r>
      <w:r w:rsidRPr="009F56E6">
        <w:rPr>
          <w:noProof/>
        </w:rPr>
        <w:t>the automated fingerprint identification systems which they have</w:t>
      </w:r>
      <w:r w:rsidR="00CB2713" w:rsidRPr="009F56E6">
        <w:rPr>
          <w:noProof/>
        </w:rPr>
        <w:t xml:space="preserve"> </w:t>
      </w:r>
      <w:r w:rsidRPr="009F56E6">
        <w:rPr>
          <w:noProof/>
        </w:rPr>
        <w:t>established for that purpose, to conduct</w:t>
      </w:r>
      <w:r w:rsidR="00CB2713" w:rsidRPr="009F56E6">
        <w:rPr>
          <w:noProof/>
        </w:rPr>
        <w:t xml:space="preserve"> </w:t>
      </w:r>
      <w:r w:rsidRPr="009F56E6">
        <w:rPr>
          <w:noProof/>
        </w:rPr>
        <w:t xml:space="preserve">automated searches by comparing dactyloscopic </w:t>
      </w:r>
      <w:r w:rsidR="00D81478">
        <w:rPr>
          <w:noProof/>
        </w:rPr>
        <w:t xml:space="preserve">reference </w:t>
      </w:r>
      <w:r w:rsidRPr="009F56E6">
        <w:rPr>
          <w:noProof/>
        </w:rPr>
        <w:t xml:space="preserve">data. </w:t>
      </w:r>
    </w:p>
    <w:p w14:paraId="21DD0105" w14:textId="2086103E" w:rsidR="00743C4D" w:rsidRPr="009F56E6" w:rsidRDefault="00743C4D" w:rsidP="00743C4D">
      <w:pPr>
        <w:rPr>
          <w:noProof/>
        </w:rPr>
      </w:pPr>
      <w:r w:rsidRPr="009F56E6">
        <w:rPr>
          <w:noProof/>
        </w:rPr>
        <w:t>Searches</w:t>
      </w:r>
      <w:r w:rsidR="00CB2713" w:rsidRPr="009F56E6">
        <w:rPr>
          <w:noProof/>
        </w:rPr>
        <w:t xml:space="preserve"> </w:t>
      </w:r>
      <w:r w:rsidRPr="009F56E6">
        <w:rPr>
          <w:noProof/>
        </w:rPr>
        <w:t>may be conducted only in individual cases and in compliance</w:t>
      </w:r>
      <w:r w:rsidR="00CB2713" w:rsidRPr="009F56E6">
        <w:rPr>
          <w:noProof/>
        </w:rPr>
        <w:t xml:space="preserve"> </w:t>
      </w:r>
      <w:r w:rsidRPr="009F56E6">
        <w:rPr>
          <w:noProof/>
        </w:rPr>
        <w:t xml:space="preserve">with the </w:t>
      </w:r>
      <w:r w:rsidR="00273867" w:rsidRPr="009F56E6">
        <w:rPr>
          <w:noProof/>
        </w:rPr>
        <w:t>national law</w:t>
      </w:r>
      <w:r w:rsidR="00273867" w:rsidRPr="00BD562B">
        <w:rPr>
          <w:noProof/>
        </w:rPr>
        <w:t xml:space="preserve"> </w:t>
      </w:r>
      <w:r w:rsidR="00273867">
        <w:rPr>
          <w:noProof/>
        </w:rPr>
        <w:t xml:space="preserve">of the </w:t>
      </w:r>
      <w:r w:rsidRPr="009F56E6">
        <w:rPr>
          <w:noProof/>
        </w:rPr>
        <w:t xml:space="preserve">requesting Member </w:t>
      </w:r>
      <w:r w:rsidR="00273867">
        <w:rPr>
          <w:noProof/>
        </w:rPr>
        <w:t>State</w:t>
      </w:r>
      <w:r w:rsidRPr="009F56E6">
        <w:rPr>
          <w:noProof/>
        </w:rPr>
        <w:t>.</w:t>
      </w:r>
    </w:p>
    <w:p w14:paraId="5ECB845C" w14:textId="4DFA7936" w:rsidR="00273867" w:rsidRPr="00FA3A6D" w:rsidRDefault="00743C4D" w:rsidP="00743C4D">
      <w:pPr>
        <w:rPr>
          <w:noProof/>
        </w:rPr>
      </w:pPr>
      <w:r w:rsidRPr="009F56E6">
        <w:rPr>
          <w:noProof/>
        </w:rPr>
        <w:t xml:space="preserve">2. The </w:t>
      </w:r>
      <w:r w:rsidR="00BA0889" w:rsidRPr="00FA3A6D">
        <w:rPr>
          <w:noProof/>
        </w:rPr>
        <w:t xml:space="preserve">national contact point of the requesting Member State </w:t>
      </w:r>
      <w:r w:rsidR="00BA0889">
        <w:rPr>
          <w:noProof/>
        </w:rPr>
        <w:t xml:space="preserve">shall </w:t>
      </w:r>
      <w:r w:rsidRPr="009F56E6">
        <w:rPr>
          <w:noProof/>
        </w:rPr>
        <w:t>confirm a m</w:t>
      </w:r>
      <w:r w:rsidR="00CB2713" w:rsidRPr="009F56E6">
        <w:rPr>
          <w:noProof/>
        </w:rPr>
        <w:t xml:space="preserve">atch </w:t>
      </w:r>
      <w:r w:rsidR="00CB2713" w:rsidRPr="00FA3A6D">
        <w:rPr>
          <w:noProof/>
        </w:rPr>
        <w:t xml:space="preserve">of dactyloscopic data with </w:t>
      </w:r>
      <w:r w:rsidR="00273867" w:rsidRPr="00FA3A6D">
        <w:rPr>
          <w:noProof/>
        </w:rPr>
        <w:t xml:space="preserve">dactyloscopic </w:t>
      </w:r>
      <w:r w:rsidRPr="00FA3A6D">
        <w:rPr>
          <w:noProof/>
        </w:rPr>
        <w:t xml:space="preserve">reference data held by the </w:t>
      </w:r>
      <w:r w:rsidR="00273867" w:rsidRPr="00FA3A6D">
        <w:rPr>
          <w:noProof/>
        </w:rPr>
        <w:t xml:space="preserve">requested </w:t>
      </w:r>
      <w:r w:rsidRPr="00FA3A6D">
        <w:rPr>
          <w:noProof/>
        </w:rPr>
        <w:t xml:space="preserve">Member State </w:t>
      </w:r>
      <w:r w:rsidR="001C624B" w:rsidRPr="00FA3A6D">
        <w:rPr>
          <w:noProof/>
        </w:rPr>
        <w:t xml:space="preserve">following </w:t>
      </w:r>
      <w:r w:rsidRPr="00FA3A6D">
        <w:rPr>
          <w:noProof/>
        </w:rPr>
        <w:t>the automated supply of</w:t>
      </w:r>
      <w:r w:rsidR="00CB2713" w:rsidRPr="00FA3A6D">
        <w:rPr>
          <w:noProof/>
        </w:rPr>
        <w:t xml:space="preserve"> </w:t>
      </w:r>
      <w:r w:rsidRPr="00FA3A6D">
        <w:rPr>
          <w:noProof/>
        </w:rPr>
        <w:t xml:space="preserve">the </w:t>
      </w:r>
      <w:r w:rsidR="00273867" w:rsidRPr="00FA3A6D">
        <w:rPr>
          <w:noProof/>
        </w:rPr>
        <w:t xml:space="preserve">dactyloscopic </w:t>
      </w:r>
      <w:r w:rsidRPr="00FA3A6D">
        <w:rPr>
          <w:noProof/>
        </w:rPr>
        <w:t xml:space="preserve">reference data required for </w:t>
      </w:r>
      <w:r w:rsidR="00B85B42" w:rsidRPr="00FA3A6D">
        <w:rPr>
          <w:noProof/>
        </w:rPr>
        <w:t>confirming a match</w:t>
      </w:r>
      <w:r w:rsidR="00337B5A" w:rsidRPr="00FA3A6D">
        <w:rPr>
          <w:noProof/>
        </w:rPr>
        <w:t>.</w:t>
      </w:r>
    </w:p>
    <w:p w14:paraId="6EBD9AC8" w14:textId="0D5FFD02" w:rsidR="00B61289" w:rsidRPr="00FA3A6D" w:rsidRDefault="00B61289" w:rsidP="00B61289">
      <w:pPr>
        <w:pStyle w:val="Titrearticle"/>
        <w:rPr>
          <w:noProof/>
        </w:rPr>
      </w:pPr>
      <w:r w:rsidRPr="00FA3A6D">
        <w:rPr>
          <w:noProof/>
        </w:rPr>
        <w:t xml:space="preserve">Article </w:t>
      </w:r>
      <w:r w:rsidR="009A5016" w:rsidRPr="00FA3A6D">
        <w:rPr>
          <w:noProof/>
        </w:rPr>
        <w:t>1</w:t>
      </w:r>
      <w:r w:rsidR="00745866" w:rsidRPr="00FA3A6D">
        <w:rPr>
          <w:noProof/>
        </w:rPr>
        <w:t>4</w:t>
      </w:r>
    </w:p>
    <w:p w14:paraId="7AE7CE75" w14:textId="75BCF1B9" w:rsidR="00B61289" w:rsidRPr="00FA3A6D" w:rsidRDefault="00B61289" w:rsidP="00B61289">
      <w:pPr>
        <w:jc w:val="center"/>
        <w:rPr>
          <w:b/>
          <w:noProof/>
        </w:rPr>
      </w:pPr>
      <w:r w:rsidRPr="00FA3A6D">
        <w:rPr>
          <w:b/>
          <w:noProof/>
        </w:rPr>
        <w:t>Reference numbers for dactyloscopic data</w:t>
      </w:r>
    </w:p>
    <w:p w14:paraId="4712A502" w14:textId="395FEAD2" w:rsidR="00F11F85" w:rsidRPr="00E24D01" w:rsidRDefault="00F11F85" w:rsidP="00F11F85">
      <w:pPr>
        <w:rPr>
          <w:noProof/>
        </w:rPr>
      </w:pPr>
      <w:r w:rsidRPr="00AF4CE9">
        <w:rPr>
          <w:noProof/>
        </w:rPr>
        <w:t xml:space="preserve">The reference numbers </w:t>
      </w:r>
      <w:r w:rsidR="00B475CB" w:rsidRPr="00AF4CE9">
        <w:rPr>
          <w:noProof/>
        </w:rPr>
        <w:t>for dactyloscopic data</w:t>
      </w:r>
      <w:r w:rsidR="00CB2713" w:rsidRPr="00AF4CE9">
        <w:rPr>
          <w:noProof/>
        </w:rPr>
        <w:t xml:space="preserve"> </w:t>
      </w:r>
      <w:r w:rsidRPr="00AF4CE9">
        <w:rPr>
          <w:noProof/>
        </w:rPr>
        <w:t xml:space="preserve">shall </w:t>
      </w:r>
      <w:r w:rsidR="00273867" w:rsidRPr="00995D27">
        <w:rPr>
          <w:noProof/>
        </w:rPr>
        <w:t>be the</w:t>
      </w:r>
      <w:r w:rsidRPr="00995D27">
        <w:rPr>
          <w:noProof/>
        </w:rPr>
        <w:t xml:space="preserve"> combination of the</w:t>
      </w:r>
      <w:r w:rsidR="00CB2713" w:rsidRPr="00E24D01">
        <w:rPr>
          <w:noProof/>
        </w:rPr>
        <w:t xml:space="preserve"> </w:t>
      </w:r>
      <w:r w:rsidRPr="00E24D01">
        <w:rPr>
          <w:noProof/>
        </w:rPr>
        <w:t>following:</w:t>
      </w:r>
    </w:p>
    <w:p w14:paraId="16B70303" w14:textId="481DD1FB" w:rsidR="00CB2713" w:rsidRPr="00FA3A6D" w:rsidRDefault="00C304BF" w:rsidP="00C304BF">
      <w:pPr>
        <w:pStyle w:val="Point0"/>
        <w:rPr>
          <w:noProof/>
        </w:rPr>
      </w:pPr>
      <w:r w:rsidRPr="00C304BF">
        <w:t>(a)</w:t>
      </w:r>
      <w:r w:rsidRPr="00C304BF">
        <w:tab/>
      </w:r>
      <w:r w:rsidR="00F11F85" w:rsidRPr="00FA3A6D">
        <w:rPr>
          <w:noProof/>
        </w:rPr>
        <w:t xml:space="preserve">a </w:t>
      </w:r>
      <w:r w:rsidR="00B475CB" w:rsidRPr="00FA3A6D">
        <w:rPr>
          <w:noProof/>
        </w:rPr>
        <w:t xml:space="preserve">reference number </w:t>
      </w:r>
      <w:r w:rsidR="00F11F85" w:rsidRPr="00FA3A6D">
        <w:rPr>
          <w:noProof/>
        </w:rPr>
        <w:t>allowing Member States, in the case of a ma</w:t>
      </w:r>
      <w:r w:rsidR="00CB2713" w:rsidRPr="00FA3A6D">
        <w:rPr>
          <w:noProof/>
        </w:rPr>
        <w:t xml:space="preserve">tch, </w:t>
      </w:r>
      <w:r w:rsidR="00F11F85" w:rsidRPr="00FA3A6D">
        <w:rPr>
          <w:noProof/>
        </w:rPr>
        <w:t xml:space="preserve">to retrieve </w:t>
      </w:r>
      <w:r w:rsidR="00FA3A6D" w:rsidRPr="00FA3A6D">
        <w:rPr>
          <w:noProof/>
        </w:rPr>
        <w:t xml:space="preserve">further </w:t>
      </w:r>
      <w:r w:rsidR="00F11F85" w:rsidRPr="00FA3A6D">
        <w:rPr>
          <w:noProof/>
        </w:rPr>
        <w:t>data and other information in their</w:t>
      </w:r>
      <w:r w:rsidR="00CB2713" w:rsidRPr="00FA3A6D">
        <w:rPr>
          <w:noProof/>
        </w:rPr>
        <w:t xml:space="preserve"> </w:t>
      </w:r>
      <w:r w:rsidR="00F11F85" w:rsidRPr="00FA3A6D">
        <w:rPr>
          <w:noProof/>
        </w:rPr>
        <w:t xml:space="preserve">databases </w:t>
      </w:r>
      <w:r w:rsidR="00273867" w:rsidRPr="00FA3A6D">
        <w:rPr>
          <w:noProof/>
        </w:rPr>
        <w:t>referred to in Article 12</w:t>
      </w:r>
      <w:r w:rsidR="00F11F85" w:rsidRPr="00792261">
        <w:rPr>
          <w:noProof/>
        </w:rPr>
        <w:t xml:space="preserve"> in order to supply it to one, several or all of the</w:t>
      </w:r>
      <w:r w:rsidR="00CB2713" w:rsidRPr="00AF4CE9">
        <w:rPr>
          <w:noProof/>
        </w:rPr>
        <w:t xml:space="preserve"> </w:t>
      </w:r>
      <w:r w:rsidR="00273867" w:rsidRPr="00AF4CE9">
        <w:rPr>
          <w:noProof/>
        </w:rPr>
        <w:t xml:space="preserve">other </w:t>
      </w:r>
      <w:r w:rsidR="00F11F85" w:rsidRPr="00AF4CE9">
        <w:rPr>
          <w:noProof/>
        </w:rPr>
        <w:t xml:space="preserve">Member States in accordance with </w:t>
      </w:r>
      <w:r w:rsidR="00707A22" w:rsidRPr="00AF4CE9">
        <w:rPr>
          <w:noProof/>
        </w:rPr>
        <w:t xml:space="preserve">Articles </w:t>
      </w:r>
      <w:r w:rsidR="00F776FA" w:rsidRPr="00995D27">
        <w:rPr>
          <w:noProof/>
        </w:rPr>
        <w:t>4</w:t>
      </w:r>
      <w:r w:rsidR="00920A11">
        <w:rPr>
          <w:noProof/>
        </w:rPr>
        <w:t>7</w:t>
      </w:r>
      <w:r w:rsidR="00F776FA" w:rsidRPr="00995D27">
        <w:rPr>
          <w:noProof/>
        </w:rPr>
        <w:t xml:space="preserve"> and </w:t>
      </w:r>
      <w:r w:rsidR="00F776FA" w:rsidRPr="00E24D01">
        <w:rPr>
          <w:noProof/>
        </w:rPr>
        <w:t>4</w:t>
      </w:r>
      <w:r w:rsidR="00920A11">
        <w:rPr>
          <w:noProof/>
        </w:rPr>
        <w:t>8</w:t>
      </w:r>
      <w:r w:rsidR="00F11F85" w:rsidRPr="00E24D01">
        <w:rPr>
          <w:noProof/>
        </w:rPr>
        <w:t>;</w:t>
      </w:r>
    </w:p>
    <w:p w14:paraId="5F9739D3" w14:textId="5CB93472" w:rsidR="00F11F85" w:rsidRPr="00FA3A6D" w:rsidRDefault="00C304BF" w:rsidP="00C304BF">
      <w:pPr>
        <w:pStyle w:val="Point0"/>
        <w:rPr>
          <w:noProof/>
        </w:rPr>
      </w:pPr>
      <w:r w:rsidRPr="00C304BF">
        <w:t>(b)</w:t>
      </w:r>
      <w:r w:rsidRPr="00C304BF">
        <w:tab/>
      </w:r>
      <w:r w:rsidR="00F11F85" w:rsidRPr="00FA3A6D">
        <w:rPr>
          <w:noProof/>
        </w:rPr>
        <w:t xml:space="preserve">a code to indicate the </w:t>
      </w:r>
      <w:r w:rsidR="00B475CB" w:rsidRPr="0003774E">
        <w:rPr>
          <w:noProof/>
        </w:rPr>
        <w:t xml:space="preserve">Member State </w:t>
      </w:r>
      <w:r w:rsidR="00FA3A6D" w:rsidRPr="0003774E">
        <w:rPr>
          <w:noProof/>
        </w:rPr>
        <w:t xml:space="preserve">which holds the </w:t>
      </w:r>
      <w:r w:rsidR="00F11F85" w:rsidRPr="00FA3A6D">
        <w:rPr>
          <w:noProof/>
        </w:rPr>
        <w:t>dactyloscopic data</w:t>
      </w:r>
      <w:r w:rsidR="00055538" w:rsidRPr="00FA3A6D">
        <w:rPr>
          <w:noProof/>
        </w:rPr>
        <w:t>.</w:t>
      </w:r>
    </w:p>
    <w:p w14:paraId="5E988847" w14:textId="4BA1A600" w:rsidR="00743C4D" w:rsidRPr="009F56E6" w:rsidRDefault="00743C4D" w:rsidP="00743C4D">
      <w:pPr>
        <w:pStyle w:val="Titrearticle"/>
        <w:rPr>
          <w:noProof/>
        </w:rPr>
      </w:pPr>
      <w:r w:rsidRPr="009F56E6">
        <w:rPr>
          <w:noProof/>
        </w:rPr>
        <w:t>Article 1</w:t>
      </w:r>
      <w:r w:rsidR="00745866" w:rsidRPr="009F56E6">
        <w:rPr>
          <w:noProof/>
        </w:rPr>
        <w:t>5</w:t>
      </w:r>
    </w:p>
    <w:p w14:paraId="1152A6A8" w14:textId="2B06609E" w:rsidR="00743C4D" w:rsidRPr="009F56E6" w:rsidRDefault="00743C4D" w:rsidP="00CB2713">
      <w:pPr>
        <w:jc w:val="center"/>
        <w:rPr>
          <w:b/>
          <w:bCs/>
          <w:noProof/>
        </w:rPr>
      </w:pPr>
      <w:r w:rsidRPr="009F56E6">
        <w:rPr>
          <w:b/>
          <w:bCs/>
          <w:noProof/>
        </w:rPr>
        <w:t>Principles for the exchange of dactyloscopic data</w:t>
      </w:r>
    </w:p>
    <w:p w14:paraId="49B4FCF8" w14:textId="5FAA18D4" w:rsidR="00743C4D" w:rsidRPr="009F56E6" w:rsidRDefault="00743C4D" w:rsidP="00743C4D">
      <w:pPr>
        <w:rPr>
          <w:noProof/>
        </w:rPr>
      </w:pPr>
      <w:r w:rsidRPr="009F56E6">
        <w:rPr>
          <w:noProof/>
        </w:rPr>
        <w:t>1. The digitalisation of dactylosco</w:t>
      </w:r>
      <w:r w:rsidR="00CB2713" w:rsidRPr="009F56E6">
        <w:rPr>
          <w:noProof/>
        </w:rPr>
        <w:t xml:space="preserve">pic data and their transmission </w:t>
      </w:r>
      <w:r w:rsidRPr="009F56E6">
        <w:rPr>
          <w:noProof/>
        </w:rPr>
        <w:t>to the other Member States shall be carried out in</w:t>
      </w:r>
      <w:r w:rsidR="00CB2713" w:rsidRPr="009F56E6">
        <w:rPr>
          <w:noProof/>
        </w:rPr>
        <w:t xml:space="preserve"> </w:t>
      </w:r>
      <w:r w:rsidRPr="009F56E6">
        <w:rPr>
          <w:noProof/>
        </w:rPr>
        <w:t xml:space="preserve">accordance with </w:t>
      </w:r>
      <w:r w:rsidR="004543FE" w:rsidRPr="009F56E6">
        <w:rPr>
          <w:noProof/>
        </w:rPr>
        <w:t xml:space="preserve">a </w:t>
      </w:r>
      <w:r w:rsidRPr="009F56E6">
        <w:rPr>
          <w:noProof/>
        </w:rPr>
        <w:t>uniform data format</w:t>
      </w:r>
      <w:r w:rsidR="004543FE" w:rsidRPr="009F56E6">
        <w:rPr>
          <w:noProof/>
        </w:rPr>
        <w:t xml:space="preserve">. The Commission shall adopt </w:t>
      </w:r>
      <w:r w:rsidR="00E21DC0" w:rsidRPr="009F56E6">
        <w:rPr>
          <w:noProof/>
        </w:rPr>
        <w:t xml:space="preserve">implementing acts </w:t>
      </w:r>
      <w:r w:rsidR="004543FE" w:rsidRPr="009F56E6">
        <w:rPr>
          <w:noProof/>
        </w:rPr>
        <w:t>to specify</w:t>
      </w:r>
      <w:r w:rsidR="00E21DC0" w:rsidRPr="009F56E6">
        <w:rPr>
          <w:noProof/>
        </w:rPr>
        <w:t xml:space="preserve"> </w:t>
      </w:r>
      <w:r w:rsidR="004543FE" w:rsidRPr="009F56E6">
        <w:rPr>
          <w:noProof/>
        </w:rPr>
        <w:t>the uniform data format</w:t>
      </w:r>
      <w:r w:rsidR="00E21DC0" w:rsidRPr="009F56E6">
        <w:rPr>
          <w:noProof/>
        </w:rPr>
        <w:t xml:space="preserve"> in accordance with the procedure referred to in Article </w:t>
      </w:r>
      <w:r w:rsidR="00F776FA" w:rsidRPr="009F56E6">
        <w:rPr>
          <w:noProof/>
        </w:rPr>
        <w:t>7</w:t>
      </w:r>
      <w:r w:rsidR="00920A11">
        <w:rPr>
          <w:noProof/>
        </w:rPr>
        <w:t>6</w:t>
      </w:r>
      <w:r w:rsidR="00EF268D" w:rsidRPr="00E951DA">
        <w:rPr>
          <w:noProof/>
        </w:rPr>
        <w:t>(2)</w:t>
      </w:r>
      <w:r w:rsidRPr="009F56E6">
        <w:rPr>
          <w:noProof/>
        </w:rPr>
        <w:t>.</w:t>
      </w:r>
    </w:p>
    <w:p w14:paraId="758A6D88" w14:textId="002AE47D" w:rsidR="00743C4D" w:rsidRPr="009F56E6" w:rsidRDefault="00743C4D" w:rsidP="00743C4D">
      <w:pPr>
        <w:rPr>
          <w:noProof/>
        </w:rPr>
      </w:pPr>
      <w:r w:rsidRPr="009F56E6">
        <w:rPr>
          <w:noProof/>
        </w:rPr>
        <w:t>2. Each Member State shall ensure</w:t>
      </w:r>
      <w:r w:rsidR="00CB2713" w:rsidRPr="009F56E6">
        <w:rPr>
          <w:noProof/>
        </w:rPr>
        <w:t xml:space="preserve"> that the dactyloscopic data it </w:t>
      </w:r>
      <w:r w:rsidRPr="009F56E6">
        <w:rPr>
          <w:noProof/>
        </w:rPr>
        <w:t>transmits are of sufficient quality for a comparison by the</w:t>
      </w:r>
      <w:r w:rsidR="00CB2713" w:rsidRPr="009F56E6">
        <w:rPr>
          <w:noProof/>
        </w:rPr>
        <w:t xml:space="preserve"> </w:t>
      </w:r>
      <w:r w:rsidRPr="009F56E6">
        <w:rPr>
          <w:noProof/>
        </w:rPr>
        <w:t>automated fingerprint identification systems</w:t>
      </w:r>
      <w:r w:rsidR="00E1585A" w:rsidRPr="009F56E6">
        <w:rPr>
          <w:noProof/>
        </w:rPr>
        <w:t>.</w:t>
      </w:r>
    </w:p>
    <w:p w14:paraId="43E295D2" w14:textId="1E354CCA" w:rsidR="00743C4D" w:rsidRPr="009F56E6" w:rsidRDefault="00182CD1" w:rsidP="00743C4D">
      <w:pPr>
        <w:rPr>
          <w:noProof/>
        </w:rPr>
      </w:pPr>
      <w:r w:rsidRPr="009F56E6">
        <w:rPr>
          <w:noProof/>
        </w:rPr>
        <w:t>3</w:t>
      </w:r>
      <w:r w:rsidR="00743C4D" w:rsidRPr="009F56E6">
        <w:rPr>
          <w:noProof/>
        </w:rPr>
        <w:t xml:space="preserve">. </w:t>
      </w:r>
      <w:r w:rsidR="00EF4C55" w:rsidRPr="009F56E6">
        <w:rPr>
          <w:noProof/>
        </w:rPr>
        <w:t>Member States shall take a</w:t>
      </w:r>
      <w:r w:rsidRPr="009F56E6">
        <w:rPr>
          <w:noProof/>
        </w:rPr>
        <w:t xml:space="preserve">ppropriate measures to </w:t>
      </w:r>
      <w:r w:rsidR="00CB2713" w:rsidRPr="009F56E6">
        <w:rPr>
          <w:noProof/>
        </w:rPr>
        <w:t xml:space="preserve">ensure the </w:t>
      </w:r>
      <w:r w:rsidR="00743C4D" w:rsidRPr="009F56E6">
        <w:rPr>
          <w:noProof/>
        </w:rPr>
        <w:t>confidentiality and integrity of dactyloscopic data being sent to</w:t>
      </w:r>
      <w:r w:rsidR="00CB2713" w:rsidRPr="009F56E6">
        <w:rPr>
          <w:noProof/>
        </w:rPr>
        <w:t xml:space="preserve"> </w:t>
      </w:r>
      <w:r w:rsidR="00743C4D" w:rsidRPr="009F56E6">
        <w:rPr>
          <w:noProof/>
        </w:rPr>
        <w:t>other Member States, including their encryption.</w:t>
      </w:r>
    </w:p>
    <w:p w14:paraId="45B008C3" w14:textId="088C3E9E" w:rsidR="008B1045" w:rsidRPr="009F56E6" w:rsidRDefault="00182CD1" w:rsidP="008B1045">
      <w:pPr>
        <w:rPr>
          <w:noProof/>
        </w:rPr>
      </w:pPr>
      <w:r w:rsidRPr="009F56E6">
        <w:rPr>
          <w:noProof/>
        </w:rPr>
        <w:t>4</w:t>
      </w:r>
      <w:r w:rsidR="00772157" w:rsidRPr="009F56E6">
        <w:rPr>
          <w:noProof/>
        </w:rPr>
        <w:t>.</w:t>
      </w:r>
      <w:r w:rsidR="00366A21" w:rsidRPr="009F56E6">
        <w:rPr>
          <w:noProof/>
        </w:rPr>
        <w:t xml:space="preserve"> The Commission shall adopt implementing acts to specify the relevant existing standards </w:t>
      </w:r>
      <w:r w:rsidR="0067337C" w:rsidRPr="009F56E6">
        <w:rPr>
          <w:noProof/>
        </w:rPr>
        <w:t xml:space="preserve">for dactyloscopic data exchange </w:t>
      </w:r>
      <w:r w:rsidR="00366A21" w:rsidRPr="009F56E6">
        <w:rPr>
          <w:noProof/>
        </w:rPr>
        <w:t xml:space="preserve">that </w:t>
      </w:r>
      <w:r w:rsidR="00E1585A">
        <w:rPr>
          <w:noProof/>
        </w:rPr>
        <w:t>are to</w:t>
      </w:r>
      <w:r w:rsidR="00366A21" w:rsidRPr="009F56E6">
        <w:rPr>
          <w:noProof/>
        </w:rPr>
        <w:t xml:space="preserve"> be used by Member States. Those implementing acts shall be adopted in accordance with the procedure referred to in Article </w:t>
      </w:r>
      <w:r w:rsidR="00F776FA" w:rsidRPr="009F56E6">
        <w:rPr>
          <w:noProof/>
        </w:rPr>
        <w:t>7</w:t>
      </w:r>
      <w:r w:rsidR="00920A11">
        <w:rPr>
          <w:noProof/>
        </w:rPr>
        <w:t>6</w:t>
      </w:r>
      <w:r w:rsidR="00EF268D" w:rsidRPr="00E951DA">
        <w:rPr>
          <w:noProof/>
        </w:rPr>
        <w:t>(2)</w:t>
      </w:r>
      <w:r w:rsidR="00366A21" w:rsidRPr="009F56E6">
        <w:rPr>
          <w:noProof/>
        </w:rPr>
        <w:t>.</w:t>
      </w:r>
    </w:p>
    <w:p w14:paraId="56718D50" w14:textId="11D39F10" w:rsidR="00743C4D" w:rsidRPr="00657087" w:rsidRDefault="00CB2713" w:rsidP="008B1045">
      <w:pPr>
        <w:pStyle w:val="Titrearticle"/>
        <w:rPr>
          <w:iCs/>
          <w:noProof/>
        </w:rPr>
      </w:pPr>
      <w:r w:rsidRPr="00657087">
        <w:rPr>
          <w:noProof/>
        </w:rPr>
        <w:t xml:space="preserve">Article </w:t>
      </w:r>
      <w:r w:rsidRPr="00657087">
        <w:rPr>
          <w:iCs/>
          <w:noProof/>
        </w:rPr>
        <w:t>1</w:t>
      </w:r>
      <w:r w:rsidR="00745866" w:rsidRPr="00657087">
        <w:rPr>
          <w:iCs/>
          <w:noProof/>
        </w:rPr>
        <w:t>6</w:t>
      </w:r>
    </w:p>
    <w:p w14:paraId="5D470EA0" w14:textId="77777777" w:rsidR="00743C4D" w:rsidRPr="009F56E6" w:rsidRDefault="00743C4D" w:rsidP="00CB2713">
      <w:pPr>
        <w:jc w:val="center"/>
        <w:rPr>
          <w:b/>
          <w:bCs/>
          <w:noProof/>
        </w:rPr>
      </w:pPr>
      <w:r w:rsidRPr="009F56E6">
        <w:rPr>
          <w:b/>
          <w:bCs/>
          <w:noProof/>
        </w:rPr>
        <w:t>Search capacities for dactyloscopic data</w:t>
      </w:r>
    </w:p>
    <w:p w14:paraId="546C4328" w14:textId="3C24D82F" w:rsidR="00BA0889" w:rsidRDefault="00743C4D" w:rsidP="00743C4D">
      <w:pPr>
        <w:rPr>
          <w:noProof/>
        </w:rPr>
      </w:pPr>
      <w:r w:rsidRPr="009F56E6">
        <w:rPr>
          <w:noProof/>
        </w:rPr>
        <w:t>1. Each Member State shall ens</w:t>
      </w:r>
      <w:r w:rsidR="00CB2713" w:rsidRPr="009F56E6">
        <w:rPr>
          <w:noProof/>
        </w:rPr>
        <w:t xml:space="preserve">ure that its search requests do </w:t>
      </w:r>
      <w:r w:rsidRPr="009F56E6">
        <w:rPr>
          <w:noProof/>
        </w:rPr>
        <w:t>not exceed the search capacities specified by the requested</w:t>
      </w:r>
      <w:r w:rsidR="00CB2713" w:rsidRPr="009F56E6">
        <w:rPr>
          <w:noProof/>
        </w:rPr>
        <w:t xml:space="preserve"> </w:t>
      </w:r>
      <w:r w:rsidRPr="009F56E6">
        <w:rPr>
          <w:noProof/>
        </w:rPr>
        <w:t xml:space="preserve">Member State. </w:t>
      </w:r>
    </w:p>
    <w:p w14:paraId="652248A9" w14:textId="3F8C0EDC" w:rsidR="00743C4D" w:rsidRPr="00FA3A6D" w:rsidRDefault="00743C4D" w:rsidP="00743C4D">
      <w:pPr>
        <w:rPr>
          <w:noProof/>
        </w:rPr>
      </w:pPr>
      <w:r w:rsidRPr="009F56E6">
        <w:rPr>
          <w:noProof/>
        </w:rPr>
        <w:t xml:space="preserve">Member States shall </w:t>
      </w:r>
      <w:r w:rsidR="00E1585A">
        <w:rPr>
          <w:noProof/>
        </w:rPr>
        <w:t>inform</w:t>
      </w:r>
      <w:r w:rsidRPr="009F56E6">
        <w:rPr>
          <w:noProof/>
        </w:rPr>
        <w:t xml:space="preserve"> the </w:t>
      </w:r>
      <w:r w:rsidR="00CB63CB" w:rsidRPr="009F56E6">
        <w:rPr>
          <w:noProof/>
        </w:rPr>
        <w:t>Commission and eu-</w:t>
      </w:r>
      <w:r w:rsidR="00CB63CB" w:rsidRPr="001333AD">
        <w:rPr>
          <w:noProof/>
        </w:rPr>
        <w:t>LISA</w:t>
      </w:r>
      <w:r w:rsidRPr="001333AD">
        <w:rPr>
          <w:noProof/>
        </w:rPr>
        <w:t xml:space="preserve"> in </w:t>
      </w:r>
      <w:r w:rsidR="00E1585A" w:rsidRPr="001333AD">
        <w:rPr>
          <w:noProof/>
        </w:rPr>
        <w:t>accordance with Article 7</w:t>
      </w:r>
      <w:r w:rsidR="00537CBF" w:rsidRPr="001333AD">
        <w:rPr>
          <w:noProof/>
        </w:rPr>
        <w:t>9</w:t>
      </w:r>
      <w:r w:rsidR="00612DE0">
        <w:rPr>
          <w:noProof/>
        </w:rPr>
        <w:t>(8) and (10)</w:t>
      </w:r>
      <w:r w:rsidR="00E1585A" w:rsidRPr="001333AD">
        <w:rPr>
          <w:noProof/>
        </w:rPr>
        <w:t xml:space="preserve"> about</w:t>
      </w:r>
      <w:r w:rsidRPr="001333AD">
        <w:rPr>
          <w:noProof/>
        </w:rPr>
        <w:t xml:space="preserve"> their maximum search capacities</w:t>
      </w:r>
      <w:r w:rsidR="00CB2713" w:rsidRPr="001333AD">
        <w:rPr>
          <w:noProof/>
        </w:rPr>
        <w:t xml:space="preserve"> </w:t>
      </w:r>
      <w:r w:rsidRPr="001333AD">
        <w:rPr>
          <w:noProof/>
        </w:rPr>
        <w:t>per day for dactyloscopic data of</w:t>
      </w:r>
      <w:r w:rsidRPr="009F56E6">
        <w:rPr>
          <w:noProof/>
        </w:rPr>
        <w:t xml:space="preserve"> identified persons and for</w:t>
      </w:r>
      <w:r w:rsidR="00CB2713" w:rsidRPr="009F56E6">
        <w:rPr>
          <w:noProof/>
        </w:rPr>
        <w:t xml:space="preserve"> </w:t>
      </w:r>
      <w:r w:rsidRPr="009F56E6">
        <w:rPr>
          <w:noProof/>
        </w:rPr>
        <w:t xml:space="preserve">dactyloscopic data of </w:t>
      </w:r>
      <w:r w:rsidRPr="00FA3A6D">
        <w:rPr>
          <w:noProof/>
        </w:rPr>
        <w:t>persons not yet identified.</w:t>
      </w:r>
    </w:p>
    <w:p w14:paraId="2E35D8BB" w14:textId="4CD6E8C5" w:rsidR="00743C4D" w:rsidRPr="009F56E6" w:rsidRDefault="00743C4D" w:rsidP="00743C4D">
      <w:pPr>
        <w:rPr>
          <w:noProof/>
        </w:rPr>
      </w:pPr>
      <w:r w:rsidRPr="00FA3A6D">
        <w:rPr>
          <w:noProof/>
        </w:rPr>
        <w:t xml:space="preserve">2. </w:t>
      </w:r>
      <w:r w:rsidR="00CB63CB" w:rsidRPr="00FA3A6D">
        <w:rPr>
          <w:noProof/>
        </w:rPr>
        <w:t>The Commission shall adopt implementing acts to specify t</w:t>
      </w:r>
      <w:r w:rsidRPr="00FA3A6D">
        <w:rPr>
          <w:noProof/>
        </w:rPr>
        <w:t>he maximum numbers of candi</w:t>
      </w:r>
      <w:r w:rsidR="00CB2713" w:rsidRPr="00FA3A6D">
        <w:rPr>
          <w:noProof/>
        </w:rPr>
        <w:t xml:space="preserve">dates accepted </w:t>
      </w:r>
      <w:r w:rsidR="00CB2713" w:rsidRPr="0003774E">
        <w:rPr>
          <w:noProof/>
        </w:rPr>
        <w:t xml:space="preserve">for </w:t>
      </w:r>
      <w:r w:rsidR="00FA3A6D" w:rsidRPr="00FA3A6D">
        <w:rPr>
          <w:noProof/>
        </w:rPr>
        <w:t xml:space="preserve">comparison </w:t>
      </w:r>
      <w:r w:rsidRPr="0003774E">
        <w:rPr>
          <w:noProof/>
        </w:rPr>
        <w:t>per transmission</w:t>
      </w:r>
      <w:r w:rsidRPr="00FA3A6D">
        <w:rPr>
          <w:noProof/>
        </w:rPr>
        <w:t xml:space="preserve"> </w:t>
      </w:r>
      <w:r w:rsidR="00E21DC0" w:rsidRPr="00FA3A6D">
        <w:rPr>
          <w:noProof/>
        </w:rPr>
        <w:t>in</w:t>
      </w:r>
      <w:r w:rsidR="00E21DC0" w:rsidRPr="009F56E6">
        <w:rPr>
          <w:noProof/>
        </w:rPr>
        <w:t xml:space="preserve"> accordance with the procedure referred to in Article </w:t>
      </w:r>
      <w:r w:rsidR="00905C52" w:rsidRPr="009F56E6">
        <w:rPr>
          <w:noProof/>
        </w:rPr>
        <w:t>7</w:t>
      </w:r>
      <w:r w:rsidR="00537CBF">
        <w:rPr>
          <w:noProof/>
        </w:rPr>
        <w:t>6</w:t>
      </w:r>
      <w:r w:rsidR="00EF268D" w:rsidRPr="00E951DA">
        <w:rPr>
          <w:noProof/>
        </w:rPr>
        <w:t>(2)</w:t>
      </w:r>
      <w:r w:rsidRPr="009F56E6">
        <w:rPr>
          <w:noProof/>
        </w:rPr>
        <w:t>.</w:t>
      </w:r>
    </w:p>
    <w:p w14:paraId="0F96858C" w14:textId="69DC81C8" w:rsidR="00102F1D" w:rsidRPr="009F56E6" w:rsidRDefault="00102F1D" w:rsidP="00102F1D">
      <w:pPr>
        <w:pStyle w:val="Titrearticle"/>
        <w:rPr>
          <w:noProof/>
        </w:rPr>
      </w:pPr>
      <w:r w:rsidRPr="009F56E6">
        <w:rPr>
          <w:noProof/>
        </w:rPr>
        <w:t xml:space="preserve">Article </w:t>
      </w:r>
      <w:r w:rsidR="00745866" w:rsidRPr="009F56E6">
        <w:rPr>
          <w:noProof/>
        </w:rPr>
        <w:t>17</w:t>
      </w:r>
    </w:p>
    <w:p w14:paraId="1EF93412" w14:textId="77777777" w:rsidR="0016435A" w:rsidRPr="009F56E6" w:rsidRDefault="0016435A" w:rsidP="0016435A">
      <w:pPr>
        <w:jc w:val="center"/>
        <w:rPr>
          <w:b/>
          <w:noProof/>
        </w:rPr>
      </w:pPr>
      <w:r w:rsidRPr="009F56E6">
        <w:rPr>
          <w:b/>
          <w:noProof/>
        </w:rPr>
        <w:t>Rules for requests and answers regarding dactyloscopic data</w:t>
      </w:r>
    </w:p>
    <w:p w14:paraId="107D816A" w14:textId="31EC392C" w:rsidR="00102F1D" w:rsidRPr="009F56E6" w:rsidRDefault="00102F1D" w:rsidP="00102F1D">
      <w:pPr>
        <w:rPr>
          <w:noProof/>
        </w:rPr>
      </w:pPr>
      <w:r w:rsidRPr="009F56E6">
        <w:rPr>
          <w:noProof/>
        </w:rPr>
        <w:t>1. A request for an automated search shall include only the following information:</w:t>
      </w:r>
    </w:p>
    <w:p w14:paraId="39DA7E60" w14:textId="2A781B39" w:rsidR="00102F1D" w:rsidRPr="009F56E6" w:rsidRDefault="00C304BF" w:rsidP="00C304BF">
      <w:pPr>
        <w:pStyle w:val="Point0"/>
        <w:rPr>
          <w:noProof/>
        </w:rPr>
      </w:pPr>
      <w:r w:rsidRPr="00C304BF">
        <w:t>(a)</w:t>
      </w:r>
      <w:r w:rsidRPr="00C304BF">
        <w:tab/>
      </w:r>
      <w:r w:rsidR="00102F1D" w:rsidRPr="009F56E6">
        <w:rPr>
          <w:noProof/>
        </w:rPr>
        <w:t>the code of the requesting Member State;</w:t>
      </w:r>
    </w:p>
    <w:p w14:paraId="0E2EEB91" w14:textId="350C0DBF" w:rsidR="00102F1D" w:rsidRPr="009F56E6" w:rsidRDefault="00C304BF" w:rsidP="00C304BF">
      <w:pPr>
        <w:pStyle w:val="Point0"/>
        <w:rPr>
          <w:noProof/>
        </w:rPr>
      </w:pPr>
      <w:r w:rsidRPr="00C304BF">
        <w:t>(b)</w:t>
      </w:r>
      <w:r w:rsidRPr="00C304BF">
        <w:tab/>
      </w:r>
      <w:r w:rsidR="00102F1D" w:rsidRPr="009F56E6">
        <w:rPr>
          <w:noProof/>
        </w:rPr>
        <w:t>the date, time and indication number of the request;</w:t>
      </w:r>
    </w:p>
    <w:p w14:paraId="390FC01D" w14:textId="55839C32" w:rsidR="00102F1D" w:rsidRPr="009F56E6" w:rsidRDefault="00C304BF" w:rsidP="00C304BF">
      <w:pPr>
        <w:pStyle w:val="Point0"/>
        <w:rPr>
          <w:noProof/>
        </w:rPr>
      </w:pPr>
      <w:r w:rsidRPr="00C304BF">
        <w:t>(c)</w:t>
      </w:r>
      <w:r w:rsidRPr="00C304BF">
        <w:tab/>
      </w:r>
      <w:r w:rsidR="00102F1D" w:rsidRPr="009F56E6">
        <w:rPr>
          <w:noProof/>
        </w:rPr>
        <w:t>the dactyloscopic data and their reference numbers</w:t>
      </w:r>
      <w:r w:rsidR="00E1585A">
        <w:rPr>
          <w:noProof/>
        </w:rPr>
        <w:t xml:space="preserve"> referred to in Article 14</w:t>
      </w:r>
      <w:r w:rsidR="00102F1D" w:rsidRPr="009F56E6">
        <w:rPr>
          <w:noProof/>
        </w:rPr>
        <w:t>.</w:t>
      </w:r>
    </w:p>
    <w:p w14:paraId="2CEF7285" w14:textId="295197BC" w:rsidR="00102F1D" w:rsidRPr="009F56E6" w:rsidRDefault="00102F1D" w:rsidP="00102F1D">
      <w:pPr>
        <w:rPr>
          <w:noProof/>
        </w:rPr>
      </w:pPr>
      <w:r w:rsidRPr="009F56E6">
        <w:rPr>
          <w:noProof/>
        </w:rPr>
        <w:t>2. The answer to the request referred to in paragraph 1 shall contain only the following information:</w:t>
      </w:r>
    </w:p>
    <w:p w14:paraId="79093214" w14:textId="7D698E43" w:rsidR="00102F1D" w:rsidRPr="009F56E6" w:rsidRDefault="00C304BF" w:rsidP="00C304BF">
      <w:pPr>
        <w:pStyle w:val="Point0"/>
        <w:rPr>
          <w:noProof/>
        </w:rPr>
      </w:pPr>
      <w:r w:rsidRPr="00C304BF">
        <w:t>(a)</w:t>
      </w:r>
      <w:r w:rsidRPr="00C304BF">
        <w:tab/>
      </w:r>
      <w:r w:rsidR="00102F1D" w:rsidRPr="009F56E6">
        <w:rPr>
          <w:noProof/>
        </w:rPr>
        <w:t>an indication as to whether there were one or more matches or no matches;</w:t>
      </w:r>
    </w:p>
    <w:p w14:paraId="70D31A54" w14:textId="16A2C4EE" w:rsidR="00102F1D" w:rsidRPr="009F56E6" w:rsidRDefault="00C304BF" w:rsidP="00C304BF">
      <w:pPr>
        <w:pStyle w:val="Point0"/>
        <w:rPr>
          <w:noProof/>
        </w:rPr>
      </w:pPr>
      <w:r w:rsidRPr="00C304BF">
        <w:t>(b)</w:t>
      </w:r>
      <w:r w:rsidRPr="00C304BF">
        <w:tab/>
      </w:r>
      <w:r w:rsidR="00102F1D" w:rsidRPr="009F56E6">
        <w:rPr>
          <w:noProof/>
        </w:rPr>
        <w:t>the date, time and indication number of the request;</w:t>
      </w:r>
    </w:p>
    <w:p w14:paraId="6DA60C76" w14:textId="30967211" w:rsidR="00102F1D" w:rsidRPr="009F56E6" w:rsidRDefault="00C304BF" w:rsidP="00C304BF">
      <w:pPr>
        <w:pStyle w:val="Point0"/>
        <w:rPr>
          <w:noProof/>
        </w:rPr>
      </w:pPr>
      <w:r w:rsidRPr="00C304BF">
        <w:t>(c)</w:t>
      </w:r>
      <w:r w:rsidRPr="00C304BF">
        <w:tab/>
      </w:r>
      <w:r w:rsidR="00102F1D" w:rsidRPr="009F56E6">
        <w:rPr>
          <w:noProof/>
        </w:rPr>
        <w:t>the date, time and indication number of the answer;</w:t>
      </w:r>
    </w:p>
    <w:p w14:paraId="16390621" w14:textId="7F851C2A" w:rsidR="00102F1D" w:rsidRPr="009F56E6" w:rsidRDefault="00C304BF" w:rsidP="00C304BF">
      <w:pPr>
        <w:pStyle w:val="Point0"/>
        <w:rPr>
          <w:noProof/>
        </w:rPr>
      </w:pPr>
      <w:r w:rsidRPr="00C304BF">
        <w:t>(d)</w:t>
      </w:r>
      <w:r w:rsidRPr="00C304BF">
        <w:tab/>
      </w:r>
      <w:r w:rsidR="00102F1D" w:rsidRPr="009F56E6">
        <w:rPr>
          <w:noProof/>
        </w:rPr>
        <w:t>the codes of the requesting and requested Member States;</w:t>
      </w:r>
    </w:p>
    <w:p w14:paraId="0BAABFFE" w14:textId="153DD0EF" w:rsidR="00FA3A6D" w:rsidRPr="009F56E6" w:rsidRDefault="00C304BF" w:rsidP="00C304BF">
      <w:pPr>
        <w:pStyle w:val="Point0"/>
        <w:rPr>
          <w:noProof/>
        </w:rPr>
      </w:pPr>
      <w:r w:rsidRPr="00C304BF">
        <w:t>(e)</w:t>
      </w:r>
      <w:r w:rsidRPr="00C304BF">
        <w:tab/>
      </w:r>
      <w:r w:rsidR="00102F1D" w:rsidRPr="009F56E6">
        <w:rPr>
          <w:noProof/>
        </w:rPr>
        <w:t xml:space="preserve">the reference numbers of the dactyloscopic data from the requesting and requested Member </w:t>
      </w:r>
      <w:r w:rsidR="00407AB2" w:rsidRPr="009F56E6">
        <w:rPr>
          <w:noProof/>
        </w:rPr>
        <w:t>States</w:t>
      </w:r>
      <w:r w:rsidR="00102F1D" w:rsidRPr="009F56E6">
        <w:rPr>
          <w:noProof/>
        </w:rPr>
        <w:t xml:space="preserve">; </w:t>
      </w:r>
    </w:p>
    <w:p w14:paraId="63BDDA26" w14:textId="3760BCF5" w:rsidR="00743C4D" w:rsidRPr="009F56E6" w:rsidRDefault="00C304BF" w:rsidP="00C304BF">
      <w:pPr>
        <w:pStyle w:val="Point0"/>
        <w:rPr>
          <w:noProof/>
        </w:rPr>
      </w:pPr>
      <w:r w:rsidRPr="00C304BF">
        <w:t>(f)</w:t>
      </w:r>
      <w:r w:rsidRPr="00C304BF">
        <w:tab/>
      </w:r>
      <w:r w:rsidR="00102F1D" w:rsidRPr="009F56E6">
        <w:rPr>
          <w:noProof/>
        </w:rPr>
        <w:t>the matching dactyloscopic data.</w:t>
      </w:r>
    </w:p>
    <w:p w14:paraId="235F7A93" w14:textId="09AC43A5" w:rsidR="003B33FA" w:rsidRPr="007C7BE5" w:rsidRDefault="003B33FA" w:rsidP="003B33FA">
      <w:pPr>
        <w:pStyle w:val="Titrearticle"/>
        <w:rPr>
          <w:i w:val="0"/>
          <w:noProof/>
        </w:rPr>
      </w:pPr>
      <w:r w:rsidRPr="007C7BE5">
        <w:rPr>
          <w:i w:val="0"/>
          <w:noProof/>
        </w:rPr>
        <w:t>SECTION 3</w:t>
      </w:r>
    </w:p>
    <w:p w14:paraId="20EE0FF4" w14:textId="714446AF" w:rsidR="003B33FA" w:rsidRPr="007C7BE5" w:rsidRDefault="003B33FA" w:rsidP="003B33FA">
      <w:pPr>
        <w:jc w:val="center"/>
        <w:rPr>
          <w:b/>
          <w:noProof/>
        </w:rPr>
      </w:pPr>
      <w:r w:rsidRPr="007C7BE5">
        <w:rPr>
          <w:b/>
          <w:noProof/>
        </w:rPr>
        <w:t>Vehicle registration data</w:t>
      </w:r>
    </w:p>
    <w:p w14:paraId="0CA96393" w14:textId="00B66498" w:rsidR="009E24EF" w:rsidRPr="009F56E6" w:rsidRDefault="000D1BEA" w:rsidP="009E24EF">
      <w:pPr>
        <w:pStyle w:val="Titrearticle"/>
        <w:rPr>
          <w:noProof/>
        </w:rPr>
      </w:pPr>
      <w:r w:rsidRPr="009F56E6">
        <w:rPr>
          <w:noProof/>
        </w:rPr>
        <w:t xml:space="preserve">Article </w:t>
      </w:r>
      <w:r w:rsidR="00745866" w:rsidRPr="009F56E6">
        <w:rPr>
          <w:noProof/>
        </w:rPr>
        <w:t>18</w:t>
      </w:r>
    </w:p>
    <w:p w14:paraId="595DAAFC" w14:textId="3ED4DCE8" w:rsidR="009E24EF" w:rsidRPr="009F56E6" w:rsidRDefault="005C664C" w:rsidP="009E24EF">
      <w:pPr>
        <w:jc w:val="center"/>
        <w:rPr>
          <w:b/>
          <w:noProof/>
        </w:rPr>
      </w:pPr>
      <w:r w:rsidRPr="009F56E6">
        <w:rPr>
          <w:b/>
          <w:noProof/>
        </w:rPr>
        <w:t>Automated searching of vehicle registration data</w:t>
      </w:r>
    </w:p>
    <w:p w14:paraId="4764F2B8" w14:textId="045E2CBB" w:rsidR="00B339BB" w:rsidRPr="009F56E6" w:rsidRDefault="00974F15" w:rsidP="00B339BB">
      <w:pPr>
        <w:rPr>
          <w:noProof/>
        </w:rPr>
      </w:pPr>
      <w:r>
        <w:rPr>
          <w:noProof/>
        </w:rPr>
        <w:t xml:space="preserve">1. </w:t>
      </w:r>
      <w:r w:rsidR="00B339BB" w:rsidRPr="009F56E6">
        <w:rPr>
          <w:noProof/>
        </w:rPr>
        <w:t>For the prevention</w:t>
      </w:r>
      <w:r w:rsidR="00404355" w:rsidRPr="009F56E6">
        <w:rPr>
          <w:noProof/>
        </w:rPr>
        <w:t>, detection</w:t>
      </w:r>
      <w:r w:rsidR="00B339BB" w:rsidRPr="009F56E6">
        <w:rPr>
          <w:noProof/>
        </w:rPr>
        <w:t xml:space="preserve"> and investigation of criminal offe</w:t>
      </w:r>
      <w:r w:rsidR="00EC4824">
        <w:rPr>
          <w:noProof/>
        </w:rPr>
        <w:t>nces, Member States shall allow</w:t>
      </w:r>
      <w:r w:rsidR="00B339BB" w:rsidRPr="009F56E6">
        <w:rPr>
          <w:noProof/>
        </w:rPr>
        <w:t xml:space="preserve"> national contact points</w:t>
      </w:r>
      <w:r w:rsidRPr="00974F15">
        <w:rPr>
          <w:noProof/>
        </w:rPr>
        <w:t xml:space="preserve"> </w:t>
      </w:r>
      <w:r>
        <w:rPr>
          <w:noProof/>
        </w:rPr>
        <w:t xml:space="preserve">of </w:t>
      </w:r>
      <w:r w:rsidRPr="009F56E6">
        <w:rPr>
          <w:noProof/>
        </w:rPr>
        <w:t>other Member States</w:t>
      </w:r>
      <w:r w:rsidR="00B339BB" w:rsidRPr="009F56E6">
        <w:rPr>
          <w:noProof/>
        </w:rPr>
        <w:t xml:space="preserve"> </w:t>
      </w:r>
      <w:r w:rsidR="00CA6AA8" w:rsidRPr="009F56E6">
        <w:rPr>
          <w:noProof/>
        </w:rPr>
        <w:t>and Europol</w:t>
      </w:r>
      <w:r w:rsidR="00B339BB" w:rsidRPr="009F56E6">
        <w:rPr>
          <w:noProof/>
        </w:rPr>
        <w:t xml:space="preserve"> access to the following national vehicle registration data, to conduct automated searches in individual cases:</w:t>
      </w:r>
    </w:p>
    <w:p w14:paraId="06C066DF" w14:textId="0086330A" w:rsidR="00B339BB" w:rsidRPr="009F56E6" w:rsidRDefault="00C304BF" w:rsidP="00C304BF">
      <w:pPr>
        <w:pStyle w:val="Point0"/>
        <w:rPr>
          <w:noProof/>
        </w:rPr>
      </w:pPr>
      <w:r w:rsidRPr="00C304BF">
        <w:t>(a)</w:t>
      </w:r>
      <w:r w:rsidRPr="00C304BF">
        <w:tab/>
      </w:r>
      <w:r w:rsidR="00B339BB" w:rsidRPr="009F56E6">
        <w:rPr>
          <w:noProof/>
        </w:rPr>
        <w:t xml:space="preserve">data relating to owners or operators; </w:t>
      </w:r>
    </w:p>
    <w:p w14:paraId="1E372D50" w14:textId="2B29E014" w:rsidR="00B339BB" w:rsidRPr="009F56E6" w:rsidRDefault="00C304BF" w:rsidP="00C304BF">
      <w:pPr>
        <w:pStyle w:val="Point0"/>
        <w:rPr>
          <w:noProof/>
        </w:rPr>
      </w:pPr>
      <w:r w:rsidRPr="00C304BF">
        <w:t>(b)</w:t>
      </w:r>
      <w:r w:rsidRPr="00C304BF">
        <w:tab/>
      </w:r>
      <w:r w:rsidR="00B339BB" w:rsidRPr="009F56E6">
        <w:rPr>
          <w:noProof/>
        </w:rPr>
        <w:t>data relating to vehicles.</w:t>
      </w:r>
    </w:p>
    <w:p w14:paraId="126FFC1E" w14:textId="77777777" w:rsidR="00974F15" w:rsidRDefault="00974F15" w:rsidP="00B339BB">
      <w:pPr>
        <w:rPr>
          <w:noProof/>
        </w:rPr>
      </w:pPr>
      <w:r>
        <w:rPr>
          <w:noProof/>
        </w:rPr>
        <w:t xml:space="preserve">2. </w:t>
      </w:r>
      <w:r w:rsidR="00B339BB" w:rsidRPr="009F56E6">
        <w:rPr>
          <w:noProof/>
        </w:rPr>
        <w:t xml:space="preserve">Searches may be conducted </w:t>
      </w:r>
      <w:r w:rsidR="006517D1" w:rsidRPr="009F56E6">
        <w:rPr>
          <w:noProof/>
        </w:rPr>
        <w:t>only with a full chassis number or a full registration number</w:t>
      </w:r>
      <w:r w:rsidR="00B339BB" w:rsidRPr="009F56E6">
        <w:rPr>
          <w:noProof/>
        </w:rPr>
        <w:t xml:space="preserve">. </w:t>
      </w:r>
    </w:p>
    <w:p w14:paraId="74C8A1A5" w14:textId="4E5BAD33" w:rsidR="00B339BB" w:rsidRPr="009F56E6" w:rsidRDefault="00974F15" w:rsidP="00B339BB">
      <w:pPr>
        <w:rPr>
          <w:noProof/>
        </w:rPr>
      </w:pPr>
      <w:r>
        <w:rPr>
          <w:noProof/>
        </w:rPr>
        <w:t xml:space="preserve">3. </w:t>
      </w:r>
      <w:r w:rsidR="00B339BB" w:rsidRPr="009F56E6">
        <w:rPr>
          <w:noProof/>
        </w:rPr>
        <w:t xml:space="preserve">Searches may be conducted only in compliance with the </w:t>
      </w:r>
      <w:r w:rsidRPr="009F56E6">
        <w:rPr>
          <w:noProof/>
        </w:rPr>
        <w:t xml:space="preserve">national law </w:t>
      </w:r>
      <w:r>
        <w:rPr>
          <w:noProof/>
        </w:rPr>
        <w:t xml:space="preserve">of the </w:t>
      </w:r>
      <w:r w:rsidR="006A6F5A" w:rsidRPr="009F56E6">
        <w:rPr>
          <w:noProof/>
        </w:rPr>
        <w:t xml:space="preserve">requesting </w:t>
      </w:r>
      <w:r w:rsidR="00B339BB" w:rsidRPr="009F56E6">
        <w:rPr>
          <w:noProof/>
        </w:rPr>
        <w:t>Member State.</w:t>
      </w:r>
    </w:p>
    <w:p w14:paraId="521B7E72" w14:textId="7415C77B" w:rsidR="00C5266A" w:rsidRPr="0003774E" w:rsidRDefault="00C5266A" w:rsidP="00E7465F">
      <w:pPr>
        <w:pStyle w:val="Titrearticle"/>
        <w:rPr>
          <w:iCs/>
          <w:noProof/>
        </w:rPr>
      </w:pPr>
      <w:r w:rsidRPr="00792261">
        <w:rPr>
          <w:noProof/>
        </w:rPr>
        <w:t>A</w:t>
      </w:r>
      <w:r w:rsidR="007D19F1" w:rsidRPr="0003774E">
        <w:rPr>
          <w:iCs/>
          <w:noProof/>
        </w:rPr>
        <w:t xml:space="preserve">rticle </w:t>
      </w:r>
      <w:r w:rsidR="00745866" w:rsidRPr="0003774E">
        <w:rPr>
          <w:iCs/>
          <w:noProof/>
        </w:rPr>
        <w:t>19</w:t>
      </w:r>
    </w:p>
    <w:p w14:paraId="2CE3E696" w14:textId="70AE438E" w:rsidR="00C5266A" w:rsidRPr="009F56E6" w:rsidRDefault="00C5266A" w:rsidP="00C5266A">
      <w:pPr>
        <w:jc w:val="center"/>
        <w:rPr>
          <w:b/>
          <w:bCs/>
          <w:noProof/>
        </w:rPr>
      </w:pPr>
      <w:r w:rsidRPr="009F56E6">
        <w:rPr>
          <w:b/>
          <w:bCs/>
          <w:noProof/>
        </w:rPr>
        <w:t>Principles of automated searching of vehicle registration data</w:t>
      </w:r>
    </w:p>
    <w:p w14:paraId="0420D72E" w14:textId="1BE7A2E9" w:rsidR="00C5266A" w:rsidRPr="009F56E6" w:rsidRDefault="00C5266A" w:rsidP="00C5266A">
      <w:pPr>
        <w:rPr>
          <w:noProof/>
        </w:rPr>
      </w:pPr>
      <w:r w:rsidRPr="009F56E6">
        <w:rPr>
          <w:noProof/>
        </w:rPr>
        <w:t>1. For automated searching of vehicle registration data Member States shall use the European Vehicle and Driving Licence Information System (Eucaris).</w:t>
      </w:r>
    </w:p>
    <w:p w14:paraId="342128B3" w14:textId="61C9696B" w:rsidR="00C5266A" w:rsidRPr="009F56E6" w:rsidRDefault="00864719" w:rsidP="00C5266A">
      <w:pPr>
        <w:rPr>
          <w:noProof/>
        </w:rPr>
      </w:pPr>
      <w:r w:rsidRPr="009F56E6">
        <w:rPr>
          <w:noProof/>
        </w:rPr>
        <w:t>2</w:t>
      </w:r>
      <w:r w:rsidR="00C5266A" w:rsidRPr="009F56E6">
        <w:rPr>
          <w:noProof/>
        </w:rPr>
        <w:t>. The information exchanged via Eucaris shall be transmitted in encrypted form.</w:t>
      </w:r>
    </w:p>
    <w:p w14:paraId="22552D34" w14:textId="2061792C" w:rsidR="00C5266A" w:rsidRDefault="00864719" w:rsidP="00C5266A">
      <w:pPr>
        <w:rPr>
          <w:noProof/>
        </w:rPr>
      </w:pPr>
      <w:r w:rsidRPr="009F56E6">
        <w:rPr>
          <w:noProof/>
        </w:rPr>
        <w:t>3</w:t>
      </w:r>
      <w:r w:rsidR="00C5266A" w:rsidRPr="009F56E6">
        <w:rPr>
          <w:noProof/>
        </w:rPr>
        <w:t xml:space="preserve">. </w:t>
      </w:r>
      <w:r w:rsidR="00087DB8" w:rsidRPr="009F56E6">
        <w:rPr>
          <w:noProof/>
        </w:rPr>
        <w:t>The Commission shall adopt implementing acts to specify the</w:t>
      </w:r>
      <w:r w:rsidR="00C5266A" w:rsidRPr="009F56E6">
        <w:rPr>
          <w:noProof/>
        </w:rPr>
        <w:t xml:space="preserve"> data elements of the vehicle registration data to be exchanged</w:t>
      </w:r>
      <w:r w:rsidR="00087DB8" w:rsidRPr="009F56E6">
        <w:rPr>
          <w:noProof/>
        </w:rPr>
        <w:t>. Those implementing acts</w:t>
      </w:r>
      <w:r w:rsidR="00C5266A" w:rsidRPr="009F56E6">
        <w:rPr>
          <w:noProof/>
        </w:rPr>
        <w:t xml:space="preserve"> </w:t>
      </w:r>
      <w:r w:rsidR="000B370F" w:rsidRPr="009F56E6">
        <w:rPr>
          <w:noProof/>
        </w:rPr>
        <w:t>shall be</w:t>
      </w:r>
      <w:r w:rsidR="00C5266A" w:rsidRPr="009F56E6">
        <w:rPr>
          <w:noProof/>
        </w:rPr>
        <w:t xml:space="preserve"> </w:t>
      </w:r>
      <w:r w:rsidR="000B370F" w:rsidRPr="009F56E6">
        <w:rPr>
          <w:noProof/>
        </w:rPr>
        <w:t xml:space="preserve">adopted in accordance with the procedure referred to in Article </w:t>
      </w:r>
      <w:r w:rsidR="00905C52" w:rsidRPr="009F56E6">
        <w:rPr>
          <w:noProof/>
        </w:rPr>
        <w:t>7</w:t>
      </w:r>
      <w:r w:rsidR="00537CBF">
        <w:rPr>
          <w:noProof/>
        </w:rPr>
        <w:t>6</w:t>
      </w:r>
      <w:r w:rsidR="00EF268D" w:rsidRPr="00E951DA">
        <w:rPr>
          <w:noProof/>
        </w:rPr>
        <w:t>(2)</w:t>
      </w:r>
      <w:r w:rsidR="00087DB8" w:rsidRPr="009F56E6">
        <w:rPr>
          <w:noProof/>
        </w:rPr>
        <w:t>.</w:t>
      </w:r>
    </w:p>
    <w:p w14:paraId="4B00B0F3" w14:textId="56724D1F" w:rsidR="003F4856" w:rsidRPr="009F56E6" w:rsidRDefault="003F4856" w:rsidP="003F4856">
      <w:pPr>
        <w:pStyle w:val="Titrearticle"/>
        <w:rPr>
          <w:noProof/>
        </w:rPr>
      </w:pPr>
      <w:r w:rsidRPr="009F56E6">
        <w:rPr>
          <w:noProof/>
        </w:rPr>
        <w:t xml:space="preserve">Article </w:t>
      </w:r>
      <w:r w:rsidR="00E15E51">
        <w:rPr>
          <w:noProof/>
        </w:rPr>
        <w:t>20</w:t>
      </w:r>
    </w:p>
    <w:p w14:paraId="74913B9B" w14:textId="77777777" w:rsidR="003F4856" w:rsidRPr="009F56E6" w:rsidRDefault="003F4856" w:rsidP="003F4856">
      <w:pPr>
        <w:jc w:val="center"/>
        <w:rPr>
          <w:b/>
          <w:noProof/>
        </w:rPr>
      </w:pPr>
      <w:r w:rsidRPr="009F56E6">
        <w:rPr>
          <w:b/>
          <w:noProof/>
        </w:rPr>
        <w:t>Keeping of logs</w:t>
      </w:r>
    </w:p>
    <w:p w14:paraId="12EA7270" w14:textId="41A62F0B" w:rsidR="003F4856" w:rsidRDefault="003F4856" w:rsidP="003F4856">
      <w:pPr>
        <w:rPr>
          <w:noProof/>
        </w:rPr>
      </w:pPr>
      <w:r w:rsidRPr="005A04A2">
        <w:rPr>
          <w:noProof/>
        </w:rPr>
        <w:t xml:space="preserve">1. Each Member State shall keep logs of queries that the staff of </w:t>
      </w:r>
      <w:r w:rsidR="001C46BA">
        <w:rPr>
          <w:noProof/>
        </w:rPr>
        <w:t>its</w:t>
      </w:r>
      <w:r w:rsidR="001C46BA" w:rsidRPr="005A04A2">
        <w:rPr>
          <w:noProof/>
        </w:rPr>
        <w:t xml:space="preserve"> </w:t>
      </w:r>
      <w:r w:rsidRPr="005A04A2">
        <w:rPr>
          <w:noProof/>
        </w:rPr>
        <w:t xml:space="preserve">authorities duly authorised to </w:t>
      </w:r>
      <w:r>
        <w:rPr>
          <w:noProof/>
        </w:rPr>
        <w:t>exchange vehicle registration data</w:t>
      </w:r>
      <w:r w:rsidRPr="005A04A2">
        <w:rPr>
          <w:noProof/>
        </w:rPr>
        <w:t xml:space="preserve"> make as well as logs of queries requested by other Member States. Europol shall keep logs of queries that its duly authorised staff make.</w:t>
      </w:r>
    </w:p>
    <w:p w14:paraId="02A8A7A4" w14:textId="3E3544FC" w:rsidR="003F4856" w:rsidRPr="005A04A2" w:rsidRDefault="003F4856" w:rsidP="003F4856">
      <w:pPr>
        <w:rPr>
          <w:noProof/>
        </w:rPr>
      </w:pPr>
      <w:r w:rsidRPr="005A04A2">
        <w:rPr>
          <w:noProof/>
        </w:rPr>
        <w:t xml:space="preserve">Each Member State </w:t>
      </w:r>
      <w:r>
        <w:rPr>
          <w:noProof/>
        </w:rPr>
        <w:t xml:space="preserve">and Europol </w:t>
      </w:r>
      <w:r w:rsidRPr="005A04A2">
        <w:rPr>
          <w:noProof/>
        </w:rPr>
        <w:t xml:space="preserve">shall keep logs of all data processing operations </w:t>
      </w:r>
      <w:r>
        <w:rPr>
          <w:noProof/>
        </w:rPr>
        <w:t>concerning vehicle registration data</w:t>
      </w:r>
      <w:r w:rsidRPr="005A04A2">
        <w:rPr>
          <w:noProof/>
        </w:rPr>
        <w:t xml:space="preserve">. Those logs shall include the following: </w:t>
      </w:r>
    </w:p>
    <w:p w14:paraId="1B33FBA6" w14:textId="155CFB85" w:rsidR="003F4856" w:rsidRPr="005A04A2" w:rsidRDefault="00C304BF" w:rsidP="00C304BF">
      <w:pPr>
        <w:pStyle w:val="Point0"/>
        <w:rPr>
          <w:noProof/>
        </w:rPr>
      </w:pPr>
      <w:r w:rsidRPr="00C304BF">
        <w:t>(a)</w:t>
      </w:r>
      <w:r w:rsidRPr="00C304BF">
        <w:tab/>
      </w:r>
      <w:r w:rsidR="003F4856" w:rsidRPr="005A04A2">
        <w:rPr>
          <w:noProof/>
        </w:rPr>
        <w:t xml:space="preserve">the Member State or Union agency launching the request for a query; </w:t>
      </w:r>
    </w:p>
    <w:p w14:paraId="3449C435" w14:textId="6A1727C1" w:rsidR="003F4856" w:rsidRPr="005A04A2" w:rsidRDefault="00C304BF" w:rsidP="00C304BF">
      <w:pPr>
        <w:pStyle w:val="Point0"/>
        <w:rPr>
          <w:noProof/>
        </w:rPr>
      </w:pPr>
      <w:r w:rsidRPr="00C304BF">
        <w:t>(b)</w:t>
      </w:r>
      <w:r w:rsidRPr="00C304BF">
        <w:tab/>
      </w:r>
      <w:r w:rsidR="003F4856" w:rsidRPr="005A04A2">
        <w:rPr>
          <w:noProof/>
        </w:rPr>
        <w:t>the date and time of the request;</w:t>
      </w:r>
    </w:p>
    <w:p w14:paraId="0CF8F8E1" w14:textId="39BEDC53" w:rsidR="003F4856" w:rsidRPr="005A04A2" w:rsidRDefault="00C304BF" w:rsidP="00C304BF">
      <w:pPr>
        <w:pStyle w:val="Point0"/>
        <w:rPr>
          <w:noProof/>
        </w:rPr>
      </w:pPr>
      <w:r w:rsidRPr="00C304BF">
        <w:t>(c)</w:t>
      </w:r>
      <w:r w:rsidRPr="00C304BF">
        <w:tab/>
      </w:r>
      <w:r w:rsidR="003F4856" w:rsidRPr="005A04A2">
        <w:rPr>
          <w:noProof/>
        </w:rPr>
        <w:t>the date and time of the answer;</w:t>
      </w:r>
    </w:p>
    <w:p w14:paraId="46707820" w14:textId="4F38310F" w:rsidR="003F4856" w:rsidRPr="005A04A2" w:rsidRDefault="00C304BF" w:rsidP="00C304BF">
      <w:pPr>
        <w:pStyle w:val="Point0"/>
        <w:rPr>
          <w:noProof/>
        </w:rPr>
      </w:pPr>
      <w:r w:rsidRPr="00C304BF">
        <w:t>(d)</w:t>
      </w:r>
      <w:r w:rsidRPr="00C304BF">
        <w:tab/>
      </w:r>
      <w:r w:rsidR="003F4856" w:rsidRPr="005A04A2">
        <w:rPr>
          <w:noProof/>
        </w:rPr>
        <w:t>the national databases to which a request for a query was sent;</w:t>
      </w:r>
      <w:r w:rsidR="003F4856">
        <w:rPr>
          <w:noProof/>
        </w:rPr>
        <w:t xml:space="preserve"> </w:t>
      </w:r>
    </w:p>
    <w:p w14:paraId="63BD39CA" w14:textId="5C0F3A30" w:rsidR="003F4856" w:rsidRPr="005A04A2" w:rsidRDefault="00C304BF" w:rsidP="00C304BF">
      <w:pPr>
        <w:pStyle w:val="Point0"/>
        <w:rPr>
          <w:noProof/>
        </w:rPr>
      </w:pPr>
      <w:r w:rsidRPr="00C304BF">
        <w:t>(e)</w:t>
      </w:r>
      <w:r w:rsidRPr="00C304BF">
        <w:tab/>
      </w:r>
      <w:r w:rsidR="003F4856" w:rsidRPr="005A04A2">
        <w:rPr>
          <w:noProof/>
        </w:rPr>
        <w:t xml:space="preserve">the national databases </w:t>
      </w:r>
      <w:r w:rsidR="003F4856">
        <w:rPr>
          <w:noProof/>
        </w:rPr>
        <w:t>that provided a positive</w:t>
      </w:r>
      <w:r w:rsidR="003F4856" w:rsidRPr="005A04A2">
        <w:rPr>
          <w:noProof/>
        </w:rPr>
        <w:t xml:space="preserve"> answer</w:t>
      </w:r>
      <w:r w:rsidR="003F4856">
        <w:rPr>
          <w:noProof/>
        </w:rPr>
        <w:t>.</w:t>
      </w:r>
    </w:p>
    <w:p w14:paraId="32B9506D" w14:textId="2A568F33" w:rsidR="001C46BA" w:rsidRDefault="003F4856" w:rsidP="00D05538">
      <w:pPr>
        <w:rPr>
          <w:noProof/>
        </w:rPr>
      </w:pPr>
      <w:r>
        <w:rPr>
          <w:noProof/>
        </w:rPr>
        <w:t>2</w:t>
      </w:r>
      <w:r w:rsidRPr="009F56E6">
        <w:rPr>
          <w:noProof/>
        </w:rPr>
        <w:t xml:space="preserve">. The logs referred to in paragraph 1 may be used only for the collection of statistics and data protection monitoring, including checking the admissibility of a query and the lawfulness of data processing, and for ensuring data security and integrity. </w:t>
      </w:r>
    </w:p>
    <w:p w14:paraId="3C5E0CFD" w14:textId="4DB6AF46" w:rsidR="003F4856" w:rsidRDefault="003F4856" w:rsidP="00D05538">
      <w:pPr>
        <w:rPr>
          <w:noProof/>
        </w:rPr>
      </w:pPr>
      <w:r w:rsidRPr="009F56E6">
        <w:rPr>
          <w:noProof/>
        </w:rPr>
        <w:t>Those logs shall be protected by appropriate measures against unauthorised access and erased one year after their creation. If, however, they are required for monitoring procedures that have already begun, they shall be erased once the monitoring procedures no longer require the logs.</w:t>
      </w:r>
    </w:p>
    <w:p w14:paraId="07A27735" w14:textId="613D46C9" w:rsidR="00C5266A" w:rsidRPr="009F56E6" w:rsidRDefault="003F4856" w:rsidP="00D05538">
      <w:pPr>
        <w:rPr>
          <w:noProof/>
        </w:rPr>
      </w:pPr>
      <w:r>
        <w:rPr>
          <w:noProof/>
        </w:rPr>
        <w:t>3</w:t>
      </w:r>
      <w:r w:rsidRPr="009F56E6">
        <w:rPr>
          <w:noProof/>
        </w:rPr>
        <w:t>. For the purposes of data protection monitoring, including checking the admissibility of a query and the lawfulness of data processing, the data controllers shall have access to the logs for self-monitoring as referred to in Article 5</w:t>
      </w:r>
      <w:r w:rsidR="00920A11">
        <w:rPr>
          <w:noProof/>
        </w:rPr>
        <w:t>6</w:t>
      </w:r>
      <w:r w:rsidRPr="009F56E6">
        <w:rPr>
          <w:noProof/>
        </w:rPr>
        <w:t>.</w:t>
      </w:r>
    </w:p>
    <w:p w14:paraId="75DD934E" w14:textId="6D6686B5" w:rsidR="008744F7" w:rsidRPr="007C7BE5" w:rsidRDefault="008744F7" w:rsidP="008744F7">
      <w:pPr>
        <w:pStyle w:val="Titrearticle"/>
        <w:rPr>
          <w:i w:val="0"/>
          <w:noProof/>
          <w:lang w:val="fr-BE"/>
        </w:rPr>
      </w:pPr>
      <w:r w:rsidRPr="007C7BE5">
        <w:rPr>
          <w:i w:val="0"/>
          <w:noProof/>
          <w:lang w:val="fr-BE"/>
        </w:rPr>
        <w:t>SECTION 4</w:t>
      </w:r>
    </w:p>
    <w:p w14:paraId="5068FEBC" w14:textId="063BB481" w:rsidR="008744F7" w:rsidRPr="007C7BE5" w:rsidRDefault="008744F7" w:rsidP="008744F7">
      <w:pPr>
        <w:jc w:val="center"/>
        <w:rPr>
          <w:b/>
          <w:noProof/>
          <w:lang w:val="fr-BE"/>
        </w:rPr>
      </w:pPr>
      <w:r w:rsidRPr="007C7BE5">
        <w:rPr>
          <w:b/>
          <w:noProof/>
          <w:lang w:val="fr-BE"/>
        </w:rPr>
        <w:t>Facial images</w:t>
      </w:r>
    </w:p>
    <w:p w14:paraId="59D6A168" w14:textId="3ABB4938" w:rsidR="009E24EF" w:rsidRPr="00E951DA" w:rsidRDefault="007D19F1" w:rsidP="009E24EF">
      <w:pPr>
        <w:pStyle w:val="Titrearticle"/>
        <w:rPr>
          <w:noProof/>
          <w:lang w:val="fr-BE"/>
        </w:rPr>
      </w:pPr>
      <w:r w:rsidRPr="00E951DA">
        <w:rPr>
          <w:noProof/>
          <w:lang w:val="fr-BE"/>
        </w:rPr>
        <w:t>Article 2</w:t>
      </w:r>
      <w:r w:rsidR="00E15E51">
        <w:rPr>
          <w:noProof/>
          <w:lang w:val="fr-BE"/>
        </w:rPr>
        <w:t>1</w:t>
      </w:r>
    </w:p>
    <w:p w14:paraId="19FAF28B" w14:textId="2337404E" w:rsidR="009E24EF" w:rsidRPr="009F56E6" w:rsidRDefault="00526D97" w:rsidP="009E24EF">
      <w:pPr>
        <w:jc w:val="center"/>
        <w:rPr>
          <w:b/>
          <w:noProof/>
          <w:lang w:val="fr-BE"/>
        </w:rPr>
      </w:pPr>
      <w:r w:rsidRPr="009F56E6">
        <w:rPr>
          <w:b/>
          <w:noProof/>
          <w:lang w:val="fr-BE"/>
        </w:rPr>
        <w:t>Facial images</w:t>
      </w:r>
    </w:p>
    <w:p w14:paraId="1A37BEC5" w14:textId="0B6F1849" w:rsidR="001C46BA" w:rsidRDefault="00C56B4C" w:rsidP="009E24EF">
      <w:pPr>
        <w:rPr>
          <w:noProof/>
        </w:rPr>
      </w:pPr>
      <w:r w:rsidRPr="009F56E6">
        <w:rPr>
          <w:noProof/>
        </w:rPr>
        <w:t xml:space="preserve">1. </w:t>
      </w:r>
      <w:r w:rsidR="00B4636E" w:rsidRPr="009F56E6">
        <w:rPr>
          <w:noProof/>
        </w:rPr>
        <w:t>Member States shall ensure the availability of facial images from their national databases established for the prevention</w:t>
      </w:r>
      <w:r w:rsidR="00404355" w:rsidRPr="009F56E6">
        <w:rPr>
          <w:noProof/>
        </w:rPr>
        <w:t>, detection</w:t>
      </w:r>
      <w:r w:rsidR="00B4636E" w:rsidRPr="009F56E6">
        <w:rPr>
          <w:noProof/>
        </w:rPr>
        <w:t xml:space="preserve"> and investigation of criminal offences. </w:t>
      </w:r>
      <w:r w:rsidR="00974F15">
        <w:rPr>
          <w:noProof/>
        </w:rPr>
        <w:t>Those</w:t>
      </w:r>
      <w:r w:rsidR="00974F15" w:rsidRPr="009F56E6">
        <w:rPr>
          <w:noProof/>
        </w:rPr>
        <w:t xml:space="preserve"> </w:t>
      </w:r>
      <w:r w:rsidR="00B4636E" w:rsidRPr="009F56E6">
        <w:rPr>
          <w:noProof/>
        </w:rPr>
        <w:t xml:space="preserve">data shall only include facial images and </w:t>
      </w:r>
      <w:r w:rsidR="00974F15">
        <w:rPr>
          <w:noProof/>
        </w:rPr>
        <w:t xml:space="preserve">the </w:t>
      </w:r>
      <w:r w:rsidR="00C874B1" w:rsidRPr="009F56E6">
        <w:rPr>
          <w:noProof/>
        </w:rPr>
        <w:t>reference number</w:t>
      </w:r>
      <w:r w:rsidR="00974F15">
        <w:rPr>
          <w:noProof/>
        </w:rPr>
        <w:t xml:space="preserve"> referred to in Article 2</w:t>
      </w:r>
      <w:r w:rsidR="00920A11">
        <w:rPr>
          <w:noProof/>
        </w:rPr>
        <w:t>3</w:t>
      </w:r>
      <w:r w:rsidR="00C874B1" w:rsidRPr="009F56E6">
        <w:rPr>
          <w:noProof/>
        </w:rPr>
        <w:t xml:space="preserve">, and shall indicate whether the facial images are attributed to an individual or not. </w:t>
      </w:r>
    </w:p>
    <w:p w14:paraId="4F301ACB" w14:textId="389A8046" w:rsidR="00C56B4C" w:rsidRPr="009F56E6" w:rsidRDefault="00554A70" w:rsidP="009E24EF">
      <w:pPr>
        <w:rPr>
          <w:noProof/>
        </w:rPr>
      </w:pPr>
      <w:r w:rsidRPr="009F56E6">
        <w:rPr>
          <w:noProof/>
        </w:rPr>
        <w:t>Member States</w:t>
      </w:r>
      <w:r w:rsidR="00B4636E" w:rsidRPr="009F56E6">
        <w:rPr>
          <w:noProof/>
        </w:rPr>
        <w:t xml:space="preserve"> shall not </w:t>
      </w:r>
      <w:r w:rsidRPr="009F56E6">
        <w:rPr>
          <w:noProof/>
        </w:rPr>
        <w:t>make available in this context</w:t>
      </w:r>
      <w:r w:rsidR="00B4636E" w:rsidRPr="009F56E6">
        <w:rPr>
          <w:noProof/>
        </w:rPr>
        <w:t xml:space="preserve"> any data from which </w:t>
      </w:r>
      <w:r w:rsidR="006C7C5F" w:rsidRPr="009F56E6">
        <w:rPr>
          <w:noProof/>
        </w:rPr>
        <w:t>an individual</w:t>
      </w:r>
      <w:r w:rsidR="00B4636E" w:rsidRPr="009F56E6">
        <w:rPr>
          <w:noProof/>
        </w:rPr>
        <w:t xml:space="preserve"> can be directly identified. </w:t>
      </w:r>
    </w:p>
    <w:p w14:paraId="1AE8E04C" w14:textId="5E48FDE3" w:rsidR="00B4636E" w:rsidRPr="009F56E6" w:rsidRDefault="00C56B4C" w:rsidP="009E24EF">
      <w:pPr>
        <w:rPr>
          <w:noProof/>
        </w:rPr>
      </w:pPr>
      <w:r w:rsidRPr="009F56E6">
        <w:rPr>
          <w:noProof/>
        </w:rPr>
        <w:t xml:space="preserve">2. </w:t>
      </w:r>
      <w:r w:rsidR="00554A70" w:rsidRPr="009F56E6">
        <w:rPr>
          <w:noProof/>
        </w:rPr>
        <w:t xml:space="preserve">Facial images </w:t>
      </w:r>
      <w:r w:rsidR="00B4636E" w:rsidRPr="009F56E6">
        <w:rPr>
          <w:noProof/>
        </w:rPr>
        <w:t>which</w:t>
      </w:r>
      <w:r w:rsidR="00554A70" w:rsidRPr="009F56E6">
        <w:rPr>
          <w:noProof/>
        </w:rPr>
        <w:t xml:space="preserve"> are</w:t>
      </w:r>
      <w:r w:rsidR="00B4636E" w:rsidRPr="009F56E6">
        <w:rPr>
          <w:noProof/>
        </w:rPr>
        <w:t xml:space="preserve"> not attributed to any individual (unidentified </w:t>
      </w:r>
      <w:r w:rsidR="00554A70" w:rsidRPr="009F56E6">
        <w:rPr>
          <w:noProof/>
        </w:rPr>
        <w:t>facial images</w:t>
      </w:r>
      <w:r w:rsidR="00B4636E" w:rsidRPr="009F56E6">
        <w:rPr>
          <w:noProof/>
        </w:rPr>
        <w:t>) must be recognisable as such.</w:t>
      </w:r>
    </w:p>
    <w:p w14:paraId="6089D2B9" w14:textId="40035B19" w:rsidR="009E24EF" w:rsidRPr="009F56E6" w:rsidRDefault="007D19F1" w:rsidP="009E24EF">
      <w:pPr>
        <w:pStyle w:val="Titrearticle"/>
        <w:rPr>
          <w:noProof/>
        </w:rPr>
      </w:pPr>
      <w:r w:rsidRPr="009F56E6">
        <w:rPr>
          <w:noProof/>
        </w:rPr>
        <w:t>Article 2</w:t>
      </w:r>
      <w:r w:rsidR="00E15E51">
        <w:rPr>
          <w:noProof/>
        </w:rPr>
        <w:t>2</w:t>
      </w:r>
    </w:p>
    <w:p w14:paraId="2265EBA9" w14:textId="06F54769" w:rsidR="009E24EF" w:rsidRPr="009F56E6" w:rsidRDefault="00526D97" w:rsidP="009E24EF">
      <w:pPr>
        <w:jc w:val="center"/>
        <w:rPr>
          <w:b/>
          <w:noProof/>
        </w:rPr>
      </w:pPr>
      <w:r w:rsidRPr="009F56E6">
        <w:rPr>
          <w:b/>
          <w:noProof/>
        </w:rPr>
        <w:t>Automated searching of facial images</w:t>
      </w:r>
    </w:p>
    <w:p w14:paraId="594ED884" w14:textId="079723C6" w:rsidR="001C46BA" w:rsidRDefault="00244CF8" w:rsidP="00E269E7">
      <w:pPr>
        <w:rPr>
          <w:noProof/>
        </w:rPr>
      </w:pPr>
      <w:r w:rsidRPr="004A237C">
        <w:rPr>
          <w:noProof/>
        </w:rPr>
        <w:t>1. For the prevention</w:t>
      </w:r>
      <w:r w:rsidR="00404355" w:rsidRPr="004A237C">
        <w:rPr>
          <w:noProof/>
        </w:rPr>
        <w:t>, detection</w:t>
      </w:r>
      <w:r w:rsidRPr="004A237C">
        <w:rPr>
          <w:noProof/>
        </w:rPr>
        <w:t xml:space="preserve"> and investigation of criminal</w:t>
      </w:r>
      <w:r w:rsidR="00C56B4C" w:rsidRPr="009F56E6">
        <w:rPr>
          <w:noProof/>
        </w:rPr>
        <w:t xml:space="preserve"> offences</w:t>
      </w:r>
      <w:r w:rsidRPr="009F56E6">
        <w:rPr>
          <w:noProof/>
        </w:rPr>
        <w:t>, Member States shall allow national contact points</w:t>
      </w:r>
      <w:r w:rsidR="00134DCA">
        <w:rPr>
          <w:noProof/>
        </w:rPr>
        <w:t xml:space="preserve"> of </w:t>
      </w:r>
      <w:r w:rsidR="00134DCA" w:rsidRPr="009F56E6">
        <w:rPr>
          <w:noProof/>
        </w:rPr>
        <w:t>other Member States</w:t>
      </w:r>
      <w:r w:rsidRPr="009F56E6">
        <w:rPr>
          <w:noProof/>
        </w:rPr>
        <w:t xml:space="preserve"> </w:t>
      </w:r>
      <w:r w:rsidR="00CA6AA8" w:rsidRPr="009F56E6">
        <w:rPr>
          <w:noProof/>
        </w:rPr>
        <w:t xml:space="preserve">and Europol </w:t>
      </w:r>
      <w:r w:rsidRPr="009F56E6">
        <w:rPr>
          <w:noProof/>
        </w:rPr>
        <w:t xml:space="preserve">access to facial images stored in </w:t>
      </w:r>
      <w:r w:rsidR="00C56B4C" w:rsidRPr="009F56E6">
        <w:rPr>
          <w:noProof/>
        </w:rPr>
        <w:t>their national databases</w:t>
      </w:r>
      <w:r w:rsidRPr="009F56E6">
        <w:rPr>
          <w:noProof/>
        </w:rPr>
        <w:t xml:space="preserve">, </w:t>
      </w:r>
      <w:r w:rsidR="00E269E7" w:rsidRPr="009F56E6">
        <w:rPr>
          <w:noProof/>
        </w:rPr>
        <w:t xml:space="preserve">to conduct automated searches. </w:t>
      </w:r>
    </w:p>
    <w:p w14:paraId="67CC8002" w14:textId="4C440698" w:rsidR="00E269E7" w:rsidRPr="009F56E6" w:rsidRDefault="00E269E7" w:rsidP="00E269E7">
      <w:pPr>
        <w:rPr>
          <w:noProof/>
        </w:rPr>
      </w:pPr>
      <w:r w:rsidRPr="009F56E6">
        <w:rPr>
          <w:noProof/>
        </w:rPr>
        <w:t xml:space="preserve">Searches may be conducted only in individual cases and in compliance with the </w:t>
      </w:r>
      <w:r w:rsidR="00415B20" w:rsidRPr="009F56E6">
        <w:rPr>
          <w:noProof/>
        </w:rPr>
        <w:t xml:space="preserve">national law </w:t>
      </w:r>
      <w:r w:rsidR="00415B20">
        <w:rPr>
          <w:noProof/>
        </w:rPr>
        <w:t xml:space="preserve">of the </w:t>
      </w:r>
      <w:r w:rsidRPr="009F56E6">
        <w:rPr>
          <w:noProof/>
        </w:rPr>
        <w:t>requesting Member State.</w:t>
      </w:r>
    </w:p>
    <w:p w14:paraId="1975263A" w14:textId="2560F43C" w:rsidR="002048CB" w:rsidRPr="009F56E6" w:rsidRDefault="00E269E7" w:rsidP="00E269E7">
      <w:pPr>
        <w:rPr>
          <w:noProof/>
        </w:rPr>
      </w:pPr>
      <w:r w:rsidRPr="009F56E6">
        <w:rPr>
          <w:noProof/>
        </w:rPr>
        <w:t>2. The</w:t>
      </w:r>
      <w:r w:rsidR="00311CA7">
        <w:rPr>
          <w:noProof/>
        </w:rPr>
        <w:t xml:space="preserve"> requesting Member State shall receive a</w:t>
      </w:r>
      <w:r w:rsidRPr="009F56E6">
        <w:rPr>
          <w:noProof/>
        </w:rPr>
        <w:t xml:space="preserve"> list composed of matches </w:t>
      </w:r>
      <w:r w:rsidR="00311CA7">
        <w:rPr>
          <w:noProof/>
        </w:rPr>
        <w:t>concerning</w:t>
      </w:r>
      <w:r w:rsidRPr="009F56E6">
        <w:rPr>
          <w:noProof/>
        </w:rPr>
        <w:t xml:space="preserve"> likely candidates. Th</w:t>
      </w:r>
      <w:r w:rsidR="00415B20">
        <w:rPr>
          <w:noProof/>
        </w:rPr>
        <w:t>at</w:t>
      </w:r>
      <w:r w:rsidRPr="009F56E6">
        <w:rPr>
          <w:noProof/>
        </w:rPr>
        <w:t xml:space="preserve"> </w:t>
      </w:r>
      <w:r w:rsidR="00415B20" w:rsidRPr="009F56E6">
        <w:rPr>
          <w:noProof/>
        </w:rPr>
        <w:t xml:space="preserve">Member State </w:t>
      </w:r>
      <w:r w:rsidRPr="009F56E6">
        <w:rPr>
          <w:noProof/>
        </w:rPr>
        <w:t xml:space="preserve">shall review </w:t>
      </w:r>
      <w:r w:rsidR="00415B20">
        <w:rPr>
          <w:noProof/>
        </w:rPr>
        <w:t xml:space="preserve">the </w:t>
      </w:r>
      <w:r w:rsidR="00415B20" w:rsidRPr="009F56E6">
        <w:rPr>
          <w:noProof/>
        </w:rPr>
        <w:t xml:space="preserve">list </w:t>
      </w:r>
      <w:r w:rsidRPr="009F56E6">
        <w:rPr>
          <w:noProof/>
        </w:rPr>
        <w:t>to determine the existence of a</w:t>
      </w:r>
      <w:r w:rsidR="006C7C5F" w:rsidRPr="009F56E6">
        <w:rPr>
          <w:noProof/>
        </w:rPr>
        <w:t xml:space="preserve"> </w:t>
      </w:r>
      <w:r w:rsidR="00B85B42" w:rsidRPr="009F56E6">
        <w:rPr>
          <w:noProof/>
        </w:rPr>
        <w:t>confirmed match</w:t>
      </w:r>
      <w:r w:rsidR="0009305E" w:rsidRPr="009F56E6">
        <w:rPr>
          <w:noProof/>
        </w:rPr>
        <w:t>.</w:t>
      </w:r>
    </w:p>
    <w:p w14:paraId="2253710E" w14:textId="264DEFE7" w:rsidR="002048CB" w:rsidRPr="009F56E6" w:rsidRDefault="001F3814" w:rsidP="00B87041">
      <w:pPr>
        <w:rPr>
          <w:noProof/>
        </w:rPr>
      </w:pPr>
      <w:r w:rsidRPr="009F56E6">
        <w:rPr>
          <w:noProof/>
        </w:rPr>
        <w:t xml:space="preserve">3. A minimum quality standard shall be established </w:t>
      </w:r>
      <w:r w:rsidR="00B87041" w:rsidRPr="009F56E6">
        <w:rPr>
          <w:noProof/>
        </w:rPr>
        <w:t xml:space="preserve">to allow for search and comparison of facial images. </w:t>
      </w:r>
      <w:r w:rsidR="006517D1" w:rsidRPr="009F56E6">
        <w:rPr>
          <w:noProof/>
        </w:rPr>
        <w:t>The Commission shall adopt implementing acts to specify th</w:t>
      </w:r>
      <w:r w:rsidR="00311CA7">
        <w:rPr>
          <w:noProof/>
        </w:rPr>
        <w:t>at</w:t>
      </w:r>
      <w:r w:rsidR="006517D1" w:rsidRPr="009F56E6">
        <w:rPr>
          <w:noProof/>
        </w:rPr>
        <w:t xml:space="preserve"> minimum quality standard. </w:t>
      </w:r>
      <w:r w:rsidR="00B87041" w:rsidRPr="009F56E6">
        <w:rPr>
          <w:noProof/>
        </w:rPr>
        <w:t xml:space="preserve">Those </w:t>
      </w:r>
      <w:r w:rsidR="006517D1" w:rsidRPr="009F56E6">
        <w:rPr>
          <w:noProof/>
        </w:rPr>
        <w:t xml:space="preserve">implementing acts shall be adopted in accordance with the procedure referred to in Article </w:t>
      </w:r>
      <w:r w:rsidR="00905C52" w:rsidRPr="009F56E6">
        <w:rPr>
          <w:noProof/>
        </w:rPr>
        <w:t>7</w:t>
      </w:r>
      <w:r w:rsidR="00537CBF">
        <w:rPr>
          <w:noProof/>
        </w:rPr>
        <w:t>6</w:t>
      </w:r>
      <w:r w:rsidR="006517D1" w:rsidRPr="00E951DA">
        <w:rPr>
          <w:noProof/>
        </w:rPr>
        <w:t>(2)</w:t>
      </w:r>
      <w:r w:rsidR="00CD2034" w:rsidRPr="009F56E6">
        <w:rPr>
          <w:noProof/>
        </w:rPr>
        <w:t>.</w:t>
      </w:r>
    </w:p>
    <w:p w14:paraId="02C9E240" w14:textId="16F92D9D" w:rsidR="00DB7913" w:rsidRPr="0003774E" w:rsidRDefault="00DB7913" w:rsidP="00E7465F">
      <w:pPr>
        <w:pStyle w:val="Titrearticle"/>
        <w:rPr>
          <w:noProof/>
          <w:lang w:val="en-US"/>
        </w:rPr>
      </w:pPr>
      <w:r w:rsidRPr="009809C6">
        <w:rPr>
          <w:noProof/>
        </w:rPr>
        <w:t xml:space="preserve">Article </w:t>
      </w:r>
      <w:r w:rsidRPr="0003774E">
        <w:rPr>
          <w:noProof/>
          <w:lang w:val="en-US"/>
        </w:rPr>
        <w:t>2</w:t>
      </w:r>
      <w:r w:rsidR="00E15E51">
        <w:rPr>
          <w:noProof/>
          <w:lang w:val="en-US"/>
        </w:rPr>
        <w:t>3</w:t>
      </w:r>
    </w:p>
    <w:p w14:paraId="15F968B3" w14:textId="21C6BFF6" w:rsidR="00DB7913" w:rsidRPr="009F56E6" w:rsidRDefault="00DB7913" w:rsidP="00DB7913">
      <w:pPr>
        <w:jc w:val="center"/>
        <w:rPr>
          <w:b/>
          <w:noProof/>
          <w:lang w:val="en-US"/>
        </w:rPr>
      </w:pPr>
      <w:r w:rsidRPr="009F56E6">
        <w:rPr>
          <w:b/>
          <w:noProof/>
          <w:lang w:val="en-US"/>
        </w:rPr>
        <w:t>Reference numbers for facial images</w:t>
      </w:r>
    </w:p>
    <w:p w14:paraId="1C325E65" w14:textId="6B8091B9" w:rsidR="00DB7913" w:rsidRPr="009F56E6" w:rsidRDefault="00DB7913" w:rsidP="00DB7913">
      <w:pPr>
        <w:rPr>
          <w:noProof/>
        </w:rPr>
      </w:pPr>
      <w:r w:rsidRPr="009F56E6">
        <w:rPr>
          <w:noProof/>
        </w:rPr>
        <w:t xml:space="preserve">The reference numbers for facial images shall </w:t>
      </w:r>
      <w:r w:rsidR="00450747">
        <w:rPr>
          <w:noProof/>
        </w:rPr>
        <w:t>be the</w:t>
      </w:r>
      <w:r w:rsidRPr="009F56E6">
        <w:rPr>
          <w:noProof/>
        </w:rPr>
        <w:t xml:space="preserve"> combination of the following:</w:t>
      </w:r>
    </w:p>
    <w:p w14:paraId="4725B9AE" w14:textId="09C81661" w:rsidR="00DB7913" w:rsidRPr="0060359F" w:rsidRDefault="00C304BF" w:rsidP="00C304BF">
      <w:pPr>
        <w:pStyle w:val="Point0"/>
        <w:rPr>
          <w:noProof/>
        </w:rPr>
      </w:pPr>
      <w:r w:rsidRPr="00C304BF">
        <w:t>(a)</w:t>
      </w:r>
      <w:r w:rsidRPr="00C304BF">
        <w:tab/>
      </w:r>
      <w:r w:rsidR="00DB7913" w:rsidRPr="009F56E6">
        <w:rPr>
          <w:noProof/>
        </w:rPr>
        <w:t xml:space="preserve">a reference number allowing Member States, in case of a match, to retrieve </w:t>
      </w:r>
      <w:r w:rsidR="00FA3A6D">
        <w:rPr>
          <w:noProof/>
        </w:rPr>
        <w:t>further</w:t>
      </w:r>
      <w:r w:rsidR="00FA3A6D" w:rsidRPr="009F56E6">
        <w:rPr>
          <w:noProof/>
        </w:rPr>
        <w:t xml:space="preserve"> </w:t>
      </w:r>
      <w:r w:rsidR="00DB7913" w:rsidRPr="009F56E6">
        <w:rPr>
          <w:noProof/>
        </w:rPr>
        <w:t xml:space="preserve">data and other information in their databases </w:t>
      </w:r>
      <w:r w:rsidR="00273867">
        <w:rPr>
          <w:noProof/>
        </w:rPr>
        <w:t>referred to in Article 2</w:t>
      </w:r>
      <w:r w:rsidR="00920A11">
        <w:rPr>
          <w:noProof/>
        </w:rPr>
        <w:t>1</w:t>
      </w:r>
      <w:r w:rsidR="00DB7913" w:rsidRPr="009F56E6">
        <w:rPr>
          <w:noProof/>
        </w:rPr>
        <w:t xml:space="preserve"> in order to supply it to one, several or </w:t>
      </w:r>
      <w:r w:rsidR="00DB7913" w:rsidRPr="0060359F">
        <w:rPr>
          <w:noProof/>
        </w:rPr>
        <w:t>all of</w:t>
      </w:r>
      <w:r w:rsidR="00CE609C" w:rsidRPr="0060359F">
        <w:rPr>
          <w:noProof/>
        </w:rPr>
        <w:t xml:space="preserve"> the other</w:t>
      </w:r>
      <w:r w:rsidR="00DB7913" w:rsidRPr="0060359F">
        <w:rPr>
          <w:noProof/>
        </w:rPr>
        <w:t xml:space="preserve"> Member States in accordance with Articles </w:t>
      </w:r>
      <w:r w:rsidR="00905C52" w:rsidRPr="0060359F">
        <w:rPr>
          <w:noProof/>
        </w:rPr>
        <w:t>4</w:t>
      </w:r>
      <w:r w:rsidR="00920A11">
        <w:rPr>
          <w:noProof/>
        </w:rPr>
        <w:t>7</w:t>
      </w:r>
      <w:r w:rsidR="00905C52" w:rsidRPr="0060359F">
        <w:rPr>
          <w:noProof/>
        </w:rPr>
        <w:t xml:space="preserve"> and 4</w:t>
      </w:r>
      <w:r w:rsidR="00920A11">
        <w:rPr>
          <w:noProof/>
        </w:rPr>
        <w:t>8</w:t>
      </w:r>
      <w:r w:rsidR="00DB7913" w:rsidRPr="0060359F">
        <w:rPr>
          <w:noProof/>
        </w:rPr>
        <w:t xml:space="preserve">; </w:t>
      </w:r>
    </w:p>
    <w:p w14:paraId="12C33B61" w14:textId="3E923355" w:rsidR="00DB7913" w:rsidRPr="009F56E6" w:rsidRDefault="00C304BF" w:rsidP="00C304BF">
      <w:pPr>
        <w:pStyle w:val="Point0"/>
        <w:rPr>
          <w:noProof/>
        </w:rPr>
      </w:pPr>
      <w:r w:rsidRPr="00C304BF">
        <w:t>(b)</w:t>
      </w:r>
      <w:r w:rsidRPr="00C304BF">
        <w:tab/>
      </w:r>
      <w:r w:rsidR="00DB7913" w:rsidRPr="0060359F">
        <w:rPr>
          <w:noProof/>
        </w:rPr>
        <w:t xml:space="preserve">a code to indicate the Member State </w:t>
      </w:r>
      <w:r w:rsidR="0060359F" w:rsidRPr="0060359F">
        <w:rPr>
          <w:noProof/>
        </w:rPr>
        <w:t>which</w:t>
      </w:r>
      <w:r w:rsidR="0060359F">
        <w:rPr>
          <w:noProof/>
        </w:rPr>
        <w:t xml:space="preserve"> holds</w:t>
      </w:r>
      <w:r w:rsidR="00DB7913" w:rsidRPr="009F56E6">
        <w:rPr>
          <w:noProof/>
        </w:rPr>
        <w:t xml:space="preserve"> the facial images.</w:t>
      </w:r>
    </w:p>
    <w:p w14:paraId="1DE79807" w14:textId="66179B2C" w:rsidR="00DB7913" w:rsidRPr="009F56E6" w:rsidRDefault="00DB7913" w:rsidP="00DB7913">
      <w:pPr>
        <w:pStyle w:val="Titrearticle"/>
        <w:rPr>
          <w:noProof/>
        </w:rPr>
      </w:pPr>
      <w:r w:rsidRPr="009F56E6">
        <w:rPr>
          <w:noProof/>
        </w:rPr>
        <w:t>Article 2</w:t>
      </w:r>
      <w:r w:rsidR="00E15E51">
        <w:rPr>
          <w:noProof/>
        </w:rPr>
        <w:t>4</w:t>
      </w:r>
    </w:p>
    <w:p w14:paraId="58BFF9D1" w14:textId="29BA064F" w:rsidR="00DB7913" w:rsidRPr="009F56E6" w:rsidRDefault="00DB7913" w:rsidP="00DB7913">
      <w:pPr>
        <w:jc w:val="center"/>
        <w:rPr>
          <w:b/>
          <w:noProof/>
        </w:rPr>
      </w:pPr>
      <w:r w:rsidRPr="009F56E6">
        <w:rPr>
          <w:b/>
          <w:noProof/>
        </w:rPr>
        <w:t xml:space="preserve">Rules for requests and answers </w:t>
      </w:r>
      <w:r w:rsidR="00DC6263" w:rsidRPr="009F56E6">
        <w:rPr>
          <w:b/>
          <w:noProof/>
        </w:rPr>
        <w:t>regarding</w:t>
      </w:r>
      <w:r w:rsidRPr="009F56E6">
        <w:rPr>
          <w:b/>
          <w:noProof/>
        </w:rPr>
        <w:t xml:space="preserve"> facial images</w:t>
      </w:r>
    </w:p>
    <w:p w14:paraId="57DFA662" w14:textId="033FB00A" w:rsidR="00DB7913" w:rsidRPr="009F56E6" w:rsidRDefault="00DB7913" w:rsidP="00DB7913">
      <w:pPr>
        <w:rPr>
          <w:noProof/>
        </w:rPr>
      </w:pPr>
      <w:r w:rsidRPr="009F56E6">
        <w:rPr>
          <w:noProof/>
        </w:rPr>
        <w:t>1. A request for an automated search shall include only the following information:</w:t>
      </w:r>
    </w:p>
    <w:p w14:paraId="39FEE72D" w14:textId="7E41D4EB" w:rsidR="00DB7913" w:rsidRPr="009F56E6" w:rsidRDefault="00C304BF" w:rsidP="00C304BF">
      <w:pPr>
        <w:pStyle w:val="Point0"/>
        <w:rPr>
          <w:noProof/>
        </w:rPr>
      </w:pPr>
      <w:r w:rsidRPr="00C304BF">
        <w:t>(a)</w:t>
      </w:r>
      <w:r w:rsidRPr="00C304BF">
        <w:tab/>
      </w:r>
      <w:r w:rsidR="00DB7913" w:rsidRPr="009F56E6">
        <w:rPr>
          <w:noProof/>
        </w:rPr>
        <w:t>the code of the requesting Member State;</w:t>
      </w:r>
    </w:p>
    <w:p w14:paraId="02F78091" w14:textId="07C07B2B" w:rsidR="00DB7913" w:rsidRPr="009F56E6" w:rsidRDefault="00C304BF" w:rsidP="00C304BF">
      <w:pPr>
        <w:pStyle w:val="Point0"/>
        <w:rPr>
          <w:noProof/>
        </w:rPr>
      </w:pPr>
      <w:r w:rsidRPr="00C304BF">
        <w:t>(b)</w:t>
      </w:r>
      <w:r w:rsidRPr="00C304BF">
        <w:tab/>
      </w:r>
      <w:r w:rsidR="00DB7913" w:rsidRPr="009F56E6">
        <w:rPr>
          <w:noProof/>
        </w:rPr>
        <w:t xml:space="preserve">the date, time and indication number of the request; </w:t>
      </w:r>
    </w:p>
    <w:p w14:paraId="6C0BFEA2" w14:textId="48C9FB74" w:rsidR="00DB7913" w:rsidRPr="009F56E6" w:rsidRDefault="00C304BF" w:rsidP="00C304BF">
      <w:pPr>
        <w:pStyle w:val="Point0"/>
        <w:rPr>
          <w:noProof/>
        </w:rPr>
      </w:pPr>
      <w:r w:rsidRPr="00C304BF">
        <w:t>(c)</w:t>
      </w:r>
      <w:r w:rsidRPr="00C304BF">
        <w:tab/>
      </w:r>
      <w:r w:rsidR="00DB7913" w:rsidRPr="009F56E6">
        <w:rPr>
          <w:noProof/>
        </w:rPr>
        <w:t>the facial images and their reference numbers</w:t>
      </w:r>
      <w:r w:rsidR="00CE609C">
        <w:rPr>
          <w:noProof/>
        </w:rPr>
        <w:t xml:space="preserve"> referred to in Article 2</w:t>
      </w:r>
      <w:r w:rsidR="00920A11">
        <w:rPr>
          <w:noProof/>
        </w:rPr>
        <w:t>3</w:t>
      </w:r>
      <w:r w:rsidR="00DB7913" w:rsidRPr="009F56E6">
        <w:rPr>
          <w:noProof/>
        </w:rPr>
        <w:t>.</w:t>
      </w:r>
    </w:p>
    <w:p w14:paraId="23348364" w14:textId="77777777" w:rsidR="00DB7913" w:rsidRPr="009F56E6" w:rsidRDefault="00DB7913" w:rsidP="00DB7913">
      <w:pPr>
        <w:rPr>
          <w:noProof/>
        </w:rPr>
      </w:pPr>
      <w:r w:rsidRPr="009F56E6">
        <w:rPr>
          <w:noProof/>
        </w:rPr>
        <w:t>2. The answer to the request referred to in paragraph 1 shall contain only the following information:</w:t>
      </w:r>
    </w:p>
    <w:p w14:paraId="30A16B85" w14:textId="224193A6" w:rsidR="00DB7913" w:rsidRPr="009F56E6" w:rsidRDefault="00C304BF" w:rsidP="00C304BF">
      <w:pPr>
        <w:pStyle w:val="Point0"/>
        <w:rPr>
          <w:noProof/>
        </w:rPr>
      </w:pPr>
      <w:r w:rsidRPr="00C304BF">
        <w:t>(a)</w:t>
      </w:r>
      <w:r w:rsidRPr="00C304BF">
        <w:tab/>
      </w:r>
      <w:r w:rsidR="00DB7913" w:rsidRPr="009F56E6">
        <w:rPr>
          <w:noProof/>
        </w:rPr>
        <w:t>an indication as to whether there were one or more matches or no matches;</w:t>
      </w:r>
    </w:p>
    <w:p w14:paraId="3BA69F24" w14:textId="373FB64E" w:rsidR="00DB7913" w:rsidRPr="009F56E6" w:rsidRDefault="00C304BF" w:rsidP="00C304BF">
      <w:pPr>
        <w:pStyle w:val="Point0"/>
        <w:rPr>
          <w:noProof/>
        </w:rPr>
      </w:pPr>
      <w:r w:rsidRPr="00C304BF">
        <w:t>(b)</w:t>
      </w:r>
      <w:r w:rsidRPr="00C304BF">
        <w:tab/>
      </w:r>
      <w:r w:rsidR="00DB7913" w:rsidRPr="009F56E6">
        <w:rPr>
          <w:noProof/>
        </w:rPr>
        <w:t>the date, time and indication number of the request;</w:t>
      </w:r>
    </w:p>
    <w:p w14:paraId="0233E90C" w14:textId="148E6EDC" w:rsidR="00DB7913" w:rsidRPr="009F56E6" w:rsidRDefault="00C304BF" w:rsidP="00C304BF">
      <w:pPr>
        <w:pStyle w:val="Point0"/>
        <w:rPr>
          <w:noProof/>
        </w:rPr>
      </w:pPr>
      <w:r w:rsidRPr="00C304BF">
        <w:t>(c)</w:t>
      </w:r>
      <w:r w:rsidRPr="00C304BF">
        <w:tab/>
      </w:r>
      <w:r w:rsidR="00DB7913" w:rsidRPr="009F56E6">
        <w:rPr>
          <w:noProof/>
        </w:rPr>
        <w:t>the date, time and indication number of the answer;</w:t>
      </w:r>
    </w:p>
    <w:p w14:paraId="1C8010FB" w14:textId="36BD3B08" w:rsidR="00DB7913" w:rsidRPr="009F56E6" w:rsidRDefault="00C304BF" w:rsidP="00C304BF">
      <w:pPr>
        <w:pStyle w:val="Point0"/>
        <w:rPr>
          <w:noProof/>
        </w:rPr>
      </w:pPr>
      <w:r w:rsidRPr="00C304BF">
        <w:t>(d)</w:t>
      </w:r>
      <w:r w:rsidRPr="00C304BF">
        <w:tab/>
      </w:r>
      <w:r w:rsidR="00DB7913" w:rsidRPr="009F56E6">
        <w:rPr>
          <w:noProof/>
        </w:rPr>
        <w:t>the codes of the requesting and requested Member States;</w:t>
      </w:r>
    </w:p>
    <w:p w14:paraId="4F07A750" w14:textId="6B730615" w:rsidR="0060359F" w:rsidRPr="009F56E6" w:rsidRDefault="00C304BF" w:rsidP="00C304BF">
      <w:pPr>
        <w:pStyle w:val="Point0"/>
        <w:rPr>
          <w:noProof/>
        </w:rPr>
      </w:pPr>
      <w:r w:rsidRPr="00C304BF">
        <w:t>(e)</w:t>
      </w:r>
      <w:r w:rsidRPr="00C304BF">
        <w:tab/>
      </w:r>
      <w:r w:rsidR="00DB7913" w:rsidRPr="009F56E6">
        <w:rPr>
          <w:noProof/>
        </w:rPr>
        <w:t>the reference numbers of the facial images from the requesting and requested Member States;</w:t>
      </w:r>
    </w:p>
    <w:p w14:paraId="1A54F7D0" w14:textId="6665D396" w:rsidR="00E23F46" w:rsidRPr="00E7465F" w:rsidRDefault="00C304BF" w:rsidP="00C304BF">
      <w:pPr>
        <w:pStyle w:val="Point0"/>
        <w:rPr>
          <w:noProof/>
        </w:rPr>
      </w:pPr>
      <w:r w:rsidRPr="00C304BF">
        <w:t>(f)</w:t>
      </w:r>
      <w:r w:rsidRPr="00C304BF">
        <w:tab/>
      </w:r>
      <w:r w:rsidR="00DB7913" w:rsidRPr="009F56E6">
        <w:rPr>
          <w:noProof/>
        </w:rPr>
        <w:t>the matching facial images.</w:t>
      </w:r>
    </w:p>
    <w:p w14:paraId="745C024B" w14:textId="32D21023" w:rsidR="009E24EF" w:rsidRPr="007C7BE5" w:rsidRDefault="009E24EF" w:rsidP="009E24EF">
      <w:pPr>
        <w:pStyle w:val="Titrearticle"/>
        <w:rPr>
          <w:i w:val="0"/>
          <w:noProof/>
          <w:lang w:val="en-US"/>
        </w:rPr>
      </w:pPr>
      <w:r w:rsidRPr="007C7BE5">
        <w:rPr>
          <w:i w:val="0"/>
          <w:noProof/>
          <w:lang w:val="en-US"/>
        </w:rPr>
        <w:t>SECTION 5</w:t>
      </w:r>
    </w:p>
    <w:p w14:paraId="647EC8D1" w14:textId="1A222C06" w:rsidR="009E24EF" w:rsidRPr="007C7BE5" w:rsidRDefault="009E24EF" w:rsidP="007D19F1">
      <w:pPr>
        <w:jc w:val="center"/>
        <w:rPr>
          <w:b/>
          <w:noProof/>
          <w:lang w:val="en-US"/>
        </w:rPr>
      </w:pPr>
      <w:r w:rsidRPr="007C7BE5">
        <w:rPr>
          <w:b/>
          <w:noProof/>
          <w:lang w:val="en-US"/>
        </w:rPr>
        <w:t>Police records</w:t>
      </w:r>
    </w:p>
    <w:p w14:paraId="3D3DDC5C" w14:textId="688DBB23" w:rsidR="008744F7" w:rsidRPr="00E951DA" w:rsidRDefault="007D19F1" w:rsidP="008744F7">
      <w:pPr>
        <w:pStyle w:val="Titrearticle"/>
        <w:rPr>
          <w:noProof/>
          <w:lang w:val="en-US"/>
        </w:rPr>
      </w:pPr>
      <w:r w:rsidRPr="00E951DA">
        <w:rPr>
          <w:noProof/>
          <w:lang w:val="en-US"/>
        </w:rPr>
        <w:t>Article 2</w:t>
      </w:r>
      <w:r w:rsidR="00E15E51">
        <w:rPr>
          <w:noProof/>
          <w:lang w:val="en-US"/>
        </w:rPr>
        <w:t>5</w:t>
      </w:r>
    </w:p>
    <w:p w14:paraId="093B8D3E" w14:textId="322C0C28" w:rsidR="008744F7" w:rsidRPr="009F56E6" w:rsidRDefault="00286FAD" w:rsidP="008744F7">
      <w:pPr>
        <w:jc w:val="center"/>
        <w:rPr>
          <w:b/>
          <w:noProof/>
        </w:rPr>
      </w:pPr>
      <w:r w:rsidRPr="009F56E6">
        <w:rPr>
          <w:b/>
          <w:noProof/>
        </w:rPr>
        <w:t>Police records</w:t>
      </w:r>
    </w:p>
    <w:p w14:paraId="0C1AC3CA" w14:textId="23E53AC5" w:rsidR="0011376F" w:rsidRPr="005A04A2" w:rsidRDefault="00824E8C" w:rsidP="00E0595D">
      <w:pPr>
        <w:rPr>
          <w:noProof/>
        </w:rPr>
      </w:pPr>
      <w:r w:rsidRPr="009F56E6">
        <w:rPr>
          <w:noProof/>
        </w:rPr>
        <w:t xml:space="preserve">1. </w:t>
      </w:r>
      <w:r w:rsidR="0011376F" w:rsidRPr="009F56E6">
        <w:rPr>
          <w:noProof/>
        </w:rPr>
        <w:t>Member States</w:t>
      </w:r>
      <w:r w:rsidR="002A3C20" w:rsidRPr="009F56E6">
        <w:rPr>
          <w:noProof/>
        </w:rPr>
        <w:t xml:space="preserve"> </w:t>
      </w:r>
      <w:r w:rsidR="0024172C" w:rsidRPr="009F56E6">
        <w:rPr>
          <w:noProof/>
        </w:rPr>
        <w:t xml:space="preserve">may decide </w:t>
      </w:r>
      <w:r w:rsidR="00B224E2" w:rsidRPr="009F56E6" w:rsidDel="009B4738">
        <w:rPr>
          <w:noProof/>
        </w:rPr>
        <w:t xml:space="preserve">to participate in the </w:t>
      </w:r>
      <w:r w:rsidR="002A3C20" w:rsidRPr="009F56E6" w:rsidDel="009B4738">
        <w:rPr>
          <w:noProof/>
        </w:rPr>
        <w:t xml:space="preserve">automated </w:t>
      </w:r>
      <w:r w:rsidR="00B224E2" w:rsidRPr="009F56E6" w:rsidDel="009B4738">
        <w:rPr>
          <w:noProof/>
        </w:rPr>
        <w:t>exchange of police records</w:t>
      </w:r>
      <w:r w:rsidR="002A3C20" w:rsidRPr="009F56E6" w:rsidDel="009B4738">
        <w:rPr>
          <w:noProof/>
        </w:rPr>
        <w:t>. Member States participating in the automated exchange of police records</w:t>
      </w:r>
      <w:r w:rsidR="00B224E2" w:rsidRPr="009F56E6" w:rsidDel="009B4738">
        <w:rPr>
          <w:noProof/>
        </w:rPr>
        <w:t xml:space="preserve"> </w:t>
      </w:r>
      <w:r w:rsidR="00B224E2" w:rsidRPr="009F56E6">
        <w:rPr>
          <w:noProof/>
        </w:rPr>
        <w:t>shall</w:t>
      </w:r>
      <w:r w:rsidR="0011376F" w:rsidRPr="009F56E6">
        <w:rPr>
          <w:noProof/>
        </w:rPr>
        <w:t xml:space="preserve"> ensure the availability of biographical data </w:t>
      </w:r>
      <w:r w:rsidR="00730F66" w:rsidRPr="009F56E6">
        <w:rPr>
          <w:noProof/>
        </w:rPr>
        <w:t>of suspects</w:t>
      </w:r>
      <w:r w:rsidR="0011376F" w:rsidRPr="009F56E6">
        <w:rPr>
          <w:noProof/>
        </w:rPr>
        <w:t xml:space="preserve"> </w:t>
      </w:r>
      <w:r w:rsidR="00483D10" w:rsidRPr="009F56E6">
        <w:rPr>
          <w:noProof/>
        </w:rPr>
        <w:t xml:space="preserve">and criminals </w:t>
      </w:r>
      <w:r w:rsidR="0011376F" w:rsidRPr="009F56E6">
        <w:rPr>
          <w:noProof/>
        </w:rPr>
        <w:t xml:space="preserve">from </w:t>
      </w:r>
      <w:r w:rsidR="00E0595D" w:rsidRPr="009F56E6">
        <w:rPr>
          <w:noProof/>
        </w:rPr>
        <w:t xml:space="preserve">their national </w:t>
      </w:r>
      <w:r w:rsidR="00701763">
        <w:rPr>
          <w:noProof/>
        </w:rPr>
        <w:t xml:space="preserve">police records </w:t>
      </w:r>
      <w:r w:rsidR="00E0595D" w:rsidRPr="009F56E6">
        <w:rPr>
          <w:noProof/>
        </w:rPr>
        <w:t xml:space="preserve">indexes established for the investigation of criminal offences. </w:t>
      </w:r>
      <w:r w:rsidR="0011376F" w:rsidRPr="00CE3F2A">
        <w:rPr>
          <w:noProof/>
        </w:rPr>
        <w:t xml:space="preserve">This set of </w:t>
      </w:r>
      <w:r w:rsidR="0011376F" w:rsidRPr="009F56E6">
        <w:rPr>
          <w:noProof/>
        </w:rPr>
        <w:t>data</w:t>
      </w:r>
      <w:r w:rsidR="0011376F" w:rsidRPr="005A04A2">
        <w:rPr>
          <w:noProof/>
        </w:rPr>
        <w:t xml:space="preserve">, if available, shall contain the following </w:t>
      </w:r>
      <w:r w:rsidR="00701763">
        <w:rPr>
          <w:noProof/>
        </w:rPr>
        <w:t>data</w:t>
      </w:r>
      <w:r w:rsidR="0011376F" w:rsidRPr="005A04A2">
        <w:rPr>
          <w:noProof/>
        </w:rPr>
        <w:t>:</w:t>
      </w:r>
    </w:p>
    <w:p w14:paraId="432A13AC" w14:textId="087E0A82" w:rsidR="00B66FA0" w:rsidRPr="005A04A2" w:rsidRDefault="00C304BF" w:rsidP="00C304BF">
      <w:pPr>
        <w:pStyle w:val="Point0"/>
        <w:rPr>
          <w:noProof/>
        </w:rPr>
      </w:pPr>
      <w:r w:rsidRPr="00C304BF">
        <w:t>(a)</w:t>
      </w:r>
      <w:r w:rsidRPr="00C304BF">
        <w:tab/>
      </w:r>
      <w:r w:rsidR="00B66FA0" w:rsidRPr="005A04A2">
        <w:rPr>
          <w:noProof/>
        </w:rPr>
        <w:t>first name(s)</w:t>
      </w:r>
      <w:r w:rsidR="004201CF" w:rsidRPr="005A04A2">
        <w:rPr>
          <w:noProof/>
        </w:rPr>
        <w:t>;</w:t>
      </w:r>
    </w:p>
    <w:p w14:paraId="589DE275" w14:textId="1A6AA664" w:rsidR="00B66FA0" w:rsidRPr="005A04A2" w:rsidRDefault="00C304BF" w:rsidP="00C304BF">
      <w:pPr>
        <w:pStyle w:val="Point0"/>
        <w:rPr>
          <w:noProof/>
        </w:rPr>
      </w:pPr>
      <w:r w:rsidRPr="00C304BF">
        <w:t>(b)</w:t>
      </w:r>
      <w:r w:rsidRPr="00C304BF">
        <w:tab/>
      </w:r>
      <w:r w:rsidR="008259D5" w:rsidRPr="005A04A2">
        <w:rPr>
          <w:noProof/>
        </w:rPr>
        <w:t>family name</w:t>
      </w:r>
      <w:r w:rsidR="0011376F" w:rsidRPr="005A04A2">
        <w:rPr>
          <w:noProof/>
        </w:rPr>
        <w:t>(s)</w:t>
      </w:r>
      <w:r w:rsidR="004201CF" w:rsidRPr="005A04A2">
        <w:rPr>
          <w:noProof/>
        </w:rPr>
        <w:t>;</w:t>
      </w:r>
    </w:p>
    <w:p w14:paraId="50FE659F" w14:textId="34E042AD" w:rsidR="00824E8C" w:rsidRPr="005A04A2" w:rsidRDefault="00C304BF" w:rsidP="00C304BF">
      <w:pPr>
        <w:pStyle w:val="Point0"/>
        <w:rPr>
          <w:noProof/>
        </w:rPr>
      </w:pPr>
      <w:r w:rsidRPr="00C304BF">
        <w:t>(c)</w:t>
      </w:r>
      <w:r w:rsidRPr="00C304BF">
        <w:tab/>
      </w:r>
      <w:r w:rsidR="00824E8C" w:rsidRPr="005A04A2">
        <w:rPr>
          <w:noProof/>
        </w:rPr>
        <w:t>alias(es);</w:t>
      </w:r>
    </w:p>
    <w:p w14:paraId="5235B238" w14:textId="014450E6" w:rsidR="00B66FA0" w:rsidRPr="005A04A2" w:rsidRDefault="00C304BF" w:rsidP="00C304BF">
      <w:pPr>
        <w:pStyle w:val="Point0"/>
        <w:rPr>
          <w:noProof/>
        </w:rPr>
      </w:pPr>
      <w:r w:rsidRPr="00C304BF">
        <w:t>(d)</w:t>
      </w:r>
      <w:r w:rsidRPr="00C304BF">
        <w:tab/>
      </w:r>
      <w:r w:rsidR="0011376F" w:rsidRPr="005A04A2">
        <w:rPr>
          <w:noProof/>
        </w:rPr>
        <w:t>date of birth</w:t>
      </w:r>
      <w:r w:rsidR="004201CF" w:rsidRPr="005A04A2">
        <w:rPr>
          <w:noProof/>
        </w:rPr>
        <w:t>;</w:t>
      </w:r>
    </w:p>
    <w:p w14:paraId="0B06115F" w14:textId="5DBB9B5E" w:rsidR="00B66FA0" w:rsidRPr="005A04A2" w:rsidRDefault="00C304BF" w:rsidP="00C304BF">
      <w:pPr>
        <w:pStyle w:val="Point0"/>
        <w:rPr>
          <w:noProof/>
        </w:rPr>
      </w:pPr>
      <w:r w:rsidRPr="00C304BF">
        <w:t>(e)</w:t>
      </w:r>
      <w:r w:rsidRPr="00C304BF">
        <w:tab/>
      </w:r>
      <w:r w:rsidR="0011376F" w:rsidRPr="005A04A2">
        <w:rPr>
          <w:noProof/>
        </w:rPr>
        <w:t>nationality or nationalities</w:t>
      </w:r>
      <w:r w:rsidR="004201CF" w:rsidRPr="005A04A2">
        <w:rPr>
          <w:noProof/>
        </w:rPr>
        <w:t>;</w:t>
      </w:r>
    </w:p>
    <w:p w14:paraId="5B1EB42B" w14:textId="57FB460F" w:rsidR="00B66FA0" w:rsidRPr="005A04A2" w:rsidRDefault="00C304BF" w:rsidP="00C304BF">
      <w:pPr>
        <w:pStyle w:val="Point0"/>
        <w:rPr>
          <w:noProof/>
        </w:rPr>
      </w:pPr>
      <w:r w:rsidRPr="00C304BF">
        <w:t>(f)</w:t>
      </w:r>
      <w:r w:rsidRPr="00C304BF">
        <w:tab/>
      </w:r>
      <w:r w:rsidR="0011376F" w:rsidRPr="005A04A2">
        <w:rPr>
          <w:noProof/>
        </w:rPr>
        <w:t>place and country of birth</w:t>
      </w:r>
      <w:r w:rsidR="004201CF" w:rsidRPr="005A04A2">
        <w:rPr>
          <w:noProof/>
        </w:rPr>
        <w:t xml:space="preserve">; </w:t>
      </w:r>
    </w:p>
    <w:p w14:paraId="75A811D3" w14:textId="6B41D7A8" w:rsidR="0011376F" w:rsidRPr="005A04A2" w:rsidRDefault="00C304BF" w:rsidP="00C304BF">
      <w:pPr>
        <w:pStyle w:val="Point0"/>
        <w:rPr>
          <w:noProof/>
        </w:rPr>
      </w:pPr>
      <w:r w:rsidRPr="00C304BF">
        <w:t>(g)</w:t>
      </w:r>
      <w:r w:rsidRPr="00C304BF">
        <w:tab/>
      </w:r>
      <w:r w:rsidR="0011376F" w:rsidRPr="005A04A2">
        <w:rPr>
          <w:noProof/>
        </w:rPr>
        <w:t>gender</w:t>
      </w:r>
      <w:r w:rsidR="004201CF" w:rsidRPr="005A04A2">
        <w:rPr>
          <w:noProof/>
        </w:rPr>
        <w:t>.</w:t>
      </w:r>
    </w:p>
    <w:p w14:paraId="13CF3D85" w14:textId="2F08D300" w:rsidR="00CD4C77" w:rsidRPr="009F56E6" w:rsidRDefault="00824E8C" w:rsidP="0011376F">
      <w:pPr>
        <w:rPr>
          <w:noProof/>
        </w:rPr>
      </w:pPr>
      <w:r w:rsidRPr="009F56E6">
        <w:rPr>
          <w:noProof/>
        </w:rPr>
        <w:t xml:space="preserve">2. </w:t>
      </w:r>
      <w:r w:rsidR="00DA1EAF" w:rsidRPr="009F56E6">
        <w:rPr>
          <w:noProof/>
        </w:rPr>
        <w:t xml:space="preserve">The data </w:t>
      </w:r>
      <w:r w:rsidR="00190C69" w:rsidRPr="009F56E6">
        <w:rPr>
          <w:noProof/>
        </w:rPr>
        <w:t>referred to in paragraph 1</w:t>
      </w:r>
      <w:r w:rsidR="001C46BA">
        <w:rPr>
          <w:noProof/>
        </w:rPr>
        <w:t>,</w:t>
      </w:r>
      <w:r w:rsidR="00EC356D" w:rsidRPr="009F56E6">
        <w:rPr>
          <w:noProof/>
        </w:rPr>
        <w:t xml:space="preserve"> </w:t>
      </w:r>
      <w:r w:rsidR="001C46BA" w:rsidRPr="009F56E6">
        <w:rPr>
          <w:noProof/>
        </w:rPr>
        <w:t xml:space="preserve">points (a), (b), (c), (e) and (f) </w:t>
      </w:r>
      <w:r w:rsidR="00DA1EAF" w:rsidRPr="009F56E6">
        <w:rPr>
          <w:noProof/>
        </w:rPr>
        <w:t xml:space="preserve">shall be </w:t>
      </w:r>
      <w:r w:rsidR="00CE609C" w:rsidRPr="0003774E">
        <w:rPr>
          <w:noProof/>
        </w:rPr>
        <w:t>pseudonymised</w:t>
      </w:r>
      <w:r w:rsidR="00DA1EAF" w:rsidRPr="009F56E6">
        <w:rPr>
          <w:noProof/>
        </w:rPr>
        <w:t>.</w:t>
      </w:r>
    </w:p>
    <w:p w14:paraId="748071C8" w14:textId="00938663" w:rsidR="008744F7" w:rsidRPr="009F56E6" w:rsidRDefault="007D19F1" w:rsidP="008744F7">
      <w:pPr>
        <w:pStyle w:val="Titrearticle"/>
        <w:rPr>
          <w:noProof/>
        </w:rPr>
      </w:pPr>
      <w:r w:rsidRPr="009F56E6">
        <w:rPr>
          <w:noProof/>
        </w:rPr>
        <w:t>Article 2</w:t>
      </w:r>
      <w:r w:rsidR="00E15E51">
        <w:rPr>
          <w:noProof/>
        </w:rPr>
        <w:t>6</w:t>
      </w:r>
    </w:p>
    <w:p w14:paraId="7E99F58F" w14:textId="2C5FFE65" w:rsidR="008744F7" w:rsidRPr="009F56E6" w:rsidRDefault="00286FAD" w:rsidP="008744F7">
      <w:pPr>
        <w:jc w:val="center"/>
        <w:rPr>
          <w:b/>
          <w:noProof/>
        </w:rPr>
      </w:pPr>
      <w:r w:rsidRPr="009F56E6">
        <w:rPr>
          <w:b/>
          <w:noProof/>
        </w:rPr>
        <w:t>Automated searching of police records</w:t>
      </w:r>
    </w:p>
    <w:p w14:paraId="1108F180" w14:textId="374EC066" w:rsidR="00AE0405" w:rsidRDefault="0011376F" w:rsidP="0011376F">
      <w:pPr>
        <w:rPr>
          <w:noProof/>
        </w:rPr>
      </w:pPr>
      <w:r w:rsidRPr="009F56E6">
        <w:rPr>
          <w:noProof/>
        </w:rPr>
        <w:t xml:space="preserve">1. For the investigation of criminal offences, Member States </w:t>
      </w:r>
      <w:r w:rsidR="003B1064" w:rsidRPr="009F56E6">
        <w:rPr>
          <w:noProof/>
        </w:rPr>
        <w:t xml:space="preserve">shall allow </w:t>
      </w:r>
      <w:r w:rsidR="00EC6705">
        <w:rPr>
          <w:noProof/>
        </w:rPr>
        <w:t xml:space="preserve">national contact points of </w:t>
      </w:r>
      <w:r w:rsidR="003B1064" w:rsidRPr="009F56E6">
        <w:rPr>
          <w:noProof/>
        </w:rPr>
        <w:t>other Member State</w:t>
      </w:r>
      <w:r w:rsidR="00CD4C77" w:rsidRPr="009F56E6">
        <w:rPr>
          <w:noProof/>
        </w:rPr>
        <w:t>s and Europol</w:t>
      </w:r>
      <w:r w:rsidRPr="009F56E6" w:rsidDel="00CD4C77">
        <w:rPr>
          <w:noProof/>
        </w:rPr>
        <w:t xml:space="preserve"> </w:t>
      </w:r>
      <w:r w:rsidRPr="009F56E6">
        <w:rPr>
          <w:noProof/>
        </w:rPr>
        <w:t xml:space="preserve">access to data </w:t>
      </w:r>
      <w:r w:rsidR="00EC6705">
        <w:rPr>
          <w:noProof/>
        </w:rPr>
        <w:t>from</w:t>
      </w:r>
      <w:r w:rsidRPr="009F56E6">
        <w:rPr>
          <w:noProof/>
        </w:rPr>
        <w:t xml:space="preserve"> their </w:t>
      </w:r>
      <w:r w:rsidR="00EC6705" w:rsidRPr="009F56E6">
        <w:rPr>
          <w:noProof/>
        </w:rPr>
        <w:t xml:space="preserve">national </w:t>
      </w:r>
      <w:r w:rsidR="00390994" w:rsidRPr="009F56E6">
        <w:rPr>
          <w:noProof/>
        </w:rPr>
        <w:t>police</w:t>
      </w:r>
      <w:r w:rsidR="00EC6705">
        <w:rPr>
          <w:noProof/>
        </w:rPr>
        <w:t xml:space="preserve"> records</w:t>
      </w:r>
      <w:r w:rsidR="00390994" w:rsidRPr="009F56E6">
        <w:rPr>
          <w:noProof/>
        </w:rPr>
        <w:t xml:space="preserve"> indexes</w:t>
      </w:r>
      <w:r w:rsidRPr="009F56E6">
        <w:rPr>
          <w:noProof/>
        </w:rPr>
        <w:t xml:space="preserve">, to conduct automated </w:t>
      </w:r>
      <w:r w:rsidR="00097061" w:rsidRPr="009F56E6">
        <w:rPr>
          <w:noProof/>
        </w:rPr>
        <w:t xml:space="preserve">searches. </w:t>
      </w:r>
    </w:p>
    <w:p w14:paraId="601E847A" w14:textId="633B9D5D" w:rsidR="0011376F" w:rsidRPr="009F56E6" w:rsidRDefault="0011376F" w:rsidP="0011376F">
      <w:pPr>
        <w:rPr>
          <w:noProof/>
        </w:rPr>
      </w:pPr>
      <w:r w:rsidRPr="009F56E6">
        <w:rPr>
          <w:noProof/>
        </w:rPr>
        <w:t xml:space="preserve">Searches may be conducted only in individual cases and in compliance with the </w:t>
      </w:r>
      <w:r w:rsidR="00EC6705" w:rsidRPr="009F56E6">
        <w:rPr>
          <w:noProof/>
        </w:rPr>
        <w:t xml:space="preserve">national law </w:t>
      </w:r>
      <w:r w:rsidR="00EC6705">
        <w:rPr>
          <w:noProof/>
        </w:rPr>
        <w:t xml:space="preserve">of the </w:t>
      </w:r>
      <w:r w:rsidRPr="009F56E6">
        <w:rPr>
          <w:noProof/>
        </w:rPr>
        <w:t>requesting Member S</w:t>
      </w:r>
      <w:r w:rsidR="007C7097" w:rsidRPr="009F56E6">
        <w:rPr>
          <w:noProof/>
        </w:rPr>
        <w:t>tate</w:t>
      </w:r>
      <w:r w:rsidRPr="009F56E6">
        <w:rPr>
          <w:noProof/>
        </w:rPr>
        <w:t>.</w:t>
      </w:r>
    </w:p>
    <w:p w14:paraId="1435B0F0" w14:textId="77777777" w:rsidR="00AE0405" w:rsidRDefault="001B4DA4" w:rsidP="00781E74">
      <w:pPr>
        <w:rPr>
          <w:noProof/>
        </w:rPr>
      </w:pPr>
      <w:r w:rsidRPr="009F56E6">
        <w:rPr>
          <w:noProof/>
        </w:rPr>
        <w:t xml:space="preserve">2. </w:t>
      </w:r>
      <w:r w:rsidR="00F94E93" w:rsidRPr="009F56E6">
        <w:rPr>
          <w:noProof/>
        </w:rPr>
        <w:t>T</w:t>
      </w:r>
      <w:r w:rsidR="00CD4C77" w:rsidRPr="009F56E6">
        <w:rPr>
          <w:noProof/>
        </w:rPr>
        <w:t xml:space="preserve">he </w:t>
      </w:r>
      <w:r w:rsidR="00F94E93" w:rsidRPr="009F56E6">
        <w:rPr>
          <w:noProof/>
        </w:rPr>
        <w:t>requesting Member State shall receive the list of matches with an indication of the quality of the match</w:t>
      </w:r>
      <w:r w:rsidR="009B4738" w:rsidRPr="009F56E6">
        <w:rPr>
          <w:noProof/>
        </w:rPr>
        <w:t>es</w:t>
      </w:r>
      <w:r w:rsidR="00F94E93" w:rsidRPr="009F56E6">
        <w:rPr>
          <w:noProof/>
        </w:rPr>
        <w:t xml:space="preserve">. </w:t>
      </w:r>
    </w:p>
    <w:p w14:paraId="2B07D337" w14:textId="1BD9F917" w:rsidR="0033372A" w:rsidRPr="00E7465F" w:rsidRDefault="00F94E93" w:rsidP="00781E74">
      <w:pPr>
        <w:rPr>
          <w:noProof/>
        </w:rPr>
      </w:pPr>
      <w:r w:rsidRPr="009F56E6">
        <w:rPr>
          <w:noProof/>
        </w:rPr>
        <w:t>The requesting Member State shall also be informed about the Member State whose database contains data that resulted in the match</w:t>
      </w:r>
      <w:r w:rsidR="00CD4C77" w:rsidRPr="009F56E6">
        <w:rPr>
          <w:noProof/>
        </w:rPr>
        <w:t>.</w:t>
      </w:r>
    </w:p>
    <w:p w14:paraId="07EA5EE4" w14:textId="0110D89F" w:rsidR="0033372A" w:rsidRPr="009F56E6" w:rsidRDefault="00D03889" w:rsidP="007B4046">
      <w:pPr>
        <w:jc w:val="center"/>
        <w:rPr>
          <w:i/>
          <w:noProof/>
          <w:lang w:val="en-US"/>
        </w:rPr>
      </w:pPr>
      <w:r w:rsidRPr="009F56E6">
        <w:rPr>
          <w:i/>
          <w:noProof/>
          <w:lang w:val="en-US"/>
        </w:rPr>
        <w:t>Article</w:t>
      </w:r>
      <w:r w:rsidR="0033372A" w:rsidRPr="009F56E6">
        <w:rPr>
          <w:i/>
          <w:noProof/>
          <w:lang w:val="en-US"/>
        </w:rPr>
        <w:t xml:space="preserve"> </w:t>
      </w:r>
      <w:r w:rsidR="00767F5F" w:rsidRPr="009F56E6">
        <w:rPr>
          <w:i/>
          <w:noProof/>
          <w:lang w:val="en-US"/>
        </w:rPr>
        <w:t>2</w:t>
      </w:r>
      <w:r w:rsidR="00E15E51">
        <w:rPr>
          <w:i/>
          <w:noProof/>
          <w:lang w:val="en-US"/>
        </w:rPr>
        <w:t>7</w:t>
      </w:r>
    </w:p>
    <w:p w14:paraId="500E8C85" w14:textId="2169A239" w:rsidR="0033372A" w:rsidRPr="009F56E6" w:rsidRDefault="0033372A" w:rsidP="007B4046">
      <w:pPr>
        <w:jc w:val="center"/>
        <w:rPr>
          <w:b/>
          <w:noProof/>
          <w:lang w:val="en-US"/>
        </w:rPr>
      </w:pPr>
      <w:r w:rsidRPr="009F56E6">
        <w:rPr>
          <w:b/>
          <w:noProof/>
          <w:lang w:val="en-US"/>
        </w:rPr>
        <w:t>Reference numbers for police records</w:t>
      </w:r>
    </w:p>
    <w:p w14:paraId="6F8A8EFC" w14:textId="7E530B73" w:rsidR="00102F1D" w:rsidRPr="009F56E6" w:rsidRDefault="00102F1D" w:rsidP="00102F1D">
      <w:pPr>
        <w:rPr>
          <w:noProof/>
        </w:rPr>
      </w:pPr>
      <w:r w:rsidRPr="009F56E6">
        <w:rPr>
          <w:noProof/>
        </w:rPr>
        <w:t xml:space="preserve">The reference numbers for police records shall </w:t>
      </w:r>
      <w:r w:rsidR="00CF3E6B">
        <w:rPr>
          <w:noProof/>
        </w:rPr>
        <w:t>be the</w:t>
      </w:r>
      <w:r w:rsidRPr="009F56E6">
        <w:rPr>
          <w:noProof/>
        </w:rPr>
        <w:t xml:space="preserve"> combination of the following:</w:t>
      </w:r>
    </w:p>
    <w:p w14:paraId="6F531344" w14:textId="2A827EA9" w:rsidR="00102F1D" w:rsidRPr="0060359F" w:rsidRDefault="00C304BF" w:rsidP="00C304BF">
      <w:pPr>
        <w:pStyle w:val="Point0"/>
        <w:rPr>
          <w:noProof/>
        </w:rPr>
      </w:pPr>
      <w:r w:rsidRPr="00C304BF">
        <w:t>(a)</w:t>
      </w:r>
      <w:r w:rsidRPr="00C304BF">
        <w:tab/>
      </w:r>
      <w:r w:rsidR="00102F1D" w:rsidRPr="009F56E6">
        <w:rPr>
          <w:noProof/>
        </w:rPr>
        <w:t xml:space="preserve">a reference number allowing Member States, in the case of a match, to retrieve personal data and other information in their </w:t>
      </w:r>
      <w:r w:rsidR="00273867">
        <w:rPr>
          <w:noProof/>
        </w:rPr>
        <w:t>indexes referred to in Article 2</w:t>
      </w:r>
      <w:r w:rsidR="00920A11">
        <w:rPr>
          <w:noProof/>
        </w:rPr>
        <w:t>5</w:t>
      </w:r>
      <w:r w:rsidR="00102F1D" w:rsidRPr="009F56E6">
        <w:rPr>
          <w:noProof/>
        </w:rPr>
        <w:t xml:space="preserve"> in order to supply it to one, several or all of the Member States </w:t>
      </w:r>
      <w:r w:rsidR="00102F1D" w:rsidRPr="0060359F">
        <w:rPr>
          <w:noProof/>
        </w:rPr>
        <w:t xml:space="preserve">in accordance with Articles </w:t>
      </w:r>
      <w:r w:rsidR="00C0177B" w:rsidRPr="0060359F">
        <w:rPr>
          <w:noProof/>
        </w:rPr>
        <w:t>4</w:t>
      </w:r>
      <w:r w:rsidR="00920A11">
        <w:rPr>
          <w:noProof/>
        </w:rPr>
        <w:t>7</w:t>
      </w:r>
      <w:r w:rsidR="00C0177B" w:rsidRPr="0060359F">
        <w:rPr>
          <w:noProof/>
        </w:rPr>
        <w:t xml:space="preserve"> and 4</w:t>
      </w:r>
      <w:r w:rsidR="00920A11">
        <w:rPr>
          <w:noProof/>
        </w:rPr>
        <w:t>8</w:t>
      </w:r>
      <w:r w:rsidR="00102F1D" w:rsidRPr="0060359F">
        <w:rPr>
          <w:noProof/>
        </w:rPr>
        <w:t xml:space="preserve">; </w:t>
      </w:r>
    </w:p>
    <w:p w14:paraId="7CE7863F" w14:textId="73AF6354" w:rsidR="00D03889" w:rsidRPr="0060359F" w:rsidRDefault="00C304BF" w:rsidP="00C304BF">
      <w:pPr>
        <w:pStyle w:val="Point0"/>
        <w:rPr>
          <w:noProof/>
        </w:rPr>
      </w:pPr>
      <w:r w:rsidRPr="00C304BF">
        <w:t>(b)</w:t>
      </w:r>
      <w:r w:rsidRPr="00C304BF">
        <w:tab/>
      </w:r>
      <w:r w:rsidR="00102F1D" w:rsidRPr="0060359F">
        <w:rPr>
          <w:noProof/>
        </w:rPr>
        <w:t xml:space="preserve">a code to indicate the Member State </w:t>
      </w:r>
      <w:r w:rsidR="0060359F" w:rsidRPr="0060359F">
        <w:rPr>
          <w:noProof/>
        </w:rPr>
        <w:t>which h</w:t>
      </w:r>
      <w:r w:rsidR="0060359F" w:rsidRPr="005E06C0">
        <w:rPr>
          <w:noProof/>
        </w:rPr>
        <w:t>olds</w:t>
      </w:r>
      <w:r w:rsidR="00102F1D" w:rsidRPr="005E06C0">
        <w:rPr>
          <w:noProof/>
        </w:rPr>
        <w:t xml:space="preserve"> the police records.</w:t>
      </w:r>
    </w:p>
    <w:p w14:paraId="2A0593BF" w14:textId="77777777" w:rsidR="00E7465F" w:rsidRDefault="00E7465F" w:rsidP="00E951DA">
      <w:pPr>
        <w:jc w:val="center"/>
        <w:rPr>
          <w:i/>
          <w:noProof/>
          <w:lang w:val="en-US"/>
        </w:rPr>
      </w:pPr>
    </w:p>
    <w:p w14:paraId="095764C2" w14:textId="462EF744" w:rsidR="0033372A" w:rsidRPr="00E951DA" w:rsidRDefault="0033372A" w:rsidP="00E951DA">
      <w:pPr>
        <w:jc w:val="center"/>
        <w:rPr>
          <w:i/>
          <w:noProof/>
          <w:lang w:val="en-US"/>
        </w:rPr>
      </w:pPr>
      <w:r w:rsidRPr="00E951DA">
        <w:rPr>
          <w:i/>
          <w:noProof/>
          <w:lang w:val="en-US"/>
        </w:rPr>
        <w:t xml:space="preserve">Article </w:t>
      </w:r>
      <w:r w:rsidR="00767F5F" w:rsidRPr="00E951DA">
        <w:rPr>
          <w:i/>
          <w:noProof/>
          <w:lang w:val="en-US"/>
        </w:rPr>
        <w:t>2</w:t>
      </w:r>
      <w:r w:rsidR="00E15E51">
        <w:rPr>
          <w:i/>
          <w:noProof/>
          <w:lang w:val="en-US"/>
        </w:rPr>
        <w:t>8</w:t>
      </w:r>
    </w:p>
    <w:p w14:paraId="6C03E7E7" w14:textId="7AC4BACD" w:rsidR="00DC6263" w:rsidRPr="009F56E6" w:rsidRDefault="0033372A" w:rsidP="00DC6263">
      <w:pPr>
        <w:jc w:val="center"/>
        <w:rPr>
          <w:b/>
          <w:noProof/>
        </w:rPr>
      </w:pPr>
      <w:r w:rsidRPr="009F56E6">
        <w:rPr>
          <w:b/>
          <w:noProof/>
          <w:lang w:val="en-US"/>
        </w:rPr>
        <w:t>Rules for requests and answers</w:t>
      </w:r>
      <w:r w:rsidR="00102F1D" w:rsidRPr="009F56E6">
        <w:rPr>
          <w:b/>
          <w:noProof/>
          <w:lang w:val="en-US"/>
        </w:rPr>
        <w:t xml:space="preserve"> regarding police records</w:t>
      </w:r>
    </w:p>
    <w:p w14:paraId="6CE48BD1" w14:textId="531E82B9" w:rsidR="00DC6263" w:rsidRPr="009F56E6" w:rsidRDefault="00DC6263" w:rsidP="00DC6263">
      <w:pPr>
        <w:rPr>
          <w:noProof/>
        </w:rPr>
      </w:pPr>
      <w:r w:rsidRPr="009F56E6">
        <w:rPr>
          <w:noProof/>
        </w:rPr>
        <w:t>1. A request for an automated search shall include only the following information:</w:t>
      </w:r>
    </w:p>
    <w:p w14:paraId="16D4B75B" w14:textId="32EAC5B4" w:rsidR="00DC6263" w:rsidRPr="009F56E6" w:rsidRDefault="00C304BF" w:rsidP="00C304BF">
      <w:pPr>
        <w:pStyle w:val="Point0"/>
        <w:rPr>
          <w:noProof/>
        </w:rPr>
      </w:pPr>
      <w:r w:rsidRPr="00C304BF">
        <w:t>(a)</w:t>
      </w:r>
      <w:r w:rsidRPr="00C304BF">
        <w:tab/>
      </w:r>
      <w:r w:rsidR="00DC6263" w:rsidRPr="009F56E6">
        <w:rPr>
          <w:noProof/>
        </w:rPr>
        <w:t>the code of the requesting Member State;</w:t>
      </w:r>
    </w:p>
    <w:p w14:paraId="798ADD38" w14:textId="3321CE0E" w:rsidR="00DC6263" w:rsidRPr="009F56E6" w:rsidRDefault="00C304BF" w:rsidP="00C304BF">
      <w:pPr>
        <w:pStyle w:val="Point0"/>
        <w:rPr>
          <w:noProof/>
        </w:rPr>
      </w:pPr>
      <w:r w:rsidRPr="00C304BF">
        <w:t>(b)</w:t>
      </w:r>
      <w:r w:rsidRPr="00C304BF">
        <w:tab/>
      </w:r>
      <w:r w:rsidR="00DC6263" w:rsidRPr="009F56E6">
        <w:rPr>
          <w:noProof/>
        </w:rPr>
        <w:t xml:space="preserve">the date, time and indication number of the request; </w:t>
      </w:r>
    </w:p>
    <w:p w14:paraId="5F55B244" w14:textId="2D085140" w:rsidR="00DC6263" w:rsidRPr="009F56E6" w:rsidRDefault="00C304BF" w:rsidP="00C304BF">
      <w:pPr>
        <w:pStyle w:val="Point0"/>
        <w:rPr>
          <w:noProof/>
        </w:rPr>
      </w:pPr>
      <w:r w:rsidRPr="00C304BF">
        <w:t>(c)</w:t>
      </w:r>
      <w:r w:rsidRPr="00C304BF">
        <w:tab/>
      </w:r>
      <w:r w:rsidR="00DC6263" w:rsidRPr="009F56E6">
        <w:rPr>
          <w:noProof/>
        </w:rPr>
        <w:t>the police records and their reference numbers</w:t>
      </w:r>
      <w:r w:rsidR="00EC117E">
        <w:rPr>
          <w:noProof/>
        </w:rPr>
        <w:t xml:space="preserve"> referred to in Article 2</w:t>
      </w:r>
      <w:r w:rsidR="00920A11">
        <w:rPr>
          <w:noProof/>
        </w:rPr>
        <w:t>7</w:t>
      </w:r>
      <w:r w:rsidR="00DC6263" w:rsidRPr="009F56E6">
        <w:rPr>
          <w:noProof/>
        </w:rPr>
        <w:t>.</w:t>
      </w:r>
    </w:p>
    <w:p w14:paraId="75A4BD88" w14:textId="77777777" w:rsidR="00DC6263" w:rsidRPr="009F56E6" w:rsidRDefault="00DC6263" w:rsidP="00DC6263">
      <w:pPr>
        <w:rPr>
          <w:noProof/>
        </w:rPr>
      </w:pPr>
      <w:r w:rsidRPr="009F56E6">
        <w:rPr>
          <w:noProof/>
        </w:rPr>
        <w:t>2. The answer to the request referred to in paragraph 1 shall contain only the following information:</w:t>
      </w:r>
    </w:p>
    <w:p w14:paraId="4C07FAA6" w14:textId="5DD41A78" w:rsidR="00DC6263" w:rsidRPr="009F56E6" w:rsidRDefault="00C304BF" w:rsidP="00C304BF">
      <w:pPr>
        <w:pStyle w:val="Point0"/>
        <w:rPr>
          <w:noProof/>
        </w:rPr>
      </w:pPr>
      <w:r w:rsidRPr="00C304BF">
        <w:t>(a)</w:t>
      </w:r>
      <w:r w:rsidRPr="00C304BF">
        <w:tab/>
      </w:r>
      <w:r w:rsidR="00DC6263" w:rsidRPr="009F56E6">
        <w:rPr>
          <w:noProof/>
        </w:rPr>
        <w:t>an indication as to whether there were one or more matches or no matches;</w:t>
      </w:r>
    </w:p>
    <w:p w14:paraId="6927900A" w14:textId="634EB71F" w:rsidR="00DC6263" w:rsidRPr="009F56E6" w:rsidRDefault="00C304BF" w:rsidP="00C304BF">
      <w:pPr>
        <w:pStyle w:val="Point0"/>
        <w:rPr>
          <w:noProof/>
        </w:rPr>
      </w:pPr>
      <w:r w:rsidRPr="00C304BF">
        <w:t>(b)</w:t>
      </w:r>
      <w:r w:rsidRPr="00C304BF">
        <w:tab/>
      </w:r>
      <w:r w:rsidR="00DC6263" w:rsidRPr="009F56E6">
        <w:rPr>
          <w:noProof/>
        </w:rPr>
        <w:t>the date, time and indication number of the request;</w:t>
      </w:r>
    </w:p>
    <w:p w14:paraId="2DCDB264" w14:textId="26FA16F0" w:rsidR="00DC6263" w:rsidRPr="009F56E6" w:rsidRDefault="00C304BF" w:rsidP="00C304BF">
      <w:pPr>
        <w:pStyle w:val="Point0"/>
        <w:rPr>
          <w:noProof/>
        </w:rPr>
      </w:pPr>
      <w:r w:rsidRPr="00C304BF">
        <w:t>(c)</w:t>
      </w:r>
      <w:r w:rsidRPr="00C304BF">
        <w:tab/>
      </w:r>
      <w:r w:rsidR="00DC6263" w:rsidRPr="009F56E6">
        <w:rPr>
          <w:noProof/>
        </w:rPr>
        <w:t>the date, time and indication number of the answer;</w:t>
      </w:r>
    </w:p>
    <w:p w14:paraId="4741693D" w14:textId="2D5B69E4" w:rsidR="00DC6263" w:rsidRPr="005E06C0" w:rsidRDefault="00C304BF" w:rsidP="00C304BF">
      <w:pPr>
        <w:pStyle w:val="Point0"/>
        <w:rPr>
          <w:noProof/>
        </w:rPr>
      </w:pPr>
      <w:r w:rsidRPr="00C304BF">
        <w:t>(d)</w:t>
      </w:r>
      <w:r w:rsidRPr="00C304BF">
        <w:tab/>
      </w:r>
      <w:r w:rsidR="00DC6263" w:rsidRPr="009F56E6">
        <w:rPr>
          <w:noProof/>
        </w:rPr>
        <w:t xml:space="preserve">the </w:t>
      </w:r>
      <w:r w:rsidR="00DC6263" w:rsidRPr="0060359F">
        <w:rPr>
          <w:noProof/>
        </w:rPr>
        <w:t>codes of the requesting and requested Member States;</w:t>
      </w:r>
      <w:r w:rsidR="00514A06" w:rsidRPr="0060359F">
        <w:rPr>
          <w:noProof/>
        </w:rPr>
        <w:t xml:space="preserve"> </w:t>
      </w:r>
    </w:p>
    <w:p w14:paraId="3C0698E3" w14:textId="4BDE61D1" w:rsidR="00EC117E" w:rsidRPr="009F56E6" w:rsidRDefault="00C304BF" w:rsidP="00C304BF">
      <w:pPr>
        <w:pStyle w:val="Point0"/>
        <w:rPr>
          <w:noProof/>
        </w:rPr>
      </w:pPr>
      <w:r w:rsidRPr="00C304BF">
        <w:t>(e)</w:t>
      </w:r>
      <w:r w:rsidRPr="00C304BF">
        <w:tab/>
      </w:r>
      <w:r w:rsidR="00EC117E" w:rsidRPr="0060359F">
        <w:rPr>
          <w:noProof/>
        </w:rPr>
        <w:t xml:space="preserve">the reference numbers of the </w:t>
      </w:r>
      <w:r w:rsidR="00EC117E" w:rsidRPr="0003774E">
        <w:rPr>
          <w:noProof/>
        </w:rPr>
        <w:t>police records</w:t>
      </w:r>
      <w:r w:rsidR="00EC117E" w:rsidRPr="0060359F">
        <w:rPr>
          <w:noProof/>
        </w:rPr>
        <w:t xml:space="preserve"> from</w:t>
      </w:r>
      <w:r w:rsidR="00EC117E" w:rsidRPr="009F56E6">
        <w:rPr>
          <w:noProof/>
        </w:rPr>
        <w:t xml:space="preserve"> the requested Member States. </w:t>
      </w:r>
    </w:p>
    <w:p w14:paraId="2A3DF719" w14:textId="527380F7" w:rsidR="00C3216E" w:rsidRPr="0003774E" w:rsidRDefault="00C3216E" w:rsidP="00C3216E">
      <w:pPr>
        <w:pStyle w:val="Titrearticle"/>
        <w:rPr>
          <w:i w:val="0"/>
          <w:noProof/>
          <w:lang w:val="fr-BE"/>
        </w:rPr>
      </w:pPr>
      <w:r w:rsidRPr="0003774E">
        <w:rPr>
          <w:i w:val="0"/>
          <w:noProof/>
          <w:lang w:val="fr-BE"/>
        </w:rPr>
        <w:t>SECTION 6</w:t>
      </w:r>
    </w:p>
    <w:p w14:paraId="0242AD39" w14:textId="292CC86C" w:rsidR="00B910F7" w:rsidRPr="0003774E" w:rsidRDefault="00C3216E" w:rsidP="00D32EC6">
      <w:pPr>
        <w:jc w:val="center"/>
        <w:rPr>
          <w:b/>
          <w:noProof/>
          <w:lang w:val="fr-BE"/>
        </w:rPr>
      </w:pPr>
      <w:r w:rsidRPr="0003774E">
        <w:rPr>
          <w:b/>
          <w:noProof/>
          <w:lang w:val="fr-BE"/>
        </w:rPr>
        <w:t>Common provisions</w:t>
      </w:r>
    </w:p>
    <w:p w14:paraId="42E99C90" w14:textId="02E408A8" w:rsidR="00624351" w:rsidRPr="0003774E" w:rsidRDefault="00624351" w:rsidP="00624351">
      <w:pPr>
        <w:pStyle w:val="Titrearticle"/>
        <w:rPr>
          <w:noProof/>
          <w:lang w:val="fr-BE"/>
        </w:rPr>
      </w:pPr>
      <w:r w:rsidRPr="0003774E">
        <w:rPr>
          <w:noProof/>
          <w:lang w:val="fr-BE"/>
        </w:rPr>
        <w:t>A</w:t>
      </w:r>
      <w:r w:rsidR="004C63E5" w:rsidRPr="0003774E">
        <w:rPr>
          <w:noProof/>
          <w:lang w:val="fr-BE"/>
        </w:rPr>
        <w:t xml:space="preserve">rticle </w:t>
      </w:r>
      <w:r w:rsidR="00767F5F" w:rsidRPr="0003774E">
        <w:rPr>
          <w:noProof/>
          <w:lang w:val="fr-BE"/>
        </w:rPr>
        <w:t>2</w:t>
      </w:r>
      <w:r w:rsidR="00E15E51">
        <w:rPr>
          <w:noProof/>
          <w:lang w:val="fr-BE"/>
        </w:rPr>
        <w:t>9</w:t>
      </w:r>
    </w:p>
    <w:p w14:paraId="17280FF7" w14:textId="012CB75A" w:rsidR="00624351" w:rsidRPr="0003774E" w:rsidRDefault="00624351" w:rsidP="00624351">
      <w:pPr>
        <w:jc w:val="center"/>
        <w:rPr>
          <w:b/>
          <w:noProof/>
          <w:lang w:val="fr-BE"/>
        </w:rPr>
      </w:pPr>
      <w:r w:rsidRPr="0003774E">
        <w:rPr>
          <w:b/>
          <w:noProof/>
          <w:lang w:val="fr-BE"/>
        </w:rPr>
        <w:t>National contact point</w:t>
      </w:r>
      <w:r w:rsidR="005E06C0" w:rsidRPr="0003774E">
        <w:rPr>
          <w:b/>
          <w:noProof/>
          <w:lang w:val="fr-BE"/>
        </w:rPr>
        <w:t>s</w:t>
      </w:r>
    </w:p>
    <w:p w14:paraId="3954C76D" w14:textId="64B1CEF8" w:rsidR="005E06C0" w:rsidRDefault="005E06C0" w:rsidP="005E06C0">
      <w:pPr>
        <w:rPr>
          <w:noProof/>
        </w:rPr>
      </w:pPr>
      <w:r>
        <w:rPr>
          <w:noProof/>
        </w:rPr>
        <w:t>E</w:t>
      </w:r>
      <w:r w:rsidRPr="009F56E6">
        <w:rPr>
          <w:noProof/>
        </w:rPr>
        <w:t>ach Member State shall designate a national contact point.</w:t>
      </w:r>
      <w:r w:rsidRPr="000A7745">
        <w:rPr>
          <w:noProof/>
        </w:rPr>
        <w:t xml:space="preserve"> </w:t>
      </w:r>
    </w:p>
    <w:p w14:paraId="1BFF8C18" w14:textId="145DD9F0" w:rsidR="005E06C0" w:rsidRDefault="005E06C0" w:rsidP="005E06C0">
      <w:pPr>
        <w:rPr>
          <w:noProof/>
        </w:rPr>
      </w:pPr>
      <w:r>
        <w:rPr>
          <w:noProof/>
        </w:rPr>
        <w:t xml:space="preserve">The </w:t>
      </w:r>
      <w:r w:rsidRPr="009F56E6">
        <w:rPr>
          <w:noProof/>
        </w:rPr>
        <w:t>national contact point</w:t>
      </w:r>
      <w:r>
        <w:rPr>
          <w:noProof/>
        </w:rPr>
        <w:t>s</w:t>
      </w:r>
      <w:r w:rsidRPr="009F56E6">
        <w:rPr>
          <w:noProof/>
        </w:rPr>
        <w:t xml:space="preserve"> </w:t>
      </w:r>
      <w:r>
        <w:rPr>
          <w:noProof/>
        </w:rPr>
        <w:t>shall</w:t>
      </w:r>
      <w:r w:rsidRPr="009F56E6">
        <w:rPr>
          <w:noProof/>
        </w:rPr>
        <w:t xml:space="preserve"> </w:t>
      </w:r>
      <w:r>
        <w:rPr>
          <w:noProof/>
        </w:rPr>
        <w:t xml:space="preserve">be </w:t>
      </w:r>
      <w:r w:rsidRPr="005E06C0">
        <w:rPr>
          <w:noProof/>
        </w:rPr>
        <w:t xml:space="preserve">responsible for </w:t>
      </w:r>
      <w:r w:rsidRPr="0003774E">
        <w:rPr>
          <w:noProof/>
        </w:rPr>
        <w:t>supply</w:t>
      </w:r>
      <w:r w:rsidRPr="005E06C0">
        <w:rPr>
          <w:noProof/>
        </w:rPr>
        <w:t>ing the data referred</w:t>
      </w:r>
      <w:r w:rsidR="001F05D4">
        <w:rPr>
          <w:noProof/>
        </w:rPr>
        <w:t xml:space="preserve"> to in Articles 6, 7</w:t>
      </w:r>
      <w:r w:rsidR="00920A11">
        <w:rPr>
          <w:noProof/>
        </w:rPr>
        <w:t>, 13, 18, 22 and 26</w:t>
      </w:r>
      <w:r w:rsidRPr="005E06C0">
        <w:rPr>
          <w:noProof/>
        </w:rPr>
        <w:t>.</w:t>
      </w:r>
    </w:p>
    <w:p w14:paraId="704244AB" w14:textId="33A1C0C4" w:rsidR="005E06C0" w:rsidRPr="0003774E" w:rsidRDefault="00E15E51" w:rsidP="0003774E">
      <w:pPr>
        <w:jc w:val="center"/>
        <w:rPr>
          <w:i/>
          <w:noProof/>
        </w:rPr>
      </w:pPr>
      <w:r w:rsidRPr="00E15E51">
        <w:rPr>
          <w:i/>
          <w:noProof/>
        </w:rPr>
        <w:t xml:space="preserve">Article </w:t>
      </w:r>
      <w:r>
        <w:rPr>
          <w:i/>
          <w:noProof/>
        </w:rPr>
        <w:t>30</w:t>
      </w:r>
    </w:p>
    <w:p w14:paraId="2196BD2B" w14:textId="01D33E61" w:rsidR="005E06C0" w:rsidRPr="009F56E6" w:rsidRDefault="005E06C0" w:rsidP="0003774E">
      <w:pPr>
        <w:jc w:val="center"/>
        <w:rPr>
          <w:noProof/>
        </w:rPr>
      </w:pPr>
      <w:r>
        <w:rPr>
          <w:b/>
          <w:noProof/>
        </w:rPr>
        <w:t>I</w:t>
      </w:r>
      <w:r w:rsidRPr="009F56E6">
        <w:rPr>
          <w:b/>
          <w:noProof/>
        </w:rPr>
        <w:t>mplementing measures</w:t>
      </w:r>
    </w:p>
    <w:p w14:paraId="70016A0A" w14:textId="6738FED3" w:rsidR="00624351" w:rsidRPr="009F56E6" w:rsidRDefault="00624351" w:rsidP="0003774E">
      <w:pPr>
        <w:rPr>
          <w:noProof/>
        </w:rPr>
      </w:pPr>
      <w:r w:rsidRPr="009F56E6">
        <w:rPr>
          <w:noProof/>
        </w:rPr>
        <w:t xml:space="preserve">The Commission shall adopt implementing acts to specify the technical arrangements for the procedures set out in Articles </w:t>
      </w:r>
      <w:r w:rsidR="001F05D4">
        <w:rPr>
          <w:noProof/>
        </w:rPr>
        <w:t>6</w:t>
      </w:r>
      <w:r w:rsidR="004C63E5" w:rsidRPr="00E951DA">
        <w:rPr>
          <w:noProof/>
        </w:rPr>
        <w:t xml:space="preserve">, </w:t>
      </w:r>
      <w:r w:rsidR="001F05D4">
        <w:rPr>
          <w:noProof/>
        </w:rPr>
        <w:t>7</w:t>
      </w:r>
      <w:r w:rsidR="004C63E5" w:rsidRPr="009F56E6">
        <w:rPr>
          <w:noProof/>
        </w:rPr>
        <w:t xml:space="preserve">, </w:t>
      </w:r>
      <w:r w:rsidR="0072217D" w:rsidRPr="009F56E6">
        <w:rPr>
          <w:noProof/>
        </w:rPr>
        <w:t xml:space="preserve">13, 18, </w:t>
      </w:r>
      <w:r w:rsidR="0072217D" w:rsidRPr="00E951DA">
        <w:rPr>
          <w:noProof/>
        </w:rPr>
        <w:t>2</w:t>
      </w:r>
      <w:r w:rsidR="00920A11">
        <w:rPr>
          <w:noProof/>
        </w:rPr>
        <w:t>2</w:t>
      </w:r>
      <w:r w:rsidR="0072217D" w:rsidRPr="00E951DA">
        <w:rPr>
          <w:noProof/>
        </w:rPr>
        <w:t xml:space="preserve"> </w:t>
      </w:r>
      <w:r w:rsidR="0072217D" w:rsidRPr="009F56E6">
        <w:rPr>
          <w:noProof/>
        </w:rPr>
        <w:t>and 2</w:t>
      </w:r>
      <w:r w:rsidR="00920A11">
        <w:rPr>
          <w:noProof/>
        </w:rPr>
        <w:t>6</w:t>
      </w:r>
      <w:r w:rsidRPr="009F56E6">
        <w:rPr>
          <w:noProof/>
        </w:rPr>
        <w:t xml:space="preserve">. Those implementing acts shall be adopted in accordance with the procedure referred to in Article </w:t>
      </w:r>
      <w:r w:rsidR="00E73348" w:rsidRPr="009F56E6">
        <w:rPr>
          <w:noProof/>
        </w:rPr>
        <w:t>7</w:t>
      </w:r>
      <w:r w:rsidR="00537CBF">
        <w:rPr>
          <w:noProof/>
        </w:rPr>
        <w:t>6</w:t>
      </w:r>
      <w:r w:rsidRPr="00E951DA">
        <w:rPr>
          <w:noProof/>
        </w:rPr>
        <w:t>(2)</w:t>
      </w:r>
      <w:r w:rsidRPr="009F56E6">
        <w:rPr>
          <w:noProof/>
        </w:rPr>
        <w:t>.</w:t>
      </w:r>
    </w:p>
    <w:p w14:paraId="6928DA58" w14:textId="1094C40A" w:rsidR="00B910F7" w:rsidRPr="009F56E6" w:rsidRDefault="009A5016" w:rsidP="00B910F7">
      <w:pPr>
        <w:pStyle w:val="Titrearticle"/>
        <w:rPr>
          <w:noProof/>
          <w:lang w:val="en-US"/>
        </w:rPr>
      </w:pPr>
      <w:r w:rsidRPr="009F56E6">
        <w:rPr>
          <w:noProof/>
          <w:lang w:val="en-US"/>
        </w:rPr>
        <w:t>A</w:t>
      </w:r>
      <w:r w:rsidR="00025166" w:rsidRPr="009F56E6">
        <w:rPr>
          <w:noProof/>
          <w:lang w:val="en-US"/>
        </w:rPr>
        <w:t xml:space="preserve">rticle </w:t>
      </w:r>
      <w:r w:rsidR="00E15E51">
        <w:rPr>
          <w:noProof/>
          <w:lang w:val="en-US"/>
        </w:rPr>
        <w:t>31</w:t>
      </w:r>
    </w:p>
    <w:p w14:paraId="5F4D62C5" w14:textId="53830087" w:rsidR="00B910F7" w:rsidRPr="009F56E6" w:rsidRDefault="00337766" w:rsidP="00B910F7">
      <w:pPr>
        <w:jc w:val="center"/>
        <w:rPr>
          <w:b/>
          <w:noProof/>
        </w:rPr>
      </w:pPr>
      <w:r w:rsidRPr="009F56E6">
        <w:rPr>
          <w:b/>
          <w:noProof/>
        </w:rPr>
        <w:t>Technical specifications</w:t>
      </w:r>
    </w:p>
    <w:p w14:paraId="58186C8B" w14:textId="36316FE0" w:rsidR="00B910F7" w:rsidRPr="009F56E6" w:rsidRDefault="000C0946" w:rsidP="000C0946">
      <w:pPr>
        <w:rPr>
          <w:noProof/>
        </w:rPr>
      </w:pPr>
      <w:r w:rsidRPr="009F56E6">
        <w:rPr>
          <w:noProof/>
        </w:rPr>
        <w:t xml:space="preserve">Member States </w:t>
      </w:r>
      <w:r w:rsidR="007000A3" w:rsidRPr="009F56E6">
        <w:rPr>
          <w:noProof/>
        </w:rPr>
        <w:t xml:space="preserve">and Europol </w:t>
      </w:r>
      <w:r w:rsidRPr="009F56E6">
        <w:rPr>
          <w:noProof/>
        </w:rPr>
        <w:t xml:space="preserve">shall observe </w:t>
      </w:r>
      <w:r w:rsidRPr="005E06C0">
        <w:rPr>
          <w:noProof/>
        </w:rPr>
        <w:t>common technical specifications in</w:t>
      </w:r>
      <w:r w:rsidRPr="009F56E6">
        <w:rPr>
          <w:noProof/>
        </w:rPr>
        <w:t xml:space="preserve"> connection with all requests and answers related to searches and comparisons of DNA profiles, dactyloscopic data</w:t>
      </w:r>
      <w:r w:rsidR="006C5E80" w:rsidRPr="009F56E6">
        <w:rPr>
          <w:noProof/>
        </w:rPr>
        <w:t>,</w:t>
      </w:r>
      <w:r w:rsidRPr="009F56E6">
        <w:rPr>
          <w:noProof/>
        </w:rPr>
        <w:t xml:space="preserve"> vehicle registration data</w:t>
      </w:r>
      <w:r w:rsidR="006C5E80" w:rsidRPr="009F56E6">
        <w:rPr>
          <w:noProof/>
        </w:rPr>
        <w:t>, facial images and police records</w:t>
      </w:r>
      <w:r w:rsidRPr="009F56E6">
        <w:rPr>
          <w:noProof/>
        </w:rPr>
        <w:t xml:space="preserve">. </w:t>
      </w:r>
      <w:r w:rsidR="003728A4" w:rsidRPr="009F56E6">
        <w:rPr>
          <w:noProof/>
        </w:rPr>
        <w:t>The Commission shall adopt implementing acts to spe</w:t>
      </w:r>
      <w:r w:rsidR="002D601E" w:rsidRPr="009F56E6">
        <w:rPr>
          <w:noProof/>
        </w:rPr>
        <w:t>cify</w:t>
      </w:r>
      <w:r w:rsidR="003728A4" w:rsidRPr="009F56E6">
        <w:rPr>
          <w:noProof/>
        </w:rPr>
        <w:t xml:space="preserve"> t</w:t>
      </w:r>
      <w:r w:rsidRPr="009F56E6">
        <w:rPr>
          <w:noProof/>
        </w:rPr>
        <w:t xml:space="preserve">hese technical specifications </w:t>
      </w:r>
      <w:r w:rsidR="004201CF" w:rsidRPr="009F56E6">
        <w:rPr>
          <w:noProof/>
        </w:rPr>
        <w:t xml:space="preserve">in accordance with the procedure referred to in Article </w:t>
      </w:r>
      <w:r w:rsidR="00E73348" w:rsidRPr="009F56E6">
        <w:rPr>
          <w:noProof/>
        </w:rPr>
        <w:t>7</w:t>
      </w:r>
      <w:r w:rsidR="00537CBF">
        <w:rPr>
          <w:noProof/>
        </w:rPr>
        <w:t>6</w:t>
      </w:r>
      <w:r w:rsidR="00EF268D" w:rsidRPr="00E951DA">
        <w:rPr>
          <w:noProof/>
        </w:rPr>
        <w:t>(2)</w:t>
      </w:r>
      <w:r w:rsidR="004201CF" w:rsidRPr="009F56E6">
        <w:rPr>
          <w:noProof/>
        </w:rPr>
        <w:t>.</w:t>
      </w:r>
    </w:p>
    <w:p w14:paraId="3C090815" w14:textId="219DBFB7" w:rsidR="00B910F7" w:rsidRPr="009F56E6" w:rsidRDefault="009A5016" w:rsidP="00B910F7">
      <w:pPr>
        <w:pStyle w:val="Titrearticle"/>
        <w:rPr>
          <w:noProof/>
        </w:rPr>
      </w:pPr>
      <w:r w:rsidRPr="009F56E6">
        <w:rPr>
          <w:noProof/>
        </w:rPr>
        <w:t>A</w:t>
      </w:r>
      <w:r w:rsidR="00025166" w:rsidRPr="009F56E6">
        <w:rPr>
          <w:noProof/>
        </w:rPr>
        <w:t>rticle 3</w:t>
      </w:r>
      <w:r w:rsidR="00E15E51">
        <w:rPr>
          <w:noProof/>
        </w:rPr>
        <w:t>2</w:t>
      </w:r>
    </w:p>
    <w:p w14:paraId="5417B680" w14:textId="2A8263D2" w:rsidR="00F84CE0" w:rsidRPr="009F56E6" w:rsidRDefault="00F84CE0" w:rsidP="00F84CE0">
      <w:pPr>
        <w:jc w:val="center"/>
        <w:rPr>
          <w:b/>
          <w:noProof/>
        </w:rPr>
      </w:pPr>
      <w:r w:rsidRPr="009F56E6">
        <w:rPr>
          <w:b/>
          <w:noProof/>
        </w:rPr>
        <w:t>Availability of automated data exchange</w:t>
      </w:r>
      <w:r w:rsidR="002B3844" w:rsidRPr="009F56E6">
        <w:rPr>
          <w:b/>
          <w:noProof/>
        </w:rPr>
        <w:t xml:space="preserve"> at national level</w:t>
      </w:r>
    </w:p>
    <w:p w14:paraId="3FD6CA1A" w14:textId="58282EBB" w:rsidR="000F7364" w:rsidRDefault="000F7364" w:rsidP="000C0946">
      <w:pPr>
        <w:rPr>
          <w:noProof/>
        </w:rPr>
      </w:pPr>
      <w:r>
        <w:rPr>
          <w:noProof/>
        </w:rPr>
        <w:t xml:space="preserve">1. </w:t>
      </w:r>
      <w:r w:rsidR="000C0946" w:rsidRPr="009F56E6">
        <w:rPr>
          <w:noProof/>
        </w:rPr>
        <w:t>Member States shall take all necessary measures</w:t>
      </w:r>
      <w:r w:rsidR="002B3844" w:rsidRPr="009F56E6">
        <w:rPr>
          <w:noProof/>
        </w:rPr>
        <w:t xml:space="preserve"> </w:t>
      </w:r>
      <w:r w:rsidR="000C0946" w:rsidRPr="009F56E6">
        <w:rPr>
          <w:noProof/>
        </w:rPr>
        <w:t xml:space="preserve">to ensure that automated searching or comparison of DNA </w:t>
      </w:r>
      <w:r>
        <w:rPr>
          <w:noProof/>
        </w:rPr>
        <w:t>profiles</w:t>
      </w:r>
      <w:r w:rsidR="000C0946" w:rsidRPr="009F56E6">
        <w:rPr>
          <w:noProof/>
        </w:rPr>
        <w:t>, dactyloscopic data</w:t>
      </w:r>
      <w:r w:rsidR="006C5E80" w:rsidRPr="009F56E6">
        <w:rPr>
          <w:noProof/>
        </w:rPr>
        <w:t>,</w:t>
      </w:r>
      <w:r w:rsidR="000C0946" w:rsidRPr="009F56E6">
        <w:rPr>
          <w:noProof/>
        </w:rPr>
        <w:t xml:space="preserve"> vehicle registration data</w:t>
      </w:r>
      <w:r w:rsidR="006C5E80" w:rsidRPr="009F56E6">
        <w:rPr>
          <w:noProof/>
        </w:rPr>
        <w:t>, facial images and police records</w:t>
      </w:r>
      <w:r w:rsidR="000C0946" w:rsidRPr="009F56E6">
        <w:rPr>
          <w:noProof/>
        </w:rPr>
        <w:t xml:space="preserve"> is possible 24 hours a day and seven days a week. </w:t>
      </w:r>
    </w:p>
    <w:p w14:paraId="7F8ED963" w14:textId="3C74AC0D" w:rsidR="00043B99" w:rsidRDefault="000F7364" w:rsidP="000C0946">
      <w:pPr>
        <w:rPr>
          <w:noProof/>
        </w:rPr>
      </w:pPr>
      <w:r>
        <w:rPr>
          <w:noProof/>
        </w:rPr>
        <w:t>2. N</w:t>
      </w:r>
      <w:r w:rsidR="000C0946" w:rsidRPr="009F56E6">
        <w:rPr>
          <w:noProof/>
        </w:rPr>
        <w:t>ational contact points shall immediately inform each other</w:t>
      </w:r>
      <w:r w:rsidR="00B07064" w:rsidRPr="009F56E6">
        <w:rPr>
          <w:noProof/>
        </w:rPr>
        <w:t>, the Commission, Europol and eu-</w:t>
      </w:r>
      <w:r w:rsidR="00B07064" w:rsidRPr="005E06C0">
        <w:rPr>
          <w:noProof/>
        </w:rPr>
        <w:t>LISA</w:t>
      </w:r>
      <w:r w:rsidR="000C0946" w:rsidRPr="005E06C0">
        <w:rPr>
          <w:noProof/>
        </w:rPr>
        <w:t xml:space="preserve"> </w:t>
      </w:r>
      <w:r w:rsidR="005E06C0" w:rsidRPr="005E06C0">
        <w:rPr>
          <w:noProof/>
        </w:rPr>
        <w:t>of the</w:t>
      </w:r>
      <w:r w:rsidRPr="005E06C0">
        <w:rPr>
          <w:noProof/>
        </w:rPr>
        <w:t xml:space="preserve"> technical fault </w:t>
      </w:r>
      <w:r w:rsidRPr="0003774E">
        <w:rPr>
          <w:noProof/>
        </w:rPr>
        <w:t>causing unavailability of the automated data exchange</w:t>
      </w:r>
      <w:r w:rsidRPr="005E06C0">
        <w:rPr>
          <w:noProof/>
        </w:rPr>
        <w:t xml:space="preserve">. </w:t>
      </w:r>
    </w:p>
    <w:p w14:paraId="13C25F94" w14:textId="62F94EB4" w:rsidR="000F7364" w:rsidRDefault="005E06C0" w:rsidP="000C0946">
      <w:pPr>
        <w:rPr>
          <w:noProof/>
        </w:rPr>
      </w:pPr>
      <w:r>
        <w:rPr>
          <w:noProof/>
        </w:rPr>
        <w:t>N</w:t>
      </w:r>
      <w:r w:rsidRPr="009F56E6">
        <w:rPr>
          <w:noProof/>
        </w:rPr>
        <w:t xml:space="preserve">ational contact points </w:t>
      </w:r>
      <w:r w:rsidR="000C0946" w:rsidRPr="005E06C0">
        <w:rPr>
          <w:noProof/>
        </w:rPr>
        <w:t>shall</w:t>
      </w:r>
      <w:r w:rsidR="000C0946" w:rsidRPr="009F56E6">
        <w:rPr>
          <w:noProof/>
        </w:rPr>
        <w:t xml:space="preserve"> agree on temporary alternative information exchange arrangements in accordance </w:t>
      </w:r>
      <w:r w:rsidR="006517D1" w:rsidRPr="009F56E6">
        <w:rPr>
          <w:noProof/>
        </w:rPr>
        <w:t>with the</w:t>
      </w:r>
      <w:r w:rsidR="00921195" w:rsidRPr="009F56E6">
        <w:rPr>
          <w:noProof/>
        </w:rPr>
        <w:t xml:space="preserve"> applicable Union law and national legislation</w:t>
      </w:r>
      <w:r w:rsidR="000C0946" w:rsidRPr="009F56E6">
        <w:rPr>
          <w:noProof/>
        </w:rPr>
        <w:t xml:space="preserve">. </w:t>
      </w:r>
    </w:p>
    <w:p w14:paraId="43A75FC7" w14:textId="5C1EC0F8" w:rsidR="00B910F7" w:rsidRDefault="000F7364" w:rsidP="000C0946">
      <w:pPr>
        <w:rPr>
          <w:noProof/>
        </w:rPr>
      </w:pPr>
      <w:r>
        <w:rPr>
          <w:noProof/>
        </w:rPr>
        <w:t>3. N</w:t>
      </w:r>
      <w:r w:rsidRPr="009F56E6">
        <w:rPr>
          <w:noProof/>
        </w:rPr>
        <w:t xml:space="preserve">ational contact points shall re-establish </w:t>
      </w:r>
      <w:r>
        <w:rPr>
          <w:noProof/>
        </w:rPr>
        <w:t>the a</w:t>
      </w:r>
      <w:r w:rsidR="000C0946" w:rsidRPr="009F56E6">
        <w:rPr>
          <w:noProof/>
        </w:rPr>
        <w:t xml:space="preserve">utomated data exchange </w:t>
      </w:r>
      <w:r w:rsidR="006517D1" w:rsidRPr="009F56E6">
        <w:rPr>
          <w:noProof/>
        </w:rPr>
        <w:t>without delay</w:t>
      </w:r>
      <w:r w:rsidR="000C0946" w:rsidRPr="009F56E6">
        <w:rPr>
          <w:noProof/>
        </w:rPr>
        <w:t>.</w:t>
      </w:r>
    </w:p>
    <w:p w14:paraId="3592E4BC" w14:textId="76618CCB" w:rsidR="001C624B" w:rsidRDefault="001C624B" w:rsidP="000C0946">
      <w:pPr>
        <w:rPr>
          <w:noProof/>
        </w:rPr>
      </w:pPr>
    </w:p>
    <w:p w14:paraId="17633C6A" w14:textId="68E72EF4" w:rsidR="001C624B" w:rsidRPr="0003774E" w:rsidRDefault="00E15E51" w:rsidP="0003774E">
      <w:pPr>
        <w:jc w:val="center"/>
        <w:rPr>
          <w:i/>
          <w:noProof/>
        </w:rPr>
      </w:pPr>
      <w:r>
        <w:rPr>
          <w:i/>
          <w:noProof/>
        </w:rPr>
        <w:t>Article 33</w:t>
      </w:r>
    </w:p>
    <w:p w14:paraId="4739C648" w14:textId="2D6E0D2F" w:rsidR="001C624B" w:rsidRPr="0003774E" w:rsidRDefault="005E06C0" w:rsidP="0003774E">
      <w:pPr>
        <w:jc w:val="center"/>
        <w:rPr>
          <w:b/>
          <w:noProof/>
        </w:rPr>
      </w:pPr>
      <w:r w:rsidRPr="0003774E">
        <w:rPr>
          <w:b/>
          <w:noProof/>
        </w:rPr>
        <w:t>Justification</w:t>
      </w:r>
      <w:r w:rsidR="001E634C">
        <w:rPr>
          <w:b/>
          <w:noProof/>
        </w:rPr>
        <w:t xml:space="preserve"> for the processing of data</w:t>
      </w:r>
    </w:p>
    <w:p w14:paraId="6A78C361" w14:textId="3E5B61C6" w:rsidR="001E634C" w:rsidRPr="009F56E6" w:rsidRDefault="001E634C" w:rsidP="0003774E">
      <w:pPr>
        <w:rPr>
          <w:noProof/>
        </w:rPr>
      </w:pPr>
      <w:r>
        <w:rPr>
          <w:noProof/>
        </w:rPr>
        <w:t xml:space="preserve">1. </w:t>
      </w:r>
      <w:r w:rsidRPr="005A04A2">
        <w:rPr>
          <w:noProof/>
        </w:rPr>
        <w:t>E</w:t>
      </w:r>
      <w:r>
        <w:rPr>
          <w:noProof/>
        </w:rPr>
        <w:t xml:space="preserve">ach Member State </w:t>
      </w:r>
      <w:r w:rsidRPr="005A04A2">
        <w:rPr>
          <w:noProof/>
        </w:rPr>
        <w:t xml:space="preserve">shall keep </w:t>
      </w:r>
      <w:r>
        <w:rPr>
          <w:noProof/>
        </w:rPr>
        <w:t>a justification of the</w:t>
      </w:r>
      <w:r w:rsidRPr="005A04A2">
        <w:rPr>
          <w:noProof/>
        </w:rPr>
        <w:t xml:space="preserve"> queries that its </w:t>
      </w:r>
      <w:r>
        <w:rPr>
          <w:noProof/>
        </w:rPr>
        <w:t xml:space="preserve">competent </w:t>
      </w:r>
      <w:r w:rsidRPr="005A04A2">
        <w:rPr>
          <w:noProof/>
        </w:rPr>
        <w:t xml:space="preserve">authorities make. </w:t>
      </w:r>
    </w:p>
    <w:p w14:paraId="7D179B20" w14:textId="42E7250B" w:rsidR="001E634C" w:rsidRPr="005A04A2" w:rsidRDefault="001E634C" w:rsidP="0003774E">
      <w:pPr>
        <w:rPr>
          <w:noProof/>
        </w:rPr>
      </w:pPr>
      <w:r w:rsidRPr="005A04A2">
        <w:rPr>
          <w:noProof/>
        </w:rPr>
        <w:t xml:space="preserve">Europol shall keep </w:t>
      </w:r>
      <w:r>
        <w:rPr>
          <w:noProof/>
        </w:rPr>
        <w:t>a justification of the</w:t>
      </w:r>
      <w:r w:rsidRPr="005A04A2">
        <w:rPr>
          <w:noProof/>
        </w:rPr>
        <w:t xml:space="preserve"> queries</w:t>
      </w:r>
      <w:r>
        <w:rPr>
          <w:noProof/>
        </w:rPr>
        <w:t xml:space="preserve"> it makes</w:t>
      </w:r>
      <w:r w:rsidRPr="005A04A2">
        <w:rPr>
          <w:noProof/>
        </w:rPr>
        <w:t>.</w:t>
      </w:r>
    </w:p>
    <w:p w14:paraId="2D6F18FB" w14:textId="64D9B27B" w:rsidR="001E634C" w:rsidRDefault="001E634C" w:rsidP="001E634C">
      <w:pPr>
        <w:rPr>
          <w:noProof/>
        </w:rPr>
      </w:pPr>
      <w:r>
        <w:rPr>
          <w:noProof/>
        </w:rPr>
        <w:t>2. The justification referred to in paragraph 1 shall include:</w:t>
      </w:r>
    </w:p>
    <w:p w14:paraId="1A1E15D9" w14:textId="33F4A804" w:rsidR="001E634C" w:rsidRDefault="00C304BF" w:rsidP="00C304BF">
      <w:pPr>
        <w:pStyle w:val="Point0"/>
        <w:rPr>
          <w:noProof/>
        </w:rPr>
      </w:pPr>
      <w:r w:rsidRPr="00C304BF">
        <w:t>(a)</w:t>
      </w:r>
      <w:r w:rsidRPr="00C304BF">
        <w:tab/>
      </w:r>
      <w:r w:rsidR="001E634C" w:rsidRPr="009F56E6">
        <w:rPr>
          <w:noProof/>
        </w:rPr>
        <w:t xml:space="preserve">the </w:t>
      </w:r>
      <w:r w:rsidR="001E634C">
        <w:rPr>
          <w:noProof/>
        </w:rPr>
        <w:t>purpose of the query</w:t>
      </w:r>
      <w:r w:rsidR="00BF0D90">
        <w:rPr>
          <w:noProof/>
        </w:rPr>
        <w:t>, including a reference to the specific case or investigation</w:t>
      </w:r>
      <w:r w:rsidR="001E634C" w:rsidRPr="009F56E6">
        <w:rPr>
          <w:noProof/>
        </w:rPr>
        <w:t>;</w:t>
      </w:r>
    </w:p>
    <w:p w14:paraId="044555A7" w14:textId="0489C26E" w:rsidR="001E634C" w:rsidRDefault="00C304BF" w:rsidP="00C304BF">
      <w:pPr>
        <w:pStyle w:val="Point0"/>
        <w:rPr>
          <w:noProof/>
        </w:rPr>
      </w:pPr>
      <w:r w:rsidRPr="00C304BF">
        <w:t>(b)</w:t>
      </w:r>
      <w:r w:rsidRPr="00C304BF">
        <w:tab/>
      </w:r>
      <w:r w:rsidR="00BF0D90">
        <w:rPr>
          <w:noProof/>
        </w:rPr>
        <w:t xml:space="preserve">an indication on whether the query concerns a suspect or a perpetrator of </w:t>
      </w:r>
      <w:r w:rsidR="00476A90">
        <w:rPr>
          <w:noProof/>
        </w:rPr>
        <w:t>a criminal offence</w:t>
      </w:r>
      <w:r w:rsidR="00BF0D90">
        <w:rPr>
          <w:noProof/>
        </w:rPr>
        <w:t>;</w:t>
      </w:r>
    </w:p>
    <w:p w14:paraId="445F38B9" w14:textId="33E8C992" w:rsidR="00BF0D90" w:rsidRDefault="00C304BF" w:rsidP="00C304BF">
      <w:pPr>
        <w:pStyle w:val="Point0"/>
        <w:rPr>
          <w:noProof/>
        </w:rPr>
      </w:pPr>
      <w:r w:rsidRPr="00C304BF">
        <w:t>(c)</w:t>
      </w:r>
      <w:r w:rsidRPr="00C304BF">
        <w:tab/>
      </w:r>
      <w:r w:rsidR="00BF0D90">
        <w:rPr>
          <w:noProof/>
        </w:rPr>
        <w:t xml:space="preserve">an indication on whether the query aims to identify an unknown person or obtain more </w:t>
      </w:r>
      <w:r w:rsidR="00472FCE">
        <w:rPr>
          <w:noProof/>
        </w:rPr>
        <w:t>data</w:t>
      </w:r>
      <w:r w:rsidR="00BF0D90">
        <w:rPr>
          <w:noProof/>
        </w:rPr>
        <w:t xml:space="preserve"> on a known person.</w:t>
      </w:r>
    </w:p>
    <w:p w14:paraId="47AAE7C6" w14:textId="2B1BCF52" w:rsidR="00043B99" w:rsidRDefault="00BF0D90" w:rsidP="00D05538">
      <w:pPr>
        <w:rPr>
          <w:noProof/>
        </w:rPr>
      </w:pPr>
      <w:r>
        <w:rPr>
          <w:noProof/>
        </w:rPr>
        <w:t xml:space="preserve">3. The justifications </w:t>
      </w:r>
      <w:r w:rsidR="00043B99">
        <w:rPr>
          <w:noProof/>
        </w:rPr>
        <w:t xml:space="preserve">referred to in paragraph 2 </w:t>
      </w:r>
      <w:r>
        <w:rPr>
          <w:noProof/>
        </w:rPr>
        <w:t xml:space="preserve">shall only be used for </w:t>
      </w:r>
      <w:r w:rsidRPr="009F56E6">
        <w:rPr>
          <w:noProof/>
        </w:rPr>
        <w:t>data protection monitoring, including checking the admissibility of a query and the lawfulness of data processing, and for ensuring dat</w:t>
      </w:r>
      <w:r>
        <w:rPr>
          <w:noProof/>
        </w:rPr>
        <w:t xml:space="preserve">a security and integrity. </w:t>
      </w:r>
    </w:p>
    <w:p w14:paraId="0F9997E3" w14:textId="7B082ADF" w:rsidR="00BF0D90" w:rsidRDefault="00BF0D90" w:rsidP="00D05538">
      <w:pPr>
        <w:rPr>
          <w:noProof/>
        </w:rPr>
      </w:pPr>
      <w:r>
        <w:rPr>
          <w:noProof/>
        </w:rPr>
        <w:t>Th</w:t>
      </w:r>
      <w:r w:rsidR="00043B99">
        <w:rPr>
          <w:noProof/>
        </w:rPr>
        <w:t>o</w:t>
      </w:r>
      <w:r>
        <w:rPr>
          <w:noProof/>
        </w:rPr>
        <w:t xml:space="preserve">se justifications </w:t>
      </w:r>
      <w:r w:rsidRPr="009F56E6">
        <w:rPr>
          <w:noProof/>
        </w:rPr>
        <w:t xml:space="preserve">shall be protected by appropriate measures against unauthorised access and erased one year after their creation. If, however, they are required for monitoring procedures that have already begun, they shall be erased once the monitoring procedures no longer require the </w:t>
      </w:r>
      <w:r>
        <w:rPr>
          <w:noProof/>
        </w:rPr>
        <w:t>justification</w:t>
      </w:r>
      <w:r w:rsidRPr="009F56E6">
        <w:rPr>
          <w:noProof/>
        </w:rPr>
        <w:t>.</w:t>
      </w:r>
    </w:p>
    <w:p w14:paraId="253A8B9D" w14:textId="53DA78C3" w:rsidR="00BF0D90" w:rsidRPr="009F56E6" w:rsidRDefault="00BF0D90" w:rsidP="00D05538">
      <w:pPr>
        <w:rPr>
          <w:noProof/>
        </w:rPr>
      </w:pPr>
      <w:r>
        <w:rPr>
          <w:noProof/>
        </w:rPr>
        <w:t>4</w:t>
      </w:r>
      <w:r w:rsidRPr="009F56E6">
        <w:rPr>
          <w:noProof/>
        </w:rPr>
        <w:t>. For the purposes of data protection monitoring, including checking the admissibility of a query and the lawfulness of data processing, the data contr</w:t>
      </w:r>
      <w:r>
        <w:rPr>
          <w:noProof/>
        </w:rPr>
        <w:t>ollers shall have access to th</w:t>
      </w:r>
      <w:r w:rsidR="00043B99">
        <w:rPr>
          <w:noProof/>
        </w:rPr>
        <w:t>o</w:t>
      </w:r>
      <w:r>
        <w:rPr>
          <w:noProof/>
        </w:rPr>
        <w:t xml:space="preserve">se justifications </w:t>
      </w:r>
      <w:r w:rsidRPr="009F56E6">
        <w:rPr>
          <w:noProof/>
        </w:rPr>
        <w:t>for self-monitoring as referred to in Article 5</w:t>
      </w:r>
      <w:r w:rsidR="0039768A">
        <w:rPr>
          <w:noProof/>
        </w:rPr>
        <w:t>6</w:t>
      </w:r>
      <w:r w:rsidRPr="009F56E6">
        <w:rPr>
          <w:noProof/>
        </w:rPr>
        <w:t>.</w:t>
      </w:r>
    </w:p>
    <w:p w14:paraId="0241A6EA" w14:textId="1B83C1F9" w:rsidR="00AC3ED5" w:rsidRPr="009F56E6" w:rsidRDefault="00AC3ED5" w:rsidP="00AC3ED5">
      <w:pPr>
        <w:pStyle w:val="Titrearticle"/>
        <w:rPr>
          <w:noProof/>
        </w:rPr>
      </w:pPr>
      <w:r w:rsidRPr="009F56E6">
        <w:rPr>
          <w:noProof/>
        </w:rPr>
        <w:t>Article 3</w:t>
      </w:r>
      <w:r w:rsidR="00E15E51">
        <w:rPr>
          <w:noProof/>
        </w:rPr>
        <w:t>4</w:t>
      </w:r>
    </w:p>
    <w:p w14:paraId="2BAD193B" w14:textId="18B26649" w:rsidR="00AC3ED5" w:rsidRPr="009F56E6" w:rsidRDefault="00AC3ED5" w:rsidP="00AC3ED5">
      <w:pPr>
        <w:jc w:val="center"/>
        <w:rPr>
          <w:b/>
          <w:noProof/>
        </w:rPr>
      </w:pPr>
      <w:r w:rsidRPr="009F56E6">
        <w:rPr>
          <w:b/>
          <w:noProof/>
        </w:rPr>
        <w:t xml:space="preserve">Use of </w:t>
      </w:r>
      <w:r w:rsidR="00A1748A" w:rsidRPr="009F56E6">
        <w:rPr>
          <w:b/>
          <w:noProof/>
        </w:rPr>
        <w:t>the u</w:t>
      </w:r>
      <w:r w:rsidRPr="009F56E6">
        <w:rPr>
          <w:b/>
          <w:noProof/>
        </w:rPr>
        <w:t xml:space="preserve">niversal </w:t>
      </w:r>
      <w:r w:rsidR="00A1748A" w:rsidRPr="009F56E6">
        <w:rPr>
          <w:b/>
          <w:noProof/>
        </w:rPr>
        <w:t>m</w:t>
      </w:r>
      <w:r w:rsidRPr="009F56E6">
        <w:rPr>
          <w:b/>
          <w:noProof/>
        </w:rPr>
        <w:t>essag</w:t>
      </w:r>
      <w:r w:rsidR="00A1748A" w:rsidRPr="009F56E6">
        <w:rPr>
          <w:b/>
          <w:noProof/>
        </w:rPr>
        <w:t>e f</w:t>
      </w:r>
      <w:r w:rsidRPr="009F56E6">
        <w:rPr>
          <w:b/>
          <w:noProof/>
        </w:rPr>
        <w:t>ormat</w:t>
      </w:r>
    </w:p>
    <w:p w14:paraId="57733A47" w14:textId="4C748C2E" w:rsidR="00A1748A" w:rsidRPr="009F56E6" w:rsidRDefault="00F72C91" w:rsidP="00AC3ED5">
      <w:pPr>
        <w:rPr>
          <w:noProof/>
        </w:rPr>
      </w:pPr>
      <w:r>
        <w:rPr>
          <w:noProof/>
        </w:rPr>
        <w:t xml:space="preserve">1. </w:t>
      </w:r>
      <w:r w:rsidR="00A1748A" w:rsidRPr="009F56E6">
        <w:rPr>
          <w:noProof/>
        </w:rPr>
        <w:t>The universal message format (UMF) standard shall be used in the development of the</w:t>
      </w:r>
      <w:r w:rsidR="00FE31BE" w:rsidRPr="009F56E6">
        <w:rPr>
          <w:noProof/>
        </w:rPr>
        <w:t xml:space="preserve"> </w:t>
      </w:r>
      <w:r w:rsidR="00A1748A" w:rsidRPr="009F56E6">
        <w:rPr>
          <w:noProof/>
        </w:rPr>
        <w:t xml:space="preserve">router </w:t>
      </w:r>
      <w:r w:rsidR="0039768A">
        <w:rPr>
          <w:noProof/>
        </w:rPr>
        <w:t>referred to in Article 35</w:t>
      </w:r>
      <w:r>
        <w:rPr>
          <w:noProof/>
        </w:rPr>
        <w:t xml:space="preserve"> </w:t>
      </w:r>
      <w:r w:rsidR="00A1748A" w:rsidRPr="009F56E6">
        <w:rPr>
          <w:noProof/>
        </w:rPr>
        <w:t>and EPRIS.</w:t>
      </w:r>
    </w:p>
    <w:p w14:paraId="46EA610F" w14:textId="512EF7F0" w:rsidR="00F43681" w:rsidRPr="009F56E6" w:rsidRDefault="00F72C91" w:rsidP="000C0946">
      <w:pPr>
        <w:rPr>
          <w:noProof/>
        </w:rPr>
      </w:pPr>
      <w:r>
        <w:rPr>
          <w:noProof/>
        </w:rPr>
        <w:t xml:space="preserve">2. </w:t>
      </w:r>
      <w:r w:rsidR="00A1748A" w:rsidRPr="009F56E6">
        <w:rPr>
          <w:noProof/>
        </w:rPr>
        <w:t>Any automated exchange of data in accordance with this Regulation shall use the UMF standard.</w:t>
      </w:r>
    </w:p>
    <w:p w14:paraId="6131B61E" w14:textId="5DE99BCD" w:rsidR="00D32EC6" w:rsidRPr="009F56E6" w:rsidRDefault="00D32EC6" w:rsidP="00D32EC6">
      <w:pPr>
        <w:pStyle w:val="Titrearticle"/>
        <w:rPr>
          <w:i w:val="0"/>
          <w:noProof/>
          <w:lang w:val="fr-BE"/>
        </w:rPr>
      </w:pPr>
      <w:r w:rsidRPr="009F56E6">
        <w:rPr>
          <w:i w:val="0"/>
          <w:noProof/>
          <w:lang w:val="fr-BE"/>
        </w:rPr>
        <w:t>CHAPTER 3</w:t>
      </w:r>
    </w:p>
    <w:p w14:paraId="2A583172" w14:textId="3DA3A63D" w:rsidR="00DF634E" w:rsidRPr="009F56E6" w:rsidRDefault="00D32EC6" w:rsidP="000D1038">
      <w:pPr>
        <w:jc w:val="center"/>
        <w:rPr>
          <w:b/>
          <w:noProof/>
          <w:lang w:val="fr-BE"/>
        </w:rPr>
      </w:pPr>
      <w:r w:rsidRPr="009F56E6">
        <w:rPr>
          <w:b/>
          <w:noProof/>
          <w:lang w:val="fr-BE"/>
        </w:rPr>
        <w:t>ARCHITECTURE</w:t>
      </w:r>
    </w:p>
    <w:p w14:paraId="146D997D" w14:textId="77777777" w:rsidR="00DF634E" w:rsidRPr="007C7BE5" w:rsidRDefault="00DF634E" w:rsidP="00DF634E">
      <w:pPr>
        <w:pStyle w:val="Titrearticle"/>
        <w:rPr>
          <w:i w:val="0"/>
          <w:noProof/>
          <w:lang w:val="fr-BE"/>
        </w:rPr>
      </w:pPr>
      <w:r w:rsidRPr="007C7BE5">
        <w:rPr>
          <w:i w:val="0"/>
          <w:noProof/>
          <w:lang w:val="fr-BE"/>
        </w:rPr>
        <w:t>SECTION 1</w:t>
      </w:r>
    </w:p>
    <w:p w14:paraId="53CA343F" w14:textId="77D7064E" w:rsidR="00DF634E" w:rsidRPr="007C7BE5" w:rsidRDefault="000A3FCD" w:rsidP="000D1038">
      <w:pPr>
        <w:jc w:val="center"/>
        <w:rPr>
          <w:b/>
          <w:noProof/>
          <w:lang w:val="fr-BE"/>
        </w:rPr>
      </w:pPr>
      <w:r w:rsidRPr="007C7BE5">
        <w:rPr>
          <w:b/>
          <w:noProof/>
          <w:lang w:val="fr-BE"/>
        </w:rPr>
        <w:t>R</w:t>
      </w:r>
      <w:r w:rsidR="005C397C" w:rsidRPr="007C7BE5">
        <w:rPr>
          <w:b/>
          <w:noProof/>
          <w:lang w:val="fr-BE"/>
        </w:rPr>
        <w:t>outer</w:t>
      </w:r>
    </w:p>
    <w:p w14:paraId="2093EFEB" w14:textId="2E32959B" w:rsidR="008744F7" w:rsidRPr="009F56E6" w:rsidRDefault="00025166" w:rsidP="008744F7">
      <w:pPr>
        <w:pStyle w:val="Titrearticle"/>
        <w:rPr>
          <w:noProof/>
          <w:lang w:val="fr-BE"/>
        </w:rPr>
      </w:pPr>
      <w:r w:rsidRPr="009F56E6">
        <w:rPr>
          <w:noProof/>
          <w:lang w:val="fr-BE"/>
        </w:rPr>
        <w:t>Article 3</w:t>
      </w:r>
      <w:r w:rsidR="00E15E51">
        <w:rPr>
          <w:noProof/>
          <w:lang w:val="fr-BE"/>
        </w:rPr>
        <w:t>5</w:t>
      </w:r>
    </w:p>
    <w:p w14:paraId="6667BDB2" w14:textId="19B5B1CD" w:rsidR="008744F7" w:rsidRPr="009F56E6" w:rsidRDefault="00F5383E" w:rsidP="008744F7">
      <w:pPr>
        <w:jc w:val="center"/>
        <w:rPr>
          <w:b/>
          <w:noProof/>
        </w:rPr>
      </w:pPr>
      <w:r w:rsidRPr="009F56E6">
        <w:rPr>
          <w:b/>
          <w:noProof/>
        </w:rPr>
        <w:t>The</w:t>
      </w:r>
      <w:r w:rsidR="005248FC" w:rsidRPr="009F56E6">
        <w:rPr>
          <w:b/>
          <w:noProof/>
        </w:rPr>
        <w:t xml:space="preserve"> </w:t>
      </w:r>
      <w:r w:rsidRPr="009F56E6">
        <w:rPr>
          <w:b/>
          <w:noProof/>
        </w:rPr>
        <w:t>r</w:t>
      </w:r>
      <w:r w:rsidR="00C70004" w:rsidRPr="009F56E6">
        <w:rPr>
          <w:b/>
          <w:noProof/>
        </w:rPr>
        <w:t>outer</w:t>
      </w:r>
    </w:p>
    <w:p w14:paraId="73AEA0DD" w14:textId="7E95BA39" w:rsidR="005F70FF" w:rsidRPr="009F56E6" w:rsidRDefault="005F70FF" w:rsidP="00CF146C">
      <w:pPr>
        <w:rPr>
          <w:noProof/>
        </w:rPr>
      </w:pPr>
      <w:r w:rsidRPr="009F56E6">
        <w:rPr>
          <w:noProof/>
        </w:rPr>
        <w:t xml:space="preserve">1. A router is established for the purposes of facilitating the establishment of connections between Member States </w:t>
      </w:r>
      <w:r w:rsidR="005E06C0" w:rsidRPr="005E06C0">
        <w:rPr>
          <w:noProof/>
        </w:rPr>
        <w:t>and with Europol for querying with, retrieving and scoring biometric data in accordance wit</w:t>
      </w:r>
      <w:r w:rsidR="00AF4CE9">
        <w:rPr>
          <w:noProof/>
        </w:rPr>
        <w:t>h this Regulation</w:t>
      </w:r>
      <w:r w:rsidR="005E06C0" w:rsidRPr="005E06C0">
        <w:rPr>
          <w:noProof/>
        </w:rPr>
        <w:t>.</w:t>
      </w:r>
    </w:p>
    <w:p w14:paraId="3513A7EA" w14:textId="59AD5963" w:rsidR="006657E3" w:rsidRPr="009F56E6" w:rsidRDefault="006657E3" w:rsidP="00CF146C">
      <w:pPr>
        <w:rPr>
          <w:noProof/>
        </w:rPr>
      </w:pPr>
      <w:r w:rsidRPr="009F56E6">
        <w:rPr>
          <w:noProof/>
        </w:rPr>
        <w:t>2. The router shall be composed of:</w:t>
      </w:r>
    </w:p>
    <w:p w14:paraId="2611D9BD" w14:textId="21397275" w:rsidR="0070383B" w:rsidRDefault="00C304BF" w:rsidP="00C304BF">
      <w:pPr>
        <w:pStyle w:val="Point0"/>
        <w:rPr>
          <w:noProof/>
        </w:rPr>
      </w:pPr>
      <w:r w:rsidRPr="00C304BF">
        <w:t>(a)</w:t>
      </w:r>
      <w:r w:rsidRPr="00C304BF">
        <w:tab/>
      </w:r>
      <w:r w:rsidR="0082337F" w:rsidRPr="009F56E6">
        <w:rPr>
          <w:noProof/>
        </w:rPr>
        <w:t xml:space="preserve">a central infrastructure, including a search tool enabling the simultaneous querying of Member States’ databases </w:t>
      </w:r>
      <w:r w:rsidR="0082337F">
        <w:rPr>
          <w:noProof/>
        </w:rPr>
        <w:t xml:space="preserve">referred to in Articles </w:t>
      </w:r>
      <w:r w:rsidR="000763B1">
        <w:rPr>
          <w:noProof/>
        </w:rPr>
        <w:t>5</w:t>
      </w:r>
      <w:r w:rsidR="0082337F">
        <w:rPr>
          <w:noProof/>
        </w:rPr>
        <w:t xml:space="preserve">, 12 and 21 </w:t>
      </w:r>
      <w:r w:rsidR="0082337F" w:rsidRPr="009F56E6">
        <w:rPr>
          <w:noProof/>
        </w:rPr>
        <w:t xml:space="preserve">as </w:t>
      </w:r>
      <w:r w:rsidR="0082337F" w:rsidRPr="005E06C0">
        <w:rPr>
          <w:noProof/>
        </w:rPr>
        <w:t xml:space="preserve">well as of </w:t>
      </w:r>
      <w:r w:rsidR="0082337F" w:rsidRPr="0003774E">
        <w:rPr>
          <w:noProof/>
        </w:rPr>
        <w:t>Europol data</w:t>
      </w:r>
      <w:r w:rsidR="0082337F" w:rsidRPr="005E06C0">
        <w:rPr>
          <w:noProof/>
        </w:rPr>
        <w:t>;</w:t>
      </w:r>
    </w:p>
    <w:p w14:paraId="4D7C6D1F" w14:textId="2918386D" w:rsidR="0082337F" w:rsidRDefault="00C304BF" w:rsidP="00C304BF">
      <w:pPr>
        <w:pStyle w:val="Point0"/>
        <w:rPr>
          <w:noProof/>
        </w:rPr>
      </w:pPr>
      <w:r w:rsidRPr="00C304BF">
        <w:t>(b)</w:t>
      </w:r>
      <w:r w:rsidRPr="00C304BF">
        <w:tab/>
      </w:r>
      <w:r w:rsidR="0082337F" w:rsidRPr="009F56E6">
        <w:rPr>
          <w:noProof/>
        </w:rPr>
        <w:t xml:space="preserve">a secure communication channel between the </w:t>
      </w:r>
      <w:r w:rsidR="0082337F">
        <w:rPr>
          <w:noProof/>
        </w:rPr>
        <w:t>central infrastructure</w:t>
      </w:r>
      <w:r w:rsidR="0082337F" w:rsidRPr="009F56E6">
        <w:rPr>
          <w:noProof/>
        </w:rPr>
        <w:t xml:space="preserve"> Member States and Union agencies that are entitled to use the router</w:t>
      </w:r>
      <w:r w:rsidR="0082337F">
        <w:rPr>
          <w:noProof/>
        </w:rPr>
        <w:t>;</w:t>
      </w:r>
    </w:p>
    <w:p w14:paraId="1B571240" w14:textId="085B13EE" w:rsidR="0082337F" w:rsidRPr="009F56E6" w:rsidRDefault="00C304BF" w:rsidP="00C304BF">
      <w:pPr>
        <w:pStyle w:val="Point0"/>
        <w:rPr>
          <w:noProof/>
        </w:rPr>
      </w:pPr>
      <w:r w:rsidRPr="00C304BF">
        <w:t>(c)</w:t>
      </w:r>
      <w:r w:rsidRPr="00C304BF">
        <w:tab/>
      </w:r>
      <w:r w:rsidR="0082337F" w:rsidRPr="009F56E6">
        <w:rPr>
          <w:noProof/>
        </w:rPr>
        <w:t xml:space="preserve">a secure communication infrastructure between the </w:t>
      </w:r>
      <w:r w:rsidR="0082337F">
        <w:rPr>
          <w:noProof/>
        </w:rPr>
        <w:t>central infrastructure</w:t>
      </w:r>
      <w:r w:rsidR="0082337F" w:rsidRPr="009F56E6">
        <w:rPr>
          <w:noProof/>
        </w:rPr>
        <w:t xml:space="preserve"> and the European Search Portal for the purposes of Article 3</w:t>
      </w:r>
      <w:r w:rsidR="0082337F">
        <w:rPr>
          <w:noProof/>
        </w:rPr>
        <w:t>9.</w:t>
      </w:r>
    </w:p>
    <w:p w14:paraId="7C822FD1" w14:textId="0CCD5765" w:rsidR="008744F7" w:rsidRPr="009F56E6" w:rsidRDefault="00B910F7" w:rsidP="008744F7">
      <w:pPr>
        <w:pStyle w:val="Titrearticle"/>
        <w:rPr>
          <w:noProof/>
        </w:rPr>
      </w:pPr>
      <w:r w:rsidRPr="009F56E6">
        <w:rPr>
          <w:noProof/>
        </w:rPr>
        <w:t>Article 3</w:t>
      </w:r>
      <w:r w:rsidR="00E15E51">
        <w:rPr>
          <w:noProof/>
        </w:rPr>
        <w:t>6</w:t>
      </w:r>
    </w:p>
    <w:p w14:paraId="29716667" w14:textId="32839F64" w:rsidR="008744F7" w:rsidRPr="009F56E6" w:rsidRDefault="000A3FCD" w:rsidP="008744F7">
      <w:pPr>
        <w:jc w:val="center"/>
        <w:rPr>
          <w:b/>
          <w:noProof/>
        </w:rPr>
      </w:pPr>
      <w:r w:rsidRPr="009F56E6">
        <w:rPr>
          <w:b/>
          <w:noProof/>
        </w:rPr>
        <w:t>Use of the router</w:t>
      </w:r>
    </w:p>
    <w:p w14:paraId="02D258EE" w14:textId="259EEDD6" w:rsidR="008744F7" w:rsidRPr="009F56E6" w:rsidRDefault="00544418" w:rsidP="008744F7">
      <w:pPr>
        <w:rPr>
          <w:noProof/>
        </w:rPr>
      </w:pPr>
      <w:r w:rsidRPr="005A04A2">
        <w:rPr>
          <w:noProof/>
        </w:rPr>
        <w:t xml:space="preserve">The use of the router shall be reserved to </w:t>
      </w:r>
      <w:r w:rsidR="006600FC" w:rsidRPr="005A04A2">
        <w:rPr>
          <w:noProof/>
        </w:rPr>
        <w:t>the Member States’</w:t>
      </w:r>
      <w:r w:rsidR="006952BD" w:rsidRPr="005A04A2">
        <w:rPr>
          <w:noProof/>
        </w:rPr>
        <w:t xml:space="preserve"> </w:t>
      </w:r>
      <w:r w:rsidR="003B7AAE" w:rsidRPr="005A04A2">
        <w:rPr>
          <w:noProof/>
        </w:rPr>
        <w:t xml:space="preserve">authorities </w:t>
      </w:r>
      <w:r w:rsidR="000D3BFE" w:rsidRPr="005A04A2">
        <w:rPr>
          <w:noProof/>
        </w:rPr>
        <w:t>that</w:t>
      </w:r>
      <w:r w:rsidR="003B7AAE" w:rsidRPr="005A04A2">
        <w:rPr>
          <w:noProof/>
        </w:rPr>
        <w:t xml:space="preserve"> have access to the exchange of DNA</w:t>
      </w:r>
      <w:r w:rsidR="00D94220">
        <w:rPr>
          <w:noProof/>
        </w:rPr>
        <w:t xml:space="preserve"> profiles</w:t>
      </w:r>
      <w:r w:rsidR="003B7AAE" w:rsidRPr="005A04A2">
        <w:rPr>
          <w:noProof/>
        </w:rPr>
        <w:t>, dactyloscopic data and facial images</w:t>
      </w:r>
      <w:r w:rsidR="006952BD" w:rsidRPr="005A04A2">
        <w:rPr>
          <w:noProof/>
        </w:rPr>
        <w:t>, and Europol</w:t>
      </w:r>
      <w:r w:rsidR="003B7AAE" w:rsidRPr="005A04A2">
        <w:rPr>
          <w:noProof/>
        </w:rPr>
        <w:t xml:space="preserve"> in accordance with this Regulation</w:t>
      </w:r>
      <w:r w:rsidR="001123A8" w:rsidRPr="005A04A2">
        <w:rPr>
          <w:noProof/>
        </w:rPr>
        <w:t xml:space="preserve"> and Regulation (EU) 2016/794</w:t>
      </w:r>
      <w:r w:rsidR="003B7AAE" w:rsidRPr="005A04A2">
        <w:rPr>
          <w:noProof/>
        </w:rPr>
        <w:t>.</w:t>
      </w:r>
    </w:p>
    <w:p w14:paraId="58A40C2E" w14:textId="5D17028F" w:rsidR="008744F7" w:rsidRPr="009F56E6" w:rsidRDefault="00B910F7" w:rsidP="008744F7">
      <w:pPr>
        <w:pStyle w:val="Titrearticle"/>
        <w:rPr>
          <w:noProof/>
        </w:rPr>
      </w:pPr>
      <w:r w:rsidRPr="009F56E6">
        <w:rPr>
          <w:noProof/>
        </w:rPr>
        <w:t>Article 3</w:t>
      </w:r>
      <w:r w:rsidR="00E15E51">
        <w:rPr>
          <w:noProof/>
        </w:rPr>
        <w:t>7</w:t>
      </w:r>
    </w:p>
    <w:p w14:paraId="287413A9" w14:textId="733C8123" w:rsidR="008744F7" w:rsidRPr="009F56E6" w:rsidRDefault="000A3FCD" w:rsidP="008744F7">
      <w:pPr>
        <w:jc w:val="center"/>
        <w:rPr>
          <w:b/>
          <w:noProof/>
        </w:rPr>
      </w:pPr>
      <w:r w:rsidRPr="009F56E6">
        <w:rPr>
          <w:b/>
          <w:noProof/>
        </w:rPr>
        <w:t>Queries</w:t>
      </w:r>
    </w:p>
    <w:p w14:paraId="3F7C70A4" w14:textId="56C9FD4B" w:rsidR="008744F7" w:rsidRPr="009F56E6" w:rsidRDefault="00033641" w:rsidP="008744F7">
      <w:pPr>
        <w:rPr>
          <w:noProof/>
        </w:rPr>
      </w:pPr>
      <w:r w:rsidRPr="009F56E6">
        <w:rPr>
          <w:noProof/>
        </w:rPr>
        <w:t xml:space="preserve">1. </w:t>
      </w:r>
      <w:r w:rsidR="002B1556" w:rsidRPr="009F56E6">
        <w:rPr>
          <w:noProof/>
        </w:rPr>
        <w:t>The router users</w:t>
      </w:r>
      <w:r w:rsidR="0039768A">
        <w:rPr>
          <w:noProof/>
        </w:rPr>
        <w:t xml:space="preserve"> referred to in Article 36</w:t>
      </w:r>
      <w:r w:rsidR="005F20FE">
        <w:rPr>
          <w:noProof/>
        </w:rPr>
        <w:t xml:space="preserve"> </w:t>
      </w:r>
      <w:r w:rsidR="002B1556" w:rsidRPr="009F56E6">
        <w:rPr>
          <w:noProof/>
        </w:rPr>
        <w:t xml:space="preserve">shall </w:t>
      </w:r>
      <w:r w:rsidR="00CC3523" w:rsidRPr="009F56E6">
        <w:rPr>
          <w:noProof/>
        </w:rPr>
        <w:t xml:space="preserve">request </w:t>
      </w:r>
      <w:r w:rsidR="002B1556" w:rsidRPr="009F56E6">
        <w:rPr>
          <w:noProof/>
        </w:rPr>
        <w:t>a query by submitting</w:t>
      </w:r>
      <w:r w:rsidR="0024172C" w:rsidRPr="009F56E6">
        <w:rPr>
          <w:noProof/>
        </w:rPr>
        <w:t xml:space="preserve"> </w:t>
      </w:r>
      <w:r w:rsidR="002B1556" w:rsidRPr="009F56E6">
        <w:rPr>
          <w:noProof/>
        </w:rPr>
        <w:t xml:space="preserve">biometric data to the </w:t>
      </w:r>
      <w:r w:rsidR="00F52295" w:rsidRPr="009F56E6">
        <w:rPr>
          <w:noProof/>
        </w:rPr>
        <w:t>router. The</w:t>
      </w:r>
      <w:r w:rsidR="002B1556" w:rsidRPr="009F56E6">
        <w:rPr>
          <w:noProof/>
        </w:rPr>
        <w:t xml:space="preserve"> router shall </w:t>
      </w:r>
      <w:r w:rsidR="00CC3523" w:rsidRPr="009F56E6">
        <w:rPr>
          <w:noProof/>
        </w:rPr>
        <w:t xml:space="preserve">dispatch the request for a query to the </w:t>
      </w:r>
      <w:r w:rsidR="002B1556" w:rsidRPr="009F56E6">
        <w:rPr>
          <w:noProof/>
        </w:rPr>
        <w:t>Member States’ databases and Europol data simultaneously with the data submitted by the user and in accordance with the</w:t>
      </w:r>
      <w:r w:rsidR="003B7AAE" w:rsidRPr="009F56E6">
        <w:rPr>
          <w:noProof/>
        </w:rPr>
        <w:t>ir access rights.</w:t>
      </w:r>
    </w:p>
    <w:p w14:paraId="6AEF94E1" w14:textId="1263C42E" w:rsidR="00CC3523" w:rsidRPr="009F56E6" w:rsidRDefault="00CC3523" w:rsidP="008744F7">
      <w:pPr>
        <w:rPr>
          <w:noProof/>
        </w:rPr>
      </w:pPr>
      <w:r w:rsidRPr="009F56E6">
        <w:rPr>
          <w:noProof/>
        </w:rPr>
        <w:t>2. On receiving the request for a query from the router, each requested Member State and Europol shall launch a query of their databases in an automated manner and without delay.</w:t>
      </w:r>
    </w:p>
    <w:p w14:paraId="1869DC26" w14:textId="7FED509A" w:rsidR="00CC3523" w:rsidRPr="009F56E6" w:rsidRDefault="00CC3523" w:rsidP="008744F7">
      <w:pPr>
        <w:rPr>
          <w:noProof/>
        </w:rPr>
      </w:pPr>
      <w:r w:rsidRPr="009F56E6">
        <w:rPr>
          <w:noProof/>
        </w:rPr>
        <w:t>3. Any matches resulting from the query in each Member States’ databases and Europol data shall be sent back in an automated manner to the router.</w:t>
      </w:r>
    </w:p>
    <w:p w14:paraId="2DC4EEA9" w14:textId="10457F16" w:rsidR="00F56E20" w:rsidRPr="009F56E6" w:rsidRDefault="00CC3523" w:rsidP="008744F7">
      <w:pPr>
        <w:rPr>
          <w:noProof/>
        </w:rPr>
      </w:pPr>
      <w:r w:rsidRPr="009F56E6">
        <w:rPr>
          <w:noProof/>
        </w:rPr>
        <w:t>4</w:t>
      </w:r>
      <w:r w:rsidR="00F56E20" w:rsidRPr="009F56E6">
        <w:rPr>
          <w:noProof/>
        </w:rPr>
        <w:t xml:space="preserve">. </w:t>
      </w:r>
      <w:r w:rsidR="00EF231C" w:rsidRPr="009F56E6">
        <w:rPr>
          <w:noProof/>
        </w:rPr>
        <w:t>The router shall rank the replies in accordance with the score of the correspondence between the biometric data used for querying and the biometric data stored in the Member States’ databases and Europol data.</w:t>
      </w:r>
    </w:p>
    <w:p w14:paraId="670B25E9" w14:textId="05204862" w:rsidR="00CC3523" w:rsidRPr="009F56E6" w:rsidRDefault="00CC3523" w:rsidP="008744F7">
      <w:pPr>
        <w:rPr>
          <w:noProof/>
        </w:rPr>
      </w:pPr>
      <w:r w:rsidRPr="009F56E6">
        <w:rPr>
          <w:noProof/>
        </w:rPr>
        <w:t xml:space="preserve">5. The list of matching biometric data and their scores </w:t>
      </w:r>
      <w:r w:rsidR="003A5E48">
        <w:rPr>
          <w:noProof/>
        </w:rPr>
        <w:t>shall be</w:t>
      </w:r>
      <w:r w:rsidRPr="009F56E6">
        <w:rPr>
          <w:noProof/>
        </w:rPr>
        <w:t xml:space="preserve"> returned to the router user by the router.</w:t>
      </w:r>
    </w:p>
    <w:p w14:paraId="67526DBC" w14:textId="42859079" w:rsidR="00033641" w:rsidRPr="009F56E6" w:rsidRDefault="00CC3523" w:rsidP="008744F7">
      <w:pPr>
        <w:rPr>
          <w:noProof/>
        </w:rPr>
      </w:pPr>
      <w:r w:rsidRPr="009F56E6">
        <w:rPr>
          <w:noProof/>
        </w:rPr>
        <w:t>6</w:t>
      </w:r>
      <w:r w:rsidR="00CD2034" w:rsidRPr="009F56E6">
        <w:rPr>
          <w:noProof/>
        </w:rPr>
        <w:t xml:space="preserve">. </w:t>
      </w:r>
      <w:r w:rsidR="00033641" w:rsidRPr="009F56E6">
        <w:rPr>
          <w:noProof/>
        </w:rPr>
        <w:t>The Commission shall adopt implementing act</w:t>
      </w:r>
      <w:r w:rsidR="005917F0" w:rsidRPr="009F56E6">
        <w:rPr>
          <w:noProof/>
        </w:rPr>
        <w:t>s</w:t>
      </w:r>
      <w:r w:rsidR="00033641" w:rsidRPr="009F56E6">
        <w:rPr>
          <w:noProof/>
        </w:rPr>
        <w:t xml:space="preserve"> to specify the technical procedure for the router to query Member States’ databases and Europol data</w:t>
      </w:r>
      <w:r w:rsidR="00EF231C" w:rsidRPr="009F56E6">
        <w:rPr>
          <w:noProof/>
        </w:rPr>
        <w:t>,</w:t>
      </w:r>
      <w:r w:rsidR="00033641" w:rsidRPr="009F56E6">
        <w:rPr>
          <w:noProof/>
        </w:rPr>
        <w:t xml:space="preserve"> the format of the router replies</w:t>
      </w:r>
      <w:r w:rsidR="00EF231C" w:rsidRPr="009F56E6">
        <w:rPr>
          <w:noProof/>
        </w:rPr>
        <w:t xml:space="preserve"> and the </w:t>
      </w:r>
      <w:r w:rsidR="0092195E" w:rsidRPr="009F56E6">
        <w:rPr>
          <w:noProof/>
        </w:rPr>
        <w:t xml:space="preserve">technical </w:t>
      </w:r>
      <w:r w:rsidR="00EF231C" w:rsidRPr="009F56E6">
        <w:rPr>
          <w:noProof/>
        </w:rPr>
        <w:t>rules for scoring the correspondence between biometric data</w:t>
      </w:r>
      <w:r w:rsidR="00033641" w:rsidRPr="009F56E6">
        <w:rPr>
          <w:noProof/>
        </w:rPr>
        <w:t xml:space="preserve">. </w:t>
      </w:r>
      <w:r w:rsidR="005917F0" w:rsidRPr="009F56E6">
        <w:rPr>
          <w:noProof/>
        </w:rPr>
        <w:t xml:space="preserve">These </w:t>
      </w:r>
      <w:r w:rsidR="00033641" w:rsidRPr="009F56E6">
        <w:rPr>
          <w:noProof/>
        </w:rPr>
        <w:t>implementing act</w:t>
      </w:r>
      <w:r w:rsidR="005917F0" w:rsidRPr="009F56E6">
        <w:rPr>
          <w:noProof/>
        </w:rPr>
        <w:t>s</w:t>
      </w:r>
      <w:r w:rsidR="00033641" w:rsidRPr="009F56E6">
        <w:rPr>
          <w:noProof/>
        </w:rPr>
        <w:t xml:space="preserve"> shall be adopted</w:t>
      </w:r>
      <w:r w:rsidR="00F52295" w:rsidRPr="009F56E6">
        <w:rPr>
          <w:noProof/>
        </w:rPr>
        <w:t xml:space="preserve"> in accordance</w:t>
      </w:r>
      <w:r w:rsidR="00033641" w:rsidRPr="009F56E6">
        <w:rPr>
          <w:noProof/>
        </w:rPr>
        <w:t xml:space="preserve"> with the procedure referred to in Article </w:t>
      </w:r>
      <w:r w:rsidR="00D87034" w:rsidRPr="009F56E6">
        <w:rPr>
          <w:noProof/>
        </w:rPr>
        <w:t>7</w:t>
      </w:r>
      <w:r w:rsidR="00537CBF">
        <w:rPr>
          <w:noProof/>
        </w:rPr>
        <w:t>6</w:t>
      </w:r>
      <w:r w:rsidR="003C55CA" w:rsidRPr="00E951DA">
        <w:rPr>
          <w:noProof/>
        </w:rPr>
        <w:t>(2)</w:t>
      </w:r>
      <w:r w:rsidR="00033641" w:rsidRPr="009F56E6">
        <w:rPr>
          <w:noProof/>
        </w:rPr>
        <w:t>.</w:t>
      </w:r>
    </w:p>
    <w:p w14:paraId="3AD1F753" w14:textId="190446A1" w:rsidR="0092195E" w:rsidRPr="00E951DA" w:rsidRDefault="0092195E" w:rsidP="00E7465F">
      <w:pPr>
        <w:pStyle w:val="Titrearticle"/>
        <w:rPr>
          <w:i w:val="0"/>
          <w:noProof/>
        </w:rPr>
      </w:pPr>
      <w:r>
        <w:rPr>
          <w:noProof/>
        </w:rPr>
        <w:t>Artic</w:t>
      </w:r>
      <w:r w:rsidRPr="00E15E51">
        <w:rPr>
          <w:noProof/>
        </w:rPr>
        <w:t xml:space="preserve">le </w:t>
      </w:r>
      <w:r w:rsidR="00CC3523" w:rsidRPr="0003774E">
        <w:rPr>
          <w:noProof/>
        </w:rPr>
        <w:t>3</w:t>
      </w:r>
      <w:r w:rsidR="00E15E51">
        <w:rPr>
          <w:noProof/>
        </w:rPr>
        <w:t>8</w:t>
      </w:r>
    </w:p>
    <w:p w14:paraId="16995EBB" w14:textId="1A691300" w:rsidR="00B224E2" w:rsidRPr="009F56E6" w:rsidRDefault="0092195E">
      <w:pPr>
        <w:jc w:val="center"/>
        <w:rPr>
          <w:b/>
          <w:noProof/>
        </w:rPr>
      </w:pPr>
      <w:r w:rsidRPr="009F56E6">
        <w:rPr>
          <w:b/>
          <w:noProof/>
        </w:rPr>
        <w:t>Quality check</w:t>
      </w:r>
    </w:p>
    <w:p w14:paraId="01E5D0AA" w14:textId="77777777" w:rsidR="003C0D84" w:rsidRDefault="00B224E2" w:rsidP="009E4089">
      <w:pPr>
        <w:rPr>
          <w:noProof/>
        </w:rPr>
      </w:pPr>
      <w:r w:rsidRPr="009F56E6">
        <w:rPr>
          <w:noProof/>
        </w:rPr>
        <w:t xml:space="preserve">The </w:t>
      </w:r>
      <w:r w:rsidR="009E4089" w:rsidRPr="009F56E6">
        <w:rPr>
          <w:noProof/>
        </w:rPr>
        <w:t xml:space="preserve">requested </w:t>
      </w:r>
      <w:r w:rsidRPr="009F56E6">
        <w:rPr>
          <w:noProof/>
        </w:rPr>
        <w:t xml:space="preserve">Member State shall check the quality of the transmitted data </w:t>
      </w:r>
      <w:r w:rsidR="00C62386" w:rsidRPr="009F56E6">
        <w:rPr>
          <w:noProof/>
        </w:rPr>
        <w:t>by means of a fully automated procedure</w:t>
      </w:r>
      <w:r w:rsidRPr="009F56E6">
        <w:rPr>
          <w:noProof/>
        </w:rPr>
        <w:t xml:space="preserve">. </w:t>
      </w:r>
    </w:p>
    <w:p w14:paraId="291C3403" w14:textId="540C7898" w:rsidR="00B224E2" w:rsidRPr="009F56E6" w:rsidRDefault="00B224E2" w:rsidP="009E4089">
      <w:pPr>
        <w:rPr>
          <w:noProof/>
        </w:rPr>
      </w:pPr>
      <w:r w:rsidRPr="009F56E6">
        <w:rPr>
          <w:noProof/>
        </w:rPr>
        <w:t xml:space="preserve">Should the data be unsuitable for an automated comparison, </w:t>
      </w:r>
      <w:r w:rsidR="00C76723" w:rsidRPr="009F56E6">
        <w:rPr>
          <w:noProof/>
        </w:rPr>
        <w:t xml:space="preserve">the </w:t>
      </w:r>
      <w:r w:rsidR="005F20FE" w:rsidRPr="009F56E6">
        <w:rPr>
          <w:noProof/>
        </w:rPr>
        <w:t xml:space="preserve">requested </w:t>
      </w:r>
      <w:r w:rsidR="00C76723" w:rsidRPr="009F56E6">
        <w:rPr>
          <w:noProof/>
        </w:rPr>
        <w:t xml:space="preserve">Member State </w:t>
      </w:r>
      <w:r w:rsidRPr="009F56E6">
        <w:rPr>
          <w:noProof/>
        </w:rPr>
        <w:t>shall</w:t>
      </w:r>
      <w:r w:rsidR="00C76723" w:rsidRPr="009F56E6">
        <w:rPr>
          <w:noProof/>
        </w:rPr>
        <w:t xml:space="preserve"> </w:t>
      </w:r>
      <w:r w:rsidR="005F20FE">
        <w:rPr>
          <w:noProof/>
        </w:rPr>
        <w:t>inform</w:t>
      </w:r>
      <w:r w:rsidR="00D32F1D" w:rsidRPr="009F56E6">
        <w:rPr>
          <w:noProof/>
        </w:rPr>
        <w:t xml:space="preserve"> the </w:t>
      </w:r>
      <w:r w:rsidR="005F20FE" w:rsidRPr="009F56E6">
        <w:rPr>
          <w:noProof/>
        </w:rPr>
        <w:t xml:space="preserve">requesting </w:t>
      </w:r>
      <w:r w:rsidR="00D32F1D" w:rsidRPr="009F56E6">
        <w:rPr>
          <w:noProof/>
        </w:rPr>
        <w:t xml:space="preserve">Member State </w:t>
      </w:r>
      <w:r w:rsidR="005F20FE">
        <w:rPr>
          <w:noProof/>
        </w:rPr>
        <w:t xml:space="preserve">about it </w:t>
      </w:r>
      <w:r w:rsidR="00D32F1D" w:rsidRPr="009F56E6">
        <w:rPr>
          <w:noProof/>
        </w:rPr>
        <w:t xml:space="preserve">via the </w:t>
      </w:r>
      <w:r w:rsidR="00C76723" w:rsidRPr="009F56E6">
        <w:rPr>
          <w:noProof/>
        </w:rPr>
        <w:t>router</w:t>
      </w:r>
      <w:r w:rsidRPr="009F56E6">
        <w:rPr>
          <w:noProof/>
        </w:rPr>
        <w:t xml:space="preserve"> without delay.</w:t>
      </w:r>
    </w:p>
    <w:p w14:paraId="6185B90C" w14:textId="7D7B37DB" w:rsidR="008744F7" w:rsidRPr="009F56E6" w:rsidRDefault="00B910F7" w:rsidP="008744F7">
      <w:pPr>
        <w:pStyle w:val="Titrearticle"/>
        <w:rPr>
          <w:noProof/>
        </w:rPr>
      </w:pPr>
      <w:r w:rsidRPr="009F56E6">
        <w:rPr>
          <w:noProof/>
        </w:rPr>
        <w:t>Article 3</w:t>
      </w:r>
      <w:r w:rsidR="00E15E51">
        <w:rPr>
          <w:noProof/>
        </w:rPr>
        <w:t>9</w:t>
      </w:r>
    </w:p>
    <w:p w14:paraId="277F396F" w14:textId="61865AAB" w:rsidR="00913357" w:rsidRPr="009F56E6" w:rsidRDefault="00267175" w:rsidP="007B4046">
      <w:pPr>
        <w:jc w:val="center"/>
        <w:rPr>
          <w:noProof/>
        </w:rPr>
      </w:pPr>
      <w:r w:rsidRPr="009F56E6">
        <w:rPr>
          <w:b/>
          <w:noProof/>
        </w:rPr>
        <w:t xml:space="preserve">Interoperability </w:t>
      </w:r>
      <w:r w:rsidR="00913357" w:rsidRPr="009F56E6">
        <w:rPr>
          <w:b/>
          <w:noProof/>
        </w:rPr>
        <w:t>between the router and the Common Identity Repository for the purposes of law enforcement access</w:t>
      </w:r>
    </w:p>
    <w:p w14:paraId="027E0706" w14:textId="29C52AB2" w:rsidR="001F3814" w:rsidRPr="009F56E6" w:rsidRDefault="00696851" w:rsidP="001F3814">
      <w:pPr>
        <w:rPr>
          <w:noProof/>
        </w:rPr>
      </w:pPr>
      <w:r w:rsidRPr="009F56E6">
        <w:rPr>
          <w:noProof/>
        </w:rPr>
        <w:t xml:space="preserve">1. </w:t>
      </w:r>
      <w:r w:rsidR="001F3814" w:rsidRPr="009F56E6">
        <w:rPr>
          <w:noProof/>
        </w:rPr>
        <w:t xml:space="preserve">The router users </w:t>
      </w:r>
      <w:r w:rsidR="00E9455D" w:rsidRPr="0003774E">
        <w:rPr>
          <w:noProof/>
        </w:rPr>
        <w:t>referred to in Article 3</w:t>
      </w:r>
      <w:r w:rsidR="0039768A">
        <w:rPr>
          <w:noProof/>
        </w:rPr>
        <w:t>6</w:t>
      </w:r>
      <w:r w:rsidR="00E9455D">
        <w:rPr>
          <w:noProof/>
        </w:rPr>
        <w:t xml:space="preserve"> </w:t>
      </w:r>
      <w:r w:rsidR="001F3814" w:rsidRPr="009F56E6">
        <w:rPr>
          <w:noProof/>
        </w:rPr>
        <w:t xml:space="preserve">may launch a query to Member States’ databases and Europol data simultaneously with a query to the Common Identity Repository </w:t>
      </w:r>
      <w:r w:rsidR="00596EF1" w:rsidRPr="009F56E6">
        <w:rPr>
          <w:noProof/>
        </w:rPr>
        <w:t>where the relevant conditions under Union law are fulfilled and</w:t>
      </w:r>
      <w:r w:rsidR="00BC61B9" w:rsidRPr="009F56E6">
        <w:rPr>
          <w:noProof/>
        </w:rPr>
        <w:t xml:space="preserve"> </w:t>
      </w:r>
      <w:r w:rsidR="001F3814" w:rsidRPr="009F56E6">
        <w:rPr>
          <w:noProof/>
        </w:rPr>
        <w:t xml:space="preserve">in accordance with their access rights. For this purpose, the router shall query the </w:t>
      </w:r>
      <w:r w:rsidR="00F57AD0" w:rsidRPr="009F56E6">
        <w:rPr>
          <w:noProof/>
        </w:rPr>
        <w:t xml:space="preserve">Common Identity Repository </w:t>
      </w:r>
      <w:r w:rsidR="001F3814" w:rsidRPr="009F56E6">
        <w:rPr>
          <w:noProof/>
        </w:rPr>
        <w:t>via the European Search Portal.</w:t>
      </w:r>
    </w:p>
    <w:p w14:paraId="5CF7F320" w14:textId="0344C72F" w:rsidR="001F3814" w:rsidRPr="009F56E6" w:rsidRDefault="00696851" w:rsidP="001F3814">
      <w:pPr>
        <w:rPr>
          <w:noProof/>
        </w:rPr>
      </w:pPr>
      <w:r w:rsidRPr="009F56E6">
        <w:rPr>
          <w:noProof/>
        </w:rPr>
        <w:t xml:space="preserve">2. </w:t>
      </w:r>
      <w:r w:rsidR="001F3814" w:rsidRPr="009F56E6">
        <w:rPr>
          <w:noProof/>
        </w:rPr>
        <w:t xml:space="preserve">Queries to the </w:t>
      </w:r>
      <w:r w:rsidR="00F57AD0" w:rsidRPr="009F56E6">
        <w:rPr>
          <w:noProof/>
        </w:rPr>
        <w:t xml:space="preserve">Common Identity Repository </w:t>
      </w:r>
      <w:r w:rsidR="001F3814" w:rsidRPr="009F56E6">
        <w:rPr>
          <w:noProof/>
        </w:rPr>
        <w:t xml:space="preserve">for law enforcement purposes shall be carried out in accordance with Article 22 of Regulation (EU) 2019/817 and Article 22 of Regulation (EU) 2019/818. </w:t>
      </w:r>
      <w:r w:rsidR="009169EC" w:rsidRPr="009F56E6">
        <w:rPr>
          <w:noProof/>
        </w:rPr>
        <w:t xml:space="preserve">Any result from the queries shall be transmitted via the </w:t>
      </w:r>
      <w:r w:rsidR="00F57AD0" w:rsidRPr="009F56E6">
        <w:rPr>
          <w:noProof/>
        </w:rPr>
        <w:t>European Search Portal</w:t>
      </w:r>
      <w:r w:rsidR="009169EC" w:rsidRPr="009F56E6">
        <w:rPr>
          <w:noProof/>
        </w:rPr>
        <w:t>.</w:t>
      </w:r>
    </w:p>
    <w:p w14:paraId="2F36E7AC" w14:textId="221CAC93" w:rsidR="001F3814" w:rsidRPr="009F56E6" w:rsidRDefault="001F3814" w:rsidP="001F3814">
      <w:pPr>
        <w:rPr>
          <w:noProof/>
        </w:rPr>
      </w:pPr>
      <w:r w:rsidRPr="009F56E6">
        <w:rPr>
          <w:noProof/>
        </w:rPr>
        <w:t>Only designated authorities defined in Article 4</w:t>
      </w:r>
      <w:r w:rsidR="003C0D84">
        <w:rPr>
          <w:noProof/>
        </w:rPr>
        <w:t>,</w:t>
      </w:r>
      <w:r w:rsidRPr="009F56E6">
        <w:rPr>
          <w:noProof/>
        </w:rPr>
        <w:t xml:space="preserve"> </w:t>
      </w:r>
      <w:r w:rsidR="003C0D84" w:rsidRPr="009F56E6">
        <w:rPr>
          <w:noProof/>
        </w:rPr>
        <w:t>point 20</w:t>
      </w:r>
      <w:r w:rsidR="003C0D84">
        <w:rPr>
          <w:noProof/>
        </w:rPr>
        <w:t>,</w:t>
      </w:r>
      <w:r w:rsidR="003C0D84" w:rsidRPr="009F56E6">
        <w:rPr>
          <w:noProof/>
        </w:rPr>
        <w:t xml:space="preserve"> </w:t>
      </w:r>
      <w:r w:rsidRPr="009F56E6">
        <w:rPr>
          <w:noProof/>
        </w:rPr>
        <w:t>of Regulation (EU) 2019/817 and Article 4</w:t>
      </w:r>
      <w:r w:rsidR="003C0D84">
        <w:rPr>
          <w:noProof/>
        </w:rPr>
        <w:t>,</w:t>
      </w:r>
      <w:r w:rsidRPr="009F56E6">
        <w:rPr>
          <w:noProof/>
        </w:rPr>
        <w:t xml:space="preserve"> </w:t>
      </w:r>
      <w:r w:rsidR="003C0D84" w:rsidRPr="009F56E6">
        <w:rPr>
          <w:noProof/>
        </w:rPr>
        <w:t>point 20</w:t>
      </w:r>
      <w:r w:rsidR="003C0D84">
        <w:rPr>
          <w:noProof/>
        </w:rPr>
        <w:t>,</w:t>
      </w:r>
      <w:r w:rsidR="003C0D84" w:rsidRPr="009F56E6">
        <w:rPr>
          <w:noProof/>
        </w:rPr>
        <w:t xml:space="preserve"> </w:t>
      </w:r>
      <w:r w:rsidRPr="009F56E6">
        <w:rPr>
          <w:noProof/>
        </w:rPr>
        <w:t>of Regulation (EU) 2019/818 may launch these simultaneous queries.</w:t>
      </w:r>
    </w:p>
    <w:p w14:paraId="22B6984F" w14:textId="5F2348EF" w:rsidR="001F3814" w:rsidRPr="009F56E6" w:rsidRDefault="001F3814" w:rsidP="001F3814">
      <w:pPr>
        <w:rPr>
          <w:noProof/>
        </w:rPr>
      </w:pPr>
      <w:r w:rsidRPr="009F56E6">
        <w:rPr>
          <w:noProof/>
        </w:rPr>
        <w:t xml:space="preserve">Simultaneous queries of the Member States’ databases and Europol data and the </w:t>
      </w:r>
      <w:r w:rsidR="00F57AD0" w:rsidRPr="009F56E6">
        <w:rPr>
          <w:noProof/>
        </w:rPr>
        <w:t xml:space="preserve">Common Identity Repository </w:t>
      </w:r>
      <w:r w:rsidRPr="009F56E6">
        <w:rPr>
          <w:noProof/>
        </w:rPr>
        <w:t xml:space="preserve">may only be launched in cases where </w:t>
      </w:r>
      <w:r w:rsidR="00F57AD0">
        <w:rPr>
          <w:noProof/>
        </w:rPr>
        <w:t>it is likely that data on</w:t>
      </w:r>
      <w:r w:rsidRPr="009F56E6">
        <w:rPr>
          <w:noProof/>
        </w:rPr>
        <w:t xml:space="preserve"> a suspect, perpetrator or victim of a terrorist offence or other serious criminal offences as defined respectively in Article 4</w:t>
      </w:r>
      <w:r w:rsidR="003C0D84">
        <w:rPr>
          <w:noProof/>
        </w:rPr>
        <w:t>,</w:t>
      </w:r>
      <w:r w:rsidRPr="009F56E6">
        <w:rPr>
          <w:noProof/>
        </w:rPr>
        <w:t xml:space="preserve"> </w:t>
      </w:r>
      <w:r w:rsidR="003C0D84" w:rsidRPr="009F56E6">
        <w:rPr>
          <w:noProof/>
        </w:rPr>
        <w:t>points 21 and 22</w:t>
      </w:r>
      <w:r w:rsidR="003C0D84">
        <w:rPr>
          <w:noProof/>
        </w:rPr>
        <w:t>,</w:t>
      </w:r>
      <w:r w:rsidR="003C0D84" w:rsidRPr="009F56E6">
        <w:rPr>
          <w:noProof/>
        </w:rPr>
        <w:t xml:space="preserve"> </w:t>
      </w:r>
      <w:r w:rsidRPr="009F56E6">
        <w:rPr>
          <w:noProof/>
        </w:rPr>
        <w:t>of Regulation (EU) 2019/817 and Article 4</w:t>
      </w:r>
      <w:r w:rsidR="003C0D84">
        <w:rPr>
          <w:noProof/>
        </w:rPr>
        <w:t>,</w:t>
      </w:r>
      <w:r w:rsidRPr="009F56E6">
        <w:rPr>
          <w:noProof/>
        </w:rPr>
        <w:t xml:space="preserve"> </w:t>
      </w:r>
      <w:r w:rsidR="003C0D84" w:rsidRPr="009F56E6">
        <w:rPr>
          <w:noProof/>
        </w:rPr>
        <w:t>points 21 and 22</w:t>
      </w:r>
      <w:r w:rsidR="003C0D84">
        <w:rPr>
          <w:noProof/>
        </w:rPr>
        <w:t>,</w:t>
      </w:r>
      <w:r w:rsidR="003C0D84" w:rsidRPr="009F56E6">
        <w:rPr>
          <w:noProof/>
        </w:rPr>
        <w:t xml:space="preserve"> </w:t>
      </w:r>
      <w:r w:rsidRPr="009F56E6">
        <w:rPr>
          <w:noProof/>
        </w:rPr>
        <w:t>of Regulation (EU) 2019/818</w:t>
      </w:r>
      <w:r w:rsidR="00BC61B9" w:rsidRPr="009F56E6">
        <w:rPr>
          <w:noProof/>
        </w:rPr>
        <w:t xml:space="preserve"> </w:t>
      </w:r>
      <w:r w:rsidR="00F57AD0">
        <w:rPr>
          <w:noProof/>
        </w:rPr>
        <w:t>are</w:t>
      </w:r>
      <w:r w:rsidR="00596EF1" w:rsidRPr="009F56E6">
        <w:rPr>
          <w:noProof/>
        </w:rPr>
        <w:t xml:space="preserve"> </w:t>
      </w:r>
      <w:r w:rsidR="00BC61B9" w:rsidRPr="009F56E6">
        <w:rPr>
          <w:noProof/>
        </w:rPr>
        <w:t xml:space="preserve">stored in the </w:t>
      </w:r>
      <w:r w:rsidR="00F57AD0" w:rsidRPr="009F56E6">
        <w:rPr>
          <w:noProof/>
        </w:rPr>
        <w:t>Common Identity Repository</w:t>
      </w:r>
      <w:r w:rsidRPr="009F56E6">
        <w:rPr>
          <w:noProof/>
        </w:rPr>
        <w:t>.</w:t>
      </w:r>
    </w:p>
    <w:p w14:paraId="313C7109" w14:textId="2F8EEB88" w:rsidR="001F3814" w:rsidRPr="009F56E6" w:rsidRDefault="001F3814" w:rsidP="001F3814">
      <w:pPr>
        <w:pStyle w:val="Titrearticle"/>
        <w:rPr>
          <w:noProof/>
        </w:rPr>
      </w:pPr>
      <w:r w:rsidRPr="009F56E6">
        <w:rPr>
          <w:noProof/>
        </w:rPr>
        <w:t xml:space="preserve">Article </w:t>
      </w:r>
      <w:r w:rsidR="00E15E51">
        <w:rPr>
          <w:noProof/>
        </w:rPr>
        <w:t>40</w:t>
      </w:r>
    </w:p>
    <w:p w14:paraId="5803C5B7" w14:textId="5584DB60" w:rsidR="00C17FE6" w:rsidRPr="009F56E6" w:rsidRDefault="00267175" w:rsidP="00C17FE6">
      <w:pPr>
        <w:jc w:val="center"/>
        <w:rPr>
          <w:b/>
          <w:noProof/>
        </w:rPr>
      </w:pPr>
      <w:r w:rsidRPr="009F56E6">
        <w:rPr>
          <w:b/>
          <w:noProof/>
        </w:rPr>
        <w:t>Keeping of logs</w:t>
      </w:r>
    </w:p>
    <w:p w14:paraId="1949C7EC" w14:textId="77777777" w:rsidR="0098128C" w:rsidRPr="005A04A2" w:rsidRDefault="001B1D90" w:rsidP="008744F7">
      <w:pPr>
        <w:rPr>
          <w:noProof/>
        </w:rPr>
      </w:pPr>
      <w:r w:rsidRPr="005A04A2">
        <w:rPr>
          <w:noProof/>
        </w:rPr>
        <w:t xml:space="preserve">1. eu-LISA shall keep logs of all data processing operations in the </w:t>
      </w:r>
      <w:r w:rsidR="0098128C" w:rsidRPr="005A04A2">
        <w:rPr>
          <w:noProof/>
        </w:rPr>
        <w:t>router</w:t>
      </w:r>
      <w:r w:rsidRPr="005A04A2">
        <w:rPr>
          <w:noProof/>
        </w:rPr>
        <w:t xml:space="preserve">. Those logs shall include the following: </w:t>
      </w:r>
    </w:p>
    <w:p w14:paraId="15B03E3E" w14:textId="5BD7FEE9" w:rsidR="0098128C" w:rsidRPr="005A04A2" w:rsidRDefault="00C304BF" w:rsidP="00C304BF">
      <w:pPr>
        <w:pStyle w:val="Point0"/>
        <w:rPr>
          <w:noProof/>
        </w:rPr>
      </w:pPr>
      <w:r w:rsidRPr="00C304BF">
        <w:t>(a)</w:t>
      </w:r>
      <w:r w:rsidRPr="00C304BF">
        <w:tab/>
      </w:r>
      <w:r w:rsidR="001B1D90" w:rsidRPr="005A04A2">
        <w:rPr>
          <w:noProof/>
        </w:rPr>
        <w:t>the Member State or Union agency launching the</w:t>
      </w:r>
      <w:r w:rsidR="00BC1A6A" w:rsidRPr="005A04A2">
        <w:rPr>
          <w:noProof/>
        </w:rPr>
        <w:t xml:space="preserve"> request for a</w:t>
      </w:r>
      <w:r w:rsidR="001B1D90" w:rsidRPr="005A04A2">
        <w:rPr>
          <w:noProof/>
        </w:rPr>
        <w:t xml:space="preserve"> query</w:t>
      </w:r>
      <w:r w:rsidR="0098128C" w:rsidRPr="005A04A2">
        <w:rPr>
          <w:noProof/>
        </w:rPr>
        <w:t xml:space="preserve">; </w:t>
      </w:r>
    </w:p>
    <w:p w14:paraId="40DD71D2" w14:textId="13BD2F9B" w:rsidR="0098128C" w:rsidRPr="005A04A2" w:rsidRDefault="00C304BF" w:rsidP="00C304BF">
      <w:pPr>
        <w:pStyle w:val="Point0"/>
        <w:rPr>
          <w:noProof/>
        </w:rPr>
      </w:pPr>
      <w:r w:rsidRPr="00C304BF">
        <w:t>(b)</w:t>
      </w:r>
      <w:r w:rsidRPr="00C304BF">
        <w:tab/>
      </w:r>
      <w:r w:rsidR="001B1D90" w:rsidRPr="005A04A2">
        <w:rPr>
          <w:noProof/>
        </w:rPr>
        <w:t>the date and tim</w:t>
      </w:r>
      <w:r w:rsidR="0098128C" w:rsidRPr="005A04A2">
        <w:rPr>
          <w:noProof/>
        </w:rPr>
        <w:t xml:space="preserve">e of the </w:t>
      </w:r>
      <w:r w:rsidR="00BC1A6A" w:rsidRPr="005A04A2">
        <w:rPr>
          <w:noProof/>
        </w:rPr>
        <w:t>request</w:t>
      </w:r>
      <w:r w:rsidR="00696851" w:rsidRPr="005A04A2">
        <w:rPr>
          <w:noProof/>
        </w:rPr>
        <w:t>;</w:t>
      </w:r>
    </w:p>
    <w:p w14:paraId="2C41FA47" w14:textId="5DF17909" w:rsidR="00653A63" w:rsidRPr="005A04A2" w:rsidRDefault="00C304BF" w:rsidP="00C304BF">
      <w:pPr>
        <w:pStyle w:val="Point0"/>
        <w:rPr>
          <w:noProof/>
        </w:rPr>
      </w:pPr>
      <w:r w:rsidRPr="00C304BF">
        <w:t>(c)</w:t>
      </w:r>
      <w:r w:rsidRPr="00C304BF">
        <w:tab/>
      </w:r>
      <w:r w:rsidR="00653A63" w:rsidRPr="005A04A2">
        <w:rPr>
          <w:noProof/>
        </w:rPr>
        <w:t>the date and time of the answer;</w:t>
      </w:r>
    </w:p>
    <w:p w14:paraId="4C88EEB4" w14:textId="386A37F5" w:rsidR="00BC1A6A" w:rsidRPr="005A04A2" w:rsidRDefault="00C304BF" w:rsidP="00C304BF">
      <w:pPr>
        <w:pStyle w:val="Point0"/>
        <w:rPr>
          <w:noProof/>
        </w:rPr>
      </w:pPr>
      <w:r w:rsidRPr="00C304BF">
        <w:t>(d)</w:t>
      </w:r>
      <w:r w:rsidRPr="00C304BF">
        <w:tab/>
      </w:r>
      <w:r w:rsidR="00653A63" w:rsidRPr="005A04A2">
        <w:rPr>
          <w:noProof/>
        </w:rPr>
        <w:t>the national databases</w:t>
      </w:r>
      <w:r w:rsidR="00BC1A6A" w:rsidRPr="005A04A2">
        <w:rPr>
          <w:noProof/>
        </w:rPr>
        <w:t xml:space="preserve"> or </w:t>
      </w:r>
      <w:r w:rsidR="00F57AD0" w:rsidRPr="005A04A2">
        <w:rPr>
          <w:noProof/>
        </w:rPr>
        <w:t xml:space="preserve">Europol data </w:t>
      </w:r>
      <w:r w:rsidR="00BC1A6A" w:rsidRPr="005A04A2">
        <w:rPr>
          <w:noProof/>
        </w:rPr>
        <w:t>to which a request for a query was sent</w:t>
      </w:r>
      <w:r w:rsidR="00653A63" w:rsidRPr="005A04A2">
        <w:rPr>
          <w:noProof/>
        </w:rPr>
        <w:t>;</w:t>
      </w:r>
    </w:p>
    <w:p w14:paraId="1887885A" w14:textId="25B55428" w:rsidR="00696851" w:rsidRPr="005A04A2" w:rsidRDefault="00C304BF" w:rsidP="00C304BF">
      <w:pPr>
        <w:pStyle w:val="Point0"/>
        <w:rPr>
          <w:noProof/>
        </w:rPr>
      </w:pPr>
      <w:r w:rsidRPr="00C304BF">
        <w:t>(e)</w:t>
      </w:r>
      <w:r w:rsidRPr="00C304BF">
        <w:tab/>
      </w:r>
      <w:r w:rsidR="00BC1A6A" w:rsidRPr="005A04A2">
        <w:rPr>
          <w:noProof/>
        </w:rPr>
        <w:t>the national databases or Europol data that provided an answer;</w:t>
      </w:r>
      <w:r w:rsidR="00653A63" w:rsidRPr="005A04A2">
        <w:rPr>
          <w:noProof/>
        </w:rPr>
        <w:t xml:space="preserve"> </w:t>
      </w:r>
    </w:p>
    <w:p w14:paraId="3F0081AD" w14:textId="20422C97" w:rsidR="0098128C" w:rsidRPr="005A04A2" w:rsidRDefault="00C304BF" w:rsidP="00C304BF">
      <w:pPr>
        <w:pStyle w:val="Point0"/>
        <w:rPr>
          <w:noProof/>
        </w:rPr>
      </w:pPr>
      <w:r w:rsidRPr="00C304BF">
        <w:t>(f)</w:t>
      </w:r>
      <w:r w:rsidRPr="00C304BF">
        <w:tab/>
      </w:r>
      <w:r w:rsidR="00E13FD0" w:rsidRPr="005A04A2">
        <w:rPr>
          <w:noProof/>
        </w:rPr>
        <w:t>w</w:t>
      </w:r>
      <w:r w:rsidR="00696851" w:rsidRPr="005A04A2">
        <w:rPr>
          <w:noProof/>
        </w:rPr>
        <w:t xml:space="preserve">here applicable, the fact that there was a simultaneous query to the </w:t>
      </w:r>
      <w:r w:rsidR="00F57AD0" w:rsidRPr="009F56E6">
        <w:rPr>
          <w:noProof/>
        </w:rPr>
        <w:t>Common Identity Repository</w:t>
      </w:r>
      <w:r w:rsidR="00696851" w:rsidRPr="005A04A2">
        <w:rPr>
          <w:noProof/>
        </w:rPr>
        <w:t>.</w:t>
      </w:r>
      <w:r w:rsidR="001B1D90" w:rsidRPr="005A04A2">
        <w:rPr>
          <w:noProof/>
        </w:rPr>
        <w:t xml:space="preserve"> </w:t>
      </w:r>
    </w:p>
    <w:p w14:paraId="31C18109" w14:textId="640D266C" w:rsidR="003C0D84" w:rsidRDefault="00B93D74" w:rsidP="00D05538">
      <w:pPr>
        <w:rPr>
          <w:noProof/>
        </w:rPr>
      </w:pPr>
      <w:r w:rsidRPr="005A04A2">
        <w:rPr>
          <w:noProof/>
        </w:rPr>
        <w:t xml:space="preserve">2. </w:t>
      </w:r>
      <w:r w:rsidR="001B1D90" w:rsidRPr="005A04A2">
        <w:rPr>
          <w:noProof/>
        </w:rPr>
        <w:t xml:space="preserve">Each Member State shall keep logs of queries that its </w:t>
      </w:r>
      <w:r w:rsidR="00F57AD0">
        <w:rPr>
          <w:noProof/>
        </w:rPr>
        <w:t xml:space="preserve">competent </w:t>
      </w:r>
      <w:r w:rsidR="001B1D90" w:rsidRPr="005A04A2">
        <w:rPr>
          <w:noProof/>
        </w:rPr>
        <w:t xml:space="preserve">authorities and the staff of those authorities duly authorised to use the </w:t>
      </w:r>
      <w:r w:rsidR="00653EF1" w:rsidRPr="005A04A2">
        <w:rPr>
          <w:noProof/>
        </w:rPr>
        <w:t>router</w:t>
      </w:r>
      <w:r w:rsidR="001B1D90" w:rsidRPr="005A04A2">
        <w:rPr>
          <w:noProof/>
        </w:rPr>
        <w:t xml:space="preserve"> make</w:t>
      </w:r>
      <w:r w:rsidR="009169EC" w:rsidRPr="005A04A2">
        <w:rPr>
          <w:noProof/>
        </w:rPr>
        <w:t xml:space="preserve"> as well as logs of queries </w:t>
      </w:r>
      <w:r w:rsidR="005F3229" w:rsidRPr="005A04A2">
        <w:rPr>
          <w:noProof/>
        </w:rPr>
        <w:t>requested by</w:t>
      </w:r>
      <w:r w:rsidR="009169EC" w:rsidRPr="005A04A2">
        <w:rPr>
          <w:noProof/>
        </w:rPr>
        <w:t xml:space="preserve"> other Member States</w:t>
      </w:r>
      <w:r w:rsidR="001B1D90" w:rsidRPr="005A04A2">
        <w:rPr>
          <w:noProof/>
        </w:rPr>
        <w:t xml:space="preserve">. </w:t>
      </w:r>
    </w:p>
    <w:p w14:paraId="4BB2F193" w14:textId="617B03C3" w:rsidR="00B93D74" w:rsidRPr="005A04A2" w:rsidRDefault="00CF339C" w:rsidP="00D05538">
      <w:pPr>
        <w:rPr>
          <w:noProof/>
        </w:rPr>
      </w:pPr>
      <w:r w:rsidRPr="005A04A2">
        <w:rPr>
          <w:noProof/>
        </w:rPr>
        <w:t>Europol</w:t>
      </w:r>
      <w:r w:rsidR="001B1D90" w:rsidRPr="005A04A2">
        <w:rPr>
          <w:noProof/>
        </w:rPr>
        <w:t xml:space="preserve"> shall keep logs of queries that its duly authorised staff make.</w:t>
      </w:r>
    </w:p>
    <w:p w14:paraId="59F3745C" w14:textId="52B0A9CF" w:rsidR="003C0D84" w:rsidRDefault="00B93D74" w:rsidP="00D05538">
      <w:pPr>
        <w:rPr>
          <w:noProof/>
        </w:rPr>
      </w:pPr>
      <w:r w:rsidRPr="009F56E6">
        <w:rPr>
          <w:noProof/>
        </w:rPr>
        <w:t xml:space="preserve">3. </w:t>
      </w:r>
      <w:r w:rsidR="00653EF1" w:rsidRPr="009F56E6">
        <w:rPr>
          <w:noProof/>
        </w:rPr>
        <w:t xml:space="preserve">The logs referred to in paragraphs 1 and 2 may be used only for </w:t>
      </w:r>
      <w:r w:rsidR="00133155" w:rsidRPr="009F56E6">
        <w:rPr>
          <w:noProof/>
        </w:rPr>
        <w:t xml:space="preserve">the collection of statistics and </w:t>
      </w:r>
      <w:r w:rsidR="00653EF1" w:rsidRPr="009F56E6">
        <w:rPr>
          <w:noProof/>
        </w:rPr>
        <w:t xml:space="preserve">data protection monitoring, including checking the admissibility of a query and the </w:t>
      </w:r>
      <w:r w:rsidR="00653A63" w:rsidRPr="009F56E6">
        <w:rPr>
          <w:noProof/>
        </w:rPr>
        <w:t>lawfulness of data processing</w:t>
      </w:r>
      <w:r w:rsidR="00653EF1" w:rsidRPr="009F56E6">
        <w:rPr>
          <w:noProof/>
        </w:rPr>
        <w:t xml:space="preserve">, and for ensuring data security and integrity. </w:t>
      </w:r>
    </w:p>
    <w:p w14:paraId="0B711341" w14:textId="6F91AE48" w:rsidR="00B93D74" w:rsidRDefault="00653EF1" w:rsidP="00D05538">
      <w:pPr>
        <w:rPr>
          <w:noProof/>
        </w:rPr>
      </w:pPr>
      <w:r w:rsidRPr="009F56E6">
        <w:rPr>
          <w:noProof/>
        </w:rPr>
        <w:t xml:space="preserve">Those logs shall be protected by appropriate measures against unauthorised access and erased one year after their creation. If, however, they are required for monitoring procedures that have already begun, they shall be erased once the </w:t>
      </w:r>
      <w:r w:rsidR="00C62386" w:rsidRPr="009F56E6">
        <w:rPr>
          <w:noProof/>
        </w:rPr>
        <w:t xml:space="preserve">monitoring procedures </w:t>
      </w:r>
      <w:r w:rsidRPr="009F56E6">
        <w:rPr>
          <w:noProof/>
        </w:rPr>
        <w:t>no longer require the logs.</w:t>
      </w:r>
    </w:p>
    <w:p w14:paraId="6CBE7F28" w14:textId="72CF23F6" w:rsidR="00676141" w:rsidRPr="00676141" w:rsidRDefault="00676141" w:rsidP="00D05538">
      <w:pPr>
        <w:rPr>
          <w:noProof/>
        </w:rPr>
      </w:pPr>
      <w:r>
        <w:rPr>
          <w:noProof/>
        </w:rPr>
        <w:t>4</w:t>
      </w:r>
      <w:r w:rsidRPr="009F56E6">
        <w:rPr>
          <w:noProof/>
        </w:rPr>
        <w:t>. For the purposes of data protection monitoring, including checking the admissibility of a query and the lawfulness of data processing, the data controllers shall have access to the logs for self-monitoring as referred to in Article 5</w:t>
      </w:r>
      <w:r w:rsidR="0039768A">
        <w:rPr>
          <w:noProof/>
        </w:rPr>
        <w:t>6</w:t>
      </w:r>
      <w:r w:rsidRPr="009F56E6">
        <w:rPr>
          <w:noProof/>
        </w:rPr>
        <w:t>.</w:t>
      </w:r>
    </w:p>
    <w:p w14:paraId="57C18745" w14:textId="77EFECE3" w:rsidR="00B93D74" w:rsidRPr="009F56E6" w:rsidRDefault="00B93D74" w:rsidP="00B93D74">
      <w:pPr>
        <w:pStyle w:val="Titrearticle"/>
        <w:rPr>
          <w:noProof/>
        </w:rPr>
      </w:pPr>
      <w:r w:rsidRPr="009F56E6">
        <w:rPr>
          <w:noProof/>
        </w:rPr>
        <w:t>A</w:t>
      </w:r>
      <w:r w:rsidR="00CC4FEE" w:rsidRPr="009F56E6">
        <w:rPr>
          <w:noProof/>
        </w:rPr>
        <w:t xml:space="preserve">rticle </w:t>
      </w:r>
      <w:r w:rsidR="00E15E51">
        <w:rPr>
          <w:noProof/>
        </w:rPr>
        <w:t>41</w:t>
      </w:r>
    </w:p>
    <w:p w14:paraId="366F3DA1" w14:textId="4A2C9D6E" w:rsidR="00B93D74" w:rsidRPr="009F56E6" w:rsidRDefault="00133155" w:rsidP="00133155">
      <w:pPr>
        <w:jc w:val="center"/>
        <w:rPr>
          <w:b/>
          <w:bCs/>
          <w:noProof/>
        </w:rPr>
      </w:pPr>
      <w:r w:rsidRPr="009F56E6">
        <w:rPr>
          <w:b/>
          <w:bCs/>
          <w:noProof/>
        </w:rPr>
        <w:t xml:space="preserve">Notification procedures </w:t>
      </w:r>
      <w:r w:rsidR="00CC4FEE" w:rsidRPr="009F56E6">
        <w:rPr>
          <w:b/>
          <w:bCs/>
          <w:noProof/>
        </w:rPr>
        <w:t>in case of technical impossibility to use the router</w:t>
      </w:r>
    </w:p>
    <w:p w14:paraId="0F64668D" w14:textId="28A53A02" w:rsidR="00CC4FEE" w:rsidRPr="009F56E6" w:rsidRDefault="00CC4FEE" w:rsidP="00B93D74">
      <w:pPr>
        <w:rPr>
          <w:noProof/>
        </w:rPr>
      </w:pPr>
      <w:r w:rsidRPr="009F56E6">
        <w:rPr>
          <w:noProof/>
        </w:rPr>
        <w:t xml:space="preserve">1. Where it is technically impossible to use the </w:t>
      </w:r>
      <w:r w:rsidR="008B2E3A" w:rsidRPr="009F56E6">
        <w:rPr>
          <w:noProof/>
        </w:rPr>
        <w:t>router</w:t>
      </w:r>
      <w:r w:rsidRPr="009F56E6">
        <w:rPr>
          <w:noProof/>
        </w:rPr>
        <w:t xml:space="preserve"> to query one or several </w:t>
      </w:r>
      <w:r w:rsidR="008B2E3A" w:rsidRPr="009F56E6">
        <w:rPr>
          <w:noProof/>
        </w:rPr>
        <w:t xml:space="preserve">national databases or Europol data </w:t>
      </w:r>
      <w:r w:rsidRPr="009F56E6">
        <w:rPr>
          <w:noProof/>
        </w:rPr>
        <w:t xml:space="preserve">because of a failure of the </w:t>
      </w:r>
      <w:r w:rsidR="008B2E3A" w:rsidRPr="009F56E6">
        <w:rPr>
          <w:noProof/>
        </w:rPr>
        <w:t>router</w:t>
      </w:r>
      <w:r w:rsidRPr="009F56E6">
        <w:rPr>
          <w:noProof/>
        </w:rPr>
        <w:t xml:space="preserve">, the </w:t>
      </w:r>
      <w:r w:rsidR="008B2E3A" w:rsidRPr="009F56E6">
        <w:rPr>
          <w:noProof/>
        </w:rPr>
        <w:t>router</w:t>
      </w:r>
      <w:r w:rsidRPr="009F56E6">
        <w:rPr>
          <w:noProof/>
        </w:rPr>
        <w:t xml:space="preserve"> users shall be notified in </w:t>
      </w:r>
      <w:r w:rsidR="008B2E3A" w:rsidRPr="009F56E6">
        <w:rPr>
          <w:noProof/>
        </w:rPr>
        <w:t xml:space="preserve">an </w:t>
      </w:r>
      <w:r w:rsidR="00B03AC9" w:rsidRPr="009F56E6">
        <w:rPr>
          <w:noProof/>
        </w:rPr>
        <w:t xml:space="preserve">automated manner </w:t>
      </w:r>
      <w:r w:rsidR="008B2E3A" w:rsidRPr="009F56E6">
        <w:rPr>
          <w:noProof/>
        </w:rPr>
        <w:t>by eu-LISA.</w:t>
      </w:r>
      <w:r w:rsidR="00E63F3B" w:rsidRPr="009F56E6">
        <w:rPr>
          <w:noProof/>
        </w:rPr>
        <w:t xml:space="preserve"> </w:t>
      </w:r>
      <w:r w:rsidR="00B7147D" w:rsidRPr="009F56E6">
        <w:rPr>
          <w:noProof/>
        </w:rPr>
        <w:t>e</w:t>
      </w:r>
      <w:r w:rsidR="00E63F3B" w:rsidRPr="009F56E6">
        <w:rPr>
          <w:noProof/>
        </w:rPr>
        <w:t>u-LISA shall take measures to address the technical impossibility to use the router without delay.</w:t>
      </w:r>
    </w:p>
    <w:p w14:paraId="5C4E1F72" w14:textId="47B78F7A" w:rsidR="00CC4FEE" w:rsidRPr="009F56E6" w:rsidRDefault="00CC4FEE" w:rsidP="00B93D74">
      <w:pPr>
        <w:rPr>
          <w:noProof/>
        </w:rPr>
      </w:pPr>
      <w:r w:rsidRPr="009F56E6">
        <w:rPr>
          <w:noProof/>
        </w:rPr>
        <w:t xml:space="preserve">2. Where it is technically impossible to use the </w:t>
      </w:r>
      <w:r w:rsidR="008B2E3A" w:rsidRPr="009F56E6">
        <w:rPr>
          <w:noProof/>
        </w:rPr>
        <w:t>router</w:t>
      </w:r>
      <w:r w:rsidRPr="009F56E6">
        <w:rPr>
          <w:noProof/>
        </w:rPr>
        <w:t xml:space="preserve"> to query one or several</w:t>
      </w:r>
      <w:r w:rsidR="008B2E3A" w:rsidRPr="009F56E6">
        <w:rPr>
          <w:noProof/>
        </w:rPr>
        <w:t xml:space="preserve"> national databases or Europol data</w:t>
      </w:r>
      <w:r w:rsidRPr="009F56E6">
        <w:rPr>
          <w:noProof/>
        </w:rPr>
        <w:t xml:space="preserve"> because of a failure of the national infrastructure in a Member State, that Member State shall notify</w:t>
      </w:r>
      <w:r w:rsidR="00B7147D" w:rsidRPr="009F56E6">
        <w:rPr>
          <w:noProof/>
        </w:rPr>
        <w:t xml:space="preserve"> the other Member States,</w:t>
      </w:r>
      <w:r w:rsidRPr="009F56E6">
        <w:rPr>
          <w:noProof/>
        </w:rPr>
        <w:t xml:space="preserve"> eu-LISA and the Com</w:t>
      </w:r>
      <w:r w:rsidR="00E82627" w:rsidRPr="009F56E6">
        <w:rPr>
          <w:noProof/>
        </w:rPr>
        <w:t>mission in an automated manner.</w:t>
      </w:r>
      <w:r w:rsidR="00E63F3B" w:rsidRPr="009F56E6">
        <w:rPr>
          <w:noProof/>
        </w:rPr>
        <w:t xml:space="preserve"> Member States shall take measures to address the technical impossibility to use the router without delay.</w:t>
      </w:r>
    </w:p>
    <w:p w14:paraId="3BFD2189" w14:textId="54CCF171" w:rsidR="00B93D74" w:rsidRPr="00E7465F" w:rsidRDefault="00CC4FEE" w:rsidP="00E7465F">
      <w:pPr>
        <w:rPr>
          <w:noProof/>
        </w:rPr>
      </w:pPr>
      <w:r w:rsidRPr="009F56E6">
        <w:rPr>
          <w:noProof/>
        </w:rPr>
        <w:t xml:space="preserve">3. Where it is technically impossible to use the </w:t>
      </w:r>
      <w:r w:rsidR="008B2E3A" w:rsidRPr="009F56E6">
        <w:rPr>
          <w:noProof/>
        </w:rPr>
        <w:t>router</w:t>
      </w:r>
      <w:r w:rsidRPr="009F56E6">
        <w:rPr>
          <w:noProof/>
        </w:rPr>
        <w:t xml:space="preserve"> to query one or several </w:t>
      </w:r>
      <w:r w:rsidR="008B2E3A" w:rsidRPr="009F56E6">
        <w:rPr>
          <w:noProof/>
        </w:rPr>
        <w:t>national databases or Europol data</w:t>
      </w:r>
      <w:r w:rsidRPr="009F56E6">
        <w:rPr>
          <w:noProof/>
        </w:rPr>
        <w:t xml:space="preserve"> because of a failure of the infrastructure of </w:t>
      </w:r>
      <w:r w:rsidR="00CF339C" w:rsidRPr="009F56E6">
        <w:rPr>
          <w:noProof/>
        </w:rPr>
        <w:t>Europol</w:t>
      </w:r>
      <w:r w:rsidRPr="009F56E6">
        <w:rPr>
          <w:noProof/>
        </w:rPr>
        <w:t xml:space="preserve">, </w:t>
      </w:r>
      <w:r w:rsidR="00B03AC9" w:rsidRPr="009F56E6">
        <w:rPr>
          <w:noProof/>
        </w:rPr>
        <w:t>Europol shall notify</w:t>
      </w:r>
      <w:r w:rsidR="00B7147D" w:rsidRPr="009F56E6">
        <w:rPr>
          <w:noProof/>
        </w:rPr>
        <w:t xml:space="preserve"> the Member States,</w:t>
      </w:r>
      <w:r w:rsidR="00B03AC9" w:rsidRPr="009F56E6">
        <w:rPr>
          <w:noProof/>
        </w:rPr>
        <w:t xml:space="preserve"> eu-LISA and the Commission in an automated manner.</w:t>
      </w:r>
      <w:r w:rsidR="00E63F3B" w:rsidRPr="009F56E6">
        <w:rPr>
          <w:noProof/>
        </w:rPr>
        <w:t xml:space="preserve"> Europol shall take measures to address the technical impossibility to use the router without delay.</w:t>
      </w:r>
    </w:p>
    <w:p w14:paraId="66E90C29" w14:textId="3520D417" w:rsidR="004960F3" w:rsidRPr="007C7BE5" w:rsidRDefault="004960F3" w:rsidP="004960F3">
      <w:pPr>
        <w:pStyle w:val="Titrearticle"/>
        <w:rPr>
          <w:i w:val="0"/>
          <w:noProof/>
          <w:lang w:val="en-IE"/>
        </w:rPr>
      </w:pPr>
      <w:r w:rsidRPr="007C7BE5">
        <w:rPr>
          <w:i w:val="0"/>
          <w:noProof/>
          <w:lang w:val="en-IE"/>
        </w:rPr>
        <w:t>SECTION 2</w:t>
      </w:r>
    </w:p>
    <w:p w14:paraId="7E281589" w14:textId="6572C84E" w:rsidR="004960F3" w:rsidRPr="007C7BE5" w:rsidRDefault="004960F3" w:rsidP="00B910F7">
      <w:pPr>
        <w:jc w:val="center"/>
        <w:rPr>
          <w:b/>
          <w:noProof/>
          <w:lang w:val="en-IE"/>
        </w:rPr>
      </w:pPr>
      <w:r w:rsidRPr="007C7BE5">
        <w:rPr>
          <w:b/>
          <w:noProof/>
          <w:lang w:val="en-IE"/>
        </w:rPr>
        <w:t>EPRIS</w:t>
      </w:r>
    </w:p>
    <w:p w14:paraId="58E55F8F" w14:textId="574F67C8" w:rsidR="004960F3" w:rsidRPr="009F56E6" w:rsidRDefault="004960F3" w:rsidP="004960F3">
      <w:pPr>
        <w:pStyle w:val="Titrearticle"/>
        <w:rPr>
          <w:noProof/>
          <w:lang w:val="en-IE"/>
        </w:rPr>
      </w:pPr>
      <w:r w:rsidRPr="009F56E6">
        <w:rPr>
          <w:noProof/>
          <w:lang w:val="en-IE"/>
        </w:rPr>
        <w:t xml:space="preserve">Article </w:t>
      </w:r>
      <w:r w:rsidR="00E15E51">
        <w:rPr>
          <w:noProof/>
          <w:lang w:val="en-IE"/>
        </w:rPr>
        <w:t>42</w:t>
      </w:r>
    </w:p>
    <w:p w14:paraId="562243AC" w14:textId="6282431C" w:rsidR="00666505" w:rsidRPr="009F56E6" w:rsidRDefault="00666505" w:rsidP="00666505">
      <w:pPr>
        <w:jc w:val="center"/>
        <w:rPr>
          <w:b/>
          <w:noProof/>
          <w:lang w:val="en-IE"/>
        </w:rPr>
      </w:pPr>
      <w:r w:rsidRPr="009F56E6">
        <w:rPr>
          <w:b/>
          <w:noProof/>
          <w:lang w:val="en-IE"/>
        </w:rPr>
        <w:t>EPRIS</w:t>
      </w:r>
    </w:p>
    <w:p w14:paraId="7B8AFC57" w14:textId="5A335649" w:rsidR="00A728A3" w:rsidRPr="005A04A2" w:rsidRDefault="00A728A3" w:rsidP="00A728A3">
      <w:pPr>
        <w:rPr>
          <w:noProof/>
        </w:rPr>
      </w:pPr>
      <w:r w:rsidRPr="005A04A2">
        <w:rPr>
          <w:noProof/>
        </w:rPr>
        <w:t xml:space="preserve">1. </w:t>
      </w:r>
      <w:r w:rsidR="004D3DA8" w:rsidRPr="005A04A2">
        <w:rPr>
          <w:noProof/>
        </w:rPr>
        <w:t xml:space="preserve">For the </w:t>
      </w:r>
      <w:r w:rsidRPr="005A04A2">
        <w:rPr>
          <w:noProof/>
        </w:rPr>
        <w:t xml:space="preserve">automated </w:t>
      </w:r>
      <w:r w:rsidR="004D3DA8" w:rsidRPr="005A04A2">
        <w:rPr>
          <w:noProof/>
        </w:rPr>
        <w:t>search</w:t>
      </w:r>
      <w:r w:rsidRPr="005A04A2">
        <w:rPr>
          <w:noProof/>
        </w:rPr>
        <w:t xml:space="preserve">ing </w:t>
      </w:r>
      <w:r w:rsidR="004D3DA8" w:rsidRPr="005A04A2">
        <w:rPr>
          <w:noProof/>
        </w:rPr>
        <w:t>of po</w:t>
      </w:r>
      <w:r w:rsidR="001D63F5" w:rsidRPr="005A04A2">
        <w:rPr>
          <w:noProof/>
        </w:rPr>
        <w:t>lice records referred to in A</w:t>
      </w:r>
      <w:r w:rsidR="004D3DA8" w:rsidRPr="005A04A2">
        <w:rPr>
          <w:noProof/>
        </w:rPr>
        <w:t>rticle 2</w:t>
      </w:r>
      <w:r w:rsidR="0039768A">
        <w:rPr>
          <w:noProof/>
        </w:rPr>
        <w:t>6</w:t>
      </w:r>
      <w:r w:rsidR="004B0DD0" w:rsidRPr="005A04A2">
        <w:rPr>
          <w:noProof/>
        </w:rPr>
        <w:t>,</w:t>
      </w:r>
      <w:r w:rsidRPr="005A04A2">
        <w:rPr>
          <w:noProof/>
        </w:rPr>
        <w:t xml:space="preserve"> Member States </w:t>
      </w:r>
      <w:r w:rsidR="006F137A">
        <w:rPr>
          <w:noProof/>
        </w:rPr>
        <w:t xml:space="preserve">and Europol </w:t>
      </w:r>
      <w:r w:rsidRPr="005A04A2">
        <w:rPr>
          <w:noProof/>
        </w:rPr>
        <w:t xml:space="preserve">shall use the European Police Records Index System (EPRIS). </w:t>
      </w:r>
    </w:p>
    <w:p w14:paraId="4FAC5DFD" w14:textId="11EF571D" w:rsidR="00427012" w:rsidRPr="009F56E6" w:rsidRDefault="00427012" w:rsidP="00427012">
      <w:pPr>
        <w:rPr>
          <w:noProof/>
        </w:rPr>
      </w:pPr>
      <w:r w:rsidRPr="009F56E6">
        <w:rPr>
          <w:noProof/>
        </w:rPr>
        <w:t>2. EPRIS shall be composed of:</w:t>
      </w:r>
    </w:p>
    <w:p w14:paraId="229E9465" w14:textId="258CA928" w:rsidR="00427012" w:rsidRPr="009F56E6" w:rsidRDefault="00C304BF" w:rsidP="00C304BF">
      <w:pPr>
        <w:pStyle w:val="Point0"/>
        <w:rPr>
          <w:noProof/>
        </w:rPr>
      </w:pPr>
      <w:r w:rsidRPr="00C304BF">
        <w:t>(a)</w:t>
      </w:r>
      <w:r w:rsidRPr="00C304BF">
        <w:tab/>
      </w:r>
      <w:r w:rsidR="00427012" w:rsidRPr="009F56E6">
        <w:rPr>
          <w:noProof/>
        </w:rPr>
        <w:t xml:space="preserve">a central infrastructure, including a search tool enabling the simultaneous querying of Member States’ databases; </w:t>
      </w:r>
    </w:p>
    <w:p w14:paraId="38AFA63B" w14:textId="0FA41A2B" w:rsidR="00427012" w:rsidRPr="009F56E6" w:rsidRDefault="00C304BF" w:rsidP="00C304BF">
      <w:pPr>
        <w:pStyle w:val="Point0"/>
        <w:rPr>
          <w:noProof/>
        </w:rPr>
      </w:pPr>
      <w:r w:rsidRPr="00C304BF">
        <w:t>(b)</w:t>
      </w:r>
      <w:r w:rsidRPr="00C304BF">
        <w:tab/>
      </w:r>
      <w:r w:rsidR="00427012" w:rsidRPr="009F56E6">
        <w:rPr>
          <w:noProof/>
        </w:rPr>
        <w:t xml:space="preserve">a secure communication channel between the EPRIS central infrastructure, Member States and </w:t>
      </w:r>
      <w:r w:rsidR="006F137A">
        <w:rPr>
          <w:noProof/>
        </w:rPr>
        <w:t>Europol</w:t>
      </w:r>
      <w:r w:rsidR="00427012" w:rsidRPr="009F56E6">
        <w:rPr>
          <w:noProof/>
        </w:rPr>
        <w:t>.</w:t>
      </w:r>
    </w:p>
    <w:p w14:paraId="34DBF567" w14:textId="33A2DD58" w:rsidR="006B4D83" w:rsidRPr="009F56E6" w:rsidRDefault="006B4D83" w:rsidP="006B4D83">
      <w:pPr>
        <w:pStyle w:val="Titrearticle"/>
        <w:rPr>
          <w:noProof/>
          <w:lang w:val="en-IE"/>
        </w:rPr>
      </w:pPr>
      <w:r w:rsidRPr="009F56E6">
        <w:rPr>
          <w:noProof/>
          <w:lang w:val="en-IE"/>
        </w:rPr>
        <w:t xml:space="preserve">Article </w:t>
      </w:r>
      <w:r w:rsidR="00767F5F" w:rsidRPr="009F56E6">
        <w:rPr>
          <w:noProof/>
          <w:lang w:val="en-IE"/>
        </w:rPr>
        <w:t>4</w:t>
      </w:r>
      <w:r w:rsidR="00E15E51">
        <w:rPr>
          <w:noProof/>
          <w:lang w:val="en-IE"/>
        </w:rPr>
        <w:t>3</w:t>
      </w:r>
    </w:p>
    <w:p w14:paraId="2EBEE5DB" w14:textId="75625186" w:rsidR="00DA1B1A" w:rsidRPr="009F56E6" w:rsidRDefault="006B4D83" w:rsidP="006B4D83">
      <w:pPr>
        <w:jc w:val="center"/>
        <w:rPr>
          <w:b/>
          <w:noProof/>
          <w:lang w:val="en-IE"/>
        </w:rPr>
      </w:pPr>
      <w:r w:rsidRPr="009F56E6">
        <w:rPr>
          <w:b/>
          <w:noProof/>
          <w:lang w:val="en-IE"/>
        </w:rPr>
        <w:t>Use of EPRIS</w:t>
      </w:r>
    </w:p>
    <w:p w14:paraId="316FEE18" w14:textId="4497F23C" w:rsidR="00DA1B1A" w:rsidRPr="009F56E6" w:rsidRDefault="00221F2E" w:rsidP="00DA1B1A">
      <w:pPr>
        <w:rPr>
          <w:noProof/>
        </w:rPr>
      </w:pPr>
      <w:r w:rsidRPr="009F56E6">
        <w:rPr>
          <w:noProof/>
        </w:rPr>
        <w:t>1</w:t>
      </w:r>
      <w:r w:rsidR="00DA1B1A" w:rsidRPr="009F56E6">
        <w:rPr>
          <w:noProof/>
        </w:rPr>
        <w:t xml:space="preserve">. For the purposes of </w:t>
      </w:r>
      <w:r w:rsidR="00B512AD" w:rsidRPr="009F56E6">
        <w:rPr>
          <w:noProof/>
        </w:rPr>
        <w:t xml:space="preserve">searching </w:t>
      </w:r>
      <w:r w:rsidR="00DA1B1A" w:rsidRPr="009F56E6">
        <w:rPr>
          <w:noProof/>
        </w:rPr>
        <w:t>police records via EPRIS, the following sets of data shall be used:</w:t>
      </w:r>
    </w:p>
    <w:p w14:paraId="575E3E9F" w14:textId="2C929D2A" w:rsidR="00DA1B1A" w:rsidRPr="005A04A2" w:rsidRDefault="00C304BF" w:rsidP="00C304BF">
      <w:pPr>
        <w:pStyle w:val="Point0"/>
        <w:rPr>
          <w:noProof/>
        </w:rPr>
      </w:pPr>
      <w:r w:rsidRPr="00C304BF">
        <w:t>(a)</w:t>
      </w:r>
      <w:r w:rsidRPr="00C304BF">
        <w:tab/>
      </w:r>
      <w:r w:rsidR="006E5F8A">
        <w:rPr>
          <w:noProof/>
        </w:rPr>
        <w:t>f</w:t>
      </w:r>
      <w:r w:rsidR="00DA1B1A" w:rsidRPr="005A04A2">
        <w:rPr>
          <w:noProof/>
        </w:rPr>
        <w:t>irst name</w:t>
      </w:r>
      <w:r w:rsidR="001D63F5" w:rsidRPr="005A04A2">
        <w:rPr>
          <w:noProof/>
        </w:rPr>
        <w:t>(s)</w:t>
      </w:r>
      <w:r w:rsidR="00DA1B1A" w:rsidRPr="005A04A2">
        <w:rPr>
          <w:noProof/>
        </w:rPr>
        <w:t xml:space="preserve">; </w:t>
      </w:r>
    </w:p>
    <w:p w14:paraId="5B956254" w14:textId="42DCD2DF" w:rsidR="00DA1B1A" w:rsidRPr="005A04A2" w:rsidRDefault="00C304BF" w:rsidP="00C304BF">
      <w:pPr>
        <w:pStyle w:val="Point0"/>
        <w:rPr>
          <w:noProof/>
        </w:rPr>
      </w:pPr>
      <w:r w:rsidRPr="00C304BF">
        <w:t>(b)</w:t>
      </w:r>
      <w:r w:rsidRPr="00C304BF">
        <w:tab/>
      </w:r>
      <w:r w:rsidR="006E5F8A">
        <w:rPr>
          <w:noProof/>
        </w:rPr>
        <w:t>f</w:t>
      </w:r>
      <w:r w:rsidR="00596EF1" w:rsidRPr="005A04A2">
        <w:rPr>
          <w:noProof/>
        </w:rPr>
        <w:t>amily name(s)</w:t>
      </w:r>
      <w:r w:rsidR="006B4D83" w:rsidRPr="005A04A2">
        <w:rPr>
          <w:noProof/>
        </w:rPr>
        <w:t xml:space="preserve">; </w:t>
      </w:r>
    </w:p>
    <w:p w14:paraId="57AA6290" w14:textId="513394B5" w:rsidR="006B4D83" w:rsidRPr="005A04A2" w:rsidRDefault="00C304BF" w:rsidP="00C304BF">
      <w:pPr>
        <w:pStyle w:val="Point0"/>
        <w:rPr>
          <w:noProof/>
        </w:rPr>
      </w:pPr>
      <w:r w:rsidRPr="00C304BF">
        <w:t>(c)</w:t>
      </w:r>
      <w:r w:rsidRPr="00C304BF">
        <w:tab/>
      </w:r>
      <w:r w:rsidR="006E5F8A">
        <w:rPr>
          <w:noProof/>
        </w:rPr>
        <w:t>d</w:t>
      </w:r>
      <w:r w:rsidR="006B4D83" w:rsidRPr="005A04A2">
        <w:rPr>
          <w:noProof/>
        </w:rPr>
        <w:t>ate of birth.</w:t>
      </w:r>
    </w:p>
    <w:p w14:paraId="2196D09E" w14:textId="49DD069C" w:rsidR="00DA1B1A" w:rsidRPr="009F56E6" w:rsidRDefault="00221F2E" w:rsidP="00DA1B1A">
      <w:pPr>
        <w:rPr>
          <w:noProof/>
        </w:rPr>
      </w:pPr>
      <w:r w:rsidRPr="009F56E6">
        <w:rPr>
          <w:noProof/>
        </w:rPr>
        <w:t>2</w:t>
      </w:r>
      <w:r w:rsidR="00DA1B1A" w:rsidRPr="009F56E6">
        <w:rPr>
          <w:noProof/>
        </w:rPr>
        <w:t>. Where available, the following sets of data may also be used:</w:t>
      </w:r>
    </w:p>
    <w:p w14:paraId="4E4F4B0B" w14:textId="74E35B54" w:rsidR="001D63F5" w:rsidRPr="005A04A2" w:rsidRDefault="00C304BF" w:rsidP="00C304BF">
      <w:pPr>
        <w:pStyle w:val="Point0"/>
        <w:rPr>
          <w:noProof/>
        </w:rPr>
      </w:pPr>
      <w:r w:rsidRPr="00C304BF">
        <w:t>(a)</w:t>
      </w:r>
      <w:r w:rsidRPr="00C304BF">
        <w:tab/>
      </w:r>
      <w:r w:rsidR="006E5F8A">
        <w:rPr>
          <w:noProof/>
        </w:rPr>
        <w:t>a</w:t>
      </w:r>
      <w:r w:rsidR="001D63F5" w:rsidRPr="005A04A2">
        <w:rPr>
          <w:noProof/>
        </w:rPr>
        <w:t>lias(es);</w:t>
      </w:r>
    </w:p>
    <w:p w14:paraId="366F699B" w14:textId="1C7CA56F" w:rsidR="001D63F5" w:rsidRPr="005A04A2" w:rsidRDefault="00C304BF" w:rsidP="00C304BF">
      <w:pPr>
        <w:pStyle w:val="Point0"/>
        <w:rPr>
          <w:noProof/>
        </w:rPr>
      </w:pPr>
      <w:r w:rsidRPr="00C304BF">
        <w:t>(b)</w:t>
      </w:r>
      <w:r w:rsidRPr="00C304BF">
        <w:tab/>
      </w:r>
      <w:r w:rsidR="006E5F8A">
        <w:rPr>
          <w:noProof/>
        </w:rPr>
        <w:t>n</w:t>
      </w:r>
      <w:r w:rsidR="001D63F5" w:rsidRPr="005A04A2">
        <w:rPr>
          <w:noProof/>
        </w:rPr>
        <w:t>ationality or nationalities;</w:t>
      </w:r>
    </w:p>
    <w:p w14:paraId="5915DEF5" w14:textId="6335A80B" w:rsidR="001D63F5" w:rsidRPr="005A04A2" w:rsidRDefault="00C304BF" w:rsidP="00C304BF">
      <w:pPr>
        <w:pStyle w:val="Point0"/>
        <w:rPr>
          <w:noProof/>
        </w:rPr>
      </w:pPr>
      <w:r w:rsidRPr="00C304BF">
        <w:t>(c)</w:t>
      </w:r>
      <w:r w:rsidRPr="00C304BF">
        <w:tab/>
      </w:r>
      <w:r w:rsidR="006E5F8A">
        <w:rPr>
          <w:noProof/>
        </w:rPr>
        <w:t>p</w:t>
      </w:r>
      <w:r w:rsidR="001D63F5" w:rsidRPr="005A04A2">
        <w:rPr>
          <w:noProof/>
        </w:rPr>
        <w:t>lace and country of birth;</w:t>
      </w:r>
    </w:p>
    <w:p w14:paraId="27E6C803" w14:textId="1B569242" w:rsidR="00DA1B1A" w:rsidRPr="005A04A2" w:rsidRDefault="00C304BF" w:rsidP="00C304BF">
      <w:pPr>
        <w:pStyle w:val="Point0"/>
        <w:rPr>
          <w:noProof/>
        </w:rPr>
      </w:pPr>
      <w:r w:rsidRPr="00C304BF">
        <w:t>(d)</w:t>
      </w:r>
      <w:r w:rsidRPr="00C304BF">
        <w:tab/>
      </w:r>
      <w:r w:rsidR="006E5F8A">
        <w:rPr>
          <w:noProof/>
        </w:rPr>
        <w:t>g</w:t>
      </w:r>
      <w:r w:rsidR="00DA1B1A" w:rsidRPr="005A04A2">
        <w:rPr>
          <w:noProof/>
        </w:rPr>
        <w:t>ender</w:t>
      </w:r>
      <w:r w:rsidR="001D63F5" w:rsidRPr="005A04A2">
        <w:rPr>
          <w:noProof/>
        </w:rPr>
        <w:t>.</w:t>
      </w:r>
    </w:p>
    <w:p w14:paraId="16B735B7" w14:textId="1616002B" w:rsidR="00265982" w:rsidRPr="009F56E6" w:rsidRDefault="00B6026A" w:rsidP="00DA1B1A">
      <w:pPr>
        <w:rPr>
          <w:noProof/>
        </w:rPr>
      </w:pPr>
      <w:r w:rsidRPr="009F56E6">
        <w:rPr>
          <w:noProof/>
        </w:rPr>
        <w:t>3</w:t>
      </w:r>
      <w:r w:rsidR="00DA1B1A" w:rsidRPr="009F56E6">
        <w:rPr>
          <w:noProof/>
        </w:rPr>
        <w:t xml:space="preserve">. The </w:t>
      </w:r>
      <w:r w:rsidR="00633C5B" w:rsidRPr="009F56E6">
        <w:rPr>
          <w:noProof/>
        </w:rPr>
        <w:t xml:space="preserve">data referred to in points (a) and (b) of paragraph 1 and in points (a), </w:t>
      </w:r>
      <w:r w:rsidR="00C62386" w:rsidRPr="009F56E6">
        <w:rPr>
          <w:noProof/>
        </w:rPr>
        <w:t xml:space="preserve">(b) and </w:t>
      </w:r>
      <w:r w:rsidR="00633C5B" w:rsidRPr="009F56E6">
        <w:rPr>
          <w:noProof/>
        </w:rPr>
        <w:t>(c)</w:t>
      </w:r>
      <w:r w:rsidR="00C62386" w:rsidRPr="009F56E6">
        <w:rPr>
          <w:noProof/>
        </w:rPr>
        <w:t xml:space="preserve"> </w:t>
      </w:r>
      <w:r w:rsidR="00633C5B" w:rsidRPr="009F56E6">
        <w:rPr>
          <w:noProof/>
        </w:rPr>
        <w:t xml:space="preserve">of paragraph 2 </w:t>
      </w:r>
      <w:r w:rsidR="00DA1B1A" w:rsidRPr="009F56E6">
        <w:rPr>
          <w:noProof/>
        </w:rPr>
        <w:t xml:space="preserve">used for queries shall be </w:t>
      </w:r>
      <w:r w:rsidR="00DA1B1A" w:rsidRPr="0063506C">
        <w:rPr>
          <w:noProof/>
        </w:rPr>
        <w:t>pseudonymised</w:t>
      </w:r>
      <w:r w:rsidR="00DA1B1A" w:rsidRPr="009F56E6">
        <w:rPr>
          <w:noProof/>
        </w:rPr>
        <w:t>.</w:t>
      </w:r>
    </w:p>
    <w:p w14:paraId="58028E31" w14:textId="342B203F" w:rsidR="00BC1A6A" w:rsidRPr="009F56E6" w:rsidRDefault="00BC1A6A" w:rsidP="007B4046">
      <w:pPr>
        <w:jc w:val="center"/>
        <w:rPr>
          <w:i/>
          <w:noProof/>
        </w:rPr>
      </w:pPr>
      <w:r w:rsidRPr="009F56E6">
        <w:rPr>
          <w:i/>
          <w:noProof/>
        </w:rPr>
        <w:t xml:space="preserve">Article </w:t>
      </w:r>
      <w:r w:rsidR="00767F5F" w:rsidRPr="009F56E6">
        <w:rPr>
          <w:i/>
          <w:noProof/>
        </w:rPr>
        <w:t>4</w:t>
      </w:r>
      <w:r w:rsidR="00E15E51">
        <w:rPr>
          <w:i/>
          <w:noProof/>
        </w:rPr>
        <w:t>4</w:t>
      </w:r>
    </w:p>
    <w:p w14:paraId="76ABE096" w14:textId="3CB7EA2B" w:rsidR="00BC1A6A" w:rsidRPr="009F56E6" w:rsidRDefault="00BC1A6A" w:rsidP="007B4046">
      <w:pPr>
        <w:jc w:val="center"/>
        <w:rPr>
          <w:b/>
          <w:noProof/>
        </w:rPr>
      </w:pPr>
      <w:r w:rsidRPr="009F56E6">
        <w:rPr>
          <w:b/>
          <w:noProof/>
        </w:rPr>
        <w:t>Queries</w:t>
      </w:r>
    </w:p>
    <w:p w14:paraId="2AE35AEF" w14:textId="4C975959" w:rsidR="003C0D84" w:rsidRDefault="004056C7" w:rsidP="004056C7">
      <w:pPr>
        <w:rPr>
          <w:noProof/>
        </w:rPr>
      </w:pPr>
      <w:r w:rsidRPr="00A04F8B">
        <w:rPr>
          <w:noProof/>
        </w:rPr>
        <w:t xml:space="preserve">1. </w:t>
      </w:r>
      <w:r w:rsidR="006E5F8A" w:rsidRPr="0003774E">
        <w:rPr>
          <w:noProof/>
        </w:rPr>
        <w:t xml:space="preserve">Member States </w:t>
      </w:r>
      <w:r w:rsidR="0063506C" w:rsidRPr="00A04F8B">
        <w:rPr>
          <w:noProof/>
        </w:rPr>
        <w:t xml:space="preserve">and Europol </w:t>
      </w:r>
      <w:r w:rsidRPr="00A04F8B">
        <w:rPr>
          <w:noProof/>
        </w:rPr>
        <w:t>shall request a query by submitting the data</w:t>
      </w:r>
      <w:r w:rsidR="003C0D84">
        <w:rPr>
          <w:noProof/>
        </w:rPr>
        <w:t xml:space="preserve"> </w:t>
      </w:r>
      <w:r w:rsidRPr="00A04F8B">
        <w:rPr>
          <w:noProof/>
        </w:rPr>
        <w:t xml:space="preserve">referred to in Article </w:t>
      </w:r>
      <w:r w:rsidR="00D87034" w:rsidRPr="001E634C">
        <w:rPr>
          <w:noProof/>
        </w:rPr>
        <w:t>4</w:t>
      </w:r>
      <w:r w:rsidR="0039768A">
        <w:rPr>
          <w:noProof/>
        </w:rPr>
        <w:t>3</w:t>
      </w:r>
      <w:r w:rsidRPr="001E634C">
        <w:rPr>
          <w:noProof/>
        </w:rPr>
        <w:t>.</w:t>
      </w:r>
      <w:r w:rsidRPr="009F56E6" w:rsidDel="00CC3523">
        <w:rPr>
          <w:noProof/>
        </w:rPr>
        <w:t xml:space="preserve"> </w:t>
      </w:r>
    </w:p>
    <w:p w14:paraId="188AD4A1" w14:textId="1D7FF7D0" w:rsidR="004056C7" w:rsidRPr="009F56E6" w:rsidRDefault="008378CF" w:rsidP="004056C7">
      <w:pPr>
        <w:rPr>
          <w:noProof/>
        </w:rPr>
      </w:pPr>
      <w:r w:rsidRPr="009F56E6">
        <w:rPr>
          <w:noProof/>
        </w:rPr>
        <w:t>EPRIS</w:t>
      </w:r>
      <w:r w:rsidR="004056C7" w:rsidRPr="009F56E6">
        <w:rPr>
          <w:noProof/>
        </w:rPr>
        <w:t xml:space="preserve"> shall dispatch the request for a query to the Member States’ databases with the data submitted by the </w:t>
      </w:r>
      <w:r w:rsidR="006E5F8A">
        <w:rPr>
          <w:noProof/>
        </w:rPr>
        <w:t>requesting Member State</w:t>
      </w:r>
      <w:r w:rsidR="006E5F8A" w:rsidRPr="009F56E6">
        <w:rPr>
          <w:noProof/>
        </w:rPr>
        <w:t xml:space="preserve"> </w:t>
      </w:r>
      <w:r w:rsidR="004056C7" w:rsidRPr="009F56E6">
        <w:rPr>
          <w:noProof/>
        </w:rPr>
        <w:t xml:space="preserve">and in accordance with </w:t>
      </w:r>
      <w:r w:rsidR="00AD0E3D">
        <w:rPr>
          <w:noProof/>
        </w:rPr>
        <w:t>this Regulation</w:t>
      </w:r>
      <w:r w:rsidR="004056C7" w:rsidRPr="009F56E6">
        <w:rPr>
          <w:noProof/>
        </w:rPr>
        <w:t>.</w:t>
      </w:r>
    </w:p>
    <w:p w14:paraId="210BF557" w14:textId="5152B204" w:rsidR="004056C7" w:rsidRPr="009F56E6" w:rsidRDefault="004056C7" w:rsidP="004056C7">
      <w:pPr>
        <w:rPr>
          <w:noProof/>
        </w:rPr>
      </w:pPr>
      <w:r w:rsidRPr="009F56E6">
        <w:rPr>
          <w:noProof/>
        </w:rPr>
        <w:t xml:space="preserve">2. On receiving the request for a query from </w:t>
      </w:r>
      <w:r w:rsidR="008378CF" w:rsidRPr="009F56E6">
        <w:rPr>
          <w:noProof/>
        </w:rPr>
        <w:t>EPRIS</w:t>
      </w:r>
      <w:r w:rsidRPr="009F56E6">
        <w:rPr>
          <w:noProof/>
        </w:rPr>
        <w:t xml:space="preserve">, each requested Member State shall launch a query of their </w:t>
      </w:r>
      <w:r w:rsidR="006E5F8A">
        <w:rPr>
          <w:noProof/>
        </w:rPr>
        <w:t>national police records</w:t>
      </w:r>
      <w:r w:rsidR="006E5F8A" w:rsidRPr="009F56E6">
        <w:rPr>
          <w:noProof/>
        </w:rPr>
        <w:t xml:space="preserve"> </w:t>
      </w:r>
      <w:r w:rsidR="00FF4162" w:rsidRPr="009F56E6">
        <w:rPr>
          <w:noProof/>
        </w:rPr>
        <w:t xml:space="preserve">index </w:t>
      </w:r>
      <w:r w:rsidRPr="009F56E6">
        <w:rPr>
          <w:noProof/>
        </w:rPr>
        <w:t>in an automated manner and without delay.</w:t>
      </w:r>
    </w:p>
    <w:p w14:paraId="62CFBDB4" w14:textId="00111610" w:rsidR="004056C7" w:rsidRPr="009F56E6" w:rsidRDefault="004056C7" w:rsidP="004056C7">
      <w:pPr>
        <w:rPr>
          <w:noProof/>
        </w:rPr>
      </w:pPr>
      <w:r w:rsidRPr="009F56E6">
        <w:rPr>
          <w:noProof/>
        </w:rPr>
        <w:t>3. Any matches resulting from the query in each Member State</w:t>
      </w:r>
      <w:r w:rsidR="00D87034" w:rsidRPr="009F56E6">
        <w:rPr>
          <w:noProof/>
        </w:rPr>
        <w:t>’s</w:t>
      </w:r>
      <w:r w:rsidRPr="009F56E6">
        <w:rPr>
          <w:noProof/>
        </w:rPr>
        <w:t xml:space="preserve"> database shall be sent back in an automated manner to </w:t>
      </w:r>
      <w:r w:rsidR="008378CF" w:rsidRPr="009F56E6">
        <w:rPr>
          <w:noProof/>
        </w:rPr>
        <w:t>EPRIS</w:t>
      </w:r>
      <w:r w:rsidRPr="009F56E6">
        <w:rPr>
          <w:noProof/>
        </w:rPr>
        <w:t>.</w:t>
      </w:r>
    </w:p>
    <w:p w14:paraId="2E943DB6" w14:textId="02C44EC2" w:rsidR="00F94E93" w:rsidRPr="009F56E6" w:rsidRDefault="000C184B" w:rsidP="00F94E93">
      <w:pPr>
        <w:rPr>
          <w:noProof/>
        </w:rPr>
      </w:pPr>
      <w:r w:rsidRPr="009F56E6">
        <w:rPr>
          <w:noProof/>
        </w:rPr>
        <w:t>4</w:t>
      </w:r>
      <w:r w:rsidR="004056C7" w:rsidRPr="009F56E6">
        <w:rPr>
          <w:noProof/>
        </w:rPr>
        <w:t xml:space="preserve">. The list of matches </w:t>
      </w:r>
      <w:r w:rsidR="00DC3947">
        <w:rPr>
          <w:noProof/>
        </w:rPr>
        <w:t>shall be</w:t>
      </w:r>
      <w:r w:rsidR="00DC3947" w:rsidRPr="009F56E6">
        <w:rPr>
          <w:noProof/>
        </w:rPr>
        <w:t xml:space="preserve"> </w:t>
      </w:r>
      <w:r w:rsidR="004056C7" w:rsidRPr="009F56E6">
        <w:rPr>
          <w:noProof/>
        </w:rPr>
        <w:t xml:space="preserve">returned to the </w:t>
      </w:r>
      <w:r w:rsidR="006E5F8A">
        <w:rPr>
          <w:noProof/>
        </w:rPr>
        <w:t xml:space="preserve">requesting Member State </w:t>
      </w:r>
      <w:r w:rsidR="004056C7" w:rsidRPr="009F56E6">
        <w:rPr>
          <w:noProof/>
        </w:rPr>
        <w:t xml:space="preserve">by </w:t>
      </w:r>
      <w:r w:rsidR="00A95DF7" w:rsidRPr="009F56E6">
        <w:rPr>
          <w:noProof/>
        </w:rPr>
        <w:t>EPRIS</w:t>
      </w:r>
      <w:r w:rsidR="001123A8" w:rsidRPr="009F56E6">
        <w:rPr>
          <w:noProof/>
        </w:rPr>
        <w:t>.</w:t>
      </w:r>
      <w:r w:rsidR="00F94E93" w:rsidRPr="009F56E6">
        <w:rPr>
          <w:noProof/>
        </w:rPr>
        <w:t xml:space="preserve"> The list of matches shall indicate</w:t>
      </w:r>
      <w:r w:rsidR="00F94E93" w:rsidRPr="009F56E6" w:rsidDel="000C184B">
        <w:rPr>
          <w:noProof/>
        </w:rPr>
        <w:t xml:space="preserve"> </w:t>
      </w:r>
      <w:r w:rsidR="00F94E93" w:rsidRPr="009F56E6">
        <w:rPr>
          <w:noProof/>
        </w:rPr>
        <w:t xml:space="preserve">the </w:t>
      </w:r>
      <w:r w:rsidR="00F94E93" w:rsidRPr="0063506C">
        <w:rPr>
          <w:noProof/>
        </w:rPr>
        <w:t>quality</w:t>
      </w:r>
      <w:r w:rsidR="00F94E93" w:rsidRPr="009F56E6">
        <w:rPr>
          <w:noProof/>
        </w:rPr>
        <w:t xml:space="preserve"> of the match as well as the Member State whose database contains data that resulted in the match. </w:t>
      </w:r>
    </w:p>
    <w:p w14:paraId="56F7253B" w14:textId="149B0952" w:rsidR="00F94E93" w:rsidRPr="009F56E6" w:rsidRDefault="000C184B" w:rsidP="00F94E93">
      <w:pPr>
        <w:rPr>
          <w:noProof/>
        </w:rPr>
      </w:pPr>
      <w:r w:rsidRPr="009F56E6">
        <w:rPr>
          <w:noProof/>
        </w:rPr>
        <w:t>5</w:t>
      </w:r>
      <w:r w:rsidR="00F94E93" w:rsidRPr="009F56E6">
        <w:rPr>
          <w:noProof/>
        </w:rPr>
        <w:t xml:space="preserve">. </w:t>
      </w:r>
      <w:r w:rsidR="009B4738" w:rsidRPr="009F56E6">
        <w:rPr>
          <w:noProof/>
        </w:rPr>
        <w:t>Upon reception of the list of matches, the requesting Member State shall decide the matches for which a follow-up is necessary and send a reasoned follow-up request containing any additional relevant information to the requested Member State(s) via SIENA</w:t>
      </w:r>
      <w:r w:rsidR="00C10D98" w:rsidRPr="009F56E6">
        <w:rPr>
          <w:noProof/>
        </w:rPr>
        <w:t xml:space="preserve">. </w:t>
      </w:r>
    </w:p>
    <w:p w14:paraId="1BAC1412" w14:textId="77777777" w:rsidR="00DC3947" w:rsidRDefault="000C184B" w:rsidP="004056C7">
      <w:pPr>
        <w:rPr>
          <w:noProof/>
        </w:rPr>
      </w:pPr>
      <w:r w:rsidRPr="009F56E6">
        <w:rPr>
          <w:noProof/>
        </w:rPr>
        <w:t>6</w:t>
      </w:r>
      <w:r w:rsidR="00F94E93" w:rsidRPr="009F56E6">
        <w:rPr>
          <w:noProof/>
        </w:rPr>
        <w:t>. The requested Member State(s) shall process such requests without delay</w:t>
      </w:r>
      <w:r w:rsidR="00BB16CF" w:rsidRPr="009F56E6">
        <w:rPr>
          <w:noProof/>
        </w:rPr>
        <w:t xml:space="preserve"> </w:t>
      </w:r>
      <w:r w:rsidR="00B15838" w:rsidRPr="009F56E6">
        <w:rPr>
          <w:noProof/>
        </w:rPr>
        <w:t xml:space="preserve">to decide whether to share </w:t>
      </w:r>
      <w:r w:rsidR="00F94E93" w:rsidRPr="009F56E6">
        <w:rPr>
          <w:noProof/>
        </w:rPr>
        <w:t xml:space="preserve">the data stored in their database. </w:t>
      </w:r>
    </w:p>
    <w:p w14:paraId="769F4C55" w14:textId="6A6130AC" w:rsidR="004056C7" w:rsidRDefault="00F94E93" w:rsidP="004056C7">
      <w:pPr>
        <w:rPr>
          <w:noProof/>
        </w:rPr>
      </w:pPr>
      <w:r w:rsidRPr="009F56E6">
        <w:rPr>
          <w:noProof/>
        </w:rPr>
        <w:t>Upon confirmation, the requested Member State</w:t>
      </w:r>
      <w:r w:rsidR="00091188">
        <w:rPr>
          <w:noProof/>
        </w:rPr>
        <w:t>(s)</w:t>
      </w:r>
      <w:r w:rsidRPr="009F56E6">
        <w:rPr>
          <w:noProof/>
        </w:rPr>
        <w:t xml:space="preserve"> shall share the data referred to in Article </w:t>
      </w:r>
      <w:r w:rsidR="00D87034" w:rsidRPr="009F56E6">
        <w:rPr>
          <w:noProof/>
        </w:rPr>
        <w:t>4</w:t>
      </w:r>
      <w:r w:rsidR="0039768A">
        <w:rPr>
          <w:noProof/>
        </w:rPr>
        <w:t>3</w:t>
      </w:r>
      <w:r w:rsidRPr="009F56E6">
        <w:rPr>
          <w:noProof/>
        </w:rPr>
        <w:t xml:space="preserve"> where available. This exchange of information s</w:t>
      </w:r>
      <w:r w:rsidR="00BE3941" w:rsidRPr="009F56E6">
        <w:rPr>
          <w:noProof/>
        </w:rPr>
        <w:t>hall take place via SIENA.</w:t>
      </w:r>
    </w:p>
    <w:p w14:paraId="2D953617" w14:textId="27B442B9" w:rsidR="002A29CB" w:rsidRPr="009F56E6" w:rsidRDefault="002A29CB" w:rsidP="004056C7">
      <w:pPr>
        <w:rPr>
          <w:noProof/>
        </w:rPr>
      </w:pPr>
      <w:r>
        <w:rPr>
          <w:noProof/>
        </w:rPr>
        <w:t>7</w:t>
      </w:r>
      <w:r w:rsidRPr="009F56E6">
        <w:rPr>
          <w:noProof/>
        </w:rPr>
        <w:t xml:space="preserve">. The Commission shall adopt implementing acts to specify the technical procedure for </w:t>
      </w:r>
      <w:r>
        <w:rPr>
          <w:noProof/>
        </w:rPr>
        <w:t xml:space="preserve">EPRIS </w:t>
      </w:r>
      <w:r w:rsidRPr="009F56E6">
        <w:rPr>
          <w:noProof/>
        </w:rPr>
        <w:t>to query Member States’ databases</w:t>
      </w:r>
      <w:r>
        <w:rPr>
          <w:noProof/>
        </w:rPr>
        <w:t xml:space="preserve"> and</w:t>
      </w:r>
      <w:r w:rsidRPr="009F56E6">
        <w:rPr>
          <w:noProof/>
        </w:rPr>
        <w:t xml:space="preserve"> the format of the replies. These implementing acts shall be adopted in accordance with the procedure referred to in Article 7</w:t>
      </w:r>
      <w:r>
        <w:rPr>
          <w:noProof/>
        </w:rPr>
        <w:t>6</w:t>
      </w:r>
      <w:r w:rsidRPr="00E951DA">
        <w:rPr>
          <w:noProof/>
        </w:rPr>
        <w:t>(2)</w:t>
      </w:r>
      <w:r w:rsidRPr="009F56E6">
        <w:rPr>
          <w:noProof/>
        </w:rPr>
        <w:t>.</w:t>
      </w:r>
    </w:p>
    <w:p w14:paraId="3C4D62C5" w14:textId="7FEB5D5B" w:rsidR="004960F3" w:rsidRPr="009F56E6" w:rsidRDefault="004960F3" w:rsidP="004960F3">
      <w:pPr>
        <w:pStyle w:val="Titrearticle"/>
        <w:rPr>
          <w:noProof/>
        </w:rPr>
      </w:pPr>
      <w:r w:rsidRPr="009F56E6">
        <w:rPr>
          <w:noProof/>
        </w:rPr>
        <w:t xml:space="preserve">Article </w:t>
      </w:r>
      <w:r w:rsidR="00847EC8" w:rsidRPr="009F56E6">
        <w:rPr>
          <w:noProof/>
        </w:rPr>
        <w:t>4</w:t>
      </w:r>
      <w:r w:rsidR="00E15E51">
        <w:rPr>
          <w:noProof/>
        </w:rPr>
        <w:t>5</w:t>
      </w:r>
    </w:p>
    <w:p w14:paraId="7FD2E1B9" w14:textId="07423006" w:rsidR="004960F3" w:rsidRPr="009F56E6" w:rsidRDefault="003A27CF" w:rsidP="004960F3">
      <w:pPr>
        <w:jc w:val="center"/>
        <w:rPr>
          <w:b/>
          <w:noProof/>
        </w:rPr>
      </w:pPr>
      <w:r w:rsidRPr="009F56E6">
        <w:rPr>
          <w:b/>
          <w:noProof/>
        </w:rPr>
        <w:t>Keeping of logs</w:t>
      </w:r>
    </w:p>
    <w:p w14:paraId="44B455FE" w14:textId="3F92CC6F" w:rsidR="00577958" w:rsidRPr="005A04A2" w:rsidRDefault="00577958" w:rsidP="00577958">
      <w:pPr>
        <w:rPr>
          <w:noProof/>
        </w:rPr>
      </w:pPr>
      <w:r w:rsidRPr="005A04A2">
        <w:rPr>
          <w:noProof/>
        </w:rPr>
        <w:t xml:space="preserve">1. Europol shall keep logs of all data processing operations in EPRIS. Those logs shall include the following: </w:t>
      </w:r>
    </w:p>
    <w:p w14:paraId="016832F8" w14:textId="6D316758" w:rsidR="00BC1A6A" w:rsidRPr="005A04A2" w:rsidRDefault="00C304BF" w:rsidP="00C304BF">
      <w:pPr>
        <w:pStyle w:val="Point0"/>
        <w:rPr>
          <w:noProof/>
        </w:rPr>
      </w:pPr>
      <w:r w:rsidRPr="00C304BF">
        <w:t>(a)</w:t>
      </w:r>
      <w:r w:rsidRPr="00C304BF">
        <w:tab/>
      </w:r>
      <w:r w:rsidR="00BC1A6A" w:rsidRPr="005A04A2">
        <w:rPr>
          <w:noProof/>
        </w:rPr>
        <w:t xml:space="preserve">the Member State or Union agency launching the request for a query; </w:t>
      </w:r>
    </w:p>
    <w:p w14:paraId="15780E51" w14:textId="50C33E14" w:rsidR="00BC1A6A" w:rsidRPr="005A04A2" w:rsidRDefault="00C304BF" w:rsidP="00C304BF">
      <w:pPr>
        <w:pStyle w:val="Point0"/>
        <w:rPr>
          <w:noProof/>
        </w:rPr>
      </w:pPr>
      <w:r w:rsidRPr="00C304BF">
        <w:t>(b)</w:t>
      </w:r>
      <w:r w:rsidRPr="00C304BF">
        <w:tab/>
      </w:r>
      <w:r w:rsidR="00BC1A6A" w:rsidRPr="005A04A2">
        <w:rPr>
          <w:noProof/>
        </w:rPr>
        <w:t>the date and time of the request;</w:t>
      </w:r>
    </w:p>
    <w:p w14:paraId="39C9F213" w14:textId="5194B3D1" w:rsidR="00BC1A6A" w:rsidRPr="005A04A2" w:rsidRDefault="00C304BF" w:rsidP="00C304BF">
      <w:pPr>
        <w:pStyle w:val="Point0"/>
        <w:rPr>
          <w:noProof/>
        </w:rPr>
      </w:pPr>
      <w:r w:rsidRPr="00C304BF">
        <w:t>(c)</w:t>
      </w:r>
      <w:r w:rsidRPr="00C304BF">
        <w:tab/>
      </w:r>
      <w:r w:rsidR="00BC1A6A" w:rsidRPr="005A04A2">
        <w:rPr>
          <w:noProof/>
        </w:rPr>
        <w:t>the date and time of the answer;</w:t>
      </w:r>
    </w:p>
    <w:p w14:paraId="13588E2C" w14:textId="508320F8" w:rsidR="00BC1A6A" w:rsidRPr="005A04A2" w:rsidRDefault="00C304BF" w:rsidP="00C304BF">
      <w:pPr>
        <w:pStyle w:val="Point0"/>
        <w:rPr>
          <w:noProof/>
        </w:rPr>
      </w:pPr>
      <w:r w:rsidRPr="00C304BF">
        <w:t>(d)</w:t>
      </w:r>
      <w:r w:rsidRPr="00C304BF">
        <w:tab/>
      </w:r>
      <w:r w:rsidR="00BC1A6A" w:rsidRPr="005A04A2">
        <w:rPr>
          <w:noProof/>
        </w:rPr>
        <w:t>the national databases to which a request for a query was sent;</w:t>
      </w:r>
    </w:p>
    <w:p w14:paraId="4752DFE3" w14:textId="7107BA4D" w:rsidR="00BC1A6A" w:rsidRPr="005A04A2" w:rsidRDefault="00C304BF" w:rsidP="00C304BF">
      <w:pPr>
        <w:pStyle w:val="Point0"/>
        <w:rPr>
          <w:noProof/>
        </w:rPr>
      </w:pPr>
      <w:r w:rsidRPr="00C304BF">
        <w:t>(e)</w:t>
      </w:r>
      <w:r w:rsidRPr="00C304BF">
        <w:tab/>
      </w:r>
      <w:r w:rsidR="00BC1A6A" w:rsidRPr="005A04A2">
        <w:rPr>
          <w:noProof/>
        </w:rPr>
        <w:t>the national databases that provided an answer.</w:t>
      </w:r>
    </w:p>
    <w:p w14:paraId="6BAFC8E0" w14:textId="0E8239A7" w:rsidR="00577958" w:rsidRPr="005A04A2" w:rsidRDefault="00577958" w:rsidP="00D05538">
      <w:pPr>
        <w:rPr>
          <w:noProof/>
        </w:rPr>
      </w:pPr>
      <w:r w:rsidRPr="005A04A2">
        <w:rPr>
          <w:noProof/>
        </w:rPr>
        <w:t xml:space="preserve">2. Each Member State shall keep logs of </w:t>
      </w:r>
      <w:r w:rsidR="00440724" w:rsidRPr="005A04A2">
        <w:rPr>
          <w:noProof/>
        </w:rPr>
        <w:t>the requests for</w:t>
      </w:r>
      <w:r w:rsidRPr="005A04A2">
        <w:rPr>
          <w:noProof/>
        </w:rPr>
        <w:t xml:space="preserve"> queries that its </w:t>
      </w:r>
      <w:r w:rsidR="00091188">
        <w:rPr>
          <w:noProof/>
        </w:rPr>
        <w:t xml:space="preserve">competent </w:t>
      </w:r>
      <w:r w:rsidRPr="005A04A2">
        <w:rPr>
          <w:noProof/>
        </w:rPr>
        <w:t xml:space="preserve">authorities and the staff of those authorities duly authorised to use EPRIS make. Europol shall keep logs of </w:t>
      </w:r>
      <w:r w:rsidR="00440724" w:rsidRPr="005A04A2">
        <w:rPr>
          <w:noProof/>
        </w:rPr>
        <w:t xml:space="preserve">requests for </w:t>
      </w:r>
      <w:r w:rsidRPr="005A04A2">
        <w:rPr>
          <w:noProof/>
        </w:rPr>
        <w:t>queries that its duly authorised staff make.</w:t>
      </w:r>
    </w:p>
    <w:p w14:paraId="084AD730" w14:textId="2223BFB1" w:rsidR="00091188" w:rsidRDefault="00577958" w:rsidP="00D05538">
      <w:pPr>
        <w:rPr>
          <w:noProof/>
        </w:rPr>
      </w:pPr>
      <w:r w:rsidRPr="009F56E6">
        <w:rPr>
          <w:noProof/>
        </w:rPr>
        <w:t xml:space="preserve">3. The logs referred to in paragraphs 1 and 2 may be used only for data protection monitoring, including checking the admissibility of a query and the </w:t>
      </w:r>
      <w:r w:rsidR="00094CEE" w:rsidRPr="009F56E6">
        <w:rPr>
          <w:noProof/>
        </w:rPr>
        <w:t>lawfulness of data processing</w:t>
      </w:r>
      <w:r w:rsidRPr="009F56E6">
        <w:rPr>
          <w:noProof/>
        </w:rPr>
        <w:t xml:space="preserve">, and for ensuring data security and integrity. </w:t>
      </w:r>
    </w:p>
    <w:p w14:paraId="7EEC1E9A" w14:textId="7FF11912" w:rsidR="00091188" w:rsidRDefault="00577958" w:rsidP="00D05538">
      <w:pPr>
        <w:rPr>
          <w:noProof/>
        </w:rPr>
      </w:pPr>
      <w:r w:rsidRPr="009F56E6">
        <w:rPr>
          <w:noProof/>
        </w:rPr>
        <w:t xml:space="preserve">Those logs shall be protected by appropriate measures against unauthorised access and erased one year after their creation. </w:t>
      </w:r>
    </w:p>
    <w:p w14:paraId="51BA3049" w14:textId="5EE53786" w:rsidR="00577958" w:rsidRDefault="00577958" w:rsidP="00D05538">
      <w:pPr>
        <w:rPr>
          <w:noProof/>
        </w:rPr>
      </w:pPr>
      <w:r w:rsidRPr="009F56E6">
        <w:rPr>
          <w:noProof/>
        </w:rPr>
        <w:t>If, however, they are required for monitoring procedures that have already begun, they shall be erased once the monitoring procedures no longer require the logs.</w:t>
      </w:r>
    </w:p>
    <w:p w14:paraId="69620972" w14:textId="7F766BFB" w:rsidR="00676141" w:rsidRPr="00676141" w:rsidRDefault="00676141" w:rsidP="00E7465F">
      <w:pPr>
        <w:rPr>
          <w:noProof/>
        </w:rPr>
      </w:pPr>
      <w:r>
        <w:rPr>
          <w:noProof/>
        </w:rPr>
        <w:t>4</w:t>
      </w:r>
      <w:r w:rsidRPr="009F56E6">
        <w:rPr>
          <w:noProof/>
        </w:rPr>
        <w:t>. For the purposes of data protection monitoring, including checking the admissibility of a query and the lawfulness of data processing, the data controllers shall have access to the logs for self-monitoring as referred to in Article 5</w:t>
      </w:r>
      <w:r w:rsidR="0039768A">
        <w:rPr>
          <w:noProof/>
        </w:rPr>
        <w:t>6</w:t>
      </w:r>
      <w:r w:rsidRPr="009F56E6">
        <w:rPr>
          <w:noProof/>
        </w:rPr>
        <w:t>.</w:t>
      </w:r>
    </w:p>
    <w:p w14:paraId="0D21976C" w14:textId="7D197C4F" w:rsidR="0045165F" w:rsidRPr="009F56E6" w:rsidRDefault="0045165F" w:rsidP="0045165F">
      <w:pPr>
        <w:pStyle w:val="Titrearticle"/>
        <w:rPr>
          <w:noProof/>
        </w:rPr>
      </w:pPr>
      <w:r w:rsidRPr="009F56E6">
        <w:rPr>
          <w:noProof/>
        </w:rPr>
        <w:t xml:space="preserve">Article </w:t>
      </w:r>
      <w:r w:rsidR="00847EC8" w:rsidRPr="009F56E6">
        <w:rPr>
          <w:noProof/>
        </w:rPr>
        <w:t>4</w:t>
      </w:r>
      <w:r w:rsidR="00E15E51">
        <w:rPr>
          <w:noProof/>
        </w:rPr>
        <w:t>6</w:t>
      </w:r>
    </w:p>
    <w:p w14:paraId="5CBACDD1" w14:textId="673BF806" w:rsidR="0045165F" w:rsidRPr="009F56E6" w:rsidRDefault="0045165F" w:rsidP="0045165F">
      <w:pPr>
        <w:jc w:val="center"/>
        <w:rPr>
          <w:b/>
          <w:noProof/>
        </w:rPr>
      </w:pPr>
      <w:r w:rsidRPr="009F56E6">
        <w:rPr>
          <w:b/>
          <w:bCs/>
          <w:noProof/>
        </w:rPr>
        <w:t>Notification procedures in case of technical impossibility to use EPRIS</w:t>
      </w:r>
    </w:p>
    <w:p w14:paraId="42D3DE5C" w14:textId="55C2D3EA" w:rsidR="0045165F" w:rsidRPr="009F56E6" w:rsidRDefault="0045165F" w:rsidP="0045165F">
      <w:pPr>
        <w:rPr>
          <w:noProof/>
        </w:rPr>
      </w:pPr>
      <w:r w:rsidRPr="009F56E6">
        <w:rPr>
          <w:noProof/>
        </w:rPr>
        <w:t xml:space="preserve">1. Where it is technically impossible to use EPRIS to query one or several national databases because of a failure of the infrastructure of Europol, </w:t>
      </w:r>
      <w:r w:rsidR="00091188">
        <w:rPr>
          <w:noProof/>
        </w:rPr>
        <w:t>Member States</w:t>
      </w:r>
      <w:r w:rsidRPr="009F56E6">
        <w:rPr>
          <w:noProof/>
        </w:rPr>
        <w:t xml:space="preserve"> shall be notified in an automated manner by Europol.</w:t>
      </w:r>
      <w:r w:rsidR="00D54AA9" w:rsidRPr="009F56E6">
        <w:rPr>
          <w:noProof/>
        </w:rPr>
        <w:t xml:space="preserve"> Europol shall take measures to address the technical impossibility to use EPRIS without delay.</w:t>
      </w:r>
    </w:p>
    <w:p w14:paraId="2908CC96" w14:textId="33E23CF7" w:rsidR="0045165F" w:rsidRPr="00FC1288" w:rsidRDefault="0045165F" w:rsidP="004960F3">
      <w:pPr>
        <w:rPr>
          <w:noProof/>
        </w:rPr>
      </w:pPr>
      <w:r w:rsidRPr="009F56E6">
        <w:rPr>
          <w:noProof/>
        </w:rPr>
        <w:t xml:space="preserve">2. Where it is technically impossible to use </w:t>
      </w:r>
      <w:r w:rsidR="00D54AA9" w:rsidRPr="009F56E6">
        <w:rPr>
          <w:noProof/>
        </w:rPr>
        <w:t>EPRIS</w:t>
      </w:r>
      <w:r w:rsidRPr="009F56E6">
        <w:rPr>
          <w:noProof/>
        </w:rPr>
        <w:t xml:space="preserve"> to query one or several national databases because of a failure of the national infrastructure in a Member State, that Member State shall notify Europol and the Commission in an automated manner.</w:t>
      </w:r>
      <w:r w:rsidR="00D54AA9" w:rsidRPr="009F56E6">
        <w:rPr>
          <w:noProof/>
        </w:rPr>
        <w:t xml:space="preserve"> Member States shall take measures to address the technical impossibility to use EPRIS without delay.</w:t>
      </w:r>
    </w:p>
    <w:p w14:paraId="0E8E6F06" w14:textId="460ACBBC" w:rsidR="00932430" w:rsidRPr="009F56E6" w:rsidRDefault="00932430" w:rsidP="00932430">
      <w:pPr>
        <w:pStyle w:val="Titrearticle"/>
        <w:rPr>
          <w:i w:val="0"/>
          <w:noProof/>
        </w:rPr>
      </w:pPr>
      <w:r w:rsidRPr="009F56E6">
        <w:rPr>
          <w:i w:val="0"/>
          <w:noProof/>
        </w:rPr>
        <w:t>CHAPTER 4</w:t>
      </w:r>
    </w:p>
    <w:p w14:paraId="4CBEB52F" w14:textId="1AC1481D" w:rsidR="003540D8" w:rsidRPr="00823BA3" w:rsidRDefault="00D362B9" w:rsidP="003540D8">
      <w:pPr>
        <w:jc w:val="center"/>
        <w:rPr>
          <w:b/>
          <w:noProof/>
        </w:rPr>
      </w:pPr>
      <w:r w:rsidRPr="00A04F8B">
        <w:rPr>
          <w:b/>
          <w:noProof/>
        </w:rPr>
        <w:t>EXCHANGE OF DATA FOLLOWING A MATCH</w:t>
      </w:r>
    </w:p>
    <w:p w14:paraId="1C3EEA3B" w14:textId="2E48A388" w:rsidR="002A3D74" w:rsidRPr="0003774E" w:rsidRDefault="002A3D74" w:rsidP="002A3D74">
      <w:pPr>
        <w:pStyle w:val="Titrearticle"/>
        <w:rPr>
          <w:noProof/>
        </w:rPr>
      </w:pPr>
      <w:r w:rsidRPr="0003774E">
        <w:rPr>
          <w:noProof/>
        </w:rPr>
        <w:t>Article 4</w:t>
      </w:r>
      <w:r w:rsidR="00E15E51">
        <w:rPr>
          <w:noProof/>
        </w:rPr>
        <w:t>7</w:t>
      </w:r>
    </w:p>
    <w:p w14:paraId="05DE4738" w14:textId="77777777" w:rsidR="002A3D74" w:rsidRPr="0003774E" w:rsidRDefault="002A3D74" w:rsidP="002A3D74">
      <w:pPr>
        <w:jc w:val="center"/>
        <w:rPr>
          <w:b/>
          <w:noProof/>
        </w:rPr>
      </w:pPr>
      <w:r w:rsidRPr="0003774E">
        <w:rPr>
          <w:b/>
          <w:noProof/>
        </w:rPr>
        <w:t>Exchange of core data</w:t>
      </w:r>
    </w:p>
    <w:p w14:paraId="7CC545A7" w14:textId="1952757F" w:rsidR="00D846A2" w:rsidRPr="005A04A2" w:rsidRDefault="000E634C" w:rsidP="004960F3">
      <w:pPr>
        <w:rPr>
          <w:noProof/>
        </w:rPr>
      </w:pPr>
      <w:r>
        <w:rPr>
          <w:noProof/>
        </w:rPr>
        <w:t>Where</w:t>
      </w:r>
      <w:r w:rsidR="003540D8" w:rsidRPr="005A04A2">
        <w:rPr>
          <w:noProof/>
        </w:rPr>
        <w:t xml:space="preserve"> </w:t>
      </w:r>
      <w:r w:rsidR="00E313C1" w:rsidRPr="005A04A2">
        <w:rPr>
          <w:noProof/>
        </w:rPr>
        <w:t>the procedures referred to in Article</w:t>
      </w:r>
      <w:r w:rsidR="0018719A" w:rsidRPr="005A04A2">
        <w:rPr>
          <w:noProof/>
        </w:rPr>
        <w:t xml:space="preserve">s </w:t>
      </w:r>
      <w:r w:rsidR="001F05D4">
        <w:rPr>
          <w:noProof/>
        </w:rPr>
        <w:t>6</w:t>
      </w:r>
      <w:r w:rsidR="0018719A" w:rsidRPr="005A04A2">
        <w:rPr>
          <w:noProof/>
        </w:rPr>
        <w:t xml:space="preserve">, </w:t>
      </w:r>
      <w:r w:rsidR="001F05D4">
        <w:rPr>
          <w:noProof/>
        </w:rPr>
        <w:t>7</w:t>
      </w:r>
      <w:r w:rsidR="0018719A" w:rsidRPr="005A04A2">
        <w:rPr>
          <w:noProof/>
        </w:rPr>
        <w:t>, 1</w:t>
      </w:r>
      <w:r w:rsidR="0024241D" w:rsidRPr="005A04A2">
        <w:rPr>
          <w:noProof/>
        </w:rPr>
        <w:t>3</w:t>
      </w:r>
      <w:r w:rsidR="009E3440" w:rsidRPr="005A04A2">
        <w:rPr>
          <w:noProof/>
        </w:rPr>
        <w:t xml:space="preserve"> or</w:t>
      </w:r>
      <w:r w:rsidR="005C40EC" w:rsidRPr="005A04A2">
        <w:rPr>
          <w:noProof/>
        </w:rPr>
        <w:t xml:space="preserve"> 2</w:t>
      </w:r>
      <w:r w:rsidR="0039768A">
        <w:rPr>
          <w:noProof/>
        </w:rPr>
        <w:t>2</w:t>
      </w:r>
      <w:r w:rsidR="00E313C1" w:rsidRPr="005A04A2">
        <w:rPr>
          <w:noProof/>
        </w:rPr>
        <w:t xml:space="preserve"> show a match between </w:t>
      </w:r>
      <w:r w:rsidR="005C40EC" w:rsidRPr="005A04A2">
        <w:rPr>
          <w:noProof/>
        </w:rPr>
        <w:t xml:space="preserve">the data used for the search or comparison and data held in the database of the </w:t>
      </w:r>
      <w:r w:rsidR="005C40EC" w:rsidRPr="00A04F8B">
        <w:rPr>
          <w:noProof/>
        </w:rPr>
        <w:t>requested Member State(s)</w:t>
      </w:r>
      <w:r w:rsidR="00E313C1" w:rsidRPr="00823BA3">
        <w:rPr>
          <w:noProof/>
        </w:rPr>
        <w:t xml:space="preserve">, </w:t>
      </w:r>
      <w:r w:rsidR="00C10D98" w:rsidRPr="00823BA3">
        <w:rPr>
          <w:noProof/>
        </w:rPr>
        <w:t>and</w:t>
      </w:r>
      <w:r w:rsidR="00E313C1" w:rsidRPr="00823BA3">
        <w:rPr>
          <w:noProof/>
        </w:rPr>
        <w:t xml:space="preserve"> upon confirmation of this match by the requesting Member State</w:t>
      </w:r>
      <w:r w:rsidR="00C10D98" w:rsidRPr="00823BA3">
        <w:rPr>
          <w:noProof/>
        </w:rPr>
        <w:t xml:space="preserve">, </w:t>
      </w:r>
      <w:r w:rsidR="002A3D74" w:rsidRPr="0003774E">
        <w:rPr>
          <w:noProof/>
        </w:rPr>
        <w:t>the requested Member State shall return a</w:t>
      </w:r>
      <w:r w:rsidR="00B15838" w:rsidRPr="00A04F8B">
        <w:rPr>
          <w:noProof/>
        </w:rPr>
        <w:t xml:space="preserve"> </w:t>
      </w:r>
      <w:r w:rsidR="00E313C1" w:rsidRPr="00823BA3">
        <w:rPr>
          <w:noProof/>
        </w:rPr>
        <w:t xml:space="preserve">set of core data </w:t>
      </w:r>
      <w:r w:rsidR="001D63F5" w:rsidRPr="00823BA3">
        <w:rPr>
          <w:noProof/>
        </w:rPr>
        <w:t>via</w:t>
      </w:r>
      <w:r w:rsidR="00B12EF4" w:rsidRPr="00823BA3">
        <w:rPr>
          <w:noProof/>
        </w:rPr>
        <w:t xml:space="preserve"> the router</w:t>
      </w:r>
      <w:r w:rsidR="0051577C" w:rsidRPr="00823BA3">
        <w:rPr>
          <w:noProof/>
        </w:rPr>
        <w:t xml:space="preserve"> within 24 hours</w:t>
      </w:r>
      <w:r w:rsidR="005B428F" w:rsidRPr="00823BA3">
        <w:rPr>
          <w:noProof/>
        </w:rPr>
        <w:t>.</w:t>
      </w:r>
      <w:r w:rsidR="004960F3" w:rsidRPr="00823BA3">
        <w:rPr>
          <w:noProof/>
        </w:rPr>
        <w:t xml:space="preserve"> </w:t>
      </w:r>
      <w:r w:rsidR="00D846A2" w:rsidRPr="00823BA3">
        <w:rPr>
          <w:noProof/>
        </w:rPr>
        <w:t>Th</w:t>
      </w:r>
      <w:r w:rsidR="00A242FA" w:rsidRPr="00823BA3">
        <w:rPr>
          <w:noProof/>
        </w:rPr>
        <w:t>at</w:t>
      </w:r>
      <w:r w:rsidR="00D846A2" w:rsidRPr="00823BA3">
        <w:rPr>
          <w:noProof/>
        </w:rPr>
        <w:t xml:space="preserve"> set of core data, if available, shall contain the following </w:t>
      </w:r>
      <w:r w:rsidR="00A242FA" w:rsidRPr="00823BA3">
        <w:rPr>
          <w:noProof/>
        </w:rPr>
        <w:t>data</w:t>
      </w:r>
      <w:r w:rsidR="00D846A2" w:rsidRPr="00823BA3">
        <w:rPr>
          <w:noProof/>
        </w:rPr>
        <w:t>:</w:t>
      </w:r>
    </w:p>
    <w:p w14:paraId="54218359" w14:textId="7DCE5E61" w:rsidR="00D846A2" w:rsidRPr="005A04A2" w:rsidRDefault="00C304BF" w:rsidP="00C304BF">
      <w:pPr>
        <w:pStyle w:val="Point1"/>
        <w:rPr>
          <w:noProof/>
        </w:rPr>
      </w:pPr>
      <w:r w:rsidRPr="00C304BF">
        <w:t>(a)</w:t>
      </w:r>
      <w:r w:rsidRPr="00C304BF">
        <w:tab/>
      </w:r>
      <w:r w:rsidR="00D846A2" w:rsidRPr="005A04A2">
        <w:rPr>
          <w:noProof/>
        </w:rPr>
        <w:t>first name</w:t>
      </w:r>
      <w:r w:rsidR="00AD7C29" w:rsidRPr="005A04A2">
        <w:rPr>
          <w:noProof/>
        </w:rPr>
        <w:t>(s)</w:t>
      </w:r>
      <w:r w:rsidR="009941C5" w:rsidRPr="005A04A2">
        <w:rPr>
          <w:noProof/>
        </w:rPr>
        <w:t>;</w:t>
      </w:r>
    </w:p>
    <w:p w14:paraId="58576196" w14:textId="0567E525" w:rsidR="00D846A2" w:rsidRPr="005A04A2" w:rsidRDefault="00C304BF" w:rsidP="00C304BF">
      <w:pPr>
        <w:pStyle w:val="Point1"/>
        <w:rPr>
          <w:noProof/>
        </w:rPr>
      </w:pPr>
      <w:r w:rsidRPr="00C304BF">
        <w:t>(b)</w:t>
      </w:r>
      <w:r w:rsidRPr="00C304BF">
        <w:tab/>
      </w:r>
      <w:r w:rsidR="008259D5" w:rsidRPr="005A04A2">
        <w:rPr>
          <w:noProof/>
        </w:rPr>
        <w:t>family name</w:t>
      </w:r>
      <w:r w:rsidR="00AD7C29" w:rsidRPr="005A04A2">
        <w:rPr>
          <w:noProof/>
        </w:rPr>
        <w:t>(s)</w:t>
      </w:r>
      <w:r w:rsidR="009941C5" w:rsidRPr="005A04A2">
        <w:rPr>
          <w:noProof/>
        </w:rPr>
        <w:t>;</w:t>
      </w:r>
    </w:p>
    <w:p w14:paraId="4708D887" w14:textId="1C15A501" w:rsidR="00D846A2" w:rsidRPr="005A04A2" w:rsidRDefault="00C304BF" w:rsidP="00C304BF">
      <w:pPr>
        <w:pStyle w:val="Point1"/>
        <w:rPr>
          <w:noProof/>
        </w:rPr>
      </w:pPr>
      <w:r w:rsidRPr="00C304BF">
        <w:t>(c)</w:t>
      </w:r>
      <w:r w:rsidRPr="00C304BF">
        <w:tab/>
      </w:r>
      <w:r w:rsidR="00D846A2" w:rsidRPr="005A04A2">
        <w:rPr>
          <w:noProof/>
        </w:rPr>
        <w:t>date of birth</w:t>
      </w:r>
      <w:r w:rsidR="009941C5" w:rsidRPr="005A04A2">
        <w:rPr>
          <w:noProof/>
        </w:rPr>
        <w:t>;</w:t>
      </w:r>
    </w:p>
    <w:p w14:paraId="2167976A" w14:textId="1E32C0A8" w:rsidR="00D846A2" w:rsidRPr="005A04A2" w:rsidRDefault="00C304BF" w:rsidP="00C304BF">
      <w:pPr>
        <w:pStyle w:val="Point1"/>
        <w:rPr>
          <w:noProof/>
        </w:rPr>
      </w:pPr>
      <w:r w:rsidRPr="00C304BF">
        <w:t>(d)</w:t>
      </w:r>
      <w:r w:rsidRPr="00C304BF">
        <w:tab/>
      </w:r>
      <w:r w:rsidR="00D846A2" w:rsidRPr="005A04A2">
        <w:rPr>
          <w:noProof/>
        </w:rPr>
        <w:t>nationality</w:t>
      </w:r>
      <w:r w:rsidR="001A36F9" w:rsidRPr="005A04A2">
        <w:rPr>
          <w:noProof/>
        </w:rPr>
        <w:t xml:space="preserve"> or nationalities</w:t>
      </w:r>
      <w:r w:rsidR="009941C5" w:rsidRPr="005A04A2">
        <w:rPr>
          <w:noProof/>
        </w:rPr>
        <w:t>;</w:t>
      </w:r>
    </w:p>
    <w:p w14:paraId="6018EBB3" w14:textId="78B3A0F5" w:rsidR="00D846A2" w:rsidRPr="005A04A2" w:rsidRDefault="00C304BF" w:rsidP="00C304BF">
      <w:pPr>
        <w:pStyle w:val="Point1"/>
        <w:rPr>
          <w:noProof/>
        </w:rPr>
      </w:pPr>
      <w:r w:rsidRPr="00C304BF">
        <w:t>(e)</w:t>
      </w:r>
      <w:r w:rsidRPr="00C304BF">
        <w:tab/>
      </w:r>
      <w:r w:rsidR="00D846A2" w:rsidRPr="005A04A2">
        <w:rPr>
          <w:noProof/>
        </w:rPr>
        <w:t xml:space="preserve">place </w:t>
      </w:r>
      <w:r w:rsidR="000C2BE4" w:rsidRPr="005A04A2">
        <w:rPr>
          <w:noProof/>
        </w:rPr>
        <w:t xml:space="preserve">and country </w:t>
      </w:r>
      <w:r w:rsidR="00D846A2" w:rsidRPr="005A04A2">
        <w:rPr>
          <w:noProof/>
        </w:rPr>
        <w:t>of birth</w:t>
      </w:r>
      <w:r w:rsidR="009941C5" w:rsidRPr="005A04A2">
        <w:rPr>
          <w:noProof/>
        </w:rPr>
        <w:t>;</w:t>
      </w:r>
    </w:p>
    <w:p w14:paraId="7AAB1F61" w14:textId="4A4CA06F" w:rsidR="00D846A2" w:rsidRPr="005A04A2" w:rsidRDefault="00C304BF" w:rsidP="00C304BF">
      <w:pPr>
        <w:pStyle w:val="Point1"/>
        <w:rPr>
          <w:noProof/>
        </w:rPr>
      </w:pPr>
      <w:r w:rsidRPr="00C304BF">
        <w:t>(f)</w:t>
      </w:r>
      <w:r w:rsidRPr="00C304BF">
        <w:tab/>
      </w:r>
      <w:r w:rsidR="009941C5" w:rsidRPr="005A04A2">
        <w:rPr>
          <w:noProof/>
        </w:rPr>
        <w:t>g</w:t>
      </w:r>
      <w:r w:rsidR="00D846A2" w:rsidRPr="005A04A2">
        <w:rPr>
          <w:noProof/>
        </w:rPr>
        <w:t>ender</w:t>
      </w:r>
      <w:r w:rsidR="009941C5" w:rsidRPr="005A04A2">
        <w:rPr>
          <w:noProof/>
        </w:rPr>
        <w:t>.</w:t>
      </w:r>
    </w:p>
    <w:p w14:paraId="02AC0DDA" w14:textId="0B7240F6" w:rsidR="00B910F7" w:rsidRPr="009F56E6" w:rsidRDefault="00B910F7" w:rsidP="00B910F7">
      <w:pPr>
        <w:pStyle w:val="Titrearticle"/>
        <w:rPr>
          <w:noProof/>
        </w:rPr>
      </w:pPr>
      <w:r w:rsidRPr="009F56E6">
        <w:rPr>
          <w:noProof/>
        </w:rPr>
        <w:t>Article 4</w:t>
      </w:r>
      <w:r w:rsidR="00E15E51">
        <w:rPr>
          <w:noProof/>
        </w:rPr>
        <w:t>8</w:t>
      </w:r>
    </w:p>
    <w:p w14:paraId="1D9C2516" w14:textId="2B7E0C26" w:rsidR="00B910F7" w:rsidRPr="009F56E6" w:rsidRDefault="005A3C8A" w:rsidP="00B910F7">
      <w:pPr>
        <w:jc w:val="center"/>
        <w:rPr>
          <w:b/>
          <w:noProof/>
        </w:rPr>
      </w:pPr>
      <w:r w:rsidRPr="009F56E6">
        <w:rPr>
          <w:b/>
          <w:noProof/>
        </w:rPr>
        <w:t>Use of SIENA</w:t>
      </w:r>
    </w:p>
    <w:p w14:paraId="6F2CCB1C" w14:textId="740BE051" w:rsidR="00BE3A16" w:rsidRPr="009F56E6" w:rsidRDefault="00027273" w:rsidP="00B910F7">
      <w:pPr>
        <w:rPr>
          <w:noProof/>
        </w:rPr>
      </w:pPr>
      <w:r w:rsidRPr="009F56E6">
        <w:rPr>
          <w:noProof/>
        </w:rPr>
        <w:t>A</w:t>
      </w:r>
      <w:r w:rsidR="00DB3A26" w:rsidRPr="009F56E6">
        <w:rPr>
          <w:noProof/>
        </w:rPr>
        <w:t xml:space="preserve">ny exchange </w:t>
      </w:r>
      <w:r w:rsidR="005A3C8A" w:rsidRPr="009F56E6">
        <w:rPr>
          <w:noProof/>
        </w:rPr>
        <w:t xml:space="preserve">which is not explicitly </w:t>
      </w:r>
      <w:r w:rsidR="00A242FA">
        <w:rPr>
          <w:noProof/>
        </w:rPr>
        <w:t>provided for</w:t>
      </w:r>
      <w:r w:rsidR="00A242FA" w:rsidRPr="009F56E6">
        <w:rPr>
          <w:noProof/>
        </w:rPr>
        <w:t xml:space="preserve"> </w:t>
      </w:r>
      <w:r w:rsidR="005A3C8A" w:rsidRPr="009F56E6">
        <w:rPr>
          <w:noProof/>
        </w:rPr>
        <w:t xml:space="preserve">in this Regulation </w:t>
      </w:r>
      <w:r w:rsidR="00DB3A26" w:rsidRPr="009F56E6">
        <w:rPr>
          <w:noProof/>
        </w:rPr>
        <w:t xml:space="preserve">between Member States’ </w:t>
      </w:r>
      <w:r w:rsidR="00A242FA">
        <w:rPr>
          <w:noProof/>
        </w:rPr>
        <w:t xml:space="preserve">competent </w:t>
      </w:r>
      <w:r w:rsidR="00DB3A26" w:rsidRPr="009F56E6">
        <w:rPr>
          <w:noProof/>
        </w:rPr>
        <w:t xml:space="preserve">authorities or </w:t>
      </w:r>
      <w:r w:rsidR="001C6048" w:rsidRPr="009F56E6">
        <w:rPr>
          <w:noProof/>
        </w:rPr>
        <w:t xml:space="preserve">with </w:t>
      </w:r>
      <w:r w:rsidR="00DB3A26" w:rsidRPr="009F56E6">
        <w:rPr>
          <w:noProof/>
        </w:rPr>
        <w:t>Europol</w:t>
      </w:r>
      <w:r w:rsidR="00A242FA">
        <w:rPr>
          <w:noProof/>
        </w:rPr>
        <w:t>,</w:t>
      </w:r>
      <w:r w:rsidR="00DB3A26" w:rsidRPr="009F56E6">
        <w:rPr>
          <w:noProof/>
        </w:rPr>
        <w:t xml:space="preserve"> at any stage of </w:t>
      </w:r>
      <w:r w:rsidRPr="009F56E6">
        <w:rPr>
          <w:noProof/>
        </w:rPr>
        <w:t>one of the</w:t>
      </w:r>
      <w:r w:rsidR="00DB3A26" w:rsidRPr="009F56E6">
        <w:rPr>
          <w:noProof/>
        </w:rPr>
        <w:t xml:space="preserve"> </w:t>
      </w:r>
      <w:r w:rsidR="00A242FA">
        <w:rPr>
          <w:noProof/>
        </w:rPr>
        <w:t>procedures</w:t>
      </w:r>
      <w:r w:rsidR="00772774" w:rsidRPr="009F56E6">
        <w:rPr>
          <w:noProof/>
        </w:rPr>
        <w:t xml:space="preserve"> </w:t>
      </w:r>
      <w:r w:rsidR="001C6048" w:rsidRPr="009F56E6">
        <w:rPr>
          <w:noProof/>
        </w:rPr>
        <w:t>under this Regulation</w:t>
      </w:r>
      <w:r w:rsidR="00A242FA">
        <w:rPr>
          <w:noProof/>
        </w:rPr>
        <w:t>,</w:t>
      </w:r>
      <w:r w:rsidR="001C6048" w:rsidRPr="009F56E6">
        <w:rPr>
          <w:noProof/>
        </w:rPr>
        <w:t xml:space="preserve"> </w:t>
      </w:r>
      <w:r w:rsidR="00772774" w:rsidRPr="009F56E6">
        <w:rPr>
          <w:noProof/>
        </w:rPr>
        <w:t>shall take place</w:t>
      </w:r>
      <w:r w:rsidR="00FE31BE" w:rsidRPr="009F56E6">
        <w:rPr>
          <w:noProof/>
        </w:rPr>
        <w:t xml:space="preserve"> via SIEN</w:t>
      </w:r>
      <w:r w:rsidR="00E33CB9" w:rsidRPr="009F56E6">
        <w:rPr>
          <w:noProof/>
        </w:rPr>
        <w:t>A.</w:t>
      </w:r>
    </w:p>
    <w:p w14:paraId="42FF62FA" w14:textId="06CD36B5" w:rsidR="009D3C30" w:rsidRPr="009F56E6" w:rsidRDefault="009D3C30" w:rsidP="009D3C30">
      <w:pPr>
        <w:pStyle w:val="Titrearticle"/>
        <w:rPr>
          <w:i w:val="0"/>
          <w:noProof/>
        </w:rPr>
      </w:pPr>
      <w:r w:rsidRPr="009F56E6">
        <w:rPr>
          <w:i w:val="0"/>
          <w:noProof/>
        </w:rPr>
        <w:t>CHAPTER 5</w:t>
      </w:r>
    </w:p>
    <w:p w14:paraId="0F614D80" w14:textId="0F19A494" w:rsidR="004960F3" w:rsidRPr="009F56E6" w:rsidRDefault="009D3C30" w:rsidP="00BC1311">
      <w:pPr>
        <w:jc w:val="center"/>
        <w:rPr>
          <w:b/>
          <w:noProof/>
        </w:rPr>
      </w:pPr>
      <w:r w:rsidRPr="009F56E6">
        <w:rPr>
          <w:b/>
          <w:noProof/>
        </w:rPr>
        <w:t>EUROPOL</w:t>
      </w:r>
    </w:p>
    <w:p w14:paraId="48E69536" w14:textId="06A9673C" w:rsidR="00B910F7" w:rsidRPr="009F56E6" w:rsidRDefault="00ED5C7A" w:rsidP="00B910F7">
      <w:pPr>
        <w:pStyle w:val="Titrearticle"/>
        <w:rPr>
          <w:noProof/>
        </w:rPr>
      </w:pPr>
      <w:r w:rsidRPr="009F56E6">
        <w:rPr>
          <w:noProof/>
        </w:rPr>
        <w:t>Article 4</w:t>
      </w:r>
      <w:r w:rsidR="00E15E51">
        <w:rPr>
          <w:noProof/>
        </w:rPr>
        <w:t>9</w:t>
      </w:r>
    </w:p>
    <w:p w14:paraId="50F71EBE" w14:textId="62D577E3" w:rsidR="00B910F7" w:rsidRPr="009F56E6" w:rsidRDefault="00086537" w:rsidP="00B910F7">
      <w:pPr>
        <w:jc w:val="center"/>
        <w:rPr>
          <w:b/>
          <w:noProof/>
        </w:rPr>
      </w:pPr>
      <w:r w:rsidRPr="009F56E6">
        <w:rPr>
          <w:b/>
          <w:noProof/>
        </w:rPr>
        <w:t xml:space="preserve">Access by Member States to </w:t>
      </w:r>
      <w:r w:rsidR="00F10DAD" w:rsidRPr="009F56E6">
        <w:rPr>
          <w:b/>
          <w:noProof/>
        </w:rPr>
        <w:t xml:space="preserve">third country-sourced </w:t>
      </w:r>
      <w:r w:rsidR="00220CBF" w:rsidRPr="009F56E6">
        <w:rPr>
          <w:b/>
          <w:noProof/>
        </w:rPr>
        <w:t xml:space="preserve">biometric data </w:t>
      </w:r>
      <w:r w:rsidRPr="009F56E6">
        <w:rPr>
          <w:b/>
          <w:noProof/>
        </w:rPr>
        <w:t>stored by Europol</w:t>
      </w:r>
    </w:p>
    <w:p w14:paraId="3D6F1293" w14:textId="2BEA1A2D" w:rsidR="00006D1D" w:rsidRPr="009F56E6" w:rsidRDefault="00086537" w:rsidP="003F6AF0">
      <w:pPr>
        <w:rPr>
          <w:noProof/>
        </w:rPr>
      </w:pPr>
      <w:r w:rsidRPr="005A04A2">
        <w:rPr>
          <w:noProof/>
        </w:rPr>
        <w:t xml:space="preserve">1. Member States shall, in accordance with Regulation </w:t>
      </w:r>
      <w:r w:rsidR="00823181" w:rsidRPr="005A04A2">
        <w:rPr>
          <w:noProof/>
        </w:rPr>
        <w:t>(EU) 2016/794</w:t>
      </w:r>
      <w:r w:rsidRPr="005A04A2">
        <w:rPr>
          <w:noProof/>
        </w:rPr>
        <w:t>, have</w:t>
      </w:r>
      <w:r w:rsidR="0027662D" w:rsidRPr="005A04A2">
        <w:rPr>
          <w:noProof/>
        </w:rPr>
        <w:t xml:space="preserve"> access to, and be able to search</w:t>
      </w:r>
      <w:r w:rsidR="009F03C2" w:rsidRPr="005A04A2">
        <w:rPr>
          <w:noProof/>
        </w:rPr>
        <w:t xml:space="preserve"> via the router</w:t>
      </w:r>
      <w:r w:rsidR="0027662D" w:rsidRPr="005A04A2">
        <w:rPr>
          <w:noProof/>
        </w:rPr>
        <w:t>,</w:t>
      </w:r>
      <w:r w:rsidRPr="005A04A2">
        <w:rPr>
          <w:noProof/>
        </w:rPr>
        <w:t xml:space="preserve"> </w:t>
      </w:r>
      <w:r w:rsidR="00220CBF" w:rsidRPr="009F56E6">
        <w:rPr>
          <w:noProof/>
        </w:rPr>
        <w:t>biometric data</w:t>
      </w:r>
      <w:r w:rsidR="0027662D" w:rsidRPr="009F56E6">
        <w:rPr>
          <w:noProof/>
        </w:rPr>
        <w:t xml:space="preserve"> which has been</w:t>
      </w:r>
      <w:r w:rsidR="00EE603D" w:rsidRPr="009F56E6">
        <w:rPr>
          <w:noProof/>
        </w:rPr>
        <w:t xml:space="preserve"> provided to Europol by third countries for the purposes of </w:t>
      </w:r>
      <w:r w:rsidR="00A15474" w:rsidRPr="009F56E6">
        <w:rPr>
          <w:noProof/>
        </w:rPr>
        <w:t>Article 18(2</w:t>
      </w:r>
      <w:r w:rsidR="00A15474" w:rsidRPr="009F56E6" w:rsidDel="00CA6AA8">
        <w:rPr>
          <w:noProof/>
        </w:rPr>
        <w:t>)</w:t>
      </w:r>
      <w:r w:rsidR="00CB6EAE">
        <w:rPr>
          <w:noProof/>
        </w:rPr>
        <w:t>,</w:t>
      </w:r>
      <w:r w:rsidR="00EE603D" w:rsidRPr="009F56E6" w:rsidDel="00CA6AA8">
        <w:rPr>
          <w:noProof/>
        </w:rPr>
        <w:t xml:space="preserve"> </w:t>
      </w:r>
      <w:r w:rsidR="00CB6EAE" w:rsidRPr="009F56E6">
        <w:rPr>
          <w:noProof/>
        </w:rPr>
        <w:t>points (a), (b) and (c)</w:t>
      </w:r>
      <w:r w:rsidR="00CB6EAE">
        <w:rPr>
          <w:noProof/>
        </w:rPr>
        <w:t>,</w:t>
      </w:r>
      <w:r w:rsidR="00CB6EAE" w:rsidRPr="009F56E6">
        <w:rPr>
          <w:noProof/>
        </w:rPr>
        <w:t xml:space="preserve"> </w:t>
      </w:r>
      <w:r w:rsidR="009C4F3B" w:rsidRPr="005A04A2">
        <w:rPr>
          <w:noProof/>
        </w:rPr>
        <w:t>of Regulation (EU) 2016/794</w:t>
      </w:r>
      <w:r w:rsidR="00EE603D" w:rsidRPr="005A04A2">
        <w:rPr>
          <w:noProof/>
        </w:rPr>
        <w:t>.</w:t>
      </w:r>
    </w:p>
    <w:p w14:paraId="0F1398BC" w14:textId="1552DB5C" w:rsidR="002426D2" w:rsidRPr="009F56E6" w:rsidRDefault="00633C5B" w:rsidP="00E64340">
      <w:pPr>
        <w:rPr>
          <w:noProof/>
        </w:rPr>
      </w:pPr>
      <w:r w:rsidRPr="009F56E6">
        <w:rPr>
          <w:noProof/>
        </w:rPr>
        <w:t>2</w:t>
      </w:r>
      <w:r w:rsidR="00193853" w:rsidRPr="009F56E6">
        <w:rPr>
          <w:noProof/>
        </w:rPr>
        <w:t>. Where this procedure results in a match between the data used for the search and Europol</w:t>
      </w:r>
      <w:r w:rsidR="000D442D" w:rsidRPr="009F56E6">
        <w:rPr>
          <w:noProof/>
        </w:rPr>
        <w:t xml:space="preserve"> data</w:t>
      </w:r>
      <w:r w:rsidR="00193853" w:rsidRPr="009F56E6">
        <w:rPr>
          <w:noProof/>
        </w:rPr>
        <w:t xml:space="preserve">, the follow-up shall take place in accordance with Regulation </w:t>
      </w:r>
      <w:r w:rsidR="00193853" w:rsidRPr="005A04A2">
        <w:rPr>
          <w:noProof/>
        </w:rPr>
        <w:t>(EU) 2016/794</w:t>
      </w:r>
      <w:r w:rsidR="00193853" w:rsidRPr="009F56E6">
        <w:rPr>
          <w:noProof/>
        </w:rPr>
        <w:t>.</w:t>
      </w:r>
    </w:p>
    <w:p w14:paraId="7A2DC954" w14:textId="0E0AD8E6" w:rsidR="00B910F7" w:rsidRPr="009F56E6" w:rsidRDefault="00B972C2" w:rsidP="00B910F7">
      <w:pPr>
        <w:pStyle w:val="Titrearticle"/>
        <w:rPr>
          <w:noProof/>
        </w:rPr>
      </w:pPr>
      <w:r w:rsidRPr="009F56E6">
        <w:rPr>
          <w:noProof/>
        </w:rPr>
        <w:t xml:space="preserve">Article </w:t>
      </w:r>
      <w:r w:rsidR="00E15E51">
        <w:rPr>
          <w:noProof/>
        </w:rPr>
        <w:t>50</w:t>
      </w:r>
    </w:p>
    <w:p w14:paraId="4991A563" w14:textId="24224324" w:rsidR="00B910F7" w:rsidRPr="009F56E6" w:rsidRDefault="000B1894" w:rsidP="00B910F7">
      <w:pPr>
        <w:jc w:val="center"/>
        <w:rPr>
          <w:b/>
          <w:noProof/>
        </w:rPr>
      </w:pPr>
      <w:r w:rsidRPr="009F56E6">
        <w:rPr>
          <w:b/>
          <w:noProof/>
        </w:rPr>
        <w:t xml:space="preserve">Access by </w:t>
      </w:r>
      <w:r w:rsidR="007229C1" w:rsidRPr="009F56E6">
        <w:rPr>
          <w:b/>
          <w:noProof/>
        </w:rPr>
        <w:t xml:space="preserve">Europol </w:t>
      </w:r>
      <w:r w:rsidRPr="009F56E6">
        <w:rPr>
          <w:b/>
          <w:noProof/>
        </w:rPr>
        <w:t xml:space="preserve">to data stored </w:t>
      </w:r>
      <w:r w:rsidR="00F12A69" w:rsidRPr="009F56E6">
        <w:rPr>
          <w:b/>
          <w:noProof/>
        </w:rPr>
        <w:t xml:space="preserve">in </w:t>
      </w:r>
      <w:r w:rsidRPr="009F56E6">
        <w:rPr>
          <w:b/>
          <w:noProof/>
        </w:rPr>
        <w:t>Member States</w:t>
      </w:r>
      <w:r w:rsidR="003F6AF0" w:rsidRPr="009F56E6">
        <w:rPr>
          <w:b/>
          <w:noProof/>
        </w:rPr>
        <w:t>’</w:t>
      </w:r>
      <w:r w:rsidR="00F12A69" w:rsidRPr="009F56E6">
        <w:rPr>
          <w:b/>
          <w:noProof/>
        </w:rPr>
        <w:t xml:space="preserve"> databases</w:t>
      </w:r>
    </w:p>
    <w:p w14:paraId="5D1DB830" w14:textId="4611C4F0" w:rsidR="00F12A69" w:rsidRPr="009F56E6" w:rsidRDefault="00F25E51" w:rsidP="00F12A69">
      <w:pPr>
        <w:rPr>
          <w:noProof/>
        </w:rPr>
      </w:pPr>
      <w:r w:rsidRPr="009F56E6" w:rsidDel="00F12A69">
        <w:rPr>
          <w:noProof/>
        </w:rPr>
        <w:t xml:space="preserve">1. </w:t>
      </w:r>
      <w:r w:rsidRPr="009F56E6">
        <w:rPr>
          <w:noProof/>
        </w:rPr>
        <w:t xml:space="preserve">Europol shall, in accordance with Regulation (EU) 2016/794, </w:t>
      </w:r>
      <w:r w:rsidR="00303AA1" w:rsidRPr="009F56E6">
        <w:rPr>
          <w:noProof/>
        </w:rPr>
        <w:t>have access</w:t>
      </w:r>
      <w:r w:rsidR="00303AA1" w:rsidRPr="009F56E6" w:rsidDel="00633C5B">
        <w:rPr>
          <w:noProof/>
        </w:rPr>
        <w:t xml:space="preserve"> </w:t>
      </w:r>
      <w:r w:rsidRPr="009F56E6">
        <w:rPr>
          <w:noProof/>
        </w:rPr>
        <w:t>to data</w:t>
      </w:r>
      <w:r w:rsidR="003652F2">
        <w:rPr>
          <w:noProof/>
        </w:rPr>
        <w:t>, which are</w:t>
      </w:r>
      <w:r w:rsidRPr="009F56E6">
        <w:rPr>
          <w:noProof/>
        </w:rPr>
        <w:t xml:space="preserve"> stored by Member States in their national databases in accordance with </w:t>
      </w:r>
      <w:r w:rsidR="00B6181A" w:rsidRPr="009F56E6">
        <w:rPr>
          <w:noProof/>
        </w:rPr>
        <w:t xml:space="preserve">this Regulation. </w:t>
      </w:r>
    </w:p>
    <w:p w14:paraId="78C2A58C" w14:textId="71EF645F" w:rsidR="00F12A69" w:rsidRPr="009F56E6" w:rsidRDefault="00F12A69" w:rsidP="00F12A69">
      <w:pPr>
        <w:rPr>
          <w:noProof/>
        </w:rPr>
      </w:pPr>
      <w:r w:rsidRPr="009F56E6">
        <w:rPr>
          <w:noProof/>
        </w:rPr>
        <w:t xml:space="preserve">2. Europol queries </w:t>
      </w:r>
      <w:r w:rsidR="003540D8" w:rsidRPr="009F56E6">
        <w:rPr>
          <w:noProof/>
        </w:rPr>
        <w:t xml:space="preserve">performed with </w:t>
      </w:r>
      <w:r w:rsidR="00A0145D" w:rsidRPr="009F56E6">
        <w:rPr>
          <w:noProof/>
        </w:rPr>
        <w:t xml:space="preserve">biometric data </w:t>
      </w:r>
      <w:r w:rsidR="003540D8" w:rsidRPr="009F56E6">
        <w:rPr>
          <w:noProof/>
        </w:rPr>
        <w:t xml:space="preserve">as a search criterion </w:t>
      </w:r>
      <w:r w:rsidRPr="009F56E6">
        <w:rPr>
          <w:noProof/>
        </w:rPr>
        <w:t>shall be carried out using the router.</w:t>
      </w:r>
    </w:p>
    <w:p w14:paraId="1A9BCA84" w14:textId="0B71A775" w:rsidR="00A0145D" w:rsidRPr="009F56E6" w:rsidRDefault="00F54882" w:rsidP="00F12A69">
      <w:pPr>
        <w:rPr>
          <w:noProof/>
        </w:rPr>
      </w:pPr>
      <w:r w:rsidRPr="009F56E6">
        <w:rPr>
          <w:noProof/>
        </w:rPr>
        <w:t>3</w:t>
      </w:r>
      <w:r w:rsidR="00A0145D" w:rsidRPr="009F56E6">
        <w:rPr>
          <w:noProof/>
        </w:rPr>
        <w:t xml:space="preserve">. Europol queries </w:t>
      </w:r>
      <w:r w:rsidR="003540D8" w:rsidRPr="009F56E6">
        <w:rPr>
          <w:noProof/>
        </w:rPr>
        <w:t xml:space="preserve">performed with </w:t>
      </w:r>
      <w:r w:rsidR="001F6256" w:rsidRPr="009F56E6">
        <w:rPr>
          <w:noProof/>
        </w:rPr>
        <w:t>vehicle registration</w:t>
      </w:r>
      <w:r w:rsidR="00A0145D" w:rsidRPr="009F56E6">
        <w:rPr>
          <w:noProof/>
        </w:rPr>
        <w:t xml:space="preserve"> data </w:t>
      </w:r>
      <w:r w:rsidR="003540D8" w:rsidRPr="009F56E6">
        <w:rPr>
          <w:noProof/>
        </w:rPr>
        <w:t xml:space="preserve">as a search criterion </w:t>
      </w:r>
      <w:r w:rsidR="00A0145D" w:rsidRPr="009F56E6">
        <w:rPr>
          <w:noProof/>
        </w:rPr>
        <w:t>shall be carried out using Eucaris.</w:t>
      </w:r>
    </w:p>
    <w:p w14:paraId="5F71C805" w14:textId="475D6AC5" w:rsidR="00A0145D" w:rsidRPr="009F56E6" w:rsidRDefault="00F54882" w:rsidP="00F12A69">
      <w:pPr>
        <w:rPr>
          <w:noProof/>
        </w:rPr>
      </w:pPr>
      <w:r w:rsidRPr="009F56E6">
        <w:rPr>
          <w:noProof/>
        </w:rPr>
        <w:t>4</w:t>
      </w:r>
      <w:r w:rsidR="00A0145D" w:rsidRPr="009F56E6">
        <w:rPr>
          <w:noProof/>
        </w:rPr>
        <w:t xml:space="preserve">. Europol queries </w:t>
      </w:r>
      <w:r w:rsidR="003540D8" w:rsidRPr="009F56E6">
        <w:rPr>
          <w:noProof/>
        </w:rPr>
        <w:t xml:space="preserve">performed with </w:t>
      </w:r>
      <w:r w:rsidR="00A0145D" w:rsidRPr="009F56E6">
        <w:rPr>
          <w:noProof/>
        </w:rPr>
        <w:t>police records</w:t>
      </w:r>
      <w:r w:rsidR="003540D8" w:rsidRPr="009F56E6">
        <w:rPr>
          <w:noProof/>
        </w:rPr>
        <w:t xml:space="preserve"> as a search criterion</w:t>
      </w:r>
      <w:r w:rsidR="00A0145D" w:rsidRPr="009F56E6">
        <w:rPr>
          <w:noProof/>
        </w:rPr>
        <w:t xml:space="preserve"> shall be carried out using EPRIS.</w:t>
      </w:r>
    </w:p>
    <w:p w14:paraId="1DB36C19" w14:textId="2EC1A6C2" w:rsidR="0054641F" w:rsidRPr="009F56E6" w:rsidRDefault="00F54882" w:rsidP="00F12A69">
      <w:pPr>
        <w:rPr>
          <w:noProof/>
        </w:rPr>
      </w:pPr>
      <w:r w:rsidRPr="009F56E6">
        <w:rPr>
          <w:noProof/>
        </w:rPr>
        <w:t>5</w:t>
      </w:r>
      <w:r w:rsidR="00F12A69" w:rsidRPr="009F56E6">
        <w:rPr>
          <w:noProof/>
        </w:rPr>
        <w:t xml:space="preserve">. </w:t>
      </w:r>
      <w:r w:rsidR="00B6181A" w:rsidRPr="009F56E6">
        <w:rPr>
          <w:noProof/>
        </w:rPr>
        <w:t xml:space="preserve">Europol shall </w:t>
      </w:r>
      <w:r w:rsidR="00F12A69" w:rsidRPr="009F56E6">
        <w:rPr>
          <w:noProof/>
        </w:rPr>
        <w:t xml:space="preserve">carry out the searches </w:t>
      </w:r>
      <w:r w:rsidR="00CA5895">
        <w:rPr>
          <w:noProof/>
        </w:rPr>
        <w:t>in accordance with</w:t>
      </w:r>
      <w:r w:rsidR="00F12A69" w:rsidRPr="009F56E6">
        <w:rPr>
          <w:noProof/>
        </w:rPr>
        <w:t xml:space="preserve"> paragraph 1</w:t>
      </w:r>
      <w:r w:rsidR="00E65890" w:rsidRPr="009F56E6">
        <w:rPr>
          <w:noProof/>
        </w:rPr>
        <w:t xml:space="preserve"> </w:t>
      </w:r>
      <w:r w:rsidR="007E0F0E" w:rsidRPr="009F56E6">
        <w:rPr>
          <w:noProof/>
        </w:rPr>
        <w:t xml:space="preserve">only </w:t>
      </w:r>
      <w:r w:rsidR="007E0F0E">
        <w:rPr>
          <w:noProof/>
        </w:rPr>
        <w:t>when carrying out</w:t>
      </w:r>
      <w:r w:rsidR="00E65890" w:rsidRPr="009F56E6">
        <w:rPr>
          <w:noProof/>
        </w:rPr>
        <w:t xml:space="preserve"> its tasks referred to in </w:t>
      </w:r>
      <w:r w:rsidR="00E65890" w:rsidRPr="005A04A2">
        <w:rPr>
          <w:noProof/>
        </w:rPr>
        <w:t>Regulation (EU) 2016/794</w:t>
      </w:r>
      <w:r w:rsidR="00456CD2" w:rsidRPr="009F56E6">
        <w:rPr>
          <w:noProof/>
        </w:rPr>
        <w:t xml:space="preserve">. </w:t>
      </w:r>
    </w:p>
    <w:p w14:paraId="6EF4E2E9" w14:textId="3C023EFA" w:rsidR="00C01DFA" w:rsidRPr="005A04A2" w:rsidRDefault="00F54882" w:rsidP="00E951DA">
      <w:pPr>
        <w:rPr>
          <w:noProof/>
        </w:rPr>
      </w:pPr>
      <w:r w:rsidRPr="009F56E6">
        <w:rPr>
          <w:noProof/>
        </w:rPr>
        <w:t>6</w:t>
      </w:r>
      <w:r w:rsidR="00F47BBF" w:rsidRPr="009F56E6">
        <w:rPr>
          <w:noProof/>
        </w:rPr>
        <w:t xml:space="preserve">. </w:t>
      </w:r>
      <w:r w:rsidR="007E0F0E">
        <w:rPr>
          <w:noProof/>
        </w:rPr>
        <w:t>Where</w:t>
      </w:r>
      <w:r w:rsidR="00C01DFA" w:rsidRPr="005A04A2">
        <w:rPr>
          <w:noProof/>
        </w:rPr>
        <w:t xml:space="preserve"> the procedures referred to in Articles </w:t>
      </w:r>
      <w:r w:rsidR="001F05D4">
        <w:rPr>
          <w:noProof/>
        </w:rPr>
        <w:t>6</w:t>
      </w:r>
      <w:r w:rsidR="00C01DFA" w:rsidRPr="005A04A2">
        <w:rPr>
          <w:noProof/>
        </w:rPr>
        <w:t xml:space="preserve">, </w:t>
      </w:r>
      <w:r w:rsidR="001F05D4">
        <w:rPr>
          <w:noProof/>
        </w:rPr>
        <w:t>7</w:t>
      </w:r>
      <w:r w:rsidR="00C01DFA" w:rsidRPr="005A04A2">
        <w:rPr>
          <w:noProof/>
        </w:rPr>
        <w:t>, 1</w:t>
      </w:r>
      <w:r w:rsidR="0024241D" w:rsidRPr="005A04A2">
        <w:rPr>
          <w:noProof/>
        </w:rPr>
        <w:t>3</w:t>
      </w:r>
      <w:r w:rsidR="00C01DFA" w:rsidRPr="005A04A2">
        <w:rPr>
          <w:noProof/>
        </w:rPr>
        <w:t xml:space="preserve"> or 2</w:t>
      </w:r>
      <w:r w:rsidR="0039768A">
        <w:rPr>
          <w:noProof/>
        </w:rPr>
        <w:t>2</w:t>
      </w:r>
      <w:r w:rsidR="00C01DFA" w:rsidRPr="005A04A2">
        <w:rPr>
          <w:noProof/>
        </w:rPr>
        <w:t xml:space="preserve"> show a match between the data used for the search or comparison and data held in the national database of the requested Member State(s), and upon confirmation of th</w:t>
      </w:r>
      <w:r w:rsidR="007E0F0E">
        <w:rPr>
          <w:noProof/>
        </w:rPr>
        <w:t>at</w:t>
      </w:r>
      <w:r w:rsidR="00C01DFA" w:rsidRPr="005A04A2">
        <w:rPr>
          <w:noProof/>
        </w:rPr>
        <w:t xml:space="preserve"> match by Europol, the requested Member State shall decide whether to return a set of core data via the router within 24 hours. Th</w:t>
      </w:r>
      <w:r w:rsidR="007E0F0E">
        <w:rPr>
          <w:noProof/>
        </w:rPr>
        <w:t>at</w:t>
      </w:r>
      <w:r w:rsidR="00C01DFA" w:rsidRPr="005A04A2">
        <w:rPr>
          <w:noProof/>
        </w:rPr>
        <w:t xml:space="preserve"> set of core data, if available, shall contain the following </w:t>
      </w:r>
      <w:r w:rsidR="007E0F0E">
        <w:rPr>
          <w:noProof/>
        </w:rPr>
        <w:t>data</w:t>
      </w:r>
      <w:r w:rsidR="00C01DFA" w:rsidRPr="005A04A2">
        <w:rPr>
          <w:noProof/>
        </w:rPr>
        <w:t>:</w:t>
      </w:r>
    </w:p>
    <w:p w14:paraId="43B1F94F" w14:textId="321E2A61" w:rsidR="00C01DFA" w:rsidRPr="005A04A2" w:rsidRDefault="00C304BF" w:rsidP="00C304BF">
      <w:pPr>
        <w:pStyle w:val="Point1"/>
        <w:rPr>
          <w:noProof/>
        </w:rPr>
      </w:pPr>
      <w:r w:rsidRPr="00C304BF">
        <w:t>(a)</w:t>
      </w:r>
      <w:r w:rsidRPr="00C304BF">
        <w:tab/>
      </w:r>
      <w:r w:rsidR="00C01DFA" w:rsidRPr="005A04A2">
        <w:rPr>
          <w:noProof/>
        </w:rPr>
        <w:t>first name(s);</w:t>
      </w:r>
    </w:p>
    <w:p w14:paraId="1DB61E7F" w14:textId="021671F3" w:rsidR="00C01DFA" w:rsidRPr="005A04A2" w:rsidRDefault="00C304BF" w:rsidP="00C304BF">
      <w:pPr>
        <w:pStyle w:val="Point1"/>
        <w:rPr>
          <w:noProof/>
        </w:rPr>
      </w:pPr>
      <w:r w:rsidRPr="00C304BF">
        <w:t>(b)</w:t>
      </w:r>
      <w:r w:rsidRPr="00C304BF">
        <w:tab/>
      </w:r>
      <w:r w:rsidR="00C01DFA" w:rsidRPr="005A04A2">
        <w:rPr>
          <w:noProof/>
        </w:rPr>
        <w:t>family name(s);</w:t>
      </w:r>
    </w:p>
    <w:p w14:paraId="6EBCBCF5" w14:textId="1E42C1ED" w:rsidR="00C01DFA" w:rsidRPr="005A04A2" w:rsidRDefault="00C304BF" w:rsidP="00C304BF">
      <w:pPr>
        <w:pStyle w:val="Point1"/>
        <w:rPr>
          <w:noProof/>
        </w:rPr>
      </w:pPr>
      <w:r w:rsidRPr="00C304BF">
        <w:t>(c)</w:t>
      </w:r>
      <w:r w:rsidRPr="00C304BF">
        <w:tab/>
      </w:r>
      <w:r w:rsidR="00C01DFA" w:rsidRPr="005A04A2">
        <w:rPr>
          <w:noProof/>
        </w:rPr>
        <w:t>date of birth;</w:t>
      </w:r>
    </w:p>
    <w:p w14:paraId="59AA0680" w14:textId="367AC0C9" w:rsidR="00C01DFA" w:rsidRPr="005A04A2" w:rsidRDefault="00C304BF" w:rsidP="00C304BF">
      <w:pPr>
        <w:pStyle w:val="Point1"/>
        <w:rPr>
          <w:noProof/>
        </w:rPr>
      </w:pPr>
      <w:r w:rsidRPr="00C304BF">
        <w:t>(d)</w:t>
      </w:r>
      <w:r w:rsidRPr="00C304BF">
        <w:tab/>
      </w:r>
      <w:r w:rsidR="00C01DFA" w:rsidRPr="005A04A2">
        <w:rPr>
          <w:noProof/>
        </w:rPr>
        <w:t>nationality or nationalities;</w:t>
      </w:r>
    </w:p>
    <w:p w14:paraId="6AC8544F" w14:textId="28ED6650" w:rsidR="00C01DFA" w:rsidRPr="005A04A2" w:rsidRDefault="00C304BF" w:rsidP="00C304BF">
      <w:pPr>
        <w:pStyle w:val="Point1"/>
        <w:rPr>
          <w:noProof/>
        </w:rPr>
      </w:pPr>
      <w:r w:rsidRPr="00C304BF">
        <w:t>(e)</w:t>
      </w:r>
      <w:r w:rsidRPr="00C304BF">
        <w:tab/>
      </w:r>
      <w:r w:rsidR="00C01DFA" w:rsidRPr="005A04A2">
        <w:rPr>
          <w:noProof/>
        </w:rPr>
        <w:t xml:space="preserve">place and country of birth; </w:t>
      </w:r>
    </w:p>
    <w:p w14:paraId="2257458D" w14:textId="1667D89B" w:rsidR="00C01DFA" w:rsidRPr="005A04A2" w:rsidRDefault="00C304BF" w:rsidP="00C304BF">
      <w:pPr>
        <w:pStyle w:val="Point1"/>
        <w:rPr>
          <w:noProof/>
        </w:rPr>
      </w:pPr>
      <w:r w:rsidRPr="00C304BF">
        <w:t>(f)</w:t>
      </w:r>
      <w:r w:rsidRPr="00C304BF">
        <w:tab/>
      </w:r>
      <w:r w:rsidR="00C01DFA" w:rsidRPr="005A04A2">
        <w:rPr>
          <w:noProof/>
        </w:rPr>
        <w:t>gender.</w:t>
      </w:r>
    </w:p>
    <w:p w14:paraId="14F4DA2F" w14:textId="7C0029AD" w:rsidR="003F47FB" w:rsidRPr="009F56E6" w:rsidRDefault="00291C61" w:rsidP="00E64340">
      <w:pPr>
        <w:rPr>
          <w:noProof/>
        </w:rPr>
      </w:pPr>
      <w:r w:rsidRPr="009F56E6">
        <w:rPr>
          <w:noProof/>
        </w:rPr>
        <w:t>7</w:t>
      </w:r>
      <w:r w:rsidR="000D442D" w:rsidRPr="009F56E6">
        <w:rPr>
          <w:noProof/>
        </w:rPr>
        <w:t xml:space="preserve">. Europol's use of information obtained from a search </w:t>
      </w:r>
      <w:r w:rsidR="00CA5895">
        <w:rPr>
          <w:noProof/>
        </w:rPr>
        <w:t>made in accordance with</w:t>
      </w:r>
      <w:r w:rsidR="000D442D" w:rsidRPr="009F56E6">
        <w:rPr>
          <w:noProof/>
        </w:rPr>
        <w:t xml:space="preserve"> paragraph 1 and from the exchange of </w:t>
      </w:r>
      <w:r w:rsidR="007E0F0E">
        <w:rPr>
          <w:noProof/>
        </w:rPr>
        <w:t>core</w:t>
      </w:r>
      <w:r w:rsidR="000D442D" w:rsidRPr="009F56E6">
        <w:rPr>
          <w:noProof/>
        </w:rPr>
        <w:t xml:space="preserve"> data in accordance </w:t>
      </w:r>
      <w:r w:rsidR="0024241D" w:rsidRPr="009F56E6">
        <w:rPr>
          <w:noProof/>
        </w:rPr>
        <w:t>with</w:t>
      </w:r>
      <w:r w:rsidR="000D442D" w:rsidRPr="009F56E6">
        <w:rPr>
          <w:noProof/>
        </w:rPr>
        <w:t xml:space="preserve"> </w:t>
      </w:r>
      <w:r w:rsidR="0024241D" w:rsidRPr="009F56E6">
        <w:rPr>
          <w:noProof/>
        </w:rPr>
        <w:t>paragraph 6</w:t>
      </w:r>
      <w:r w:rsidR="000D442D" w:rsidRPr="009F56E6">
        <w:rPr>
          <w:noProof/>
        </w:rPr>
        <w:t xml:space="preserve"> shall be subject to the consent of the Member State in which database the match occurred. If the Member State allows the use of such information, its handling by Europol shall be governed by Regulation (EU) 2016/794. </w:t>
      </w:r>
    </w:p>
    <w:p w14:paraId="1789C588" w14:textId="6F24E45F" w:rsidR="00850BCC" w:rsidRPr="009F56E6" w:rsidRDefault="00850BCC" w:rsidP="00850BCC">
      <w:pPr>
        <w:pStyle w:val="Titrearticle"/>
        <w:rPr>
          <w:i w:val="0"/>
          <w:noProof/>
        </w:rPr>
      </w:pPr>
      <w:r w:rsidRPr="009F56E6">
        <w:rPr>
          <w:i w:val="0"/>
          <w:noProof/>
        </w:rPr>
        <w:t>CHAPTER 6</w:t>
      </w:r>
    </w:p>
    <w:p w14:paraId="677988B1" w14:textId="22C0753F" w:rsidR="00850BCC" w:rsidRPr="009F56E6" w:rsidRDefault="00850BCC" w:rsidP="00BC1311">
      <w:pPr>
        <w:jc w:val="center"/>
        <w:rPr>
          <w:b/>
          <w:noProof/>
        </w:rPr>
      </w:pPr>
      <w:r w:rsidRPr="009F56E6">
        <w:rPr>
          <w:b/>
          <w:noProof/>
        </w:rPr>
        <w:t>DATA PROTECTION</w:t>
      </w:r>
    </w:p>
    <w:p w14:paraId="34AFD0CF" w14:textId="4D425706" w:rsidR="00B910F7" w:rsidRPr="009F56E6" w:rsidRDefault="00B972C2" w:rsidP="00B910F7">
      <w:pPr>
        <w:pStyle w:val="Titrearticle"/>
        <w:rPr>
          <w:noProof/>
        </w:rPr>
      </w:pPr>
      <w:r w:rsidRPr="009F56E6">
        <w:rPr>
          <w:noProof/>
        </w:rPr>
        <w:t xml:space="preserve">Article </w:t>
      </w:r>
      <w:r w:rsidR="00E15E51">
        <w:rPr>
          <w:noProof/>
        </w:rPr>
        <w:t>51</w:t>
      </w:r>
    </w:p>
    <w:p w14:paraId="57EA6D9D" w14:textId="2DF4FDA4" w:rsidR="00B910F7" w:rsidRPr="009F56E6" w:rsidRDefault="00AE364C" w:rsidP="00B910F7">
      <w:pPr>
        <w:jc w:val="center"/>
        <w:rPr>
          <w:b/>
          <w:noProof/>
        </w:rPr>
      </w:pPr>
      <w:r>
        <w:rPr>
          <w:b/>
          <w:noProof/>
        </w:rPr>
        <w:t>Purpose of the data</w:t>
      </w:r>
    </w:p>
    <w:p w14:paraId="58C95EA2" w14:textId="3704CD56" w:rsidR="00AE364C" w:rsidRDefault="00EC4824" w:rsidP="00AE364C">
      <w:pPr>
        <w:rPr>
          <w:noProof/>
        </w:rPr>
      </w:pPr>
      <w:r>
        <w:rPr>
          <w:noProof/>
        </w:rPr>
        <w:t>1.</w:t>
      </w:r>
      <w:r w:rsidR="00AE364C">
        <w:rPr>
          <w:noProof/>
        </w:rPr>
        <w:t xml:space="preserve"> Processing of personal data by the requesting Member State or Europol shall be permitted solely for the purposes for which the data have been supplied by the requested Member State in accordance with this Regulation. Processing for other purposes shall be permitted solely with the prior authorisation of the requested Member State. </w:t>
      </w:r>
    </w:p>
    <w:p w14:paraId="003D5F70" w14:textId="1512B148" w:rsidR="00AE364C" w:rsidRDefault="00EC4824" w:rsidP="00AE364C">
      <w:pPr>
        <w:rPr>
          <w:noProof/>
        </w:rPr>
      </w:pPr>
      <w:r>
        <w:rPr>
          <w:noProof/>
        </w:rPr>
        <w:t>2.</w:t>
      </w:r>
      <w:r w:rsidR="00AE364C">
        <w:rPr>
          <w:noProof/>
        </w:rPr>
        <w:t xml:space="preserve"> Processing of data supplied pursuant to </w:t>
      </w:r>
      <w:r w:rsidR="00823BA3" w:rsidRPr="005A04A2">
        <w:rPr>
          <w:noProof/>
        </w:rPr>
        <w:t xml:space="preserve">Articles </w:t>
      </w:r>
      <w:r w:rsidR="001F05D4">
        <w:rPr>
          <w:noProof/>
        </w:rPr>
        <w:t>6</w:t>
      </w:r>
      <w:r w:rsidR="00823BA3" w:rsidRPr="005A04A2">
        <w:rPr>
          <w:noProof/>
        </w:rPr>
        <w:t xml:space="preserve">, </w:t>
      </w:r>
      <w:r w:rsidR="001F05D4">
        <w:rPr>
          <w:noProof/>
        </w:rPr>
        <w:t>7</w:t>
      </w:r>
      <w:r w:rsidR="00823BA3" w:rsidRPr="005A04A2">
        <w:rPr>
          <w:noProof/>
        </w:rPr>
        <w:t>, 13</w:t>
      </w:r>
      <w:r w:rsidR="00AD0E3D">
        <w:rPr>
          <w:noProof/>
        </w:rPr>
        <w:t>, 18</w:t>
      </w:r>
      <w:r w:rsidR="00823BA3">
        <w:rPr>
          <w:noProof/>
        </w:rPr>
        <w:t xml:space="preserve"> </w:t>
      </w:r>
      <w:r w:rsidR="001E634C">
        <w:rPr>
          <w:noProof/>
        </w:rPr>
        <w:t xml:space="preserve">or </w:t>
      </w:r>
      <w:r w:rsidR="00823BA3" w:rsidRPr="005A04A2">
        <w:rPr>
          <w:noProof/>
        </w:rPr>
        <w:t>2</w:t>
      </w:r>
      <w:r w:rsidR="0039768A">
        <w:rPr>
          <w:noProof/>
        </w:rPr>
        <w:t>2</w:t>
      </w:r>
      <w:r w:rsidR="00823BA3">
        <w:rPr>
          <w:noProof/>
        </w:rPr>
        <w:t xml:space="preserve"> </w:t>
      </w:r>
      <w:r w:rsidR="00AE364C">
        <w:rPr>
          <w:noProof/>
        </w:rPr>
        <w:t>by the searching or comparing Member State shall be permitted solely in order to:</w:t>
      </w:r>
    </w:p>
    <w:p w14:paraId="6C75D890" w14:textId="2D6853E9" w:rsidR="00AE364C" w:rsidRDefault="00C304BF" w:rsidP="00C304BF">
      <w:pPr>
        <w:pStyle w:val="Point1"/>
        <w:rPr>
          <w:noProof/>
        </w:rPr>
      </w:pPr>
      <w:r w:rsidRPr="00C304BF">
        <w:t>(a)</w:t>
      </w:r>
      <w:r w:rsidRPr="00C304BF">
        <w:tab/>
      </w:r>
      <w:r w:rsidR="00AE364C">
        <w:rPr>
          <w:noProof/>
        </w:rPr>
        <w:t>establish whether the compared DNA profiles, dactyloscopic data, vehicle registration data, facial images and police records match;</w:t>
      </w:r>
    </w:p>
    <w:p w14:paraId="25046032" w14:textId="0551C7BD" w:rsidR="00AE364C" w:rsidRDefault="00C304BF" w:rsidP="00C304BF">
      <w:pPr>
        <w:pStyle w:val="Point1"/>
        <w:rPr>
          <w:noProof/>
        </w:rPr>
      </w:pPr>
      <w:r w:rsidRPr="00C304BF">
        <w:t>(b)</w:t>
      </w:r>
      <w:r w:rsidRPr="00C304BF">
        <w:tab/>
      </w:r>
      <w:r w:rsidR="00AE364C">
        <w:rPr>
          <w:noProof/>
        </w:rPr>
        <w:t>prepare and submit a police request for legal assistance if those data match;</w:t>
      </w:r>
    </w:p>
    <w:p w14:paraId="68E9B363" w14:textId="1886C575" w:rsidR="00AE364C" w:rsidRDefault="00C304BF" w:rsidP="00C304BF">
      <w:pPr>
        <w:pStyle w:val="Point1"/>
        <w:rPr>
          <w:noProof/>
        </w:rPr>
      </w:pPr>
      <w:r w:rsidRPr="00C304BF">
        <w:t>(c)</w:t>
      </w:r>
      <w:r w:rsidRPr="00C304BF">
        <w:tab/>
      </w:r>
      <w:r w:rsidR="00AE364C">
        <w:rPr>
          <w:noProof/>
        </w:rPr>
        <w:t xml:space="preserve">logging within the meaning of </w:t>
      </w:r>
      <w:r w:rsidR="00AE364C" w:rsidRPr="009F56E6">
        <w:rPr>
          <w:noProof/>
        </w:rPr>
        <w:t xml:space="preserve">Articles </w:t>
      </w:r>
      <w:r w:rsidR="0039768A">
        <w:rPr>
          <w:noProof/>
        </w:rPr>
        <w:t>40</w:t>
      </w:r>
      <w:r w:rsidR="00AE364C" w:rsidRPr="009F56E6">
        <w:rPr>
          <w:noProof/>
        </w:rPr>
        <w:t xml:space="preserve"> and 4</w:t>
      </w:r>
      <w:r w:rsidR="0039768A">
        <w:rPr>
          <w:noProof/>
        </w:rPr>
        <w:t>5</w:t>
      </w:r>
      <w:r w:rsidR="00AE364C">
        <w:rPr>
          <w:noProof/>
        </w:rPr>
        <w:t>.</w:t>
      </w:r>
    </w:p>
    <w:p w14:paraId="0B566F45" w14:textId="7B294871" w:rsidR="00AE364C" w:rsidRDefault="00AD0E3D" w:rsidP="00AE364C">
      <w:pPr>
        <w:rPr>
          <w:noProof/>
        </w:rPr>
      </w:pPr>
      <w:r>
        <w:rPr>
          <w:noProof/>
        </w:rPr>
        <w:t xml:space="preserve">3. </w:t>
      </w:r>
      <w:r w:rsidR="00AE364C">
        <w:rPr>
          <w:noProof/>
        </w:rPr>
        <w:t xml:space="preserve">The requesting Member State may process the data supplied to it in accordance with </w:t>
      </w:r>
      <w:r w:rsidR="00823BA3" w:rsidRPr="005A04A2">
        <w:rPr>
          <w:noProof/>
        </w:rPr>
        <w:t xml:space="preserve">Articles </w:t>
      </w:r>
      <w:r w:rsidR="001F05D4">
        <w:rPr>
          <w:noProof/>
        </w:rPr>
        <w:t>6</w:t>
      </w:r>
      <w:r w:rsidR="00823BA3" w:rsidRPr="005A04A2">
        <w:rPr>
          <w:noProof/>
        </w:rPr>
        <w:t xml:space="preserve">, </w:t>
      </w:r>
      <w:r w:rsidR="001F05D4">
        <w:rPr>
          <w:noProof/>
        </w:rPr>
        <w:t>7</w:t>
      </w:r>
      <w:r w:rsidR="00823BA3" w:rsidRPr="005A04A2">
        <w:rPr>
          <w:noProof/>
        </w:rPr>
        <w:t>, 13</w:t>
      </w:r>
      <w:r w:rsidR="00823BA3">
        <w:rPr>
          <w:noProof/>
        </w:rPr>
        <w:t xml:space="preserve"> </w:t>
      </w:r>
      <w:r w:rsidR="00823BA3" w:rsidRPr="005A04A2">
        <w:rPr>
          <w:noProof/>
        </w:rPr>
        <w:t>or 2</w:t>
      </w:r>
      <w:r w:rsidR="0039768A">
        <w:rPr>
          <w:noProof/>
        </w:rPr>
        <w:t>2</w:t>
      </w:r>
      <w:r w:rsidR="00823BA3" w:rsidRPr="005A04A2">
        <w:rPr>
          <w:noProof/>
        </w:rPr>
        <w:t xml:space="preserve"> </w:t>
      </w:r>
      <w:r w:rsidR="00AE364C">
        <w:rPr>
          <w:noProof/>
        </w:rPr>
        <w:t xml:space="preserve">solely where this is necessary </w:t>
      </w:r>
      <w:r w:rsidR="00676141">
        <w:rPr>
          <w:noProof/>
        </w:rPr>
        <w:t>for the purposes of this Regulation</w:t>
      </w:r>
      <w:r w:rsidR="00AE364C">
        <w:rPr>
          <w:noProof/>
        </w:rPr>
        <w:t xml:space="preserve">. The supplied data shall be deleted immediately following data comparison or automated replies to searches unless further processing is necessary by the requesting Member State for the purposes of </w:t>
      </w:r>
      <w:r w:rsidR="003B38B1">
        <w:rPr>
          <w:noProof/>
        </w:rPr>
        <w:t xml:space="preserve">the </w:t>
      </w:r>
      <w:r w:rsidR="00AE364C">
        <w:rPr>
          <w:noProof/>
        </w:rPr>
        <w:t>prevention, detection and investigation of criminal offences.</w:t>
      </w:r>
    </w:p>
    <w:p w14:paraId="71948D6F" w14:textId="33D93D23" w:rsidR="00AE364C" w:rsidRDefault="00AD0E3D" w:rsidP="00AE364C">
      <w:pPr>
        <w:rPr>
          <w:noProof/>
        </w:rPr>
      </w:pPr>
      <w:r>
        <w:rPr>
          <w:noProof/>
        </w:rPr>
        <w:t>4</w:t>
      </w:r>
      <w:r w:rsidR="00EC4824">
        <w:rPr>
          <w:noProof/>
        </w:rPr>
        <w:t xml:space="preserve">. </w:t>
      </w:r>
      <w:r w:rsidR="00AE364C">
        <w:rPr>
          <w:noProof/>
        </w:rPr>
        <w:t xml:space="preserve">Data supplied in accordance </w:t>
      </w:r>
      <w:r w:rsidR="00AE364C" w:rsidRPr="00A04F8B">
        <w:rPr>
          <w:noProof/>
        </w:rPr>
        <w:t xml:space="preserve">with </w:t>
      </w:r>
      <w:r w:rsidR="00AE364C" w:rsidRPr="0003774E">
        <w:rPr>
          <w:noProof/>
        </w:rPr>
        <w:t xml:space="preserve">Article </w:t>
      </w:r>
      <w:r w:rsidR="00823BA3" w:rsidRPr="0003774E">
        <w:rPr>
          <w:noProof/>
        </w:rPr>
        <w:t>1</w:t>
      </w:r>
      <w:r w:rsidR="00823BA3" w:rsidRPr="00A04F8B">
        <w:rPr>
          <w:noProof/>
        </w:rPr>
        <w:t>8</w:t>
      </w:r>
      <w:r w:rsidR="00823BA3">
        <w:rPr>
          <w:noProof/>
        </w:rPr>
        <w:t xml:space="preserve"> </w:t>
      </w:r>
      <w:r w:rsidR="00AE364C">
        <w:rPr>
          <w:noProof/>
        </w:rPr>
        <w:t>may be used by the</w:t>
      </w:r>
      <w:r w:rsidR="00676141">
        <w:rPr>
          <w:noProof/>
        </w:rPr>
        <w:t xml:space="preserve"> requesting</w:t>
      </w:r>
      <w:r w:rsidR="00AE364C">
        <w:rPr>
          <w:noProof/>
        </w:rPr>
        <w:t xml:space="preserve"> Member State solely where this is necessary for the purpose</w:t>
      </w:r>
      <w:r w:rsidR="00676141">
        <w:rPr>
          <w:noProof/>
        </w:rPr>
        <w:t>s</w:t>
      </w:r>
      <w:r w:rsidR="00AE364C">
        <w:rPr>
          <w:noProof/>
        </w:rPr>
        <w:t xml:space="preserve"> of </w:t>
      </w:r>
      <w:r w:rsidR="00676141">
        <w:rPr>
          <w:noProof/>
        </w:rPr>
        <w:t>this Regulation</w:t>
      </w:r>
      <w:r w:rsidR="00AE364C">
        <w:rPr>
          <w:noProof/>
        </w:rPr>
        <w:t xml:space="preserve">. The data supplied shall be deleted immediately following automated replies to searches unless further processing is necessary for recording pursuant to Article </w:t>
      </w:r>
      <w:r w:rsidR="0039768A">
        <w:rPr>
          <w:noProof/>
        </w:rPr>
        <w:t>20</w:t>
      </w:r>
      <w:r w:rsidR="00AE364C">
        <w:rPr>
          <w:noProof/>
        </w:rPr>
        <w:t xml:space="preserve">. The </w:t>
      </w:r>
      <w:r w:rsidR="00676141">
        <w:rPr>
          <w:noProof/>
        </w:rPr>
        <w:t>requesting</w:t>
      </w:r>
      <w:r w:rsidR="00AE364C">
        <w:rPr>
          <w:noProof/>
        </w:rPr>
        <w:t xml:space="preserve"> Member State </w:t>
      </w:r>
      <w:r w:rsidR="00676141">
        <w:rPr>
          <w:noProof/>
        </w:rPr>
        <w:t>shall</w:t>
      </w:r>
      <w:r w:rsidR="00AE364C">
        <w:rPr>
          <w:noProof/>
        </w:rPr>
        <w:t xml:space="preserve"> use </w:t>
      </w:r>
      <w:r w:rsidR="00676141">
        <w:rPr>
          <w:noProof/>
        </w:rPr>
        <w:t xml:space="preserve">the </w:t>
      </w:r>
      <w:r w:rsidR="00AE364C">
        <w:rPr>
          <w:noProof/>
        </w:rPr>
        <w:t>data received in a reply solely for the procedure for which the search was made.</w:t>
      </w:r>
    </w:p>
    <w:p w14:paraId="4A670C66" w14:textId="77012F37" w:rsidR="00AE364C" w:rsidRPr="009F56E6" w:rsidRDefault="00AE364C" w:rsidP="00AE364C">
      <w:pPr>
        <w:pStyle w:val="Titrearticle"/>
        <w:rPr>
          <w:noProof/>
        </w:rPr>
      </w:pPr>
      <w:r w:rsidRPr="009F56E6">
        <w:rPr>
          <w:noProof/>
        </w:rPr>
        <w:t xml:space="preserve">Article </w:t>
      </w:r>
      <w:r w:rsidR="00E15E51">
        <w:rPr>
          <w:noProof/>
        </w:rPr>
        <w:t>52</w:t>
      </w:r>
    </w:p>
    <w:p w14:paraId="6E53814A" w14:textId="5EBA0D2E" w:rsidR="00AE364C" w:rsidRPr="009F56E6" w:rsidRDefault="00AE364C" w:rsidP="00AE364C">
      <w:pPr>
        <w:jc w:val="center"/>
        <w:rPr>
          <w:b/>
          <w:noProof/>
        </w:rPr>
      </w:pPr>
      <w:r>
        <w:rPr>
          <w:b/>
          <w:noProof/>
        </w:rPr>
        <w:t>Accuracy, relevance and data</w:t>
      </w:r>
      <w:r w:rsidR="00E845E2">
        <w:rPr>
          <w:b/>
          <w:noProof/>
        </w:rPr>
        <w:t xml:space="preserve"> retention</w:t>
      </w:r>
    </w:p>
    <w:p w14:paraId="0B9A3DF9" w14:textId="66E55AFA" w:rsidR="00AE364C" w:rsidRDefault="00EC4824" w:rsidP="00AE364C">
      <w:pPr>
        <w:rPr>
          <w:noProof/>
        </w:rPr>
      </w:pPr>
      <w:r>
        <w:rPr>
          <w:noProof/>
        </w:rPr>
        <w:t xml:space="preserve">1. </w:t>
      </w:r>
      <w:r w:rsidR="00AE364C">
        <w:rPr>
          <w:noProof/>
        </w:rPr>
        <w:t xml:space="preserve">Member States shall ensure the accuracy and current relevance of personal data. Should </w:t>
      </w:r>
      <w:r w:rsidR="006D685F">
        <w:rPr>
          <w:noProof/>
        </w:rPr>
        <w:t xml:space="preserve">a requested Member State become aware </w:t>
      </w:r>
      <w:r w:rsidR="00AE364C">
        <w:rPr>
          <w:noProof/>
        </w:rPr>
        <w:t xml:space="preserve">that incorrect data or data which should not have been supplied have been supplied, this shall be notified without delay to </w:t>
      </w:r>
      <w:r w:rsidR="006D685F">
        <w:rPr>
          <w:noProof/>
        </w:rPr>
        <w:t>any</w:t>
      </w:r>
      <w:r w:rsidR="00AE364C">
        <w:rPr>
          <w:noProof/>
        </w:rPr>
        <w:t xml:space="preserve"> </w:t>
      </w:r>
      <w:r w:rsidR="006D685F">
        <w:rPr>
          <w:noProof/>
        </w:rPr>
        <w:t>requesting</w:t>
      </w:r>
      <w:r w:rsidR="00AE364C">
        <w:rPr>
          <w:noProof/>
        </w:rPr>
        <w:t xml:space="preserve"> Member State. </w:t>
      </w:r>
      <w:r w:rsidR="006D685F">
        <w:rPr>
          <w:noProof/>
        </w:rPr>
        <w:t>All</w:t>
      </w:r>
      <w:r w:rsidR="00AE364C">
        <w:rPr>
          <w:noProof/>
        </w:rPr>
        <w:t xml:space="preserve"> </w:t>
      </w:r>
      <w:r w:rsidR="006D685F">
        <w:rPr>
          <w:noProof/>
        </w:rPr>
        <w:t xml:space="preserve">requesting </w:t>
      </w:r>
      <w:r w:rsidR="00AE364C">
        <w:rPr>
          <w:noProof/>
        </w:rPr>
        <w:t>Member State</w:t>
      </w:r>
      <w:r w:rsidR="003B38B1">
        <w:rPr>
          <w:noProof/>
        </w:rPr>
        <w:t>s</w:t>
      </w:r>
      <w:r w:rsidR="00AE364C">
        <w:rPr>
          <w:noProof/>
        </w:rPr>
        <w:t xml:space="preserve"> concerned shall be obliged to correct or delete the data</w:t>
      </w:r>
      <w:r w:rsidR="006D685F">
        <w:rPr>
          <w:noProof/>
        </w:rPr>
        <w:t xml:space="preserve"> accordingly</w:t>
      </w:r>
      <w:r w:rsidR="00AE364C">
        <w:rPr>
          <w:noProof/>
        </w:rPr>
        <w:t xml:space="preserve">. Moreover, personal data supplied shall be corrected if they are found to be incorrect. If the </w:t>
      </w:r>
      <w:r w:rsidR="006D685F">
        <w:rPr>
          <w:noProof/>
        </w:rPr>
        <w:t>requesting Member State</w:t>
      </w:r>
      <w:r w:rsidR="00AE364C">
        <w:rPr>
          <w:noProof/>
        </w:rPr>
        <w:t xml:space="preserve"> has reason to believe that the supplied data are incorrect or should be deleted the </w:t>
      </w:r>
      <w:r w:rsidR="006D685F">
        <w:rPr>
          <w:noProof/>
        </w:rPr>
        <w:t>requested Member State</w:t>
      </w:r>
      <w:r w:rsidR="00AE364C">
        <w:rPr>
          <w:noProof/>
        </w:rPr>
        <w:t xml:space="preserve"> shall be informed.</w:t>
      </w:r>
    </w:p>
    <w:p w14:paraId="37484297" w14:textId="58525611" w:rsidR="00AE364C" w:rsidRDefault="00EC4824" w:rsidP="00AE364C">
      <w:pPr>
        <w:rPr>
          <w:noProof/>
        </w:rPr>
      </w:pPr>
      <w:r>
        <w:rPr>
          <w:noProof/>
        </w:rPr>
        <w:t xml:space="preserve">2. </w:t>
      </w:r>
      <w:r w:rsidR="006D685F">
        <w:rPr>
          <w:noProof/>
        </w:rPr>
        <w:t>Where a data subject contested the accuracy of data in possession of a Member State, where the accuracy cannot be reliably established by the Member State concerned and where it is requested by the data subject, the d</w:t>
      </w:r>
      <w:r w:rsidR="00AE364C">
        <w:rPr>
          <w:noProof/>
        </w:rPr>
        <w:t>ata</w:t>
      </w:r>
      <w:r w:rsidR="006D685F">
        <w:rPr>
          <w:noProof/>
        </w:rPr>
        <w:t xml:space="preserve"> concerned shall</w:t>
      </w:r>
      <w:r w:rsidR="00AE364C">
        <w:rPr>
          <w:noProof/>
        </w:rPr>
        <w:t xml:space="preserve"> be marked with a flag. </w:t>
      </w:r>
      <w:r w:rsidR="006D685F">
        <w:rPr>
          <w:noProof/>
        </w:rPr>
        <w:t>Where</w:t>
      </w:r>
      <w:r w:rsidR="00AE364C">
        <w:rPr>
          <w:noProof/>
        </w:rPr>
        <w:t xml:space="preserve"> </w:t>
      </w:r>
      <w:r w:rsidR="006D685F">
        <w:rPr>
          <w:noProof/>
        </w:rPr>
        <w:t>such a</w:t>
      </w:r>
      <w:r w:rsidR="00AE364C">
        <w:rPr>
          <w:noProof/>
        </w:rPr>
        <w:t xml:space="preserve"> flag exists, </w:t>
      </w:r>
      <w:r w:rsidR="006407E8">
        <w:rPr>
          <w:noProof/>
        </w:rPr>
        <w:t xml:space="preserve">Member States </w:t>
      </w:r>
      <w:r w:rsidR="00AE364C">
        <w:rPr>
          <w:noProof/>
        </w:rPr>
        <w:t xml:space="preserve">may </w:t>
      </w:r>
      <w:r w:rsidR="006407E8">
        <w:rPr>
          <w:noProof/>
        </w:rPr>
        <w:t xml:space="preserve">remove it </w:t>
      </w:r>
      <w:r w:rsidR="00AE364C">
        <w:rPr>
          <w:noProof/>
        </w:rPr>
        <w:t>only with the permission of the data subject or based on a decision of the competent court or independent data protection authority.</w:t>
      </w:r>
    </w:p>
    <w:p w14:paraId="357AD1EE" w14:textId="5490765B" w:rsidR="00AE364C" w:rsidRDefault="00EC4824" w:rsidP="00AE364C">
      <w:pPr>
        <w:rPr>
          <w:noProof/>
        </w:rPr>
      </w:pPr>
      <w:r>
        <w:rPr>
          <w:noProof/>
        </w:rPr>
        <w:t xml:space="preserve">3. </w:t>
      </w:r>
      <w:r w:rsidR="006407E8">
        <w:rPr>
          <w:noProof/>
        </w:rPr>
        <w:t>D</w:t>
      </w:r>
      <w:r w:rsidR="00AE364C">
        <w:rPr>
          <w:noProof/>
        </w:rPr>
        <w:t>ata supplied which should not have been supplied or received shall be deleted. Data which are lawfully supplied and received shall be deleted:</w:t>
      </w:r>
    </w:p>
    <w:p w14:paraId="23EBD4CB" w14:textId="2D75BAAA" w:rsidR="00AE364C" w:rsidRDefault="00C304BF" w:rsidP="00C304BF">
      <w:pPr>
        <w:pStyle w:val="Point1"/>
        <w:rPr>
          <w:noProof/>
        </w:rPr>
      </w:pPr>
      <w:r w:rsidRPr="00C304BF">
        <w:t>(a)</w:t>
      </w:r>
      <w:r w:rsidRPr="00C304BF">
        <w:tab/>
      </w:r>
      <w:r w:rsidR="006407E8">
        <w:rPr>
          <w:noProof/>
        </w:rPr>
        <w:t>where</w:t>
      </w:r>
      <w:r w:rsidR="00AE364C">
        <w:rPr>
          <w:noProof/>
        </w:rPr>
        <w:t xml:space="preserve"> they are not or no longer necessary for the purpo</w:t>
      </w:r>
      <w:r w:rsidR="006407E8">
        <w:rPr>
          <w:noProof/>
        </w:rPr>
        <w:t>se for which they were supplied</w:t>
      </w:r>
      <w:r w:rsidR="00AE364C">
        <w:rPr>
          <w:noProof/>
        </w:rPr>
        <w:t>;</w:t>
      </w:r>
    </w:p>
    <w:p w14:paraId="7B5A4883" w14:textId="367B2636" w:rsidR="00AE364C" w:rsidRDefault="00C304BF" w:rsidP="00C304BF">
      <w:pPr>
        <w:pStyle w:val="Point1"/>
        <w:rPr>
          <w:noProof/>
        </w:rPr>
      </w:pPr>
      <w:r w:rsidRPr="00C304BF">
        <w:t>(b)</w:t>
      </w:r>
      <w:r w:rsidRPr="00C304BF">
        <w:tab/>
      </w:r>
      <w:r w:rsidR="00AE364C">
        <w:rPr>
          <w:noProof/>
        </w:rPr>
        <w:t xml:space="preserve">following the expiry of the maximum period for keeping data laid down </w:t>
      </w:r>
      <w:r w:rsidR="006407E8">
        <w:rPr>
          <w:noProof/>
        </w:rPr>
        <w:t>under</w:t>
      </w:r>
      <w:r w:rsidR="00AE364C">
        <w:rPr>
          <w:noProof/>
        </w:rPr>
        <w:t xml:space="preserve"> the national law of the </w:t>
      </w:r>
      <w:r w:rsidR="006407E8">
        <w:rPr>
          <w:noProof/>
        </w:rPr>
        <w:t>requested</w:t>
      </w:r>
      <w:r w:rsidR="00AE364C">
        <w:rPr>
          <w:noProof/>
        </w:rPr>
        <w:t xml:space="preserve"> Member State where the </w:t>
      </w:r>
      <w:r w:rsidR="006407E8">
        <w:rPr>
          <w:noProof/>
        </w:rPr>
        <w:t>requested Member State</w:t>
      </w:r>
      <w:r w:rsidR="00AE364C">
        <w:rPr>
          <w:noProof/>
        </w:rPr>
        <w:t xml:space="preserve"> informed the </w:t>
      </w:r>
      <w:r w:rsidR="006407E8">
        <w:rPr>
          <w:noProof/>
        </w:rPr>
        <w:t>requesting Member State</w:t>
      </w:r>
      <w:r w:rsidR="00AE364C">
        <w:rPr>
          <w:noProof/>
        </w:rPr>
        <w:t xml:space="preserve"> of that maximum period at the time of supplying the data.</w:t>
      </w:r>
    </w:p>
    <w:p w14:paraId="1F0F0BE7" w14:textId="42CE557A" w:rsidR="00AE364C" w:rsidRPr="009F56E6" w:rsidRDefault="00AE364C" w:rsidP="00AE364C">
      <w:pPr>
        <w:rPr>
          <w:noProof/>
        </w:rPr>
      </w:pPr>
      <w:r>
        <w:rPr>
          <w:noProof/>
        </w:rPr>
        <w:t>Where there is reason to believe that</w:t>
      </w:r>
      <w:r w:rsidR="006407E8">
        <w:rPr>
          <w:noProof/>
        </w:rPr>
        <w:t xml:space="preserve"> the</w:t>
      </w:r>
      <w:r>
        <w:rPr>
          <w:noProof/>
        </w:rPr>
        <w:t xml:space="preserve"> deletion</w:t>
      </w:r>
      <w:r w:rsidR="006407E8">
        <w:rPr>
          <w:noProof/>
        </w:rPr>
        <w:t xml:space="preserve"> of data</w:t>
      </w:r>
      <w:r>
        <w:rPr>
          <w:noProof/>
        </w:rPr>
        <w:t xml:space="preserve"> would prejudice the interests of the data subject, the data shall be blocked instead of being deleted. Blocked data may be supplied or used solely for the purpose which prevented their deletion.</w:t>
      </w:r>
    </w:p>
    <w:p w14:paraId="6CFB864F" w14:textId="13CCAE9C" w:rsidR="00B910F7" w:rsidRPr="009F56E6" w:rsidRDefault="00B972C2" w:rsidP="00B910F7">
      <w:pPr>
        <w:pStyle w:val="Titrearticle"/>
        <w:rPr>
          <w:noProof/>
        </w:rPr>
      </w:pPr>
      <w:r w:rsidRPr="009F56E6">
        <w:rPr>
          <w:noProof/>
        </w:rPr>
        <w:t xml:space="preserve">Article </w:t>
      </w:r>
      <w:r w:rsidR="00E15E51">
        <w:rPr>
          <w:noProof/>
        </w:rPr>
        <w:t>53</w:t>
      </w:r>
    </w:p>
    <w:p w14:paraId="085C6356" w14:textId="1D8F2BC8" w:rsidR="00B910F7" w:rsidRPr="009F56E6" w:rsidRDefault="00E67FA6" w:rsidP="00B910F7">
      <w:pPr>
        <w:jc w:val="center"/>
        <w:rPr>
          <w:b/>
          <w:noProof/>
        </w:rPr>
      </w:pPr>
      <w:r w:rsidRPr="009F56E6">
        <w:rPr>
          <w:b/>
          <w:noProof/>
        </w:rPr>
        <w:t>Data processor</w:t>
      </w:r>
    </w:p>
    <w:p w14:paraId="5B5B9D9A" w14:textId="35EB6C32" w:rsidR="00B910F7" w:rsidRPr="009F56E6" w:rsidRDefault="004533E8" w:rsidP="00B910F7">
      <w:pPr>
        <w:rPr>
          <w:noProof/>
        </w:rPr>
      </w:pPr>
      <w:r w:rsidRPr="009F56E6">
        <w:rPr>
          <w:noProof/>
        </w:rPr>
        <w:t>1.</w:t>
      </w:r>
      <w:r w:rsidR="00577098" w:rsidRPr="009F56E6">
        <w:rPr>
          <w:noProof/>
        </w:rPr>
        <w:t xml:space="preserve"> eu-LISA shall be the processor within the meaning of </w:t>
      </w:r>
      <w:r w:rsidR="00652094" w:rsidRPr="00281E53">
        <w:rPr>
          <w:noProof/>
        </w:rPr>
        <w:t>Article</w:t>
      </w:r>
      <w:r w:rsidR="00CA5895" w:rsidRPr="00281E53">
        <w:rPr>
          <w:noProof/>
        </w:rPr>
        <w:t xml:space="preserve"> </w:t>
      </w:r>
      <w:r w:rsidR="00652094">
        <w:rPr>
          <w:noProof/>
        </w:rPr>
        <w:t>3</w:t>
      </w:r>
      <w:r w:rsidR="00CA5895">
        <w:rPr>
          <w:noProof/>
        </w:rPr>
        <w:t>,</w:t>
      </w:r>
      <w:r w:rsidR="00652094">
        <w:rPr>
          <w:noProof/>
        </w:rPr>
        <w:t xml:space="preserve"> </w:t>
      </w:r>
      <w:r w:rsidR="00CA5895" w:rsidRPr="009F56E6">
        <w:rPr>
          <w:noProof/>
        </w:rPr>
        <w:t>point (</w:t>
      </w:r>
      <w:r w:rsidR="00CA5895">
        <w:rPr>
          <w:noProof/>
        </w:rPr>
        <w:t>12),</w:t>
      </w:r>
      <w:r w:rsidR="00CA5895" w:rsidRPr="00281E53">
        <w:rPr>
          <w:noProof/>
        </w:rPr>
        <w:t xml:space="preserve"> </w:t>
      </w:r>
      <w:r w:rsidR="00652094">
        <w:rPr>
          <w:noProof/>
        </w:rPr>
        <w:t>of Regulation (EU) 2018/1725</w:t>
      </w:r>
      <w:r w:rsidRPr="009F56E6">
        <w:rPr>
          <w:noProof/>
        </w:rPr>
        <w:t xml:space="preserve"> for the processing of </w:t>
      </w:r>
      <w:r w:rsidR="00652094">
        <w:rPr>
          <w:noProof/>
        </w:rPr>
        <w:t xml:space="preserve">personal </w:t>
      </w:r>
      <w:r w:rsidRPr="009F56E6">
        <w:rPr>
          <w:noProof/>
        </w:rPr>
        <w:t>data via the router</w:t>
      </w:r>
      <w:r w:rsidR="00577098" w:rsidRPr="009F56E6">
        <w:rPr>
          <w:noProof/>
        </w:rPr>
        <w:t>.</w:t>
      </w:r>
    </w:p>
    <w:p w14:paraId="354D9753" w14:textId="2DD2CA85" w:rsidR="004533E8" w:rsidRPr="009F56E6" w:rsidRDefault="004533E8" w:rsidP="00B910F7">
      <w:pPr>
        <w:rPr>
          <w:noProof/>
        </w:rPr>
      </w:pPr>
      <w:r w:rsidRPr="009F56E6">
        <w:rPr>
          <w:noProof/>
        </w:rPr>
        <w:t xml:space="preserve">2. Europol shall be the processor for the processing of </w:t>
      </w:r>
      <w:r w:rsidR="00652094">
        <w:rPr>
          <w:noProof/>
        </w:rPr>
        <w:t xml:space="preserve">personal </w:t>
      </w:r>
      <w:r w:rsidRPr="009F56E6">
        <w:rPr>
          <w:noProof/>
        </w:rPr>
        <w:t>data via EPRIS.</w:t>
      </w:r>
    </w:p>
    <w:p w14:paraId="2E967D9A" w14:textId="0AB02AE9" w:rsidR="00B910F7" w:rsidRPr="009F56E6" w:rsidRDefault="00B972C2" w:rsidP="00B910F7">
      <w:pPr>
        <w:pStyle w:val="Titrearticle"/>
        <w:rPr>
          <w:noProof/>
        </w:rPr>
      </w:pPr>
      <w:r w:rsidRPr="009F56E6">
        <w:rPr>
          <w:noProof/>
        </w:rPr>
        <w:t xml:space="preserve">Article </w:t>
      </w:r>
      <w:r w:rsidR="00847EC8" w:rsidRPr="009F56E6">
        <w:rPr>
          <w:noProof/>
        </w:rPr>
        <w:t>5</w:t>
      </w:r>
      <w:r w:rsidR="00E15E51">
        <w:rPr>
          <w:noProof/>
        </w:rPr>
        <w:t>4</w:t>
      </w:r>
    </w:p>
    <w:p w14:paraId="5E5D41CE" w14:textId="5D39D128" w:rsidR="00B910F7" w:rsidRPr="009F56E6" w:rsidRDefault="00E67FA6" w:rsidP="00B910F7">
      <w:pPr>
        <w:jc w:val="center"/>
        <w:rPr>
          <w:b/>
          <w:noProof/>
        </w:rPr>
      </w:pPr>
      <w:r w:rsidRPr="009F56E6">
        <w:rPr>
          <w:b/>
          <w:noProof/>
        </w:rPr>
        <w:t>Security of processing</w:t>
      </w:r>
    </w:p>
    <w:p w14:paraId="1F9AD2DF" w14:textId="6EE20791" w:rsidR="00B64878" w:rsidRPr="009F56E6" w:rsidRDefault="00577098" w:rsidP="00B910F7">
      <w:pPr>
        <w:rPr>
          <w:noProof/>
        </w:rPr>
      </w:pPr>
      <w:r w:rsidRPr="009F56E6">
        <w:rPr>
          <w:noProof/>
        </w:rPr>
        <w:t>1.</w:t>
      </w:r>
      <w:r w:rsidR="00B64878" w:rsidRPr="009F56E6">
        <w:rPr>
          <w:noProof/>
        </w:rPr>
        <w:t xml:space="preserve"> </w:t>
      </w:r>
      <w:r w:rsidRPr="009F56E6">
        <w:rPr>
          <w:noProof/>
        </w:rPr>
        <w:t>Europol</w:t>
      </w:r>
      <w:r w:rsidR="00652094">
        <w:rPr>
          <w:noProof/>
        </w:rPr>
        <w:t xml:space="preserve">, </w:t>
      </w:r>
      <w:r w:rsidRPr="009F56E6">
        <w:rPr>
          <w:noProof/>
        </w:rPr>
        <w:t>eu-LISA and Member State</w:t>
      </w:r>
      <w:r w:rsidR="003B38B1">
        <w:rPr>
          <w:noProof/>
        </w:rPr>
        <w:t>s’</w:t>
      </w:r>
      <w:r w:rsidRPr="009F56E6">
        <w:rPr>
          <w:noProof/>
        </w:rPr>
        <w:t xml:space="preserve"> authorities shall ensure the security of the processing of personal data that takes place pursuant to this Regulation. </w:t>
      </w:r>
      <w:r w:rsidR="00652094">
        <w:rPr>
          <w:noProof/>
        </w:rPr>
        <w:t>Europol,</w:t>
      </w:r>
      <w:r w:rsidR="00C834D1" w:rsidRPr="009F56E6">
        <w:rPr>
          <w:noProof/>
        </w:rPr>
        <w:t xml:space="preserve"> </w:t>
      </w:r>
      <w:r w:rsidRPr="009F56E6">
        <w:rPr>
          <w:noProof/>
        </w:rPr>
        <w:t>eu-LISA and Member State</w:t>
      </w:r>
      <w:r w:rsidR="003B38B1">
        <w:rPr>
          <w:noProof/>
        </w:rPr>
        <w:t>s’</w:t>
      </w:r>
      <w:r w:rsidRPr="009F56E6">
        <w:rPr>
          <w:noProof/>
        </w:rPr>
        <w:t xml:space="preserve"> authorities shall coope</w:t>
      </w:r>
      <w:r w:rsidR="00C71220" w:rsidRPr="009F56E6">
        <w:rPr>
          <w:noProof/>
        </w:rPr>
        <w:t>rate on security-related tasks.</w:t>
      </w:r>
    </w:p>
    <w:p w14:paraId="2BFA8D30" w14:textId="4FCB3189" w:rsidR="00C71220" w:rsidRPr="009F56E6" w:rsidRDefault="00577098" w:rsidP="00B910F7">
      <w:pPr>
        <w:rPr>
          <w:noProof/>
        </w:rPr>
      </w:pPr>
      <w:r w:rsidRPr="009F56E6">
        <w:rPr>
          <w:noProof/>
        </w:rPr>
        <w:t>2.</w:t>
      </w:r>
      <w:r w:rsidR="00B64878" w:rsidRPr="009F56E6">
        <w:rPr>
          <w:noProof/>
        </w:rPr>
        <w:t xml:space="preserve"> </w:t>
      </w:r>
      <w:r w:rsidR="00652094" w:rsidRPr="00C10435">
        <w:rPr>
          <w:noProof/>
        </w:rPr>
        <w:t xml:space="preserve">Without prejudice to </w:t>
      </w:r>
      <w:r w:rsidR="00652094">
        <w:rPr>
          <w:noProof/>
        </w:rPr>
        <w:t xml:space="preserve">Article </w:t>
      </w:r>
      <w:r w:rsidR="00652094" w:rsidRPr="00C10435">
        <w:rPr>
          <w:noProof/>
        </w:rPr>
        <w:t>33 of Regulation (EU) 2018/1725</w:t>
      </w:r>
      <w:r w:rsidR="00652094">
        <w:rPr>
          <w:noProof/>
        </w:rPr>
        <w:t xml:space="preserve"> and</w:t>
      </w:r>
      <w:r w:rsidR="00652094" w:rsidRPr="00AF38E6">
        <w:rPr>
          <w:noProof/>
        </w:rPr>
        <w:t xml:space="preserve"> </w:t>
      </w:r>
      <w:r w:rsidR="00652094">
        <w:rPr>
          <w:noProof/>
        </w:rPr>
        <w:t xml:space="preserve">Article 32 of </w:t>
      </w:r>
      <w:r w:rsidR="00652094" w:rsidRPr="009F56E6">
        <w:rPr>
          <w:noProof/>
        </w:rPr>
        <w:t>Regulation (EU) 2016/794</w:t>
      </w:r>
      <w:r w:rsidR="00652094">
        <w:rPr>
          <w:noProof/>
        </w:rPr>
        <w:t>,</w:t>
      </w:r>
      <w:r w:rsidR="00B64878" w:rsidRPr="009F56E6">
        <w:rPr>
          <w:noProof/>
        </w:rPr>
        <w:t xml:space="preserve"> </w:t>
      </w:r>
      <w:r w:rsidRPr="009F56E6">
        <w:rPr>
          <w:noProof/>
        </w:rPr>
        <w:t xml:space="preserve">eu-LISA </w:t>
      </w:r>
      <w:r w:rsidR="00C834D1" w:rsidRPr="009F56E6">
        <w:rPr>
          <w:noProof/>
        </w:rPr>
        <w:t>and Europol</w:t>
      </w:r>
      <w:r w:rsidRPr="009F56E6">
        <w:rPr>
          <w:noProof/>
        </w:rPr>
        <w:t xml:space="preserve"> shall take the necessary measures to ensure the security of the </w:t>
      </w:r>
      <w:r w:rsidR="00C834D1" w:rsidRPr="009F56E6">
        <w:rPr>
          <w:noProof/>
        </w:rPr>
        <w:t>router</w:t>
      </w:r>
      <w:r w:rsidRPr="009F56E6">
        <w:rPr>
          <w:noProof/>
        </w:rPr>
        <w:t xml:space="preserve"> and</w:t>
      </w:r>
      <w:r w:rsidR="00C834D1" w:rsidRPr="009F56E6">
        <w:rPr>
          <w:noProof/>
        </w:rPr>
        <w:t xml:space="preserve"> EPRIS respectively as well as</w:t>
      </w:r>
      <w:r w:rsidRPr="009F56E6">
        <w:rPr>
          <w:noProof/>
        </w:rPr>
        <w:t xml:space="preserve"> their relate</w:t>
      </w:r>
      <w:r w:rsidR="00C71220" w:rsidRPr="009F56E6">
        <w:rPr>
          <w:noProof/>
        </w:rPr>
        <w:t>d communication infrastructure.</w:t>
      </w:r>
    </w:p>
    <w:p w14:paraId="40E5A0E4" w14:textId="3A7E4AEA" w:rsidR="00C71220" w:rsidRPr="009F56E6" w:rsidRDefault="00577098" w:rsidP="00B910F7">
      <w:pPr>
        <w:rPr>
          <w:noProof/>
        </w:rPr>
      </w:pPr>
      <w:r w:rsidRPr="009F56E6">
        <w:rPr>
          <w:noProof/>
        </w:rPr>
        <w:t>3.</w:t>
      </w:r>
      <w:r w:rsidR="00C71220" w:rsidRPr="009F56E6">
        <w:rPr>
          <w:noProof/>
        </w:rPr>
        <w:t xml:space="preserve"> </w:t>
      </w:r>
      <w:r w:rsidR="00652094">
        <w:rPr>
          <w:noProof/>
        </w:rPr>
        <w:t>In particular,</w:t>
      </w:r>
      <w:r w:rsidR="00C71220" w:rsidRPr="009F56E6">
        <w:rPr>
          <w:noProof/>
        </w:rPr>
        <w:t xml:space="preserve"> </w:t>
      </w:r>
      <w:r w:rsidRPr="009F56E6">
        <w:rPr>
          <w:noProof/>
        </w:rPr>
        <w:t xml:space="preserve">eu-LISA </w:t>
      </w:r>
      <w:r w:rsidR="00C834D1" w:rsidRPr="009F56E6">
        <w:rPr>
          <w:noProof/>
        </w:rPr>
        <w:t>and Europol</w:t>
      </w:r>
      <w:r w:rsidRPr="009F56E6">
        <w:rPr>
          <w:noProof/>
        </w:rPr>
        <w:t xml:space="preserve"> shall adopt the necessary measures</w:t>
      </w:r>
      <w:r w:rsidR="00E426F6" w:rsidRPr="009F56E6">
        <w:rPr>
          <w:noProof/>
        </w:rPr>
        <w:t xml:space="preserve"> concerning the router and EPRIS respectively</w:t>
      </w:r>
      <w:r w:rsidRPr="009F56E6">
        <w:rPr>
          <w:noProof/>
        </w:rPr>
        <w:t xml:space="preserve">, including a security plan, a business continuity plan and a disaster </w:t>
      </w:r>
      <w:r w:rsidR="00C71220" w:rsidRPr="009F56E6">
        <w:rPr>
          <w:noProof/>
        </w:rPr>
        <w:t>recovery plan, in order to:</w:t>
      </w:r>
    </w:p>
    <w:p w14:paraId="2CB0DCD9" w14:textId="703182FD" w:rsidR="00C71220" w:rsidRPr="0003774E" w:rsidRDefault="00C304BF" w:rsidP="00C304BF">
      <w:pPr>
        <w:pStyle w:val="Point1"/>
        <w:rPr>
          <w:noProof/>
        </w:rPr>
      </w:pPr>
      <w:r w:rsidRPr="00C304BF">
        <w:t>(a)</w:t>
      </w:r>
      <w:r w:rsidRPr="00C304BF">
        <w:tab/>
      </w:r>
      <w:r w:rsidR="00577098" w:rsidRPr="009F56E6">
        <w:rPr>
          <w:noProof/>
        </w:rPr>
        <w:t xml:space="preserve">physically protect data, including by making contingency plans for the protection </w:t>
      </w:r>
      <w:r w:rsidR="00C71220" w:rsidRPr="009F56E6">
        <w:rPr>
          <w:noProof/>
        </w:rPr>
        <w:t>of critical infrastructure;</w:t>
      </w:r>
    </w:p>
    <w:p w14:paraId="7BCE3ED3" w14:textId="7D819B58" w:rsidR="00C71220" w:rsidRPr="009F56E6" w:rsidRDefault="00C304BF" w:rsidP="00C304BF">
      <w:pPr>
        <w:pStyle w:val="Point1"/>
        <w:rPr>
          <w:noProof/>
        </w:rPr>
      </w:pPr>
      <w:r w:rsidRPr="00C304BF">
        <w:t>(b)</w:t>
      </w:r>
      <w:r w:rsidRPr="00C304BF">
        <w:tab/>
      </w:r>
      <w:r w:rsidR="00577098" w:rsidRPr="009F56E6">
        <w:rPr>
          <w:noProof/>
        </w:rPr>
        <w:t>deny unauthorised persons access to data-processing e</w:t>
      </w:r>
      <w:r w:rsidR="00C71220" w:rsidRPr="009F56E6">
        <w:rPr>
          <w:noProof/>
        </w:rPr>
        <w:t xml:space="preserve">quipment and installations; </w:t>
      </w:r>
    </w:p>
    <w:p w14:paraId="43FA32B0" w14:textId="384300C7" w:rsidR="00C71220" w:rsidRPr="009F56E6" w:rsidRDefault="00C304BF" w:rsidP="00C304BF">
      <w:pPr>
        <w:pStyle w:val="Point1"/>
        <w:rPr>
          <w:noProof/>
        </w:rPr>
      </w:pPr>
      <w:r w:rsidRPr="00C304BF">
        <w:t>(c)</w:t>
      </w:r>
      <w:r w:rsidRPr="00C304BF">
        <w:tab/>
      </w:r>
      <w:r w:rsidR="00577098" w:rsidRPr="009F56E6">
        <w:rPr>
          <w:noProof/>
        </w:rPr>
        <w:t>prevent the unauthorised reading, copying, modificatio</w:t>
      </w:r>
      <w:r w:rsidR="00C71220" w:rsidRPr="009F56E6">
        <w:rPr>
          <w:noProof/>
        </w:rPr>
        <w:t xml:space="preserve">n or removal of data media; </w:t>
      </w:r>
    </w:p>
    <w:p w14:paraId="0893EF4B" w14:textId="71893855" w:rsidR="00C71220" w:rsidRPr="009F56E6" w:rsidRDefault="00C304BF" w:rsidP="00C304BF">
      <w:pPr>
        <w:pStyle w:val="Point1"/>
        <w:rPr>
          <w:noProof/>
        </w:rPr>
      </w:pPr>
      <w:r w:rsidRPr="00C304BF">
        <w:t>(d)</w:t>
      </w:r>
      <w:r w:rsidRPr="00C304BF">
        <w:tab/>
      </w:r>
      <w:r w:rsidR="00577098" w:rsidRPr="009F56E6">
        <w:rPr>
          <w:noProof/>
        </w:rPr>
        <w:t>prevent the unauthorised input of data and the unauthorised inspection, modification or deletion of recorded pers</w:t>
      </w:r>
      <w:r w:rsidR="00C71220" w:rsidRPr="009F56E6">
        <w:rPr>
          <w:noProof/>
        </w:rPr>
        <w:t>onal data;</w:t>
      </w:r>
    </w:p>
    <w:p w14:paraId="24D0747F" w14:textId="1CAE9B51" w:rsidR="00C71220" w:rsidRPr="009F56E6" w:rsidRDefault="00C304BF" w:rsidP="00C304BF">
      <w:pPr>
        <w:pStyle w:val="Point1"/>
        <w:rPr>
          <w:noProof/>
        </w:rPr>
      </w:pPr>
      <w:r w:rsidRPr="00C304BF">
        <w:t>(e)</w:t>
      </w:r>
      <w:r w:rsidRPr="00C304BF">
        <w:tab/>
      </w:r>
      <w:r w:rsidR="00C71220" w:rsidRPr="009F56E6">
        <w:rPr>
          <w:noProof/>
        </w:rPr>
        <w:t>p</w:t>
      </w:r>
      <w:r w:rsidR="00577098" w:rsidRPr="009F56E6">
        <w:rPr>
          <w:noProof/>
        </w:rPr>
        <w:t>revent the unauthorised processing of data and any unauthorised copying, modifi</w:t>
      </w:r>
      <w:r w:rsidR="00C71220" w:rsidRPr="009F56E6">
        <w:rPr>
          <w:noProof/>
        </w:rPr>
        <w:t>cation or deletion of data;</w:t>
      </w:r>
    </w:p>
    <w:p w14:paraId="5665006B" w14:textId="3D55B933" w:rsidR="00C71220" w:rsidRPr="009F56E6" w:rsidRDefault="00C304BF" w:rsidP="00C304BF">
      <w:pPr>
        <w:pStyle w:val="Point1"/>
        <w:rPr>
          <w:noProof/>
        </w:rPr>
      </w:pPr>
      <w:r w:rsidRPr="00C304BF">
        <w:t>(f)</w:t>
      </w:r>
      <w:r w:rsidRPr="00C304BF">
        <w:tab/>
      </w:r>
      <w:r w:rsidR="00577098" w:rsidRPr="009F56E6">
        <w:rPr>
          <w:noProof/>
        </w:rPr>
        <w:t>prevent the use of automated data-processing systems by unauthorised persons using data communication equipment;</w:t>
      </w:r>
    </w:p>
    <w:p w14:paraId="76865816" w14:textId="3DB0A925" w:rsidR="00C71220" w:rsidRPr="009F56E6" w:rsidRDefault="00C304BF" w:rsidP="00C304BF">
      <w:pPr>
        <w:pStyle w:val="Point1"/>
        <w:rPr>
          <w:noProof/>
        </w:rPr>
      </w:pPr>
      <w:r w:rsidRPr="00C304BF">
        <w:t>(g)</w:t>
      </w:r>
      <w:r w:rsidRPr="00C304BF">
        <w:tab/>
      </w:r>
      <w:r w:rsidR="00577098" w:rsidRPr="009F56E6">
        <w:rPr>
          <w:noProof/>
        </w:rPr>
        <w:t xml:space="preserve">ensure that persons authorised to access the </w:t>
      </w:r>
      <w:r w:rsidR="00E426F6" w:rsidRPr="009F56E6">
        <w:rPr>
          <w:noProof/>
        </w:rPr>
        <w:t>router and EPRIS</w:t>
      </w:r>
      <w:r w:rsidR="00577098" w:rsidRPr="009F56E6">
        <w:rPr>
          <w:noProof/>
        </w:rPr>
        <w:t xml:space="preserve"> have access only to the data covered by their access authorisation, by means of individual user identities and conf</w:t>
      </w:r>
      <w:r w:rsidR="00C71220" w:rsidRPr="009F56E6">
        <w:rPr>
          <w:noProof/>
        </w:rPr>
        <w:t>idential access modes only;</w:t>
      </w:r>
    </w:p>
    <w:p w14:paraId="29866FD1" w14:textId="35CABC90" w:rsidR="00C71220" w:rsidRPr="009F56E6" w:rsidRDefault="00C304BF" w:rsidP="00C304BF">
      <w:pPr>
        <w:pStyle w:val="Point1"/>
        <w:rPr>
          <w:noProof/>
        </w:rPr>
      </w:pPr>
      <w:r w:rsidRPr="00C304BF">
        <w:t>(h)</w:t>
      </w:r>
      <w:r w:rsidRPr="00C304BF">
        <w:tab/>
      </w:r>
      <w:r w:rsidR="00577098" w:rsidRPr="009F56E6">
        <w:rPr>
          <w:noProof/>
        </w:rPr>
        <w:t>ensure that it is possible to verify and establish to which bodies personal data may be transmitted using da</w:t>
      </w:r>
      <w:r w:rsidR="00C71220" w:rsidRPr="009F56E6">
        <w:rPr>
          <w:noProof/>
        </w:rPr>
        <w:t>ta communication equipment;</w:t>
      </w:r>
    </w:p>
    <w:p w14:paraId="2A1A849A" w14:textId="0EB7A1E6" w:rsidR="00C71220" w:rsidRPr="009F56E6" w:rsidRDefault="00C304BF" w:rsidP="00C304BF">
      <w:pPr>
        <w:pStyle w:val="Point1"/>
        <w:rPr>
          <w:noProof/>
        </w:rPr>
      </w:pPr>
      <w:r w:rsidRPr="00C304BF">
        <w:t>(i)</w:t>
      </w:r>
      <w:r w:rsidRPr="00C304BF">
        <w:tab/>
      </w:r>
      <w:r w:rsidR="00577098" w:rsidRPr="009F56E6">
        <w:rPr>
          <w:noProof/>
        </w:rPr>
        <w:t xml:space="preserve">ensure that it is possible to verify and establish what data have been processed in the </w:t>
      </w:r>
      <w:r w:rsidR="00E426F6" w:rsidRPr="009F56E6">
        <w:rPr>
          <w:noProof/>
        </w:rPr>
        <w:t>router and EPRIS</w:t>
      </w:r>
      <w:r w:rsidR="00577098" w:rsidRPr="009F56E6">
        <w:rPr>
          <w:noProof/>
        </w:rPr>
        <w:t>, when, by</w:t>
      </w:r>
      <w:r w:rsidR="00C71220" w:rsidRPr="009F56E6">
        <w:rPr>
          <w:noProof/>
        </w:rPr>
        <w:t xml:space="preserve"> whom and for what purpose;</w:t>
      </w:r>
    </w:p>
    <w:p w14:paraId="6F95F874" w14:textId="1B3300EF" w:rsidR="00C71220" w:rsidRPr="009F56E6" w:rsidRDefault="00C304BF" w:rsidP="00C304BF">
      <w:pPr>
        <w:pStyle w:val="Point1"/>
        <w:rPr>
          <w:noProof/>
        </w:rPr>
      </w:pPr>
      <w:r w:rsidRPr="00C304BF">
        <w:t>(j)</w:t>
      </w:r>
      <w:r w:rsidRPr="00C304BF">
        <w:tab/>
      </w:r>
      <w:r w:rsidR="00577098" w:rsidRPr="009F56E6">
        <w:rPr>
          <w:noProof/>
        </w:rPr>
        <w:t xml:space="preserve">prevent the unauthorised reading, copying, modification or deletion of personal data during the transmission of personal data to or from the </w:t>
      </w:r>
      <w:r w:rsidR="00E426F6" w:rsidRPr="009F56E6">
        <w:rPr>
          <w:noProof/>
        </w:rPr>
        <w:t>router and EPRIS</w:t>
      </w:r>
      <w:r w:rsidR="003540D8" w:rsidRPr="009F56E6">
        <w:rPr>
          <w:noProof/>
        </w:rPr>
        <w:t xml:space="preserve"> </w:t>
      </w:r>
      <w:r w:rsidR="00577098" w:rsidRPr="009F56E6">
        <w:rPr>
          <w:noProof/>
        </w:rPr>
        <w:t>or during the transport of data media, in particular by means of appropriate encryption te</w:t>
      </w:r>
      <w:r w:rsidR="00C71220" w:rsidRPr="009F56E6">
        <w:rPr>
          <w:noProof/>
        </w:rPr>
        <w:t>chniques;</w:t>
      </w:r>
    </w:p>
    <w:p w14:paraId="676483B3" w14:textId="1F0B9A81" w:rsidR="00C71220" w:rsidRPr="009F56E6" w:rsidRDefault="00C304BF" w:rsidP="00C304BF">
      <w:pPr>
        <w:pStyle w:val="Point1"/>
        <w:rPr>
          <w:noProof/>
        </w:rPr>
      </w:pPr>
      <w:r w:rsidRPr="00C304BF">
        <w:t>(k)</w:t>
      </w:r>
      <w:r w:rsidRPr="00C304BF">
        <w:tab/>
      </w:r>
      <w:r w:rsidR="00577098" w:rsidRPr="009F56E6">
        <w:rPr>
          <w:noProof/>
        </w:rPr>
        <w:t>ensure that, in the event of interruption, installed systems can be re</w:t>
      </w:r>
      <w:r w:rsidR="00C71220" w:rsidRPr="009F56E6">
        <w:rPr>
          <w:noProof/>
        </w:rPr>
        <w:t>stored to normal operation;</w:t>
      </w:r>
    </w:p>
    <w:p w14:paraId="2295C50A" w14:textId="6DEFAEA3" w:rsidR="00C71220" w:rsidRPr="009F56E6" w:rsidRDefault="00C304BF" w:rsidP="00C304BF">
      <w:pPr>
        <w:pStyle w:val="Point1"/>
        <w:rPr>
          <w:noProof/>
        </w:rPr>
      </w:pPr>
      <w:r w:rsidRPr="00C304BF">
        <w:t>(l)</w:t>
      </w:r>
      <w:r w:rsidRPr="00C304BF">
        <w:tab/>
      </w:r>
      <w:r w:rsidR="00577098" w:rsidRPr="009F56E6">
        <w:rPr>
          <w:noProof/>
        </w:rPr>
        <w:t xml:space="preserve">ensure reliability by making sure that any faults in the functioning of the </w:t>
      </w:r>
      <w:r w:rsidR="00B03AC9" w:rsidRPr="009F56E6">
        <w:rPr>
          <w:noProof/>
        </w:rPr>
        <w:t>router and EPRIS</w:t>
      </w:r>
      <w:r w:rsidR="00C71220" w:rsidRPr="009F56E6">
        <w:rPr>
          <w:noProof/>
        </w:rPr>
        <w:t xml:space="preserve"> are properly reported;</w:t>
      </w:r>
    </w:p>
    <w:p w14:paraId="56BAFC15" w14:textId="445437DB" w:rsidR="00C71220" w:rsidRPr="009F56E6" w:rsidRDefault="00C304BF" w:rsidP="00C304BF">
      <w:pPr>
        <w:pStyle w:val="Point1"/>
        <w:rPr>
          <w:noProof/>
        </w:rPr>
      </w:pPr>
      <w:r w:rsidRPr="00C304BF">
        <w:t>(m)</w:t>
      </w:r>
      <w:r w:rsidRPr="00C304BF">
        <w:tab/>
      </w:r>
      <w:r w:rsidR="00577098" w:rsidRPr="009F56E6">
        <w:rPr>
          <w:noProof/>
        </w:rPr>
        <w:t xml:space="preserve">monitor the effectiveness of the security measures referred to in this paragraph and take the necessary organisational measures related to internal monitoring to ensure compliance with this Regulation and to assess those security measures in the light of new technological developments. </w:t>
      </w:r>
    </w:p>
    <w:p w14:paraId="445EB53E" w14:textId="3F662DEC" w:rsidR="00B910F7" w:rsidRPr="009F56E6" w:rsidRDefault="00B972C2" w:rsidP="00B910F7">
      <w:pPr>
        <w:pStyle w:val="Titrearticle"/>
        <w:rPr>
          <w:noProof/>
        </w:rPr>
      </w:pPr>
      <w:r w:rsidRPr="009F56E6">
        <w:rPr>
          <w:noProof/>
        </w:rPr>
        <w:t xml:space="preserve">Article </w:t>
      </w:r>
      <w:r w:rsidR="00847EC8" w:rsidRPr="009F56E6">
        <w:rPr>
          <w:noProof/>
        </w:rPr>
        <w:t>5</w:t>
      </w:r>
      <w:r w:rsidR="00E15E51">
        <w:rPr>
          <w:noProof/>
        </w:rPr>
        <w:t>5</w:t>
      </w:r>
    </w:p>
    <w:p w14:paraId="005BF16E" w14:textId="39E94D94" w:rsidR="00B910F7" w:rsidRPr="009F56E6" w:rsidRDefault="00E67FA6" w:rsidP="00B910F7">
      <w:pPr>
        <w:jc w:val="center"/>
        <w:rPr>
          <w:b/>
          <w:noProof/>
        </w:rPr>
      </w:pPr>
      <w:r w:rsidRPr="009F56E6">
        <w:rPr>
          <w:b/>
          <w:noProof/>
        </w:rPr>
        <w:t>Security incidents</w:t>
      </w:r>
    </w:p>
    <w:p w14:paraId="19DAE4E1" w14:textId="5B365FDE" w:rsidR="00B2785F" w:rsidRPr="009F56E6" w:rsidRDefault="00577098" w:rsidP="00B910F7">
      <w:pPr>
        <w:rPr>
          <w:noProof/>
        </w:rPr>
      </w:pPr>
      <w:r w:rsidRPr="009F56E6">
        <w:rPr>
          <w:noProof/>
        </w:rPr>
        <w:t>1.</w:t>
      </w:r>
      <w:r w:rsidR="00B2785F" w:rsidRPr="009F56E6">
        <w:rPr>
          <w:noProof/>
        </w:rPr>
        <w:t xml:space="preserve"> </w:t>
      </w:r>
      <w:r w:rsidRPr="009F56E6">
        <w:rPr>
          <w:noProof/>
        </w:rPr>
        <w:t xml:space="preserve">Any event that has or may have an impact on the security of the </w:t>
      </w:r>
      <w:r w:rsidR="00344A47" w:rsidRPr="009F56E6">
        <w:rPr>
          <w:noProof/>
        </w:rPr>
        <w:t>router or EPRIS</w:t>
      </w:r>
      <w:r w:rsidRPr="009F56E6">
        <w:rPr>
          <w:noProof/>
        </w:rPr>
        <w:t xml:space="preserve"> and may cause damage to or loss of data stored in them shall be considered to be a security incident, in particular where unauthorised access to data may have occurred or where the availability, integrity and confidentiality of data has or may have been compromised. </w:t>
      </w:r>
    </w:p>
    <w:p w14:paraId="58C5743B" w14:textId="41FF55D6" w:rsidR="00B2785F" w:rsidRPr="009F56E6" w:rsidRDefault="00577098" w:rsidP="00B910F7">
      <w:pPr>
        <w:rPr>
          <w:noProof/>
        </w:rPr>
      </w:pPr>
      <w:r w:rsidRPr="009F56E6">
        <w:rPr>
          <w:noProof/>
        </w:rPr>
        <w:t>2.</w:t>
      </w:r>
      <w:r w:rsidR="00B2785F" w:rsidRPr="009F56E6">
        <w:rPr>
          <w:noProof/>
        </w:rPr>
        <w:t xml:space="preserve"> </w:t>
      </w:r>
      <w:r w:rsidRPr="009F56E6">
        <w:rPr>
          <w:noProof/>
        </w:rPr>
        <w:t xml:space="preserve">Security incidents shall be managed so as to ensure a quick, effective and proper response. </w:t>
      </w:r>
    </w:p>
    <w:p w14:paraId="1C3F43D7" w14:textId="7422CA88" w:rsidR="00770BA3" w:rsidRPr="009F56E6" w:rsidRDefault="00577098" w:rsidP="00B910F7">
      <w:pPr>
        <w:rPr>
          <w:noProof/>
        </w:rPr>
      </w:pPr>
      <w:r w:rsidRPr="009F56E6">
        <w:rPr>
          <w:noProof/>
        </w:rPr>
        <w:t>3.</w:t>
      </w:r>
      <w:r w:rsidR="00B2785F" w:rsidRPr="009F56E6">
        <w:rPr>
          <w:noProof/>
        </w:rPr>
        <w:t xml:space="preserve"> </w:t>
      </w:r>
      <w:r w:rsidRPr="009F56E6">
        <w:rPr>
          <w:noProof/>
        </w:rPr>
        <w:t xml:space="preserve">Member States shall notify </w:t>
      </w:r>
      <w:r w:rsidR="00C10D98" w:rsidRPr="009F56E6">
        <w:rPr>
          <w:noProof/>
        </w:rPr>
        <w:t>its</w:t>
      </w:r>
      <w:r w:rsidRPr="009F56E6">
        <w:rPr>
          <w:noProof/>
        </w:rPr>
        <w:t xml:space="preserve"> competent supervisory authorities of any security incidents without</w:t>
      </w:r>
      <w:r w:rsidR="00E57D31">
        <w:rPr>
          <w:noProof/>
        </w:rPr>
        <w:t xml:space="preserve"> undue</w:t>
      </w:r>
      <w:r w:rsidRPr="009F56E6">
        <w:rPr>
          <w:noProof/>
        </w:rPr>
        <w:t xml:space="preserve"> delay. </w:t>
      </w:r>
    </w:p>
    <w:p w14:paraId="214A38D4" w14:textId="3E24CB6A" w:rsidR="00770BA3" w:rsidRPr="009F56E6" w:rsidRDefault="00577098" w:rsidP="00B910F7">
      <w:pPr>
        <w:rPr>
          <w:noProof/>
        </w:rPr>
      </w:pPr>
      <w:r w:rsidRPr="009F56E6">
        <w:rPr>
          <w:noProof/>
        </w:rPr>
        <w:t xml:space="preserve">Without prejudice to Article 34 of Regulation (EU) 2016/794, Europol shall notify </w:t>
      </w:r>
      <w:r w:rsidR="00E57D31">
        <w:rPr>
          <w:noProof/>
        </w:rPr>
        <w:t>CERT-EU of significant cyber threats, significant vulnerabilities and significant incidents without undue delay and in any event no later than 24 hours after becoming aware of them. Actionable and appropriate technical details of cyber threats, vulnerabilities and incidents that enable proactive detection, incident response or mitigating measures shall be disclosed to CERT-EU without undue delay</w:t>
      </w:r>
      <w:r w:rsidR="00E65890" w:rsidRPr="009F56E6">
        <w:rPr>
          <w:noProof/>
        </w:rPr>
        <w:t xml:space="preserve">. </w:t>
      </w:r>
    </w:p>
    <w:p w14:paraId="250DF093" w14:textId="05C3AD87" w:rsidR="00B2785F" w:rsidRPr="009F56E6" w:rsidRDefault="00577098" w:rsidP="00B910F7">
      <w:pPr>
        <w:rPr>
          <w:noProof/>
        </w:rPr>
      </w:pPr>
      <w:r w:rsidRPr="009F56E6">
        <w:rPr>
          <w:noProof/>
        </w:rPr>
        <w:t xml:space="preserve">In the event of a security incident in relation to the central infrastructure of the </w:t>
      </w:r>
      <w:r w:rsidR="00344A47" w:rsidRPr="009F56E6">
        <w:rPr>
          <w:noProof/>
        </w:rPr>
        <w:t>route</w:t>
      </w:r>
      <w:r w:rsidR="00E65890" w:rsidRPr="009F56E6">
        <w:rPr>
          <w:noProof/>
        </w:rPr>
        <w:t>r</w:t>
      </w:r>
      <w:r w:rsidRPr="009F56E6">
        <w:rPr>
          <w:noProof/>
        </w:rPr>
        <w:t xml:space="preserve">, eu-LISA shall notify </w:t>
      </w:r>
      <w:r w:rsidR="00E57D31">
        <w:rPr>
          <w:noProof/>
        </w:rPr>
        <w:t>CERT-EU of significant cyber threats, significant vulnerabilities and significant incidents without undue delay and in any event no later than 24 hours after becoming aware of them. Actionable and appropriate technical details of cyber threats, vulnerabilities and incidents that enable proactive detection, incident response or mitigating measures shall be disclosed to CERT-EU without undue delay</w:t>
      </w:r>
      <w:r w:rsidR="00E65890" w:rsidRPr="009F56E6">
        <w:rPr>
          <w:noProof/>
        </w:rPr>
        <w:t xml:space="preserve">. </w:t>
      </w:r>
    </w:p>
    <w:p w14:paraId="16529A5C" w14:textId="4FD082FC" w:rsidR="00B2785F" w:rsidRPr="009F56E6" w:rsidRDefault="00577098" w:rsidP="00B910F7">
      <w:pPr>
        <w:rPr>
          <w:noProof/>
        </w:rPr>
      </w:pPr>
      <w:r w:rsidRPr="009F56E6">
        <w:rPr>
          <w:noProof/>
        </w:rPr>
        <w:t>4.</w:t>
      </w:r>
      <w:r w:rsidR="00B2785F" w:rsidRPr="009F56E6">
        <w:rPr>
          <w:noProof/>
        </w:rPr>
        <w:t xml:space="preserve"> </w:t>
      </w:r>
      <w:r w:rsidRPr="009F56E6">
        <w:rPr>
          <w:noProof/>
        </w:rPr>
        <w:t xml:space="preserve">Information regarding a security incident that has or may have an impact on the operation of the </w:t>
      </w:r>
      <w:r w:rsidR="00344A47" w:rsidRPr="009F56E6">
        <w:rPr>
          <w:noProof/>
        </w:rPr>
        <w:t>router</w:t>
      </w:r>
      <w:r w:rsidRPr="009F56E6">
        <w:rPr>
          <w:noProof/>
        </w:rPr>
        <w:t xml:space="preserve"> or on the availability, integrity and confidentiality of the data shall be provided </w:t>
      </w:r>
      <w:r w:rsidR="00C10D98" w:rsidRPr="009F56E6">
        <w:rPr>
          <w:noProof/>
        </w:rPr>
        <w:t>by the Member States and Union agencies concerned</w:t>
      </w:r>
      <w:r w:rsidR="005B428F" w:rsidRPr="009F56E6">
        <w:rPr>
          <w:noProof/>
        </w:rPr>
        <w:t xml:space="preserve"> </w:t>
      </w:r>
      <w:r w:rsidRPr="009F56E6">
        <w:rPr>
          <w:noProof/>
        </w:rPr>
        <w:t>to the Member States and Europo</w:t>
      </w:r>
      <w:r w:rsidR="00EC4824">
        <w:rPr>
          <w:noProof/>
        </w:rPr>
        <w:t>l without delay and reported in</w:t>
      </w:r>
      <w:r w:rsidR="005550FB">
        <w:rPr>
          <w:noProof/>
        </w:rPr>
        <w:t xml:space="preserve"> </w:t>
      </w:r>
      <w:r w:rsidRPr="009F56E6">
        <w:rPr>
          <w:noProof/>
        </w:rPr>
        <w:t xml:space="preserve">compliance with the incident management plan to be provided by eu-LISA. </w:t>
      </w:r>
    </w:p>
    <w:p w14:paraId="785DE8AC" w14:textId="43C4D234" w:rsidR="00344A47" w:rsidRPr="009F56E6" w:rsidRDefault="00344A47" w:rsidP="00B910F7">
      <w:pPr>
        <w:rPr>
          <w:noProof/>
        </w:rPr>
      </w:pPr>
      <w:r w:rsidRPr="009F56E6">
        <w:rPr>
          <w:noProof/>
        </w:rPr>
        <w:t xml:space="preserve">5. Information regarding a security incident that has or may have an impact on the operation of </w:t>
      </w:r>
      <w:r w:rsidR="00D80308" w:rsidRPr="009F56E6">
        <w:rPr>
          <w:noProof/>
        </w:rPr>
        <w:t>EPRIS</w:t>
      </w:r>
      <w:r w:rsidRPr="009F56E6">
        <w:rPr>
          <w:noProof/>
        </w:rPr>
        <w:t xml:space="preserve"> or on the availability, integrity and confidentiality of the data shall be provided </w:t>
      </w:r>
      <w:r w:rsidR="00C10D98" w:rsidRPr="009F56E6">
        <w:rPr>
          <w:noProof/>
        </w:rPr>
        <w:t xml:space="preserve">by the Member States and Union agencies concerned </w:t>
      </w:r>
      <w:r w:rsidRPr="009F56E6">
        <w:rPr>
          <w:noProof/>
        </w:rPr>
        <w:t>to the Member States without delay and reported in compliance with the incident management plan to be provided by Europol</w:t>
      </w:r>
      <w:r w:rsidR="003540D8" w:rsidRPr="009F56E6">
        <w:rPr>
          <w:noProof/>
        </w:rPr>
        <w:t xml:space="preserve">. </w:t>
      </w:r>
    </w:p>
    <w:p w14:paraId="10BED553" w14:textId="3EE4CE43" w:rsidR="008F7590" w:rsidRPr="009F56E6" w:rsidRDefault="008F7590" w:rsidP="008F7590">
      <w:pPr>
        <w:pStyle w:val="Titrearticle"/>
        <w:rPr>
          <w:noProof/>
        </w:rPr>
      </w:pPr>
      <w:r w:rsidRPr="009F56E6">
        <w:rPr>
          <w:noProof/>
        </w:rPr>
        <w:t>Article 5</w:t>
      </w:r>
      <w:r w:rsidR="00E15E51">
        <w:rPr>
          <w:noProof/>
        </w:rPr>
        <w:t>6</w:t>
      </w:r>
    </w:p>
    <w:p w14:paraId="040A8635" w14:textId="28568E14" w:rsidR="008F7590" w:rsidRPr="009F56E6" w:rsidRDefault="00FA6382" w:rsidP="008F7590">
      <w:pPr>
        <w:jc w:val="center"/>
        <w:rPr>
          <w:b/>
          <w:noProof/>
        </w:rPr>
      </w:pPr>
      <w:r w:rsidRPr="009F56E6">
        <w:rPr>
          <w:b/>
          <w:noProof/>
        </w:rPr>
        <w:t>Self-monitoring</w:t>
      </w:r>
    </w:p>
    <w:p w14:paraId="2FFE5BE3" w14:textId="2119BCAC" w:rsidR="00577098" w:rsidRPr="005A04A2" w:rsidRDefault="0062507C" w:rsidP="008F7590">
      <w:pPr>
        <w:rPr>
          <w:noProof/>
        </w:rPr>
      </w:pPr>
      <w:r w:rsidRPr="009F56E6">
        <w:rPr>
          <w:noProof/>
        </w:rPr>
        <w:t xml:space="preserve">1. </w:t>
      </w:r>
      <w:r w:rsidR="00577098" w:rsidRPr="009F56E6">
        <w:rPr>
          <w:noProof/>
        </w:rPr>
        <w:t xml:space="preserve">Member States and the relevant Union agencies shall ensure that each authority entitled to </w:t>
      </w:r>
      <w:r w:rsidR="00344A47" w:rsidRPr="009F56E6">
        <w:rPr>
          <w:noProof/>
        </w:rPr>
        <w:t>use</w:t>
      </w:r>
      <w:r w:rsidR="00577098" w:rsidRPr="009F56E6">
        <w:rPr>
          <w:noProof/>
        </w:rPr>
        <w:t xml:space="preserve"> </w:t>
      </w:r>
      <w:r w:rsidR="008E3761" w:rsidRPr="009F56E6">
        <w:rPr>
          <w:noProof/>
        </w:rPr>
        <w:t xml:space="preserve">Prüm II </w:t>
      </w:r>
      <w:r w:rsidR="00577098" w:rsidRPr="009F56E6">
        <w:rPr>
          <w:noProof/>
        </w:rPr>
        <w:t>takes the measures necessary to monitor its compliance with this Regulation and cooperates, where necessary, with the supervisory authority</w:t>
      </w:r>
      <w:r w:rsidR="00577098" w:rsidRPr="005A04A2">
        <w:rPr>
          <w:noProof/>
        </w:rPr>
        <w:t xml:space="preserve">. </w:t>
      </w:r>
    </w:p>
    <w:p w14:paraId="22CB4372" w14:textId="1EF77257" w:rsidR="008F7590" w:rsidRPr="009F56E6" w:rsidRDefault="0062507C" w:rsidP="008F7590">
      <w:pPr>
        <w:rPr>
          <w:noProof/>
        </w:rPr>
      </w:pPr>
      <w:r w:rsidRPr="009F56E6">
        <w:rPr>
          <w:noProof/>
        </w:rPr>
        <w:t xml:space="preserve">2. </w:t>
      </w:r>
      <w:r w:rsidR="00577098" w:rsidRPr="009F56E6">
        <w:rPr>
          <w:noProof/>
        </w:rPr>
        <w:t xml:space="preserve">The data controllers shall take the necessary measures to monitor the compliance of data processing pursuant to this Regulation, including through frequent verification of the logs referred to in Articles </w:t>
      </w:r>
      <w:r w:rsidR="0039768A">
        <w:rPr>
          <w:noProof/>
        </w:rPr>
        <w:t>40</w:t>
      </w:r>
      <w:r w:rsidR="00577098" w:rsidRPr="009F56E6">
        <w:rPr>
          <w:noProof/>
        </w:rPr>
        <w:t xml:space="preserve"> and </w:t>
      </w:r>
      <w:r w:rsidR="002575F5" w:rsidRPr="009F56E6">
        <w:rPr>
          <w:noProof/>
        </w:rPr>
        <w:t>4</w:t>
      </w:r>
      <w:r w:rsidR="0039768A">
        <w:rPr>
          <w:noProof/>
        </w:rPr>
        <w:t>5</w:t>
      </w:r>
      <w:r w:rsidR="00577098" w:rsidRPr="009F56E6">
        <w:rPr>
          <w:noProof/>
        </w:rPr>
        <w:t>, and cooperate, where necessary, with the supervisory authorities and with the European Data Protection Supervisor.</w:t>
      </w:r>
    </w:p>
    <w:p w14:paraId="3485914E" w14:textId="15EA38C4" w:rsidR="008F7590" w:rsidRPr="009F56E6" w:rsidRDefault="00FA6382" w:rsidP="008F7590">
      <w:pPr>
        <w:pStyle w:val="Titrearticle"/>
        <w:rPr>
          <w:noProof/>
        </w:rPr>
      </w:pPr>
      <w:r w:rsidRPr="009F56E6">
        <w:rPr>
          <w:noProof/>
        </w:rPr>
        <w:t>Article 5</w:t>
      </w:r>
      <w:r w:rsidR="00E15E51">
        <w:rPr>
          <w:noProof/>
        </w:rPr>
        <w:t>7</w:t>
      </w:r>
    </w:p>
    <w:p w14:paraId="03243707" w14:textId="0C865BCF" w:rsidR="008F7590" w:rsidRPr="009F56E6" w:rsidRDefault="00FA6382" w:rsidP="008F7590">
      <w:pPr>
        <w:jc w:val="center"/>
        <w:rPr>
          <w:b/>
          <w:noProof/>
        </w:rPr>
      </w:pPr>
      <w:r w:rsidRPr="009F56E6">
        <w:rPr>
          <w:b/>
          <w:noProof/>
        </w:rPr>
        <w:t>Penalties</w:t>
      </w:r>
    </w:p>
    <w:p w14:paraId="1F5FCB48" w14:textId="50FA6A97" w:rsidR="008F7590" w:rsidRPr="009F56E6" w:rsidRDefault="00577098" w:rsidP="008F7590">
      <w:pPr>
        <w:rPr>
          <w:noProof/>
        </w:rPr>
      </w:pPr>
      <w:r w:rsidRPr="009F56E6">
        <w:rPr>
          <w:noProof/>
        </w:rPr>
        <w:t>Member States shall ensure that any misuse of data, processing of data or exchange of data contrary to this Regulation is punishable in accordance with national law. The penalties provided shall be effective, proportionate and dissuasive.</w:t>
      </w:r>
    </w:p>
    <w:p w14:paraId="231C952A" w14:textId="241C5B90" w:rsidR="005550FB" w:rsidRPr="009F56E6" w:rsidRDefault="005550FB" w:rsidP="005550FB">
      <w:pPr>
        <w:pStyle w:val="Titrearticle"/>
        <w:rPr>
          <w:noProof/>
        </w:rPr>
      </w:pPr>
      <w:r w:rsidRPr="009F56E6">
        <w:rPr>
          <w:noProof/>
        </w:rPr>
        <w:t>Article 5</w:t>
      </w:r>
      <w:r w:rsidR="00E15E51">
        <w:rPr>
          <w:noProof/>
        </w:rPr>
        <w:t>8</w:t>
      </w:r>
    </w:p>
    <w:p w14:paraId="1A9325A8" w14:textId="54E2BF0D" w:rsidR="005550FB" w:rsidRPr="009F56E6" w:rsidRDefault="005550FB" w:rsidP="005550FB">
      <w:pPr>
        <w:jc w:val="center"/>
        <w:rPr>
          <w:b/>
          <w:noProof/>
        </w:rPr>
      </w:pPr>
      <w:r>
        <w:rPr>
          <w:b/>
          <w:noProof/>
        </w:rPr>
        <w:t>Burden of proof</w:t>
      </w:r>
    </w:p>
    <w:p w14:paraId="100CEBFB" w14:textId="50D17D25" w:rsidR="005550FB" w:rsidRDefault="005550FB" w:rsidP="005550FB">
      <w:pPr>
        <w:rPr>
          <w:noProof/>
        </w:rPr>
      </w:pPr>
      <w:r>
        <w:rPr>
          <w:noProof/>
        </w:rPr>
        <w:t xml:space="preserve">1. Member States shall take the necessary measures to ensure that persons who consider themselves as having been discriminated </w:t>
      </w:r>
      <w:r w:rsidR="00D76908">
        <w:rPr>
          <w:noProof/>
        </w:rPr>
        <w:t xml:space="preserve">against </w:t>
      </w:r>
      <w:r>
        <w:rPr>
          <w:noProof/>
        </w:rPr>
        <w:t xml:space="preserve">due to the processing or exchange of their personal data do not bear the burden of proof. In cases where a person considers that he or she has been allegedly discriminated </w:t>
      </w:r>
      <w:r w:rsidR="00D76908">
        <w:rPr>
          <w:noProof/>
        </w:rPr>
        <w:t xml:space="preserve">against </w:t>
      </w:r>
      <w:r>
        <w:rPr>
          <w:noProof/>
        </w:rPr>
        <w:t xml:space="preserve">in the context of </w:t>
      </w:r>
      <w:r w:rsidR="00D72625">
        <w:rPr>
          <w:noProof/>
        </w:rPr>
        <w:t>an automated comparison</w:t>
      </w:r>
      <w:r>
        <w:rPr>
          <w:noProof/>
        </w:rPr>
        <w:t xml:space="preserve"> </w:t>
      </w:r>
      <w:r w:rsidR="00D72625">
        <w:rPr>
          <w:noProof/>
        </w:rPr>
        <w:t>in the context of this Regulation</w:t>
      </w:r>
      <w:r>
        <w:rPr>
          <w:noProof/>
        </w:rPr>
        <w:t xml:space="preserve"> in front of a court or other competent judicial authority, the Member State authorities having processed the data shall justify why there was no discrimination. </w:t>
      </w:r>
    </w:p>
    <w:p w14:paraId="5AC5AD26" w14:textId="77777777" w:rsidR="005550FB" w:rsidRDefault="005550FB" w:rsidP="005550FB">
      <w:pPr>
        <w:rPr>
          <w:noProof/>
        </w:rPr>
      </w:pPr>
      <w:r>
        <w:rPr>
          <w:noProof/>
        </w:rPr>
        <w:t>2. Paragraph 1 shall not apply to criminal procedures.</w:t>
      </w:r>
    </w:p>
    <w:p w14:paraId="6C906C65" w14:textId="595716FF" w:rsidR="005550FB" w:rsidRPr="009F56E6" w:rsidRDefault="005550FB" w:rsidP="005550FB">
      <w:pPr>
        <w:rPr>
          <w:noProof/>
        </w:rPr>
      </w:pPr>
      <w:r>
        <w:rPr>
          <w:noProof/>
        </w:rPr>
        <w:t>3. Member States shall not take specific measures in the meaning of paragraph 1 to proceedings in which it is for the court or competent judicial body to investigate the facts of the case.</w:t>
      </w:r>
    </w:p>
    <w:p w14:paraId="7A1FA9FE" w14:textId="6EF156DC" w:rsidR="008F7590" w:rsidRPr="009F56E6" w:rsidRDefault="00FA6382" w:rsidP="008F7590">
      <w:pPr>
        <w:pStyle w:val="Titrearticle"/>
        <w:rPr>
          <w:noProof/>
        </w:rPr>
      </w:pPr>
      <w:r w:rsidRPr="009F56E6">
        <w:rPr>
          <w:noProof/>
        </w:rPr>
        <w:t>Article 5</w:t>
      </w:r>
      <w:r w:rsidR="00E15E51">
        <w:rPr>
          <w:noProof/>
        </w:rPr>
        <w:t>9</w:t>
      </w:r>
    </w:p>
    <w:p w14:paraId="2BC971F5" w14:textId="36E69130" w:rsidR="008F7590" w:rsidRPr="009F56E6" w:rsidRDefault="00FA6382" w:rsidP="008F7590">
      <w:pPr>
        <w:jc w:val="center"/>
        <w:rPr>
          <w:b/>
          <w:noProof/>
        </w:rPr>
      </w:pPr>
      <w:r w:rsidRPr="009F56E6">
        <w:rPr>
          <w:b/>
          <w:noProof/>
        </w:rPr>
        <w:t>Liability</w:t>
      </w:r>
    </w:p>
    <w:p w14:paraId="1B88AC7C" w14:textId="33B5B880" w:rsidR="00770BA3" w:rsidRPr="009F56E6" w:rsidRDefault="00885912" w:rsidP="008F7590">
      <w:pPr>
        <w:rPr>
          <w:noProof/>
        </w:rPr>
      </w:pPr>
      <w:r w:rsidRPr="009F56E6">
        <w:rPr>
          <w:noProof/>
        </w:rPr>
        <w:t xml:space="preserve">If any failure of a Member State to comply with its obligations under this Regulation causes damage to </w:t>
      </w:r>
      <w:r w:rsidR="004C5C39" w:rsidRPr="009F56E6">
        <w:rPr>
          <w:noProof/>
        </w:rPr>
        <w:t>the</w:t>
      </w:r>
      <w:r w:rsidRPr="009F56E6">
        <w:rPr>
          <w:noProof/>
        </w:rPr>
        <w:t xml:space="preserve"> </w:t>
      </w:r>
      <w:r w:rsidR="00054D49" w:rsidRPr="009F56E6">
        <w:rPr>
          <w:noProof/>
        </w:rPr>
        <w:t>router or EPRIS</w:t>
      </w:r>
      <w:r w:rsidRPr="009F56E6">
        <w:rPr>
          <w:noProof/>
        </w:rPr>
        <w:t xml:space="preserve">, that Member </w:t>
      </w:r>
      <w:r w:rsidR="00AB1319" w:rsidRPr="009F56E6">
        <w:rPr>
          <w:noProof/>
        </w:rPr>
        <w:t>St</w:t>
      </w:r>
      <w:r w:rsidRPr="009F56E6">
        <w:rPr>
          <w:noProof/>
        </w:rPr>
        <w:t>ate shall be liable for such damage, unless and insofar as eu-LISA</w:t>
      </w:r>
      <w:r w:rsidR="00054D49" w:rsidRPr="009F56E6">
        <w:rPr>
          <w:noProof/>
        </w:rPr>
        <w:t>, Europol</w:t>
      </w:r>
      <w:r w:rsidRPr="009F56E6">
        <w:rPr>
          <w:noProof/>
        </w:rPr>
        <w:t xml:space="preserve"> or another Member State bound by this Regulation failed to take reasonable measures to prevent the damage from occurring or to minimise its impact. </w:t>
      </w:r>
    </w:p>
    <w:p w14:paraId="5AFAB0DB" w14:textId="3F613D71" w:rsidR="00A70503" w:rsidRPr="009F56E6" w:rsidRDefault="00A70503" w:rsidP="00A70503">
      <w:pPr>
        <w:pStyle w:val="Titrearticle"/>
        <w:rPr>
          <w:noProof/>
        </w:rPr>
      </w:pPr>
      <w:r w:rsidRPr="009F56E6">
        <w:rPr>
          <w:noProof/>
        </w:rPr>
        <w:t xml:space="preserve">Article </w:t>
      </w:r>
      <w:r w:rsidR="00E15E51">
        <w:rPr>
          <w:noProof/>
        </w:rPr>
        <w:t>60</w:t>
      </w:r>
    </w:p>
    <w:p w14:paraId="5E5FA67C" w14:textId="3C090F25" w:rsidR="00A70503" w:rsidRPr="009F56E6" w:rsidRDefault="00BD7ABC" w:rsidP="00A70503">
      <w:pPr>
        <w:jc w:val="center"/>
        <w:rPr>
          <w:b/>
          <w:noProof/>
        </w:rPr>
      </w:pPr>
      <w:r w:rsidRPr="009F56E6">
        <w:rPr>
          <w:b/>
          <w:noProof/>
        </w:rPr>
        <w:t>Audits by the European Data Protection Supervisor</w:t>
      </w:r>
    </w:p>
    <w:p w14:paraId="6FE97641" w14:textId="706EB0DE" w:rsidR="00102C9D" w:rsidRPr="009F56E6" w:rsidRDefault="0062507C" w:rsidP="00A70503">
      <w:pPr>
        <w:rPr>
          <w:noProof/>
        </w:rPr>
      </w:pPr>
      <w:r w:rsidRPr="009F56E6">
        <w:rPr>
          <w:noProof/>
        </w:rPr>
        <w:t xml:space="preserve">1. </w:t>
      </w:r>
      <w:r w:rsidR="00683139" w:rsidRPr="009F56E6">
        <w:rPr>
          <w:noProof/>
        </w:rPr>
        <w:t>The European Data Protection Supervisor shall ensure that an audit of personal data processing operations by eu-LISA and Europol for the purposes of this Regulation is carried out in accordance with relevant international auditing standards at least every four years. A report of that audit shall be sent to the European Parliament, to the Council, to the Commission, to the Member States and to the Union agency concerned. Europol</w:t>
      </w:r>
      <w:r w:rsidR="00065888">
        <w:rPr>
          <w:noProof/>
        </w:rPr>
        <w:t xml:space="preserve"> and eu-LISA</w:t>
      </w:r>
      <w:r w:rsidR="00683139" w:rsidRPr="009F56E6">
        <w:rPr>
          <w:noProof/>
        </w:rPr>
        <w:t xml:space="preserve"> shall be given an opportunity to make comments before the reports are adopted. </w:t>
      </w:r>
    </w:p>
    <w:p w14:paraId="1682D697" w14:textId="3FFA91CE" w:rsidR="00A70503" w:rsidRPr="009F56E6" w:rsidRDefault="0062507C" w:rsidP="00A70503">
      <w:pPr>
        <w:rPr>
          <w:noProof/>
        </w:rPr>
      </w:pPr>
      <w:r w:rsidRPr="009F56E6">
        <w:rPr>
          <w:noProof/>
        </w:rPr>
        <w:t xml:space="preserve">2. </w:t>
      </w:r>
      <w:r w:rsidR="00683139" w:rsidRPr="009F56E6">
        <w:rPr>
          <w:noProof/>
        </w:rPr>
        <w:t xml:space="preserve">eu-LISA and Europol shall supply information requested by the European Data Protection Supervisor to it, grant the European Data Protection Supervisor access to all the documents it requests and to their logs referred to in Articles </w:t>
      </w:r>
      <w:r w:rsidR="0039768A">
        <w:rPr>
          <w:noProof/>
        </w:rPr>
        <w:t>40</w:t>
      </w:r>
      <w:r w:rsidR="00683139" w:rsidRPr="009F56E6">
        <w:rPr>
          <w:noProof/>
        </w:rPr>
        <w:t xml:space="preserve"> and </w:t>
      </w:r>
      <w:r w:rsidR="00A12ABB" w:rsidRPr="009F56E6">
        <w:rPr>
          <w:noProof/>
        </w:rPr>
        <w:t>4</w:t>
      </w:r>
      <w:r w:rsidR="0039768A">
        <w:rPr>
          <w:noProof/>
        </w:rPr>
        <w:t>5</w:t>
      </w:r>
      <w:r w:rsidR="00683139" w:rsidRPr="009F56E6">
        <w:rPr>
          <w:noProof/>
        </w:rPr>
        <w:t xml:space="preserve"> and allow the European Data Protection Supervisor access to all their premises at a</w:t>
      </w:r>
      <w:r w:rsidR="00102C9D" w:rsidRPr="009F56E6">
        <w:rPr>
          <w:noProof/>
        </w:rPr>
        <w:t>ny time.</w:t>
      </w:r>
    </w:p>
    <w:p w14:paraId="7D4A7CFB" w14:textId="60971EB5" w:rsidR="00A70503" w:rsidRPr="009F56E6" w:rsidRDefault="00A70503" w:rsidP="00A70503">
      <w:pPr>
        <w:pStyle w:val="Titrearticle"/>
        <w:rPr>
          <w:noProof/>
        </w:rPr>
      </w:pPr>
      <w:r w:rsidRPr="009F56E6">
        <w:rPr>
          <w:noProof/>
        </w:rPr>
        <w:t xml:space="preserve">Article </w:t>
      </w:r>
      <w:r w:rsidR="00E15E51">
        <w:rPr>
          <w:noProof/>
        </w:rPr>
        <w:t>61</w:t>
      </w:r>
    </w:p>
    <w:p w14:paraId="2DA9953B" w14:textId="7D0CC6E1" w:rsidR="00A70503" w:rsidRPr="009F56E6" w:rsidRDefault="00A70503" w:rsidP="00A70503">
      <w:pPr>
        <w:jc w:val="center"/>
        <w:rPr>
          <w:b/>
          <w:noProof/>
        </w:rPr>
      </w:pPr>
      <w:r w:rsidRPr="009F56E6">
        <w:rPr>
          <w:b/>
          <w:noProof/>
        </w:rPr>
        <w:t>Cooperation</w:t>
      </w:r>
      <w:r w:rsidR="00BD7ABC" w:rsidRPr="009F56E6">
        <w:rPr>
          <w:b/>
          <w:noProof/>
        </w:rPr>
        <w:t xml:space="preserve"> between supervisory authorities and the European Data Protection Supervisor</w:t>
      </w:r>
    </w:p>
    <w:p w14:paraId="4DE870F1" w14:textId="53A03645" w:rsidR="001402AA" w:rsidRPr="009F56E6" w:rsidRDefault="00683139" w:rsidP="008F7590">
      <w:pPr>
        <w:rPr>
          <w:noProof/>
        </w:rPr>
      </w:pPr>
      <w:r w:rsidRPr="009F56E6">
        <w:rPr>
          <w:noProof/>
        </w:rPr>
        <w:t>1.</w:t>
      </w:r>
      <w:r w:rsidR="001402AA" w:rsidRPr="009F56E6">
        <w:rPr>
          <w:noProof/>
        </w:rPr>
        <w:t xml:space="preserve"> </w:t>
      </w:r>
      <w:r w:rsidRPr="009F56E6">
        <w:rPr>
          <w:noProof/>
        </w:rPr>
        <w:t xml:space="preserve">The supervisory authorities and the European Data Protection Supervisor shall, each acting within the scope of their respective competences, cooperate actively within the framework of their respective responsibilities and ensure coordinated supervision of the application of this Regulation, in particular if the European Data Protection Supervisor or a supervisory authority finds major discrepancies between practices of Member States or finds potentially unlawful transfers using the </w:t>
      </w:r>
      <w:r w:rsidR="00F01B57" w:rsidRPr="009F56E6">
        <w:rPr>
          <w:noProof/>
        </w:rPr>
        <w:t xml:space="preserve">Prüm </w:t>
      </w:r>
      <w:r w:rsidR="00DC5EDB" w:rsidRPr="009F56E6">
        <w:rPr>
          <w:noProof/>
        </w:rPr>
        <w:t xml:space="preserve">II </w:t>
      </w:r>
      <w:r w:rsidRPr="009F56E6">
        <w:rPr>
          <w:noProof/>
        </w:rPr>
        <w:t>communication channels</w:t>
      </w:r>
      <w:r w:rsidR="001402AA" w:rsidRPr="009F56E6">
        <w:rPr>
          <w:noProof/>
        </w:rPr>
        <w:t>.</w:t>
      </w:r>
    </w:p>
    <w:p w14:paraId="3FF775F7" w14:textId="7DC44990" w:rsidR="001402AA" w:rsidRPr="009F56E6" w:rsidRDefault="00683139" w:rsidP="008F7590">
      <w:pPr>
        <w:rPr>
          <w:noProof/>
        </w:rPr>
      </w:pPr>
      <w:r w:rsidRPr="009F56E6">
        <w:rPr>
          <w:noProof/>
        </w:rPr>
        <w:t>2.</w:t>
      </w:r>
      <w:r w:rsidR="001402AA" w:rsidRPr="009F56E6">
        <w:rPr>
          <w:noProof/>
        </w:rPr>
        <w:t xml:space="preserve"> </w:t>
      </w:r>
      <w:r w:rsidRPr="009F56E6">
        <w:rPr>
          <w:noProof/>
        </w:rPr>
        <w:t>In the cases referred to in paragraph 1 of this Article, coordinated supervision shall be ensured in accordance with Article 62 of Regulati</w:t>
      </w:r>
      <w:r w:rsidR="001402AA" w:rsidRPr="009F56E6">
        <w:rPr>
          <w:noProof/>
        </w:rPr>
        <w:t>on (EU) 2018/1725.</w:t>
      </w:r>
    </w:p>
    <w:p w14:paraId="55C88260" w14:textId="318E1A57" w:rsidR="00A70503" w:rsidRPr="009F56E6" w:rsidRDefault="00683139" w:rsidP="008F7590">
      <w:pPr>
        <w:rPr>
          <w:noProof/>
        </w:rPr>
      </w:pPr>
      <w:r w:rsidRPr="009F56E6">
        <w:rPr>
          <w:noProof/>
        </w:rPr>
        <w:t>3.</w:t>
      </w:r>
      <w:r w:rsidR="001402AA" w:rsidRPr="009F56E6">
        <w:rPr>
          <w:noProof/>
        </w:rPr>
        <w:t xml:space="preserve"> </w:t>
      </w:r>
      <w:r w:rsidR="00B15838" w:rsidRPr="009F56E6">
        <w:rPr>
          <w:noProof/>
        </w:rPr>
        <w:t xml:space="preserve">The European Data Protection Board shall send a joint report of its activities under this Article to the European Parliament, to the Council, to the Commission, to Europol and to eu-LISA </w:t>
      </w:r>
      <w:r w:rsidRPr="009F56E6">
        <w:rPr>
          <w:noProof/>
        </w:rPr>
        <w:t xml:space="preserve">by </w:t>
      </w:r>
      <w:r w:rsidR="00F01B57" w:rsidRPr="009F56E6">
        <w:rPr>
          <w:noProof/>
        </w:rPr>
        <w:t>[</w:t>
      </w:r>
      <w:r w:rsidR="00F01B57" w:rsidRPr="0003774E">
        <w:rPr>
          <w:i/>
          <w:noProof/>
        </w:rPr>
        <w:t xml:space="preserve">2 years after </w:t>
      </w:r>
      <w:r w:rsidR="00877ABA" w:rsidRPr="0003774E">
        <w:rPr>
          <w:i/>
          <w:noProof/>
        </w:rPr>
        <w:t xml:space="preserve">entry </w:t>
      </w:r>
      <w:r w:rsidR="00F01B57" w:rsidRPr="0003774E">
        <w:rPr>
          <w:i/>
          <w:noProof/>
        </w:rPr>
        <w:t xml:space="preserve">into operation of </w:t>
      </w:r>
      <w:r w:rsidR="00065888" w:rsidRPr="0003774E">
        <w:rPr>
          <w:i/>
          <w:noProof/>
        </w:rPr>
        <w:t>the router and EPRIS</w:t>
      </w:r>
      <w:r w:rsidR="00F01B57" w:rsidRPr="009F56E6">
        <w:rPr>
          <w:noProof/>
        </w:rPr>
        <w:t>]</w:t>
      </w:r>
      <w:r w:rsidRPr="009F56E6">
        <w:rPr>
          <w:noProof/>
        </w:rPr>
        <w:t xml:space="preserve"> and every two years thereafter. That report shall include a chapter on each Member State prepared by the supervisory authority</w:t>
      </w:r>
      <w:r w:rsidR="00416E83" w:rsidRPr="009F56E6">
        <w:rPr>
          <w:noProof/>
        </w:rPr>
        <w:t xml:space="preserve"> of the Member State concerned.</w:t>
      </w:r>
    </w:p>
    <w:p w14:paraId="74F43413" w14:textId="01411C02" w:rsidR="008F7590" w:rsidRPr="009F56E6" w:rsidRDefault="00B62D37" w:rsidP="008F7590">
      <w:pPr>
        <w:pStyle w:val="Titrearticle"/>
        <w:rPr>
          <w:noProof/>
        </w:rPr>
      </w:pPr>
      <w:r w:rsidRPr="009F56E6">
        <w:rPr>
          <w:noProof/>
        </w:rPr>
        <w:t xml:space="preserve">Article </w:t>
      </w:r>
      <w:r w:rsidR="00E15E51">
        <w:rPr>
          <w:noProof/>
        </w:rPr>
        <w:t>62</w:t>
      </w:r>
    </w:p>
    <w:p w14:paraId="577EBFE0" w14:textId="477C7A4B" w:rsidR="008F7590" w:rsidRPr="009F56E6" w:rsidRDefault="00D206A9" w:rsidP="008F7590">
      <w:pPr>
        <w:jc w:val="center"/>
        <w:rPr>
          <w:b/>
          <w:noProof/>
        </w:rPr>
      </w:pPr>
      <w:r w:rsidRPr="009F56E6">
        <w:rPr>
          <w:b/>
          <w:noProof/>
        </w:rPr>
        <w:t xml:space="preserve">Communication of </w:t>
      </w:r>
      <w:r w:rsidR="00BD7ABC" w:rsidRPr="009F56E6">
        <w:rPr>
          <w:b/>
          <w:noProof/>
        </w:rPr>
        <w:t xml:space="preserve">personal </w:t>
      </w:r>
      <w:r w:rsidRPr="009F56E6">
        <w:rPr>
          <w:b/>
          <w:noProof/>
        </w:rPr>
        <w:t>data to third countries</w:t>
      </w:r>
      <w:r w:rsidR="00E6756D" w:rsidRPr="009F56E6">
        <w:rPr>
          <w:b/>
          <w:noProof/>
        </w:rPr>
        <w:t xml:space="preserve"> and</w:t>
      </w:r>
      <w:r w:rsidR="00BD7ABC" w:rsidRPr="009F56E6">
        <w:rPr>
          <w:b/>
          <w:noProof/>
        </w:rPr>
        <w:t xml:space="preserve"> international organisations</w:t>
      </w:r>
    </w:p>
    <w:p w14:paraId="2B745B82" w14:textId="73414901" w:rsidR="003540D8" w:rsidRDefault="00FE523D" w:rsidP="008F7590">
      <w:pPr>
        <w:rPr>
          <w:noProof/>
        </w:rPr>
      </w:pPr>
      <w:r w:rsidRPr="009F56E6">
        <w:rPr>
          <w:noProof/>
        </w:rPr>
        <w:t xml:space="preserve">Data processed in </w:t>
      </w:r>
      <w:r w:rsidR="00413F1C" w:rsidRPr="009F56E6">
        <w:rPr>
          <w:noProof/>
        </w:rPr>
        <w:t>accordance with this Regulation</w:t>
      </w:r>
      <w:r w:rsidRPr="009F56E6">
        <w:rPr>
          <w:noProof/>
        </w:rPr>
        <w:t xml:space="preserve"> shall not be</w:t>
      </w:r>
      <w:r w:rsidR="00E6756D" w:rsidRPr="009F56E6">
        <w:rPr>
          <w:noProof/>
        </w:rPr>
        <w:t xml:space="preserve"> </w:t>
      </w:r>
      <w:r w:rsidRPr="009F56E6">
        <w:rPr>
          <w:noProof/>
        </w:rPr>
        <w:t>transferred or made available to third countries or to international organisations</w:t>
      </w:r>
      <w:r w:rsidR="00E6756D" w:rsidRPr="009F56E6">
        <w:rPr>
          <w:noProof/>
        </w:rPr>
        <w:t xml:space="preserve"> in an automated manner</w:t>
      </w:r>
      <w:r w:rsidRPr="009F56E6">
        <w:rPr>
          <w:noProof/>
        </w:rPr>
        <w:t>.</w:t>
      </w:r>
    </w:p>
    <w:p w14:paraId="2A9A97B6" w14:textId="4DC3F548" w:rsidR="00FE631E" w:rsidRPr="00FC1288" w:rsidDel="00FE523D" w:rsidRDefault="00FE631E" w:rsidP="008F7590">
      <w:pPr>
        <w:rPr>
          <w:noProof/>
        </w:rPr>
      </w:pPr>
    </w:p>
    <w:p w14:paraId="3F72CAA3" w14:textId="1492345E" w:rsidR="00973C96" w:rsidRPr="009F56E6" w:rsidRDefault="00973C96" w:rsidP="00973C96">
      <w:pPr>
        <w:pStyle w:val="Titrearticle"/>
        <w:rPr>
          <w:i w:val="0"/>
          <w:noProof/>
          <w:lang w:val="en-US"/>
        </w:rPr>
      </w:pPr>
      <w:r w:rsidRPr="009F56E6">
        <w:rPr>
          <w:i w:val="0"/>
          <w:noProof/>
          <w:lang w:val="en-US"/>
        </w:rPr>
        <w:t>CHAPTER 7</w:t>
      </w:r>
    </w:p>
    <w:p w14:paraId="7BDA5B84" w14:textId="3475E608" w:rsidR="00973C96" w:rsidRPr="009F56E6" w:rsidRDefault="00973C96" w:rsidP="000D1038">
      <w:pPr>
        <w:jc w:val="center"/>
        <w:rPr>
          <w:b/>
          <w:noProof/>
          <w:lang w:val="en-US"/>
        </w:rPr>
      </w:pPr>
      <w:r w:rsidRPr="009F56E6">
        <w:rPr>
          <w:b/>
          <w:noProof/>
          <w:lang w:val="en-US"/>
        </w:rPr>
        <w:t>RESPONSIBILITIES</w:t>
      </w:r>
    </w:p>
    <w:p w14:paraId="52C0CC3D" w14:textId="4BE6B79A" w:rsidR="008F7590" w:rsidRPr="00E951DA" w:rsidRDefault="00B62D37" w:rsidP="008F7590">
      <w:pPr>
        <w:pStyle w:val="Titrearticle"/>
        <w:rPr>
          <w:noProof/>
        </w:rPr>
      </w:pPr>
      <w:r w:rsidRPr="00E951DA">
        <w:rPr>
          <w:noProof/>
        </w:rPr>
        <w:t xml:space="preserve">Article </w:t>
      </w:r>
      <w:r w:rsidR="00E15E51">
        <w:rPr>
          <w:noProof/>
        </w:rPr>
        <w:t>63</w:t>
      </w:r>
    </w:p>
    <w:p w14:paraId="4968216B" w14:textId="507BBD81" w:rsidR="008F7590" w:rsidRPr="009F56E6" w:rsidRDefault="007D482D" w:rsidP="008F7590">
      <w:pPr>
        <w:jc w:val="center"/>
        <w:rPr>
          <w:b/>
          <w:noProof/>
        </w:rPr>
      </w:pPr>
      <w:r w:rsidRPr="009F56E6">
        <w:rPr>
          <w:b/>
          <w:noProof/>
        </w:rPr>
        <w:t>Responsibilities</w:t>
      </w:r>
      <w:r w:rsidR="00BD7ABC" w:rsidRPr="009F56E6">
        <w:rPr>
          <w:b/>
          <w:noProof/>
        </w:rPr>
        <w:t xml:space="preserve"> of </w:t>
      </w:r>
      <w:r w:rsidR="00973C96" w:rsidRPr="009F56E6">
        <w:rPr>
          <w:b/>
          <w:noProof/>
        </w:rPr>
        <w:t>Member States</w:t>
      </w:r>
    </w:p>
    <w:p w14:paraId="4367DE19" w14:textId="41E7D827" w:rsidR="00465AD2" w:rsidRPr="009F56E6" w:rsidRDefault="00465AD2" w:rsidP="008F7590">
      <w:pPr>
        <w:rPr>
          <w:noProof/>
        </w:rPr>
      </w:pPr>
      <w:r w:rsidRPr="009F56E6">
        <w:rPr>
          <w:noProof/>
        </w:rPr>
        <w:t>1. Each Member State shall be responsible for:</w:t>
      </w:r>
    </w:p>
    <w:p w14:paraId="1AD03AE5" w14:textId="1FDB8A45" w:rsidR="00465AD2" w:rsidRPr="009F56E6" w:rsidRDefault="00C304BF" w:rsidP="00C304BF">
      <w:pPr>
        <w:pStyle w:val="Point0"/>
        <w:rPr>
          <w:noProof/>
        </w:rPr>
      </w:pPr>
      <w:r w:rsidRPr="00C304BF">
        <w:t>(a)</w:t>
      </w:r>
      <w:r w:rsidRPr="00C304BF">
        <w:tab/>
      </w:r>
      <w:r w:rsidR="00465AD2" w:rsidRPr="009F56E6">
        <w:rPr>
          <w:noProof/>
        </w:rPr>
        <w:t xml:space="preserve">the connection to the infrastructure of the </w:t>
      </w:r>
      <w:r w:rsidR="00195273" w:rsidRPr="009F56E6">
        <w:rPr>
          <w:noProof/>
        </w:rPr>
        <w:t>router</w:t>
      </w:r>
      <w:r w:rsidR="00465AD2" w:rsidRPr="009F56E6">
        <w:rPr>
          <w:noProof/>
        </w:rPr>
        <w:t>;</w:t>
      </w:r>
    </w:p>
    <w:p w14:paraId="3BADD91A" w14:textId="2582A408" w:rsidR="00D775D0" w:rsidRPr="009F56E6" w:rsidRDefault="00C304BF" w:rsidP="00C304BF">
      <w:pPr>
        <w:pStyle w:val="Point0"/>
        <w:rPr>
          <w:noProof/>
        </w:rPr>
      </w:pPr>
      <w:r w:rsidRPr="00C304BF">
        <w:t>(b)</w:t>
      </w:r>
      <w:r w:rsidRPr="00C304BF">
        <w:tab/>
      </w:r>
      <w:r w:rsidR="00465AD2" w:rsidRPr="009F56E6">
        <w:rPr>
          <w:noProof/>
        </w:rPr>
        <w:t xml:space="preserve">the integration of the existing national systems and infrastructures with the </w:t>
      </w:r>
      <w:r w:rsidR="00195273" w:rsidRPr="009F56E6">
        <w:rPr>
          <w:noProof/>
        </w:rPr>
        <w:t>router</w:t>
      </w:r>
      <w:r w:rsidR="00465AD2" w:rsidRPr="009F56E6">
        <w:rPr>
          <w:noProof/>
        </w:rPr>
        <w:t>;</w:t>
      </w:r>
      <w:r w:rsidR="00D775D0" w:rsidRPr="009F56E6">
        <w:rPr>
          <w:noProof/>
        </w:rPr>
        <w:t xml:space="preserve"> </w:t>
      </w:r>
    </w:p>
    <w:p w14:paraId="7F0B9476" w14:textId="6AE31AA9" w:rsidR="00D775D0" w:rsidRPr="009F56E6" w:rsidRDefault="00C304BF" w:rsidP="00C304BF">
      <w:pPr>
        <w:pStyle w:val="Point0"/>
        <w:rPr>
          <w:noProof/>
        </w:rPr>
      </w:pPr>
      <w:r w:rsidRPr="00C304BF">
        <w:t>(c)</w:t>
      </w:r>
      <w:r w:rsidRPr="00C304BF">
        <w:tab/>
      </w:r>
      <w:r w:rsidR="00D775D0" w:rsidRPr="009F56E6">
        <w:rPr>
          <w:noProof/>
        </w:rPr>
        <w:t>the organisation, management, operation and maintenance of its existing national infrastructure and of its connection to the router;</w:t>
      </w:r>
    </w:p>
    <w:p w14:paraId="5AB1374C" w14:textId="2FEB247A" w:rsidR="00D775D0" w:rsidRPr="009F56E6" w:rsidRDefault="00C304BF" w:rsidP="00C304BF">
      <w:pPr>
        <w:pStyle w:val="Point0"/>
        <w:rPr>
          <w:noProof/>
        </w:rPr>
      </w:pPr>
      <w:r w:rsidRPr="00C304BF">
        <w:t>(d)</w:t>
      </w:r>
      <w:r w:rsidRPr="00C304BF">
        <w:tab/>
      </w:r>
      <w:r w:rsidR="00D775D0" w:rsidRPr="009F56E6">
        <w:rPr>
          <w:noProof/>
        </w:rPr>
        <w:t>the connection to the infrastructure of EPRIS;</w:t>
      </w:r>
    </w:p>
    <w:p w14:paraId="5BA33AD8" w14:textId="612A5426" w:rsidR="00D775D0" w:rsidRPr="009F56E6" w:rsidRDefault="00C304BF" w:rsidP="00C304BF">
      <w:pPr>
        <w:pStyle w:val="Point0"/>
        <w:rPr>
          <w:noProof/>
        </w:rPr>
      </w:pPr>
      <w:r w:rsidRPr="00C304BF">
        <w:t>(e)</w:t>
      </w:r>
      <w:r w:rsidRPr="00C304BF">
        <w:tab/>
      </w:r>
      <w:r w:rsidR="00D775D0" w:rsidRPr="009F56E6">
        <w:rPr>
          <w:noProof/>
        </w:rPr>
        <w:t>the integration of the existing national systems and infrastructures with EPRIS;</w:t>
      </w:r>
    </w:p>
    <w:p w14:paraId="299340AE" w14:textId="51A279DF" w:rsidR="009775C7" w:rsidRPr="009F56E6" w:rsidRDefault="00C304BF" w:rsidP="00C304BF">
      <w:pPr>
        <w:pStyle w:val="Point0"/>
        <w:rPr>
          <w:noProof/>
        </w:rPr>
      </w:pPr>
      <w:r w:rsidRPr="00C304BF">
        <w:t>(f)</w:t>
      </w:r>
      <w:r w:rsidRPr="00C304BF">
        <w:tab/>
      </w:r>
      <w:r w:rsidR="00D775D0" w:rsidRPr="009F56E6">
        <w:rPr>
          <w:noProof/>
        </w:rPr>
        <w:t>the organisation, management, operation and maintenance of its existing national infrastructure and of its connection to EPRIS;</w:t>
      </w:r>
    </w:p>
    <w:p w14:paraId="3E7C6DCD" w14:textId="56BDFD12" w:rsidR="00465AD2" w:rsidRPr="009F56E6" w:rsidRDefault="00C304BF" w:rsidP="00C304BF">
      <w:pPr>
        <w:pStyle w:val="Point0"/>
        <w:rPr>
          <w:noProof/>
        </w:rPr>
      </w:pPr>
      <w:r w:rsidRPr="00C304BF">
        <w:t>(g)</w:t>
      </w:r>
      <w:r w:rsidRPr="00C304BF">
        <w:tab/>
      </w:r>
      <w:r w:rsidR="00465AD2" w:rsidRPr="009F56E6">
        <w:rPr>
          <w:noProof/>
        </w:rPr>
        <w:t xml:space="preserve">the management of, and arrangements for, access by the duly authorised staff of the competent national authorities to the </w:t>
      </w:r>
      <w:r w:rsidR="00DE4498" w:rsidRPr="009F56E6">
        <w:rPr>
          <w:noProof/>
        </w:rPr>
        <w:t xml:space="preserve">router </w:t>
      </w:r>
      <w:r w:rsidR="00465AD2" w:rsidRPr="009F56E6">
        <w:rPr>
          <w:noProof/>
        </w:rPr>
        <w:t>in accordance with this Regulation and the creation and regular update of a list of those staff and their profiles;</w:t>
      </w:r>
    </w:p>
    <w:p w14:paraId="4ED5CA04" w14:textId="5A7BB43A" w:rsidR="00DE4498" w:rsidRPr="009F56E6" w:rsidRDefault="00C304BF" w:rsidP="00C304BF">
      <w:pPr>
        <w:pStyle w:val="Point0"/>
        <w:rPr>
          <w:noProof/>
        </w:rPr>
      </w:pPr>
      <w:r w:rsidRPr="00C304BF">
        <w:t>(h)</w:t>
      </w:r>
      <w:r w:rsidRPr="00C304BF">
        <w:tab/>
      </w:r>
      <w:r w:rsidR="00E65890" w:rsidRPr="009F56E6">
        <w:rPr>
          <w:noProof/>
        </w:rPr>
        <w:t>the management of, and arrangements for, access by the duly authorised staff of the competent national authorities to EPRIS in accordance with this Regulation and the creation and regular update of a list of those staff and their profiles;</w:t>
      </w:r>
    </w:p>
    <w:p w14:paraId="367405B3" w14:textId="6073EDEE" w:rsidR="00DE4498" w:rsidRPr="009F56E6" w:rsidRDefault="00C304BF" w:rsidP="00C304BF">
      <w:pPr>
        <w:pStyle w:val="Point0"/>
        <w:rPr>
          <w:noProof/>
        </w:rPr>
      </w:pPr>
      <w:r w:rsidRPr="00C304BF">
        <w:t>(i)</w:t>
      </w:r>
      <w:r w:rsidRPr="00C304BF">
        <w:tab/>
      </w:r>
      <w:r w:rsidR="00E65890" w:rsidRPr="009F56E6">
        <w:rPr>
          <w:noProof/>
        </w:rPr>
        <w:t>the management of, and arrangements for, access by the duly authorised staff of the competent national authorities to Eucaris in accordance with this Regulation and the creation and regular update of a list of those staff and their profiles;</w:t>
      </w:r>
    </w:p>
    <w:p w14:paraId="495E55A2" w14:textId="0632A86C" w:rsidR="00195273" w:rsidRPr="009F56E6" w:rsidRDefault="00C304BF" w:rsidP="00C304BF">
      <w:pPr>
        <w:pStyle w:val="Point0"/>
        <w:rPr>
          <w:noProof/>
        </w:rPr>
      </w:pPr>
      <w:r w:rsidRPr="00C304BF">
        <w:t>(j)</w:t>
      </w:r>
      <w:r w:rsidRPr="00C304BF">
        <w:tab/>
      </w:r>
      <w:r w:rsidR="00465AD2" w:rsidRPr="009F56E6">
        <w:rPr>
          <w:noProof/>
        </w:rPr>
        <w:t xml:space="preserve">the manual </w:t>
      </w:r>
      <w:r w:rsidR="00195273" w:rsidRPr="009F56E6">
        <w:rPr>
          <w:noProof/>
        </w:rPr>
        <w:t>confirmation of a match as referred to in Article</w:t>
      </w:r>
      <w:r w:rsidR="0029174C" w:rsidRPr="009F56E6">
        <w:rPr>
          <w:noProof/>
        </w:rPr>
        <w:t xml:space="preserve"> </w:t>
      </w:r>
      <w:r w:rsidR="001F05D4">
        <w:rPr>
          <w:noProof/>
        </w:rPr>
        <w:t>6</w:t>
      </w:r>
      <w:r w:rsidR="0029174C" w:rsidRPr="009F56E6">
        <w:rPr>
          <w:noProof/>
        </w:rPr>
        <w:t>(</w:t>
      </w:r>
      <w:r w:rsidR="00070C82" w:rsidRPr="009F56E6">
        <w:rPr>
          <w:noProof/>
        </w:rPr>
        <w:t>3</w:t>
      </w:r>
      <w:r w:rsidR="0029174C" w:rsidRPr="009F56E6">
        <w:rPr>
          <w:noProof/>
        </w:rPr>
        <w:t xml:space="preserve">), </w:t>
      </w:r>
      <w:r w:rsidR="003A6D50" w:rsidRPr="009F56E6">
        <w:rPr>
          <w:noProof/>
        </w:rPr>
        <w:t>Article</w:t>
      </w:r>
      <w:r w:rsidR="003A6D50">
        <w:rPr>
          <w:noProof/>
        </w:rPr>
        <w:t xml:space="preserve"> </w:t>
      </w:r>
      <w:r w:rsidR="001F05D4">
        <w:rPr>
          <w:noProof/>
        </w:rPr>
        <w:t>7</w:t>
      </w:r>
      <w:r w:rsidR="0029174C" w:rsidRPr="009F56E6">
        <w:rPr>
          <w:noProof/>
        </w:rPr>
        <w:t>(</w:t>
      </w:r>
      <w:r w:rsidR="00070C82" w:rsidRPr="009F56E6">
        <w:rPr>
          <w:noProof/>
        </w:rPr>
        <w:t>3</w:t>
      </w:r>
      <w:r w:rsidR="0029174C" w:rsidRPr="009F56E6">
        <w:rPr>
          <w:noProof/>
        </w:rPr>
        <w:t xml:space="preserve">), </w:t>
      </w:r>
      <w:r w:rsidR="003A6D50" w:rsidRPr="009F56E6">
        <w:rPr>
          <w:noProof/>
        </w:rPr>
        <w:t>Article</w:t>
      </w:r>
      <w:r w:rsidR="003A6D50">
        <w:rPr>
          <w:noProof/>
        </w:rPr>
        <w:t xml:space="preserve"> </w:t>
      </w:r>
      <w:r w:rsidR="0029174C" w:rsidRPr="009F56E6">
        <w:rPr>
          <w:noProof/>
        </w:rPr>
        <w:t>1</w:t>
      </w:r>
      <w:r w:rsidR="005D5D19" w:rsidRPr="009F56E6">
        <w:rPr>
          <w:noProof/>
        </w:rPr>
        <w:t>3</w:t>
      </w:r>
      <w:r w:rsidR="0029174C" w:rsidRPr="009F56E6">
        <w:rPr>
          <w:noProof/>
        </w:rPr>
        <w:t xml:space="preserve">(2), </w:t>
      </w:r>
      <w:r w:rsidR="003A6D50" w:rsidRPr="009F56E6">
        <w:rPr>
          <w:noProof/>
        </w:rPr>
        <w:t>Article</w:t>
      </w:r>
      <w:r w:rsidR="003A6D50">
        <w:rPr>
          <w:noProof/>
        </w:rPr>
        <w:t xml:space="preserve"> </w:t>
      </w:r>
      <w:r w:rsidR="0029174C" w:rsidRPr="009F56E6">
        <w:rPr>
          <w:noProof/>
        </w:rPr>
        <w:t>2</w:t>
      </w:r>
      <w:r w:rsidR="0039768A">
        <w:rPr>
          <w:noProof/>
        </w:rPr>
        <w:t>2</w:t>
      </w:r>
      <w:r w:rsidR="0029174C" w:rsidRPr="009F56E6">
        <w:rPr>
          <w:noProof/>
        </w:rPr>
        <w:t xml:space="preserve">(2) and </w:t>
      </w:r>
      <w:r w:rsidR="003A6D50" w:rsidRPr="009F56E6">
        <w:rPr>
          <w:noProof/>
        </w:rPr>
        <w:t>Article</w:t>
      </w:r>
      <w:r w:rsidR="003A6D50">
        <w:rPr>
          <w:noProof/>
        </w:rPr>
        <w:t xml:space="preserve"> </w:t>
      </w:r>
      <w:r w:rsidR="0029174C" w:rsidRPr="009F56E6">
        <w:rPr>
          <w:noProof/>
        </w:rPr>
        <w:t>2</w:t>
      </w:r>
      <w:r w:rsidR="0039768A">
        <w:rPr>
          <w:noProof/>
        </w:rPr>
        <w:t>6</w:t>
      </w:r>
      <w:r w:rsidR="0029174C" w:rsidRPr="009F56E6">
        <w:rPr>
          <w:noProof/>
        </w:rPr>
        <w:t>(2)</w:t>
      </w:r>
      <w:r w:rsidR="00D775D0" w:rsidRPr="009F56E6">
        <w:rPr>
          <w:noProof/>
        </w:rPr>
        <w:t>;</w:t>
      </w:r>
    </w:p>
    <w:p w14:paraId="6A9FF84E" w14:textId="1B7F8589" w:rsidR="00190C69" w:rsidRPr="009F56E6" w:rsidRDefault="00C304BF" w:rsidP="00C304BF">
      <w:pPr>
        <w:pStyle w:val="Point0"/>
        <w:rPr>
          <w:noProof/>
        </w:rPr>
      </w:pPr>
      <w:r w:rsidRPr="00C304BF">
        <w:t>(k)</w:t>
      </w:r>
      <w:r w:rsidRPr="00C304BF">
        <w:tab/>
      </w:r>
      <w:r w:rsidR="00190C69" w:rsidRPr="009F56E6">
        <w:rPr>
          <w:noProof/>
        </w:rPr>
        <w:t xml:space="preserve">ensuring the availability of the </w:t>
      </w:r>
      <w:r w:rsidR="003A6D50">
        <w:rPr>
          <w:noProof/>
        </w:rPr>
        <w:t>data</w:t>
      </w:r>
      <w:r w:rsidR="003A6D50" w:rsidRPr="009F56E6">
        <w:rPr>
          <w:noProof/>
        </w:rPr>
        <w:t xml:space="preserve"> </w:t>
      </w:r>
      <w:r w:rsidR="00190C69" w:rsidRPr="009F56E6">
        <w:rPr>
          <w:noProof/>
        </w:rPr>
        <w:t xml:space="preserve">necessary for the exchange of </w:t>
      </w:r>
      <w:r w:rsidR="003A6D50">
        <w:rPr>
          <w:noProof/>
        </w:rPr>
        <w:t>data</w:t>
      </w:r>
      <w:r w:rsidR="003A6D50" w:rsidRPr="009F56E6">
        <w:rPr>
          <w:noProof/>
        </w:rPr>
        <w:t xml:space="preserve"> </w:t>
      </w:r>
      <w:r w:rsidR="00190C69" w:rsidRPr="009F56E6">
        <w:rPr>
          <w:noProof/>
        </w:rPr>
        <w:t xml:space="preserve">in accordance with </w:t>
      </w:r>
      <w:r w:rsidR="003A6D50" w:rsidRPr="009F56E6">
        <w:rPr>
          <w:noProof/>
        </w:rPr>
        <w:t xml:space="preserve">Article </w:t>
      </w:r>
      <w:r w:rsidR="001F05D4">
        <w:rPr>
          <w:noProof/>
        </w:rPr>
        <w:t>6</w:t>
      </w:r>
      <w:r w:rsidR="003A6D50" w:rsidRPr="009F56E6">
        <w:rPr>
          <w:noProof/>
        </w:rPr>
        <w:t>, Article</w:t>
      </w:r>
      <w:r w:rsidR="003A6D50">
        <w:rPr>
          <w:noProof/>
        </w:rPr>
        <w:t xml:space="preserve"> </w:t>
      </w:r>
      <w:r w:rsidR="001F05D4">
        <w:rPr>
          <w:noProof/>
        </w:rPr>
        <w:t>7</w:t>
      </w:r>
      <w:r w:rsidR="003A6D50" w:rsidRPr="009F56E6">
        <w:rPr>
          <w:noProof/>
        </w:rPr>
        <w:t>, Article</w:t>
      </w:r>
      <w:r w:rsidR="003A6D50">
        <w:rPr>
          <w:noProof/>
        </w:rPr>
        <w:t xml:space="preserve"> </w:t>
      </w:r>
      <w:r w:rsidR="003A6D50" w:rsidRPr="009F56E6">
        <w:rPr>
          <w:noProof/>
        </w:rPr>
        <w:t>13, Article</w:t>
      </w:r>
      <w:r w:rsidR="003A6D50">
        <w:rPr>
          <w:noProof/>
        </w:rPr>
        <w:t xml:space="preserve"> </w:t>
      </w:r>
      <w:r w:rsidR="003A6D50" w:rsidRPr="009F56E6">
        <w:rPr>
          <w:noProof/>
        </w:rPr>
        <w:t>18, Article</w:t>
      </w:r>
      <w:r w:rsidR="003A6D50">
        <w:rPr>
          <w:noProof/>
        </w:rPr>
        <w:t xml:space="preserve"> </w:t>
      </w:r>
      <w:r w:rsidR="003A6D50" w:rsidRPr="009F56E6">
        <w:rPr>
          <w:noProof/>
        </w:rPr>
        <w:t>2</w:t>
      </w:r>
      <w:r w:rsidR="0039768A">
        <w:rPr>
          <w:noProof/>
        </w:rPr>
        <w:t>2</w:t>
      </w:r>
      <w:r w:rsidR="003A6D50" w:rsidRPr="009F56E6">
        <w:rPr>
          <w:noProof/>
        </w:rPr>
        <w:t xml:space="preserve"> and Article</w:t>
      </w:r>
      <w:r w:rsidR="003A6D50">
        <w:rPr>
          <w:noProof/>
        </w:rPr>
        <w:t xml:space="preserve"> </w:t>
      </w:r>
      <w:r w:rsidR="003A6D50" w:rsidRPr="009F56E6">
        <w:rPr>
          <w:noProof/>
        </w:rPr>
        <w:t>2</w:t>
      </w:r>
      <w:r w:rsidR="0039768A">
        <w:rPr>
          <w:noProof/>
        </w:rPr>
        <w:t>6</w:t>
      </w:r>
      <w:r w:rsidR="00190C69" w:rsidRPr="009F56E6">
        <w:rPr>
          <w:noProof/>
        </w:rPr>
        <w:t>;</w:t>
      </w:r>
    </w:p>
    <w:p w14:paraId="47EE3904" w14:textId="53FC9225" w:rsidR="00EE34C6" w:rsidRPr="009F56E6" w:rsidRDefault="00C304BF" w:rsidP="00C304BF">
      <w:pPr>
        <w:pStyle w:val="Point0"/>
        <w:rPr>
          <w:noProof/>
        </w:rPr>
      </w:pPr>
      <w:r w:rsidRPr="00C304BF">
        <w:t>(l)</w:t>
      </w:r>
      <w:r w:rsidRPr="00C304BF">
        <w:tab/>
      </w:r>
      <w:r w:rsidR="00D775D0" w:rsidRPr="009F56E6">
        <w:rPr>
          <w:noProof/>
        </w:rPr>
        <w:t xml:space="preserve">the exchange of information in accordance with Article </w:t>
      </w:r>
      <w:r w:rsidR="001F05D4">
        <w:rPr>
          <w:noProof/>
        </w:rPr>
        <w:t>6</w:t>
      </w:r>
      <w:r w:rsidR="0029174C" w:rsidRPr="009F56E6">
        <w:rPr>
          <w:noProof/>
        </w:rPr>
        <w:t xml:space="preserve">, </w:t>
      </w:r>
      <w:r w:rsidR="003A6D50" w:rsidRPr="009F56E6">
        <w:rPr>
          <w:noProof/>
        </w:rPr>
        <w:t>Article</w:t>
      </w:r>
      <w:r w:rsidR="003A6D50">
        <w:rPr>
          <w:noProof/>
        </w:rPr>
        <w:t xml:space="preserve"> </w:t>
      </w:r>
      <w:r w:rsidR="001F05D4">
        <w:rPr>
          <w:noProof/>
        </w:rPr>
        <w:t>7</w:t>
      </w:r>
      <w:r w:rsidR="0029174C" w:rsidRPr="009F56E6">
        <w:rPr>
          <w:noProof/>
        </w:rPr>
        <w:t xml:space="preserve">, </w:t>
      </w:r>
      <w:r w:rsidR="003A6D50" w:rsidRPr="009F56E6">
        <w:rPr>
          <w:noProof/>
        </w:rPr>
        <w:t>Article</w:t>
      </w:r>
      <w:r w:rsidR="0029174C" w:rsidRPr="009F56E6">
        <w:rPr>
          <w:noProof/>
        </w:rPr>
        <w:t xml:space="preserve"> </w:t>
      </w:r>
      <w:r w:rsidR="005D5D19" w:rsidRPr="009F56E6">
        <w:rPr>
          <w:noProof/>
        </w:rPr>
        <w:t xml:space="preserve">13, </w:t>
      </w:r>
      <w:r w:rsidR="003A6D50" w:rsidRPr="009F56E6">
        <w:rPr>
          <w:noProof/>
        </w:rPr>
        <w:t>Article</w:t>
      </w:r>
      <w:r w:rsidR="003A6D50">
        <w:rPr>
          <w:noProof/>
        </w:rPr>
        <w:t xml:space="preserve"> </w:t>
      </w:r>
      <w:r w:rsidR="005D5D19" w:rsidRPr="009F56E6">
        <w:rPr>
          <w:noProof/>
        </w:rPr>
        <w:t xml:space="preserve">18, </w:t>
      </w:r>
      <w:r w:rsidR="003A6D50" w:rsidRPr="009F56E6">
        <w:rPr>
          <w:noProof/>
        </w:rPr>
        <w:t>Article</w:t>
      </w:r>
      <w:r w:rsidR="00EC4824">
        <w:rPr>
          <w:noProof/>
        </w:rPr>
        <w:t xml:space="preserve"> </w:t>
      </w:r>
      <w:r w:rsidR="005D5D19" w:rsidRPr="009F56E6">
        <w:rPr>
          <w:noProof/>
        </w:rPr>
        <w:t>2</w:t>
      </w:r>
      <w:r w:rsidR="0039768A">
        <w:rPr>
          <w:noProof/>
        </w:rPr>
        <w:t>2</w:t>
      </w:r>
      <w:r w:rsidR="005D5D19" w:rsidRPr="009F56E6">
        <w:rPr>
          <w:noProof/>
        </w:rPr>
        <w:t xml:space="preserve"> and </w:t>
      </w:r>
      <w:r w:rsidR="003A6D50" w:rsidRPr="009F56E6">
        <w:rPr>
          <w:noProof/>
        </w:rPr>
        <w:t>Article</w:t>
      </w:r>
      <w:r w:rsidR="003A6D50">
        <w:rPr>
          <w:noProof/>
        </w:rPr>
        <w:t xml:space="preserve"> </w:t>
      </w:r>
      <w:r w:rsidR="005D5D19" w:rsidRPr="009F56E6">
        <w:rPr>
          <w:noProof/>
        </w:rPr>
        <w:t>2</w:t>
      </w:r>
      <w:r w:rsidR="0039768A">
        <w:rPr>
          <w:noProof/>
        </w:rPr>
        <w:t>6</w:t>
      </w:r>
      <w:r w:rsidR="0029174C" w:rsidRPr="009F56E6">
        <w:rPr>
          <w:noProof/>
        </w:rPr>
        <w:t>;</w:t>
      </w:r>
    </w:p>
    <w:p w14:paraId="0FB023D5" w14:textId="4F4CE511" w:rsidR="00A75239" w:rsidRPr="009F56E6" w:rsidRDefault="00C304BF" w:rsidP="00C304BF">
      <w:pPr>
        <w:pStyle w:val="Point0"/>
        <w:rPr>
          <w:noProof/>
        </w:rPr>
      </w:pPr>
      <w:r w:rsidRPr="00C304BF">
        <w:t>(m)</w:t>
      </w:r>
      <w:r w:rsidRPr="00C304BF">
        <w:tab/>
      </w:r>
      <w:r w:rsidR="00A75239">
        <w:rPr>
          <w:noProof/>
        </w:rPr>
        <w:t>delet</w:t>
      </w:r>
      <w:r w:rsidR="00EE34C6">
        <w:rPr>
          <w:noProof/>
        </w:rPr>
        <w:t>ing</w:t>
      </w:r>
      <w:r w:rsidR="00A75239">
        <w:rPr>
          <w:noProof/>
        </w:rPr>
        <w:t xml:space="preserve"> any data received from a requested Member State within 48 hours following the notification from the requested Member State that the personal data submitted was incorrect, no longer up</w:t>
      </w:r>
      <w:r w:rsidR="008A42DC">
        <w:rPr>
          <w:noProof/>
        </w:rPr>
        <w:t>-</w:t>
      </w:r>
      <w:r w:rsidR="00A75239">
        <w:rPr>
          <w:noProof/>
        </w:rPr>
        <w:t>to</w:t>
      </w:r>
      <w:r w:rsidR="008A42DC">
        <w:rPr>
          <w:noProof/>
        </w:rPr>
        <w:t>-</w:t>
      </w:r>
      <w:r w:rsidR="00A75239">
        <w:rPr>
          <w:noProof/>
        </w:rPr>
        <w:t>date or was unlawfully transmitted.</w:t>
      </w:r>
    </w:p>
    <w:p w14:paraId="772DAB90" w14:textId="022B3996" w:rsidR="00465AD2" w:rsidRPr="009F56E6" w:rsidRDefault="00C304BF" w:rsidP="00C304BF">
      <w:pPr>
        <w:pStyle w:val="Point0"/>
        <w:rPr>
          <w:noProof/>
        </w:rPr>
      </w:pPr>
      <w:r w:rsidRPr="00C304BF">
        <w:t>(n)</w:t>
      </w:r>
      <w:r w:rsidRPr="00C304BF">
        <w:tab/>
      </w:r>
      <w:r w:rsidR="00465AD2" w:rsidRPr="009F56E6">
        <w:rPr>
          <w:noProof/>
        </w:rPr>
        <w:t xml:space="preserve">compliance with the data quality requirements established </w:t>
      </w:r>
      <w:r w:rsidR="003A6D50">
        <w:rPr>
          <w:noProof/>
        </w:rPr>
        <w:t>in this Regulation</w:t>
      </w:r>
      <w:r w:rsidR="00220CBF" w:rsidRPr="009F56E6">
        <w:rPr>
          <w:noProof/>
        </w:rPr>
        <w:t>.</w:t>
      </w:r>
    </w:p>
    <w:p w14:paraId="08D7F89E" w14:textId="799388EC" w:rsidR="00DE4498" w:rsidRPr="009F56E6" w:rsidRDefault="00465AD2" w:rsidP="001A5B2E">
      <w:pPr>
        <w:rPr>
          <w:noProof/>
        </w:rPr>
      </w:pPr>
      <w:r w:rsidRPr="009F56E6">
        <w:rPr>
          <w:noProof/>
        </w:rPr>
        <w:t xml:space="preserve">2. Each Member State shall </w:t>
      </w:r>
      <w:r w:rsidR="00D775D0" w:rsidRPr="009F56E6">
        <w:rPr>
          <w:noProof/>
        </w:rPr>
        <w:t xml:space="preserve">be responsible for </w:t>
      </w:r>
      <w:r w:rsidRPr="009F56E6">
        <w:rPr>
          <w:noProof/>
        </w:rPr>
        <w:t>connect</w:t>
      </w:r>
      <w:r w:rsidR="00D775D0" w:rsidRPr="009F56E6">
        <w:rPr>
          <w:noProof/>
        </w:rPr>
        <w:t>ing</w:t>
      </w:r>
      <w:r w:rsidRPr="009F56E6">
        <w:rPr>
          <w:noProof/>
        </w:rPr>
        <w:t xml:space="preserve"> their </w:t>
      </w:r>
      <w:r w:rsidR="003A6D50">
        <w:rPr>
          <w:noProof/>
        </w:rPr>
        <w:t xml:space="preserve">competent </w:t>
      </w:r>
      <w:r w:rsidR="00D775D0" w:rsidRPr="009F56E6">
        <w:rPr>
          <w:noProof/>
        </w:rPr>
        <w:t xml:space="preserve">national </w:t>
      </w:r>
      <w:r w:rsidRPr="009F56E6">
        <w:rPr>
          <w:noProof/>
        </w:rPr>
        <w:t xml:space="preserve">authorities to the </w:t>
      </w:r>
      <w:r w:rsidR="00D76C68" w:rsidRPr="009F56E6">
        <w:rPr>
          <w:noProof/>
        </w:rPr>
        <w:t>router</w:t>
      </w:r>
      <w:r w:rsidR="000B283F" w:rsidRPr="009F56E6">
        <w:rPr>
          <w:noProof/>
        </w:rPr>
        <w:t>, EPRIS and Eucaris</w:t>
      </w:r>
      <w:r w:rsidRPr="009F56E6">
        <w:rPr>
          <w:noProof/>
        </w:rPr>
        <w:t>.</w:t>
      </w:r>
    </w:p>
    <w:p w14:paraId="1D4A09EC" w14:textId="539A2D1B" w:rsidR="00DE4498" w:rsidRPr="009F56E6" w:rsidRDefault="00DE4498" w:rsidP="00DE4498">
      <w:pPr>
        <w:pStyle w:val="Titrearticle"/>
        <w:rPr>
          <w:noProof/>
          <w:lang w:val="en-US"/>
        </w:rPr>
      </w:pPr>
      <w:r w:rsidRPr="009F56E6">
        <w:rPr>
          <w:noProof/>
          <w:lang w:val="en-US"/>
        </w:rPr>
        <w:t xml:space="preserve">Article </w:t>
      </w:r>
      <w:r w:rsidR="00E15E51">
        <w:rPr>
          <w:noProof/>
          <w:lang w:val="en-US"/>
        </w:rPr>
        <w:t>64</w:t>
      </w:r>
    </w:p>
    <w:p w14:paraId="3C6B663F" w14:textId="77777777" w:rsidR="00DE4498" w:rsidRPr="009F56E6" w:rsidRDefault="00DE4498" w:rsidP="00DE4498">
      <w:pPr>
        <w:jc w:val="center"/>
        <w:rPr>
          <w:b/>
          <w:noProof/>
          <w:lang w:val="en-US"/>
        </w:rPr>
      </w:pPr>
      <w:r w:rsidRPr="009F56E6">
        <w:rPr>
          <w:b/>
          <w:noProof/>
          <w:lang w:val="en-US"/>
        </w:rPr>
        <w:t>Responsibilities of Europol</w:t>
      </w:r>
    </w:p>
    <w:p w14:paraId="37ED261F" w14:textId="5CC13761" w:rsidR="00DE4498" w:rsidRPr="009F56E6" w:rsidRDefault="00DE4498" w:rsidP="00DE4498">
      <w:pPr>
        <w:spacing w:before="100" w:beforeAutospacing="1" w:after="100" w:afterAutospacing="1"/>
        <w:rPr>
          <w:rFonts w:eastAsia="Times New Roman"/>
          <w:noProof/>
          <w:szCs w:val="24"/>
          <w:lang w:val="en-US"/>
        </w:rPr>
      </w:pPr>
      <w:r w:rsidRPr="009F56E6">
        <w:rPr>
          <w:rFonts w:eastAsia="Times New Roman"/>
          <w:noProof/>
          <w:szCs w:val="24"/>
          <w:lang w:val="en-US"/>
        </w:rPr>
        <w:t>1. Eu</w:t>
      </w:r>
      <w:r w:rsidR="000660C9" w:rsidRPr="009F56E6">
        <w:rPr>
          <w:rFonts w:eastAsia="Times New Roman"/>
          <w:noProof/>
          <w:szCs w:val="24"/>
          <w:lang w:val="en-US"/>
        </w:rPr>
        <w:t>ropol shall be responsible for</w:t>
      </w:r>
      <w:r w:rsidRPr="009F56E6">
        <w:rPr>
          <w:rFonts w:eastAsia="Times New Roman"/>
          <w:noProof/>
          <w:szCs w:val="24"/>
          <w:lang w:val="en-US"/>
        </w:rPr>
        <w:t xml:space="preserve"> the management of, and arrangements for </w:t>
      </w:r>
      <w:r w:rsidR="003A6D50">
        <w:rPr>
          <w:rFonts w:eastAsia="Times New Roman"/>
          <w:noProof/>
          <w:szCs w:val="24"/>
          <w:lang w:val="en-US"/>
        </w:rPr>
        <w:t>the</w:t>
      </w:r>
      <w:r w:rsidR="003A6D50" w:rsidRPr="009F56E6">
        <w:rPr>
          <w:rFonts w:eastAsia="Times New Roman"/>
          <w:noProof/>
          <w:szCs w:val="24"/>
          <w:lang w:val="en-US"/>
        </w:rPr>
        <w:t xml:space="preserve"> </w:t>
      </w:r>
      <w:r w:rsidRPr="009F56E6">
        <w:rPr>
          <w:rFonts w:eastAsia="Times New Roman"/>
          <w:noProof/>
          <w:szCs w:val="24"/>
          <w:lang w:val="en-US"/>
        </w:rPr>
        <w:t xml:space="preserve">access by its duly </w:t>
      </w:r>
      <w:r w:rsidRPr="009F56E6">
        <w:rPr>
          <w:rFonts w:eastAsia="Times New Roman"/>
          <w:noProof/>
          <w:szCs w:val="24"/>
        </w:rPr>
        <w:t>authorised</w:t>
      </w:r>
      <w:r w:rsidRPr="009F56E6">
        <w:rPr>
          <w:rFonts w:eastAsia="Times New Roman"/>
          <w:noProof/>
          <w:szCs w:val="24"/>
          <w:lang w:val="en-US"/>
        </w:rPr>
        <w:t xml:space="preserve"> staff to the router, EPRIS and Eucaris in accordance with this Regulation.</w:t>
      </w:r>
    </w:p>
    <w:p w14:paraId="258157A1" w14:textId="4955EF90" w:rsidR="00E65890" w:rsidRPr="009F56E6" w:rsidRDefault="000660C9" w:rsidP="00DE4498">
      <w:pPr>
        <w:spacing w:before="100" w:beforeAutospacing="1" w:after="100" w:afterAutospacing="1"/>
        <w:rPr>
          <w:noProof/>
        </w:rPr>
      </w:pPr>
      <w:r w:rsidRPr="009F56E6">
        <w:rPr>
          <w:rFonts w:eastAsia="Times New Roman"/>
          <w:noProof/>
          <w:szCs w:val="24"/>
          <w:lang w:val="en-US"/>
        </w:rPr>
        <w:t>2. Europol shall also be responsible</w:t>
      </w:r>
      <w:r w:rsidR="007F6DF9" w:rsidRPr="009F56E6">
        <w:rPr>
          <w:rFonts w:eastAsia="Times New Roman"/>
          <w:noProof/>
          <w:szCs w:val="24"/>
          <w:lang w:val="en-US"/>
        </w:rPr>
        <w:t xml:space="preserve"> for</w:t>
      </w:r>
      <w:r w:rsidRPr="009F56E6">
        <w:rPr>
          <w:rFonts w:eastAsia="Times New Roman"/>
          <w:noProof/>
          <w:szCs w:val="24"/>
          <w:lang w:val="en-US"/>
        </w:rPr>
        <w:t xml:space="preserve"> </w:t>
      </w:r>
      <w:r w:rsidR="00DE4498" w:rsidRPr="009F56E6">
        <w:rPr>
          <w:rFonts w:eastAsia="Times New Roman"/>
          <w:noProof/>
          <w:szCs w:val="24"/>
          <w:lang w:val="en-US"/>
        </w:rPr>
        <w:t>the processing of the queries of Europol data by the router. Europol shall adapt its information systems accordingly.</w:t>
      </w:r>
      <w:r w:rsidR="00E65890" w:rsidRPr="009F56E6">
        <w:rPr>
          <w:noProof/>
        </w:rPr>
        <w:t xml:space="preserve"> </w:t>
      </w:r>
    </w:p>
    <w:p w14:paraId="1FDC539F" w14:textId="1DAB5614" w:rsidR="00DE4498" w:rsidRPr="009F56E6" w:rsidRDefault="007F6DF9" w:rsidP="006D3AE6">
      <w:pPr>
        <w:spacing w:before="100" w:beforeAutospacing="1" w:after="100" w:afterAutospacing="1"/>
        <w:rPr>
          <w:noProof/>
        </w:rPr>
      </w:pPr>
      <w:r w:rsidRPr="009F56E6">
        <w:rPr>
          <w:noProof/>
        </w:rPr>
        <w:t xml:space="preserve">3. </w:t>
      </w:r>
      <w:r w:rsidR="00E65890" w:rsidRPr="009F56E6" w:rsidDel="00010E85">
        <w:rPr>
          <w:noProof/>
        </w:rPr>
        <w:t xml:space="preserve">Europol shall be responsible for </w:t>
      </w:r>
      <w:r w:rsidR="00E65890" w:rsidRPr="009F56E6">
        <w:rPr>
          <w:noProof/>
        </w:rPr>
        <w:t xml:space="preserve">any technical adaptations </w:t>
      </w:r>
      <w:r w:rsidR="00010E85" w:rsidRPr="009F56E6">
        <w:rPr>
          <w:noProof/>
        </w:rPr>
        <w:t xml:space="preserve">in Europol infrastructure </w:t>
      </w:r>
      <w:r w:rsidR="00E65890" w:rsidRPr="009F56E6">
        <w:rPr>
          <w:noProof/>
        </w:rPr>
        <w:t>required for establishing</w:t>
      </w:r>
      <w:r w:rsidR="00010E85" w:rsidRPr="009F56E6">
        <w:rPr>
          <w:noProof/>
        </w:rPr>
        <w:t xml:space="preserve"> the connection to</w:t>
      </w:r>
      <w:r w:rsidR="00E65890" w:rsidRPr="009F56E6">
        <w:rPr>
          <w:noProof/>
        </w:rPr>
        <w:t xml:space="preserve"> the router</w:t>
      </w:r>
      <w:r w:rsidR="00010E85" w:rsidRPr="009F56E6">
        <w:rPr>
          <w:noProof/>
        </w:rPr>
        <w:t xml:space="preserve"> and to Eucaris</w:t>
      </w:r>
      <w:r w:rsidR="00E65890" w:rsidRPr="009F56E6">
        <w:rPr>
          <w:noProof/>
        </w:rPr>
        <w:t xml:space="preserve">. </w:t>
      </w:r>
    </w:p>
    <w:p w14:paraId="57E22AF8" w14:textId="09B2F808" w:rsidR="00010E85" w:rsidRPr="009F56E6" w:rsidRDefault="007F6DF9" w:rsidP="006D3AE6">
      <w:pPr>
        <w:spacing w:before="100" w:beforeAutospacing="1" w:after="100" w:afterAutospacing="1"/>
        <w:rPr>
          <w:noProof/>
        </w:rPr>
      </w:pPr>
      <w:r w:rsidRPr="009F56E6">
        <w:rPr>
          <w:noProof/>
        </w:rPr>
        <w:t xml:space="preserve">4. </w:t>
      </w:r>
      <w:r w:rsidR="00010E85" w:rsidRPr="009F56E6">
        <w:rPr>
          <w:noProof/>
        </w:rPr>
        <w:t>Europol shall be responsible for the development of EPRIS</w:t>
      </w:r>
      <w:r w:rsidR="003A6D50">
        <w:rPr>
          <w:noProof/>
        </w:rPr>
        <w:t xml:space="preserve"> in cooperation with the Member States</w:t>
      </w:r>
      <w:r w:rsidR="00010E85" w:rsidRPr="009F56E6">
        <w:rPr>
          <w:noProof/>
        </w:rPr>
        <w:t xml:space="preserve">. EPRIS shall provide the functionalities laid down in Articles </w:t>
      </w:r>
      <w:r w:rsidR="0039768A">
        <w:rPr>
          <w:noProof/>
        </w:rPr>
        <w:t>42</w:t>
      </w:r>
      <w:r w:rsidR="00010E85" w:rsidRPr="00E951DA">
        <w:rPr>
          <w:noProof/>
        </w:rPr>
        <w:t xml:space="preserve"> </w:t>
      </w:r>
      <w:r w:rsidR="00010E85" w:rsidRPr="009F56E6">
        <w:rPr>
          <w:noProof/>
        </w:rPr>
        <w:t xml:space="preserve">to </w:t>
      </w:r>
      <w:r w:rsidR="005D5D19" w:rsidRPr="009F56E6">
        <w:rPr>
          <w:noProof/>
        </w:rPr>
        <w:t>4</w:t>
      </w:r>
      <w:r w:rsidR="0039768A">
        <w:rPr>
          <w:noProof/>
        </w:rPr>
        <w:t>6</w:t>
      </w:r>
      <w:r w:rsidR="00010E85" w:rsidRPr="009F56E6">
        <w:rPr>
          <w:noProof/>
        </w:rPr>
        <w:t>.</w:t>
      </w:r>
    </w:p>
    <w:p w14:paraId="75144EBF" w14:textId="31E20A86" w:rsidR="00DE4498" w:rsidRPr="009F56E6" w:rsidRDefault="00DE4498" w:rsidP="006D3AE6">
      <w:pPr>
        <w:spacing w:before="100" w:beforeAutospacing="1" w:after="100" w:afterAutospacing="1"/>
        <w:rPr>
          <w:rFonts w:eastAsia="Times New Roman"/>
          <w:noProof/>
          <w:szCs w:val="24"/>
          <w:lang w:val="en-US"/>
        </w:rPr>
      </w:pPr>
      <w:r w:rsidRPr="009F56E6">
        <w:rPr>
          <w:noProof/>
        </w:rPr>
        <w:t xml:space="preserve">Europol shall provide the technical management of EPRIS. </w:t>
      </w:r>
      <w:r w:rsidRPr="009F56E6">
        <w:rPr>
          <w:rFonts w:eastAsia="Times New Roman"/>
          <w:noProof/>
          <w:szCs w:val="24"/>
          <w:lang w:val="en-US"/>
        </w:rPr>
        <w:t xml:space="preserve">Technical management of EPRIS shall consist of all the tasks and technical solutions necessary to keep </w:t>
      </w:r>
      <w:r w:rsidR="0057251E">
        <w:rPr>
          <w:rFonts w:eastAsia="Times New Roman"/>
          <w:noProof/>
          <w:szCs w:val="24"/>
          <w:lang w:val="en-US"/>
        </w:rPr>
        <w:t xml:space="preserve">the </w:t>
      </w:r>
      <w:r w:rsidRPr="009F56E6">
        <w:rPr>
          <w:rFonts w:eastAsia="Times New Roman"/>
          <w:noProof/>
          <w:szCs w:val="24"/>
          <w:lang w:val="en-US"/>
        </w:rPr>
        <w:t xml:space="preserve">EPRIS central infrastructure functioning and providing uninterrupted services to Member States 24 hours a day, 7 days a week in accordance with this Regulation. It shall include the maintenance work and technical developments necessary to ensure that EPRIS functions </w:t>
      </w:r>
      <w:r w:rsidR="003A6D50">
        <w:rPr>
          <w:rFonts w:eastAsia="Times New Roman"/>
          <w:noProof/>
          <w:szCs w:val="24"/>
          <w:lang w:val="en-US"/>
        </w:rPr>
        <w:t xml:space="preserve">are </w:t>
      </w:r>
      <w:r w:rsidRPr="009F56E6">
        <w:rPr>
          <w:rFonts w:eastAsia="Times New Roman"/>
          <w:noProof/>
          <w:szCs w:val="24"/>
          <w:lang w:val="en-US"/>
        </w:rPr>
        <w:t>at a satisfactory level of technical quality, in particular as regards the response time for interrogation of the national databases in accordance with the technical specifications</w:t>
      </w:r>
      <w:r w:rsidR="007F6DF9" w:rsidRPr="009F56E6">
        <w:rPr>
          <w:rFonts w:eastAsia="Times New Roman"/>
          <w:noProof/>
          <w:szCs w:val="24"/>
          <w:lang w:val="en-US"/>
        </w:rPr>
        <w:t>.</w:t>
      </w:r>
    </w:p>
    <w:p w14:paraId="271DE808" w14:textId="6EEDE227" w:rsidR="00DE4498" w:rsidRPr="009F56E6" w:rsidRDefault="007F6DF9" w:rsidP="00DE4498">
      <w:pPr>
        <w:rPr>
          <w:noProof/>
        </w:rPr>
      </w:pPr>
      <w:r w:rsidRPr="009F56E6">
        <w:rPr>
          <w:noProof/>
        </w:rPr>
        <w:t xml:space="preserve">5. </w:t>
      </w:r>
      <w:r w:rsidR="00DE4498" w:rsidRPr="009F56E6">
        <w:rPr>
          <w:noProof/>
        </w:rPr>
        <w:t>Europol shall provide training on the technical use of EPRIS.</w:t>
      </w:r>
    </w:p>
    <w:p w14:paraId="36E552B5" w14:textId="56C0A41B" w:rsidR="00DE4498" w:rsidRPr="009F56E6" w:rsidRDefault="00DE4498" w:rsidP="000C2128">
      <w:pPr>
        <w:spacing w:before="100" w:beforeAutospacing="1" w:after="100" w:afterAutospacing="1"/>
        <w:rPr>
          <w:rFonts w:eastAsia="Times New Roman"/>
          <w:noProof/>
          <w:szCs w:val="24"/>
          <w:lang w:val="en-US"/>
        </w:rPr>
      </w:pPr>
      <w:r w:rsidRPr="009F56E6">
        <w:rPr>
          <w:rFonts w:eastAsia="Times New Roman"/>
          <w:noProof/>
          <w:szCs w:val="24"/>
          <w:lang w:val="en-US"/>
        </w:rPr>
        <w:t>6.</w:t>
      </w:r>
      <w:r w:rsidR="007F6DF9" w:rsidRPr="009F56E6">
        <w:rPr>
          <w:rFonts w:eastAsia="Times New Roman"/>
          <w:noProof/>
          <w:szCs w:val="24"/>
          <w:lang w:val="en-US"/>
        </w:rPr>
        <w:t xml:space="preserve"> </w:t>
      </w:r>
      <w:r w:rsidRPr="009F56E6">
        <w:rPr>
          <w:rFonts w:eastAsia="Times New Roman"/>
          <w:noProof/>
          <w:szCs w:val="24"/>
          <w:lang w:val="en-US"/>
        </w:rPr>
        <w:t xml:space="preserve">Europol shall be responsible for the procedures referred to in Articles </w:t>
      </w:r>
      <w:r w:rsidR="005D5D19" w:rsidRPr="009F56E6">
        <w:rPr>
          <w:rFonts w:eastAsia="Times New Roman"/>
          <w:noProof/>
          <w:szCs w:val="24"/>
          <w:lang w:val="en-US"/>
        </w:rPr>
        <w:t>4</w:t>
      </w:r>
      <w:r w:rsidR="0039768A">
        <w:rPr>
          <w:rFonts w:eastAsia="Times New Roman"/>
          <w:noProof/>
          <w:szCs w:val="24"/>
          <w:lang w:val="en-US"/>
        </w:rPr>
        <w:t>9</w:t>
      </w:r>
      <w:r w:rsidR="005D5D19" w:rsidRPr="009F56E6">
        <w:rPr>
          <w:rFonts w:eastAsia="Times New Roman"/>
          <w:noProof/>
          <w:szCs w:val="24"/>
          <w:lang w:val="en-US"/>
        </w:rPr>
        <w:t xml:space="preserve"> and </w:t>
      </w:r>
      <w:r w:rsidR="0039768A">
        <w:rPr>
          <w:rFonts w:eastAsia="Times New Roman"/>
          <w:noProof/>
          <w:szCs w:val="24"/>
          <w:lang w:val="en-US"/>
        </w:rPr>
        <w:t>50</w:t>
      </w:r>
      <w:r w:rsidR="000C2128" w:rsidRPr="009F56E6">
        <w:rPr>
          <w:rFonts w:eastAsia="Times New Roman"/>
          <w:noProof/>
          <w:szCs w:val="24"/>
          <w:lang w:val="en-US"/>
        </w:rPr>
        <w:t>.</w:t>
      </w:r>
    </w:p>
    <w:p w14:paraId="675D7DC9" w14:textId="3764845D" w:rsidR="008F7590" w:rsidRPr="009F56E6" w:rsidRDefault="00973C96" w:rsidP="008F7590">
      <w:pPr>
        <w:pStyle w:val="Titrearticle"/>
        <w:rPr>
          <w:noProof/>
          <w:lang w:val="en-US"/>
        </w:rPr>
      </w:pPr>
      <w:r w:rsidRPr="009F56E6">
        <w:rPr>
          <w:noProof/>
          <w:lang w:val="en-US"/>
        </w:rPr>
        <w:t xml:space="preserve">Article </w:t>
      </w:r>
      <w:r w:rsidR="00847EC8" w:rsidRPr="009F56E6">
        <w:rPr>
          <w:noProof/>
          <w:lang w:val="en-US"/>
        </w:rPr>
        <w:t>6</w:t>
      </w:r>
      <w:r w:rsidR="00E15E51">
        <w:rPr>
          <w:noProof/>
          <w:lang w:val="en-US"/>
        </w:rPr>
        <w:t>5</w:t>
      </w:r>
    </w:p>
    <w:p w14:paraId="08AF872D" w14:textId="0EDB484D" w:rsidR="008F7590" w:rsidRPr="009F56E6" w:rsidRDefault="00B15838" w:rsidP="008F7590">
      <w:pPr>
        <w:jc w:val="center"/>
        <w:rPr>
          <w:b/>
          <w:noProof/>
          <w:lang w:val="en-US"/>
        </w:rPr>
      </w:pPr>
      <w:r w:rsidRPr="009F56E6">
        <w:rPr>
          <w:b/>
          <w:noProof/>
          <w:lang w:val="en-US"/>
        </w:rPr>
        <w:t>Responsibilities of eu-LISA during the design and development phase of the router</w:t>
      </w:r>
    </w:p>
    <w:p w14:paraId="1E301810" w14:textId="4C52504F" w:rsidR="009E3197" w:rsidRPr="009F56E6" w:rsidRDefault="00B476B4" w:rsidP="009E3197">
      <w:pPr>
        <w:rPr>
          <w:noProof/>
        </w:rPr>
      </w:pPr>
      <w:r w:rsidRPr="009F56E6">
        <w:rPr>
          <w:noProof/>
        </w:rPr>
        <w:t>1. eu-LISA shall ensure that the central infrastructure of the router is operated in accordance with this Regulation.</w:t>
      </w:r>
    </w:p>
    <w:p w14:paraId="3617D26A" w14:textId="2636B47C" w:rsidR="009E3197" w:rsidRPr="009F56E6" w:rsidRDefault="009E3197" w:rsidP="009E3197">
      <w:pPr>
        <w:rPr>
          <w:noProof/>
        </w:rPr>
      </w:pPr>
      <w:r w:rsidRPr="009F56E6">
        <w:rPr>
          <w:noProof/>
        </w:rPr>
        <w:t xml:space="preserve">2. The </w:t>
      </w:r>
      <w:r w:rsidR="00F40495" w:rsidRPr="009F56E6">
        <w:rPr>
          <w:noProof/>
        </w:rPr>
        <w:t>router</w:t>
      </w:r>
      <w:r w:rsidRPr="009F56E6">
        <w:rPr>
          <w:noProof/>
        </w:rPr>
        <w:t xml:space="preserve"> shall be hosted by eu-LISA in its technical site</w:t>
      </w:r>
      <w:r w:rsidR="00193853" w:rsidRPr="009F56E6">
        <w:rPr>
          <w:noProof/>
        </w:rPr>
        <w:t>s</w:t>
      </w:r>
      <w:r w:rsidR="003E20F6" w:rsidRPr="009F56E6">
        <w:rPr>
          <w:noProof/>
        </w:rPr>
        <w:t xml:space="preserve"> </w:t>
      </w:r>
      <w:r w:rsidRPr="009F56E6">
        <w:rPr>
          <w:noProof/>
        </w:rPr>
        <w:t>and shall provide the functionalities laid down in this Regulation in accordance with the conditions of security, availability, quality and performance referred to in Article </w:t>
      </w:r>
      <w:r w:rsidR="005D5D19" w:rsidRPr="009F56E6">
        <w:rPr>
          <w:noProof/>
        </w:rPr>
        <w:t>6</w:t>
      </w:r>
      <w:r w:rsidR="0039768A">
        <w:rPr>
          <w:noProof/>
        </w:rPr>
        <w:t>6</w:t>
      </w:r>
      <w:r w:rsidRPr="00E951DA">
        <w:rPr>
          <w:noProof/>
        </w:rPr>
        <w:t>(1)</w:t>
      </w:r>
      <w:r w:rsidRPr="009F56E6">
        <w:rPr>
          <w:noProof/>
        </w:rPr>
        <w:t>.</w:t>
      </w:r>
    </w:p>
    <w:p w14:paraId="4AEFF39D" w14:textId="68E3F17B" w:rsidR="009E3197" w:rsidRPr="009F56E6" w:rsidRDefault="009E3197" w:rsidP="009E3197">
      <w:pPr>
        <w:rPr>
          <w:noProof/>
        </w:rPr>
      </w:pPr>
      <w:r w:rsidRPr="009F56E6">
        <w:rPr>
          <w:noProof/>
        </w:rPr>
        <w:t xml:space="preserve">3. eu-LISA shall be responsible for the development of the </w:t>
      </w:r>
      <w:r w:rsidR="00F40495" w:rsidRPr="009F56E6">
        <w:rPr>
          <w:noProof/>
        </w:rPr>
        <w:t>router</w:t>
      </w:r>
      <w:r w:rsidRPr="009F56E6">
        <w:rPr>
          <w:noProof/>
        </w:rPr>
        <w:t xml:space="preserve"> and for any</w:t>
      </w:r>
      <w:r w:rsidR="00F40495" w:rsidRPr="009F56E6">
        <w:rPr>
          <w:noProof/>
        </w:rPr>
        <w:t xml:space="preserve"> </w:t>
      </w:r>
      <w:r w:rsidR="003E20F6" w:rsidRPr="009F56E6">
        <w:rPr>
          <w:noProof/>
        </w:rPr>
        <w:t xml:space="preserve">technical adaptations </w:t>
      </w:r>
      <w:r w:rsidR="00E426F6" w:rsidRPr="009F56E6">
        <w:rPr>
          <w:noProof/>
        </w:rPr>
        <w:t>necessary</w:t>
      </w:r>
      <w:r w:rsidRPr="009F56E6">
        <w:rPr>
          <w:noProof/>
        </w:rPr>
        <w:t xml:space="preserve"> for </w:t>
      </w:r>
      <w:r w:rsidR="00E426F6" w:rsidRPr="009F56E6">
        <w:rPr>
          <w:noProof/>
        </w:rPr>
        <w:t>the operations of</w:t>
      </w:r>
      <w:r w:rsidRPr="009F56E6">
        <w:rPr>
          <w:noProof/>
        </w:rPr>
        <w:t xml:space="preserve"> </w:t>
      </w:r>
      <w:r w:rsidR="00F40495" w:rsidRPr="009F56E6">
        <w:rPr>
          <w:noProof/>
        </w:rPr>
        <w:t>the router</w:t>
      </w:r>
      <w:r w:rsidR="00661457" w:rsidRPr="009F56E6">
        <w:rPr>
          <w:noProof/>
        </w:rPr>
        <w:t>.</w:t>
      </w:r>
    </w:p>
    <w:p w14:paraId="7261B655" w14:textId="3D79FA07" w:rsidR="009E3197" w:rsidRPr="009F56E6" w:rsidRDefault="009E3197" w:rsidP="00E26735">
      <w:pPr>
        <w:rPr>
          <w:noProof/>
        </w:rPr>
      </w:pPr>
      <w:r w:rsidRPr="009F56E6">
        <w:rPr>
          <w:noProof/>
        </w:rPr>
        <w:t xml:space="preserve">eu-LISA shall not have access to any of the personal data processed through the </w:t>
      </w:r>
      <w:r w:rsidR="00F40495" w:rsidRPr="009F56E6">
        <w:rPr>
          <w:noProof/>
        </w:rPr>
        <w:t>router</w:t>
      </w:r>
      <w:r w:rsidRPr="009F56E6">
        <w:rPr>
          <w:noProof/>
        </w:rPr>
        <w:t>.</w:t>
      </w:r>
    </w:p>
    <w:p w14:paraId="299CD517" w14:textId="0B79B2FE" w:rsidR="009E3197" w:rsidRPr="009F56E6" w:rsidRDefault="009E3197" w:rsidP="009E3197">
      <w:pPr>
        <w:rPr>
          <w:noProof/>
        </w:rPr>
      </w:pPr>
      <w:r w:rsidRPr="009F56E6">
        <w:rPr>
          <w:noProof/>
        </w:rPr>
        <w:t xml:space="preserve">eu-LISA shall define the design of the physical architecture of the </w:t>
      </w:r>
      <w:r w:rsidR="00F40495" w:rsidRPr="009F56E6">
        <w:rPr>
          <w:noProof/>
        </w:rPr>
        <w:t>router</w:t>
      </w:r>
      <w:r w:rsidRPr="009F56E6">
        <w:rPr>
          <w:noProof/>
        </w:rPr>
        <w:t xml:space="preserve"> including </w:t>
      </w:r>
      <w:r w:rsidR="00F40495" w:rsidRPr="009F56E6">
        <w:rPr>
          <w:noProof/>
        </w:rPr>
        <w:t>its</w:t>
      </w:r>
      <w:r w:rsidRPr="009F56E6">
        <w:rPr>
          <w:noProof/>
        </w:rPr>
        <w:t xml:space="preserve"> communication infrastructures and the technical specifications and </w:t>
      </w:r>
      <w:r w:rsidR="00F40495" w:rsidRPr="009F56E6">
        <w:rPr>
          <w:noProof/>
        </w:rPr>
        <w:t>its</w:t>
      </w:r>
      <w:r w:rsidRPr="009F56E6">
        <w:rPr>
          <w:noProof/>
        </w:rPr>
        <w:t xml:space="preserve"> evolution as regards the central infrastructure and the secure communication infrastructure</w:t>
      </w:r>
      <w:r w:rsidR="00A30977">
        <w:rPr>
          <w:noProof/>
        </w:rPr>
        <w:t>. This design</w:t>
      </w:r>
      <w:r w:rsidRPr="009F56E6">
        <w:rPr>
          <w:noProof/>
        </w:rPr>
        <w:t xml:space="preserve"> shall be adopted by the Management Board, subject to a favourable opinion of the Commission. </w:t>
      </w:r>
      <w:r w:rsidR="007317A7" w:rsidRPr="009F56E6">
        <w:rPr>
          <w:noProof/>
        </w:rPr>
        <w:t xml:space="preserve">eu-LISA shall also implement any necessary adaptations to the </w:t>
      </w:r>
      <w:r w:rsidR="00E426F6" w:rsidRPr="009F56E6">
        <w:rPr>
          <w:noProof/>
        </w:rPr>
        <w:t>interoperability components</w:t>
      </w:r>
      <w:r w:rsidRPr="009F56E6">
        <w:rPr>
          <w:noProof/>
        </w:rPr>
        <w:t xml:space="preserve"> deriving from the establishment of </w:t>
      </w:r>
      <w:r w:rsidR="00F40495" w:rsidRPr="009F56E6">
        <w:rPr>
          <w:noProof/>
        </w:rPr>
        <w:t>the router as</w:t>
      </w:r>
      <w:r w:rsidRPr="009F56E6">
        <w:rPr>
          <w:noProof/>
        </w:rPr>
        <w:t xml:space="preserve"> provided for by this Regulation.</w:t>
      </w:r>
    </w:p>
    <w:p w14:paraId="00A790BA" w14:textId="2CD6E3B1" w:rsidR="009E3197" w:rsidRPr="009F56E6" w:rsidRDefault="009E3197" w:rsidP="009E3197">
      <w:pPr>
        <w:rPr>
          <w:noProof/>
        </w:rPr>
      </w:pPr>
      <w:r w:rsidRPr="009F56E6">
        <w:rPr>
          <w:noProof/>
        </w:rPr>
        <w:t xml:space="preserve">eu-LISA shall develop and implement the </w:t>
      </w:r>
      <w:r w:rsidR="00345662" w:rsidRPr="009F56E6">
        <w:rPr>
          <w:noProof/>
        </w:rPr>
        <w:t>router</w:t>
      </w:r>
      <w:r w:rsidRPr="009F56E6">
        <w:rPr>
          <w:noProof/>
        </w:rPr>
        <w:t xml:space="preserve"> </w:t>
      </w:r>
      <w:r w:rsidR="00525A67" w:rsidRPr="009F56E6">
        <w:rPr>
          <w:noProof/>
        </w:rPr>
        <w:t xml:space="preserve">as soon as possible </w:t>
      </w:r>
      <w:r w:rsidRPr="009F56E6">
        <w:rPr>
          <w:noProof/>
        </w:rPr>
        <w:t>after the adoption by the Commission of the me</w:t>
      </w:r>
      <w:r w:rsidR="0085772B" w:rsidRPr="009F56E6">
        <w:rPr>
          <w:noProof/>
        </w:rPr>
        <w:t>asures provided for in Article 3</w:t>
      </w:r>
      <w:r w:rsidR="0039768A">
        <w:rPr>
          <w:noProof/>
        </w:rPr>
        <w:t>7</w:t>
      </w:r>
      <w:r w:rsidR="0085772B" w:rsidRPr="00E951DA">
        <w:rPr>
          <w:noProof/>
        </w:rPr>
        <w:t>(6)</w:t>
      </w:r>
      <w:r w:rsidRPr="009F56E6">
        <w:rPr>
          <w:noProof/>
        </w:rPr>
        <w:t>.</w:t>
      </w:r>
    </w:p>
    <w:p w14:paraId="3767D9FB" w14:textId="77777777" w:rsidR="009E3197" w:rsidRPr="009F56E6" w:rsidRDefault="009E3197" w:rsidP="009E3197">
      <w:pPr>
        <w:rPr>
          <w:noProof/>
        </w:rPr>
      </w:pPr>
      <w:r w:rsidRPr="009F56E6">
        <w:rPr>
          <w:noProof/>
        </w:rPr>
        <w:t>The development shall consist of the elaboration and implementation of the technical specifications, testing and overall project management and coordination.</w:t>
      </w:r>
    </w:p>
    <w:p w14:paraId="0BB1ABFE" w14:textId="0BFD90D1" w:rsidR="009E3197" w:rsidRPr="009F56E6" w:rsidRDefault="009E3197" w:rsidP="009E3197">
      <w:pPr>
        <w:rPr>
          <w:noProof/>
        </w:rPr>
      </w:pPr>
      <w:r w:rsidRPr="009F56E6">
        <w:rPr>
          <w:noProof/>
        </w:rPr>
        <w:t xml:space="preserve">4. During the design and development phase, </w:t>
      </w:r>
      <w:r w:rsidR="005F1453" w:rsidRPr="009F56E6">
        <w:rPr>
          <w:noProof/>
        </w:rPr>
        <w:t xml:space="preserve">the Interoperability </w:t>
      </w:r>
      <w:r w:rsidRPr="009F56E6">
        <w:rPr>
          <w:noProof/>
        </w:rPr>
        <w:t xml:space="preserve">Programme Management Board </w:t>
      </w:r>
      <w:r w:rsidR="005F1453" w:rsidRPr="009F56E6">
        <w:rPr>
          <w:noProof/>
        </w:rPr>
        <w:t xml:space="preserve">referred to in Article </w:t>
      </w:r>
      <w:r w:rsidR="00B3761C" w:rsidRPr="009F56E6">
        <w:rPr>
          <w:noProof/>
        </w:rPr>
        <w:t xml:space="preserve">54 of Regulation (EU) 2019/817 and in Article 54 of Regulation (EU) 2019/818 </w:t>
      </w:r>
      <w:r w:rsidRPr="009F56E6">
        <w:rPr>
          <w:noProof/>
        </w:rPr>
        <w:t xml:space="preserve">shall meet regularly. It shall ensure the adequate management of the design and development phase of the </w:t>
      </w:r>
      <w:r w:rsidR="005143B7" w:rsidRPr="009F56E6">
        <w:rPr>
          <w:noProof/>
        </w:rPr>
        <w:t>router</w:t>
      </w:r>
      <w:r w:rsidRPr="009F56E6">
        <w:rPr>
          <w:noProof/>
        </w:rPr>
        <w:t>.</w:t>
      </w:r>
    </w:p>
    <w:p w14:paraId="3A1FEE83" w14:textId="39D88899" w:rsidR="009E3197" w:rsidRPr="009F56E6" w:rsidRDefault="009E3197" w:rsidP="009E3197">
      <w:pPr>
        <w:rPr>
          <w:noProof/>
        </w:rPr>
      </w:pPr>
      <w:r w:rsidRPr="009F56E6">
        <w:rPr>
          <w:noProof/>
        </w:rPr>
        <w:t xml:space="preserve">Every month, the </w:t>
      </w:r>
      <w:r w:rsidR="00A30977">
        <w:rPr>
          <w:noProof/>
        </w:rPr>
        <w:t>Interoperability</w:t>
      </w:r>
      <w:r w:rsidRPr="009F56E6">
        <w:rPr>
          <w:noProof/>
        </w:rPr>
        <w:t xml:space="preserve"> Programme Management Board shall submit written reports on progress of the project to eu-LISA's Management Board. The</w:t>
      </w:r>
      <w:r w:rsidR="00A30977" w:rsidRPr="00A30977">
        <w:rPr>
          <w:noProof/>
        </w:rPr>
        <w:t xml:space="preserve"> </w:t>
      </w:r>
      <w:r w:rsidR="00A30977">
        <w:rPr>
          <w:noProof/>
        </w:rPr>
        <w:t>Interoperability</w:t>
      </w:r>
      <w:r w:rsidRPr="009F56E6">
        <w:rPr>
          <w:noProof/>
        </w:rPr>
        <w:t xml:space="preserve"> Programme Management Board shall have no decision-making power, nor any mandate to represent the members of eu-LISA's Management Board.</w:t>
      </w:r>
    </w:p>
    <w:p w14:paraId="652622F2" w14:textId="4AE9D6EA" w:rsidR="009E3197" w:rsidRPr="009F56E6" w:rsidRDefault="009E3197" w:rsidP="009E3197">
      <w:pPr>
        <w:rPr>
          <w:noProof/>
        </w:rPr>
      </w:pPr>
      <w:r w:rsidRPr="009F56E6">
        <w:rPr>
          <w:noProof/>
        </w:rPr>
        <w:t>The</w:t>
      </w:r>
      <w:r w:rsidRPr="009F56E6" w:rsidDel="005F1453">
        <w:rPr>
          <w:noProof/>
        </w:rPr>
        <w:t xml:space="preserve"> </w:t>
      </w:r>
      <w:r w:rsidRPr="009F56E6">
        <w:rPr>
          <w:noProof/>
        </w:rPr>
        <w:t>Advisory Group referred to in Article </w:t>
      </w:r>
      <w:r w:rsidR="00DA3B93" w:rsidRPr="009F56E6">
        <w:rPr>
          <w:noProof/>
        </w:rPr>
        <w:t>7</w:t>
      </w:r>
      <w:r w:rsidR="0039768A">
        <w:rPr>
          <w:noProof/>
        </w:rPr>
        <w:t>7</w:t>
      </w:r>
      <w:r w:rsidRPr="009F56E6">
        <w:rPr>
          <w:noProof/>
        </w:rPr>
        <w:t xml:space="preserve"> shall meet regularly until the start of operations of the </w:t>
      </w:r>
      <w:r w:rsidR="001E4702" w:rsidRPr="009F56E6">
        <w:rPr>
          <w:noProof/>
        </w:rPr>
        <w:t>router</w:t>
      </w:r>
      <w:r w:rsidRPr="009F56E6">
        <w:rPr>
          <w:noProof/>
        </w:rPr>
        <w:t xml:space="preserve">. It shall report after each meeting to the </w:t>
      </w:r>
      <w:r w:rsidR="00A30977">
        <w:rPr>
          <w:noProof/>
        </w:rPr>
        <w:t>Interoperability</w:t>
      </w:r>
      <w:r w:rsidR="00A30977" w:rsidRPr="009F56E6">
        <w:rPr>
          <w:noProof/>
        </w:rPr>
        <w:t xml:space="preserve"> </w:t>
      </w:r>
      <w:r w:rsidRPr="009F56E6">
        <w:rPr>
          <w:noProof/>
        </w:rPr>
        <w:t xml:space="preserve">Programme Management Board. It shall provide the technical expertise to support the tasks of the </w:t>
      </w:r>
      <w:r w:rsidR="00A30977">
        <w:rPr>
          <w:noProof/>
        </w:rPr>
        <w:t>Interoperability</w:t>
      </w:r>
      <w:r w:rsidR="00A30977" w:rsidRPr="009F56E6">
        <w:rPr>
          <w:noProof/>
        </w:rPr>
        <w:t xml:space="preserve"> </w:t>
      </w:r>
      <w:r w:rsidRPr="009F56E6">
        <w:rPr>
          <w:noProof/>
        </w:rPr>
        <w:t>Programme Management Board and shall follow up on the state of preparation of the Member States.</w:t>
      </w:r>
    </w:p>
    <w:p w14:paraId="0F636726" w14:textId="07E6B224" w:rsidR="005143B7" w:rsidRPr="009F56E6" w:rsidRDefault="005143B7" w:rsidP="005143B7">
      <w:pPr>
        <w:pStyle w:val="Titrearticle"/>
        <w:rPr>
          <w:noProof/>
          <w:lang w:val="en-US"/>
        </w:rPr>
      </w:pPr>
      <w:r w:rsidRPr="009F56E6">
        <w:rPr>
          <w:noProof/>
          <w:lang w:val="en-US"/>
        </w:rPr>
        <w:t xml:space="preserve">Article </w:t>
      </w:r>
      <w:r w:rsidR="00847EC8" w:rsidRPr="009F56E6">
        <w:rPr>
          <w:noProof/>
          <w:lang w:val="en-US"/>
        </w:rPr>
        <w:t>6</w:t>
      </w:r>
      <w:r w:rsidR="00E15E51">
        <w:rPr>
          <w:noProof/>
          <w:lang w:val="en-US"/>
        </w:rPr>
        <w:t>6</w:t>
      </w:r>
    </w:p>
    <w:p w14:paraId="7378D5AC" w14:textId="54ED36CC" w:rsidR="005143B7" w:rsidRPr="009F56E6" w:rsidRDefault="005143B7" w:rsidP="005143B7">
      <w:pPr>
        <w:jc w:val="center"/>
        <w:rPr>
          <w:b/>
          <w:noProof/>
          <w:lang w:val="en-US"/>
        </w:rPr>
      </w:pPr>
      <w:r w:rsidRPr="009F56E6">
        <w:rPr>
          <w:b/>
          <w:noProof/>
          <w:lang w:val="en-US"/>
        </w:rPr>
        <w:t>Responsibilities of eu-LISA following the start of operations of the router</w:t>
      </w:r>
    </w:p>
    <w:p w14:paraId="20861DAF" w14:textId="2169E8FC" w:rsidR="005143B7" w:rsidRPr="009F56E6" w:rsidRDefault="00CD2034" w:rsidP="007B4046">
      <w:pPr>
        <w:rPr>
          <w:noProof/>
        </w:rPr>
      </w:pPr>
      <w:r w:rsidRPr="009F56E6">
        <w:rPr>
          <w:noProof/>
        </w:rPr>
        <w:t>1.</w:t>
      </w:r>
      <w:r w:rsidR="005143B7" w:rsidRPr="009F56E6">
        <w:rPr>
          <w:noProof/>
        </w:rPr>
        <w:t xml:space="preserve"> Following the entry into operations of the router, eu-LISA shall be responsible for the technical management of </w:t>
      </w:r>
      <w:r w:rsidR="00A30977">
        <w:rPr>
          <w:noProof/>
        </w:rPr>
        <w:t>the</w:t>
      </w:r>
      <w:r w:rsidR="00A30977" w:rsidRPr="009F56E6">
        <w:rPr>
          <w:noProof/>
        </w:rPr>
        <w:t xml:space="preserve"> </w:t>
      </w:r>
      <w:r w:rsidR="005143B7" w:rsidRPr="009F56E6">
        <w:rPr>
          <w:noProof/>
        </w:rPr>
        <w:t>central infrastructure</w:t>
      </w:r>
      <w:r w:rsidR="00A30977">
        <w:rPr>
          <w:noProof/>
        </w:rPr>
        <w:t xml:space="preserve"> of the router</w:t>
      </w:r>
      <w:r w:rsidR="005143B7" w:rsidRPr="009F56E6">
        <w:rPr>
          <w:noProof/>
        </w:rPr>
        <w:t>, including its maintenance and technological developments. In cooperation with Member States, it shall ensure that the best available technology is used, subject to a cost-benefit analysis. eu-LISA shall also be responsible for the technical management of the necessary communication infrastructure.</w:t>
      </w:r>
    </w:p>
    <w:p w14:paraId="542D89AE" w14:textId="771BC89C" w:rsidR="005143B7" w:rsidRPr="009F56E6" w:rsidRDefault="005143B7" w:rsidP="007B4046">
      <w:pPr>
        <w:rPr>
          <w:noProof/>
        </w:rPr>
      </w:pPr>
      <w:r w:rsidRPr="009F56E6">
        <w:rPr>
          <w:noProof/>
        </w:rPr>
        <w:t xml:space="preserve">Technical management of the router shall consist of all the tasks and technical solutions necessary to keep the router functioning and providing uninterrupted services to Member States and to Europol 24 hours a day, 7 days a week in accordance with this Regulation. It shall include the maintenance work and technical developments necessary to ensure that the router functions at a satisfactory level of technical quality, in particular as regards </w:t>
      </w:r>
      <w:r w:rsidR="00E426F6" w:rsidRPr="009F56E6">
        <w:rPr>
          <w:noProof/>
        </w:rPr>
        <w:t xml:space="preserve">availability and </w:t>
      </w:r>
      <w:r w:rsidRPr="009F56E6">
        <w:rPr>
          <w:noProof/>
        </w:rPr>
        <w:t xml:space="preserve">the response time for </w:t>
      </w:r>
      <w:r w:rsidR="00E426F6" w:rsidRPr="009F56E6">
        <w:rPr>
          <w:noProof/>
        </w:rPr>
        <w:t>submitting requests to</w:t>
      </w:r>
      <w:r w:rsidRPr="009F56E6">
        <w:rPr>
          <w:noProof/>
        </w:rPr>
        <w:t xml:space="preserve"> the national databases and Europol data in accordance with the technical specifications.</w:t>
      </w:r>
    </w:p>
    <w:p w14:paraId="7207C082" w14:textId="28920F7B" w:rsidR="005143B7" w:rsidRPr="009F56E6" w:rsidRDefault="005143B7" w:rsidP="007B4046">
      <w:pPr>
        <w:rPr>
          <w:noProof/>
        </w:rPr>
      </w:pPr>
      <w:r w:rsidRPr="009F56E6">
        <w:rPr>
          <w:noProof/>
        </w:rPr>
        <w:t>The router shall be developed and managed in such a way as to ensure fast, efficient and controlled access</w:t>
      </w:r>
      <w:r w:rsidR="00306371" w:rsidRPr="009F56E6">
        <w:rPr>
          <w:noProof/>
        </w:rPr>
        <w:t>, full</w:t>
      </w:r>
      <w:r w:rsidR="00A30977">
        <w:rPr>
          <w:noProof/>
        </w:rPr>
        <w:t xml:space="preserve"> and</w:t>
      </w:r>
      <w:r w:rsidR="00A30977" w:rsidRPr="009F56E6">
        <w:rPr>
          <w:noProof/>
        </w:rPr>
        <w:t xml:space="preserve"> </w:t>
      </w:r>
      <w:r w:rsidR="00306371" w:rsidRPr="009F56E6">
        <w:rPr>
          <w:noProof/>
        </w:rPr>
        <w:t xml:space="preserve">uninterrupted availability of the router, and a response time in line with the operational needs of the </w:t>
      </w:r>
      <w:r w:rsidR="00A30977">
        <w:rPr>
          <w:noProof/>
        </w:rPr>
        <w:t>competent authorities of the</w:t>
      </w:r>
      <w:r w:rsidR="00306371" w:rsidRPr="009F56E6">
        <w:rPr>
          <w:noProof/>
        </w:rPr>
        <w:t xml:space="preserve"> Member States</w:t>
      </w:r>
      <w:r w:rsidR="00A30977">
        <w:rPr>
          <w:noProof/>
        </w:rPr>
        <w:t xml:space="preserve"> </w:t>
      </w:r>
      <w:r w:rsidR="00306371" w:rsidRPr="009F56E6">
        <w:rPr>
          <w:noProof/>
        </w:rPr>
        <w:t>and Europol.</w:t>
      </w:r>
    </w:p>
    <w:p w14:paraId="2E713570" w14:textId="0668B3E2" w:rsidR="005143B7" w:rsidRPr="009F56E6" w:rsidRDefault="00CD2034" w:rsidP="007B4046">
      <w:pPr>
        <w:rPr>
          <w:noProof/>
        </w:rPr>
      </w:pPr>
      <w:r w:rsidRPr="009F56E6">
        <w:rPr>
          <w:noProof/>
        </w:rPr>
        <w:t>2. </w:t>
      </w:r>
      <w:r w:rsidR="005143B7" w:rsidRPr="009F56E6">
        <w:rPr>
          <w:noProof/>
        </w:rPr>
        <w:t xml:space="preserve">Without prejudice to Article 17 of </w:t>
      </w:r>
      <w:r w:rsidR="00C421C9" w:rsidRPr="00FC6C6C">
        <w:rPr>
          <w:noProof/>
        </w:rPr>
        <w:t>the Staff Regulations of Officials of the European Union, laid down in Council Regulation (EEC, Euratom, ECSC) No 259/68</w:t>
      </w:r>
      <w:r w:rsidR="00C421C9">
        <w:rPr>
          <w:rStyle w:val="FootnoteReference0"/>
          <w:noProof/>
        </w:rPr>
        <w:footnoteReference w:id="43"/>
      </w:r>
      <w:r w:rsidR="005143B7" w:rsidRPr="009F56E6">
        <w:rPr>
          <w:noProof/>
        </w:rPr>
        <w:t>, eu-LISA shall apply appropriate rules of professional secrecy or other equivalent duties of confidentiality to its staff required to work with data stored in the interoperability components. This obligation shall also apply after such staff leave office or employment or after the termination of their activities.</w:t>
      </w:r>
    </w:p>
    <w:p w14:paraId="481BC70E" w14:textId="1EF56155" w:rsidR="005143B7" w:rsidRPr="009F56E6" w:rsidRDefault="005143B7" w:rsidP="007B4046">
      <w:pPr>
        <w:rPr>
          <w:noProof/>
        </w:rPr>
      </w:pPr>
      <w:r w:rsidRPr="009F56E6">
        <w:rPr>
          <w:noProof/>
        </w:rPr>
        <w:t>eu-LISA shall not have access to any of the personal data processed through the router.</w:t>
      </w:r>
    </w:p>
    <w:p w14:paraId="72783E6E" w14:textId="0F7F252E" w:rsidR="00B66C0E" w:rsidRPr="00FC1288" w:rsidRDefault="00525A67" w:rsidP="008F7590">
      <w:pPr>
        <w:rPr>
          <w:noProof/>
        </w:rPr>
      </w:pPr>
      <w:r w:rsidRPr="009F56E6">
        <w:rPr>
          <w:noProof/>
        </w:rPr>
        <w:t>3</w:t>
      </w:r>
      <w:r w:rsidR="00CD2034" w:rsidRPr="009F56E6">
        <w:rPr>
          <w:noProof/>
        </w:rPr>
        <w:t>.</w:t>
      </w:r>
      <w:r w:rsidR="005143B7" w:rsidRPr="009F56E6">
        <w:rPr>
          <w:noProof/>
        </w:rPr>
        <w:t xml:space="preserve"> eu-LISA shall also perform tasks related to providing training on the technical use of the </w:t>
      </w:r>
      <w:r w:rsidR="00DC12AC" w:rsidRPr="009F56E6">
        <w:rPr>
          <w:noProof/>
        </w:rPr>
        <w:t>router</w:t>
      </w:r>
      <w:r w:rsidR="005143B7" w:rsidRPr="009F56E6">
        <w:rPr>
          <w:noProof/>
        </w:rPr>
        <w:t>.</w:t>
      </w:r>
    </w:p>
    <w:p w14:paraId="685325EE" w14:textId="6C8559C8" w:rsidR="00B66C0E" w:rsidRPr="009F56E6" w:rsidRDefault="00B66C0E" w:rsidP="00B66C0E">
      <w:pPr>
        <w:pStyle w:val="Titrearticle"/>
        <w:rPr>
          <w:i w:val="0"/>
          <w:noProof/>
          <w:lang w:val="en-US"/>
        </w:rPr>
      </w:pPr>
      <w:r w:rsidRPr="009F56E6">
        <w:rPr>
          <w:i w:val="0"/>
          <w:noProof/>
          <w:lang w:val="en-US"/>
        </w:rPr>
        <w:t>CHAPTER 8</w:t>
      </w:r>
    </w:p>
    <w:p w14:paraId="58E31A2A" w14:textId="48974981" w:rsidR="00B66C0E" w:rsidRPr="009F56E6" w:rsidRDefault="00B66C0E" w:rsidP="00B66C0E">
      <w:pPr>
        <w:jc w:val="center"/>
        <w:rPr>
          <w:b/>
          <w:noProof/>
        </w:rPr>
      </w:pPr>
      <w:r w:rsidRPr="009F56E6">
        <w:rPr>
          <w:b/>
          <w:noProof/>
        </w:rPr>
        <w:t>AMENDMENTS TO OTHER EXISTING INSTRUMENTS</w:t>
      </w:r>
    </w:p>
    <w:p w14:paraId="2FAF79A6" w14:textId="46A3B97E" w:rsidR="00C421C9" w:rsidRPr="009F56E6" w:rsidRDefault="00C421C9" w:rsidP="00C421C9">
      <w:pPr>
        <w:pStyle w:val="Titrearticle"/>
        <w:rPr>
          <w:noProof/>
          <w:lang w:val="en-US"/>
        </w:rPr>
      </w:pPr>
      <w:r w:rsidRPr="009F56E6">
        <w:rPr>
          <w:noProof/>
          <w:lang w:val="en-US"/>
        </w:rPr>
        <w:t>Article 6</w:t>
      </w:r>
      <w:r w:rsidR="00E15E51">
        <w:rPr>
          <w:noProof/>
          <w:lang w:val="en-US"/>
        </w:rPr>
        <w:t>7</w:t>
      </w:r>
    </w:p>
    <w:p w14:paraId="239750BC" w14:textId="77777777" w:rsidR="00C421C9" w:rsidRPr="009F56E6" w:rsidRDefault="00C421C9" w:rsidP="00C421C9">
      <w:pPr>
        <w:jc w:val="center"/>
        <w:rPr>
          <w:b/>
          <w:noProof/>
        </w:rPr>
      </w:pPr>
      <w:r>
        <w:rPr>
          <w:b/>
          <w:noProof/>
        </w:rPr>
        <w:t xml:space="preserve">Amendments to </w:t>
      </w:r>
      <w:r w:rsidRPr="0060408E">
        <w:rPr>
          <w:b/>
          <w:noProof/>
        </w:rPr>
        <w:t>Decision</w:t>
      </w:r>
      <w:r>
        <w:rPr>
          <w:b/>
          <w:noProof/>
        </w:rPr>
        <w:t>s</w:t>
      </w:r>
      <w:r w:rsidRPr="0060408E">
        <w:rPr>
          <w:b/>
          <w:noProof/>
        </w:rPr>
        <w:t xml:space="preserve"> 2008/615/JHA and</w:t>
      </w:r>
      <w:r w:rsidRPr="0060408E">
        <w:rPr>
          <w:noProof/>
        </w:rPr>
        <w:t xml:space="preserve"> </w:t>
      </w:r>
      <w:r w:rsidRPr="0060408E">
        <w:rPr>
          <w:b/>
          <w:noProof/>
        </w:rPr>
        <w:t>2008/616/JHA</w:t>
      </w:r>
    </w:p>
    <w:p w14:paraId="7F0113CF" w14:textId="7A2896B9" w:rsidR="00C421C9" w:rsidRDefault="00C304BF" w:rsidP="00C304BF">
      <w:pPr>
        <w:pStyle w:val="ManualNumPar1"/>
        <w:rPr>
          <w:noProof/>
        </w:rPr>
      </w:pPr>
      <w:r w:rsidRPr="00C304BF">
        <w:t>1.</w:t>
      </w:r>
      <w:r w:rsidRPr="00C304BF">
        <w:tab/>
      </w:r>
      <w:r w:rsidR="00C421C9">
        <w:rPr>
          <w:noProof/>
        </w:rPr>
        <w:t xml:space="preserve">In </w:t>
      </w:r>
      <w:r w:rsidR="00C421C9" w:rsidRPr="009F56E6">
        <w:rPr>
          <w:noProof/>
        </w:rPr>
        <w:t>Decision 2008/615/JHA</w:t>
      </w:r>
      <w:r w:rsidR="00C421C9">
        <w:rPr>
          <w:noProof/>
        </w:rPr>
        <w:t>,</w:t>
      </w:r>
      <w:r w:rsidR="00C421C9" w:rsidRPr="009F56E6">
        <w:rPr>
          <w:noProof/>
        </w:rPr>
        <w:t xml:space="preserve"> Articles 2 </w:t>
      </w:r>
      <w:r w:rsidR="00C421C9">
        <w:rPr>
          <w:noProof/>
        </w:rPr>
        <w:t>to</w:t>
      </w:r>
      <w:r w:rsidR="00C421C9" w:rsidRPr="009F56E6">
        <w:rPr>
          <w:noProof/>
        </w:rPr>
        <w:t xml:space="preserve"> 6 and Sections 2 and 3 of Chapter 2 </w:t>
      </w:r>
      <w:r w:rsidR="00C421C9">
        <w:rPr>
          <w:noProof/>
        </w:rPr>
        <w:t xml:space="preserve">are </w:t>
      </w:r>
      <w:r w:rsidR="00352015">
        <w:rPr>
          <w:noProof/>
        </w:rPr>
        <w:t>replaced with regard to the Member States bound by this Regulation</w:t>
      </w:r>
      <w:r w:rsidR="00352015" w:rsidRPr="00C421C9">
        <w:rPr>
          <w:noProof/>
        </w:rPr>
        <w:t xml:space="preserve"> </w:t>
      </w:r>
      <w:r w:rsidR="00C421C9" w:rsidRPr="009F56E6">
        <w:rPr>
          <w:noProof/>
        </w:rPr>
        <w:t>from the date of application of the provisions of this Regulation related to the router as set out in Article 7</w:t>
      </w:r>
      <w:r w:rsidR="00352015">
        <w:rPr>
          <w:noProof/>
        </w:rPr>
        <w:t>4</w:t>
      </w:r>
      <w:r w:rsidR="00C421C9">
        <w:rPr>
          <w:noProof/>
        </w:rPr>
        <w:t xml:space="preserve">. </w:t>
      </w:r>
    </w:p>
    <w:p w14:paraId="0983872A" w14:textId="422E034C" w:rsidR="00352015" w:rsidRPr="000763B1" w:rsidRDefault="00352015" w:rsidP="0003774E">
      <w:pPr>
        <w:pStyle w:val="Text1"/>
        <w:rPr>
          <w:noProof/>
        </w:rPr>
      </w:pPr>
      <w:r>
        <w:rPr>
          <w:noProof/>
        </w:rPr>
        <w:t xml:space="preserve">Therefore, </w:t>
      </w:r>
      <w:r w:rsidRPr="009F56E6">
        <w:rPr>
          <w:noProof/>
        </w:rPr>
        <w:t xml:space="preserve">Articles 2 </w:t>
      </w:r>
      <w:r>
        <w:rPr>
          <w:noProof/>
        </w:rPr>
        <w:t>to</w:t>
      </w:r>
      <w:r w:rsidRPr="009F56E6">
        <w:rPr>
          <w:noProof/>
        </w:rPr>
        <w:t xml:space="preserve"> 6 and Sections 2 and 3 of Chapter 2</w:t>
      </w:r>
      <w:r>
        <w:rPr>
          <w:noProof/>
        </w:rPr>
        <w:t xml:space="preserve"> of </w:t>
      </w:r>
      <w:r w:rsidRPr="009F56E6">
        <w:rPr>
          <w:noProof/>
        </w:rPr>
        <w:t>Decision 2008/615/JHA</w:t>
      </w:r>
      <w:r>
        <w:rPr>
          <w:noProof/>
        </w:rPr>
        <w:t xml:space="preserve"> are deleted </w:t>
      </w:r>
      <w:r w:rsidRPr="009F56E6">
        <w:rPr>
          <w:noProof/>
        </w:rPr>
        <w:t xml:space="preserve">from the date of application of the provisions of this Regulation related to the router as set out </w:t>
      </w:r>
      <w:r w:rsidRPr="00345927">
        <w:rPr>
          <w:noProof/>
        </w:rPr>
        <w:t xml:space="preserve">in </w:t>
      </w:r>
      <w:r w:rsidRPr="0006311A">
        <w:rPr>
          <w:noProof/>
        </w:rPr>
        <w:t>Article 74</w:t>
      </w:r>
      <w:r w:rsidRPr="003A5E48">
        <w:rPr>
          <w:noProof/>
        </w:rPr>
        <w:t>.</w:t>
      </w:r>
    </w:p>
    <w:p w14:paraId="6D9227D5" w14:textId="08BA9D13" w:rsidR="00352015" w:rsidRDefault="00C304BF" w:rsidP="00C304BF">
      <w:pPr>
        <w:pStyle w:val="ManualNumPar1"/>
        <w:rPr>
          <w:noProof/>
        </w:rPr>
      </w:pPr>
      <w:r w:rsidRPr="00C304BF">
        <w:t>2.</w:t>
      </w:r>
      <w:r w:rsidRPr="00C304BF">
        <w:tab/>
      </w:r>
      <w:r w:rsidR="00C421C9">
        <w:rPr>
          <w:noProof/>
        </w:rPr>
        <w:t xml:space="preserve">In </w:t>
      </w:r>
      <w:r w:rsidR="00C421C9" w:rsidRPr="009F56E6">
        <w:rPr>
          <w:noProof/>
        </w:rPr>
        <w:t>Decision 2008/616/JHA</w:t>
      </w:r>
      <w:r w:rsidR="00C421C9">
        <w:rPr>
          <w:noProof/>
        </w:rPr>
        <w:t>,</w:t>
      </w:r>
      <w:r w:rsidR="00C421C9" w:rsidRPr="009F56E6">
        <w:rPr>
          <w:noProof/>
        </w:rPr>
        <w:t xml:space="preserve"> Chapters 2</w:t>
      </w:r>
      <w:r w:rsidR="00C421C9">
        <w:rPr>
          <w:noProof/>
        </w:rPr>
        <w:t xml:space="preserve"> to</w:t>
      </w:r>
      <w:r w:rsidR="00C421C9" w:rsidRPr="009F56E6">
        <w:rPr>
          <w:noProof/>
        </w:rPr>
        <w:t xml:space="preserve"> 5 and Articles 18, 20 and 21 are </w:t>
      </w:r>
      <w:r w:rsidR="00352015">
        <w:rPr>
          <w:noProof/>
        </w:rPr>
        <w:t>replaced with regard to the Member States bound by this Regulation</w:t>
      </w:r>
      <w:r w:rsidR="00352015" w:rsidRPr="00C421C9">
        <w:rPr>
          <w:noProof/>
        </w:rPr>
        <w:t xml:space="preserve"> </w:t>
      </w:r>
      <w:r w:rsidR="00C421C9" w:rsidRPr="009F56E6">
        <w:rPr>
          <w:noProof/>
        </w:rPr>
        <w:t>from the date of application of the provisions of this Regulation related to the router as set out in Article 7</w:t>
      </w:r>
      <w:r w:rsidR="00352015">
        <w:rPr>
          <w:noProof/>
        </w:rPr>
        <w:t>4</w:t>
      </w:r>
      <w:r w:rsidR="00C421C9" w:rsidRPr="009F56E6">
        <w:rPr>
          <w:noProof/>
        </w:rPr>
        <w:t>.</w:t>
      </w:r>
      <w:r w:rsidR="00352015">
        <w:rPr>
          <w:noProof/>
        </w:rPr>
        <w:t xml:space="preserve"> </w:t>
      </w:r>
    </w:p>
    <w:p w14:paraId="6761F265" w14:textId="224B5375" w:rsidR="00C421C9" w:rsidRDefault="00352015" w:rsidP="00D05538">
      <w:pPr>
        <w:rPr>
          <w:noProof/>
        </w:rPr>
      </w:pPr>
      <w:r>
        <w:rPr>
          <w:noProof/>
        </w:rPr>
        <w:t xml:space="preserve">Therefore, </w:t>
      </w:r>
      <w:r w:rsidRPr="009F56E6">
        <w:rPr>
          <w:noProof/>
        </w:rPr>
        <w:t>Chapters 2</w:t>
      </w:r>
      <w:r>
        <w:rPr>
          <w:noProof/>
        </w:rPr>
        <w:t xml:space="preserve"> to</w:t>
      </w:r>
      <w:r w:rsidRPr="009F56E6">
        <w:rPr>
          <w:noProof/>
        </w:rPr>
        <w:t xml:space="preserve"> 5 and Articles 18, 20 and 21</w:t>
      </w:r>
      <w:r>
        <w:rPr>
          <w:noProof/>
        </w:rPr>
        <w:t xml:space="preserve"> of</w:t>
      </w:r>
      <w:r w:rsidRPr="00C30593">
        <w:rPr>
          <w:noProof/>
        </w:rPr>
        <w:t xml:space="preserve"> </w:t>
      </w:r>
      <w:r w:rsidRPr="009F56E6">
        <w:rPr>
          <w:noProof/>
        </w:rPr>
        <w:t>Decision 2008/616/JHA</w:t>
      </w:r>
      <w:r w:rsidRPr="00C30593">
        <w:rPr>
          <w:noProof/>
        </w:rPr>
        <w:t xml:space="preserve"> </w:t>
      </w:r>
      <w:r>
        <w:rPr>
          <w:noProof/>
        </w:rPr>
        <w:t xml:space="preserve">are deleted </w:t>
      </w:r>
      <w:r w:rsidRPr="009F56E6">
        <w:rPr>
          <w:noProof/>
        </w:rPr>
        <w:t xml:space="preserve">from the date of application of the provisions of this Regulation related to the router as set out </w:t>
      </w:r>
      <w:r w:rsidRPr="00345927">
        <w:rPr>
          <w:noProof/>
        </w:rPr>
        <w:t xml:space="preserve">in </w:t>
      </w:r>
      <w:r w:rsidRPr="0006311A">
        <w:rPr>
          <w:noProof/>
        </w:rPr>
        <w:t>Article 74</w:t>
      </w:r>
      <w:r w:rsidRPr="003A5E48">
        <w:rPr>
          <w:noProof/>
        </w:rPr>
        <w:t>.</w:t>
      </w:r>
    </w:p>
    <w:p w14:paraId="6DD46FD3" w14:textId="6847E869" w:rsidR="00FB55F0" w:rsidRPr="009F56E6" w:rsidRDefault="00FB55F0" w:rsidP="00FB55F0">
      <w:pPr>
        <w:pStyle w:val="Titrearticle"/>
        <w:rPr>
          <w:noProof/>
          <w:lang w:val="en-US"/>
        </w:rPr>
      </w:pPr>
      <w:r w:rsidRPr="009F56E6">
        <w:rPr>
          <w:noProof/>
          <w:lang w:val="en-US"/>
        </w:rPr>
        <w:t>Article 6</w:t>
      </w:r>
      <w:r w:rsidR="00E15E51">
        <w:rPr>
          <w:noProof/>
          <w:lang w:val="en-US"/>
        </w:rPr>
        <w:t>8</w:t>
      </w:r>
    </w:p>
    <w:p w14:paraId="74E6A090" w14:textId="0043F6E0" w:rsidR="00CF255D" w:rsidRPr="009F56E6" w:rsidRDefault="00CF255D" w:rsidP="00CF255D">
      <w:pPr>
        <w:jc w:val="center"/>
        <w:rPr>
          <w:b/>
          <w:noProof/>
        </w:rPr>
      </w:pPr>
      <w:r w:rsidRPr="009F56E6">
        <w:rPr>
          <w:b/>
          <w:noProof/>
        </w:rPr>
        <w:t>Amendments to Regulation (EU) 2018/1726</w:t>
      </w:r>
    </w:p>
    <w:p w14:paraId="7C5BB2E3" w14:textId="1B4DF6BF" w:rsidR="00FB55F0" w:rsidRPr="005A04A2" w:rsidRDefault="00CF255D" w:rsidP="00FB55F0">
      <w:pPr>
        <w:rPr>
          <w:noProof/>
        </w:rPr>
      </w:pPr>
      <w:r w:rsidRPr="005A04A2">
        <w:rPr>
          <w:noProof/>
        </w:rPr>
        <w:t>Regulation (EU) 2018/1726 is amended as follows:</w:t>
      </w:r>
    </w:p>
    <w:p w14:paraId="30E33031" w14:textId="227F4D06" w:rsidR="00CF255D" w:rsidRPr="005A04A2" w:rsidRDefault="00C304BF" w:rsidP="00C304BF">
      <w:pPr>
        <w:pStyle w:val="Point0"/>
        <w:rPr>
          <w:noProof/>
          <w:sz w:val="16"/>
          <w:lang w:val="en-US"/>
        </w:rPr>
      </w:pPr>
      <w:r w:rsidRPr="00C304BF">
        <w:t>(1)</w:t>
      </w:r>
      <w:r w:rsidRPr="00C304BF">
        <w:tab/>
      </w:r>
      <w:r w:rsidR="00D81147">
        <w:rPr>
          <w:noProof/>
          <w:lang w:val="en-US"/>
        </w:rPr>
        <w:t>the following</w:t>
      </w:r>
      <w:r w:rsidR="00D81147" w:rsidRPr="005A04A2" w:rsidDel="00D81147">
        <w:rPr>
          <w:noProof/>
          <w:lang w:val="en-US"/>
        </w:rPr>
        <w:t xml:space="preserve"> </w:t>
      </w:r>
      <w:r w:rsidR="00CF255D" w:rsidRPr="005A04A2">
        <w:rPr>
          <w:noProof/>
          <w:lang w:val="en-US"/>
        </w:rPr>
        <w:t>Article 13a is inserted:</w:t>
      </w:r>
    </w:p>
    <w:p w14:paraId="5EFD0450" w14:textId="630F3C40" w:rsidR="00D81147" w:rsidRPr="00D81147" w:rsidRDefault="00D81147" w:rsidP="00E9725F">
      <w:pPr>
        <w:ind w:left="3600" w:firstLine="720"/>
        <w:rPr>
          <w:noProof/>
          <w:lang w:val="en-US"/>
        </w:rPr>
      </w:pPr>
      <w:r w:rsidRPr="00D81147">
        <w:rPr>
          <w:noProof/>
          <w:lang w:val="en-US"/>
        </w:rPr>
        <w:t xml:space="preserve">“Article </w:t>
      </w:r>
      <w:r w:rsidRPr="0003774E">
        <w:rPr>
          <w:noProof/>
          <w:lang w:val="en-US"/>
        </w:rPr>
        <w:t>13a</w:t>
      </w:r>
    </w:p>
    <w:p w14:paraId="2B9B4B47" w14:textId="127E7EAD" w:rsidR="00D81147" w:rsidRPr="00D81147" w:rsidRDefault="00D81147" w:rsidP="00E9725F">
      <w:pPr>
        <w:ind w:left="2880" w:firstLine="720"/>
        <w:rPr>
          <w:noProof/>
          <w:lang w:val="en-US"/>
        </w:rPr>
      </w:pPr>
      <w:r w:rsidRPr="00E9725F">
        <w:rPr>
          <w:b/>
          <w:noProof/>
        </w:rPr>
        <w:t>Tasks related to </w:t>
      </w:r>
      <w:r w:rsidRPr="00E9725F">
        <w:rPr>
          <w:b/>
          <w:noProof/>
          <w:lang w:val="en-US"/>
        </w:rPr>
        <w:t>the router</w:t>
      </w:r>
      <w:r w:rsidRPr="00D81147">
        <w:rPr>
          <w:noProof/>
          <w:lang w:val="en-US"/>
        </w:rPr>
        <w:t xml:space="preserve"> </w:t>
      </w:r>
    </w:p>
    <w:p w14:paraId="63E28ABD" w14:textId="37E53ED9" w:rsidR="005519C1" w:rsidRPr="009F56E6" w:rsidRDefault="005519C1" w:rsidP="006D3AE6">
      <w:pPr>
        <w:pStyle w:val="ListParagraph"/>
        <w:ind w:left="1417"/>
        <w:rPr>
          <w:noProof/>
          <w:lang w:val="en-US"/>
        </w:rPr>
      </w:pPr>
    </w:p>
    <w:p w14:paraId="7511C2F6" w14:textId="18934098" w:rsidR="00345EE9" w:rsidRDefault="00CF255D" w:rsidP="006D3AE6">
      <w:pPr>
        <w:pStyle w:val="ListParagraph"/>
        <w:ind w:left="1417"/>
        <w:rPr>
          <w:noProof/>
          <w:lang w:val="en-US"/>
        </w:rPr>
      </w:pPr>
      <w:r w:rsidRPr="009F56E6">
        <w:rPr>
          <w:noProof/>
          <w:lang w:val="en-US"/>
        </w:rPr>
        <w:t xml:space="preserve">In relation to </w:t>
      </w:r>
      <w:r w:rsidR="00A7656F">
        <w:rPr>
          <w:noProof/>
          <w:lang w:val="en-US"/>
        </w:rPr>
        <w:t xml:space="preserve">Regulation (EU) …/… </w:t>
      </w:r>
      <w:r w:rsidR="00345EE9" w:rsidRPr="00C16F00">
        <w:rPr>
          <w:noProof/>
          <w:lang w:val="en-US"/>
        </w:rPr>
        <w:t>of the European Parliament and of the Council</w:t>
      </w:r>
      <w:r w:rsidR="00A7656F">
        <w:rPr>
          <w:noProof/>
          <w:lang w:val="en-US"/>
        </w:rPr>
        <w:t>*</w:t>
      </w:r>
      <w:r w:rsidR="00A7656F" w:rsidRPr="00F606CA">
        <w:rPr>
          <w:noProof/>
          <w:lang w:val="en-US"/>
        </w:rPr>
        <w:t xml:space="preserve"> </w:t>
      </w:r>
      <w:r w:rsidR="00A7656F">
        <w:rPr>
          <w:noProof/>
          <w:lang w:val="en-US"/>
        </w:rPr>
        <w:t>[</w:t>
      </w:r>
      <w:r w:rsidR="00A7656F">
        <w:rPr>
          <w:i/>
          <w:noProof/>
          <w:lang w:val="en-US"/>
        </w:rPr>
        <w:t>this Regulation</w:t>
      </w:r>
      <w:r w:rsidR="00A7656F" w:rsidRPr="009F56E6">
        <w:rPr>
          <w:iCs/>
          <w:noProof/>
          <w:color w:val="000000"/>
          <w:lang w:val="en-IE"/>
        </w:rPr>
        <w:t>]</w:t>
      </w:r>
      <w:r w:rsidRPr="009F56E6">
        <w:rPr>
          <w:noProof/>
          <w:lang w:val="en-US"/>
        </w:rPr>
        <w:t xml:space="preserve">, the Agency shall perform the tasks related to the router conferred on it by </w:t>
      </w:r>
      <w:r w:rsidR="005438CA">
        <w:rPr>
          <w:noProof/>
          <w:lang w:val="en-US"/>
        </w:rPr>
        <w:t>that</w:t>
      </w:r>
      <w:r w:rsidRPr="009F56E6">
        <w:rPr>
          <w:noProof/>
          <w:lang w:val="en-US"/>
        </w:rPr>
        <w:t xml:space="preserve"> Regulation.</w:t>
      </w:r>
    </w:p>
    <w:p w14:paraId="75C36EC1" w14:textId="7CCA92EB" w:rsidR="00345EE9" w:rsidRDefault="00345EE9" w:rsidP="00345EE9">
      <w:pPr>
        <w:pStyle w:val="ListParagraph"/>
        <w:ind w:left="1417"/>
        <w:rPr>
          <w:noProof/>
          <w:lang w:val="en-US"/>
        </w:rPr>
      </w:pPr>
      <w:r>
        <w:rPr>
          <w:noProof/>
          <w:lang w:val="en-US"/>
        </w:rPr>
        <w:t>___________</w:t>
      </w:r>
    </w:p>
    <w:p w14:paraId="001E7E9B" w14:textId="1B70AD19" w:rsidR="00CF255D" w:rsidRPr="0006311A" w:rsidRDefault="00345EE9" w:rsidP="00345927">
      <w:pPr>
        <w:pStyle w:val="ListParagraph"/>
        <w:ind w:left="1417"/>
        <w:rPr>
          <w:noProof/>
          <w:lang w:val="en-US"/>
        </w:rPr>
      </w:pPr>
      <w:r w:rsidRPr="00C16F00">
        <w:rPr>
          <w:noProof/>
          <w:lang w:val="en-US"/>
        </w:rPr>
        <w:t>*</w:t>
      </w:r>
      <w:r w:rsidRPr="00C16F00">
        <w:rPr>
          <w:noProof/>
          <w:lang w:val="en-US"/>
        </w:rPr>
        <w:tab/>
        <w:t>Regulation (EU) [number] of the European Parliament and of the Council of xy on [offi</w:t>
      </w:r>
      <w:r>
        <w:rPr>
          <w:noProof/>
          <w:lang w:val="en-US"/>
        </w:rPr>
        <w:t>cially adopted title] (OJ L …)”</w:t>
      </w:r>
    </w:p>
    <w:p w14:paraId="074B766F" w14:textId="32F5CA8F" w:rsidR="005519C1" w:rsidRPr="009F56E6" w:rsidRDefault="005519C1" w:rsidP="006D3AE6">
      <w:pPr>
        <w:pStyle w:val="ListParagraph"/>
        <w:ind w:left="1417"/>
        <w:rPr>
          <w:noProof/>
          <w:lang w:val="en-US"/>
        </w:rPr>
      </w:pPr>
    </w:p>
    <w:p w14:paraId="47B7CACD" w14:textId="6EE4F464" w:rsidR="00CF255D" w:rsidRPr="009F56E6" w:rsidRDefault="005438CA" w:rsidP="00FB054D">
      <w:pPr>
        <w:rPr>
          <w:noProof/>
          <w:lang w:val="en-US"/>
        </w:rPr>
      </w:pPr>
      <w:r>
        <w:rPr>
          <w:noProof/>
          <w:lang w:val="en-US"/>
        </w:rPr>
        <w:t>i</w:t>
      </w:r>
      <w:r w:rsidRPr="009F56E6">
        <w:rPr>
          <w:noProof/>
          <w:lang w:val="en-US"/>
        </w:rPr>
        <w:t>n</w:t>
      </w:r>
      <w:r w:rsidR="00321A69" w:rsidRPr="009F56E6">
        <w:rPr>
          <w:noProof/>
          <w:lang w:val="en-US"/>
        </w:rPr>
        <w:t xml:space="preserve"> </w:t>
      </w:r>
      <w:r w:rsidR="00CF255D" w:rsidRPr="009F56E6">
        <w:rPr>
          <w:noProof/>
          <w:lang w:val="en-US"/>
        </w:rPr>
        <w:t>Article 17</w:t>
      </w:r>
      <w:r w:rsidR="00321A69" w:rsidRPr="009F56E6">
        <w:rPr>
          <w:noProof/>
          <w:lang w:val="en-US"/>
        </w:rPr>
        <w:t>, paragraph 3</w:t>
      </w:r>
      <w:r w:rsidR="00CF255D" w:rsidRPr="009F56E6">
        <w:rPr>
          <w:noProof/>
          <w:lang w:val="en-US"/>
        </w:rPr>
        <w:t xml:space="preserve"> is replaced by the following:</w:t>
      </w:r>
    </w:p>
    <w:p w14:paraId="155D102B" w14:textId="3C29BD59" w:rsidR="005519C1" w:rsidRPr="009F56E6" w:rsidRDefault="005519C1" w:rsidP="006D3AE6">
      <w:pPr>
        <w:pStyle w:val="ListParagraph"/>
        <w:ind w:left="1417"/>
        <w:rPr>
          <w:noProof/>
          <w:lang w:val="en-US"/>
        </w:rPr>
      </w:pPr>
    </w:p>
    <w:p w14:paraId="478638D4" w14:textId="67613A84" w:rsidR="00CF255D" w:rsidRPr="009F56E6" w:rsidRDefault="00321A69" w:rsidP="00CD2034">
      <w:pPr>
        <w:pStyle w:val="ListParagraph"/>
        <w:ind w:left="1417"/>
        <w:rPr>
          <w:noProof/>
          <w:lang w:val="en-US"/>
        </w:rPr>
      </w:pPr>
      <w:r w:rsidRPr="009F56E6">
        <w:rPr>
          <w:noProof/>
          <w:lang w:val="en-US"/>
        </w:rPr>
        <w:t>‘</w:t>
      </w:r>
      <w:r w:rsidR="00CD2034" w:rsidRPr="009F56E6">
        <w:rPr>
          <w:noProof/>
          <w:lang w:val="en-US"/>
        </w:rPr>
        <w:t xml:space="preserve">3. </w:t>
      </w:r>
      <w:r w:rsidR="00CF255D" w:rsidRPr="009F56E6">
        <w:rPr>
          <w:noProof/>
          <w:lang w:val="en-US"/>
        </w:rPr>
        <w:t>The seat of the Agency shall be Tallinn, Estonia.</w:t>
      </w:r>
    </w:p>
    <w:p w14:paraId="033EF7D5" w14:textId="0A3EDFF4" w:rsidR="00CF255D" w:rsidRPr="009F56E6" w:rsidRDefault="00CF255D" w:rsidP="006D3AE6">
      <w:pPr>
        <w:pStyle w:val="ListParagraph"/>
        <w:ind w:left="1417"/>
        <w:rPr>
          <w:noProof/>
          <w:lang w:val="en-US"/>
        </w:rPr>
      </w:pPr>
    </w:p>
    <w:p w14:paraId="21B65F8D" w14:textId="214EAFBF" w:rsidR="00CF255D" w:rsidRPr="009F56E6" w:rsidRDefault="00CF255D" w:rsidP="006D3AE6">
      <w:pPr>
        <w:pStyle w:val="ListParagraph"/>
        <w:ind w:left="1417"/>
        <w:rPr>
          <w:noProof/>
          <w:lang w:val="en-US"/>
        </w:rPr>
      </w:pPr>
      <w:r w:rsidRPr="009F56E6">
        <w:rPr>
          <w:noProof/>
          <w:lang w:val="en-US"/>
        </w:rPr>
        <w:t xml:space="preserve">The tasks relating to development and operational management referred to in Article 1(4) and (5) and Articles 3 </w:t>
      </w:r>
      <w:r w:rsidR="005438CA">
        <w:rPr>
          <w:noProof/>
          <w:lang w:val="en-US"/>
        </w:rPr>
        <w:t>to</w:t>
      </w:r>
      <w:r w:rsidRPr="009F56E6">
        <w:rPr>
          <w:noProof/>
          <w:lang w:val="en-US"/>
        </w:rPr>
        <w:t xml:space="preserve"> </w:t>
      </w:r>
      <w:r w:rsidR="00380561">
        <w:rPr>
          <w:noProof/>
          <w:lang w:val="en-US"/>
        </w:rPr>
        <w:t>8</w:t>
      </w:r>
      <w:r w:rsidR="005438CA">
        <w:rPr>
          <w:noProof/>
          <w:lang w:val="en-US"/>
        </w:rPr>
        <w:t xml:space="preserve"> and Articles</w:t>
      </w:r>
      <w:r w:rsidR="00380561">
        <w:rPr>
          <w:noProof/>
          <w:lang w:val="en-US"/>
        </w:rPr>
        <w:t xml:space="preserve"> 9,</w:t>
      </w:r>
      <w:r w:rsidRPr="009F56E6">
        <w:rPr>
          <w:noProof/>
          <w:lang w:val="en-US"/>
        </w:rPr>
        <w:t xml:space="preserve"> 11</w:t>
      </w:r>
      <w:r w:rsidR="004B61E3" w:rsidRPr="009F56E6">
        <w:rPr>
          <w:noProof/>
          <w:lang w:val="en-US"/>
        </w:rPr>
        <w:t xml:space="preserve"> </w:t>
      </w:r>
      <w:r w:rsidRPr="009F56E6">
        <w:rPr>
          <w:noProof/>
          <w:lang w:val="en-US"/>
        </w:rPr>
        <w:t xml:space="preserve">and </w:t>
      </w:r>
      <w:r w:rsidR="004B61E3" w:rsidRPr="009F56E6">
        <w:rPr>
          <w:noProof/>
          <w:lang w:val="en-US"/>
        </w:rPr>
        <w:t>13a</w:t>
      </w:r>
      <w:r w:rsidRPr="009F56E6">
        <w:rPr>
          <w:noProof/>
          <w:lang w:val="en-US"/>
        </w:rPr>
        <w:t xml:space="preserve"> shall be carried out at the technical site in Strasbourg, France.</w:t>
      </w:r>
    </w:p>
    <w:p w14:paraId="6C7C6E67" w14:textId="6EA12F8D" w:rsidR="00CF255D" w:rsidRPr="009F56E6" w:rsidRDefault="00CF255D" w:rsidP="006D3AE6">
      <w:pPr>
        <w:pStyle w:val="ListParagraph"/>
        <w:ind w:left="1417"/>
        <w:rPr>
          <w:noProof/>
          <w:lang w:val="en-US"/>
        </w:rPr>
      </w:pPr>
    </w:p>
    <w:p w14:paraId="1CBA6203" w14:textId="74650E72" w:rsidR="00CF255D" w:rsidRPr="009F56E6" w:rsidRDefault="00CF255D" w:rsidP="006D3AE6">
      <w:pPr>
        <w:pStyle w:val="ListParagraph"/>
        <w:ind w:left="1417"/>
        <w:rPr>
          <w:noProof/>
          <w:lang w:val="en-US"/>
        </w:rPr>
      </w:pPr>
      <w:r w:rsidRPr="009F56E6">
        <w:rPr>
          <w:noProof/>
          <w:lang w:val="en-US"/>
        </w:rPr>
        <w:t>A backup site capable of ensuring the operation of a large-scale IT system in the event of failure of such a system shall be installed in Sankt Johann im Pongau, Austria.</w:t>
      </w:r>
      <w:r w:rsidR="004B61E3" w:rsidRPr="009F56E6">
        <w:rPr>
          <w:noProof/>
          <w:lang w:val="en-US"/>
        </w:rPr>
        <w:t>’</w:t>
      </w:r>
    </w:p>
    <w:p w14:paraId="47B801E1" w14:textId="1E9ECDC1" w:rsidR="00FB55F0" w:rsidRPr="009F56E6" w:rsidRDefault="00FB55F0" w:rsidP="00FB55F0">
      <w:pPr>
        <w:pStyle w:val="Titrearticle"/>
        <w:rPr>
          <w:noProof/>
          <w:lang w:val="en-US"/>
        </w:rPr>
      </w:pPr>
      <w:r w:rsidRPr="009F56E6">
        <w:rPr>
          <w:noProof/>
          <w:lang w:val="en-US"/>
        </w:rPr>
        <w:t>Article 6</w:t>
      </w:r>
      <w:r w:rsidR="00E15E51">
        <w:rPr>
          <w:noProof/>
          <w:lang w:val="en-US"/>
        </w:rPr>
        <w:t>9</w:t>
      </w:r>
    </w:p>
    <w:p w14:paraId="357F6E47" w14:textId="4EF9C5ED" w:rsidR="00CF255D" w:rsidRPr="009F56E6" w:rsidRDefault="00CF255D" w:rsidP="00CF255D">
      <w:pPr>
        <w:jc w:val="center"/>
        <w:rPr>
          <w:b/>
          <w:noProof/>
        </w:rPr>
      </w:pPr>
      <w:r w:rsidRPr="009F56E6">
        <w:rPr>
          <w:b/>
          <w:noProof/>
        </w:rPr>
        <w:t>Amendments to Regulation (EU) 2019/817</w:t>
      </w:r>
    </w:p>
    <w:p w14:paraId="2D8AAC06" w14:textId="4D481BBC" w:rsidR="001D4113" w:rsidRPr="005A04A2" w:rsidRDefault="005438CA">
      <w:pPr>
        <w:rPr>
          <w:noProof/>
        </w:rPr>
      </w:pPr>
      <w:r>
        <w:rPr>
          <w:noProof/>
        </w:rPr>
        <w:t xml:space="preserve">In Article 6(2) of </w:t>
      </w:r>
      <w:r w:rsidR="001D4113" w:rsidRPr="005A04A2">
        <w:rPr>
          <w:noProof/>
        </w:rPr>
        <w:t xml:space="preserve">Regulation (EU) 2019/817 </w:t>
      </w:r>
      <w:r>
        <w:rPr>
          <w:noProof/>
        </w:rPr>
        <w:t>the following point (d) is added</w:t>
      </w:r>
      <w:r w:rsidR="001D4113" w:rsidRPr="005A04A2">
        <w:rPr>
          <w:noProof/>
        </w:rPr>
        <w:t>:</w:t>
      </w:r>
    </w:p>
    <w:p w14:paraId="62C84B48" w14:textId="3B832990" w:rsidR="001D4113" w:rsidRDefault="001D4113" w:rsidP="0003774E">
      <w:pPr>
        <w:ind w:left="1440"/>
        <w:rPr>
          <w:iCs/>
          <w:noProof/>
          <w:color w:val="000000"/>
          <w:lang w:val="en-IE"/>
        </w:rPr>
      </w:pPr>
      <w:r w:rsidRPr="009F56E6">
        <w:rPr>
          <w:noProof/>
          <w:lang w:val="en-US"/>
        </w:rPr>
        <w:t xml:space="preserve">“(d) a </w:t>
      </w:r>
      <w:r w:rsidRPr="009F56E6">
        <w:rPr>
          <w:noProof/>
        </w:rPr>
        <w:t xml:space="preserve">secure communication infrastructure between the ESP and the router established </w:t>
      </w:r>
      <w:r w:rsidR="005438CA">
        <w:rPr>
          <w:noProof/>
        </w:rPr>
        <w:t>by</w:t>
      </w:r>
      <w:r w:rsidR="005438CA" w:rsidRPr="009F56E6">
        <w:rPr>
          <w:noProof/>
        </w:rPr>
        <w:t xml:space="preserve"> </w:t>
      </w:r>
      <w:r w:rsidR="009D71C3" w:rsidRPr="009F56E6">
        <w:rPr>
          <w:iCs/>
          <w:noProof/>
          <w:color w:val="000000"/>
          <w:lang w:val="en-IE"/>
        </w:rPr>
        <w:t>Regulation</w:t>
      </w:r>
      <w:r w:rsidR="009D71C3">
        <w:rPr>
          <w:iCs/>
          <w:noProof/>
          <w:color w:val="000000"/>
          <w:lang w:val="en-IE"/>
        </w:rPr>
        <w:t xml:space="preserve"> (EU) </w:t>
      </w:r>
      <w:r w:rsidR="009D71C3">
        <w:rPr>
          <w:noProof/>
          <w:lang w:val="en-US"/>
        </w:rPr>
        <w:t xml:space="preserve">…/… </w:t>
      </w:r>
      <w:r w:rsidR="00345EE9" w:rsidRPr="00C16F00">
        <w:rPr>
          <w:noProof/>
          <w:lang w:val="en-US"/>
        </w:rPr>
        <w:t>of the European Parliament and of the Council</w:t>
      </w:r>
      <w:r w:rsidR="009D71C3">
        <w:rPr>
          <w:noProof/>
          <w:lang w:val="en-US"/>
        </w:rPr>
        <w:t>*</w:t>
      </w:r>
      <w:r w:rsidR="009D71C3" w:rsidRPr="00F606CA">
        <w:rPr>
          <w:noProof/>
          <w:lang w:val="en-US"/>
        </w:rPr>
        <w:t xml:space="preserve"> </w:t>
      </w:r>
      <w:r w:rsidR="009D71C3">
        <w:rPr>
          <w:noProof/>
          <w:lang w:val="en-US"/>
        </w:rPr>
        <w:t>[</w:t>
      </w:r>
      <w:r w:rsidR="009D71C3">
        <w:rPr>
          <w:i/>
          <w:noProof/>
          <w:lang w:val="en-US"/>
        </w:rPr>
        <w:t>this Regulation</w:t>
      </w:r>
      <w:r w:rsidR="009D71C3" w:rsidRPr="009F56E6">
        <w:rPr>
          <w:iCs/>
          <w:noProof/>
          <w:color w:val="000000"/>
          <w:lang w:val="en-IE"/>
        </w:rPr>
        <w:t>]</w:t>
      </w:r>
      <w:r w:rsidRPr="009F56E6">
        <w:rPr>
          <w:iCs/>
          <w:noProof/>
          <w:color w:val="000000"/>
          <w:lang w:val="en-IE"/>
        </w:rPr>
        <w:t>.</w:t>
      </w:r>
    </w:p>
    <w:p w14:paraId="50B2EB3C" w14:textId="77777777" w:rsidR="00345EE9" w:rsidRPr="0006311A" w:rsidRDefault="00345EE9" w:rsidP="0003774E">
      <w:pPr>
        <w:ind w:left="697" w:firstLine="720"/>
        <w:rPr>
          <w:noProof/>
          <w:lang w:val="en-US"/>
        </w:rPr>
      </w:pPr>
      <w:r w:rsidRPr="00345927">
        <w:rPr>
          <w:noProof/>
          <w:lang w:val="en-US"/>
        </w:rPr>
        <w:t>___________</w:t>
      </w:r>
    </w:p>
    <w:p w14:paraId="7AF72DA4" w14:textId="5B6B4EE7" w:rsidR="00345EE9" w:rsidRPr="007931F3" w:rsidRDefault="00345EE9" w:rsidP="00345EE9">
      <w:pPr>
        <w:pStyle w:val="ListParagraph"/>
        <w:ind w:left="1417"/>
        <w:rPr>
          <w:noProof/>
          <w:lang w:val="en-US"/>
        </w:rPr>
      </w:pPr>
      <w:r w:rsidRPr="00C16F00">
        <w:rPr>
          <w:noProof/>
          <w:lang w:val="en-US"/>
        </w:rPr>
        <w:t>*</w:t>
      </w:r>
      <w:r w:rsidRPr="00C16F00">
        <w:rPr>
          <w:noProof/>
          <w:lang w:val="en-US"/>
        </w:rPr>
        <w:tab/>
        <w:t>Regulation (EU) [number] of the European Parliament and of the Council of xy on [offi</w:t>
      </w:r>
      <w:r>
        <w:rPr>
          <w:noProof/>
          <w:lang w:val="en-US"/>
        </w:rPr>
        <w:t>cially adopted title] (OJ L …)”</w:t>
      </w:r>
    </w:p>
    <w:p w14:paraId="37ACF576" w14:textId="77777777" w:rsidR="00345EE9" w:rsidRPr="009F56E6" w:rsidRDefault="00345EE9" w:rsidP="001D4113">
      <w:pPr>
        <w:ind w:left="850"/>
        <w:rPr>
          <w:noProof/>
          <w:lang w:val="en-US"/>
        </w:rPr>
      </w:pPr>
    </w:p>
    <w:p w14:paraId="3A8840E8" w14:textId="39B88A60" w:rsidR="00CF255D" w:rsidRPr="009F56E6" w:rsidRDefault="00CF255D" w:rsidP="00CF255D">
      <w:pPr>
        <w:pStyle w:val="Titrearticle"/>
        <w:rPr>
          <w:noProof/>
          <w:lang w:val="en-US"/>
        </w:rPr>
      </w:pPr>
      <w:r w:rsidRPr="009F56E6">
        <w:rPr>
          <w:noProof/>
          <w:lang w:val="en-US"/>
        </w:rPr>
        <w:t xml:space="preserve">Article </w:t>
      </w:r>
      <w:r w:rsidR="00E15E51">
        <w:rPr>
          <w:noProof/>
          <w:lang w:val="en-US"/>
        </w:rPr>
        <w:t>70</w:t>
      </w:r>
    </w:p>
    <w:p w14:paraId="182ED20F" w14:textId="28BB7D36" w:rsidR="00CF255D" w:rsidRPr="009F56E6" w:rsidRDefault="00CF255D" w:rsidP="00CF255D">
      <w:pPr>
        <w:jc w:val="center"/>
        <w:rPr>
          <w:b/>
          <w:noProof/>
        </w:rPr>
      </w:pPr>
      <w:r w:rsidRPr="009F56E6">
        <w:rPr>
          <w:b/>
          <w:noProof/>
        </w:rPr>
        <w:t>Amendments to Regulation (EU) 2019/818</w:t>
      </w:r>
    </w:p>
    <w:p w14:paraId="0CFE61DE" w14:textId="1EC2DCBE" w:rsidR="005519C1" w:rsidRPr="005A04A2" w:rsidRDefault="005519C1" w:rsidP="005519C1">
      <w:pPr>
        <w:rPr>
          <w:noProof/>
        </w:rPr>
      </w:pPr>
      <w:r w:rsidRPr="005A04A2">
        <w:rPr>
          <w:noProof/>
        </w:rPr>
        <w:t>Regulation (EU) 2019/818 is amended as follows:</w:t>
      </w:r>
    </w:p>
    <w:p w14:paraId="08ADED81" w14:textId="24065889" w:rsidR="001D4113" w:rsidRPr="005A04A2" w:rsidRDefault="00C304BF" w:rsidP="00C304BF">
      <w:pPr>
        <w:pStyle w:val="Point0"/>
        <w:rPr>
          <w:noProof/>
          <w:sz w:val="16"/>
          <w:lang w:val="en-US"/>
        </w:rPr>
      </w:pPr>
      <w:r w:rsidRPr="00C304BF">
        <w:t>(1)</w:t>
      </w:r>
      <w:r w:rsidRPr="00C304BF">
        <w:tab/>
      </w:r>
      <w:r w:rsidR="005438CA">
        <w:rPr>
          <w:noProof/>
          <w:lang w:val="en-US"/>
        </w:rPr>
        <w:t>i</w:t>
      </w:r>
      <w:r w:rsidR="005438CA" w:rsidRPr="005A04A2">
        <w:rPr>
          <w:noProof/>
          <w:lang w:val="en-US"/>
        </w:rPr>
        <w:t xml:space="preserve">n </w:t>
      </w:r>
      <w:r w:rsidR="001D4113" w:rsidRPr="005A04A2">
        <w:rPr>
          <w:noProof/>
          <w:lang w:val="en-US"/>
        </w:rPr>
        <w:t>Article 6</w:t>
      </w:r>
      <w:r w:rsidR="005438CA">
        <w:rPr>
          <w:noProof/>
          <w:lang w:val="en-US"/>
        </w:rPr>
        <w:t>(2)</w:t>
      </w:r>
      <w:r w:rsidR="001D4113" w:rsidRPr="005A04A2">
        <w:rPr>
          <w:noProof/>
          <w:lang w:val="en-US"/>
        </w:rPr>
        <w:t xml:space="preserve">, </w:t>
      </w:r>
      <w:r w:rsidR="005438CA">
        <w:rPr>
          <w:noProof/>
          <w:lang w:val="en-US"/>
        </w:rPr>
        <w:t>the following</w:t>
      </w:r>
      <w:r w:rsidR="001D4113" w:rsidRPr="005A04A2">
        <w:rPr>
          <w:noProof/>
          <w:lang w:val="en-US"/>
        </w:rPr>
        <w:t xml:space="preserve"> point (d) is added:</w:t>
      </w:r>
    </w:p>
    <w:p w14:paraId="7A638B65" w14:textId="106C8505" w:rsidR="003B4EE7" w:rsidRDefault="001D4113" w:rsidP="0003774E">
      <w:pPr>
        <w:ind w:left="1440"/>
        <w:rPr>
          <w:iCs/>
          <w:noProof/>
          <w:color w:val="000000"/>
          <w:lang w:val="en-IE"/>
        </w:rPr>
      </w:pPr>
      <w:r w:rsidRPr="009F56E6">
        <w:rPr>
          <w:noProof/>
          <w:lang w:val="en-US"/>
        </w:rPr>
        <w:t xml:space="preserve">“(d) a </w:t>
      </w:r>
      <w:r w:rsidRPr="009F56E6">
        <w:rPr>
          <w:noProof/>
        </w:rPr>
        <w:t xml:space="preserve">secure communication infrastructure between the ESP and the router established </w:t>
      </w:r>
      <w:r w:rsidR="005438CA">
        <w:rPr>
          <w:noProof/>
        </w:rPr>
        <w:t>by</w:t>
      </w:r>
      <w:r w:rsidR="005438CA" w:rsidRPr="009F56E6">
        <w:rPr>
          <w:noProof/>
        </w:rPr>
        <w:t xml:space="preserve"> </w:t>
      </w:r>
      <w:r w:rsidR="009D71C3" w:rsidRPr="009F56E6">
        <w:rPr>
          <w:iCs/>
          <w:noProof/>
          <w:color w:val="000000"/>
          <w:lang w:val="en-IE"/>
        </w:rPr>
        <w:t>Regulation</w:t>
      </w:r>
      <w:r w:rsidR="009D71C3">
        <w:rPr>
          <w:iCs/>
          <w:noProof/>
          <w:color w:val="000000"/>
          <w:lang w:val="en-IE"/>
        </w:rPr>
        <w:t xml:space="preserve"> (EU) </w:t>
      </w:r>
      <w:r w:rsidR="009D71C3">
        <w:rPr>
          <w:noProof/>
          <w:lang w:val="en-US"/>
        </w:rPr>
        <w:t xml:space="preserve">…/… </w:t>
      </w:r>
      <w:r w:rsidR="003B4EE7" w:rsidRPr="00C16F00">
        <w:rPr>
          <w:noProof/>
          <w:lang w:val="en-US"/>
        </w:rPr>
        <w:t>of the European Parliament and of the Council</w:t>
      </w:r>
      <w:r w:rsidR="009D71C3">
        <w:rPr>
          <w:noProof/>
          <w:lang w:val="en-US"/>
        </w:rPr>
        <w:t>*</w:t>
      </w:r>
      <w:r w:rsidR="009D71C3" w:rsidRPr="00F606CA">
        <w:rPr>
          <w:noProof/>
          <w:lang w:val="en-US"/>
        </w:rPr>
        <w:t xml:space="preserve"> </w:t>
      </w:r>
      <w:r w:rsidR="009D71C3">
        <w:rPr>
          <w:noProof/>
          <w:lang w:val="en-US"/>
        </w:rPr>
        <w:t>[</w:t>
      </w:r>
      <w:r w:rsidR="009D71C3">
        <w:rPr>
          <w:i/>
          <w:noProof/>
          <w:lang w:val="en-US"/>
        </w:rPr>
        <w:t>this Regulation</w:t>
      </w:r>
      <w:r w:rsidR="009D71C3" w:rsidRPr="009F56E6">
        <w:rPr>
          <w:iCs/>
          <w:noProof/>
          <w:color w:val="000000"/>
          <w:lang w:val="en-IE"/>
        </w:rPr>
        <w:t>]</w:t>
      </w:r>
      <w:r w:rsidRPr="009F56E6">
        <w:rPr>
          <w:iCs/>
          <w:noProof/>
          <w:color w:val="000000"/>
          <w:lang w:val="en-IE"/>
        </w:rPr>
        <w:t>.</w:t>
      </w:r>
    </w:p>
    <w:p w14:paraId="7AA8F840" w14:textId="3A1BEF50" w:rsidR="003B4EE7" w:rsidRDefault="003B4EE7" w:rsidP="003B4EE7">
      <w:pPr>
        <w:pStyle w:val="ListParagraph"/>
        <w:ind w:left="1417"/>
        <w:rPr>
          <w:noProof/>
          <w:lang w:val="en-US"/>
        </w:rPr>
      </w:pPr>
      <w:r>
        <w:rPr>
          <w:noProof/>
          <w:lang w:val="en-US"/>
        </w:rPr>
        <w:t>___________</w:t>
      </w:r>
    </w:p>
    <w:p w14:paraId="62392143" w14:textId="30725616" w:rsidR="001D4113" w:rsidRPr="009F56E6" w:rsidRDefault="003B4EE7" w:rsidP="0003774E">
      <w:pPr>
        <w:pStyle w:val="ListParagraph"/>
        <w:ind w:left="1417"/>
        <w:rPr>
          <w:noProof/>
          <w:lang w:val="en-US"/>
        </w:rPr>
      </w:pPr>
      <w:r w:rsidRPr="00C16F00">
        <w:rPr>
          <w:noProof/>
          <w:lang w:val="en-US"/>
        </w:rPr>
        <w:t>*</w:t>
      </w:r>
      <w:r w:rsidRPr="00C16F00">
        <w:rPr>
          <w:noProof/>
          <w:lang w:val="en-US"/>
        </w:rPr>
        <w:tab/>
        <w:t>Regulation (EU) [number] of the European Parliament and of the Council of xy on [offi</w:t>
      </w:r>
      <w:r>
        <w:rPr>
          <w:noProof/>
          <w:lang w:val="en-US"/>
        </w:rPr>
        <w:t>cially adopted title] (OJ L …)”</w:t>
      </w:r>
    </w:p>
    <w:p w14:paraId="6337DC0E" w14:textId="71B4E098" w:rsidR="001D4113" w:rsidRPr="009F56E6" w:rsidRDefault="001D4113" w:rsidP="006D3AE6">
      <w:pPr>
        <w:pStyle w:val="ListParagraph"/>
        <w:ind w:left="1417"/>
        <w:rPr>
          <w:noProof/>
          <w:lang w:val="en-US"/>
        </w:rPr>
      </w:pPr>
    </w:p>
    <w:p w14:paraId="20AC3354" w14:textId="6EED6346" w:rsidR="00386B27" w:rsidRPr="009F56E6" w:rsidRDefault="00C304BF" w:rsidP="00C304BF">
      <w:pPr>
        <w:pStyle w:val="Point0"/>
        <w:rPr>
          <w:noProof/>
          <w:lang w:val="en-US"/>
        </w:rPr>
      </w:pPr>
      <w:r w:rsidRPr="00C304BF">
        <w:t>(2)</w:t>
      </w:r>
      <w:r w:rsidRPr="00C304BF">
        <w:tab/>
      </w:r>
      <w:r w:rsidR="005438CA">
        <w:rPr>
          <w:noProof/>
          <w:lang w:val="en-US"/>
        </w:rPr>
        <w:t xml:space="preserve">In </w:t>
      </w:r>
      <w:r w:rsidR="005519C1" w:rsidRPr="009F56E6">
        <w:rPr>
          <w:noProof/>
          <w:lang w:val="en-US"/>
        </w:rPr>
        <w:t>Article 39</w:t>
      </w:r>
      <w:r w:rsidR="005438CA">
        <w:rPr>
          <w:noProof/>
          <w:lang w:val="en-US"/>
        </w:rPr>
        <w:t>, paragraphs 1 and 2 are replaced by the following</w:t>
      </w:r>
      <w:r w:rsidR="00386B27" w:rsidRPr="009F56E6">
        <w:rPr>
          <w:noProof/>
          <w:lang w:val="en-US"/>
        </w:rPr>
        <w:t>:</w:t>
      </w:r>
    </w:p>
    <w:p w14:paraId="247E8B54" w14:textId="33A33318" w:rsidR="00386B27" w:rsidRPr="009F56E6" w:rsidRDefault="00386B27" w:rsidP="006D3AE6">
      <w:pPr>
        <w:pStyle w:val="ListParagraph"/>
        <w:ind w:left="1417"/>
        <w:rPr>
          <w:noProof/>
          <w:lang w:val="en-US"/>
        </w:rPr>
      </w:pPr>
    </w:p>
    <w:p w14:paraId="0983C243" w14:textId="73287345" w:rsidR="00386B27" w:rsidRPr="009F56E6" w:rsidRDefault="00386B27" w:rsidP="006D3AE6">
      <w:pPr>
        <w:pStyle w:val="ListParagraph"/>
        <w:rPr>
          <w:noProof/>
          <w:lang w:val="en-US"/>
        </w:rPr>
      </w:pPr>
    </w:p>
    <w:p w14:paraId="6EC43B04" w14:textId="7AF79356" w:rsidR="001D4113" w:rsidRPr="009F56E6" w:rsidRDefault="001D4113" w:rsidP="00CD2034">
      <w:pPr>
        <w:pStyle w:val="ListParagraph"/>
        <w:rPr>
          <w:noProof/>
          <w:lang w:val="en-US"/>
        </w:rPr>
      </w:pPr>
      <w:r w:rsidRPr="009F56E6">
        <w:rPr>
          <w:noProof/>
          <w:lang w:val="en-US"/>
        </w:rPr>
        <w:t>“</w:t>
      </w:r>
      <w:r w:rsidR="00CD2034" w:rsidRPr="009F56E6">
        <w:rPr>
          <w:noProof/>
          <w:lang w:val="en-US"/>
        </w:rPr>
        <w:t>1.</w:t>
      </w:r>
      <w:r w:rsidRPr="009F56E6">
        <w:rPr>
          <w:noProof/>
          <w:lang w:val="en-US"/>
        </w:rPr>
        <w:t> A central repository for reporting and statistics (CRRS) is established for the purposes of supporting the objectives of the SIS, Eurodac, ECRIS-TCN, in accordance with the respective legal instruments governing those systems, and to provide cross-system statistical data and analytical reporting for policy, operational and data quality purposes. The CRRS shall also support the objectives of Prüm II.”</w:t>
      </w:r>
    </w:p>
    <w:p w14:paraId="18D28743" w14:textId="489FF183" w:rsidR="00386B27" w:rsidRPr="009F56E6" w:rsidRDefault="00386B27" w:rsidP="006D3AE6">
      <w:pPr>
        <w:pStyle w:val="ListParagraph"/>
        <w:rPr>
          <w:noProof/>
          <w:lang w:val="en-US"/>
        </w:rPr>
      </w:pPr>
    </w:p>
    <w:p w14:paraId="0F0DECDE" w14:textId="1AC8A627" w:rsidR="00CF255D" w:rsidRPr="00E7465F" w:rsidRDefault="005438CA" w:rsidP="00E7465F">
      <w:pPr>
        <w:ind w:left="720"/>
        <w:rPr>
          <w:noProof/>
          <w:color w:val="000000"/>
          <w:sz w:val="22"/>
          <w:lang w:val="en-IE"/>
        </w:rPr>
      </w:pPr>
      <w:r w:rsidRPr="009F56E6" w:rsidDel="005438CA">
        <w:rPr>
          <w:noProof/>
          <w:lang w:val="en-US"/>
        </w:rPr>
        <w:t xml:space="preserve"> </w:t>
      </w:r>
      <w:r w:rsidR="00386B27" w:rsidRPr="009F56E6">
        <w:rPr>
          <w:noProof/>
          <w:color w:val="000000"/>
          <w:lang w:val="en-IE"/>
        </w:rPr>
        <w:t xml:space="preserve">“2. </w:t>
      </w:r>
      <w:r w:rsidR="005519C1" w:rsidRPr="009F56E6">
        <w:rPr>
          <w:noProof/>
          <w:color w:val="000000"/>
          <w:lang w:val="en-IE"/>
        </w:rPr>
        <w:t xml:space="preserve">eu-LISA shall establish, implement and host in its technical sites the CRRS containing the data and statistics referred to in Article 74 of Regulation (EU) 2018/1862 and Article 32 of Regulation (EU) 2019/816 logically separated by EU information system. eu-LISA shall also collect </w:t>
      </w:r>
      <w:r w:rsidR="00386B27" w:rsidRPr="009F56E6">
        <w:rPr>
          <w:noProof/>
          <w:color w:val="000000"/>
          <w:lang w:val="en-IE"/>
        </w:rPr>
        <w:t>the data and statistics</w:t>
      </w:r>
      <w:r w:rsidR="005519C1" w:rsidRPr="009F56E6">
        <w:rPr>
          <w:noProof/>
          <w:color w:val="000000"/>
          <w:lang w:val="en-IE"/>
        </w:rPr>
        <w:t xml:space="preserve"> from the router </w:t>
      </w:r>
      <w:r w:rsidR="00386B27" w:rsidRPr="009F56E6">
        <w:rPr>
          <w:noProof/>
          <w:color w:val="000000"/>
          <w:lang w:val="en-IE"/>
        </w:rPr>
        <w:t xml:space="preserve">referred to in Article </w:t>
      </w:r>
      <w:r w:rsidR="00575969" w:rsidRPr="009F56E6">
        <w:rPr>
          <w:noProof/>
          <w:color w:val="000000"/>
          <w:lang w:val="en-IE"/>
        </w:rPr>
        <w:t>6</w:t>
      </w:r>
      <w:r w:rsidR="00575969">
        <w:rPr>
          <w:noProof/>
          <w:color w:val="000000"/>
          <w:lang w:val="en-IE"/>
        </w:rPr>
        <w:t>5(1)</w:t>
      </w:r>
      <w:r w:rsidR="00575969" w:rsidRPr="009F56E6">
        <w:rPr>
          <w:noProof/>
          <w:color w:val="000000"/>
          <w:lang w:val="en-IE"/>
        </w:rPr>
        <w:t xml:space="preserve"> </w:t>
      </w:r>
      <w:r w:rsidR="00386B27" w:rsidRPr="009F56E6">
        <w:rPr>
          <w:noProof/>
          <w:color w:val="000000"/>
          <w:lang w:val="en-IE"/>
        </w:rPr>
        <w:t>of</w:t>
      </w:r>
      <w:r w:rsidR="005519C1" w:rsidRPr="009F56E6">
        <w:rPr>
          <w:noProof/>
          <w:color w:val="000000"/>
          <w:lang w:val="en-IE"/>
        </w:rPr>
        <w:t xml:space="preserve"> </w:t>
      </w:r>
      <w:r w:rsidR="009D71C3" w:rsidRPr="009F56E6">
        <w:rPr>
          <w:iCs/>
          <w:noProof/>
          <w:color w:val="000000"/>
          <w:lang w:val="en-IE"/>
        </w:rPr>
        <w:t>Regulation</w:t>
      </w:r>
      <w:r w:rsidR="009D71C3">
        <w:rPr>
          <w:iCs/>
          <w:noProof/>
          <w:color w:val="000000"/>
          <w:lang w:val="en-IE"/>
        </w:rPr>
        <w:t xml:space="preserve"> (EU) </w:t>
      </w:r>
      <w:r w:rsidR="009D71C3">
        <w:rPr>
          <w:noProof/>
          <w:lang w:val="en-US"/>
        </w:rPr>
        <w:t>…/… *</w:t>
      </w:r>
      <w:r w:rsidR="009D71C3" w:rsidRPr="00F606CA">
        <w:rPr>
          <w:noProof/>
          <w:lang w:val="en-US"/>
        </w:rPr>
        <w:t xml:space="preserve"> </w:t>
      </w:r>
      <w:r w:rsidR="009D71C3">
        <w:rPr>
          <w:noProof/>
          <w:lang w:val="en-US"/>
        </w:rPr>
        <w:t>[</w:t>
      </w:r>
      <w:r w:rsidR="009D71C3">
        <w:rPr>
          <w:i/>
          <w:noProof/>
          <w:lang w:val="en-US"/>
        </w:rPr>
        <w:t>this Regulation</w:t>
      </w:r>
      <w:r w:rsidR="009D71C3">
        <w:rPr>
          <w:iCs/>
          <w:noProof/>
          <w:color w:val="000000"/>
          <w:lang w:val="en-IE"/>
        </w:rPr>
        <w:t xml:space="preserve"> </w:t>
      </w:r>
      <w:r w:rsidR="009D71C3" w:rsidRPr="009F56E6">
        <w:rPr>
          <w:iCs/>
          <w:noProof/>
          <w:color w:val="000000"/>
          <w:lang w:val="en-IE"/>
        </w:rPr>
        <w:t>]</w:t>
      </w:r>
      <w:r w:rsidR="005519C1" w:rsidRPr="009F56E6">
        <w:rPr>
          <w:noProof/>
          <w:color w:val="000000"/>
          <w:lang w:val="en-IE"/>
        </w:rPr>
        <w:t xml:space="preserve">. Access to the CRRS shall be granted by means of controlled, secured access and specific user profiles, solely for the purpose of reporting and statistics, to the authorities referred to in Article 74 of Regulation (EU) 2018/1862, Article 32 of Regulation (EU) 2019/816 and </w:t>
      </w:r>
      <w:r w:rsidR="00386B27" w:rsidRPr="009F56E6">
        <w:rPr>
          <w:noProof/>
          <w:color w:val="000000"/>
          <w:lang w:val="en-IE"/>
        </w:rPr>
        <w:t xml:space="preserve">Article </w:t>
      </w:r>
      <w:r w:rsidRPr="009F56E6">
        <w:rPr>
          <w:noProof/>
          <w:color w:val="000000"/>
          <w:lang w:val="en-IE"/>
        </w:rPr>
        <w:t>6</w:t>
      </w:r>
      <w:r>
        <w:rPr>
          <w:noProof/>
          <w:color w:val="000000"/>
          <w:lang w:val="en-IE"/>
        </w:rPr>
        <w:t>5</w:t>
      </w:r>
      <w:r w:rsidR="00575969">
        <w:rPr>
          <w:noProof/>
          <w:color w:val="000000"/>
          <w:lang w:val="en-IE"/>
        </w:rPr>
        <w:t>(1)</w:t>
      </w:r>
      <w:r w:rsidRPr="009F56E6">
        <w:rPr>
          <w:noProof/>
          <w:color w:val="000000"/>
          <w:lang w:val="en-IE"/>
        </w:rPr>
        <w:t xml:space="preserve"> </w:t>
      </w:r>
      <w:r w:rsidR="00386B27" w:rsidRPr="009F56E6">
        <w:rPr>
          <w:noProof/>
          <w:color w:val="000000"/>
          <w:lang w:val="en-IE"/>
        </w:rPr>
        <w:t xml:space="preserve">of </w:t>
      </w:r>
      <w:r w:rsidR="009D71C3" w:rsidRPr="009F56E6">
        <w:rPr>
          <w:iCs/>
          <w:noProof/>
          <w:color w:val="000000"/>
          <w:lang w:val="en-IE"/>
        </w:rPr>
        <w:t>Regulation</w:t>
      </w:r>
      <w:r w:rsidR="009D71C3">
        <w:rPr>
          <w:iCs/>
          <w:noProof/>
          <w:color w:val="000000"/>
          <w:lang w:val="en-IE"/>
        </w:rPr>
        <w:t xml:space="preserve"> (EU) </w:t>
      </w:r>
      <w:r w:rsidR="009D71C3">
        <w:rPr>
          <w:noProof/>
          <w:lang w:val="en-US"/>
        </w:rPr>
        <w:t>…/… *</w:t>
      </w:r>
      <w:r w:rsidR="009D71C3" w:rsidRPr="00F606CA">
        <w:rPr>
          <w:noProof/>
          <w:lang w:val="en-US"/>
        </w:rPr>
        <w:t xml:space="preserve"> </w:t>
      </w:r>
      <w:r w:rsidR="009D71C3">
        <w:rPr>
          <w:noProof/>
          <w:lang w:val="en-US"/>
        </w:rPr>
        <w:t>[</w:t>
      </w:r>
      <w:r w:rsidR="009D71C3">
        <w:rPr>
          <w:i/>
          <w:noProof/>
          <w:lang w:val="en-US"/>
        </w:rPr>
        <w:t>this Regulation</w:t>
      </w:r>
      <w:r w:rsidR="009D71C3">
        <w:rPr>
          <w:iCs/>
          <w:noProof/>
          <w:color w:val="000000"/>
          <w:lang w:val="en-IE"/>
        </w:rPr>
        <w:t xml:space="preserve"> </w:t>
      </w:r>
      <w:r w:rsidR="009D71C3" w:rsidRPr="009F56E6">
        <w:rPr>
          <w:iCs/>
          <w:noProof/>
          <w:color w:val="000000"/>
          <w:lang w:val="en-IE"/>
        </w:rPr>
        <w:t>]</w:t>
      </w:r>
      <w:r w:rsidR="005519C1" w:rsidRPr="009F56E6">
        <w:rPr>
          <w:noProof/>
          <w:color w:val="000000"/>
          <w:lang w:val="en-IE"/>
        </w:rPr>
        <w:t>.”</w:t>
      </w:r>
    </w:p>
    <w:p w14:paraId="4A5B7CDC" w14:textId="270DB218" w:rsidR="006D7E41" w:rsidRPr="009F56E6" w:rsidRDefault="006D7E41" w:rsidP="006D7E41">
      <w:pPr>
        <w:pStyle w:val="Titrearticle"/>
        <w:rPr>
          <w:i w:val="0"/>
          <w:noProof/>
        </w:rPr>
      </w:pPr>
      <w:r w:rsidRPr="009F56E6">
        <w:rPr>
          <w:i w:val="0"/>
          <w:noProof/>
        </w:rPr>
        <w:t>CHAPTER 9</w:t>
      </w:r>
    </w:p>
    <w:p w14:paraId="561C78EE" w14:textId="00FAF961" w:rsidR="006D7E41" w:rsidRPr="009F56E6" w:rsidRDefault="006D7E41" w:rsidP="00092C0B">
      <w:pPr>
        <w:jc w:val="center"/>
        <w:rPr>
          <w:b/>
          <w:noProof/>
        </w:rPr>
      </w:pPr>
      <w:r w:rsidRPr="009F56E6">
        <w:rPr>
          <w:b/>
          <w:noProof/>
        </w:rPr>
        <w:t>FINAL PROVISIONS</w:t>
      </w:r>
    </w:p>
    <w:p w14:paraId="32981E98" w14:textId="39C110E5" w:rsidR="00FB55F0" w:rsidRPr="009F56E6" w:rsidRDefault="00FB55F0" w:rsidP="00FB55F0">
      <w:pPr>
        <w:pStyle w:val="Titrearticle"/>
        <w:rPr>
          <w:noProof/>
        </w:rPr>
      </w:pPr>
      <w:r w:rsidRPr="009F56E6">
        <w:rPr>
          <w:noProof/>
        </w:rPr>
        <w:t xml:space="preserve">Article </w:t>
      </w:r>
      <w:r w:rsidR="00E15E51">
        <w:rPr>
          <w:noProof/>
        </w:rPr>
        <w:t>71</w:t>
      </w:r>
    </w:p>
    <w:p w14:paraId="10DA77DA" w14:textId="0C94B2E1" w:rsidR="00FB55F0" w:rsidRPr="009F56E6" w:rsidRDefault="00424BBA" w:rsidP="00FB55F0">
      <w:pPr>
        <w:jc w:val="center"/>
        <w:rPr>
          <w:b/>
          <w:noProof/>
        </w:rPr>
      </w:pPr>
      <w:r w:rsidRPr="009F56E6">
        <w:rPr>
          <w:b/>
          <w:noProof/>
        </w:rPr>
        <w:t>Reporting and statistics</w:t>
      </w:r>
    </w:p>
    <w:p w14:paraId="43E2A651" w14:textId="0C48D3F5" w:rsidR="00A03D63" w:rsidRPr="009F56E6" w:rsidRDefault="00092C0B" w:rsidP="00FB55F0">
      <w:pPr>
        <w:rPr>
          <w:noProof/>
        </w:rPr>
      </w:pPr>
      <w:r w:rsidRPr="009F56E6">
        <w:rPr>
          <w:noProof/>
        </w:rPr>
        <w:t>1.</w:t>
      </w:r>
      <w:r w:rsidR="00A03D63" w:rsidRPr="009F56E6">
        <w:rPr>
          <w:noProof/>
        </w:rPr>
        <w:t xml:space="preserve"> </w:t>
      </w:r>
      <w:r w:rsidRPr="009F56E6">
        <w:rPr>
          <w:noProof/>
        </w:rPr>
        <w:t>The duly authorised staff of the competent authorities of Member States, the Commission</w:t>
      </w:r>
      <w:r w:rsidR="00DE4498" w:rsidRPr="009F56E6">
        <w:rPr>
          <w:noProof/>
        </w:rPr>
        <w:t>, Europol</w:t>
      </w:r>
      <w:r w:rsidRPr="009F56E6">
        <w:rPr>
          <w:noProof/>
        </w:rPr>
        <w:t xml:space="preserve"> and eu-LISA shall have access to consult the following data related to the </w:t>
      </w:r>
      <w:r w:rsidR="00A03D63" w:rsidRPr="009F56E6">
        <w:rPr>
          <w:noProof/>
        </w:rPr>
        <w:t>router</w:t>
      </w:r>
      <w:r w:rsidRPr="009F56E6">
        <w:rPr>
          <w:noProof/>
        </w:rPr>
        <w:t xml:space="preserve">, solely for the purposes of reporting and statistics: </w:t>
      </w:r>
    </w:p>
    <w:p w14:paraId="77BF8267" w14:textId="2E64DFE0" w:rsidR="00A03D63" w:rsidRPr="009F56E6" w:rsidRDefault="00C304BF" w:rsidP="00C304BF">
      <w:pPr>
        <w:pStyle w:val="Point0"/>
        <w:rPr>
          <w:noProof/>
        </w:rPr>
      </w:pPr>
      <w:r w:rsidRPr="00C304BF">
        <w:t>(a)</w:t>
      </w:r>
      <w:r w:rsidRPr="00C304BF">
        <w:tab/>
      </w:r>
      <w:r w:rsidR="00092C0B" w:rsidRPr="009F56E6">
        <w:rPr>
          <w:noProof/>
        </w:rPr>
        <w:t>number of qu</w:t>
      </w:r>
      <w:r w:rsidR="00A03D63" w:rsidRPr="009F56E6">
        <w:rPr>
          <w:noProof/>
        </w:rPr>
        <w:t xml:space="preserve">eries per </w:t>
      </w:r>
      <w:r w:rsidR="00C24575" w:rsidRPr="009F56E6">
        <w:rPr>
          <w:noProof/>
        </w:rPr>
        <w:t>Member State</w:t>
      </w:r>
      <w:r w:rsidR="00FA5202" w:rsidRPr="009F56E6">
        <w:rPr>
          <w:noProof/>
        </w:rPr>
        <w:t xml:space="preserve"> and by Europol</w:t>
      </w:r>
      <w:r w:rsidR="00A03D63" w:rsidRPr="009F56E6">
        <w:rPr>
          <w:noProof/>
        </w:rPr>
        <w:t>;</w:t>
      </w:r>
    </w:p>
    <w:p w14:paraId="525C13E4" w14:textId="244CB913" w:rsidR="00C24575" w:rsidRPr="009F56E6" w:rsidRDefault="00C304BF" w:rsidP="00C304BF">
      <w:pPr>
        <w:pStyle w:val="Point0"/>
        <w:rPr>
          <w:noProof/>
        </w:rPr>
      </w:pPr>
      <w:r w:rsidRPr="00C304BF">
        <w:t>(b)</w:t>
      </w:r>
      <w:r w:rsidRPr="00C304BF">
        <w:tab/>
      </w:r>
      <w:r w:rsidR="00C24575" w:rsidRPr="009F56E6">
        <w:rPr>
          <w:noProof/>
        </w:rPr>
        <w:t>number of q</w:t>
      </w:r>
      <w:r w:rsidR="00C447ED" w:rsidRPr="009F56E6">
        <w:rPr>
          <w:noProof/>
        </w:rPr>
        <w:t>ueries per category of data;</w:t>
      </w:r>
    </w:p>
    <w:p w14:paraId="7CCFC9C1" w14:textId="323B3428" w:rsidR="00A03D63" w:rsidRPr="009F56E6" w:rsidRDefault="00C304BF" w:rsidP="00C304BF">
      <w:pPr>
        <w:pStyle w:val="Point0"/>
        <w:rPr>
          <w:noProof/>
        </w:rPr>
      </w:pPr>
      <w:r w:rsidRPr="00C304BF">
        <w:t>(c)</w:t>
      </w:r>
      <w:r w:rsidRPr="00C304BF">
        <w:tab/>
      </w:r>
      <w:r w:rsidR="00092C0B" w:rsidRPr="009F56E6">
        <w:rPr>
          <w:noProof/>
        </w:rPr>
        <w:t xml:space="preserve">number of queries to each of the </w:t>
      </w:r>
      <w:r w:rsidR="00A03D63" w:rsidRPr="009F56E6">
        <w:rPr>
          <w:noProof/>
        </w:rPr>
        <w:t>connected</w:t>
      </w:r>
      <w:r w:rsidR="00C447ED" w:rsidRPr="009F56E6">
        <w:rPr>
          <w:noProof/>
        </w:rPr>
        <w:t xml:space="preserve"> databases;</w:t>
      </w:r>
    </w:p>
    <w:p w14:paraId="5C4B32C8" w14:textId="452B8933" w:rsidR="00FA5202" w:rsidRPr="009F56E6" w:rsidRDefault="00C304BF" w:rsidP="00C304BF">
      <w:pPr>
        <w:pStyle w:val="Point0"/>
        <w:rPr>
          <w:noProof/>
        </w:rPr>
      </w:pPr>
      <w:r w:rsidRPr="00C304BF">
        <w:t>(d)</w:t>
      </w:r>
      <w:r w:rsidRPr="00C304BF">
        <w:tab/>
      </w:r>
      <w:r w:rsidR="005448F2" w:rsidRPr="009F56E6">
        <w:rPr>
          <w:noProof/>
        </w:rPr>
        <w:t>n</w:t>
      </w:r>
      <w:r w:rsidR="00FA5202" w:rsidRPr="009F56E6">
        <w:rPr>
          <w:noProof/>
        </w:rPr>
        <w:t>umber of matches</w:t>
      </w:r>
      <w:r w:rsidR="00656A93" w:rsidRPr="009F56E6">
        <w:rPr>
          <w:noProof/>
        </w:rPr>
        <w:t xml:space="preserve"> against each Member State’s database per category of data</w:t>
      </w:r>
      <w:r w:rsidR="00FA5202" w:rsidRPr="009F56E6">
        <w:rPr>
          <w:noProof/>
        </w:rPr>
        <w:t>;</w:t>
      </w:r>
    </w:p>
    <w:p w14:paraId="617B960D" w14:textId="5735C74C" w:rsidR="00656A93" w:rsidRPr="009F56E6" w:rsidRDefault="00C304BF" w:rsidP="00C304BF">
      <w:pPr>
        <w:pStyle w:val="Point0"/>
        <w:rPr>
          <w:noProof/>
        </w:rPr>
      </w:pPr>
      <w:r w:rsidRPr="00C304BF">
        <w:t>(e)</w:t>
      </w:r>
      <w:r w:rsidRPr="00C304BF">
        <w:tab/>
      </w:r>
      <w:r w:rsidR="005448F2" w:rsidRPr="009F56E6">
        <w:rPr>
          <w:noProof/>
        </w:rPr>
        <w:t>n</w:t>
      </w:r>
      <w:r w:rsidR="00656A93" w:rsidRPr="009F56E6">
        <w:rPr>
          <w:noProof/>
        </w:rPr>
        <w:t>umber of matches against Europol data per category of data;</w:t>
      </w:r>
    </w:p>
    <w:p w14:paraId="249DD68D" w14:textId="637D410F" w:rsidR="00FA5202" w:rsidRPr="009F56E6" w:rsidRDefault="00C304BF" w:rsidP="00C304BF">
      <w:pPr>
        <w:pStyle w:val="Point0"/>
        <w:rPr>
          <w:noProof/>
        </w:rPr>
      </w:pPr>
      <w:r w:rsidRPr="00C304BF">
        <w:t>(f)</w:t>
      </w:r>
      <w:r w:rsidRPr="00C304BF">
        <w:tab/>
      </w:r>
      <w:r w:rsidR="005448F2" w:rsidRPr="009F56E6">
        <w:rPr>
          <w:noProof/>
        </w:rPr>
        <w:t>n</w:t>
      </w:r>
      <w:r w:rsidR="00FA5202" w:rsidRPr="009F56E6">
        <w:rPr>
          <w:noProof/>
        </w:rPr>
        <w:t>umber of</w:t>
      </w:r>
      <w:r w:rsidR="00656A93" w:rsidRPr="009F56E6">
        <w:rPr>
          <w:noProof/>
        </w:rPr>
        <w:t xml:space="preserve"> </w:t>
      </w:r>
      <w:r w:rsidR="008259D5" w:rsidRPr="009F56E6">
        <w:rPr>
          <w:noProof/>
        </w:rPr>
        <w:t xml:space="preserve">confirmed matches </w:t>
      </w:r>
      <w:r w:rsidR="00656A93" w:rsidRPr="009F56E6">
        <w:rPr>
          <w:noProof/>
        </w:rPr>
        <w:t>where there were exchanges of core data</w:t>
      </w:r>
      <w:r w:rsidR="00C447ED" w:rsidRPr="009F56E6">
        <w:rPr>
          <w:noProof/>
        </w:rPr>
        <w:t>;</w:t>
      </w:r>
      <w:r w:rsidR="005438CA">
        <w:rPr>
          <w:noProof/>
        </w:rPr>
        <w:t xml:space="preserve"> and</w:t>
      </w:r>
    </w:p>
    <w:p w14:paraId="39823140" w14:textId="63F25A40" w:rsidR="00C447ED" w:rsidRPr="009F56E6" w:rsidRDefault="00C304BF" w:rsidP="00C304BF">
      <w:pPr>
        <w:pStyle w:val="Point0"/>
        <w:rPr>
          <w:noProof/>
        </w:rPr>
      </w:pPr>
      <w:r w:rsidRPr="00C304BF">
        <w:t>(g)</w:t>
      </w:r>
      <w:r w:rsidRPr="00C304BF">
        <w:tab/>
      </w:r>
      <w:r w:rsidR="005448F2" w:rsidRPr="009F56E6">
        <w:rPr>
          <w:noProof/>
        </w:rPr>
        <w:t>n</w:t>
      </w:r>
      <w:r w:rsidR="00C447ED" w:rsidRPr="009F56E6">
        <w:rPr>
          <w:noProof/>
        </w:rPr>
        <w:t xml:space="preserve">umber of queries to the </w:t>
      </w:r>
      <w:r w:rsidR="005438CA" w:rsidRPr="009F56E6">
        <w:rPr>
          <w:noProof/>
        </w:rPr>
        <w:t>Common Identity Repository</w:t>
      </w:r>
      <w:r w:rsidR="005438CA">
        <w:rPr>
          <w:noProof/>
        </w:rPr>
        <w:t xml:space="preserve"> </w:t>
      </w:r>
      <w:r w:rsidR="00DE4498" w:rsidRPr="009F56E6">
        <w:rPr>
          <w:noProof/>
        </w:rPr>
        <w:t>via the router</w:t>
      </w:r>
      <w:r w:rsidR="00C447ED" w:rsidRPr="009F56E6">
        <w:rPr>
          <w:noProof/>
        </w:rPr>
        <w:t>.</w:t>
      </w:r>
    </w:p>
    <w:p w14:paraId="5F53885B" w14:textId="2DF3677A" w:rsidR="00A03D63" w:rsidRPr="009F56E6" w:rsidRDefault="00092C0B" w:rsidP="00BF3F09">
      <w:pPr>
        <w:rPr>
          <w:noProof/>
        </w:rPr>
      </w:pPr>
      <w:r w:rsidRPr="009F56E6">
        <w:rPr>
          <w:noProof/>
        </w:rPr>
        <w:t xml:space="preserve">It shall not be possible to identify individuals from the data. </w:t>
      </w:r>
    </w:p>
    <w:p w14:paraId="3FF7B569" w14:textId="5D33141A" w:rsidR="00FA5202" w:rsidRPr="009F56E6" w:rsidRDefault="00FA5202" w:rsidP="00FA5202">
      <w:pPr>
        <w:rPr>
          <w:noProof/>
        </w:rPr>
      </w:pPr>
      <w:r w:rsidRPr="009F56E6">
        <w:rPr>
          <w:noProof/>
        </w:rPr>
        <w:t>2. The duly authorised staff of the competent authorities of Member States</w:t>
      </w:r>
      <w:r w:rsidR="00DE4498" w:rsidRPr="009F56E6">
        <w:rPr>
          <w:noProof/>
        </w:rPr>
        <w:t>, Europol</w:t>
      </w:r>
      <w:r w:rsidRPr="009F56E6">
        <w:rPr>
          <w:noProof/>
        </w:rPr>
        <w:t xml:space="preserve"> and the Commission shall have access to consult the following data related to </w:t>
      </w:r>
      <w:r w:rsidR="004B0DD0" w:rsidRPr="009F56E6">
        <w:rPr>
          <w:noProof/>
        </w:rPr>
        <w:t>Eucaris</w:t>
      </w:r>
      <w:r w:rsidRPr="009F56E6">
        <w:rPr>
          <w:noProof/>
        </w:rPr>
        <w:t xml:space="preserve">, solely for the purposes of reporting and statistics: </w:t>
      </w:r>
    </w:p>
    <w:p w14:paraId="1CF742C1" w14:textId="6ED7B2C6" w:rsidR="00FA5202" w:rsidRPr="009F56E6" w:rsidRDefault="00C304BF" w:rsidP="00C304BF">
      <w:pPr>
        <w:pStyle w:val="Point0"/>
        <w:rPr>
          <w:noProof/>
        </w:rPr>
      </w:pPr>
      <w:r w:rsidRPr="00C304BF">
        <w:t>(a)</w:t>
      </w:r>
      <w:r w:rsidRPr="00C304BF">
        <w:tab/>
      </w:r>
      <w:r w:rsidR="00FA5202" w:rsidRPr="009F56E6">
        <w:rPr>
          <w:noProof/>
        </w:rPr>
        <w:t>number of queries per Member State</w:t>
      </w:r>
      <w:r w:rsidR="00656A93" w:rsidRPr="009F56E6">
        <w:rPr>
          <w:noProof/>
        </w:rPr>
        <w:t xml:space="preserve"> and by Europol</w:t>
      </w:r>
      <w:r w:rsidR="00FA5202" w:rsidRPr="009F56E6">
        <w:rPr>
          <w:noProof/>
        </w:rPr>
        <w:t>;</w:t>
      </w:r>
    </w:p>
    <w:p w14:paraId="33003641" w14:textId="503726C8" w:rsidR="00FA5202" w:rsidRPr="009F56E6" w:rsidRDefault="00C304BF" w:rsidP="00C304BF">
      <w:pPr>
        <w:pStyle w:val="Point0"/>
        <w:rPr>
          <w:noProof/>
        </w:rPr>
      </w:pPr>
      <w:r w:rsidRPr="00C304BF">
        <w:t>(b)</w:t>
      </w:r>
      <w:r w:rsidRPr="00C304BF">
        <w:tab/>
      </w:r>
      <w:r w:rsidR="00FA5202" w:rsidRPr="009F56E6">
        <w:rPr>
          <w:noProof/>
        </w:rPr>
        <w:t>number of queries to each of the connected databases</w:t>
      </w:r>
      <w:r w:rsidR="00D41E5D" w:rsidRPr="009F56E6">
        <w:rPr>
          <w:noProof/>
        </w:rPr>
        <w:t>;</w:t>
      </w:r>
      <w:r w:rsidR="00370238">
        <w:rPr>
          <w:noProof/>
        </w:rPr>
        <w:t xml:space="preserve"> and</w:t>
      </w:r>
    </w:p>
    <w:p w14:paraId="4A1E90CE" w14:textId="258DE92D" w:rsidR="00FA5202" w:rsidRPr="009F56E6" w:rsidRDefault="00C304BF" w:rsidP="00C304BF">
      <w:pPr>
        <w:pStyle w:val="Point0"/>
        <w:rPr>
          <w:noProof/>
        </w:rPr>
      </w:pPr>
      <w:r w:rsidRPr="00C304BF">
        <w:t>(c)</w:t>
      </w:r>
      <w:r w:rsidRPr="00C304BF">
        <w:tab/>
      </w:r>
      <w:r w:rsidR="005757CE" w:rsidRPr="009F56E6">
        <w:rPr>
          <w:noProof/>
        </w:rPr>
        <w:t>n</w:t>
      </w:r>
      <w:r w:rsidR="00FA5202" w:rsidRPr="009F56E6">
        <w:rPr>
          <w:noProof/>
        </w:rPr>
        <w:t>umber of matches</w:t>
      </w:r>
      <w:r w:rsidR="00656A93" w:rsidRPr="009F56E6">
        <w:rPr>
          <w:noProof/>
        </w:rPr>
        <w:t xml:space="preserve"> against each Member State’s database</w:t>
      </w:r>
      <w:r w:rsidR="00B85B42" w:rsidRPr="009F56E6">
        <w:rPr>
          <w:noProof/>
        </w:rPr>
        <w:t>.</w:t>
      </w:r>
      <w:r w:rsidR="005757CE" w:rsidRPr="009F56E6">
        <w:rPr>
          <w:noProof/>
        </w:rPr>
        <w:t xml:space="preserve"> </w:t>
      </w:r>
    </w:p>
    <w:p w14:paraId="11A5FB91" w14:textId="77777777" w:rsidR="00FA5202" w:rsidRPr="009F56E6" w:rsidRDefault="00FA5202" w:rsidP="00BF3F09">
      <w:pPr>
        <w:rPr>
          <w:noProof/>
        </w:rPr>
      </w:pPr>
      <w:r w:rsidRPr="009F56E6">
        <w:rPr>
          <w:noProof/>
        </w:rPr>
        <w:t xml:space="preserve">It shall not be possible to identify individuals from the data. </w:t>
      </w:r>
    </w:p>
    <w:p w14:paraId="7CFA4106" w14:textId="26B557C0" w:rsidR="00FA5202" w:rsidRPr="009F56E6" w:rsidRDefault="00FA5202" w:rsidP="00FA5202">
      <w:pPr>
        <w:rPr>
          <w:noProof/>
        </w:rPr>
      </w:pPr>
      <w:r w:rsidRPr="009F56E6">
        <w:rPr>
          <w:noProof/>
        </w:rPr>
        <w:t xml:space="preserve">3. The duly authorised staff of the competent authorities of Member States, the Commission and Europol shall have access to consult the following data related to EPRIS, solely for the purposes of reporting and statistics: </w:t>
      </w:r>
    </w:p>
    <w:p w14:paraId="279D8269" w14:textId="3B3619F0" w:rsidR="00FA5202" w:rsidRPr="009F56E6" w:rsidRDefault="00C304BF" w:rsidP="00C304BF">
      <w:pPr>
        <w:pStyle w:val="Point0"/>
        <w:rPr>
          <w:noProof/>
        </w:rPr>
      </w:pPr>
      <w:r w:rsidRPr="00C304BF">
        <w:t>(a)</w:t>
      </w:r>
      <w:r w:rsidRPr="00C304BF">
        <w:tab/>
      </w:r>
      <w:r w:rsidR="00FA5202" w:rsidRPr="009F56E6">
        <w:rPr>
          <w:noProof/>
        </w:rPr>
        <w:t>number of queries per Member State</w:t>
      </w:r>
      <w:r w:rsidR="00AA6BFD" w:rsidRPr="009F56E6">
        <w:rPr>
          <w:noProof/>
        </w:rPr>
        <w:t xml:space="preserve"> and by Europol</w:t>
      </w:r>
      <w:r w:rsidR="00FA5202" w:rsidRPr="009F56E6">
        <w:rPr>
          <w:noProof/>
        </w:rPr>
        <w:t>;</w:t>
      </w:r>
    </w:p>
    <w:p w14:paraId="11106DFC" w14:textId="6F5C18F3" w:rsidR="00FA5202" w:rsidRPr="009F56E6" w:rsidRDefault="00C304BF" w:rsidP="00C304BF">
      <w:pPr>
        <w:pStyle w:val="Point0"/>
        <w:rPr>
          <w:noProof/>
        </w:rPr>
      </w:pPr>
      <w:r w:rsidRPr="00C304BF">
        <w:t>(b)</w:t>
      </w:r>
      <w:r w:rsidRPr="00C304BF">
        <w:tab/>
      </w:r>
      <w:r w:rsidR="00FA5202" w:rsidRPr="009F56E6">
        <w:rPr>
          <w:noProof/>
        </w:rPr>
        <w:t xml:space="preserve">number of queries to each of the connected </w:t>
      </w:r>
      <w:r w:rsidR="004A448D" w:rsidRPr="009F56E6">
        <w:rPr>
          <w:noProof/>
        </w:rPr>
        <w:t>indexes</w:t>
      </w:r>
      <w:r w:rsidR="005757CE" w:rsidRPr="009F56E6">
        <w:rPr>
          <w:noProof/>
        </w:rPr>
        <w:t>;</w:t>
      </w:r>
      <w:r w:rsidR="00370238">
        <w:rPr>
          <w:noProof/>
        </w:rPr>
        <w:t xml:space="preserve"> and</w:t>
      </w:r>
    </w:p>
    <w:p w14:paraId="3E581DA9" w14:textId="48FEBB16" w:rsidR="00FA5202" w:rsidRPr="009F56E6" w:rsidRDefault="00C304BF" w:rsidP="00C304BF">
      <w:pPr>
        <w:pStyle w:val="Point0"/>
        <w:rPr>
          <w:noProof/>
        </w:rPr>
      </w:pPr>
      <w:r w:rsidRPr="00C304BF">
        <w:t>(c)</w:t>
      </w:r>
      <w:r w:rsidRPr="00C304BF">
        <w:tab/>
      </w:r>
      <w:r w:rsidR="005757CE" w:rsidRPr="009F56E6">
        <w:rPr>
          <w:noProof/>
        </w:rPr>
        <w:t>n</w:t>
      </w:r>
      <w:r w:rsidR="00FA5202" w:rsidRPr="009F56E6">
        <w:rPr>
          <w:noProof/>
        </w:rPr>
        <w:t>umber of matches</w:t>
      </w:r>
      <w:r w:rsidR="00AA6BFD" w:rsidRPr="009F56E6">
        <w:rPr>
          <w:noProof/>
        </w:rPr>
        <w:t xml:space="preserve"> against each Member State’s database</w:t>
      </w:r>
      <w:r w:rsidR="008259D5" w:rsidRPr="009F56E6">
        <w:rPr>
          <w:noProof/>
        </w:rPr>
        <w:t>.</w:t>
      </w:r>
      <w:r w:rsidR="005757CE" w:rsidRPr="009F56E6">
        <w:rPr>
          <w:noProof/>
        </w:rPr>
        <w:t xml:space="preserve"> </w:t>
      </w:r>
    </w:p>
    <w:p w14:paraId="69ED3575" w14:textId="5E02D76A" w:rsidR="00FA5202" w:rsidRPr="009F56E6" w:rsidRDefault="00FA5202" w:rsidP="00BF3F09">
      <w:pPr>
        <w:rPr>
          <w:noProof/>
        </w:rPr>
      </w:pPr>
      <w:r w:rsidRPr="009F56E6">
        <w:rPr>
          <w:noProof/>
        </w:rPr>
        <w:t>It shall not be possible to iden</w:t>
      </w:r>
      <w:r w:rsidR="000478E9" w:rsidRPr="009F56E6">
        <w:rPr>
          <w:noProof/>
        </w:rPr>
        <w:t>tify individuals from the data.</w:t>
      </w:r>
    </w:p>
    <w:p w14:paraId="6CAB89DF" w14:textId="19190F3D" w:rsidR="00370238" w:rsidRDefault="005757CE" w:rsidP="00BF3F09">
      <w:pPr>
        <w:rPr>
          <w:noProof/>
        </w:rPr>
      </w:pPr>
      <w:r w:rsidRPr="009F56E6">
        <w:rPr>
          <w:noProof/>
        </w:rPr>
        <w:t>4</w:t>
      </w:r>
      <w:r w:rsidR="00092C0B" w:rsidRPr="009F56E6">
        <w:rPr>
          <w:noProof/>
        </w:rPr>
        <w:t>.</w:t>
      </w:r>
      <w:r w:rsidR="003B4EE7">
        <w:rPr>
          <w:noProof/>
        </w:rPr>
        <w:t xml:space="preserve"> </w:t>
      </w:r>
      <w:r w:rsidR="00092C0B" w:rsidRPr="009F56E6">
        <w:rPr>
          <w:noProof/>
        </w:rPr>
        <w:t>eu-LISA shall store the data referred to in those paragraphs.</w:t>
      </w:r>
    </w:p>
    <w:p w14:paraId="5014A212" w14:textId="543780F7" w:rsidR="00CC5BFF" w:rsidRPr="009F56E6" w:rsidRDefault="00370238" w:rsidP="00BF3F09">
      <w:pPr>
        <w:rPr>
          <w:noProof/>
        </w:rPr>
      </w:pPr>
      <w:r>
        <w:rPr>
          <w:noProof/>
        </w:rPr>
        <w:t>T</w:t>
      </w:r>
      <w:r w:rsidR="00092C0B" w:rsidRPr="009F56E6">
        <w:rPr>
          <w:noProof/>
        </w:rPr>
        <w:t xml:space="preserve">he data shall allow the authorities </w:t>
      </w:r>
      <w:r>
        <w:rPr>
          <w:noProof/>
        </w:rPr>
        <w:t>referred to</w:t>
      </w:r>
      <w:r w:rsidRPr="009F56E6">
        <w:rPr>
          <w:noProof/>
        </w:rPr>
        <w:t xml:space="preserve"> </w:t>
      </w:r>
      <w:r w:rsidR="00092C0B" w:rsidRPr="009F56E6">
        <w:rPr>
          <w:noProof/>
        </w:rPr>
        <w:t>in paragraph</w:t>
      </w:r>
      <w:r w:rsidR="00D41E5D" w:rsidRPr="009F56E6">
        <w:rPr>
          <w:noProof/>
        </w:rPr>
        <w:t xml:space="preserve"> 1</w:t>
      </w:r>
      <w:r w:rsidR="00092C0B" w:rsidRPr="009F56E6">
        <w:rPr>
          <w:noProof/>
        </w:rPr>
        <w:t xml:space="preserve"> to obtain customisable reports and statistics to enhance the efficiency of </w:t>
      </w:r>
      <w:r w:rsidR="003C786A" w:rsidRPr="009F56E6">
        <w:rPr>
          <w:noProof/>
        </w:rPr>
        <w:t>law enforcement cooperation</w:t>
      </w:r>
      <w:r w:rsidR="00092C0B" w:rsidRPr="009F56E6">
        <w:rPr>
          <w:noProof/>
        </w:rPr>
        <w:t>.</w:t>
      </w:r>
    </w:p>
    <w:p w14:paraId="77E59B52" w14:textId="675E86C8" w:rsidR="00FB55F0" w:rsidRPr="009F56E6" w:rsidRDefault="00FB55F0" w:rsidP="00FB55F0">
      <w:pPr>
        <w:pStyle w:val="Titrearticle"/>
        <w:rPr>
          <w:noProof/>
        </w:rPr>
      </w:pPr>
      <w:r w:rsidRPr="009F56E6">
        <w:rPr>
          <w:noProof/>
        </w:rPr>
        <w:t xml:space="preserve">Article </w:t>
      </w:r>
      <w:r w:rsidR="00E15E51">
        <w:rPr>
          <w:noProof/>
        </w:rPr>
        <w:t>72</w:t>
      </w:r>
    </w:p>
    <w:p w14:paraId="1C716CF5" w14:textId="238C7037" w:rsidR="00003464" w:rsidRPr="009F56E6" w:rsidRDefault="00424BBA" w:rsidP="001F787D">
      <w:pPr>
        <w:jc w:val="center"/>
        <w:rPr>
          <w:b/>
          <w:noProof/>
        </w:rPr>
      </w:pPr>
      <w:r w:rsidRPr="009F56E6">
        <w:rPr>
          <w:b/>
          <w:noProof/>
        </w:rPr>
        <w:t>Costs</w:t>
      </w:r>
    </w:p>
    <w:p w14:paraId="466DA462" w14:textId="5E4BD1EE" w:rsidR="00003464" w:rsidRPr="009F56E6" w:rsidRDefault="00EC4824" w:rsidP="00003464">
      <w:pPr>
        <w:rPr>
          <w:noProof/>
        </w:rPr>
      </w:pPr>
      <w:r>
        <w:rPr>
          <w:noProof/>
        </w:rPr>
        <w:t xml:space="preserve">1. </w:t>
      </w:r>
      <w:r w:rsidR="00003464" w:rsidRPr="009F56E6">
        <w:rPr>
          <w:noProof/>
        </w:rPr>
        <w:t>Costs incurred in connection with the establishment and operation of the router and EPRIS shall be borne by the general budget of the Union.</w:t>
      </w:r>
    </w:p>
    <w:p w14:paraId="774811F9" w14:textId="77CEB2C7" w:rsidR="00003464" w:rsidRPr="009F56E6" w:rsidRDefault="00EC4824" w:rsidP="00003464">
      <w:pPr>
        <w:rPr>
          <w:noProof/>
        </w:rPr>
      </w:pPr>
      <w:r>
        <w:rPr>
          <w:noProof/>
        </w:rPr>
        <w:t xml:space="preserve">2. </w:t>
      </w:r>
      <w:r w:rsidR="00003464" w:rsidRPr="009F56E6">
        <w:rPr>
          <w:noProof/>
        </w:rPr>
        <w:t>Costs incurred in connection with the integration of the existing national infrastructures and their connections to the router and EPRIS as well as costs incurred in connection with the establishment of national facial images databases and police national indexes for the prevention, detection and investigation of criminal offences shall be borne by the general budget of the Union.</w:t>
      </w:r>
    </w:p>
    <w:p w14:paraId="22E67D83" w14:textId="77777777" w:rsidR="00003464" w:rsidRPr="009F56E6" w:rsidRDefault="00003464" w:rsidP="00003464">
      <w:pPr>
        <w:rPr>
          <w:noProof/>
        </w:rPr>
      </w:pPr>
      <w:r w:rsidRPr="009F56E6">
        <w:rPr>
          <w:noProof/>
        </w:rPr>
        <w:t>The following costs shall be excluded:</w:t>
      </w:r>
    </w:p>
    <w:p w14:paraId="7A795379" w14:textId="342D4D64" w:rsidR="00003464" w:rsidRPr="009F56E6" w:rsidRDefault="00C304BF" w:rsidP="00C304BF">
      <w:pPr>
        <w:pStyle w:val="Point0"/>
        <w:rPr>
          <w:noProof/>
        </w:rPr>
      </w:pPr>
      <w:r w:rsidRPr="00C304BF">
        <w:t>(a)</w:t>
      </w:r>
      <w:r w:rsidRPr="00C304BF">
        <w:tab/>
      </w:r>
      <w:r w:rsidR="00003464" w:rsidRPr="009F56E6">
        <w:rPr>
          <w:noProof/>
        </w:rPr>
        <w:t>Member States' project management office (meetings, missions, offices);</w:t>
      </w:r>
    </w:p>
    <w:p w14:paraId="04D14F08" w14:textId="7EAFAA83" w:rsidR="00003464" w:rsidRPr="009F56E6" w:rsidRDefault="00C304BF" w:rsidP="00C304BF">
      <w:pPr>
        <w:pStyle w:val="Point0"/>
        <w:rPr>
          <w:noProof/>
        </w:rPr>
      </w:pPr>
      <w:r w:rsidRPr="00C304BF">
        <w:t>(b)</w:t>
      </w:r>
      <w:r w:rsidRPr="00C304BF">
        <w:tab/>
      </w:r>
      <w:r w:rsidR="00003464" w:rsidRPr="009F56E6">
        <w:rPr>
          <w:noProof/>
        </w:rPr>
        <w:t>hosting of national IT systems (space, implementation, electricity, cooling);</w:t>
      </w:r>
    </w:p>
    <w:p w14:paraId="2D9FB94D" w14:textId="4EE33D33" w:rsidR="00003464" w:rsidRPr="009F56E6" w:rsidRDefault="00C304BF" w:rsidP="00C304BF">
      <w:pPr>
        <w:pStyle w:val="Point0"/>
        <w:rPr>
          <w:noProof/>
        </w:rPr>
      </w:pPr>
      <w:r w:rsidRPr="00C304BF">
        <w:t>(c)</w:t>
      </w:r>
      <w:r w:rsidRPr="00C304BF">
        <w:tab/>
      </w:r>
      <w:r w:rsidR="00003464" w:rsidRPr="009F56E6">
        <w:rPr>
          <w:noProof/>
        </w:rPr>
        <w:t>operation of national IT systems (operators and support contracts);</w:t>
      </w:r>
    </w:p>
    <w:p w14:paraId="32BA8623" w14:textId="7262AF12" w:rsidR="00003464" w:rsidRPr="009F56E6" w:rsidRDefault="00C304BF" w:rsidP="00C304BF">
      <w:pPr>
        <w:pStyle w:val="Point0"/>
        <w:rPr>
          <w:noProof/>
        </w:rPr>
      </w:pPr>
      <w:r w:rsidRPr="00C304BF">
        <w:t>(d)</w:t>
      </w:r>
      <w:r w:rsidRPr="00C304BF">
        <w:tab/>
      </w:r>
      <w:r w:rsidR="00003464" w:rsidRPr="009F56E6">
        <w:rPr>
          <w:noProof/>
        </w:rPr>
        <w:t>design, development, implementation, operation and maintenance of national communication networks.</w:t>
      </w:r>
    </w:p>
    <w:p w14:paraId="217E2017" w14:textId="415875CD" w:rsidR="00003464" w:rsidRPr="009F56E6" w:rsidRDefault="000A520B" w:rsidP="00003464">
      <w:pPr>
        <w:rPr>
          <w:noProof/>
        </w:rPr>
      </w:pPr>
      <w:r>
        <w:rPr>
          <w:noProof/>
        </w:rPr>
        <w:t>3</w:t>
      </w:r>
      <w:r w:rsidR="00003464" w:rsidRPr="009F56E6">
        <w:rPr>
          <w:noProof/>
        </w:rPr>
        <w:t xml:space="preserve">. Each Member State shall bear the costs arising from the administration, use and maintenance of the Eucaris software application referred to in Article </w:t>
      </w:r>
      <w:r w:rsidR="00C411D0" w:rsidRPr="009F56E6">
        <w:rPr>
          <w:noProof/>
        </w:rPr>
        <w:t>19</w:t>
      </w:r>
      <w:r w:rsidR="00003464" w:rsidRPr="00E951DA">
        <w:rPr>
          <w:noProof/>
        </w:rPr>
        <w:t>(1)</w:t>
      </w:r>
      <w:r w:rsidR="00003464" w:rsidRPr="009F56E6">
        <w:rPr>
          <w:noProof/>
        </w:rPr>
        <w:t>.</w:t>
      </w:r>
    </w:p>
    <w:p w14:paraId="7C08A6D1" w14:textId="79AC0632" w:rsidR="00FB55F0" w:rsidRPr="009F56E6" w:rsidRDefault="000A520B" w:rsidP="00FB55F0">
      <w:pPr>
        <w:rPr>
          <w:noProof/>
        </w:rPr>
      </w:pPr>
      <w:r>
        <w:rPr>
          <w:noProof/>
        </w:rPr>
        <w:t>4</w:t>
      </w:r>
      <w:r w:rsidR="00003464" w:rsidRPr="009F56E6">
        <w:rPr>
          <w:noProof/>
        </w:rPr>
        <w:t>. Each Member State shall bear the costs arising from the administration, use and maintenance of their connections to the router and EPRIS.</w:t>
      </w:r>
    </w:p>
    <w:p w14:paraId="15F507FB" w14:textId="7EBF63E4" w:rsidR="00FB55F0" w:rsidRPr="009F56E6" w:rsidRDefault="00FB55F0" w:rsidP="00FB55F0">
      <w:pPr>
        <w:pStyle w:val="Titrearticle"/>
        <w:rPr>
          <w:noProof/>
        </w:rPr>
      </w:pPr>
      <w:r w:rsidRPr="009F56E6">
        <w:rPr>
          <w:noProof/>
        </w:rPr>
        <w:t xml:space="preserve">Article </w:t>
      </w:r>
      <w:r w:rsidR="00E15E51">
        <w:rPr>
          <w:noProof/>
        </w:rPr>
        <w:t>73</w:t>
      </w:r>
    </w:p>
    <w:p w14:paraId="743FE147" w14:textId="560C1B7C" w:rsidR="00FB55F0" w:rsidRPr="009F56E6" w:rsidRDefault="00424BBA" w:rsidP="00FB55F0">
      <w:pPr>
        <w:jc w:val="center"/>
        <w:rPr>
          <w:b/>
          <w:noProof/>
        </w:rPr>
      </w:pPr>
      <w:r w:rsidRPr="009F56E6">
        <w:rPr>
          <w:b/>
          <w:noProof/>
        </w:rPr>
        <w:t>Notifications</w:t>
      </w:r>
    </w:p>
    <w:p w14:paraId="1BD80266" w14:textId="0F68288D" w:rsidR="009E3988" w:rsidRPr="009F56E6" w:rsidRDefault="00092C0B" w:rsidP="00FB55F0">
      <w:pPr>
        <w:rPr>
          <w:noProof/>
        </w:rPr>
      </w:pPr>
      <w:r w:rsidRPr="009F56E6">
        <w:rPr>
          <w:noProof/>
        </w:rPr>
        <w:t xml:space="preserve">1. Member States shall notify eu-LISA of the authorities referred to in </w:t>
      </w:r>
      <w:r w:rsidR="00187AD0" w:rsidRPr="009F56E6">
        <w:rPr>
          <w:noProof/>
        </w:rPr>
        <w:t xml:space="preserve">Article </w:t>
      </w:r>
      <w:r w:rsidR="00C411D0" w:rsidRPr="009F56E6">
        <w:rPr>
          <w:noProof/>
        </w:rPr>
        <w:t>3</w:t>
      </w:r>
      <w:r w:rsidR="009858BD">
        <w:rPr>
          <w:noProof/>
        </w:rPr>
        <w:t>6</w:t>
      </w:r>
      <w:r w:rsidR="00187AD0" w:rsidRPr="009F56E6">
        <w:rPr>
          <w:noProof/>
        </w:rPr>
        <w:t xml:space="preserve">, </w:t>
      </w:r>
      <w:r w:rsidR="00562B02" w:rsidRPr="009F56E6">
        <w:rPr>
          <w:noProof/>
        </w:rPr>
        <w:t>which</w:t>
      </w:r>
      <w:r w:rsidRPr="009F56E6">
        <w:rPr>
          <w:noProof/>
        </w:rPr>
        <w:t xml:space="preserve"> may use or have access to the </w:t>
      </w:r>
      <w:r w:rsidR="009E3988" w:rsidRPr="009F56E6">
        <w:rPr>
          <w:noProof/>
        </w:rPr>
        <w:t>router</w:t>
      </w:r>
      <w:r w:rsidRPr="009F56E6">
        <w:rPr>
          <w:noProof/>
        </w:rPr>
        <w:t>.</w:t>
      </w:r>
    </w:p>
    <w:p w14:paraId="5E1B23AC" w14:textId="55A2E962" w:rsidR="009E3988" w:rsidRPr="009F56E6" w:rsidRDefault="00092C0B" w:rsidP="00FB55F0">
      <w:pPr>
        <w:rPr>
          <w:noProof/>
        </w:rPr>
      </w:pPr>
      <w:r w:rsidRPr="009F56E6">
        <w:rPr>
          <w:noProof/>
        </w:rPr>
        <w:t>2.</w:t>
      </w:r>
      <w:r w:rsidR="009E3988" w:rsidRPr="009F56E6">
        <w:rPr>
          <w:noProof/>
        </w:rPr>
        <w:t xml:space="preserve"> </w:t>
      </w:r>
      <w:r w:rsidRPr="009F56E6">
        <w:rPr>
          <w:noProof/>
        </w:rPr>
        <w:t>eu-LISA shall notify the Commission of the successful completion of the tests</w:t>
      </w:r>
      <w:r w:rsidR="00703C5F" w:rsidRPr="009F56E6">
        <w:rPr>
          <w:noProof/>
        </w:rPr>
        <w:t xml:space="preserve"> referred to in Article </w:t>
      </w:r>
      <w:r w:rsidR="000C7B23">
        <w:rPr>
          <w:noProof/>
        </w:rPr>
        <w:t>74</w:t>
      </w:r>
      <w:r w:rsidRPr="00E951DA">
        <w:rPr>
          <w:noProof/>
        </w:rPr>
        <w:t>(1)</w:t>
      </w:r>
      <w:r w:rsidR="00A53548">
        <w:rPr>
          <w:noProof/>
        </w:rPr>
        <w:t xml:space="preserve">, point </w:t>
      </w:r>
      <w:r w:rsidRPr="00E951DA">
        <w:rPr>
          <w:noProof/>
        </w:rPr>
        <w:t>(b)</w:t>
      </w:r>
      <w:r w:rsidR="00D33B95" w:rsidRPr="009F56E6">
        <w:rPr>
          <w:noProof/>
        </w:rPr>
        <w:t>.</w:t>
      </w:r>
    </w:p>
    <w:p w14:paraId="1BBBF0E7" w14:textId="6B33C202" w:rsidR="00393858" w:rsidRPr="009F56E6" w:rsidRDefault="00393858" w:rsidP="00FB55F0">
      <w:pPr>
        <w:rPr>
          <w:noProof/>
        </w:rPr>
      </w:pPr>
      <w:r w:rsidRPr="009F56E6">
        <w:rPr>
          <w:noProof/>
        </w:rPr>
        <w:t xml:space="preserve">3. </w:t>
      </w:r>
      <w:r w:rsidR="00475830" w:rsidRPr="009F56E6">
        <w:rPr>
          <w:noProof/>
        </w:rPr>
        <w:t>Member States shall notify the Commission</w:t>
      </w:r>
      <w:r w:rsidR="004477FC" w:rsidRPr="009F56E6">
        <w:rPr>
          <w:noProof/>
        </w:rPr>
        <w:t>, Europol</w:t>
      </w:r>
      <w:r w:rsidR="00475830" w:rsidRPr="009F56E6">
        <w:rPr>
          <w:noProof/>
        </w:rPr>
        <w:t xml:space="preserve"> and eu-LISA of </w:t>
      </w:r>
      <w:r w:rsidR="000D442D" w:rsidRPr="009F56E6">
        <w:rPr>
          <w:noProof/>
        </w:rPr>
        <w:t>the national contact point</w:t>
      </w:r>
      <w:r w:rsidR="00A53548">
        <w:rPr>
          <w:noProof/>
        </w:rPr>
        <w:t>s</w:t>
      </w:r>
      <w:r w:rsidR="001230B2" w:rsidRPr="009F56E6">
        <w:rPr>
          <w:noProof/>
        </w:rPr>
        <w:t>.</w:t>
      </w:r>
    </w:p>
    <w:p w14:paraId="2DA319C7" w14:textId="0478B4D6" w:rsidR="00FB55F0" w:rsidRPr="009F56E6" w:rsidRDefault="00FB55F0" w:rsidP="00FB55F0">
      <w:pPr>
        <w:pStyle w:val="Titrearticle"/>
        <w:rPr>
          <w:noProof/>
          <w:lang w:val="en-US"/>
        </w:rPr>
      </w:pPr>
      <w:r w:rsidRPr="009F56E6">
        <w:rPr>
          <w:noProof/>
          <w:lang w:val="en-US"/>
        </w:rPr>
        <w:t xml:space="preserve">Article </w:t>
      </w:r>
      <w:r w:rsidR="00E15E51">
        <w:rPr>
          <w:noProof/>
          <w:lang w:val="en-US"/>
        </w:rPr>
        <w:t>74</w:t>
      </w:r>
    </w:p>
    <w:p w14:paraId="379C5288" w14:textId="77777777" w:rsidR="00D9641D" w:rsidRPr="009F56E6" w:rsidRDefault="00D9641D" w:rsidP="00D9641D">
      <w:pPr>
        <w:jc w:val="center"/>
        <w:rPr>
          <w:b/>
          <w:noProof/>
        </w:rPr>
      </w:pPr>
      <w:r w:rsidRPr="009F56E6">
        <w:rPr>
          <w:b/>
          <w:noProof/>
        </w:rPr>
        <w:t>Start of operations</w:t>
      </w:r>
    </w:p>
    <w:p w14:paraId="24BE09AD" w14:textId="25BE1D75" w:rsidR="009E3988" w:rsidRPr="009F56E6" w:rsidRDefault="00092C0B" w:rsidP="00FB55F0">
      <w:pPr>
        <w:rPr>
          <w:noProof/>
        </w:rPr>
      </w:pPr>
      <w:r w:rsidRPr="009F56E6">
        <w:rPr>
          <w:noProof/>
        </w:rPr>
        <w:t>1.</w:t>
      </w:r>
      <w:r w:rsidR="009E3988" w:rsidRPr="009F56E6">
        <w:rPr>
          <w:noProof/>
        </w:rPr>
        <w:t xml:space="preserve"> </w:t>
      </w:r>
      <w:r w:rsidRPr="009F56E6">
        <w:rPr>
          <w:noProof/>
        </w:rPr>
        <w:t xml:space="preserve">The Commission shall determine the date from which the </w:t>
      </w:r>
      <w:r w:rsidR="00A53548">
        <w:rPr>
          <w:noProof/>
        </w:rPr>
        <w:t xml:space="preserve">Member States and the Union agencies may start using </w:t>
      </w:r>
      <w:r w:rsidR="009E3988" w:rsidRPr="009F56E6">
        <w:rPr>
          <w:noProof/>
        </w:rPr>
        <w:t xml:space="preserve">router </w:t>
      </w:r>
      <w:r w:rsidRPr="009F56E6">
        <w:rPr>
          <w:noProof/>
        </w:rPr>
        <w:t xml:space="preserve">by means of an implementing act once the following conditions have been met: </w:t>
      </w:r>
    </w:p>
    <w:p w14:paraId="6FBCB7C9" w14:textId="5C2429C1" w:rsidR="009E3988" w:rsidRPr="009F56E6" w:rsidRDefault="00C304BF" w:rsidP="00C304BF">
      <w:pPr>
        <w:pStyle w:val="Point0"/>
        <w:rPr>
          <w:noProof/>
        </w:rPr>
      </w:pPr>
      <w:r w:rsidRPr="00C304BF">
        <w:t>(a)</w:t>
      </w:r>
      <w:r w:rsidRPr="00C304BF">
        <w:tab/>
      </w:r>
      <w:r w:rsidR="00092C0B" w:rsidRPr="009F56E6">
        <w:rPr>
          <w:noProof/>
        </w:rPr>
        <w:t xml:space="preserve">the measures referred to in </w:t>
      </w:r>
      <w:r w:rsidR="00503276">
        <w:rPr>
          <w:noProof/>
        </w:rPr>
        <w:t>Article</w:t>
      </w:r>
      <w:r w:rsidR="00092C0B" w:rsidRPr="009F56E6">
        <w:rPr>
          <w:noProof/>
        </w:rPr>
        <w:t xml:space="preserve"> </w:t>
      </w:r>
      <w:r w:rsidR="00A53548" w:rsidRPr="009F56E6">
        <w:rPr>
          <w:noProof/>
        </w:rPr>
        <w:t>3</w:t>
      </w:r>
      <w:r w:rsidR="009858BD">
        <w:rPr>
          <w:noProof/>
        </w:rPr>
        <w:t>7</w:t>
      </w:r>
      <w:r w:rsidR="003F31EC" w:rsidRPr="00E951DA">
        <w:rPr>
          <w:noProof/>
        </w:rPr>
        <w:t>(</w:t>
      </w:r>
      <w:r w:rsidR="000C7B23">
        <w:rPr>
          <w:noProof/>
        </w:rPr>
        <w:t>6</w:t>
      </w:r>
      <w:r w:rsidR="003F31EC" w:rsidRPr="00E951DA">
        <w:rPr>
          <w:noProof/>
        </w:rPr>
        <w:t>)</w:t>
      </w:r>
      <w:r w:rsidR="003F31EC" w:rsidRPr="009F56E6">
        <w:rPr>
          <w:noProof/>
        </w:rPr>
        <w:t xml:space="preserve"> </w:t>
      </w:r>
      <w:r w:rsidR="009E3988" w:rsidRPr="009F56E6">
        <w:rPr>
          <w:noProof/>
        </w:rPr>
        <w:t>have been adopted;</w:t>
      </w:r>
      <w:r w:rsidR="002B5990" w:rsidRPr="009F56E6">
        <w:rPr>
          <w:noProof/>
        </w:rPr>
        <w:t xml:space="preserve"> </w:t>
      </w:r>
    </w:p>
    <w:p w14:paraId="23EBD093" w14:textId="0CD4D60B" w:rsidR="00F110EF" w:rsidRPr="009F56E6" w:rsidRDefault="00C304BF" w:rsidP="00C304BF">
      <w:pPr>
        <w:pStyle w:val="Point0"/>
        <w:rPr>
          <w:noProof/>
        </w:rPr>
      </w:pPr>
      <w:r w:rsidRPr="00C304BF">
        <w:t>(b)</w:t>
      </w:r>
      <w:r w:rsidRPr="00C304BF">
        <w:tab/>
      </w:r>
      <w:r w:rsidR="00092C0B" w:rsidRPr="009F56E6">
        <w:rPr>
          <w:noProof/>
        </w:rPr>
        <w:t xml:space="preserve">eu-LISA has declared the successful completion of a comprehensive test of the </w:t>
      </w:r>
      <w:r w:rsidR="00332FD5" w:rsidRPr="009F56E6">
        <w:rPr>
          <w:noProof/>
        </w:rPr>
        <w:t>router</w:t>
      </w:r>
      <w:r w:rsidR="00092C0B" w:rsidRPr="009F56E6">
        <w:rPr>
          <w:noProof/>
        </w:rPr>
        <w:t>, which it has conducted in cooperation with the Member States authorities</w:t>
      </w:r>
      <w:r w:rsidR="007C3096" w:rsidRPr="009F56E6">
        <w:rPr>
          <w:noProof/>
        </w:rPr>
        <w:t>’</w:t>
      </w:r>
      <w:r w:rsidR="00092C0B" w:rsidRPr="009F56E6">
        <w:rPr>
          <w:noProof/>
        </w:rPr>
        <w:t xml:space="preserve"> and </w:t>
      </w:r>
      <w:r w:rsidR="00B13263" w:rsidRPr="009F56E6">
        <w:rPr>
          <w:noProof/>
        </w:rPr>
        <w:t>Europol</w:t>
      </w:r>
      <w:r w:rsidR="009D0128" w:rsidRPr="009F56E6">
        <w:rPr>
          <w:noProof/>
        </w:rPr>
        <w:t>.</w:t>
      </w:r>
    </w:p>
    <w:p w14:paraId="36BF1436" w14:textId="2FDE6A75" w:rsidR="00A53548" w:rsidRDefault="00A53548" w:rsidP="007B1946">
      <w:pPr>
        <w:pStyle w:val="Text"/>
        <w:rPr>
          <w:noProof/>
        </w:rPr>
      </w:pPr>
      <w:r>
        <w:rPr>
          <w:noProof/>
        </w:rPr>
        <w:t xml:space="preserve">In that </w:t>
      </w:r>
      <w:r w:rsidRPr="009F56E6">
        <w:rPr>
          <w:noProof/>
        </w:rPr>
        <w:t>implementing act</w:t>
      </w:r>
      <w:r>
        <w:rPr>
          <w:noProof/>
        </w:rPr>
        <w:t xml:space="preserve"> t</w:t>
      </w:r>
      <w:r w:rsidRPr="009F56E6">
        <w:rPr>
          <w:noProof/>
        </w:rPr>
        <w:t xml:space="preserve">he Commission </w:t>
      </w:r>
      <w:r w:rsidR="00653C10" w:rsidRPr="009F56E6">
        <w:rPr>
          <w:noProof/>
        </w:rPr>
        <w:t xml:space="preserve">shall </w:t>
      </w:r>
      <w:r>
        <w:rPr>
          <w:noProof/>
        </w:rPr>
        <w:t xml:space="preserve">also </w:t>
      </w:r>
      <w:r w:rsidR="00653C10" w:rsidRPr="009F56E6">
        <w:rPr>
          <w:noProof/>
        </w:rPr>
        <w:t xml:space="preserve">determine the date from which the </w:t>
      </w:r>
      <w:r>
        <w:rPr>
          <w:noProof/>
        </w:rPr>
        <w:t xml:space="preserve">Member States and the Union agencies must start using </w:t>
      </w:r>
      <w:r w:rsidRPr="009F56E6">
        <w:rPr>
          <w:noProof/>
        </w:rPr>
        <w:t>router</w:t>
      </w:r>
      <w:r>
        <w:rPr>
          <w:noProof/>
        </w:rPr>
        <w:t xml:space="preserve">. That date shall be one year after the date </w:t>
      </w:r>
      <w:r w:rsidRPr="009F56E6">
        <w:rPr>
          <w:noProof/>
        </w:rPr>
        <w:t>determine</w:t>
      </w:r>
      <w:r>
        <w:rPr>
          <w:noProof/>
        </w:rPr>
        <w:t>d in accordance with the first subparagraph.</w:t>
      </w:r>
    </w:p>
    <w:p w14:paraId="1FC91DFA" w14:textId="5373E51A" w:rsidR="00A53548" w:rsidRPr="009F56E6" w:rsidRDefault="00A53548" w:rsidP="007B1946">
      <w:pPr>
        <w:pStyle w:val="Text"/>
        <w:rPr>
          <w:noProof/>
        </w:rPr>
      </w:pPr>
      <w:r w:rsidRPr="009F56E6">
        <w:rPr>
          <w:noProof/>
        </w:rPr>
        <w:t xml:space="preserve">The Commission </w:t>
      </w:r>
      <w:r>
        <w:rPr>
          <w:noProof/>
        </w:rPr>
        <w:t xml:space="preserve">may postpone the date </w:t>
      </w:r>
      <w:r w:rsidRPr="009F56E6">
        <w:rPr>
          <w:noProof/>
        </w:rPr>
        <w:t xml:space="preserve">from which the </w:t>
      </w:r>
      <w:r>
        <w:rPr>
          <w:noProof/>
        </w:rPr>
        <w:t xml:space="preserve">Member States and the Union agencies must start using </w:t>
      </w:r>
      <w:r w:rsidRPr="009F56E6">
        <w:rPr>
          <w:noProof/>
        </w:rPr>
        <w:t xml:space="preserve">router </w:t>
      </w:r>
      <w:r>
        <w:rPr>
          <w:noProof/>
        </w:rPr>
        <w:t>by one year at most w</w:t>
      </w:r>
      <w:r w:rsidRPr="009F56E6">
        <w:rPr>
          <w:noProof/>
        </w:rPr>
        <w:t>he</w:t>
      </w:r>
      <w:r>
        <w:rPr>
          <w:noProof/>
        </w:rPr>
        <w:t>re</w:t>
      </w:r>
      <w:r w:rsidRPr="009F56E6">
        <w:rPr>
          <w:noProof/>
        </w:rPr>
        <w:t xml:space="preserve"> an assessment of the implementation of the router has shown that such </w:t>
      </w:r>
      <w:r>
        <w:rPr>
          <w:noProof/>
        </w:rPr>
        <w:t xml:space="preserve">a postponement </w:t>
      </w:r>
      <w:r w:rsidRPr="009F56E6">
        <w:rPr>
          <w:noProof/>
        </w:rPr>
        <w:t>is necessary</w:t>
      </w:r>
      <w:r>
        <w:rPr>
          <w:noProof/>
        </w:rPr>
        <w:t xml:space="preserve">. That </w:t>
      </w:r>
      <w:r w:rsidRPr="009F56E6">
        <w:rPr>
          <w:noProof/>
        </w:rPr>
        <w:t>implementing act</w:t>
      </w:r>
      <w:r>
        <w:rPr>
          <w:noProof/>
        </w:rPr>
        <w:t xml:space="preserve"> shall be adopted</w:t>
      </w:r>
      <w:r w:rsidRPr="009F56E6">
        <w:rPr>
          <w:noProof/>
        </w:rPr>
        <w:t xml:space="preserve"> in accordance with the procedure referred to in Article 7</w:t>
      </w:r>
      <w:r w:rsidR="00920A11">
        <w:rPr>
          <w:noProof/>
        </w:rPr>
        <w:t>6</w:t>
      </w:r>
      <w:r w:rsidRPr="00E951DA">
        <w:rPr>
          <w:noProof/>
        </w:rPr>
        <w:t>(2)</w:t>
      </w:r>
      <w:r>
        <w:rPr>
          <w:noProof/>
        </w:rPr>
        <w:t>.</w:t>
      </w:r>
    </w:p>
    <w:p w14:paraId="447C0DB3" w14:textId="0484B1C2" w:rsidR="00653C10" w:rsidRPr="009F56E6" w:rsidRDefault="00F110EF" w:rsidP="00653C10">
      <w:pPr>
        <w:rPr>
          <w:noProof/>
        </w:rPr>
      </w:pPr>
      <w:r w:rsidRPr="009F56E6">
        <w:rPr>
          <w:noProof/>
        </w:rPr>
        <w:t xml:space="preserve">2. </w:t>
      </w:r>
      <w:r w:rsidR="00653C10" w:rsidRPr="009F56E6">
        <w:rPr>
          <w:noProof/>
        </w:rPr>
        <w:t>The Commission shall determine the date from which the</w:t>
      </w:r>
      <w:r w:rsidR="00503276" w:rsidRPr="00503276">
        <w:rPr>
          <w:noProof/>
        </w:rPr>
        <w:t xml:space="preserve"> </w:t>
      </w:r>
      <w:r w:rsidR="00503276">
        <w:rPr>
          <w:noProof/>
        </w:rPr>
        <w:t>Member States and the Union agencies are to start using</w:t>
      </w:r>
      <w:r w:rsidR="00653C10" w:rsidRPr="009F56E6">
        <w:rPr>
          <w:noProof/>
        </w:rPr>
        <w:t xml:space="preserve"> EPRIS by means of an implementing act once the following conditions have been met: </w:t>
      </w:r>
    </w:p>
    <w:p w14:paraId="6626595A" w14:textId="37C49D57" w:rsidR="00653C10" w:rsidRPr="009F56E6" w:rsidRDefault="00C304BF" w:rsidP="00C304BF">
      <w:pPr>
        <w:pStyle w:val="Point0"/>
        <w:rPr>
          <w:noProof/>
        </w:rPr>
      </w:pPr>
      <w:r w:rsidRPr="00C304BF">
        <w:t>(a)</w:t>
      </w:r>
      <w:r w:rsidRPr="00C304BF">
        <w:tab/>
      </w:r>
      <w:r w:rsidR="00653C10" w:rsidRPr="009F56E6">
        <w:rPr>
          <w:noProof/>
        </w:rPr>
        <w:t xml:space="preserve">the measures referred to in Article </w:t>
      </w:r>
      <w:r w:rsidR="006532AC">
        <w:rPr>
          <w:noProof/>
        </w:rPr>
        <w:t>44</w:t>
      </w:r>
      <w:r w:rsidR="00CB40F4">
        <w:rPr>
          <w:noProof/>
        </w:rPr>
        <w:t>(7)</w:t>
      </w:r>
      <w:r w:rsidR="00653C10" w:rsidRPr="009F56E6">
        <w:rPr>
          <w:noProof/>
        </w:rPr>
        <w:t xml:space="preserve"> have been adopted; </w:t>
      </w:r>
    </w:p>
    <w:p w14:paraId="27B19068" w14:textId="5A02C822" w:rsidR="00305E8F" w:rsidRPr="009F56E6" w:rsidRDefault="00C304BF" w:rsidP="00C304BF">
      <w:pPr>
        <w:pStyle w:val="Point0"/>
        <w:rPr>
          <w:noProof/>
        </w:rPr>
      </w:pPr>
      <w:r w:rsidRPr="00C304BF">
        <w:t>(b)</w:t>
      </w:r>
      <w:r w:rsidRPr="00C304BF">
        <w:tab/>
      </w:r>
      <w:r w:rsidR="00653C10" w:rsidRPr="009F56E6">
        <w:rPr>
          <w:noProof/>
        </w:rPr>
        <w:t>Europol has declared the successful completion of a comprehensive test of EPRIS, which it has conducted in cooperation with the Member States’ authorities.</w:t>
      </w:r>
    </w:p>
    <w:p w14:paraId="4741B4AF" w14:textId="6D37B0DB" w:rsidR="00305E8F" w:rsidRPr="009F56E6" w:rsidRDefault="006532AC" w:rsidP="007B1946">
      <w:pPr>
        <w:rPr>
          <w:noProof/>
        </w:rPr>
      </w:pPr>
      <w:r>
        <w:rPr>
          <w:noProof/>
        </w:rPr>
        <w:t xml:space="preserve">3. </w:t>
      </w:r>
      <w:r w:rsidR="00305E8F" w:rsidRPr="009F56E6">
        <w:rPr>
          <w:noProof/>
        </w:rPr>
        <w:t xml:space="preserve">The Commission shall determine the date from which Europol is to make available </w:t>
      </w:r>
      <w:r w:rsidR="00503276">
        <w:rPr>
          <w:noProof/>
        </w:rPr>
        <w:t>third country-sourced</w:t>
      </w:r>
      <w:r w:rsidR="00503276" w:rsidRPr="009F56E6">
        <w:rPr>
          <w:noProof/>
        </w:rPr>
        <w:t xml:space="preserve"> </w:t>
      </w:r>
      <w:r w:rsidR="00305E8F" w:rsidRPr="009F56E6">
        <w:rPr>
          <w:noProof/>
        </w:rPr>
        <w:t>biometric data to Member States in accordance with Article 4</w:t>
      </w:r>
      <w:r w:rsidR="009858BD">
        <w:rPr>
          <w:noProof/>
        </w:rPr>
        <w:t>9</w:t>
      </w:r>
      <w:r w:rsidR="00305E8F" w:rsidRPr="009F56E6">
        <w:rPr>
          <w:noProof/>
        </w:rPr>
        <w:t xml:space="preserve"> by means of an implementing act once the following conditions have been met:</w:t>
      </w:r>
    </w:p>
    <w:p w14:paraId="1CCE25F9" w14:textId="0EBBE9BE" w:rsidR="007C3096" w:rsidRPr="009F56E6" w:rsidRDefault="00C304BF" w:rsidP="00C304BF">
      <w:pPr>
        <w:pStyle w:val="Point0"/>
        <w:rPr>
          <w:noProof/>
        </w:rPr>
      </w:pPr>
      <w:r w:rsidRPr="00C304BF">
        <w:t>(a)</w:t>
      </w:r>
      <w:r w:rsidRPr="00C304BF">
        <w:tab/>
      </w:r>
      <w:r w:rsidR="007C3096" w:rsidRPr="009F56E6">
        <w:rPr>
          <w:noProof/>
        </w:rPr>
        <w:t xml:space="preserve">the router is in operation; </w:t>
      </w:r>
    </w:p>
    <w:p w14:paraId="2B936FD7" w14:textId="2FCAB62F" w:rsidR="007C3096" w:rsidRPr="009F56E6" w:rsidRDefault="00C304BF" w:rsidP="00C304BF">
      <w:pPr>
        <w:pStyle w:val="Point0"/>
        <w:rPr>
          <w:noProof/>
        </w:rPr>
      </w:pPr>
      <w:r w:rsidRPr="00C304BF">
        <w:t>(b)</w:t>
      </w:r>
      <w:r w:rsidRPr="00C304BF">
        <w:tab/>
      </w:r>
      <w:r w:rsidR="007C3096" w:rsidRPr="009F56E6">
        <w:rPr>
          <w:noProof/>
        </w:rPr>
        <w:t>Europol has declared the successful completion of a comprehensive test of the connection, which it has conducted in cooperation with the Member States authorities’ and eu-LISA.</w:t>
      </w:r>
    </w:p>
    <w:p w14:paraId="049D7CD7" w14:textId="4C36E799" w:rsidR="00653C10" w:rsidRPr="009F56E6" w:rsidRDefault="00305E8F" w:rsidP="007B1946">
      <w:pPr>
        <w:rPr>
          <w:noProof/>
        </w:rPr>
      </w:pPr>
      <w:r w:rsidRPr="009F56E6">
        <w:rPr>
          <w:noProof/>
        </w:rPr>
        <w:t>4</w:t>
      </w:r>
      <w:r w:rsidR="00653C10" w:rsidRPr="009F56E6">
        <w:rPr>
          <w:noProof/>
        </w:rPr>
        <w:t xml:space="preserve">. </w:t>
      </w:r>
      <w:r w:rsidRPr="009F56E6">
        <w:rPr>
          <w:noProof/>
        </w:rPr>
        <w:t xml:space="preserve">The </w:t>
      </w:r>
      <w:r w:rsidR="00653C10" w:rsidRPr="009F56E6">
        <w:rPr>
          <w:noProof/>
        </w:rPr>
        <w:t xml:space="preserve">Commission shall determine the date from which Europol is to have access to data stored in Member States’ databases in accordance with Article </w:t>
      </w:r>
      <w:r w:rsidR="009858BD">
        <w:rPr>
          <w:noProof/>
        </w:rPr>
        <w:t>50</w:t>
      </w:r>
      <w:r w:rsidR="00653C10" w:rsidRPr="009F56E6">
        <w:rPr>
          <w:noProof/>
        </w:rPr>
        <w:t xml:space="preserve"> by means of an implementing act once the following conditions have been met:</w:t>
      </w:r>
    </w:p>
    <w:p w14:paraId="491C9873" w14:textId="44133450" w:rsidR="007C3096" w:rsidRPr="009F56E6" w:rsidRDefault="00C304BF" w:rsidP="00C304BF">
      <w:pPr>
        <w:pStyle w:val="Point0"/>
        <w:rPr>
          <w:noProof/>
        </w:rPr>
      </w:pPr>
      <w:r w:rsidRPr="00C304BF">
        <w:t>(a)</w:t>
      </w:r>
      <w:r w:rsidRPr="00C304BF">
        <w:tab/>
      </w:r>
      <w:r w:rsidR="007C3096" w:rsidRPr="009F56E6">
        <w:rPr>
          <w:noProof/>
        </w:rPr>
        <w:t xml:space="preserve">the router is in operation; </w:t>
      </w:r>
    </w:p>
    <w:p w14:paraId="62425D8C" w14:textId="501155BE" w:rsidR="00305E8F" w:rsidRPr="009F56E6" w:rsidRDefault="00C304BF" w:rsidP="00C304BF">
      <w:pPr>
        <w:pStyle w:val="Point0"/>
        <w:rPr>
          <w:noProof/>
        </w:rPr>
      </w:pPr>
      <w:r w:rsidRPr="00C304BF">
        <w:t>(b)</w:t>
      </w:r>
      <w:r w:rsidRPr="00C304BF">
        <w:tab/>
      </w:r>
      <w:r w:rsidR="007C3096" w:rsidRPr="009F56E6">
        <w:rPr>
          <w:noProof/>
        </w:rPr>
        <w:t>Europol has declared the successful completion of a comprehensive test of the connection, which it has conducted in cooperation with the Member States authorities’ and eu-LISA.</w:t>
      </w:r>
    </w:p>
    <w:p w14:paraId="74D565BA" w14:textId="7E7DB437" w:rsidR="00503276" w:rsidRPr="000B323A" w:rsidRDefault="00503276" w:rsidP="00503276">
      <w:pPr>
        <w:pStyle w:val="Titrearticle"/>
        <w:rPr>
          <w:noProof/>
        </w:rPr>
      </w:pPr>
      <w:r w:rsidRPr="000B323A">
        <w:rPr>
          <w:noProof/>
        </w:rPr>
        <w:t xml:space="preserve">Article </w:t>
      </w:r>
      <w:r w:rsidR="00E15E51" w:rsidRPr="000B323A">
        <w:rPr>
          <w:noProof/>
        </w:rPr>
        <w:t>75</w:t>
      </w:r>
    </w:p>
    <w:p w14:paraId="39AC7A98" w14:textId="77777777" w:rsidR="00503276" w:rsidRPr="0003774E" w:rsidRDefault="00503276" w:rsidP="00503276">
      <w:pPr>
        <w:jc w:val="center"/>
        <w:rPr>
          <w:b/>
          <w:noProof/>
        </w:rPr>
      </w:pPr>
      <w:r w:rsidRPr="0003774E">
        <w:rPr>
          <w:b/>
          <w:noProof/>
        </w:rPr>
        <w:t>Transitional provisions and derogations</w:t>
      </w:r>
    </w:p>
    <w:p w14:paraId="1BD0ABB9" w14:textId="7278EA73" w:rsidR="00503276" w:rsidRDefault="00503276" w:rsidP="007B1946">
      <w:pPr>
        <w:rPr>
          <w:noProof/>
        </w:rPr>
      </w:pPr>
      <w:r w:rsidRPr="0003774E">
        <w:rPr>
          <w:noProof/>
          <w:lang w:val="en-US"/>
        </w:rPr>
        <w:t xml:space="preserve">1. </w:t>
      </w:r>
      <w:r w:rsidRPr="0003774E">
        <w:rPr>
          <w:noProof/>
        </w:rPr>
        <w:t>Member States and the Union agencies shall start applying Articles 2</w:t>
      </w:r>
      <w:r w:rsidR="009858BD">
        <w:rPr>
          <w:noProof/>
        </w:rPr>
        <w:t>1</w:t>
      </w:r>
      <w:r w:rsidRPr="0003774E">
        <w:rPr>
          <w:noProof/>
        </w:rPr>
        <w:t xml:space="preserve"> to 2</w:t>
      </w:r>
      <w:r w:rsidR="009858BD">
        <w:rPr>
          <w:noProof/>
        </w:rPr>
        <w:t>4</w:t>
      </w:r>
      <w:r w:rsidRPr="0003774E">
        <w:rPr>
          <w:noProof/>
        </w:rPr>
        <w:t>, Article 4</w:t>
      </w:r>
      <w:r w:rsidR="009858BD">
        <w:rPr>
          <w:noProof/>
        </w:rPr>
        <w:t>7</w:t>
      </w:r>
      <w:r w:rsidRPr="0003774E">
        <w:rPr>
          <w:noProof/>
        </w:rPr>
        <w:t xml:space="preserve"> and Article </w:t>
      </w:r>
      <w:r w:rsidR="009858BD">
        <w:rPr>
          <w:noProof/>
        </w:rPr>
        <w:t>50</w:t>
      </w:r>
      <w:r w:rsidRPr="0003774E">
        <w:rPr>
          <w:noProof/>
        </w:rPr>
        <w:t xml:space="preserve">(6) from the date determined in accordance with Article </w:t>
      </w:r>
      <w:r w:rsidR="009858BD">
        <w:rPr>
          <w:noProof/>
        </w:rPr>
        <w:t>74</w:t>
      </w:r>
      <w:r w:rsidRPr="0003774E">
        <w:rPr>
          <w:noProof/>
        </w:rPr>
        <w:t xml:space="preserve">(1), the first subparagraph with the exception of Member States, which did not start using the router. </w:t>
      </w:r>
    </w:p>
    <w:p w14:paraId="3ED126E1" w14:textId="294EE9CC" w:rsidR="00E8740C" w:rsidRDefault="00503276" w:rsidP="007B1946">
      <w:pPr>
        <w:rPr>
          <w:noProof/>
        </w:rPr>
      </w:pPr>
      <w:r>
        <w:rPr>
          <w:noProof/>
        </w:rPr>
        <w:t xml:space="preserve">2. </w:t>
      </w:r>
      <w:r w:rsidRPr="0003774E">
        <w:rPr>
          <w:noProof/>
        </w:rPr>
        <w:t>Member States and the Union agencies shall start applying Articles 2</w:t>
      </w:r>
      <w:r w:rsidR="009858BD">
        <w:rPr>
          <w:noProof/>
        </w:rPr>
        <w:t>5</w:t>
      </w:r>
      <w:r w:rsidRPr="0003774E">
        <w:rPr>
          <w:noProof/>
        </w:rPr>
        <w:t xml:space="preserve"> to 2</w:t>
      </w:r>
      <w:r w:rsidR="009858BD">
        <w:rPr>
          <w:noProof/>
        </w:rPr>
        <w:t>8</w:t>
      </w:r>
      <w:r w:rsidRPr="0003774E">
        <w:rPr>
          <w:noProof/>
        </w:rPr>
        <w:t xml:space="preserve"> and Article </w:t>
      </w:r>
      <w:r w:rsidR="009858BD">
        <w:rPr>
          <w:noProof/>
        </w:rPr>
        <w:t>50</w:t>
      </w:r>
      <w:r w:rsidRPr="0003774E">
        <w:rPr>
          <w:noProof/>
        </w:rPr>
        <w:t xml:space="preserve">(4) from the date determined in accordance with Article </w:t>
      </w:r>
      <w:r w:rsidR="009858BD">
        <w:rPr>
          <w:noProof/>
        </w:rPr>
        <w:t>74</w:t>
      </w:r>
      <w:r w:rsidRPr="0003774E">
        <w:rPr>
          <w:noProof/>
        </w:rPr>
        <w:t>(2).</w:t>
      </w:r>
    </w:p>
    <w:p w14:paraId="466FA652" w14:textId="55610143" w:rsidR="00E8740C" w:rsidRDefault="00E8740C" w:rsidP="007B1946">
      <w:pPr>
        <w:rPr>
          <w:noProof/>
        </w:rPr>
      </w:pPr>
      <w:r>
        <w:rPr>
          <w:noProof/>
        </w:rPr>
        <w:t xml:space="preserve">3. </w:t>
      </w:r>
      <w:r w:rsidRPr="00D525B4">
        <w:rPr>
          <w:noProof/>
        </w:rPr>
        <w:t xml:space="preserve">Member States and the Union agencies shall start applying Article </w:t>
      </w:r>
      <w:r>
        <w:rPr>
          <w:noProof/>
        </w:rPr>
        <w:t>4</w:t>
      </w:r>
      <w:r w:rsidR="009858BD">
        <w:rPr>
          <w:noProof/>
        </w:rPr>
        <w:t>9</w:t>
      </w:r>
      <w:r>
        <w:rPr>
          <w:noProof/>
        </w:rPr>
        <w:t xml:space="preserve"> </w:t>
      </w:r>
      <w:r w:rsidRPr="00D525B4">
        <w:rPr>
          <w:noProof/>
        </w:rPr>
        <w:t xml:space="preserve">from the date determined in accordance with Article </w:t>
      </w:r>
      <w:r w:rsidR="009858BD">
        <w:rPr>
          <w:noProof/>
        </w:rPr>
        <w:t>74</w:t>
      </w:r>
      <w:r w:rsidRPr="00D525B4">
        <w:rPr>
          <w:noProof/>
        </w:rPr>
        <w:t>(</w:t>
      </w:r>
      <w:r>
        <w:rPr>
          <w:noProof/>
        </w:rPr>
        <w:t>3</w:t>
      </w:r>
      <w:r w:rsidRPr="00D525B4">
        <w:rPr>
          <w:noProof/>
        </w:rPr>
        <w:t>).</w:t>
      </w:r>
    </w:p>
    <w:p w14:paraId="057A50D8" w14:textId="4E2B93E8" w:rsidR="009754DB" w:rsidRPr="00E8740C" w:rsidRDefault="009754DB" w:rsidP="007B1946">
      <w:pPr>
        <w:rPr>
          <w:noProof/>
        </w:rPr>
      </w:pPr>
      <w:r>
        <w:rPr>
          <w:noProof/>
        </w:rPr>
        <w:t xml:space="preserve">4. </w:t>
      </w:r>
      <w:r w:rsidRPr="00D525B4">
        <w:rPr>
          <w:noProof/>
        </w:rPr>
        <w:t xml:space="preserve">Member States and the Union agencies shall start applying Article </w:t>
      </w:r>
      <w:r>
        <w:rPr>
          <w:noProof/>
        </w:rPr>
        <w:t>50(1), (2), (3), (5) and (7)</w:t>
      </w:r>
      <w:r w:rsidRPr="00D525B4">
        <w:rPr>
          <w:noProof/>
        </w:rPr>
        <w:t xml:space="preserve"> from the date determined in accordance with Article </w:t>
      </w:r>
      <w:r>
        <w:rPr>
          <w:noProof/>
        </w:rPr>
        <w:t>74</w:t>
      </w:r>
      <w:r w:rsidRPr="00D525B4">
        <w:rPr>
          <w:noProof/>
        </w:rPr>
        <w:t>(</w:t>
      </w:r>
      <w:r>
        <w:rPr>
          <w:noProof/>
        </w:rPr>
        <w:t>4</w:t>
      </w:r>
      <w:r w:rsidRPr="00D525B4">
        <w:rPr>
          <w:noProof/>
        </w:rPr>
        <w:t>).</w:t>
      </w:r>
    </w:p>
    <w:p w14:paraId="553E8846" w14:textId="47A6F1F0" w:rsidR="00FB55F0" w:rsidRPr="009F56E6" w:rsidRDefault="00FB55F0" w:rsidP="00FB55F0">
      <w:pPr>
        <w:pStyle w:val="Titrearticle"/>
        <w:rPr>
          <w:noProof/>
        </w:rPr>
      </w:pPr>
      <w:r w:rsidRPr="009F56E6">
        <w:rPr>
          <w:noProof/>
        </w:rPr>
        <w:t xml:space="preserve">Article </w:t>
      </w:r>
      <w:r w:rsidR="00847EC8" w:rsidRPr="009F56E6">
        <w:rPr>
          <w:noProof/>
        </w:rPr>
        <w:t>7</w:t>
      </w:r>
      <w:r w:rsidR="00E15E51">
        <w:rPr>
          <w:noProof/>
        </w:rPr>
        <w:t>6</w:t>
      </w:r>
    </w:p>
    <w:p w14:paraId="5AFEC4D0" w14:textId="1EEA9C09" w:rsidR="00FB55F0" w:rsidRPr="009F56E6" w:rsidRDefault="00244958" w:rsidP="00FB55F0">
      <w:pPr>
        <w:jc w:val="center"/>
        <w:rPr>
          <w:b/>
          <w:noProof/>
        </w:rPr>
      </w:pPr>
      <w:r w:rsidRPr="009F56E6">
        <w:rPr>
          <w:b/>
          <w:noProof/>
        </w:rPr>
        <w:t>Committee procedure</w:t>
      </w:r>
    </w:p>
    <w:p w14:paraId="7EF64863" w14:textId="2A3F0473" w:rsidR="00815D1E" w:rsidRPr="009F56E6" w:rsidRDefault="00092C0B" w:rsidP="00FB55F0">
      <w:pPr>
        <w:rPr>
          <w:noProof/>
        </w:rPr>
      </w:pPr>
      <w:r w:rsidRPr="009F56E6">
        <w:rPr>
          <w:noProof/>
        </w:rPr>
        <w:t>1.</w:t>
      </w:r>
      <w:r w:rsidR="00815D1E" w:rsidRPr="009F56E6">
        <w:rPr>
          <w:noProof/>
        </w:rPr>
        <w:t xml:space="preserve"> </w:t>
      </w:r>
      <w:r w:rsidRPr="009F56E6">
        <w:rPr>
          <w:noProof/>
        </w:rPr>
        <w:t xml:space="preserve">The Commission shall be assisted by a committee. That committee shall be a committee within the meaning of Regulation (EU) No 182/2011. </w:t>
      </w:r>
    </w:p>
    <w:p w14:paraId="7AD1422A" w14:textId="0AEFCE4E" w:rsidR="00FB55F0" w:rsidRPr="009F56E6" w:rsidRDefault="00092C0B" w:rsidP="00FB55F0">
      <w:pPr>
        <w:rPr>
          <w:noProof/>
        </w:rPr>
      </w:pPr>
      <w:r w:rsidRPr="009F56E6">
        <w:rPr>
          <w:noProof/>
        </w:rPr>
        <w:t>2.</w:t>
      </w:r>
      <w:r w:rsidR="00815D1E" w:rsidRPr="009F56E6">
        <w:rPr>
          <w:noProof/>
        </w:rPr>
        <w:t xml:space="preserve"> </w:t>
      </w:r>
      <w:r w:rsidRPr="009F56E6">
        <w:rPr>
          <w:noProof/>
        </w:rPr>
        <w:t>Where reference is made to this paragraph, Article 5 of Regulation (EU) No 182/2011 shall apply. Where the committee delivers no opinion, the Commission shall not adopt the draft implementing act and Article 5(4)</w:t>
      </w:r>
      <w:r w:rsidR="00503276">
        <w:rPr>
          <w:noProof/>
        </w:rPr>
        <w:t>,</w:t>
      </w:r>
      <w:r w:rsidR="00503276" w:rsidRPr="009F56E6">
        <w:rPr>
          <w:noProof/>
        </w:rPr>
        <w:t xml:space="preserve"> the third subparagraph</w:t>
      </w:r>
      <w:r w:rsidR="00503276">
        <w:rPr>
          <w:noProof/>
        </w:rPr>
        <w:t>,</w:t>
      </w:r>
      <w:r w:rsidR="00503276" w:rsidRPr="009F56E6">
        <w:rPr>
          <w:noProof/>
        </w:rPr>
        <w:t xml:space="preserve"> </w:t>
      </w:r>
      <w:r w:rsidRPr="009F56E6">
        <w:rPr>
          <w:noProof/>
        </w:rPr>
        <w:t>of Regulation (EU) No 182/2011 shall apply.</w:t>
      </w:r>
    </w:p>
    <w:p w14:paraId="2C4FA988" w14:textId="2CCA47E6" w:rsidR="00FB55F0" w:rsidRPr="009F56E6" w:rsidRDefault="00FB55F0" w:rsidP="00FB55F0">
      <w:pPr>
        <w:pStyle w:val="Titrearticle"/>
        <w:rPr>
          <w:noProof/>
        </w:rPr>
      </w:pPr>
      <w:r w:rsidRPr="009F56E6">
        <w:rPr>
          <w:noProof/>
        </w:rPr>
        <w:t xml:space="preserve">Article </w:t>
      </w:r>
      <w:r w:rsidR="00847EC8" w:rsidRPr="009F56E6">
        <w:rPr>
          <w:noProof/>
        </w:rPr>
        <w:t>7</w:t>
      </w:r>
      <w:r w:rsidR="00E15E51">
        <w:rPr>
          <w:noProof/>
        </w:rPr>
        <w:t>7</w:t>
      </w:r>
    </w:p>
    <w:p w14:paraId="6E0651EB" w14:textId="77777777" w:rsidR="00DE4498" w:rsidRPr="009F56E6" w:rsidRDefault="00DE4498" w:rsidP="00DE4498">
      <w:pPr>
        <w:jc w:val="center"/>
        <w:rPr>
          <w:b/>
          <w:noProof/>
        </w:rPr>
      </w:pPr>
      <w:r w:rsidRPr="009F56E6">
        <w:rPr>
          <w:b/>
          <w:noProof/>
        </w:rPr>
        <w:t>Advisory group</w:t>
      </w:r>
    </w:p>
    <w:p w14:paraId="45767DC1" w14:textId="4018B459" w:rsidR="00071E93" w:rsidRPr="005A04A2" w:rsidRDefault="00036990" w:rsidP="00FB55F0">
      <w:pPr>
        <w:rPr>
          <w:noProof/>
        </w:rPr>
      </w:pPr>
      <w:r w:rsidRPr="005A04A2">
        <w:rPr>
          <w:noProof/>
        </w:rPr>
        <w:t>The responsibilities of eu-LISA’s Interoperability Advisory Group shall be extended to cover the router. That Interoperability Advisory Group shall provide eu-LISA with expertise related to the router in particular in the context of the preparation of its annual work programme and its annual activity report.</w:t>
      </w:r>
    </w:p>
    <w:p w14:paraId="38D468CC" w14:textId="673519EB" w:rsidR="00071E93" w:rsidRPr="009F56E6" w:rsidRDefault="00071E93" w:rsidP="00071E93">
      <w:pPr>
        <w:jc w:val="center"/>
        <w:rPr>
          <w:i/>
          <w:noProof/>
        </w:rPr>
      </w:pPr>
      <w:r w:rsidRPr="009F56E6">
        <w:rPr>
          <w:i/>
          <w:noProof/>
        </w:rPr>
        <w:t>Article </w:t>
      </w:r>
      <w:r w:rsidR="00847EC8" w:rsidRPr="009F56E6">
        <w:rPr>
          <w:i/>
          <w:noProof/>
        </w:rPr>
        <w:t>7</w:t>
      </w:r>
      <w:r w:rsidR="00E15E51">
        <w:rPr>
          <w:i/>
          <w:noProof/>
        </w:rPr>
        <w:t>8</w:t>
      </w:r>
    </w:p>
    <w:p w14:paraId="42D4AAD6" w14:textId="77777777" w:rsidR="00AD6D1D" w:rsidRPr="009F56E6" w:rsidRDefault="00AD6D1D" w:rsidP="00AD6D1D">
      <w:pPr>
        <w:jc w:val="center"/>
        <w:rPr>
          <w:b/>
          <w:noProof/>
        </w:rPr>
      </w:pPr>
      <w:r w:rsidRPr="009F56E6">
        <w:rPr>
          <w:b/>
          <w:noProof/>
        </w:rPr>
        <w:t>Practical handbook</w:t>
      </w:r>
    </w:p>
    <w:p w14:paraId="65418D16" w14:textId="1A091C59" w:rsidR="00071E93" w:rsidRPr="009F56E6" w:rsidRDefault="00071E93" w:rsidP="00FB55F0">
      <w:pPr>
        <w:rPr>
          <w:noProof/>
        </w:rPr>
      </w:pPr>
      <w:r w:rsidRPr="009F56E6">
        <w:rPr>
          <w:noProof/>
        </w:rPr>
        <w:t xml:space="preserve">The Commission shall, in close cooperation with the Member States, </w:t>
      </w:r>
      <w:r w:rsidR="00FD5726" w:rsidRPr="009F56E6">
        <w:rPr>
          <w:noProof/>
        </w:rPr>
        <w:t xml:space="preserve">Europol and </w:t>
      </w:r>
      <w:r w:rsidRPr="009F56E6">
        <w:rPr>
          <w:noProof/>
        </w:rPr>
        <w:t>eu-LISA, make available a practical handbook for the impl</w:t>
      </w:r>
      <w:r w:rsidR="004201CF" w:rsidRPr="009F56E6">
        <w:rPr>
          <w:noProof/>
        </w:rPr>
        <w:t xml:space="preserve">ementation and management of this </w:t>
      </w:r>
      <w:r w:rsidR="00AD6D1D" w:rsidRPr="009F56E6">
        <w:rPr>
          <w:noProof/>
        </w:rPr>
        <w:t>Regulation</w:t>
      </w:r>
      <w:r w:rsidRPr="009F56E6">
        <w:rPr>
          <w:noProof/>
        </w:rPr>
        <w:t>. The practical handbook shall provide technical and operational guidelines, recommendations and best practices. The Commission shall adopt the practical handbook in the form of a recommendation.</w:t>
      </w:r>
    </w:p>
    <w:p w14:paraId="37F87AD2" w14:textId="7B3044A1" w:rsidR="00464F34" w:rsidRPr="009F56E6" w:rsidRDefault="00464F34" w:rsidP="00464F34">
      <w:pPr>
        <w:pStyle w:val="Titrearticle"/>
        <w:rPr>
          <w:noProof/>
        </w:rPr>
      </w:pPr>
      <w:r w:rsidRPr="009F56E6">
        <w:rPr>
          <w:noProof/>
        </w:rPr>
        <w:t xml:space="preserve">Article </w:t>
      </w:r>
      <w:r w:rsidR="00EF5DDE" w:rsidRPr="009F56E6">
        <w:rPr>
          <w:noProof/>
        </w:rPr>
        <w:t>7</w:t>
      </w:r>
      <w:r w:rsidR="00E15E51">
        <w:rPr>
          <w:noProof/>
        </w:rPr>
        <w:t>9</w:t>
      </w:r>
    </w:p>
    <w:p w14:paraId="528C9AB0" w14:textId="7B166820" w:rsidR="00464F34" w:rsidRPr="009F56E6" w:rsidRDefault="00464F34" w:rsidP="00464F34">
      <w:pPr>
        <w:jc w:val="center"/>
        <w:rPr>
          <w:b/>
          <w:noProof/>
        </w:rPr>
      </w:pPr>
      <w:r w:rsidRPr="009F56E6">
        <w:rPr>
          <w:b/>
          <w:noProof/>
        </w:rPr>
        <w:t>Monitoring and evaluation</w:t>
      </w:r>
    </w:p>
    <w:p w14:paraId="22FFEE52" w14:textId="73AA122B" w:rsidR="00157A3D" w:rsidRPr="009F56E6" w:rsidRDefault="00157A3D" w:rsidP="007B4046">
      <w:pPr>
        <w:rPr>
          <w:noProof/>
        </w:rPr>
      </w:pPr>
      <w:r w:rsidRPr="009F56E6">
        <w:rPr>
          <w:noProof/>
        </w:rPr>
        <w:t>1</w:t>
      </w:r>
      <w:r w:rsidR="00CD2034" w:rsidRPr="009F56E6">
        <w:rPr>
          <w:noProof/>
        </w:rPr>
        <w:t>.</w:t>
      </w:r>
      <w:r w:rsidRPr="009F56E6">
        <w:rPr>
          <w:noProof/>
        </w:rPr>
        <w:t xml:space="preserve"> eu-LISA and Europol shall, respectively, ensure that procedures are in place to monitor the development of the router and </w:t>
      </w:r>
      <w:r w:rsidR="00F51E4A" w:rsidRPr="009F56E6">
        <w:rPr>
          <w:noProof/>
        </w:rPr>
        <w:t xml:space="preserve">of </w:t>
      </w:r>
      <w:r w:rsidRPr="009F56E6">
        <w:rPr>
          <w:noProof/>
        </w:rPr>
        <w:t xml:space="preserve">EPRIS in light of objectives relating to planning and costs and to monitor the functioning of the router and </w:t>
      </w:r>
      <w:r w:rsidR="00F51E4A" w:rsidRPr="009F56E6">
        <w:rPr>
          <w:noProof/>
        </w:rPr>
        <w:t xml:space="preserve">of </w:t>
      </w:r>
      <w:r w:rsidRPr="009F56E6">
        <w:rPr>
          <w:noProof/>
        </w:rPr>
        <w:t>EPRIS in light of objectives relating to the technical output, cost-effectiveness, security and quality of service.</w:t>
      </w:r>
    </w:p>
    <w:p w14:paraId="4F6682D9" w14:textId="06D8CA9A" w:rsidR="00157A3D" w:rsidRPr="009F56E6" w:rsidRDefault="00CD2034" w:rsidP="007B4046">
      <w:pPr>
        <w:rPr>
          <w:noProof/>
        </w:rPr>
      </w:pPr>
      <w:r w:rsidRPr="009F56E6">
        <w:rPr>
          <w:noProof/>
        </w:rPr>
        <w:t>2. </w:t>
      </w:r>
      <w:r w:rsidR="00157A3D" w:rsidRPr="009F56E6">
        <w:rPr>
          <w:noProof/>
        </w:rPr>
        <w:t>By [</w:t>
      </w:r>
      <w:r w:rsidR="00157A3D" w:rsidRPr="0003774E">
        <w:rPr>
          <w:i/>
          <w:noProof/>
        </w:rPr>
        <w:t xml:space="preserve">one year after </w:t>
      </w:r>
      <w:r w:rsidR="00503276" w:rsidRPr="0003774E">
        <w:rPr>
          <w:i/>
          <w:noProof/>
        </w:rPr>
        <w:t xml:space="preserve">entry into force </w:t>
      </w:r>
      <w:r w:rsidR="00157A3D" w:rsidRPr="0003774E">
        <w:rPr>
          <w:i/>
          <w:noProof/>
        </w:rPr>
        <w:t xml:space="preserve">of </w:t>
      </w:r>
      <w:r w:rsidR="00503276" w:rsidRPr="0003774E">
        <w:rPr>
          <w:i/>
          <w:noProof/>
        </w:rPr>
        <w:t>this</w:t>
      </w:r>
      <w:r w:rsidR="00157A3D" w:rsidRPr="0003774E">
        <w:rPr>
          <w:i/>
          <w:noProof/>
        </w:rPr>
        <w:t xml:space="preserve"> Regulation</w:t>
      </w:r>
      <w:r w:rsidR="00157A3D" w:rsidRPr="009F56E6">
        <w:rPr>
          <w:noProof/>
        </w:rPr>
        <w:t xml:space="preserve">] and every year thereafter during the development phase of the router, eu-LISA shall respectively submit a report to the European Parliament and to the Council on the state of play of the development of the router. That report shall contain detailed information about the costs incurred and information as to any risks which may impact the overall costs to be borne by the general budget of the Union in accordance with Article </w:t>
      </w:r>
      <w:r w:rsidR="009858BD">
        <w:rPr>
          <w:noProof/>
        </w:rPr>
        <w:t>72</w:t>
      </w:r>
      <w:r w:rsidR="00157A3D" w:rsidRPr="009F56E6">
        <w:rPr>
          <w:noProof/>
        </w:rPr>
        <w:t>.</w:t>
      </w:r>
    </w:p>
    <w:p w14:paraId="48C2E192" w14:textId="725B33B3" w:rsidR="00157A3D" w:rsidRPr="009F56E6" w:rsidRDefault="00157A3D" w:rsidP="00157A3D">
      <w:pPr>
        <w:rPr>
          <w:noProof/>
        </w:rPr>
      </w:pPr>
      <w:r w:rsidRPr="009F56E6">
        <w:rPr>
          <w:noProof/>
        </w:rPr>
        <w:t>Once the development of the router is finalised, eu-LISA shall submit a report to the European Parliament and to the Council explaining in detail how the objectives, in particular relating to planning and costs, were achieved as well as justifying any divergences.</w:t>
      </w:r>
    </w:p>
    <w:p w14:paraId="2AB6AE7A" w14:textId="7DAACE4D" w:rsidR="00157A3D" w:rsidRPr="009F56E6" w:rsidRDefault="00157A3D" w:rsidP="007B4046">
      <w:pPr>
        <w:rPr>
          <w:noProof/>
        </w:rPr>
      </w:pPr>
      <w:r w:rsidRPr="009F56E6">
        <w:rPr>
          <w:noProof/>
        </w:rPr>
        <w:t>3. By [</w:t>
      </w:r>
      <w:r w:rsidRPr="0003774E">
        <w:rPr>
          <w:i/>
          <w:noProof/>
        </w:rPr>
        <w:t xml:space="preserve">one year after </w:t>
      </w:r>
      <w:r w:rsidR="00503276" w:rsidRPr="0003774E">
        <w:rPr>
          <w:i/>
          <w:noProof/>
        </w:rPr>
        <w:t xml:space="preserve">entry into force </w:t>
      </w:r>
      <w:r w:rsidRPr="0003774E">
        <w:rPr>
          <w:i/>
          <w:noProof/>
        </w:rPr>
        <w:t xml:space="preserve">of </w:t>
      </w:r>
      <w:r w:rsidR="00503276" w:rsidRPr="0003774E">
        <w:rPr>
          <w:i/>
          <w:noProof/>
        </w:rPr>
        <w:t>this</w:t>
      </w:r>
      <w:r w:rsidRPr="0003774E">
        <w:rPr>
          <w:i/>
          <w:noProof/>
        </w:rPr>
        <w:t xml:space="preserve"> Regulation</w:t>
      </w:r>
      <w:r w:rsidRPr="009F56E6">
        <w:rPr>
          <w:noProof/>
        </w:rPr>
        <w:t xml:space="preserve">] and every year thereafter during the development phase of EPRIS, Europol shall submit a report to the European Parliament and to the Council on the state of preparation for the implementation of this Regulation and on the state of play of the development of EPRIS including detailed information about the costs incurred and information as to any risks which may impact the overall costs to be borne by the general budget of the Union in accordance with Article </w:t>
      </w:r>
      <w:r w:rsidR="009858BD">
        <w:rPr>
          <w:noProof/>
        </w:rPr>
        <w:t>72</w:t>
      </w:r>
      <w:r w:rsidRPr="009F56E6">
        <w:rPr>
          <w:noProof/>
        </w:rPr>
        <w:t>.</w:t>
      </w:r>
    </w:p>
    <w:p w14:paraId="21DF5F20" w14:textId="22324865" w:rsidR="00157A3D" w:rsidRPr="009F56E6" w:rsidRDefault="00157A3D" w:rsidP="00157A3D">
      <w:pPr>
        <w:rPr>
          <w:noProof/>
        </w:rPr>
      </w:pPr>
      <w:r w:rsidRPr="009F56E6">
        <w:rPr>
          <w:noProof/>
        </w:rPr>
        <w:t>Once the development of EPRIS is finalised, Europol shall submit a report to the European Parliament and to the Council explaining in detail how the objectives, in particular relating to planning and costs, were achieved as well as justifying any divergences.</w:t>
      </w:r>
    </w:p>
    <w:p w14:paraId="4C47C61A" w14:textId="29A587F0" w:rsidR="00157A3D" w:rsidRPr="009F56E6" w:rsidRDefault="00157A3D" w:rsidP="007B4046">
      <w:pPr>
        <w:rPr>
          <w:noProof/>
        </w:rPr>
      </w:pPr>
      <w:r w:rsidRPr="009F56E6">
        <w:rPr>
          <w:noProof/>
        </w:rPr>
        <w:t>4. For the purposes of technical maintenance, eu-LISA and Europol shall have access to the necessary information relating to the data processing operations performed in the router and EPRIS respectively.</w:t>
      </w:r>
    </w:p>
    <w:p w14:paraId="7887C1F6" w14:textId="4B90F852" w:rsidR="00157A3D" w:rsidRPr="009F56E6" w:rsidRDefault="00F51E4A" w:rsidP="007B4046">
      <w:pPr>
        <w:rPr>
          <w:noProof/>
        </w:rPr>
      </w:pPr>
      <w:r w:rsidRPr="009F56E6">
        <w:rPr>
          <w:noProof/>
        </w:rPr>
        <w:t>5.</w:t>
      </w:r>
      <w:r w:rsidR="00157A3D" w:rsidRPr="009F56E6">
        <w:rPr>
          <w:noProof/>
        </w:rPr>
        <w:t xml:space="preserve"> Two years </w:t>
      </w:r>
      <w:r w:rsidR="00AD6D1D" w:rsidRPr="009F56E6">
        <w:rPr>
          <w:noProof/>
        </w:rPr>
        <w:t xml:space="preserve">after the start of operations of the router </w:t>
      </w:r>
      <w:r w:rsidR="00157A3D" w:rsidRPr="009F56E6">
        <w:rPr>
          <w:noProof/>
        </w:rPr>
        <w:t>and every two years thereafter, eu-LISA shall submit to the European Parliament, to the Council and to the Commission a report on the technical functioning of the router, including the security thereof.</w:t>
      </w:r>
    </w:p>
    <w:p w14:paraId="73ABDA2D" w14:textId="44B2E404" w:rsidR="00157A3D" w:rsidRPr="009F56E6" w:rsidRDefault="00F51E4A" w:rsidP="00157A3D">
      <w:pPr>
        <w:rPr>
          <w:noProof/>
        </w:rPr>
      </w:pPr>
      <w:r w:rsidRPr="009F56E6">
        <w:rPr>
          <w:noProof/>
        </w:rPr>
        <w:t>6.</w:t>
      </w:r>
      <w:r w:rsidR="00157A3D" w:rsidRPr="009F56E6">
        <w:rPr>
          <w:noProof/>
        </w:rPr>
        <w:t xml:space="preserve"> Two years after the start of operations of EPRIS and every two years thereafter, Europol shall submit to the European Parliament, to the Council and to the Commission a report on the technical functioning of </w:t>
      </w:r>
      <w:r w:rsidRPr="009F56E6">
        <w:rPr>
          <w:noProof/>
        </w:rPr>
        <w:t>EPRIS</w:t>
      </w:r>
      <w:r w:rsidR="00157A3D" w:rsidRPr="009F56E6">
        <w:rPr>
          <w:noProof/>
        </w:rPr>
        <w:t>, including the security thereof.</w:t>
      </w:r>
    </w:p>
    <w:p w14:paraId="106F67F9" w14:textId="5CC7F91B" w:rsidR="00157A3D" w:rsidRPr="009F56E6" w:rsidRDefault="00F51E4A" w:rsidP="00157A3D">
      <w:pPr>
        <w:rPr>
          <w:noProof/>
        </w:rPr>
      </w:pPr>
      <w:r w:rsidRPr="009F56E6">
        <w:rPr>
          <w:noProof/>
        </w:rPr>
        <w:t>7</w:t>
      </w:r>
      <w:r w:rsidR="00157A3D" w:rsidRPr="009F56E6">
        <w:rPr>
          <w:noProof/>
        </w:rPr>
        <w:t xml:space="preserve">. </w:t>
      </w:r>
      <w:r w:rsidR="00847A53" w:rsidRPr="009F56E6">
        <w:rPr>
          <w:noProof/>
        </w:rPr>
        <w:t xml:space="preserve">Three years after the start of operations of </w:t>
      </w:r>
      <w:r w:rsidRPr="009F56E6">
        <w:rPr>
          <w:noProof/>
        </w:rPr>
        <w:t>the router</w:t>
      </w:r>
      <w:r w:rsidR="00503276">
        <w:rPr>
          <w:noProof/>
        </w:rPr>
        <w:t xml:space="preserve"> and</w:t>
      </w:r>
      <w:r w:rsidR="00503276" w:rsidRPr="009F56E6">
        <w:rPr>
          <w:noProof/>
        </w:rPr>
        <w:t xml:space="preserve"> </w:t>
      </w:r>
      <w:r w:rsidRPr="009F56E6">
        <w:rPr>
          <w:noProof/>
        </w:rPr>
        <w:t xml:space="preserve">EPRIS as referred to in Article </w:t>
      </w:r>
      <w:r w:rsidR="009858BD">
        <w:rPr>
          <w:noProof/>
        </w:rPr>
        <w:t>74</w:t>
      </w:r>
      <w:r w:rsidR="00847A53" w:rsidRPr="009F56E6">
        <w:rPr>
          <w:noProof/>
        </w:rPr>
        <w:t xml:space="preserve"> and every four years thereafter,</w:t>
      </w:r>
      <w:r w:rsidR="00157A3D" w:rsidRPr="009F56E6">
        <w:rPr>
          <w:noProof/>
        </w:rPr>
        <w:t xml:space="preserve"> the Commission shall produce an overall evaluation of </w:t>
      </w:r>
      <w:r w:rsidR="00DE5E70" w:rsidRPr="009F56E6">
        <w:rPr>
          <w:noProof/>
        </w:rPr>
        <w:t>Prüm II</w:t>
      </w:r>
      <w:r w:rsidR="00157A3D" w:rsidRPr="009F56E6">
        <w:rPr>
          <w:noProof/>
        </w:rPr>
        <w:t>, including:</w:t>
      </w:r>
    </w:p>
    <w:p w14:paraId="7E47AED6" w14:textId="331F3A6E" w:rsidR="00157A3D" w:rsidRPr="009F56E6" w:rsidRDefault="00C304BF" w:rsidP="00C304BF">
      <w:pPr>
        <w:pStyle w:val="Point0"/>
        <w:rPr>
          <w:noProof/>
        </w:rPr>
      </w:pPr>
      <w:r w:rsidRPr="00C304BF">
        <w:t>(a)</w:t>
      </w:r>
      <w:r w:rsidRPr="00C304BF">
        <w:tab/>
      </w:r>
      <w:r w:rsidR="00157A3D" w:rsidRPr="009F56E6">
        <w:rPr>
          <w:noProof/>
        </w:rPr>
        <w:t>an assessment of the application of this Regulation;</w:t>
      </w:r>
    </w:p>
    <w:p w14:paraId="4639B4BE" w14:textId="1F0F904A" w:rsidR="00157A3D" w:rsidRPr="009F56E6" w:rsidRDefault="00C304BF" w:rsidP="00C304BF">
      <w:pPr>
        <w:pStyle w:val="Point0"/>
        <w:rPr>
          <w:noProof/>
        </w:rPr>
      </w:pPr>
      <w:r w:rsidRPr="00C304BF">
        <w:t>(b)</w:t>
      </w:r>
      <w:r w:rsidRPr="00C304BF">
        <w:tab/>
      </w:r>
      <w:r w:rsidR="00157A3D" w:rsidRPr="009F56E6">
        <w:rPr>
          <w:noProof/>
        </w:rPr>
        <w:t>an examination of the results achieved against the objectives of this Regulation and its impact on fu</w:t>
      </w:r>
      <w:r w:rsidR="00847A53" w:rsidRPr="009F56E6">
        <w:rPr>
          <w:noProof/>
        </w:rPr>
        <w:t>ndamental rights</w:t>
      </w:r>
      <w:r w:rsidR="00157A3D" w:rsidRPr="009F56E6">
        <w:rPr>
          <w:noProof/>
        </w:rPr>
        <w:t>;</w:t>
      </w:r>
    </w:p>
    <w:p w14:paraId="40A542D1" w14:textId="7AF18887" w:rsidR="00157A3D" w:rsidRPr="009F56E6" w:rsidRDefault="00C304BF" w:rsidP="00C304BF">
      <w:pPr>
        <w:pStyle w:val="Point0"/>
        <w:rPr>
          <w:noProof/>
        </w:rPr>
      </w:pPr>
      <w:r w:rsidRPr="00C304BF">
        <w:t>(c)</w:t>
      </w:r>
      <w:r w:rsidRPr="00C304BF">
        <w:tab/>
      </w:r>
      <w:r w:rsidR="00DE5E70" w:rsidRPr="009F56E6">
        <w:rPr>
          <w:noProof/>
        </w:rPr>
        <w:t>the impact, effectiveness and efficiency of Prüm II performance and its working practices in light of its objectives, mandate and tasks</w:t>
      </w:r>
      <w:r w:rsidR="00157A3D" w:rsidRPr="009F56E6">
        <w:rPr>
          <w:noProof/>
        </w:rPr>
        <w:t>;</w:t>
      </w:r>
    </w:p>
    <w:p w14:paraId="31F6CF3D" w14:textId="55A375F8" w:rsidR="00157A3D" w:rsidRPr="009F56E6" w:rsidRDefault="00C304BF" w:rsidP="00C304BF">
      <w:pPr>
        <w:pStyle w:val="Point0"/>
        <w:rPr>
          <w:noProof/>
        </w:rPr>
      </w:pPr>
      <w:r w:rsidRPr="00C304BF">
        <w:t>(d)</w:t>
      </w:r>
      <w:r w:rsidRPr="00C304BF">
        <w:tab/>
      </w:r>
      <w:r w:rsidR="00157A3D" w:rsidRPr="009F56E6">
        <w:rPr>
          <w:noProof/>
        </w:rPr>
        <w:t xml:space="preserve">an assessment of the security of </w:t>
      </w:r>
      <w:r w:rsidR="00DE5E70" w:rsidRPr="009F56E6">
        <w:rPr>
          <w:noProof/>
        </w:rPr>
        <w:t>Prüm II.</w:t>
      </w:r>
    </w:p>
    <w:p w14:paraId="36CB8A6C" w14:textId="77777777" w:rsidR="00157A3D" w:rsidRPr="009F56E6" w:rsidRDefault="00157A3D" w:rsidP="007B4046">
      <w:pPr>
        <w:rPr>
          <w:noProof/>
        </w:rPr>
      </w:pPr>
      <w:r w:rsidRPr="009F56E6">
        <w:rPr>
          <w:noProof/>
        </w:rPr>
        <w:t>The Commission shall transmit the evaluation report to the European Parliament, the Council, the European Data Protection Supervisor and the European Agency for Fundamental Rights.</w:t>
      </w:r>
    </w:p>
    <w:p w14:paraId="398A3411" w14:textId="133AAE9D" w:rsidR="00157A3D" w:rsidRPr="009F56E6" w:rsidRDefault="00F51E4A" w:rsidP="007B4046">
      <w:pPr>
        <w:rPr>
          <w:noProof/>
        </w:rPr>
      </w:pPr>
      <w:r w:rsidRPr="009F56E6">
        <w:rPr>
          <w:noProof/>
        </w:rPr>
        <w:t>8</w:t>
      </w:r>
      <w:r w:rsidR="00DE5E70" w:rsidRPr="009F56E6">
        <w:rPr>
          <w:noProof/>
        </w:rPr>
        <w:t xml:space="preserve">. </w:t>
      </w:r>
      <w:r w:rsidR="00157A3D" w:rsidRPr="009F56E6">
        <w:rPr>
          <w:noProof/>
        </w:rPr>
        <w:t>The Member States and</w:t>
      </w:r>
      <w:r w:rsidR="00DE5E70" w:rsidRPr="009F56E6">
        <w:rPr>
          <w:noProof/>
        </w:rPr>
        <w:t xml:space="preserve"> Europol shall provide eu-LISA </w:t>
      </w:r>
      <w:r w:rsidR="00157A3D" w:rsidRPr="009F56E6">
        <w:rPr>
          <w:noProof/>
        </w:rPr>
        <w:t xml:space="preserve">and the Commission with the information necessary to draft the reports referred to in paragraphs </w:t>
      </w:r>
      <w:r w:rsidRPr="00E951DA">
        <w:rPr>
          <w:noProof/>
        </w:rPr>
        <w:t>2</w:t>
      </w:r>
      <w:r w:rsidR="00DE5E70" w:rsidRPr="00E951DA">
        <w:rPr>
          <w:noProof/>
        </w:rPr>
        <w:t xml:space="preserve"> </w:t>
      </w:r>
      <w:r w:rsidR="00DE5E70" w:rsidRPr="009F56E6">
        <w:rPr>
          <w:noProof/>
        </w:rPr>
        <w:t xml:space="preserve">and </w:t>
      </w:r>
      <w:r w:rsidRPr="00E951DA">
        <w:rPr>
          <w:noProof/>
        </w:rPr>
        <w:t>5</w:t>
      </w:r>
      <w:r w:rsidR="00792DF5" w:rsidRPr="009F56E6">
        <w:rPr>
          <w:noProof/>
        </w:rPr>
        <w:t>.</w:t>
      </w:r>
      <w:r w:rsidR="00157A3D" w:rsidRPr="009F56E6">
        <w:rPr>
          <w:noProof/>
        </w:rPr>
        <w:t xml:space="preserve"> This information shall not jeopardise working methods or include information that reveals sources, staff members or investigations of the designated authorities.</w:t>
      </w:r>
    </w:p>
    <w:p w14:paraId="4A2DF7BF" w14:textId="398306B2" w:rsidR="00AE3403" w:rsidRPr="009F56E6" w:rsidRDefault="00F51E4A" w:rsidP="007B4046">
      <w:pPr>
        <w:rPr>
          <w:noProof/>
        </w:rPr>
      </w:pPr>
      <w:r w:rsidRPr="009F56E6">
        <w:rPr>
          <w:noProof/>
        </w:rPr>
        <w:t>9</w:t>
      </w:r>
      <w:r w:rsidR="00CD2034" w:rsidRPr="009F56E6">
        <w:rPr>
          <w:noProof/>
        </w:rPr>
        <w:t>. </w:t>
      </w:r>
      <w:r w:rsidR="00DE5E70" w:rsidRPr="009F56E6">
        <w:rPr>
          <w:noProof/>
        </w:rPr>
        <w:t xml:space="preserve">The Member States shall provide Europol and the Commission with the information necessary to draft the reports referred to in paragraphs </w:t>
      </w:r>
      <w:r w:rsidRPr="00E951DA">
        <w:rPr>
          <w:noProof/>
        </w:rPr>
        <w:t>3</w:t>
      </w:r>
      <w:r w:rsidR="00DE5E70" w:rsidRPr="009F56E6">
        <w:rPr>
          <w:noProof/>
        </w:rPr>
        <w:t xml:space="preserve"> and </w:t>
      </w:r>
      <w:r w:rsidRPr="00E951DA">
        <w:rPr>
          <w:noProof/>
        </w:rPr>
        <w:t>6</w:t>
      </w:r>
      <w:r w:rsidR="00DE5E70" w:rsidRPr="009F56E6">
        <w:rPr>
          <w:noProof/>
        </w:rPr>
        <w:t>. This information shall not jeopardise working methods or include information that reveals sources, staff members or investigations of the designated authorities.</w:t>
      </w:r>
    </w:p>
    <w:p w14:paraId="128CA61E" w14:textId="49BFB2CD" w:rsidR="001E4695" w:rsidRPr="009F56E6" w:rsidRDefault="00077623" w:rsidP="007B4046">
      <w:pPr>
        <w:rPr>
          <w:noProof/>
        </w:rPr>
      </w:pPr>
      <w:r w:rsidRPr="009F56E6">
        <w:rPr>
          <w:noProof/>
        </w:rPr>
        <w:t>10.</w:t>
      </w:r>
      <w:r w:rsidR="00157A3D" w:rsidRPr="009F56E6">
        <w:rPr>
          <w:noProof/>
        </w:rPr>
        <w:t> </w:t>
      </w:r>
      <w:r w:rsidR="005C2A75">
        <w:rPr>
          <w:noProof/>
        </w:rPr>
        <w:t xml:space="preserve">Member States, </w:t>
      </w:r>
      <w:r w:rsidR="00157A3D" w:rsidRPr="009F56E6">
        <w:rPr>
          <w:noProof/>
        </w:rPr>
        <w:t xml:space="preserve">eu-LISA and </w:t>
      </w:r>
      <w:r w:rsidR="00DE5E70" w:rsidRPr="009F56E6">
        <w:rPr>
          <w:noProof/>
        </w:rPr>
        <w:t>Europol</w:t>
      </w:r>
      <w:r w:rsidR="00157A3D" w:rsidRPr="009F56E6">
        <w:rPr>
          <w:noProof/>
        </w:rPr>
        <w:t xml:space="preserve"> shall provide the Commission with the information necessary to produce the evaluations referred to in paragraph </w:t>
      </w:r>
      <w:r w:rsidR="00F51E4A" w:rsidRPr="00E951DA">
        <w:rPr>
          <w:noProof/>
        </w:rPr>
        <w:t>7</w:t>
      </w:r>
      <w:r w:rsidR="00157A3D" w:rsidRPr="009F56E6">
        <w:rPr>
          <w:noProof/>
        </w:rPr>
        <w:t>.</w:t>
      </w:r>
      <w:r w:rsidR="005C2A75">
        <w:rPr>
          <w:noProof/>
        </w:rPr>
        <w:t xml:space="preserve"> Member States shall also provide the Commission with </w:t>
      </w:r>
      <w:r w:rsidR="005C2A75" w:rsidRPr="009F56E6">
        <w:rPr>
          <w:noProof/>
        </w:rPr>
        <w:t>the number of confirmed matches against each Member State’s database per category of data</w:t>
      </w:r>
      <w:r w:rsidR="005C2A75">
        <w:rPr>
          <w:noProof/>
        </w:rPr>
        <w:t>.</w:t>
      </w:r>
    </w:p>
    <w:p w14:paraId="1EBE2176" w14:textId="5A6E4259" w:rsidR="00E70ABC" w:rsidRPr="009F56E6" w:rsidRDefault="003E431F" w:rsidP="00EA43B8">
      <w:pPr>
        <w:pStyle w:val="Titrearticle"/>
        <w:rPr>
          <w:noProof/>
        </w:rPr>
      </w:pPr>
      <w:r w:rsidRPr="009F56E6">
        <w:rPr>
          <w:noProof/>
        </w:rPr>
        <w:t xml:space="preserve">Article </w:t>
      </w:r>
      <w:r w:rsidR="00E15E51">
        <w:rPr>
          <w:noProof/>
        </w:rPr>
        <w:t>80</w:t>
      </w:r>
    </w:p>
    <w:p w14:paraId="49CD336D" w14:textId="0A4C7BFB" w:rsidR="003E431F" w:rsidRPr="009F56E6" w:rsidRDefault="003E431F" w:rsidP="003E431F">
      <w:pPr>
        <w:jc w:val="center"/>
        <w:rPr>
          <w:b/>
          <w:noProof/>
        </w:rPr>
      </w:pPr>
      <w:r w:rsidRPr="009F56E6">
        <w:rPr>
          <w:b/>
          <w:noProof/>
        </w:rPr>
        <w:t>Entry into force and applicability</w:t>
      </w:r>
    </w:p>
    <w:p w14:paraId="7DDE03E8" w14:textId="63FA5D82" w:rsidR="00AA1455" w:rsidRPr="009F56E6" w:rsidRDefault="00E70ABC" w:rsidP="00EA43B8">
      <w:pPr>
        <w:rPr>
          <w:noProof/>
        </w:rPr>
      </w:pPr>
      <w:r w:rsidRPr="009F56E6">
        <w:rPr>
          <w:noProof/>
        </w:rPr>
        <w:t>This Regulation shall en</w:t>
      </w:r>
      <w:r w:rsidR="00AA1455" w:rsidRPr="009F56E6">
        <w:rPr>
          <w:noProof/>
        </w:rPr>
        <w:t>ter into force on the</w:t>
      </w:r>
      <w:r w:rsidRPr="009F56E6">
        <w:rPr>
          <w:noProof/>
        </w:rPr>
        <w:t xml:space="preserve"> </w:t>
      </w:r>
      <w:r w:rsidR="00AA1455" w:rsidRPr="009F56E6">
        <w:rPr>
          <w:noProof/>
        </w:rPr>
        <w:t xml:space="preserve">twentieth </w:t>
      </w:r>
      <w:r w:rsidRPr="009F56E6">
        <w:rPr>
          <w:noProof/>
        </w:rPr>
        <w:t xml:space="preserve">day following that of its publication in the </w:t>
      </w:r>
      <w:r w:rsidRPr="009F56E6">
        <w:rPr>
          <w:i/>
          <w:noProof/>
        </w:rPr>
        <w:t>Official Journal of the European Union</w:t>
      </w:r>
      <w:r w:rsidRPr="009F56E6">
        <w:rPr>
          <w:noProof/>
        </w:rPr>
        <w:t>.</w:t>
      </w:r>
    </w:p>
    <w:p w14:paraId="1111DB38" w14:textId="09439D65" w:rsidR="00E70ABC" w:rsidRPr="009F56E6" w:rsidRDefault="00E70ABC" w:rsidP="000026AB">
      <w:pPr>
        <w:rPr>
          <w:noProof/>
        </w:rPr>
      </w:pPr>
      <w:r w:rsidRPr="009F56E6">
        <w:rPr>
          <w:noProof/>
        </w:rPr>
        <w:t xml:space="preserve">This Regulation shall be binding in its entirety and directly applicable in </w:t>
      </w:r>
      <w:r w:rsidR="00740E9A">
        <w:rPr>
          <w:noProof/>
        </w:rPr>
        <w:t xml:space="preserve">the </w:t>
      </w:r>
      <w:r w:rsidR="00740E9A" w:rsidRPr="009F56E6">
        <w:rPr>
          <w:noProof/>
        </w:rPr>
        <w:t>Member States</w:t>
      </w:r>
      <w:r w:rsidR="00740E9A">
        <w:rPr>
          <w:noProof/>
        </w:rPr>
        <w:t xml:space="preserve"> in accordance with the Treaties</w:t>
      </w:r>
      <w:r w:rsidR="00740E9A" w:rsidRPr="009F56E6">
        <w:rPr>
          <w:noProof/>
        </w:rPr>
        <w:t>.</w:t>
      </w:r>
    </w:p>
    <w:p w14:paraId="3E463C60" w14:textId="3D30077B" w:rsidR="001D65AB" w:rsidRDefault="001F6614" w:rsidP="000F7023">
      <w:pPr>
        <w:pStyle w:val="Fait"/>
        <w:rPr>
          <w:noProof/>
        </w:rPr>
      </w:pPr>
      <w:r w:rsidRPr="001F6614">
        <w:t>Done at Brussels,</w:t>
      </w:r>
    </w:p>
    <w:p w14:paraId="1C7B4EE0" w14:textId="77777777" w:rsidR="00687E29" w:rsidRDefault="00687E29" w:rsidP="000F7023">
      <w:pPr>
        <w:pStyle w:val="Institutionquisigne"/>
        <w:rPr>
          <w:noProof/>
        </w:rPr>
      </w:pPr>
      <w:r w:rsidRPr="00394A8F">
        <w:rPr>
          <w:noProof/>
        </w:rPr>
        <w:t>For the European Parliament</w:t>
      </w:r>
      <w:r w:rsidRPr="00394A8F">
        <w:rPr>
          <w:noProof/>
        </w:rPr>
        <w:tab/>
        <w:t>For the Council</w:t>
      </w:r>
    </w:p>
    <w:p w14:paraId="723EED66" w14:textId="44102DCF" w:rsidR="000920DC" w:rsidRPr="000920DC" w:rsidRDefault="00687E29" w:rsidP="00687E29">
      <w:pPr>
        <w:pStyle w:val="Personnequisigne"/>
        <w:rPr>
          <w:noProof/>
        </w:rPr>
      </w:pPr>
      <w:r w:rsidRPr="00394A8F">
        <w:rPr>
          <w:noProof/>
        </w:rPr>
        <w:t>The President</w:t>
      </w:r>
      <w:r w:rsidRPr="00394A8F">
        <w:rPr>
          <w:noProof/>
        </w:rPr>
        <w:tab/>
        <w:t>The President</w:t>
      </w:r>
    </w:p>
    <w:p w14:paraId="0817DC9A" w14:textId="4716D9D9" w:rsidR="005E782D" w:rsidRDefault="005E782D" w:rsidP="004643ED">
      <w:pPr>
        <w:spacing w:before="0" w:after="200" w:line="276" w:lineRule="auto"/>
        <w:jc w:val="left"/>
        <w:rPr>
          <w:noProof/>
        </w:rPr>
        <w:sectPr w:rsidR="005E782D" w:rsidSect="009D02A3">
          <w:footerReference w:type="default" r:id="rId13"/>
          <w:footerReference w:type="first" r:id="rId14"/>
          <w:pgSz w:w="11906" w:h="16838" w:code="9"/>
          <w:pgMar w:top="794" w:right="907" w:bottom="851" w:left="1361" w:header="510" w:footer="454" w:gutter="0"/>
          <w:cols w:space="720"/>
          <w:docGrid w:linePitch="326"/>
        </w:sectPr>
      </w:pPr>
    </w:p>
    <w:p w14:paraId="75E4B050" w14:textId="73147310" w:rsidR="009D4357" w:rsidRPr="00434957" w:rsidRDefault="009D4357" w:rsidP="006C58FA">
      <w:pPr>
        <w:pStyle w:val="Fichefinanciretitre"/>
        <w:rPr>
          <w:noProof/>
        </w:rPr>
      </w:pPr>
      <w:r w:rsidRPr="00434957">
        <w:rPr>
          <w:noProof/>
        </w:rPr>
        <w:t>LEGISLATIVE FINANCIAL STATEMENT</w:t>
      </w:r>
    </w:p>
    <w:p w14:paraId="614CF235" w14:textId="01F9D85A" w:rsidR="009D4357" w:rsidRPr="00434957" w:rsidRDefault="009D4357" w:rsidP="009D4357">
      <w:pPr>
        <w:keepNext/>
        <w:tabs>
          <w:tab w:val="left" w:pos="850"/>
        </w:tabs>
        <w:spacing w:before="360"/>
        <w:ind w:left="850" w:hanging="850"/>
        <w:outlineLvl w:val="0"/>
        <w:rPr>
          <w:b/>
          <w:smallCaps/>
          <w:noProof/>
          <w:szCs w:val="24"/>
          <w:lang w:eastAsia="en-GB"/>
        </w:rPr>
      </w:pPr>
      <w:r w:rsidRPr="00434957">
        <w:rPr>
          <w:b/>
          <w:smallCaps/>
          <w:noProof/>
        </w:rPr>
        <w:t>1.</w:t>
      </w:r>
      <w:r w:rsidRPr="00434957">
        <w:rPr>
          <w:b/>
          <w:smallCaps/>
          <w:noProof/>
        </w:rPr>
        <w:tab/>
      </w:r>
      <w:r w:rsidRPr="00434957">
        <w:rPr>
          <w:b/>
          <w:smallCaps/>
          <w:noProof/>
          <w:lang w:eastAsia="en-GB"/>
        </w:rPr>
        <w:t xml:space="preserve">FRAMEWORK OF THE LEGISLATIVE INITIATIVE </w:t>
      </w:r>
    </w:p>
    <w:p w14:paraId="5FF4D2EA" w14:textId="77777777" w:rsidR="009D4357" w:rsidRPr="00434957" w:rsidRDefault="009D4357" w:rsidP="009D4357">
      <w:pPr>
        <w:keepNext/>
        <w:tabs>
          <w:tab w:val="left" w:pos="850"/>
        </w:tabs>
        <w:ind w:left="850" w:hanging="850"/>
        <w:outlineLvl w:val="1"/>
        <w:rPr>
          <w:b/>
          <w:noProof/>
          <w:szCs w:val="24"/>
          <w:lang w:eastAsia="en-GB"/>
        </w:rPr>
      </w:pPr>
      <w:r w:rsidRPr="00434957">
        <w:rPr>
          <w:b/>
          <w:noProof/>
        </w:rPr>
        <w:t>1.1.</w:t>
      </w:r>
      <w:r w:rsidRPr="00434957">
        <w:rPr>
          <w:b/>
          <w:noProof/>
        </w:rPr>
        <w:tab/>
      </w:r>
      <w:r w:rsidRPr="00434957">
        <w:rPr>
          <w:b/>
          <w:noProof/>
          <w:lang w:eastAsia="en-GB"/>
        </w:rPr>
        <w:t xml:space="preserve">Title of the </w:t>
      </w:r>
      <w:r w:rsidRPr="00434957">
        <w:rPr>
          <w:rFonts w:eastAsia="Arial Unicode MS"/>
          <w:b/>
          <w:noProof/>
        </w:rPr>
        <w:t xml:space="preserve">legislative </w:t>
      </w:r>
      <w:r w:rsidRPr="00434957">
        <w:rPr>
          <w:b/>
          <w:noProof/>
          <w:lang w:eastAsia="en-GB"/>
        </w:rPr>
        <w:t>initiative</w:t>
      </w:r>
    </w:p>
    <w:p w14:paraId="4E4C37EB" w14:textId="5EB8C3FD"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noProof/>
          <w:lang w:eastAsia="en-GB"/>
        </w:rPr>
        <w:t xml:space="preserve">Proposal for a Regulation of the European Parliament and of the Council </w:t>
      </w:r>
      <w:r w:rsidR="0036303D" w:rsidRPr="0036303D">
        <w:rPr>
          <w:noProof/>
          <w:lang w:eastAsia="en-GB"/>
        </w:rPr>
        <w:t>on automated data exchange for police cooperation (“Prüm II”), amending Council Decisions 2008/615/JHA and 2008/616/JHA and Regulations (EU) 2018/1726, Regulation (EU) 2019/817 and Regulation (EU) 2019/818 of the European Parliament and of the Council</w:t>
      </w:r>
    </w:p>
    <w:p w14:paraId="5D0A1533" w14:textId="77777777" w:rsidR="009D4357" w:rsidRPr="00434957" w:rsidRDefault="009D4357" w:rsidP="009D4357">
      <w:pPr>
        <w:keepNext/>
        <w:tabs>
          <w:tab w:val="left" w:pos="850"/>
        </w:tabs>
        <w:ind w:left="850" w:hanging="850"/>
        <w:outlineLvl w:val="1"/>
        <w:rPr>
          <w:b/>
          <w:noProof/>
          <w:szCs w:val="24"/>
          <w:lang w:eastAsia="en-GB"/>
        </w:rPr>
      </w:pPr>
      <w:r w:rsidRPr="00434957">
        <w:rPr>
          <w:b/>
          <w:noProof/>
        </w:rPr>
        <w:t>1.2.</w:t>
      </w:r>
      <w:r w:rsidRPr="00434957">
        <w:rPr>
          <w:b/>
          <w:noProof/>
        </w:rPr>
        <w:tab/>
      </w:r>
      <w:r w:rsidRPr="00434957">
        <w:rPr>
          <w:b/>
          <w:noProof/>
          <w:lang w:eastAsia="en-GB"/>
        </w:rPr>
        <w:t>Policy area(s) concerned</w:t>
      </w:r>
    </w:p>
    <w:p w14:paraId="66DC35C5"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noProof/>
          <w:lang w:eastAsia="en-GB"/>
        </w:rPr>
        <w:t>Policy area: Home Affairs</w:t>
      </w:r>
    </w:p>
    <w:p w14:paraId="2907A427"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noProof/>
          <w:lang w:eastAsia="en-GB"/>
        </w:rPr>
        <w:t>Activity: Security</w:t>
      </w:r>
    </w:p>
    <w:p w14:paraId="253140FD" w14:textId="77777777" w:rsidR="009D4357" w:rsidRPr="00434957" w:rsidRDefault="009D4357" w:rsidP="009D4357">
      <w:pPr>
        <w:keepNext/>
        <w:tabs>
          <w:tab w:val="left" w:pos="850"/>
        </w:tabs>
        <w:ind w:left="850" w:hanging="850"/>
        <w:outlineLvl w:val="1"/>
        <w:rPr>
          <w:b/>
          <w:noProof/>
          <w:szCs w:val="24"/>
          <w:lang w:eastAsia="en-GB"/>
        </w:rPr>
      </w:pPr>
      <w:r w:rsidRPr="00434957">
        <w:rPr>
          <w:b/>
          <w:noProof/>
        </w:rPr>
        <w:t>1.3.</w:t>
      </w:r>
      <w:r w:rsidRPr="00434957">
        <w:rPr>
          <w:b/>
          <w:noProof/>
        </w:rPr>
        <w:tab/>
      </w:r>
      <w:r w:rsidRPr="00434957">
        <w:rPr>
          <w:b/>
          <w:noProof/>
          <w:lang w:eastAsia="en-GB"/>
        </w:rPr>
        <w:t xml:space="preserve">The proposal relates to </w:t>
      </w:r>
    </w:p>
    <w:p w14:paraId="6D96F510" w14:textId="77777777" w:rsidR="009D4357" w:rsidRPr="00434957" w:rsidRDefault="009D4357" w:rsidP="009D4357">
      <w:pPr>
        <w:ind w:left="850"/>
        <w:rPr>
          <w:b/>
          <w:noProof/>
          <w:lang w:eastAsia="en-GB"/>
        </w:rPr>
      </w:pPr>
      <w:r w:rsidRPr="00434957">
        <w:rPr>
          <w:noProof/>
          <w:lang w:eastAsia="en-GB"/>
        </w:rPr>
        <w:sym w:font="Wingdings" w:char="F0A8"/>
      </w:r>
      <w:r w:rsidRPr="00434957">
        <w:rPr>
          <w:b/>
          <w:i/>
          <w:noProof/>
          <w:lang w:eastAsia="en-GB"/>
        </w:rPr>
        <w:t xml:space="preserve"> </w:t>
      </w:r>
      <w:r w:rsidRPr="00434957">
        <w:rPr>
          <w:b/>
          <w:noProof/>
          <w:lang w:eastAsia="en-GB"/>
        </w:rPr>
        <w:t xml:space="preserve">a new action </w:t>
      </w:r>
    </w:p>
    <w:p w14:paraId="534447C5" w14:textId="77777777" w:rsidR="009D4357" w:rsidRPr="00434957" w:rsidRDefault="009D4357" w:rsidP="009D4357">
      <w:pPr>
        <w:ind w:left="850"/>
        <w:rPr>
          <w:noProof/>
          <w:lang w:eastAsia="en-GB"/>
        </w:rPr>
      </w:pPr>
      <w:r w:rsidRPr="00434957">
        <w:rPr>
          <w:noProof/>
          <w:lang w:eastAsia="en-GB"/>
        </w:rPr>
        <w:sym w:font="Wingdings" w:char="F0A8"/>
      </w:r>
      <w:r w:rsidRPr="00434957">
        <w:rPr>
          <w:i/>
          <w:noProof/>
          <w:lang w:eastAsia="en-GB"/>
        </w:rPr>
        <w:t xml:space="preserve"> </w:t>
      </w:r>
      <w:r w:rsidRPr="00434957">
        <w:rPr>
          <w:b/>
          <w:noProof/>
          <w:lang w:eastAsia="en-GB"/>
        </w:rPr>
        <w:t>a new action following a pilot project/preparatory action</w:t>
      </w:r>
      <w:r w:rsidRPr="005A04A2">
        <w:rPr>
          <w:rStyle w:val="FootnoteReference0"/>
          <w:noProof/>
        </w:rPr>
        <w:footnoteReference w:id="44"/>
      </w:r>
      <w:r w:rsidRPr="00434957">
        <w:rPr>
          <w:noProof/>
          <w:lang w:eastAsia="en-GB"/>
        </w:rPr>
        <w:t xml:space="preserve"> </w:t>
      </w:r>
    </w:p>
    <w:p w14:paraId="7D822C33" w14:textId="77777777" w:rsidR="009D4357" w:rsidRPr="00434957" w:rsidRDefault="009D4357" w:rsidP="009D4357">
      <w:pPr>
        <w:ind w:left="850"/>
        <w:rPr>
          <w:noProof/>
          <w:lang w:eastAsia="en-GB"/>
        </w:rPr>
      </w:pPr>
      <w:r w:rsidRPr="00434957">
        <w:rPr>
          <w:noProof/>
          <w:lang w:eastAsia="en-GB"/>
        </w:rPr>
        <w:sym w:font="Wingdings" w:char="F078"/>
      </w:r>
      <w:r w:rsidRPr="00434957">
        <w:rPr>
          <w:i/>
          <w:noProof/>
          <w:lang w:eastAsia="en-GB"/>
        </w:rPr>
        <w:t xml:space="preserve"> </w:t>
      </w:r>
      <w:r w:rsidRPr="00434957">
        <w:rPr>
          <w:b/>
          <w:noProof/>
          <w:lang w:eastAsia="en-GB"/>
        </w:rPr>
        <w:t>the extension of an existing action</w:t>
      </w:r>
      <w:r w:rsidRPr="00434957">
        <w:rPr>
          <w:noProof/>
          <w:lang w:eastAsia="en-GB"/>
        </w:rPr>
        <w:t xml:space="preserve"> </w:t>
      </w:r>
    </w:p>
    <w:p w14:paraId="05E6A65A" w14:textId="77777777" w:rsidR="009D4357" w:rsidRPr="00434957" w:rsidRDefault="009D4357" w:rsidP="009D4357">
      <w:pPr>
        <w:ind w:left="850"/>
        <w:rPr>
          <w:noProof/>
          <w:lang w:eastAsia="en-GB"/>
        </w:rPr>
      </w:pPr>
      <w:r w:rsidRPr="00434957">
        <w:rPr>
          <w:noProof/>
          <w:lang w:eastAsia="en-GB"/>
        </w:rPr>
        <w:sym w:font="Wingdings" w:char="F0A8"/>
      </w:r>
      <w:r w:rsidRPr="00434957">
        <w:rPr>
          <w:i/>
          <w:noProof/>
          <w:lang w:eastAsia="en-GB"/>
        </w:rPr>
        <w:t xml:space="preserve"> </w:t>
      </w:r>
      <w:r w:rsidRPr="00434957">
        <w:rPr>
          <w:b/>
          <w:noProof/>
          <w:lang w:eastAsia="en-GB"/>
        </w:rPr>
        <w:t>a merger of one or more</w:t>
      </w:r>
      <w:r w:rsidRPr="00434957">
        <w:rPr>
          <w:noProof/>
          <w:lang w:eastAsia="en-GB"/>
        </w:rPr>
        <w:t xml:space="preserve"> </w:t>
      </w:r>
      <w:r w:rsidRPr="00434957">
        <w:rPr>
          <w:b/>
          <w:noProof/>
          <w:lang w:eastAsia="en-GB"/>
        </w:rPr>
        <w:t>actions towards another/a new action</w:t>
      </w:r>
      <w:r w:rsidRPr="00434957">
        <w:rPr>
          <w:noProof/>
          <w:lang w:eastAsia="en-GB"/>
        </w:rPr>
        <w:t xml:space="preserve"> </w:t>
      </w:r>
    </w:p>
    <w:p w14:paraId="7C888E0D" w14:textId="77777777" w:rsidR="009D4357" w:rsidRPr="00434957" w:rsidRDefault="009D4357" w:rsidP="009D4357">
      <w:pPr>
        <w:keepNext/>
        <w:tabs>
          <w:tab w:val="left" w:pos="850"/>
        </w:tabs>
        <w:ind w:left="850" w:hanging="850"/>
        <w:outlineLvl w:val="1"/>
        <w:rPr>
          <w:b/>
          <w:noProof/>
          <w:szCs w:val="24"/>
          <w:lang w:eastAsia="en-GB"/>
        </w:rPr>
      </w:pPr>
      <w:r w:rsidRPr="00434957">
        <w:rPr>
          <w:b/>
          <w:noProof/>
        </w:rPr>
        <w:t>1.4.</w:t>
      </w:r>
      <w:r w:rsidRPr="00434957">
        <w:rPr>
          <w:b/>
          <w:noProof/>
        </w:rPr>
        <w:tab/>
      </w:r>
      <w:r w:rsidRPr="00434957">
        <w:rPr>
          <w:b/>
          <w:noProof/>
          <w:lang w:eastAsia="en-GB"/>
        </w:rPr>
        <w:t>Objective(s)</w:t>
      </w:r>
    </w:p>
    <w:p w14:paraId="1DBE943E" w14:textId="77777777" w:rsidR="009D4357" w:rsidRPr="00434957" w:rsidRDefault="009D4357" w:rsidP="009D4357">
      <w:pPr>
        <w:keepNext/>
        <w:tabs>
          <w:tab w:val="left" w:pos="850"/>
        </w:tabs>
        <w:ind w:left="850" w:hanging="850"/>
        <w:outlineLvl w:val="2"/>
        <w:rPr>
          <w:i/>
          <w:noProof/>
          <w:szCs w:val="24"/>
          <w:lang w:eastAsia="en-GB"/>
        </w:rPr>
      </w:pPr>
      <w:r w:rsidRPr="00434957">
        <w:rPr>
          <w:i/>
          <w:noProof/>
        </w:rPr>
        <w:t>1.4.1.</w:t>
      </w:r>
      <w:r w:rsidRPr="00434957">
        <w:rPr>
          <w:i/>
          <w:noProof/>
        </w:rPr>
        <w:tab/>
      </w:r>
      <w:r w:rsidRPr="00434957">
        <w:rPr>
          <w:i/>
          <w:noProof/>
          <w:lang w:eastAsia="en-GB"/>
        </w:rPr>
        <w:t xml:space="preserve">General objective(s) </w:t>
      </w:r>
    </w:p>
    <w:p w14:paraId="3349CA64" w14:textId="77777777" w:rsidR="009D4357" w:rsidRPr="00FE789B"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FE789B">
        <w:rPr>
          <w:noProof/>
          <w:lang w:eastAsia="en-GB"/>
        </w:rPr>
        <w:t>In response to pressing operational needs, and calls from the Council to consider revising the Prüm Decisions</w:t>
      </w:r>
      <w:r>
        <w:rPr>
          <w:rStyle w:val="FootnoteReference0"/>
          <w:noProof/>
          <w:lang w:eastAsia="en-GB"/>
        </w:rPr>
        <w:footnoteReference w:id="45"/>
      </w:r>
      <w:r w:rsidRPr="00FE789B">
        <w:rPr>
          <w:noProof/>
          <w:lang w:eastAsia="en-GB"/>
        </w:rPr>
        <w:t xml:space="preserve"> with a view to broadening their scope and to updating the necessary technical and legal requirements, this initiative is expected to strenghthen the automated data exchange under the Prüm framework to help Member States’ law enforcement authorities fighting crime. </w:t>
      </w:r>
    </w:p>
    <w:p w14:paraId="30E63D30" w14:textId="77777777" w:rsidR="009D4357" w:rsidRPr="00434957" w:rsidRDefault="009D4357" w:rsidP="009D4357">
      <w:pPr>
        <w:keepNext/>
        <w:tabs>
          <w:tab w:val="left" w:pos="850"/>
        </w:tabs>
        <w:ind w:left="850" w:hanging="850"/>
        <w:outlineLvl w:val="2"/>
        <w:rPr>
          <w:i/>
          <w:noProof/>
          <w:szCs w:val="24"/>
          <w:lang w:eastAsia="en-GB"/>
        </w:rPr>
      </w:pPr>
      <w:r w:rsidRPr="00434957">
        <w:rPr>
          <w:i/>
          <w:noProof/>
        </w:rPr>
        <w:t>1.4.2.</w:t>
      </w:r>
      <w:r w:rsidRPr="00434957">
        <w:rPr>
          <w:i/>
          <w:noProof/>
        </w:rPr>
        <w:tab/>
      </w:r>
      <w:r w:rsidRPr="00434957">
        <w:rPr>
          <w:i/>
          <w:noProof/>
          <w:lang w:eastAsia="en-GB"/>
        </w:rPr>
        <w:t xml:space="preserve">Specific objective(s) </w:t>
      </w:r>
    </w:p>
    <w:p w14:paraId="0BC632A2" w14:textId="77777777" w:rsidR="009D4357" w:rsidRPr="00FE789B"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w:t>
      </w:r>
      <w:r w:rsidRPr="00FE789B">
        <w:rPr>
          <w:noProof/>
          <w:lang w:eastAsia="en-GB"/>
        </w:rPr>
        <w:t>he initiative seeks to achieve the following objectives:</w:t>
      </w:r>
    </w:p>
    <w:p w14:paraId="4D911C4F" w14:textId="77777777" w:rsidR="009D4357" w:rsidRPr="00FE789B"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FE789B">
        <w:rPr>
          <w:noProof/>
          <w:lang w:eastAsia="en-GB"/>
        </w:rPr>
        <w:t>1)</w:t>
      </w:r>
      <w:r w:rsidRPr="00FE789B">
        <w:rPr>
          <w:noProof/>
          <w:lang w:eastAsia="en-GB"/>
        </w:rPr>
        <w:tab/>
      </w:r>
      <w:r w:rsidRPr="00AE521B">
        <w:rPr>
          <w:b/>
          <w:noProof/>
          <w:lang w:eastAsia="en-GB"/>
        </w:rPr>
        <w:t>Specific o</w:t>
      </w:r>
      <w:r w:rsidRPr="00FE789B">
        <w:rPr>
          <w:b/>
          <w:noProof/>
          <w:lang w:eastAsia="en-GB"/>
        </w:rPr>
        <w:t>bjective I:</w:t>
      </w:r>
      <w:r w:rsidRPr="00FE789B">
        <w:rPr>
          <w:noProof/>
          <w:lang w:eastAsia="en-GB"/>
        </w:rPr>
        <w:t xml:space="preserve"> Providing a technical solution for efficient automated exchange of data between EU law enforcement authorities to make them aware of relevant data that is available in the national database of another Member State; </w:t>
      </w:r>
    </w:p>
    <w:p w14:paraId="52F7EA06" w14:textId="77777777" w:rsidR="009D4357" w:rsidRPr="00FE789B"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FE789B">
        <w:rPr>
          <w:noProof/>
          <w:lang w:eastAsia="en-GB"/>
        </w:rPr>
        <w:t>2)</w:t>
      </w:r>
      <w:r w:rsidRPr="00FE789B">
        <w:rPr>
          <w:noProof/>
          <w:lang w:eastAsia="en-GB"/>
        </w:rPr>
        <w:tab/>
      </w:r>
      <w:r w:rsidRPr="00AE521B">
        <w:rPr>
          <w:b/>
          <w:noProof/>
          <w:lang w:eastAsia="en-GB"/>
        </w:rPr>
        <w:t>Specific o</w:t>
      </w:r>
      <w:r w:rsidRPr="00FE789B">
        <w:rPr>
          <w:b/>
          <w:noProof/>
          <w:lang w:eastAsia="en-GB"/>
        </w:rPr>
        <w:t>bjective II:</w:t>
      </w:r>
      <w:r w:rsidRPr="00FE789B">
        <w:rPr>
          <w:noProof/>
          <w:lang w:eastAsia="en-GB"/>
        </w:rPr>
        <w:t xml:space="preserve"> Ensuring that more relevant data (</w:t>
      </w:r>
      <w:r>
        <w:rPr>
          <w:noProof/>
          <w:lang w:eastAsia="en-GB"/>
        </w:rPr>
        <w:t>namely facial images and police records</w:t>
      </w:r>
      <w:r w:rsidRPr="00FE789B">
        <w:rPr>
          <w:noProof/>
          <w:lang w:eastAsia="en-GB"/>
        </w:rPr>
        <w:t>) from national databases in other Member States is available to all competent EU law enforcement authorities;</w:t>
      </w:r>
    </w:p>
    <w:p w14:paraId="0BD9D488" w14:textId="5265A474" w:rsidR="009D4357" w:rsidRPr="00FE789B"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FE789B">
        <w:rPr>
          <w:noProof/>
          <w:lang w:eastAsia="en-GB"/>
        </w:rPr>
        <w:t>3)</w:t>
      </w:r>
      <w:r w:rsidRPr="00FE789B">
        <w:rPr>
          <w:noProof/>
          <w:lang w:eastAsia="en-GB"/>
        </w:rPr>
        <w:tab/>
      </w:r>
      <w:r w:rsidRPr="00AE521B">
        <w:rPr>
          <w:b/>
          <w:noProof/>
          <w:lang w:eastAsia="en-GB"/>
        </w:rPr>
        <w:t>Specific o</w:t>
      </w:r>
      <w:r w:rsidRPr="00FE789B">
        <w:rPr>
          <w:b/>
          <w:noProof/>
          <w:lang w:eastAsia="en-GB"/>
        </w:rPr>
        <w:t>bjective III:</w:t>
      </w:r>
      <w:r w:rsidRPr="00FE789B">
        <w:rPr>
          <w:noProof/>
          <w:lang w:eastAsia="en-GB"/>
        </w:rPr>
        <w:t xml:space="preserve"> Ensuring that relevant data (in terms of sources of data) from Europol’s database is available to</w:t>
      </w:r>
      <w:r>
        <w:rPr>
          <w:noProof/>
          <w:lang w:eastAsia="en-GB"/>
        </w:rPr>
        <w:t xml:space="preserve"> national</w:t>
      </w:r>
      <w:r w:rsidRPr="00FE789B">
        <w:rPr>
          <w:noProof/>
          <w:lang w:eastAsia="en-GB"/>
        </w:rPr>
        <w:t xml:space="preserve"> law enforcement authorities</w:t>
      </w:r>
      <w:r w:rsidR="00EC4824">
        <w:rPr>
          <w:noProof/>
          <w:lang w:eastAsia="en-GB"/>
        </w:rPr>
        <w:t xml:space="preserve"> </w:t>
      </w:r>
      <w:r>
        <w:rPr>
          <w:noProof/>
          <w:lang w:eastAsia="en-GB"/>
        </w:rPr>
        <w:t>and that Europol uses its data to its full potential</w:t>
      </w:r>
      <w:r w:rsidRPr="00FE789B">
        <w:rPr>
          <w:noProof/>
          <w:lang w:eastAsia="en-GB"/>
        </w:rPr>
        <w:t>;</w:t>
      </w:r>
    </w:p>
    <w:p w14:paraId="28B6BECC" w14:textId="23FA7F99" w:rsidR="009D4357" w:rsidRPr="00434957" w:rsidRDefault="009D4357" w:rsidP="00006570">
      <w:pPr>
        <w:pBdr>
          <w:top w:val="single" w:sz="4" w:space="1" w:color="auto"/>
          <w:left w:val="single" w:sz="4" w:space="4" w:color="auto"/>
          <w:bottom w:val="single" w:sz="4" w:space="1" w:color="auto"/>
          <w:right w:val="single" w:sz="4" w:space="4" w:color="auto"/>
        </w:pBdr>
        <w:ind w:left="850"/>
        <w:rPr>
          <w:noProof/>
          <w:lang w:eastAsia="en-GB"/>
        </w:rPr>
      </w:pPr>
      <w:r w:rsidRPr="00FE789B">
        <w:rPr>
          <w:noProof/>
          <w:lang w:eastAsia="en-GB"/>
        </w:rPr>
        <w:t>4)</w:t>
      </w:r>
      <w:r w:rsidRPr="00FE789B">
        <w:rPr>
          <w:noProof/>
          <w:lang w:eastAsia="en-GB"/>
        </w:rPr>
        <w:tab/>
      </w:r>
      <w:r w:rsidRPr="00AE521B">
        <w:rPr>
          <w:b/>
          <w:noProof/>
          <w:lang w:eastAsia="en-GB"/>
        </w:rPr>
        <w:t>Specific o</w:t>
      </w:r>
      <w:r w:rsidRPr="00FE789B">
        <w:rPr>
          <w:b/>
          <w:noProof/>
          <w:lang w:eastAsia="en-GB"/>
        </w:rPr>
        <w:t>bjective IV:</w:t>
      </w:r>
      <w:r w:rsidRPr="00FE789B">
        <w:rPr>
          <w:noProof/>
          <w:lang w:eastAsia="en-GB"/>
        </w:rPr>
        <w:t xml:space="preserve"> Providing law enforcement authorities with efficient access to the actual data corresponding to a ‘hit’ that is available in the national database of another Member State or at Europol.</w:t>
      </w:r>
    </w:p>
    <w:p w14:paraId="05C24FC9" w14:textId="77777777" w:rsidR="009D4357" w:rsidRPr="00434957" w:rsidRDefault="009D4357" w:rsidP="009D4357">
      <w:pPr>
        <w:keepNext/>
        <w:tabs>
          <w:tab w:val="left" w:pos="850"/>
        </w:tabs>
        <w:ind w:left="850" w:hanging="850"/>
        <w:outlineLvl w:val="2"/>
        <w:rPr>
          <w:i/>
          <w:noProof/>
          <w:szCs w:val="24"/>
          <w:lang w:eastAsia="en-GB"/>
        </w:rPr>
      </w:pPr>
      <w:r w:rsidRPr="00434957">
        <w:rPr>
          <w:i/>
          <w:noProof/>
          <w:lang w:eastAsia="en-GB"/>
        </w:rPr>
        <w:br w:type="page"/>
      </w:r>
      <w:r w:rsidRPr="00434957">
        <w:rPr>
          <w:i/>
          <w:noProof/>
        </w:rPr>
        <w:t>1.4.3.</w:t>
      </w:r>
      <w:r w:rsidRPr="00434957">
        <w:rPr>
          <w:i/>
          <w:noProof/>
        </w:rPr>
        <w:tab/>
      </w:r>
      <w:r w:rsidRPr="00434957">
        <w:rPr>
          <w:i/>
          <w:noProof/>
          <w:lang w:eastAsia="en-GB"/>
        </w:rPr>
        <w:t>Expected result(s) and impact</w:t>
      </w:r>
    </w:p>
    <w:p w14:paraId="0A7B83ED" w14:textId="77777777" w:rsidR="009D4357" w:rsidRPr="00434957" w:rsidRDefault="009D4357" w:rsidP="009D4357">
      <w:pPr>
        <w:ind w:left="850"/>
        <w:rPr>
          <w:i/>
          <w:noProof/>
          <w:sz w:val="20"/>
          <w:lang w:eastAsia="en-GB"/>
        </w:rPr>
      </w:pPr>
      <w:r w:rsidRPr="00434957">
        <w:rPr>
          <w:i/>
          <w:noProof/>
          <w:sz w:val="20"/>
          <w:lang w:eastAsia="en-GB"/>
        </w:rPr>
        <w:t>Specify the effects which the legislative initiative should have on the beneficiaries/groups targeted.</w:t>
      </w:r>
    </w:p>
    <w:p w14:paraId="3F80CD86" w14:textId="77777777" w:rsidR="009D4357" w:rsidRPr="00AE521B"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AE521B">
        <w:rPr>
          <w:noProof/>
          <w:lang w:eastAsia="en-GB"/>
        </w:rPr>
        <w:t xml:space="preserve">The </w:t>
      </w:r>
      <w:r>
        <w:rPr>
          <w:noProof/>
          <w:lang w:eastAsia="en-GB"/>
        </w:rPr>
        <w:t>initiative</w:t>
      </w:r>
      <w:r w:rsidRPr="00AE521B">
        <w:rPr>
          <w:noProof/>
          <w:lang w:eastAsia="en-GB"/>
        </w:rPr>
        <w:t xml:space="preserve"> </w:t>
      </w:r>
      <w:r>
        <w:rPr>
          <w:noProof/>
          <w:lang w:eastAsia="en-GB"/>
        </w:rPr>
        <w:t>will</w:t>
      </w:r>
      <w:r w:rsidRPr="00AE521B">
        <w:rPr>
          <w:noProof/>
          <w:lang w:eastAsia="en-GB"/>
        </w:rPr>
        <w:t xml:space="preserve"> effectively</w:t>
      </w:r>
      <w:r>
        <w:rPr>
          <w:noProof/>
          <w:lang w:eastAsia="en-GB"/>
        </w:rPr>
        <w:t xml:space="preserve"> address</w:t>
      </w:r>
      <w:r w:rsidRPr="00AE521B">
        <w:rPr>
          <w:noProof/>
          <w:lang w:eastAsia="en-GB"/>
        </w:rPr>
        <w:t xml:space="preserve"> the identified problems and reinforce the current Prüm framework with targeted and strong additional capabilities to step up its support to Member States in reinforcing information exchange</w:t>
      </w:r>
      <w:r>
        <w:rPr>
          <w:noProof/>
          <w:lang w:eastAsia="en-GB"/>
        </w:rPr>
        <w:t>,</w:t>
      </w:r>
      <w:r w:rsidRPr="00AE521B">
        <w:rPr>
          <w:noProof/>
          <w:lang w:eastAsia="en-GB"/>
        </w:rPr>
        <w:t xml:space="preserve"> with the final objective of preventing and investigating criminal and terrorist offences, in full compliance with</w:t>
      </w:r>
      <w:r>
        <w:rPr>
          <w:noProof/>
          <w:lang w:eastAsia="en-GB"/>
        </w:rPr>
        <w:t xml:space="preserve"> </w:t>
      </w:r>
      <w:r w:rsidRPr="00AE521B">
        <w:rPr>
          <w:noProof/>
          <w:lang w:eastAsia="en-GB"/>
        </w:rPr>
        <w:t>fundamental rights.</w:t>
      </w:r>
    </w:p>
    <w:p w14:paraId="4B5970E2" w14:textId="77777777" w:rsidR="009D43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AE521B">
        <w:rPr>
          <w:noProof/>
          <w:lang w:eastAsia="en-GB"/>
        </w:rPr>
        <w:t xml:space="preserve">The ultimate beneficiaries of all preferred options are the </w:t>
      </w:r>
      <w:r w:rsidRPr="00AE521B">
        <w:rPr>
          <w:b/>
          <w:noProof/>
          <w:lang w:eastAsia="en-GB"/>
        </w:rPr>
        <w:t>citizens</w:t>
      </w:r>
      <w:r w:rsidRPr="00AE521B">
        <w:rPr>
          <w:noProof/>
          <w:lang w:eastAsia="en-GB"/>
        </w:rPr>
        <w:t xml:space="preserve">, who will directly and indirectly benefit from </w:t>
      </w:r>
      <w:r w:rsidRPr="00AE521B">
        <w:rPr>
          <w:b/>
          <w:noProof/>
          <w:lang w:eastAsia="en-GB"/>
        </w:rPr>
        <w:t>better crime fighting and lower crime rates</w:t>
      </w:r>
      <w:r w:rsidRPr="00AE521B">
        <w:rPr>
          <w:noProof/>
          <w:lang w:eastAsia="en-GB"/>
        </w:rPr>
        <w:t xml:space="preserve">. In terms of efficiency, the main beneficiaries are </w:t>
      </w:r>
      <w:r w:rsidRPr="00AE521B">
        <w:rPr>
          <w:b/>
          <w:noProof/>
          <w:lang w:eastAsia="en-GB"/>
        </w:rPr>
        <w:t>national law enforcement authorities</w:t>
      </w:r>
      <w:r w:rsidRPr="00AE521B">
        <w:rPr>
          <w:noProof/>
          <w:lang w:eastAsia="en-GB"/>
        </w:rPr>
        <w:t xml:space="preserve">. The </w:t>
      </w:r>
      <w:r>
        <w:rPr>
          <w:noProof/>
          <w:lang w:eastAsia="en-GB"/>
        </w:rPr>
        <w:t>initiative</w:t>
      </w:r>
      <w:r w:rsidRPr="00AE521B">
        <w:rPr>
          <w:noProof/>
          <w:lang w:eastAsia="en-GB"/>
        </w:rPr>
        <w:t xml:space="preserve"> provide</w:t>
      </w:r>
      <w:r>
        <w:rPr>
          <w:noProof/>
          <w:lang w:eastAsia="en-GB"/>
        </w:rPr>
        <w:t>s</w:t>
      </w:r>
      <w:r w:rsidRPr="00AE521B">
        <w:rPr>
          <w:noProof/>
          <w:lang w:eastAsia="en-GB"/>
        </w:rPr>
        <w:t xml:space="preserve"> for efficient solutions to challenges which would otherwise have to be addressed at higher costs or which would be less efficient.</w:t>
      </w:r>
    </w:p>
    <w:p w14:paraId="414C7AD3" w14:textId="77777777" w:rsidR="009D4357" w:rsidRPr="00434957" w:rsidRDefault="009D4357" w:rsidP="009D4357">
      <w:pPr>
        <w:keepNext/>
        <w:tabs>
          <w:tab w:val="left" w:pos="850"/>
        </w:tabs>
        <w:ind w:left="850" w:hanging="850"/>
        <w:outlineLvl w:val="2"/>
        <w:rPr>
          <w:i/>
          <w:noProof/>
          <w:szCs w:val="24"/>
          <w:lang w:eastAsia="en-GB"/>
        </w:rPr>
      </w:pPr>
      <w:r w:rsidRPr="00434957">
        <w:rPr>
          <w:i/>
          <w:noProof/>
        </w:rPr>
        <w:t>1.4.4.</w:t>
      </w:r>
      <w:r w:rsidRPr="00434957">
        <w:rPr>
          <w:i/>
          <w:noProof/>
        </w:rPr>
        <w:tab/>
      </w:r>
      <w:r w:rsidRPr="00434957">
        <w:rPr>
          <w:i/>
          <w:noProof/>
          <w:lang w:eastAsia="en-GB"/>
        </w:rPr>
        <w:t xml:space="preserve">Indicators of performance </w:t>
      </w:r>
    </w:p>
    <w:p w14:paraId="52AE528B" w14:textId="18D9477A" w:rsidR="009D4357" w:rsidRPr="00434957" w:rsidRDefault="009D4357" w:rsidP="00C72516">
      <w:pPr>
        <w:ind w:left="850"/>
        <w:rPr>
          <w:i/>
          <w:noProof/>
          <w:sz w:val="20"/>
          <w:lang w:eastAsia="en-GB"/>
        </w:rPr>
      </w:pPr>
      <w:r w:rsidRPr="00434957">
        <w:rPr>
          <w:i/>
          <w:noProof/>
          <w:sz w:val="20"/>
          <w:lang w:eastAsia="en-GB"/>
        </w:rPr>
        <w:t>Specify the indicators for monitoring progress and achievements.</w:t>
      </w:r>
    </w:p>
    <w:p w14:paraId="04A17E69" w14:textId="77777777" w:rsidR="009D4357" w:rsidRPr="00986964" w:rsidRDefault="009D4357" w:rsidP="009D4357">
      <w:pPr>
        <w:pBdr>
          <w:top w:val="single" w:sz="4" w:space="1" w:color="auto"/>
          <w:left w:val="single" w:sz="4" w:space="1" w:color="auto"/>
          <w:bottom w:val="single" w:sz="4" w:space="1" w:color="auto"/>
          <w:right w:val="single" w:sz="4" w:space="1" w:color="auto"/>
        </w:pBdr>
        <w:ind w:left="850"/>
        <w:rPr>
          <w:noProof/>
          <w:lang w:eastAsia="en-GB"/>
        </w:rPr>
      </w:pPr>
      <w:r w:rsidRPr="00986964">
        <w:rPr>
          <w:noProof/>
          <w:lang w:eastAsia="en-GB"/>
        </w:rPr>
        <w:t xml:space="preserve">The development of </w:t>
      </w:r>
      <w:r>
        <w:rPr>
          <w:noProof/>
          <w:lang w:eastAsia="en-GB"/>
        </w:rPr>
        <w:t>the router and EPRIS</w:t>
      </w:r>
      <w:r w:rsidRPr="00986964">
        <w:rPr>
          <w:noProof/>
          <w:lang w:eastAsia="en-GB"/>
        </w:rPr>
        <w:t xml:space="preserve"> will </w:t>
      </w:r>
      <w:r>
        <w:rPr>
          <w:noProof/>
          <w:lang w:eastAsia="en-GB"/>
        </w:rPr>
        <w:t>start</w:t>
      </w:r>
      <w:r w:rsidRPr="00986964">
        <w:rPr>
          <w:noProof/>
          <w:lang w:eastAsia="en-GB"/>
        </w:rPr>
        <w:t xml:space="preserve"> once the prerequisites are fulfilled i.e. the legal proposal is adopted by the co-legislators and the technical prerequisites fulfilled.</w:t>
      </w:r>
      <w:r>
        <w:rPr>
          <w:noProof/>
          <w:lang w:eastAsia="en-GB"/>
        </w:rPr>
        <w:t xml:space="preserve"> While the work on the router starts as a new project, the work on EPRIS should build on the current ADEP.EPRIS project.</w:t>
      </w:r>
    </w:p>
    <w:p w14:paraId="427B2270" w14:textId="77777777" w:rsidR="009D4357" w:rsidRPr="00986964" w:rsidRDefault="009D4357" w:rsidP="009D4357">
      <w:pPr>
        <w:pBdr>
          <w:top w:val="single" w:sz="4" w:space="1" w:color="auto"/>
          <w:left w:val="single" w:sz="4" w:space="1" w:color="auto"/>
          <w:bottom w:val="single" w:sz="4" w:space="1" w:color="auto"/>
          <w:right w:val="single" w:sz="4" w:space="1" w:color="auto"/>
        </w:pBdr>
        <w:ind w:left="850"/>
        <w:rPr>
          <w:noProof/>
          <w:lang w:eastAsia="en-GB"/>
        </w:rPr>
      </w:pPr>
      <w:r w:rsidRPr="00986964">
        <w:rPr>
          <w:noProof/>
          <w:lang w:eastAsia="en-GB"/>
        </w:rPr>
        <w:t>Specific objective: ready for operations by the target due date</w:t>
      </w:r>
    </w:p>
    <w:p w14:paraId="08E5078B" w14:textId="77777777" w:rsidR="009D4357" w:rsidRPr="00986964" w:rsidRDefault="009D4357" w:rsidP="009D4357">
      <w:pPr>
        <w:pBdr>
          <w:top w:val="single" w:sz="4" w:space="1" w:color="auto"/>
          <w:left w:val="single" w:sz="4" w:space="1" w:color="auto"/>
          <w:bottom w:val="single" w:sz="4" w:space="1" w:color="auto"/>
          <w:right w:val="single" w:sz="4" w:space="1" w:color="auto"/>
        </w:pBdr>
        <w:ind w:left="850"/>
        <w:rPr>
          <w:noProof/>
          <w:lang w:eastAsia="en-GB"/>
        </w:rPr>
      </w:pPr>
      <w:r w:rsidRPr="00986964">
        <w:rPr>
          <w:noProof/>
          <w:lang w:eastAsia="en-GB"/>
        </w:rPr>
        <w:t xml:space="preserve">By </w:t>
      </w:r>
      <w:r>
        <w:rPr>
          <w:noProof/>
          <w:lang w:eastAsia="en-GB"/>
        </w:rPr>
        <w:t>2023</w:t>
      </w:r>
      <w:r w:rsidRPr="00986964">
        <w:rPr>
          <w:noProof/>
          <w:lang w:eastAsia="en-GB"/>
        </w:rPr>
        <w:t>, the proposal is sent to the co-legislators for their adoption. The assumption is made that the adoption process will be completed during 20</w:t>
      </w:r>
      <w:r>
        <w:rPr>
          <w:noProof/>
          <w:lang w:eastAsia="en-GB"/>
        </w:rPr>
        <w:t>24</w:t>
      </w:r>
      <w:r w:rsidRPr="00986964">
        <w:rPr>
          <w:noProof/>
          <w:lang w:eastAsia="en-GB"/>
        </w:rPr>
        <w:t xml:space="preserve"> by analogy with the time taken for other proposals.</w:t>
      </w:r>
    </w:p>
    <w:p w14:paraId="555F25B4" w14:textId="77777777" w:rsidR="009D4357" w:rsidRDefault="009D4357" w:rsidP="009D4357">
      <w:pPr>
        <w:pBdr>
          <w:top w:val="single" w:sz="4" w:space="1" w:color="auto"/>
          <w:left w:val="single" w:sz="4" w:space="1" w:color="auto"/>
          <w:bottom w:val="single" w:sz="4" w:space="1" w:color="auto"/>
          <w:right w:val="single" w:sz="4" w:space="1" w:color="auto"/>
        </w:pBdr>
        <w:ind w:left="850"/>
        <w:rPr>
          <w:noProof/>
          <w:lang w:eastAsia="en-GB"/>
        </w:rPr>
      </w:pPr>
      <w:r w:rsidRPr="00986964">
        <w:rPr>
          <w:noProof/>
          <w:lang w:eastAsia="en-GB"/>
        </w:rPr>
        <w:t>Under th</w:t>
      </w:r>
      <w:r>
        <w:rPr>
          <w:noProof/>
          <w:lang w:eastAsia="en-GB"/>
        </w:rPr>
        <w:t>is</w:t>
      </w:r>
      <w:r w:rsidRPr="00986964">
        <w:rPr>
          <w:noProof/>
          <w:lang w:eastAsia="en-GB"/>
        </w:rPr>
        <w:t xml:space="preserve"> assumption, the start of the development period is set at the beginning of 20</w:t>
      </w:r>
      <w:r>
        <w:rPr>
          <w:noProof/>
          <w:lang w:eastAsia="en-GB"/>
        </w:rPr>
        <w:t>25</w:t>
      </w:r>
      <w:r w:rsidRPr="00986964">
        <w:rPr>
          <w:noProof/>
          <w:lang w:eastAsia="en-GB"/>
        </w:rPr>
        <w:t xml:space="preserve"> (= T0) in order to have a reference point from where durations are counted and not absolute dates. If adoption by co-legislators occurs at a later date, the schedule shifts accordingly. </w:t>
      </w:r>
    </w:p>
    <w:p w14:paraId="3E364BCC" w14:textId="77777777" w:rsidR="009D4357" w:rsidRDefault="009D4357" w:rsidP="009D4357">
      <w:pPr>
        <w:pBdr>
          <w:top w:val="single" w:sz="4" w:space="1" w:color="auto"/>
          <w:left w:val="single" w:sz="4" w:space="1" w:color="auto"/>
          <w:bottom w:val="single" w:sz="4" w:space="1" w:color="auto"/>
          <w:right w:val="single" w:sz="4" w:space="1" w:color="auto"/>
        </w:pBdr>
        <w:ind w:left="850"/>
        <w:rPr>
          <w:noProof/>
          <w:lang w:eastAsia="en-GB"/>
        </w:rPr>
      </w:pPr>
      <w:r>
        <w:rPr>
          <w:noProof/>
          <w:lang w:eastAsia="en-GB"/>
        </w:rPr>
        <w:t>The development of the router and EPRIS is assumed to take place during 2025 and 2026, with the start of operations planned in 2027.</w:t>
      </w:r>
    </w:p>
    <w:p w14:paraId="4406B00B" w14:textId="77777777" w:rsidR="009D4357" w:rsidRPr="00434957" w:rsidRDefault="009D4357" w:rsidP="009D4357">
      <w:pPr>
        <w:pBdr>
          <w:top w:val="single" w:sz="4" w:space="1" w:color="auto"/>
          <w:left w:val="single" w:sz="4" w:space="1" w:color="auto"/>
          <w:bottom w:val="single" w:sz="4" w:space="1" w:color="auto"/>
          <w:right w:val="single" w:sz="4" w:space="1" w:color="auto"/>
        </w:pBdr>
        <w:ind w:left="850"/>
        <w:rPr>
          <w:noProof/>
          <w:lang w:eastAsia="en-GB"/>
        </w:rPr>
      </w:pPr>
      <w:r w:rsidRPr="00434957">
        <w:rPr>
          <w:noProof/>
          <w:lang w:eastAsia="en-GB"/>
        </w:rPr>
        <w:t>The following main indicators will allow the monitoring of the implementation and performance of the specific objectives:</w:t>
      </w:r>
    </w:p>
    <w:p w14:paraId="4F9C7528" w14:textId="77777777" w:rsidR="009D4357" w:rsidRPr="00434957" w:rsidRDefault="009D4357" w:rsidP="009D4357">
      <w:pPr>
        <w:pBdr>
          <w:top w:val="single" w:sz="4" w:space="1" w:color="auto"/>
          <w:left w:val="single" w:sz="4" w:space="1" w:color="auto"/>
          <w:bottom w:val="single" w:sz="4" w:space="1" w:color="auto"/>
          <w:right w:val="single" w:sz="4" w:space="1" w:color="auto"/>
        </w:pBdr>
        <w:tabs>
          <w:tab w:val="left" w:pos="1701"/>
        </w:tabs>
        <w:ind w:left="850"/>
        <w:rPr>
          <w:noProof/>
          <w:u w:val="single"/>
          <w:lang w:eastAsia="en-GB"/>
        </w:rPr>
      </w:pPr>
      <w:r w:rsidRPr="00A871E0">
        <w:rPr>
          <w:b/>
          <w:noProof/>
          <w:lang w:eastAsia="en-GB"/>
        </w:rPr>
        <w:t>Specific</w:t>
      </w:r>
      <w:r w:rsidRPr="00434957">
        <w:rPr>
          <w:noProof/>
          <w:lang w:eastAsia="en-GB"/>
        </w:rPr>
        <w:t xml:space="preserve"> </w:t>
      </w:r>
      <w:r w:rsidRPr="00A871E0">
        <w:rPr>
          <w:b/>
          <w:noProof/>
          <w:lang w:eastAsia="en-GB"/>
        </w:rPr>
        <w:t>objective I</w:t>
      </w:r>
      <w:r w:rsidRPr="00434957">
        <w:rPr>
          <w:noProof/>
          <w:lang w:eastAsia="en-GB"/>
        </w:rPr>
        <w:t xml:space="preserve">: </w:t>
      </w:r>
      <w:r w:rsidRPr="00FE789B">
        <w:rPr>
          <w:noProof/>
          <w:lang w:eastAsia="en-GB"/>
        </w:rPr>
        <w:t>Providing a technical solution for efficient automated exchange of data</w:t>
      </w:r>
      <w:r w:rsidRPr="00434957">
        <w:rPr>
          <w:noProof/>
          <w:lang w:eastAsia="en-GB"/>
        </w:rPr>
        <w:t>.</w:t>
      </w:r>
    </w:p>
    <w:p w14:paraId="40474D3B" w14:textId="77777777" w:rsidR="009D4357" w:rsidRPr="00986964" w:rsidRDefault="009D4357" w:rsidP="009D4357">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sidRPr="00986964">
        <w:rPr>
          <w:noProof/>
          <w:lang w:eastAsia="en-GB"/>
        </w:rPr>
        <w:t xml:space="preserve">- The number of use cases executed (= number of </w:t>
      </w:r>
      <w:r>
        <w:rPr>
          <w:noProof/>
          <w:lang w:eastAsia="en-GB"/>
        </w:rPr>
        <w:t xml:space="preserve">requests for queries </w:t>
      </w:r>
      <w:r w:rsidRPr="00986964">
        <w:rPr>
          <w:noProof/>
          <w:lang w:eastAsia="en-GB"/>
        </w:rPr>
        <w:t xml:space="preserve">that can be handled by </w:t>
      </w:r>
      <w:r>
        <w:rPr>
          <w:noProof/>
          <w:lang w:eastAsia="en-GB"/>
        </w:rPr>
        <w:t>the router</w:t>
      </w:r>
      <w:r w:rsidRPr="00986964">
        <w:rPr>
          <w:noProof/>
          <w:lang w:eastAsia="en-GB"/>
        </w:rPr>
        <w:t>) per time period.</w:t>
      </w:r>
    </w:p>
    <w:p w14:paraId="0A6AB823" w14:textId="77777777" w:rsidR="009D4357" w:rsidRPr="00986964" w:rsidRDefault="009D4357" w:rsidP="009D4357">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sidRPr="00986964">
        <w:rPr>
          <w:noProof/>
          <w:lang w:eastAsia="en-GB"/>
        </w:rPr>
        <w:t xml:space="preserve">- The number of use cases executed (= number of </w:t>
      </w:r>
      <w:r>
        <w:rPr>
          <w:noProof/>
          <w:lang w:eastAsia="en-GB"/>
        </w:rPr>
        <w:t xml:space="preserve">requests for queries </w:t>
      </w:r>
      <w:r w:rsidRPr="00986964">
        <w:rPr>
          <w:noProof/>
          <w:lang w:eastAsia="en-GB"/>
        </w:rPr>
        <w:t xml:space="preserve">that can be handled by </w:t>
      </w:r>
      <w:r>
        <w:rPr>
          <w:noProof/>
          <w:lang w:eastAsia="en-GB"/>
        </w:rPr>
        <w:t>EPRIS</w:t>
      </w:r>
      <w:r w:rsidRPr="00986964">
        <w:rPr>
          <w:noProof/>
          <w:lang w:eastAsia="en-GB"/>
        </w:rPr>
        <w:t>) per time period.</w:t>
      </w:r>
    </w:p>
    <w:p w14:paraId="3B26D92D" w14:textId="77777777" w:rsidR="009D4357" w:rsidRPr="00434957" w:rsidRDefault="009D4357" w:rsidP="009D4357">
      <w:pPr>
        <w:pBdr>
          <w:top w:val="single" w:sz="4" w:space="1" w:color="auto"/>
          <w:left w:val="single" w:sz="4" w:space="1" w:color="auto"/>
          <w:bottom w:val="single" w:sz="4" w:space="1" w:color="auto"/>
          <w:right w:val="single" w:sz="4" w:space="1" w:color="auto"/>
        </w:pBdr>
        <w:tabs>
          <w:tab w:val="left" w:pos="2127"/>
        </w:tabs>
        <w:ind w:left="850"/>
        <w:rPr>
          <w:noProof/>
          <w:u w:val="single"/>
          <w:lang w:eastAsia="en-GB"/>
        </w:rPr>
      </w:pPr>
      <w:r w:rsidRPr="00A871E0">
        <w:rPr>
          <w:b/>
          <w:noProof/>
          <w:lang w:eastAsia="en-GB"/>
        </w:rPr>
        <w:t>Specific</w:t>
      </w:r>
      <w:r w:rsidRPr="00434957">
        <w:rPr>
          <w:noProof/>
          <w:lang w:eastAsia="en-GB"/>
        </w:rPr>
        <w:t xml:space="preserve"> </w:t>
      </w:r>
      <w:r w:rsidRPr="00A871E0">
        <w:rPr>
          <w:b/>
          <w:noProof/>
          <w:lang w:eastAsia="en-GB"/>
        </w:rPr>
        <w:t>objective II</w:t>
      </w:r>
      <w:r w:rsidRPr="00434957">
        <w:rPr>
          <w:noProof/>
          <w:lang w:eastAsia="en-GB"/>
        </w:rPr>
        <w:t xml:space="preserve">: </w:t>
      </w:r>
      <w:r>
        <w:rPr>
          <w:noProof/>
          <w:lang w:eastAsia="en-GB"/>
        </w:rPr>
        <w:t>ensuring more relevant data is available</w:t>
      </w:r>
    </w:p>
    <w:p w14:paraId="5C66719B" w14:textId="77777777" w:rsidR="009D4357" w:rsidRPr="00A871E0" w:rsidRDefault="009D4357" w:rsidP="009D4357">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sidRPr="00A871E0">
        <w:rPr>
          <w:noProof/>
          <w:lang w:eastAsia="en-GB"/>
        </w:rPr>
        <w:t xml:space="preserve">- </w:t>
      </w:r>
      <w:r w:rsidRPr="00A871E0">
        <w:rPr>
          <w:noProof/>
          <w:lang w:eastAsia="en-GB"/>
        </w:rPr>
        <w:tab/>
        <w:t>Number of requests for querying with facial images</w:t>
      </w:r>
    </w:p>
    <w:p w14:paraId="6121347A" w14:textId="77777777" w:rsidR="009D4357" w:rsidRPr="00A871E0" w:rsidRDefault="009D4357" w:rsidP="009D4357">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sidRPr="00A871E0">
        <w:rPr>
          <w:noProof/>
          <w:lang w:eastAsia="en-GB"/>
        </w:rPr>
        <w:t xml:space="preserve"> - </w:t>
      </w:r>
      <w:r w:rsidRPr="00A871E0">
        <w:rPr>
          <w:noProof/>
          <w:lang w:eastAsia="en-GB"/>
        </w:rPr>
        <w:tab/>
        <w:t>Number of requests for querying with police records</w:t>
      </w:r>
    </w:p>
    <w:p w14:paraId="51E71F1C" w14:textId="77777777" w:rsidR="009D4357" w:rsidRPr="00A871E0" w:rsidRDefault="009D4357" w:rsidP="009D4357">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sidRPr="00A871E0">
        <w:rPr>
          <w:noProof/>
          <w:lang w:eastAsia="en-GB"/>
        </w:rPr>
        <w:t xml:space="preserve">- </w:t>
      </w:r>
      <w:r w:rsidRPr="00A871E0">
        <w:rPr>
          <w:noProof/>
          <w:lang w:eastAsia="en-GB"/>
        </w:rPr>
        <w:tab/>
        <w:t>Number of matches following queries with facial images</w:t>
      </w:r>
    </w:p>
    <w:p w14:paraId="2AA15981" w14:textId="77777777" w:rsidR="009D4357" w:rsidRPr="00A871E0" w:rsidRDefault="009D4357" w:rsidP="009D4357">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sidRPr="00A871E0">
        <w:rPr>
          <w:noProof/>
          <w:lang w:eastAsia="en-GB"/>
        </w:rPr>
        <w:t xml:space="preserve">- </w:t>
      </w:r>
      <w:r w:rsidRPr="00A871E0">
        <w:rPr>
          <w:noProof/>
          <w:lang w:eastAsia="en-GB"/>
        </w:rPr>
        <w:tab/>
        <w:t>Number of matches following queries with police records</w:t>
      </w:r>
    </w:p>
    <w:p w14:paraId="0AF365A9" w14:textId="77777777" w:rsidR="009D4357" w:rsidRPr="00434957" w:rsidRDefault="009D4357" w:rsidP="009D4357">
      <w:pPr>
        <w:pBdr>
          <w:top w:val="single" w:sz="4" w:space="1" w:color="auto"/>
          <w:left w:val="single" w:sz="4" w:space="1" w:color="auto"/>
          <w:bottom w:val="single" w:sz="4" w:space="1" w:color="auto"/>
          <w:right w:val="single" w:sz="4" w:space="1" w:color="auto"/>
        </w:pBdr>
        <w:tabs>
          <w:tab w:val="left" w:pos="1701"/>
        </w:tabs>
        <w:ind w:left="850" w:firstLine="590"/>
        <w:rPr>
          <w:noProof/>
          <w:highlight w:val="cyan"/>
          <w:lang w:eastAsia="en-GB"/>
        </w:rPr>
      </w:pPr>
    </w:p>
    <w:p w14:paraId="368FB5EC" w14:textId="09652F90" w:rsidR="009D4357" w:rsidRDefault="009D4357" w:rsidP="009D4357">
      <w:pPr>
        <w:pBdr>
          <w:top w:val="single" w:sz="4" w:space="1" w:color="auto"/>
          <w:left w:val="single" w:sz="4" w:space="1" w:color="auto"/>
          <w:bottom w:val="single" w:sz="4" w:space="1" w:color="auto"/>
          <w:right w:val="single" w:sz="4" w:space="1" w:color="auto"/>
        </w:pBdr>
        <w:ind w:left="850"/>
        <w:rPr>
          <w:noProof/>
          <w:lang w:eastAsia="en-GB"/>
        </w:rPr>
      </w:pPr>
      <w:r w:rsidRPr="00A871E0">
        <w:rPr>
          <w:b/>
          <w:noProof/>
          <w:lang w:eastAsia="en-GB"/>
        </w:rPr>
        <w:t>Specific objective III</w:t>
      </w:r>
      <w:r w:rsidRPr="00A871E0">
        <w:rPr>
          <w:noProof/>
          <w:lang w:eastAsia="en-GB"/>
        </w:rPr>
        <w:t>: Ensuring that relevant data (in terms of sources of data) from Europol’s database is available to nation</w:t>
      </w:r>
      <w:r w:rsidR="00EC4824">
        <w:rPr>
          <w:noProof/>
          <w:lang w:eastAsia="en-GB"/>
        </w:rPr>
        <w:t xml:space="preserve">al law enforcement authorities </w:t>
      </w:r>
      <w:r w:rsidRPr="00A871E0">
        <w:rPr>
          <w:noProof/>
          <w:lang w:eastAsia="en-GB"/>
        </w:rPr>
        <w:t>and that Europol uses</w:t>
      </w:r>
      <w:r>
        <w:rPr>
          <w:noProof/>
          <w:lang w:eastAsia="en-GB"/>
        </w:rPr>
        <w:t xml:space="preserve"> its data to its full potential.</w:t>
      </w:r>
    </w:p>
    <w:p w14:paraId="4242FB0C" w14:textId="77777777" w:rsidR="009D4357" w:rsidRPr="00A871E0" w:rsidRDefault="009D4357" w:rsidP="009D4357">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sidRPr="00A871E0">
        <w:rPr>
          <w:noProof/>
          <w:lang w:eastAsia="en-GB"/>
        </w:rPr>
        <w:t xml:space="preserve">- </w:t>
      </w:r>
      <w:r w:rsidRPr="00A871E0">
        <w:rPr>
          <w:noProof/>
          <w:lang w:eastAsia="en-GB"/>
        </w:rPr>
        <w:tab/>
        <w:t xml:space="preserve">Number of requests for querying </w:t>
      </w:r>
      <w:r>
        <w:rPr>
          <w:noProof/>
          <w:lang w:eastAsia="en-GB"/>
        </w:rPr>
        <w:t>third country sourced Europol biometric data</w:t>
      </w:r>
    </w:p>
    <w:p w14:paraId="1EA5CCCF" w14:textId="77777777" w:rsidR="009D4357" w:rsidRDefault="009D4357" w:rsidP="009D4357">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sidRPr="00A871E0">
        <w:rPr>
          <w:noProof/>
          <w:lang w:eastAsia="en-GB"/>
        </w:rPr>
        <w:t xml:space="preserve">- </w:t>
      </w:r>
      <w:r w:rsidRPr="00A871E0">
        <w:rPr>
          <w:noProof/>
          <w:lang w:eastAsia="en-GB"/>
        </w:rPr>
        <w:tab/>
        <w:t xml:space="preserve">Number of matches </w:t>
      </w:r>
      <w:r>
        <w:rPr>
          <w:noProof/>
          <w:lang w:eastAsia="en-GB"/>
        </w:rPr>
        <w:t>agaisnt third country sourced Europol biometric data</w:t>
      </w:r>
    </w:p>
    <w:p w14:paraId="59AEE5AF" w14:textId="77777777" w:rsidR="009D4357" w:rsidRDefault="009D4357" w:rsidP="009D4357">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sidRPr="00A871E0">
        <w:rPr>
          <w:noProof/>
          <w:lang w:eastAsia="en-GB"/>
        </w:rPr>
        <w:t xml:space="preserve">- </w:t>
      </w:r>
      <w:r w:rsidRPr="00A871E0">
        <w:rPr>
          <w:noProof/>
          <w:lang w:eastAsia="en-GB"/>
        </w:rPr>
        <w:tab/>
        <w:t xml:space="preserve">Number of </w:t>
      </w:r>
      <w:r>
        <w:rPr>
          <w:noProof/>
          <w:lang w:eastAsia="en-GB"/>
        </w:rPr>
        <w:t>requests for querying issued by Europol</w:t>
      </w:r>
    </w:p>
    <w:p w14:paraId="25AE452A" w14:textId="77777777" w:rsidR="009D4357" w:rsidRDefault="009D4357" w:rsidP="009D4357">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sidRPr="00A871E0">
        <w:rPr>
          <w:noProof/>
          <w:lang w:eastAsia="en-GB"/>
        </w:rPr>
        <w:t xml:space="preserve">- </w:t>
      </w:r>
      <w:r w:rsidRPr="00A871E0">
        <w:rPr>
          <w:noProof/>
          <w:lang w:eastAsia="en-GB"/>
        </w:rPr>
        <w:tab/>
        <w:t xml:space="preserve">Number of </w:t>
      </w:r>
      <w:r>
        <w:rPr>
          <w:noProof/>
          <w:lang w:eastAsia="en-GB"/>
        </w:rPr>
        <w:t>matches resulting from queries issued by Europol</w:t>
      </w:r>
    </w:p>
    <w:p w14:paraId="29A026E3" w14:textId="77777777" w:rsidR="009D4357" w:rsidRPr="00434957" w:rsidRDefault="009D4357" w:rsidP="009D4357">
      <w:pPr>
        <w:pBdr>
          <w:top w:val="single" w:sz="4" w:space="1" w:color="auto"/>
          <w:left w:val="single" w:sz="4" w:space="1" w:color="auto"/>
          <w:bottom w:val="single" w:sz="4" w:space="1" w:color="auto"/>
          <w:right w:val="single" w:sz="4" w:space="1" w:color="auto"/>
        </w:pBdr>
        <w:ind w:left="850"/>
        <w:rPr>
          <w:noProof/>
          <w:lang w:eastAsia="en-GB"/>
        </w:rPr>
      </w:pPr>
      <w:r w:rsidRPr="00A871E0">
        <w:rPr>
          <w:b/>
          <w:noProof/>
          <w:lang w:eastAsia="en-GB"/>
        </w:rPr>
        <w:t>Specific objective IV</w:t>
      </w:r>
      <w:r w:rsidRPr="00A871E0">
        <w:rPr>
          <w:noProof/>
          <w:lang w:eastAsia="en-GB"/>
        </w:rPr>
        <w:t>: Providing law enforcement authorities with efficient access to the actual data corresponding to a ‘hit’ that is available in the national database of another Member State or at Europol.</w:t>
      </w:r>
    </w:p>
    <w:p w14:paraId="0000A903" w14:textId="77777777" w:rsidR="009D4357" w:rsidRPr="00434957" w:rsidRDefault="009D4357" w:rsidP="009D4357">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sidRPr="00A871E0">
        <w:rPr>
          <w:noProof/>
          <w:lang w:eastAsia="en-GB"/>
        </w:rPr>
        <w:t>-</w:t>
      </w:r>
      <w:r>
        <w:rPr>
          <w:noProof/>
          <w:lang w:eastAsia="en-GB"/>
        </w:rPr>
        <w:tab/>
      </w:r>
      <w:r w:rsidRPr="00A871E0">
        <w:rPr>
          <w:noProof/>
          <w:lang w:eastAsia="en-GB"/>
        </w:rPr>
        <w:t xml:space="preserve">Number of matches following </w:t>
      </w:r>
      <w:r>
        <w:rPr>
          <w:noProof/>
          <w:lang w:eastAsia="en-GB"/>
        </w:rPr>
        <w:t>requests for queries compared to number of times the exchange of core data was requested</w:t>
      </w:r>
    </w:p>
    <w:p w14:paraId="346083B3" w14:textId="77777777" w:rsidR="009D4357" w:rsidRPr="00434957" w:rsidRDefault="009D4357" w:rsidP="009D4357">
      <w:pPr>
        <w:keepNext/>
        <w:tabs>
          <w:tab w:val="left" w:pos="850"/>
        </w:tabs>
        <w:ind w:left="850" w:hanging="850"/>
        <w:outlineLvl w:val="1"/>
        <w:rPr>
          <w:b/>
          <w:noProof/>
          <w:szCs w:val="24"/>
          <w:lang w:eastAsia="en-GB"/>
        </w:rPr>
      </w:pPr>
      <w:r w:rsidRPr="00434957">
        <w:rPr>
          <w:b/>
          <w:noProof/>
        </w:rPr>
        <w:t>1.5.</w:t>
      </w:r>
      <w:r w:rsidRPr="00434957">
        <w:rPr>
          <w:b/>
          <w:noProof/>
        </w:rPr>
        <w:tab/>
      </w:r>
      <w:r w:rsidRPr="00434957">
        <w:rPr>
          <w:b/>
          <w:noProof/>
          <w:lang w:eastAsia="en-GB"/>
        </w:rPr>
        <w:t xml:space="preserve">Grounds for the </w:t>
      </w:r>
      <w:r w:rsidRPr="00434957">
        <w:rPr>
          <w:rFonts w:eastAsia="Arial Unicode MS"/>
          <w:b/>
          <w:noProof/>
        </w:rPr>
        <w:t xml:space="preserve">legislative </w:t>
      </w:r>
      <w:r w:rsidRPr="00434957">
        <w:rPr>
          <w:b/>
          <w:noProof/>
          <w:lang w:eastAsia="en-GB"/>
        </w:rPr>
        <w:t xml:space="preserve">initiative </w:t>
      </w:r>
    </w:p>
    <w:p w14:paraId="75A938ED" w14:textId="77777777" w:rsidR="009D4357" w:rsidRPr="00434957" w:rsidRDefault="009D4357" w:rsidP="009D4357">
      <w:pPr>
        <w:keepNext/>
        <w:tabs>
          <w:tab w:val="left" w:pos="850"/>
        </w:tabs>
        <w:ind w:left="850" w:hanging="850"/>
        <w:outlineLvl w:val="2"/>
        <w:rPr>
          <w:i/>
          <w:noProof/>
          <w:lang w:eastAsia="en-GB"/>
        </w:rPr>
      </w:pPr>
      <w:r w:rsidRPr="00434957">
        <w:rPr>
          <w:i/>
          <w:noProof/>
        </w:rPr>
        <w:t>1.5.1.</w:t>
      </w:r>
      <w:r w:rsidRPr="00434957">
        <w:rPr>
          <w:i/>
          <w:noProof/>
        </w:rPr>
        <w:tab/>
      </w:r>
      <w:r w:rsidRPr="00434957">
        <w:rPr>
          <w:i/>
          <w:noProof/>
          <w:lang w:eastAsia="en-GB"/>
        </w:rPr>
        <w:t>Requirement(s) to be met in the short or long term including a detailed timeline for roll-out of the implementation of the legislative initiative</w:t>
      </w:r>
    </w:p>
    <w:p w14:paraId="77F9CDFC"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noProof/>
          <w:lang w:eastAsia="en-GB"/>
        </w:rPr>
        <w:t>The roll-out of the implementation of the</w:t>
      </w:r>
      <w:r w:rsidRPr="00434957">
        <w:rPr>
          <w:rFonts w:eastAsia="Arial Unicode MS"/>
          <w:noProof/>
        </w:rPr>
        <w:t xml:space="preserve"> legislative</w:t>
      </w:r>
      <w:r w:rsidRPr="00434957">
        <w:rPr>
          <w:noProof/>
          <w:lang w:eastAsia="en-GB"/>
        </w:rPr>
        <w:t xml:space="preserve"> initiative requires technical and procedural measures at EU and national level, which should start</w:t>
      </w:r>
      <w:r>
        <w:rPr>
          <w:noProof/>
          <w:lang w:eastAsia="en-GB"/>
        </w:rPr>
        <w:t xml:space="preserve"> implementation</w:t>
      </w:r>
      <w:r w:rsidRPr="00434957">
        <w:rPr>
          <w:noProof/>
          <w:lang w:eastAsia="en-GB"/>
        </w:rPr>
        <w:t xml:space="preserve"> when the revised legislation enters into force. The relevant resources – in particular human resources - should be scaled up over time in line with the </w:t>
      </w:r>
      <w:r>
        <w:rPr>
          <w:noProof/>
          <w:lang w:eastAsia="en-GB"/>
        </w:rPr>
        <w:t>measures</w:t>
      </w:r>
      <w:r w:rsidRPr="00434957">
        <w:rPr>
          <w:noProof/>
          <w:lang w:eastAsia="en-GB"/>
        </w:rPr>
        <w:t xml:space="preserve">. </w:t>
      </w:r>
    </w:p>
    <w:p w14:paraId="45604059"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noProof/>
          <w:lang w:eastAsia="en-GB"/>
        </w:rPr>
        <w:t>The main requirements following entry into force of the proposal are as follows:</w:t>
      </w:r>
    </w:p>
    <w:p w14:paraId="18915D4B"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b/>
          <w:noProof/>
          <w:lang w:eastAsia="en-GB"/>
        </w:rPr>
        <w:t xml:space="preserve">To </w:t>
      </w:r>
      <w:r>
        <w:rPr>
          <w:b/>
          <w:noProof/>
          <w:lang w:eastAsia="en-GB"/>
        </w:rPr>
        <w:t>create the Prüm router</w:t>
      </w:r>
      <w:r w:rsidRPr="00434957">
        <w:rPr>
          <w:noProof/>
          <w:lang w:eastAsia="en-GB"/>
        </w:rPr>
        <w:t>:</w:t>
      </w:r>
    </w:p>
    <w:p w14:paraId="1BB4BA40" w14:textId="77777777" w:rsidR="009D4357" w:rsidRDefault="009D4357" w:rsidP="009D4357">
      <w:pPr>
        <w:pStyle w:val="Text1"/>
        <w:pBdr>
          <w:top w:val="single" w:sz="4" w:space="1" w:color="auto"/>
          <w:left w:val="single" w:sz="4" w:space="4" w:color="auto"/>
          <w:bottom w:val="single" w:sz="4" w:space="1" w:color="auto"/>
          <w:right w:val="single" w:sz="4" w:space="4" w:color="auto"/>
        </w:pBdr>
        <w:rPr>
          <w:noProof/>
        </w:rPr>
      </w:pPr>
      <w:r>
        <w:rPr>
          <w:noProof/>
        </w:rPr>
        <w:t>To meet the objective of providing Prüm II users with a single connection to all Member States databases and Europol data to send requests for querying with biometric data.</w:t>
      </w:r>
    </w:p>
    <w:p w14:paraId="7F59DEF8" w14:textId="77777777" w:rsidR="009D4357" w:rsidRDefault="009D4357" w:rsidP="009D4357">
      <w:pPr>
        <w:pStyle w:val="Text1"/>
        <w:pBdr>
          <w:top w:val="single" w:sz="4" w:space="1" w:color="auto"/>
          <w:left w:val="single" w:sz="4" w:space="4" w:color="auto"/>
          <w:bottom w:val="single" w:sz="4" w:space="1" w:color="auto"/>
          <w:right w:val="single" w:sz="4" w:space="4" w:color="auto"/>
        </w:pBdr>
        <w:rPr>
          <w:noProof/>
        </w:rPr>
      </w:pPr>
      <w:r>
        <w:rPr>
          <w:noProof/>
        </w:rPr>
        <w:t xml:space="preserve">To </w:t>
      </w:r>
      <w:r w:rsidRPr="00986964">
        <w:rPr>
          <w:noProof/>
        </w:rPr>
        <w:t xml:space="preserve">provide </w:t>
      </w:r>
      <w:r w:rsidRPr="00986964">
        <w:rPr>
          <w:noProof/>
          <w:lang w:eastAsia="en-GB"/>
        </w:rPr>
        <w:t>for a new follow-up process at EU level with a semi-automated exchange of actual data corresponding to a ‘hit’.</w:t>
      </w:r>
    </w:p>
    <w:p w14:paraId="35CBD95D"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rFonts w:eastAsia="Times New Roman"/>
          <w:b/>
          <w:noProof/>
          <w:lang w:val="en-IE" w:eastAsia="en-GB"/>
        </w:rPr>
      </w:pPr>
      <w:r w:rsidRPr="00434957">
        <w:rPr>
          <w:rFonts w:eastAsia="Times New Roman"/>
          <w:b/>
          <w:noProof/>
          <w:lang w:eastAsia="en-GB"/>
        </w:rPr>
        <w:t>To</w:t>
      </w:r>
      <w:r w:rsidRPr="00434957">
        <w:rPr>
          <w:rFonts w:eastAsia="Times New Roman"/>
          <w:b/>
          <w:noProof/>
          <w:lang w:val="en-IE" w:eastAsia="en-GB"/>
        </w:rPr>
        <w:t xml:space="preserve"> </w:t>
      </w:r>
      <w:r>
        <w:rPr>
          <w:rFonts w:eastAsia="Times New Roman"/>
          <w:b/>
          <w:noProof/>
          <w:lang w:val="en-IE" w:eastAsia="en-GB"/>
        </w:rPr>
        <w:t>create/enlarge EPRIS</w:t>
      </w:r>
    </w:p>
    <w:p w14:paraId="685E95A1" w14:textId="77777777" w:rsidR="009D4357" w:rsidRDefault="009D4357" w:rsidP="009D4357">
      <w:pPr>
        <w:pStyle w:val="Text1"/>
        <w:pBdr>
          <w:top w:val="single" w:sz="4" w:space="1" w:color="auto"/>
          <w:left w:val="single" w:sz="4" w:space="4" w:color="auto"/>
          <w:bottom w:val="single" w:sz="4" w:space="1" w:color="auto"/>
          <w:right w:val="single" w:sz="4" w:space="4" w:color="auto"/>
        </w:pBdr>
        <w:rPr>
          <w:noProof/>
        </w:rPr>
      </w:pPr>
      <w:r>
        <w:rPr>
          <w:noProof/>
        </w:rPr>
        <w:t>To meet the objective of providing Prüm II users with a single connection to all participating Member States databases containing police records to send requests for querying with police records.</w:t>
      </w:r>
    </w:p>
    <w:p w14:paraId="0F9F4152"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b/>
          <w:noProof/>
          <w:lang w:eastAsia="en-GB"/>
        </w:rPr>
      </w:pPr>
      <w:r w:rsidRPr="00434957">
        <w:rPr>
          <w:b/>
          <w:noProof/>
          <w:lang w:eastAsia="en-GB"/>
        </w:rPr>
        <w:t xml:space="preserve">To enable Member States to </w:t>
      </w:r>
      <w:r>
        <w:rPr>
          <w:b/>
          <w:noProof/>
          <w:lang w:eastAsia="en-GB"/>
        </w:rPr>
        <w:t>exchange new categories of data</w:t>
      </w:r>
    </w:p>
    <w:p w14:paraId="6B99959E"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Pr>
          <w:rFonts w:eastAsia="Times New Roman"/>
          <w:noProof/>
          <w:lang w:val="en-IE" w:eastAsia="en-GB"/>
        </w:rPr>
        <w:t xml:space="preserve">To allow exchange of </w:t>
      </w:r>
      <w:r w:rsidRPr="000C5FB2">
        <w:rPr>
          <w:rFonts w:eastAsia="Times New Roman"/>
          <w:noProof/>
          <w:lang w:val="en-IE" w:eastAsia="en-GB"/>
        </w:rPr>
        <w:t xml:space="preserve">facial images and police records </w:t>
      </w:r>
      <w:r>
        <w:rPr>
          <w:rFonts w:eastAsia="Times New Roman"/>
          <w:noProof/>
          <w:lang w:val="en-IE" w:eastAsia="en-GB"/>
        </w:rPr>
        <w:t>via Prüm II.</w:t>
      </w:r>
    </w:p>
    <w:p w14:paraId="7E0DBC64" w14:textId="77777777" w:rsidR="009D4357" w:rsidRDefault="009D4357" w:rsidP="009D4357">
      <w:pPr>
        <w:pBdr>
          <w:top w:val="single" w:sz="4" w:space="1" w:color="auto"/>
          <w:left w:val="single" w:sz="4" w:space="4" w:color="auto"/>
          <w:bottom w:val="single" w:sz="4" w:space="1" w:color="auto"/>
          <w:right w:val="single" w:sz="4" w:space="4" w:color="auto"/>
        </w:pBdr>
        <w:ind w:left="850"/>
        <w:rPr>
          <w:b/>
          <w:noProof/>
          <w:lang w:eastAsia="en-GB"/>
        </w:rPr>
      </w:pPr>
      <w:r w:rsidRPr="00434957">
        <w:rPr>
          <w:b/>
          <w:noProof/>
          <w:lang w:eastAsia="en-GB"/>
        </w:rPr>
        <w:t xml:space="preserve">To </w:t>
      </w:r>
      <w:r>
        <w:rPr>
          <w:b/>
          <w:noProof/>
          <w:lang w:eastAsia="en-GB"/>
        </w:rPr>
        <w:t xml:space="preserve">enable </w:t>
      </w:r>
      <w:r w:rsidRPr="00C71612">
        <w:rPr>
          <w:b/>
          <w:noProof/>
          <w:lang w:eastAsia="en-GB"/>
        </w:rPr>
        <w:t>Member States to check automatically third-country sourced data at Europol as part of the Prüm framework</w:t>
      </w:r>
      <w:r w:rsidRPr="00434957">
        <w:rPr>
          <w:b/>
          <w:noProof/>
          <w:lang w:eastAsia="en-GB"/>
        </w:rPr>
        <w:t>:</w:t>
      </w:r>
    </w:p>
    <w:p w14:paraId="70013B0A" w14:textId="77777777" w:rsidR="009D4357" w:rsidRPr="00986964"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986964">
        <w:rPr>
          <w:noProof/>
          <w:lang w:eastAsia="en-GB"/>
        </w:rPr>
        <w:t xml:space="preserve">To allow Member States to check </w:t>
      </w:r>
      <w:r>
        <w:rPr>
          <w:noProof/>
          <w:lang w:eastAsia="en-GB"/>
        </w:rPr>
        <w:t>third country sourced biometric data</w:t>
      </w:r>
      <w:r w:rsidRPr="00986964">
        <w:rPr>
          <w:noProof/>
          <w:lang w:eastAsia="en-GB"/>
        </w:rPr>
        <w:t xml:space="preserve"> via Prüm II.</w:t>
      </w:r>
    </w:p>
    <w:p w14:paraId="7A42F26E" w14:textId="77777777" w:rsidR="009D4357" w:rsidRDefault="009D4357" w:rsidP="009D4357">
      <w:pPr>
        <w:pBdr>
          <w:top w:val="single" w:sz="4" w:space="1" w:color="auto"/>
          <w:left w:val="single" w:sz="4" w:space="4" w:color="auto"/>
          <w:bottom w:val="single" w:sz="4" w:space="1" w:color="auto"/>
          <w:right w:val="single" w:sz="4" w:space="4" w:color="auto"/>
        </w:pBdr>
        <w:ind w:left="850"/>
        <w:rPr>
          <w:b/>
          <w:noProof/>
          <w:lang w:eastAsia="en-GB"/>
        </w:rPr>
      </w:pPr>
      <w:r w:rsidRPr="00434957">
        <w:rPr>
          <w:b/>
          <w:noProof/>
          <w:lang w:eastAsia="en-GB"/>
        </w:rPr>
        <w:t xml:space="preserve">To </w:t>
      </w:r>
      <w:r>
        <w:rPr>
          <w:b/>
          <w:noProof/>
          <w:lang w:eastAsia="en-GB"/>
        </w:rPr>
        <w:t xml:space="preserve">enable </w:t>
      </w:r>
      <w:r w:rsidRPr="00C71612">
        <w:rPr>
          <w:b/>
          <w:noProof/>
          <w:lang w:eastAsia="en-GB"/>
        </w:rPr>
        <w:t>Europol to check third-country sourced data against the national databases of Member States</w:t>
      </w:r>
      <w:r w:rsidRPr="00434957">
        <w:rPr>
          <w:b/>
          <w:noProof/>
          <w:lang w:eastAsia="en-GB"/>
        </w:rPr>
        <w:t>:</w:t>
      </w:r>
    </w:p>
    <w:p w14:paraId="755B5347" w14:textId="77777777" w:rsidR="009D4357" w:rsidRPr="00986964"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986964">
        <w:rPr>
          <w:noProof/>
          <w:lang w:eastAsia="en-GB"/>
        </w:rPr>
        <w:t xml:space="preserve">To allow </w:t>
      </w:r>
      <w:r>
        <w:rPr>
          <w:noProof/>
          <w:lang w:eastAsia="en-GB"/>
        </w:rPr>
        <w:t>Europol</w:t>
      </w:r>
      <w:r w:rsidRPr="00986964">
        <w:rPr>
          <w:noProof/>
          <w:lang w:eastAsia="en-GB"/>
        </w:rPr>
        <w:t xml:space="preserve"> to </w:t>
      </w:r>
      <w:r>
        <w:rPr>
          <w:noProof/>
          <w:lang w:eastAsia="en-GB"/>
        </w:rPr>
        <w:t>use</w:t>
      </w:r>
      <w:r w:rsidRPr="00986964">
        <w:rPr>
          <w:noProof/>
          <w:lang w:eastAsia="en-GB"/>
        </w:rPr>
        <w:t xml:space="preserve"> </w:t>
      </w:r>
      <w:r>
        <w:rPr>
          <w:noProof/>
          <w:lang w:eastAsia="en-GB"/>
        </w:rPr>
        <w:t>third-country sourced data to search Member States’ databases</w:t>
      </w:r>
      <w:r w:rsidRPr="00986964">
        <w:rPr>
          <w:noProof/>
          <w:lang w:eastAsia="en-GB"/>
        </w:rPr>
        <w:t xml:space="preserve"> via Prüm II.</w:t>
      </w:r>
    </w:p>
    <w:p w14:paraId="4B96CB98"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b/>
          <w:noProof/>
          <w:lang w:eastAsia="en-GB"/>
        </w:rPr>
      </w:pPr>
    </w:p>
    <w:p w14:paraId="6B8C563E" w14:textId="524A1FA7" w:rsidR="009D4357" w:rsidRPr="00434957" w:rsidRDefault="009D4357" w:rsidP="00C72516">
      <w:pPr>
        <w:pStyle w:val="Text1"/>
        <w:pBdr>
          <w:top w:val="single" w:sz="4" w:space="1" w:color="auto"/>
          <w:left w:val="single" w:sz="4" w:space="4" w:color="auto"/>
          <w:bottom w:val="single" w:sz="4" w:space="1" w:color="auto"/>
          <w:right w:val="single" w:sz="4" w:space="4" w:color="auto"/>
        </w:pBdr>
        <w:rPr>
          <w:noProof/>
        </w:rPr>
      </w:pPr>
      <w:r>
        <w:rPr>
          <w:noProof/>
        </w:rPr>
        <w:t>Since all objectives must be met, the complete solution is a combination of the above.</w:t>
      </w:r>
    </w:p>
    <w:p w14:paraId="01D56CC8" w14:textId="77777777" w:rsidR="009D4357" w:rsidRPr="00434957" w:rsidRDefault="009D4357" w:rsidP="009D4357">
      <w:pPr>
        <w:keepNext/>
        <w:tabs>
          <w:tab w:val="left" w:pos="850"/>
        </w:tabs>
        <w:ind w:left="850" w:hanging="850"/>
        <w:outlineLvl w:val="2"/>
        <w:rPr>
          <w:i/>
          <w:noProof/>
          <w:szCs w:val="24"/>
          <w:lang w:eastAsia="en-GB"/>
        </w:rPr>
      </w:pPr>
      <w:r w:rsidRPr="00434957">
        <w:rPr>
          <w:i/>
          <w:noProof/>
        </w:rPr>
        <w:t>1.5.2.</w:t>
      </w:r>
      <w:r w:rsidRPr="00434957">
        <w:rPr>
          <w:i/>
          <w:noProof/>
        </w:rPr>
        <w:tab/>
      </w:r>
      <w:r w:rsidRPr="00434957">
        <w:rPr>
          <w:i/>
          <w:noProof/>
          <w:lang w:eastAsia="en-GB"/>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p>
    <w:p w14:paraId="73BAE9A1"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noProof/>
          <w:lang w:eastAsia="en-GB"/>
        </w:rPr>
        <w:t>Serious crime and terrorism are of a transnational nature. Therefore, action at national level alone cannot counter them effectively. This is why Member States choose to work together within the framework of the EU to tackle the threats posed by serious crime and terrorism.</w:t>
      </w:r>
    </w:p>
    <w:p w14:paraId="64A1AF70"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noProof/>
          <w:lang w:eastAsia="en-GB"/>
        </w:rPr>
        <w:t xml:space="preserve">Moreover, evolving security threats, driven by the </w:t>
      </w:r>
      <w:r>
        <w:rPr>
          <w:noProof/>
          <w:lang w:eastAsia="en-GB"/>
        </w:rPr>
        <w:t xml:space="preserve">different </w:t>
      </w:r>
      <w:r w:rsidRPr="00434957">
        <w:rPr>
          <w:noProof/>
          <w:lang w:eastAsia="en-GB"/>
        </w:rPr>
        <w:t>way</w:t>
      </w:r>
      <w:r>
        <w:rPr>
          <w:noProof/>
          <w:lang w:eastAsia="en-GB"/>
        </w:rPr>
        <w:t>s</w:t>
      </w:r>
      <w:r w:rsidRPr="00434957">
        <w:rPr>
          <w:noProof/>
          <w:lang w:eastAsia="en-GB"/>
        </w:rPr>
        <w:t xml:space="preserve"> criminals exploit the advantages that the digital transformation, globalisation and mobility bring about, also call for effective EU level support to the work of national law enforcement authorities. EU action provides for an effective and efficient way to step up the support to Member States in fighting serious crime and terrorism</w:t>
      </w:r>
      <w:r>
        <w:rPr>
          <w:noProof/>
          <w:lang w:eastAsia="en-GB"/>
        </w:rPr>
        <w:t xml:space="preserve"> in order</w:t>
      </w:r>
      <w:r w:rsidRPr="00434957">
        <w:rPr>
          <w:noProof/>
          <w:lang w:eastAsia="en-GB"/>
        </w:rPr>
        <w:t xml:space="preserve"> to </w:t>
      </w:r>
      <w:r>
        <w:rPr>
          <w:noProof/>
          <w:lang w:eastAsia="en-GB"/>
        </w:rPr>
        <w:t>cope</w:t>
      </w:r>
      <w:r w:rsidRPr="00434957">
        <w:rPr>
          <w:noProof/>
          <w:lang w:eastAsia="en-GB"/>
        </w:rPr>
        <w:t xml:space="preserve"> with these </w:t>
      </w:r>
      <w:r>
        <w:rPr>
          <w:noProof/>
          <w:lang w:eastAsia="en-GB"/>
        </w:rPr>
        <w:t xml:space="preserve">evolving </w:t>
      </w:r>
      <w:r w:rsidRPr="00434957">
        <w:rPr>
          <w:noProof/>
          <w:lang w:eastAsia="en-GB"/>
        </w:rPr>
        <w:t>threats.</w:t>
      </w:r>
    </w:p>
    <w:p w14:paraId="29D44676" w14:textId="2589B513"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noProof/>
          <w:lang w:eastAsia="en-GB"/>
        </w:rPr>
        <w:t xml:space="preserve">The proposal will create significant economies of scale </w:t>
      </w:r>
      <w:r w:rsidR="00EC4824">
        <w:rPr>
          <w:noProof/>
          <w:lang w:eastAsia="en-GB"/>
        </w:rPr>
        <w:t>by shifting</w:t>
      </w:r>
      <w:r>
        <w:rPr>
          <w:noProof/>
          <w:lang w:eastAsia="en-GB"/>
        </w:rPr>
        <w:t xml:space="preserve"> the</w:t>
      </w:r>
      <w:r w:rsidRPr="00434957">
        <w:rPr>
          <w:noProof/>
          <w:lang w:eastAsia="en-GB"/>
        </w:rPr>
        <w:t xml:space="preserve"> tasks and services</w:t>
      </w:r>
      <w:r>
        <w:rPr>
          <w:noProof/>
          <w:lang w:eastAsia="en-GB"/>
        </w:rPr>
        <w:t xml:space="preserve"> that </w:t>
      </w:r>
      <w:r w:rsidRPr="00434957">
        <w:rPr>
          <w:noProof/>
          <w:lang w:eastAsia="en-GB"/>
        </w:rPr>
        <w:t xml:space="preserve">can be performed more efficiently at </w:t>
      </w:r>
      <w:r>
        <w:rPr>
          <w:noProof/>
          <w:lang w:eastAsia="en-GB"/>
        </w:rPr>
        <w:t>the</w:t>
      </w:r>
      <w:r w:rsidRPr="00434957">
        <w:rPr>
          <w:noProof/>
          <w:lang w:eastAsia="en-GB"/>
        </w:rPr>
        <w:t xml:space="preserve"> EU level from the national level to Europol. The proposal therefore provides for efficient solutions to challenges, which would otherwise have to be addressed at higher costs by means of 27 individual national solutions, or to challenges which cannot be addressed at the national level at all in view of their transnational nature. </w:t>
      </w:r>
    </w:p>
    <w:p w14:paraId="4F9FF07D"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p>
    <w:p w14:paraId="45D9BA29" w14:textId="77777777" w:rsidR="009D4357" w:rsidRPr="00434957" w:rsidRDefault="009D4357" w:rsidP="009D4357">
      <w:pPr>
        <w:keepNext/>
        <w:tabs>
          <w:tab w:val="left" w:pos="850"/>
        </w:tabs>
        <w:ind w:left="850" w:hanging="850"/>
        <w:outlineLvl w:val="2"/>
        <w:rPr>
          <w:i/>
          <w:noProof/>
          <w:lang w:eastAsia="en-GB"/>
        </w:rPr>
      </w:pPr>
      <w:r w:rsidRPr="00434957">
        <w:rPr>
          <w:i/>
          <w:noProof/>
        </w:rPr>
        <w:t>1.5.3.</w:t>
      </w:r>
      <w:r w:rsidRPr="00434957">
        <w:rPr>
          <w:i/>
          <w:noProof/>
        </w:rPr>
        <w:tab/>
      </w:r>
      <w:r w:rsidRPr="00434957">
        <w:rPr>
          <w:i/>
          <w:noProof/>
          <w:lang w:eastAsia="en-GB"/>
        </w:rPr>
        <w:t>Lessons learned from similar experiences in the past</w:t>
      </w:r>
    </w:p>
    <w:p w14:paraId="4CC78D10" w14:textId="77777777" w:rsidR="009D4357" w:rsidRPr="00185CB1"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w:t>
      </w:r>
      <w:r w:rsidRPr="00185CB1">
        <w:rPr>
          <w:noProof/>
          <w:lang w:eastAsia="en-GB"/>
        </w:rPr>
        <w:t xml:space="preserve">he </w:t>
      </w:r>
      <w:r>
        <w:rPr>
          <w:noProof/>
          <w:lang w:eastAsia="en-GB"/>
        </w:rPr>
        <w:t xml:space="preserve">evaluation of the </w:t>
      </w:r>
      <w:r w:rsidRPr="00185CB1">
        <w:rPr>
          <w:noProof/>
          <w:lang w:eastAsia="en-GB"/>
        </w:rPr>
        <w:t xml:space="preserve">Prüm Decisions </w:t>
      </w:r>
      <w:r>
        <w:rPr>
          <w:noProof/>
          <w:lang w:eastAsia="en-GB"/>
        </w:rPr>
        <w:t>showed that</w:t>
      </w:r>
      <w:r w:rsidRPr="00185CB1">
        <w:rPr>
          <w:noProof/>
          <w:lang w:eastAsia="en-GB"/>
        </w:rPr>
        <w:t>:</w:t>
      </w:r>
    </w:p>
    <w:p w14:paraId="1E7B744F" w14:textId="77777777" w:rsidR="009D4357" w:rsidRPr="00185CB1"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185CB1">
        <w:rPr>
          <w:noProof/>
          <w:lang w:eastAsia="en-GB"/>
        </w:rPr>
        <w:t>•</w:t>
      </w:r>
      <w:r w:rsidRPr="00185CB1">
        <w:rPr>
          <w:noProof/>
          <w:lang w:eastAsia="en-GB"/>
        </w:rPr>
        <w:tab/>
        <w:t xml:space="preserve">The Prüm framework is relevant in view of current and future needs and challenges related to security and more precisely criminal investigations. Cooperation and exchange of information between Member States’ law enforcement authorities, and the possibility to search and compare DNA, fingerprint and vehicle registration data in other Member States’ databases for the prevention and investigation of criminal offences, are deemed to be of paramount importance for safeguarding the internal security of the EU and the safety of its citizens. </w:t>
      </w:r>
    </w:p>
    <w:p w14:paraId="0129B7D8" w14:textId="77777777" w:rsidR="009D4357" w:rsidRPr="00185CB1"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185CB1">
        <w:rPr>
          <w:noProof/>
          <w:lang w:eastAsia="en-GB"/>
        </w:rPr>
        <w:t>•</w:t>
      </w:r>
      <w:r w:rsidRPr="00185CB1">
        <w:rPr>
          <w:noProof/>
          <w:lang w:eastAsia="en-GB"/>
        </w:rPr>
        <w:tab/>
        <w:t xml:space="preserve">The </w:t>
      </w:r>
      <w:r>
        <w:rPr>
          <w:noProof/>
          <w:lang w:eastAsia="en-GB"/>
        </w:rPr>
        <w:t xml:space="preserve">concept of the </w:t>
      </w:r>
      <w:r w:rsidRPr="00185CB1">
        <w:rPr>
          <w:noProof/>
          <w:lang w:eastAsia="en-GB"/>
        </w:rPr>
        <w:t>Prüm Decisions meet the needs of criminal investigators, of victims of crime, of forensic specialists, of database custodians and of legal practitioners</w:t>
      </w:r>
      <w:r>
        <w:rPr>
          <w:noProof/>
          <w:lang w:eastAsia="en-GB"/>
        </w:rPr>
        <w:t xml:space="preserve"> regarding the categories of data that are available in the framework</w:t>
      </w:r>
      <w:r w:rsidRPr="00185CB1">
        <w:rPr>
          <w:noProof/>
          <w:lang w:eastAsia="en-GB"/>
        </w:rPr>
        <w:t xml:space="preserve">. </w:t>
      </w:r>
    </w:p>
    <w:p w14:paraId="387E9556" w14:textId="77777777" w:rsidR="009D4357" w:rsidRPr="00185CB1"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185CB1">
        <w:rPr>
          <w:noProof/>
          <w:lang w:eastAsia="en-GB"/>
        </w:rPr>
        <w:t>•</w:t>
      </w:r>
      <w:r w:rsidRPr="00185CB1">
        <w:rPr>
          <w:noProof/>
          <w:lang w:eastAsia="en-GB"/>
        </w:rPr>
        <w:tab/>
        <w:t xml:space="preserve">By preventing the need to query each Member State bilaterally, the automated data exchange under the Prüm framework brings efficiency gains in the law enforcement information exchange to the extent that it improves the speed of exchanges and decreases the administrative burden to a certain extent. It </w:t>
      </w:r>
      <w:r>
        <w:rPr>
          <w:noProof/>
          <w:lang w:eastAsia="en-GB"/>
        </w:rPr>
        <w:t>has been found</w:t>
      </w:r>
      <w:r w:rsidRPr="00185CB1">
        <w:rPr>
          <w:noProof/>
          <w:lang w:eastAsia="en-GB"/>
        </w:rPr>
        <w:t xml:space="preserve"> that these benefits outweigh the investment required for the implementation of the Prüm framework. Moreover, the automated Prüm system provides substantial savings in working time. However, there is still an administrative burden </w:t>
      </w:r>
      <w:r>
        <w:rPr>
          <w:noProof/>
          <w:lang w:eastAsia="en-GB"/>
        </w:rPr>
        <w:t xml:space="preserve">related to the </w:t>
      </w:r>
      <w:r w:rsidRPr="00185CB1">
        <w:rPr>
          <w:noProof/>
          <w:lang w:eastAsia="en-GB"/>
        </w:rPr>
        <w:t>verification</w:t>
      </w:r>
      <w:r>
        <w:rPr>
          <w:noProof/>
          <w:lang w:eastAsia="en-GB"/>
        </w:rPr>
        <w:t xml:space="preserve"> of hits</w:t>
      </w:r>
      <w:r w:rsidRPr="00185CB1">
        <w:rPr>
          <w:noProof/>
          <w:lang w:eastAsia="en-GB"/>
        </w:rPr>
        <w:t xml:space="preserve"> and reporting, and also to receipt/transmission of second</w:t>
      </w:r>
      <w:r>
        <w:rPr>
          <w:noProof/>
          <w:lang w:eastAsia="en-GB"/>
        </w:rPr>
        <w:t>-</w:t>
      </w:r>
      <w:r w:rsidRPr="00185CB1">
        <w:rPr>
          <w:noProof/>
          <w:lang w:eastAsia="en-GB"/>
        </w:rPr>
        <w:t>step information.</w:t>
      </w:r>
    </w:p>
    <w:p w14:paraId="6B33E31A" w14:textId="2D23C7ED" w:rsidR="009D4357" w:rsidRPr="00185CB1"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185CB1">
        <w:rPr>
          <w:noProof/>
          <w:lang w:eastAsia="en-GB"/>
        </w:rPr>
        <w:t>•</w:t>
      </w:r>
      <w:r w:rsidRPr="00185CB1">
        <w:rPr>
          <w:noProof/>
          <w:lang w:eastAsia="en-GB"/>
        </w:rPr>
        <w:tab/>
        <w:t>Considerable developments and changes have also materialized in terms of the EU legal framework, operational needs, and technical and forensic possibilities since the adoption of the Prüm Decisions in 2008. Several EU and international initiatives and systems aiming at facilitating the exchange of information between law enforcement authorities have been developed. There are mostly complementarities between the Prüm Decisions and other relevant EU/international legislation, including the interoperability framework. There are also complementarities with some of the EU central information systems</w:t>
      </w:r>
      <w:r w:rsidR="00EC4824">
        <w:rPr>
          <w:noProof/>
          <w:lang w:eastAsia="en-GB"/>
        </w:rPr>
        <w:t xml:space="preserve"> that have different purposes. </w:t>
      </w:r>
      <w:r w:rsidRPr="00185CB1">
        <w:rPr>
          <w:noProof/>
          <w:lang w:eastAsia="en-GB"/>
        </w:rPr>
        <w:t>Potential synergies can be identified regarding Europol and the interoperability framework.</w:t>
      </w:r>
    </w:p>
    <w:p w14:paraId="409C401A" w14:textId="77777777" w:rsidR="009D4357" w:rsidRPr="00185CB1"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185CB1">
        <w:rPr>
          <w:noProof/>
          <w:lang w:eastAsia="en-GB"/>
        </w:rPr>
        <w:t>•</w:t>
      </w:r>
      <w:r w:rsidRPr="00185CB1">
        <w:rPr>
          <w:noProof/>
          <w:lang w:eastAsia="en-GB"/>
        </w:rPr>
        <w:tab/>
        <w:t>However, the implementation of the Prüm Decisions has been slow. Indeed, nearly ten years after the implementation deadline o</w:t>
      </w:r>
      <w:r>
        <w:rPr>
          <w:noProof/>
          <w:lang w:eastAsia="en-GB"/>
        </w:rPr>
        <w:t>f</w:t>
      </w:r>
      <w:r w:rsidRPr="00185CB1">
        <w:rPr>
          <w:noProof/>
          <w:lang w:eastAsia="en-GB"/>
        </w:rPr>
        <w:t xml:space="preserve"> 26 August 2011, all Member States have not completed the evaluation procedure and a number of bilateral connections have not been established due to the technical complexity and the important financial and human resources entailed. As a consequence, queries cannot be checked against the data in some Member States if the relevant bilateral connection has not been established. This </w:t>
      </w:r>
      <w:r>
        <w:rPr>
          <w:noProof/>
          <w:lang w:eastAsia="en-GB"/>
        </w:rPr>
        <w:t xml:space="preserve">hampers the capacity to identify </w:t>
      </w:r>
      <w:r w:rsidRPr="00185CB1">
        <w:rPr>
          <w:noProof/>
          <w:lang w:eastAsia="en-GB"/>
        </w:rPr>
        <w:t>criminals</w:t>
      </w:r>
      <w:r>
        <w:rPr>
          <w:noProof/>
          <w:lang w:eastAsia="en-GB"/>
        </w:rPr>
        <w:t xml:space="preserve"> and detect </w:t>
      </w:r>
      <w:r w:rsidRPr="00185CB1">
        <w:rPr>
          <w:noProof/>
          <w:lang w:eastAsia="en-GB"/>
        </w:rPr>
        <w:t xml:space="preserve">cross-border links between crimes, </w:t>
      </w:r>
      <w:r>
        <w:rPr>
          <w:noProof/>
          <w:lang w:eastAsia="en-GB"/>
        </w:rPr>
        <w:t xml:space="preserve">which </w:t>
      </w:r>
      <w:r w:rsidRPr="00185CB1">
        <w:rPr>
          <w:noProof/>
          <w:lang w:eastAsia="en-GB"/>
        </w:rPr>
        <w:t>hinder</w:t>
      </w:r>
      <w:r>
        <w:rPr>
          <w:noProof/>
          <w:lang w:eastAsia="en-GB"/>
        </w:rPr>
        <w:t>s</w:t>
      </w:r>
      <w:r w:rsidRPr="00185CB1">
        <w:rPr>
          <w:noProof/>
          <w:lang w:eastAsia="en-GB"/>
        </w:rPr>
        <w:t xml:space="preserve"> the exchange of information and the functioning of the Prüm system.</w:t>
      </w:r>
    </w:p>
    <w:p w14:paraId="4553EF66"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color w:val="0000FF"/>
          <w:lang w:eastAsia="en-GB"/>
        </w:rPr>
      </w:pPr>
      <w:r w:rsidRPr="00185CB1">
        <w:rPr>
          <w:noProof/>
          <w:lang w:eastAsia="en-GB"/>
        </w:rPr>
        <w:t>•</w:t>
      </w:r>
      <w:r w:rsidRPr="00185CB1">
        <w:rPr>
          <w:noProof/>
          <w:lang w:eastAsia="en-GB"/>
        </w:rPr>
        <w:tab/>
        <w:t xml:space="preserve">The fact that the follow-up to hits under the Prüm framework takes place under national law and therefore outside the scope of the Prüm Decisions has also been raised as </w:t>
      </w:r>
      <w:r>
        <w:rPr>
          <w:noProof/>
          <w:lang w:eastAsia="en-GB"/>
        </w:rPr>
        <w:t xml:space="preserve">an issue that </w:t>
      </w:r>
      <w:r w:rsidRPr="00185CB1">
        <w:rPr>
          <w:noProof/>
          <w:lang w:eastAsia="en-GB"/>
        </w:rPr>
        <w:t>hinder</w:t>
      </w:r>
      <w:r>
        <w:rPr>
          <w:noProof/>
          <w:lang w:eastAsia="en-GB"/>
        </w:rPr>
        <w:t xml:space="preserve">s </w:t>
      </w:r>
      <w:r w:rsidRPr="00185CB1">
        <w:rPr>
          <w:noProof/>
          <w:lang w:eastAsia="en-GB"/>
        </w:rPr>
        <w:t>the functioning of the Prüm system. Indeed, due to differences in national rules and procedures, the exchange of hit follow-up data is fragmented to the extent that it sometimes takes weeks or even months to receive the relevant information behind a hit.</w:t>
      </w:r>
    </w:p>
    <w:p w14:paraId="4014009C" w14:textId="77777777" w:rsidR="009D4357" w:rsidRPr="00434957" w:rsidRDefault="009D4357" w:rsidP="009D4357">
      <w:pPr>
        <w:keepNext/>
        <w:tabs>
          <w:tab w:val="left" w:pos="850"/>
        </w:tabs>
        <w:ind w:left="850" w:hanging="850"/>
        <w:outlineLvl w:val="2"/>
        <w:rPr>
          <w:i/>
          <w:noProof/>
          <w:lang w:eastAsia="en-GB"/>
        </w:rPr>
      </w:pPr>
      <w:r w:rsidRPr="00434957">
        <w:rPr>
          <w:i/>
          <w:noProof/>
        </w:rPr>
        <w:t>1.5.4.</w:t>
      </w:r>
      <w:r w:rsidRPr="00434957">
        <w:rPr>
          <w:i/>
          <w:noProof/>
        </w:rPr>
        <w:tab/>
      </w:r>
      <w:r w:rsidRPr="00434957">
        <w:rPr>
          <w:i/>
          <w:noProof/>
          <w:lang w:eastAsia="en-GB"/>
        </w:rPr>
        <w:t>Compatibility with the Multiannual Financial Framework and possible synergies with other appropriate instruments</w:t>
      </w:r>
    </w:p>
    <w:p w14:paraId="5A68315E" w14:textId="4438DBD4" w:rsidR="009D4357" w:rsidRDefault="009D4357" w:rsidP="009D4357">
      <w:pPr>
        <w:pStyle w:val="Text1"/>
        <w:pBdr>
          <w:top w:val="single" w:sz="4" w:space="1" w:color="auto"/>
          <w:left w:val="single" w:sz="4" w:space="4" w:color="auto"/>
          <w:bottom w:val="single" w:sz="4" w:space="1" w:color="auto"/>
          <w:right w:val="single" w:sz="4" w:space="4" w:color="auto"/>
        </w:pBdr>
        <w:rPr>
          <w:noProof/>
        </w:rPr>
      </w:pPr>
      <w:r>
        <w:rPr>
          <w:i/>
          <w:noProof/>
          <w:color w:val="0000FF"/>
          <w:lang w:eastAsia="en-GB"/>
        </w:rPr>
        <w:t xml:space="preserve"> </w:t>
      </w:r>
      <w:r>
        <w:rPr>
          <w:noProof/>
        </w:rPr>
        <w:t>The investments required at EU level are compatible with the 2021-2027 multi</w:t>
      </w:r>
      <w:r w:rsidRPr="00C66C82">
        <w:rPr>
          <w:noProof/>
        </w:rPr>
        <w:t xml:space="preserve">annual </w:t>
      </w:r>
      <w:r>
        <w:rPr>
          <w:noProof/>
        </w:rPr>
        <w:t>financial framework, with funding provided under heading Security and Defence and heading Migration and Borders.</w:t>
      </w:r>
    </w:p>
    <w:p w14:paraId="6A3AD50A" w14:textId="77777777" w:rsidR="009D4357" w:rsidRPr="00434957" w:rsidRDefault="009D4357" w:rsidP="009D4357">
      <w:pPr>
        <w:keepNext/>
        <w:tabs>
          <w:tab w:val="left" w:pos="850"/>
        </w:tabs>
        <w:ind w:left="850" w:hanging="850"/>
        <w:outlineLvl w:val="2"/>
        <w:rPr>
          <w:i/>
          <w:noProof/>
          <w:lang w:eastAsia="en-GB"/>
        </w:rPr>
      </w:pPr>
      <w:r w:rsidRPr="00434957">
        <w:rPr>
          <w:i/>
          <w:noProof/>
        </w:rPr>
        <w:t>1.5.5.</w:t>
      </w:r>
      <w:r w:rsidRPr="00434957">
        <w:rPr>
          <w:i/>
          <w:noProof/>
        </w:rPr>
        <w:tab/>
      </w:r>
      <w:r w:rsidRPr="00434957">
        <w:rPr>
          <w:i/>
          <w:noProof/>
          <w:lang w:eastAsia="en-GB"/>
        </w:rPr>
        <w:t>Assessment of the different available financing options, including scope for redeployment</w:t>
      </w:r>
    </w:p>
    <w:p w14:paraId="6E0BBE11" w14:textId="1A916B85" w:rsidR="009D4357" w:rsidRPr="000211D6" w:rsidRDefault="009D4357" w:rsidP="009D4357">
      <w:pPr>
        <w:ind w:left="850"/>
        <w:rPr>
          <w:noProof/>
          <w:lang w:eastAsia="en-GB"/>
        </w:rPr>
      </w:pPr>
      <w:r w:rsidRPr="000211D6">
        <w:rPr>
          <w:noProof/>
          <w:lang w:eastAsia="en-GB"/>
        </w:rPr>
        <w:t xml:space="preserve">The appropriations needed to finance the development of the Prüm II framework have not been planned under the Europol and eu-LISA MFF allocations, as this is a new proposal for which amounts were not known at the time of the proposal. It is proposed to </w:t>
      </w:r>
      <w:r w:rsidR="00B135CC">
        <w:rPr>
          <w:noProof/>
          <w:lang w:eastAsia="en-GB"/>
        </w:rPr>
        <w:t>increase</w:t>
      </w:r>
      <w:r w:rsidR="00B135CC" w:rsidRPr="000211D6">
        <w:rPr>
          <w:noProof/>
          <w:lang w:eastAsia="en-GB"/>
        </w:rPr>
        <w:t xml:space="preserve"> </w:t>
      </w:r>
      <w:r w:rsidRPr="000211D6">
        <w:rPr>
          <w:noProof/>
          <w:lang w:eastAsia="en-GB"/>
        </w:rPr>
        <w:t xml:space="preserve">Europol’s and eu-LISA’s </w:t>
      </w:r>
      <w:r w:rsidR="00B135CC">
        <w:rPr>
          <w:noProof/>
          <w:lang w:eastAsia="en-GB"/>
        </w:rPr>
        <w:t>allocations</w:t>
      </w:r>
      <w:r w:rsidR="00B135CC" w:rsidRPr="000211D6">
        <w:rPr>
          <w:noProof/>
          <w:lang w:eastAsia="en-GB"/>
        </w:rPr>
        <w:t xml:space="preserve"> </w:t>
      </w:r>
      <w:r w:rsidRPr="000211D6">
        <w:rPr>
          <w:noProof/>
          <w:lang w:eastAsia="en-GB"/>
        </w:rPr>
        <w:t xml:space="preserve">in years 2024, 2025, 2026 and 2027 by corresponding </w:t>
      </w:r>
      <w:r w:rsidR="00B135CC">
        <w:rPr>
          <w:noProof/>
          <w:lang w:eastAsia="en-GB"/>
        </w:rPr>
        <w:t>reductions in the Internal Security Fund (ISF) and the Border Management and Visa Policy Instrument (BMVI), respectively</w:t>
      </w:r>
      <w:r w:rsidRPr="000211D6">
        <w:rPr>
          <w:noProof/>
          <w:lang w:eastAsia="en-GB"/>
        </w:rPr>
        <w:t>.</w:t>
      </w:r>
      <w:r w:rsidRPr="000211D6">
        <w:rPr>
          <w:i/>
          <w:noProof/>
          <w:lang w:eastAsia="en-GB"/>
        </w:rPr>
        <w:t xml:space="preserve"> </w:t>
      </w:r>
    </w:p>
    <w:p w14:paraId="53877F6C" w14:textId="77777777" w:rsidR="009D4357" w:rsidRPr="00434957" w:rsidRDefault="009D4357" w:rsidP="009D4357">
      <w:pPr>
        <w:keepNext/>
        <w:tabs>
          <w:tab w:val="left" w:pos="850"/>
        </w:tabs>
        <w:ind w:left="850" w:hanging="850"/>
        <w:outlineLvl w:val="1"/>
        <w:rPr>
          <w:b/>
          <w:noProof/>
          <w:szCs w:val="24"/>
          <w:lang w:eastAsia="en-GB"/>
        </w:rPr>
      </w:pPr>
      <w:r w:rsidRPr="00434957">
        <w:rPr>
          <w:b/>
          <w:noProof/>
          <w:lang w:eastAsia="en-GB"/>
        </w:rPr>
        <w:br w:type="page"/>
      </w:r>
      <w:r w:rsidRPr="00434957">
        <w:rPr>
          <w:b/>
          <w:noProof/>
        </w:rPr>
        <w:t>1.6.</w:t>
      </w:r>
      <w:r w:rsidRPr="00434957">
        <w:rPr>
          <w:b/>
          <w:noProof/>
        </w:rPr>
        <w:tab/>
      </w:r>
      <w:r w:rsidRPr="00434957">
        <w:rPr>
          <w:b/>
          <w:noProof/>
          <w:lang w:eastAsia="en-GB"/>
        </w:rPr>
        <w:t xml:space="preserve">Duration and financial impact of the </w:t>
      </w:r>
      <w:r w:rsidRPr="00434957">
        <w:rPr>
          <w:rFonts w:eastAsia="Arial Unicode MS"/>
          <w:b/>
          <w:noProof/>
        </w:rPr>
        <w:t xml:space="preserve">legislative </w:t>
      </w:r>
      <w:r w:rsidRPr="00434957">
        <w:rPr>
          <w:b/>
          <w:noProof/>
          <w:lang w:eastAsia="en-GB"/>
        </w:rPr>
        <w:t>initiative</w:t>
      </w:r>
    </w:p>
    <w:p w14:paraId="103025C8" w14:textId="77777777" w:rsidR="009D4357" w:rsidRPr="00434957" w:rsidRDefault="009D4357" w:rsidP="009D4357">
      <w:pPr>
        <w:ind w:left="850"/>
        <w:rPr>
          <w:noProof/>
          <w:lang w:eastAsia="en-GB"/>
        </w:rPr>
      </w:pPr>
      <w:r w:rsidRPr="00434957">
        <w:rPr>
          <w:noProof/>
          <w:lang w:eastAsia="en-GB"/>
        </w:rPr>
        <w:sym w:font="Wingdings" w:char="F0A8"/>
      </w:r>
      <w:r w:rsidRPr="00434957">
        <w:rPr>
          <w:b/>
          <w:i/>
          <w:noProof/>
          <w:lang w:eastAsia="en-GB"/>
        </w:rPr>
        <w:t xml:space="preserve"> </w:t>
      </w:r>
      <w:r w:rsidRPr="00434957">
        <w:rPr>
          <w:b/>
          <w:noProof/>
          <w:lang w:eastAsia="en-GB"/>
        </w:rPr>
        <w:t xml:space="preserve">limited duration </w:t>
      </w:r>
    </w:p>
    <w:p w14:paraId="22263171" w14:textId="77777777" w:rsidR="009D4357" w:rsidRPr="00434957" w:rsidRDefault="009D4357" w:rsidP="009D4357">
      <w:pPr>
        <w:tabs>
          <w:tab w:val="num" w:pos="1134"/>
        </w:tabs>
        <w:ind w:left="1134" w:hanging="283"/>
        <w:rPr>
          <w:noProof/>
          <w:lang w:eastAsia="en-GB"/>
        </w:rPr>
      </w:pPr>
      <w:r w:rsidRPr="00434957">
        <w:rPr>
          <w:noProof/>
          <w:lang w:eastAsia="en-GB"/>
        </w:rPr>
        <w:sym w:font="Wingdings" w:char="F0A8"/>
      </w:r>
      <w:r w:rsidRPr="00434957">
        <w:rPr>
          <w:noProof/>
          <w:lang w:eastAsia="en-GB"/>
        </w:rPr>
        <w:tab/>
        <w:t xml:space="preserve">Proposal/initiative in effect from [DD/MM]YYYY to [DD/MM]YYYY </w:t>
      </w:r>
    </w:p>
    <w:p w14:paraId="2E436FFA" w14:textId="77777777" w:rsidR="009D4357" w:rsidRPr="00434957" w:rsidRDefault="009D4357" w:rsidP="009D4357">
      <w:pPr>
        <w:tabs>
          <w:tab w:val="num" w:pos="1134"/>
        </w:tabs>
        <w:ind w:left="1134" w:hanging="283"/>
        <w:rPr>
          <w:noProof/>
          <w:lang w:eastAsia="en-GB"/>
        </w:rPr>
      </w:pPr>
      <w:r w:rsidRPr="00434957">
        <w:rPr>
          <w:noProof/>
          <w:lang w:eastAsia="en-GB"/>
        </w:rPr>
        <w:sym w:font="Wingdings" w:char="F0A8"/>
      </w:r>
      <w:r w:rsidRPr="00434957">
        <w:rPr>
          <w:noProof/>
          <w:lang w:eastAsia="en-GB"/>
        </w:rPr>
        <w:tab/>
        <w:t>Financial impact from YYYY to YYYY</w:t>
      </w:r>
    </w:p>
    <w:p w14:paraId="6C2B9EF0" w14:textId="77777777" w:rsidR="009D4357" w:rsidRPr="00434957" w:rsidRDefault="009D4357" w:rsidP="009D4357">
      <w:pPr>
        <w:ind w:left="850"/>
        <w:rPr>
          <w:noProof/>
          <w:lang w:eastAsia="en-GB"/>
        </w:rPr>
      </w:pPr>
      <w:r w:rsidRPr="00434957">
        <w:rPr>
          <w:noProof/>
          <w:lang w:eastAsia="en-GB"/>
        </w:rPr>
        <w:sym w:font="Wingdings" w:char="F078"/>
      </w:r>
      <w:r w:rsidRPr="00434957">
        <w:rPr>
          <w:b/>
          <w:i/>
          <w:noProof/>
          <w:lang w:eastAsia="en-GB"/>
        </w:rPr>
        <w:t xml:space="preserve"> </w:t>
      </w:r>
      <w:r w:rsidRPr="00434957">
        <w:rPr>
          <w:b/>
          <w:noProof/>
          <w:lang w:eastAsia="en-GB"/>
        </w:rPr>
        <w:t>unlimited duration</w:t>
      </w:r>
    </w:p>
    <w:p w14:paraId="607D4436" w14:textId="77777777" w:rsidR="009D4357" w:rsidRPr="00434957" w:rsidRDefault="009D4357" w:rsidP="009D4357">
      <w:pPr>
        <w:tabs>
          <w:tab w:val="num" w:pos="1134"/>
        </w:tabs>
        <w:ind w:left="1134" w:hanging="283"/>
        <w:rPr>
          <w:noProof/>
          <w:lang w:eastAsia="en-GB"/>
        </w:rPr>
      </w:pPr>
      <w:r w:rsidRPr="00434957">
        <w:rPr>
          <w:noProof/>
          <w:lang w:eastAsia="en-GB"/>
        </w:rPr>
        <w:t>Implementation with a start-up period from 202</w:t>
      </w:r>
      <w:r>
        <w:rPr>
          <w:noProof/>
          <w:lang w:eastAsia="en-GB"/>
        </w:rPr>
        <w:t>4</w:t>
      </w:r>
      <w:r w:rsidRPr="00434957">
        <w:rPr>
          <w:noProof/>
          <w:lang w:eastAsia="en-GB"/>
        </w:rPr>
        <w:t xml:space="preserve"> to 202</w:t>
      </w:r>
      <w:r>
        <w:rPr>
          <w:noProof/>
          <w:lang w:eastAsia="en-GB"/>
        </w:rPr>
        <w:t>6</w:t>
      </w:r>
      <w:r w:rsidRPr="00434957">
        <w:rPr>
          <w:noProof/>
          <w:lang w:eastAsia="en-GB"/>
        </w:rPr>
        <w:t xml:space="preserve"> </w:t>
      </w:r>
    </w:p>
    <w:p w14:paraId="40AEC287" w14:textId="77777777" w:rsidR="009D4357" w:rsidRPr="00434957" w:rsidRDefault="009D4357" w:rsidP="009D4357">
      <w:pPr>
        <w:tabs>
          <w:tab w:val="num" w:pos="1134"/>
        </w:tabs>
        <w:ind w:left="1134" w:hanging="283"/>
        <w:rPr>
          <w:noProof/>
          <w:lang w:eastAsia="en-GB"/>
        </w:rPr>
      </w:pPr>
      <w:r w:rsidRPr="00434957">
        <w:rPr>
          <w:noProof/>
          <w:lang w:eastAsia="en-GB"/>
        </w:rPr>
        <w:t>followed by full-scale operation.</w:t>
      </w:r>
    </w:p>
    <w:p w14:paraId="0B699900" w14:textId="77777777" w:rsidR="009D4357" w:rsidRPr="00434957" w:rsidRDefault="009D4357" w:rsidP="009D4357">
      <w:pPr>
        <w:keepNext/>
        <w:tabs>
          <w:tab w:val="left" w:pos="850"/>
        </w:tabs>
        <w:ind w:left="850" w:hanging="850"/>
        <w:outlineLvl w:val="1"/>
        <w:rPr>
          <w:b/>
          <w:noProof/>
          <w:szCs w:val="24"/>
          <w:lang w:eastAsia="en-GB"/>
        </w:rPr>
      </w:pPr>
      <w:r w:rsidRPr="00434957">
        <w:rPr>
          <w:b/>
          <w:noProof/>
        </w:rPr>
        <w:t>1.7.</w:t>
      </w:r>
      <w:r w:rsidRPr="00434957">
        <w:rPr>
          <w:b/>
          <w:noProof/>
        </w:rPr>
        <w:tab/>
      </w:r>
      <w:r w:rsidRPr="00434957">
        <w:rPr>
          <w:b/>
          <w:noProof/>
          <w:lang w:eastAsia="en-GB"/>
        </w:rPr>
        <w:t>Management mode(s) planned</w:t>
      </w:r>
      <w:r w:rsidRPr="005A04A2">
        <w:rPr>
          <w:rStyle w:val="FootnoteReference0"/>
          <w:noProof/>
        </w:rPr>
        <w:footnoteReference w:id="46"/>
      </w:r>
      <w:r w:rsidRPr="00434957">
        <w:rPr>
          <w:b/>
          <w:noProof/>
          <w:vertAlign w:val="superscript"/>
          <w:lang w:eastAsia="en-GB"/>
        </w:rPr>
        <w:t xml:space="preserve"> </w:t>
      </w:r>
    </w:p>
    <w:p w14:paraId="6D1F5450" w14:textId="77777777" w:rsidR="009D4357" w:rsidRPr="00185CB1" w:rsidRDefault="009D4357" w:rsidP="009D4357">
      <w:pPr>
        <w:tabs>
          <w:tab w:val="num" w:pos="1134"/>
        </w:tabs>
        <w:ind w:left="1134" w:hanging="283"/>
        <w:rPr>
          <w:noProof/>
          <w:lang w:eastAsia="en-GB"/>
        </w:rPr>
      </w:pPr>
      <w:r w:rsidRPr="00185CB1">
        <w:rPr>
          <w:noProof/>
          <w:lang w:eastAsia="en-GB"/>
        </w:rPr>
        <w:sym w:font="Wingdings" w:char="F078"/>
      </w:r>
      <w:r w:rsidRPr="00185CB1">
        <w:rPr>
          <w:i/>
          <w:noProof/>
          <w:lang w:eastAsia="en-GB"/>
        </w:rPr>
        <w:t xml:space="preserve"> </w:t>
      </w:r>
      <w:r w:rsidRPr="00185CB1">
        <w:rPr>
          <w:b/>
          <w:noProof/>
          <w:lang w:eastAsia="en-GB"/>
        </w:rPr>
        <w:t>Direct management</w:t>
      </w:r>
      <w:r w:rsidRPr="00185CB1">
        <w:rPr>
          <w:noProof/>
          <w:lang w:eastAsia="en-GB"/>
        </w:rPr>
        <w:t xml:space="preserve"> by the Commission</w:t>
      </w:r>
    </w:p>
    <w:p w14:paraId="65F26D8F" w14:textId="21CE95E8" w:rsidR="009D4357" w:rsidRPr="00185CB1" w:rsidRDefault="009D4357" w:rsidP="00926358">
      <w:pPr>
        <w:pStyle w:val="Tiret0"/>
        <w:numPr>
          <w:ilvl w:val="0"/>
          <w:numId w:val="48"/>
        </w:numPr>
        <w:rPr>
          <w:noProof/>
          <w:lang w:eastAsia="en-GB"/>
        </w:rPr>
      </w:pPr>
      <w:r w:rsidRPr="00185CB1">
        <w:rPr>
          <w:noProof/>
          <w:lang w:eastAsia="en-GB"/>
        </w:rPr>
        <w:t xml:space="preserve">X by its departments, including by its staff in the Union delegations; </w:t>
      </w:r>
    </w:p>
    <w:p w14:paraId="2061E164" w14:textId="4484D6C6" w:rsidR="009D4357" w:rsidRPr="00185CB1" w:rsidRDefault="009D4357" w:rsidP="005A04A2">
      <w:pPr>
        <w:pStyle w:val="Tiret0"/>
        <w:rPr>
          <w:noProof/>
          <w:lang w:eastAsia="en-GB"/>
        </w:rPr>
      </w:pPr>
      <w:r>
        <w:rPr>
          <w:noProof/>
        </w:rPr>
        <w:sym w:font="Wingdings" w:char="F0A8"/>
      </w:r>
      <w:r>
        <w:rPr>
          <w:noProof/>
        </w:rPr>
        <w:t xml:space="preserve"> by </w:t>
      </w:r>
      <w:r w:rsidRPr="00185CB1">
        <w:rPr>
          <w:noProof/>
          <w:lang w:eastAsia="en-GB"/>
        </w:rPr>
        <w:t xml:space="preserve">executive agencies </w:t>
      </w:r>
    </w:p>
    <w:p w14:paraId="66107605" w14:textId="77777777" w:rsidR="009D4357" w:rsidRDefault="009D4357" w:rsidP="009D4357">
      <w:pPr>
        <w:pStyle w:val="Text1"/>
        <w:rPr>
          <w:noProof/>
        </w:rPr>
      </w:pPr>
      <w:r>
        <w:rPr>
          <w:noProof/>
        </w:rPr>
        <w:sym w:font="Wingdings" w:char="F078"/>
      </w:r>
      <w:r>
        <w:rPr>
          <w:b/>
          <w:i/>
          <w:noProof/>
        </w:rPr>
        <w:t xml:space="preserve"> </w:t>
      </w:r>
      <w:r>
        <w:rPr>
          <w:b/>
          <w:noProof/>
        </w:rPr>
        <w:t>Shared management</w:t>
      </w:r>
      <w:r>
        <w:rPr>
          <w:noProof/>
        </w:rPr>
        <w:t xml:space="preserve"> with the Member States </w:t>
      </w:r>
    </w:p>
    <w:p w14:paraId="208C7C9A" w14:textId="77777777" w:rsidR="009D4357" w:rsidRPr="00434957" w:rsidRDefault="009D4357" w:rsidP="009D4357">
      <w:pPr>
        <w:ind w:left="850"/>
        <w:rPr>
          <w:noProof/>
          <w:lang w:eastAsia="en-GB"/>
        </w:rPr>
      </w:pPr>
      <w:r w:rsidRPr="00434957">
        <w:rPr>
          <w:noProof/>
          <w:lang w:eastAsia="en-GB"/>
        </w:rPr>
        <w:sym w:font="Wingdings" w:char="F078"/>
      </w:r>
      <w:r w:rsidRPr="00434957">
        <w:rPr>
          <w:i/>
          <w:noProof/>
          <w:lang w:eastAsia="en-GB"/>
        </w:rPr>
        <w:t xml:space="preserve"> </w:t>
      </w:r>
      <w:r w:rsidRPr="00434957">
        <w:rPr>
          <w:b/>
          <w:noProof/>
          <w:lang w:eastAsia="en-GB"/>
        </w:rPr>
        <w:t>Indirect management</w:t>
      </w:r>
      <w:r w:rsidRPr="00434957">
        <w:rPr>
          <w:noProof/>
          <w:lang w:eastAsia="en-GB"/>
        </w:rPr>
        <w:t xml:space="preserve"> by entrusting budget implementation tasks to:</w:t>
      </w:r>
    </w:p>
    <w:p w14:paraId="4894F12B" w14:textId="77777777" w:rsidR="009D4357" w:rsidRPr="00434957" w:rsidRDefault="009D4357" w:rsidP="009D4357">
      <w:pPr>
        <w:ind w:left="850"/>
        <w:rPr>
          <w:noProof/>
          <w:lang w:eastAsia="en-GB"/>
        </w:rPr>
      </w:pPr>
      <w:r w:rsidRPr="00434957">
        <w:rPr>
          <w:noProof/>
          <w:lang w:eastAsia="en-GB"/>
        </w:rPr>
        <w:sym w:font="Wingdings" w:char="F0A8"/>
      </w:r>
      <w:r w:rsidRPr="00434957">
        <w:rPr>
          <w:noProof/>
          <w:lang w:eastAsia="en-GB"/>
        </w:rPr>
        <w:t xml:space="preserve"> international organisations and their agencies (to be specified);</w:t>
      </w:r>
    </w:p>
    <w:p w14:paraId="14F4D491" w14:textId="77777777" w:rsidR="009D4357" w:rsidRPr="00434957" w:rsidRDefault="009D4357" w:rsidP="009D4357">
      <w:pPr>
        <w:ind w:left="850"/>
        <w:rPr>
          <w:noProof/>
          <w:lang w:eastAsia="en-GB"/>
        </w:rPr>
      </w:pPr>
      <w:r w:rsidRPr="00434957">
        <w:rPr>
          <w:noProof/>
          <w:lang w:eastAsia="en-GB"/>
        </w:rPr>
        <w:sym w:font="Wingdings" w:char="F0A8"/>
      </w:r>
      <w:r w:rsidRPr="00434957">
        <w:rPr>
          <w:noProof/>
          <w:lang w:eastAsia="en-GB"/>
        </w:rPr>
        <w:t>the EIB and the European Investment Fund;</w:t>
      </w:r>
    </w:p>
    <w:p w14:paraId="0F8B7F44" w14:textId="77777777" w:rsidR="009D4357" w:rsidRPr="00434957" w:rsidRDefault="009D4357" w:rsidP="009D4357">
      <w:pPr>
        <w:ind w:left="850"/>
        <w:rPr>
          <w:noProof/>
          <w:lang w:eastAsia="en-GB"/>
        </w:rPr>
      </w:pPr>
      <w:r w:rsidRPr="00434957">
        <w:rPr>
          <w:noProof/>
          <w:lang w:eastAsia="en-GB"/>
        </w:rPr>
        <w:sym w:font="Wingdings" w:char="F078"/>
      </w:r>
      <w:r w:rsidRPr="00434957">
        <w:rPr>
          <w:noProof/>
          <w:lang w:eastAsia="en-GB"/>
        </w:rPr>
        <w:t xml:space="preserve"> bodies referred to in Articles 70 and 71;</w:t>
      </w:r>
    </w:p>
    <w:p w14:paraId="759E1D34" w14:textId="77777777" w:rsidR="009D4357" w:rsidRPr="00434957" w:rsidRDefault="009D4357" w:rsidP="009D4357">
      <w:pPr>
        <w:ind w:left="850"/>
        <w:rPr>
          <w:noProof/>
          <w:lang w:eastAsia="en-GB"/>
        </w:rPr>
      </w:pPr>
      <w:r w:rsidRPr="00434957">
        <w:rPr>
          <w:noProof/>
          <w:lang w:eastAsia="en-GB"/>
        </w:rPr>
        <w:sym w:font="Wingdings" w:char="F0A8"/>
      </w:r>
      <w:r w:rsidRPr="00434957">
        <w:rPr>
          <w:noProof/>
          <w:lang w:eastAsia="en-GB"/>
        </w:rPr>
        <w:t xml:space="preserve"> public law bodies;</w:t>
      </w:r>
    </w:p>
    <w:p w14:paraId="4DD35B5C" w14:textId="77777777" w:rsidR="009D4357" w:rsidRPr="00434957" w:rsidRDefault="009D4357" w:rsidP="009D4357">
      <w:pPr>
        <w:ind w:left="850"/>
        <w:rPr>
          <w:noProof/>
          <w:lang w:eastAsia="en-GB"/>
        </w:rPr>
      </w:pPr>
      <w:r w:rsidRPr="00434957">
        <w:rPr>
          <w:noProof/>
          <w:lang w:eastAsia="en-GB"/>
        </w:rPr>
        <w:sym w:font="Wingdings" w:char="F0A8"/>
      </w:r>
      <w:r w:rsidRPr="00434957">
        <w:rPr>
          <w:noProof/>
          <w:lang w:eastAsia="en-GB"/>
        </w:rPr>
        <w:t xml:space="preserve"> bodies governed by private law with a public service mission to the extent that they provide adequate financial guarantees;</w:t>
      </w:r>
    </w:p>
    <w:p w14:paraId="4064C1D9" w14:textId="77777777" w:rsidR="009D4357" w:rsidRPr="00434957" w:rsidRDefault="009D4357" w:rsidP="009D4357">
      <w:pPr>
        <w:ind w:left="850"/>
        <w:rPr>
          <w:noProof/>
          <w:lang w:eastAsia="en-GB"/>
        </w:rPr>
      </w:pPr>
      <w:r w:rsidRPr="00434957">
        <w:rPr>
          <w:noProof/>
          <w:lang w:eastAsia="en-GB"/>
        </w:rPr>
        <w:sym w:font="Wingdings" w:char="F0A8"/>
      </w:r>
      <w:r w:rsidRPr="00434957">
        <w:rPr>
          <w:noProof/>
          <w:lang w:eastAsia="en-GB"/>
        </w:rPr>
        <w:t xml:space="preserve"> bodies governed by the private law of a Member State that are entrusted with the implementation of a public-private partnership and that provide adequate financial guarantees;</w:t>
      </w:r>
    </w:p>
    <w:p w14:paraId="746D6B1C" w14:textId="77777777" w:rsidR="009D4357" w:rsidRPr="00434957" w:rsidRDefault="009D4357" w:rsidP="009D4357">
      <w:pPr>
        <w:ind w:left="850"/>
        <w:rPr>
          <w:noProof/>
          <w:lang w:eastAsia="en-GB"/>
        </w:rPr>
      </w:pPr>
      <w:r w:rsidRPr="00434957">
        <w:rPr>
          <w:noProof/>
          <w:lang w:eastAsia="en-GB"/>
        </w:rPr>
        <w:sym w:font="Wingdings" w:char="F0A8"/>
      </w:r>
      <w:r w:rsidRPr="00434957">
        <w:rPr>
          <w:noProof/>
          <w:lang w:eastAsia="en-GB"/>
        </w:rPr>
        <w:t xml:space="preserve"> persons entrusted with the implementation of specific actions in the CFSP pursuant to Title V of the TEU, and identified in the relevant basic act.</w:t>
      </w:r>
    </w:p>
    <w:p w14:paraId="24B303BD" w14:textId="77777777" w:rsidR="009D4357" w:rsidRDefault="009D4357" w:rsidP="009D4357">
      <w:pPr>
        <w:rPr>
          <w:noProof/>
          <w:lang w:eastAsia="en-GB"/>
        </w:rPr>
      </w:pPr>
      <w:r w:rsidRPr="00434957">
        <w:rPr>
          <w:noProof/>
          <w:lang w:eastAsia="en-GB"/>
        </w:rPr>
        <w:t>Comments</w:t>
      </w:r>
    </w:p>
    <w:tbl>
      <w:tblPr>
        <w:tblStyle w:val="TableGrid1"/>
        <w:tblW w:w="9640" w:type="dxa"/>
        <w:tblLayout w:type="fixed"/>
        <w:tblLook w:val="04A0" w:firstRow="1" w:lastRow="0" w:firstColumn="1" w:lastColumn="0" w:noHBand="0" w:noVBand="1"/>
      </w:tblPr>
      <w:tblGrid>
        <w:gridCol w:w="3085"/>
        <w:gridCol w:w="1843"/>
        <w:gridCol w:w="1559"/>
        <w:gridCol w:w="1514"/>
        <w:gridCol w:w="1639"/>
      </w:tblGrid>
      <w:tr w:rsidR="009D4357" w:rsidRPr="00185CB1" w14:paraId="4C645DD9" w14:textId="77777777" w:rsidTr="00CE3F2A">
        <w:trPr>
          <w:tblHeader/>
        </w:trPr>
        <w:tc>
          <w:tcPr>
            <w:tcW w:w="3085" w:type="dxa"/>
          </w:tcPr>
          <w:p w14:paraId="02A3392A" w14:textId="77777777" w:rsidR="009D4357" w:rsidRPr="00185CB1" w:rsidRDefault="009D4357" w:rsidP="00CE3F2A">
            <w:pPr>
              <w:jc w:val="center"/>
              <w:rPr>
                <w:rFonts w:eastAsiaTheme="minorHAnsi"/>
                <w:noProof/>
                <w:lang w:eastAsia="en-US"/>
              </w:rPr>
            </w:pPr>
            <w:r w:rsidRPr="00185CB1">
              <w:rPr>
                <w:rFonts w:eastAsiaTheme="minorHAnsi"/>
                <w:noProof/>
                <w:lang w:eastAsia="en-US"/>
              </w:rPr>
              <w:t>Blocks</w:t>
            </w:r>
          </w:p>
        </w:tc>
        <w:tc>
          <w:tcPr>
            <w:tcW w:w="1843" w:type="dxa"/>
          </w:tcPr>
          <w:p w14:paraId="4AD4A905" w14:textId="77777777" w:rsidR="009D4357" w:rsidRPr="00185CB1" w:rsidRDefault="009D4357" w:rsidP="00CE3F2A">
            <w:pPr>
              <w:jc w:val="center"/>
              <w:rPr>
                <w:rFonts w:eastAsiaTheme="minorHAnsi"/>
                <w:noProof/>
                <w:lang w:eastAsia="en-US"/>
              </w:rPr>
            </w:pPr>
            <w:r w:rsidRPr="00185CB1">
              <w:rPr>
                <w:rFonts w:eastAsiaTheme="minorHAnsi"/>
                <w:noProof/>
                <w:lang w:eastAsia="en-US"/>
              </w:rPr>
              <w:t>Development phase</w:t>
            </w:r>
          </w:p>
        </w:tc>
        <w:tc>
          <w:tcPr>
            <w:tcW w:w="1559" w:type="dxa"/>
          </w:tcPr>
          <w:p w14:paraId="5B64F777" w14:textId="77777777" w:rsidR="009D4357" w:rsidRPr="00185CB1" w:rsidRDefault="009D4357" w:rsidP="00CE3F2A">
            <w:pPr>
              <w:jc w:val="center"/>
              <w:rPr>
                <w:rFonts w:eastAsiaTheme="minorHAnsi"/>
                <w:noProof/>
                <w:lang w:eastAsia="en-US"/>
              </w:rPr>
            </w:pPr>
            <w:r w:rsidRPr="00185CB1">
              <w:rPr>
                <w:rFonts w:eastAsiaTheme="minorHAnsi"/>
                <w:noProof/>
                <w:lang w:eastAsia="en-US"/>
              </w:rPr>
              <w:t>Operations phase</w:t>
            </w:r>
          </w:p>
        </w:tc>
        <w:tc>
          <w:tcPr>
            <w:tcW w:w="1514" w:type="dxa"/>
          </w:tcPr>
          <w:p w14:paraId="4B76681F" w14:textId="77777777" w:rsidR="009D4357" w:rsidRPr="00185CB1" w:rsidRDefault="009D4357" w:rsidP="00CE3F2A">
            <w:pPr>
              <w:jc w:val="center"/>
              <w:rPr>
                <w:rFonts w:eastAsiaTheme="minorHAnsi"/>
                <w:noProof/>
                <w:lang w:eastAsia="en-US"/>
              </w:rPr>
            </w:pPr>
            <w:r w:rsidRPr="00185CB1">
              <w:rPr>
                <w:rFonts w:eastAsiaTheme="minorHAnsi"/>
                <w:noProof/>
                <w:lang w:eastAsia="en-US"/>
              </w:rPr>
              <w:t>Management mode</w:t>
            </w:r>
          </w:p>
        </w:tc>
        <w:tc>
          <w:tcPr>
            <w:tcW w:w="1639" w:type="dxa"/>
          </w:tcPr>
          <w:p w14:paraId="18854993" w14:textId="77777777" w:rsidR="009D4357" w:rsidRPr="00185CB1" w:rsidRDefault="009D4357" w:rsidP="00CE3F2A">
            <w:pPr>
              <w:jc w:val="center"/>
              <w:rPr>
                <w:rFonts w:eastAsiaTheme="minorHAnsi"/>
                <w:noProof/>
                <w:lang w:eastAsia="en-US"/>
              </w:rPr>
            </w:pPr>
            <w:r w:rsidRPr="00185CB1">
              <w:rPr>
                <w:rFonts w:eastAsiaTheme="minorHAnsi"/>
                <w:noProof/>
                <w:lang w:eastAsia="en-US"/>
              </w:rPr>
              <w:t>Actor</w:t>
            </w:r>
          </w:p>
        </w:tc>
      </w:tr>
      <w:tr w:rsidR="009D4357" w:rsidRPr="00185CB1" w14:paraId="3E2474FF" w14:textId="77777777" w:rsidTr="00CE3F2A">
        <w:tc>
          <w:tcPr>
            <w:tcW w:w="3085" w:type="dxa"/>
          </w:tcPr>
          <w:p w14:paraId="417138AE" w14:textId="4EFB8995" w:rsidR="009D4357" w:rsidRPr="00185CB1" w:rsidRDefault="009D4357" w:rsidP="00CE3F2A">
            <w:pPr>
              <w:rPr>
                <w:rFonts w:eastAsiaTheme="minorHAnsi"/>
                <w:noProof/>
                <w:lang w:eastAsia="en-US"/>
              </w:rPr>
            </w:pPr>
            <w:r w:rsidRPr="00185CB1">
              <w:rPr>
                <w:rFonts w:eastAsiaTheme="minorHAnsi"/>
                <w:noProof/>
                <w:lang w:eastAsia="en-US"/>
              </w:rPr>
              <w:t xml:space="preserve">Development and maintenance (of </w:t>
            </w:r>
            <w:r w:rsidR="00EC4824">
              <w:rPr>
                <w:rFonts w:eastAsiaTheme="minorHAnsi"/>
                <w:noProof/>
                <w:lang w:eastAsia="en-US"/>
              </w:rPr>
              <w:t>the router and</w:t>
            </w:r>
            <w:r>
              <w:rPr>
                <w:rFonts w:eastAsiaTheme="minorHAnsi"/>
                <w:noProof/>
                <w:lang w:eastAsia="en-US"/>
              </w:rPr>
              <w:t xml:space="preserve"> EPRIS</w:t>
            </w:r>
            <w:r w:rsidRPr="00185CB1">
              <w:rPr>
                <w:rFonts w:eastAsiaTheme="minorHAnsi"/>
                <w:noProof/>
                <w:lang w:eastAsia="en-US"/>
              </w:rPr>
              <w:t>)</w:t>
            </w:r>
          </w:p>
        </w:tc>
        <w:tc>
          <w:tcPr>
            <w:tcW w:w="1843" w:type="dxa"/>
          </w:tcPr>
          <w:p w14:paraId="2F9845CD" w14:textId="77777777" w:rsidR="009D4357" w:rsidRPr="00185CB1" w:rsidRDefault="009D4357" w:rsidP="00CE3F2A">
            <w:pPr>
              <w:rPr>
                <w:rFonts w:eastAsiaTheme="minorHAnsi"/>
                <w:noProof/>
                <w:lang w:eastAsia="en-US"/>
              </w:rPr>
            </w:pPr>
            <w:r w:rsidRPr="00185CB1">
              <w:rPr>
                <w:rFonts w:eastAsiaTheme="minorHAnsi"/>
                <w:noProof/>
                <w:lang w:eastAsia="en-US"/>
              </w:rPr>
              <w:t>X</w:t>
            </w:r>
          </w:p>
        </w:tc>
        <w:tc>
          <w:tcPr>
            <w:tcW w:w="1559" w:type="dxa"/>
          </w:tcPr>
          <w:p w14:paraId="7FBA9419" w14:textId="77777777" w:rsidR="009D4357" w:rsidRPr="00185CB1" w:rsidRDefault="009D4357" w:rsidP="00CE3F2A">
            <w:pPr>
              <w:rPr>
                <w:rFonts w:eastAsiaTheme="minorHAnsi"/>
                <w:noProof/>
                <w:lang w:eastAsia="en-US"/>
              </w:rPr>
            </w:pPr>
            <w:r w:rsidRPr="00185CB1">
              <w:rPr>
                <w:rFonts w:eastAsiaTheme="minorHAnsi"/>
                <w:noProof/>
                <w:lang w:eastAsia="en-US"/>
              </w:rPr>
              <w:t>X</w:t>
            </w:r>
          </w:p>
        </w:tc>
        <w:tc>
          <w:tcPr>
            <w:tcW w:w="1514" w:type="dxa"/>
          </w:tcPr>
          <w:p w14:paraId="33D07FFD" w14:textId="77777777" w:rsidR="009D4357" w:rsidRPr="00185CB1" w:rsidRDefault="009D4357" w:rsidP="00CE3F2A">
            <w:pPr>
              <w:rPr>
                <w:rFonts w:eastAsiaTheme="minorHAnsi"/>
                <w:noProof/>
                <w:lang w:eastAsia="en-US"/>
              </w:rPr>
            </w:pPr>
            <w:r w:rsidRPr="00185CB1">
              <w:rPr>
                <w:rFonts w:eastAsiaTheme="minorHAnsi"/>
                <w:noProof/>
                <w:lang w:eastAsia="en-US"/>
              </w:rPr>
              <w:t>Indirect</w:t>
            </w:r>
          </w:p>
        </w:tc>
        <w:tc>
          <w:tcPr>
            <w:tcW w:w="1639" w:type="dxa"/>
          </w:tcPr>
          <w:p w14:paraId="60CADEF4" w14:textId="77777777" w:rsidR="009D4357" w:rsidRPr="00185CB1" w:rsidRDefault="009D4357" w:rsidP="00CE3F2A">
            <w:pPr>
              <w:rPr>
                <w:rFonts w:eastAsiaTheme="minorHAnsi"/>
                <w:noProof/>
                <w:lang w:eastAsia="en-US"/>
              </w:rPr>
            </w:pPr>
            <w:r w:rsidRPr="00185CB1">
              <w:rPr>
                <w:rFonts w:eastAsiaTheme="minorHAnsi"/>
                <w:noProof/>
                <w:lang w:eastAsia="en-US"/>
              </w:rPr>
              <w:t>eu-LISA</w:t>
            </w:r>
            <w:r w:rsidRPr="00185CB1">
              <w:rPr>
                <w:rFonts w:eastAsiaTheme="minorHAnsi"/>
                <w:noProof/>
                <w:lang w:eastAsia="en-US"/>
              </w:rPr>
              <w:br/>
              <w:t>Europol</w:t>
            </w:r>
            <w:r w:rsidRPr="00185CB1">
              <w:rPr>
                <w:rFonts w:eastAsiaTheme="minorHAnsi"/>
                <w:noProof/>
                <w:lang w:eastAsia="en-US"/>
              </w:rPr>
              <w:br/>
            </w:r>
          </w:p>
          <w:p w14:paraId="61D832DF" w14:textId="77777777" w:rsidR="009D4357" w:rsidRPr="00185CB1" w:rsidRDefault="009D4357" w:rsidP="00CE3F2A">
            <w:pPr>
              <w:rPr>
                <w:rFonts w:eastAsiaTheme="minorHAnsi"/>
                <w:noProof/>
                <w:lang w:eastAsia="en-US"/>
              </w:rPr>
            </w:pPr>
          </w:p>
        </w:tc>
      </w:tr>
      <w:tr w:rsidR="009D4357" w:rsidRPr="00185CB1" w14:paraId="135A8834" w14:textId="77777777" w:rsidTr="00CE3F2A">
        <w:tc>
          <w:tcPr>
            <w:tcW w:w="3085" w:type="dxa"/>
          </w:tcPr>
          <w:p w14:paraId="17A92844" w14:textId="77777777" w:rsidR="009D4357" w:rsidRPr="00185CB1" w:rsidRDefault="009D4357" w:rsidP="00CE3F2A">
            <w:pPr>
              <w:rPr>
                <w:rFonts w:eastAsiaTheme="minorHAnsi"/>
                <w:noProof/>
                <w:lang w:eastAsia="en-US"/>
              </w:rPr>
            </w:pPr>
            <w:r>
              <w:rPr>
                <w:rFonts w:eastAsiaTheme="minorHAnsi"/>
                <w:noProof/>
                <w:lang w:eastAsia="en-US"/>
              </w:rPr>
              <w:t>Adaptation of the Europol databases</w:t>
            </w:r>
            <w:r w:rsidRPr="00185CB1">
              <w:rPr>
                <w:rFonts w:eastAsiaTheme="minorHAnsi"/>
                <w:noProof/>
                <w:lang w:eastAsia="en-US"/>
              </w:rPr>
              <w:t xml:space="preserve"> </w:t>
            </w:r>
          </w:p>
        </w:tc>
        <w:tc>
          <w:tcPr>
            <w:tcW w:w="1843" w:type="dxa"/>
          </w:tcPr>
          <w:p w14:paraId="4F7A7312" w14:textId="77777777" w:rsidR="009D4357" w:rsidRPr="00185CB1" w:rsidRDefault="009D4357" w:rsidP="00CE3F2A">
            <w:pPr>
              <w:rPr>
                <w:rFonts w:eastAsiaTheme="minorHAnsi"/>
                <w:noProof/>
                <w:lang w:eastAsia="en-US"/>
              </w:rPr>
            </w:pPr>
            <w:r w:rsidRPr="00185CB1">
              <w:rPr>
                <w:rFonts w:eastAsiaTheme="minorHAnsi"/>
                <w:noProof/>
                <w:lang w:eastAsia="en-US"/>
              </w:rPr>
              <w:t>X</w:t>
            </w:r>
          </w:p>
        </w:tc>
        <w:tc>
          <w:tcPr>
            <w:tcW w:w="1559" w:type="dxa"/>
          </w:tcPr>
          <w:p w14:paraId="279D667D" w14:textId="77777777" w:rsidR="009D4357" w:rsidRPr="00185CB1" w:rsidRDefault="009D4357" w:rsidP="00CE3F2A">
            <w:pPr>
              <w:rPr>
                <w:rFonts w:eastAsiaTheme="minorHAnsi"/>
                <w:noProof/>
                <w:lang w:eastAsia="en-US"/>
              </w:rPr>
            </w:pPr>
            <w:r w:rsidRPr="00185CB1">
              <w:rPr>
                <w:rFonts w:eastAsiaTheme="minorHAnsi"/>
                <w:noProof/>
                <w:lang w:eastAsia="en-US"/>
              </w:rPr>
              <w:t>X</w:t>
            </w:r>
          </w:p>
        </w:tc>
        <w:tc>
          <w:tcPr>
            <w:tcW w:w="1514" w:type="dxa"/>
          </w:tcPr>
          <w:p w14:paraId="5C7180EE" w14:textId="77777777" w:rsidR="009D4357" w:rsidRPr="00185CB1" w:rsidRDefault="009D4357" w:rsidP="00CE3F2A">
            <w:pPr>
              <w:rPr>
                <w:rFonts w:eastAsiaTheme="minorHAnsi"/>
                <w:noProof/>
                <w:lang w:eastAsia="en-US"/>
              </w:rPr>
            </w:pPr>
            <w:r w:rsidRPr="00185CB1">
              <w:rPr>
                <w:rFonts w:eastAsiaTheme="minorHAnsi"/>
                <w:noProof/>
                <w:lang w:eastAsia="en-US"/>
              </w:rPr>
              <w:t>Indirect</w:t>
            </w:r>
          </w:p>
        </w:tc>
        <w:tc>
          <w:tcPr>
            <w:tcW w:w="1639" w:type="dxa"/>
          </w:tcPr>
          <w:p w14:paraId="096C1B28" w14:textId="77777777" w:rsidR="009D4357" w:rsidRPr="00185CB1" w:rsidRDefault="009D4357" w:rsidP="00CE3F2A">
            <w:pPr>
              <w:rPr>
                <w:rFonts w:eastAsiaTheme="minorHAnsi"/>
                <w:noProof/>
                <w:lang w:eastAsia="en-US"/>
              </w:rPr>
            </w:pPr>
            <w:r>
              <w:rPr>
                <w:rFonts w:eastAsiaTheme="minorHAnsi"/>
                <w:noProof/>
                <w:lang w:eastAsia="en-US"/>
              </w:rPr>
              <w:t>Europol</w:t>
            </w:r>
          </w:p>
        </w:tc>
      </w:tr>
      <w:tr w:rsidR="009D4357" w:rsidRPr="00185CB1" w14:paraId="5E4D5044" w14:textId="77777777" w:rsidTr="00CE3F2A">
        <w:tc>
          <w:tcPr>
            <w:tcW w:w="3085" w:type="dxa"/>
          </w:tcPr>
          <w:p w14:paraId="1327EEFC" w14:textId="3ED8CADA" w:rsidR="009D4357" w:rsidRPr="00185CB1" w:rsidRDefault="009D4357" w:rsidP="00CE3F2A">
            <w:pPr>
              <w:rPr>
                <w:rFonts w:eastAsiaTheme="minorHAnsi"/>
                <w:noProof/>
                <w:lang w:eastAsia="en-US"/>
              </w:rPr>
            </w:pPr>
            <w:r>
              <w:rPr>
                <w:rFonts w:eastAsiaTheme="minorHAnsi"/>
                <w:noProof/>
                <w:lang w:eastAsia="en-US"/>
              </w:rPr>
              <w:t>Development or improvements to existing national databases</w:t>
            </w:r>
            <w:r w:rsidR="00EC4824">
              <w:rPr>
                <w:rFonts w:eastAsiaTheme="minorHAnsi"/>
                <w:noProof/>
                <w:lang w:eastAsia="en-US"/>
              </w:rPr>
              <w:t>,</w:t>
            </w:r>
            <w:r w:rsidRPr="00185CB1">
              <w:rPr>
                <w:rFonts w:eastAsiaTheme="minorHAnsi"/>
                <w:noProof/>
                <w:lang w:eastAsia="en-US"/>
              </w:rPr>
              <w:t xml:space="preserve"> integration of national systems </w:t>
            </w:r>
          </w:p>
        </w:tc>
        <w:tc>
          <w:tcPr>
            <w:tcW w:w="1843" w:type="dxa"/>
          </w:tcPr>
          <w:p w14:paraId="7E0806F2" w14:textId="77777777" w:rsidR="009D4357" w:rsidRPr="00185CB1" w:rsidRDefault="009D4357" w:rsidP="00CE3F2A">
            <w:pPr>
              <w:rPr>
                <w:rFonts w:eastAsiaTheme="minorHAnsi"/>
                <w:noProof/>
                <w:lang w:eastAsia="en-US"/>
              </w:rPr>
            </w:pPr>
            <w:r w:rsidRPr="00185CB1">
              <w:rPr>
                <w:rFonts w:eastAsiaTheme="minorHAnsi"/>
                <w:noProof/>
                <w:lang w:eastAsia="en-US"/>
              </w:rPr>
              <w:t>X</w:t>
            </w:r>
          </w:p>
        </w:tc>
        <w:tc>
          <w:tcPr>
            <w:tcW w:w="1559" w:type="dxa"/>
          </w:tcPr>
          <w:p w14:paraId="14FF641C" w14:textId="77777777" w:rsidR="009D4357" w:rsidRPr="00185CB1" w:rsidRDefault="009D4357" w:rsidP="00CE3F2A">
            <w:pPr>
              <w:rPr>
                <w:rFonts w:eastAsiaTheme="minorHAnsi"/>
                <w:noProof/>
                <w:lang w:eastAsia="en-US"/>
              </w:rPr>
            </w:pPr>
            <w:r w:rsidRPr="00185CB1">
              <w:rPr>
                <w:rFonts w:eastAsiaTheme="minorHAnsi"/>
                <w:noProof/>
                <w:lang w:eastAsia="en-US"/>
              </w:rPr>
              <w:t xml:space="preserve">X </w:t>
            </w:r>
          </w:p>
        </w:tc>
        <w:tc>
          <w:tcPr>
            <w:tcW w:w="1514" w:type="dxa"/>
          </w:tcPr>
          <w:p w14:paraId="24B032C2" w14:textId="77777777" w:rsidR="009D4357" w:rsidRPr="00185CB1" w:rsidRDefault="009D4357" w:rsidP="00CE3F2A">
            <w:pPr>
              <w:rPr>
                <w:rFonts w:eastAsiaTheme="minorHAnsi"/>
                <w:noProof/>
                <w:lang w:eastAsia="en-US"/>
              </w:rPr>
            </w:pPr>
            <w:r w:rsidRPr="00185CB1">
              <w:rPr>
                <w:rFonts w:eastAsiaTheme="minorHAnsi"/>
                <w:noProof/>
                <w:lang w:eastAsia="en-US"/>
              </w:rPr>
              <w:t>Shared</w:t>
            </w:r>
            <w:r w:rsidRPr="00185CB1">
              <w:rPr>
                <w:rFonts w:eastAsiaTheme="minorHAnsi"/>
                <w:noProof/>
                <w:lang w:eastAsia="en-US"/>
              </w:rPr>
              <w:br/>
              <w:t xml:space="preserve"> (or direct) </w:t>
            </w:r>
          </w:p>
        </w:tc>
        <w:tc>
          <w:tcPr>
            <w:tcW w:w="1639" w:type="dxa"/>
          </w:tcPr>
          <w:p w14:paraId="1697F2E1" w14:textId="77777777" w:rsidR="009D4357" w:rsidRPr="00185CB1" w:rsidRDefault="009D4357" w:rsidP="00CE3F2A">
            <w:pPr>
              <w:rPr>
                <w:rFonts w:eastAsiaTheme="minorHAnsi"/>
                <w:noProof/>
                <w:lang w:eastAsia="en-US"/>
              </w:rPr>
            </w:pPr>
            <w:r w:rsidRPr="00185CB1">
              <w:rPr>
                <w:rFonts w:eastAsiaTheme="minorHAnsi"/>
                <w:noProof/>
                <w:lang w:eastAsia="en-US"/>
              </w:rPr>
              <w:t>COM</w:t>
            </w:r>
            <w:r w:rsidRPr="00185CB1">
              <w:rPr>
                <w:rFonts w:eastAsiaTheme="minorHAnsi"/>
                <w:noProof/>
                <w:lang w:eastAsia="en-US"/>
              </w:rPr>
              <w:br/>
              <w:t xml:space="preserve">+ </w:t>
            </w:r>
            <w:r w:rsidRPr="00185CB1">
              <w:rPr>
                <w:rFonts w:eastAsiaTheme="minorHAnsi"/>
                <w:noProof/>
                <w:lang w:eastAsia="en-US"/>
              </w:rPr>
              <w:br/>
              <w:t>Member States</w:t>
            </w:r>
          </w:p>
        </w:tc>
      </w:tr>
    </w:tbl>
    <w:p w14:paraId="570D3930" w14:textId="77777777" w:rsidR="009D4357" w:rsidRPr="00434957" w:rsidRDefault="009D4357" w:rsidP="009D4357">
      <w:pPr>
        <w:rPr>
          <w:noProof/>
          <w:lang w:eastAsia="en-GB"/>
        </w:rPr>
      </w:pPr>
    </w:p>
    <w:p w14:paraId="3157C346" w14:textId="77777777" w:rsidR="009D4357" w:rsidRDefault="009D4357" w:rsidP="009D4357">
      <w:pPr>
        <w:pBdr>
          <w:top w:val="single" w:sz="4" w:space="1" w:color="auto"/>
          <w:left w:val="single" w:sz="4" w:space="4" w:color="auto"/>
          <w:bottom w:val="single" w:sz="4" w:space="1" w:color="auto"/>
          <w:right w:val="single" w:sz="4" w:space="4" w:color="auto"/>
        </w:pBdr>
        <w:rPr>
          <w:noProof/>
          <w:szCs w:val="20"/>
        </w:rPr>
      </w:pPr>
      <w:r w:rsidRPr="00185CB1">
        <w:rPr>
          <w:noProof/>
          <w:szCs w:val="20"/>
        </w:rPr>
        <w:t>The development period starts from 20</w:t>
      </w:r>
      <w:r>
        <w:rPr>
          <w:noProof/>
          <w:szCs w:val="20"/>
        </w:rPr>
        <w:t>24</w:t>
      </w:r>
      <w:r w:rsidRPr="00185CB1">
        <w:rPr>
          <w:noProof/>
          <w:szCs w:val="20"/>
        </w:rPr>
        <w:t xml:space="preserve"> and lasts till the delivery of each </w:t>
      </w:r>
      <w:r>
        <w:rPr>
          <w:noProof/>
          <w:szCs w:val="20"/>
        </w:rPr>
        <w:t>part of the intiative</w:t>
      </w:r>
      <w:r w:rsidRPr="00185CB1">
        <w:rPr>
          <w:noProof/>
          <w:szCs w:val="20"/>
        </w:rPr>
        <w:t xml:space="preserve">, running from </w:t>
      </w:r>
      <w:r>
        <w:rPr>
          <w:noProof/>
          <w:szCs w:val="20"/>
        </w:rPr>
        <w:t>2024 to 2027</w:t>
      </w:r>
      <w:r w:rsidRPr="00185CB1">
        <w:rPr>
          <w:noProof/>
          <w:szCs w:val="20"/>
        </w:rPr>
        <w:t>.</w:t>
      </w:r>
    </w:p>
    <w:p w14:paraId="0EEB304C" w14:textId="0E58D2DD" w:rsidR="009D4357" w:rsidRPr="004974B1" w:rsidRDefault="009D4357" w:rsidP="009D4357">
      <w:pPr>
        <w:pBdr>
          <w:top w:val="single" w:sz="4" w:space="1" w:color="auto"/>
          <w:left w:val="single" w:sz="4" w:space="4" w:color="auto"/>
          <w:bottom w:val="single" w:sz="4" w:space="1" w:color="auto"/>
          <w:right w:val="single" w:sz="4" w:space="4" w:color="auto"/>
        </w:pBdr>
        <w:rPr>
          <w:noProof/>
          <w:szCs w:val="20"/>
        </w:rPr>
      </w:pPr>
      <w:r w:rsidRPr="004974B1">
        <w:rPr>
          <w:noProof/>
          <w:szCs w:val="20"/>
        </w:rPr>
        <w:t>1. Direct management by DG HOME: During the development period, if necessary, actions may also be implemented directly by the Commission. This could include, in particular, Union financial support for activities in the form of grants (including to Member State national authorities), public procurement contracts and/or reimbursement of costs incurred by external experts.</w:t>
      </w:r>
    </w:p>
    <w:p w14:paraId="6FA87B3E" w14:textId="77777777" w:rsidR="009D4357" w:rsidRPr="004974B1" w:rsidRDefault="009D4357" w:rsidP="009D4357">
      <w:pPr>
        <w:pBdr>
          <w:top w:val="single" w:sz="4" w:space="1" w:color="auto"/>
          <w:left w:val="single" w:sz="4" w:space="4" w:color="auto"/>
          <w:bottom w:val="single" w:sz="4" w:space="1" w:color="auto"/>
          <w:right w:val="single" w:sz="4" w:space="4" w:color="auto"/>
        </w:pBdr>
        <w:rPr>
          <w:noProof/>
          <w:szCs w:val="20"/>
        </w:rPr>
      </w:pPr>
      <w:r w:rsidRPr="004974B1">
        <w:rPr>
          <w:noProof/>
          <w:szCs w:val="20"/>
        </w:rPr>
        <w:t xml:space="preserve">2. Shared management: During the development phase, Member States will be required to adapt their national systems in order to </w:t>
      </w:r>
      <w:r>
        <w:rPr>
          <w:noProof/>
          <w:szCs w:val="20"/>
        </w:rPr>
        <w:t>connect to the router and EPRIS as well as provide for the necessary measures to ensure exchanges of facial images and police records.</w:t>
      </w:r>
      <w:r w:rsidRPr="004974B1">
        <w:rPr>
          <w:noProof/>
          <w:szCs w:val="20"/>
        </w:rPr>
        <w:t xml:space="preserve"> </w:t>
      </w:r>
    </w:p>
    <w:p w14:paraId="2D8CFD19" w14:textId="77777777" w:rsidR="009D4357" w:rsidRPr="004974B1" w:rsidRDefault="009D4357" w:rsidP="009D4357">
      <w:pPr>
        <w:pBdr>
          <w:top w:val="single" w:sz="4" w:space="1" w:color="auto"/>
          <w:left w:val="single" w:sz="4" w:space="4" w:color="auto"/>
          <w:bottom w:val="single" w:sz="4" w:space="1" w:color="auto"/>
          <w:right w:val="single" w:sz="4" w:space="4" w:color="auto"/>
        </w:pBdr>
        <w:rPr>
          <w:noProof/>
          <w:szCs w:val="20"/>
        </w:rPr>
      </w:pPr>
      <w:r w:rsidRPr="004974B1">
        <w:rPr>
          <w:noProof/>
          <w:szCs w:val="20"/>
        </w:rPr>
        <w:t>3. Indirect management: eu-LISA</w:t>
      </w:r>
      <w:r>
        <w:rPr>
          <w:noProof/>
          <w:szCs w:val="20"/>
        </w:rPr>
        <w:t xml:space="preserve"> and Europol</w:t>
      </w:r>
      <w:r w:rsidRPr="004974B1">
        <w:rPr>
          <w:noProof/>
          <w:szCs w:val="20"/>
        </w:rPr>
        <w:t xml:space="preserve"> will cover the development part of </w:t>
      </w:r>
      <w:r>
        <w:rPr>
          <w:noProof/>
          <w:szCs w:val="20"/>
        </w:rPr>
        <w:t>the</w:t>
      </w:r>
      <w:r w:rsidRPr="004974B1">
        <w:rPr>
          <w:noProof/>
          <w:szCs w:val="20"/>
        </w:rPr>
        <w:t xml:space="preserve"> IT strands of the project, i.e. the </w:t>
      </w:r>
      <w:r>
        <w:rPr>
          <w:noProof/>
          <w:szCs w:val="20"/>
        </w:rPr>
        <w:t>router and EPRIS respectively. This would include any necessary changes to their existing architecture to ensure the capabilities described in the proposal</w:t>
      </w:r>
      <w:r w:rsidRPr="004974B1">
        <w:rPr>
          <w:noProof/>
          <w:szCs w:val="20"/>
        </w:rPr>
        <w:t xml:space="preserve">. </w:t>
      </w:r>
    </w:p>
    <w:p w14:paraId="14D6806D" w14:textId="77777777" w:rsidR="009D4357" w:rsidRPr="004974B1" w:rsidRDefault="009D4357" w:rsidP="009D4357">
      <w:pPr>
        <w:pBdr>
          <w:top w:val="single" w:sz="4" w:space="1" w:color="auto"/>
          <w:left w:val="single" w:sz="4" w:space="4" w:color="auto"/>
          <w:bottom w:val="single" w:sz="4" w:space="1" w:color="auto"/>
          <w:right w:val="single" w:sz="4" w:space="4" w:color="auto"/>
        </w:pBdr>
        <w:rPr>
          <w:noProof/>
          <w:szCs w:val="20"/>
        </w:rPr>
      </w:pPr>
      <w:r w:rsidRPr="004974B1">
        <w:rPr>
          <w:noProof/>
          <w:szCs w:val="20"/>
        </w:rPr>
        <w:t xml:space="preserve">During the period of operations, eu-LISA </w:t>
      </w:r>
      <w:r>
        <w:rPr>
          <w:noProof/>
          <w:szCs w:val="20"/>
        </w:rPr>
        <w:t xml:space="preserve">and Europol </w:t>
      </w:r>
      <w:r w:rsidRPr="004974B1">
        <w:rPr>
          <w:noProof/>
          <w:szCs w:val="20"/>
        </w:rPr>
        <w:t xml:space="preserve">will execute all technical activities linked to the maintenance of the </w:t>
      </w:r>
      <w:r>
        <w:rPr>
          <w:noProof/>
          <w:szCs w:val="20"/>
        </w:rPr>
        <w:t>router and EPRIS respectively</w:t>
      </w:r>
      <w:r w:rsidRPr="004974B1">
        <w:rPr>
          <w:noProof/>
          <w:szCs w:val="20"/>
        </w:rPr>
        <w:t>.</w:t>
      </w:r>
    </w:p>
    <w:p w14:paraId="04098EFF" w14:textId="77777777" w:rsidR="009D4357" w:rsidRPr="004974B1" w:rsidRDefault="009D4357" w:rsidP="009D4357">
      <w:pPr>
        <w:pBdr>
          <w:top w:val="single" w:sz="4" w:space="1" w:color="auto"/>
          <w:left w:val="single" w:sz="4" w:space="4" w:color="auto"/>
          <w:bottom w:val="single" w:sz="4" w:space="1" w:color="auto"/>
          <w:right w:val="single" w:sz="4" w:space="4" w:color="auto"/>
        </w:pBdr>
        <w:rPr>
          <w:noProof/>
          <w:szCs w:val="20"/>
        </w:rPr>
      </w:pPr>
      <w:r w:rsidRPr="004974B1">
        <w:rPr>
          <w:noProof/>
          <w:szCs w:val="20"/>
        </w:rPr>
        <w:t xml:space="preserve">Europol will cover the development and maintenance of its systems to ensure </w:t>
      </w:r>
      <w:r>
        <w:rPr>
          <w:noProof/>
          <w:szCs w:val="20"/>
        </w:rPr>
        <w:t>that their data is available in the context of the Prüm framework</w:t>
      </w:r>
      <w:r w:rsidRPr="004974B1">
        <w:rPr>
          <w:noProof/>
          <w:szCs w:val="20"/>
        </w:rPr>
        <w:t>.</w:t>
      </w:r>
    </w:p>
    <w:p w14:paraId="7DBF855B" w14:textId="77777777" w:rsidR="009D4357" w:rsidRPr="004974B1" w:rsidRDefault="009D4357" w:rsidP="009D4357">
      <w:pPr>
        <w:pBdr>
          <w:top w:val="single" w:sz="4" w:space="1" w:color="auto"/>
          <w:left w:val="single" w:sz="4" w:space="4" w:color="auto"/>
          <w:bottom w:val="single" w:sz="4" w:space="1" w:color="auto"/>
          <w:right w:val="single" w:sz="4" w:space="4" w:color="auto"/>
        </w:pBdr>
        <w:rPr>
          <w:noProof/>
          <w:szCs w:val="20"/>
        </w:rPr>
      </w:pPr>
    </w:p>
    <w:p w14:paraId="376BE128" w14:textId="77777777" w:rsidR="009D4357" w:rsidRPr="00185CB1" w:rsidRDefault="009D4357" w:rsidP="009D4357">
      <w:pPr>
        <w:pBdr>
          <w:top w:val="single" w:sz="4" w:space="1" w:color="auto"/>
          <w:left w:val="single" w:sz="4" w:space="4" w:color="auto"/>
          <w:bottom w:val="single" w:sz="4" w:space="1" w:color="auto"/>
          <w:right w:val="single" w:sz="4" w:space="4" w:color="auto"/>
        </w:pBdr>
        <w:rPr>
          <w:noProof/>
          <w:lang w:eastAsia="en-GB"/>
        </w:rPr>
      </w:pPr>
    </w:p>
    <w:p w14:paraId="40A980FD" w14:textId="77777777" w:rsidR="009D4357" w:rsidRPr="00434957" w:rsidRDefault="009D4357" w:rsidP="009D4357">
      <w:pPr>
        <w:rPr>
          <w:noProof/>
          <w:lang w:eastAsia="en-GB"/>
        </w:rPr>
      </w:pPr>
      <w:r w:rsidRPr="00434957">
        <w:rPr>
          <w:noProof/>
          <w:lang w:eastAsia="en-GB"/>
        </w:rPr>
        <w:t xml:space="preserve"> </w:t>
      </w:r>
    </w:p>
    <w:p w14:paraId="41C6525C" w14:textId="77777777" w:rsidR="009D4357" w:rsidRPr="00434957" w:rsidRDefault="009D4357" w:rsidP="009D4357">
      <w:pPr>
        <w:rPr>
          <w:noProof/>
          <w:lang w:eastAsia="en-GB"/>
        </w:rPr>
        <w:sectPr w:rsidR="009D4357" w:rsidRPr="00434957" w:rsidSect="009D02A3">
          <w:pgSz w:w="12240" w:h="15840"/>
          <w:pgMar w:top="794" w:right="907" w:bottom="851" w:left="1361" w:header="510" w:footer="454" w:gutter="0"/>
          <w:cols w:space="720"/>
          <w:docGrid w:linePitch="326"/>
        </w:sectPr>
      </w:pPr>
    </w:p>
    <w:p w14:paraId="70527533" w14:textId="77777777" w:rsidR="009D4357" w:rsidRPr="00434957" w:rsidRDefault="009D4357" w:rsidP="009D4357">
      <w:pPr>
        <w:keepNext/>
        <w:tabs>
          <w:tab w:val="left" w:pos="850"/>
        </w:tabs>
        <w:spacing w:before="360"/>
        <w:ind w:left="850" w:hanging="850"/>
        <w:outlineLvl w:val="0"/>
        <w:rPr>
          <w:b/>
          <w:smallCaps/>
          <w:noProof/>
          <w:szCs w:val="24"/>
          <w:lang w:eastAsia="en-GB"/>
        </w:rPr>
      </w:pPr>
      <w:r w:rsidRPr="00434957">
        <w:rPr>
          <w:b/>
          <w:smallCaps/>
          <w:noProof/>
        </w:rPr>
        <w:t>2.</w:t>
      </w:r>
      <w:r w:rsidRPr="00434957">
        <w:rPr>
          <w:b/>
          <w:smallCaps/>
          <w:noProof/>
        </w:rPr>
        <w:tab/>
      </w:r>
      <w:r w:rsidRPr="00434957">
        <w:rPr>
          <w:b/>
          <w:smallCaps/>
          <w:noProof/>
          <w:lang w:eastAsia="en-GB"/>
        </w:rPr>
        <w:t xml:space="preserve">MANAGEMENT MEASURES </w:t>
      </w:r>
    </w:p>
    <w:p w14:paraId="2667274E" w14:textId="77777777" w:rsidR="009D4357" w:rsidRPr="00434957" w:rsidRDefault="009D4357" w:rsidP="009D4357">
      <w:pPr>
        <w:keepNext/>
        <w:tabs>
          <w:tab w:val="left" w:pos="850"/>
        </w:tabs>
        <w:ind w:left="850" w:hanging="850"/>
        <w:outlineLvl w:val="1"/>
        <w:rPr>
          <w:b/>
          <w:noProof/>
          <w:szCs w:val="24"/>
          <w:lang w:eastAsia="en-GB"/>
        </w:rPr>
      </w:pPr>
      <w:r w:rsidRPr="00434957">
        <w:rPr>
          <w:b/>
          <w:noProof/>
        </w:rPr>
        <w:t>2.1.</w:t>
      </w:r>
      <w:r w:rsidRPr="00434957">
        <w:rPr>
          <w:b/>
          <w:noProof/>
        </w:rPr>
        <w:tab/>
      </w:r>
      <w:r w:rsidRPr="00434957">
        <w:rPr>
          <w:b/>
          <w:noProof/>
          <w:lang w:eastAsia="en-GB"/>
        </w:rPr>
        <w:t xml:space="preserve">Monitoring and reporting rules </w:t>
      </w:r>
    </w:p>
    <w:p w14:paraId="5E5BA5E3" w14:textId="77777777" w:rsidR="009D4357" w:rsidRPr="00434957" w:rsidRDefault="009D4357" w:rsidP="009D4357">
      <w:pPr>
        <w:ind w:left="850"/>
        <w:rPr>
          <w:i/>
          <w:noProof/>
          <w:sz w:val="20"/>
          <w:lang w:eastAsia="en-GB"/>
        </w:rPr>
      </w:pPr>
      <w:r w:rsidRPr="00434957">
        <w:rPr>
          <w:i/>
          <w:noProof/>
          <w:sz w:val="20"/>
          <w:lang w:eastAsia="en-GB"/>
        </w:rPr>
        <w:t>Specify frequency and conditions.</w:t>
      </w:r>
    </w:p>
    <w:p w14:paraId="7CF7EB66" w14:textId="77777777" w:rsidR="009D4357" w:rsidRPr="009132BA"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9132BA">
        <w:rPr>
          <w:noProof/>
          <w:lang w:eastAsia="en-GB"/>
        </w:rPr>
        <w:t>eu-LISA and Europol shall, respectively, ensure that procedures are in place to monitor the development of the router and EPRIS in light of objectives relating to planning and costs and to monitor the functioning of the router and EPRIS in light of objectives relating to the technical output, cost-effectiveness, security and quality of service.</w:t>
      </w:r>
    </w:p>
    <w:p w14:paraId="4E0EA483" w14:textId="77777777" w:rsidR="009D4357" w:rsidRPr="009132BA"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No later than </w:t>
      </w:r>
      <w:r w:rsidRPr="009132BA">
        <w:rPr>
          <w:noProof/>
          <w:lang w:eastAsia="en-GB"/>
        </w:rPr>
        <w:t xml:space="preserve">one year after </w:t>
      </w:r>
      <w:r>
        <w:rPr>
          <w:noProof/>
          <w:lang w:eastAsia="en-GB"/>
        </w:rPr>
        <w:t xml:space="preserve">the </w:t>
      </w:r>
      <w:r w:rsidRPr="009132BA">
        <w:rPr>
          <w:noProof/>
          <w:lang w:eastAsia="en-GB"/>
        </w:rPr>
        <w:t>adopt</w:t>
      </w:r>
      <w:r>
        <w:rPr>
          <w:noProof/>
          <w:lang w:eastAsia="en-GB"/>
        </w:rPr>
        <w:t>ion of the proposed Regulation,</w:t>
      </w:r>
      <w:r w:rsidRPr="009132BA">
        <w:rPr>
          <w:noProof/>
          <w:lang w:eastAsia="en-GB"/>
        </w:rPr>
        <w:t xml:space="preserve"> and every year thereafter during the development phase of the router, eu-LISA shall submit a report to the European Parliament and to the Council on the state of play of the development of the router. Th</w:t>
      </w:r>
      <w:r>
        <w:rPr>
          <w:noProof/>
          <w:lang w:eastAsia="en-GB"/>
        </w:rPr>
        <w:t>e</w:t>
      </w:r>
      <w:r w:rsidRPr="009132BA">
        <w:rPr>
          <w:noProof/>
          <w:lang w:eastAsia="en-GB"/>
        </w:rPr>
        <w:t xml:space="preserve"> report shall contain detailed information about the costs incurred and information as to any risks which may impact the overall costs to be borne by the general budget of the Union.</w:t>
      </w:r>
    </w:p>
    <w:p w14:paraId="22CA0431" w14:textId="77777777" w:rsidR="009D4357" w:rsidRPr="009132BA"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9132BA">
        <w:rPr>
          <w:noProof/>
          <w:lang w:eastAsia="en-GB"/>
        </w:rPr>
        <w:t>Once the development of the router is finalised, eu-LISA shall submit a report to the European Parliament and to the Council explaining in detail how the objectives</w:t>
      </w:r>
      <w:r>
        <w:rPr>
          <w:noProof/>
          <w:lang w:eastAsia="en-GB"/>
        </w:rPr>
        <w:t xml:space="preserve"> were achieved</w:t>
      </w:r>
      <w:r w:rsidRPr="009132BA">
        <w:rPr>
          <w:noProof/>
          <w:lang w:eastAsia="en-GB"/>
        </w:rPr>
        <w:t>, in particular relating to planning and costs, as well as justifying any divergences.</w:t>
      </w:r>
    </w:p>
    <w:p w14:paraId="3B0F9408" w14:textId="77777777" w:rsidR="009D4357" w:rsidRPr="009132BA"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No later than </w:t>
      </w:r>
      <w:r w:rsidRPr="009132BA">
        <w:rPr>
          <w:noProof/>
          <w:lang w:eastAsia="en-GB"/>
        </w:rPr>
        <w:t xml:space="preserve">one year after adoption </w:t>
      </w:r>
      <w:r>
        <w:rPr>
          <w:noProof/>
          <w:lang w:eastAsia="en-GB"/>
        </w:rPr>
        <w:t>of the proposed Regulation,</w:t>
      </w:r>
      <w:r w:rsidRPr="009132BA">
        <w:rPr>
          <w:noProof/>
          <w:lang w:eastAsia="en-GB"/>
        </w:rPr>
        <w:t xml:space="preserve"> and every year thereafter during the development phase of EPRIS, Europol shall submit a report to the European Parliament and to the Council on the state of preparation for the implementation of this Regulation and on the state of play of the development of EPRIS including detailed information about the costs incurred and information </w:t>
      </w:r>
      <w:r>
        <w:rPr>
          <w:noProof/>
          <w:lang w:eastAsia="en-GB"/>
        </w:rPr>
        <w:t>on</w:t>
      </w:r>
      <w:r w:rsidRPr="009132BA">
        <w:rPr>
          <w:noProof/>
          <w:lang w:eastAsia="en-GB"/>
        </w:rPr>
        <w:t xml:space="preserve"> any risks which may impact the overall costs to be borne by the general budget of the </w:t>
      </w:r>
      <w:r>
        <w:rPr>
          <w:noProof/>
          <w:lang w:eastAsia="en-GB"/>
        </w:rPr>
        <w:t>Union</w:t>
      </w:r>
      <w:r w:rsidRPr="009132BA">
        <w:rPr>
          <w:noProof/>
          <w:lang w:eastAsia="en-GB"/>
        </w:rPr>
        <w:t>.</w:t>
      </w:r>
    </w:p>
    <w:p w14:paraId="5FAED4A4" w14:textId="77777777" w:rsidR="009D4357" w:rsidRPr="009132BA"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9132BA">
        <w:rPr>
          <w:noProof/>
          <w:lang w:eastAsia="en-GB"/>
        </w:rPr>
        <w:t>Once the development of EPRIS is finalised, Europol shall submit a report to the European Parliament and to the Council explaining in detail how the objectives</w:t>
      </w:r>
      <w:r>
        <w:rPr>
          <w:noProof/>
          <w:lang w:eastAsia="en-GB"/>
        </w:rPr>
        <w:t xml:space="preserve"> were achieved</w:t>
      </w:r>
      <w:r w:rsidRPr="009132BA">
        <w:rPr>
          <w:noProof/>
          <w:lang w:eastAsia="en-GB"/>
        </w:rPr>
        <w:t>, in particular relating to planning and costs, as well as justifying any divergences.</w:t>
      </w:r>
    </w:p>
    <w:p w14:paraId="51207A55" w14:textId="77777777" w:rsidR="009D4357" w:rsidRPr="009132BA"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9132BA">
        <w:rPr>
          <w:noProof/>
          <w:lang w:eastAsia="en-GB"/>
        </w:rPr>
        <w:t>For the purposes of technical maintenance, eu-LISA and Europol shall have access to the necessary information relating to data processing operations performed in the router and EPRIS respectively.</w:t>
      </w:r>
    </w:p>
    <w:p w14:paraId="6601F827" w14:textId="77777777" w:rsidR="009D4357" w:rsidRPr="009132BA"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9132BA">
        <w:rPr>
          <w:noProof/>
          <w:lang w:eastAsia="en-GB"/>
        </w:rPr>
        <w:t>Two years after the start of operations of the router and every two years thereafter, eu-LISA shall submit to the European Parliament, to the Council and to the Commission a report on the technical functioning of the router, including the security thereof.</w:t>
      </w:r>
    </w:p>
    <w:p w14:paraId="7499D1DF" w14:textId="77777777" w:rsidR="009D4357" w:rsidRPr="009132BA"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9132BA">
        <w:rPr>
          <w:noProof/>
          <w:lang w:eastAsia="en-GB"/>
        </w:rPr>
        <w:t>Two years after the start of operations of EPRIS and every two years thereafter, Europol shall submit to the European Parliament, to the Council and to the Commission a report on the technical functioning of the router, including the security thereof.</w:t>
      </w:r>
    </w:p>
    <w:p w14:paraId="4C1552D2" w14:textId="77777777" w:rsidR="009D4357" w:rsidRPr="009132BA"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9132BA">
        <w:rPr>
          <w:noProof/>
          <w:lang w:eastAsia="en-GB"/>
        </w:rPr>
        <w:t>Three years after the st</w:t>
      </w:r>
      <w:r>
        <w:rPr>
          <w:noProof/>
          <w:lang w:eastAsia="en-GB"/>
        </w:rPr>
        <w:t>art of operations of all elements of the proposed Regulation</w:t>
      </w:r>
      <w:r w:rsidRPr="009132BA">
        <w:rPr>
          <w:noProof/>
          <w:lang w:eastAsia="en-GB"/>
        </w:rPr>
        <w:t xml:space="preserve"> and every four years thereafter, the Commission shall produce an overall evaluation of Prüm II, including:</w:t>
      </w:r>
    </w:p>
    <w:p w14:paraId="69171109" w14:textId="77777777" w:rsidR="009D4357" w:rsidRPr="009132BA"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9132BA">
        <w:rPr>
          <w:noProof/>
          <w:lang w:eastAsia="en-GB"/>
        </w:rPr>
        <w:t>(a)</w:t>
      </w:r>
      <w:r w:rsidRPr="009132BA">
        <w:rPr>
          <w:noProof/>
          <w:lang w:eastAsia="en-GB"/>
        </w:rPr>
        <w:tab/>
        <w:t>an assessment of the application of this Regulation;</w:t>
      </w:r>
    </w:p>
    <w:p w14:paraId="34F582CD" w14:textId="77777777" w:rsidR="009D4357" w:rsidRPr="009132BA"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9132BA">
        <w:rPr>
          <w:noProof/>
          <w:lang w:eastAsia="en-GB"/>
        </w:rPr>
        <w:t>(b)</w:t>
      </w:r>
      <w:r w:rsidRPr="009132BA">
        <w:rPr>
          <w:noProof/>
          <w:lang w:eastAsia="en-GB"/>
        </w:rPr>
        <w:tab/>
        <w:t>an examination of the results achieved against the objectives of this Regulation and its impact on fundamental rights;</w:t>
      </w:r>
    </w:p>
    <w:p w14:paraId="49A7C7F7" w14:textId="77777777" w:rsidR="009D4357" w:rsidRPr="009132BA"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9132BA">
        <w:rPr>
          <w:noProof/>
          <w:lang w:eastAsia="en-GB"/>
        </w:rPr>
        <w:t>(c)</w:t>
      </w:r>
      <w:r w:rsidRPr="009132BA">
        <w:rPr>
          <w:noProof/>
          <w:lang w:eastAsia="en-GB"/>
        </w:rPr>
        <w:tab/>
        <w:t>the impact, effectiveness and efficiency of Prüm II performance and its working practices in light of its objectives, mandate and tasks;</w:t>
      </w:r>
    </w:p>
    <w:p w14:paraId="44AF323C" w14:textId="77777777" w:rsidR="009D4357" w:rsidRPr="009132BA"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9132BA">
        <w:rPr>
          <w:noProof/>
          <w:lang w:eastAsia="en-GB"/>
        </w:rPr>
        <w:t>(d)</w:t>
      </w:r>
      <w:r w:rsidRPr="009132BA">
        <w:rPr>
          <w:noProof/>
          <w:lang w:eastAsia="en-GB"/>
        </w:rPr>
        <w:tab/>
        <w:t>an assessment of the security of Prüm II.</w:t>
      </w:r>
    </w:p>
    <w:p w14:paraId="10270A08" w14:textId="77777777" w:rsidR="009D4357" w:rsidRPr="009132BA"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9132BA">
        <w:rPr>
          <w:noProof/>
          <w:lang w:eastAsia="en-GB"/>
        </w:rPr>
        <w:t>The Commission shall transmit the evaluation report to the European Parliament, the Council, the European Data Protection Supervisor and the European Agency for Fundamental Rights.</w:t>
      </w:r>
    </w:p>
    <w:p w14:paraId="44B88D67" w14:textId="77777777" w:rsidR="009D4357" w:rsidRPr="009132BA"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9132BA">
        <w:rPr>
          <w:noProof/>
          <w:lang w:eastAsia="en-GB"/>
        </w:rPr>
        <w:t>The Member States and Europol shall provide eu-LISA and the Commission with the information necessary to draft the</w:t>
      </w:r>
      <w:r>
        <w:rPr>
          <w:noProof/>
          <w:lang w:eastAsia="en-GB"/>
        </w:rPr>
        <w:t xml:space="preserve"> above mentioned</w:t>
      </w:r>
      <w:r w:rsidRPr="009132BA">
        <w:rPr>
          <w:noProof/>
          <w:lang w:eastAsia="en-GB"/>
        </w:rPr>
        <w:t xml:space="preserve"> reports. This information shall not jeopardise working methods or include information that reveals sources, staff members or investigations of the designated authorities.</w:t>
      </w:r>
    </w:p>
    <w:p w14:paraId="7715809B" w14:textId="77777777" w:rsidR="009D4357" w:rsidRPr="009132BA"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9132BA">
        <w:rPr>
          <w:noProof/>
          <w:lang w:eastAsia="en-GB"/>
        </w:rPr>
        <w:t>The Member States shall provide Europol and the Commission with the information necessary to draft the</w:t>
      </w:r>
      <w:r>
        <w:rPr>
          <w:noProof/>
          <w:lang w:eastAsia="en-GB"/>
        </w:rPr>
        <w:t xml:space="preserve"> above mentioned</w:t>
      </w:r>
      <w:r w:rsidRPr="009132BA">
        <w:rPr>
          <w:noProof/>
          <w:lang w:eastAsia="en-GB"/>
        </w:rPr>
        <w:t xml:space="preserve"> reports. This information shall not jeopardise working methods or include information that reveals sources, staff members or investigations of the designated authorities. </w:t>
      </w:r>
    </w:p>
    <w:p w14:paraId="0EF3B27F" w14:textId="77777777" w:rsidR="009D4357" w:rsidRPr="009132BA" w:rsidRDefault="009D4357" w:rsidP="009D4357">
      <w:pPr>
        <w:pBdr>
          <w:top w:val="single" w:sz="4" w:space="1" w:color="auto"/>
          <w:left w:val="single" w:sz="4" w:space="4" w:color="auto"/>
          <w:bottom w:val="single" w:sz="4" w:space="1" w:color="auto"/>
          <w:right w:val="single" w:sz="4" w:space="4" w:color="auto"/>
        </w:pBdr>
        <w:ind w:left="850"/>
        <w:rPr>
          <w:noProof/>
          <w:color w:val="0000FF"/>
          <w:lang w:eastAsia="en-GB"/>
        </w:rPr>
      </w:pPr>
      <w:r w:rsidRPr="009132BA">
        <w:rPr>
          <w:noProof/>
          <w:lang w:eastAsia="en-GB"/>
        </w:rPr>
        <w:t>eu-LISA and Europol shall provide the Commission with the info</w:t>
      </w:r>
      <w:r>
        <w:rPr>
          <w:noProof/>
          <w:lang w:eastAsia="en-GB"/>
        </w:rPr>
        <w:t>rmation necessary to produce its</w:t>
      </w:r>
      <w:r w:rsidRPr="009132BA">
        <w:rPr>
          <w:noProof/>
          <w:lang w:eastAsia="en-GB"/>
        </w:rPr>
        <w:t xml:space="preserve"> evaluations.</w:t>
      </w:r>
    </w:p>
    <w:p w14:paraId="3613731A" w14:textId="77777777" w:rsidR="009D4357" w:rsidRPr="00434957" w:rsidRDefault="009D4357" w:rsidP="009D4357">
      <w:pPr>
        <w:keepNext/>
        <w:tabs>
          <w:tab w:val="left" w:pos="850"/>
        </w:tabs>
        <w:ind w:left="850" w:hanging="850"/>
        <w:outlineLvl w:val="1"/>
        <w:rPr>
          <w:b/>
          <w:noProof/>
          <w:szCs w:val="24"/>
          <w:lang w:eastAsia="en-GB"/>
        </w:rPr>
      </w:pPr>
      <w:r w:rsidRPr="00434957">
        <w:rPr>
          <w:b/>
          <w:noProof/>
        </w:rPr>
        <w:t>2.2.</w:t>
      </w:r>
      <w:r w:rsidRPr="00434957">
        <w:rPr>
          <w:b/>
          <w:noProof/>
        </w:rPr>
        <w:tab/>
      </w:r>
      <w:r w:rsidRPr="00434957">
        <w:rPr>
          <w:b/>
          <w:noProof/>
          <w:lang w:eastAsia="en-GB"/>
        </w:rPr>
        <w:t xml:space="preserve">Management and control system(s) </w:t>
      </w:r>
    </w:p>
    <w:p w14:paraId="2333726E" w14:textId="77777777" w:rsidR="009D4357" w:rsidRPr="00434957" w:rsidRDefault="009D4357" w:rsidP="009D4357">
      <w:pPr>
        <w:keepNext/>
        <w:tabs>
          <w:tab w:val="left" w:pos="850"/>
        </w:tabs>
        <w:ind w:left="850" w:hanging="850"/>
        <w:outlineLvl w:val="2"/>
        <w:rPr>
          <w:i/>
          <w:noProof/>
          <w:lang w:eastAsia="en-GB"/>
        </w:rPr>
      </w:pPr>
      <w:r w:rsidRPr="00434957">
        <w:rPr>
          <w:i/>
          <w:noProof/>
        </w:rPr>
        <w:t>2.2.1.</w:t>
      </w:r>
      <w:r w:rsidRPr="00434957">
        <w:rPr>
          <w:i/>
          <w:noProof/>
        </w:rPr>
        <w:tab/>
      </w:r>
      <w:r w:rsidRPr="00434957">
        <w:rPr>
          <w:i/>
          <w:noProof/>
          <w:lang w:eastAsia="en-GB"/>
        </w:rPr>
        <w:t>Information concerning the risks identified and the internal control system(s) set up to mitigate them</w:t>
      </w:r>
    </w:p>
    <w:p w14:paraId="07B9B277"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noProof/>
          <w:lang w:eastAsia="en-GB"/>
        </w:rPr>
        <w:t>The following risks are identified:</w:t>
      </w:r>
    </w:p>
    <w:p w14:paraId="7A004429"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noProof/>
          <w:lang w:eastAsia="en-GB"/>
        </w:rPr>
        <w:t>- strained operational resources due to increasing data flows and constantly evolving criminal activities landscape</w:t>
      </w:r>
    </w:p>
    <w:p w14:paraId="7743DD4A"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noProof/>
          <w:lang w:eastAsia="en-GB"/>
        </w:rPr>
        <w:t xml:space="preserve">- to multiplication of tasks and requests </w:t>
      </w:r>
      <w:r>
        <w:rPr>
          <w:noProof/>
          <w:lang w:eastAsia="en-GB"/>
        </w:rPr>
        <w:t xml:space="preserve">for both eu-LISA and Europol </w:t>
      </w:r>
    </w:p>
    <w:p w14:paraId="018D5E97"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noProof/>
          <w:lang w:eastAsia="en-GB"/>
        </w:rPr>
        <w:t>- lack of adequate levels of financial and human resources to match operational needs</w:t>
      </w:r>
    </w:p>
    <w:p w14:paraId="27728054"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noProof/>
          <w:lang w:eastAsia="en-GB"/>
        </w:rPr>
        <w:t>- lack of ICT resources, resulting in delays in necessary core system developments and updates</w:t>
      </w:r>
    </w:p>
    <w:p w14:paraId="6EB1D634"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noProof/>
          <w:lang w:eastAsia="en-GB"/>
        </w:rPr>
        <w:t>- risks related to Europol’s processing of personal data and the need to regularly evaluate and adapt procedural and technical safeguards in order to ensure the prot</w:t>
      </w:r>
      <w:r>
        <w:rPr>
          <w:noProof/>
          <w:lang w:eastAsia="en-GB"/>
        </w:rPr>
        <w:t>e</w:t>
      </w:r>
      <w:r w:rsidRPr="00434957">
        <w:rPr>
          <w:noProof/>
          <w:lang w:eastAsia="en-GB"/>
        </w:rPr>
        <w:t xml:space="preserve">ction of personal data and fundamental rights. </w:t>
      </w:r>
    </w:p>
    <w:p w14:paraId="37737D5E"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noProof/>
          <w:lang w:eastAsia="en-GB"/>
        </w:rPr>
        <w:t>- depe</w:t>
      </w:r>
      <w:r>
        <w:rPr>
          <w:noProof/>
          <w:lang w:eastAsia="en-GB"/>
        </w:rPr>
        <w:t>n</w:t>
      </w:r>
      <w:r w:rsidRPr="00434957">
        <w:rPr>
          <w:noProof/>
          <w:lang w:eastAsia="en-GB"/>
        </w:rPr>
        <w:t xml:space="preserve">dencies between the preparations to be done by eu-LISA with regard to </w:t>
      </w:r>
      <w:r>
        <w:rPr>
          <w:noProof/>
          <w:lang w:eastAsia="en-GB"/>
        </w:rPr>
        <w:t>the router</w:t>
      </w:r>
      <w:r w:rsidRPr="00434957">
        <w:rPr>
          <w:noProof/>
          <w:lang w:eastAsia="en-GB"/>
        </w:rPr>
        <w:t xml:space="preserve"> and the preparations to be done by</w:t>
      </w:r>
      <w:r>
        <w:rPr>
          <w:noProof/>
          <w:lang w:eastAsia="en-GB"/>
        </w:rPr>
        <w:t xml:space="preserve"> Member States and</w:t>
      </w:r>
      <w:r w:rsidRPr="00434957">
        <w:rPr>
          <w:noProof/>
          <w:lang w:eastAsia="en-GB"/>
        </w:rPr>
        <w:t xml:space="preserve"> Europol with regard to setting up a technical interface to transmit data </w:t>
      </w:r>
      <w:r>
        <w:rPr>
          <w:noProof/>
          <w:lang w:eastAsia="en-GB"/>
        </w:rPr>
        <w:t>via the router</w:t>
      </w:r>
      <w:r w:rsidRPr="00434957">
        <w:rPr>
          <w:noProof/>
          <w:lang w:eastAsia="en-GB"/>
        </w:rPr>
        <w:t xml:space="preserve"> </w:t>
      </w:r>
    </w:p>
    <w:p w14:paraId="649D53BE" w14:textId="77777777" w:rsidR="009D4357" w:rsidRDefault="009D4357" w:rsidP="009D4357">
      <w:pPr>
        <w:pStyle w:val="Text1"/>
        <w:pBdr>
          <w:top w:val="single" w:sz="4" w:space="1" w:color="auto"/>
          <w:left w:val="single" w:sz="4" w:space="4" w:color="auto"/>
          <w:bottom w:val="single" w:sz="4" w:space="1" w:color="auto"/>
          <w:right w:val="single" w:sz="4" w:space="4" w:color="auto"/>
        </w:pBdr>
        <w:rPr>
          <w:noProof/>
        </w:rPr>
      </w:pPr>
      <w:r>
        <w:rPr>
          <w:noProof/>
        </w:rPr>
        <w:t>These risks can be mitigated by applying project management techniques, including contingency in development projects and staffing sufficiently in order to be able to absorb peaks of work. Estimation of effort is indeed usually done by assuming an even workload spread over time while the reality of projects is of uneven workloads that are absorbed by higher resource allocations.</w:t>
      </w:r>
    </w:p>
    <w:p w14:paraId="02A27CA4" w14:textId="77777777" w:rsidR="009D4357" w:rsidRDefault="009D4357" w:rsidP="009D4357">
      <w:pPr>
        <w:pStyle w:val="Text1"/>
        <w:pBdr>
          <w:top w:val="single" w:sz="4" w:space="1" w:color="auto"/>
          <w:left w:val="single" w:sz="4" w:space="4" w:color="auto"/>
          <w:bottom w:val="single" w:sz="4" w:space="1" w:color="auto"/>
          <w:right w:val="single" w:sz="4" w:space="4" w:color="auto"/>
        </w:pBdr>
        <w:rPr>
          <w:noProof/>
        </w:rPr>
      </w:pPr>
      <w:r>
        <w:rPr>
          <w:noProof/>
        </w:rPr>
        <w:t>There are several risks related to the use of an external contractor for this development work, in particular:</w:t>
      </w:r>
    </w:p>
    <w:p w14:paraId="2E94402C" w14:textId="77777777" w:rsidR="009D4357" w:rsidRDefault="009D4357" w:rsidP="009D4357">
      <w:pPr>
        <w:pStyle w:val="Text1"/>
        <w:pBdr>
          <w:top w:val="single" w:sz="4" w:space="1" w:color="auto"/>
          <w:left w:val="single" w:sz="4" w:space="4" w:color="auto"/>
          <w:bottom w:val="single" w:sz="4" w:space="1" w:color="auto"/>
          <w:right w:val="single" w:sz="4" w:space="4" w:color="auto"/>
        </w:pBdr>
        <w:rPr>
          <w:noProof/>
        </w:rPr>
      </w:pPr>
      <w:r>
        <w:rPr>
          <w:noProof/>
        </w:rPr>
        <w:t>1. the risk that the contractor fails to allocate sufficient resources to the project or that it designs and develops a system that is not state of the art;</w:t>
      </w:r>
    </w:p>
    <w:p w14:paraId="086EB25B" w14:textId="77777777" w:rsidR="009D4357" w:rsidRDefault="009D4357" w:rsidP="009D4357">
      <w:pPr>
        <w:pStyle w:val="Text1"/>
        <w:pBdr>
          <w:top w:val="single" w:sz="4" w:space="1" w:color="auto"/>
          <w:left w:val="single" w:sz="4" w:space="4" w:color="auto"/>
          <w:bottom w:val="single" w:sz="4" w:space="1" w:color="auto"/>
          <w:right w:val="single" w:sz="4" w:space="4" w:color="auto"/>
        </w:pBdr>
        <w:rPr>
          <w:noProof/>
        </w:rPr>
      </w:pPr>
      <w:r>
        <w:rPr>
          <w:noProof/>
        </w:rPr>
        <w:t>2. the risk that administrative techniques and methods to IT projects are not fully respected as a way of reducing costs by the contractor;</w:t>
      </w:r>
    </w:p>
    <w:p w14:paraId="19BCF36D" w14:textId="77777777" w:rsidR="009D4357" w:rsidRDefault="009D4357" w:rsidP="009D4357">
      <w:pPr>
        <w:pStyle w:val="Text1"/>
        <w:pBdr>
          <w:top w:val="single" w:sz="4" w:space="1" w:color="auto"/>
          <w:left w:val="single" w:sz="4" w:space="4" w:color="auto"/>
          <w:bottom w:val="single" w:sz="4" w:space="1" w:color="auto"/>
          <w:right w:val="single" w:sz="4" w:space="4" w:color="auto"/>
        </w:pBdr>
        <w:rPr>
          <w:noProof/>
        </w:rPr>
      </w:pPr>
      <w:r>
        <w:rPr>
          <w:noProof/>
        </w:rPr>
        <w:t>3. the risk of the contractor facing financial difficulties for reasons external to this project.</w:t>
      </w:r>
    </w:p>
    <w:p w14:paraId="00D35014" w14:textId="77777777" w:rsidR="009D4357" w:rsidRDefault="009D4357" w:rsidP="009D4357">
      <w:pPr>
        <w:pStyle w:val="Text1"/>
        <w:pBdr>
          <w:top w:val="single" w:sz="4" w:space="1" w:color="auto"/>
          <w:left w:val="single" w:sz="4" w:space="4" w:color="auto"/>
          <w:bottom w:val="single" w:sz="4" w:space="1" w:color="auto"/>
          <w:right w:val="single" w:sz="4" w:space="4" w:color="auto"/>
        </w:pBdr>
        <w:rPr>
          <w:noProof/>
        </w:rPr>
      </w:pPr>
      <w:r>
        <w:rPr>
          <w:noProof/>
        </w:rPr>
        <w:t xml:space="preserve">These risks are mitigated by awarding contracts on the basis of strong quality criteria, verifying contractors’ references and maintaining a close relationship with them. Finally, as a last resort, strict penalty and termination clauses can be included and applied when required. </w:t>
      </w:r>
    </w:p>
    <w:p w14:paraId="45B3BA93" w14:textId="77777777" w:rsidR="009D43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noProof/>
          <w:lang w:eastAsia="en-GB"/>
        </w:rPr>
        <w:t>Europol implements a specific Internal Control Framework based on the Internal Control Framework of the European Commission and on the original Committee of Sponsoring Organisations’ integrated internal control framework. The Single Programming Document must provide information on the internal control systems, while the Consolidated Annual Activity Report (CAAR) must contain information on the efficiency and effectiveness of the internal control systems, includind as regards risk assessment. The CAAR 2019 reports that, based on the analysis of the internal control components and principles which have been monitored in the course of 2019, using both quantitative and qualitative elements, the Europol Internal Control System is assessed as present and functioning in an integrated manner across the agency.</w:t>
      </w:r>
      <w:r>
        <w:rPr>
          <w:noProof/>
          <w:lang w:eastAsia="en-GB"/>
        </w:rPr>
        <w:t xml:space="preserve"> </w:t>
      </w:r>
    </w:p>
    <w:p w14:paraId="1B0972CC" w14:textId="77777777" w:rsidR="009D4357" w:rsidRPr="00BE3146" w:rsidRDefault="009D4357" w:rsidP="009D4357">
      <w:pPr>
        <w:pBdr>
          <w:top w:val="single" w:sz="4" w:space="1" w:color="auto"/>
          <w:left w:val="single" w:sz="4" w:space="4" w:color="auto"/>
          <w:bottom w:val="single" w:sz="4" w:space="1" w:color="auto"/>
          <w:right w:val="single" w:sz="4" w:space="4" w:color="auto"/>
        </w:pBdr>
        <w:ind w:left="850"/>
        <w:rPr>
          <w:noProof/>
          <w:szCs w:val="24"/>
          <w:lang w:eastAsia="en-GB"/>
        </w:rPr>
      </w:pPr>
      <w:r w:rsidRPr="0056090D">
        <w:rPr>
          <w:noProof/>
          <w:szCs w:val="24"/>
        </w:rPr>
        <w:t>For the budget implemented by eu-LISA, a specific Internal Control Framework based on the Internal Control Framework of the European Commission is required. The Single Programming Document must provide information on the internal control systems, while the Consolidated Annual Activity Report (CAAR) must contain information on the efficiency and effectiveness of the internal control systems, including as regards risk assessment. The CAAR 2019 reports that, management of the Agency has reasonable assurance that appropriate internal controls are in place and that they are functioning as intended. Throughout the year, the major risks were appropriately identified and managed. This assurance is further confirmed by the results of the internal and external audits performed.</w:t>
      </w:r>
    </w:p>
    <w:p w14:paraId="5485AF6F"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For both Europol and eu-LISA, a</w:t>
      </w:r>
      <w:r w:rsidRPr="00434957">
        <w:rPr>
          <w:noProof/>
          <w:lang w:eastAsia="en-GB"/>
        </w:rPr>
        <w:t>n</w:t>
      </w:r>
      <w:r>
        <w:rPr>
          <w:noProof/>
          <w:lang w:eastAsia="en-GB"/>
        </w:rPr>
        <w:t xml:space="preserve"> additional </w:t>
      </w:r>
      <w:r w:rsidRPr="00434957">
        <w:rPr>
          <w:noProof/>
          <w:lang w:eastAsia="en-GB"/>
        </w:rPr>
        <w:t>level of internal supervision is also provided by Europol’s Internal Audit Capability, on the basis of an annual audit plan</w:t>
      </w:r>
      <w:r>
        <w:rPr>
          <w:noProof/>
          <w:lang w:eastAsia="en-GB"/>
        </w:rPr>
        <w:t>,</w:t>
      </w:r>
      <w:r w:rsidRPr="00434957">
        <w:rPr>
          <w:noProof/>
          <w:lang w:eastAsia="en-GB"/>
        </w:rPr>
        <w:t xml:space="preserve"> notably taking into consideration the assessment of risks in Europol. The Internal Audit Capability helps Europol in accomplishing its objectives by bringing a systematic and disciplined approach to evaluate the effectiveness of risk management, control, and governance processes, and by issuing recommendations for their improvement.</w:t>
      </w:r>
    </w:p>
    <w:p w14:paraId="27A81F6D"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noProof/>
          <w:lang w:eastAsia="en-GB"/>
        </w:rPr>
        <w:t>Moroever, the E</w:t>
      </w:r>
      <w:r>
        <w:rPr>
          <w:noProof/>
          <w:lang w:eastAsia="en-GB"/>
        </w:rPr>
        <w:t>uropean Data Protection Supervisor (E</w:t>
      </w:r>
      <w:r w:rsidRPr="00434957">
        <w:rPr>
          <w:noProof/>
          <w:lang w:eastAsia="en-GB"/>
        </w:rPr>
        <w:t>DPS</w:t>
      </w:r>
      <w:r>
        <w:rPr>
          <w:noProof/>
          <w:lang w:eastAsia="en-GB"/>
        </w:rPr>
        <w:t>)</w:t>
      </w:r>
      <w:r w:rsidRPr="00434957">
        <w:rPr>
          <w:noProof/>
          <w:lang w:eastAsia="en-GB"/>
        </w:rPr>
        <w:t xml:space="preserve"> and </w:t>
      </w:r>
      <w:r>
        <w:rPr>
          <w:noProof/>
          <w:lang w:eastAsia="en-GB"/>
        </w:rPr>
        <w:t>the</w:t>
      </w:r>
      <w:r w:rsidRPr="00434957">
        <w:rPr>
          <w:noProof/>
          <w:lang w:eastAsia="en-GB"/>
        </w:rPr>
        <w:t xml:space="preserve"> data protection officer </w:t>
      </w:r>
      <w:r>
        <w:rPr>
          <w:noProof/>
          <w:lang w:eastAsia="en-GB"/>
        </w:rPr>
        <w:t xml:space="preserve">in both agencies </w:t>
      </w:r>
      <w:r w:rsidRPr="00434957">
        <w:rPr>
          <w:noProof/>
          <w:lang w:eastAsia="en-GB"/>
        </w:rPr>
        <w:t xml:space="preserve">(an independent function attached directly to the Mangement Board Secretariat) supervise </w:t>
      </w:r>
      <w:r>
        <w:rPr>
          <w:noProof/>
          <w:lang w:eastAsia="en-GB"/>
        </w:rPr>
        <w:t xml:space="preserve">the </w:t>
      </w:r>
      <w:r w:rsidRPr="00434957">
        <w:rPr>
          <w:noProof/>
          <w:lang w:eastAsia="en-GB"/>
        </w:rPr>
        <w:t>processing of personal data</w:t>
      </w:r>
      <w:r>
        <w:rPr>
          <w:noProof/>
          <w:lang w:eastAsia="en-GB"/>
        </w:rPr>
        <w:t xml:space="preserve"> by the agencies</w:t>
      </w:r>
      <w:r w:rsidRPr="00434957">
        <w:rPr>
          <w:noProof/>
          <w:lang w:eastAsia="en-GB"/>
        </w:rPr>
        <w:t xml:space="preserve">. </w:t>
      </w:r>
    </w:p>
    <w:p w14:paraId="32DC615E" w14:textId="69669E3C" w:rsidR="009D4357" w:rsidRPr="00434957" w:rsidRDefault="009D4357" w:rsidP="000211D6">
      <w:pPr>
        <w:pBdr>
          <w:top w:val="single" w:sz="4" w:space="1" w:color="auto"/>
          <w:left w:val="single" w:sz="4" w:space="4" w:color="auto"/>
          <w:bottom w:val="single" w:sz="4" w:space="1" w:color="auto"/>
          <w:right w:val="single" w:sz="4" w:space="4" w:color="auto"/>
        </w:pBdr>
        <w:ind w:left="850"/>
        <w:rPr>
          <w:noProof/>
          <w:sz w:val="23"/>
          <w:szCs w:val="23"/>
          <w:lang w:eastAsia="en-GB"/>
        </w:rPr>
      </w:pPr>
      <w:r w:rsidRPr="00434957">
        <w:rPr>
          <w:noProof/>
          <w:sz w:val="23"/>
          <w:szCs w:val="23"/>
          <w:lang w:eastAsia="en-GB"/>
        </w:rPr>
        <w:t>Finally, as partner DG of Europol</w:t>
      </w:r>
      <w:r>
        <w:rPr>
          <w:noProof/>
          <w:sz w:val="23"/>
          <w:szCs w:val="23"/>
          <w:lang w:eastAsia="en-GB"/>
        </w:rPr>
        <w:t xml:space="preserve"> and eu-LISA</w:t>
      </w:r>
      <w:r w:rsidRPr="00434957">
        <w:rPr>
          <w:noProof/>
          <w:sz w:val="23"/>
          <w:szCs w:val="23"/>
          <w:lang w:eastAsia="en-GB"/>
        </w:rPr>
        <w:t>, DG HOME runs an annual risk management exercise to identify and assess potential high risks related to agencies’ operations. Risks considered as critical are reported annually in DG HOME management plan and are accompanied by an action plan</w:t>
      </w:r>
      <w:r w:rsidR="000211D6">
        <w:rPr>
          <w:noProof/>
          <w:sz w:val="23"/>
          <w:szCs w:val="23"/>
          <w:lang w:eastAsia="en-GB"/>
        </w:rPr>
        <w:t xml:space="preserve"> stating the mitigating action.</w:t>
      </w:r>
    </w:p>
    <w:p w14:paraId="4B902545" w14:textId="77777777" w:rsidR="009D4357" w:rsidRPr="00434957" w:rsidRDefault="009D4357" w:rsidP="009D4357">
      <w:pPr>
        <w:keepNext/>
        <w:tabs>
          <w:tab w:val="left" w:pos="850"/>
        </w:tabs>
        <w:ind w:left="850" w:hanging="850"/>
        <w:outlineLvl w:val="2"/>
        <w:rPr>
          <w:i/>
          <w:noProof/>
          <w:lang w:eastAsia="en-GB"/>
        </w:rPr>
      </w:pPr>
      <w:r>
        <w:rPr>
          <w:i/>
          <w:noProof/>
        </w:rPr>
        <w:t>2.2.2</w:t>
      </w:r>
      <w:r w:rsidRPr="00434957">
        <w:rPr>
          <w:i/>
          <w:noProof/>
        </w:rPr>
        <w:t>.</w:t>
      </w:r>
      <w:r w:rsidRPr="00434957">
        <w:rPr>
          <w:i/>
          <w:noProof/>
        </w:rPr>
        <w:tab/>
      </w:r>
      <w:r w:rsidRPr="00434957">
        <w:rPr>
          <w:i/>
          <w:noProof/>
          <w:lang w:eastAsia="en-GB"/>
        </w:rPr>
        <w:t xml:space="preserve">Estimation and justification of the cost-effectiveness of the controls (ratio of "control costs ÷ value of the related funds managed"), and assessment of the expected levels of risk of error (at payment &amp; at closure) </w:t>
      </w:r>
    </w:p>
    <w:p w14:paraId="73F2A4E6" w14:textId="77777777" w:rsidR="009D4357" w:rsidRPr="00362AC4" w:rsidRDefault="009D4357" w:rsidP="009D4357">
      <w:pPr>
        <w:pBdr>
          <w:top w:val="single" w:sz="4" w:space="1" w:color="auto"/>
          <w:left w:val="single" w:sz="4" w:space="0" w:color="auto"/>
          <w:bottom w:val="single" w:sz="4" w:space="1" w:color="auto"/>
          <w:right w:val="single" w:sz="4" w:space="4" w:color="auto"/>
        </w:pBdr>
        <w:rPr>
          <w:noProof/>
          <w:sz w:val="23"/>
          <w:szCs w:val="23"/>
          <w:lang w:eastAsia="en-GB"/>
        </w:rPr>
      </w:pPr>
      <w:r w:rsidRPr="00362AC4">
        <w:rPr>
          <w:noProof/>
          <w:sz w:val="23"/>
          <w:szCs w:val="23"/>
          <w:lang w:eastAsia="en-GB"/>
        </w:rPr>
        <w:t>The ratio of “control costs/value of the related funds managed” is reported on by the Commission. The 2020 AAR of DG HOME reports 0.21% for this ratio in relation to Indirect Management Entrusted Entities and Decentralised Agencies, including Europol and eu-LISA.</w:t>
      </w:r>
    </w:p>
    <w:p w14:paraId="3EAD0DC8" w14:textId="77777777" w:rsidR="009D4357" w:rsidRPr="00362AC4" w:rsidRDefault="009D4357" w:rsidP="009D4357">
      <w:pPr>
        <w:pBdr>
          <w:top w:val="single" w:sz="4" w:space="1" w:color="auto"/>
          <w:left w:val="single" w:sz="4" w:space="0" w:color="auto"/>
          <w:bottom w:val="single" w:sz="4" w:space="1" w:color="auto"/>
          <w:right w:val="single" w:sz="4" w:space="4" w:color="auto"/>
        </w:pBdr>
        <w:rPr>
          <w:noProof/>
          <w:sz w:val="23"/>
          <w:szCs w:val="23"/>
          <w:lang w:eastAsia="en-GB"/>
        </w:rPr>
      </w:pPr>
      <w:r w:rsidRPr="00362AC4">
        <w:rPr>
          <w:noProof/>
          <w:sz w:val="23"/>
          <w:szCs w:val="23"/>
          <w:lang w:eastAsia="en-GB"/>
        </w:rPr>
        <w:t>The European Court of Auditors confirmed the legality and regularity of both Europol’s and eu-LISA’s annual accounts for 2019, which implies an error rate below 2%. There are no indications that the error rate will worsen in the coming years.</w:t>
      </w:r>
    </w:p>
    <w:p w14:paraId="0FF67FCF" w14:textId="77777777" w:rsidR="009D4357" w:rsidRPr="00362AC4" w:rsidRDefault="009D4357" w:rsidP="009D4357">
      <w:pPr>
        <w:pBdr>
          <w:top w:val="single" w:sz="4" w:space="1" w:color="auto"/>
          <w:left w:val="single" w:sz="4" w:space="0" w:color="auto"/>
          <w:bottom w:val="single" w:sz="4" w:space="1" w:color="auto"/>
          <w:right w:val="single" w:sz="4" w:space="4" w:color="auto"/>
        </w:pBdr>
        <w:rPr>
          <w:noProof/>
          <w:sz w:val="23"/>
          <w:szCs w:val="23"/>
          <w:lang w:eastAsia="en-GB"/>
        </w:rPr>
      </w:pPr>
      <w:r w:rsidRPr="00362AC4">
        <w:rPr>
          <w:noProof/>
          <w:sz w:val="23"/>
          <w:szCs w:val="23"/>
          <w:lang w:eastAsia="en-GB"/>
        </w:rPr>
        <w:t>Moreover, for both Europol and eu-LISA, article 80 of their respective Financial Regulation provides for the possibility for the agency to share an internal audit capability with other Union bodies functioning in the same policy area if the internal audit capability of a single Union body is not cost-effective.</w:t>
      </w:r>
    </w:p>
    <w:p w14:paraId="7E91ECFB" w14:textId="77777777" w:rsidR="009D4357" w:rsidRPr="00434957" w:rsidRDefault="009D4357" w:rsidP="009D4357">
      <w:pPr>
        <w:rPr>
          <w:noProof/>
          <w:lang w:eastAsia="en-GB"/>
        </w:rPr>
      </w:pPr>
    </w:p>
    <w:p w14:paraId="3F3D4FA5" w14:textId="77777777" w:rsidR="009D4357" w:rsidRPr="00434957" w:rsidRDefault="009D4357" w:rsidP="009D4357">
      <w:pPr>
        <w:rPr>
          <w:rFonts w:eastAsiaTheme="majorEastAsia"/>
          <w:b/>
          <w:bCs/>
          <w:noProof/>
          <w:szCs w:val="26"/>
          <w:lang w:eastAsia="en-GB"/>
        </w:rPr>
      </w:pPr>
      <w:r w:rsidRPr="00434957">
        <w:rPr>
          <w:noProof/>
          <w:lang w:eastAsia="en-GB"/>
        </w:rPr>
        <w:br w:type="page"/>
      </w:r>
    </w:p>
    <w:p w14:paraId="2E254D86" w14:textId="77777777" w:rsidR="009D4357" w:rsidRPr="00434957" w:rsidRDefault="009D4357" w:rsidP="009D4357">
      <w:pPr>
        <w:keepNext/>
        <w:tabs>
          <w:tab w:val="left" w:pos="850"/>
        </w:tabs>
        <w:ind w:left="850" w:hanging="850"/>
        <w:outlineLvl w:val="1"/>
        <w:rPr>
          <w:b/>
          <w:noProof/>
          <w:szCs w:val="24"/>
          <w:lang w:eastAsia="en-GB"/>
        </w:rPr>
      </w:pPr>
      <w:r w:rsidRPr="00434957">
        <w:rPr>
          <w:b/>
          <w:noProof/>
        </w:rPr>
        <w:t>2.3.</w:t>
      </w:r>
      <w:r w:rsidRPr="00434957">
        <w:rPr>
          <w:b/>
          <w:noProof/>
        </w:rPr>
        <w:tab/>
      </w:r>
      <w:r w:rsidRPr="00434957">
        <w:rPr>
          <w:b/>
          <w:noProof/>
          <w:lang w:eastAsia="en-GB"/>
        </w:rPr>
        <w:t xml:space="preserve">Measures to prevent fraud and irregularities </w:t>
      </w:r>
    </w:p>
    <w:p w14:paraId="681BECB0" w14:textId="77777777" w:rsidR="009D4357" w:rsidRPr="00434957" w:rsidRDefault="009D4357" w:rsidP="009D4357">
      <w:pPr>
        <w:ind w:left="850"/>
        <w:rPr>
          <w:i/>
          <w:noProof/>
          <w:sz w:val="20"/>
          <w:lang w:eastAsia="en-GB"/>
        </w:rPr>
      </w:pPr>
      <w:r w:rsidRPr="00434957">
        <w:rPr>
          <w:i/>
          <w:noProof/>
          <w:sz w:val="20"/>
          <w:lang w:eastAsia="en-GB"/>
        </w:rPr>
        <w:t>Specify existing or envisaged prevention and protection measures, e.g. from the Anti-Fraud Strategy.</w:t>
      </w:r>
    </w:p>
    <w:p w14:paraId="12540211" w14:textId="77777777" w:rsidR="009D4357" w:rsidRPr="00357C18"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357C18">
        <w:rPr>
          <w:noProof/>
          <w:lang w:eastAsia="en-GB"/>
        </w:rPr>
        <w:t>The measures envisaged to combat fraud are laid down in Article 35 of Regulation (EU) 1077/2011.</w:t>
      </w:r>
    </w:p>
    <w:p w14:paraId="3BE00FC2"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noProof/>
          <w:lang w:eastAsia="en-GB"/>
        </w:rPr>
        <w:t xml:space="preserve">The measures related to combating fraud, corruption and any other illegal activities are outlined, inter alia, in article 66 of Europol’s Regulation and under Title X of Europol’s Financial Regulation. </w:t>
      </w:r>
    </w:p>
    <w:p w14:paraId="1DC94731"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noProof/>
          <w:lang w:eastAsia="en-GB"/>
        </w:rPr>
        <w:t>Europol shall notably participate in fraud prevention activities of the European Anti-fraud Office and inform the Commission without delay on cases of presumed fraud and other financial irregularities – in line with its internal anti-fraud strategy.</w:t>
      </w:r>
    </w:p>
    <w:p w14:paraId="4DBCE1BD" w14:textId="77777777" w:rsidR="009D43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noProof/>
          <w:lang w:eastAsia="en-GB"/>
        </w:rPr>
        <w:t xml:space="preserve">An update to the Europol anti-fraud strategy </w:t>
      </w:r>
      <w:r>
        <w:rPr>
          <w:noProof/>
          <w:lang w:eastAsia="en-GB"/>
        </w:rPr>
        <w:t>was</w:t>
      </w:r>
      <w:r w:rsidRPr="00434957">
        <w:rPr>
          <w:noProof/>
          <w:lang w:eastAsia="en-GB"/>
        </w:rPr>
        <w:t xml:space="preserve"> adopt</w:t>
      </w:r>
      <w:r>
        <w:rPr>
          <w:noProof/>
          <w:lang w:eastAsia="en-GB"/>
        </w:rPr>
        <w:t>ed</w:t>
      </w:r>
      <w:r w:rsidRPr="00434957">
        <w:rPr>
          <w:noProof/>
          <w:lang w:eastAsia="en-GB"/>
        </w:rPr>
        <w:t xml:space="preserve"> </w:t>
      </w:r>
      <w:r>
        <w:rPr>
          <w:noProof/>
          <w:lang w:eastAsia="en-GB"/>
        </w:rPr>
        <w:t>by</w:t>
      </w:r>
      <w:r w:rsidRPr="00434957">
        <w:rPr>
          <w:noProof/>
          <w:lang w:eastAsia="en-GB"/>
        </w:rPr>
        <w:t xml:space="preserve"> the Management Boa</w:t>
      </w:r>
      <w:r>
        <w:rPr>
          <w:noProof/>
          <w:lang w:eastAsia="en-GB"/>
        </w:rPr>
        <w:t>r</w:t>
      </w:r>
      <w:r w:rsidRPr="00434957">
        <w:rPr>
          <w:noProof/>
          <w:lang w:eastAsia="en-GB"/>
        </w:rPr>
        <w:t xml:space="preserve">d in 2020. </w:t>
      </w:r>
    </w:p>
    <w:p w14:paraId="622CFFAD" w14:textId="77777777" w:rsidR="009D4357" w:rsidRDefault="009D4357" w:rsidP="009D4357">
      <w:pPr>
        <w:pStyle w:val="Text1"/>
        <w:pBdr>
          <w:top w:val="single" w:sz="4" w:space="1" w:color="auto"/>
          <w:left w:val="single" w:sz="4" w:space="4" w:color="auto"/>
          <w:bottom w:val="single" w:sz="4" w:space="1" w:color="auto"/>
          <w:right w:val="single" w:sz="4" w:space="4" w:color="auto"/>
        </w:pBdr>
        <w:rPr>
          <w:noProof/>
        </w:rPr>
      </w:pPr>
      <w:r>
        <w:rPr>
          <w:noProof/>
        </w:rPr>
        <w:t>The measures related to combating fraud, corruption and any other illegal activities are outlined, inter alia, in article 50 of eu-LISA’s Regulation and under Title X of eu-LISA’s Financial Regulation.</w:t>
      </w:r>
    </w:p>
    <w:p w14:paraId="73597EE3" w14:textId="77777777" w:rsidR="009D4357" w:rsidRDefault="009D4357" w:rsidP="009D4357">
      <w:pPr>
        <w:pStyle w:val="Text1"/>
        <w:pBdr>
          <w:top w:val="single" w:sz="4" w:space="1" w:color="auto"/>
          <w:left w:val="single" w:sz="4" w:space="4" w:color="auto"/>
          <w:bottom w:val="single" w:sz="4" w:space="1" w:color="auto"/>
          <w:right w:val="single" w:sz="4" w:space="4" w:color="auto"/>
        </w:pBdr>
        <w:rPr>
          <w:noProof/>
        </w:rPr>
      </w:pPr>
      <w:r>
        <w:rPr>
          <w:noProof/>
        </w:rPr>
        <w:t>eu-LISA shall notably participate in fraud prevention activities of the European Anti-fraud Office and inform the Commission without delay on cases of presumed fraud and other financial irregularities – in line with its internal anti-fraud strategy.</w:t>
      </w:r>
    </w:p>
    <w:p w14:paraId="4B65D202" w14:textId="77777777" w:rsidR="009D4357" w:rsidRDefault="009D4357" w:rsidP="009D4357">
      <w:pPr>
        <w:pStyle w:val="Text1"/>
        <w:pBdr>
          <w:top w:val="single" w:sz="4" w:space="1" w:color="auto"/>
          <w:left w:val="single" w:sz="4" w:space="4" w:color="auto"/>
          <w:bottom w:val="single" w:sz="4" w:space="1" w:color="auto"/>
          <w:right w:val="single" w:sz="4" w:space="4" w:color="auto"/>
        </w:pBdr>
        <w:rPr>
          <w:noProof/>
        </w:rPr>
      </w:pPr>
    </w:p>
    <w:p w14:paraId="1C368732"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color w:val="0000FF"/>
          <w:lang w:eastAsia="en-GB"/>
        </w:rPr>
      </w:pPr>
      <w:r w:rsidRPr="00434957">
        <w:rPr>
          <w:noProof/>
          <w:lang w:eastAsia="en-GB"/>
        </w:rPr>
        <w:t>Moreover, as partner DG, DG HOME has developed and implemented its own anti-fraud strategy on the basis of the methodology provided by OLAF. Decentralised agencies, including Europol</w:t>
      </w:r>
      <w:r>
        <w:rPr>
          <w:noProof/>
          <w:lang w:eastAsia="en-GB"/>
        </w:rPr>
        <w:t xml:space="preserve"> and eu-LISA</w:t>
      </w:r>
      <w:r w:rsidRPr="00434957">
        <w:rPr>
          <w:noProof/>
          <w:lang w:eastAsia="en-GB"/>
        </w:rPr>
        <w:t xml:space="preserve">, fall within the scope of the strategy. DG HOME </w:t>
      </w:r>
      <w:r>
        <w:rPr>
          <w:noProof/>
          <w:lang w:eastAsia="en-GB"/>
        </w:rPr>
        <w:t>2020</w:t>
      </w:r>
      <w:r w:rsidRPr="00434957">
        <w:rPr>
          <w:noProof/>
          <w:lang w:eastAsia="en-GB"/>
        </w:rPr>
        <w:t xml:space="preserve"> AAR concluded that the fraud prevention and detection processes worked satisfactorily and therefore contributed to the assurance on the achievement of the internal control objectives. </w:t>
      </w:r>
    </w:p>
    <w:p w14:paraId="72ED554A"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color w:val="0000FF"/>
          <w:lang w:eastAsia="en-GB"/>
        </w:rPr>
      </w:pPr>
    </w:p>
    <w:p w14:paraId="15EDE6B4" w14:textId="77777777" w:rsidR="009D4357" w:rsidRPr="00434957" w:rsidRDefault="009D4357" w:rsidP="009D4357">
      <w:pPr>
        <w:keepNext/>
        <w:tabs>
          <w:tab w:val="left" w:pos="850"/>
        </w:tabs>
        <w:spacing w:before="360"/>
        <w:ind w:left="850" w:hanging="850"/>
        <w:outlineLvl w:val="0"/>
        <w:rPr>
          <w:b/>
          <w:smallCaps/>
          <w:noProof/>
          <w:szCs w:val="24"/>
          <w:lang w:eastAsia="en-GB"/>
        </w:rPr>
      </w:pPr>
      <w:r w:rsidRPr="00434957">
        <w:rPr>
          <w:b/>
          <w:smallCaps/>
          <w:noProof/>
        </w:rPr>
        <w:t>3.</w:t>
      </w:r>
      <w:r w:rsidRPr="00434957">
        <w:rPr>
          <w:b/>
          <w:smallCaps/>
          <w:noProof/>
        </w:rPr>
        <w:tab/>
      </w:r>
      <w:r w:rsidRPr="00434957">
        <w:rPr>
          <w:b/>
          <w:smallCaps/>
          <w:noProof/>
          <w:lang w:eastAsia="en-GB"/>
        </w:rPr>
        <w:t xml:space="preserve">ESTIMATED FINANCIAL IMPACT OF THE LEGISLATIVE INITIATIVE </w:t>
      </w:r>
    </w:p>
    <w:p w14:paraId="62B853BE" w14:textId="77777777" w:rsidR="009D4357" w:rsidRPr="00434957" w:rsidRDefault="009D4357" w:rsidP="009D4357">
      <w:pPr>
        <w:keepNext/>
        <w:tabs>
          <w:tab w:val="left" w:pos="850"/>
        </w:tabs>
        <w:ind w:left="850" w:hanging="850"/>
        <w:outlineLvl w:val="1"/>
        <w:rPr>
          <w:b/>
          <w:noProof/>
          <w:szCs w:val="24"/>
          <w:lang w:eastAsia="en-GB"/>
        </w:rPr>
      </w:pPr>
      <w:r w:rsidRPr="00434957">
        <w:rPr>
          <w:b/>
          <w:noProof/>
        </w:rPr>
        <w:t>3.1.</w:t>
      </w:r>
      <w:r w:rsidRPr="00434957">
        <w:rPr>
          <w:b/>
          <w:noProof/>
        </w:rPr>
        <w:tab/>
      </w:r>
      <w:r w:rsidRPr="00434957">
        <w:rPr>
          <w:b/>
          <w:noProof/>
          <w:lang w:eastAsia="en-GB"/>
        </w:rPr>
        <w:t xml:space="preserve">Heading(s) of the multiannual financial framework and expenditure budget line(s) affected </w:t>
      </w:r>
    </w:p>
    <w:p w14:paraId="54717D62" w14:textId="77777777" w:rsidR="009D4357" w:rsidRPr="00434957" w:rsidRDefault="009D4357" w:rsidP="009D4357">
      <w:pPr>
        <w:tabs>
          <w:tab w:val="num" w:pos="1134"/>
        </w:tabs>
        <w:ind w:left="1134" w:hanging="283"/>
        <w:rPr>
          <w:noProof/>
          <w:lang w:eastAsia="en-GB"/>
        </w:rPr>
      </w:pPr>
      <w:r w:rsidRPr="00434957">
        <w:rPr>
          <w:noProof/>
          <w:lang w:eastAsia="en-GB"/>
        </w:rPr>
        <w:t xml:space="preserve">Existing budget lines </w:t>
      </w:r>
    </w:p>
    <w:p w14:paraId="20E3FEE2" w14:textId="77777777" w:rsidR="009D4357" w:rsidRPr="00434957" w:rsidRDefault="009D4357" w:rsidP="009D4357">
      <w:pPr>
        <w:ind w:left="850"/>
        <w:rPr>
          <w:noProof/>
          <w:lang w:eastAsia="en-GB"/>
        </w:rPr>
      </w:pPr>
      <w:r w:rsidRPr="00434957">
        <w:rPr>
          <w:noProof/>
          <w:u w:val="single"/>
          <w:lang w:eastAsia="en-GB"/>
        </w:rPr>
        <w:t>In order</w:t>
      </w:r>
      <w:r w:rsidRPr="00434957">
        <w:rPr>
          <w:noProof/>
          <w:lang w:eastAsia="en-GB"/>
        </w:rPr>
        <w:t xml:space="preserve"> of multiannual financial framework headings and budget lines.</w:t>
      </w:r>
    </w:p>
    <w:tbl>
      <w:tblPr>
        <w:tblW w:w="106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9D4357" w:rsidRPr="00434957" w14:paraId="228BC617" w14:textId="77777777" w:rsidTr="00CE3F2A">
        <w:tc>
          <w:tcPr>
            <w:tcW w:w="1080" w:type="dxa"/>
            <w:vMerge w:val="restart"/>
            <w:vAlign w:val="center"/>
          </w:tcPr>
          <w:p w14:paraId="65B5D541" w14:textId="77777777" w:rsidR="009D4357" w:rsidRPr="00434957" w:rsidRDefault="009D4357" w:rsidP="00CE3F2A">
            <w:pPr>
              <w:spacing w:before="60" w:after="60"/>
              <w:jc w:val="center"/>
              <w:rPr>
                <w:noProof/>
                <w:sz w:val="18"/>
                <w:lang w:eastAsia="en-GB"/>
              </w:rPr>
            </w:pPr>
            <w:r w:rsidRPr="00434957">
              <w:rPr>
                <w:noProof/>
                <w:sz w:val="18"/>
                <w:lang w:eastAsia="en-GB"/>
              </w:rPr>
              <w:t>Heading of multiannual financial framework</w:t>
            </w:r>
          </w:p>
        </w:tc>
        <w:tc>
          <w:tcPr>
            <w:tcW w:w="3960" w:type="dxa"/>
            <w:vAlign w:val="center"/>
          </w:tcPr>
          <w:p w14:paraId="0BC2FE73" w14:textId="77777777" w:rsidR="009D4357" w:rsidRPr="00434957" w:rsidRDefault="009D4357" w:rsidP="00CE3F2A">
            <w:pPr>
              <w:spacing w:before="60" w:after="60"/>
              <w:jc w:val="center"/>
              <w:rPr>
                <w:noProof/>
                <w:lang w:eastAsia="en-GB"/>
              </w:rPr>
            </w:pPr>
            <w:r w:rsidRPr="00434957">
              <w:rPr>
                <w:noProof/>
                <w:sz w:val="20"/>
                <w:lang w:eastAsia="en-GB"/>
              </w:rPr>
              <w:t>Budget line</w:t>
            </w:r>
          </w:p>
        </w:tc>
        <w:tc>
          <w:tcPr>
            <w:tcW w:w="1080" w:type="dxa"/>
            <w:vAlign w:val="center"/>
          </w:tcPr>
          <w:p w14:paraId="52A84177" w14:textId="77777777" w:rsidR="009D4357" w:rsidRPr="00434957" w:rsidRDefault="009D4357" w:rsidP="00CE3F2A">
            <w:pPr>
              <w:spacing w:before="60" w:after="60"/>
              <w:jc w:val="center"/>
              <w:rPr>
                <w:noProof/>
                <w:lang w:eastAsia="en-GB"/>
              </w:rPr>
            </w:pPr>
            <w:r w:rsidRPr="00434957">
              <w:rPr>
                <w:noProof/>
                <w:sz w:val="18"/>
                <w:lang w:eastAsia="en-GB"/>
              </w:rPr>
              <w:t xml:space="preserve">Type of </w:t>
            </w:r>
            <w:r w:rsidRPr="00434957">
              <w:rPr>
                <w:noProof/>
                <w:lang w:eastAsia="en-GB"/>
              </w:rPr>
              <w:br/>
            </w:r>
            <w:r w:rsidRPr="00434957">
              <w:rPr>
                <w:noProof/>
                <w:sz w:val="18"/>
                <w:lang w:eastAsia="en-GB"/>
              </w:rPr>
              <w:t>expenditure</w:t>
            </w:r>
          </w:p>
        </w:tc>
        <w:tc>
          <w:tcPr>
            <w:tcW w:w="4556" w:type="dxa"/>
            <w:gridSpan w:val="4"/>
            <w:vAlign w:val="center"/>
          </w:tcPr>
          <w:p w14:paraId="1BE45B35" w14:textId="77777777" w:rsidR="009D4357" w:rsidRPr="00434957" w:rsidRDefault="009D4357" w:rsidP="00CE3F2A">
            <w:pPr>
              <w:spacing w:before="60" w:after="60"/>
              <w:jc w:val="center"/>
              <w:rPr>
                <w:noProof/>
                <w:lang w:eastAsia="en-GB"/>
              </w:rPr>
            </w:pPr>
            <w:r w:rsidRPr="00434957">
              <w:rPr>
                <w:noProof/>
                <w:sz w:val="20"/>
                <w:lang w:eastAsia="en-GB"/>
              </w:rPr>
              <w:t xml:space="preserve">Contribution </w:t>
            </w:r>
          </w:p>
        </w:tc>
      </w:tr>
      <w:tr w:rsidR="009D4357" w:rsidRPr="00434957" w14:paraId="7977817F" w14:textId="77777777" w:rsidTr="00CE3F2A">
        <w:tc>
          <w:tcPr>
            <w:tcW w:w="1080" w:type="dxa"/>
            <w:vMerge/>
            <w:vAlign w:val="center"/>
          </w:tcPr>
          <w:p w14:paraId="673B1EEB" w14:textId="77777777" w:rsidR="009D4357" w:rsidRPr="00434957" w:rsidRDefault="009D4357" w:rsidP="00CE3F2A">
            <w:pPr>
              <w:rPr>
                <w:noProof/>
                <w:sz w:val="18"/>
                <w:lang w:eastAsia="en-GB"/>
              </w:rPr>
            </w:pPr>
          </w:p>
        </w:tc>
        <w:tc>
          <w:tcPr>
            <w:tcW w:w="3960" w:type="dxa"/>
            <w:vAlign w:val="center"/>
          </w:tcPr>
          <w:p w14:paraId="621E10E9" w14:textId="77777777" w:rsidR="009D4357" w:rsidRPr="00434957" w:rsidRDefault="009D4357" w:rsidP="00CE3F2A">
            <w:pPr>
              <w:rPr>
                <w:noProof/>
                <w:lang w:eastAsia="en-GB"/>
              </w:rPr>
            </w:pPr>
            <w:r w:rsidRPr="00434957">
              <w:rPr>
                <w:noProof/>
                <w:sz w:val="20"/>
                <w:lang w:eastAsia="en-GB"/>
              </w:rPr>
              <w:t xml:space="preserve">Number </w:t>
            </w:r>
            <w:r w:rsidRPr="00434957">
              <w:rPr>
                <w:noProof/>
                <w:lang w:eastAsia="en-GB"/>
              </w:rPr>
              <w:br/>
            </w:r>
          </w:p>
        </w:tc>
        <w:tc>
          <w:tcPr>
            <w:tcW w:w="1080" w:type="dxa"/>
            <w:vAlign w:val="center"/>
          </w:tcPr>
          <w:p w14:paraId="367B97EE" w14:textId="77777777" w:rsidR="009D4357" w:rsidRPr="00434957" w:rsidRDefault="009D4357" w:rsidP="00CE3F2A">
            <w:pPr>
              <w:jc w:val="center"/>
              <w:rPr>
                <w:noProof/>
                <w:lang w:eastAsia="en-GB"/>
              </w:rPr>
            </w:pPr>
            <w:r w:rsidRPr="00434957">
              <w:rPr>
                <w:noProof/>
                <w:sz w:val="18"/>
                <w:lang w:eastAsia="en-GB"/>
              </w:rPr>
              <w:t>Diff./Non-diff.</w:t>
            </w:r>
            <w:r w:rsidRPr="005A04A2">
              <w:rPr>
                <w:rStyle w:val="FootnoteReference0"/>
                <w:noProof/>
              </w:rPr>
              <w:footnoteReference w:id="47"/>
            </w:r>
          </w:p>
        </w:tc>
        <w:tc>
          <w:tcPr>
            <w:tcW w:w="956" w:type="dxa"/>
            <w:vAlign w:val="center"/>
          </w:tcPr>
          <w:p w14:paraId="3E8064C5" w14:textId="77777777" w:rsidR="009D4357" w:rsidRPr="00434957" w:rsidRDefault="009D4357" w:rsidP="00CE3F2A">
            <w:pPr>
              <w:jc w:val="center"/>
              <w:rPr>
                <w:noProof/>
                <w:lang w:eastAsia="en-GB"/>
              </w:rPr>
            </w:pPr>
            <w:r w:rsidRPr="00434957">
              <w:rPr>
                <w:noProof/>
                <w:sz w:val="18"/>
                <w:lang w:eastAsia="en-GB"/>
              </w:rPr>
              <w:t>from EFTA countries</w:t>
            </w:r>
            <w:r w:rsidRPr="005A04A2">
              <w:rPr>
                <w:rStyle w:val="FootnoteReference0"/>
                <w:noProof/>
              </w:rPr>
              <w:footnoteReference w:id="48"/>
            </w:r>
          </w:p>
        </w:tc>
        <w:tc>
          <w:tcPr>
            <w:tcW w:w="1080" w:type="dxa"/>
            <w:vAlign w:val="center"/>
          </w:tcPr>
          <w:p w14:paraId="5EA6B534" w14:textId="77777777" w:rsidR="009D4357" w:rsidRPr="00434957" w:rsidRDefault="009D4357" w:rsidP="00CE3F2A">
            <w:pPr>
              <w:jc w:val="center"/>
              <w:rPr>
                <w:noProof/>
                <w:sz w:val="18"/>
                <w:lang w:eastAsia="en-GB"/>
              </w:rPr>
            </w:pPr>
            <w:r w:rsidRPr="00434957">
              <w:rPr>
                <w:noProof/>
                <w:sz w:val="18"/>
                <w:lang w:eastAsia="en-GB"/>
              </w:rPr>
              <w:t>from candidate countries</w:t>
            </w:r>
            <w:r w:rsidRPr="005A04A2">
              <w:rPr>
                <w:rStyle w:val="FootnoteReference0"/>
                <w:noProof/>
              </w:rPr>
              <w:footnoteReference w:id="49"/>
            </w:r>
          </w:p>
        </w:tc>
        <w:tc>
          <w:tcPr>
            <w:tcW w:w="956" w:type="dxa"/>
            <w:vAlign w:val="center"/>
          </w:tcPr>
          <w:p w14:paraId="3C826B5A" w14:textId="77777777" w:rsidR="009D4357" w:rsidRPr="00434957" w:rsidRDefault="009D4357" w:rsidP="00CE3F2A">
            <w:pPr>
              <w:jc w:val="center"/>
              <w:rPr>
                <w:noProof/>
                <w:sz w:val="18"/>
                <w:lang w:eastAsia="en-GB"/>
              </w:rPr>
            </w:pPr>
            <w:r w:rsidRPr="00434957">
              <w:rPr>
                <w:noProof/>
                <w:sz w:val="18"/>
                <w:lang w:eastAsia="en-GB"/>
              </w:rPr>
              <w:t>from third countries</w:t>
            </w:r>
          </w:p>
        </w:tc>
        <w:tc>
          <w:tcPr>
            <w:tcW w:w="1564" w:type="dxa"/>
            <w:vAlign w:val="center"/>
          </w:tcPr>
          <w:p w14:paraId="725D1EE7" w14:textId="77777777" w:rsidR="009D4357" w:rsidRPr="00434957" w:rsidRDefault="009D4357" w:rsidP="00CE3F2A">
            <w:pPr>
              <w:jc w:val="center"/>
              <w:rPr>
                <w:noProof/>
                <w:sz w:val="16"/>
                <w:szCs w:val="16"/>
                <w:lang w:eastAsia="en-GB"/>
              </w:rPr>
            </w:pPr>
            <w:r w:rsidRPr="00434957">
              <w:rPr>
                <w:noProof/>
                <w:sz w:val="16"/>
                <w:szCs w:val="16"/>
                <w:lang w:eastAsia="en-GB"/>
              </w:rPr>
              <w:t xml:space="preserve">within the meaning of Article 21(2)(b) of the Financial Regulation </w:t>
            </w:r>
          </w:p>
        </w:tc>
      </w:tr>
    </w:tbl>
    <w:p w14:paraId="78AFCF75" w14:textId="77777777" w:rsidR="009D4357" w:rsidRPr="00434957" w:rsidRDefault="009D4357" w:rsidP="009D4357">
      <w:pPr>
        <w:ind w:left="850"/>
        <w:rPr>
          <w:i/>
          <w:noProof/>
          <w:sz w:val="20"/>
          <w:lang w:eastAsia="en-GB"/>
        </w:rPr>
      </w:pPr>
    </w:p>
    <w:tbl>
      <w:tblPr>
        <w:tblW w:w="106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675"/>
        <w:gridCol w:w="1134"/>
        <w:gridCol w:w="1417"/>
        <w:gridCol w:w="992"/>
        <w:gridCol w:w="993"/>
        <w:gridCol w:w="1385"/>
      </w:tblGrid>
      <w:tr w:rsidR="009D4357" w:rsidRPr="00434957" w14:paraId="320FC12E" w14:textId="77777777" w:rsidTr="00CE3F2A">
        <w:tc>
          <w:tcPr>
            <w:tcW w:w="1080" w:type="dxa"/>
            <w:vMerge w:val="restart"/>
            <w:vAlign w:val="center"/>
          </w:tcPr>
          <w:p w14:paraId="0BB6B21E" w14:textId="77777777" w:rsidR="009D4357" w:rsidRPr="00434957" w:rsidRDefault="009D4357" w:rsidP="00CE3F2A">
            <w:pPr>
              <w:spacing w:before="60" w:after="60"/>
              <w:jc w:val="center"/>
              <w:rPr>
                <w:noProof/>
                <w:lang w:eastAsia="en-GB"/>
              </w:rPr>
            </w:pPr>
            <w:r w:rsidRPr="00434957">
              <w:rPr>
                <w:noProof/>
                <w:sz w:val="18"/>
                <w:lang w:eastAsia="en-GB"/>
              </w:rPr>
              <w:t>Heading of multiannual financial framework</w:t>
            </w:r>
          </w:p>
        </w:tc>
        <w:tc>
          <w:tcPr>
            <w:tcW w:w="3675" w:type="dxa"/>
            <w:vAlign w:val="center"/>
          </w:tcPr>
          <w:p w14:paraId="7ADBF10D" w14:textId="77777777" w:rsidR="009D4357" w:rsidRPr="00434957" w:rsidRDefault="009D4357" w:rsidP="00CE3F2A">
            <w:pPr>
              <w:spacing w:before="60" w:after="60"/>
              <w:jc w:val="center"/>
              <w:rPr>
                <w:noProof/>
                <w:lang w:eastAsia="en-GB"/>
              </w:rPr>
            </w:pPr>
            <w:r w:rsidRPr="00434957">
              <w:rPr>
                <w:noProof/>
                <w:sz w:val="20"/>
                <w:lang w:eastAsia="en-GB"/>
              </w:rPr>
              <w:t>Budget line</w:t>
            </w:r>
          </w:p>
        </w:tc>
        <w:tc>
          <w:tcPr>
            <w:tcW w:w="1134" w:type="dxa"/>
            <w:vAlign w:val="center"/>
          </w:tcPr>
          <w:p w14:paraId="62BB7CDA" w14:textId="77777777" w:rsidR="009D4357" w:rsidRPr="00434957" w:rsidRDefault="009D4357" w:rsidP="00CE3F2A">
            <w:pPr>
              <w:spacing w:before="60" w:after="60"/>
              <w:jc w:val="center"/>
              <w:rPr>
                <w:noProof/>
                <w:lang w:eastAsia="en-GB"/>
              </w:rPr>
            </w:pPr>
            <w:r w:rsidRPr="00434957">
              <w:rPr>
                <w:noProof/>
                <w:sz w:val="18"/>
                <w:lang w:eastAsia="en-GB"/>
              </w:rPr>
              <w:t>Type of</w:t>
            </w:r>
            <w:r w:rsidRPr="00434957">
              <w:rPr>
                <w:noProof/>
                <w:lang w:eastAsia="en-GB"/>
              </w:rPr>
              <w:br/>
            </w:r>
            <w:r w:rsidRPr="00434957">
              <w:rPr>
                <w:noProof/>
                <w:sz w:val="18"/>
                <w:lang w:eastAsia="en-GB"/>
              </w:rPr>
              <w:t>expenditure</w:t>
            </w:r>
          </w:p>
        </w:tc>
        <w:tc>
          <w:tcPr>
            <w:tcW w:w="4787" w:type="dxa"/>
            <w:gridSpan w:val="4"/>
            <w:vAlign w:val="center"/>
          </w:tcPr>
          <w:p w14:paraId="4DB19E39" w14:textId="77777777" w:rsidR="009D4357" w:rsidRPr="00434957" w:rsidRDefault="009D4357" w:rsidP="00CE3F2A">
            <w:pPr>
              <w:spacing w:before="60" w:after="60"/>
              <w:jc w:val="center"/>
              <w:rPr>
                <w:noProof/>
                <w:lang w:eastAsia="en-GB"/>
              </w:rPr>
            </w:pPr>
            <w:r w:rsidRPr="00434957">
              <w:rPr>
                <w:noProof/>
                <w:sz w:val="20"/>
                <w:lang w:eastAsia="en-GB"/>
              </w:rPr>
              <w:t xml:space="preserve">Contribution </w:t>
            </w:r>
          </w:p>
        </w:tc>
      </w:tr>
      <w:tr w:rsidR="009D4357" w:rsidRPr="00434957" w14:paraId="362F11BE" w14:textId="77777777" w:rsidTr="00CE3F2A">
        <w:tc>
          <w:tcPr>
            <w:tcW w:w="1080" w:type="dxa"/>
            <w:vMerge/>
            <w:vAlign w:val="center"/>
          </w:tcPr>
          <w:p w14:paraId="2172DEB3" w14:textId="77777777" w:rsidR="009D4357" w:rsidRPr="00434957" w:rsidRDefault="009D4357" w:rsidP="00CE3F2A">
            <w:pPr>
              <w:rPr>
                <w:noProof/>
                <w:lang w:eastAsia="en-GB"/>
              </w:rPr>
            </w:pPr>
          </w:p>
        </w:tc>
        <w:tc>
          <w:tcPr>
            <w:tcW w:w="3675" w:type="dxa"/>
            <w:vAlign w:val="center"/>
          </w:tcPr>
          <w:p w14:paraId="4ED63C76" w14:textId="77777777" w:rsidR="009D4357" w:rsidRPr="00434957" w:rsidRDefault="009D4357" w:rsidP="00CE3F2A">
            <w:pPr>
              <w:rPr>
                <w:noProof/>
                <w:lang w:eastAsia="en-GB"/>
              </w:rPr>
            </w:pPr>
            <w:r w:rsidRPr="00434957">
              <w:rPr>
                <w:noProof/>
                <w:sz w:val="20"/>
                <w:lang w:eastAsia="en-GB"/>
              </w:rPr>
              <w:t xml:space="preserve">Number </w:t>
            </w:r>
            <w:r w:rsidRPr="00434957">
              <w:rPr>
                <w:noProof/>
                <w:lang w:eastAsia="en-GB"/>
              </w:rPr>
              <w:br/>
            </w:r>
          </w:p>
        </w:tc>
        <w:tc>
          <w:tcPr>
            <w:tcW w:w="1134" w:type="dxa"/>
            <w:vAlign w:val="center"/>
          </w:tcPr>
          <w:p w14:paraId="0BDA66FE" w14:textId="77777777" w:rsidR="009D4357" w:rsidRPr="00434957" w:rsidRDefault="009D4357" w:rsidP="00CE3F2A">
            <w:pPr>
              <w:jc w:val="center"/>
              <w:rPr>
                <w:noProof/>
                <w:lang w:eastAsia="en-GB"/>
              </w:rPr>
            </w:pPr>
            <w:r w:rsidRPr="00434957">
              <w:rPr>
                <w:noProof/>
                <w:sz w:val="18"/>
                <w:lang w:eastAsia="en-GB"/>
              </w:rPr>
              <w:t>Diff./non-diff.</w:t>
            </w:r>
          </w:p>
        </w:tc>
        <w:tc>
          <w:tcPr>
            <w:tcW w:w="1417" w:type="dxa"/>
            <w:vAlign w:val="center"/>
          </w:tcPr>
          <w:p w14:paraId="54ADD5DF" w14:textId="77777777" w:rsidR="009D4357" w:rsidRPr="00434957" w:rsidRDefault="009D4357" w:rsidP="00CE3F2A">
            <w:pPr>
              <w:jc w:val="center"/>
              <w:rPr>
                <w:noProof/>
                <w:sz w:val="18"/>
                <w:lang w:eastAsia="en-GB"/>
              </w:rPr>
            </w:pPr>
            <w:r w:rsidRPr="00434957">
              <w:rPr>
                <w:noProof/>
                <w:sz w:val="18"/>
                <w:lang w:eastAsia="en-GB"/>
              </w:rPr>
              <w:t>from EFTA countries</w:t>
            </w:r>
          </w:p>
        </w:tc>
        <w:tc>
          <w:tcPr>
            <w:tcW w:w="992" w:type="dxa"/>
            <w:vAlign w:val="center"/>
          </w:tcPr>
          <w:p w14:paraId="2BF29D4F" w14:textId="77777777" w:rsidR="009D4357" w:rsidRPr="00434957" w:rsidRDefault="009D4357" w:rsidP="00CE3F2A">
            <w:pPr>
              <w:jc w:val="center"/>
              <w:rPr>
                <w:noProof/>
                <w:sz w:val="18"/>
                <w:lang w:eastAsia="en-GB"/>
              </w:rPr>
            </w:pPr>
            <w:r w:rsidRPr="00434957">
              <w:rPr>
                <w:noProof/>
                <w:sz w:val="18"/>
                <w:lang w:eastAsia="en-GB"/>
              </w:rPr>
              <w:t>from candidate countries</w:t>
            </w:r>
          </w:p>
        </w:tc>
        <w:tc>
          <w:tcPr>
            <w:tcW w:w="993" w:type="dxa"/>
            <w:vAlign w:val="center"/>
          </w:tcPr>
          <w:p w14:paraId="1589BC9D" w14:textId="77777777" w:rsidR="009D4357" w:rsidRPr="00434957" w:rsidRDefault="009D4357" w:rsidP="00CE3F2A">
            <w:pPr>
              <w:jc w:val="center"/>
              <w:rPr>
                <w:noProof/>
                <w:sz w:val="18"/>
                <w:lang w:eastAsia="en-GB"/>
              </w:rPr>
            </w:pPr>
            <w:r w:rsidRPr="00434957">
              <w:rPr>
                <w:noProof/>
                <w:sz w:val="18"/>
                <w:lang w:eastAsia="en-GB"/>
              </w:rPr>
              <w:t>from third countries</w:t>
            </w:r>
          </w:p>
        </w:tc>
        <w:tc>
          <w:tcPr>
            <w:tcW w:w="1385" w:type="dxa"/>
            <w:vAlign w:val="center"/>
          </w:tcPr>
          <w:p w14:paraId="60158F80" w14:textId="77777777" w:rsidR="009D4357" w:rsidRPr="00434957" w:rsidRDefault="009D4357" w:rsidP="00CE3F2A">
            <w:pPr>
              <w:jc w:val="center"/>
              <w:rPr>
                <w:noProof/>
                <w:lang w:eastAsia="en-GB"/>
              </w:rPr>
            </w:pPr>
            <w:r w:rsidRPr="00434957">
              <w:rPr>
                <w:noProof/>
                <w:sz w:val="16"/>
                <w:lang w:eastAsia="en-GB"/>
              </w:rPr>
              <w:t xml:space="preserve">within the meaning of Article 21(2)(b) of the Financial Regulation </w:t>
            </w:r>
          </w:p>
        </w:tc>
      </w:tr>
      <w:tr w:rsidR="009D4357" w:rsidRPr="00434957" w14:paraId="0467BAB2" w14:textId="77777777" w:rsidTr="00CE3F2A">
        <w:tc>
          <w:tcPr>
            <w:tcW w:w="1080" w:type="dxa"/>
            <w:vAlign w:val="center"/>
          </w:tcPr>
          <w:p w14:paraId="46C8839C" w14:textId="77777777" w:rsidR="009D4357" w:rsidRPr="00434957" w:rsidRDefault="009D4357" w:rsidP="00CE3F2A">
            <w:pPr>
              <w:jc w:val="center"/>
              <w:rPr>
                <w:noProof/>
                <w:color w:val="0000FF"/>
                <w:lang w:eastAsia="en-GB"/>
              </w:rPr>
            </w:pPr>
            <w:r>
              <w:rPr>
                <w:noProof/>
                <w:color w:val="0000FF"/>
                <w:lang w:eastAsia="en-GB"/>
              </w:rPr>
              <w:t>5</w:t>
            </w:r>
          </w:p>
        </w:tc>
        <w:tc>
          <w:tcPr>
            <w:tcW w:w="3675" w:type="dxa"/>
            <w:vAlign w:val="center"/>
          </w:tcPr>
          <w:p w14:paraId="156DCC7E" w14:textId="77777777" w:rsidR="009D4357" w:rsidRPr="00434957" w:rsidRDefault="009D4357" w:rsidP="00CE3F2A">
            <w:pPr>
              <w:spacing w:after="60"/>
              <w:rPr>
                <w:noProof/>
                <w:lang w:eastAsia="en-GB"/>
              </w:rPr>
            </w:pPr>
            <w:r>
              <w:rPr>
                <w:noProof/>
                <w:lang w:eastAsia="en-GB"/>
              </w:rPr>
              <w:t xml:space="preserve">12.02.01 – </w:t>
            </w:r>
            <w:r w:rsidRPr="00777AA7">
              <w:rPr>
                <w:noProof/>
                <w:lang w:eastAsia="en-GB"/>
              </w:rPr>
              <w:t>Internal Security Fund</w:t>
            </w:r>
          </w:p>
        </w:tc>
        <w:tc>
          <w:tcPr>
            <w:tcW w:w="1134" w:type="dxa"/>
            <w:vAlign w:val="center"/>
          </w:tcPr>
          <w:p w14:paraId="304AC8EE" w14:textId="77777777" w:rsidR="009D4357" w:rsidRPr="00434957" w:rsidRDefault="009D4357" w:rsidP="00CE3F2A">
            <w:pPr>
              <w:jc w:val="center"/>
              <w:rPr>
                <w:noProof/>
                <w:color w:val="0000FF"/>
                <w:lang w:eastAsia="en-GB"/>
              </w:rPr>
            </w:pPr>
            <w:r>
              <w:rPr>
                <w:noProof/>
                <w:color w:val="0000FF"/>
                <w:lang w:eastAsia="en-GB"/>
              </w:rPr>
              <w:t>Diff.</w:t>
            </w:r>
          </w:p>
        </w:tc>
        <w:tc>
          <w:tcPr>
            <w:tcW w:w="1417" w:type="dxa"/>
            <w:vAlign w:val="center"/>
          </w:tcPr>
          <w:p w14:paraId="400B0D0E" w14:textId="77777777" w:rsidR="009D4357" w:rsidRPr="00434957" w:rsidRDefault="009D4357" w:rsidP="00CE3F2A">
            <w:pPr>
              <w:jc w:val="center"/>
              <w:rPr>
                <w:noProof/>
                <w:sz w:val="20"/>
                <w:lang w:eastAsia="en-GB"/>
              </w:rPr>
            </w:pPr>
            <w:r w:rsidRPr="00434957">
              <w:rPr>
                <w:noProof/>
                <w:sz w:val="20"/>
                <w:lang w:eastAsia="en-GB"/>
              </w:rPr>
              <w:t>NO</w:t>
            </w:r>
          </w:p>
        </w:tc>
        <w:tc>
          <w:tcPr>
            <w:tcW w:w="992" w:type="dxa"/>
            <w:vAlign w:val="center"/>
          </w:tcPr>
          <w:p w14:paraId="0300AD94" w14:textId="77777777" w:rsidR="009D4357" w:rsidRPr="00434957" w:rsidRDefault="009D4357" w:rsidP="00CE3F2A">
            <w:pPr>
              <w:jc w:val="center"/>
              <w:rPr>
                <w:noProof/>
                <w:color w:val="0000FF"/>
                <w:sz w:val="20"/>
                <w:lang w:eastAsia="en-GB"/>
              </w:rPr>
            </w:pPr>
            <w:r w:rsidRPr="00434957">
              <w:rPr>
                <w:noProof/>
                <w:sz w:val="20"/>
                <w:lang w:eastAsia="en-GB"/>
              </w:rPr>
              <w:t>NO</w:t>
            </w:r>
          </w:p>
        </w:tc>
        <w:tc>
          <w:tcPr>
            <w:tcW w:w="993" w:type="dxa"/>
            <w:vAlign w:val="center"/>
          </w:tcPr>
          <w:p w14:paraId="4C0FB1ED" w14:textId="77777777" w:rsidR="009D4357" w:rsidRPr="00434957" w:rsidRDefault="009D4357" w:rsidP="00CE3F2A">
            <w:pPr>
              <w:jc w:val="center"/>
              <w:rPr>
                <w:noProof/>
                <w:color w:val="0000FF"/>
                <w:sz w:val="20"/>
                <w:lang w:eastAsia="en-GB"/>
              </w:rPr>
            </w:pPr>
            <w:r w:rsidRPr="00434957">
              <w:rPr>
                <w:noProof/>
                <w:sz w:val="20"/>
                <w:lang w:eastAsia="en-GB"/>
              </w:rPr>
              <w:t>NO</w:t>
            </w:r>
          </w:p>
        </w:tc>
        <w:tc>
          <w:tcPr>
            <w:tcW w:w="1385" w:type="dxa"/>
            <w:vAlign w:val="center"/>
          </w:tcPr>
          <w:p w14:paraId="11299C8E" w14:textId="77777777" w:rsidR="009D4357" w:rsidRPr="00434957" w:rsidRDefault="009D4357" w:rsidP="00CE3F2A">
            <w:pPr>
              <w:jc w:val="center"/>
              <w:rPr>
                <w:noProof/>
                <w:sz w:val="20"/>
                <w:lang w:eastAsia="en-GB"/>
              </w:rPr>
            </w:pPr>
            <w:r w:rsidRPr="00434957">
              <w:rPr>
                <w:noProof/>
                <w:sz w:val="20"/>
                <w:lang w:eastAsia="en-GB"/>
              </w:rPr>
              <w:t>NO</w:t>
            </w:r>
          </w:p>
        </w:tc>
      </w:tr>
      <w:tr w:rsidR="009D4357" w:rsidRPr="00434957" w14:paraId="1BD38485" w14:textId="77777777" w:rsidTr="00CE3F2A">
        <w:tc>
          <w:tcPr>
            <w:tcW w:w="1080" w:type="dxa"/>
            <w:vAlign w:val="center"/>
          </w:tcPr>
          <w:p w14:paraId="1A72009B" w14:textId="77777777" w:rsidR="009D4357" w:rsidRDefault="009D4357" w:rsidP="00CE3F2A">
            <w:pPr>
              <w:jc w:val="center"/>
              <w:rPr>
                <w:noProof/>
                <w:color w:val="0000FF"/>
                <w:lang w:eastAsia="en-GB"/>
              </w:rPr>
            </w:pPr>
            <w:r>
              <w:rPr>
                <w:noProof/>
                <w:color w:val="0000FF"/>
                <w:lang w:eastAsia="en-GB"/>
              </w:rPr>
              <w:t>5</w:t>
            </w:r>
          </w:p>
        </w:tc>
        <w:tc>
          <w:tcPr>
            <w:tcW w:w="3675" w:type="dxa"/>
            <w:vAlign w:val="center"/>
          </w:tcPr>
          <w:p w14:paraId="228DE7CB" w14:textId="77777777" w:rsidR="009D4357" w:rsidRDefault="009D4357" w:rsidP="00CE3F2A">
            <w:pPr>
              <w:spacing w:before="60"/>
              <w:rPr>
                <w:noProof/>
                <w:lang w:eastAsia="en-GB"/>
              </w:rPr>
            </w:pPr>
            <w:r>
              <w:rPr>
                <w:noProof/>
                <w:lang w:eastAsia="en-GB"/>
              </w:rPr>
              <w:t>12.01.</w:t>
            </w:r>
            <w:r w:rsidRPr="00777AA7">
              <w:rPr>
                <w:noProof/>
                <w:lang w:eastAsia="en-GB"/>
              </w:rPr>
              <w:t>01</w:t>
            </w:r>
            <w:r>
              <w:rPr>
                <w:noProof/>
                <w:lang w:eastAsia="en-GB"/>
              </w:rPr>
              <w:t xml:space="preserve"> - Support expenditure for the </w:t>
            </w:r>
            <w:r w:rsidRPr="00777AA7">
              <w:rPr>
                <w:noProof/>
                <w:lang w:eastAsia="en-GB"/>
              </w:rPr>
              <w:t>Internal Security Fund</w:t>
            </w:r>
          </w:p>
        </w:tc>
        <w:tc>
          <w:tcPr>
            <w:tcW w:w="1134" w:type="dxa"/>
            <w:vAlign w:val="center"/>
          </w:tcPr>
          <w:p w14:paraId="3902140A" w14:textId="77777777" w:rsidR="009D4357" w:rsidRDefault="009D4357" w:rsidP="00CE3F2A">
            <w:pPr>
              <w:jc w:val="center"/>
              <w:rPr>
                <w:noProof/>
                <w:color w:val="0000FF"/>
                <w:lang w:eastAsia="en-GB"/>
              </w:rPr>
            </w:pPr>
            <w:r>
              <w:rPr>
                <w:noProof/>
                <w:color w:val="0000FF"/>
                <w:lang w:eastAsia="en-GB"/>
              </w:rPr>
              <w:t>Non-diff.</w:t>
            </w:r>
          </w:p>
        </w:tc>
        <w:tc>
          <w:tcPr>
            <w:tcW w:w="1417" w:type="dxa"/>
            <w:vAlign w:val="center"/>
          </w:tcPr>
          <w:p w14:paraId="1FC78D71" w14:textId="77777777" w:rsidR="009D4357" w:rsidRDefault="009D4357" w:rsidP="00CE3F2A">
            <w:pPr>
              <w:jc w:val="center"/>
              <w:rPr>
                <w:noProof/>
                <w:sz w:val="20"/>
                <w:lang w:eastAsia="en-GB"/>
              </w:rPr>
            </w:pPr>
            <w:r>
              <w:rPr>
                <w:noProof/>
                <w:sz w:val="20"/>
                <w:lang w:eastAsia="en-GB"/>
              </w:rPr>
              <w:t>NO</w:t>
            </w:r>
          </w:p>
        </w:tc>
        <w:tc>
          <w:tcPr>
            <w:tcW w:w="992" w:type="dxa"/>
            <w:vAlign w:val="center"/>
          </w:tcPr>
          <w:p w14:paraId="4589D84E" w14:textId="77777777" w:rsidR="009D4357" w:rsidRDefault="009D4357" w:rsidP="00CE3F2A">
            <w:pPr>
              <w:jc w:val="center"/>
              <w:rPr>
                <w:noProof/>
                <w:sz w:val="20"/>
                <w:lang w:eastAsia="en-GB"/>
              </w:rPr>
            </w:pPr>
            <w:r>
              <w:rPr>
                <w:noProof/>
                <w:sz w:val="20"/>
                <w:lang w:eastAsia="en-GB"/>
              </w:rPr>
              <w:t>NO</w:t>
            </w:r>
          </w:p>
        </w:tc>
        <w:tc>
          <w:tcPr>
            <w:tcW w:w="993" w:type="dxa"/>
            <w:vAlign w:val="center"/>
          </w:tcPr>
          <w:p w14:paraId="543C0146" w14:textId="77777777" w:rsidR="009D4357" w:rsidRDefault="009D4357" w:rsidP="00CE3F2A">
            <w:pPr>
              <w:jc w:val="center"/>
              <w:rPr>
                <w:noProof/>
                <w:sz w:val="20"/>
                <w:lang w:eastAsia="en-GB"/>
              </w:rPr>
            </w:pPr>
            <w:r>
              <w:rPr>
                <w:noProof/>
                <w:sz w:val="20"/>
                <w:lang w:eastAsia="en-GB"/>
              </w:rPr>
              <w:t>NO</w:t>
            </w:r>
          </w:p>
        </w:tc>
        <w:tc>
          <w:tcPr>
            <w:tcW w:w="1385" w:type="dxa"/>
            <w:vAlign w:val="center"/>
          </w:tcPr>
          <w:p w14:paraId="1D09CB93" w14:textId="77777777" w:rsidR="009D4357" w:rsidRDefault="009D4357" w:rsidP="00CE3F2A">
            <w:pPr>
              <w:jc w:val="center"/>
              <w:rPr>
                <w:noProof/>
                <w:sz w:val="20"/>
                <w:lang w:eastAsia="en-GB"/>
              </w:rPr>
            </w:pPr>
            <w:r>
              <w:rPr>
                <w:noProof/>
                <w:sz w:val="20"/>
                <w:lang w:eastAsia="en-GB"/>
              </w:rPr>
              <w:t>NO</w:t>
            </w:r>
          </w:p>
        </w:tc>
      </w:tr>
      <w:tr w:rsidR="009D4357" w:rsidRPr="00434957" w14:paraId="01ED0A6D" w14:textId="77777777" w:rsidTr="00CE3F2A">
        <w:tc>
          <w:tcPr>
            <w:tcW w:w="1080" w:type="dxa"/>
            <w:vAlign w:val="center"/>
          </w:tcPr>
          <w:p w14:paraId="1C8FAC0C" w14:textId="77777777" w:rsidR="009D4357" w:rsidRDefault="009D4357" w:rsidP="00CE3F2A">
            <w:pPr>
              <w:jc w:val="center"/>
              <w:rPr>
                <w:noProof/>
                <w:color w:val="0000FF"/>
                <w:lang w:eastAsia="en-GB"/>
              </w:rPr>
            </w:pPr>
            <w:r>
              <w:rPr>
                <w:noProof/>
                <w:color w:val="0000FF"/>
                <w:lang w:eastAsia="en-GB"/>
              </w:rPr>
              <w:t>5</w:t>
            </w:r>
          </w:p>
        </w:tc>
        <w:tc>
          <w:tcPr>
            <w:tcW w:w="3675" w:type="dxa"/>
            <w:vAlign w:val="center"/>
          </w:tcPr>
          <w:p w14:paraId="4EC81802" w14:textId="77777777" w:rsidR="009D4357" w:rsidRDefault="009D4357" w:rsidP="00CE3F2A">
            <w:pPr>
              <w:spacing w:before="60"/>
              <w:rPr>
                <w:noProof/>
                <w:lang w:eastAsia="en-GB"/>
              </w:rPr>
            </w:pPr>
            <w:r>
              <w:rPr>
                <w:noProof/>
                <w:lang w:eastAsia="en-GB"/>
              </w:rPr>
              <w:t xml:space="preserve">12.10.01 - </w:t>
            </w:r>
            <w:r w:rsidRPr="00777AA7">
              <w:rPr>
                <w:noProof/>
                <w:lang w:eastAsia="en-GB"/>
              </w:rPr>
              <w:t>European Union Agency for Law Enforcement Cooperation (Europol)</w:t>
            </w:r>
          </w:p>
        </w:tc>
        <w:tc>
          <w:tcPr>
            <w:tcW w:w="1134" w:type="dxa"/>
            <w:vAlign w:val="center"/>
          </w:tcPr>
          <w:p w14:paraId="6D4DE1C9" w14:textId="77777777" w:rsidR="009D4357" w:rsidRDefault="009D4357" w:rsidP="00CE3F2A">
            <w:pPr>
              <w:jc w:val="center"/>
              <w:rPr>
                <w:noProof/>
                <w:color w:val="0000FF"/>
                <w:lang w:eastAsia="en-GB"/>
              </w:rPr>
            </w:pPr>
            <w:r>
              <w:rPr>
                <w:noProof/>
                <w:color w:val="0000FF"/>
                <w:lang w:eastAsia="en-GB"/>
              </w:rPr>
              <w:t>Non-diff.</w:t>
            </w:r>
          </w:p>
        </w:tc>
        <w:tc>
          <w:tcPr>
            <w:tcW w:w="1417" w:type="dxa"/>
            <w:vAlign w:val="center"/>
          </w:tcPr>
          <w:p w14:paraId="5FDBCCC9" w14:textId="77777777" w:rsidR="009D4357" w:rsidRDefault="009D4357" w:rsidP="00CE3F2A">
            <w:pPr>
              <w:jc w:val="center"/>
              <w:rPr>
                <w:noProof/>
                <w:sz w:val="20"/>
                <w:lang w:eastAsia="en-GB"/>
              </w:rPr>
            </w:pPr>
            <w:r>
              <w:rPr>
                <w:noProof/>
                <w:sz w:val="20"/>
                <w:lang w:eastAsia="en-GB"/>
              </w:rPr>
              <w:t>NO</w:t>
            </w:r>
          </w:p>
        </w:tc>
        <w:tc>
          <w:tcPr>
            <w:tcW w:w="992" w:type="dxa"/>
            <w:vAlign w:val="center"/>
          </w:tcPr>
          <w:p w14:paraId="0E4C2319" w14:textId="77777777" w:rsidR="009D4357" w:rsidRDefault="009D4357" w:rsidP="00CE3F2A">
            <w:pPr>
              <w:jc w:val="center"/>
              <w:rPr>
                <w:noProof/>
                <w:sz w:val="20"/>
                <w:lang w:eastAsia="en-GB"/>
              </w:rPr>
            </w:pPr>
            <w:r>
              <w:rPr>
                <w:noProof/>
                <w:sz w:val="20"/>
                <w:lang w:eastAsia="en-GB"/>
              </w:rPr>
              <w:t>NO</w:t>
            </w:r>
          </w:p>
        </w:tc>
        <w:tc>
          <w:tcPr>
            <w:tcW w:w="993" w:type="dxa"/>
            <w:vAlign w:val="center"/>
          </w:tcPr>
          <w:p w14:paraId="19EB3506" w14:textId="77777777" w:rsidR="009D4357" w:rsidRDefault="009D4357" w:rsidP="00CE3F2A">
            <w:pPr>
              <w:jc w:val="center"/>
              <w:rPr>
                <w:noProof/>
                <w:sz w:val="20"/>
                <w:lang w:eastAsia="en-GB"/>
              </w:rPr>
            </w:pPr>
            <w:r>
              <w:rPr>
                <w:noProof/>
                <w:sz w:val="20"/>
                <w:lang w:eastAsia="en-GB"/>
              </w:rPr>
              <w:t>NO</w:t>
            </w:r>
          </w:p>
        </w:tc>
        <w:tc>
          <w:tcPr>
            <w:tcW w:w="1385" w:type="dxa"/>
            <w:vAlign w:val="center"/>
          </w:tcPr>
          <w:p w14:paraId="6F5DF0D5" w14:textId="77777777" w:rsidR="009D4357" w:rsidRDefault="009D4357" w:rsidP="00CE3F2A">
            <w:pPr>
              <w:jc w:val="center"/>
              <w:rPr>
                <w:noProof/>
                <w:sz w:val="20"/>
                <w:lang w:eastAsia="en-GB"/>
              </w:rPr>
            </w:pPr>
            <w:r>
              <w:rPr>
                <w:noProof/>
                <w:sz w:val="20"/>
                <w:lang w:eastAsia="en-GB"/>
              </w:rPr>
              <w:t>NO</w:t>
            </w:r>
          </w:p>
        </w:tc>
      </w:tr>
      <w:tr w:rsidR="009D4357" w:rsidRPr="00434957" w14:paraId="3B4A1E76" w14:textId="77777777" w:rsidTr="00CE3F2A">
        <w:tc>
          <w:tcPr>
            <w:tcW w:w="1080" w:type="dxa"/>
            <w:vAlign w:val="center"/>
          </w:tcPr>
          <w:p w14:paraId="7DB5B290" w14:textId="77777777" w:rsidR="009D4357" w:rsidRDefault="009D4357" w:rsidP="00CE3F2A">
            <w:pPr>
              <w:jc w:val="center"/>
              <w:rPr>
                <w:noProof/>
                <w:color w:val="0000FF"/>
                <w:lang w:eastAsia="en-GB"/>
              </w:rPr>
            </w:pPr>
            <w:r>
              <w:rPr>
                <w:noProof/>
                <w:color w:val="0000FF"/>
                <w:lang w:eastAsia="en-GB"/>
              </w:rPr>
              <w:t>4</w:t>
            </w:r>
          </w:p>
        </w:tc>
        <w:tc>
          <w:tcPr>
            <w:tcW w:w="3675" w:type="dxa"/>
            <w:vAlign w:val="center"/>
          </w:tcPr>
          <w:p w14:paraId="3E903CA5" w14:textId="77777777" w:rsidR="009D4357" w:rsidRDefault="009D4357" w:rsidP="00CE3F2A">
            <w:pPr>
              <w:spacing w:before="60"/>
              <w:rPr>
                <w:noProof/>
                <w:lang w:eastAsia="en-GB"/>
              </w:rPr>
            </w:pPr>
            <w:r>
              <w:rPr>
                <w:noProof/>
                <w:lang w:eastAsia="en-GB"/>
              </w:rPr>
              <w:t>11.10.</w:t>
            </w:r>
            <w:r w:rsidRPr="00777AA7">
              <w:rPr>
                <w:noProof/>
                <w:lang w:eastAsia="en-GB"/>
              </w:rPr>
              <w:t>02 – European Agency for the Operational Management of Large-Scale IT Systems in the Area of Freedom, Security and Justice (eu</w:t>
            </w:r>
            <w:r>
              <w:rPr>
                <w:noProof/>
                <w:lang w:eastAsia="en-GB"/>
              </w:rPr>
              <w:noBreakHyphen/>
            </w:r>
            <w:r w:rsidRPr="00777AA7">
              <w:rPr>
                <w:noProof/>
                <w:lang w:eastAsia="en-GB"/>
              </w:rPr>
              <w:t>LISA)</w:t>
            </w:r>
          </w:p>
        </w:tc>
        <w:tc>
          <w:tcPr>
            <w:tcW w:w="1134" w:type="dxa"/>
            <w:vAlign w:val="center"/>
          </w:tcPr>
          <w:p w14:paraId="3E7359F0" w14:textId="77777777" w:rsidR="009D4357" w:rsidRDefault="009D4357" w:rsidP="00CE3F2A">
            <w:pPr>
              <w:jc w:val="center"/>
              <w:rPr>
                <w:noProof/>
                <w:color w:val="0000FF"/>
                <w:lang w:eastAsia="en-GB"/>
              </w:rPr>
            </w:pPr>
            <w:r>
              <w:rPr>
                <w:noProof/>
                <w:color w:val="0000FF"/>
                <w:lang w:eastAsia="en-GB"/>
              </w:rPr>
              <w:t>Non-diff.</w:t>
            </w:r>
          </w:p>
        </w:tc>
        <w:tc>
          <w:tcPr>
            <w:tcW w:w="1417" w:type="dxa"/>
            <w:vAlign w:val="center"/>
          </w:tcPr>
          <w:p w14:paraId="6A4E176A" w14:textId="77777777" w:rsidR="009D4357" w:rsidRDefault="009D4357" w:rsidP="00CE3F2A">
            <w:pPr>
              <w:jc w:val="center"/>
              <w:rPr>
                <w:noProof/>
                <w:sz w:val="20"/>
                <w:lang w:eastAsia="en-GB"/>
              </w:rPr>
            </w:pPr>
            <w:r>
              <w:rPr>
                <w:noProof/>
                <w:sz w:val="20"/>
                <w:lang w:eastAsia="en-GB"/>
              </w:rPr>
              <w:t>NO</w:t>
            </w:r>
          </w:p>
        </w:tc>
        <w:tc>
          <w:tcPr>
            <w:tcW w:w="992" w:type="dxa"/>
            <w:vAlign w:val="center"/>
          </w:tcPr>
          <w:p w14:paraId="50E5256F" w14:textId="77777777" w:rsidR="009D4357" w:rsidRDefault="009D4357" w:rsidP="00CE3F2A">
            <w:pPr>
              <w:jc w:val="center"/>
              <w:rPr>
                <w:noProof/>
                <w:sz w:val="20"/>
                <w:lang w:eastAsia="en-GB"/>
              </w:rPr>
            </w:pPr>
            <w:r>
              <w:rPr>
                <w:noProof/>
                <w:sz w:val="20"/>
                <w:lang w:eastAsia="en-GB"/>
              </w:rPr>
              <w:t>NO</w:t>
            </w:r>
          </w:p>
        </w:tc>
        <w:tc>
          <w:tcPr>
            <w:tcW w:w="993" w:type="dxa"/>
            <w:vAlign w:val="center"/>
          </w:tcPr>
          <w:p w14:paraId="01D9EAB2" w14:textId="77777777" w:rsidR="009D4357" w:rsidRDefault="009D4357" w:rsidP="00CE3F2A">
            <w:pPr>
              <w:jc w:val="center"/>
              <w:rPr>
                <w:noProof/>
                <w:sz w:val="20"/>
                <w:lang w:eastAsia="en-GB"/>
              </w:rPr>
            </w:pPr>
            <w:r>
              <w:rPr>
                <w:noProof/>
                <w:sz w:val="20"/>
                <w:lang w:eastAsia="en-GB"/>
              </w:rPr>
              <w:t>NO</w:t>
            </w:r>
          </w:p>
        </w:tc>
        <w:tc>
          <w:tcPr>
            <w:tcW w:w="1385" w:type="dxa"/>
            <w:vAlign w:val="center"/>
          </w:tcPr>
          <w:p w14:paraId="200D5A33" w14:textId="77777777" w:rsidR="009D4357" w:rsidRDefault="009D4357" w:rsidP="00CE3F2A">
            <w:pPr>
              <w:jc w:val="center"/>
              <w:rPr>
                <w:noProof/>
                <w:sz w:val="20"/>
                <w:lang w:eastAsia="en-GB"/>
              </w:rPr>
            </w:pPr>
            <w:r>
              <w:rPr>
                <w:noProof/>
                <w:sz w:val="20"/>
                <w:lang w:eastAsia="en-GB"/>
              </w:rPr>
              <w:t>NO</w:t>
            </w:r>
          </w:p>
        </w:tc>
      </w:tr>
    </w:tbl>
    <w:p w14:paraId="257F6DBC" w14:textId="77777777" w:rsidR="009D4357" w:rsidRPr="00434957" w:rsidRDefault="009D4357" w:rsidP="009D4357">
      <w:pPr>
        <w:rPr>
          <w:noProof/>
          <w:lang w:eastAsia="en-GB"/>
        </w:rPr>
        <w:sectPr w:rsidR="009D4357" w:rsidRPr="00434957" w:rsidSect="009D02A3">
          <w:pgSz w:w="12240" w:h="15840"/>
          <w:pgMar w:top="794" w:right="907" w:bottom="851" w:left="1361" w:header="510" w:footer="454" w:gutter="0"/>
          <w:cols w:space="720"/>
          <w:docGrid w:linePitch="326"/>
        </w:sectPr>
      </w:pPr>
    </w:p>
    <w:p w14:paraId="24A1891C" w14:textId="77777777" w:rsidR="009D4357" w:rsidRPr="00434957" w:rsidRDefault="009D4357" w:rsidP="009D4357">
      <w:pPr>
        <w:keepNext/>
        <w:tabs>
          <w:tab w:val="left" w:pos="850"/>
        </w:tabs>
        <w:ind w:left="850" w:hanging="850"/>
        <w:outlineLvl w:val="1"/>
        <w:rPr>
          <w:b/>
          <w:noProof/>
          <w:lang w:eastAsia="en-GB"/>
        </w:rPr>
      </w:pPr>
      <w:r w:rsidRPr="00434957">
        <w:rPr>
          <w:b/>
          <w:noProof/>
        </w:rPr>
        <w:t>3.2.</w:t>
      </w:r>
      <w:r w:rsidRPr="00434957">
        <w:rPr>
          <w:b/>
          <w:noProof/>
        </w:rPr>
        <w:tab/>
      </w:r>
      <w:r w:rsidRPr="00434957">
        <w:rPr>
          <w:b/>
          <w:noProof/>
          <w:lang w:eastAsia="en-GB"/>
        </w:rPr>
        <w:t xml:space="preserve">Estimated impact on expenditure </w:t>
      </w:r>
    </w:p>
    <w:p w14:paraId="6415B968" w14:textId="77777777" w:rsidR="009D4357" w:rsidRPr="00434957" w:rsidRDefault="009D4357" w:rsidP="009D4357">
      <w:pPr>
        <w:ind w:left="850"/>
        <w:rPr>
          <w:noProof/>
          <w:lang w:eastAsia="en-GB"/>
        </w:rPr>
      </w:pPr>
    </w:p>
    <w:p w14:paraId="3076BA80" w14:textId="77777777" w:rsidR="009D4357" w:rsidRPr="00434957" w:rsidRDefault="009D4357" w:rsidP="009D4357">
      <w:pPr>
        <w:keepNext/>
        <w:tabs>
          <w:tab w:val="left" w:pos="850"/>
        </w:tabs>
        <w:ind w:left="850" w:hanging="850"/>
        <w:outlineLvl w:val="2"/>
        <w:rPr>
          <w:i/>
          <w:noProof/>
          <w:szCs w:val="24"/>
          <w:lang w:eastAsia="en-GB"/>
        </w:rPr>
      </w:pPr>
      <w:r w:rsidRPr="00434957">
        <w:rPr>
          <w:i/>
          <w:noProof/>
        </w:rPr>
        <w:t>3.2.1.</w:t>
      </w:r>
      <w:r w:rsidRPr="00434957">
        <w:rPr>
          <w:i/>
          <w:noProof/>
        </w:rPr>
        <w:tab/>
      </w:r>
      <w:r w:rsidRPr="00434957">
        <w:rPr>
          <w:i/>
          <w:noProof/>
          <w:lang w:eastAsia="en-GB"/>
        </w:rPr>
        <w:t xml:space="preserve">Summary of estimated impact on expenditure </w:t>
      </w:r>
    </w:p>
    <w:p w14:paraId="55DD93AB" w14:textId="77777777" w:rsidR="009D4357" w:rsidRPr="00434957" w:rsidRDefault="009D4357" w:rsidP="009D4357">
      <w:pPr>
        <w:keepNext/>
        <w:ind w:left="850"/>
        <w:outlineLvl w:val="2"/>
        <w:rPr>
          <w:rFonts w:eastAsiaTheme="majorEastAsia"/>
          <w:i/>
          <w:noProof/>
          <w:szCs w:val="24"/>
          <w:lang w:eastAsia="en-GB"/>
        </w:rPr>
      </w:pPr>
    </w:p>
    <w:p w14:paraId="3076F8CA" w14:textId="77777777" w:rsidR="009D4357" w:rsidRPr="00434957" w:rsidRDefault="009D4357" w:rsidP="009D4357">
      <w:pPr>
        <w:jc w:val="right"/>
        <w:rPr>
          <w:noProof/>
          <w:sz w:val="20"/>
          <w:lang w:eastAsia="en-GB"/>
        </w:rPr>
      </w:pPr>
      <w:r w:rsidRPr="00434957">
        <w:rPr>
          <w:noProof/>
          <w:sz w:val="20"/>
          <w:lang w:eastAsia="en-GB"/>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1"/>
        <w:gridCol w:w="1080"/>
        <w:gridCol w:w="7817"/>
      </w:tblGrid>
      <w:tr w:rsidR="009D4357" w:rsidRPr="00434957" w14:paraId="6B7078DF" w14:textId="77777777" w:rsidTr="00CE3F2A">
        <w:trPr>
          <w:jc w:val="center"/>
        </w:trPr>
        <w:tc>
          <w:tcPr>
            <w:tcW w:w="4681" w:type="dxa"/>
            <w:shd w:val="thinDiagStripe" w:color="C0C0C0" w:fill="auto"/>
            <w:vAlign w:val="center"/>
          </w:tcPr>
          <w:p w14:paraId="5F3325E9" w14:textId="77777777" w:rsidR="009D4357" w:rsidRPr="00434957" w:rsidRDefault="009D4357" w:rsidP="00CE3F2A">
            <w:pPr>
              <w:spacing w:before="60" w:after="60"/>
              <w:jc w:val="center"/>
              <w:rPr>
                <w:b/>
                <w:noProof/>
                <w:lang w:eastAsia="en-GB"/>
              </w:rPr>
            </w:pPr>
            <w:r w:rsidRPr="00434957">
              <w:rPr>
                <w:b/>
                <w:noProof/>
                <w:lang w:eastAsia="en-GB"/>
              </w:rPr>
              <w:t xml:space="preserve">Heading of multiannual financial </w:t>
            </w:r>
            <w:r w:rsidRPr="00434957">
              <w:rPr>
                <w:noProof/>
                <w:lang w:eastAsia="en-GB"/>
              </w:rPr>
              <w:br/>
            </w:r>
            <w:r w:rsidRPr="00434957">
              <w:rPr>
                <w:b/>
                <w:noProof/>
                <w:lang w:eastAsia="en-GB"/>
              </w:rPr>
              <w:t xml:space="preserve">framework </w:t>
            </w:r>
          </w:p>
        </w:tc>
        <w:tc>
          <w:tcPr>
            <w:tcW w:w="1080" w:type="dxa"/>
            <w:vAlign w:val="center"/>
          </w:tcPr>
          <w:p w14:paraId="48425541" w14:textId="77777777" w:rsidR="009D4357" w:rsidRPr="00434957" w:rsidRDefault="009D4357" w:rsidP="00CE3F2A">
            <w:pPr>
              <w:spacing w:before="60" w:after="60"/>
              <w:jc w:val="center"/>
              <w:rPr>
                <w:noProof/>
                <w:lang w:eastAsia="en-GB"/>
              </w:rPr>
            </w:pPr>
            <w:r>
              <w:rPr>
                <w:noProof/>
                <w:lang w:eastAsia="en-GB"/>
              </w:rPr>
              <w:t>5</w:t>
            </w:r>
          </w:p>
        </w:tc>
        <w:tc>
          <w:tcPr>
            <w:tcW w:w="7817" w:type="dxa"/>
            <w:vAlign w:val="center"/>
          </w:tcPr>
          <w:p w14:paraId="33CD70E3" w14:textId="77777777" w:rsidR="009D4357" w:rsidRPr="00434957" w:rsidRDefault="009D4357" w:rsidP="00CE3F2A">
            <w:pPr>
              <w:spacing w:before="60" w:after="60"/>
              <w:rPr>
                <w:noProof/>
                <w:lang w:eastAsia="en-GB"/>
              </w:rPr>
            </w:pPr>
            <w:r w:rsidRPr="00434957">
              <w:rPr>
                <w:noProof/>
                <w:lang w:eastAsia="en-GB"/>
              </w:rPr>
              <w:t>Security and Defence</w:t>
            </w:r>
          </w:p>
        </w:tc>
      </w:tr>
    </w:tbl>
    <w:p w14:paraId="54D9FCFE" w14:textId="77777777" w:rsidR="009D4357" w:rsidRPr="00434957" w:rsidRDefault="009D4357" w:rsidP="009D4357">
      <w:pPr>
        <w:rPr>
          <w:noProof/>
          <w:sz w:val="16"/>
          <w:lang w:eastAsia="en-GB"/>
        </w:rPr>
      </w:pPr>
    </w:p>
    <w:tbl>
      <w:tblPr>
        <w:tblW w:w="11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503"/>
        <w:gridCol w:w="591"/>
        <w:gridCol w:w="868"/>
        <w:gridCol w:w="868"/>
        <w:gridCol w:w="868"/>
        <w:gridCol w:w="757"/>
        <w:gridCol w:w="850"/>
        <w:gridCol w:w="1418"/>
      </w:tblGrid>
      <w:tr w:rsidR="009D4357" w:rsidRPr="00434957" w14:paraId="1F1DF5E3" w14:textId="77777777" w:rsidTr="00CE3F2A">
        <w:tc>
          <w:tcPr>
            <w:tcW w:w="3600" w:type="dxa"/>
            <w:vAlign w:val="center"/>
          </w:tcPr>
          <w:p w14:paraId="49CB9163" w14:textId="77777777" w:rsidR="009D4357" w:rsidRPr="00434957" w:rsidRDefault="009D4357" w:rsidP="00CE3F2A">
            <w:pPr>
              <w:jc w:val="center"/>
              <w:rPr>
                <w:noProof/>
                <w:lang w:eastAsia="en-GB"/>
              </w:rPr>
            </w:pPr>
            <w:r w:rsidRPr="00434957">
              <w:rPr>
                <w:noProof/>
                <w:lang w:eastAsia="en-GB"/>
              </w:rPr>
              <w:t>Europol</w:t>
            </w:r>
          </w:p>
        </w:tc>
        <w:tc>
          <w:tcPr>
            <w:tcW w:w="1503" w:type="dxa"/>
          </w:tcPr>
          <w:p w14:paraId="21955922" w14:textId="77777777" w:rsidR="009D4357" w:rsidRPr="00434957" w:rsidRDefault="009D4357" w:rsidP="00CE3F2A">
            <w:pPr>
              <w:rPr>
                <w:noProof/>
                <w:sz w:val="20"/>
                <w:lang w:eastAsia="en-GB"/>
              </w:rPr>
            </w:pPr>
          </w:p>
        </w:tc>
        <w:tc>
          <w:tcPr>
            <w:tcW w:w="591" w:type="dxa"/>
          </w:tcPr>
          <w:p w14:paraId="798942D7" w14:textId="77777777" w:rsidR="009D4357" w:rsidRPr="00434957" w:rsidRDefault="009D4357" w:rsidP="00CE3F2A">
            <w:pPr>
              <w:jc w:val="center"/>
              <w:rPr>
                <w:noProof/>
                <w:sz w:val="20"/>
                <w:lang w:eastAsia="en-GB"/>
              </w:rPr>
            </w:pPr>
          </w:p>
        </w:tc>
        <w:tc>
          <w:tcPr>
            <w:tcW w:w="868" w:type="dxa"/>
            <w:vAlign w:val="center"/>
          </w:tcPr>
          <w:p w14:paraId="21D63BFA" w14:textId="77777777" w:rsidR="009D4357" w:rsidRPr="00434957" w:rsidRDefault="009D4357" w:rsidP="00CE3F2A">
            <w:pPr>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2023</w:t>
            </w:r>
          </w:p>
        </w:tc>
        <w:tc>
          <w:tcPr>
            <w:tcW w:w="868" w:type="dxa"/>
            <w:vAlign w:val="center"/>
          </w:tcPr>
          <w:p w14:paraId="32C7A1B0" w14:textId="77777777" w:rsidR="009D4357" w:rsidRPr="00434957" w:rsidRDefault="009D4357" w:rsidP="00CE3F2A">
            <w:pPr>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2024</w:t>
            </w:r>
          </w:p>
        </w:tc>
        <w:tc>
          <w:tcPr>
            <w:tcW w:w="868" w:type="dxa"/>
            <w:vAlign w:val="center"/>
          </w:tcPr>
          <w:p w14:paraId="2F92BBCC" w14:textId="77777777" w:rsidR="009D4357" w:rsidRPr="00434957" w:rsidRDefault="009D4357" w:rsidP="00CE3F2A">
            <w:pPr>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2025</w:t>
            </w:r>
          </w:p>
        </w:tc>
        <w:tc>
          <w:tcPr>
            <w:tcW w:w="757" w:type="dxa"/>
          </w:tcPr>
          <w:p w14:paraId="2B3B594D" w14:textId="77777777" w:rsidR="009D4357" w:rsidRPr="00434957" w:rsidRDefault="009D4357" w:rsidP="00CE3F2A">
            <w:pPr>
              <w:jc w:val="center"/>
              <w:rPr>
                <w:b/>
                <w:noProof/>
                <w:sz w:val="20"/>
                <w:lang w:eastAsia="en-GB"/>
              </w:rPr>
            </w:pPr>
            <w:r w:rsidRPr="00434957">
              <w:rPr>
                <w:noProof/>
                <w:sz w:val="20"/>
                <w:lang w:eastAsia="en-GB"/>
              </w:rPr>
              <w:t>Year</w:t>
            </w:r>
            <w:r w:rsidRPr="00434957">
              <w:rPr>
                <w:noProof/>
                <w:lang w:eastAsia="en-GB"/>
              </w:rPr>
              <w:br/>
            </w:r>
            <w:r w:rsidRPr="00434957">
              <w:rPr>
                <w:b/>
                <w:noProof/>
                <w:sz w:val="20"/>
                <w:lang w:eastAsia="en-GB"/>
              </w:rPr>
              <w:t>2026</w:t>
            </w:r>
          </w:p>
        </w:tc>
        <w:tc>
          <w:tcPr>
            <w:tcW w:w="850" w:type="dxa"/>
          </w:tcPr>
          <w:p w14:paraId="1EDDB0CC" w14:textId="77777777" w:rsidR="009D4357" w:rsidRPr="00434957" w:rsidRDefault="009D4357" w:rsidP="00CE3F2A">
            <w:pPr>
              <w:jc w:val="center"/>
              <w:rPr>
                <w:b/>
                <w:noProof/>
                <w:sz w:val="20"/>
                <w:lang w:eastAsia="en-GB"/>
              </w:rPr>
            </w:pPr>
            <w:r w:rsidRPr="00434957">
              <w:rPr>
                <w:noProof/>
                <w:sz w:val="20"/>
                <w:lang w:eastAsia="en-GB"/>
              </w:rPr>
              <w:t>Year</w:t>
            </w:r>
            <w:r w:rsidRPr="00434957">
              <w:rPr>
                <w:noProof/>
                <w:lang w:eastAsia="en-GB"/>
              </w:rPr>
              <w:br/>
            </w:r>
            <w:r w:rsidRPr="00434957">
              <w:rPr>
                <w:b/>
                <w:noProof/>
                <w:sz w:val="20"/>
                <w:lang w:eastAsia="en-GB"/>
              </w:rPr>
              <w:t>2027</w:t>
            </w:r>
          </w:p>
        </w:tc>
        <w:tc>
          <w:tcPr>
            <w:tcW w:w="1418" w:type="dxa"/>
            <w:vAlign w:val="center"/>
          </w:tcPr>
          <w:p w14:paraId="39D44313" w14:textId="77777777" w:rsidR="009D4357" w:rsidRPr="00434957" w:rsidRDefault="009D4357" w:rsidP="00CE3F2A">
            <w:pPr>
              <w:jc w:val="center"/>
              <w:rPr>
                <w:b/>
                <w:noProof/>
                <w:sz w:val="20"/>
                <w:lang w:eastAsia="en-GB"/>
              </w:rPr>
            </w:pPr>
            <w:r w:rsidRPr="00434957">
              <w:rPr>
                <w:b/>
                <w:noProof/>
                <w:sz w:val="20"/>
                <w:lang w:eastAsia="en-GB"/>
              </w:rPr>
              <w:t>TOTAL</w:t>
            </w:r>
          </w:p>
        </w:tc>
      </w:tr>
      <w:tr w:rsidR="009D4357" w:rsidRPr="00434957" w14:paraId="3AAA06F4" w14:textId="77777777" w:rsidTr="00CE3F2A">
        <w:trPr>
          <w:trHeight w:val="277"/>
        </w:trPr>
        <w:tc>
          <w:tcPr>
            <w:tcW w:w="3600" w:type="dxa"/>
            <w:vMerge w:val="restart"/>
            <w:vAlign w:val="center"/>
          </w:tcPr>
          <w:p w14:paraId="5B6ED1F7" w14:textId="77777777" w:rsidR="009D4357" w:rsidRPr="00434957" w:rsidRDefault="009D4357" w:rsidP="00CE3F2A">
            <w:pPr>
              <w:rPr>
                <w:noProof/>
                <w:lang w:eastAsia="en-GB"/>
              </w:rPr>
            </w:pPr>
            <w:r w:rsidRPr="00434957">
              <w:rPr>
                <w:noProof/>
                <w:sz w:val="20"/>
                <w:lang w:eastAsia="en-GB"/>
              </w:rPr>
              <w:t>Title 1:</w:t>
            </w:r>
            <w:r>
              <w:rPr>
                <w:noProof/>
                <w:sz w:val="20"/>
                <w:lang w:eastAsia="en-GB"/>
              </w:rPr>
              <w:t xml:space="preserve"> Staff expenditure</w:t>
            </w:r>
          </w:p>
        </w:tc>
        <w:tc>
          <w:tcPr>
            <w:tcW w:w="1503" w:type="dxa"/>
            <w:vAlign w:val="center"/>
          </w:tcPr>
          <w:p w14:paraId="4579DC07" w14:textId="77777777" w:rsidR="009D4357" w:rsidRPr="00434957" w:rsidRDefault="009D4357" w:rsidP="00CE3F2A">
            <w:pPr>
              <w:spacing w:before="20" w:after="20"/>
              <w:rPr>
                <w:noProof/>
                <w:lang w:eastAsia="en-GB"/>
              </w:rPr>
            </w:pPr>
            <w:r w:rsidRPr="00434957">
              <w:rPr>
                <w:noProof/>
                <w:sz w:val="18"/>
                <w:lang w:eastAsia="en-GB"/>
              </w:rPr>
              <w:t>Commitments</w:t>
            </w:r>
          </w:p>
        </w:tc>
        <w:tc>
          <w:tcPr>
            <w:tcW w:w="591" w:type="dxa"/>
            <w:vAlign w:val="center"/>
          </w:tcPr>
          <w:p w14:paraId="6EFAD693" w14:textId="77777777" w:rsidR="009D4357" w:rsidRPr="00434957" w:rsidRDefault="009D4357" w:rsidP="00CE3F2A">
            <w:pPr>
              <w:spacing w:before="20" w:after="20"/>
              <w:jc w:val="center"/>
              <w:rPr>
                <w:noProof/>
                <w:sz w:val="14"/>
                <w:lang w:eastAsia="en-GB"/>
              </w:rPr>
            </w:pPr>
            <w:r w:rsidRPr="00434957">
              <w:rPr>
                <w:noProof/>
                <w:sz w:val="14"/>
                <w:lang w:eastAsia="en-GB"/>
              </w:rPr>
              <w:t>(1)</w:t>
            </w:r>
          </w:p>
        </w:tc>
        <w:tc>
          <w:tcPr>
            <w:tcW w:w="868" w:type="dxa"/>
            <w:vAlign w:val="center"/>
          </w:tcPr>
          <w:p w14:paraId="2806C408" w14:textId="77777777" w:rsidR="009D4357" w:rsidRPr="00434957" w:rsidRDefault="009D4357" w:rsidP="00CE3F2A">
            <w:pPr>
              <w:spacing w:before="20" w:after="20"/>
              <w:jc w:val="right"/>
              <w:rPr>
                <w:noProof/>
                <w:sz w:val="20"/>
                <w:lang w:eastAsia="en-GB"/>
              </w:rPr>
            </w:pPr>
          </w:p>
        </w:tc>
        <w:tc>
          <w:tcPr>
            <w:tcW w:w="868" w:type="dxa"/>
            <w:vAlign w:val="center"/>
          </w:tcPr>
          <w:p w14:paraId="269B3FD9" w14:textId="77777777" w:rsidR="009D4357" w:rsidRPr="00434957" w:rsidRDefault="009D4357" w:rsidP="00CE3F2A">
            <w:pPr>
              <w:spacing w:before="20" w:after="20"/>
              <w:jc w:val="right"/>
              <w:rPr>
                <w:noProof/>
                <w:sz w:val="20"/>
                <w:lang w:eastAsia="en-GB"/>
              </w:rPr>
            </w:pPr>
            <w:r>
              <w:rPr>
                <w:noProof/>
                <w:sz w:val="20"/>
                <w:lang w:eastAsia="en-GB"/>
              </w:rPr>
              <w:t>0.551</w:t>
            </w:r>
          </w:p>
        </w:tc>
        <w:tc>
          <w:tcPr>
            <w:tcW w:w="868" w:type="dxa"/>
            <w:vAlign w:val="center"/>
          </w:tcPr>
          <w:p w14:paraId="2CED329D" w14:textId="77777777" w:rsidR="009D4357" w:rsidRPr="00434957" w:rsidRDefault="009D4357" w:rsidP="00CE3F2A">
            <w:pPr>
              <w:spacing w:before="20" w:after="20"/>
              <w:jc w:val="right"/>
              <w:rPr>
                <w:noProof/>
                <w:sz w:val="20"/>
                <w:lang w:eastAsia="en-GB"/>
              </w:rPr>
            </w:pPr>
            <w:r>
              <w:rPr>
                <w:noProof/>
                <w:sz w:val="20"/>
                <w:lang w:eastAsia="en-GB"/>
              </w:rPr>
              <w:t>1.102</w:t>
            </w:r>
          </w:p>
        </w:tc>
        <w:tc>
          <w:tcPr>
            <w:tcW w:w="757" w:type="dxa"/>
          </w:tcPr>
          <w:p w14:paraId="22BB6F27" w14:textId="77777777" w:rsidR="009D4357" w:rsidRPr="0056090D" w:rsidRDefault="009D4357" w:rsidP="00CE3F2A">
            <w:pPr>
              <w:spacing w:before="20" w:after="20"/>
              <w:jc w:val="right"/>
              <w:rPr>
                <w:noProof/>
                <w:sz w:val="20"/>
                <w:lang w:eastAsia="en-GB"/>
              </w:rPr>
            </w:pPr>
            <w:r>
              <w:rPr>
                <w:noProof/>
                <w:sz w:val="20"/>
                <w:lang w:eastAsia="en-GB"/>
              </w:rPr>
              <w:t>0.847</w:t>
            </w:r>
          </w:p>
        </w:tc>
        <w:tc>
          <w:tcPr>
            <w:tcW w:w="850" w:type="dxa"/>
          </w:tcPr>
          <w:p w14:paraId="0BA3F4E7" w14:textId="77777777" w:rsidR="009D4357" w:rsidRPr="0056090D" w:rsidRDefault="009D4357" w:rsidP="00CE3F2A">
            <w:pPr>
              <w:spacing w:before="20" w:after="20"/>
              <w:jc w:val="right"/>
              <w:rPr>
                <w:noProof/>
                <w:sz w:val="20"/>
                <w:lang w:eastAsia="en-GB"/>
              </w:rPr>
            </w:pPr>
            <w:r>
              <w:rPr>
                <w:noProof/>
                <w:sz w:val="20"/>
                <w:lang w:eastAsia="en-GB"/>
              </w:rPr>
              <w:t>0.847</w:t>
            </w:r>
          </w:p>
        </w:tc>
        <w:tc>
          <w:tcPr>
            <w:tcW w:w="1418" w:type="dxa"/>
            <w:vAlign w:val="center"/>
          </w:tcPr>
          <w:p w14:paraId="2BF6EB34" w14:textId="77777777" w:rsidR="009D4357" w:rsidRPr="00434957" w:rsidRDefault="009D4357" w:rsidP="00CE3F2A">
            <w:pPr>
              <w:spacing w:before="20" w:after="20"/>
              <w:jc w:val="right"/>
              <w:rPr>
                <w:b/>
                <w:noProof/>
                <w:sz w:val="20"/>
                <w:lang w:eastAsia="en-GB"/>
              </w:rPr>
            </w:pPr>
            <w:r>
              <w:rPr>
                <w:b/>
                <w:noProof/>
                <w:sz w:val="20"/>
                <w:lang w:eastAsia="en-GB"/>
              </w:rPr>
              <w:t>3.347</w:t>
            </w:r>
          </w:p>
        </w:tc>
      </w:tr>
      <w:tr w:rsidR="009D4357" w:rsidRPr="00434957" w14:paraId="479146CD" w14:textId="77777777" w:rsidTr="00CE3F2A">
        <w:tc>
          <w:tcPr>
            <w:tcW w:w="3600" w:type="dxa"/>
            <w:vMerge/>
            <w:vAlign w:val="center"/>
          </w:tcPr>
          <w:p w14:paraId="27D9890C" w14:textId="77777777" w:rsidR="009D4357" w:rsidRPr="00434957" w:rsidRDefault="009D4357" w:rsidP="00CE3F2A">
            <w:pPr>
              <w:rPr>
                <w:noProof/>
                <w:lang w:eastAsia="en-GB"/>
              </w:rPr>
            </w:pPr>
          </w:p>
        </w:tc>
        <w:tc>
          <w:tcPr>
            <w:tcW w:w="1503" w:type="dxa"/>
            <w:vAlign w:val="center"/>
          </w:tcPr>
          <w:p w14:paraId="5F6B52FF" w14:textId="77777777" w:rsidR="009D4357" w:rsidRPr="00434957" w:rsidRDefault="009D4357" w:rsidP="00CE3F2A">
            <w:pPr>
              <w:spacing w:before="20" w:after="20"/>
              <w:rPr>
                <w:noProof/>
                <w:sz w:val="18"/>
                <w:lang w:eastAsia="en-GB"/>
              </w:rPr>
            </w:pPr>
            <w:r w:rsidRPr="00434957">
              <w:rPr>
                <w:noProof/>
                <w:sz w:val="18"/>
                <w:lang w:eastAsia="en-GB"/>
              </w:rPr>
              <w:t>Payments</w:t>
            </w:r>
          </w:p>
        </w:tc>
        <w:tc>
          <w:tcPr>
            <w:tcW w:w="591" w:type="dxa"/>
            <w:vAlign w:val="center"/>
          </w:tcPr>
          <w:p w14:paraId="335BDEF9" w14:textId="77777777" w:rsidR="009D4357" w:rsidRPr="00434957" w:rsidRDefault="009D4357" w:rsidP="00CE3F2A">
            <w:pPr>
              <w:spacing w:before="20" w:after="20"/>
              <w:jc w:val="center"/>
              <w:rPr>
                <w:noProof/>
                <w:sz w:val="14"/>
                <w:lang w:eastAsia="en-GB"/>
              </w:rPr>
            </w:pPr>
            <w:r w:rsidRPr="00434957">
              <w:rPr>
                <w:noProof/>
                <w:sz w:val="14"/>
                <w:lang w:eastAsia="en-GB"/>
              </w:rPr>
              <w:t>(2)</w:t>
            </w:r>
          </w:p>
        </w:tc>
        <w:tc>
          <w:tcPr>
            <w:tcW w:w="868" w:type="dxa"/>
            <w:vAlign w:val="center"/>
          </w:tcPr>
          <w:p w14:paraId="6685C43B" w14:textId="77777777" w:rsidR="009D4357" w:rsidRPr="00434957" w:rsidRDefault="009D4357" w:rsidP="00CE3F2A">
            <w:pPr>
              <w:spacing w:before="20" w:after="20"/>
              <w:jc w:val="right"/>
              <w:rPr>
                <w:noProof/>
                <w:sz w:val="20"/>
                <w:lang w:eastAsia="en-GB"/>
              </w:rPr>
            </w:pPr>
          </w:p>
        </w:tc>
        <w:tc>
          <w:tcPr>
            <w:tcW w:w="868" w:type="dxa"/>
            <w:vAlign w:val="center"/>
          </w:tcPr>
          <w:p w14:paraId="34C5FA1B" w14:textId="77777777" w:rsidR="009D4357" w:rsidRPr="00434957" w:rsidRDefault="009D4357" w:rsidP="00CE3F2A">
            <w:pPr>
              <w:spacing w:before="20" w:after="20"/>
              <w:jc w:val="right"/>
              <w:rPr>
                <w:noProof/>
                <w:sz w:val="20"/>
                <w:lang w:eastAsia="en-GB"/>
              </w:rPr>
            </w:pPr>
            <w:r>
              <w:rPr>
                <w:noProof/>
                <w:sz w:val="20"/>
                <w:lang w:eastAsia="en-GB"/>
              </w:rPr>
              <w:t>0.551</w:t>
            </w:r>
          </w:p>
        </w:tc>
        <w:tc>
          <w:tcPr>
            <w:tcW w:w="868" w:type="dxa"/>
            <w:vAlign w:val="center"/>
          </w:tcPr>
          <w:p w14:paraId="2A189C27" w14:textId="77777777" w:rsidR="009D4357" w:rsidRPr="00434957" w:rsidRDefault="009D4357" w:rsidP="00CE3F2A">
            <w:pPr>
              <w:spacing w:before="20" w:after="20"/>
              <w:jc w:val="right"/>
              <w:rPr>
                <w:noProof/>
                <w:sz w:val="20"/>
                <w:lang w:eastAsia="en-GB"/>
              </w:rPr>
            </w:pPr>
            <w:r>
              <w:rPr>
                <w:noProof/>
                <w:sz w:val="20"/>
                <w:lang w:eastAsia="en-GB"/>
              </w:rPr>
              <w:t>1.102</w:t>
            </w:r>
          </w:p>
        </w:tc>
        <w:tc>
          <w:tcPr>
            <w:tcW w:w="757" w:type="dxa"/>
          </w:tcPr>
          <w:p w14:paraId="0D2B3C71" w14:textId="77777777" w:rsidR="009D4357" w:rsidRPr="00434957" w:rsidRDefault="009D4357" w:rsidP="00CE3F2A">
            <w:pPr>
              <w:spacing w:before="20" w:after="20"/>
              <w:jc w:val="right"/>
              <w:rPr>
                <w:b/>
                <w:noProof/>
                <w:sz w:val="20"/>
                <w:lang w:eastAsia="en-GB"/>
              </w:rPr>
            </w:pPr>
            <w:r>
              <w:rPr>
                <w:noProof/>
                <w:sz w:val="20"/>
                <w:lang w:eastAsia="en-GB"/>
              </w:rPr>
              <w:t>0.847</w:t>
            </w:r>
          </w:p>
        </w:tc>
        <w:tc>
          <w:tcPr>
            <w:tcW w:w="850" w:type="dxa"/>
          </w:tcPr>
          <w:p w14:paraId="4EBA7E56" w14:textId="77777777" w:rsidR="009D4357" w:rsidRPr="00434957" w:rsidRDefault="009D4357" w:rsidP="00CE3F2A">
            <w:pPr>
              <w:spacing w:before="20" w:after="20"/>
              <w:jc w:val="right"/>
              <w:rPr>
                <w:b/>
                <w:noProof/>
                <w:sz w:val="20"/>
                <w:lang w:eastAsia="en-GB"/>
              </w:rPr>
            </w:pPr>
            <w:r>
              <w:rPr>
                <w:noProof/>
                <w:sz w:val="20"/>
                <w:lang w:eastAsia="en-GB"/>
              </w:rPr>
              <w:t>0.847</w:t>
            </w:r>
          </w:p>
        </w:tc>
        <w:tc>
          <w:tcPr>
            <w:tcW w:w="1418" w:type="dxa"/>
            <w:vAlign w:val="center"/>
          </w:tcPr>
          <w:p w14:paraId="638D876D" w14:textId="77777777" w:rsidR="009D4357" w:rsidRPr="00434957" w:rsidRDefault="009D4357" w:rsidP="00CE3F2A">
            <w:pPr>
              <w:spacing w:before="20" w:after="20"/>
              <w:jc w:val="right"/>
              <w:rPr>
                <w:b/>
                <w:noProof/>
                <w:sz w:val="20"/>
                <w:lang w:eastAsia="en-GB"/>
              </w:rPr>
            </w:pPr>
            <w:r>
              <w:rPr>
                <w:b/>
                <w:noProof/>
                <w:sz w:val="20"/>
                <w:lang w:eastAsia="en-GB"/>
              </w:rPr>
              <w:t>3.347</w:t>
            </w:r>
          </w:p>
        </w:tc>
      </w:tr>
      <w:tr w:rsidR="009D4357" w:rsidRPr="00434957" w14:paraId="1844F0CA" w14:textId="77777777" w:rsidTr="00CE3F2A">
        <w:tc>
          <w:tcPr>
            <w:tcW w:w="3600" w:type="dxa"/>
            <w:vMerge w:val="restart"/>
            <w:vAlign w:val="center"/>
          </w:tcPr>
          <w:p w14:paraId="2B55F706" w14:textId="77777777" w:rsidR="009D4357" w:rsidRPr="00434957" w:rsidRDefault="009D4357" w:rsidP="00CE3F2A">
            <w:pPr>
              <w:rPr>
                <w:noProof/>
                <w:lang w:eastAsia="en-GB"/>
              </w:rPr>
            </w:pPr>
            <w:r w:rsidRPr="00434957">
              <w:rPr>
                <w:noProof/>
                <w:sz w:val="20"/>
                <w:lang w:eastAsia="en-GB"/>
              </w:rPr>
              <w:t>Title 2:</w:t>
            </w:r>
            <w:r>
              <w:rPr>
                <w:noProof/>
                <w:sz w:val="20"/>
                <w:lang w:eastAsia="en-GB"/>
              </w:rPr>
              <w:t xml:space="preserve"> Infrastructure and operating expenditure</w:t>
            </w:r>
          </w:p>
        </w:tc>
        <w:tc>
          <w:tcPr>
            <w:tcW w:w="1503" w:type="dxa"/>
            <w:vAlign w:val="center"/>
          </w:tcPr>
          <w:p w14:paraId="1BF25EC6" w14:textId="77777777" w:rsidR="009D4357" w:rsidRPr="00434957" w:rsidRDefault="009D4357" w:rsidP="00CE3F2A">
            <w:pPr>
              <w:spacing w:before="20" w:after="20"/>
              <w:rPr>
                <w:noProof/>
                <w:sz w:val="18"/>
                <w:lang w:eastAsia="en-GB"/>
              </w:rPr>
            </w:pPr>
            <w:r w:rsidRPr="00434957">
              <w:rPr>
                <w:noProof/>
                <w:sz w:val="18"/>
                <w:lang w:eastAsia="en-GB"/>
              </w:rPr>
              <w:t>Commitments</w:t>
            </w:r>
          </w:p>
        </w:tc>
        <w:tc>
          <w:tcPr>
            <w:tcW w:w="591" w:type="dxa"/>
            <w:vAlign w:val="center"/>
          </w:tcPr>
          <w:p w14:paraId="3C2A913F" w14:textId="77777777" w:rsidR="009D4357" w:rsidRPr="00434957" w:rsidRDefault="009D4357" w:rsidP="00CE3F2A">
            <w:pPr>
              <w:spacing w:before="20" w:after="20"/>
              <w:jc w:val="center"/>
              <w:rPr>
                <w:noProof/>
                <w:sz w:val="14"/>
                <w:lang w:eastAsia="en-GB"/>
              </w:rPr>
            </w:pPr>
            <w:r w:rsidRPr="00434957">
              <w:rPr>
                <w:noProof/>
                <w:sz w:val="14"/>
                <w:lang w:eastAsia="en-GB"/>
              </w:rPr>
              <w:t>(1a)</w:t>
            </w:r>
          </w:p>
        </w:tc>
        <w:tc>
          <w:tcPr>
            <w:tcW w:w="868" w:type="dxa"/>
            <w:vAlign w:val="center"/>
          </w:tcPr>
          <w:p w14:paraId="4812E405" w14:textId="77777777" w:rsidR="009D4357" w:rsidRPr="00434957" w:rsidRDefault="009D4357" w:rsidP="00CE3F2A">
            <w:pPr>
              <w:spacing w:before="20" w:after="20"/>
              <w:jc w:val="right"/>
              <w:rPr>
                <w:noProof/>
                <w:sz w:val="20"/>
                <w:lang w:eastAsia="en-GB"/>
              </w:rPr>
            </w:pPr>
          </w:p>
        </w:tc>
        <w:tc>
          <w:tcPr>
            <w:tcW w:w="868" w:type="dxa"/>
            <w:vAlign w:val="center"/>
          </w:tcPr>
          <w:p w14:paraId="17C26E42" w14:textId="77777777" w:rsidR="009D4357" w:rsidRPr="00434957" w:rsidRDefault="009D4357" w:rsidP="00CE3F2A">
            <w:pPr>
              <w:spacing w:before="20" w:after="20"/>
              <w:jc w:val="right"/>
              <w:rPr>
                <w:noProof/>
                <w:sz w:val="20"/>
                <w:lang w:eastAsia="en-GB"/>
              </w:rPr>
            </w:pPr>
            <w:r>
              <w:rPr>
                <w:noProof/>
                <w:sz w:val="20"/>
                <w:lang w:eastAsia="en-GB"/>
              </w:rPr>
              <w:t>1.49</w:t>
            </w:r>
          </w:p>
        </w:tc>
        <w:tc>
          <w:tcPr>
            <w:tcW w:w="868" w:type="dxa"/>
            <w:vAlign w:val="center"/>
          </w:tcPr>
          <w:p w14:paraId="190C96AC" w14:textId="77777777" w:rsidR="009D4357" w:rsidRPr="00434957" w:rsidRDefault="009D4357" w:rsidP="00CE3F2A">
            <w:pPr>
              <w:spacing w:before="20" w:after="20"/>
              <w:jc w:val="right"/>
              <w:rPr>
                <w:noProof/>
                <w:sz w:val="20"/>
                <w:lang w:eastAsia="en-GB"/>
              </w:rPr>
            </w:pPr>
            <w:r>
              <w:rPr>
                <w:noProof/>
                <w:sz w:val="20"/>
                <w:lang w:eastAsia="en-GB"/>
              </w:rPr>
              <w:t>1.052</w:t>
            </w:r>
          </w:p>
        </w:tc>
        <w:tc>
          <w:tcPr>
            <w:tcW w:w="757" w:type="dxa"/>
          </w:tcPr>
          <w:p w14:paraId="12FCFCE9" w14:textId="77777777" w:rsidR="009D4357" w:rsidRPr="0056090D" w:rsidRDefault="009D4357" w:rsidP="00CE3F2A">
            <w:pPr>
              <w:spacing w:before="20" w:after="20"/>
              <w:jc w:val="right"/>
              <w:rPr>
                <w:noProof/>
                <w:sz w:val="20"/>
                <w:lang w:eastAsia="en-GB"/>
              </w:rPr>
            </w:pPr>
            <w:r w:rsidRPr="0056090D">
              <w:rPr>
                <w:noProof/>
                <w:sz w:val="20"/>
                <w:lang w:eastAsia="en-GB"/>
              </w:rPr>
              <w:t>0.516</w:t>
            </w:r>
          </w:p>
        </w:tc>
        <w:tc>
          <w:tcPr>
            <w:tcW w:w="850" w:type="dxa"/>
          </w:tcPr>
          <w:p w14:paraId="0E7F2182" w14:textId="77777777" w:rsidR="009D4357" w:rsidRPr="0056090D" w:rsidRDefault="009D4357" w:rsidP="00CE3F2A">
            <w:pPr>
              <w:spacing w:before="20" w:after="20"/>
              <w:jc w:val="right"/>
              <w:rPr>
                <w:noProof/>
                <w:sz w:val="20"/>
                <w:lang w:eastAsia="en-GB"/>
              </w:rPr>
            </w:pPr>
            <w:r w:rsidRPr="0056090D">
              <w:rPr>
                <w:noProof/>
                <w:sz w:val="20"/>
                <w:lang w:eastAsia="en-GB"/>
              </w:rPr>
              <w:t>0.516</w:t>
            </w:r>
          </w:p>
        </w:tc>
        <w:tc>
          <w:tcPr>
            <w:tcW w:w="1418" w:type="dxa"/>
            <w:vAlign w:val="center"/>
          </w:tcPr>
          <w:p w14:paraId="3E3527CE" w14:textId="77777777" w:rsidR="009D4357" w:rsidRPr="00434957" w:rsidRDefault="009D4357" w:rsidP="00CE3F2A">
            <w:pPr>
              <w:spacing w:before="20" w:after="20"/>
              <w:jc w:val="right"/>
              <w:rPr>
                <w:b/>
                <w:noProof/>
                <w:sz w:val="20"/>
                <w:lang w:eastAsia="en-GB"/>
              </w:rPr>
            </w:pPr>
            <w:r>
              <w:rPr>
                <w:b/>
                <w:noProof/>
                <w:sz w:val="20"/>
                <w:lang w:eastAsia="en-GB"/>
              </w:rPr>
              <w:t>3.574</w:t>
            </w:r>
          </w:p>
        </w:tc>
      </w:tr>
      <w:tr w:rsidR="009D4357" w:rsidRPr="00434957" w14:paraId="5AD97B9C" w14:textId="77777777" w:rsidTr="00CE3F2A">
        <w:tc>
          <w:tcPr>
            <w:tcW w:w="3600" w:type="dxa"/>
            <w:vMerge/>
            <w:vAlign w:val="center"/>
          </w:tcPr>
          <w:p w14:paraId="27D63EE4" w14:textId="77777777" w:rsidR="009D4357" w:rsidRPr="00434957" w:rsidRDefault="009D4357" w:rsidP="00CE3F2A">
            <w:pPr>
              <w:rPr>
                <w:noProof/>
                <w:lang w:eastAsia="en-GB"/>
              </w:rPr>
            </w:pPr>
          </w:p>
        </w:tc>
        <w:tc>
          <w:tcPr>
            <w:tcW w:w="1503" w:type="dxa"/>
            <w:vAlign w:val="center"/>
          </w:tcPr>
          <w:p w14:paraId="61376B92" w14:textId="77777777" w:rsidR="009D4357" w:rsidRPr="00434957" w:rsidRDefault="009D4357" w:rsidP="00CE3F2A">
            <w:pPr>
              <w:spacing w:before="20" w:after="20"/>
              <w:rPr>
                <w:noProof/>
                <w:sz w:val="18"/>
                <w:lang w:eastAsia="en-GB"/>
              </w:rPr>
            </w:pPr>
            <w:r w:rsidRPr="00434957">
              <w:rPr>
                <w:noProof/>
                <w:sz w:val="18"/>
                <w:lang w:eastAsia="en-GB"/>
              </w:rPr>
              <w:t>Payments</w:t>
            </w:r>
          </w:p>
        </w:tc>
        <w:tc>
          <w:tcPr>
            <w:tcW w:w="591" w:type="dxa"/>
            <w:vAlign w:val="center"/>
          </w:tcPr>
          <w:p w14:paraId="2626A977" w14:textId="77777777" w:rsidR="009D4357" w:rsidRPr="00434957" w:rsidRDefault="009D4357" w:rsidP="00CE3F2A">
            <w:pPr>
              <w:spacing w:before="20" w:after="20"/>
              <w:jc w:val="center"/>
              <w:rPr>
                <w:noProof/>
                <w:sz w:val="14"/>
                <w:lang w:eastAsia="en-GB"/>
              </w:rPr>
            </w:pPr>
            <w:r w:rsidRPr="00434957">
              <w:rPr>
                <w:noProof/>
                <w:sz w:val="14"/>
                <w:lang w:eastAsia="en-GB"/>
              </w:rPr>
              <w:t>(2a)</w:t>
            </w:r>
          </w:p>
        </w:tc>
        <w:tc>
          <w:tcPr>
            <w:tcW w:w="868" w:type="dxa"/>
            <w:vAlign w:val="center"/>
          </w:tcPr>
          <w:p w14:paraId="34400383" w14:textId="77777777" w:rsidR="009D4357" w:rsidRPr="00434957" w:rsidRDefault="009D4357" w:rsidP="00CE3F2A">
            <w:pPr>
              <w:spacing w:before="20" w:after="20"/>
              <w:jc w:val="right"/>
              <w:rPr>
                <w:noProof/>
                <w:sz w:val="20"/>
                <w:lang w:eastAsia="en-GB"/>
              </w:rPr>
            </w:pPr>
          </w:p>
        </w:tc>
        <w:tc>
          <w:tcPr>
            <w:tcW w:w="868" w:type="dxa"/>
            <w:vAlign w:val="center"/>
          </w:tcPr>
          <w:p w14:paraId="16D384CB" w14:textId="77777777" w:rsidR="009D4357" w:rsidRPr="00434957" w:rsidRDefault="009D4357" w:rsidP="00CE3F2A">
            <w:pPr>
              <w:spacing w:before="20" w:after="20"/>
              <w:jc w:val="right"/>
              <w:rPr>
                <w:noProof/>
                <w:sz w:val="20"/>
                <w:lang w:eastAsia="en-GB"/>
              </w:rPr>
            </w:pPr>
            <w:r>
              <w:rPr>
                <w:noProof/>
                <w:sz w:val="20"/>
                <w:lang w:eastAsia="en-GB"/>
              </w:rPr>
              <w:t>1.49</w:t>
            </w:r>
          </w:p>
        </w:tc>
        <w:tc>
          <w:tcPr>
            <w:tcW w:w="868" w:type="dxa"/>
            <w:vAlign w:val="center"/>
          </w:tcPr>
          <w:p w14:paraId="4B9A2F2B" w14:textId="77777777" w:rsidR="009D4357" w:rsidRPr="00434957" w:rsidRDefault="009D4357" w:rsidP="00CE3F2A">
            <w:pPr>
              <w:spacing w:before="20" w:after="20"/>
              <w:jc w:val="right"/>
              <w:rPr>
                <w:noProof/>
                <w:sz w:val="20"/>
                <w:lang w:eastAsia="en-GB"/>
              </w:rPr>
            </w:pPr>
            <w:r>
              <w:rPr>
                <w:noProof/>
                <w:sz w:val="20"/>
                <w:lang w:eastAsia="en-GB"/>
              </w:rPr>
              <w:t>1.052</w:t>
            </w:r>
          </w:p>
        </w:tc>
        <w:tc>
          <w:tcPr>
            <w:tcW w:w="757" w:type="dxa"/>
            <w:vAlign w:val="center"/>
          </w:tcPr>
          <w:p w14:paraId="75107323" w14:textId="77777777" w:rsidR="009D4357" w:rsidRPr="00434957" w:rsidRDefault="009D4357" w:rsidP="00CE3F2A">
            <w:pPr>
              <w:spacing w:before="20" w:after="20"/>
              <w:jc w:val="right"/>
              <w:rPr>
                <w:b/>
                <w:noProof/>
                <w:sz w:val="20"/>
                <w:lang w:eastAsia="en-GB"/>
              </w:rPr>
            </w:pPr>
            <w:r w:rsidRPr="00EF028C">
              <w:rPr>
                <w:noProof/>
                <w:sz w:val="20"/>
                <w:lang w:eastAsia="en-GB"/>
              </w:rPr>
              <w:t>0.516</w:t>
            </w:r>
          </w:p>
        </w:tc>
        <w:tc>
          <w:tcPr>
            <w:tcW w:w="850" w:type="dxa"/>
            <w:vAlign w:val="center"/>
          </w:tcPr>
          <w:p w14:paraId="131E02D9" w14:textId="77777777" w:rsidR="009D4357" w:rsidRPr="00434957" w:rsidRDefault="009D4357" w:rsidP="00CE3F2A">
            <w:pPr>
              <w:spacing w:before="20" w:after="20"/>
              <w:jc w:val="right"/>
              <w:rPr>
                <w:b/>
                <w:noProof/>
                <w:sz w:val="20"/>
                <w:lang w:eastAsia="en-GB"/>
              </w:rPr>
            </w:pPr>
            <w:r w:rsidRPr="00EF028C">
              <w:rPr>
                <w:noProof/>
                <w:sz w:val="20"/>
                <w:lang w:eastAsia="en-GB"/>
              </w:rPr>
              <w:t>0.516</w:t>
            </w:r>
          </w:p>
        </w:tc>
        <w:tc>
          <w:tcPr>
            <w:tcW w:w="1418" w:type="dxa"/>
            <w:vAlign w:val="center"/>
          </w:tcPr>
          <w:p w14:paraId="015FFF80" w14:textId="77777777" w:rsidR="009D4357" w:rsidRPr="00434957" w:rsidRDefault="009D4357" w:rsidP="00CE3F2A">
            <w:pPr>
              <w:spacing w:before="20" w:after="20"/>
              <w:jc w:val="right"/>
              <w:rPr>
                <w:b/>
                <w:noProof/>
                <w:sz w:val="20"/>
                <w:lang w:eastAsia="en-GB"/>
              </w:rPr>
            </w:pPr>
            <w:r>
              <w:rPr>
                <w:b/>
                <w:noProof/>
                <w:sz w:val="20"/>
                <w:lang w:eastAsia="en-GB"/>
              </w:rPr>
              <w:t>3.574</w:t>
            </w:r>
          </w:p>
        </w:tc>
      </w:tr>
      <w:tr w:rsidR="009D4357" w:rsidRPr="00434957" w14:paraId="6FDFAAD7" w14:textId="77777777" w:rsidTr="00CE3F2A">
        <w:trPr>
          <w:trHeight w:val="319"/>
        </w:trPr>
        <w:tc>
          <w:tcPr>
            <w:tcW w:w="3600" w:type="dxa"/>
            <w:vMerge w:val="restart"/>
            <w:vAlign w:val="center"/>
          </w:tcPr>
          <w:p w14:paraId="6467ECA8" w14:textId="77777777" w:rsidR="009D4357" w:rsidRPr="00434957" w:rsidRDefault="009D4357" w:rsidP="00CE3F2A">
            <w:pPr>
              <w:spacing w:before="60" w:after="60"/>
              <w:rPr>
                <w:noProof/>
                <w:lang w:eastAsia="en-GB"/>
              </w:rPr>
            </w:pPr>
            <w:r w:rsidRPr="00434957">
              <w:rPr>
                <w:noProof/>
                <w:sz w:val="20"/>
                <w:lang w:eastAsia="en-GB"/>
              </w:rPr>
              <w:t>Title 3:</w:t>
            </w:r>
            <w:r>
              <w:rPr>
                <w:noProof/>
                <w:sz w:val="20"/>
                <w:lang w:eastAsia="en-GB"/>
              </w:rPr>
              <w:t xml:space="preserve"> Operational expenses</w:t>
            </w:r>
          </w:p>
        </w:tc>
        <w:tc>
          <w:tcPr>
            <w:tcW w:w="1503" w:type="dxa"/>
            <w:vAlign w:val="center"/>
          </w:tcPr>
          <w:p w14:paraId="01EEDE4C" w14:textId="77777777" w:rsidR="009D4357" w:rsidRPr="00434957" w:rsidRDefault="009D4357" w:rsidP="00CE3F2A">
            <w:pPr>
              <w:spacing w:before="40" w:after="40"/>
              <w:rPr>
                <w:noProof/>
                <w:sz w:val="18"/>
                <w:lang w:eastAsia="en-GB"/>
              </w:rPr>
            </w:pPr>
            <w:r w:rsidRPr="00434957">
              <w:rPr>
                <w:noProof/>
                <w:sz w:val="18"/>
                <w:lang w:eastAsia="en-GB"/>
              </w:rPr>
              <w:t>Commitments</w:t>
            </w:r>
          </w:p>
        </w:tc>
        <w:tc>
          <w:tcPr>
            <w:tcW w:w="591" w:type="dxa"/>
            <w:vAlign w:val="center"/>
          </w:tcPr>
          <w:p w14:paraId="43D2C75A" w14:textId="77777777" w:rsidR="009D4357" w:rsidRPr="00434957" w:rsidRDefault="009D4357" w:rsidP="00CE3F2A">
            <w:pPr>
              <w:spacing w:before="40" w:after="40"/>
              <w:jc w:val="center"/>
              <w:rPr>
                <w:noProof/>
                <w:sz w:val="14"/>
                <w:lang w:eastAsia="en-GB"/>
              </w:rPr>
            </w:pPr>
            <w:r w:rsidRPr="00434957">
              <w:rPr>
                <w:noProof/>
                <w:sz w:val="14"/>
                <w:lang w:eastAsia="en-GB"/>
              </w:rPr>
              <w:t>(3a)</w:t>
            </w:r>
          </w:p>
        </w:tc>
        <w:tc>
          <w:tcPr>
            <w:tcW w:w="868" w:type="dxa"/>
            <w:vAlign w:val="center"/>
          </w:tcPr>
          <w:p w14:paraId="083694F4" w14:textId="77777777" w:rsidR="009D4357" w:rsidRPr="00434957" w:rsidRDefault="009D4357" w:rsidP="00CE3F2A">
            <w:pPr>
              <w:spacing w:before="40" w:after="40"/>
              <w:jc w:val="right"/>
              <w:rPr>
                <w:b/>
                <w:noProof/>
                <w:sz w:val="20"/>
                <w:lang w:eastAsia="en-GB"/>
              </w:rPr>
            </w:pPr>
          </w:p>
        </w:tc>
        <w:tc>
          <w:tcPr>
            <w:tcW w:w="868" w:type="dxa"/>
            <w:vAlign w:val="center"/>
          </w:tcPr>
          <w:p w14:paraId="30FD032C" w14:textId="77777777" w:rsidR="009D4357" w:rsidRPr="00434957" w:rsidRDefault="009D4357" w:rsidP="00CE3F2A">
            <w:pPr>
              <w:spacing w:before="40" w:after="40"/>
              <w:jc w:val="right"/>
              <w:rPr>
                <w:b/>
                <w:noProof/>
                <w:sz w:val="20"/>
                <w:lang w:eastAsia="en-GB"/>
              </w:rPr>
            </w:pPr>
          </w:p>
        </w:tc>
        <w:tc>
          <w:tcPr>
            <w:tcW w:w="868" w:type="dxa"/>
            <w:vAlign w:val="center"/>
          </w:tcPr>
          <w:p w14:paraId="756F811A" w14:textId="77777777" w:rsidR="009D4357" w:rsidRPr="00434957" w:rsidRDefault="009D4357" w:rsidP="00CE3F2A">
            <w:pPr>
              <w:spacing w:before="40" w:after="40"/>
              <w:jc w:val="right"/>
              <w:rPr>
                <w:b/>
                <w:noProof/>
                <w:sz w:val="20"/>
                <w:lang w:eastAsia="en-GB"/>
              </w:rPr>
            </w:pPr>
          </w:p>
        </w:tc>
        <w:tc>
          <w:tcPr>
            <w:tcW w:w="757" w:type="dxa"/>
          </w:tcPr>
          <w:p w14:paraId="51B8C5A5" w14:textId="77777777" w:rsidR="009D4357" w:rsidRPr="00434957" w:rsidRDefault="009D4357" w:rsidP="00CE3F2A">
            <w:pPr>
              <w:spacing w:before="40" w:after="40"/>
              <w:jc w:val="right"/>
              <w:rPr>
                <w:b/>
                <w:noProof/>
                <w:sz w:val="20"/>
                <w:lang w:eastAsia="en-GB"/>
              </w:rPr>
            </w:pPr>
          </w:p>
        </w:tc>
        <w:tc>
          <w:tcPr>
            <w:tcW w:w="850" w:type="dxa"/>
          </w:tcPr>
          <w:p w14:paraId="388326E1" w14:textId="77777777" w:rsidR="009D4357" w:rsidRPr="00434957" w:rsidRDefault="009D4357" w:rsidP="00CE3F2A">
            <w:pPr>
              <w:spacing w:before="40" w:after="40"/>
              <w:jc w:val="right"/>
              <w:rPr>
                <w:b/>
                <w:noProof/>
                <w:sz w:val="20"/>
                <w:lang w:eastAsia="en-GB"/>
              </w:rPr>
            </w:pPr>
          </w:p>
        </w:tc>
        <w:tc>
          <w:tcPr>
            <w:tcW w:w="1418" w:type="dxa"/>
            <w:vAlign w:val="center"/>
          </w:tcPr>
          <w:p w14:paraId="1A775AB6" w14:textId="77777777" w:rsidR="009D4357" w:rsidRPr="00434957" w:rsidRDefault="009D4357" w:rsidP="00CE3F2A">
            <w:pPr>
              <w:spacing w:before="40" w:after="40"/>
              <w:jc w:val="right"/>
              <w:rPr>
                <w:b/>
                <w:noProof/>
                <w:sz w:val="20"/>
                <w:lang w:eastAsia="en-GB"/>
              </w:rPr>
            </w:pPr>
          </w:p>
        </w:tc>
      </w:tr>
      <w:tr w:rsidR="009D4357" w:rsidRPr="00434957" w14:paraId="57A4E758" w14:textId="77777777" w:rsidTr="00CE3F2A">
        <w:trPr>
          <w:trHeight w:val="319"/>
        </w:trPr>
        <w:tc>
          <w:tcPr>
            <w:tcW w:w="3600" w:type="dxa"/>
            <w:vMerge/>
            <w:vAlign w:val="center"/>
          </w:tcPr>
          <w:p w14:paraId="72A9F92E" w14:textId="77777777" w:rsidR="009D4357" w:rsidRPr="00434957" w:rsidRDefault="009D4357" w:rsidP="00CE3F2A">
            <w:pPr>
              <w:spacing w:before="60" w:after="60"/>
              <w:rPr>
                <w:b/>
                <w:noProof/>
                <w:sz w:val="20"/>
                <w:lang w:eastAsia="en-GB"/>
              </w:rPr>
            </w:pPr>
          </w:p>
        </w:tc>
        <w:tc>
          <w:tcPr>
            <w:tcW w:w="1503" w:type="dxa"/>
            <w:vAlign w:val="center"/>
          </w:tcPr>
          <w:p w14:paraId="7DC95C4F" w14:textId="77777777" w:rsidR="009D4357" w:rsidRPr="00434957" w:rsidRDefault="009D4357" w:rsidP="00CE3F2A">
            <w:pPr>
              <w:spacing w:before="40" w:after="40"/>
              <w:rPr>
                <w:noProof/>
                <w:sz w:val="18"/>
                <w:lang w:eastAsia="en-GB"/>
              </w:rPr>
            </w:pPr>
            <w:r w:rsidRPr="00434957">
              <w:rPr>
                <w:noProof/>
                <w:sz w:val="18"/>
                <w:lang w:eastAsia="en-GB"/>
              </w:rPr>
              <w:t>Payments</w:t>
            </w:r>
          </w:p>
        </w:tc>
        <w:tc>
          <w:tcPr>
            <w:tcW w:w="591" w:type="dxa"/>
            <w:vAlign w:val="center"/>
          </w:tcPr>
          <w:p w14:paraId="30E7339E" w14:textId="77777777" w:rsidR="009D4357" w:rsidRPr="00434957" w:rsidRDefault="009D4357" w:rsidP="00CE3F2A">
            <w:pPr>
              <w:spacing w:before="40" w:after="40"/>
              <w:jc w:val="center"/>
              <w:rPr>
                <w:noProof/>
                <w:sz w:val="14"/>
                <w:lang w:eastAsia="en-GB"/>
              </w:rPr>
            </w:pPr>
            <w:r w:rsidRPr="00434957">
              <w:rPr>
                <w:noProof/>
                <w:sz w:val="14"/>
                <w:lang w:eastAsia="en-GB"/>
              </w:rPr>
              <w:t>(3b)</w:t>
            </w:r>
          </w:p>
        </w:tc>
        <w:tc>
          <w:tcPr>
            <w:tcW w:w="868" w:type="dxa"/>
            <w:vAlign w:val="center"/>
          </w:tcPr>
          <w:p w14:paraId="30B4040C" w14:textId="77777777" w:rsidR="009D4357" w:rsidRPr="00434957" w:rsidRDefault="009D4357" w:rsidP="00CE3F2A">
            <w:pPr>
              <w:spacing w:before="40" w:after="40"/>
              <w:jc w:val="right"/>
              <w:rPr>
                <w:b/>
                <w:noProof/>
                <w:sz w:val="20"/>
                <w:lang w:eastAsia="en-GB"/>
              </w:rPr>
            </w:pPr>
          </w:p>
        </w:tc>
        <w:tc>
          <w:tcPr>
            <w:tcW w:w="868" w:type="dxa"/>
            <w:vAlign w:val="center"/>
          </w:tcPr>
          <w:p w14:paraId="050C1D6D" w14:textId="77777777" w:rsidR="009D4357" w:rsidRPr="00434957" w:rsidRDefault="009D4357" w:rsidP="00CE3F2A">
            <w:pPr>
              <w:spacing w:before="40" w:after="40"/>
              <w:jc w:val="right"/>
              <w:rPr>
                <w:b/>
                <w:noProof/>
                <w:sz w:val="20"/>
                <w:lang w:eastAsia="en-GB"/>
              </w:rPr>
            </w:pPr>
          </w:p>
        </w:tc>
        <w:tc>
          <w:tcPr>
            <w:tcW w:w="868" w:type="dxa"/>
            <w:vAlign w:val="center"/>
          </w:tcPr>
          <w:p w14:paraId="3CD182A4" w14:textId="77777777" w:rsidR="009D4357" w:rsidRPr="00434957" w:rsidRDefault="009D4357" w:rsidP="00CE3F2A">
            <w:pPr>
              <w:spacing w:before="40" w:after="40"/>
              <w:jc w:val="right"/>
              <w:rPr>
                <w:b/>
                <w:noProof/>
                <w:sz w:val="20"/>
                <w:lang w:eastAsia="en-GB"/>
              </w:rPr>
            </w:pPr>
          </w:p>
        </w:tc>
        <w:tc>
          <w:tcPr>
            <w:tcW w:w="757" w:type="dxa"/>
          </w:tcPr>
          <w:p w14:paraId="4C8D8F37" w14:textId="77777777" w:rsidR="009D4357" w:rsidRPr="00434957" w:rsidRDefault="009D4357" w:rsidP="00CE3F2A">
            <w:pPr>
              <w:spacing w:before="40" w:after="40"/>
              <w:jc w:val="right"/>
              <w:rPr>
                <w:b/>
                <w:noProof/>
                <w:sz w:val="20"/>
                <w:lang w:eastAsia="en-GB"/>
              </w:rPr>
            </w:pPr>
          </w:p>
        </w:tc>
        <w:tc>
          <w:tcPr>
            <w:tcW w:w="850" w:type="dxa"/>
          </w:tcPr>
          <w:p w14:paraId="6DBC0F50" w14:textId="77777777" w:rsidR="009D4357" w:rsidRPr="00434957" w:rsidRDefault="009D4357" w:rsidP="00CE3F2A">
            <w:pPr>
              <w:spacing w:before="40" w:after="40"/>
              <w:jc w:val="right"/>
              <w:rPr>
                <w:b/>
                <w:noProof/>
                <w:sz w:val="20"/>
                <w:lang w:eastAsia="en-GB"/>
              </w:rPr>
            </w:pPr>
          </w:p>
        </w:tc>
        <w:tc>
          <w:tcPr>
            <w:tcW w:w="1418" w:type="dxa"/>
            <w:vAlign w:val="center"/>
          </w:tcPr>
          <w:p w14:paraId="62A46433" w14:textId="77777777" w:rsidR="009D4357" w:rsidRPr="00434957" w:rsidRDefault="009D4357" w:rsidP="00CE3F2A">
            <w:pPr>
              <w:spacing w:before="40" w:after="40"/>
              <w:jc w:val="right"/>
              <w:rPr>
                <w:b/>
                <w:noProof/>
                <w:sz w:val="20"/>
                <w:lang w:eastAsia="en-GB"/>
              </w:rPr>
            </w:pPr>
          </w:p>
        </w:tc>
      </w:tr>
      <w:tr w:rsidR="009D4357" w:rsidRPr="00434957" w14:paraId="763C3DEC" w14:textId="77777777" w:rsidTr="00CE3F2A">
        <w:tc>
          <w:tcPr>
            <w:tcW w:w="3600" w:type="dxa"/>
            <w:vMerge w:val="restart"/>
            <w:vAlign w:val="center"/>
          </w:tcPr>
          <w:p w14:paraId="6C4C0D9B" w14:textId="77777777" w:rsidR="009D4357" w:rsidRPr="00434957" w:rsidRDefault="009D4357" w:rsidP="00CE3F2A">
            <w:pPr>
              <w:jc w:val="center"/>
              <w:rPr>
                <w:noProof/>
                <w:lang w:eastAsia="en-GB"/>
              </w:rPr>
            </w:pPr>
            <w:r w:rsidRPr="00434957">
              <w:rPr>
                <w:b/>
                <w:noProof/>
                <w:lang w:eastAsia="en-GB"/>
              </w:rPr>
              <w:t>TOTAL appropriations</w:t>
            </w:r>
            <w:r w:rsidRPr="00434957">
              <w:rPr>
                <w:noProof/>
                <w:lang w:eastAsia="en-GB"/>
              </w:rPr>
              <w:br/>
            </w:r>
            <w:r w:rsidRPr="00434957">
              <w:rPr>
                <w:b/>
                <w:noProof/>
                <w:lang w:eastAsia="en-GB"/>
              </w:rPr>
              <w:t>for Europol</w:t>
            </w:r>
          </w:p>
        </w:tc>
        <w:tc>
          <w:tcPr>
            <w:tcW w:w="1503" w:type="dxa"/>
            <w:vAlign w:val="center"/>
          </w:tcPr>
          <w:p w14:paraId="3CB2F011" w14:textId="77777777" w:rsidR="009D4357" w:rsidRPr="00434957" w:rsidRDefault="009D4357" w:rsidP="00CE3F2A">
            <w:pPr>
              <w:rPr>
                <w:noProof/>
                <w:sz w:val="18"/>
                <w:lang w:eastAsia="en-GB"/>
              </w:rPr>
            </w:pPr>
            <w:r w:rsidRPr="00434957">
              <w:rPr>
                <w:noProof/>
                <w:sz w:val="18"/>
                <w:lang w:eastAsia="en-GB"/>
              </w:rPr>
              <w:t>Commitments</w:t>
            </w:r>
          </w:p>
        </w:tc>
        <w:tc>
          <w:tcPr>
            <w:tcW w:w="591" w:type="dxa"/>
            <w:vAlign w:val="center"/>
          </w:tcPr>
          <w:p w14:paraId="37B08049" w14:textId="77777777" w:rsidR="009D4357" w:rsidRPr="00434957" w:rsidRDefault="009D4357" w:rsidP="00CE3F2A">
            <w:pPr>
              <w:jc w:val="center"/>
              <w:rPr>
                <w:noProof/>
                <w:sz w:val="14"/>
                <w:lang w:eastAsia="en-GB"/>
              </w:rPr>
            </w:pPr>
            <w:r w:rsidRPr="00434957">
              <w:rPr>
                <w:noProof/>
                <w:sz w:val="14"/>
                <w:lang w:eastAsia="en-GB"/>
              </w:rPr>
              <w:t>=1+1a +3a</w:t>
            </w:r>
          </w:p>
        </w:tc>
        <w:tc>
          <w:tcPr>
            <w:tcW w:w="868" w:type="dxa"/>
            <w:vAlign w:val="center"/>
          </w:tcPr>
          <w:p w14:paraId="09364EA2" w14:textId="77777777" w:rsidR="009D4357" w:rsidRPr="00434957" w:rsidRDefault="009D4357" w:rsidP="00CE3F2A">
            <w:pPr>
              <w:spacing w:after="0"/>
              <w:jc w:val="center"/>
              <w:rPr>
                <w:b/>
                <w:bCs/>
                <w:noProof/>
                <w:color w:val="000000"/>
                <w:sz w:val="18"/>
                <w:szCs w:val="18"/>
              </w:rPr>
            </w:pPr>
          </w:p>
        </w:tc>
        <w:tc>
          <w:tcPr>
            <w:tcW w:w="868" w:type="dxa"/>
            <w:vAlign w:val="center"/>
          </w:tcPr>
          <w:p w14:paraId="037355BA" w14:textId="77777777" w:rsidR="009D4357" w:rsidRPr="00434957" w:rsidRDefault="009D4357" w:rsidP="00CE3F2A">
            <w:pPr>
              <w:spacing w:after="0"/>
              <w:jc w:val="right"/>
              <w:rPr>
                <w:b/>
                <w:bCs/>
                <w:noProof/>
                <w:color w:val="000000"/>
                <w:sz w:val="18"/>
                <w:szCs w:val="18"/>
              </w:rPr>
            </w:pPr>
            <w:r>
              <w:rPr>
                <w:b/>
                <w:bCs/>
                <w:noProof/>
                <w:color w:val="000000"/>
                <w:sz w:val="18"/>
                <w:szCs w:val="18"/>
              </w:rPr>
              <w:t>2.041</w:t>
            </w:r>
          </w:p>
        </w:tc>
        <w:tc>
          <w:tcPr>
            <w:tcW w:w="868" w:type="dxa"/>
            <w:vAlign w:val="center"/>
          </w:tcPr>
          <w:p w14:paraId="7AAC6EDF" w14:textId="77777777" w:rsidR="009D4357" w:rsidRPr="00434957" w:rsidRDefault="009D4357" w:rsidP="00CE3F2A">
            <w:pPr>
              <w:spacing w:after="0"/>
              <w:jc w:val="right"/>
              <w:rPr>
                <w:b/>
                <w:bCs/>
                <w:noProof/>
                <w:color w:val="000000"/>
                <w:sz w:val="18"/>
                <w:szCs w:val="18"/>
              </w:rPr>
            </w:pPr>
            <w:r>
              <w:rPr>
                <w:b/>
                <w:bCs/>
                <w:noProof/>
                <w:color w:val="000000"/>
                <w:sz w:val="18"/>
                <w:szCs w:val="18"/>
              </w:rPr>
              <w:t>2.154</w:t>
            </w:r>
          </w:p>
        </w:tc>
        <w:tc>
          <w:tcPr>
            <w:tcW w:w="757" w:type="dxa"/>
            <w:vAlign w:val="center"/>
          </w:tcPr>
          <w:p w14:paraId="44266AF4" w14:textId="77777777" w:rsidR="009D4357" w:rsidRPr="00434957" w:rsidRDefault="009D4357" w:rsidP="00CE3F2A">
            <w:pPr>
              <w:spacing w:after="0"/>
              <w:jc w:val="right"/>
              <w:rPr>
                <w:b/>
                <w:bCs/>
                <w:noProof/>
                <w:color w:val="000000"/>
                <w:sz w:val="18"/>
                <w:szCs w:val="18"/>
              </w:rPr>
            </w:pPr>
            <w:r>
              <w:rPr>
                <w:b/>
                <w:bCs/>
                <w:noProof/>
                <w:color w:val="000000"/>
                <w:sz w:val="18"/>
                <w:szCs w:val="18"/>
              </w:rPr>
              <w:t>1.363</w:t>
            </w:r>
          </w:p>
        </w:tc>
        <w:tc>
          <w:tcPr>
            <w:tcW w:w="850" w:type="dxa"/>
            <w:vAlign w:val="center"/>
          </w:tcPr>
          <w:p w14:paraId="10E1FBEB" w14:textId="77777777" w:rsidR="009D4357" w:rsidRPr="00434957" w:rsidRDefault="009D4357" w:rsidP="00CE3F2A">
            <w:pPr>
              <w:tabs>
                <w:tab w:val="left" w:pos="463"/>
              </w:tabs>
              <w:spacing w:before="20" w:after="20"/>
              <w:jc w:val="right"/>
              <w:rPr>
                <w:b/>
                <w:bCs/>
                <w:noProof/>
                <w:color w:val="000000"/>
                <w:sz w:val="18"/>
                <w:szCs w:val="18"/>
              </w:rPr>
            </w:pPr>
            <w:r>
              <w:rPr>
                <w:b/>
                <w:bCs/>
                <w:noProof/>
                <w:color w:val="000000"/>
                <w:sz w:val="18"/>
                <w:szCs w:val="18"/>
              </w:rPr>
              <w:t>1.363</w:t>
            </w:r>
          </w:p>
        </w:tc>
        <w:tc>
          <w:tcPr>
            <w:tcW w:w="1418" w:type="dxa"/>
            <w:vAlign w:val="center"/>
          </w:tcPr>
          <w:p w14:paraId="488A21B7" w14:textId="77777777" w:rsidR="009D4357" w:rsidRPr="00434957" w:rsidRDefault="009D4357" w:rsidP="00CE3F2A">
            <w:pPr>
              <w:spacing w:after="0"/>
              <w:jc w:val="right"/>
              <w:rPr>
                <w:b/>
                <w:bCs/>
                <w:noProof/>
                <w:color w:val="000000"/>
                <w:sz w:val="18"/>
                <w:szCs w:val="18"/>
              </w:rPr>
            </w:pPr>
            <w:r>
              <w:rPr>
                <w:b/>
                <w:bCs/>
                <w:noProof/>
                <w:color w:val="000000"/>
                <w:sz w:val="18"/>
                <w:szCs w:val="18"/>
              </w:rPr>
              <w:t>6.921</w:t>
            </w:r>
          </w:p>
        </w:tc>
      </w:tr>
      <w:tr w:rsidR="009D4357" w:rsidRPr="00434957" w14:paraId="3B26EF8C" w14:textId="77777777" w:rsidTr="00CE3F2A">
        <w:tc>
          <w:tcPr>
            <w:tcW w:w="3600" w:type="dxa"/>
            <w:vMerge/>
            <w:vAlign w:val="center"/>
          </w:tcPr>
          <w:p w14:paraId="00207BC7" w14:textId="77777777" w:rsidR="009D4357" w:rsidRPr="00434957" w:rsidRDefault="009D4357" w:rsidP="00CE3F2A">
            <w:pPr>
              <w:rPr>
                <w:b/>
                <w:noProof/>
                <w:lang w:eastAsia="en-GB"/>
              </w:rPr>
            </w:pPr>
          </w:p>
        </w:tc>
        <w:tc>
          <w:tcPr>
            <w:tcW w:w="1503" w:type="dxa"/>
            <w:vAlign w:val="center"/>
          </w:tcPr>
          <w:p w14:paraId="79392A47" w14:textId="77777777" w:rsidR="009D4357" w:rsidRPr="00434957" w:rsidRDefault="009D4357" w:rsidP="00CE3F2A">
            <w:pPr>
              <w:rPr>
                <w:noProof/>
                <w:sz w:val="18"/>
                <w:lang w:eastAsia="en-GB"/>
              </w:rPr>
            </w:pPr>
            <w:r w:rsidRPr="00434957">
              <w:rPr>
                <w:noProof/>
                <w:sz w:val="18"/>
                <w:lang w:eastAsia="en-GB"/>
              </w:rPr>
              <w:t>Payments</w:t>
            </w:r>
          </w:p>
        </w:tc>
        <w:tc>
          <w:tcPr>
            <w:tcW w:w="591" w:type="dxa"/>
            <w:vAlign w:val="center"/>
          </w:tcPr>
          <w:p w14:paraId="2117CD59" w14:textId="77777777" w:rsidR="009D4357" w:rsidRPr="00434957" w:rsidRDefault="009D4357" w:rsidP="00CE3F2A">
            <w:pPr>
              <w:jc w:val="center"/>
              <w:rPr>
                <w:noProof/>
                <w:sz w:val="14"/>
                <w:lang w:eastAsia="en-GB"/>
              </w:rPr>
            </w:pPr>
            <w:r w:rsidRPr="00434957">
              <w:rPr>
                <w:noProof/>
                <w:sz w:val="14"/>
                <w:lang w:eastAsia="en-GB"/>
              </w:rPr>
              <w:t>=2+2a</w:t>
            </w:r>
          </w:p>
          <w:p w14:paraId="292D923F" w14:textId="77777777" w:rsidR="009D4357" w:rsidRPr="00434957" w:rsidRDefault="009D4357" w:rsidP="00CE3F2A">
            <w:pPr>
              <w:jc w:val="center"/>
              <w:rPr>
                <w:noProof/>
                <w:sz w:val="14"/>
                <w:lang w:eastAsia="en-GB"/>
              </w:rPr>
            </w:pPr>
            <w:r w:rsidRPr="00434957">
              <w:rPr>
                <w:noProof/>
                <w:sz w:val="14"/>
                <w:lang w:eastAsia="en-GB"/>
              </w:rPr>
              <w:t>+3b</w:t>
            </w:r>
          </w:p>
        </w:tc>
        <w:tc>
          <w:tcPr>
            <w:tcW w:w="868" w:type="dxa"/>
            <w:vAlign w:val="center"/>
          </w:tcPr>
          <w:p w14:paraId="5450363B" w14:textId="77777777" w:rsidR="009D4357" w:rsidRPr="00434957" w:rsidRDefault="009D4357" w:rsidP="00CE3F2A">
            <w:pPr>
              <w:spacing w:after="0"/>
              <w:jc w:val="center"/>
              <w:rPr>
                <w:b/>
                <w:bCs/>
                <w:noProof/>
                <w:color w:val="000000"/>
                <w:sz w:val="18"/>
                <w:szCs w:val="18"/>
              </w:rPr>
            </w:pPr>
          </w:p>
        </w:tc>
        <w:tc>
          <w:tcPr>
            <w:tcW w:w="868" w:type="dxa"/>
            <w:vAlign w:val="center"/>
          </w:tcPr>
          <w:p w14:paraId="243D49E1" w14:textId="77777777" w:rsidR="009D4357" w:rsidRPr="00434957" w:rsidRDefault="009D4357" w:rsidP="00CE3F2A">
            <w:pPr>
              <w:spacing w:after="0"/>
              <w:jc w:val="right"/>
              <w:rPr>
                <w:b/>
                <w:bCs/>
                <w:noProof/>
                <w:color w:val="000000"/>
                <w:sz w:val="18"/>
                <w:szCs w:val="18"/>
              </w:rPr>
            </w:pPr>
            <w:r>
              <w:rPr>
                <w:b/>
                <w:bCs/>
                <w:noProof/>
                <w:color w:val="000000"/>
                <w:sz w:val="18"/>
                <w:szCs w:val="18"/>
              </w:rPr>
              <w:t>2.041</w:t>
            </w:r>
          </w:p>
        </w:tc>
        <w:tc>
          <w:tcPr>
            <w:tcW w:w="868" w:type="dxa"/>
            <w:vAlign w:val="center"/>
          </w:tcPr>
          <w:p w14:paraId="5E480B69" w14:textId="77777777" w:rsidR="009D4357" w:rsidRPr="00434957" w:rsidRDefault="009D4357" w:rsidP="00CE3F2A">
            <w:pPr>
              <w:spacing w:after="0"/>
              <w:jc w:val="right"/>
              <w:rPr>
                <w:b/>
                <w:bCs/>
                <w:noProof/>
                <w:color w:val="000000"/>
                <w:sz w:val="18"/>
                <w:szCs w:val="18"/>
              </w:rPr>
            </w:pPr>
            <w:r>
              <w:rPr>
                <w:b/>
                <w:bCs/>
                <w:noProof/>
                <w:color w:val="000000"/>
                <w:sz w:val="18"/>
                <w:szCs w:val="18"/>
              </w:rPr>
              <w:t>2.154</w:t>
            </w:r>
          </w:p>
        </w:tc>
        <w:tc>
          <w:tcPr>
            <w:tcW w:w="757" w:type="dxa"/>
            <w:vAlign w:val="center"/>
          </w:tcPr>
          <w:p w14:paraId="0CEAB0B6" w14:textId="77777777" w:rsidR="009D4357" w:rsidRPr="00434957" w:rsidRDefault="009D4357" w:rsidP="00CE3F2A">
            <w:pPr>
              <w:spacing w:after="0"/>
              <w:jc w:val="right"/>
              <w:rPr>
                <w:b/>
                <w:bCs/>
                <w:noProof/>
                <w:color w:val="000000"/>
                <w:sz w:val="18"/>
                <w:szCs w:val="18"/>
              </w:rPr>
            </w:pPr>
            <w:r>
              <w:rPr>
                <w:b/>
                <w:bCs/>
                <w:noProof/>
                <w:color w:val="000000"/>
                <w:sz w:val="18"/>
                <w:szCs w:val="18"/>
              </w:rPr>
              <w:t>1.363</w:t>
            </w:r>
          </w:p>
        </w:tc>
        <w:tc>
          <w:tcPr>
            <w:tcW w:w="850" w:type="dxa"/>
            <w:vAlign w:val="center"/>
          </w:tcPr>
          <w:p w14:paraId="2289E95F" w14:textId="77777777" w:rsidR="009D4357" w:rsidRPr="00434957" w:rsidRDefault="009D4357" w:rsidP="00CE3F2A">
            <w:pPr>
              <w:spacing w:after="0"/>
              <w:jc w:val="right"/>
              <w:rPr>
                <w:b/>
                <w:bCs/>
                <w:noProof/>
                <w:color w:val="000000"/>
                <w:sz w:val="18"/>
                <w:szCs w:val="18"/>
              </w:rPr>
            </w:pPr>
            <w:r>
              <w:rPr>
                <w:b/>
                <w:bCs/>
                <w:noProof/>
                <w:color w:val="000000"/>
                <w:sz w:val="18"/>
                <w:szCs w:val="18"/>
              </w:rPr>
              <w:t>1.363</w:t>
            </w:r>
          </w:p>
        </w:tc>
        <w:tc>
          <w:tcPr>
            <w:tcW w:w="1418" w:type="dxa"/>
            <w:vAlign w:val="center"/>
          </w:tcPr>
          <w:p w14:paraId="1FCA9E48" w14:textId="77777777" w:rsidR="009D4357" w:rsidRPr="00434957" w:rsidRDefault="009D4357" w:rsidP="00CE3F2A">
            <w:pPr>
              <w:spacing w:after="0"/>
              <w:jc w:val="right"/>
              <w:rPr>
                <w:b/>
                <w:bCs/>
                <w:noProof/>
                <w:color w:val="000000"/>
                <w:sz w:val="18"/>
                <w:szCs w:val="18"/>
              </w:rPr>
            </w:pPr>
            <w:r>
              <w:rPr>
                <w:b/>
                <w:bCs/>
                <w:noProof/>
                <w:color w:val="000000"/>
                <w:sz w:val="18"/>
                <w:szCs w:val="18"/>
              </w:rPr>
              <w:t>6.921</w:t>
            </w:r>
          </w:p>
        </w:tc>
      </w:tr>
    </w:tbl>
    <w:p w14:paraId="5FC09AF5" w14:textId="57D68B48" w:rsidR="009D4357" w:rsidRPr="00434957" w:rsidRDefault="009D4357" w:rsidP="009D4357">
      <w:pPr>
        <w:rPr>
          <w:noProof/>
          <w:lang w:eastAsia="en-GB"/>
        </w:rPr>
      </w:pPr>
      <w:r w:rsidRPr="00434957">
        <w:rPr>
          <w:noProof/>
          <w:lang w:eastAsia="en-GB"/>
        </w:rPr>
        <w:br/>
      </w:r>
      <w:r w:rsidRPr="00A07E23">
        <w:rPr>
          <w:noProof/>
          <w:lang w:eastAsia="en-GB"/>
        </w:rPr>
        <w:t xml:space="preserve">Comment: </w:t>
      </w:r>
      <w:r>
        <w:rPr>
          <w:noProof/>
          <w:lang w:eastAsia="en-GB"/>
        </w:rPr>
        <w:t xml:space="preserve">The additional </w:t>
      </w:r>
      <w:r w:rsidRPr="00A07E23">
        <w:rPr>
          <w:noProof/>
          <w:lang w:eastAsia="en-GB"/>
        </w:rPr>
        <w:t>appropriations requested in the context of th</w:t>
      </w:r>
      <w:r>
        <w:rPr>
          <w:noProof/>
          <w:lang w:eastAsia="en-GB"/>
        </w:rPr>
        <w:t xml:space="preserve">is </w:t>
      </w:r>
      <w:r w:rsidRPr="00A07E23">
        <w:rPr>
          <w:noProof/>
          <w:lang w:eastAsia="en-GB"/>
        </w:rPr>
        <w:t xml:space="preserve">proposal </w:t>
      </w:r>
      <w:r>
        <w:rPr>
          <w:noProof/>
          <w:lang w:eastAsia="en-GB"/>
        </w:rPr>
        <w:t xml:space="preserve">for Europol will be </w:t>
      </w:r>
      <w:r w:rsidRPr="00A07E23">
        <w:rPr>
          <w:noProof/>
          <w:lang w:eastAsia="en-GB"/>
        </w:rPr>
        <w:t xml:space="preserve">covered </w:t>
      </w:r>
      <w:r>
        <w:rPr>
          <w:noProof/>
          <w:lang w:eastAsia="en-GB"/>
        </w:rPr>
        <w:t xml:space="preserve">from </w:t>
      </w:r>
      <w:r w:rsidRPr="00A07E23">
        <w:rPr>
          <w:noProof/>
          <w:lang w:eastAsia="en-GB"/>
        </w:rPr>
        <w:t xml:space="preserve">the </w:t>
      </w:r>
      <w:r w:rsidR="00B135CC">
        <w:rPr>
          <w:noProof/>
          <w:lang w:eastAsia="en-GB"/>
        </w:rPr>
        <w:t>Internal Security Fund (ISF) under Heading 5</w:t>
      </w:r>
      <w:r w:rsidRPr="00A07E23">
        <w:rPr>
          <w:noProof/>
          <w:lang w:eastAsia="en-GB"/>
        </w:rPr>
        <w:t>.</w:t>
      </w:r>
    </w:p>
    <w:p w14:paraId="7B05A5AE" w14:textId="77777777" w:rsidR="009D4357" w:rsidRDefault="009D4357" w:rsidP="009D4357">
      <w:pPr>
        <w:rPr>
          <w:noProof/>
          <w:highlight w:val="yellow"/>
          <w:lang w:eastAsia="en-GB"/>
        </w:rPr>
        <w:sectPr w:rsidR="009D4357" w:rsidSect="009D02A3">
          <w:headerReference w:type="default" r:id="rId15"/>
          <w:footerReference w:type="default" r:id="rId16"/>
          <w:headerReference w:type="first" r:id="rId17"/>
          <w:footerReference w:type="first" r:id="rId18"/>
          <w:pgSz w:w="15840" w:h="12240" w:orient="landscape"/>
          <w:pgMar w:top="1134" w:right="1077" w:bottom="902" w:left="1247" w:header="709" w:footer="510" w:gutter="0"/>
          <w:cols w:space="720"/>
          <w:docGrid w:linePitch="326"/>
        </w:sectPr>
      </w:pPr>
      <w:r w:rsidRPr="00434957">
        <w:rPr>
          <w:noProof/>
          <w:highlight w:val="yellow"/>
          <w:lang w:eastAsia="en-GB"/>
        </w:rPr>
        <w:br w:type="page"/>
      </w:r>
    </w:p>
    <w:p w14:paraId="22B20E02" w14:textId="77777777" w:rsidR="009D4357" w:rsidRPr="00434957" w:rsidRDefault="009D4357" w:rsidP="009D4357">
      <w:pPr>
        <w:jc w:val="right"/>
        <w:rPr>
          <w:noProof/>
          <w:sz w:val="20"/>
          <w:lang w:eastAsia="en-GB"/>
        </w:rPr>
      </w:pPr>
      <w:r w:rsidRPr="00434957">
        <w:rPr>
          <w:noProof/>
          <w:sz w:val="20"/>
          <w:lang w:eastAsia="en-GB"/>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1"/>
        <w:gridCol w:w="1080"/>
        <w:gridCol w:w="7817"/>
      </w:tblGrid>
      <w:tr w:rsidR="009D4357" w:rsidRPr="00434957" w14:paraId="19688EAD" w14:textId="77777777" w:rsidTr="00CE3F2A">
        <w:trPr>
          <w:jc w:val="center"/>
        </w:trPr>
        <w:tc>
          <w:tcPr>
            <w:tcW w:w="4681" w:type="dxa"/>
            <w:shd w:val="thinDiagStripe" w:color="C0C0C0" w:fill="auto"/>
            <w:vAlign w:val="center"/>
          </w:tcPr>
          <w:p w14:paraId="23D017B4" w14:textId="77777777" w:rsidR="009D4357" w:rsidRPr="00434957" w:rsidRDefault="009D4357" w:rsidP="00CE3F2A">
            <w:pPr>
              <w:spacing w:before="60" w:after="60"/>
              <w:jc w:val="center"/>
              <w:rPr>
                <w:b/>
                <w:noProof/>
                <w:lang w:eastAsia="en-GB"/>
              </w:rPr>
            </w:pPr>
            <w:r w:rsidRPr="00434957">
              <w:rPr>
                <w:b/>
                <w:noProof/>
                <w:lang w:eastAsia="en-GB"/>
              </w:rPr>
              <w:t xml:space="preserve">Heading of multiannual financial </w:t>
            </w:r>
            <w:r w:rsidRPr="00434957">
              <w:rPr>
                <w:noProof/>
                <w:lang w:eastAsia="en-GB"/>
              </w:rPr>
              <w:br/>
            </w:r>
            <w:r w:rsidRPr="00434957">
              <w:rPr>
                <w:b/>
                <w:noProof/>
                <w:lang w:eastAsia="en-GB"/>
              </w:rPr>
              <w:t xml:space="preserve">framework </w:t>
            </w:r>
          </w:p>
        </w:tc>
        <w:tc>
          <w:tcPr>
            <w:tcW w:w="1080" w:type="dxa"/>
            <w:vAlign w:val="center"/>
          </w:tcPr>
          <w:p w14:paraId="012A17FB" w14:textId="77777777" w:rsidR="009D4357" w:rsidRPr="00434957" w:rsidRDefault="009D4357" w:rsidP="00CE3F2A">
            <w:pPr>
              <w:spacing w:before="60" w:after="60"/>
              <w:jc w:val="center"/>
              <w:rPr>
                <w:noProof/>
                <w:lang w:eastAsia="en-GB"/>
              </w:rPr>
            </w:pPr>
            <w:r>
              <w:rPr>
                <w:noProof/>
                <w:lang w:eastAsia="en-GB"/>
              </w:rPr>
              <w:t>4</w:t>
            </w:r>
          </w:p>
        </w:tc>
        <w:tc>
          <w:tcPr>
            <w:tcW w:w="7817" w:type="dxa"/>
            <w:vAlign w:val="center"/>
          </w:tcPr>
          <w:p w14:paraId="46E6A584" w14:textId="77777777" w:rsidR="009D4357" w:rsidRPr="00434957" w:rsidRDefault="009D4357" w:rsidP="00CE3F2A">
            <w:pPr>
              <w:spacing w:before="60" w:after="60"/>
              <w:rPr>
                <w:noProof/>
                <w:lang w:eastAsia="en-GB"/>
              </w:rPr>
            </w:pPr>
            <w:r w:rsidRPr="00434957">
              <w:rPr>
                <w:noProof/>
                <w:lang w:eastAsia="en-GB"/>
              </w:rPr>
              <w:t>–</w:t>
            </w:r>
            <w:r w:rsidRPr="00505A4A">
              <w:rPr>
                <w:noProof/>
                <w:lang w:eastAsia="en-GB"/>
              </w:rPr>
              <w:t>Migration and Borders</w:t>
            </w:r>
          </w:p>
        </w:tc>
      </w:tr>
    </w:tbl>
    <w:p w14:paraId="5B3639FE" w14:textId="77777777" w:rsidR="009D4357" w:rsidRDefault="009D4357" w:rsidP="009D4357">
      <w:pPr>
        <w:rPr>
          <w:noProof/>
          <w:sz w:val="16"/>
          <w:lang w:eastAsia="en-GB"/>
        </w:rPr>
      </w:pPr>
    </w:p>
    <w:tbl>
      <w:tblPr>
        <w:tblpPr w:leftFromText="180" w:rightFromText="180" w:vertAnchor="text" w:horzAnchor="margin" w:tblpY="17"/>
        <w:tblW w:w="11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503"/>
        <w:gridCol w:w="591"/>
        <w:gridCol w:w="868"/>
        <w:gridCol w:w="868"/>
        <w:gridCol w:w="868"/>
        <w:gridCol w:w="757"/>
        <w:gridCol w:w="850"/>
        <w:gridCol w:w="1418"/>
      </w:tblGrid>
      <w:tr w:rsidR="009D4357" w:rsidRPr="00434957" w14:paraId="59250596" w14:textId="77777777" w:rsidTr="00CE3F2A">
        <w:tc>
          <w:tcPr>
            <w:tcW w:w="3600" w:type="dxa"/>
            <w:vAlign w:val="center"/>
          </w:tcPr>
          <w:p w14:paraId="4A5BB97D" w14:textId="77777777" w:rsidR="009D4357" w:rsidRPr="00434957" w:rsidRDefault="009D4357" w:rsidP="00CE3F2A">
            <w:pPr>
              <w:jc w:val="center"/>
              <w:rPr>
                <w:noProof/>
                <w:lang w:eastAsia="en-GB"/>
              </w:rPr>
            </w:pPr>
            <w:r>
              <w:rPr>
                <w:noProof/>
                <w:lang w:eastAsia="en-GB"/>
              </w:rPr>
              <w:t>eu-LISA</w:t>
            </w:r>
          </w:p>
        </w:tc>
        <w:tc>
          <w:tcPr>
            <w:tcW w:w="1503" w:type="dxa"/>
          </w:tcPr>
          <w:p w14:paraId="3BE7BFAF" w14:textId="77777777" w:rsidR="009D4357" w:rsidRPr="00434957" w:rsidRDefault="009D4357" w:rsidP="00CE3F2A">
            <w:pPr>
              <w:rPr>
                <w:noProof/>
                <w:sz w:val="20"/>
                <w:lang w:eastAsia="en-GB"/>
              </w:rPr>
            </w:pPr>
          </w:p>
        </w:tc>
        <w:tc>
          <w:tcPr>
            <w:tcW w:w="591" w:type="dxa"/>
          </w:tcPr>
          <w:p w14:paraId="44B17D28" w14:textId="77777777" w:rsidR="009D4357" w:rsidRPr="00434957" w:rsidRDefault="009D4357" w:rsidP="00CE3F2A">
            <w:pPr>
              <w:jc w:val="center"/>
              <w:rPr>
                <w:noProof/>
                <w:sz w:val="20"/>
                <w:lang w:eastAsia="en-GB"/>
              </w:rPr>
            </w:pPr>
          </w:p>
        </w:tc>
        <w:tc>
          <w:tcPr>
            <w:tcW w:w="868" w:type="dxa"/>
            <w:vAlign w:val="center"/>
          </w:tcPr>
          <w:p w14:paraId="681B468A" w14:textId="77777777" w:rsidR="009D4357" w:rsidRPr="00434957" w:rsidRDefault="009D4357" w:rsidP="00CE3F2A">
            <w:pPr>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2023</w:t>
            </w:r>
          </w:p>
        </w:tc>
        <w:tc>
          <w:tcPr>
            <w:tcW w:w="868" w:type="dxa"/>
            <w:vAlign w:val="center"/>
          </w:tcPr>
          <w:p w14:paraId="796E0242" w14:textId="77777777" w:rsidR="009D4357" w:rsidRPr="00434957" w:rsidRDefault="009D4357" w:rsidP="00CE3F2A">
            <w:pPr>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2024</w:t>
            </w:r>
          </w:p>
        </w:tc>
        <w:tc>
          <w:tcPr>
            <w:tcW w:w="868" w:type="dxa"/>
            <w:vAlign w:val="center"/>
          </w:tcPr>
          <w:p w14:paraId="0C598DEC" w14:textId="77777777" w:rsidR="009D4357" w:rsidRPr="00434957" w:rsidRDefault="009D4357" w:rsidP="00CE3F2A">
            <w:pPr>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2025</w:t>
            </w:r>
          </w:p>
        </w:tc>
        <w:tc>
          <w:tcPr>
            <w:tcW w:w="757" w:type="dxa"/>
          </w:tcPr>
          <w:p w14:paraId="62A65898" w14:textId="77777777" w:rsidR="009D4357" w:rsidRPr="00434957" w:rsidRDefault="009D4357" w:rsidP="00CE3F2A">
            <w:pPr>
              <w:jc w:val="center"/>
              <w:rPr>
                <w:b/>
                <w:noProof/>
                <w:sz w:val="20"/>
                <w:lang w:eastAsia="en-GB"/>
              </w:rPr>
            </w:pPr>
            <w:r w:rsidRPr="00434957">
              <w:rPr>
                <w:noProof/>
                <w:sz w:val="20"/>
                <w:lang w:eastAsia="en-GB"/>
              </w:rPr>
              <w:t>Year</w:t>
            </w:r>
            <w:r w:rsidRPr="00434957">
              <w:rPr>
                <w:noProof/>
                <w:lang w:eastAsia="en-GB"/>
              </w:rPr>
              <w:br/>
            </w:r>
            <w:r w:rsidRPr="00434957">
              <w:rPr>
                <w:b/>
                <w:noProof/>
                <w:sz w:val="20"/>
                <w:lang w:eastAsia="en-GB"/>
              </w:rPr>
              <w:t>2026</w:t>
            </w:r>
          </w:p>
        </w:tc>
        <w:tc>
          <w:tcPr>
            <w:tcW w:w="850" w:type="dxa"/>
          </w:tcPr>
          <w:p w14:paraId="22A1B276" w14:textId="77777777" w:rsidR="009D4357" w:rsidRPr="00434957" w:rsidRDefault="009D4357" w:rsidP="00CE3F2A">
            <w:pPr>
              <w:jc w:val="center"/>
              <w:rPr>
                <w:b/>
                <w:noProof/>
                <w:sz w:val="20"/>
                <w:lang w:eastAsia="en-GB"/>
              </w:rPr>
            </w:pPr>
            <w:r w:rsidRPr="00434957">
              <w:rPr>
                <w:noProof/>
                <w:sz w:val="20"/>
                <w:lang w:eastAsia="en-GB"/>
              </w:rPr>
              <w:t>Year</w:t>
            </w:r>
            <w:r w:rsidRPr="00434957">
              <w:rPr>
                <w:noProof/>
                <w:lang w:eastAsia="en-GB"/>
              </w:rPr>
              <w:br/>
            </w:r>
            <w:r w:rsidRPr="00434957">
              <w:rPr>
                <w:b/>
                <w:noProof/>
                <w:sz w:val="20"/>
                <w:lang w:eastAsia="en-GB"/>
              </w:rPr>
              <w:t>2027</w:t>
            </w:r>
          </w:p>
        </w:tc>
        <w:tc>
          <w:tcPr>
            <w:tcW w:w="1418" w:type="dxa"/>
            <w:vAlign w:val="center"/>
          </w:tcPr>
          <w:p w14:paraId="30481A48" w14:textId="77777777" w:rsidR="009D4357" w:rsidRPr="00434957" w:rsidRDefault="009D4357" w:rsidP="00CE3F2A">
            <w:pPr>
              <w:jc w:val="center"/>
              <w:rPr>
                <w:b/>
                <w:noProof/>
                <w:sz w:val="20"/>
                <w:lang w:eastAsia="en-GB"/>
              </w:rPr>
            </w:pPr>
            <w:r w:rsidRPr="00434957">
              <w:rPr>
                <w:b/>
                <w:noProof/>
                <w:sz w:val="20"/>
                <w:lang w:eastAsia="en-GB"/>
              </w:rPr>
              <w:t>TOTAL</w:t>
            </w:r>
          </w:p>
        </w:tc>
      </w:tr>
      <w:tr w:rsidR="009D4357" w:rsidRPr="00434957" w14:paraId="065492EE" w14:textId="77777777" w:rsidTr="00CE3F2A">
        <w:trPr>
          <w:trHeight w:val="277"/>
        </w:trPr>
        <w:tc>
          <w:tcPr>
            <w:tcW w:w="3600" w:type="dxa"/>
            <w:vMerge w:val="restart"/>
            <w:vAlign w:val="center"/>
          </w:tcPr>
          <w:p w14:paraId="7C5425A1" w14:textId="77777777" w:rsidR="009D4357" w:rsidRPr="00434957" w:rsidRDefault="009D4357" w:rsidP="00CE3F2A">
            <w:pPr>
              <w:rPr>
                <w:noProof/>
                <w:lang w:eastAsia="en-GB"/>
              </w:rPr>
            </w:pPr>
            <w:r w:rsidRPr="00434957">
              <w:rPr>
                <w:noProof/>
                <w:sz w:val="20"/>
                <w:lang w:eastAsia="en-GB"/>
              </w:rPr>
              <w:t>Title 1:</w:t>
            </w:r>
            <w:r>
              <w:rPr>
                <w:noProof/>
                <w:sz w:val="20"/>
                <w:lang w:eastAsia="en-GB"/>
              </w:rPr>
              <w:t xml:space="preserve"> Staff expenditure</w:t>
            </w:r>
          </w:p>
        </w:tc>
        <w:tc>
          <w:tcPr>
            <w:tcW w:w="1503" w:type="dxa"/>
            <w:vAlign w:val="center"/>
          </w:tcPr>
          <w:p w14:paraId="43347F09" w14:textId="77777777" w:rsidR="009D4357" w:rsidRPr="00434957" w:rsidRDefault="009D4357" w:rsidP="00CE3F2A">
            <w:pPr>
              <w:spacing w:before="20" w:after="20"/>
              <w:rPr>
                <w:noProof/>
                <w:lang w:eastAsia="en-GB"/>
              </w:rPr>
            </w:pPr>
            <w:r w:rsidRPr="00434957">
              <w:rPr>
                <w:noProof/>
                <w:sz w:val="18"/>
                <w:lang w:eastAsia="en-GB"/>
              </w:rPr>
              <w:t>Commitments</w:t>
            </w:r>
          </w:p>
        </w:tc>
        <w:tc>
          <w:tcPr>
            <w:tcW w:w="591" w:type="dxa"/>
            <w:vAlign w:val="center"/>
          </w:tcPr>
          <w:p w14:paraId="4FFA4553" w14:textId="77777777" w:rsidR="009D4357" w:rsidRPr="00434957" w:rsidRDefault="009D4357" w:rsidP="00CE3F2A">
            <w:pPr>
              <w:spacing w:before="20" w:after="20"/>
              <w:jc w:val="center"/>
              <w:rPr>
                <w:noProof/>
                <w:sz w:val="14"/>
                <w:lang w:eastAsia="en-GB"/>
              </w:rPr>
            </w:pPr>
            <w:r w:rsidRPr="00434957">
              <w:rPr>
                <w:noProof/>
                <w:sz w:val="14"/>
                <w:lang w:eastAsia="en-GB"/>
              </w:rPr>
              <w:t>(1)</w:t>
            </w:r>
          </w:p>
        </w:tc>
        <w:tc>
          <w:tcPr>
            <w:tcW w:w="868" w:type="dxa"/>
            <w:vAlign w:val="center"/>
          </w:tcPr>
          <w:p w14:paraId="4F425ED0" w14:textId="77777777" w:rsidR="009D4357" w:rsidRPr="00434957" w:rsidRDefault="009D4357" w:rsidP="00CE3F2A">
            <w:pPr>
              <w:spacing w:before="20" w:after="20"/>
              <w:jc w:val="right"/>
              <w:rPr>
                <w:noProof/>
                <w:sz w:val="20"/>
                <w:lang w:eastAsia="en-GB"/>
              </w:rPr>
            </w:pPr>
          </w:p>
        </w:tc>
        <w:tc>
          <w:tcPr>
            <w:tcW w:w="868" w:type="dxa"/>
            <w:vAlign w:val="center"/>
          </w:tcPr>
          <w:p w14:paraId="403C2D5A" w14:textId="77777777" w:rsidR="009D4357" w:rsidRPr="00434957" w:rsidRDefault="009D4357" w:rsidP="00CE3F2A">
            <w:pPr>
              <w:spacing w:before="20" w:after="20"/>
              <w:jc w:val="right"/>
              <w:rPr>
                <w:noProof/>
                <w:sz w:val="20"/>
                <w:lang w:eastAsia="en-GB"/>
              </w:rPr>
            </w:pPr>
            <w:r>
              <w:rPr>
                <w:noProof/>
                <w:sz w:val="20"/>
                <w:lang w:eastAsia="en-GB"/>
              </w:rPr>
              <w:t>0.456</w:t>
            </w:r>
          </w:p>
        </w:tc>
        <w:tc>
          <w:tcPr>
            <w:tcW w:w="868" w:type="dxa"/>
            <w:vAlign w:val="center"/>
          </w:tcPr>
          <w:p w14:paraId="5FA49CBA" w14:textId="77777777" w:rsidR="009D4357" w:rsidRPr="00434957" w:rsidRDefault="009D4357" w:rsidP="00CE3F2A">
            <w:pPr>
              <w:spacing w:before="20" w:after="20"/>
              <w:jc w:val="right"/>
              <w:rPr>
                <w:noProof/>
                <w:sz w:val="20"/>
                <w:lang w:eastAsia="en-GB"/>
              </w:rPr>
            </w:pPr>
            <w:r>
              <w:rPr>
                <w:noProof/>
                <w:sz w:val="20"/>
                <w:lang w:eastAsia="en-GB"/>
              </w:rPr>
              <w:t>0.988</w:t>
            </w:r>
          </w:p>
        </w:tc>
        <w:tc>
          <w:tcPr>
            <w:tcW w:w="757" w:type="dxa"/>
          </w:tcPr>
          <w:p w14:paraId="491D6CE7" w14:textId="77777777" w:rsidR="009D4357" w:rsidRPr="00434957" w:rsidRDefault="009D4357" w:rsidP="00CE3F2A">
            <w:pPr>
              <w:spacing w:before="20" w:after="20"/>
              <w:jc w:val="right"/>
              <w:rPr>
                <w:b/>
                <w:noProof/>
                <w:sz w:val="20"/>
                <w:lang w:eastAsia="en-GB"/>
              </w:rPr>
            </w:pPr>
            <w:r w:rsidRPr="00EF028C">
              <w:rPr>
                <w:noProof/>
                <w:sz w:val="20"/>
                <w:lang w:eastAsia="en-GB"/>
              </w:rPr>
              <w:t>1.52</w:t>
            </w:r>
          </w:p>
        </w:tc>
        <w:tc>
          <w:tcPr>
            <w:tcW w:w="850" w:type="dxa"/>
          </w:tcPr>
          <w:p w14:paraId="08E7B1E3" w14:textId="77777777" w:rsidR="009D4357" w:rsidRPr="00434957" w:rsidRDefault="009D4357" w:rsidP="00CE3F2A">
            <w:pPr>
              <w:spacing w:before="20" w:after="20"/>
              <w:jc w:val="right"/>
              <w:rPr>
                <w:b/>
                <w:noProof/>
                <w:sz w:val="20"/>
                <w:lang w:eastAsia="en-GB"/>
              </w:rPr>
            </w:pPr>
            <w:r w:rsidRPr="00EF028C">
              <w:rPr>
                <w:noProof/>
                <w:sz w:val="20"/>
                <w:lang w:eastAsia="en-GB"/>
              </w:rPr>
              <w:t>1.45</w:t>
            </w:r>
          </w:p>
        </w:tc>
        <w:tc>
          <w:tcPr>
            <w:tcW w:w="1418" w:type="dxa"/>
            <w:vAlign w:val="center"/>
          </w:tcPr>
          <w:p w14:paraId="3BA00E62" w14:textId="77777777" w:rsidR="009D4357" w:rsidRPr="00434957" w:rsidRDefault="009D4357" w:rsidP="00CE3F2A">
            <w:pPr>
              <w:spacing w:before="20" w:after="20"/>
              <w:jc w:val="right"/>
              <w:rPr>
                <w:b/>
                <w:noProof/>
                <w:sz w:val="20"/>
                <w:lang w:eastAsia="en-GB"/>
              </w:rPr>
            </w:pPr>
            <w:r>
              <w:rPr>
                <w:b/>
                <w:noProof/>
                <w:sz w:val="20"/>
                <w:lang w:eastAsia="en-GB"/>
              </w:rPr>
              <w:t>4.414</w:t>
            </w:r>
          </w:p>
        </w:tc>
      </w:tr>
      <w:tr w:rsidR="009D4357" w:rsidRPr="00434957" w14:paraId="110B7949" w14:textId="77777777" w:rsidTr="00CE3F2A">
        <w:tc>
          <w:tcPr>
            <w:tcW w:w="3600" w:type="dxa"/>
            <w:vMerge/>
            <w:vAlign w:val="center"/>
          </w:tcPr>
          <w:p w14:paraId="75957951" w14:textId="77777777" w:rsidR="009D4357" w:rsidRPr="00434957" w:rsidRDefault="009D4357" w:rsidP="00CE3F2A">
            <w:pPr>
              <w:rPr>
                <w:noProof/>
                <w:lang w:eastAsia="en-GB"/>
              </w:rPr>
            </w:pPr>
          </w:p>
        </w:tc>
        <w:tc>
          <w:tcPr>
            <w:tcW w:w="1503" w:type="dxa"/>
            <w:vAlign w:val="center"/>
          </w:tcPr>
          <w:p w14:paraId="025C15DC" w14:textId="77777777" w:rsidR="009D4357" w:rsidRPr="00434957" w:rsidRDefault="009D4357" w:rsidP="00CE3F2A">
            <w:pPr>
              <w:spacing w:before="20" w:after="20"/>
              <w:rPr>
                <w:noProof/>
                <w:sz w:val="18"/>
                <w:lang w:eastAsia="en-GB"/>
              </w:rPr>
            </w:pPr>
            <w:r w:rsidRPr="00434957">
              <w:rPr>
                <w:noProof/>
                <w:sz w:val="18"/>
                <w:lang w:eastAsia="en-GB"/>
              </w:rPr>
              <w:t>Payments</w:t>
            </w:r>
          </w:p>
        </w:tc>
        <w:tc>
          <w:tcPr>
            <w:tcW w:w="591" w:type="dxa"/>
            <w:vAlign w:val="center"/>
          </w:tcPr>
          <w:p w14:paraId="21BF4F19" w14:textId="77777777" w:rsidR="009D4357" w:rsidRPr="00434957" w:rsidRDefault="009D4357" w:rsidP="00CE3F2A">
            <w:pPr>
              <w:spacing w:before="20" w:after="20"/>
              <w:jc w:val="center"/>
              <w:rPr>
                <w:noProof/>
                <w:sz w:val="14"/>
                <w:lang w:eastAsia="en-GB"/>
              </w:rPr>
            </w:pPr>
            <w:r w:rsidRPr="00434957">
              <w:rPr>
                <w:noProof/>
                <w:sz w:val="14"/>
                <w:lang w:eastAsia="en-GB"/>
              </w:rPr>
              <w:t>(2)</w:t>
            </w:r>
          </w:p>
        </w:tc>
        <w:tc>
          <w:tcPr>
            <w:tcW w:w="868" w:type="dxa"/>
            <w:vAlign w:val="center"/>
          </w:tcPr>
          <w:p w14:paraId="434A3213" w14:textId="77777777" w:rsidR="009D4357" w:rsidRPr="00434957" w:rsidRDefault="009D4357" w:rsidP="00CE3F2A">
            <w:pPr>
              <w:spacing w:before="20" w:after="20"/>
              <w:jc w:val="right"/>
              <w:rPr>
                <w:noProof/>
                <w:sz w:val="20"/>
                <w:lang w:eastAsia="en-GB"/>
              </w:rPr>
            </w:pPr>
          </w:p>
        </w:tc>
        <w:tc>
          <w:tcPr>
            <w:tcW w:w="868" w:type="dxa"/>
            <w:vAlign w:val="center"/>
          </w:tcPr>
          <w:p w14:paraId="106FD208" w14:textId="77777777" w:rsidR="009D4357" w:rsidRPr="00434957" w:rsidRDefault="009D4357" w:rsidP="00CE3F2A">
            <w:pPr>
              <w:spacing w:before="20" w:after="20"/>
              <w:jc w:val="right"/>
              <w:rPr>
                <w:noProof/>
                <w:sz w:val="20"/>
                <w:lang w:eastAsia="en-GB"/>
              </w:rPr>
            </w:pPr>
            <w:r>
              <w:rPr>
                <w:noProof/>
                <w:sz w:val="20"/>
                <w:lang w:eastAsia="en-GB"/>
              </w:rPr>
              <w:t>0.456</w:t>
            </w:r>
          </w:p>
        </w:tc>
        <w:tc>
          <w:tcPr>
            <w:tcW w:w="868" w:type="dxa"/>
            <w:vAlign w:val="center"/>
          </w:tcPr>
          <w:p w14:paraId="2CD92931" w14:textId="77777777" w:rsidR="009D4357" w:rsidRPr="00434957" w:rsidRDefault="009D4357" w:rsidP="00CE3F2A">
            <w:pPr>
              <w:spacing w:before="20" w:after="20"/>
              <w:jc w:val="right"/>
              <w:rPr>
                <w:noProof/>
                <w:sz w:val="20"/>
                <w:lang w:eastAsia="en-GB"/>
              </w:rPr>
            </w:pPr>
            <w:r>
              <w:rPr>
                <w:noProof/>
                <w:sz w:val="20"/>
                <w:lang w:eastAsia="en-GB"/>
              </w:rPr>
              <w:t>0.988</w:t>
            </w:r>
          </w:p>
        </w:tc>
        <w:tc>
          <w:tcPr>
            <w:tcW w:w="757" w:type="dxa"/>
          </w:tcPr>
          <w:p w14:paraId="220DFDB1" w14:textId="77777777" w:rsidR="009D4357" w:rsidRPr="00434957" w:rsidRDefault="009D4357" w:rsidP="00CE3F2A">
            <w:pPr>
              <w:spacing w:before="20" w:after="20"/>
              <w:jc w:val="right"/>
              <w:rPr>
                <w:b/>
                <w:noProof/>
                <w:sz w:val="20"/>
                <w:lang w:eastAsia="en-GB"/>
              </w:rPr>
            </w:pPr>
            <w:r w:rsidRPr="00EF028C">
              <w:rPr>
                <w:noProof/>
                <w:sz w:val="20"/>
                <w:lang w:eastAsia="en-GB"/>
              </w:rPr>
              <w:t>1.52</w:t>
            </w:r>
          </w:p>
        </w:tc>
        <w:tc>
          <w:tcPr>
            <w:tcW w:w="850" w:type="dxa"/>
          </w:tcPr>
          <w:p w14:paraId="0DCA2E52" w14:textId="77777777" w:rsidR="009D4357" w:rsidRPr="00434957" w:rsidRDefault="009D4357" w:rsidP="00CE3F2A">
            <w:pPr>
              <w:spacing w:before="20" w:after="20"/>
              <w:jc w:val="right"/>
              <w:rPr>
                <w:b/>
                <w:noProof/>
                <w:sz w:val="20"/>
                <w:lang w:eastAsia="en-GB"/>
              </w:rPr>
            </w:pPr>
            <w:r w:rsidRPr="00EF028C">
              <w:rPr>
                <w:noProof/>
                <w:sz w:val="20"/>
                <w:lang w:eastAsia="en-GB"/>
              </w:rPr>
              <w:t>1.45</w:t>
            </w:r>
          </w:p>
        </w:tc>
        <w:tc>
          <w:tcPr>
            <w:tcW w:w="1418" w:type="dxa"/>
            <w:vAlign w:val="center"/>
          </w:tcPr>
          <w:p w14:paraId="205FAA0D" w14:textId="77777777" w:rsidR="009D4357" w:rsidRPr="00434957" w:rsidRDefault="009D4357" w:rsidP="00CE3F2A">
            <w:pPr>
              <w:spacing w:before="20" w:after="20"/>
              <w:jc w:val="right"/>
              <w:rPr>
                <w:b/>
                <w:noProof/>
                <w:sz w:val="20"/>
                <w:lang w:eastAsia="en-GB"/>
              </w:rPr>
            </w:pPr>
            <w:r>
              <w:rPr>
                <w:b/>
                <w:noProof/>
                <w:sz w:val="20"/>
                <w:lang w:eastAsia="en-GB"/>
              </w:rPr>
              <w:t>4.414</w:t>
            </w:r>
          </w:p>
        </w:tc>
      </w:tr>
      <w:tr w:rsidR="009D4357" w:rsidRPr="00434957" w14:paraId="74C20BDD" w14:textId="77777777" w:rsidTr="00CE3F2A">
        <w:tc>
          <w:tcPr>
            <w:tcW w:w="3600" w:type="dxa"/>
            <w:vMerge w:val="restart"/>
            <w:vAlign w:val="center"/>
          </w:tcPr>
          <w:p w14:paraId="0038A0B8" w14:textId="77777777" w:rsidR="009D4357" w:rsidRPr="00434957" w:rsidRDefault="009D4357" w:rsidP="00CE3F2A">
            <w:pPr>
              <w:rPr>
                <w:noProof/>
                <w:lang w:eastAsia="en-GB"/>
              </w:rPr>
            </w:pPr>
            <w:r w:rsidRPr="00434957">
              <w:rPr>
                <w:noProof/>
                <w:sz w:val="20"/>
                <w:lang w:eastAsia="en-GB"/>
              </w:rPr>
              <w:t>Title 2:</w:t>
            </w:r>
            <w:r>
              <w:rPr>
                <w:noProof/>
                <w:sz w:val="20"/>
                <w:lang w:eastAsia="en-GB"/>
              </w:rPr>
              <w:t xml:space="preserve"> Infrastructure and operating expenditure</w:t>
            </w:r>
          </w:p>
        </w:tc>
        <w:tc>
          <w:tcPr>
            <w:tcW w:w="1503" w:type="dxa"/>
            <w:vAlign w:val="center"/>
          </w:tcPr>
          <w:p w14:paraId="177A52FE" w14:textId="77777777" w:rsidR="009D4357" w:rsidRPr="00434957" w:rsidRDefault="009D4357" w:rsidP="00CE3F2A">
            <w:pPr>
              <w:spacing w:before="20" w:after="20"/>
              <w:rPr>
                <w:noProof/>
                <w:sz w:val="18"/>
                <w:lang w:eastAsia="en-GB"/>
              </w:rPr>
            </w:pPr>
            <w:r w:rsidRPr="00434957">
              <w:rPr>
                <w:noProof/>
                <w:sz w:val="18"/>
                <w:lang w:eastAsia="en-GB"/>
              </w:rPr>
              <w:t>Commitments</w:t>
            </w:r>
          </w:p>
        </w:tc>
        <w:tc>
          <w:tcPr>
            <w:tcW w:w="591" w:type="dxa"/>
            <w:vAlign w:val="center"/>
          </w:tcPr>
          <w:p w14:paraId="4ACE8AD4" w14:textId="77777777" w:rsidR="009D4357" w:rsidRPr="00434957" w:rsidRDefault="009D4357" w:rsidP="00CE3F2A">
            <w:pPr>
              <w:spacing w:before="20" w:after="20"/>
              <w:jc w:val="center"/>
              <w:rPr>
                <w:noProof/>
                <w:sz w:val="14"/>
                <w:lang w:eastAsia="en-GB"/>
              </w:rPr>
            </w:pPr>
            <w:r w:rsidRPr="00434957">
              <w:rPr>
                <w:noProof/>
                <w:sz w:val="14"/>
                <w:lang w:eastAsia="en-GB"/>
              </w:rPr>
              <w:t>(1a)</w:t>
            </w:r>
          </w:p>
        </w:tc>
        <w:tc>
          <w:tcPr>
            <w:tcW w:w="868" w:type="dxa"/>
            <w:vAlign w:val="center"/>
          </w:tcPr>
          <w:p w14:paraId="70B0C3D5" w14:textId="77777777" w:rsidR="009D4357" w:rsidRPr="00434957" w:rsidRDefault="009D4357" w:rsidP="00CE3F2A">
            <w:pPr>
              <w:spacing w:before="20" w:after="20"/>
              <w:jc w:val="right"/>
              <w:rPr>
                <w:noProof/>
                <w:sz w:val="20"/>
                <w:lang w:eastAsia="en-GB"/>
              </w:rPr>
            </w:pPr>
          </w:p>
        </w:tc>
        <w:tc>
          <w:tcPr>
            <w:tcW w:w="868" w:type="dxa"/>
            <w:vAlign w:val="center"/>
          </w:tcPr>
          <w:p w14:paraId="4855A61C" w14:textId="77777777" w:rsidR="009D4357" w:rsidRPr="00434957" w:rsidRDefault="009D4357" w:rsidP="00CE3F2A">
            <w:pPr>
              <w:spacing w:before="20" w:after="20"/>
              <w:jc w:val="right"/>
              <w:rPr>
                <w:noProof/>
                <w:sz w:val="20"/>
                <w:lang w:eastAsia="en-GB"/>
              </w:rPr>
            </w:pPr>
            <w:r>
              <w:rPr>
                <w:noProof/>
                <w:sz w:val="20"/>
                <w:lang w:eastAsia="en-GB"/>
              </w:rPr>
              <w:t>4.15</w:t>
            </w:r>
          </w:p>
        </w:tc>
        <w:tc>
          <w:tcPr>
            <w:tcW w:w="868" w:type="dxa"/>
            <w:vAlign w:val="center"/>
          </w:tcPr>
          <w:p w14:paraId="18D25106" w14:textId="77777777" w:rsidR="009D4357" w:rsidRPr="00434957" w:rsidRDefault="009D4357" w:rsidP="00CE3F2A">
            <w:pPr>
              <w:spacing w:before="20" w:after="20"/>
              <w:jc w:val="right"/>
              <w:rPr>
                <w:noProof/>
                <w:sz w:val="20"/>
                <w:lang w:eastAsia="en-GB"/>
              </w:rPr>
            </w:pPr>
            <w:r>
              <w:rPr>
                <w:noProof/>
                <w:sz w:val="20"/>
                <w:lang w:eastAsia="en-GB"/>
              </w:rPr>
              <w:t>3.55</w:t>
            </w:r>
          </w:p>
        </w:tc>
        <w:tc>
          <w:tcPr>
            <w:tcW w:w="757" w:type="dxa"/>
          </w:tcPr>
          <w:p w14:paraId="577B0648" w14:textId="77777777" w:rsidR="009D4357" w:rsidRPr="00E02D24" w:rsidRDefault="009D4357" w:rsidP="00CE3F2A">
            <w:pPr>
              <w:spacing w:before="20" w:after="20"/>
              <w:jc w:val="right"/>
              <w:rPr>
                <w:noProof/>
                <w:sz w:val="20"/>
                <w:lang w:eastAsia="en-GB"/>
              </w:rPr>
            </w:pPr>
            <w:r w:rsidRPr="00EF028C">
              <w:rPr>
                <w:noProof/>
                <w:sz w:val="20"/>
                <w:lang w:eastAsia="en-GB"/>
              </w:rPr>
              <w:t>1.4</w:t>
            </w:r>
          </w:p>
        </w:tc>
        <w:tc>
          <w:tcPr>
            <w:tcW w:w="850" w:type="dxa"/>
          </w:tcPr>
          <w:p w14:paraId="25ACCD5A" w14:textId="77777777" w:rsidR="009D4357" w:rsidRPr="00E02D24" w:rsidRDefault="009D4357" w:rsidP="00CE3F2A">
            <w:pPr>
              <w:spacing w:before="20" w:after="20"/>
              <w:jc w:val="right"/>
              <w:rPr>
                <w:noProof/>
                <w:sz w:val="20"/>
                <w:lang w:eastAsia="en-GB"/>
              </w:rPr>
            </w:pPr>
            <w:r w:rsidRPr="00EF028C">
              <w:rPr>
                <w:noProof/>
                <w:sz w:val="20"/>
                <w:lang w:eastAsia="en-GB"/>
              </w:rPr>
              <w:t>0</w:t>
            </w:r>
          </w:p>
        </w:tc>
        <w:tc>
          <w:tcPr>
            <w:tcW w:w="1418" w:type="dxa"/>
            <w:vAlign w:val="center"/>
          </w:tcPr>
          <w:p w14:paraId="714EBD53" w14:textId="77777777" w:rsidR="009D4357" w:rsidRPr="00434957" w:rsidRDefault="009D4357" w:rsidP="00CE3F2A">
            <w:pPr>
              <w:spacing w:before="20" w:after="20"/>
              <w:jc w:val="right"/>
              <w:rPr>
                <w:b/>
                <w:noProof/>
                <w:sz w:val="20"/>
                <w:lang w:eastAsia="en-GB"/>
              </w:rPr>
            </w:pPr>
            <w:r>
              <w:rPr>
                <w:b/>
                <w:noProof/>
                <w:sz w:val="20"/>
                <w:lang w:eastAsia="en-GB"/>
              </w:rPr>
              <w:t>9.1</w:t>
            </w:r>
          </w:p>
        </w:tc>
      </w:tr>
      <w:tr w:rsidR="009D4357" w:rsidRPr="00434957" w14:paraId="3EECFFD7" w14:textId="77777777" w:rsidTr="00CE3F2A">
        <w:tc>
          <w:tcPr>
            <w:tcW w:w="3600" w:type="dxa"/>
            <w:vMerge/>
            <w:vAlign w:val="center"/>
          </w:tcPr>
          <w:p w14:paraId="534E2115" w14:textId="77777777" w:rsidR="009D4357" w:rsidRPr="00434957" w:rsidRDefault="009D4357" w:rsidP="00CE3F2A">
            <w:pPr>
              <w:rPr>
                <w:noProof/>
                <w:lang w:eastAsia="en-GB"/>
              </w:rPr>
            </w:pPr>
          </w:p>
        </w:tc>
        <w:tc>
          <w:tcPr>
            <w:tcW w:w="1503" w:type="dxa"/>
            <w:vAlign w:val="center"/>
          </w:tcPr>
          <w:p w14:paraId="77580FF2" w14:textId="77777777" w:rsidR="009D4357" w:rsidRPr="00434957" w:rsidRDefault="009D4357" w:rsidP="00CE3F2A">
            <w:pPr>
              <w:spacing w:before="20" w:after="20"/>
              <w:rPr>
                <w:noProof/>
                <w:sz w:val="18"/>
                <w:lang w:eastAsia="en-GB"/>
              </w:rPr>
            </w:pPr>
            <w:r w:rsidRPr="00434957">
              <w:rPr>
                <w:noProof/>
                <w:sz w:val="18"/>
                <w:lang w:eastAsia="en-GB"/>
              </w:rPr>
              <w:t>Payments</w:t>
            </w:r>
          </w:p>
        </w:tc>
        <w:tc>
          <w:tcPr>
            <w:tcW w:w="591" w:type="dxa"/>
            <w:vAlign w:val="center"/>
          </w:tcPr>
          <w:p w14:paraId="0868B7A5" w14:textId="77777777" w:rsidR="009D4357" w:rsidRPr="00434957" w:rsidRDefault="009D4357" w:rsidP="00CE3F2A">
            <w:pPr>
              <w:spacing w:before="20" w:after="20"/>
              <w:jc w:val="center"/>
              <w:rPr>
                <w:noProof/>
                <w:sz w:val="14"/>
                <w:lang w:eastAsia="en-GB"/>
              </w:rPr>
            </w:pPr>
            <w:r w:rsidRPr="00434957">
              <w:rPr>
                <w:noProof/>
                <w:sz w:val="14"/>
                <w:lang w:eastAsia="en-GB"/>
              </w:rPr>
              <w:t>(2a)</w:t>
            </w:r>
          </w:p>
        </w:tc>
        <w:tc>
          <w:tcPr>
            <w:tcW w:w="868" w:type="dxa"/>
            <w:vAlign w:val="center"/>
          </w:tcPr>
          <w:p w14:paraId="3459EAD1" w14:textId="77777777" w:rsidR="009D4357" w:rsidRPr="00434957" w:rsidRDefault="009D4357" w:rsidP="00CE3F2A">
            <w:pPr>
              <w:spacing w:before="20" w:after="20"/>
              <w:jc w:val="right"/>
              <w:rPr>
                <w:noProof/>
                <w:sz w:val="20"/>
                <w:lang w:eastAsia="en-GB"/>
              </w:rPr>
            </w:pPr>
          </w:p>
        </w:tc>
        <w:tc>
          <w:tcPr>
            <w:tcW w:w="868" w:type="dxa"/>
            <w:vAlign w:val="center"/>
          </w:tcPr>
          <w:p w14:paraId="78921E67" w14:textId="77777777" w:rsidR="009D4357" w:rsidRPr="00434957" w:rsidRDefault="009D4357" w:rsidP="00CE3F2A">
            <w:pPr>
              <w:spacing w:before="20" w:after="20"/>
              <w:jc w:val="right"/>
              <w:rPr>
                <w:noProof/>
                <w:sz w:val="20"/>
                <w:lang w:eastAsia="en-GB"/>
              </w:rPr>
            </w:pPr>
            <w:r>
              <w:rPr>
                <w:noProof/>
                <w:sz w:val="20"/>
                <w:lang w:eastAsia="en-GB"/>
              </w:rPr>
              <w:t>4.15</w:t>
            </w:r>
          </w:p>
        </w:tc>
        <w:tc>
          <w:tcPr>
            <w:tcW w:w="868" w:type="dxa"/>
            <w:vAlign w:val="center"/>
          </w:tcPr>
          <w:p w14:paraId="18A54464" w14:textId="77777777" w:rsidR="009D4357" w:rsidRPr="00434957" w:rsidRDefault="009D4357" w:rsidP="00CE3F2A">
            <w:pPr>
              <w:spacing w:before="20" w:after="20"/>
              <w:jc w:val="right"/>
              <w:rPr>
                <w:noProof/>
                <w:sz w:val="20"/>
                <w:lang w:eastAsia="en-GB"/>
              </w:rPr>
            </w:pPr>
            <w:r>
              <w:rPr>
                <w:noProof/>
                <w:sz w:val="20"/>
                <w:lang w:eastAsia="en-GB"/>
              </w:rPr>
              <w:t>3.55</w:t>
            </w:r>
          </w:p>
        </w:tc>
        <w:tc>
          <w:tcPr>
            <w:tcW w:w="757" w:type="dxa"/>
            <w:vAlign w:val="center"/>
          </w:tcPr>
          <w:p w14:paraId="173D6442" w14:textId="77777777" w:rsidR="009D4357" w:rsidRPr="00434957" w:rsidRDefault="009D4357" w:rsidP="00CE3F2A">
            <w:pPr>
              <w:spacing w:before="20" w:after="20"/>
              <w:jc w:val="right"/>
              <w:rPr>
                <w:b/>
                <w:noProof/>
                <w:sz w:val="20"/>
                <w:lang w:eastAsia="en-GB"/>
              </w:rPr>
            </w:pPr>
            <w:r w:rsidRPr="00EF028C">
              <w:rPr>
                <w:noProof/>
                <w:sz w:val="20"/>
                <w:lang w:eastAsia="en-GB"/>
              </w:rPr>
              <w:t>1.4</w:t>
            </w:r>
          </w:p>
        </w:tc>
        <w:tc>
          <w:tcPr>
            <w:tcW w:w="850" w:type="dxa"/>
            <w:vAlign w:val="center"/>
          </w:tcPr>
          <w:p w14:paraId="293BE6BC" w14:textId="77777777" w:rsidR="009D4357" w:rsidRPr="00434957" w:rsidRDefault="009D4357" w:rsidP="00CE3F2A">
            <w:pPr>
              <w:spacing w:before="20" w:after="20"/>
              <w:jc w:val="right"/>
              <w:rPr>
                <w:b/>
                <w:noProof/>
                <w:sz w:val="20"/>
                <w:lang w:eastAsia="en-GB"/>
              </w:rPr>
            </w:pPr>
            <w:r w:rsidRPr="00EF028C">
              <w:rPr>
                <w:noProof/>
                <w:sz w:val="20"/>
                <w:lang w:eastAsia="en-GB"/>
              </w:rPr>
              <w:t>0</w:t>
            </w:r>
          </w:p>
        </w:tc>
        <w:tc>
          <w:tcPr>
            <w:tcW w:w="1418" w:type="dxa"/>
            <w:vAlign w:val="center"/>
          </w:tcPr>
          <w:p w14:paraId="7A0F7AF5" w14:textId="77777777" w:rsidR="009D4357" w:rsidRPr="00434957" w:rsidRDefault="009D4357" w:rsidP="00CE3F2A">
            <w:pPr>
              <w:spacing w:before="20" w:after="20"/>
              <w:jc w:val="right"/>
              <w:rPr>
                <w:b/>
                <w:noProof/>
                <w:sz w:val="20"/>
                <w:lang w:eastAsia="en-GB"/>
              </w:rPr>
            </w:pPr>
            <w:r>
              <w:rPr>
                <w:b/>
                <w:noProof/>
                <w:sz w:val="20"/>
                <w:lang w:eastAsia="en-GB"/>
              </w:rPr>
              <w:t>9.1</w:t>
            </w:r>
          </w:p>
        </w:tc>
      </w:tr>
      <w:tr w:rsidR="009D4357" w:rsidRPr="00434957" w14:paraId="29B683C2" w14:textId="77777777" w:rsidTr="00CE3F2A">
        <w:trPr>
          <w:trHeight w:val="319"/>
        </w:trPr>
        <w:tc>
          <w:tcPr>
            <w:tcW w:w="3600" w:type="dxa"/>
            <w:vMerge w:val="restart"/>
            <w:vAlign w:val="center"/>
          </w:tcPr>
          <w:p w14:paraId="251FB83E" w14:textId="77777777" w:rsidR="009D4357" w:rsidRPr="00434957" w:rsidRDefault="009D4357" w:rsidP="00CE3F2A">
            <w:pPr>
              <w:spacing w:before="60" w:after="60"/>
              <w:rPr>
                <w:noProof/>
                <w:lang w:eastAsia="en-GB"/>
              </w:rPr>
            </w:pPr>
            <w:r w:rsidRPr="00434957">
              <w:rPr>
                <w:noProof/>
                <w:sz w:val="20"/>
                <w:lang w:eastAsia="en-GB"/>
              </w:rPr>
              <w:t>Title 3:</w:t>
            </w:r>
            <w:r>
              <w:rPr>
                <w:noProof/>
                <w:sz w:val="20"/>
                <w:lang w:eastAsia="en-GB"/>
              </w:rPr>
              <w:t xml:space="preserve"> Operational expenses</w:t>
            </w:r>
          </w:p>
        </w:tc>
        <w:tc>
          <w:tcPr>
            <w:tcW w:w="1503" w:type="dxa"/>
            <w:vAlign w:val="center"/>
          </w:tcPr>
          <w:p w14:paraId="4CEBF3E5" w14:textId="77777777" w:rsidR="009D4357" w:rsidRPr="00434957" w:rsidRDefault="009D4357" w:rsidP="00CE3F2A">
            <w:pPr>
              <w:spacing w:before="40" w:after="40"/>
              <w:rPr>
                <w:noProof/>
                <w:sz w:val="18"/>
                <w:lang w:eastAsia="en-GB"/>
              </w:rPr>
            </w:pPr>
            <w:r w:rsidRPr="00434957">
              <w:rPr>
                <w:noProof/>
                <w:sz w:val="18"/>
                <w:lang w:eastAsia="en-GB"/>
              </w:rPr>
              <w:t>Commitments</w:t>
            </w:r>
          </w:p>
        </w:tc>
        <w:tc>
          <w:tcPr>
            <w:tcW w:w="591" w:type="dxa"/>
            <w:vAlign w:val="center"/>
          </w:tcPr>
          <w:p w14:paraId="12F87C13" w14:textId="77777777" w:rsidR="009D4357" w:rsidRPr="00434957" w:rsidRDefault="009D4357" w:rsidP="00CE3F2A">
            <w:pPr>
              <w:spacing w:before="40" w:after="40"/>
              <w:jc w:val="center"/>
              <w:rPr>
                <w:noProof/>
                <w:sz w:val="14"/>
                <w:lang w:eastAsia="en-GB"/>
              </w:rPr>
            </w:pPr>
            <w:r w:rsidRPr="00434957">
              <w:rPr>
                <w:noProof/>
                <w:sz w:val="14"/>
                <w:lang w:eastAsia="en-GB"/>
              </w:rPr>
              <w:t>(3a)</w:t>
            </w:r>
          </w:p>
        </w:tc>
        <w:tc>
          <w:tcPr>
            <w:tcW w:w="868" w:type="dxa"/>
            <w:vAlign w:val="center"/>
          </w:tcPr>
          <w:p w14:paraId="61BC9D3F" w14:textId="77777777" w:rsidR="009D4357" w:rsidRPr="00434957" w:rsidRDefault="009D4357" w:rsidP="00CE3F2A">
            <w:pPr>
              <w:spacing w:before="40" w:after="40"/>
              <w:jc w:val="right"/>
              <w:rPr>
                <w:b/>
                <w:noProof/>
                <w:sz w:val="20"/>
                <w:lang w:eastAsia="en-GB"/>
              </w:rPr>
            </w:pPr>
          </w:p>
        </w:tc>
        <w:tc>
          <w:tcPr>
            <w:tcW w:w="868" w:type="dxa"/>
            <w:vAlign w:val="center"/>
          </w:tcPr>
          <w:p w14:paraId="1BE96A82" w14:textId="77777777" w:rsidR="009D4357" w:rsidRPr="00E02D24" w:rsidRDefault="009D4357" w:rsidP="00CE3F2A">
            <w:pPr>
              <w:spacing w:before="40" w:after="40"/>
              <w:jc w:val="right"/>
              <w:rPr>
                <w:noProof/>
                <w:sz w:val="20"/>
                <w:lang w:eastAsia="en-GB"/>
              </w:rPr>
            </w:pPr>
            <w:r w:rsidRPr="00E02D24">
              <w:rPr>
                <w:noProof/>
                <w:sz w:val="20"/>
                <w:lang w:eastAsia="en-GB"/>
              </w:rPr>
              <w:t>0</w:t>
            </w:r>
          </w:p>
        </w:tc>
        <w:tc>
          <w:tcPr>
            <w:tcW w:w="868" w:type="dxa"/>
            <w:vAlign w:val="center"/>
          </w:tcPr>
          <w:p w14:paraId="64A7B0ED" w14:textId="77777777" w:rsidR="009D4357" w:rsidRPr="00E02D24" w:rsidRDefault="009D4357" w:rsidP="00CE3F2A">
            <w:pPr>
              <w:spacing w:before="40" w:after="40"/>
              <w:jc w:val="right"/>
              <w:rPr>
                <w:noProof/>
                <w:sz w:val="20"/>
                <w:lang w:eastAsia="en-GB"/>
              </w:rPr>
            </w:pPr>
            <w:r w:rsidRPr="00E02D24">
              <w:rPr>
                <w:noProof/>
                <w:sz w:val="20"/>
                <w:lang w:eastAsia="en-GB"/>
              </w:rPr>
              <w:t>0</w:t>
            </w:r>
          </w:p>
        </w:tc>
        <w:tc>
          <w:tcPr>
            <w:tcW w:w="757" w:type="dxa"/>
          </w:tcPr>
          <w:p w14:paraId="103B5AAD" w14:textId="77777777" w:rsidR="009D4357" w:rsidRPr="00E02D24" w:rsidRDefault="009D4357" w:rsidP="00CE3F2A">
            <w:pPr>
              <w:spacing w:before="40" w:after="40"/>
              <w:jc w:val="right"/>
              <w:rPr>
                <w:noProof/>
                <w:sz w:val="20"/>
                <w:lang w:eastAsia="en-GB"/>
              </w:rPr>
            </w:pPr>
            <w:r w:rsidRPr="00E02D24">
              <w:rPr>
                <w:noProof/>
                <w:sz w:val="20"/>
                <w:lang w:eastAsia="en-GB"/>
              </w:rPr>
              <w:t>1</w:t>
            </w:r>
          </w:p>
        </w:tc>
        <w:tc>
          <w:tcPr>
            <w:tcW w:w="850" w:type="dxa"/>
          </w:tcPr>
          <w:p w14:paraId="50126BE0" w14:textId="77777777" w:rsidR="009D4357" w:rsidRPr="00E02D24" w:rsidRDefault="009D4357" w:rsidP="00CE3F2A">
            <w:pPr>
              <w:spacing w:before="40" w:after="40"/>
              <w:jc w:val="right"/>
              <w:rPr>
                <w:noProof/>
                <w:sz w:val="20"/>
                <w:lang w:eastAsia="en-GB"/>
              </w:rPr>
            </w:pPr>
            <w:r w:rsidRPr="00E02D24">
              <w:rPr>
                <w:noProof/>
                <w:sz w:val="20"/>
                <w:lang w:eastAsia="en-GB"/>
              </w:rPr>
              <w:t>1.2</w:t>
            </w:r>
          </w:p>
        </w:tc>
        <w:tc>
          <w:tcPr>
            <w:tcW w:w="1418" w:type="dxa"/>
            <w:vAlign w:val="center"/>
          </w:tcPr>
          <w:p w14:paraId="6DC13FB9" w14:textId="77777777" w:rsidR="009D4357" w:rsidRPr="00434957" w:rsidRDefault="009D4357" w:rsidP="00CE3F2A">
            <w:pPr>
              <w:spacing w:before="40" w:after="40"/>
              <w:jc w:val="right"/>
              <w:rPr>
                <w:b/>
                <w:noProof/>
                <w:sz w:val="20"/>
                <w:lang w:eastAsia="en-GB"/>
              </w:rPr>
            </w:pPr>
            <w:r>
              <w:rPr>
                <w:b/>
                <w:noProof/>
                <w:sz w:val="20"/>
                <w:lang w:eastAsia="en-GB"/>
              </w:rPr>
              <w:t>2.2</w:t>
            </w:r>
          </w:p>
        </w:tc>
      </w:tr>
      <w:tr w:rsidR="009D4357" w:rsidRPr="00434957" w14:paraId="1E2812FD" w14:textId="77777777" w:rsidTr="00CE3F2A">
        <w:trPr>
          <w:trHeight w:val="319"/>
        </w:trPr>
        <w:tc>
          <w:tcPr>
            <w:tcW w:w="3600" w:type="dxa"/>
            <w:vMerge/>
            <w:vAlign w:val="center"/>
          </w:tcPr>
          <w:p w14:paraId="59E98483" w14:textId="77777777" w:rsidR="009D4357" w:rsidRPr="00434957" w:rsidRDefault="009D4357" w:rsidP="00CE3F2A">
            <w:pPr>
              <w:spacing w:before="60" w:after="60"/>
              <w:rPr>
                <w:b/>
                <w:noProof/>
                <w:sz w:val="20"/>
                <w:lang w:eastAsia="en-GB"/>
              </w:rPr>
            </w:pPr>
          </w:p>
        </w:tc>
        <w:tc>
          <w:tcPr>
            <w:tcW w:w="1503" w:type="dxa"/>
            <w:vAlign w:val="center"/>
          </w:tcPr>
          <w:p w14:paraId="6E8D8A07" w14:textId="77777777" w:rsidR="009D4357" w:rsidRPr="00434957" w:rsidRDefault="009D4357" w:rsidP="00CE3F2A">
            <w:pPr>
              <w:spacing w:before="40" w:after="40"/>
              <w:rPr>
                <w:noProof/>
                <w:sz w:val="18"/>
                <w:lang w:eastAsia="en-GB"/>
              </w:rPr>
            </w:pPr>
            <w:r w:rsidRPr="00434957">
              <w:rPr>
                <w:noProof/>
                <w:sz w:val="18"/>
                <w:lang w:eastAsia="en-GB"/>
              </w:rPr>
              <w:t>Payments</w:t>
            </w:r>
          </w:p>
        </w:tc>
        <w:tc>
          <w:tcPr>
            <w:tcW w:w="591" w:type="dxa"/>
            <w:vAlign w:val="center"/>
          </w:tcPr>
          <w:p w14:paraId="46F512B9" w14:textId="77777777" w:rsidR="009D4357" w:rsidRPr="00434957" w:rsidRDefault="009D4357" w:rsidP="00CE3F2A">
            <w:pPr>
              <w:spacing w:before="40" w:after="40"/>
              <w:jc w:val="center"/>
              <w:rPr>
                <w:noProof/>
                <w:sz w:val="14"/>
                <w:lang w:eastAsia="en-GB"/>
              </w:rPr>
            </w:pPr>
            <w:r w:rsidRPr="00434957">
              <w:rPr>
                <w:noProof/>
                <w:sz w:val="14"/>
                <w:lang w:eastAsia="en-GB"/>
              </w:rPr>
              <w:t>(3b)</w:t>
            </w:r>
          </w:p>
        </w:tc>
        <w:tc>
          <w:tcPr>
            <w:tcW w:w="868" w:type="dxa"/>
            <w:vAlign w:val="center"/>
          </w:tcPr>
          <w:p w14:paraId="42DC1780" w14:textId="77777777" w:rsidR="009D4357" w:rsidRPr="00434957" w:rsidRDefault="009D4357" w:rsidP="00CE3F2A">
            <w:pPr>
              <w:spacing w:before="40" w:after="40"/>
              <w:jc w:val="right"/>
              <w:rPr>
                <w:b/>
                <w:noProof/>
                <w:sz w:val="20"/>
                <w:lang w:eastAsia="en-GB"/>
              </w:rPr>
            </w:pPr>
          </w:p>
        </w:tc>
        <w:tc>
          <w:tcPr>
            <w:tcW w:w="868" w:type="dxa"/>
            <w:vAlign w:val="center"/>
          </w:tcPr>
          <w:p w14:paraId="107E709B" w14:textId="77777777" w:rsidR="009D4357" w:rsidRPr="00E02D24" w:rsidRDefault="009D4357" w:rsidP="00CE3F2A">
            <w:pPr>
              <w:spacing w:before="40" w:after="40"/>
              <w:jc w:val="right"/>
              <w:rPr>
                <w:noProof/>
                <w:sz w:val="20"/>
                <w:lang w:eastAsia="en-GB"/>
              </w:rPr>
            </w:pPr>
            <w:r w:rsidRPr="00E02D24">
              <w:rPr>
                <w:noProof/>
                <w:sz w:val="20"/>
                <w:lang w:eastAsia="en-GB"/>
              </w:rPr>
              <w:t>0</w:t>
            </w:r>
          </w:p>
        </w:tc>
        <w:tc>
          <w:tcPr>
            <w:tcW w:w="868" w:type="dxa"/>
            <w:vAlign w:val="center"/>
          </w:tcPr>
          <w:p w14:paraId="5DB29B63" w14:textId="77777777" w:rsidR="009D4357" w:rsidRPr="00E02D24" w:rsidRDefault="009D4357" w:rsidP="00CE3F2A">
            <w:pPr>
              <w:spacing w:before="40" w:after="40"/>
              <w:jc w:val="right"/>
              <w:rPr>
                <w:noProof/>
                <w:sz w:val="20"/>
                <w:lang w:eastAsia="en-GB"/>
              </w:rPr>
            </w:pPr>
            <w:r w:rsidRPr="00E02D24">
              <w:rPr>
                <w:noProof/>
                <w:sz w:val="20"/>
                <w:lang w:eastAsia="en-GB"/>
              </w:rPr>
              <w:t>0</w:t>
            </w:r>
          </w:p>
        </w:tc>
        <w:tc>
          <w:tcPr>
            <w:tcW w:w="757" w:type="dxa"/>
          </w:tcPr>
          <w:p w14:paraId="27FFFDD5" w14:textId="77777777" w:rsidR="009D4357" w:rsidRPr="00E02D24" w:rsidRDefault="009D4357" w:rsidP="00CE3F2A">
            <w:pPr>
              <w:spacing w:before="40" w:after="40"/>
              <w:jc w:val="right"/>
              <w:rPr>
                <w:noProof/>
                <w:sz w:val="20"/>
                <w:lang w:eastAsia="en-GB"/>
              </w:rPr>
            </w:pPr>
            <w:r w:rsidRPr="00E02D24">
              <w:rPr>
                <w:noProof/>
                <w:sz w:val="20"/>
                <w:lang w:eastAsia="en-GB"/>
              </w:rPr>
              <w:t>1</w:t>
            </w:r>
          </w:p>
        </w:tc>
        <w:tc>
          <w:tcPr>
            <w:tcW w:w="850" w:type="dxa"/>
          </w:tcPr>
          <w:p w14:paraId="22B99831" w14:textId="77777777" w:rsidR="009D4357" w:rsidRPr="00E02D24" w:rsidRDefault="009D4357" w:rsidP="00CE3F2A">
            <w:pPr>
              <w:spacing w:before="40" w:after="40"/>
              <w:jc w:val="right"/>
              <w:rPr>
                <w:noProof/>
                <w:sz w:val="20"/>
                <w:lang w:eastAsia="en-GB"/>
              </w:rPr>
            </w:pPr>
            <w:r w:rsidRPr="00E02D24">
              <w:rPr>
                <w:noProof/>
                <w:sz w:val="20"/>
                <w:lang w:eastAsia="en-GB"/>
              </w:rPr>
              <w:t>1.2</w:t>
            </w:r>
          </w:p>
        </w:tc>
        <w:tc>
          <w:tcPr>
            <w:tcW w:w="1418" w:type="dxa"/>
            <w:vAlign w:val="center"/>
          </w:tcPr>
          <w:p w14:paraId="4510520A" w14:textId="77777777" w:rsidR="009D4357" w:rsidRPr="00434957" w:rsidRDefault="009D4357" w:rsidP="00CE3F2A">
            <w:pPr>
              <w:spacing w:before="40" w:after="40"/>
              <w:jc w:val="right"/>
              <w:rPr>
                <w:b/>
                <w:noProof/>
                <w:sz w:val="20"/>
                <w:lang w:eastAsia="en-GB"/>
              </w:rPr>
            </w:pPr>
            <w:r>
              <w:rPr>
                <w:b/>
                <w:noProof/>
                <w:sz w:val="20"/>
                <w:lang w:eastAsia="en-GB"/>
              </w:rPr>
              <w:t>2.2</w:t>
            </w:r>
          </w:p>
        </w:tc>
      </w:tr>
      <w:tr w:rsidR="009D4357" w:rsidRPr="00434957" w14:paraId="4D5FA488" w14:textId="77777777" w:rsidTr="00CE3F2A">
        <w:tc>
          <w:tcPr>
            <w:tcW w:w="3600" w:type="dxa"/>
            <w:vMerge w:val="restart"/>
            <w:vAlign w:val="center"/>
          </w:tcPr>
          <w:p w14:paraId="026D4716" w14:textId="77777777" w:rsidR="009D4357" w:rsidRPr="00E02D24" w:rsidRDefault="009D4357" w:rsidP="00CE3F2A">
            <w:pPr>
              <w:jc w:val="center"/>
              <w:rPr>
                <w:noProof/>
                <w:lang w:val="fr-BE" w:eastAsia="en-GB"/>
              </w:rPr>
            </w:pPr>
            <w:r w:rsidRPr="00E02D24">
              <w:rPr>
                <w:b/>
                <w:noProof/>
                <w:lang w:val="fr-BE" w:eastAsia="en-GB"/>
              </w:rPr>
              <w:t>TOTAL appropriations</w:t>
            </w:r>
            <w:r w:rsidRPr="00E02D24">
              <w:rPr>
                <w:noProof/>
                <w:lang w:val="fr-BE" w:eastAsia="en-GB"/>
              </w:rPr>
              <w:br/>
            </w:r>
            <w:r w:rsidRPr="00E02D24">
              <w:rPr>
                <w:b/>
                <w:noProof/>
                <w:lang w:val="fr-BE" w:eastAsia="en-GB"/>
              </w:rPr>
              <w:t>for eu-LISA</w:t>
            </w:r>
          </w:p>
        </w:tc>
        <w:tc>
          <w:tcPr>
            <w:tcW w:w="1503" w:type="dxa"/>
            <w:vAlign w:val="center"/>
          </w:tcPr>
          <w:p w14:paraId="354CBBEF" w14:textId="77777777" w:rsidR="009D4357" w:rsidRPr="00434957" w:rsidRDefault="009D4357" w:rsidP="00CE3F2A">
            <w:pPr>
              <w:rPr>
                <w:noProof/>
                <w:sz w:val="18"/>
                <w:lang w:eastAsia="en-GB"/>
              </w:rPr>
            </w:pPr>
            <w:r w:rsidRPr="00434957">
              <w:rPr>
                <w:noProof/>
                <w:sz w:val="18"/>
                <w:lang w:eastAsia="en-GB"/>
              </w:rPr>
              <w:t>Commitments</w:t>
            </w:r>
          </w:p>
        </w:tc>
        <w:tc>
          <w:tcPr>
            <w:tcW w:w="591" w:type="dxa"/>
            <w:vAlign w:val="center"/>
          </w:tcPr>
          <w:p w14:paraId="5BD2885B" w14:textId="77777777" w:rsidR="009D4357" w:rsidRPr="00434957" w:rsidRDefault="009D4357" w:rsidP="00CE3F2A">
            <w:pPr>
              <w:jc w:val="center"/>
              <w:rPr>
                <w:noProof/>
                <w:sz w:val="14"/>
                <w:lang w:eastAsia="en-GB"/>
              </w:rPr>
            </w:pPr>
            <w:r w:rsidRPr="00434957">
              <w:rPr>
                <w:noProof/>
                <w:sz w:val="14"/>
                <w:lang w:eastAsia="en-GB"/>
              </w:rPr>
              <w:t>=1+1a +3a</w:t>
            </w:r>
          </w:p>
        </w:tc>
        <w:tc>
          <w:tcPr>
            <w:tcW w:w="868" w:type="dxa"/>
            <w:vAlign w:val="center"/>
          </w:tcPr>
          <w:p w14:paraId="36C5F54F" w14:textId="77777777" w:rsidR="009D4357" w:rsidRPr="00434957" w:rsidRDefault="009D4357" w:rsidP="00CE3F2A">
            <w:pPr>
              <w:spacing w:after="0"/>
              <w:jc w:val="center"/>
              <w:rPr>
                <w:b/>
                <w:bCs/>
                <w:noProof/>
                <w:color w:val="000000"/>
                <w:sz w:val="18"/>
                <w:szCs w:val="18"/>
              </w:rPr>
            </w:pPr>
          </w:p>
        </w:tc>
        <w:tc>
          <w:tcPr>
            <w:tcW w:w="868" w:type="dxa"/>
            <w:vAlign w:val="center"/>
          </w:tcPr>
          <w:p w14:paraId="6360A0E7" w14:textId="77777777" w:rsidR="009D4357" w:rsidRPr="00434957" w:rsidRDefault="009D4357" w:rsidP="00CE3F2A">
            <w:pPr>
              <w:spacing w:after="0"/>
              <w:jc w:val="right"/>
              <w:rPr>
                <w:b/>
                <w:bCs/>
                <w:noProof/>
                <w:color w:val="000000"/>
                <w:sz w:val="18"/>
                <w:szCs w:val="18"/>
              </w:rPr>
            </w:pPr>
            <w:r>
              <w:rPr>
                <w:b/>
                <w:bCs/>
                <w:noProof/>
                <w:color w:val="000000"/>
                <w:sz w:val="18"/>
                <w:szCs w:val="18"/>
              </w:rPr>
              <w:t>4.606</w:t>
            </w:r>
          </w:p>
        </w:tc>
        <w:tc>
          <w:tcPr>
            <w:tcW w:w="868" w:type="dxa"/>
            <w:vAlign w:val="center"/>
          </w:tcPr>
          <w:p w14:paraId="0D09A985" w14:textId="77777777" w:rsidR="009D4357" w:rsidRPr="00434957" w:rsidRDefault="009D4357" w:rsidP="00CE3F2A">
            <w:pPr>
              <w:spacing w:after="0"/>
              <w:jc w:val="right"/>
              <w:rPr>
                <w:b/>
                <w:bCs/>
                <w:noProof/>
                <w:color w:val="000000"/>
                <w:sz w:val="18"/>
                <w:szCs w:val="18"/>
              </w:rPr>
            </w:pPr>
            <w:r>
              <w:rPr>
                <w:b/>
                <w:bCs/>
                <w:noProof/>
                <w:color w:val="000000"/>
                <w:sz w:val="18"/>
                <w:szCs w:val="18"/>
              </w:rPr>
              <w:t>4.538</w:t>
            </w:r>
          </w:p>
        </w:tc>
        <w:tc>
          <w:tcPr>
            <w:tcW w:w="757" w:type="dxa"/>
            <w:vAlign w:val="center"/>
          </w:tcPr>
          <w:p w14:paraId="46B90080" w14:textId="77777777" w:rsidR="009D4357" w:rsidRPr="00434957" w:rsidRDefault="009D4357" w:rsidP="00CE3F2A">
            <w:pPr>
              <w:spacing w:after="0"/>
              <w:jc w:val="right"/>
              <w:rPr>
                <w:b/>
                <w:bCs/>
                <w:noProof/>
                <w:color w:val="000000"/>
                <w:sz w:val="18"/>
                <w:szCs w:val="18"/>
              </w:rPr>
            </w:pPr>
            <w:r>
              <w:rPr>
                <w:b/>
                <w:bCs/>
                <w:noProof/>
                <w:color w:val="000000"/>
                <w:sz w:val="18"/>
                <w:szCs w:val="18"/>
              </w:rPr>
              <w:t>3.92</w:t>
            </w:r>
          </w:p>
        </w:tc>
        <w:tc>
          <w:tcPr>
            <w:tcW w:w="850" w:type="dxa"/>
            <w:vAlign w:val="center"/>
          </w:tcPr>
          <w:p w14:paraId="4254F648" w14:textId="77777777" w:rsidR="009D4357" w:rsidRPr="00434957" w:rsidRDefault="009D4357" w:rsidP="00CE3F2A">
            <w:pPr>
              <w:tabs>
                <w:tab w:val="left" w:pos="463"/>
              </w:tabs>
              <w:spacing w:before="20" w:after="20"/>
              <w:jc w:val="right"/>
              <w:rPr>
                <w:b/>
                <w:bCs/>
                <w:noProof/>
                <w:color w:val="000000"/>
                <w:sz w:val="18"/>
                <w:szCs w:val="18"/>
              </w:rPr>
            </w:pPr>
            <w:r>
              <w:rPr>
                <w:b/>
                <w:bCs/>
                <w:noProof/>
                <w:color w:val="000000"/>
                <w:sz w:val="18"/>
                <w:szCs w:val="18"/>
              </w:rPr>
              <w:t>2.65</w:t>
            </w:r>
          </w:p>
        </w:tc>
        <w:tc>
          <w:tcPr>
            <w:tcW w:w="1418" w:type="dxa"/>
            <w:vAlign w:val="center"/>
          </w:tcPr>
          <w:p w14:paraId="50790272" w14:textId="77777777" w:rsidR="009D4357" w:rsidRPr="00434957" w:rsidRDefault="009D4357" w:rsidP="00CE3F2A">
            <w:pPr>
              <w:spacing w:after="0"/>
              <w:jc w:val="right"/>
              <w:rPr>
                <w:b/>
                <w:bCs/>
                <w:noProof/>
                <w:color w:val="000000"/>
                <w:sz w:val="18"/>
                <w:szCs w:val="18"/>
              </w:rPr>
            </w:pPr>
            <w:r>
              <w:rPr>
                <w:b/>
                <w:bCs/>
                <w:noProof/>
                <w:color w:val="000000"/>
                <w:sz w:val="18"/>
                <w:szCs w:val="18"/>
              </w:rPr>
              <w:t>15.714</w:t>
            </w:r>
          </w:p>
        </w:tc>
      </w:tr>
      <w:tr w:rsidR="009D4357" w:rsidRPr="00434957" w14:paraId="1536F880" w14:textId="77777777" w:rsidTr="00CE3F2A">
        <w:tc>
          <w:tcPr>
            <w:tcW w:w="3600" w:type="dxa"/>
            <w:vMerge/>
            <w:vAlign w:val="center"/>
          </w:tcPr>
          <w:p w14:paraId="6937DC6E" w14:textId="77777777" w:rsidR="009D4357" w:rsidRPr="00434957" w:rsidRDefault="009D4357" w:rsidP="00CE3F2A">
            <w:pPr>
              <w:rPr>
                <w:b/>
                <w:noProof/>
                <w:lang w:eastAsia="en-GB"/>
              </w:rPr>
            </w:pPr>
          </w:p>
        </w:tc>
        <w:tc>
          <w:tcPr>
            <w:tcW w:w="1503" w:type="dxa"/>
            <w:vAlign w:val="center"/>
          </w:tcPr>
          <w:p w14:paraId="1F105ECD" w14:textId="77777777" w:rsidR="009D4357" w:rsidRPr="00434957" w:rsidRDefault="009D4357" w:rsidP="00CE3F2A">
            <w:pPr>
              <w:rPr>
                <w:noProof/>
                <w:sz w:val="18"/>
                <w:lang w:eastAsia="en-GB"/>
              </w:rPr>
            </w:pPr>
            <w:r w:rsidRPr="00434957">
              <w:rPr>
                <w:noProof/>
                <w:sz w:val="18"/>
                <w:lang w:eastAsia="en-GB"/>
              </w:rPr>
              <w:t>Payments</w:t>
            </w:r>
          </w:p>
        </w:tc>
        <w:tc>
          <w:tcPr>
            <w:tcW w:w="591" w:type="dxa"/>
            <w:vAlign w:val="center"/>
          </w:tcPr>
          <w:p w14:paraId="52119518" w14:textId="77777777" w:rsidR="009D4357" w:rsidRPr="00434957" w:rsidRDefault="009D4357" w:rsidP="00CE3F2A">
            <w:pPr>
              <w:jc w:val="center"/>
              <w:rPr>
                <w:noProof/>
                <w:sz w:val="14"/>
                <w:lang w:eastAsia="en-GB"/>
              </w:rPr>
            </w:pPr>
            <w:r w:rsidRPr="00434957">
              <w:rPr>
                <w:noProof/>
                <w:sz w:val="14"/>
                <w:lang w:eastAsia="en-GB"/>
              </w:rPr>
              <w:t>=2+2a</w:t>
            </w:r>
          </w:p>
          <w:p w14:paraId="0791A385" w14:textId="77777777" w:rsidR="009D4357" w:rsidRPr="00434957" w:rsidRDefault="009D4357" w:rsidP="00CE3F2A">
            <w:pPr>
              <w:jc w:val="center"/>
              <w:rPr>
                <w:noProof/>
                <w:sz w:val="14"/>
                <w:lang w:eastAsia="en-GB"/>
              </w:rPr>
            </w:pPr>
            <w:r w:rsidRPr="00434957">
              <w:rPr>
                <w:noProof/>
                <w:sz w:val="14"/>
                <w:lang w:eastAsia="en-GB"/>
              </w:rPr>
              <w:t>+3b</w:t>
            </w:r>
          </w:p>
        </w:tc>
        <w:tc>
          <w:tcPr>
            <w:tcW w:w="868" w:type="dxa"/>
            <w:vAlign w:val="center"/>
          </w:tcPr>
          <w:p w14:paraId="793AEB12" w14:textId="77777777" w:rsidR="009D4357" w:rsidRPr="00434957" w:rsidRDefault="009D4357" w:rsidP="00CE3F2A">
            <w:pPr>
              <w:spacing w:after="0"/>
              <w:jc w:val="center"/>
              <w:rPr>
                <w:b/>
                <w:bCs/>
                <w:noProof/>
                <w:color w:val="000000"/>
                <w:sz w:val="18"/>
                <w:szCs w:val="18"/>
              </w:rPr>
            </w:pPr>
          </w:p>
        </w:tc>
        <w:tc>
          <w:tcPr>
            <w:tcW w:w="868" w:type="dxa"/>
            <w:vAlign w:val="center"/>
          </w:tcPr>
          <w:p w14:paraId="645915DC" w14:textId="77777777" w:rsidR="009D4357" w:rsidRPr="00434957" w:rsidRDefault="009D4357" w:rsidP="00CE3F2A">
            <w:pPr>
              <w:spacing w:after="0"/>
              <w:jc w:val="right"/>
              <w:rPr>
                <w:b/>
                <w:bCs/>
                <w:noProof/>
                <w:color w:val="000000"/>
                <w:sz w:val="18"/>
                <w:szCs w:val="18"/>
              </w:rPr>
            </w:pPr>
            <w:r>
              <w:rPr>
                <w:b/>
                <w:bCs/>
                <w:noProof/>
                <w:color w:val="000000"/>
                <w:sz w:val="18"/>
                <w:szCs w:val="18"/>
              </w:rPr>
              <w:t>4.606</w:t>
            </w:r>
          </w:p>
        </w:tc>
        <w:tc>
          <w:tcPr>
            <w:tcW w:w="868" w:type="dxa"/>
            <w:vAlign w:val="center"/>
          </w:tcPr>
          <w:p w14:paraId="48A890BB" w14:textId="77777777" w:rsidR="009D4357" w:rsidRPr="00434957" w:rsidRDefault="009D4357" w:rsidP="00CE3F2A">
            <w:pPr>
              <w:spacing w:after="0"/>
              <w:jc w:val="right"/>
              <w:rPr>
                <w:b/>
                <w:bCs/>
                <w:noProof/>
                <w:color w:val="000000"/>
                <w:sz w:val="18"/>
                <w:szCs w:val="18"/>
              </w:rPr>
            </w:pPr>
            <w:r>
              <w:rPr>
                <w:b/>
                <w:bCs/>
                <w:noProof/>
                <w:color w:val="000000"/>
                <w:sz w:val="18"/>
                <w:szCs w:val="18"/>
              </w:rPr>
              <w:t>4.538</w:t>
            </w:r>
          </w:p>
        </w:tc>
        <w:tc>
          <w:tcPr>
            <w:tcW w:w="757" w:type="dxa"/>
            <w:vAlign w:val="center"/>
          </w:tcPr>
          <w:p w14:paraId="05C540C9" w14:textId="77777777" w:rsidR="009D4357" w:rsidRPr="00434957" w:rsidRDefault="009D4357" w:rsidP="00CE3F2A">
            <w:pPr>
              <w:spacing w:after="0"/>
              <w:jc w:val="right"/>
              <w:rPr>
                <w:b/>
                <w:bCs/>
                <w:noProof/>
                <w:color w:val="000000"/>
                <w:sz w:val="18"/>
                <w:szCs w:val="18"/>
              </w:rPr>
            </w:pPr>
            <w:r>
              <w:rPr>
                <w:b/>
                <w:bCs/>
                <w:noProof/>
                <w:color w:val="000000"/>
                <w:sz w:val="18"/>
                <w:szCs w:val="18"/>
              </w:rPr>
              <w:t>3.92</w:t>
            </w:r>
          </w:p>
        </w:tc>
        <w:tc>
          <w:tcPr>
            <w:tcW w:w="850" w:type="dxa"/>
            <w:vAlign w:val="center"/>
          </w:tcPr>
          <w:p w14:paraId="7B53133E" w14:textId="77777777" w:rsidR="009D4357" w:rsidRPr="00434957" w:rsidRDefault="009D4357" w:rsidP="00CE3F2A">
            <w:pPr>
              <w:spacing w:after="0"/>
              <w:jc w:val="right"/>
              <w:rPr>
                <w:b/>
                <w:bCs/>
                <w:noProof/>
                <w:color w:val="000000"/>
                <w:sz w:val="18"/>
                <w:szCs w:val="18"/>
              </w:rPr>
            </w:pPr>
            <w:r>
              <w:rPr>
                <w:b/>
                <w:bCs/>
                <w:noProof/>
                <w:color w:val="000000"/>
                <w:sz w:val="18"/>
                <w:szCs w:val="18"/>
              </w:rPr>
              <w:t>2.65</w:t>
            </w:r>
          </w:p>
        </w:tc>
        <w:tc>
          <w:tcPr>
            <w:tcW w:w="1418" w:type="dxa"/>
            <w:vAlign w:val="center"/>
          </w:tcPr>
          <w:p w14:paraId="3D162284" w14:textId="77777777" w:rsidR="009D4357" w:rsidRPr="00434957" w:rsidRDefault="009D4357" w:rsidP="00CE3F2A">
            <w:pPr>
              <w:spacing w:after="0"/>
              <w:jc w:val="right"/>
              <w:rPr>
                <w:b/>
                <w:bCs/>
                <w:noProof/>
                <w:color w:val="000000"/>
                <w:sz w:val="18"/>
                <w:szCs w:val="18"/>
              </w:rPr>
            </w:pPr>
            <w:r>
              <w:rPr>
                <w:b/>
                <w:bCs/>
                <w:noProof/>
                <w:color w:val="000000"/>
                <w:sz w:val="18"/>
                <w:szCs w:val="18"/>
              </w:rPr>
              <w:t>15.714</w:t>
            </w:r>
          </w:p>
        </w:tc>
      </w:tr>
    </w:tbl>
    <w:p w14:paraId="78E7F21B" w14:textId="77777777" w:rsidR="009D4357" w:rsidRDefault="009D4357" w:rsidP="009D4357">
      <w:pPr>
        <w:rPr>
          <w:noProof/>
          <w:sz w:val="16"/>
          <w:lang w:eastAsia="en-GB"/>
        </w:rPr>
      </w:pPr>
    </w:p>
    <w:p w14:paraId="753FEB12" w14:textId="77777777" w:rsidR="009D4357" w:rsidRDefault="009D4357" w:rsidP="009D4357">
      <w:pPr>
        <w:rPr>
          <w:noProof/>
          <w:sz w:val="16"/>
          <w:lang w:eastAsia="en-GB"/>
        </w:rPr>
      </w:pPr>
    </w:p>
    <w:p w14:paraId="3029F5B8" w14:textId="77777777" w:rsidR="009D4357" w:rsidRDefault="009D4357" w:rsidP="009D4357">
      <w:pPr>
        <w:rPr>
          <w:noProof/>
          <w:sz w:val="16"/>
          <w:lang w:eastAsia="en-GB"/>
        </w:rPr>
      </w:pPr>
    </w:p>
    <w:p w14:paraId="54C46823" w14:textId="77777777" w:rsidR="009D4357" w:rsidRPr="00434957" w:rsidRDefault="009D4357" w:rsidP="009D4357">
      <w:pPr>
        <w:rPr>
          <w:noProof/>
          <w:sz w:val="16"/>
          <w:lang w:eastAsia="en-GB"/>
        </w:rPr>
      </w:pPr>
    </w:p>
    <w:p w14:paraId="0DDBEDD2" w14:textId="77777777" w:rsidR="009D4357" w:rsidRDefault="009D4357" w:rsidP="009D4357">
      <w:pPr>
        <w:rPr>
          <w:noProof/>
          <w:highlight w:val="yellow"/>
          <w:lang w:eastAsia="en-GB"/>
        </w:rPr>
      </w:pPr>
    </w:p>
    <w:p w14:paraId="493F425E" w14:textId="77777777" w:rsidR="009D4357" w:rsidRPr="0056090D" w:rsidRDefault="009D4357" w:rsidP="009D4357">
      <w:pPr>
        <w:spacing w:before="0" w:after="200" w:line="276" w:lineRule="auto"/>
        <w:jc w:val="left"/>
        <w:rPr>
          <w:noProof/>
          <w:highlight w:val="yellow"/>
          <w:lang w:eastAsia="en-GB"/>
        </w:rPr>
      </w:pPr>
    </w:p>
    <w:p w14:paraId="1AE1E904" w14:textId="77777777" w:rsidR="009D4357" w:rsidRPr="0056090D" w:rsidRDefault="009D4357" w:rsidP="009D4357">
      <w:pPr>
        <w:spacing w:before="0" w:after="200" w:line="276" w:lineRule="auto"/>
        <w:jc w:val="left"/>
        <w:rPr>
          <w:noProof/>
          <w:highlight w:val="yellow"/>
          <w:lang w:eastAsia="en-GB"/>
        </w:rPr>
      </w:pPr>
    </w:p>
    <w:p w14:paraId="67B50243" w14:textId="77777777" w:rsidR="009D4357" w:rsidRPr="0056090D" w:rsidRDefault="009D4357" w:rsidP="009D4357">
      <w:pPr>
        <w:spacing w:before="0" w:after="200" w:line="276" w:lineRule="auto"/>
        <w:jc w:val="left"/>
        <w:rPr>
          <w:noProof/>
          <w:highlight w:val="yellow"/>
          <w:lang w:eastAsia="en-GB"/>
        </w:rPr>
      </w:pPr>
    </w:p>
    <w:p w14:paraId="2624ACF1" w14:textId="77777777" w:rsidR="009D4357" w:rsidRPr="0056090D" w:rsidRDefault="009D4357" w:rsidP="009D4357">
      <w:pPr>
        <w:spacing w:before="0" w:after="200" w:line="276" w:lineRule="auto"/>
        <w:jc w:val="left"/>
        <w:rPr>
          <w:noProof/>
          <w:highlight w:val="yellow"/>
          <w:lang w:eastAsia="en-GB"/>
        </w:rPr>
      </w:pPr>
    </w:p>
    <w:p w14:paraId="680B62E7" w14:textId="77777777" w:rsidR="009D4357" w:rsidRPr="0056090D" w:rsidRDefault="009D4357" w:rsidP="009D4357">
      <w:pPr>
        <w:spacing w:before="0" w:after="200" w:line="276" w:lineRule="auto"/>
        <w:jc w:val="left"/>
        <w:rPr>
          <w:noProof/>
          <w:highlight w:val="yellow"/>
          <w:lang w:eastAsia="en-GB"/>
        </w:rPr>
      </w:pPr>
    </w:p>
    <w:p w14:paraId="17DE3174" w14:textId="5CAA2B50" w:rsidR="009D4357" w:rsidRPr="0056090D" w:rsidRDefault="009D4357" w:rsidP="009D4357">
      <w:pPr>
        <w:spacing w:before="0" w:after="200" w:line="276" w:lineRule="auto"/>
        <w:jc w:val="left"/>
        <w:rPr>
          <w:noProof/>
          <w:highlight w:val="yellow"/>
          <w:lang w:eastAsia="en-GB"/>
        </w:rPr>
        <w:sectPr w:rsidR="009D4357" w:rsidRPr="0056090D" w:rsidSect="009D02A3">
          <w:pgSz w:w="15840" w:h="12240" w:orient="landscape"/>
          <w:pgMar w:top="1134" w:right="1077" w:bottom="902" w:left="1247" w:header="709" w:footer="510" w:gutter="0"/>
          <w:cols w:space="720"/>
          <w:docGrid w:linePitch="326"/>
        </w:sectPr>
      </w:pPr>
      <w:r w:rsidRPr="005F3335">
        <w:rPr>
          <w:noProof/>
          <w:lang w:eastAsia="en-GB"/>
        </w:rPr>
        <w:t xml:space="preserve">Comment: The additional appropriations requested in the context of this proposal for eu-LISA will be covered from the </w:t>
      </w:r>
      <w:r w:rsidR="00D60CF7">
        <w:rPr>
          <w:noProof/>
          <w:lang w:eastAsia="en-GB"/>
        </w:rPr>
        <w:t>Border Management and Visa Policy Instrument (BMVI)</w:t>
      </w:r>
      <w:r w:rsidRPr="005F3335">
        <w:rPr>
          <w:noProof/>
          <w:lang w:eastAsia="en-GB"/>
        </w:rPr>
        <w:t xml:space="preserve"> under Heading 4.</w:t>
      </w:r>
    </w:p>
    <w:p w14:paraId="421BFA72" w14:textId="77777777" w:rsidR="009D4357" w:rsidRDefault="009D4357" w:rsidP="009D4357">
      <w:pPr>
        <w:rPr>
          <w:noProof/>
          <w:highlight w:val="yellow"/>
          <w:lang w:eastAsia="en-GB"/>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9"/>
        <w:gridCol w:w="1052"/>
        <w:gridCol w:w="7817"/>
      </w:tblGrid>
      <w:tr w:rsidR="009D4357" w:rsidRPr="00505A4A" w14:paraId="7FD16B2D" w14:textId="77777777" w:rsidTr="00CE3F2A">
        <w:tc>
          <w:tcPr>
            <w:tcW w:w="4709"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4663AFF2" w14:textId="77777777" w:rsidR="009D4357" w:rsidRPr="00505A4A" w:rsidRDefault="009D4357" w:rsidP="00CE3F2A">
            <w:pPr>
              <w:spacing w:before="60" w:after="60"/>
              <w:jc w:val="center"/>
              <w:rPr>
                <w:rFonts w:eastAsia="Calibri"/>
                <w:b/>
                <w:noProof/>
              </w:rPr>
            </w:pPr>
            <w:r w:rsidRPr="00505A4A">
              <w:rPr>
                <w:rFonts w:eastAsia="Calibri"/>
                <w:b/>
                <w:noProof/>
              </w:rPr>
              <w:t xml:space="preserve">Heading of multiannual financial </w:t>
            </w:r>
            <w:r w:rsidRPr="00505A4A">
              <w:rPr>
                <w:rFonts w:eastAsia="Calibri"/>
                <w:noProof/>
              </w:rPr>
              <w:br/>
            </w:r>
            <w:r w:rsidRPr="00505A4A">
              <w:rPr>
                <w:rFonts w:eastAsia="Calibri"/>
                <w:b/>
                <w:noProof/>
              </w:rPr>
              <w:t xml:space="preserve">framework </w:t>
            </w:r>
          </w:p>
        </w:tc>
        <w:tc>
          <w:tcPr>
            <w:tcW w:w="1052" w:type="dxa"/>
            <w:tcBorders>
              <w:top w:val="single" w:sz="4" w:space="0" w:color="auto"/>
              <w:left w:val="single" w:sz="4" w:space="0" w:color="auto"/>
              <w:bottom w:val="single" w:sz="4" w:space="0" w:color="auto"/>
              <w:right w:val="single" w:sz="4" w:space="0" w:color="auto"/>
            </w:tcBorders>
            <w:vAlign w:val="center"/>
            <w:hideMark/>
          </w:tcPr>
          <w:p w14:paraId="7961AA28" w14:textId="77777777" w:rsidR="009D4357" w:rsidRPr="00505A4A" w:rsidRDefault="009D4357" w:rsidP="00CE3F2A">
            <w:pPr>
              <w:spacing w:before="60" w:after="60"/>
              <w:jc w:val="center"/>
              <w:rPr>
                <w:rFonts w:eastAsia="Calibri"/>
                <w:noProof/>
              </w:rPr>
            </w:pPr>
            <w:r w:rsidRPr="00505A4A">
              <w:rPr>
                <w:rFonts w:eastAsia="Calibri"/>
                <w:noProof/>
              </w:rPr>
              <w:t>5</w:t>
            </w:r>
          </w:p>
        </w:tc>
        <w:tc>
          <w:tcPr>
            <w:tcW w:w="7817" w:type="dxa"/>
            <w:tcBorders>
              <w:top w:val="single" w:sz="4" w:space="0" w:color="auto"/>
              <w:left w:val="single" w:sz="4" w:space="0" w:color="auto"/>
              <w:bottom w:val="single" w:sz="4" w:space="0" w:color="auto"/>
              <w:right w:val="single" w:sz="4" w:space="0" w:color="auto"/>
            </w:tcBorders>
            <w:vAlign w:val="center"/>
            <w:hideMark/>
          </w:tcPr>
          <w:p w14:paraId="32C9B92B" w14:textId="77777777" w:rsidR="009D4357" w:rsidRPr="00505A4A" w:rsidRDefault="009D4357" w:rsidP="00CE3F2A">
            <w:pPr>
              <w:spacing w:before="60" w:after="60"/>
              <w:rPr>
                <w:rFonts w:eastAsia="Calibri"/>
                <w:noProof/>
              </w:rPr>
            </w:pPr>
            <w:r w:rsidRPr="00505A4A">
              <w:rPr>
                <w:rFonts w:eastAsia="Calibri"/>
                <w:noProof/>
              </w:rPr>
              <w:t>Resilience, Security and Defence</w:t>
            </w:r>
          </w:p>
        </w:tc>
      </w:tr>
    </w:tbl>
    <w:p w14:paraId="2009A545" w14:textId="77777777" w:rsidR="009D4357" w:rsidRDefault="009D4357" w:rsidP="009D4357">
      <w:pPr>
        <w:rPr>
          <w:noProof/>
          <w:highlight w:val="yellow"/>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362"/>
        <w:gridCol w:w="732"/>
        <w:gridCol w:w="868"/>
        <w:gridCol w:w="868"/>
        <w:gridCol w:w="868"/>
        <w:gridCol w:w="868"/>
        <w:gridCol w:w="899"/>
        <w:gridCol w:w="1842"/>
      </w:tblGrid>
      <w:tr w:rsidR="009D4357" w:rsidRPr="00505A4A" w14:paraId="053A2955" w14:textId="77777777" w:rsidTr="00CE3F2A">
        <w:tc>
          <w:tcPr>
            <w:tcW w:w="3600" w:type="dxa"/>
            <w:tcBorders>
              <w:top w:val="single" w:sz="4" w:space="0" w:color="auto"/>
              <w:left w:val="single" w:sz="4" w:space="0" w:color="auto"/>
              <w:bottom w:val="single" w:sz="4" w:space="0" w:color="auto"/>
              <w:right w:val="single" w:sz="4" w:space="0" w:color="auto"/>
            </w:tcBorders>
            <w:vAlign w:val="center"/>
            <w:hideMark/>
          </w:tcPr>
          <w:p w14:paraId="2D160EBA" w14:textId="77777777" w:rsidR="009D4357" w:rsidRPr="00505A4A" w:rsidRDefault="009D4357" w:rsidP="00CE3F2A">
            <w:pPr>
              <w:jc w:val="center"/>
              <w:rPr>
                <w:rFonts w:eastAsia="Calibri"/>
                <w:noProof/>
              </w:rPr>
            </w:pPr>
            <w:r w:rsidRPr="00505A4A">
              <w:rPr>
                <w:rFonts w:eastAsia="Calibri"/>
                <w:noProof/>
              </w:rPr>
              <w:t>DG HOME</w:t>
            </w:r>
          </w:p>
        </w:tc>
        <w:tc>
          <w:tcPr>
            <w:tcW w:w="1362" w:type="dxa"/>
            <w:tcBorders>
              <w:top w:val="single" w:sz="4" w:space="0" w:color="auto"/>
              <w:left w:val="single" w:sz="4" w:space="0" w:color="auto"/>
              <w:bottom w:val="single" w:sz="4" w:space="0" w:color="auto"/>
              <w:right w:val="single" w:sz="4" w:space="0" w:color="auto"/>
            </w:tcBorders>
          </w:tcPr>
          <w:p w14:paraId="423FB410" w14:textId="77777777" w:rsidR="009D4357" w:rsidRPr="00505A4A" w:rsidRDefault="009D4357" w:rsidP="00CE3F2A">
            <w:pPr>
              <w:rPr>
                <w:rFonts w:eastAsia="Calibri"/>
                <w:noProof/>
                <w:sz w:val="20"/>
              </w:rPr>
            </w:pPr>
          </w:p>
        </w:tc>
        <w:tc>
          <w:tcPr>
            <w:tcW w:w="732" w:type="dxa"/>
            <w:tcBorders>
              <w:top w:val="single" w:sz="4" w:space="0" w:color="auto"/>
              <w:left w:val="single" w:sz="4" w:space="0" w:color="auto"/>
              <w:bottom w:val="single" w:sz="4" w:space="0" w:color="auto"/>
              <w:right w:val="single" w:sz="4" w:space="0" w:color="auto"/>
            </w:tcBorders>
          </w:tcPr>
          <w:p w14:paraId="20EB9006" w14:textId="77777777" w:rsidR="009D4357" w:rsidRPr="00505A4A" w:rsidRDefault="009D4357" w:rsidP="00CE3F2A">
            <w:pPr>
              <w:jc w:val="center"/>
              <w:rPr>
                <w:rFonts w:eastAsia="Calibri"/>
                <w:noProof/>
                <w:sz w:val="20"/>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800F13A" w14:textId="77777777" w:rsidR="009D4357" w:rsidRPr="004E6D79" w:rsidRDefault="009D4357" w:rsidP="00CE3F2A">
            <w:pPr>
              <w:jc w:val="center"/>
              <w:rPr>
                <w:rFonts w:eastAsia="Calibri"/>
                <w:noProof/>
                <w:sz w:val="20"/>
                <w:szCs w:val="20"/>
              </w:rPr>
            </w:pPr>
            <w:r w:rsidRPr="004E6D79">
              <w:rPr>
                <w:rFonts w:eastAsia="Calibri"/>
                <w:noProof/>
                <w:sz w:val="20"/>
                <w:szCs w:val="20"/>
              </w:rPr>
              <w:t>Year</w:t>
            </w:r>
            <w:r w:rsidRPr="004E6D79">
              <w:rPr>
                <w:rFonts w:eastAsia="Calibri"/>
                <w:noProof/>
                <w:sz w:val="20"/>
                <w:szCs w:val="20"/>
              </w:rPr>
              <w:br/>
            </w:r>
            <w:r w:rsidRPr="004E6D79">
              <w:rPr>
                <w:rFonts w:eastAsia="Calibri"/>
                <w:b/>
                <w:noProof/>
                <w:sz w:val="20"/>
                <w:szCs w:val="20"/>
              </w:rPr>
              <w:t>2023</w:t>
            </w:r>
          </w:p>
        </w:tc>
        <w:tc>
          <w:tcPr>
            <w:tcW w:w="868" w:type="dxa"/>
            <w:tcBorders>
              <w:top w:val="single" w:sz="4" w:space="0" w:color="auto"/>
              <w:left w:val="single" w:sz="4" w:space="0" w:color="auto"/>
              <w:bottom w:val="single" w:sz="4" w:space="0" w:color="auto"/>
              <w:right w:val="single" w:sz="4" w:space="0" w:color="auto"/>
            </w:tcBorders>
            <w:vAlign w:val="center"/>
            <w:hideMark/>
          </w:tcPr>
          <w:p w14:paraId="2732F6A5" w14:textId="77777777" w:rsidR="009D4357" w:rsidRPr="004E6D79" w:rsidRDefault="009D4357" w:rsidP="00CE3F2A">
            <w:pPr>
              <w:jc w:val="center"/>
              <w:rPr>
                <w:rFonts w:eastAsia="Calibri"/>
                <w:noProof/>
                <w:sz w:val="20"/>
                <w:szCs w:val="20"/>
              </w:rPr>
            </w:pPr>
            <w:r w:rsidRPr="004E6D79">
              <w:rPr>
                <w:rFonts w:eastAsia="Calibri"/>
                <w:noProof/>
                <w:sz w:val="20"/>
                <w:szCs w:val="20"/>
              </w:rPr>
              <w:t>Year</w:t>
            </w:r>
            <w:r w:rsidRPr="004E6D79">
              <w:rPr>
                <w:rFonts w:eastAsia="Calibri"/>
                <w:noProof/>
                <w:sz w:val="20"/>
                <w:szCs w:val="20"/>
              </w:rPr>
              <w:br/>
            </w:r>
            <w:r w:rsidRPr="004E6D79">
              <w:rPr>
                <w:rFonts w:eastAsia="Calibri"/>
                <w:b/>
                <w:noProof/>
                <w:sz w:val="20"/>
                <w:szCs w:val="20"/>
              </w:rPr>
              <w:t>2024</w:t>
            </w:r>
          </w:p>
        </w:tc>
        <w:tc>
          <w:tcPr>
            <w:tcW w:w="868" w:type="dxa"/>
            <w:tcBorders>
              <w:top w:val="single" w:sz="4" w:space="0" w:color="auto"/>
              <w:left w:val="single" w:sz="4" w:space="0" w:color="auto"/>
              <w:bottom w:val="single" w:sz="4" w:space="0" w:color="auto"/>
              <w:right w:val="single" w:sz="4" w:space="0" w:color="auto"/>
            </w:tcBorders>
            <w:vAlign w:val="center"/>
            <w:hideMark/>
          </w:tcPr>
          <w:p w14:paraId="692CD0BC" w14:textId="77777777" w:rsidR="009D4357" w:rsidRPr="004E6D79" w:rsidRDefault="009D4357" w:rsidP="00CE3F2A">
            <w:pPr>
              <w:jc w:val="center"/>
              <w:rPr>
                <w:rFonts w:eastAsia="Calibri"/>
                <w:noProof/>
                <w:sz w:val="20"/>
                <w:szCs w:val="20"/>
              </w:rPr>
            </w:pPr>
            <w:r w:rsidRPr="004E6D79">
              <w:rPr>
                <w:rFonts w:eastAsia="Calibri"/>
                <w:noProof/>
                <w:sz w:val="20"/>
                <w:szCs w:val="20"/>
              </w:rPr>
              <w:t>Year</w:t>
            </w:r>
            <w:r w:rsidRPr="004E6D79">
              <w:rPr>
                <w:rFonts w:eastAsia="Calibri"/>
                <w:noProof/>
                <w:sz w:val="20"/>
                <w:szCs w:val="20"/>
              </w:rPr>
              <w:br/>
            </w:r>
            <w:r w:rsidRPr="004E6D79">
              <w:rPr>
                <w:rFonts w:eastAsia="Calibri"/>
                <w:b/>
                <w:noProof/>
                <w:sz w:val="20"/>
                <w:szCs w:val="20"/>
              </w:rPr>
              <w:t>2025</w:t>
            </w:r>
          </w:p>
        </w:tc>
        <w:tc>
          <w:tcPr>
            <w:tcW w:w="868" w:type="dxa"/>
            <w:tcBorders>
              <w:top w:val="single" w:sz="4" w:space="0" w:color="auto"/>
              <w:left w:val="single" w:sz="4" w:space="0" w:color="auto"/>
              <w:bottom w:val="single" w:sz="4" w:space="0" w:color="auto"/>
              <w:right w:val="single" w:sz="4" w:space="0" w:color="auto"/>
            </w:tcBorders>
            <w:vAlign w:val="center"/>
            <w:hideMark/>
          </w:tcPr>
          <w:p w14:paraId="7750B05C" w14:textId="77777777" w:rsidR="009D4357" w:rsidRPr="004E6D79" w:rsidRDefault="009D4357" w:rsidP="00CE3F2A">
            <w:pPr>
              <w:jc w:val="center"/>
              <w:rPr>
                <w:rFonts w:eastAsia="Calibri"/>
                <w:noProof/>
                <w:sz w:val="20"/>
                <w:szCs w:val="20"/>
              </w:rPr>
            </w:pPr>
            <w:r w:rsidRPr="004E6D79">
              <w:rPr>
                <w:rFonts w:eastAsia="Calibri"/>
                <w:noProof/>
                <w:sz w:val="20"/>
                <w:szCs w:val="20"/>
              </w:rPr>
              <w:t>Year</w:t>
            </w:r>
            <w:r w:rsidRPr="004E6D79">
              <w:rPr>
                <w:rFonts w:eastAsia="Calibri"/>
                <w:noProof/>
                <w:sz w:val="20"/>
                <w:szCs w:val="20"/>
              </w:rPr>
              <w:br/>
            </w:r>
            <w:r w:rsidRPr="004E6D79">
              <w:rPr>
                <w:rFonts w:eastAsia="Calibri"/>
                <w:b/>
                <w:noProof/>
                <w:sz w:val="20"/>
                <w:szCs w:val="20"/>
              </w:rPr>
              <w:t>2026</w:t>
            </w:r>
          </w:p>
        </w:tc>
        <w:tc>
          <w:tcPr>
            <w:tcW w:w="899" w:type="dxa"/>
            <w:tcBorders>
              <w:top w:val="single" w:sz="4" w:space="0" w:color="auto"/>
              <w:left w:val="single" w:sz="4" w:space="0" w:color="auto"/>
              <w:bottom w:val="single" w:sz="4" w:space="0" w:color="auto"/>
              <w:right w:val="single" w:sz="4" w:space="0" w:color="auto"/>
            </w:tcBorders>
            <w:vAlign w:val="center"/>
            <w:hideMark/>
          </w:tcPr>
          <w:p w14:paraId="6D8AA11F" w14:textId="77777777" w:rsidR="009D4357" w:rsidRPr="004E6D79" w:rsidRDefault="009D4357" w:rsidP="00CE3F2A">
            <w:pPr>
              <w:jc w:val="center"/>
              <w:rPr>
                <w:rFonts w:eastAsia="Calibri"/>
                <w:b/>
                <w:noProof/>
                <w:sz w:val="20"/>
                <w:szCs w:val="20"/>
              </w:rPr>
            </w:pPr>
            <w:r w:rsidRPr="004E6D79">
              <w:rPr>
                <w:rFonts w:eastAsia="Calibri"/>
                <w:noProof/>
                <w:sz w:val="20"/>
                <w:szCs w:val="20"/>
              </w:rPr>
              <w:t>Year</w:t>
            </w:r>
            <w:r w:rsidRPr="004E6D79">
              <w:rPr>
                <w:rFonts w:eastAsia="Calibri"/>
                <w:b/>
                <w:noProof/>
                <w:sz w:val="20"/>
                <w:szCs w:val="20"/>
              </w:rPr>
              <w:t xml:space="preserve"> 2027</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A540B15" w14:textId="77777777" w:rsidR="009D4357" w:rsidRPr="00505A4A" w:rsidRDefault="009D4357" w:rsidP="00CE3F2A">
            <w:pPr>
              <w:jc w:val="center"/>
              <w:rPr>
                <w:rFonts w:eastAsia="Calibri"/>
                <w:b/>
                <w:noProof/>
                <w:sz w:val="20"/>
              </w:rPr>
            </w:pPr>
            <w:r w:rsidRPr="00505A4A">
              <w:rPr>
                <w:rFonts w:eastAsia="Calibri"/>
                <w:b/>
                <w:noProof/>
                <w:sz w:val="20"/>
              </w:rPr>
              <w:t>TOTAL</w:t>
            </w:r>
          </w:p>
        </w:tc>
      </w:tr>
      <w:tr w:rsidR="00284DCB" w:rsidRPr="00505A4A" w14:paraId="1615A7F0" w14:textId="77777777" w:rsidTr="009E6802">
        <w:trPr>
          <w:trHeight w:val="277"/>
        </w:trPr>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2350495E" w14:textId="77777777" w:rsidR="00284DCB" w:rsidRPr="00505A4A" w:rsidRDefault="00284DCB" w:rsidP="00284DCB">
            <w:pPr>
              <w:rPr>
                <w:rFonts w:eastAsia="Calibri"/>
                <w:noProof/>
              </w:rPr>
            </w:pPr>
            <w:r w:rsidRPr="00505A4A">
              <w:rPr>
                <w:rFonts w:eastAsia="Calibri"/>
                <w:noProof/>
                <w:sz w:val="20"/>
              </w:rPr>
              <w:t>I</w:t>
            </w:r>
            <w:r>
              <w:rPr>
                <w:rFonts w:eastAsia="Calibri"/>
                <w:noProof/>
                <w:sz w:val="20"/>
              </w:rPr>
              <w:t xml:space="preserve">nternal </w:t>
            </w:r>
            <w:r w:rsidRPr="00505A4A">
              <w:rPr>
                <w:rFonts w:eastAsia="Calibri"/>
                <w:noProof/>
                <w:sz w:val="20"/>
              </w:rPr>
              <w:t>S</w:t>
            </w:r>
            <w:r>
              <w:rPr>
                <w:rFonts w:eastAsia="Calibri"/>
                <w:noProof/>
                <w:sz w:val="20"/>
              </w:rPr>
              <w:t xml:space="preserve">ecurity </w:t>
            </w:r>
            <w:r w:rsidRPr="00505A4A">
              <w:rPr>
                <w:rFonts w:eastAsia="Calibri"/>
                <w:noProof/>
                <w:sz w:val="20"/>
              </w:rPr>
              <w:t>F</w:t>
            </w:r>
            <w:r>
              <w:rPr>
                <w:rFonts w:eastAsia="Calibri"/>
                <w:noProof/>
                <w:sz w:val="20"/>
              </w:rPr>
              <w:t>und</w:t>
            </w:r>
          </w:p>
        </w:tc>
        <w:tc>
          <w:tcPr>
            <w:tcW w:w="1362" w:type="dxa"/>
            <w:tcBorders>
              <w:top w:val="single" w:sz="4" w:space="0" w:color="auto"/>
              <w:left w:val="single" w:sz="4" w:space="0" w:color="auto"/>
              <w:bottom w:val="single" w:sz="4" w:space="0" w:color="auto"/>
              <w:right w:val="single" w:sz="4" w:space="0" w:color="auto"/>
            </w:tcBorders>
            <w:vAlign w:val="center"/>
            <w:hideMark/>
          </w:tcPr>
          <w:p w14:paraId="5A1B6A6C" w14:textId="77777777" w:rsidR="00284DCB" w:rsidRPr="00505A4A" w:rsidRDefault="00284DCB" w:rsidP="00284DCB">
            <w:pPr>
              <w:spacing w:before="20" w:after="20"/>
              <w:rPr>
                <w:rFonts w:eastAsia="Calibri"/>
                <w:noProof/>
              </w:rPr>
            </w:pPr>
            <w:r w:rsidRPr="00505A4A">
              <w:rPr>
                <w:rFonts w:eastAsia="Calibri"/>
                <w:noProof/>
                <w:sz w:val="18"/>
              </w:rPr>
              <w:t>Commitments</w:t>
            </w:r>
          </w:p>
        </w:tc>
        <w:tc>
          <w:tcPr>
            <w:tcW w:w="732" w:type="dxa"/>
            <w:tcBorders>
              <w:top w:val="single" w:sz="4" w:space="0" w:color="auto"/>
              <w:left w:val="single" w:sz="4" w:space="0" w:color="auto"/>
              <w:bottom w:val="single" w:sz="4" w:space="0" w:color="auto"/>
              <w:right w:val="single" w:sz="4" w:space="0" w:color="auto"/>
            </w:tcBorders>
            <w:vAlign w:val="center"/>
            <w:hideMark/>
          </w:tcPr>
          <w:p w14:paraId="68CE91D1" w14:textId="77777777" w:rsidR="00284DCB" w:rsidRPr="00505A4A" w:rsidRDefault="00284DCB" w:rsidP="00284DCB">
            <w:pPr>
              <w:spacing w:before="20" w:after="20"/>
              <w:jc w:val="center"/>
              <w:rPr>
                <w:rFonts w:eastAsia="Calibri"/>
                <w:noProof/>
                <w:sz w:val="14"/>
              </w:rPr>
            </w:pPr>
            <w:r w:rsidRPr="00505A4A">
              <w:rPr>
                <w:rFonts w:eastAsia="Calibri"/>
                <w:noProof/>
                <w:sz w:val="14"/>
              </w:rPr>
              <w:t>(1)</w:t>
            </w:r>
          </w:p>
        </w:tc>
        <w:tc>
          <w:tcPr>
            <w:tcW w:w="868" w:type="dxa"/>
            <w:tcBorders>
              <w:top w:val="single" w:sz="4" w:space="0" w:color="auto"/>
              <w:left w:val="single" w:sz="4" w:space="0" w:color="auto"/>
              <w:bottom w:val="single" w:sz="4" w:space="0" w:color="auto"/>
              <w:right w:val="single" w:sz="4" w:space="0" w:color="auto"/>
            </w:tcBorders>
            <w:vAlign w:val="center"/>
          </w:tcPr>
          <w:p w14:paraId="57BCDDEF" w14:textId="77777777" w:rsidR="00284DCB" w:rsidRPr="00505A4A" w:rsidRDefault="00284DCB" w:rsidP="00284DCB">
            <w:pPr>
              <w:spacing w:before="20" w:after="20"/>
              <w:jc w:val="right"/>
              <w:rPr>
                <w:rFonts w:eastAsia="Calibri"/>
                <w:noProof/>
                <w:sz w:val="20"/>
              </w:rPr>
            </w:pPr>
          </w:p>
        </w:tc>
        <w:tc>
          <w:tcPr>
            <w:tcW w:w="868" w:type="dxa"/>
            <w:tcBorders>
              <w:top w:val="single" w:sz="4" w:space="0" w:color="auto"/>
              <w:left w:val="single" w:sz="4" w:space="0" w:color="auto"/>
              <w:bottom w:val="single" w:sz="4" w:space="0" w:color="auto"/>
              <w:right w:val="single" w:sz="4" w:space="0" w:color="auto"/>
            </w:tcBorders>
          </w:tcPr>
          <w:p w14:paraId="039AFFF5" w14:textId="5F917BFA" w:rsidR="00284DCB" w:rsidRPr="00284DCB" w:rsidRDefault="00284DCB" w:rsidP="00284DCB">
            <w:pPr>
              <w:spacing w:before="20" w:after="20"/>
              <w:jc w:val="right"/>
              <w:rPr>
                <w:rFonts w:eastAsia="Calibri"/>
                <w:noProof/>
                <w:sz w:val="20"/>
                <w:szCs w:val="20"/>
              </w:rPr>
            </w:pPr>
            <w:r w:rsidRPr="00284DCB">
              <w:rPr>
                <w:noProof/>
                <w:sz w:val="20"/>
                <w:szCs w:val="20"/>
              </w:rPr>
              <w:t>13.64</w:t>
            </w:r>
          </w:p>
        </w:tc>
        <w:tc>
          <w:tcPr>
            <w:tcW w:w="868" w:type="dxa"/>
            <w:tcBorders>
              <w:top w:val="single" w:sz="4" w:space="0" w:color="auto"/>
              <w:left w:val="single" w:sz="4" w:space="0" w:color="auto"/>
              <w:bottom w:val="single" w:sz="4" w:space="0" w:color="auto"/>
              <w:right w:val="single" w:sz="4" w:space="0" w:color="auto"/>
            </w:tcBorders>
          </w:tcPr>
          <w:p w14:paraId="6C59FD38" w14:textId="2ED95414" w:rsidR="00284DCB" w:rsidRPr="00284DCB" w:rsidRDefault="00284DCB" w:rsidP="00284DCB">
            <w:pPr>
              <w:spacing w:before="20" w:after="20"/>
              <w:jc w:val="right"/>
              <w:rPr>
                <w:rFonts w:eastAsia="Calibri"/>
                <w:noProof/>
                <w:sz w:val="20"/>
                <w:szCs w:val="20"/>
              </w:rPr>
            </w:pPr>
            <w:r w:rsidRPr="00284DCB">
              <w:rPr>
                <w:noProof/>
                <w:sz w:val="20"/>
                <w:szCs w:val="20"/>
              </w:rPr>
              <w:t>40</w:t>
            </w:r>
          </w:p>
        </w:tc>
        <w:tc>
          <w:tcPr>
            <w:tcW w:w="868" w:type="dxa"/>
            <w:tcBorders>
              <w:top w:val="single" w:sz="4" w:space="0" w:color="auto"/>
              <w:left w:val="single" w:sz="4" w:space="0" w:color="auto"/>
              <w:bottom w:val="single" w:sz="4" w:space="0" w:color="auto"/>
              <w:right w:val="single" w:sz="4" w:space="0" w:color="auto"/>
            </w:tcBorders>
          </w:tcPr>
          <w:p w14:paraId="5354356B" w14:textId="3090336A" w:rsidR="00284DCB" w:rsidRPr="00284DCB" w:rsidRDefault="00284DCB" w:rsidP="00284DCB">
            <w:pPr>
              <w:spacing w:before="20" w:after="20"/>
              <w:jc w:val="right"/>
              <w:rPr>
                <w:rFonts w:eastAsia="Calibri"/>
                <w:noProof/>
                <w:sz w:val="20"/>
                <w:szCs w:val="20"/>
              </w:rPr>
            </w:pPr>
            <w:r w:rsidRPr="00284DCB">
              <w:rPr>
                <w:noProof/>
                <w:sz w:val="20"/>
                <w:szCs w:val="20"/>
              </w:rPr>
              <w:t>40</w:t>
            </w:r>
          </w:p>
        </w:tc>
        <w:tc>
          <w:tcPr>
            <w:tcW w:w="899" w:type="dxa"/>
            <w:tcBorders>
              <w:top w:val="single" w:sz="4" w:space="0" w:color="auto"/>
              <w:left w:val="single" w:sz="4" w:space="0" w:color="auto"/>
              <w:bottom w:val="single" w:sz="4" w:space="0" w:color="auto"/>
              <w:right w:val="single" w:sz="4" w:space="0" w:color="auto"/>
            </w:tcBorders>
          </w:tcPr>
          <w:p w14:paraId="60922F3F" w14:textId="77777777" w:rsidR="00284DCB" w:rsidRPr="00505A4A" w:rsidRDefault="00284DCB" w:rsidP="00284DCB">
            <w:pPr>
              <w:spacing w:before="20" w:after="20"/>
              <w:jc w:val="right"/>
              <w:rPr>
                <w:rFonts w:eastAsia="Calibri"/>
                <w:b/>
                <w:noProof/>
                <w:sz w:val="20"/>
              </w:rPr>
            </w:pPr>
          </w:p>
        </w:tc>
        <w:tc>
          <w:tcPr>
            <w:tcW w:w="1842" w:type="dxa"/>
            <w:tcBorders>
              <w:top w:val="single" w:sz="4" w:space="0" w:color="auto"/>
              <w:left w:val="single" w:sz="4" w:space="0" w:color="auto"/>
              <w:bottom w:val="single" w:sz="4" w:space="0" w:color="auto"/>
              <w:right w:val="single" w:sz="4" w:space="0" w:color="auto"/>
            </w:tcBorders>
          </w:tcPr>
          <w:p w14:paraId="632B7ADF" w14:textId="5AC4D0D9" w:rsidR="00284DCB" w:rsidRPr="00284DCB" w:rsidRDefault="00284DCB" w:rsidP="00284DCB">
            <w:pPr>
              <w:spacing w:before="20" w:after="20"/>
              <w:jc w:val="right"/>
              <w:rPr>
                <w:rFonts w:eastAsia="Calibri"/>
                <w:b/>
                <w:noProof/>
                <w:sz w:val="20"/>
              </w:rPr>
            </w:pPr>
            <w:r w:rsidRPr="00284DCB">
              <w:rPr>
                <w:b/>
                <w:noProof/>
              </w:rPr>
              <w:t>93.64</w:t>
            </w:r>
          </w:p>
        </w:tc>
      </w:tr>
      <w:tr w:rsidR="00284DCB" w:rsidRPr="00505A4A" w14:paraId="481C0C64" w14:textId="77777777" w:rsidTr="009E6802">
        <w:tc>
          <w:tcPr>
            <w:tcW w:w="3600" w:type="dxa"/>
            <w:vMerge/>
            <w:tcBorders>
              <w:top w:val="single" w:sz="4" w:space="0" w:color="auto"/>
              <w:left w:val="single" w:sz="4" w:space="0" w:color="auto"/>
              <w:bottom w:val="single" w:sz="4" w:space="0" w:color="auto"/>
              <w:right w:val="single" w:sz="4" w:space="0" w:color="auto"/>
            </w:tcBorders>
            <w:vAlign w:val="center"/>
            <w:hideMark/>
          </w:tcPr>
          <w:p w14:paraId="57D85D61" w14:textId="77777777" w:rsidR="00284DCB" w:rsidRPr="00505A4A" w:rsidRDefault="00284DCB" w:rsidP="00284DCB">
            <w:pPr>
              <w:spacing w:after="0"/>
              <w:rPr>
                <w:rFonts w:eastAsia="Calibri"/>
                <w:noProof/>
              </w:rPr>
            </w:pPr>
          </w:p>
        </w:tc>
        <w:tc>
          <w:tcPr>
            <w:tcW w:w="1362" w:type="dxa"/>
            <w:tcBorders>
              <w:top w:val="single" w:sz="4" w:space="0" w:color="auto"/>
              <w:left w:val="single" w:sz="4" w:space="0" w:color="auto"/>
              <w:bottom w:val="single" w:sz="4" w:space="0" w:color="auto"/>
              <w:right w:val="single" w:sz="4" w:space="0" w:color="auto"/>
            </w:tcBorders>
            <w:vAlign w:val="center"/>
            <w:hideMark/>
          </w:tcPr>
          <w:p w14:paraId="22833F1C" w14:textId="77777777" w:rsidR="00284DCB" w:rsidRPr="00505A4A" w:rsidRDefault="00284DCB" w:rsidP="00284DCB">
            <w:pPr>
              <w:spacing w:before="20" w:after="20"/>
              <w:rPr>
                <w:rFonts w:eastAsia="Calibri"/>
                <w:noProof/>
                <w:sz w:val="18"/>
              </w:rPr>
            </w:pPr>
            <w:r w:rsidRPr="00505A4A">
              <w:rPr>
                <w:rFonts w:eastAsia="Calibri"/>
                <w:noProof/>
                <w:sz w:val="18"/>
              </w:rPr>
              <w:t>Payments</w:t>
            </w:r>
          </w:p>
        </w:tc>
        <w:tc>
          <w:tcPr>
            <w:tcW w:w="732" w:type="dxa"/>
            <w:tcBorders>
              <w:top w:val="single" w:sz="4" w:space="0" w:color="auto"/>
              <w:left w:val="single" w:sz="4" w:space="0" w:color="auto"/>
              <w:bottom w:val="single" w:sz="4" w:space="0" w:color="auto"/>
              <w:right w:val="single" w:sz="4" w:space="0" w:color="auto"/>
            </w:tcBorders>
            <w:vAlign w:val="center"/>
            <w:hideMark/>
          </w:tcPr>
          <w:p w14:paraId="2018EC17" w14:textId="77777777" w:rsidR="00284DCB" w:rsidRPr="00505A4A" w:rsidRDefault="00284DCB" w:rsidP="00284DCB">
            <w:pPr>
              <w:spacing w:before="20" w:after="20"/>
              <w:jc w:val="center"/>
              <w:rPr>
                <w:rFonts w:eastAsia="Calibri"/>
                <w:noProof/>
                <w:sz w:val="14"/>
              </w:rPr>
            </w:pPr>
            <w:r w:rsidRPr="00505A4A">
              <w:rPr>
                <w:rFonts w:eastAsia="Calibri"/>
                <w:noProof/>
                <w:sz w:val="14"/>
              </w:rPr>
              <w:t>(2)</w:t>
            </w:r>
          </w:p>
        </w:tc>
        <w:tc>
          <w:tcPr>
            <w:tcW w:w="868" w:type="dxa"/>
            <w:tcBorders>
              <w:top w:val="single" w:sz="4" w:space="0" w:color="auto"/>
              <w:left w:val="single" w:sz="4" w:space="0" w:color="auto"/>
              <w:bottom w:val="single" w:sz="4" w:space="0" w:color="auto"/>
              <w:right w:val="single" w:sz="4" w:space="0" w:color="auto"/>
            </w:tcBorders>
            <w:vAlign w:val="center"/>
          </w:tcPr>
          <w:p w14:paraId="7725FCCD" w14:textId="77777777" w:rsidR="00284DCB" w:rsidRPr="00505A4A" w:rsidRDefault="00284DCB" w:rsidP="00284DCB">
            <w:pPr>
              <w:spacing w:before="20" w:after="20"/>
              <w:jc w:val="right"/>
              <w:rPr>
                <w:rFonts w:eastAsia="Calibri"/>
                <w:noProof/>
                <w:sz w:val="20"/>
              </w:rPr>
            </w:pPr>
          </w:p>
        </w:tc>
        <w:tc>
          <w:tcPr>
            <w:tcW w:w="868" w:type="dxa"/>
            <w:tcBorders>
              <w:top w:val="single" w:sz="4" w:space="0" w:color="auto"/>
              <w:left w:val="single" w:sz="4" w:space="0" w:color="auto"/>
              <w:bottom w:val="single" w:sz="4" w:space="0" w:color="auto"/>
              <w:right w:val="single" w:sz="4" w:space="0" w:color="auto"/>
            </w:tcBorders>
          </w:tcPr>
          <w:p w14:paraId="07604B7F" w14:textId="7D58D85A" w:rsidR="00284DCB" w:rsidRPr="00284DCB" w:rsidRDefault="00284DCB" w:rsidP="00284DCB">
            <w:pPr>
              <w:spacing w:before="20" w:after="20"/>
              <w:jc w:val="right"/>
              <w:rPr>
                <w:rFonts w:eastAsia="Calibri"/>
                <w:noProof/>
                <w:sz w:val="20"/>
                <w:szCs w:val="20"/>
              </w:rPr>
            </w:pPr>
            <w:r w:rsidRPr="00284DCB">
              <w:rPr>
                <w:noProof/>
                <w:sz w:val="20"/>
                <w:szCs w:val="20"/>
              </w:rPr>
              <w:t>4.68</w:t>
            </w:r>
          </w:p>
        </w:tc>
        <w:tc>
          <w:tcPr>
            <w:tcW w:w="868" w:type="dxa"/>
            <w:tcBorders>
              <w:top w:val="single" w:sz="4" w:space="0" w:color="auto"/>
              <w:left w:val="single" w:sz="4" w:space="0" w:color="auto"/>
              <w:bottom w:val="single" w:sz="4" w:space="0" w:color="auto"/>
              <w:right w:val="single" w:sz="4" w:space="0" w:color="auto"/>
            </w:tcBorders>
          </w:tcPr>
          <w:p w14:paraId="143D06E7" w14:textId="0E2A9963" w:rsidR="00284DCB" w:rsidRPr="00284DCB" w:rsidRDefault="00284DCB" w:rsidP="00284DCB">
            <w:pPr>
              <w:spacing w:before="20" w:after="20"/>
              <w:jc w:val="right"/>
              <w:rPr>
                <w:rFonts w:eastAsia="Calibri"/>
                <w:noProof/>
                <w:sz w:val="20"/>
                <w:szCs w:val="20"/>
              </w:rPr>
            </w:pPr>
            <w:r w:rsidRPr="00284DCB">
              <w:rPr>
                <w:noProof/>
                <w:sz w:val="20"/>
                <w:szCs w:val="20"/>
              </w:rPr>
              <w:t>6.55</w:t>
            </w:r>
          </w:p>
        </w:tc>
        <w:tc>
          <w:tcPr>
            <w:tcW w:w="868" w:type="dxa"/>
            <w:tcBorders>
              <w:top w:val="single" w:sz="4" w:space="0" w:color="auto"/>
              <w:left w:val="single" w:sz="4" w:space="0" w:color="auto"/>
              <w:bottom w:val="single" w:sz="4" w:space="0" w:color="auto"/>
              <w:right w:val="single" w:sz="4" w:space="0" w:color="auto"/>
            </w:tcBorders>
          </w:tcPr>
          <w:p w14:paraId="043E9580" w14:textId="47765D35" w:rsidR="00284DCB" w:rsidRPr="00284DCB" w:rsidRDefault="00284DCB" w:rsidP="00284DCB">
            <w:pPr>
              <w:spacing w:before="20" w:after="20"/>
              <w:jc w:val="right"/>
              <w:rPr>
                <w:rFonts w:eastAsia="Calibri"/>
                <w:noProof/>
                <w:sz w:val="20"/>
                <w:szCs w:val="20"/>
              </w:rPr>
            </w:pPr>
            <w:r w:rsidRPr="00284DCB">
              <w:rPr>
                <w:noProof/>
                <w:sz w:val="20"/>
                <w:szCs w:val="20"/>
              </w:rPr>
              <w:t>9.39</w:t>
            </w:r>
          </w:p>
        </w:tc>
        <w:tc>
          <w:tcPr>
            <w:tcW w:w="899" w:type="dxa"/>
            <w:tcBorders>
              <w:top w:val="single" w:sz="4" w:space="0" w:color="auto"/>
              <w:left w:val="single" w:sz="4" w:space="0" w:color="auto"/>
              <w:bottom w:val="single" w:sz="4" w:space="0" w:color="auto"/>
              <w:right w:val="single" w:sz="4" w:space="0" w:color="auto"/>
            </w:tcBorders>
          </w:tcPr>
          <w:p w14:paraId="6FFA1136" w14:textId="77777777" w:rsidR="00284DCB" w:rsidRPr="00505A4A" w:rsidRDefault="00284DCB" w:rsidP="00284DCB">
            <w:pPr>
              <w:spacing w:before="20" w:after="20"/>
              <w:jc w:val="right"/>
              <w:rPr>
                <w:rFonts w:eastAsia="Calibri"/>
                <w:b/>
                <w:noProof/>
                <w:sz w:val="20"/>
              </w:rPr>
            </w:pPr>
          </w:p>
        </w:tc>
        <w:tc>
          <w:tcPr>
            <w:tcW w:w="1842" w:type="dxa"/>
            <w:tcBorders>
              <w:top w:val="single" w:sz="4" w:space="0" w:color="auto"/>
              <w:left w:val="single" w:sz="4" w:space="0" w:color="auto"/>
              <w:bottom w:val="single" w:sz="4" w:space="0" w:color="auto"/>
              <w:right w:val="single" w:sz="4" w:space="0" w:color="auto"/>
            </w:tcBorders>
          </w:tcPr>
          <w:p w14:paraId="677329EB" w14:textId="6C40ACE5" w:rsidR="00284DCB" w:rsidRPr="00284DCB" w:rsidRDefault="00284DCB" w:rsidP="00284DCB">
            <w:pPr>
              <w:spacing w:before="20" w:after="20"/>
              <w:jc w:val="right"/>
              <w:rPr>
                <w:rFonts w:eastAsia="Calibri"/>
                <w:b/>
                <w:noProof/>
                <w:sz w:val="20"/>
              </w:rPr>
            </w:pPr>
            <w:r w:rsidRPr="00284DCB">
              <w:rPr>
                <w:b/>
                <w:noProof/>
              </w:rPr>
              <w:t>34.65</w:t>
            </w:r>
          </w:p>
        </w:tc>
      </w:tr>
      <w:tr w:rsidR="00284DCB" w:rsidRPr="00505A4A" w14:paraId="634F1FCD" w14:textId="77777777" w:rsidTr="009E6802">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7142101" w14:textId="77777777" w:rsidR="00284DCB" w:rsidRPr="00505A4A" w:rsidRDefault="00284DCB" w:rsidP="00284DCB">
            <w:pPr>
              <w:jc w:val="center"/>
              <w:rPr>
                <w:rFonts w:eastAsia="Calibri"/>
                <w:noProof/>
              </w:rPr>
            </w:pPr>
            <w:r w:rsidRPr="00505A4A">
              <w:rPr>
                <w:rFonts w:eastAsia="Calibri"/>
                <w:b/>
                <w:noProof/>
              </w:rPr>
              <w:t>TOTAL appropriations</w:t>
            </w:r>
            <w:r w:rsidRPr="00505A4A">
              <w:rPr>
                <w:rFonts w:eastAsia="Calibri"/>
                <w:noProof/>
              </w:rPr>
              <w:br/>
            </w:r>
            <w:r w:rsidRPr="00505A4A">
              <w:rPr>
                <w:rFonts w:eastAsia="Calibri"/>
                <w:b/>
                <w:noProof/>
              </w:rPr>
              <w:t>for DG HOME</w:t>
            </w:r>
          </w:p>
        </w:tc>
        <w:tc>
          <w:tcPr>
            <w:tcW w:w="1362" w:type="dxa"/>
            <w:tcBorders>
              <w:top w:val="single" w:sz="4" w:space="0" w:color="auto"/>
              <w:left w:val="single" w:sz="4" w:space="0" w:color="auto"/>
              <w:bottom w:val="single" w:sz="4" w:space="0" w:color="auto"/>
              <w:right w:val="single" w:sz="4" w:space="0" w:color="auto"/>
            </w:tcBorders>
            <w:vAlign w:val="center"/>
            <w:hideMark/>
          </w:tcPr>
          <w:p w14:paraId="5A432AE8" w14:textId="77777777" w:rsidR="00284DCB" w:rsidRPr="00505A4A" w:rsidRDefault="00284DCB" w:rsidP="00284DCB">
            <w:pPr>
              <w:rPr>
                <w:rFonts w:eastAsia="Calibri"/>
                <w:noProof/>
                <w:sz w:val="18"/>
              </w:rPr>
            </w:pPr>
            <w:r w:rsidRPr="00505A4A">
              <w:rPr>
                <w:rFonts w:eastAsia="Calibri"/>
                <w:noProof/>
                <w:sz w:val="18"/>
              </w:rPr>
              <w:t>Commitments</w:t>
            </w:r>
          </w:p>
        </w:tc>
        <w:tc>
          <w:tcPr>
            <w:tcW w:w="732" w:type="dxa"/>
            <w:tcBorders>
              <w:top w:val="single" w:sz="4" w:space="0" w:color="auto"/>
              <w:left w:val="single" w:sz="4" w:space="0" w:color="auto"/>
              <w:bottom w:val="single" w:sz="4" w:space="0" w:color="auto"/>
              <w:right w:val="single" w:sz="4" w:space="0" w:color="auto"/>
            </w:tcBorders>
            <w:vAlign w:val="center"/>
            <w:hideMark/>
          </w:tcPr>
          <w:p w14:paraId="5DD1F6BF" w14:textId="77777777" w:rsidR="00284DCB" w:rsidRPr="00505A4A" w:rsidRDefault="00284DCB" w:rsidP="00284DCB">
            <w:pPr>
              <w:jc w:val="center"/>
              <w:rPr>
                <w:rFonts w:eastAsia="Calibri"/>
                <w:noProof/>
                <w:sz w:val="14"/>
              </w:rPr>
            </w:pPr>
          </w:p>
        </w:tc>
        <w:tc>
          <w:tcPr>
            <w:tcW w:w="868" w:type="dxa"/>
            <w:tcBorders>
              <w:top w:val="single" w:sz="4" w:space="0" w:color="auto"/>
              <w:left w:val="single" w:sz="4" w:space="0" w:color="auto"/>
              <w:bottom w:val="single" w:sz="4" w:space="0" w:color="auto"/>
              <w:right w:val="single" w:sz="4" w:space="0" w:color="auto"/>
            </w:tcBorders>
            <w:vAlign w:val="center"/>
          </w:tcPr>
          <w:p w14:paraId="5AF3EFE0" w14:textId="77777777" w:rsidR="00284DCB" w:rsidRPr="00505A4A" w:rsidRDefault="00284DCB" w:rsidP="00284DCB">
            <w:pPr>
              <w:spacing w:before="20" w:after="20"/>
              <w:jc w:val="right"/>
              <w:rPr>
                <w:rFonts w:eastAsia="Calibri"/>
                <w:noProof/>
                <w:sz w:val="20"/>
              </w:rPr>
            </w:pPr>
          </w:p>
        </w:tc>
        <w:tc>
          <w:tcPr>
            <w:tcW w:w="868" w:type="dxa"/>
            <w:tcBorders>
              <w:top w:val="single" w:sz="4" w:space="0" w:color="auto"/>
              <w:left w:val="single" w:sz="4" w:space="0" w:color="auto"/>
              <w:bottom w:val="single" w:sz="4" w:space="0" w:color="auto"/>
              <w:right w:val="single" w:sz="4" w:space="0" w:color="auto"/>
            </w:tcBorders>
          </w:tcPr>
          <w:p w14:paraId="5B465331" w14:textId="0E4A0497" w:rsidR="00284DCB" w:rsidRPr="00284DCB" w:rsidRDefault="00284DCB" w:rsidP="00284DCB">
            <w:pPr>
              <w:spacing w:before="20" w:after="20"/>
              <w:jc w:val="right"/>
              <w:rPr>
                <w:rFonts w:eastAsia="Calibri"/>
                <w:noProof/>
                <w:sz w:val="20"/>
                <w:szCs w:val="20"/>
              </w:rPr>
            </w:pPr>
            <w:r w:rsidRPr="00284DCB">
              <w:rPr>
                <w:noProof/>
                <w:sz w:val="20"/>
                <w:szCs w:val="20"/>
              </w:rPr>
              <w:t>13.64</w:t>
            </w:r>
          </w:p>
        </w:tc>
        <w:tc>
          <w:tcPr>
            <w:tcW w:w="868" w:type="dxa"/>
            <w:tcBorders>
              <w:top w:val="single" w:sz="4" w:space="0" w:color="auto"/>
              <w:left w:val="single" w:sz="4" w:space="0" w:color="auto"/>
              <w:bottom w:val="single" w:sz="4" w:space="0" w:color="auto"/>
              <w:right w:val="single" w:sz="4" w:space="0" w:color="auto"/>
            </w:tcBorders>
          </w:tcPr>
          <w:p w14:paraId="33F27171" w14:textId="0DA65FFF" w:rsidR="00284DCB" w:rsidRPr="00284DCB" w:rsidRDefault="00284DCB" w:rsidP="00284DCB">
            <w:pPr>
              <w:spacing w:before="20" w:after="20"/>
              <w:jc w:val="right"/>
              <w:rPr>
                <w:rFonts w:eastAsia="Calibri"/>
                <w:noProof/>
                <w:sz w:val="20"/>
                <w:szCs w:val="20"/>
              </w:rPr>
            </w:pPr>
            <w:r w:rsidRPr="00284DCB">
              <w:rPr>
                <w:noProof/>
                <w:sz w:val="20"/>
                <w:szCs w:val="20"/>
              </w:rPr>
              <w:t>40</w:t>
            </w:r>
          </w:p>
        </w:tc>
        <w:tc>
          <w:tcPr>
            <w:tcW w:w="868" w:type="dxa"/>
            <w:tcBorders>
              <w:top w:val="single" w:sz="4" w:space="0" w:color="auto"/>
              <w:left w:val="single" w:sz="4" w:space="0" w:color="auto"/>
              <w:bottom w:val="single" w:sz="4" w:space="0" w:color="auto"/>
              <w:right w:val="single" w:sz="4" w:space="0" w:color="auto"/>
            </w:tcBorders>
          </w:tcPr>
          <w:p w14:paraId="76F6D271" w14:textId="7715AE75" w:rsidR="00284DCB" w:rsidRPr="00284DCB" w:rsidRDefault="00284DCB" w:rsidP="00284DCB">
            <w:pPr>
              <w:spacing w:before="20" w:after="20"/>
              <w:jc w:val="right"/>
              <w:rPr>
                <w:rFonts w:eastAsia="Calibri"/>
                <w:noProof/>
                <w:sz w:val="20"/>
                <w:szCs w:val="20"/>
              </w:rPr>
            </w:pPr>
            <w:r w:rsidRPr="00284DCB">
              <w:rPr>
                <w:noProof/>
                <w:sz w:val="20"/>
                <w:szCs w:val="20"/>
              </w:rPr>
              <w:t>40</w:t>
            </w:r>
          </w:p>
        </w:tc>
        <w:tc>
          <w:tcPr>
            <w:tcW w:w="899" w:type="dxa"/>
            <w:tcBorders>
              <w:top w:val="single" w:sz="4" w:space="0" w:color="auto"/>
              <w:left w:val="single" w:sz="4" w:space="0" w:color="auto"/>
              <w:bottom w:val="single" w:sz="4" w:space="0" w:color="auto"/>
              <w:right w:val="single" w:sz="4" w:space="0" w:color="auto"/>
            </w:tcBorders>
          </w:tcPr>
          <w:p w14:paraId="75F42372" w14:textId="77777777" w:rsidR="00284DCB" w:rsidRPr="00505A4A" w:rsidRDefault="00284DCB" w:rsidP="00284DCB">
            <w:pPr>
              <w:spacing w:before="20" w:after="20"/>
              <w:jc w:val="right"/>
              <w:rPr>
                <w:rFonts w:eastAsia="Calibri"/>
                <w:b/>
                <w:noProof/>
                <w:sz w:val="20"/>
              </w:rPr>
            </w:pPr>
          </w:p>
        </w:tc>
        <w:tc>
          <w:tcPr>
            <w:tcW w:w="1842" w:type="dxa"/>
            <w:tcBorders>
              <w:top w:val="single" w:sz="4" w:space="0" w:color="auto"/>
              <w:left w:val="single" w:sz="4" w:space="0" w:color="auto"/>
              <w:bottom w:val="single" w:sz="4" w:space="0" w:color="auto"/>
              <w:right w:val="single" w:sz="4" w:space="0" w:color="auto"/>
            </w:tcBorders>
          </w:tcPr>
          <w:p w14:paraId="3200C9EC" w14:textId="4D16C3AD" w:rsidR="00284DCB" w:rsidRPr="00284DCB" w:rsidRDefault="00284DCB" w:rsidP="00284DCB">
            <w:pPr>
              <w:spacing w:before="20" w:after="20"/>
              <w:jc w:val="right"/>
              <w:rPr>
                <w:rFonts w:eastAsia="Calibri"/>
                <w:b/>
                <w:noProof/>
                <w:sz w:val="20"/>
              </w:rPr>
            </w:pPr>
            <w:r w:rsidRPr="00284DCB">
              <w:rPr>
                <w:b/>
                <w:noProof/>
              </w:rPr>
              <w:t>93.64</w:t>
            </w:r>
          </w:p>
        </w:tc>
      </w:tr>
      <w:tr w:rsidR="00284DCB" w:rsidRPr="00505A4A" w14:paraId="540996D9" w14:textId="77777777" w:rsidTr="009E6802">
        <w:tc>
          <w:tcPr>
            <w:tcW w:w="3600" w:type="dxa"/>
            <w:vMerge/>
            <w:tcBorders>
              <w:top w:val="single" w:sz="4" w:space="0" w:color="auto"/>
              <w:left w:val="single" w:sz="4" w:space="0" w:color="auto"/>
              <w:bottom w:val="single" w:sz="4" w:space="0" w:color="auto"/>
              <w:right w:val="single" w:sz="4" w:space="0" w:color="auto"/>
            </w:tcBorders>
            <w:vAlign w:val="center"/>
            <w:hideMark/>
          </w:tcPr>
          <w:p w14:paraId="6D83D6BC" w14:textId="77777777" w:rsidR="00284DCB" w:rsidRPr="00505A4A" w:rsidRDefault="00284DCB" w:rsidP="00284DCB">
            <w:pPr>
              <w:spacing w:after="0"/>
              <w:rPr>
                <w:rFonts w:eastAsia="Calibri"/>
                <w:noProof/>
              </w:rPr>
            </w:pPr>
          </w:p>
        </w:tc>
        <w:tc>
          <w:tcPr>
            <w:tcW w:w="1362" w:type="dxa"/>
            <w:tcBorders>
              <w:top w:val="single" w:sz="4" w:space="0" w:color="auto"/>
              <w:left w:val="single" w:sz="4" w:space="0" w:color="auto"/>
              <w:bottom w:val="single" w:sz="4" w:space="0" w:color="auto"/>
              <w:right w:val="single" w:sz="4" w:space="0" w:color="auto"/>
            </w:tcBorders>
            <w:vAlign w:val="center"/>
            <w:hideMark/>
          </w:tcPr>
          <w:p w14:paraId="75D1CD46" w14:textId="77777777" w:rsidR="00284DCB" w:rsidRPr="00505A4A" w:rsidRDefault="00284DCB" w:rsidP="00284DCB">
            <w:pPr>
              <w:rPr>
                <w:rFonts w:eastAsia="Calibri"/>
                <w:noProof/>
                <w:sz w:val="18"/>
              </w:rPr>
            </w:pPr>
            <w:r w:rsidRPr="00505A4A">
              <w:rPr>
                <w:rFonts w:eastAsia="Calibri"/>
                <w:noProof/>
                <w:sz w:val="18"/>
              </w:rPr>
              <w:t>Payments</w:t>
            </w:r>
          </w:p>
        </w:tc>
        <w:tc>
          <w:tcPr>
            <w:tcW w:w="732" w:type="dxa"/>
            <w:tcBorders>
              <w:top w:val="single" w:sz="4" w:space="0" w:color="auto"/>
              <w:left w:val="single" w:sz="4" w:space="0" w:color="auto"/>
              <w:bottom w:val="single" w:sz="4" w:space="0" w:color="auto"/>
              <w:right w:val="single" w:sz="4" w:space="0" w:color="auto"/>
            </w:tcBorders>
            <w:vAlign w:val="center"/>
            <w:hideMark/>
          </w:tcPr>
          <w:p w14:paraId="0CBCF4B0" w14:textId="77777777" w:rsidR="00284DCB" w:rsidRPr="00505A4A" w:rsidRDefault="00284DCB" w:rsidP="00284DCB">
            <w:pPr>
              <w:jc w:val="center"/>
              <w:rPr>
                <w:rFonts w:eastAsia="Calibri"/>
                <w:noProof/>
                <w:sz w:val="14"/>
              </w:rPr>
            </w:pPr>
          </w:p>
        </w:tc>
        <w:tc>
          <w:tcPr>
            <w:tcW w:w="868" w:type="dxa"/>
            <w:tcBorders>
              <w:top w:val="single" w:sz="4" w:space="0" w:color="auto"/>
              <w:left w:val="single" w:sz="4" w:space="0" w:color="auto"/>
              <w:bottom w:val="single" w:sz="4" w:space="0" w:color="auto"/>
              <w:right w:val="single" w:sz="4" w:space="0" w:color="auto"/>
            </w:tcBorders>
            <w:vAlign w:val="center"/>
          </w:tcPr>
          <w:p w14:paraId="4803B9F6" w14:textId="77777777" w:rsidR="00284DCB" w:rsidRPr="00505A4A" w:rsidRDefault="00284DCB" w:rsidP="00284DCB">
            <w:pPr>
              <w:spacing w:before="20" w:after="20"/>
              <w:jc w:val="right"/>
              <w:rPr>
                <w:rFonts w:eastAsia="Calibri"/>
                <w:noProof/>
                <w:sz w:val="20"/>
              </w:rPr>
            </w:pPr>
          </w:p>
        </w:tc>
        <w:tc>
          <w:tcPr>
            <w:tcW w:w="868" w:type="dxa"/>
            <w:tcBorders>
              <w:top w:val="single" w:sz="4" w:space="0" w:color="auto"/>
              <w:left w:val="single" w:sz="4" w:space="0" w:color="auto"/>
              <w:bottom w:val="single" w:sz="4" w:space="0" w:color="auto"/>
              <w:right w:val="single" w:sz="4" w:space="0" w:color="auto"/>
            </w:tcBorders>
          </w:tcPr>
          <w:p w14:paraId="5201EAC8" w14:textId="0B5D5BC7" w:rsidR="00284DCB" w:rsidRPr="00284DCB" w:rsidRDefault="00284DCB" w:rsidP="00284DCB">
            <w:pPr>
              <w:spacing w:before="20" w:after="20"/>
              <w:jc w:val="right"/>
              <w:rPr>
                <w:rFonts w:eastAsia="Calibri"/>
                <w:noProof/>
                <w:sz w:val="20"/>
                <w:szCs w:val="20"/>
              </w:rPr>
            </w:pPr>
            <w:r w:rsidRPr="00284DCB">
              <w:rPr>
                <w:noProof/>
                <w:sz w:val="20"/>
                <w:szCs w:val="20"/>
              </w:rPr>
              <w:t>4.68</w:t>
            </w:r>
          </w:p>
        </w:tc>
        <w:tc>
          <w:tcPr>
            <w:tcW w:w="868" w:type="dxa"/>
            <w:tcBorders>
              <w:top w:val="single" w:sz="4" w:space="0" w:color="auto"/>
              <w:left w:val="single" w:sz="4" w:space="0" w:color="auto"/>
              <w:bottom w:val="single" w:sz="4" w:space="0" w:color="auto"/>
              <w:right w:val="single" w:sz="4" w:space="0" w:color="auto"/>
            </w:tcBorders>
          </w:tcPr>
          <w:p w14:paraId="2E98E162" w14:textId="0696DE16" w:rsidR="00284DCB" w:rsidRPr="00284DCB" w:rsidRDefault="00284DCB" w:rsidP="00284DCB">
            <w:pPr>
              <w:spacing w:before="20" w:after="20"/>
              <w:jc w:val="right"/>
              <w:rPr>
                <w:rFonts w:eastAsia="Calibri"/>
                <w:noProof/>
                <w:sz w:val="20"/>
                <w:szCs w:val="20"/>
              </w:rPr>
            </w:pPr>
            <w:r w:rsidRPr="00284DCB">
              <w:rPr>
                <w:noProof/>
                <w:sz w:val="20"/>
                <w:szCs w:val="20"/>
              </w:rPr>
              <w:t>6.55</w:t>
            </w:r>
          </w:p>
        </w:tc>
        <w:tc>
          <w:tcPr>
            <w:tcW w:w="868" w:type="dxa"/>
            <w:tcBorders>
              <w:top w:val="single" w:sz="4" w:space="0" w:color="auto"/>
              <w:left w:val="single" w:sz="4" w:space="0" w:color="auto"/>
              <w:bottom w:val="single" w:sz="4" w:space="0" w:color="auto"/>
              <w:right w:val="single" w:sz="4" w:space="0" w:color="auto"/>
            </w:tcBorders>
          </w:tcPr>
          <w:p w14:paraId="3A0B4791" w14:textId="022826FE" w:rsidR="00284DCB" w:rsidRPr="00284DCB" w:rsidRDefault="00284DCB" w:rsidP="00284DCB">
            <w:pPr>
              <w:spacing w:before="20" w:after="20"/>
              <w:jc w:val="right"/>
              <w:rPr>
                <w:rFonts w:eastAsia="Calibri"/>
                <w:noProof/>
                <w:sz w:val="20"/>
                <w:szCs w:val="20"/>
              </w:rPr>
            </w:pPr>
            <w:r w:rsidRPr="00284DCB">
              <w:rPr>
                <w:noProof/>
                <w:sz w:val="20"/>
                <w:szCs w:val="20"/>
              </w:rPr>
              <w:t>9.39</w:t>
            </w:r>
          </w:p>
        </w:tc>
        <w:tc>
          <w:tcPr>
            <w:tcW w:w="899" w:type="dxa"/>
            <w:tcBorders>
              <w:top w:val="single" w:sz="4" w:space="0" w:color="auto"/>
              <w:left w:val="single" w:sz="4" w:space="0" w:color="auto"/>
              <w:bottom w:val="single" w:sz="4" w:space="0" w:color="auto"/>
              <w:right w:val="single" w:sz="4" w:space="0" w:color="auto"/>
            </w:tcBorders>
          </w:tcPr>
          <w:p w14:paraId="5DC54CC8" w14:textId="77777777" w:rsidR="00284DCB" w:rsidRPr="00505A4A" w:rsidRDefault="00284DCB" w:rsidP="00284DCB">
            <w:pPr>
              <w:spacing w:before="20" w:after="20"/>
              <w:jc w:val="right"/>
              <w:rPr>
                <w:rFonts w:eastAsia="Calibri"/>
                <w:b/>
                <w:noProof/>
                <w:sz w:val="20"/>
              </w:rPr>
            </w:pPr>
          </w:p>
        </w:tc>
        <w:tc>
          <w:tcPr>
            <w:tcW w:w="1842" w:type="dxa"/>
            <w:tcBorders>
              <w:top w:val="single" w:sz="4" w:space="0" w:color="auto"/>
              <w:left w:val="single" w:sz="4" w:space="0" w:color="auto"/>
              <w:bottom w:val="single" w:sz="4" w:space="0" w:color="auto"/>
              <w:right w:val="single" w:sz="4" w:space="0" w:color="auto"/>
            </w:tcBorders>
          </w:tcPr>
          <w:p w14:paraId="751F7CF4" w14:textId="33209B72" w:rsidR="00284DCB" w:rsidRPr="00284DCB" w:rsidRDefault="00284DCB" w:rsidP="00284DCB">
            <w:pPr>
              <w:spacing w:before="20" w:after="20"/>
              <w:jc w:val="right"/>
              <w:rPr>
                <w:rFonts w:eastAsia="Calibri"/>
                <w:b/>
                <w:noProof/>
                <w:sz w:val="20"/>
              </w:rPr>
            </w:pPr>
            <w:r w:rsidRPr="00284DCB">
              <w:rPr>
                <w:b/>
                <w:noProof/>
              </w:rPr>
              <w:t>34.65</w:t>
            </w:r>
          </w:p>
        </w:tc>
      </w:tr>
    </w:tbl>
    <w:p w14:paraId="0EECE691" w14:textId="77777777" w:rsidR="009D4357" w:rsidRDefault="009D4357" w:rsidP="009D4357">
      <w:pPr>
        <w:pStyle w:val="Text2"/>
        <w:tabs>
          <w:tab w:val="left" w:pos="2302"/>
        </w:tabs>
        <w:spacing w:before="0" w:after="100"/>
        <w:rPr>
          <w:noProof/>
          <w:lang w:eastAsia="en-GB"/>
        </w:rPr>
      </w:pPr>
    </w:p>
    <w:p w14:paraId="3155F316" w14:textId="77777777" w:rsidR="009D4357" w:rsidRDefault="009D4357" w:rsidP="009D4357">
      <w:pPr>
        <w:pStyle w:val="Text2"/>
        <w:tabs>
          <w:tab w:val="left" w:pos="2302"/>
        </w:tabs>
        <w:spacing w:before="0" w:after="100"/>
        <w:rPr>
          <w:noProof/>
          <w:lang w:eastAsia="en-GB"/>
        </w:rPr>
      </w:pPr>
      <w:r w:rsidRPr="0086782D">
        <w:rPr>
          <w:noProof/>
          <w:lang w:eastAsia="en-GB"/>
        </w:rPr>
        <w:t xml:space="preserve">Comment: </w:t>
      </w:r>
      <w:r>
        <w:rPr>
          <w:noProof/>
          <w:lang w:eastAsia="en-GB"/>
        </w:rPr>
        <w:t>The</w:t>
      </w:r>
      <w:r w:rsidRPr="0086782D">
        <w:rPr>
          <w:noProof/>
          <w:lang w:eastAsia="en-GB"/>
        </w:rPr>
        <w:t xml:space="preserve"> appropriations requested in the context of th</w:t>
      </w:r>
      <w:r>
        <w:rPr>
          <w:noProof/>
          <w:lang w:eastAsia="en-GB"/>
        </w:rPr>
        <w:t>is</w:t>
      </w:r>
      <w:r w:rsidRPr="0086782D">
        <w:rPr>
          <w:noProof/>
          <w:lang w:eastAsia="en-GB"/>
        </w:rPr>
        <w:t xml:space="preserve"> proposal </w:t>
      </w:r>
      <w:r>
        <w:rPr>
          <w:noProof/>
          <w:lang w:eastAsia="en-GB"/>
        </w:rPr>
        <w:t>will be</w:t>
      </w:r>
      <w:r w:rsidRPr="0086782D">
        <w:rPr>
          <w:noProof/>
          <w:lang w:eastAsia="en-GB"/>
        </w:rPr>
        <w:t xml:space="preserve"> covered by appropriations already foreseen in the LFS underlying the ISF Regulation. No additional financial or human resources are requested in the context of this legislative proposal.</w:t>
      </w:r>
    </w:p>
    <w:p w14:paraId="495B657D" w14:textId="77777777" w:rsidR="009D4357" w:rsidRDefault="009D4357" w:rsidP="009D4357">
      <w:pPr>
        <w:pStyle w:val="Text2"/>
        <w:tabs>
          <w:tab w:val="left" w:pos="2302"/>
        </w:tabs>
        <w:spacing w:before="0" w:after="100"/>
        <w:rPr>
          <w:noProof/>
          <w:lang w:eastAsia="en-GB"/>
        </w:rPr>
      </w:pPr>
    </w:p>
    <w:p w14:paraId="525145B9" w14:textId="77777777" w:rsidR="009D4357" w:rsidRPr="0056090D" w:rsidRDefault="009D4357" w:rsidP="009D4357">
      <w:pPr>
        <w:pStyle w:val="Text2"/>
        <w:tabs>
          <w:tab w:val="left" w:pos="2302"/>
        </w:tabs>
        <w:spacing w:before="0" w:after="100"/>
        <w:rPr>
          <w:noProof/>
          <w:sz w:val="32"/>
          <w:szCs w:val="32"/>
        </w:rPr>
      </w:pPr>
      <w:r w:rsidRPr="0056090D">
        <w:rPr>
          <w:noProof/>
          <w:lang w:eastAsia="en-GB"/>
        </w:rPr>
        <w:t>The costs</w:t>
      </w:r>
      <w:r w:rsidRPr="00D6711C">
        <w:rPr>
          <w:noProof/>
        </w:rPr>
        <w:t xml:space="preserve"> per</w:t>
      </w:r>
      <w:r>
        <w:rPr>
          <w:noProof/>
        </w:rPr>
        <w:t xml:space="preserve"> Member State include:</w:t>
      </w:r>
    </w:p>
    <w:p w14:paraId="12ECB7D5" w14:textId="7EE7CD38" w:rsidR="009D4357" w:rsidRPr="00FD158F" w:rsidRDefault="009D4357" w:rsidP="00926358">
      <w:pPr>
        <w:pStyle w:val="Bullet0"/>
        <w:numPr>
          <w:ilvl w:val="0"/>
          <w:numId w:val="63"/>
        </w:numPr>
        <w:rPr>
          <w:noProof/>
          <w:sz w:val="32"/>
          <w:szCs w:val="32"/>
        </w:rPr>
      </w:pPr>
      <w:r w:rsidRPr="00FD158F">
        <w:rPr>
          <w:noProof/>
        </w:rPr>
        <w:t>upgrading their infrastructure to support the exchange of web services and set up the connection with the central router, implying efforts to analyse and define the new architectural landscape;</w:t>
      </w:r>
    </w:p>
    <w:p w14:paraId="1E550FE4" w14:textId="592089B5" w:rsidR="009D4357" w:rsidRPr="00FD158F" w:rsidRDefault="009D4357" w:rsidP="00556E60">
      <w:pPr>
        <w:pStyle w:val="Bullet0"/>
        <w:rPr>
          <w:noProof/>
          <w:sz w:val="40"/>
          <w:szCs w:val="40"/>
        </w:rPr>
      </w:pPr>
      <w:r w:rsidRPr="00FD158F">
        <w:rPr>
          <w:noProof/>
        </w:rPr>
        <w:t>upgrading their infrastructure to support the exchange of web services and set up the connection with the central router;</w:t>
      </w:r>
    </w:p>
    <w:p w14:paraId="404F696E" w14:textId="1FF62BE2" w:rsidR="009D4357" w:rsidRPr="00FD158F" w:rsidRDefault="009D4357" w:rsidP="00556E60">
      <w:pPr>
        <w:pStyle w:val="Bullet0"/>
        <w:rPr>
          <w:noProof/>
        </w:rPr>
      </w:pPr>
      <w:r w:rsidRPr="00FD158F">
        <w:rPr>
          <w:noProof/>
        </w:rPr>
        <w:t>configuring a web service exchange system and the setup of the connection with the central router;</w:t>
      </w:r>
    </w:p>
    <w:p w14:paraId="418C855D" w14:textId="50BCC260" w:rsidR="009D4357" w:rsidRPr="0094560A" w:rsidRDefault="009D4357" w:rsidP="00556E60">
      <w:pPr>
        <w:pStyle w:val="Bullet0"/>
        <w:rPr>
          <w:noProof/>
          <w:sz w:val="32"/>
          <w:szCs w:val="32"/>
        </w:rPr>
      </w:pPr>
      <w:r>
        <w:rPr>
          <w:noProof/>
        </w:rPr>
        <w:t>designing</w:t>
      </w:r>
      <w:r w:rsidRPr="00923CD7">
        <w:rPr>
          <w:noProof/>
        </w:rPr>
        <w:t xml:space="preserve"> a new national </w:t>
      </w:r>
      <w:r w:rsidRPr="00013418">
        <w:rPr>
          <w:noProof/>
        </w:rPr>
        <w:t>architecture</w:t>
      </w:r>
      <w:r w:rsidRPr="00923CD7">
        <w:rPr>
          <w:noProof/>
        </w:rPr>
        <w:t xml:space="preserve"> and the specifications to ensure the access of national data through the developed solution</w:t>
      </w:r>
      <w:r>
        <w:rPr>
          <w:noProof/>
        </w:rPr>
        <w:t>s (router and EPRIS);</w:t>
      </w:r>
    </w:p>
    <w:p w14:paraId="46E529E9" w14:textId="7D2F72F7" w:rsidR="009D4357" w:rsidRPr="0056090D" w:rsidRDefault="009D4357" w:rsidP="00556E60">
      <w:pPr>
        <w:pStyle w:val="Bullet0"/>
        <w:rPr>
          <w:noProof/>
          <w:sz w:val="40"/>
          <w:szCs w:val="40"/>
        </w:rPr>
      </w:pPr>
      <w:r>
        <w:rPr>
          <w:noProof/>
        </w:rPr>
        <w:t xml:space="preserve">setting up </w:t>
      </w:r>
      <w:r w:rsidRPr="00923CD7">
        <w:rPr>
          <w:noProof/>
        </w:rPr>
        <w:t xml:space="preserve">a new index or </w:t>
      </w:r>
      <w:r>
        <w:rPr>
          <w:noProof/>
        </w:rPr>
        <w:t>making</w:t>
      </w:r>
      <w:r w:rsidRPr="00923CD7">
        <w:rPr>
          <w:noProof/>
        </w:rPr>
        <w:t xml:space="preserve"> an already existing index available</w:t>
      </w:r>
      <w:r>
        <w:rPr>
          <w:noProof/>
        </w:rPr>
        <w:t xml:space="preserve"> for police record exchange;</w:t>
      </w:r>
    </w:p>
    <w:p w14:paraId="6085A36A" w14:textId="4A4EE384" w:rsidR="009D4357" w:rsidRPr="0094560A" w:rsidRDefault="009D4357" w:rsidP="00556E60">
      <w:pPr>
        <w:pStyle w:val="Bullet0"/>
        <w:rPr>
          <w:noProof/>
          <w:sz w:val="40"/>
          <w:szCs w:val="40"/>
        </w:rPr>
      </w:pPr>
      <w:r>
        <w:rPr>
          <w:noProof/>
        </w:rPr>
        <w:t xml:space="preserve">setting up </w:t>
      </w:r>
      <w:r w:rsidRPr="00923CD7">
        <w:rPr>
          <w:noProof/>
        </w:rPr>
        <w:t xml:space="preserve">a new </w:t>
      </w:r>
      <w:r>
        <w:rPr>
          <w:noProof/>
        </w:rPr>
        <w:t>facial images database</w:t>
      </w:r>
      <w:r w:rsidRPr="00923CD7">
        <w:rPr>
          <w:noProof/>
        </w:rPr>
        <w:t xml:space="preserve"> or </w:t>
      </w:r>
      <w:r>
        <w:rPr>
          <w:noProof/>
        </w:rPr>
        <w:t>making</w:t>
      </w:r>
      <w:r w:rsidRPr="00923CD7">
        <w:rPr>
          <w:noProof/>
        </w:rPr>
        <w:t xml:space="preserve"> an already existing </w:t>
      </w:r>
      <w:r>
        <w:rPr>
          <w:noProof/>
        </w:rPr>
        <w:t xml:space="preserve">facial images database </w:t>
      </w:r>
      <w:r w:rsidRPr="00923CD7">
        <w:rPr>
          <w:noProof/>
        </w:rPr>
        <w:t>available</w:t>
      </w:r>
      <w:r>
        <w:rPr>
          <w:noProof/>
        </w:rPr>
        <w:t xml:space="preserve"> for exchange</w:t>
      </w:r>
      <w:r w:rsidRPr="00923CD7">
        <w:rPr>
          <w:noProof/>
        </w:rPr>
        <w:t xml:space="preserve">. </w:t>
      </w:r>
    </w:p>
    <w:p w14:paraId="01DAF633" w14:textId="4189C8E0" w:rsidR="009D4357" w:rsidRDefault="009D4357" w:rsidP="00556E60">
      <w:pPr>
        <w:pStyle w:val="Bullet0"/>
        <w:rPr>
          <w:noProof/>
        </w:rPr>
      </w:pPr>
      <w:r>
        <w:rPr>
          <w:noProof/>
        </w:rPr>
        <w:t>integrating</w:t>
      </w:r>
      <w:r w:rsidRPr="00923CD7">
        <w:rPr>
          <w:noProof/>
        </w:rPr>
        <w:t xml:space="preserve"> the national solution</w:t>
      </w:r>
      <w:r>
        <w:rPr>
          <w:noProof/>
        </w:rPr>
        <w:t>;</w:t>
      </w:r>
    </w:p>
    <w:p w14:paraId="4823AA17" w14:textId="422EB33C" w:rsidR="009D4357" w:rsidRDefault="009D4357" w:rsidP="00556E60">
      <w:pPr>
        <w:pStyle w:val="Bullet0"/>
        <w:rPr>
          <w:noProof/>
        </w:rPr>
      </w:pPr>
      <w:r>
        <w:rPr>
          <w:noProof/>
        </w:rPr>
        <w:t>generic costs linked to project management.</w:t>
      </w:r>
    </w:p>
    <w:p w14:paraId="1B410A9A" w14:textId="77777777" w:rsidR="009D4357" w:rsidRDefault="009D4357" w:rsidP="009D4357">
      <w:pPr>
        <w:pStyle w:val="Text2"/>
        <w:tabs>
          <w:tab w:val="left" w:pos="2302"/>
        </w:tabs>
        <w:spacing w:before="0" w:after="100"/>
        <w:rPr>
          <w:noProof/>
        </w:rPr>
      </w:pPr>
      <w:r>
        <w:rPr>
          <w:noProof/>
        </w:rPr>
        <w:t>The following table indicates the costs per category:</w:t>
      </w:r>
    </w:p>
    <w:p w14:paraId="2940830C" w14:textId="77777777" w:rsidR="009D4357" w:rsidRDefault="009D4357" w:rsidP="009D4357">
      <w:pPr>
        <w:pStyle w:val="Text2"/>
        <w:tabs>
          <w:tab w:val="left" w:pos="2302"/>
        </w:tabs>
        <w:spacing w:before="0" w:after="100"/>
        <w:rPr>
          <w:noProof/>
        </w:rPr>
      </w:pPr>
    </w:p>
    <w:p w14:paraId="2AF039AE" w14:textId="77777777" w:rsidR="009D4357" w:rsidRDefault="009D4357" w:rsidP="009D4357">
      <w:pPr>
        <w:pStyle w:val="Text2"/>
        <w:tabs>
          <w:tab w:val="left" w:pos="2302"/>
        </w:tabs>
        <w:spacing w:before="0" w:after="100"/>
        <w:rPr>
          <w:noProof/>
        </w:rPr>
      </w:pPr>
    </w:p>
    <w:p w14:paraId="5CE18547" w14:textId="77777777" w:rsidR="009D4357" w:rsidRPr="00923CD7" w:rsidRDefault="009D4357" w:rsidP="009D4357">
      <w:pPr>
        <w:pStyle w:val="Text2"/>
        <w:tabs>
          <w:tab w:val="left" w:pos="2302"/>
        </w:tabs>
        <w:spacing w:before="0" w:after="100"/>
        <w:rPr>
          <w:noProof/>
        </w:rPr>
      </w:pPr>
    </w:p>
    <w:tbl>
      <w:tblPr>
        <w:tblW w:w="10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721"/>
        <w:gridCol w:w="659"/>
        <w:gridCol w:w="303"/>
        <w:gridCol w:w="637"/>
        <w:gridCol w:w="453"/>
        <w:gridCol w:w="720"/>
        <w:gridCol w:w="390"/>
        <w:gridCol w:w="840"/>
        <w:gridCol w:w="596"/>
        <w:gridCol w:w="840"/>
        <w:gridCol w:w="596"/>
        <w:gridCol w:w="772"/>
        <w:gridCol w:w="596"/>
        <w:gridCol w:w="1320"/>
      </w:tblGrid>
      <w:tr w:rsidR="009D4357" w:rsidRPr="008D71CC" w14:paraId="5B245FCB" w14:textId="77777777" w:rsidTr="00CE3F2A">
        <w:trPr>
          <w:jc w:val="center"/>
        </w:trPr>
        <w:tc>
          <w:tcPr>
            <w:tcW w:w="1422" w:type="dxa"/>
            <w:vMerge w:val="restart"/>
            <w:tcBorders>
              <w:top w:val="single" w:sz="12" w:space="0" w:color="auto"/>
              <w:left w:val="single" w:sz="12" w:space="0" w:color="auto"/>
            </w:tcBorders>
            <w:vAlign w:val="center"/>
          </w:tcPr>
          <w:p w14:paraId="52C2D00E" w14:textId="77777777" w:rsidR="009D4357" w:rsidRPr="008D71CC" w:rsidRDefault="009D4357" w:rsidP="00CE3F2A">
            <w:pPr>
              <w:ind w:right="-29"/>
              <w:jc w:val="center"/>
              <w:rPr>
                <w:b/>
                <w:noProof/>
                <w:sz w:val="18"/>
                <w:szCs w:val="18"/>
              </w:rPr>
            </w:pPr>
            <w:r w:rsidRPr="008D71CC">
              <w:rPr>
                <w:b/>
                <w:noProof/>
                <w:sz w:val="18"/>
              </w:rPr>
              <w:t xml:space="preserve">Indicate objectives and outputs </w:t>
            </w:r>
          </w:p>
          <w:p w14:paraId="16B48C12" w14:textId="77777777" w:rsidR="009D4357" w:rsidRPr="008D71CC" w:rsidRDefault="009D4357" w:rsidP="00CE3F2A">
            <w:pPr>
              <w:ind w:right="-29"/>
              <w:jc w:val="center"/>
              <w:rPr>
                <w:b/>
                <w:noProof/>
                <w:sz w:val="18"/>
                <w:szCs w:val="18"/>
              </w:rPr>
            </w:pPr>
            <w:r w:rsidRPr="008D71CC">
              <w:rPr>
                <w:b/>
                <w:noProof/>
                <w:sz w:val="18"/>
                <w:szCs w:val="18"/>
              </w:rPr>
              <w:t>DG Home</w:t>
            </w:r>
          </w:p>
          <w:p w14:paraId="276E3FFE" w14:textId="77777777" w:rsidR="009D4357" w:rsidRPr="008D71CC" w:rsidRDefault="009D4357" w:rsidP="00CE3F2A">
            <w:pPr>
              <w:ind w:right="-29"/>
              <w:jc w:val="center"/>
              <w:rPr>
                <w:noProof/>
                <w:sz w:val="18"/>
                <w:szCs w:val="18"/>
              </w:rPr>
            </w:pPr>
            <w:r w:rsidRPr="008D71CC">
              <w:rPr>
                <w:noProof/>
                <w:sz w:val="18"/>
              </w:rPr>
              <w:sym w:font="Wingdings" w:char="F0F2"/>
            </w:r>
          </w:p>
        </w:tc>
        <w:tc>
          <w:tcPr>
            <w:tcW w:w="721" w:type="dxa"/>
            <w:tcBorders>
              <w:top w:val="single" w:sz="12" w:space="0" w:color="auto"/>
            </w:tcBorders>
            <w:vAlign w:val="center"/>
          </w:tcPr>
          <w:p w14:paraId="4B99C89E" w14:textId="77777777" w:rsidR="009D4357" w:rsidRPr="008D71CC" w:rsidRDefault="009D4357" w:rsidP="00CE3F2A">
            <w:pPr>
              <w:ind w:right="-29"/>
              <w:jc w:val="center"/>
              <w:rPr>
                <w:noProof/>
                <w:sz w:val="18"/>
                <w:szCs w:val="18"/>
              </w:rPr>
            </w:pPr>
          </w:p>
        </w:tc>
        <w:tc>
          <w:tcPr>
            <w:tcW w:w="659" w:type="dxa"/>
            <w:tcBorders>
              <w:top w:val="single" w:sz="12" w:space="0" w:color="auto"/>
            </w:tcBorders>
            <w:vAlign w:val="center"/>
          </w:tcPr>
          <w:p w14:paraId="65B22AF7" w14:textId="77777777" w:rsidR="009D4357" w:rsidRPr="008D71CC" w:rsidRDefault="009D4357" w:rsidP="00CE3F2A">
            <w:pPr>
              <w:ind w:right="-29"/>
              <w:jc w:val="center"/>
              <w:rPr>
                <w:noProof/>
                <w:sz w:val="18"/>
                <w:szCs w:val="18"/>
              </w:rPr>
            </w:pPr>
          </w:p>
        </w:tc>
        <w:tc>
          <w:tcPr>
            <w:tcW w:w="940" w:type="dxa"/>
            <w:gridSpan w:val="2"/>
            <w:tcBorders>
              <w:top w:val="single" w:sz="12" w:space="0" w:color="auto"/>
              <w:right w:val="single" w:sz="4" w:space="0" w:color="auto"/>
            </w:tcBorders>
            <w:vAlign w:val="center"/>
          </w:tcPr>
          <w:p w14:paraId="7F273033" w14:textId="77777777" w:rsidR="009D4357" w:rsidRPr="008D71CC" w:rsidRDefault="009D4357" w:rsidP="00CE3F2A">
            <w:pPr>
              <w:ind w:right="-29"/>
              <w:jc w:val="center"/>
              <w:rPr>
                <w:noProof/>
                <w:sz w:val="18"/>
                <w:szCs w:val="18"/>
              </w:rPr>
            </w:pPr>
            <w:r w:rsidRPr="008D71CC">
              <w:rPr>
                <w:noProof/>
                <w:sz w:val="18"/>
              </w:rPr>
              <w:t>Year</w:t>
            </w:r>
            <w:r w:rsidRPr="008D71CC">
              <w:rPr>
                <w:noProof/>
              </w:rPr>
              <w:br/>
            </w:r>
            <w:r w:rsidRPr="008D71CC">
              <w:rPr>
                <w:b/>
                <w:noProof/>
                <w:sz w:val="18"/>
              </w:rPr>
              <w:t>20</w:t>
            </w:r>
            <w:r>
              <w:rPr>
                <w:b/>
                <w:noProof/>
                <w:sz w:val="18"/>
              </w:rPr>
              <w:t>23</w:t>
            </w:r>
          </w:p>
        </w:tc>
        <w:tc>
          <w:tcPr>
            <w:tcW w:w="1173" w:type="dxa"/>
            <w:gridSpan w:val="2"/>
            <w:tcBorders>
              <w:top w:val="single" w:sz="12" w:space="0" w:color="auto"/>
              <w:left w:val="single" w:sz="4" w:space="0" w:color="auto"/>
            </w:tcBorders>
            <w:vAlign w:val="center"/>
          </w:tcPr>
          <w:p w14:paraId="1D711901" w14:textId="77777777" w:rsidR="009D4357" w:rsidRPr="008D71CC" w:rsidRDefault="009D4357" w:rsidP="00CE3F2A">
            <w:pPr>
              <w:ind w:right="-29"/>
              <w:jc w:val="center"/>
              <w:rPr>
                <w:noProof/>
                <w:sz w:val="18"/>
                <w:szCs w:val="18"/>
              </w:rPr>
            </w:pPr>
            <w:r w:rsidRPr="008D71CC">
              <w:rPr>
                <w:noProof/>
                <w:sz w:val="18"/>
              </w:rPr>
              <w:t>Year</w:t>
            </w:r>
            <w:r w:rsidRPr="008D71CC">
              <w:rPr>
                <w:noProof/>
              </w:rPr>
              <w:br/>
            </w:r>
            <w:r>
              <w:rPr>
                <w:b/>
                <w:noProof/>
                <w:sz w:val="18"/>
              </w:rPr>
              <w:t>2024</w:t>
            </w:r>
          </w:p>
        </w:tc>
        <w:tc>
          <w:tcPr>
            <w:tcW w:w="1230" w:type="dxa"/>
            <w:gridSpan w:val="2"/>
            <w:tcBorders>
              <w:top w:val="single" w:sz="12" w:space="0" w:color="auto"/>
            </w:tcBorders>
            <w:vAlign w:val="center"/>
          </w:tcPr>
          <w:p w14:paraId="16D8F43D" w14:textId="77777777" w:rsidR="009D4357" w:rsidRPr="008D71CC" w:rsidRDefault="009D4357" w:rsidP="00CE3F2A">
            <w:pPr>
              <w:ind w:right="-29"/>
              <w:jc w:val="center"/>
              <w:rPr>
                <w:noProof/>
                <w:sz w:val="18"/>
                <w:szCs w:val="18"/>
              </w:rPr>
            </w:pPr>
            <w:r w:rsidRPr="008D71CC">
              <w:rPr>
                <w:noProof/>
                <w:sz w:val="18"/>
              </w:rPr>
              <w:t>Year</w:t>
            </w:r>
            <w:r w:rsidRPr="008D71CC">
              <w:rPr>
                <w:noProof/>
              </w:rPr>
              <w:br/>
            </w:r>
            <w:r w:rsidRPr="008D71CC">
              <w:rPr>
                <w:b/>
                <w:noProof/>
                <w:sz w:val="18"/>
              </w:rPr>
              <w:t>202</w:t>
            </w:r>
            <w:r>
              <w:rPr>
                <w:b/>
                <w:noProof/>
                <w:sz w:val="18"/>
              </w:rPr>
              <w:t>5</w:t>
            </w:r>
          </w:p>
        </w:tc>
        <w:tc>
          <w:tcPr>
            <w:tcW w:w="1436" w:type="dxa"/>
            <w:gridSpan w:val="2"/>
            <w:tcBorders>
              <w:top w:val="single" w:sz="12" w:space="0" w:color="auto"/>
            </w:tcBorders>
            <w:vAlign w:val="center"/>
          </w:tcPr>
          <w:p w14:paraId="1C1E7678" w14:textId="77777777" w:rsidR="009D4357" w:rsidRPr="008D71CC" w:rsidRDefault="009D4357" w:rsidP="00CE3F2A">
            <w:pPr>
              <w:ind w:right="-29"/>
              <w:jc w:val="center"/>
              <w:rPr>
                <w:noProof/>
                <w:sz w:val="18"/>
                <w:szCs w:val="18"/>
              </w:rPr>
            </w:pPr>
            <w:r w:rsidRPr="008D71CC">
              <w:rPr>
                <w:noProof/>
                <w:sz w:val="18"/>
              </w:rPr>
              <w:t>Year</w:t>
            </w:r>
            <w:r w:rsidRPr="008D71CC">
              <w:rPr>
                <w:noProof/>
              </w:rPr>
              <w:br/>
            </w:r>
            <w:r w:rsidRPr="008D71CC">
              <w:rPr>
                <w:b/>
                <w:noProof/>
                <w:sz w:val="18"/>
              </w:rPr>
              <w:t>202</w:t>
            </w:r>
            <w:r>
              <w:rPr>
                <w:b/>
                <w:noProof/>
                <w:sz w:val="18"/>
              </w:rPr>
              <w:t>6</w:t>
            </w:r>
          </w:p>
        </w:tc>
        <w:tc>
          <w:tcPr>
            <w:tcW w:w="1368" w:type="dxa"/>
            <w:gridSpan w:val="2"/>
            <w:tcBorders>
              <w:top w:val="single" w:sz="12" w:space="0" w:color="auto"/>
            </w:tcBorders>
            <w:vAlign w:val="center"/>
          </w:tcPr>
          <w:p w14:paraId="57B396CF" w14:textId="77777777" w:rsidR="009D4357" w:rsidRPr="008D71CC" w:rsidRDefault="009D4357" w:rsidP="00CE3F2A">
            <w:pPr>
              <w:jc w:val="center"/>
              <w:rPr>
                <w:noProof/>
                <w:sz w:val="18"/>
                <w:szCs w:val="18"/>
              </w:rPr>
            </w:pPr>
            <w:r w:rsidRPr="008D71CC">
              <w:rPr>
                <w:noProof/>
                <w:sz w:val="18"/>
              </w:rPr>
              <w:t>Year</w:t>
            </w:r>
            <w:r w:rsidRPr="008D71CC">
              <w:rPr>
                <w:noProof/>
              </w:rPr>
              <w:br/>
            </w:r>
            <w:r w:rsidRPr="008D71CC">
              <w:rPr>
                <w:b/>
                <w:noProof/>
                <w:sz w:val="18"/>
              </w:rPr>
              <w:t>202</w:t>
            </w:r>
            <w:r>
              <w:rPr>
                <w:b/>
                <w:noProof/>
                <w:sz w:val="18"/>
              </w:rPr>
              <w:t>7</w:t>
            </w:r>
          </w:p>
        </w:tc>
        <w:tc>
          <w:tcPr>
            <w:tcW w:w="1916" w:type="dxa"/>
            <w:gridSpan w:val="2"/>
            <w:tcBorders>
              <w:top w:val="single" w:sz="12" w:space="0" w:color="auto"/>
              <w:left w:val="single" w:sz="6" w:space="0" w:color="auto"/>
              <w:bottom w:val="single" w:sz="4" w:space="0" w:color="auto"/>
              <w:right w:val="single" w:sz="12" w:space="0" w:color="auto"/>
            </w:tcBorders>
            <w:vAlign w:val="center"/>
          </w:tcPr>
          <w:p w14:paraId="1FAD6C67" w14:textId="77777777" w:rsidR="009D4357" w:rsidRPr="008D71CC" w:rsidRDefault="009D4357" w:rsidP="00CE3F2A">
            <w:pPr>
              <w:ind w:right="-29"/>
              <w:jc w:val="center"/>
              <w:rPr>
                <w:noProof/>
                <w:sz w:val="18"/>
                <w:szCs w:val="18"/>
              </w:rPr>
            </w:pPr>
            <w:r w:rsidRPr="008D71CC">
              <w:rPr>
                <w:b/>
                <w:noProof/>
                <w:sz w:val="18"/>
              </w:rPr>
              <w:t>TOTAL</w:t>
            </w:r>
          </w:p>
        </w:tc>
      </w:tr>
      <w:tr w:rsidR="009D4357" w:rsidRPr="008D71CC" w14:paraId="309A165D" w14:textId="77777777" w:rsidTr="00CE3F2A">
        <w:trPr>
          <w:gridAfter w:val="14"/>
          <w:wAfter w:w="9443" w:type="dxa"/>
          <w:trHeight w:val="465"/>
          <w:jc w:val="center"/>
        </w:trPr>
        <w:tc>
          <w:tcPr>
            <w:tcW w:w="1422" w:type="dxa"/>
            <w:vMerge/>
            <w:tcBorders>
              <w:left w:val="single" w:sz="12" w:space="0" w:color="auto"/>
            </w:tcBorders>
            <w:vAlign w:val="center"/>
          </w:tcPr>
          <w:p w14:paraId="1D7BC750" w14:textId="77777777" w:rsidR="009D4357" w:rsidRPr="008D71CC" w:rsidRDefault="009D4357" w:rsidP="00CE3F2A">
            <w:pPr>
              <w:ind w:right="-29"/>
              <w:jc w:val="center"/>
              <w:rPr>
                <w:noProof/>
                <w:sz w:val="18"/>
                <w:szCs w:val="18"/>
              </w:rPr>
            </w:pPr>
          </w:p>
        </w:tc>
      </w:tr>
      <w:tr w:rsidR="009D4357" w:rsidRPr="008D71CC" w14:paraId="142F8242" w14:textId="77777777" w:rsidTr="00CE3F2A">
        <w:trPr>
          <w:cantSplit/>
          <w:trHeight w:val="1134"/>
          <w:jc w:val="center"/>
        </w:trPr>
        <w:tc>
          <w:tcPr>
            <w:tcW w:w="1422" w:type="dxa"/>
            <w:vMerge/>
            <w:tcBorders>
              <w:left w:val="single" w:sz="12" w:space="0" w:color="auto"/>
            </w:tcBorders>
            <w:vAlign w:val="center"/>
          </w:tcPr>
          <w:p w14:paraId="2258C082" w14:textId="77777777" w:rsidR="009D4357" w:rsidRPr="008D71CC" w:rsidRDefault="009D4357" w:rsidP="00CE3F2A">
            <w:pPr>
              <w:rPr>
                <w:noProof/>
                <w:sz w:val="18"/>
                <w:szCs w:val="18"/>
              </w:rPr>
            </w:pPr>
          </w:p>
        </w:tc>
        <w:tc>
          <w:tcPr>
            <w:tcW w:w="1380" w:type="dxa"/>
            <w:gridSpan w:val="2"/>
            <w:tcBorders>
              <w:right w:val="single" w:sz="4" w:space="0" w:color="auto"/>
            </w:tcBorders>
            <w:vAlign w:val="center"/>
          </w:tcPr>
          <w:p w14:paraId="41DE0315" w14:textId="77777777" w:rsidR="009D4357" w:rsidRPr="008D71CC" w:rsidRDefault="009D4357" w:rsidP="00CE3F2A">
            <w:pPr>
              <w:jc w:val="center"/>
              <w:rPr>
                <w:noProof/>
                <w:sz w:val="18"/>
                <w:szCs w:val="18"/>
              </w:rPr>
            </w:pPr>
            <w:r w:rsidRPr="008D71CC">
              <w:rPr>
                <w:noProof/>
                <w:sz w:val="18"/>
              </w:rPr>
              <w:t>Type</w:t>
            </w:r>
          </w:p>
          <w:p w14:paraId="7D291DE2" w14:textId="77777777" w:rsidR="009D4357" w:rsidRPr="008D71CC" w:rsidRDefault="009D4357" w:rsidP="00CE3F2A">
            <w:pPr>
              <w:jc w:val="center"/>
              <w:rPr>
                <w:noProof/>
                <w:sz w:val="18"/>
                <w:szCs w:val="18"/>
              </w:rPr>
            </w:pPr>
          </w:p>
        </w:tc>
        <w:tc>
          <w:tcPr>
            <w:tcW w:w="303" w:type="dxa"/>
            <w:tcBorders>
              <w:top w:val="dotted" w:sz="4" w:space="0" w:color="auto"/>
              <w:left w:val="single" w:sz="4" w:space="0" w:color="auto"/>
              <w:bottom w:val="dotted" w:sz="4" w:space="0" w:color="auto"/>
              <w:right w:val="nil"/>
            </w:tcBorders>
            <w:shd w:val="pct10" w:color="auto" w:fill="auto"/>
            <w:textDirection w:val="btLr"/>
            <w:vAlign w:val="center"/>
          </w:tcPr>
          <w:p w14:paraId="2D6C5E77" w14:textId="77777777" w:rsidR="009D4357" w:rsidRPr="008D71CC" w:rsidRDefault="009D4357" w:rsidP="00CE3F2A">
            <w:pPr>
              <w:ind w:left="113" w:right="113"/>
              <w:jc w:val="center"/>
              <w:rPr>
                <w:noProof/>
                <w:sz w:val="18"/>
              </w:rPr>
            </w:pPr>
            <w:r w:rsidRPr="008D71CC">
              <w:rPr>
                <w:noProof/>
                <w:sz w:val="18"/>
              </w:rPr>
              <w:t>No</w:t>
            </w:r>
          </w:p>
        </w:tc>
        <w:tc>
          <w:tcPr>
            <w:tcW w:w="637" w:type="dxa"/>
            <w:tcBorders>
              <w:left w:val="nil"/>
              <w:right w:val="single" w:sz="4" w:space="0" w:color="auto"/>
            </w:tcBorders>
            <w:shd w:val="pct10" w:color="auto" w:fill="auto"/>
            <w:vAlign w:val="center"/>
          </w:tcPr>
          <w:p w14:paraId="3170BC58" w14:textId="77777777" w:rsidR="009D4357" w:rsidRPr="008D71CC" w:rsidRDefault="009D4357" w:rsidP="00CE3F2A">
            <w:pPr>
              <w:jc w:val="center"/>
              <w:rPr>
                <w:noProof/>
                <w:sz w:val="18"/>
              </w:rPr>
            </w:pPr>
            <w:r w:rsidRPr="008D71CC">
              <w:rPr>
                <w:noProof/>
                <w:sz w:val="18"/>
              </w:rPr>
              <w:t>Cost</w:t>
            </w:r>
          </w:p>
        </w:tc>
        <w:tc>
          <w:tcPr>
            <w:tcW w:w="453" w:type="dxa"/>
            <w:tcBorders>
              <w:left w:val="single" w:sz="4" w:space="0" w:color="auto"/>
              <w:right w:val="dashSmallGap" w:sz="4" w:space="0" w:color="auto"/>
            </w:tcBorders>
            <w:shd w:val="pct10" w:color="auto" w:fill="auto"/>
            <w:textDirection w:val="btLr"/>
            <w:vAlign w:val="center"/>
          </w:tcPr>
          <w:p w14:paraId="4CF64FE3" w14:textId="77777777" w:rsidR="009D4357" w:rsidRPr="008D71CC" w:rsidRDefault="009D4357" w:rsidP="00CE3F2A">
            <w:pPr>
              <w:ind w:left="113" w:right="113"/>
              <w:jc w:val="center"/>
              <w:rPr>
                <w:noProof/>
                <w:sz w:val="18"/>
                <w:szCs w:val="18"/>
              </w:rPr>
            </w:pPr>
            <w:r w:rsidRPr="008D71CC">
              <w:rPr>
                <w:noProof/>
                <w:sz w:val="18"/>
              </w:rPr>
              <w:t>No</w:t>
            </w:r>
          </w:p>
        </w:tc>
        <w:tc>
          <w:tcPr>
            <w:tcW w:w="720" w:type="dxa"/>
            <w:tcBorders>
              <w:left w:val="dashSmallGap" w:sz="4" w:space="0" w:color="auto"/>
            </w:tcBorders>
            <w:shd w:val="pct10" w:color="auto" w:fill="auto"/>
            <w:vAlign w:val="center"/>
          </w:tcPr>
          <w:p w14:paraId="2063A217" w14:textId="77777777" w:rsidR="009D4357" w:rsidRPr="008D71CC" w:rsidRDefault="009D4357" w:rsidP="00CE3F2A">
            <w:pPr>
              <w:jc w:val="center"/>
              <w:rPr>
                <w:noProof/>
                <w:sz w:val="18"/>
                <w:szCs w:val="18"/>
              </w:rPr>
            </w:pPr>
            <w:r w:rsidRPr="008D71CC">
              <w:rPr>
                <w:noProof/>
                <w:sz w:val="18"/>
              </w:rPr>
              <w:t>Cost</w:t>
            </w:r>
          </w:p>
        </w:tc>
        <w:tc>
          <w:tcPr>
            <w:tcW w:w="390" w:type="dxa"/>
            <w:tcBorders>
              <w:right w:val="dashSmallGap" w:sz="4" w:space="0" w:color="auto"/>
            </w:tcBorders>
            <w:shd w:val="pct10" w:color="auto" w:fill="auto"/>
            <w:textDirection w:val="btLr"/>
            <w:vAlign w:val="center"/>
          </w:tcPr>
          <w:p w14:paraId="294E120A" w14:textId="77777777" w:rsidR="009D4357" w:rsidRPr="008D71CC" w:rsidRDefault="009D4357" w:rsidP="00CE3F2A">
            <w:pPr>
              <w:ind w:left="113" w:right="113"/>
              <w:jc w:val="center"/>
              <w:rPr>
                <w:noProof/>
                <w:sz w:val="18"/>
                <w:szCs w:val="18"/>
              </w:rPr>
            </w:pPr>
            <w:r w:rsidRPr="008D71CC">
              <w:rPr>
                <w:noProof/>
                <w:sz w:val="18"/>
              </w:rPr>
              <w:t>No</w:t>
            </w:r>
          </w:p>
        </w:tc>
        <w:tc>
          <w:tcPr>
            <w:tcW w:w="840" w:type="dxa"/>
            <w:tcBorders>
              <w:left w:val="dashSmallGap" w:sz="4" w:space="0" w:color="auto"/>
            </w:tcBorders>
            <w:shd w:val="pct10" w:color="auto" w:fill="auto"/>
            <w:vAlign w:val="center"/>
          </w:tcPr>
          <w:p w14:paraId="3316E0A0" w14:textId="77777777" w:rsidR="009D4357" w:rsidRPr="008D71CC" w:rsidRDefault="009D4357" w:rsidP="00CE3F2A">
            <w:pPr>
              <w:jc w:val="center"/>
              <w:rPr>
                <w:noProof/>
                <w:sz w:val="18"/>
                <w:szCs w:val="18"/>
              </w:rPr>
            </w:pPr>
            <w:r w:rsidRPr="008D71CC">
              <w:rPr>
                <w:noProof/>
                <w:sz w:val="18"/>
              </w:rPr>
              <w:t>Cost</w:t>
            </w:r>
          </w:p>
        </w:tc>
        <w:tc>
          <w:tcPr>
            <w:tcW w:w="596" w:type="dxa"/>
            <w:tcBorders>
              <w:right w:val="dashSmallGap" w:sz="4" w:space="0" w:color="auto"/>
            </w:tcBorders>
            <w:shd w:val="pct10" w:color="auto" w:fill="auto"/>
            <w:textDirection w:val="btLr"/>
            <w:vAlign w:val="center"/>
          </w:tcPr>
          <w:p w14:paraId="0FB42F8C" w14:textId="77777777" w:rsidR="009D4357" w:rsidRPr="008D71CC" w:rsidRDefault="009D4357" w:rsidP="00CE3F2A">
            <w:pPr>
              <w:ind w:left="113" w:right="113"/>
              <w:jc w:val="center"/>
              <w:rPr>
                <w:noProof/>
                <w:sz w:val="18"/>
                <w:szCs w:val="18"/>
              </w:rPr>
            </w:pPr>
            <w:r w:rsidRPr="008D71CC">
              <w:rPr>
                <w:noProof/>
                <w:sz w:val="18"/>
              </w:rPr>
              <w:t>No</w:t>
            </w:r>
          </w:p>
        </w:tc>
        <w:tc>
          <w:tcPr>
            <w:tcW w:w="840" w:type="dxa"/>
            <w:tcBorders>
              <w:left w:val="dashSmallGap" w:sz="4" w:space="0" w:color="auto"/>
            </w:tcBorders>
            <w:shd w:val="pct10" w:color="auto" w:fill="auto"/>
            <w:vAlign w:val="center"/>
          </w:tcPr>
          <w:p w14:paraId="0E90C409" w14:textId="77777777" w:rsidR="009D4357" w:rsidRPr="008D71CC" w:rsidRDefault="009D4357" w:rsidP="00CE3F2A">
            <w:pPr>
              <w:jc w:val="center"/>
              <w:rPr>
                <w:noProof/>
                <w:sz w:val="18"/>
                <w:szCs w:val="18"/>
              </w:rPr>
            </w:pPr>
            <w:r w:rsidRPr="008D71CC">
              <w:rPr>
                <w:noProof/>
                <w:sz w:val="18"/>
              </w:rPr>
              <w:t>Cost</w:t>
            </w:r>
          </w:p>
        </w:tc>
        <w:tc>
          <w:tcPr>
            <w:tcW w:w="596" w:type="dxa"/>
            <w:tcBorders>
              <w:right w:val="dashSmallGap" w:sz="4" w:space="0" w:color="auto"/>
            </w:tcBorders>
            <w:shd w:val="pct10" w:color="auto" w:fill="auto"/>
            <w:textDirection w:val="btLr"/>
            <w:vAlign w:val="center"/>
          </w:tcPr>
          <w:p w14:paraId="62BD4D42" w14:textId="77777777" w:rsidR="009D4357" w:rsidRPr="008D71CC" w:rsidRDefault="009D4357" w:rsidP="00CE3F2A">
            <w:pPr>
              <w:ind w:left="113" w:right="113"/>
              <w:jc w:val="center"/>
              <w:rPr>
                <w:noProof/>
                <w:sz w:val="18"/>
                <w:szCs w:val="18"/>
              </w:rPr>
            </w:pPr>
            <w:r w:rsidRPr="008D71CC">
              <w:rPr>
                <w:noProof/>
                <w:sz w:val="18"/>
              </w:rPr>
              <w:t>No</w:t>
            </w:r>
          </w:p>
        </w:tc>
        <w:tc>
          <w:tcPr>
            <w:tcW w:w="772" w:type="dxa"/>
            <w:tcBorders>
              <w:left w:val="dashSmallGap" w:sz="4" w:space="0" w:color="auto"/>
            </w:tcBorders>
            <w:shd w:val="pct10" w:color="auto" w:fill="auto"/>
            <w:vAlign w:val="center"/>
          </w:tcPr>
          <w:p w14:paraId="1349BB77" w14:textId="77777777" w:rsidR="009D4357" w:rsidRPr="008D71CC" w:rsidRDefault="009D4357" w:rsidP="00CE3F2A">
            <w:pPr>
              <w:jc w:val="center"/>
              <w:rPr>
                <w:noProof/>
                <w:sz w:val="18"/>
                <w:szCs w:val="18"/>
              </w:rPr>
            </w:pPr>
            <w:r w:rsidRPr="008D71CC">
              <w:rPr>
                <w:noProof/>
                <w:sz w:val="18"/>
              </w:rPr>
              <w:t>Cost</w:t>
            </w:r>
          </w:p>
        </w:tc>
        <w:tc>
          <w:tcPr>
            <w:tcW w:w="596" w:type="dxa"/>
            <w:tcBorders>
              <w:right w:val="dashSmallGap" w:sz="4" w:space="0" w:color="auto"/>
            </w:tcBorders>
            <w:shd w:val="pct10" w:color="auto" w:fill="auto"/>
            <w:textDirection w:val="btLr"/>
            <w:vAlign w:val="center"/>
          </w:tcPr>
          <w:p w14:paraId="0EA97995" w14:textId="77777777" w:rsidR="009D4357" w:rsidRPr="008D71CC" w:rsidRDefault="009D4357" w:rsidP="00CE3F2A">
            <w:pPr>
              <w:ind w:left="113" w:right="113"/>
              <w:jc w:val="center"/>
              <w:rPr>
                <w:noProof/>
                <w:sz w:val="18"/>
                <w:szCs w:val="18"/>
              </w:rPr>
            </w:pPr>
            <w:r w:rsidRPr="008D71CC">
              <w:rPr>
                <w:noProof/>
                <w:sz w:val="18"/>
              </w:rPr>
              <w:t>Total No</w:t>
            </w:r>
          </w:p>
        </w:tc>
        <w:tc>
          <w:tcPr>
            <w:tcW w:w="1320" w:type="dxa"/>
            <w:tcBorders>
              <w:left w:val="dashSmallGap" w:sz="4" w:space="0" w:color="auto"/>
              <w:right w:val="single" w:sz="12" w:space="0" w:color="auto"/>
            </w:tcBorders>
            <w:shd w:val="pct10" w:color="auto" w:fill="auto"/>
            <w:vAlign w:val="center"/>
          </w:tcPr>
          <w:p w14:paraId="16AA0932" w14:textId="77777777" w:rsidR="009D4357" w:rsidRPr="008D71CC" w:rsidRDefault="009D4357" w:rsidP="00CE3F2A">
            <w:pPr>
              <w:jc w:val="center"/>
              <w:rPr>
                <w:noProof/>
                <w:sz w:val="18"/>
                <w:szCs w:val="18"/>
              </w:rPr>
            </w:pPr>
            <w:r w:rsidRPr="008D71CC">
              <w:rPr>
                <w:noProof/>
                <w:sz w:val="18"/>
              </w:rPr>
              <w:t>Total cost</w:t>
            </w:r>
          </w:p>
        </w:tc>
      </w:tr>
      <w:tr w:rsidR="009D4357" w:rsidRPr="008D71CC" w14:paraId="35D716D2" w14:textId="77777777" w:rsidTr="00CE3F2A">
        <w:trPr>
          <w:jc w:val="center"/>
        </w:trPr>
        <w:tc>
          <w:tcPr>
            <w:tcW w:w="2802" w:type="dxa"/>
            <w:gridSpan w:val="3"/>
            <w:tcBorders>
              <w:left w:val="single" w:sz="12" w:space="0" w:color="auto"/>
            </w:tcBorders>
            <w:vAlign w:val="center"/>
          </w:tcPr>
          <w:p w14:paraId="7DA4CF33" w14:textId="77777777" w:rsidR="009D4357" w:rsidRPr="008D71CC" w:rsidRDefault="009D4357" w:rsidP="00CE3F2A">
            <w:pPr>
              <w:spacing w:before="60" w:after="60"/>
              <w:ind w:right="-29"/>
              <w:jc w:val="center"/>
              <w:rPr>
                <w:noProof/>
                <w:sz w:val="18"/>
                <w:szCs w:val="18"/>
              </w:rPr>
            </w:pPr>
          </w:p>
        </w:tc>
        <w:tc>
          <w:tcPr>
            <w:tcW w:w="303" w:type="dxa"/>
            <w:tcBorders>
              <w:right w:val="nil"/>
            </w:tcBorders>
          </w:tcPr>
          <w:p w14:paraId="36ADE4B1" w14:textId="77777777" w:rsidR="009D4357" w:rsidRPr="008D71CC" w:rsidRDefault="009D4357" w:rsidP="00CE3F2A">
            <w:pPr>
              <w:spacing w:before="60" w:after="60"/>
              <w:ind w:right="-29"/>
              <w:jc w:val="center"/>
              <w:rPr>
                <w:noProof/>
                <w:sz w:val="18"/>
                <w:szCs w:val="18"/>
              </w:rPr>
            </w:pPr>
          </w:p>
        </w:tc>
        <w:tc>
          <w:tcPr>
            <w:tcW w:w="637" w:type="dxa"/>
            <w:tcBorders>
              <w:left w:val="nil"/>
              <w:bottom w:val="single" w:sz="4" w:space="0" w:color="auto"/>
            </w:tcBorders>
          </w:tcPr>
          <w:p w14:paraId="482B3C3B" w14:textId="77777777" w:rsidR="009D4357" w:rsidRPr="008D71CC" w:rsidRDefault="009D4357" w:rsidP="00CE3F2A">
            <w:pPr>
              <w:spacing w:before="60" w:after="60"/>
              <w:ind w:right="-29"/>
              <w:jc w:val="center"/>
              <w:rPr>
                <w:noProof/>
                <w:sz w:val="18"/>
                <w:szCs w:val="18"/>
              </w:rPr>
            </w:pPr>
          </w:p>
        </w:tc>
        <w:tc>
          <w:tcPr>
            <w:tcW w:w="453" w:type="dxa"/>
            <w:tcBorders>
              <w:top w:val="nil"/>
              <w:left w:val="nil"/>
              <w:bottom w:val="nil"/>
              <w:right w:val="nil"/>
            </w:tcBorders>
          </w:tcPr>
          <w:p w14:paraId="3DB28CC9" w14:textId="77777777" w:rsidR="009D4357" w:rsidRPr="008D71CC" w:rsidRDefault="009D4357" w:rsidP="00CE3F2A">
            <w:pPr>
              <w:spacing w:before="60" w:after="60"/>
              <w:ind w:right="-29"/>
              <w:jc w:val="center"/>
              <w:rPr>
                <w:noProof/>
                <w:sz w:val="18"/>
                <w:szCs w:val="18"/>
              </w:rPr>
            </w:pPr>
          </w:p>
        </w:tc>
        <w:tc>
          <w:tcPr>
            <w:tcW w:w="720" w:type="dxa"/>
            <w:tcBorders>
              <w:top w:val="nil"/>
              <w:left w:val="nil"/>
              <w:bottom w:val="nil"/>
              <w:right w:val="nil"/>
            </w:tcBorders>
          </w:tcPr>
          <w:p w14:paraId="05CFBD56" w14:textId="77777777" w:rsidR="009D4357" w:rsidRPr="008D71CC" w:rsidRDefault="009D4357" w:rsidP="00CE3F2A">
            <w:pPr>
              <w:spacing w:before="60" w:after="60"/>
              <w:ind w:right="-29"/>
              <w:jc w:val="center"/>
              <w:rPr>
                <w:noProof/>
                <w:sz w:val="18"/>
                <w:szCs w:val="18"/>
              </w:rPr>
            </w:pPr>
          </w:p>
        </w:tc>
        <w:tc>
          <w:tcPr>
            <w:tcW w:w="390" w:type="dxa"/>
            <w:tcBorders>
              <w:top w:val="nil"/>
              <w:left w:val="nil"/>
              <w:bottom w:val="nil"/>
              <w:right w:val="nil"/>
            </w:tcBorders>
          </w:tcPr>
          <w:p w14:paraId="0D9F3635" w14:textId="77777777" w:rsidR="009D4357" w:rsidRPr="008D71CC" w:rsidRDefault="009D4357" w:rsidP="00CE3F2A">
            <w:pPr>
              <w:spacing w:before="60" w:after="60"/>
              <w:ind w:right="-29"/>
              <w:jc w:val="center"/>
              <w:rPr>
                <w:noProof/>
                <w:sz w:val="18"/>
                <w:szCs w:val="18"/>
              </w:rPr>
            </w:pPr>
          </w:p>
        </w:tc>
        <w:tc>
          <w:tcPr>
            <w:tcW w:w="840" w:type="dxa"/>
            <w:tcBorders>
              <w:top w:val="nil"/>
              <w:left w:val="nil"/>
              <w:bottom w:val="nil"/>
              <w:right w:val="nil"/>
            </w:tcBorders>
          </w:tcPr>
          <w:p w14:paraId="2FEF37F1" w14:textId="77777777" w:rsidR="009D4357" w:rsidRPr="008D71CC" w:rsidRDefault="009D4357" w:rsidP="00CE3F2A">
            <w:pPr>
              <w:spacing w:before="60" w:after="60"/>
              <w:ind w:right="-29"/>
              <w:jc w:val="center"/>
              <w:rPr>
                <w:noProof/>
                <w:sz w:val="18"/>
                <w:szCs w:val="18"/>
              </w:rPr>
            </w:pPr>
          </w:p>
        </w:tc>
        <w:tc>
          <w:tcPr>
            <w:tcW w:w="596" w:type="dxa"/>
            <w:tcBorders>
              <w:top w:val="nil"/>
              <w:left w:val="nil"/>
              <w:bottom w:val="nil"/>
              <w:right w:val="nil"/>
            </w:tcBorders>
          </w:tcPr>
          <w:p w14:paraId="0741E43B" w14:textId="77777777" w:rsidR="009D4357" w:rsidRPr="008D71CC" w:rsidRDefault="009D4357" w:rsidP="00CE3F2A">
            <w:pPr>
              <w:spacing w:before="60" w:after="60"/>
              <w:ind w:right="-29"/>
              <w:jc w:val="center"/>
              <w:rPr>
                <w:noProof/>
                <w:sz w:val="18"/>
                <w:szCs w:val="18"/>
              </w:rPr>
            </w:pPr>
          </w:p>
        </w:tc>
        <w:tc>
          <w:tcPr>
            <w:tcW w:w="840" w:type="dxa"/>
            <w:tcBorders>
              <w:top w:val="nil"/>
              <w:left w:val="nil"/>
              <w:bottom w:val="nil"/>
              <w:right w:val="nil"/>
            </w:tcBorders>
          </w:tcPr>
          <w:p w14:paraId="05DD7072" w14:textId="77777777" w:rsidR="009D4357" w:rsidRPr="008D71CC" w:rsidRDefault="009D4357" w:rsidP="00CE3F2A">
            <w:pPr>
              <w:spacing w:before="60" w:after="60"/>
              <w:ind w:right="-29"/>
              <w:jc w:val="center"/>
              <w:rPr>
                <w:noProof/>
                <w:sz w:val="18"/>
                <w:szCs w:val="18"/>
              </w:rPr>
            </w:pPr>
          </w:p>
        </w:tc>
        <w:tc>
          <w:tcPr>
            <w:tcW w:w="596" w:type="dxa"/>
            <w:tcBorders>
              <w:top w:val="nil"/>
              <w:left w:val="nil"/>
              <w:bottom w:val="nil"/>
              <w:right w:val="nil"/>
            </w:tcBorders>
          </w:tcPr>
          <w:p w14:paraId="1B2F840F" w14:textId="77777777" w:rsidR="009D4357" w:rsidRPr="008D71CC" w:rsidRDefault="009D4357" w:rsidP="00CE3F2A">
            <w:pPr>
              <w:spacing w:before="60" w:after="60"/>
              <w:ind w:right="-29"/>
              <w:jc w:val="center"/>
              <w:rPr>
                <w:noProof/>
                <w:sz w:val="18"/>
                <w:szCs w:val="18"/>
              </w:rPr>
            </w:pPr>
          </w:p>
        </w:tc>
        <w:tc>
          <w:tcPr>
            <w:tcW w:w="772" w:type="dxa"/>
            <w:tcBorders>
              <w:top w:val="nil"/>
              <w:left w:val="nil"/>
              <w:bottom w:val="nil"/>
              <w:right w:val="nil"/>
            </w:tcBorders>
          </w:tcPr>
          <w:p w14:paraId="08E9E13C" w14:textId="77777777" w:rsidR="009D4357" w:rsidRPr="008D71CC" w:rsidRDefault="009D4357" w:rsidP="00CE3F2A">
            <w:pPr>
              <w:spacing w:before="60" w:after="60"/>
              <w:ind w:right="-29"/>
              <w:jc w:val="center"/>
              <w:rPr>
                <w:noProof/>
                <w:sz w:val="18"/>
                <w:szCs w:val="18"/>
              </w:rPr>
            </w:pPr>
          </w:p>
        </w:tc>
        <w:tc>
          <w:tcPr>
            <w:tcW w:w="596" w:type="dxa"/>
            <w:tcBorders>
              <w:top w:val="nil"/>
              <w:left w:val="nil"/>
              <w:bottom w:val="nil"/>
              <w:right w:val="nil"/>
            </w:tcBorders>
          </w:tcPr>
          <w:p w14:paraId="0F726D9A" w14:textId="77777777" w:rsidR="009D4357" w:rsidRPr="008D71CC" w:rsidRDefault="009D4357" w:rsidP="00CE3F2A">
            <w:pPr>
              <w:spacing w:before="60" w:after="60"/>
              <w:ind w:right="-29"/>
              <w:jc w:val="center"/>
              <w:rPr>
                <w:noProof/>
                <w:sz w:val="18"/>
                <w:szCs w:val="18"/>
              </w:rPr>
            </w:pPr>
          </w:p>
        </w:tc>
        <w:tc>
          <w:tcPr>
            <w:tcW w:w="1320" w:type="dxa"/>
            <w:tcBorders>
              <w:top w:val="nil"/>
              <w:left w:val="nil"/>
              <w:bottom w:val="single" w:sz="4" w:space="0" w:color="auto"/>
              <w:right w:val="single" w:sz="12" w:space="0" w:color="auto"/>
            </w:tcBorders>
          </w:tcPr>
          <w:p w14:paraId="33E36644" w14:textId="77777777" w:rsidR="009D4357" w:rsidRPr="008D71CC" w:rsidRDefault="009D4357" w:rsidP="00CE3F2A">
            <w:pPr>
              <w:spacing w:before="60" w:after="60"/>
              <w:ind w:right="-29"/>
              <w:jc w:val="center"/>
              <w:rPr>
                <w:noProof/>
                <w:sz w:val="18"/>
                <w:szCs w:val="18"/>
              </w:rPr>
            </w:pPr>
          </w:p>
        </w:tc>
      </w:tr>
      <w:tr w:rsidR="009D4357" w:rsidRPr="008D71CC" w14:paraId="3D6EBB8F" w14:textId="77777777" w:rsidTr="00CE3F2A">
        <w:trPr>
          <w:trHeight w:hRule="exact" w:val="1068"/>
          <w:jc w:val="center"/>
        </w:trPr>
        <w:tc>
          <w:tcPr>
            <w:tcW w:w="1422" w:type="dxa"/>
            <w:tcBorders>
              <w:left w:val="single" w:sz="12" w:space="0" w:color="auto"/>
            </w:tcBorders>
          </w:tcPr>
          <w:p w14:paraId="17934125" w14:textId="77777777" w:rsidR="009D4357" w:rsidRPr="008D71CC" w:rsidRDefault="009D4357" w:rsidP="00CE3F2A">
            <w:pPr>
              <w:ind w:right="-29"/>
              <w:jc w:val="center"/>
              <w:rPr>
                <w:noProof/>
                <w:sz w:val="18"/>
                <w:szCs w:val="18"/>
              </w:rPr>
            </w:pPr>
            <w:r>
              <w:rPr>
                <w:noProof/>
                <w:sz w:val="18"/>
                <w:szCs w:val="18"/>
              </w:rPr>
              <w:t>Router</w:t>
            </w:r>
            <w:r w:rsidRPr="008D71CC">
              <w:rPr>
                <w:noProof/>
                <w:sz w:val="18"/>
                <w:szCs w:val="18"/>
              </w:rPr>
              <w:t xml:space="preserve"> </w:t>
            </w:r>
          </w:p>
        </w:tc>
        <w:tc>
          <w:tcPr>
            <w:tcW w:w="1380" w:type="dxa"/>
            <w:gridSpan w:val="2"/>
          </w:tcPr>
          <w:p w14:paraId="0736ED87" w14:textId="77777777" w:rsidR="009D4357" w:rsidRPr="008D71CC" w:rsidRDefault="009D4357" w:rsidP="00CE3F2A">
            <w:pPr>
              <w:ind w:right="-29"/>
              <w:jc w:val="center"/>
              <w:rPr>
                <w:noProof/>
                <w:sz w:val="18"/>
                <w:szCs w:val="18"/>
              </w:rPr>
            </w:pPr>
            <w:r>
              <w:rPr>
                <w:noProof/>
                <w:sz w:val="18"/>
                <w:szCs w:val="18"/>
              </w:rPr>
              <w:t>Connection to the router of existing databases</w:t>
            </w:r>
          </w:p>
        </w:tc>
        <w:tc>
          <w:tcPr>
            <w:tcW w:w="303" w:type="dxa"/>
            <w:tcBorders>
              <w:right w:val="dashSmallGap" w:sz="4" w:space="0" w:color="auto"/>
            </w:tcBorders>
          </w:tcPr>
          <w:p w14:paraId="614319A6" w14:textId="77777777" w:rsidR="009D4357" w:rsidRPr="008D71CC" w:rsidRDefault="009D4357" w:rsidP="00CE3F2A">
            <w:pPr>
              <w:ind w:right="-29"/>
              <w:jc w:val="center"/>
              <w:rPr>
                <w:noProof/>
                <w:sz w:val="18"/>
                <w:szCs w:val="18"/>
              </w:rPr>
            </w:pPr>
          </w:p>
        </w:tc>
        <w:tc>
          <w:tcPr>
            <w:tcW w:w="637" w:type="dxa"/>
            <w:tcBorders>
              <w:left w:val="dashSmallGap" w:sz="4" w:space="0" w:color="auto"/>
              <w:bottom w:val="single" w:sz="4" w:space="0" w:color="auto"/>
            </w:tcBorders>
          </w:tcPr>
          <w:p w14:paraId="663BEBB0" w14:textId="77777777" w:rsidR="009D4357" w:rsidRPr="008D71CC" w:rsidRDefault="009D4357" w:rsidP="00CE3F2A">
            <w:pPr>
              <w:ind w:right="-29"/>
              <w:jc w:val="center"/>
              <w:rPr>
                <w:noProof/>
                <w:sz w:val="18"/>
                <w:szCs w:val="18"/>
              </w:rPr>
            </w:pPr>
          </w:p>
        </w:tc>
        <w:tc>
          <w:tcPr>
            <w:tcW w:w="453" w:type="dxa"/>
            <w:tcBorders>
              <w:right w:val="dashSmallGap" w:sz="4" w:space="0" w:color="auto"/>
            </w:tcBorders>
          </w:tcPr>
          <w:p w14:paraId="23CDBED8" w14:textId="77777777" w:rsidR="009D4357" w:rsidRPr="008D71CC" w:rsidRDefault="009D4357" w:rsidP="00CE3F2A">
            <w:pPr>
              <w:ind w:right="-29"/>
              <w:jc w:val="center"/>
              <w:rPr>
                <w:noProof/>
                <w:sz w:val="18"/>
                <w:szCs w:val="18"/>
              </w:rPr>
            </w:pPr>
            <w:r>
              <w:rPr>
                <w:noProof/>
                <w:sz w:val="18"/>
                <w:szCs w:val="18"/>
              </w:rPr>
              <w:t>26</w:t>
            </w:r>
          </w:p>
        </w:tc>
        <w:tc>
          <w:tcPr>
            <w:tcW w:w="720" w:type="dxa"/>
            <w:tcBorders>
              <w:left w:val="dashSmallGap" w:sz="4" w:space="0" w:color="auto"/>
            </w:tcBorders>
          </w:tcPr>
          <w:p w14:paraId="271F1A45" w14:textId="77777777" w:rsidR="009D4357" w:rsidRPr="008D71CC" w:rsidRDefault="009D4357" w:rsidP="00CE3F2A">
            <w:pPr>
              <w:ind w:right="-29"/>
              <w:jc w:val="center"/>
              <w:rPr>
                <w:noProof/>
                <w:sz w:val="18"/>
                <w:szCs w:val="18"/>
              </w:rPr>
            </w:pPr>
            <w:r>
              <w:rPr>
                <w:noProof/>
                <w:sz w:val="18"/>
                <w:szCs w:val="18"/>
              </w:rPr>
              <w:t>2.314</w:t>
            </w:r>
          </w:p>
        </w:tc>
        <w:tc>
          <w:tcPr>
            <w:tcW w:w="390" w:type="dxa"/>
            <w:tcBorders>
              <w:right w:val="dashSmallGap" w:sz="4" w:space="0" w:color="auto"/>
            </w:tcBorders>
          </w:tcPr>
          <w:p w14:paraId="6F3F8C93" w14:textId="77777777" w:rsidR="009D4357" w:rsidRPr="008D71CC" w:rsidRDefault="009D4357" w:rsidP="00CE3F2A">
            <w:pPr>
              <w:ind w:right="-29"/>
              <w:jc w:val="center"/>
              <w:rPr>
                <w:noProof/>
                <w:sz w:val="18"/>
                <w:szCs w:val="18"/>
              </w:rPr>
            </w:pPr>
            <w:r>
              <w:rPr>
                <w:noProof/>
                <w:sz w:val="18"/>
                <w:szCs w:val="18"/>
              </w:rPr>
              <w:t>26</w:t>
            </w:r>
          </w:p>
        </w:tc>
        <w:tc>
          <w:tcPr>
            <w:tcW w:w="840" w:type="dxa"/>
            <w:tcBorders>
              <w:left w:val="dashSmallGap" w:sz="4" w:space="0" w:color="auto"/>
            </w:tcBorders>
          </w:tcPr>
          <w:p w14:paraId="7400D67D" w14:textId="77777777" w:rsidR="009D4357" w:rsidRPr="008D71CC" w:rsidRDefault="009D4357" w:rsidP="00CE3F2A">
            <w:pPr>
              <w:ind w:right="-29"/>
              <w:jc w:val="center"/>
              <w:rPr>
                <w:noProof/>
                <w:sz w:val="18"/>
                <w:szCs w:val="18"/>
              </w:rPr>
            </w:pPr>
            <w:r>
              <w:rPr>
                <w:noProof/>
                <w:sz w:val="18"/>
                <w:szCs w:val="18"/>
              </w:rPr>
              <w:t>6.787</w:t>
            </w:r>
          </w:p>
        </w:tc>
        <w:tc>
          <w:tcPr>
            <w:tcW w:w="596" w:type="dxa"/>
            <w:tcBorders>
              <w:right w:val="dashSmallGap" w:sz="4" w:space="0" w:color="auto"/>
            </w:tcBorders>
          </w:tcPr>
          <w:p w14:paraId="5F31799C" w14:textId="77777777" w:rsidR="009D4357" w:rsidRPr="008D71CC" w:rsidRDefault="009D4357" w:rsidP="00CE3F2A">
            <w:pPr>
              <w:ind w:right="-29"/>
              <w:jc w:val="center"/>
              <w:rPr>
                <w:noProof/>
                <w:sz w:val="18"/>
                <w:szCs w:val="18"/>
              </w:rPr>
            </w:pPr>
            <w:r>
              <w:rPr>
                <w:noProof/>
                <w:sz w:val="18"/>
                <w:szCs w:val="18"/>
              </w:rPr>
              <w:t>26</w:t>
            </w:r>
          </w:p>
        </w:tc>
        <w:tc>
          <w:tcPr>
            <w:tcW w:w="840" w:type="dxa"/>
            <w:tcBorders>
              <w:left w:val="dashSmallGap" w:sz="4" w:space="0" w:color="auto"/>
            </w:tcBorders>
          </w:tcPr>
          <w:p w14:paraId="08134DC9" w14:textId="77777777" w:rsidR="009D4357" w:rsidRPr="008D71CC" w:rsidRDefault="009D4357" w:rsidP="00CE3F2A">
            <w:pPr>
              <w:ind w:right="-29"/>
              <w:jc w:val="center"/>
              <w:rPr>
                <w:noProof/>
                <w:sz w:val="18"/>
                <w:szCs w:val="18"/>
              </w:rPr>
            </w:pPr>
            <w:r>
              <w:rPr>
                <w:noProof/>
                <w:sz w:val="18"/>
                <w:szCs w:val="18"/>
              </w:rPr>
              <w:t>6.787</w:t>
            </w:r>
          </w:p>
        </w:tc>
        <w:tc>
          <w:tcPr>
            <w:tcW w:w="596" w:type="dxa"/>
            <w:tcBorders>
              <w:right w:val="dashSmallGap" w:sz="4" w:space="0" w:color="auto"/>
            </w:tcBorders>
          </w:tcPr>
          <w:p w14:paraId="679BD203" w14:textId="77777777" w:rsidR="009D4357" w:rsidRPr="008D71CC" w:rsidRDefault="009D4357" w:rsidP="00CE3F2A">
            <w:pPr>
              <w:ind w:right="-29"/>
              <w:jc w:val="center"/>
              <w:rPr>
                <w:noProof/>
                <w:sz w:val="18"/>
                <w:szCs w:val="18"/>
              </w:rPr>
            </w:pPr>
          </w:p>
        </w:tc>
        <w:tc>
          <w:tcPr>
            <w:tcW w:w="772" w:type="dxa"/>
            <w:tcBorders>
              <w:left w:val="dashSmallGap" w:sz="4" w:space="0" w:color="auto"/>
            </w:tcBorders>
          </w:tcPr>
          <w:p w14:paraId="5FD4AD8E" w14:textId="77777777" w:rsidR="009D4357" w:rsidRPr="008D71CC" w:rsidRDefault="009D4357" w:rsidP="00CE3F2A">
            <w:pPr>
              <w:ind w:right="-29"/>
              <w:jc w:val="center"/>
              <w:rPr>
                <w:noProof/>
                <w:sz w:val="18"/>
                <w:szCs w:val="18"/>
              </w:rPr>
            </w:pPr>
          </w:p>
        </w:tc>
        <w:tc>
          <w:tcPr>
            <w:tcW w:w="596" w:type="dxa"/>
            <w:tcBorders>
              <w:right w:val="dashSmallGap" w:sz="4" w:space="0" w:color="auto"/>
            </w:tcBorders>
          </w:tcPr>
          <w:p w14:paraId="7D131313" w14:textId="77777777" w:rsidR="009D4357" w:rsidRPr="008D71CC" w:rsidRDefault="009D4357" w:rsidP="00CE3F2A">
            <w:pPr>
              <w:ind w:right="-29"/>
              <w:jc w:val="center"/>
              <w:rPr>
                <w:noProof/>
                <w:sz w:val="18"/>
                <w:szCs w:val="18"/>
              </w:rPr>
            </w:pPr>
            <w:r>
              <w:rPr>
                <w:noProof/>
                <w:sz w:val="18"/>
                <w:szCs w:val="18"/>
              </w:rPr>
              <w:t>26</w:t>
            </w:r>
          </w:p>
        </w:tc>
        <w:tc>
          <w:tcPr>
            <w:tcW w:w="1320" w:type="dxa"/>
            <w:tcBorders>
              <w:left w:val="dashSmallGap" w:sz="4" w:space="0" w:color="auto"/>
              <w:bottom w:val="single" w:sz="4" w:space="0" w:color="auto"/>
              <w:right w:val="single" w:sz="12" w:space="0" w:color="auto"/>
            </w:tcBorders>
          </w:tcPr>
          <w:p w14:paraId="5FCFAEB8" w14:textId="77777777" w:rsidR="009D4357" w:rsidRPr="008D71CC" w:rsidRDefault="009D4357" w:rsidP="00CE3F2A">
            <w:pPr>
              <w:ind w:right="-29"/>
              <w:jc w:val="center"/>
              <w:rPr>
                <w:noProof/>
                <w:sz w:val="18"/>
                <w:szCs w:val="18"/>
              </w:rPr>
            </w:pPr>
            <w:r>
              <w:rPr>
                <w:noProof/>
                <w:sz w:val="18"/>
                <w:szCs w:val="18"/>
              </w:rPr>
              <w:t>15.89</w:t>
            </w:r>
          </w:p>
        </w:tc>
      </w:tr>
      <w:tr w:rsidR="009D4357" w:rsidRPr="008D71CC" w14:paraId="43354CB8" w14:textId="77777777" w:rsidTr="00CE3F2A">
        <w:trPr>
          <w:trHeight w:hRule="exact" w:val="842"/>
          <w:jc w:val="center"/>
        </w:trPr>
        <w:tc>
          <w:tcPr>
            <w:tcW w:w="1422" w:type="dxa"/>
            <w:vMerge w:val="restart"/>
            <w:tcBorders>
              <w:left w:val="single" w:sz="12" w:space="0" w:color="auto"/>
            </w:tcBorders>
          </w:tcPr>
          <w:p w14:paraId="5C1E3A4F" w14:textId="77777777" w:rsidR="009D4357" w:rsidRPr="008D71CC" w:rsidRDefault="009D4357" w:rsidP="00CE3F2A">
            <w:pPr>
              <w:ind w:right="-29"/>
              <w:rPr>
                <w:noProof/>
                <w:sz w:val="18"/>
                <w:szCs w:val="18"/>
              </w:rPr>
            </w:pPr>
            <w:r>
              <w:rPr>
                <w:noProof/>
                <w:sz w:val="18"/>
                <w:szCs w:val="18"/>
              </w:rPr>
              <w:t>Facial images</w:t>
            </w:r>
          </w:p>
        </w:tc>
        <w:tc>
          <w:tcPr>
            <w:tcW w:w="1380" w:type="dxa"/>
            <w:gridSpan w:val="2"/>
          </w:tcPr>
          <w:p w14:paraId="0EAFCEFB" w14:textId="77777777" w:rsidR="009D4357" w:rsidRPr="008D71CC" w:rsidRDefault="009D4357" w:rsidP="00CE3F2A">
            <w:pPr>
              <w:ind w:right="-29"/>
              <w:jc w:val="center"/>
              <w:rPr>
                <w:noProof/>
                <w:sz w:val="18"/>
                <w:szCs w:val="18"/>
              </w:rPr>
            </w:pPr>
            <w:r>
              <w:rPr>
                <w:noProof/>
                <w:sz w:val="18"/>
                <w:szCs w:val="18"/>
              </w:rPr>
              <w:t>Creation of new database</w:t>
            </w:r>
          </w:p>
        </w:tc>
        <w:tc>
          <w:tcPr>
            <w:tcW w:w="303" w:type="dxa"/>
            <w:tcBorders>
              <w:right w:val="dashSmallGap" w:sz="4" w:space="0" w:color="auto"/>
            </w:tcBorders>
          </w:tcPr>
          <w:p w14:paraId="09A42457" w14:textId="77777777" w:rsidR="009D4357" w:rsidRPr="008D71CC" w:rsidRDefault="009D4357" w:rsidP="00CE3F2A">
            <w:pPr>
              <w:ind w:right="-29"/>
              <w:jc w:val="center"/>
              <w:rPr>
                <w:noProof/>
                <w:sz w:val="18"/>
                <w:szCs w:val="18"/>
              </w:rPr>
            </w:pPr>
          </w:p>
        </w:tc>
        <w:tc>
          <w:tcPr>
            <w:tcW w:w="637" w:type="dxa"/>
            <w:tcBorders>
              <w:left w:val="dashSmallGap" w:sz="4" w:space="0" w:color="auto"/>
              <w:bottom w:val="single" w:sz="4" w:space="0" w:color="auto"/>
            </w:tcBorders>
          </w:tcPr>
          <w:p w14:paraId="7912D713" w14:textId="77777777" w:rsidR="009D4357" w:rsidRPr="008D71CC" w:rsidRDefault="009D4357" w:rsidP="00CE3F2A">
            <w:pPr>
              <w:ind w:right="-29"/>
              <w:jc w:val="center"/>
              <w:rPr>
                <w:noProof/>
                <w:sz w:val="18"/>
                <w:szCs w:val="18"/>
              </w:rPr>
            </w:pPr>
          </w:p>
        </w:tc>
        <w:tc>
          <w:tcPr>
            <w:tcW w:w="453" w:type="dxa"/>
            <w:tcBorders>
              <w:right w:val="dashSmallGap" w:sz="4" w:space="0" w:color="auto"/>
            </w:tcBorders>
          </w:tcPr>
          <w:p w14:paraId="62D1D9F4" w14:textId="77777777" w:rsidR="009D4357" w:rsidRPr="008D71CC" w:rsidRDefault="009D4357" w:rsidP="00CE3F2A">
            <w:pPr>
              <w:ind w:right="-29"/>
              <w:jc w:val="center"/>
              <w:rPr>
                <w:noProof/>
                <w:sz w:val="18"/>
                <w:szCs w:val="18"/>
              </w:rPr>
            </w:pPr>
            <w:r>
              <w:rPr>
                <w:noProof/>
                <w:sz w:val="18"/>
                <w:szCs w:val="18"/>
              </w:rPr>
              <w:t>13*</w:t>
            </w:r>
          </w:p>
        </w:tc>
        <w:tc>
          <w:tcPr>
            <w:tcW w:w="720" w:type="dxa"/>
            <w:tcBorders>
              <w:left w:val="dashSmallGap" w:sz="4" w:space="0" w:color="auto"/>
              <w:bottom w:val="single" w:sz="4" w:space="0" w:color="auto"/>
            </w:tcBorders>
          </w:tcPr>
          <w:p w14:paraId="27A34EC4" w14:textId="77777777" w:rsidR="009D4357" w:rsidRPr="008D71CC" w:rsidRDefault="009D4357" w:rsidP="00CE3F2A">
            <w:pPr>
              <w:ind w:right="-29"/>
              <w:jc w:val="center"/>
              <w:rPr>
                <w:noProof/>
                <w:sz w:val="18"/>
                <w:szCs w:val="18"/>
              </w:rPr>
            </w:pPr>
            <w:r>
              <w:rPr>
                <w:noProof/>
                <w:sz w:val="18"/>
                <w:szCs w:val="18"/>
              </w:rPr>
              <w:t>2.84</w:t>
            </w:r>
          </w:p>
        </w:tc>
        <w:tc>
          <w:tcPr>
            <w:tcW w:w="390" w:type="dxa"/>
            <w:tcBorders>
              <w:right w:val="dashSmallGap" w:sz="4" w:space="0" w:color="auto"/>
            </w:tcBorders>
          </w:tcPr>
          <w:p w14:paraId="3F1188F9" w14:textId="77777777" w:rsidR="009D4357" w:rsidRPr="008D71CC" w:rsidRDefault="009D4357" w:rsidP="00CE3F2A">
            <w:pPr>
              <w:ind w:right="-29"/>
              <w:jc w:val="center"/>
              <w:rPr>
                <w:noProof/>
                <w:sz w:val="18"/>
                <w:szCs w:val="18"/>
              </w:rPr>
            </w:pPr>
            <w:r>
              <w:rPr>
                <w:noProof/>
                <w:sz w:val="18"/>
                <w:szCs w:val="18"/>
              </w:rPr>
              <w:t>13</w:t>
            </w:r>
          </w:p>
        </w:tc>
        <w:tc>
          <w:tcPr>
            <w:tcW w:w="840" w:type="dxa"/>
            <w:tcBorders>
              <w:left w:val="dashSmallGap" w:sz="4" w:space="0" w:color="auto"/>
              <w:bottom w:val="single" w:sz="4" w:space="0" w:color="auto"/>
            </w:tcBorders>
          </w:tcPr>
          <w:p w14:paraId="1EC09525" w14:textId="77777777" w:rsidR="009D4357" w:rsidRPr="008D71CC" w:rsidRDefault="009D4357" w:rsidP="00CE3F2A">
            <w:pPr>
              <w:ind w:right="-29"/>
              <w:jc w:val="center"/>
              <w:rPr>
                <w:noProof/>
                <w:sz w:val="18"/>
                <w:szCs w:val="18"/>
              </w:rPr>
            </w:pPr>
            <w:r>
              <w:rPr>
                <w:noProof/>
                <w:sz w:val="18"/>
                <w:szCs w:val="18"/>
              </w:rPr>
              <w:t>8.329</w:t>
            </w:r>
          </w:p>
        </w:tc>
        <w:tc>
          <w:tcPr>
            <w:tcW w:w="596" w:type="dxa"/>
            <w:tcBorders>
              <w:right w:val="dashSmallGap" w:sz="4" w:space="0" w:color="auto"/>
            </w:tcBorders>
          </w:tcPr>
          <w:p w14:paraId="5D267A5E" w14:textId="77777777" w:rsidR="009D4357" w:rsidRPr="008D71CC" w:rsidRDefault="009D4357" w:rsidP="00CE3F2A">
            <w:pPr>
              <w:ind w:right="-29"/>
              <w:jc w:val="center"/>
              <w:rPr>
                <w:noProof/>
                <w:sz w:val="18"/>
                <w:szCs w:val="18"/>
              </w:rPr>
            </w:pPr>
            <w:r>
              <w:rPr>
                <w:noProof/>
                <w:sz w:val="18"/>
                <w:szCs w:val="18"/>
              </w:rPr>
              <w:t>13</w:t>
            </w:r>
          </w:p>
        </w:tc>
        <w:tc>
          <w:tcPr>
            <w:tcW w:w="840" w:type="dxa"/>
            <w:tcBorders>
              <w:left w:val="dashSmallGap" w:sz="4" w:space="0" w:color="auto"/>
              <w:bottom w:val="single" w:sz="4" w:space="0" w:color="auto"/>
            </w:tcBorders>
          </w:tcPr>
          <w:p w14:paraId="28313E65" w14:textId="77777777" w:rsidR="009D4357" w:rsidRPr="008D71CC" w:rsidRDefault="009D4357" w:rsidP="00CE3F2A">
            <w:pPr>
              <w:ind w:right="-29"/>
              <w:jc w:val="center"/>
              <w:rPr>
                <w:noProof/>
                <w:sz w:val="18"/>
                <w:szCs w:val="18"/>
              </w:rPr>
            </w:pPr>
            <w:r>
              <w:rPr>
                <w:noProof/>
                <w:sz w:val="18"/>
                <w:szCs w:val="18"/>
              </w:rPr>
              <w:t>8.329</w:t>
            </w:r>
          </w:p>
        </w:tc>
        <w:tc>
          <w:tcPr>
            <w:tcW w:w="596" w:type="dxa"/>
            <w:tcBorders>
              <w:right w:val="dashSmallGap" w:sz="4" w:space="0" w:color="auto"/>
            </w:tcBorders>
          </w:tcPr>
          <w:p w14:paraId="04335ECB" w14:textId="77777777" w:rsidR="009D4357" w:rsidRPr="008D71CC" w:rsidRDefault="009D4357" w:rsidP="00CE3F2A">
            <w:pPr>
              <w:ind w:right="-29"/>
              <w:jc w:val="center"/>
              <w:rPr>
                <w:noProof/>
                <w:sz w:val="18"/>
                <w:szCs w:val="18"/>
              </w:rPr>
            </w:pPr>
          </w:p>
        </w:tc>
        <w:tc>
          <w:tcPr>
            <w:tcW w:w="772" w:type="dxa"/>
            <w:tcBorders>
              <w:left w:val="dashSmallGap" w:sz="4" w:space="0" w:color="auto"/>
              <w:bottom w:val="single" w:sz="4" w:space="0" w:color="auto"/>
            </w:tcBorders>
          </w:tcPr>
          <w:p w14:paraId="41C84AC4" w14:textId="77777777" w:rsidR="009D4357" w:rsidRPr="008D71CC" w:rsidRDefault="009D4357" w:rsidP="00CE3F2A">
            <w:pPr>
              <w:ind w:right="-29"/>
              <w:jc w:val="center"/>
              <w:rPr>
                <w:noProof/>
                <w:sz w:val="18"/>
                <w:szCs w:val="18"/>
              </w:rPr>
            </w:pPr>
          </w:p>
        </w:tc>
        <w:tc>
          <w:tcPr>
            <w:tcW w:w="596" w:type="dxa"/>
            <w:tcBorders>
              <w:right w:val="dashSmallGap" w:sz="4" w:space="0" w:color="auto"/>
            </w:tcBorders>
          </w:tcPr>
          <w:p w14:paraId="3BE923CF" w14:textId="77777777" w:rsidR="009D4357" w:rsidRPr="008D71CC" w:rsidRDefault="009D4357" w:rsidP="00CE3F2A">
            <w:pPr>
              <w:ind w:right="-29"/>
              <w:jc w:val="center"/>
              <w:rPr>
                <w:noProof/>
                <w:sz w:val="18"/>
                <w:szCs w:val="18"/>
              </w:rPr>
            </w:pPr>
            <w:r>
              <w:rPr>
                <w:noProof/>
                <w:sz w:val="18"/>
                <w:szCs w:val="18"/>
              </w:rPr>
              <w:t>13</w:t>
            </w:r>
          </w:p>
        </w:tc>
        <w:tc>
          <w:tcPr>
            <w:tcW w:w="1320" w:type="dxa"/>
            <w:tcBorders>
              <w:left w:val="dashSmallGap" w:sz="4" w:space="0" w:color="auto"/>
              <w:bottom w:val="single" w:sz="4" w:space="0" w:color="auto"/>
              <w:right w:val="single" w:sz="12" w:space="0" w:color="auto"/>
            </w:tcBorders>
          </w:tcPr>
          <w:p w14:paraId="7A0F9789" w14:textId="77777777" w:rsidR="009D4357" w:rsidRPr="008D71CC" w:rsidRDefault="009D4357" w:rsidP="00CE3F2A">
            <w:pPr>
              <w:ind w:right="-29"/>
              <w:jc w:val="center"/>
              <w:rPr>
                <w:noProof/>
                <w:sz w:val="18"/>
                <w:szCs w:val="18"/>
              </w:rPr>
            </w:pPr>
            <w:r>
              <w:rPr>
                <w:noProof/>
                <w:sz w:val="18"/>
                <w:szCs w:val="18"/>
              </w:rPr>
              <w:t>19.5</w:t>
            </w:r>
          </w:p>
        </w:tc>
      </w:tr>
      <w:tr w:rsidR="009D4357" w:rsidRPr="008D71CC" w14:paraId="393FA616" w14:textId="77777777" w:rsidTr="00CE3F2A">
        <w:trPr>
          <w:trHeight w:hRule="exact" w:val="842"/>
          <w:jc w:val="center"/>
        </w:trPr>
        <w:tc>
          <w:tcPr>
            <w:tcW w:w="1422" w:type="dxa"/>
            <w:vMerge/>
            <w:tcBorders>
              <w:left w:val="single" w:sz="12" w:space="0" w:color="auto"/>
            </w:tcBorders>
          </w:tcPr>
          <w:p w14:paraId="6ECD02B0" w14:textId="77777777" w:rsidR="009D4357" w:rsidRDefault="009D4357" w:rsidP="00CE3F2A">
            <w:pPr>
              <w:ind w:right="-29"/>
              <w:rPr>
                <w:noProof/>
                <w:sz w:val="18"/>
                <w:szCs w:val="18"/>
              </w:rPr>
            </w:pPr>
          </w:p>
        </w:tc>
        <w:tc>
          <w:tcPr>
            <w:tcW w:w="1380" w:type="dxa"/>
            <w:gridSpan w:val="2"/>
          </w:tcPr>
          <w:p w14:paraId="49ECFD98" w14:textId="77777777" w:rsidR="009D4357" w:rsidRPr="008D71CC" w:rsidRDefault="009D4357" w:rsidP="00CE3F2A">
            <w:pPr>
              <w:ind w:right="-29"/>
              <w:jc w:val="center"/>
              <w:rPr>
                <w:noProof/>
                <w:sz w:val="18"/>
                <w:szCs w:val="18"/>
              </w:rPr>
            </w:pPr>
            <w:r>
              <w:rPr>
                <w:noProof/>
                <w:sz w:val="18"/>
                <w:szCs w:val="18"/>
              </w:rPr>
              <w:t>Connection of database to the router</w:t>
            </w:r>
          </w:p>
        </w:tc>
        <w:tc>
          <w:tcPr>
            <w:tcW w:w="303" w:type="dxa"/>
            <w:tcBorders>
              <w:right w:val="dashSmallGap" w:sz="4" w:space="0" w:color="auto"/>
            </w:tcBorders>
          </w:tcPr>
          <w:p w14:paraId="23C97A2D" w14:textId="77777777" w:rsidR="009D4357" w:rsidRPr="008D71CC" w:rsidRDefault="009D4357" w:rsidP="00CE3F2A">
            <w:pPr>
              <w:ind w:right="-29"/>
              <w:jc w:val="center"/>
              <w:rPr>
                <w:noProof/>
                <w:sz w:val="18"/>
                <w:szCs w:val="18"/>
              </w:rPr>
            </w:pPr>
          </w:p>
        </w:tc>
        <w:tc>
          <w:tcPr>
            <w:tcW w:w="637" w:type="dxa"/>
            <w:tcBorders>
              <w:left w:val="dashSmallGap" w:sz="4" w:space="0" w:color="auto"/>
              <w:bottom w:val="single" w:sz="4" w:space="0" w:color="auto"/>
            </w:tcBorders>
          </w:tcPr>
          <w:p w14:paraId="0360CE8B" w14:textId="77777777" w:rsidR="009D4357" w:rsidRPr="008D71CC" w:rsidRDefault="009D4357" w:rsidP="00CE3F2A">
            <w:pPr>
              <w:ind w:right="-29"/>
              <w:jc w:val="center"/>
              <w:rPr>
                <w:noProof/>
                <w:sz w:val="18"/>
                <w:szCs w:val="18"/>
              </w:rPr>
            </w:pPr>
          </w:p>
        </w:tc>
        <w:tc>
          <w:tcPr>
            <w:tcW w:w="453" w:type="dxa"/>
            <w:tcBorders>
              <w:right w:val="dashSmallGap" w:sz="4" w:space="0" w:color="auto"/>
            </w:tcBorders>
          </w:tcPr>
          <w:p w14:paraId="33E054D5" w14:textId="77777777" w:rsidR="009D4357" w:rsidRPr="008D71CC" w:rsidRDefault="009D4357" w:rsidP="00CE3F2A">
            <w:pPr>
              <w:ind w:right="-29"/>
              <w:jc w:val="center"/>
              <w:rPr>
                <w:noProof/>
                <w:sz w:val="18"/>
                <w:szCs w:val="18"/>
              </w:rPr>
            </w:pPr>
            <w:r>
              <w:rPr>
                <w:noProof/>
                <w:sz w:val="18"/>
                <w:szCs w:val="18"/>
              </w:rPr>
              <w:t>26</w:t>
            </w:r>
          </w:p>
        </w:tc>
        <w:tc>
          <w:tcPr>
            <w:tcW w:w="720" w:type="dxa"/>
            <w:tcBorders>
              <w:left w:val="dashSmallGap" w:sz="4" w:space="0" w:color="auto"/>
              <w:bottom w:val="single" w:sz="4" w:space="0" w:color="auto"/>
            </w:tcBorders>
          </w:tcPr>
          <w:p w14:paraId="40233AE8" w14:textId="77777777" w:rsidR="009D4357" w:rsidRPr="008D71CC" w:rsidRDefault="009D4357" w:rsidP="00CE3F2A">
            <w:pPr>
              <w:ind w:right="-29"/>
              <w:jc w:val="center"/>
              <w:rPr>
                <w:noProof/>
                <w:sz w:val="18"/>
                <w:szCs w:val="18"/>
              </w:rPr>
            </w:pPr>
            <w:r>
              <w:rPr>
                <w:noProof/>
                <w:sz w:val="18"/>
                <w:szCs w:val="18"/>
              </w:rPr>
              <w:t>2.72</w:t>
            </w:r>
          </w:p>
        </w:tc>
        <w:tc>
          <w:tcPr>
            <w:tcW w:w="390" w:type="dxa"/>
            <w:tcBorders>
              <w:right w:val="dashSmallGap" w:sz="4" w:space="0" w:color="auto"/>
            </w:tcBorders>
          </w:tcPr>
          <w:p w14:paraId="2297B3B8" w14:textId="77777777" w:rsidR="009D4357" w:rsidRPr="008D71CC" w:rsidRDefault="009D4357" w:rsidP="00CE3F2A">
            <w:pPr>
              <w:ind w:right="-29"/>
              <w:jc w:val="center"/>
              <w:rPr>
                <w:noProof/>
                <w:sz w:val="18"/>
                <w:szCs w:val="18"/>
              </w:rPr>
            </w:pPr>
            <w:r>
              <w:rPr>
                <w:noProof/>
                <w:sz w:val="18"/>
                <w:szCs w:val="18"/>
              </w:rPr>
              <w:t>26</w:t>
            </w:r>
          </w:p>
        </w:tc>
        <w:tc>
          <w:tcPr>
            <w:tcW w:w="840" w:type="dxa"/>
            <w:tcBorders>
              <w:left w:val="dashSmallGap" w:sz="4" w:space="0" w:color="auto"/>
              <w:bottom w:val="single" w:sz="4" w:space="0" w:color="auto"/>
            </w:tcBorders>
          </w:tcPr>
          <w:p w14:paraId="30D660BA" w14:textId="77777777" w:rsidR="009D4357" w:rsidRPr="008D71CC" w:rsidRDefault="009D4357" w:rsidP="00CE3F2A">
            <w:pPr>
              <w:ind w:right="-29"/>
              <w:jc w:val="center"/>
              <w:rPr>
                <w:noProof/>
                <w:sz w:val="18"/>
                <w:szCs w:val="18"/>
              </w:rPr>
            </w:pPr>
            <w:r>
              <w:rPr>
                <w:noProof/>
                <w:sz w:val="18"/>
                <w:szCs w:val="18"/>
              </w:rPr>
              <w:t>7.996</w:t>
            </w:r>
          </w:p>
        </w:tc>
        <w:tc>
          <w:tcPr>
            <w:tcW w:w="596" w:type="dxa"/>
            <w:tcBorders>
              <w:right w:val="dashSmallGap" w:sz="4" w:space="0" w:color="auto"/>
            </w:tcBorders>
          </w:tcPr>
          <w:p w14:paraId="2B4992F8" w14:textId="77777777" w:rsidR="009D4357" w:rsidRPr="008D71CC" w:rsidRDefault="009D4357" w:rsidP="00CE3F2A">
            <w:pPr>
              <w:ind w:right="-29"/>
              <w:jc w:val="center"/>
              <w:rPr>
                <w:noProof/>
                <w:sz w:val="18"/>
                <w:szCs w:val="18"/>
              </w:rPr>
            </w:pPr>
            <w:r>
              <w:rPr>
                <w:noProof/>
                <w:sz w:val="18"/>
                <w:szCs w:val="18"/>
              </w:rPr>
              <w:t>26</w:t>
            </w:r>
          </w:p>
        </w:tc>
        <w:tc>
          <w:tcPr>
            <w:tcW w:w="840" w:type="dxa"/>
            <w:tcBorders>
              <w:left w:val="dashSmallGap" w:sz="4" w:space="0" w:color="auto"/>
              <w:bottom w:val="single" w:sz="4" w:space="0" w:color="auto"/>
            </w:tcBorders>
          </w:tcPr>
          <w:p w14:paraId="4097EDF0" w14:textId="77777777" w:rsidR="009D4357" w:rsidRPr="008D71CC" w:rsidRDefault="009D4357" w:rsidP="00CE3F2A">
            <w:pPr>
              <w:ind w:right="-29"/>
              <w:jc w:val="center"/>
              <w:rPr>
                <w:noProof/>
                <w:sz w:val="18"/>
                <w:szCs w:val="18"/>
              </w:rPr>
            </w:pPr>
            <w:r>
              <w:rPr>
                <w:noProof/>
                <w:sz w:val="18"/>
                <w:szCs w:val="18"/>
              </w:rPr>
              <w:t>7.996</w:t>
            </w:r>
          </w:p>
        </w:tc>
        <w:tc>
          <w:tcPr>
            <w:tcW w:w="596" w:type="dxa"/>
            <w:tcBorders>
              <w:right w:val="dashSmallGap" w:sz="4" w:space="0" w:color="auto"/>
            </w:tcBorders>
          </w:tcPr>
          <w:p w14:paraId="1F8FF2B8" w14:textId="77777777" w:rsidR="009D4357" w:rsidRPr="008D71CC" w:rsidRDefault="009D4357" w:rsidP="00CE3F2A">
            <w:pPr>
              <w:ind w:right="-29"/>
              <w:jc w:val="center"/>
              <w:rPr>
                <w:noProof/>
                <w:sz w:val="18"/>
                <w:szCs w:val="18"/>
              </w:rPr>
            </w:pPr>
          </w:p>
        </w:tc>
        <w:tc>
          <w:tcPr>
            <w:tcW w:w="772" w:type="dxa"/>
            <w:tcBorders>
              <w:left w:val="dashSmallGap" w:sz="4" w:space="0" w:color="auto"/>
              <w:bottom w:val="single" w:sz="4" w:space="0" w:color="auto"/>
            </w:tcBorders>
          </w:tcPr>
          <w:p w14:paraId="705F5136" w14:textId="77777777" w:rsidR="009D4357" w:rsidRPr="008D71CC" w:rsidRDefault="009D4357" w:rsidP="00CE3F2A">
            <w:pPr>
              <w:ind w:right="-29"/>
              <w:jc w:val="center"/>
              <w:rPr>
                <w:noProof/>
                <w:sz w:val="18"/>
                <w:szCs w:val="18"/>
              </w:rPr>
            </w:pPr>
          </w:p>
        </w:tc>
        <w:tc>
          <w:tcPr>
            <w:tcW w:w="596" w:type="dxa"/>
            <w:tcBorders>
              <w:right w:val="dashSmallGap" w:sz="4" w:space="0" w:color="auto"/>
            </w:tcBorders>
          </w:tcPr>
          <w:p w14:paraId="13BB72B1" w14:textId="77777777" w:rsidR="009D4357" w:rsidRPr="008D71CC" w:rsidRDefault="009D4357" w:rsidP="00CE3F2A">
            <w:pPr>
              <w:ind w:right="-29"/>
              <w:jc w:val="center"/>
              <w:rPr>
                <w:noProof/>
                <w:sz w:val="18"/>
                <w:szCs w:val="18"/>
              </w:rPr>
            </w:pPr>
            <w:r>
              <w:rPr>
                <w:noProof/>
                <w:sz w:val="18"/>
                <w:szCs w:val="18"/>
              </w:rPr>
              <w:t>26</w:t>
            </w:r>
          </w:p>
        </w:tc>
        <w:tc>
          <w:tcPr>
            <w:tcW w:w="1320" w:type="dxa"/>
            <w:tcBorders>
              <w:left w:val="dashSmallGap" w:sz="4" w:space="0" w:color="auto"/>
              <w:bottom w:val="single" w:sz="4" w:space="0" w:color="auto"/>
              <w:right w:val="single" w:sz="12" w:space="0" w:color="auto"/>
            </w:tcBorders>
          </w:tcPr>
          <w:p w14:paraId="192B9D56" w14:textId="77777777" w:rsidR="009D4357" w:rsidRPr="008D71CC" w:rsidRDefault="009D4357" w:rsidP="00CE3F2A">
            <w:pPr>
              <w:ind w:right="-29"/>
              <w:jc w:val="center"/>
              <w:rPr>
                <w:noProof/>
                <w:sz w:val="18"/>
                <w:szCs w:val="18"/>
              </w:rPr>
            </w:pPr>
            <w:r>
              <w:rPr>
                <w:noProof/>
                <w:sz w:val="18"/>
                <w:szCs w:val="18"/>
              </w:rPr>
              <w:t>18.72</w:t>
            </w:r>
          </w:p>
        </w:tc>
      </w:tr>
      <w:tr w:rsidR="009D4357" w:rsidRPr="008D71CC" w14:paraId="5A681666" w14:textId="77777777" w:rsidTr="00CE3F2A">
        <w:trPr>
          <w:trHeight w:hRule="exact" w:val="1336"/>
          <w:jc w:val="center"/>
        </w:trPr>
        <w:tc>
          <w:tcPr>
            <w:tcW w:w="1422" w:type="dxa"/>
            <w:tcBorders>
              <w:left w:val="single" w:sz="12" w:space="0" w:color="auto"/>
            </w:tcBorders>
          </w:tcPr>
          <w:p w14:paraId="59D37C86" w14:textId="77777777" w:rsidR="009D4357" w:rsidRPr="008D71CC" w:rsidRDefault="009D4357" w:rsidP="00CE3F2A">
            <w:pPr>
              <w:ind w:right="-29"/>
              <w:jc w:val="center"/>
              <w:rPr>
                <w:noProof/>
                <w:sz w:val="18"/>
                <w:szCs w:val="18"/>
              </w:rPr>
            </w:pPr>
            <w:r>
              <w:rPr>
                <w:noProof/>
                <w:sz w:val="18"/>
                <w:szCs w:val="18"/>
              </w:rPr>
              <w:t>Police records</w:t>
            </w:r>
            <w:r w:rsidRPr="008D71CC">
              <w:rPr>
                <w:noProof/>
                <w:sz w:val="18"/>
                <w:szCs w:val="18"/>
              </w:rPr>
              <w:t xml:space="preserve"> </w:t>
            </w:r>
          </w:p>
        </w:tc>
        <w:tc>
          <w:tcPr>
            <w:tcW w:w="1380" w:type="dxa"/>
            <w:gridSpan w:val="2"/>
          </w:tcPr>
          <w:p w14:paraId="215CF50D" w14:textId="77777777" w:rsidR="009D4357" w:rsidRPr="008D71CC" w:rsidRDefault="009D4357" w:rsidP="00CE3F2A">
            <w:pPr>
              <w:ind w:right="-29"/>
              <w:jc w:val="center"/>
              <w:rPr>
                <w:noProof/>
                <w:sz w:val="18"/>
                <w:szCs w:val="18"/>
              </w:rPr>
            </w:pPr>
            <w:r>
              <w:rPr>
                <w:noProof/>
                <w:sz w:val="18"/>
                <w:szCs w:val="18"/>
              </w:rPr>
              <w:t>Creation of police records database and connection to EPRIS</w:t>
            </w:r>
          </w:p>
        </w:tc>
        <w:tc>
          <w:tcPr>
            <w:tcW w:w="303" w:type="dxa"/>
            <w:tcBorders>
              <w:right w:val="dashSmallGap" w:sz="4" w:space="0" w:color="auto"/>
            </w:tcBorders>
          </w:tcPr>
          <w:p w14:paraId="0631BB6F" w14:textId="77777777" w:rsidR="009D4357" w:rsidRPr="008D71CC" w:rsidRDefault="009D4357" w:rsidP="00CE3F2A">
            <w:pPr>
              <w:ind w:right="-29"/>
              <w:jc w:val="center"/>
              <w:rPr>
                <w:noProof/>
                <w:sz w:val="18"/>
                <w:szCs w:val="18"/>
              </w:rPr>
            </w:pPr>
          </w:p>
        </w:tc>
        <w:tc>
          <w:tcPr>
            <w:tcW w:w="637" w:type="dxa"/>
            <w:tcBorders>
              <w:left w:val="dashSmallGap" w:sz="4" w:space="0" w:color="auto"/>
              <w:bottom w:val="single" w:sz="4" w:space="0" w:color="auto"/>
            </w:tcBorders>
          </w:tcPr>
          <w:p w14:paraId="3CF03E48" w14:textId="77777777" w:rsidR="009D4357" w:rsidRPr="008D71CC" w:rsidRDefault="009D4357" w:rsidP="00CE3F2A">
            <w:pPr>
              <w:ind w:right="-29"/>
              <w:jc w:val="center"/>
              <w:rPr>
                <w:noProof/>
                <w:sz w:val="18"/>
                <w:szCs w:val="18"/>
              </w:rPr>
            </w:pPr>
          </w:p>
        </w:tc>
        <w:tc>
          <w:tcPr>
            <w:tcW w:w="453" w:type="dxa"/>
            <w:tcBorders>
              <w:right w:val="dashSmallGap" w:sz="4" w:space="0" w:color="auto"/>
            </w:tcBorders>
          </w:tcPr>
          <w:p w14:paraId="67922965" w14:textId="77777777" w:rsidR="009D4357" w:rsidRPr="008D71CC" w:rsidRDefault="009D4357" w:rsidP="00CE3F2A">
            <w:pPr>
              <w:ind w:right="-29"/>
              <w:jc w:val="center"/>
              <w:rPr>
                <w:noProof/>
                <w:sz w:val="18"/>
                <w:szCs w:val="18"/>
              </w:rPr>
            </w:pPr>
            <w:r>
              <w:rPr>
                <w:noProof/>
                <w:sz w:val="18"/>
                <w:szCs w:val="18"/>
              </w:rPr>
              <w:t>26</w:t>
            </w:r>
          </w:p>
        </w:tc>
        <w:tc>
          <w:tcPr>
            <w:tcW w:w="720" w:type="dxa"/>
            <w:tcBorders>
              <w:left w:val="dashSmallGap" w:sz="4" w:space="0" w:color="auto"/>
              <w:bottom w:val="single" w:sz="4" w:space="0" w:color="auto"/>
            </w:tcBorders>
          </w:tcPr>
          <w:p w14:paraId="6D4AEE57" w14:textId="77777777" w:rsidR="009D4357" w:rsidRPr="008D71CC" w:rsidRDefault="009D4357" w:rsidP="00CE3F2A">
            <w:pPr>
              <w:ind w:right="-29"/>
              <w:jc w:val="center"/>
              <w:rPr>
                <w:noProof/>
                <w:sz w:val="18"/>
                <w:szCs w:val="18"/>
              </w:rPr>
            </w:pPr>
            <w:r>
              <w:rPr>
                <w:noProof/>
                <w:sz w:val="18"/>
                <w:szCs w:val="18"/>
              </w:rPr>
              <w:t>5.763</w:t>
            </w:r>
          </w:p>
        </w:tc>
        <w:tc>
          <w:tcPr>
            <w:tcW w:w="390" w:type="dxa"/>
            <w:tcBorders>
              <w:right w:val="dashSmallGap" w:sz="4" w:space="0" w:color="auto"/>
            </w:tcBorders>
          </w:tcPr>
          <w:p w14:paraId="6EA679F6" w14:textId="77777777" w:rsidR="009D4357" w:rsidRPr="008D71CC" w:rsidRDefault="009D4357" w:rsidP="00CE3F2A">
            <w:pPr>
              <w:ind w:right="-29"/>
              <w:jc w:val="center"/>
              <w:rPr>
                <w:noProof/>
                <w:sz w:val="18"/>
                <w:szCs w:val="18"/>
              </w:rPr>
            </w:pPr>
            <w:r>
              <w:rPr>
                <w:noProof/>
                <w:sz w:val="18"/>
                <w:szCs w:val="18"/>
              </w:rPr>
              <w:t>26</w:t>
            </w:r>
          </w:p>
        </w:tc>
        <w:tc>
          <w:tcPr>
            <w:tcW w:w="840" w:type="dxa"/>
            <w:tcBorders>
              <w:top w:val="single" w:sz="4" w:space="0" w:color="auto"/>
              <w:left w:val="dashSmallGap" w:sz="4" w:space="0" w:color="auto"/>
              <w:bottom w:val="single" w:sz="4" w:space="0" w:color="auto"/>
              <w:right w:val="single" w:sz="4" w:space="0" w:color="auto"/>
            </w:tcBorders>
          </w:tcPr>
          <w:p w14:paraId="03A1C40A" w14:textId="77777777" w:rsidR="009D4357" w:rsidRPr="008D71CC" w:rsidRDefault="009D4357" w:rsidP="00CE3F2A">
            <w:pPr>
              <w:ind w:right="-29"/>
              <w:jc w:val="center"/>
              <w:rPr>
                <w:noProof/>
                <w:sz w:val="18"/>
                <w:szCs w:val="18"/>
              </w:rPr>
            </w:pPr>
            <w:r>
              <w:rPr>
                <w:noProof/>
                <w:sz w:val="18"/>
                <w:szCs w:val="18"/>
              </w:rPr>
              <w:t>16.959</w:t>
            </w:r>
          </w:p>
        </w:tc>
        <w:tc>
          <w:tcPr>
            <w:tcW w:w="596" w:type="dxa"/>
            <w:tcBorders>
              <w:left w:val="single" w:sz="4" w:space="0" w:color="auto"/>
              <w:right w:val="dashSmallGap" w:sz="4" w:space="0" w:color="auto"/>
            </w:tcBorders>
          </w:tcPr>
          <w:p w14:paraId="6FEA55DF" w14:textId="77777777" w:rsidR="009D4357" w:rsidRPr="008D71CC" w:rsidRDefault="009D4357" w:rsidP="00CE3F2A">
            <w:pPr>
              <w:ind w:right="-29"/>
              <w:jc w:val="center"/>
              <w:rPr>
                <w:noProof/>
                <w:sz w:val="18"/>
                <w:szCs w:val="18"/>
              </w:rPr>
            </w:pPr>
            <w:r>
              <w:rPr>
                <w:noProof/>
                <w:sz w:val="18"/>
                <w:szCs w:val="18"/>
              </w:rPr>
              <w:t>26</w:t>
            </w:r>
          </w:p>
        </w:tc>
        <w:tc>
          <w:tcPr>
            <w:tcW w:w="840" w:type="dxa"/>
            <w:tcBorders>
              <w:left w:val="dashSmallGap" w:sz="4" w:space="0" w:color="auto"/>
              <w:bottom w:val="single" w:sz="4" w:space="0" w:color="auto"/>
            </w:tcBorders>
          </w:tcPr>
          <w:p w14:paraId="0BED4C98" w14:textId="77777777" w:rsidR="009D4357" w:rsidRPr="008D71CC" w:rsidRDefault="009D4357" w:rsidP="00CE3F2A">
            <w:pPr>
              <w:ind w:right="-29"/>
              <w:jc w:val="center"/>
              <w:rPr>
                <w:noProof/>
                <w:sz w:val="18"/>
                <w:szCs w:val="18"/>
              </w:rPr>
            </w:pPr>
            <w:r>
              <w:rPr>
                <w:noProof/>
                <w:sz w:val="18"/>
                <w:szCs w:val="18"/>
              </w:rPr>
              <w:t>16.959</w:t>
            </w:r>
          </w:p>
        </w:tc>
        <w:tc>
          <w:tcPr>
            <w:tcW w:w="596" w:type="dxa"/>
            <w:tcBorders>
              <w:right w:val="dashSmallGap" w:sz="4" w:space="0" w:color="auto"/>
            </w:tcBorders>
          </w:tcPr>
          <w:p w14:paraId="29A00B02" w14:textId="77777777" w:rsidR="009D4357" w:rsidRPr="008D71CC" w:rsidRDefault="009D4357" w:rsidP="00CE3F2A">
            <w:pPr>
              <w:ind w:right="-29"/>
              <w:jc w:val="center"/>
              <w:rPr>
                <w:noProof/>
                <w:sz w:val="18"/>
                <w:szCs w:val="18"/>
              </w:rPr>
            </w:pPr>
          </w:p>
        </w:tc>
        <w:tc>
          <w:tcPr>
            <w:tcW w:w="772" w:type="dxa"/>
            <w:tcBorders>
              <w:left w:val="dashSmallGap" w:sz="4" w:space="0" w:color="auto"/>
              <w:bottom w:val="single" w:sz="4" w:space="0" w:color="auto"/>
            </w:tcBorders>
          </w:tcPr>
          <w:p w14:paraId="7BD31082" w14:textId="77777777" w:rsidR="009D4357" w:rsidRPr="008D71CC" w:rsidRDefault="009D4357" w:rsidP="00CE3F2A">
            <w:pPr>
              <w:ind w:right="-29"/>
              <w:jc w:val="center"/>
              <w:rPr>
                <w:noProof/>
                <w:sz w:val="18"/>
                <w:szCs w:val="18"/>
              </w:rPr>
            </w:pPr>
          </w:p>
        </w:tc>
        <w:tc>
          <w:tcPr>
            <w:tcW w:w="596" w:type="dxa"/>
            <w:tcBorders>
              <w:right w:val="dashSmallGap" w:sz="4" w:space="0" w:color="auto"/>
            </w:tcBorders>
          </w:tcPr>
          <w:p w14:paraId="6B2D41B0" w14:textId="77777777" w:rsidR="009D4357" w:rsidRPr="008D71CC" w:rsidRDefault="009D4357" w:rsidP="00CE3F2A">
            <w:pPr>
              <w:ind w:right="-29"/>
              <w:jc w:val="center"/>
              <w:rPr>
                <w:noProof/>
                <w:sz w:val="18"/>
                <w:szCs w:val="18"/>
              </w:rPr>
            </w:pPr>
            <w:r>
              <w:rPr>
                <w:noProof/>
                <w:sz w:val="18"/>
                <w:szCs w:val="18"/>
              </w:rPr>
              <w:t>26</w:t>
            </w:r>
          </w:p>
        </w:tc>
        <w:tc>
          <w:tcPr>
            <w:tcW w:w="1320" w:type="dxa"/>
            <w:tcBorders>
              <w:left w:val="dashSmallGap" w:sz="4" w:space="0" w:color="auto"/>
              <w:bottom w:val="single" w:sz="4" w:space="0" w:color="auto"/>
              <w:right w:val="single" w:sz="12" w:space="0" w:color="auto"/>
            </w:tcBorders>
          </w:tcPr>
          <w:p w14:paraId="423DDD85" w14:textId="77777777" w:rsidR="009D4357" w:rsidRPr="008D71CC" w:rsidRDefault="009D4357" w:rsidP="00CE3F2A">
            <w:pPr>
              <w:ind w:right="-29"/>
              <w:jc w:val="center"/>
              <w:rPr>
                <w:noProof/>
                <w:sz w:val="18"/>
                <w:szCs w:val="18"/>
              </w:rPr>
            </w:pPr>
            <w:r>
              <w:rPr>
                <w:noProof/>
                <w:sz w:val="18"/>
                <w:szCs w:val="18"/>
              </w:rPr>
              <w:t>39.7</w:t>
            </w:r>
          </w:p>
        </w:tc>
      </w:tr>
      <w:tr w:rsidR="009D4357" w:rsidRPr="008D71CC" w14:paraId="6E1ACD6D" w14:textId="77777777" w:rsidTr="00CE3F2A">
        <w:trPr>
          <w:jc w:val="center"/>
        </w:trPr>
        <w:tc>
          <w:tcPr>
            <w:tcW w:w="2802" w:type="dxa"/>
            <w:gridSpan w:val="3"/>
            <w:tcBorders>
              <w:left w:val="single" w:sz="12" w:space="0" w:color="auto"/>
              <w:bottom w:val="single" w:sz="12" w:space="0" w:color="auto"/>
            </w:tcBorders>
            <w:vAlign w:val="center"/>
          </w:tcPr>
          <w:p w14:paraId="66303426" w14:textId="77777777" w:rsidR="009D4357" w:rsidRPr="008D71CC" w:rsidRDefault="009D4357" w:rsidP="00CE3F2A">
            <w:pPr>
              <w:ind w:right="-29"/>
              <w:jc w:val="center"/>
              <w:rPr>
                <w:noProof/>
                <w:sz w:val="18"/>
                <w:szCs w:val="18"/>
              </w:rPr>
            </w:pPr>
            <w:r>
              <w:rPr>
                <w:noProof/>
                <w:sz w:val="18"/>
              </w:rPr>
              <w:t>Total</w:t>
            </w:r>
          </w:p>
        </w:tc>
        <w:tc>
          <w:tcPr>
            <w:tcW w:w="303" w:type="dxa"/>
            <w:tcBorders>
              <w:bottom w:val="single" w:sz="12" w:space="0" w:color="auto"/>
              <w:right w:val="dashSmallGap" w:sz="4" w:space="0" w:color="auto"/>
            </w:tcBorders>
          </w:tcPr>
          <w:p w14:paraId="624D81A0" w14:textId="77777777" w:rsidR="009D4357" w:rsidRPr="008D71CC" w:rsidRDefault="009D4357" w:rsidP="00CE3F2A">
            <w:pPr>
              <w:ind w:right="-29"/>
              <w:jc w:val="center"/>
              <w:rPr>
                <w:noProof/>
                <w:sz w:val="18"/>
                <w:szCs w:val="18"/>
              </w:rPr>
            </w:pPr>
          </w:p>
        </w:tc>
        <w:tc>
          <w:tcPr>
            <w:tcW w:w="637" w:type="dxa"/>
            <w:tcBorders>
              <w:left w:val="dashSmallGap" w:sz="4" w:space="0" w:color="auto"/>
              <w:bottom w:val="single" w:sz="12" w:space="0" w:color="auto"/>
            </w:tcBorders>
          </w:tcPr>
          <w:p w14:paraId="5272BF93" w14:textId="77777777" w:rsidR="009D4357" w:rsidRPr="008D71CC" w:rsidRDefault="009D4357" w:rsidP="00CE3F2A">
            <w:pPr>
              <w:ind w:right="-29"/>
              <w:jc w:val="center"/>
              <w:rPr>
                <w:b/>
                <w:noProof/>
                <w:sz w:val="18"/>
                <w:szCs w:val="18"/>
              </w:rPr>
            </w:pPr>
          </w:p>
        </w:tc>
        <w:tc>
          <w:tcPr>
            <w:tcW w:w="453" w:type="dxa"/>
            <w:tcBorders>
              <w:bottom w:val="single" w:sz="12" w:space="0" w:color="auto"/>
              <w:right w:val="dashSmallGap" w:sz="4" w:space="0" w:color="auto"/>
            </w:tcBorders>
          </w:tcPr>
          <w:p w14:paraId="172C4C30" w14:textId="77777777" w:rsidR="009D4357" w:rsidRPr="008D71CC" w:rsidRDefault="009D4357" w:rsidP="00CE3F2A">
            <w:pPr>
              <w:ind w:right="-29"/>
              <w:jc w:val="center"/>
              <w:rPr>
                <w:noProof/>
                <w:sz w:val="18"/>
                <w:szCs w:val="18"/>
              </w:rPr>
            </w:pPr>
          </w:p>
        </w:tc>
        <w:tc>
          <w:tcPr>
            <w:tcW w:w="720" w:type="dxa"/>
            <w:tcBorders>
              <w:left w:val="dashSmallGap" w:sz="4" w:space="0" w:color="auto"/>
              <w:bottom w:val="single" w:sz="12" w:space="0" w:color="auto"/>
            </w:tcBorders>
          </w:tcPr>
          <w:p w14:paraId="1973827D" w14:textId="77777777" w:rsidR="009D4357" w:rsidRPr="008D71CC" w:rsidRDefault="009D4357" w:rsidP="00CE3F2A">
            <w:pPr>
              <w:ind w:right="-29"/>
              <w:jc w:val="center"/>
              <w:rPr>
                <w:b/>
                <w:noProof/>
                <w:sz w:val="18"/>
                <w:szCs w:val="18"/>
              </w:rPr>
            </w:pPr>
            <w:r>
              <w:rPr>
                <w:b/>
                <w:noProof/>
                <w:sz w:val="18"/>
                <w:szCs w:val="18"/>
              </w:rPr>
              <w:t>13.64</w:t>
            </w:r>
          </w:p>
        </w:tc>
        <w:tc>
          <w:tcPr>
            <w:tcW w:w="390" w:type="dxa"/>
            <w:tcBorders>
              <w:bottom w:val="single" w:sz="12" w:space="0" w:color="auto"/>
              <w:right w:val="dashSmallGap" w:sz="4" w:space="0" w:color="auto"/>
            </w:tcBorders>
          </w:tcPr>
          <w:p w14:paraId="7F61BFF6" w14:textId="77777777" w:rsidR="009D4357" w:rsidRPr="008D71CC" w:rsidRDefault="009D4357" w:rsidP="00CE3F2A">
            <w:pPr>
              <w:ind w:right="-29"/>
              <w:jc w:val="center"/>
              <w:rPr>
                <w:noProof/>
                <w:sz w:val="18"/>
                <w:szCs w:val="18"/>
              </w:rPr>
            </w:pPr>
          </w:p>
        </w:tc>
        <w:tc>
          <w:tcPr>
            <w:tcW w:w="840" w:type="dxa"/>
            <w:tcBorders>
              <w:left w:val="dashSmallGap" w:sz="4" w:space="0" w:color="auto"/>
              <w:bottom w:val="single" w:sz="12" w:space="0" w:color="auto"/>
            </w:tcBorders>
          </w:tcPr>
          <w:p w14:paraId="640E364D" w14:textId="77777777" w:rsidR="009D4357" w:rsidRPr="008D71CC" w:rsidRDefault="009D4357" w:rsidP="00CE3F2A">
            <w:pPr>
              <w:ind w:right="-29"/>
              <w:jc w:val="center"/>
              <w:rPr>
                <w:b/>
                <w:noProof/>
                <w:sz w:val="18"/>
                <w:szCs w:val="18"/>
              </w:rPr>
            </w:pPr>
            <w:r>
              <w:rPr>
                <w:b/>
                <w:noProof/>
                <w:sz w:val="18"/>
                <w:szCs w:val="18"/>
              </w:rPr>
              <w:t>40</w:t>
            </w:r>
          </w:p>
        </w:tc>
        <w:tc>
          <w:tcPr>
            <w:tcW w:w="596" w:type="dxa"/>
            <w:tcBorders>
              <w:bottom w:val="single" w:sz="12" w:space="0" w:color="auto"/>
              <w:right w:val="dashSmallGap" w:sz="4" w:space="0" w:color="auto"/>
            </w:tcBorders>
          </w:tcPr>
          <w:p w14:paraId="10462495" w14:textId="77777777" w:rsidR="009D4357" w:rsidRPr="008D71CC" w:rsidRDefault="009D4357" w:rsidP="00CE3F2A">
            <w:pPr>
              <w:ind w:right="-29"/>
              <w:jc w:val="center"/>
              <w:rPr>
                <w:noProof/>
                <w:sz w:val="18"/>
                <w:szCs w:val="18"/>
              </w:rPr>
            </w:pPr>
          </w:p>
        </w:tc>
        <w:tc>
          <w:tcPr>
            <w:tcW w:w="840" w:type="dxa"/>
            <w:tcBorders>
              <w:left w:val="dashSmallGap" w:sz="4" w:space="0" w:color="auto"/>
              <w:bottom w:val="single" w:sz="12" w:space="0" w:color="auto"/>
            </w:tcBorders>
          </w:tcPr>
          <w:p w14:paraId="6DF61E3A" w14:textId="77777777" w:rsidR="009D4357" w:rsidRPr="008D71CC" w:rsidRDefault="009D4357" w:rsidP="00CE3F2A">
            <w:pPr>
              <w:ind w:right="-29"/>
              <w:jc w:val="center"/>
              <w:rPr>
                <w:b/>
                <w:noProof/>
                <w:sz w:val="18"/>
                <w:szCs w:val="18"/>
              </w:rPr>
            </w:pPr>
            <w:r>
              <w:rPr>
                <w:b/>
                <w:noProof/>
                <w:sz w:val="18"/>
                <w:szCs w:val="18"/>
              </w:rPr>
              <w:t>40</w:t>
            </w:r>
          </w:p>
        </w:tc>
        <w:tc>
          <w:tcPr>
            <w:tcW w:w="596" w:type="dxa"/>
            <w:tcBorders>
              <w:bottom w:val="single" w:sz="12" w:space="0" w:color="auto"/>
              <w:right w:val="dashSmallGap" w:sz="4" w:space="0" w:color="auto"/>
            </w:tcBorders>
          </w:tcPr>
          <w:p w14:paraId="15F27675" w14:textId="77777777" w:rsidR="009D4357" w:rsidRPr="008D71CC" w:rsidRDefault="009D4357" w:rsidP="00CE3F2A">
            <w:pPr>
              <w:ind w:right="-29"/>
              <w:jc w:val="center"/>
              <w:rPr>
                <w:noProof/>
                <w:sz w:val="18"/>
                <w:szCs w:val="18"/>
              </w:rPr>
            </w:pPr>
          </w:p>
        </w:tc>
        <w:tc>
          <w:tcPr>
            <w:tcW w:w="772" w:type="dxa"/>
            <w:tcBorders>
              <w:left w:val="dashSmallGap" w:sz="4" w:space="0" w:color="auto"/>
              <w:bottom w:val="single" w:sz="12" w:space="0" w:color="auto"/>
            </w:tcBorders>
          </w:tcPr>
          <w:p w14:paraId="11B722D3" w14:textId="77777777" w:rsidR="009D4357" w:rsidRPr="008D71CC" w:rsidRDefault="009D4357" w:rsidP="00CE3F2A">
            <w:pPr>
              <w:ind w:right="-29"/>
              <w:rPr>
                <w:b/>
                <w:noProof/>
                <w:sz w:val="18"/>
              </w:rPr>
            </w:pPr>
          </w:p>
        </w:tc>
        <w:tc>
          <w:tcPr>
            <w:tcW w:w="596" w:type="dxa"/>
            <w:tcBorders>
              <w:bottom w:val="single" w:sz="12" w:space="0" w:color="auto"/>
              <w:right w:val="dashSmallGap" w:sz="4" w:space="0" w:color="auto"/>
            </w:tcBorders>
          </w:tcPr>
          <w:p w14:paraId="39BFB498" w14:textId="77777777" w:rsidR="009D4357" w:rsidRPr="008D71CC" w:rsidRDefault="009D4357" w:rsidP="00CE3F2A">
            <w:pPr>
              <w:ind w:right="-29"/>
              <w:jc w:val="center"/>
              <w:rPr>
                <w:noProof/>
                <w:sz w:val="18"/>
                <w:szCs w:val="18"/>
              </w:rPr>
            </w:pPr>
          </w:p>
        </w:tc>
        <w:tc>
          <w:tcPr>
            <w:tcW w:w="1320" w:type="dxa"/>
            <w:tcBorders>
              <w:left w:val="dashSmallGap" w:sz="4" w:space="0" w:color="auto"/>
              <w:bottom w:val="single" w:sz="12" w:space="0" w:color="auto"/>
              <w:right w:val="single" w:sz="12" w:space="0" w:color="auto"/>
            </w:tcBorders>
          </w:tcPr>
          <w:p w14:paraId="0A80110D" w14:textId="77777777" w:rsidR="009D4357" w:rsidRPr="008D71CC" w:rsidRDefault="009D4357" w:rsidP="00CE3F2A">
            <w:pPr>
              <w:ind w:right="-29"/>
              <w:jc w:val="center"/>
              <w:rPr>
                <w:b/>
                <w:noProof/>
                <w:sz w:val="18"/>
                <w:szCs w:val="18"/>
              </w:rPr>
            </w:pPr>
            <w:r>
              <w:rPr>
                <w:b/>
                <w:noProof/>
                <w:sz w:val="18"/>
                <w:szCs w:val="18"/>
              </w:rPr>
              <w:t>93.64</w:t>
            </w:r>
          </w:p>
        </w:tc>
      </w:tr>
    </w:tbl>
    <w:p w14:paraId="1547C729" w14:textId="77777777" w:rsidR="009D4357" w:rsidRPr="0056090D" w:rsidRDefault="009D4357" w:rsidP="009D4357">
      <w:pPr>
        <w:spacing w:before="0" w:after="200" w:line="276" w:lineRule="auto"/>
        <w:ind w:left="720" w:firstLine="720"/>
        <w:jc w:val="left"/>
        <w:rPr>
          <w:noProof/>
          <w:sz w:val="20"/>
          <w:lang w:eastAsia="en-GB"/>
        </w:rPr>
      </w:pPr>
      <w:r w:rsidRPr="0056090D">
        <w:rPr>
          <w:noProof/>
          <w:sz w:val="18"/>
          <w:lang w:eastAsia="en-GB"/>
        </w:rPr>
        <w:t>*Estimated MS without a facial images database</w:t>
      </w:r>
    </w:p>
    <w:p w14:paraId="7DB02D68" w14:textId="77777777" w:rsidR="009D4357" w:rsidRPr="00434957" w:rsidRDefault="009D4357" w:rsidP="009D4357">
      <w:pPr>
        <w:rPr>
          <w:noProof/>
          <w:highlight w:val="yellow"/>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1"/>
        <w:gridCol w:w="1080"/>
        <w:gridCol w:w="7817"/>
      </w:tblGrid>
      <w:tr w:rsidR="009D4357" w:rsidRPr="00434957" w14:paraId="16F00393" w14:textId="77777777" w:rsidTr="00CE3F2A">
        <w:trPr>
          <w:jc w:val="center"/>
        </w:trPr>
        <w:tc>
          <w:tcPr>
            <w:tcW w:w="4681" w:type="dxa"/>
            <w:shd w:val="thinDiagStripe" w:color="C0C0C0" w:fill="auto"/>
            <w:vAlign w:val="center"/>
          </w:tcPr>
          <w:p w14:paraId="6ACAF3DA" w14:textId="77777777" w:rsidR="009D4357" w:rsidRPr="00434957" w:rsidRDefault="009D4357" w:rsidP="00CE3F2A">
            <w:pPr>
              <w:spacing w:before="60" w:after="60"/>
              <w:jc w:val="center"/>
              <w:rPr>
                <w:b/>
                <w:noProof/>
                <w:lang w:eastAsia="en-GB"/>
              </w:rPr>
            </w:pPr>
            <w:r w:rsidRPr="00434957">
              <w:rPr>
                <w:noProof/>
                <w:lang w:eastAsia="en-GB"/>
              </w:rPr>
              <w:br w:type="page"/>
            </w:r>
            <w:r w:rsidRPr="00434957">
              <w:rPr>
                <w:b/>
                <w:noProof/>
                <w:lang w:eastAsia="en-GB"/>
              </w:rPr>
              <w:t xml:space="preserve">Heading of multiannual financial </w:t>
            </w:r>
            <w:r w:rsidRPr="00434957">
              <w:rPr>
                <w:noProof/>
                <w:lang w:eastAsia="en-GB"/>
              </w:rPr>
              <w:br/>
            </w:r>
            <w:r w:rsidRPr="00434957">
              <w:rPr>
                <w:b/>
                <w:noProof/>
                <w:lang w:eastAsia="en-GB"/>
              </w:rPr>
              <w:t xml:space="preserve">framework </w:t>
            </w:r>
          </w:p>
        </w:tc>
        <w:tc>
          <w:tcPr>
            <w:tcW w:w="1080" w:type="dxa"/>
            <w:shd w:val="thinDiagStripe" w:color="C0C0C0" w:fill="auto"/>
            <w:vAlign w:val="center"/>
          </w:tcPr>
          <w:p w14:paraId="06F9E2D1" w14:textId="77777777" w:rsidR="009D4357" w:rsidRPr="00434957" w:rsidRDefault="009D4357" w:rsidP="00CE3F2A">
            <w:pPr>
              <w:spacing w:before="60" w:after="60"/>
              <w:jc w:val="center"/>
              <w:rPr>
                <w:noProof/>
                <w:lang w:eastAsia="en-GB"/>
              </w:rPr>
            </w:pPr>
            <w:r>
              <w:rPr>
                <w:b/>
                <w:noProof/>
                <w:lang w:eastAsia="en-GB"/>
              </w:rPr>
              <w:t>7</w:t>
            </w:r>
          </w:p>
        </w:tc>
        <w:tc>
          <w:tcPr>
            <w:tcW w:w="7817" w:type="dxa"/>
            <w:vAlign w:val="center"/>
          </w:tcPr>
          <w:p w14:paraId="3B7F1FB4" w14:textId="77777777" w:rsidR="009D4357" w:rsidRPr="00434957" w:rsidRDefault="009D4357" w:rsidP="00CE3F2A">
            <w:pPr>
              <w:spacing w:before="60" w:after="60"/>
              <w:rPr>
                <w:noProof/>
                <w:lang w:eastAsia="en-GB"/>
              </w:rPr>
            </w:pPr>
            <w:r w:rsidRPr="00434957">
              <w:rPr>
                <w:noProof/>
                <w:lang w:eastAsia="en-GB"/>
              </w:rPr>
              <w:t>‘Administrative expenditure’</w:t>
            </w:r>
          </w:p>
        </w:tc>
      </w:tr>
    </w:tbl>
    <w:p w14:paraId="10C5E750" w14:textId="77777777" w:rsidR="009D4357" w:rsidRPr="00434957" w:rsidRDefault="009D4357" w:rsidP="009D4357">
      <w:pPr>
        <w:jc w:val="right"/>
        <w:rPr>
          <w:noProof/>
          <w:sz w:val="20"/>
          <w:lang w:eastAsia="en-GB"/>
        </w:rPr>
      </w:pPr>
      <w:r w:rsidRPr="00434957">
        <w:rPr>
          <w:noProof/>
          <w:sz w:val="20"/>
          <w:lang w:eastAsia="en-GB"/>
        </w:rPr>
        <w:t>EUR million (to three decimal places)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560"/>
        <w:gridCol w:w="534"/>
        <w:gridCol w:w="868"/>
        <w:gridCol w:w="868"/>
        <w:gridCol w:w="868"/>
        <w:gridCol w:w="868"/>
        <w:gridCol w:w="868"/>
        <w:gridCol w:w="1777"/>
        <w:gridCol w:w="868"/>
      </w:tblGrid>
      <w:tr w:rsidR="009D4357" w:rsidRPr="00434957" w14:paraId="0C5AA5CA" w14:textId="77777777" w:rsidTr="00CE3F2A">
        <w:trPr>
          <w:gridAfter w:val="1"/>
          <w:wAfter w:w="868" w:type="dxa"/>
        </w:trPr>
        <w:tc>
          <w:tcPr>
            <w:tcW w:w="3600" w:type="dxa"/>
            <w:tcBorders>
              <w:top w:val="nil"/>
              <w:left w:val="nil"/>
              <w:right w:val="nil"/>
            </w:tcBorders>
            <w:vAlign w:val="center"/>
          </w:tcPr>
          <w:p w14:paraId="1347916D" w14:textId="77777777" w:rsidR="009D4357" w:rsidRPr="00434957" w:rsidRDefault="009D4357" w:rsidP="00CE3F2A">
            <w:pPr>
              <w:jc w:val="center"/>
              <w:rPr>
                <w:noProof/>
                <w:lang w:eastAsia="en-GB"/>
              </w:rPr>
            </w:pPr>
          </w:p>
        </w:tc>
        <w:tc>
          <w:tcPr>
            <w:tcW w:w="1560" w:type="dxa"/>
            <w:tcBorders>
              <w:top w:val="nil"/>
              <w:left w:val="nil"/>
              <w:right w:val="nil"/>
            </w:tcBorders>
          </w:tcPr>
          <w:p w14:paraId="3BA2C044" w14:textId="77777777" w:rsidR="009D4357" w:rsidRPr="00434957" w:rsidRDefault="009D4357" w:rsidP="00CE3F2A">
            <w:pPr>
              <w:rPr>
                <w:noProof/>
                <w:sz w:val="20"/>
                <w:lang w:eastAsia="en-GB"/>
              </w:rPr>
            </w:pPr>
          </w:p>
        </w:tc>
        <w:tc>
          <w:tcPr>
            <w:tcW w:w="534" w:type="dxa"/>
            <w:tcBorders>
              <w:top w:val="nil"/>
              <w:left w:val="nil"/>
            </w:tcBorders>
          </w:tcPr>
          <w:p w14:paraId="6DB6B6FC" w14:textId="77777777" w:rsidR="009D4357" w:rsidRPr="00434957" w:rsidRDefault="009D4357" w:rsidP="00CE3F2A">
            <w:pPr>
              <w:jc w:val="center"/>
              <w:rPr>
                <w:noProof/>
                <w:sz w:val="20"/>
                <w:lang w:eastAsia="en-GB"/>
              </w:rPr>
            </w:pPr>
          </w:p>
        </w:tc>
        <w:tc>
          <w:tcPr>
            <w:tcW w:w="868" w:type="dxa"/>
            <w:vAlign w:val="center"/>
          </w:tcPr>
          <w:p w14:paraId="1596C9ED" w14:textId="77777777" w:rsidR="009D4357" w:rsidRPr="00434957" w:rsidRDefault="009D4357" w:rsidP="00CE3F2A">
            <w:pPr>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2023</w:t>
            </w:r>
          </w:p>
        </w:tc>
        <w:tc>
          <w:tcPr>
            <w:tcW w:w="868" w:type="dxa"/>
            <w:vAlign w:val="center"/>
          </w:tcPr>
          <w:p w14:paraId="54CD3D9F" w14:textId="77777777" w:rsidR="009D4357" w:rsidRPr="00434957" w:rsidRDefault="009D4357" w:rsidP="00CE3F2A">
            <w:pPr>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2024</w:t>
            </w:r>
          </w:p>
        </w:tc>
        <w:tc>
          <w:tcPr>
            <w:tcW w:w="868" w:type="dxa"/>
            <w:vAlign w:val="center"/>
          </w:tcPr>
          <w:p w14:paraId="60C1E343" w14:textId="77777777" w:rsidR="009D4357" w:rsidRPr="00434957" w:rsidRDefault="009D4357" w:rsidP="00CE3F2A">
            <w:pPr>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2025</w:t>
            </w:r>
          </w:p>
        </w:tc>
        <w:tc>
          <w:tcPr>
            <w:tcW w:w="868" w:type="dxa"/>
          </w:tcPr>
          <w:p w14:paraId="09386DC4" w14:textId="77777777" w:rsidR="009D4357" w:rsidRPr="00434957" w:rsidRDefault="009D4357" w:rsidP="00CE3F2A">
            <w:pPr>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2026</w:t>
            </w:r>
          </w:p>
        </w:tc>
        <w:tc>
          <w:tcPr>
            <w:tcW w:w="868" w:type="dxa"/>
          </w:tcPr>
          <w:p w14:paraId="54D7A54F" w14:textId="77777777" w:rsidR="009D4357" w:rsidRPr="00434957" w:rsidRDefault="009D4357" w:rsidP="00CE3F2A">
            <w:pPr>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2027</w:t>
            </w:r>
          </w:p>
        </w:tc>
        <w:tc>
          <w:tcPr>
            <w:tcW w:w="1777" w:type="dxa"/>
            <w:vAlign w:val="center"/>
          </w:tcPr>
          <w:p w14:paraId="6FEDAEDF" w14:textId="77777777" w:rsidR="009D4357" w:rsidRPr="00434957" w:rsidRDefault="009D4357" w:rsidP="00CE3F2A">
            <w:pPr>
              <w:jc w:val="center"/>
              <w:rPr>
                <w:b/>
                <w:noProof/>
                <w:sz w:val="20"/>
                <w:lang w:eastAsia="en-GB"/>
              </w:rPr>
            </w:pPr>
            <w:r w:rsidRPr="00434957">
              <w:rPr>
                <w:b/>
                <w:noProof/>
                <w:sz w:val="20"/>
                <w:lang w:eastAsia="en-GB"/>
              </w:rPr>
              <w:t>TOTAL</w:t>
            </w:r>
          </w:p>
        </w:tc>
      </w:tr>
      <w:tr w:rsidR="009D4357" w:rsidRPr="00434957" w14:paraId="13D2F764" w14:textId="77777777" w:rsidTr="00CE3F2A">
        <w:trPr>
          <w:gridAfter w:val="9"/>
          <w:wAfter w:w="9079" w:type="dxa"/>
        </w:trPr>
        <w:tc>
          <w:tcPr>
            <w:tcW w:w="3600" w:type="dxa"/>
            <w:vAlign w:val="center"/>
          </w:tcPr>
          <w:p w14:paraId="0C96E4C4" w14:textId="77777777" w:rsidR="009D4357" w:rsidRPr="00434957" w:rsidRDefault="009D4357" w:rsidP="00CE3F2A">
            <w:pPr>
              <w:spacing w:before="60" w:after="60"/>
              <w:jc w:val="center"/>
              <w:rPr>
                <w:noProof/>
                <w:lang w:eastAsia="en-GB"/>
              </w:rPr>
            </w:pPr>
            <w:r w:rsidRPr="00434957">
              <w:rPr>
                <w:noProof/>
                <w:lang w:eastAsia="en-GB"/>
              </w:rPr>
              <w:t>DG: HOME</w:t>
            </w:r>
          </w:p>
        </w:tc>
      </w:tr>
      <w:tr w:rsidR="00E531A6" w:rsidRPr="009E4FEE" w14:paraId="44013EA9" w14:textId="77777777" w:rsidTr="00CE3F2A">
        <w:trPr>
          <w:gridAfter w:val="1"/>
          <w:wAfter w:w="868" w:type="dxa"/>
          <w:trHeight w:val="313"/>
        </w:trPr>
        <w:tc>
          <w:tcPr>
            <w:tcW w:w="5694" w:type="dxa"/>
            <w:gridSpan w:val="3"/>
            <w:vAlign w:val="center"/>
          </w:tcPr>
          <w:p w14:paraId="1F69760C" w14:textId="77777777" w:rsidR="00E531A6" w:rsidRPr="009E4FEE" w:rsidRDefault="00E531A6" w:rsidP="00E531A6">
            <w:pPr>
              <w:spacing w:before="20" w:after="20"/>
              <w:rPr>
                <w:noProof/>
                <w:lang w:eastAsia="en-GB"/>
              </w:rPr>
            </w:pPr>
            <w:r w:rsidRPr="009E4FEE">
              <w:rPr>
                <w:noProof/>
                <w:lang w:eastAsia="en-GB"/>
              </w:rPr>
              <w:sym w:font="Wingdings" w:char="F09F"/>
            </w:r>
            <w:r w:rsidRPr="009E4FEE">
              <w:rPr>
                <w:noProof/>
                <w:lang w:eastAsia="en-GB"/>
              </w:rPr>
              <w:t xml:space="preserve"> Human Resources </w:t>
            </w:r>
          </w:p>
        </w:tc>
        <w:tc>
          <w:tcPr>
            <w:tcW w:w="868" w:type="dxa"/>
            <w:vAlign w:val="center"/>
          </w:tcPr>
          <w:p w14:paraId="2BE25F1C" w14:textId="77777777" w:rsidR="00E531A6" w:rsidRPr="009E4FEE" w:rsidRDefault="00E531A6" w:rsidP="00E531A6">
            <w:pPr>
              <w:spacing w:before="20" w:after="20"/>
              <w:jc w:val="right"/>
              <w:rPr>
                <w:noProof/>
                <w:sz w:val="20"/>
                <w:lang w:eastAsia="en-GB"/>
              </w:rPr>
            </w:pPr>
          </w:p>
        </w:tc>
        <w:tc>
          <w:tcPr>
            <w:tcW w:w="868" w:type="dxa"/>
            <w:vAlign w:val="center"/>
          </w:tcPr>
          <w:p w14:paraId="26678A38" w14:textId="735878C3" w:rsidR="00E531A6" w:rsidRPr="00990817" w:rsidRDefault="00E531A6" w:rsidP="00E531A6">
            <w:pPr>
              <w:spacing w:before="20" w:after="20"/>
              <w:jc w:val="right"/>
              <w:rPr>
                <w:noProof/>
                <w:sz w:val="20"/>
                <w:lang w:eastAsia="en-GB"/>
              </w:rPr>
            </w:pPr>
            <w:r>
              <w:rPr>
                <w:rFonts w:ascii="Arial Narrow" w:hAnsi="Arial Narrow"/>
                <w:noProof/>
                <w:color w:val="000000"/>
                <w:sz w:val="20"/>
                <w:szCs w:val="20"/>
              </w:rPr>
              <w:t> 0.608</w:t>
            </w:r>
          </w:p>
        </w:tc>
        <w:tc>
          <w:tcPr>
            <w:tcW w:w="868" w:type="dxa"/>
            <w:vAlign w:val="center"/>
          </w:tcPr>
          <w:p w14:paraId="6D2E4009" w14:textId="2587D494" w:rsidR="00E531A6" w:rsidRPr="00990817" w:rsidRDefault="00E531A6" w:rsidP="00E531A6">
            <w:pPr>
              <w:spacing w:before="20" w:after="20"/>
              <w:jc w:val="right"/>
              <w:rPr>
                <w:noProof/>
                <w:sz w:val="20"/>
                <w:lang w:eastAsia="en-GB"/>
              </w:rPr>
            </w:pPr>
            <w:r>
              <w:rPr>
                <w:rFonts w:ascii="Arial Narrow" w:hAnsi="Arial Narrow"/>
                <w:noProof/>
                <w:color w:val="000000"/>
                <w:sz w:val="20"/>
                <w:szCs w:val="20"/>
              </w:rPr>
              <w:t> 0.684</w:t>
            </w:r>
          </w:p>
        </w:tc>
        <w:tc>
          <w:tcPr>
            <w:tcW w:w="868" w:type="dxa"/>
            <w:vAlign w:val="center"/>
          </w:tcPr>
          <w:p w14:paraId="225B943B" w14:textId="10795FE1" w:rsidR="00E531A6" w:rsidRPr="009E4FEE" w:rsidRDefault="00E531A6" w:rsidP="00E531A6">
            <w:pPr>
              <w:spacing w:before="20" w:after="20"/>
              <w:jc w:val="right"/>
              <w:rPr>
                <w:noProof/>
                <w:sz w:val="20"/>
                <w:lang w:eastAsia="en-GB"/>
              </w:rPr>
            </w:pPr>
            <w:r>
              <w:rPr>
                <w:rFonts w:ascii="Arial Narrow" w:hAnsi="Arial Narrow"/>
                <w:noProof/>
                <w:color w:val="000000"/>
                <w:sz w:val="20"/>
                <w:szCs w:val="20"/>
              </w:rPr>
              <w:t>0.608 </w:t>
            </w:r>
          </w:p>
        </w:tc>
        <w:tc>
          <w:tcPr>
            <w:tcW w:w="868" w:type="dxa"/>
            <w:vAlign w:val="center"/>
          </w:tcPr>
          <w:p w14:paraId="2E5251C2" w14:textId="49D26AB2" w:rsidR="00E531A6" w:rsidRPr="009E4FEE" w:rsidRDefault="00E531A6" w:rsidP="00E531A6">
            <w:pPr>
              <w:spacing w:before="20" w:after="20"/>
              <w:jc w:val="right"/>
              <w:rPr>
                <w:noProof/>
                <w:sz w:val="20"/>
                <w:lang w:eastAsia="en-GB"/>
              </w:rPr>
            </w:pPr>
            <w:r>
              <w:rPr>
                <w:rFonts w:ascii="Arial Narrow" w:hAnsi="Arial Narrow"/>
                <w:noProof/>
                <w:color w:val="000000"/>
                <w:sz w:val="20"/>
                <w:szCs w:val="20"/>
              </w:rPr>
              <w:t> 0.608</w:t>
            </w:r>
          </w:p>
        </w:tc>
        <w:tc>
          <w:tcPr>
            <w:tcW w:w="1777" w:type="dxa"/>
            <w:vAlign w:val="center"/>
          </w:tcPr>
          <w:p w14:paraId="27174D67" w14:textId="47E12DFE" w:rsidR="00E531A6" w:rsidRPr="009E4FEE" w:rsidRDefault="00E531A6" w:rsidP="00E531A6">
            <w:pPr>
              <w:spacing w:before="20" w:after="20"/>
              <w:jc w:val="right"/>
              <w:rPr>
                <w:b/>
                <w:noProof/>
                <w:sz w:val="20"/>
                <w:lang w:eastAsia="en-GB"/>
              </w:rPr>
            </w:pPr>
            <w:r>
              <w:rPr>
                <w:rFonts w:ascii="Arial Narrow" w:hAnsi="Arial Narrow"/>
                <w:noProof/>
                <w:color w:val="000000"/>
                <w:sz w:val="20"/>
                <w:szCs w:val="20"/>
              </w:rPr>
              <w:t> </w:t>
            </w:r>
            <w:r>
              <w:rPr>
                <w:rFonts w:ascii="Arial Narrow" w:hAnsi="Arial Narrow"/>
                <w:b/>
                <w:bCs/>
                <w:noProof/>
                <w:color w:val="000000"/>
                <w:sz w:val="20"/>
                <w:szCs w:val="20"/>
              </w:rPr>
              <w:t>2.508</w:t>
            </w:r>
          </w:p>
        </w:tc>
      </w:tr>
      <w:tr w:rsidR="00537771" w:rsidRPr="009E4FEE" w14:paraId="5EB844BE" w14:textId="77777777" w:rsidTr="00CE3F2A">
        <w:trPr>
          <w:trHeight w:val="351"/>
        </w:trPr>
        <w:tc>
          <w:tcPr>
            <w:tcW w:w="5694" w:type="dxa"/>
            <w:gridSpan w:val="3"/>
            <w:vAlign w:val="center"/>
          </w:tcPr>
          <w:p w14:paraId="7ECDB5DA" w14:textId="77777777" w:rsidR="00537771" w:rsidRPr="009E4FEE" w:rsidRDefault="00537771" w:rsidP="00537771">
            <w:pPr>
              <w:spacing w:before="20" w:after="20"/>
              <w:rPr>
                <w:noProof/>
                <w:lang w:eastAsia="en-GB"/>
              </w:rPr>
            </w:pPr>
            <w:r w:rsidRPr="009E4FEE">
              <w:rPr>
                <w:noProof/>
                <w:lang w:eastAsia="en-GB"/>
              </w:rPr>
              <w:sym w:font="Wingdings" w:char="F09F"/>
            </w:r>
            <w:r w:rsidRPr="009E4FEE">
              <w:rPr>
                <w:noProof/>
                <w:lang w:eastAsia="en-GB"/>
              </w:rPr>
              <w:t xml:space="preserve"> Other administrative expenditure </w:t>
            </w:r>
          </w:p>
        </w:tc>
        <w:tc>
          <w:tcPr>
            <w:tcW w:w="868" w:type="dxa"/>
            <w:vAlign w:val="center"/>
          </w:tcPr>
          <w:p w14:paraId="34C671F1" w14:textId="77777777" w:rsidR="00537771" w:rsidRPr="009E4FEE" w:rsidRDefault="00537771" w:rsidP="00537771">
            <w:pPr>
              <w:spacing w:before="20" w:after="20"/>
              <w:jc w:val="right"/>
              <w:rPr>
                <w:b/>
                <w:noProof/>
                <w:sz w:val="20"/>
                <w:lang w:eastAsia="en-GB"/>
              </w:rPr>
            </w:pPr>
          </w:p>
        </w:tc>
        <w:tc>
          <w:tcPr>
            <w:tcW w:w="868" w:type="dxa"/>
            <w:vAlign w:val="center"/>
          </w:tcPr>
          <w:p w14:paraId="3C0E0D3B" w14:textId="76BD0C42" w:rsidR="00537771" w:rsidRPr="009E4FEE" w:rsidRDefault="00537771" w:rsidP="00537771">
            <w:pPr>
              <w:spacing w:before="20" w:after="20"/>
              <w:jc w:val="right"/>
              <w:rPr>
                <w:b/>
                <w:noProof/>
                <w:sz w:val="20"/>
                <w:lang w:eastAsia="en-GB"/>
              </w:rPr>
            </w:pPr>
            <w:r>
              <w:rPr>
                <w:rFonts w:ascii="Arial Narrow" w:hAnsi="Arial Narrow"/>
                <w:noProof/>
                <w:color w:val="000000"/>
                <w:sz w:val="20"/>
                <w:szCs w:val="20"/>
              </w:rPr>
              <w:t>0.225</w:t>
            </w:r>
          </w:p>
        </w:tc>
        <w:tc>
          <w:tcPr>
            <w:tcW w:w="868" w:type="dxa"/>
            <w:vAlign w:val="center"/>
          </w:tcPr>
          <w:p w14:paraId="021E72BE" w14:textId="148A844C" w:rsidR="00537771" w:rsidRPr="009E4FEE" w:rsidRDefault="00537771" w:rsidP="00537771">
            <w:pPr>
              <w:spacing w:before="20" w:after="20"/>
              <w:jc w:val="right"/>
              <w:rPr>
                <w:b/>
                <w:noProof/>
                <w:sz w:val="20"/>
                <w:lang w:eastAsia="en-GB"/>
              </w:rPr>
            </w:pPr>
            <w:r>
              <w:rPr>
                <w:rFonts w:ascii="Arial Narrow" w:hAnsi="Arial Narrow"/>
                <w:noProof/>
                <w:color w:val="000000"/>
                <w:sz w:val="20"/>
                <w:szCs w:val="20"/>
              </w:rPr>
              <w:t> 0.225</w:t>
            </w:r>
          </w:p>
        </w:tc>
        <w:tc>
          <w:tcPr>
            <w:tcW w:w="868" w:type="dxa"/>
            <w:vAlign w:val="center"/>
          </w:tcPr>
          <w:p w14:paraId="6524A27C" w14:textId="67253484" w:rsidR="00537771" w:rsidRPr="009E4FEE" w:rsidRDefault="00537771" w:rsidP="00537771">
            <w:pPr>
              <w:spacing w:before="20" w:after="20"/>
              <w:jc w:val="right"/>
              <w:rPr>
                <w:b/>
                <w:noProof/>
                <w:sz w:val="20"/>
                <w:lang w:eastAsia="en-GB"/>
              </w:rPr>
            </w:pPr>
            <w:r>
              <w:rPr>
                <w:rFonts w:ascii="Arial Narrow" w:hAnsi="Arial Narrow"/>
                <w:noProof/>
                <w:color w:val="000000"/>
                <w:sz w:val="20"/>
                <w:szCs w:val="20"/>
              </w:rPr>
              <w:t>0.186</w:t>
            </w:r>
          </w:p>
        </w:tc>
        <w:tc>
          <w:tcPr>
            <w:tcW w:w="868" w:type="dxa"/>
            <w:vAlign w:val="center"/>
          </w:tcPr>
          <w:p w14:paraId="497A697B" w14:textId="0ECA5FCF" w:rsidR="00537771" w:rsidRPr="009E4FEE" w:rsidRDefault="00537771" w:rsidP="00537771">
            <w:pPr>
              <w:spacing w:before="20" w:after="20"/>
              <w:jc w:val="right"/>
              <w:rPr>
                <w:b/>
                <w:noProof/>
                <w:sz w:val="20"/>
                <w:lang w:eastAsia="en-GB"/>
              </w:rPr>
            </w:pPr>
            <w:r>
              <w:rPr>
                <w:rFonts w:ascii="Arial Narrow" w:hAnsi="Arial Narrow"/>
                <w:noProof/>
                <w:color w:val="000000"/>
                <w:sz w:val="20"/>
                <w:szCs w:val="20"/>
              </w:rPr>
              <w:t>0.186 </w:t>
            </w:r>
          </w:p>
        </w:tc>
        <w:tc>
          <w:tcPr>
            <w:tcW w:w="1777" w:type="dxa"/>
            <w:vAlign w:val="center"/>
          </w:tcPr>
          <w:p w14:paraId="782D7CE1" w14:textId="30AEBA6A" w:rsidR="00537771" w:rsidRPr="009E4FEE" w:rsidRDefault="00BE7639" w:rsidP="00537771">
            <w:pPr>
              <w:spacing w:before="20" w:after="20"/>
              <w:jc w:val="right"/>
              <w:rPr>
                <w:b/>
                <w:noProof/>
                <w:sz w:val="20"/>
                <w:lang w:eastAsia="en-GB"/>
              </w:rPr>
            </w:pPr>
            <w:r>
              <w:rPr>
                <w:rFonts w:ascii="Arial Narrow" w:hAnsi="Arial Narrow"/>
                <w:noProof/>
                <w:color w:val="000000"/>
                <w:sz w:val="20"/>
                <w:szCs w:val="20"/>
              </w:rPr>
              <w:t>0.822</w:t>
            </w:r>
            <w:r w:rsidR="00537771">
              <w:rPr>
                <w:rFonts w:ascii="Arial Narrow" w:hAnsi="Arial Narrow"/>
                <w:noProof/>
                <w:color w:val="000000"/>
                <w:sz w:val="20"/>
                <w:szCs w:val="20"/>
              </w:rPr>
              <w:t> </w:t>
            </w:r>
          </w:p>
        </w:tc>
        <w:tc>
          <w:tcPr>
            <w:tcW w:w="868" w:type="dxa"/>
            <w:vAlign w:val="center"/>
          </w:tcPr>
          <w:p w14:paraId="041CC4D8" w14:textId="68045963" w:rsidR="00537771" w:rsidRPr="0056090D" w:rsidRDefault="00537771" w:rsidP="00537771">
            <w:pPr>
              <w:rPr>
                <w:noProof/>
              </w:rPr>
            </w:pPr>
            <w:r w:rsidRPr="0056090D">
              <w:rPr>
                <w:noProof/>
                <w:color w:val="000000"/>
                <w:sz w:val="20"/>
                <w:szCs w:val="20"/>
                <w:lang w:eastAsia="en-GB"/>
              </w:rPr>
              <w:t xml:space="preserve"> </w:t>
            </w:r>
          </w:p>
        </w:tc>
      </w:tr>
      <w:tr w:rsidR="009D4357" w:rsidRPr="009E4FEE" w14:paraId="796A3B99" w14:textId="77777777" w:rsidTr="00CE3F2A">
        <w:trPr>
          <w:gridAfter w:val="1"/>
          <w:wAfter w:w="868" w:type="dxa"/>
        </w:trPr>
        <w:tc>
          <w:tcPr>
            <w:tcW w:w="3600" w:type="dxa"/>
            <w:vAlign w:val="center"/>
          </w:tcPr>
          <w:p w14:paraId="5E3228A7" w14:textId="77777777" w:rsidR="009D4357" w:rsidRPr="009E4FEE" w:rsidRDefault="009D4357" w:rsidP="00CE3F2A">
            <w:pPr>
              <w:jc w:val="center"/>
              <w:rPr>
                <w:b/>
                <w:noProof/>
                <w:lang w:eastAsia="en-GB"/>
              </w:rPr>
            </w:pPr>
            <w:r w:rsidRPr="009E4FEE">
              <w:rPr>
                <w:b/>
                <w:noProof/>
                <w:lang w:eastAsia="en-GB"/>
              </w:rPr>
              <w:t xml:space="preserve">TOTAL DG </w:t>
            </w:r>
            <w:r w:rsidRPr="009E4FEE">
              <w:rPr>
                <w:noProof/>
                <w:lang w:eastAsia="en-GB"/>
              </w:rPr>
              <w:t>HOME</w:t>
            </w:r>
          </w:p>
        </w:tc>
        <w:tc>
          <w:tcPr>
            <w:tcW w:w="2094" w:type="dxa"/>
            <w:gridSpan w:val="2"/>
            <w:vAlign w:val="center"/>
          </w:tcPr>
          <w:p w14:paraId="454E83A2" w14:textId="77777777" w:rsidR="009D4357" w:rsidRPr="00990817" w:rsidRDefault="009D4357" w:rsidP="00CE3F2A">
            <w:pPr>
              <w:rPr>
                <w:noProof/>
                <w:sz w:val="14"/>
                <w:lang w:eastAsia="en-GB"/>
              </w:rPr>
            </w:pPr>
            <w:r w:rsidRPr="009E4FEE">
              <w:rPr>
                <w:noProof/>
                <w:sz w:val="18"/>
                <w:lang w:eastAsia="en-GB"/>
              </w:rPr>
              <w:t xml:space="preserve">Appropriations </w:t>
            </w:r>
          </w:p>
        </w:tc>
        <w:tc>
          <w:tcPr>
            <w:tcW w:w="868" w:type="dxa"/>
            <w:vAlign w:val="center"/>
          </w:tcPr>
          <w:p w14:paraId="701CA614" w14:textId="77777777" w:rsidR="009D4357" w:rsidRPr="00990817" w:rsidRDefault="009D4357" w:rsidP="00CE3F2A">
            <w:pPr>
              <w:spacing w:before="20" w:after="20"/>
              <w:jc w:val="right"/>
              <w:rPr>
                <w:noProof/>
                <w:sz w:val="20"/>
                <w:lang w:eastAsia="en-GB"/>
              </w:rPr>
            </w:pPr>
          </w:p>
        </w:tc>
        <w:tc>
          <w:tcPr>
            <w:tcW w:w="868" w:type="dxa"/>
            <w:vAlign w:val="center"/>
          </w:tcPr>
          <w:p w14:paraId="161C515E" w14:textId="77777777" w:rsidR="009D4357" w:rsidRPr="00B45DEB" w:rsidRDefault="009D4357" w:rsidP="00CE3F2A">
            <w:pPr>
              <w:spacing w:before="20" w:after="20"/>
              <w:jc w:val="right"/>
              <w:rPr>
                <w:noProof/>
                <w:sz w:val="20"/>
                <w:lang w:eastAsia="en-GB"/>
              </w:rPr>
            </w:pPr>
          </w:p>
        </w:tc>
        <w:tc>
          <w:tcPr>
            <w:tcW w:w="868" w:type="dxa"/>
          </w:tcPr>
          <w:p w14:paraId="576A3F9D" w14:textId="77777777" w:rsidR="009D4357" w:rsidRPr="009E4FEE" w:rsidRDefault="009D4357" w:rsidP="00CE3F2A">
            <w:pPr>
              <w:spacing w:before="20" w:after="20"/>
              <w:jc w:val="right"/>
              <w:rPr>
                <w:noProof/>
                <w:sz w:val="20"/>
                <w:lang w:eastAsia="en-GB"/>
              </w:rPr>
            </w:pPr>
          </w:p>
        </w:tc>
        <w:tc>
          <w:tcPr>
            <w:tcW w:w="868" w:type="dxa"/>
          </w:tcPr>
          <w:p w14:paraId="22175A48" w14:textId="77777777" w:rsidR="009D4357" w:rsidRPr="009E4FEE" w:rsidRDefault="009D4357" w:rsidP="00CE3F2A">
            <w:pPr>
              <w:spacing w:before="20" w:after="20"/>
              <w:jc w:val="right"/>
              <w:rPr>
                <w:noProof/>
                <w:sz w:val="20"/>
                <w:lang w:eastAsia="en-GB"/>
              </w:rPr>
            </w:pPr>
          </w:p>
        </w:tc>
        <w:tc>
          <w:tcPr>
            <w:tcW w:w="868" w:type="dxa"/>
            <w:vAlign w:val="center"/>
          </w:tcPr>
          <w:p w14:paraId="74EF3360" w14:textId="77777777" w:rsidR="009D4357" w:rsidRPr="009E4FEE" w:rsidRDefault="009D4357" w:rsidP="00CE3F2A">
            <w:pPr>
              <w:spacing w:before="20" w:after="20"/>
              <w:jc w:val="right"/>
              <w:rPr>
                <w:noProof/>
                <w:sz w:val="20"/>
                <w:lang w:eastAsia="en-GB"/>
              </w:rPr>
            </w:pPr>
          </w:p>
        </w:tc>
        <w:tc>
          <w:tcPr>
            <w:tcW w:w="1777" w:type="dxa"/>
            <w:vAlign w:val="center"/>
          </w:tcPr>
          <w:p w14:paraId="1792E50F" w14:textId="77777777" w:rsidR="009D4357" w:rsidRPr="009E4FEE" w:rsidRDefault="009D4357" w:rsidP="00CE3F2A">
            <w:pPr>
              <w:spacing w:before="20" w:after="20"/>
              <w:jc w:val="right"/>
              <w:rPr>
                <w:b/>
                <w:noProof/>
                <w:sz w:val="20"/>
                <w:lang w:eastAsia="en-GB"/>
              </w:rPr>
            </w:pPr>
          </w:p>
        </w:tc>
      </w:tr>
    </w:tbl>
    <w:p w14:paraId="7B7D63E6" w14:textId="77777777" w:rsidR="009D4357" w:rsidRPr="009E4FEE" w:rsidRDefault="009D4357" w:rsidP="009D4357">
      <w:pPr>
        <w:rPr>
          <w:noProof/>
          <w:lang w:eastAsia="en-GB"/>
        </w:rPr>
      </w:pP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094"/>
        <w:gridCol w:w="868"/>
        <w:gridCol w:w="868"/>
        <w:gridCol w:w="868"/>
        <w:gridCol w:w="868"/>
        <w:gridCol w:w="868"/>
        <w:gridCol w:w="1732"/>
        <w:gridCol w:w="1701"/>
      </w:tblGrid>
      <w:tr w:rsidR="00BE7639" w:rsidRPr="009E4FEE" w14:paraId="2AC52AEC" w14:textId="77777777" w:rsidTr="00CE3F2A">
        <w:tc>
          <w:tcPr>
            <w:tcW w:w="3600" w:type="dxa"/>
            <w:shd w:val="thinDiagStripe" w:color="C0C0C0" w:fill="auto"/>
            <w:vAlign w:val="center"/>
          </w:tcPr>
          <w:p w14:paraId="146E708F" w14:textId="77777777" w:rsidR="00BE7639" w:rsidRPr="00990817" w:rsidRDefault="00BE7639" w:rsidP="00BE7639">
            <w:pPr>
              <w:jc w:val="center"/>
              <w:rPr>
                <w:b/>
                <w:noProof/>
                <w:lang w:eastAsia="en-GB"/>
              </w:rPr>
            </w:pPr>
            <w:r w:rsidRPr="009E4FEE">
              <w:rPr>
                <w:b/>
                <w:noProof/>
                <w:lang w:eastAsia="en-GB"/>
              </w:rPr>
              <w:t>TOTAL appropriations</w:t>
            </w:r>
            <w:r w:rsidRPr="009E4FEE">
              <w:rPr>
                <w:noProof/>
                <w:lang w:eastAsia="en-GB"/>
              </w:rPr>
              <w:br/>
            </w:r>
            <w:r w:rsidRPr="009E4FEE">
              <w:rPr>
                <w:b/>
                <w:noProof/>
                <w:lang w:eastAsia="en-GB"/>
              </w:rPr>
              <w:t>under HEADING 7</w:t>
            </w:r>
            <w:r w:rsidRPr="00990817">
              <w:rPr>
                <w:noProof/>
                <w:lang w:eastAsia="en-GB"/>
              </w:rPr>
              <w:br/>
              <w:t>of the multiannual financial framework</w:t>
            </w:r>
            <w:r w:rsidRPr="00990817">
              <w:rPr>
                <w:b/>
                <w:noProof/>
                <w:lang w:eastAsia="en-GB"/>
              </w:rPr>
              <w:t xml:space="preserve"> </w:t>
            </w:r>
          </w:p>
        </w:tc>
        <w:tc>
          <w:tcPr>
            <w:tcW w:w="2094" w:type="dxa"/>
            <w:vAlign w:val="center"/>
          </w:tcPr>
          <w:p w14:paraId="6BE0D71E" w14:textId="77777777" w:rsidR="00BE7639" w:rsidRPr="009E4FEE" w:rsidRDefault="00BE7639" w:rsidP="00BE7639">
            <w:pPr>
              <w:spacing w:before="40" w:after="40"/>
              <w:rPr>
                <w:noProof/>
                <w:lang w:eastAsia="en-GB"/>
              </w:rPr>
            </w:pPr>
            <w:r w:rsidRPr="00B45DEB">
              <w:rPr>
                <w:noProof/>
                <w:sz w:val="18"/>
                <w:lang w:eastAsia="en-GB"/>
              </w:rPr>
              <w:t>(Total commitments = Total payments)</w:t>
            </w:r>
          </w:p>
        </w:tc>
        <w:tc>
          <w:tcPr>
            <w:tcW w:w="868" w:type="dxa"/>
            <w:vAlign w:val="center"/>
          </w:tcPr>
          <w:p w14:paraId="2BA98A71" w14:textId="77777777" w:rsidR="00BE7639" w:rsidRPr="009E4FEE" w:rsidRDefault="00BE7639" w:rsidP="00BE7639">
            <w:pPr>
              <w:spacing w:before="20" w:after="20"/>
              <w:jc w:val="right"/>
              <w:rPr>
                <w:noProof/>
                <w:sz w:val="20"/>
                <w:lang w:eastAsia="en-GB"/>
              </w:rPr>
            </w:pPr>
          </w:p>
        </w:tc>
        <w:tc>
          <w:tcPr>
            <w:tcW w:w="868" w:type="dxa"/>
            <w:vAlign w:val="center"/>
          </w:tcPr>
          <w:p w14:paraId="2230E44C" w14:textId="151E294C" w:rsidR="00BE7639" w:rsidRPr="009E4FEE" w:rsidRDefault="00BE7639" w:rsidP="00BE7639">
            <w:pPr>
              <w:spacing w:before="20" w:after="20"/>
              <w:jc w:val="right"/>
              <w:rPr>
                <w:noProof/>
                <w:sz w:val="20"/>
                <w:lang w:eastAsia="en-GB"/>
              </w:rPr>
            </w:pPr>
            <w:r>
              <w:rPr>
                <w:rFonts w:ascii="Arial Narrow" w:hAnsi="Arial Narrow"/>
                <w:noProof/>
                <w:sz w:val="20"/>
                <w:szCs w:val="20"/>
              </w:rPr>
              <w:t>0.833</w:t>
            </w:r>
          </w:p>
        </w:tc>
        <w:tc>
          <w:tcPr>
            <w:tcW w:w="868" w:type="dxa"/>
            <w:vAlign w:val="center"/>
          </w:tcPr>
          <w:p w14:paraId="48B309E1" w14:textId="75BD8EB4" w:rsidR="00BE7639" w:rsidRPr="009E4FEE" w:rsidRDefault="00BE7639" w:rsidP="00BE7639">
            <w:pPr>
              <w:spacing w:before="20" w:after="20"/>
              <w:jc w:val="right"/>
              <w:rPr>
                <w:noProof/>
                <w:sz w:val="20"/>
                <w:lang w:eastAsia="en-GB"/>
              </w:rPr>
            </w:pPr>
            <w:r>
              <w:rPr>
                <w:rFonts w:ascii="Arial Narrow" w:hAnsi="Arial Narrow"/>
                <w:noProof/>
                <w:sz w:val="20"/>
                <w:szCs w:val="20"/>
              </w:rPr>
              <w:t>0.833</w:t>
            </w:r>
          </w:p>
        </w:tc>
        <w:tc>
          <w:tcPr>
            <w:tcW w:w="868" w:type="dxa"/>
            <w:vAlign w:val="center"/>
          </w:tcPr>
          <w:p w14:paraId="178EE784" w14:textId="3E4F2046" w:rsidR="00BE7639" w:rsidRPr="009E4FEE" w:rsidRDefault="00BE7639" w:rsidP="00BE7639">
            <w:pPr>
              <w:spacing w:before="20" w:after="20"/>
              <w:jc w:val="right"/>
              <w:rPr>
                <w:noProof/>
                <w:sz w:val="20"/>
                <w:lang w:eastAsia="en-GB"/>
              </w:rPr>
            </w:pPr>
            <w:r>
              <w:rPr>
                <w:rFonts w:ascii="Arial Narrow" w:hAnsi="Arial Narrow"/>
                <w:noProof/>
                <w:sz w:val="20"/>
                <w:szCs w:val="20"/>
              </w:rPr>
              <w:t>0.794</w:t>
            </w:r>
          </w:p>
        </w:tc>
        <w:tc>
          <w:tcPr>
            <w:tcW w:w="868" w:type="dxa"/>
            <w:vAlign w:val="center"/>
          </w:tcPr>
          <w:p w14:paraId="60546035" w14:textId="1DCC1FCE" w:rsidR="00BE7639" w:rsidRPr="009E4FEE" w:rsidRDefault="00BE7639" w:rsidP="00BE7639">
            <w:pPr>
              <w:spacing w:before="20" w:after="20"/>
              <w:jc w:val="right"/>
              <w:rPr>
                <w:noProof/>
                <w:sz w:val="20"/>
                <w:lang w:eastAsia="en-GB"/>
              </w:rPr>
            </w:pPr>
            <w:r>
              <w:rPr>
                <w:rFonts w:ascii="Arial Narrow" w:hAnsi="Arial Narrow"/>
                <w:noProof/>
                <w:sz w:val="20"/>
                <w:szCs w:val="20"/>
              </w:rPr>
              <w:t>0.794</w:t>
            </w:r>
          </w:p>
        </w:tc>
        <w:tc>
          <w:tcPr>
            <w:tcW w:w="1732" w:type="dxa"/>
            <w:vAlign w:val="center"/>
          </w:tcPr>
          <w:p w14:paraId="1FFBC65E" w14:textId="70068104" w:rsidR="00BE7639" w:rsidRPr="009E4FEE" w:rsidRDefault="00BE7639" w:rsidP="00BE7639">
            <w:pPr>
              <w:spacing w:before="20" w:after="20"/>
              <w:jc w:val="right"/>
              <w:rPr>
                <w:b/>
                <w:noProof/>
                <w:sz w:val="20"/>
                <w:lang w:eastAsia="en-GB"/>
              </w:rPr>
            </w:pPr>
            <w:r>
              <w:rPr>
                <w:b/>
                <w:noProof/>
                <w:sz w:val="20"/>
                <w:lang w:eastAsia="en-GB"/>
              </w:rPr>
              <w:t>3.330</w:t>
            </w:r>
          </w:p>
        </w:tc>
        <w:tc>
          <w:tcPr>
            <w:tcW w:w="1701" w:type="dxa"/>
            <w:vAlign w:val="center"/>
          </w:tcPr>
          <w:p w14:paraId="18F5DA52" w14:textId="77777777" w:rsidR="00BE7639" w:rsidRPr="0056090D" w:rsidRDefault="00BE7639" w:rsidP="00BE7639">
            <w:pPr>
              <w:spacing w:after="0"/>
              <w:jc w:val="right"/>
              <w:rPr>
                <w:b/>
                <w:bCs/>
                <w:noProof/>
                <w:color w:val="000000"/>
                <w:sz w:val="20"/>
                <w:szCs w:val="20"/>
                <w:lang w:eastAsia="fr-BE"/>
              </w:rPr>
            </w:pPr>
          </w:p>
        </w:tc>
      </w:tr>
    </w:tbl>
    <w:p w14:paraId="690C5CE0" w14:textId="77777777" w:rsidR="009D4357" w:rsidRPr="009E4FEE" w:rsidRDefault="009D4357" w:rsidP="009D4357">
      <w:pPr>
        <w:jc w:val="right"/>
        <w:rPr>
          <w:noProof/>
          <w:sz w:val="20"/>
          <w:lang w:eastAsia="en-GB"/>
        </w:rPr>
      </w:pPr>
      <w:r w:rsidRPr="009E4FEE">
        <w:rPr>
          <w:noProof/>
          <w:sz w:val="20"/>
          <w:lang w:eastAsia="en-GB"/>
        </w:rPr>
        <w:t>EUR million (to three decimal places)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560"/>
        <w:gridCol w:w="534"/>
        <w:gridCol w:w="868"/>
        <w:gridCol w:w="868"/>
        <w:gridCol w:w="868"/>
        <w:gridCol w:w="868"/>
        <w:gridCol w:w="868"/>
        <w:gridCol w:w="1777"/>
      </w:tblGrid>
      <w:tr w:rsidR="009D4357" w:rsidRPr="009E4FEE" w14:paraId="6F36282E" w14:textId="77777777" w:rsidTr="00CE3F2A">
        <w:tc>
          <w:tcPr>
            <w:tcW w:w="3600" w:type="dxa"/>
            <w:tcBorders>
              <w:top w:val="nil"/>
              <w:left w:val="nil"/>
              <w:right w:val="nil"/>
            </w:tcBorders>
            <w:vAlign w:val="center"/>
          </w:tcPr>
          <w:p w14:paraId="1A53DF9C" w14:textId="77777777" w:rsidR="009D4357" w:rsidRPr="009E4FEE" w:rsidRDefault="009D4357" w:rsidP="00CE3F2A">
            <w:pPr>
              <w:jc w:val="center"/>
              <w:rPr>
                <w:noProof/>
                <w:lang w:eastAsia="en-GB"/>
              </w:rPr>
            </w:pPr>
          </w:p>
        </w:tc>
        <w:tc>
          <w:tcPr>
            <w:tcW w:w="1560" w:type="dxa"/>
            <w:tcBorders>
              <w:top w:val="nil"/>
              <w:left w:val="nil"/>
              <w:right w:val="nil"/>
            </w:tcBorders>
          </w:tcPr>
          <w:p w14:paraId="1EB61C2C" w14:textId="77777777" w:rsidR="009D4357" w:rsidRPr="009E4FEE" w:rsidRDefault="009D4357" w:rsidP="00CE3F2A">
            <w:pPr>
              <w:rPr>
                <w:noProof/>
                <w:sz w:val="20"/>
                <w:lang w:eastAsia="en-GB"/>
              </w:rPr>
            </w:pPr>
          </w:p>
        </w:tc>
        <w:tc>
          <w:tcPr>
            <w:tcW w:w="534" w:type="dxa"/>
            <w:tcBorders>
              <w:top w:val="nil"/>
              <w:left w:val="nil"/>
            </w:tcBorders>
          </w:tcPr>
          <w:p w14:paraId="4B6375D0" w14:textId="77777777" w:rsidR="009D4357" w:rsidRPr="00990817" w:rsidRDefault="009D4357" w:rsidP="00CE3F2A">
            <w:pPr>
              <w:jc w:val="center"/>
              <w:rPr>
                <w:noProof/>
                <w:sz w:val="20"/>
                <w:lang w:eastAsia="en-GB"/>
              </w:rPr>
            </w:pPr>
          </w:p>
        </w:tc>
        <w:tc>
          <w:tcPr>
            <w:tcW w:w="868" w:type="dxa"/>
            <w:vAlign w:val="center"/>
          </w:tcPr>
          <w:p w14:paraId="41AB7E62" w14:textId="77777777" w:rsidR="009D4357" w:rsidRPr="009E4FEE" w:rsidRDefault="009D4357" w:rsidP="00CE3F2A">
            <w:pPr>
              <w:jc w:val="center"/>
              <w:rPr>
                <w:noProof/>
                <w:sz w:val="20"/>
                <w:lang w:eastAsia="en-GB"/>
              </w:rPr>
            </w:pPr>
            <w:r w:rsidRPr="00B45DEB">
              <w:rPr>
                <w:noProof/>
                <w:sz w:val="20"/>
                <w:lang w:eastAsia="en-GB"/>
              </w:rPr>
              <w:t>Year</w:t>
            </w:r>
            <w:r w:rsidRPr="009E4FEE">
              <w:rPr>
                <w:noProof/>
                <w:lang w:eastAsia="en-GB"/>
              </w:rPr>
              <w:br/>
            </w:r>
            <w:r w:rsidRPr="009E4FEE">
              <w:rPr>
                <w:b/>
                <w:noProof/>
                <w:sz w:val="20"/>
                <w:lang w:eastAsia="en-GB"/>
              </w:rPr>
              <w:t>2023</w:t>
            </w:r>
          </w:p>
        </w:tc>
        <w:tc>
          <w:tcPr>
            <w:tcW w:w="868" w:type="dxa"/>
            <w:vAlign w:val="center"/>
          </w:tcPr>
          <w:p w14:paraId="6B1C5CED" w14:textId="77777777" w:rsidR="009D4357" w:rsidRPr="009E4FEE" w:rsidRDefault="009D4357" w:rsidP="00CE3F2A">
            <w:pPr>
              <w:jc w:val="center"/>
              <w:rPr>
                <w:noProof/>
                <w:sz w:val="20"/>
                <w:lang w:eastAsia="en-GB"/>
              </w:rPr>
            </w:pPr>
            <w:r w:rsidRPr="009E4FEE">
              <w:rPr>
                <w:noProof/>
                <w:sz w:val="20"/>
                <w:lang w:eastAsia="en-GB"/>
              </w:rPr>
              <w:t>Year</w:t>
            </w:r>
            <w:r w:rsidRPr="009E4FEE">
              <w:rPr>
                <w:noProof/>
                <w:lang w:eastAsia="en-GB"/>
              </w:rPr>
              <w:br/>
            </w:r>
            <w:r w:rsidRPr="009E4FEE">
              <w:rPr>
                <w:b/>
                <w:noProof/>
                <w:sz w:val="20"/>
                <w:lang w:eastAsia="en-GB"/>
              </w:rPr>
              <w:t>2024</w:t>
            </w:r>
          </w:p>
        </w:tc>
        <w:tc>
          <w:tcPr>
            <w:tcW w:w="868" w:type="dxa"/>
            <w:vAlign w:val="center"/>
          </w:tcPr>
          <w:p w14:paraId="3A25DC72" w14:textId="77777777" w:rsidR="009D4357" w:rsidRPr="009E4FEE" w:rsidRDefault="009D4357" w:rsidP="00CE3F2A">
            <w:pPr>
              <w:jc w:val="center"/>
              <w:rPr>
                <w:noProof/>
                <w:sz w:val="20"/>
                <w:lang w:eastAsia="en-GB"/>
              </w:rPr>
            </w:pPr>
            <w:r w:rsidRPr="009E4FEE">
              <w:rPr>
                <w:noProof/>
                <w:sz w:val="20"/>
                <w:lang w:eastAsia="en-GB"/>
              </w:rPr>
              <w:t>Year</w:t>
            </w:r>
            <w:r w:rsidRPr="009E4FEE">
              <w:rPr>
                <w:noProof/>
                <w:lang w:eastAsia="en-GB"/>
              </w:rPr>
              <w:br/>
            </w:r>
            <w:r w:rsidRPr="009E4FEE">
              <w:rPr>
                <w:b/>
                <w:noProof/>
                <w:sz w:val="20"/>
                <w:lang w:eastAsia="en-GB"/>
              </w:rPr>
              <w:t>2025</w:t>
            </w:r>
          </w:p>
        </w:tc>
        <w:tc>
          <w:tcPr>
            <w:tcW w:w="868" w:type="dxa"/>
          </w:tcPr>
          <w:p w14:paraId="5986CE11" w14:textId="77777777" w:rsidR="009D4357" w:rsidRPr="009E4FEE" w:rsidRDefault="009D4357" w:rsidP="00CE3F2A">
            <w:pPr>
              <w:jc w:val="center"/>
              <w:rPr>
                <w:noProof/>
                <w:sz w:val="20"/>
                <w:lang w:eastAsia="en-GB"/>
              </w:rPr>
            </w:pPr>
            <w:r w:rsidRPr="009E4FEE">
              <w:rPr>
                <w:noProof/>
                <w:sz w:val="20"/>
                <w:lang w:eastAsia="en-GB"/>
              </w:rPr>
              <w:t>Year</w:t>
            </w:r>
            <w:r w:rsidRPr="009E4FEE">
              <w:rPr>
                <w:noProof/>
                <w:lang w:eastAsia="en-GB"/>
              </w:rPr>
              <w:br/>
            </w:r>
            <w:r w:rsidRPr="009E4FEE">
              <w:rPr>
                <w:b/>
                <w:noProof/>
                <w:sz w:val="20"/>
                <w:lang w:eastAsia="en-GB"/>
              </w:rPr>
              <w:t>2026</w:t>
            </w:r>
          </w:p>
        </w:tc>
        <w:tc>
          <w:tcPr>
            <w:tcW w:w="868" w:type="dxa"/>
          </w:tcPr>
          <w:p w14:paraId="239C350C" w14:textId="77777777" w:rsidR="009D4357" w:rsidRPr="009E4FEE" w:rsidRDefault="009D4357" w:rsidP="00CE3F2A">
            <w:pPr>
              <w:jc w:val="center"/>
              <w:rPr>
                <w:noProof/>
                <w:sz w:val="20"/>
                <w:lang w:eastAsia="en-GB"/>
              </w:rPr>
            </w:pPr>
            <w:r w:rsidRPr="009E4FEE">
              <w:rPr>
                <w:noProof/>
                <w:sz w:val="20"/>
                <w:lang w:eastAsia="en-GB"/>
              </w:rPr>
              <w:t>Year</w:t>
            </w:r>
            <w:r w:rsidRPr="009E4FEE">
              <w:rPr>
                <w:noProof/>
                <w:lang w:eastAsia="en-GB"/>
              </w:rPr>
              <w:br/>
            </w:r>
            <w:r w:rsidRPr="009E4FEE">
              <w:rPr>
                <w:b/>
                <w:noProof/>
                <w:sz w:val="20"/>
                <w:lang w:eastAsia="en-GB"/>
              </w:rPr>
              <w:t>2027</w:t>
            </w:r>
          </w:p>
        </w:tc>
        <w:tc>
          <w:tcPr>
            <w:tcW w:w="1777" w:type="dxa"/>
            <w:vAlign w:val="center"/>
          </w:tcPr>
          <w:p w14:paraId="3AABE327" w14:textId="77777777" w:rsidR="009D4357" w:rsidRPr="009E4FEE" w:rsidRDefault="009D4357" w:rsidP="00CE3F2A">
            <w:pPr>
              <w:jc w:val="center"/>
              <w:rPr>
                <w:b/>
                <w:noProof/>
                <w:sz w:val="20"/>
                <w:lang w:eastAsia="en-GB"/>
              </w:rPr>
            </w:pPr>
            <w:r w:rsidRPr="009E4FEE">
              <w:rPr>
                <w:b/>
                <w:noProof/>
                <w:sz w:val="20"/>
                <w:lang w:eastAsia="en-GB"/>
              </w:rPr>
              <w:t>TOTAL</w:t>
            </w:r>
          </w:p>
        </w:tc>
      </w:tr>
      <w:tr w:rsidR="00E531A6" w:rsidRPr="009E4FEE" w14:paraId="5B1D6E58" w14:textId="77777777" w:rsidTr="00CE3F2A">
        <w:tc>
          <w:tcPr>
            <w:tcW w:w="3600" w:type="dxa"/>
            <w:vMerge w:val="restart"/>
            <w:shd w:val="clear" w:color="auto" w:fill="C0C0C0"/>
            <w:vAlign w:val="center"/>
          </w:tcPr>
          <w:p w14:paraId="0BB064D3" w14:textId="77777777" w:rsidR="00E531A6" w:rsidRPr="00990817" w:rsidRDefault="00E531A6" w:rsidP="00E531A6">
            <w:pPr>
              <w:jc w:val="center"/>
              <w:rPr>
                <w:b/>
                <w:noProof/>
                <w:lang w:eastAsia="en-GB"/>
              </w:rPr>
            </w:pPr>
            <w:r w:rsidRPr="009E4FEE">
              <w:rPr>
                <w:b/>
                <w:noProof/>
                <w:lang w:eastAsia="en-GB"/>
              </w:rPr>
              <w:t xml:space="preserve">TOTAL appropriations </w:t>
            </w:r>
            <w:r w:rsidRPr="009E4FEE">
              <w:rPr>
                <w:noProof/>
                <w:lang w:eastAsia="en-GB"/>
              </w:rPr>
              <w:br/>
            </w:r>
            <w:r w:rsidRPr="009E4FEE">
              <w:rPr>
                <w:b/>
                <w:noProof/>
                <w:lang w:eastAsia="en-GB"/>
              </w:rPr>
              <w:t>under HEADINGS 1 to 5</w:t>
            </w:r>
            <w:r w:rsidRPr="009E4FEE">
              <w:rPr>
                <w:noProof/>
                <w:lang w:eastAsia="en-GB"/>
              </w:rPr>
              <w:br/>
              <w:t>of the multiannual financial framework</w:t>
            </w:r>
            <w:r w:rsidRPr="009E4FEE">
              <w:rPr>
                <w:b/>
                <w:noProof/>
                <w:lang w:eastAsia="en-GB"/>
              </w:rPr>
              <w:t xml:space="preserve"> </w:t>
            </w:r>
          </w:p>
        </w:tc>
        <w:tc>
          <w:tcPr>
            <w:tcW w:w="2094" w:type="dxa"/>
            <w:gridSpan w:val="2"/>
            <w:vAlign w:val="center"/>
          </w:tcPr>
          <w:p w14:paraId="0918ACBA" w14:textId="77777777" w:rsidR="00E531A6" w:rsidRPr="00990817" w:rsidRDefault="00E531A6" w:rsidP="00E531A6">
            <w:pPr>
              <w:rPr>
                <w:noProof/>
                <w:sz w:val="14"/>
                <w:lang w:eastAsia="en-GB"/>
              </w:rPr>
            </w:pPr>
            <w:r w:rsidRPr="00990817">
              <w:rPr>
                <w:noProof/>
                <w:sz w:val="18"/>
                <w:lang w:eastAsia="en-GB"/>
              </w:rPr>
              <w:t>Commitments</w:t>
            </w:r>
          </w:p>
        </w:tc>
        <w:tc>
          <w:tcPr>
            <w:tcW w:w="868" w:type="dxa"/>
            <w:vAlign w:val="center"/>
          </w:tcPr>
          <w:p w14:paraId="12A70648" w14:textId="77777777" w:rsidR="00E531A6" w:rsidRPr="00B45DEB" w:rsidRDefault="00E531A6" w:rsidP="00E531A6">
            <w:pPr>
              <w:spacing w:before="60" w:after="60"/>
              <w:jc w:val="right"/>
              <w:rPr>
                <w:noProof/>
                <w:sz w:val="20"/>
                <w:lang w:eastAsia="en-GB"/>
              </w:rPr>
            </w:pPr>
          </w:p>
        </w:tc>
        <w:tc>
          <w:tcPr>
            <w:tcW w:w="868" w:type="dxa"/>
            <w:vAlign w:val="center"/>
          </w:tcPr>
          <w:p w14:paraId="2CA8C02A" w14:textId="669D5B65" w:rsidR="00E531A6" w:rsidRPr="009E4FEE" w:rsidRDefault="00E531A6" w:rsidP="00E531A6">
            <w:pPr>
              <w:spacing w:before="60" w:after="60"/>
              <w:jc w:val="right"/>
              <w:rPr>
                <w:noProof/>
                <w:sz w:val="20"/>
                <w:lang w:eastAsia="en-GB"/>
              </w:rPr>
            </w:pPr>
            <w:r>
              <w:rPr>
                <w:noProof/>
                <w:sz w:val="20"/>
                <w:szCs w:val="20"/>
              </w:rPr>
              <w:t>20.287</w:t>
            </w:r>
          </w:p>
        </w:tc>
        <w:tc>
          <w:tcPr>
            <w:tcW w:w="868" w:type="dxa"/>
            <w:vAlign w:val="center"/>
          </w:tcPr>
          <w:p w14:paraId="60E0D416" w14:textId="40F5F4FB" w:rsidR="00E531A6" w:rsidRPr="009E4FEE" w:rsidRDefault="00E531A6" w:rsidP="00E531A6">
            <w:pPr>
              <w:spacing w:before="60" w:after="60"/>
              <w:jc w:val="right"/>
              <w:rPr>
                <w:noProof/>
                <w:sz w:val="20"/>
                <w:lang w:eastAsia="en-GB"/>
              </w:rPr>
            </w:pPr>
            <w:r>
              <w:rPr>
                <w:noProof/>
                <w:sz w:val="20"/>
                <w:lang w:eastAsia="en-GB"/>
              </w:rPr>
              <w:t>46.692</w:t>
            </w:r>
          </w:p>
        </w:tc>
        <w:tc>
          <w:tcPr>
            <w:tcW w:w="868" w:type="dxa"/>
            <w:vAlign w:val="center"/>
          </w:tcPr>
          <w:p w14:paraId="2C353F1D" w14:textId="1B4232E2" w:rsidR="00E531A6" w:rsidRPr="009E4FEE" w:rsidRDefault="00E531A6" w:rsidP="00E531A6">
            <w:pPr>
              <w:spacing w:before="60" w:after="60"/>
              <w:jc w:val="right"/>
              <w:rPr>
                <w:noProof/>
                <w:sz w:val="20"/>
                <w:lang w:eastAsia="en-GB"/>
              </w:rPr>
            </w:pPr>
            <w:r>
              <w:rPr>
                <w:noProof/>
                <w:sz w:val="20"/>
                <w:szCs w:val="20"/>
              </w:rPr>
              <w:t>45.283</w:t>
            </w:r>
          </w:p>
        </w:tc>
        <w:tc>
          <w:tcPr>
            <w:tcW w:w="868" w:type="dxa"/>
            <w:vAlign w:val="center"/>
          </w:tcPr>
          <w:p w14:paraId="11C2FD53" w14:textId="78574FDB" w:rsidR="00E531A6" w:rsidRPr="009E4FEE" w:rsidRDefault="00E531A6" w:rsidP="00E531A6">
            <w:pPr>
              <w:spacing w:before="60" w:after="60"/>
              <w:jc w:val="right"/>
              <w:rPr>
                <w:noProof/>
                <w:sz w:val="20"/>
                <w:lang w:eastAsia="en-GB"/>
              </w:rPr>
            </w:pPr>
            <w:r>
              <w:rPr>
                <w:noProof/>
                <w:sz w:val="20"/>
                <w:szCs w:val="20"/>
              </w:rPr>
              <w:t>4.013</w:t>
            </w:r>
          </w:p>
        </w:tc>
        <w:tc>
          <w:tcPr>
            <w:tcW w:w="1777" w:type="dxa"/>
            <w:vAlign w:val="center"/>
          </w:tcPr>
          <w:p w14:paraId="007D1F11" w14:textId="2BAF1369" w:rsidR="00E531A6" w:rsidRPr="009E4FEE" w:rsidRDefault="00E531A6" w:rsidP="00E531A6">
            <w:pPr>
              <w:spacing w:before="60" w:after="60"/>
              <w:jc w:val="right"/>
              <w:rPr>
                <w:b/>
                <w:noProof/>
                <w:sz w:val="20"/>
                <w:lang w:eastAsia="en-GB"/>
              </w:rPr>
            </w:pPr>
            <w:r>
              <w:rPr>
                <w:b/>
                <w:noProof/>
                <w:sz w:val="20"/>
                <w:lang w:eastAsia="en-GB"/>
              </w:rPr>
              <w:t>116.275</w:t>
            </w:r>
          </w:p>
        </w:tc>
      </w:tr>
      <w:tr w:rsidR="00E531A6" w:rsidRPr="009E4FEE" w14:paraId="4F7E9682" w14:textId="77777777" w:rsidTr="00CE3F2A">
        <w:tc>
          <w:tcPr>
            <w:tcW w:w="3600" w:type="dxa"/>
            <w:vMerge/>
            <w:vAlign w:val="center"/>
          </w:tcPr>
          <w:p w14:paraId="131F1564" w14:textId="77777777" w:rsidR="00E531A6" w:rsidRPr="009E4FEE" w:rsidRDefault="00E531A6" w:rsidP="00E531A6">
            <w:pPr>
              <w:rPr>
                <w:b/>
                <w:noProof/>
                <w:lang w:eastAsia="en-GB"/>
              </w:rPr>
            </w:pPr>
          </w:p>
        </w:tc>
        <w:tc>
          <w:tcPr>
            <w:tcW w:w="2094" w:type="dxa"/>
            <w:gridSpan w:val="2"/>
            <w:vAlign w:val="center"/>
          </w:tcPr>
          <w:p w14:paraId="2A846017" w14:textId="77777777" w:rsidR="00E531A6" w:rsidRPr="009E4FEE" w:rsidRDefault="00E531A6" w:rsidP="00E531A6">
            <w:pPr>
              <w:rPr>
                <w:noProof/>
                <w:sz w:val="14"/>
                <w:lang w:eastAsia="en-GB"/>
              </w:rPr>
            </w:pPr>
            <w:r w:rsidRPr="009E4FEE">
              <w:rPr>
                <w:noProof/>
                <w:sz w:val="18"/>
                <w:lang w:eastAsia="en-GB"/>
              </w:rPr>
              <w:t>Payments</w:t>
            </w:r>
          </w:p>
        </w:tc>
        <w:tc>
          <w:tcPr>
            <w:tcW w:w="868" w:type="dxa"/>
            <w:vAlign w:val="center"/>
          </w:tcPr>
          <w:p w14:paraId="33672620" w14:textId="77777777" w:rsidR="00E531A6" w:rsidRPr="009E4FEE" w:rsidRDefault="00E531A6" w:rsidP="00E531A6">
            <w:pPr>
              <w:spacing w:before="60" w:after="60"/>
              <w:jc w:val="right"/>
              <w:rPr>
                <w:noProof/>
                <w:sz w:val="20"/>
                <w:lang w:eastAsia="en-GB"/>
              </w:rPr>
            </w:pPr>
          </w:p>
        </w:tc>
        <w:tc>
          <w:tcPr>
            <w:tcW w:w="868" w:type="dxa"/>
            <w:vAlign w:val="center"/>
          </w:tcPr>
          <w:p w14:paraId="172E7650" w14:textId="6D3840D4" w:rsidR="00E531A6" w:rsidRPr="009E4FEE" w:rsidRDefault="00E531A6" w:rsidP="00E531A6">
            <w:pPr>
              <w:spacing w:before="60" w:after="60"/>
              <w:jc w:val="right"/>
              <w:rPr>
                <w:noProof/>
                <w:sz w:val="20"/>
                <w:lang w:eastAsia="en-GB"/>
              </w:rPr>
            </w:pPr>
            <w:r>
              <w:rPr>
                <w:noProof/>
                <w:sz w:val="20"/>
                <w:szCs w:val="20"/>
              </w:rPr>
              <w:t>11.329</w:t>
            </w:r>
          </w:p>
        </w:tc>
        <w:tc>
          <w:tcPr>
            <w:tcW w:w="868" w:type="dxa"/>
            <w:vAlign w:val="center"/>
          </w:tcPr>
          <w:p w14:paraId="6C7DA8FC" w14:textId="26185D14" w:rsidR="00E531A6" w:rsidRPr="009E4FEE" w:rsidRDefault="00E531A6" w:rsidP="00E531A6">
            <w:pPr>
              <w:spacing w:before="60" w:after="60"/>
              <w:jc w:val="right"/>
              <w:rPr>
                <w:noProof/>
                <w:sz w:val="20"/>
                <w:lang w:eastAsia="en-GB"/>
              </w:rPr>
            </w:pPr>
            <w:r>
              <w:rPr>
                <w:noProof/>
                <w:sz w:val="20"/>
                <w:lang w:eastAsia="en-GB"/>
              </w:rPr>
              <w:t>13.247</w:t>
            </w:r>
          </w:p>
        </w:tc>
        <w:tc>
          <w:tcPr>
            <w:tcW w:w="868" w:type="dxa"/>
            <w:vAlign w:val="center"/>
          </w:tcPr>
          <w:p w14:paraId="2BC8C827" w14:textId="0F8E3D1E" w:rsidR="00E531A6" w:rsidRPr="009E4FEE" w:rsidRDefault="00E531A6" w:rsidP="00E531A6">
            <w:pPr>
              <w:spacing w:before="60" w:after="60"/>
              <w:jc w:val="right"/>
              <w:rPr>
                <w:noProof/>
                <w:sz w:val="20"/>
                <w:lang w:eastAsia="en-GB"/>
              </w:rPr>
            </w:pPr>
            <w:r>
              <w:rPr>
                <w:noProof/>
                <w:sz w:val="20"/>
                <w:szCs w:val="20"/>
              </w:rPr>
              <w:t>14.647</w:t>
            </w:r>
          </w:p>
        </w:tc>
        <w:tc>
          <w:tcPr>
            <w:tcW w:w="868" w:type="dxa"/>
            <w:vAlign w:val="center"/>
          </w:tcPr>
          <w:p w14:paraId="50B35CB4" w14:textId="3BEA531F" w:rsidR="00E531A6" w:rsidRPr="009E4FEE" w:rsidRDefault="00E531A6" w:rsidP="00E531A6">
            <w:pPr>
              <w:spacing w:before="60" w:after="60"/>
              <w:jc w:val="right"/>
              <w:rPr>
                <w:noProof/>
                <w:sz w:val="20"/>
                <w:lang w:eastAsia="en-GB"/>
              </w:rPr>
            </w:pPr>
            <w:r>
              <w:rPr>
                <w:noProof/>
                <w:sz w:val="20"/>
                <w:szCs w:val="20"/>
              </w:rPr>
              <w:t>18.059</w:t>
            </w:r>
          </w:p>
        </w:tc>
        <w:tc>
          <w:tcPr>
            <w:tcW w:w="1777" w:type="dxa"/>
            <w:vAlign w:val="center"/>
          </w:tcPr>
          <w:p w14:paraId="0BF84BBF" w14:textId="0284CE3B" w:rsidR="00E531A6" w:rsidRPr="009E4FEE" w:rsidRDefault="00E531A6" w:rsidP="00E531A6">
            <w:pPr>
              <w:spacing w:before="60" w:after="60"/>
              <w:jc w:val="right"/>
              <w:rPr>
                <w:b/>
                <w:noProof/>
                <w:sz w:val="20"/>
                <w:lang w:eastAsia="en-GB"/>
              </w:rPr>
            </w:pPr>
            <w:r>
              <w:rPr>
                <w:b/>
                <w:noProof/>
                <w:sz w:val="20"/>
                <w:lang w:eastAsia="en-GB"/>
              </w:rPr>
              <w:t>57.282</w:t>
            </w:r>
          </w:p>
        </w:tc>
      </w:tr>
    </w:tbl>
    <w:p w14:paraId="4660D4F0" w14:textId="77777777" w:rsidR="009D4357" w:rsidRPr="00434957" w:rsidRDefault="009D4357" w:rsidP="009D4357">
      <w:pPr>
        <w:rPr>
          <w:noProof/>
          <w:highlight w:val="yellow"/>
          <w:lang w:eastAsia="en-GB"/>
        </w:rPr>
        <w:sectPr w:rsidR="009D4357" w:rsidRPr="00434957" w:rsidSect="009D02A3">
          <w:pgSz w:w="15840" w:h="12240" w:orient="landscape"/>
          <w:pgMar w:top="1134" w:right="1077" w:bottom="902" w:left="1247" w:header="709" w:footer="510" w:gutter="0"/>
          <w:cols w:space="720"/>
          <w:docGrid w:linePitch="326"/>
        </w:sectPr>
      </w:pPr>
    </w:p>
    <w:p w14:paraId="0BD5E19E" w14:textId="77777777" w:rsidR="009D4357" w:rsidRPr="00434957" w:rsidRDefault="009D4357" w:rsidP="009D4357">
      <w:pPr>
        <w:keepNext/>
        <w:tabs>
          <w:tab w:val="left" w:pos="850"/>
        </w:tabs>
        <w:ind w:left="850" w:hanging="850"/>
        <w:outlineLvl w:val="2"/>
        <w:rPr>
          <w:i/>
          <w:noProof/>
          <w:szCs w:val="24"/>
          <w:lang w:eastAsia="en-GB"/>
        </w:rPr>
      </w:pPr>
      <w:r w:rsidRPr="00434957">
        <w:rPr>
          <w:i/>
          <w:noProof/>
        </w:rPr>
        <w:t>3.2.2.</w:t>
      </w:r>
      <w:r w:rsidRPr="00434957">
        <w:rPr>
          <w:i/>
          <w:noProof/>
        </w:rPr>
        <w:tab/>
      </w:r>
      <w:r w:rsidRPr="00434957">
        <w:rPr>
          <w:i/>
          <w:noProof/>
          <w:lang w:eastAsia="en-GB"/>
        </w:rPr>
        <w:t xml:space="preserve">Estimated impact on Europol’s appropriations </w:t>
      </w:r>
    </w:p>
    <w:p w14:paraId="273D297D" w14:textId="77777777" w:rsidR="009D4357" w:rsidRPr="00434957" w:rsidRDefault="009D4357" w:rsidP="009D4357">
      <w:pPr>
        <w:tabs>
          <w:tab w:val="num" w:pos="1134"/>
        </w:tabs>
        <w:ind w:left="1134" w:hanging="283"/>
        <w:rPr>
          <w:noProof/>
          <w:lang w:eastAsia="en-GB"/>
        </w:rPr>
      </w:pPr>
      <w:r w:rsidRPr="00434957">
        <w:rPr>
          <w:noProof/>
          <w:lang w:eastAsia="en-GB"/>
        </w:rPr>
        <w:sym w:font="Wingdings" w:char="F0A8"/>
      </w:r>
      <w:r w:rsidRPr="00434957">
        <w:rPr>
          <w:noProof/>
          <w:lang w:eastAsia="en-GB"/>
        </w:rPr>
        <w:tab/>
        <w:t xml:space="preserve">The proposal/initiative does not require the use of operational appropriations </w:t>
      </w:r>
    </w:p>
    <w:p w14:paraId="706D7800" w14:textId="77777777" w:rsidR="009D4357" w:rsidRPr="00434957" w:rsidRDefault="009D4357" w:rsidP="009D4357">
      <w:pPr>
        <w:tabs>
          <w:tab w:val="num" w:pos="1134"/>
        </w:tabs>
        <w:ind w:left="1134" w:hanging="283"/>
        <w:rPr>
          <w:noProof/>
          <w:lang w:eastAsia="en-GB"/>
        </w:rPr>
      </w:pPr>
      <w:r w:rsidRPr="00434957">
        <w:rPr>
          <w:noProof/>
          <w:lang w:eastAsia="en-GB"/>
        </w:rPr>
        <w:sym w:font="Wingdings" w:char="F078"/>
      </w:r>
      <w:r w:rsidRPr="00434957">
        <w:rPr>
          <w:noProof/>
          <w:lang w:eastAsia="en-GB"/>
        </w:rPr>
        <w:tab/>
        <w:t>The proposal/initiative requires the use of operational appropriations, as explained below:</w:t>
      </w:r>
    </w:p>
    <w:p w14:paraId="32A17ECE" w14:textId="77777777" w:rsidR="009D4357" w:rsidRPr="00434957" w:rsidRDefault="009D4357" w:rsidP="009D4357">
      <w:pPr>
        <w:ind w:left="1134" w:hanging="283"/>
        <w:rPr>
          <w:noProof/>
          <w:lang w:eastAsia="en-GB"/>
        </w:rPr>
      </w:pPr>
    </w:p>
    <w:p w14:paraId="788A6067" w14:textId="77777777" w:rsidR="009D4357" w:rsidRPr="00434957" w:rsidRDefault="009D4357" w:rsidP="009D4357">
      <w:pPr>
        <w:ind w:left="1134" w:hanging="283"/>
        <w:rPr>
          <w:noProof/>
          <w:lang w:eastAsia="en-GB"/>
        </w:rPr>
      </w:pPr>
    </w:p>
    <w:p w14:paraId="6FA138C4" w14:textId="77777777" w:rsidR="009D4357" w:rsidRPr="00434957" w:rsidRDefault="009D4357" w:rsidP="009D4357">
      <w:pPr>
        <w:jc w:val="right"/>
        <w:rPr>
          <w:noProof/>
          <w:sz w:val="20"/>
          <w:lang w:eastAsia="en-GB"/>
        </w:rPr>
      </w:pPr>
      <w:r w:rsidRPr="00434957">
        <w:rPr>
          <w:noProof/>
          <w:sz w:val="20"/>
          <w:lang w:eastAsia="en-GB"/>
        </w:rPr>
        <w:t>Commitment appropriations in EUR million (to three decimal places)</w:t>
      </w:r>
    </w:p>
    <w:tbl>
      <w:tblPr>
        <w:tblW w:w="11623" w:type="dxa"/>
        <w:tblInd w:w="496" w:type="dxa"/>
        <w:tblLayout w:type="fixed"/>
        <w:tblCellMar>
          <w:left w:w="70" w:type="dxa"/>
          <w:right w:w="70" w:type="dxa"/>
        </w:tblCellMar>
        <w:tblLook w:val="04A0" w:firstRow="1" w:lastRow="0" w:firstColumn="1" w:lastColumn="0" w:noHBand="0" w:noVBand="1"/>
      </w:tblPr>
      <w:tblGrid>
        <w:gridCol w:w="949"/>
        <w:gridCol w:w="1460"/>
        <w:gridCol w:w="851"/>
        <w:gridCol w:w="425"/>
        <w:gridCol w:w="567"/>
        <w:gridCol w:w="567"/>
        <w:gridCol w:w="851"/>
        <w:gridCol w:w="567"/>
        <w:gridCol w:w="850"/>
        <w:gridCol w:w="425"/>
        <w:gridCol w:w="993"/>
        <w:gridCol w:w="425"/>
        <w:gridCol w:w="1134"/>
        <w:gridCol w:w="425"/>
        <w:gridCol w:w="1134"/>
      </w:tblGrid>
      <w:tr w:rsidR="009D4357" w:rsidRPr="00434957" w14:paraId="62FCA421" w14:textId="77777777" w:rsidTr="00CE3F2A">
        <w:trPr>
          <w:trHeight w:val="920"/>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BA008" w14:textId="77777777" w:rsidR="009D4357" w:rsidRPr="00434957" w:rsidRDefault="009D4357" w:rsidP="00CE3F2A">
            <w:pPr>
              <w:spacing w:after="0"/>
              <w:jc w:val="center"/>
              <w:rPr>
                <w:rFonts w:eastAsia="Times New Roman"/>
                <w:b/>
                <w:bCs/>
                <w:noProof/>
                <w:color w:val="000000"/>
                <w:sz w:val="18"/>
                <w:szCs w:val="18"/>
                <w:lang w:val="fr-BE" w:eastAsia="fr-BE"/>
              </w:rPr>
            </w:pPr>
            <w:bookmarkStart w:id="1" w:name="RANGE!A1:Q39"/>
            <w:r w:rsidRPr="00434957">
              <w:rPr>
                <w:rFonts w:eastAsia="Times New Roman"/>
                <w:b/>
                <w:bCs/>
                <w:noProof/>
                <w:color w:val="000000"/>
                <w:sz w:val="18"/>
                <w:szCs w:val="18"/>
                <w:lang w:val="fr-BE" w:eastAsia="fr-BE"/>
              </w:rPr>
              <w:t xml:space="preserve">Indicate objectives and outputs </w:t>
            </w:r>
            <w:bookmarkEnd w:id="1"/>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070AE1"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92784"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64ADBB42"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Year</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77F5B7AD"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Year</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28946CD9"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Year</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61208431"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Year</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377C30F4"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Year</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326EE2B9"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TOTAL</w:t>
            </w:r>
          </w:p>
        </w:tc>
      </w:tr>
      <w:tr w:rsidR="009D4357" w:rsidRPr="00434957" w14:paraId="68CA4906" w14:textId="77777777" w:rsidTr="00CE3F2A">
        <w:trPr>
          <w:trHeight w:val="290"/>
        </w:trPr>
        <w:tc>
          <w:tcPr>
            <w:tcW w:w="949" w:type="dxa"/>
            <w:tcBorders>
              <w:top w:val="nil"/>
              <w:left w:val="single" w:sz="4" w:space="0" w:color="auto"/>
              <w:bottom w:val="single" w:sz="4" w:space="0" w:color="auto"/>
              <w:right w:val="single" w:sz="4" w:space="0" w:color="auto"/>
            </w:tcBorders>
            <w:shd w:val="clear" w:color="auto" w:fill="auto"/>
            <w:vAlign w:val="center"/>
            <w:hideMark/>
          </w:tcPr>
          <w:p w14:paraId="1131666D" w14:textId="77777777" w:rsidR="009D4357" w:rsidRPr="00434957" w:rsidRDefault="009D4357" w:rsidP="00CE3F2A">
            <w:pPr>
              <w:spacing w:after="0"/>
              <w:jc w:val="center"/>
              <w:rPr>
                <w:rFonts w:eastAsia="Times New Roman"/>
                <w:b/>
                <w:bCs/>
                <w:noProof/>
                <w:color w:val="000000"/>
                <w:sz w:val="18"/>
                <w:szCs w:val="18"/>
                <w:lang w:val="fr-BE" w:eastAsia="fr-BE"/>
              </w:rPr>
            </w:pPr>
            <w:r w:rsidRPr="00434957">
              <w:rPr>
                <w:rFonts w:eastAsia="Times New Roman"/>
                <w:b/>
                <w:bCs/>
                <w:noProof/>
                <w:color w:val="000000"/>
                <w:sz w:val="18"/>
                <w:szCs w:val="18"/>
                <w:lang w:val="fr-BE" w:eastAsia="fr-BE"/>
              </w:rPr>
              <w:t> </w:t>
            </w: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2F330E4F" w14:textId="77777777" w:rsidR="009D4357" w:rsidRPr="00434957" w:rsidRDefault="009D4357" w:rsidP="00CE3F2A">
            <w:pPr>
              <w:spacing w:after="0"/>
              <w:rPr>
                <w:rFonts w:eastAsia="Times New Roman"/>
                <w:noProof/>
                <w:color w:val="000000"/>
                <w:sz w:val="18"/>
                <w:szCs w:val="18"/>
                <w:lang w:val="fr-BE" w:eastAsia="fr-B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B8B4B4" w14:textId="77777777" w:rsidR="009D4357" w:rsidRPr="00434957" w:rsidRDefault="009D4357" w:rsidP="00CE3F2A">
            <w:pPr>
              <w:spacing w:after="0"/>
              <w:rPr>
                <w:rFonts w:eastAsia="Times New Roman"/>
                <w:noProof/>
                <w:color w:val="000000"/>
                <w:sz w:val="18"/>
                <w:szCs w:val="18"/>
                <w:lang w:val="fr-BE" w:eastAsia="fr-BE"/>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4CF94C95" w14:textId="77777777" w:rsidR="009D4357" w:rsidRPr="00434957" w:rsidRDefault="009D4357" w:rsidP="00CE3F2A">
            <w:pPr>
              <w:spacing w:after="0"/>
              <w:jc w:val="center"/>
              <w:rPr>
                <w:rFonts w:eastAsia="Times New Roman"/>
                <w:b/>
                <w:bCs/>
                <w:noProof/>
                <w:color w:val="000000"/>
                <w:sz w:val="18"/>
                <w:szCs w:val="18"/>
                <w:lang w:val="fr-BE" w:eastAsia="fr-BE"/>
              </w:rPr>
            </w:pPr>
            <w:r w:rsidRPr="00434957">
              <w:rPr>
                <w:rFonts w:eastAsia="Times New Roman"/>
                <w:b/>
                <w:bCs/>
                <w:noProof/>
                <w:color w:val="000000"/>
                <w:sz w:val="18"/>
                <w:szCs w:val="18"/>
                <w:lang w:val="fr-BE" w:eastAsia="fr-BE"/>
              </w:rPr>
              <w:t>2023</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12FBDF40" w14:textId="77777777" w:rsidR="009D4357" w:rsidRPr="00434957" w:rsidRDefault="009D4357" w:rsidP="00CE3F2A">
            <w:pPr>
              <w:spacing w:after="0"/>
              <w:jc w:val="center"/>
              <w:rPr>
                <w:rFonts w:eastAsia="Times New Roman"/>
                <w:b/>
                <w:bCs/>
                <w:noProof/>
                <w:color w:val="000000"/>
                <w:sz w:val="18"/>
                <w:szCs w:val="18"/>
                <w:lang w:val="fr-BE" w:eastAsia="fr-BE"/>
              </w:rPr>
            </w:pPr>
            <w:r w:rsidRPr="00434957">
              <w:rPr>
                <w:rFonts w:eastAsia="Times New Roman"/>
                <w:b/>
                <w:bCs/>
                <w:noProof/>
                <w:color w:val="000000"/>
                <w:sz w:val="18"/>
                <w:szCs w:val="18"/>
                <w:lang w:val="fr-BE" w:eastAsia="fr-BE"/>
              </w:rPr>
              <w:t>2024</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63B05C09" w14:textId="77777777" w:rsidR="009D4357" w:rsidRPr="00434957" w:rsidRDefault="009D4357" w:rsidP="00CE3F2A">
            <w:pPr>
              <w:spacing w:after="0"/>
              <w:jc w:val="center"/>
              <w:rPr>
                <w:rFonts w:eastAsia="Times New Roman"/>
                <w:b/>
                <w:bCs/>
                <w:noProof/>
                <w:color w:val="000000"/>
                <w:sz w:val="18"/>
                <w:szCs w:val="18"/>
                <w:lang w:val="fr-BE" w:eastAsia="fr-BE"/>
              </w:rPr>
            </w:pPr>
            <w:r w:rsidRPr="00434957">
              <w:rPr>
                <w:rFonts w:eastAsia="Times New Roman"/>
                <w:b/>
                <w:bCs/>
                <w:noProof/>
                <w:color w:val="000000"/>
                <w:sz w:val="18"/>
                <w:szCs w:val="18"/>
                <w:lang w:val="fr-BE" w:eastAsia="fr-BE"/>
              </w:rPr>
              <w:t>2025</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7FC7B18A" w14:textId="77777777" w:rsidR="009D4357" w:rsidRPr="00434957" w:rsidRDefault="009D4357" w:rsidP="00CE3F2A">
            <w:pPr>
              <w:spacing w:after="0"/>
              <w:jc w:val="center"/>
              <w:rPr>
                <w:rFonts w:eastAsia="Times New Roman"/>
                <w:b/>
                <w:bCs/>
                <w:noProof/>
                <w:color w:val="000000"/>
                <w:sz w:val="18"/>
                <w:szCs w:val="18"/>
                <w:lang w:val="fr-BE" w:eastAsia="fr-BE"/>
              </w:rPr>
            </w:pPr>
            <w:r w:rsidRPr="00434957">
              <w:rPr>
                <w:rFonts w:eastAsia="Times New Roman"/>
                <w:b/>
                <w:bCs/>
                <w:noProof/>
                <w:color w:val="000000"/>
                <w:sz w:val="18"/>
                <w:szCs w:val="18"/>
                <w:lang w:val="fr-BE" w:eastAsia="fr-BE"/>
              </w:rPr>
              <w:t>2026</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2AF2E708" w14:textId="77777777" w:rsidR="009D4357" w:rsidRPr="00434957" w:rsidRDefault="009D4357" w:rsidP="00CE3F2A">
            <w:pPr>
              <w:spacing w:after="0"/>
              <w:jc w:val="center"/>
              <w:rPr>
                <w:rFonts w:eastAsia="Times New Roman"/>
                <w:b/>
                <w:bCs/>
                <w:noProof/>
                <w:color w:val="000000"/>
                <w:sz w:val="18"/>
                <w:szCs w:val="18"/>
                <w:lang w:val="fr-BE" w:eastAsia="fr-BE"/>
              </w:rPr>
            </w:pPr>
            <w:r w:rsidRPr="00434957">
              <w:rPr>
                <w:rFonts w:eastAsia="Times New Roman"/>
                <w:b/>
                <w:bCs/>
                <w:noProof/>
                <w:color w:val="000000"/>
                <w:sz w:val="18"/>
                <w:szCs w:val="18"/>
                <w:lang w:val="fr-BE" w:eastAsia="fr-BE"/>
              </w:rPr>
              <w:t>2027</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4395E6F6" w14:textId="77777777" w:rsidR="009D4357" w:rsidRPr="00434957" w:rsidRDefault="009D4357" w:rsidP="00CE3F2A">
            <w:pPr>
              <w:spacing w:after="0"/>
              <w:jc w:val="center"/>
              <w:rPr>
                <w:rFonts w:eastAsia="Times New Roman"/>
                <w:b/>
                <w:bCs/>
                <w:noProof/>
                <w:color w:val="000000"/>
                <w:sz w:val="18"/>
                <w:szCs w:val="18"/>
                <w:lang w:val="fr-BE" w:eastAsia="fr-BE"/>
              </w:rPr>
            </w:pPr>
            <w:r w:rsidRPr="00434957">
              <w:rPr>
                <w:rFonts w:eastAsia="Times New Roman"/>
                <w:b/>
                <w:bCs/>
                <w:noProof/>
                <w:color w:val="000000"/>
                <w:sz w:val="18"/>
                <w:szCs w:val="18"/>
                <w:lang w:val="fr-BE" w:eastAsia="fr-BE"/>
              </w:rPr>
              <w:t> </w:t>
            </w:r>
          </w:p>
        </w:tc>
      </w:tr>
      <w:tr w:rsidR="009D4357" w:rsidRPr="00434957" w14:paraId="078DC3ED" w14:textId="77777777" w:rsidTr="00CE3F2A">
        <w:trPr>
          <w:trHeight w:val="290"/>
        </w:trPr>
        <w:tc>
          <w:tcPr>
            <w:tcW w:w="949" w:type="dxa"/>
            <w:tcBorders>
              <w:top w:val="nil"/>
              <w:left w:val="single" w:sz="4" w:space="0" w:color="auto"/>
              <w:bottom w:val="single" w:sz="4" w:space="0" w:color="auto"/>
              <w:right w:val="single" w:sz="4" w:space="0" w:color="auto"/>
            </w:tcBorders>
            <w:shd w:val="clear" w:color="auto" w:fill="auto"/>
            <w:vAlign w:val="center"/>
            <w:hideMark/>
          </w:tcPr>
          <w:p w14:paraId="33606D55" w14:textId="77777777" w:rsidR="009D4357" w:rsidRPr="00434957" w:rsidRDefault="009D4357" w:rsidP="00CE3F2A">
            <w:pPr>
              <w:spacing w:after="0"/>
              <w:jc w:val="center"/>
              <w:rPr>
                <w:rFonts w:ascii="Wingdings" w:eastAsia="Times New Roman" w:hAnsi="Wingdings" w:cs="Calibri"/>
                <w:noProof/>
                <w:color w:val="000000"/>
                <w:sz w:val="18"/>
                <w:szCs w:val="18"/>
                <w:lang w:val="fr-BE" w:eastAsia="fr-BE"/>
              </w:rPr>
            </w:pPr>
            <w:r w:rsidRPr="00434957">
              <w:rPr>
                <w:rFonts w:ascii="Wingdings" w:eastAsia="Times New Roman" w:hAnsi="Wingdings" w:cs="Calibri"/>
                <w:noProof/>
                <w:color w:val="000000"/>
                <w:sz w:val="18"/>
                <w:szCs w:val="18"/>
                <w:lang w:val="fr-BE" w:eastAsia="fr-BE"/>
              </w:rPr>
              <w:t></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154F1CEA"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Type</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714F7FB"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Average cost</w:t>
            </w:r>
            <w:r w:rsidRPr="00556E60">
              <w:rPr>
                <w:rStyle w:val="FootnoteReference0"/>
                <w:noProof/>
              </w:rPr>
              <w:footnoteReference w:id="50"/>
            </w:r>
          </w:p>
        </w:tc>
        <w:tc>
          <w:tcPr>
            <w:tcW w:w="4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A7A09CA"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Number</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6D6474C"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Cost</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57A224C"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Number</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982A8D4"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Cost</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493CA85"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Number</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44CD33AC"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Cost</w:t>
            </w:r>
          </w:p>
        </w:tc>
        <w:tc>
          <w:tcPr>
            <w:tcW w:w="4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F4421C8"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Number</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3D0B665"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Cost</w:t>
            </w:r>
          </w:p>
        </w:tc>
        <w:tc>
          <w:tcPr>
            <w:tcW w:w="4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8F21822"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Number</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A94A938"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Cost</w:t>
            </w:r>
          </w:p>
        </w:tc>
        <w:tc>
          <w:tcPr>
            <w:tcW w:w="4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42C8D27"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Number</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C2FF9C4"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Cost</w:t>
            </w:r>
          </w:p>
        </w:tc>
      </w:tr>
      <w:tr w:rsidR="009D4357" w:rsidRPr="00434957" w14:paraId="716381B7" w14:textId="77777777" w:rsidTr="00CE3F2A">
        <w:trPr>
          <w:trHeight w:val="435"/>
        </w:trPr>
        <w:tc>
          <w:tcPr>
            <w:tcW w:w="949" w:type="dxa"/>
            <w:tcBorders>
              <w:top w:val="nil"/>
              <w:left w:val="single" w:sz="4" w:space="0" w:color="auto"/>
              <w:bottom w:val="single" w:sz="4" w:space="0" w:color="auto"/>
              <w:right w:val="single" w:sz="4" w:space="0" w:color="auto"/>
            </w:tcBorders>
            <w:shd w:val="clear" w:color="auto" w:fill="auto"/>
            <w:vAlign w:val="center"/>
            <w:hideMark/>
          </w:tcPr>
          <w:p w14:paraId="64A207FA" w14:textId="77777777" w:rsidR="009D4357" w:rsidRPr="00434957" w:rsidRDefault="009D4357" w:rsidP="00CE3F2A">
            <w:pPr>
              <w:spacing w:after="0"/>
              <w:rPr>
                <w:rFonts w:ascii="Calibri" w:eastAsia="Times New Roman" w:hAnsi="Calibri" w:cs="Calibri"/>
                <w:noProof/>
                <w:color w:val="000000"/>
                <w:lang w:val="fr-BE" w:eastAsia="fr-BE"/>
              </w:rPr>
            </w:pPr>
            <w:r w:rsidRPr="00434957">
              <w:rPr>
                <w:rFonts w:ascii="Calibri" w:eastAsia="Times New Roman" w:hAnsi="Calibri" w:cs="Calibri"/>
                <w:noProof/>
                <w:color w:val="000000"/>
                <w:lang w:val="fr-BE" w:eastAsia="fr-BE"/>
              </w:rPr>
              <w:t> </w:t>
            </w:r>
          </w:p>
        </w:tc>
        <w:tc>
          <w:tcPr>
            <w:tcW w:w="1460" w:type="dxa"/>
            <w:vMerge/>
            <w:tcBorders>
              <w:top w:val="nil"/>
              <w:left w:val="single" w:sz="4" w:space="0" w:color="auto"/>
              <w:bottom w:val="single" w:sz="4" w:space="0" w:color="auto"/>
              <w:right w:val="single" w:sz="4" w:space="0" w:color="auto"/>
            </w:tcBorders>
            <w:vAlign w:val="center"/>
            <w:hideMark/>
          </w:tcPr>
          <w:p w14:paraId="3718FA75" w14:textId="77777777" w:rsidR="009D4357" w:rsidRPr="00434957" w:rsidRDefault="009D4357" w:rsidP="00CE3F2A">
            <w:pPr>
              <w:spacing w:after="0"/>
              <w:rPr>
                <w:rFonts w:eastAsia="Times New Roman"/>
                <w:noProof/>
                <w:color w:val="000000"/>
                <w:sz w:val="18"/>
                <w:szCs w:val="18"/>
                <w:lang w:val="fr-BE" w:eastAsia="fr-BE"/>
              </w:rPr>
            </w:pPr>
          </w:p>
        </w:tc>
        <w:tc>
          <w:tcPr>
            <w:tcW w:w="851" w:type="dxa"/>
            <w:vMerge/>
            <w:tcBorders>
              <w:top w:val="nil"/>
              <w:left w:val="single" w:sz="4" w:space="0" w:color="auto"/>
              <w:bottom w:val="single" w:sz="4" w:space="0" w:color="auto"/>
              <w:right w:val="single" w:sz="4" w:space="0" w:color="auto"/>
            </w:tcBorders>
            <w:vAlign w:val="center"/>
            <w:hideMark/>
          </w:tcPr>
          <w:p w14:paraId="544D1EEA" w14:textId="77777777" w:rsidR="009D4357" w:rsidRPr="00434957" w:rsidRDefault="009D4357" w:rsidP="00CE3F2A">
            <w:pPr>
              <w:spacing w:after="0"/>
              <w:rPr>
                <w:rFonts w:eastAsia="Times New Roman"/>
                <w:noProof/>
                <w:color w:val="000000"/>
                <w:sz w:val="18"/>
                <w:szCs w:val="18"/>
                <w:lang w:val="fr-BE" w:eastAsia="fr-BE"/>
              </w:rPr>
            </w:pPr>
          </w:p>
        </w:tc>
        <w:tc>
          <w:tcPr>
            <w:tcW w:w="425" w:type="dxa"/>
            <w:vMerge/>
            <w:tcBorders>
              <w:top w:val="nil"/>
              <w:left w:val="single" w:sz="4" w:space="0" w:color="auto"/>
              <w:bottom w:val="single" w:sz="4" w:space="0" w:color="auto"/>
              <w:right w:val="single" w:sz="4" w:space="0" w:color="auto"/>
            </w:tcBorders>
            <w:vAlign w:val="center"/>
            <w:hideMark/>
          </w:tcPr>
          <w:p w14:paraId="2DA7CAA1" w14:textId="77777777" w:rsidR="009D4357" w:rsidRPr="00434957" w:rsidRDefault="009D4357" w:rsidP="00CE3F2A">
            <w:pPr>
              <w:spacing w:after="0"/>
              <w:rPr>
                <w:rFonts w:eastAsia="Times New Roman"/>
                <w:noProof/>
                <w:color w:val="000000"/>
                <w:sz w:val="18"/>
                <w:szCs w:val="18"/>
                <w:lang w:val="fr-BE" w:eastAsia="fr-BE"/>
              </w:rPr>
            </w:pPr>
          </w:p>
        </w:tc>
        <w:tc>
          <w:tcPr>
            <w:tcW w:w="567" w:type="dxa"/>
            <w:vMerge/>
            <w:tcBorders>
              <w:top w:val="nil"/>
              <w:left w:val="single" w:sz="4" w:space="0" w:color="auto"/>
              <w:bottom w:val="single" w:sz="4" w:space="0" w:color="auto"/>
              <w:right w:val="single" w:sz="4" w:space="0" w:color="auto"/>
            </w:tcBorders>
            <w:vAlign w:val="center"/>
            <w:hideMark/>
          </w:tcPr>
          <w:p w14:paraId="1915513E" w14:textId="77777777" w:rsidR="009D4357" w:rsidRPr="00434957" w:rsidRDefault="009D4357" w:rsidP="00CE3F2A">
            <w:pPr>
              <w:spacing w:after="0"/>
              <w:rPr>
                <w:rFonts w:eastAsia="Times New Roman"/>
                <w:noProof/>
                <w:color w:val="000000"/>
                <w:sz w:val="18"/>
                <w:szCs w:val="18"/>
                <w:lang w:val="fr-BE" w:eastAsia="fr-BE"/>
              </w:rPr>
            </w:pPr>
          </w:p>
        </w:tc>
        <w:tc>
          <w:tcPr>
            <w:tcW w:w="567" w:type="dxa"/>
            <w:vMerge/>
            <w:tcBorders>
              <w:top w:val="nil"/>
              <w:left w:val="single" w:sz="4" w:space="0" w:color="auto"/>
              <w:bottom w:val="single" w:sz="4" w:space="0" w:color="auto"/>
              <w:right w:val="single" w:sz="4" w:space="0" w:color="auto"/>
            </w:tcBorders>
            <w:vAlign w:val="center"/>
            <w:hideMark/>
          </w:tcPr>
          <w:p w14:paraId="61DA6753" w14:textId="77777777" w:rsidR="009D4357" w:rsidRPr="00434957" w:rsidRDefault="009D4357" w:rsidP="00CE3F2A">
            <w:pPr>
              <w:spacing w:after="0"/>
              <w:rPr>
                <w:rFonts w:eastAsia="Times New Roman"/>
                <w:noProof/>
                <w:color w:val="000000"/>
                <w:sz w:val="18"/>
                <w:szCs w:val="18"/>
                <w:lang w:val="fr-BE" w:eastAsia="fr-BE"/>
              </w:rPr>
            </w:pPr>
          </w:p>
        </w:tc>
        <w:tc>
          <w:tcPr>
            <w:tcW w:w="851" w:type="dxa"/>
            <w:vMerge/>
            <w:tcBorders>
              <w:top w:val="nil"/>
              <w:left w:val="single" w:sz="4" w:space="0" w:color="auto"/>
              <w:bottom w:val="single" w:sz="4" w:space="0" w:color="auto"/>
              <w:right w:val="single" w:sz="4" w:space="0" w:color="auto"/>
            </w:tcBorders>
            <w:vAlign w:val="center"/>
            <w:hideMark/>
          </w:tcPr>
          <w:p w14:paraId="12BAD703" w14:textId="77777777" w:rsidR="009D4357" w:rsidRPr="00434957" w:rsidRDefault="009D4357" w:rsidP="00CE3F2A">
            <w:pPr>
              <w:spacing w:after="0"/>
              <w:rPr>
                <w:rFonts w:eastAsia="Times New Roman"/>
                <w:noProof/>
                <w:color w:val="000000"/>
                <w:sz w:val="18"/>
                <w:szCs w:val="18"/>
                <w:lang w:val="fr-BE" w:eastAsia="fr-BE"/>
              </w:rPr>
            </w:pPr>
          </w:p>
        </w:tc>
        <w:tc>
          <w:tcPr>
            <w:tcW w:w="567" w:type="dxa"/>
            <w:vMerge/>
            <w:tcBorders>
              <w:top w:val="nil"/>
              <w:left w:val="single" w:sz="4" w:space="0" w:color="auto"/>
              <w:bottom w:val="single" w:sz="4" w:space="0" w:color="auto"/>
              <w:right w:val="single" w:sz="4" w:space="0" w:color="auto"/>
            </w:tcBorders>
            <w:vAlign w:val="center"/>
            <w:hideMark/>
          </w:tcPr>
          <w:p w14:paraId="24D74B3C" w14:textId="77777777" w:rsidR="009D4357" w:rsidRPr="00434957" w:rsidRDefault="009D4357" w:rsidP="00CE3F2A">
            <w:pPr>
              <w:spacing w:after="0"/>
              <w:rPr>
                <w:rFonts w:eastAsia="Times New Roman"/>
                <w:noProof/>
                <w:color w:val="000000"/>
                <w:sz w:val="18"/>
                <w:szCs w:val="18"/>
                <w:lang w:val="fr-BE" w:eastAsia="fr-BE"/>
              </w:rPr>
            </w:pPr>
          </w:p>
        </w:tc>
        <w:tc>
          <w:tcPr>
            <w:tcW w:w="850" w:type="dxa"/>
            <w:vMerge/>
            <w:tcBorders>
              <w:top w:val="nil"/>
              <w:left w:val="single" w:sz="4" w:space="0" w:color="auto"/>
              <w:bottom w:val="single" w:sz="4" w:space="0" w:color="auto"/>
              <w:right w:val="single" w:sz="4" w:space="0" w:color="auto"/>
            </w:tcBorders>
            <w:vAlign w:val="center"/>
            <w:hideMark/>
          </w:tcPr>
          <w:p w14:paraId="726DF8A9" w14:textId="77777777" w:rsidR="009D4357" w:rsidRPr="00434957" w:rsidRDefault="009D4357" w:rsidP="00CE3F2A">
            <w:pPr>
              <w:spacing w:after="0"/>
              <w:rPr>
                <w:rFonts w:eastAsia="Times New Roman"/>
                <w:noProof/>
                <w:color w:val="000000"/>
                <w:sz w:val="18"/>
                <w:szCs w:val="18"/>
                <w:lang w:val="fr-BE" w:eastAsia="fr-BE"/>
              </w:rPr>
            </w:pPr>
          </w:p>
        </w:tc>
        <w:tc>
          <w:tcPr>
            <w:tcW w:w="425" w:type="dxa"/>
            <w:vMerge/>
            <w:tcBorders>
              <w:top w:val="nil"/>
              <w:left w:val="single" w:sz="4" w:space="0" w:color="auto"/>
              <w:bottom w:val="single" w:sz="4" w:space="0" w:color="auto"/>
              <w:right w:val="single" w:sz="4" w:space="0" w:color="auto"/>
            </w:tcBorders>
            <w:vAlign w:val="center"/>
            <w:hideMark/>
          </w:tcPr>
          <w:p w14:paraId="7FE9709D" w14:textId="77777777" w:rsidR="009D4357" w:rsidRPr="00434957" w:rsidRDefault="009D4357" w:rsidP="00CE3F2A">
            <w:pPr>
              <w:spacing w:after="0"/>
              <w:rPr>
                <w:rFonts w:eastAsia="Times New Roman"/>
                <w:noProof/>
                <w:color w:val="000000"/>
                <w:sz w:val="18"/>
                <w:szCs w:val="18"/>
                <w:lang w:val="fr-BE" w:eastAsia="fr-BE"/>
              </w:rPr>
            </w:pPr>
          </w:p>
        </w:tc>
        <w:tc>
          <w:tcPr>
            <w:tcW w:w="993" w:type="dxa"/>
            <w:vMerge/>
            <w:tcBorders>
              <w:top w:val="nil"/>
              <w:left w:val="single" w:sz="4" w:space="0" w:color="auto"/>
              <w:bottom w:val="single" w:sz="4" w:space="0" w:color="auto"/>
              <w:right w:val="single" w:sz="4" w:space="0" w:color="auto"/>
            </w:tcBorders>
            <w:vAlign w:val="center"/>
            <w:hideMark/>
          </w:tcPr>
          <w:p w14:paraId="399235BD" w14:textId="77777777" w:rsidR="009D4357" w:rsidRPr="00434957" w:rsidRDefault="009D4357" w:rsidP="00CE3F2A">
            <w:pPr>
              <w:spacing w:after="0"/>
              <w:rPr>
                <w:rFonts w:eastAsia="Times New Roman"/>
                <w:noProof/>
                <w:color w:val="000000"/>
                <w:sz w:val="18"/>
                <w:szCs w:val="18"/>
                <w:lang w:val="fr-BE" w:eastAsia="fr-BE"/>
              </w:rPr>
            </w:pPr>
          </w:p>
        </w:tc>
        <w:tc>
          <w:tcPr>
            <w:tcW w:w="425" w:type="dxa"/>
            <w:vMerge/>
            <w:tcBorders>
              <w:top w:val="nil"/>
              <w:left w:val="single" w:sz="4" w:space="0" w:color="auto"/>
              <w:bottom w:val="single" w:sz="4" w:space="0" w:color="auto"/>
              <w:right w:val="single" w:sz="4" w:space="0" w:color="auto"/>
            </w:tcBorders>
            <w:vAlign w:val="center"/>
            <w:hideMark/>
          </w:tcPr>
          <w:p w14:paraId="3924737F" w14:textId="77777777" w:rsidR="009D4357" w:rsidRPr="00434957" w:rsidRDefault="009D4357" w:rsidP="00CE3F2A">
            <w:pPr>
              <w:spacing w:after="0"/>
              <w:rPr>
                <w:rFonts w:eastAsia="Times New Roman"/>
                <w:noProof/>
                <w:color w:val="000000"/>
                <w:sz w:val="18"/>
                <w:szCs w:val="18"/>
                <w:lang w:val="fr-BE" w:eastAsia="fr-BE"/>
              </w:rPr>
            </w:pPr>
          </w:p>
        </w:tc>
        <w:tc>
          <w:tcPr>
            <w:tcW w:w="1134" w:type="dxa"/>
            <w:vMerge/>
            <w:tcBorders>
              <w:top w:val="nil"/>
              <w:left w:val="single" w:sz="4" w:space="0" w:color="auto"/>
              <w:bottom w:val="single" w:sz="4" w:space="0" w:color="auto"/>
              <w:right w:val="single" w:sz="4" w:space="0" w:color="auto"/>
            </w:tcBorders>
            <w:vAlign w:val="center"/>
            <w:hideMark/>
          </w:tcPr>
          <w:p w14:paraId="466F8ED3" w14:textId="77777777" w:rsidR="009D4357" w:rsidRPr="00434957" w:rsidRDefault="009D4357" w:rsidP="00CE3F2A">
            <w:pPr>
              <w:spacing w:after="0"/>
              <w:rPr>
                <w:rFonts w:eastAsia="Times New Roman"/>
                <w:noProof/>
                <w:color w:val="000000"/>
                <w:sz w:val="18"/>
                <w:szCs w:val="18"/>
                <w:lang w:val="fr-BE" w:eastAsia="fr-BE"/>
              </w:rPr>
            </w:pPr>
          </w:p>
        </w:tc>
        <w:tc>
          <w:tcPr>
            <w:tcW w:w="425" w:type="dxa"/>
            <w:vMerge/>
            <w:tcBorders>
              <w:top w:val="nil"/>
              <w:left w:val="single" w:sz="4" w:space="0" w:color="auto"/>
              <w:bottom w:val="single" w:sz="4" w:space="0" w:color="auto"/>
              <w:right w:val="single" w:sz="4" w:space="0" w:color="auto"/>
            </w:tcBorders>
            <w:vAlign w:val="center"/>
            <w:hideMark/>
          </w:tcPr>
          <w:p w14:paraId="40C71DA1" w14:textId="77777777" w:rsidR="009D4357" w:rsidRPr="00434957" w:rsidRDefault="009D4357" w:rsidP="00CE3F2A">
            <w:pPr>
              <w:spacing w:after="0"/>
              <w:rPr>
                <w:rFonts w:eastAsia="Times New Roman"/>
                <w:noProof/>
                <w:color w:val="000000"/>
                <w:sz w:val="18"/>
                <w:szCs w:val="18"/>
                <w:lang w:val="fr-BE" w:eastAsia="fr-BE"/>
              </w:rPr>
            </w:pPr>
          </w:p>
        </w:tc>
        <w:tc>
          <w:tcPr>
            <w:tcW w:w="1134" w:type="dxa"/>
            <w:vMerge/>
            <w:tcBorders>
              <w:top w:val="nil"/>
              <w:left w:val="single" w:sz="4" w:space="0" w:color="auto"/>
              <w:bottom w:val="single" w:sz="4" w:space="0" w:color="auto"/>
              <w:right w:val="single" w:sz="4" w:space="0" w:color="auto"/>
            </w:tcBorders>
            <w:vAlign w:val="center"/>
            <w:hideMark/>
          </w:tcPr>
          <w:p w14:paraId="31C86F53" w14:textId="77777777" w:rsidR="009D4357" w:rsidRPr="00434957" w:rsidRDefault="009D4357" w:rsidP="00CE3F2A">
            <w:pPr>
              <w:spacing w:after="0"/>
              <w:rPr>
                <w:rFonts w:eastAsia="Times New Roman"/>
                <w:noProof/>
                <w:color w:val="000000"/>
                <w:sz w:val="18"/>
                <w:szCs w:val="18"/>
                <w:lang w:val="fr-BE" w:eastAsia="fr-BE"/>
              </w:rPr>
            </w:pPr>
          </w:p>
        </w:tc>
      </w:tr>
      <w:tr w:rsidR="009D4357" w:rsidRPr="00434957" w14:paraId="5A04871C" w14:textId="77777777" w:rsidTr="00CE3F2A">
        <w:trPr>
          <w:trHeight w:val="1020"/>
        </w:trPr>
        <w:tc>
          <w:tcPr>
            <w:tcW w:w="2409" w:type="dxa"/>
            <w:gridSpan w:val="2"/>
            <w:tcBorders>
              <w:top w:val="single" w:sz="4" w:space="0" w:color="auto"/>
              <w:left w:val="single" w:sz="4" w:space="0" w:color="auto"/>
              <w:right w:val="single" w:sz="4" w:space="0" w:color="auto"/>
            </w:tcBorders>
            <w:shd w:val="clear" w:color="000000" w:fill="B8CCE4"/>
            <w:vAlign w:val="center"/>
            <w:hideMark/>
          </w:tcPr>
          <w:p w14:paraId="11743D06" w14:textId="77777777" w:rsidR="009D4357" w:rsidRPr="00941D91" w:rsidRDefault="009D4357" w:rsidP="00CE3F2A">
            <w:pPr>
              <w:spacing w:after="0"/>
              <w:jc w:val="center"/>
              <w:rPr>
                <w:rFonts w:eastAsia="Times New Roman"/>
                <w:b/>
                <w:bCs/>
                <w:noProof/>
                <w:color w:val="000000"/>
                <w:sz w:val="18"/>
                <w:szCs w:val="18"/>
                <w:lang w:eastAsia="fr-BE"/>
              </w:rPr>
            </w:pPr>
            <w:r>
              <w:rPr>
                <w:rFonts w:eastAsia="Times New Roman"/>
                <w:b/>
                <w:bCs/>
                <w:noProof/>
                <w:color w:val="000000"/>
                <w:sz w:val="18"/>
                <w:szCs w:val="18"/>
                <w:lang w:val="en-IE" w:eastAsia="fr-BE"/>
              </w:rPr>
              <w:t>Europol costs (not linked to human ressources)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5C641"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3727E"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C4589"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452B0"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51370"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77FEF"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3E244"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C40DD"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1495B"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8178E"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C60DB"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C62DD"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1134" w:type="dxa"/>
            <w:tcBorders>
              <w:top w:val="single" w:sz="4" w:space="0" w:color="auto"/>
              <w:left w:val="single" w:sz="4" w:space="0" w:color="auto"/>
              <w:bottom w:val="single" w:sz="4" w:space="0" w:color="auto"/>
              <w:right w:val="single" w:sz="4" w:space="0" w:color="auto"/>
            </w:tcBorders>
          </w:tcPr>
          <w:p w14:paraId="53D97FB1" w14:textId="77777777" w:rsidR="009D4357" w:rsidRPr="00941D91" w:rsidRDefault="009D4357" w:rsidP="00CE3F2A">
            <w:pPr>
              <w:spacing w:after="0"/>
              <w:jc w:val="center"/>
              <w:rPr>
                <w:rFonts w:eastAsia="Times New Roman"/>
                <w:noProof/>
                <w:color w:val="000000"/>
                <w:sz w:val="18"/>
                <w:szCs w:val="18"/>
                <w:lang w:eastAsia="fr-BE"/>
              </w:rPr>
            </w:pPr>
          </w:p>
        </w:tc>
      </w:tr>
      <w:tr w:rsidR="009D4357" w:rsidRPr="00434957" w14:paraId="46B9AFF1" w14:textId="77777777" w:rsidTr="00CE3F2A">
        <w:trPr>
          <w:trHeight w:val="460"/>
        </w:trPr>
        <w:tc>
          <w:tcPr>
            <w:tcW w:w="949" w:type="dxa"/>
            <w:tcBorders>
              <w:top w:val="nil"/>
              <w:left w:val="single" w:sz="4" w:space="0" w:color="auto"/>
              <w:bottom w:val="single" w:sz="4" w:space="0" w:color="auto"/>
              <w:right w:val="single" w:sz="4" w:space="0" w:color="auto"/>
            </w:tcBorders>
            <w:shd w:val="clear" w:color="auto" w:fill="auto"/>
            <w:vAlign w:val="center"/>
            <w:hideMark/>
          </w:tcPr>
          <w:p w14:paraId="7AC026E4" w14:textId="77777777" w:rsidR="009D4357" w:rsidRPr="00434957" w:rsidRDefault="009D4357" w:rsidP="00CE3F2A">
            <w:pPr>
              <w:spacing w:after="0"/>
              <w:rPr>
                <w:rFonts w:eastAsia="Times New Roman"/>
                <w:noProof/>
                <w:color w:val="000000"/>
                <w:sz w:val="18"/>
                <w:szCs w:val="18"/>
                <w:lang w:val="fr-BE" w:eastAsia="fr-BE"/>
              </w:rPr>
            </w:pPr>
            <w:r w:rsidRPr="00434957">
              <w:rPr>
                <w:rFonts w:eastAsia="Times New Roman"/>
                <w:noProof/>
                <w:color w:val="000000"/>
                <w:sz w:val="18"/>
                <w:szCs w:val="18"/>
                <w:lang w:val="fr-BE" w:eastAsia="fr-BE"/>
              </w:rPr>
              <w:t>- Output</w:t>
            </w:r>
          </w:p>
        </w:tc>
        <w:tc>
          <w:tcPr>
            <w:tcW w:w="1460" w:type="dxa"/>
            <w:tcBorders>
              <w:top w:val="nil"/>
              <w:left w:val="nil"/>
              <w:bottom w:val="single" w:sz="4" w:space="0" w:color="auto"/>
              <w:right w:val="single" w:sz="4" w:space="0" w:color="auto"/>
            </w:tcBorders>
            <w:shd w:val="clear" w:color="auto" w:fill="auto"/>
            <w:vAlign w:val="center"/>
            <w:hideMark/>
          </w:tcPr>
          <w:p w14:paraId="38A10458" w14:textId="77777777" w:rsidR="009D4357" w:rsidRPr="00434957" w:rsidRDefault="009D4357" w:rsidP="00CE3F2A">
            <w:pPr>
              <w:spacing w:after="0"/>
              <w:rPr>
                <w:rFonts w:eastAsia="Times New Roman"/>
                <w:noProof/>
                <w:color w:val="000000"/>
                <w:sz w:val="18"/>
                <w:szCs w:val="18"/>
                <w:lang w:val="en-IE" w:eastAsia="fr-BE"/>
              </w:rPr>
            </w:pPr>
            <w:r>
              <w:rPr>
                <w:rFonts w:eastAsia="Times New Roman"/>
                <w:noProof/>
                <w:color w:val="000000"/>
                <w:sz w:val="18"/>
                <w:szCs w:val="18"/>
                <w:lang w:val="en-IE" w:eastAsia="fr-BE"/>
              </w:rPr>
              <w:t>Infrastructure and maintenance</w:t>
            </w:r>
          </w:p>
        </w:tc>
        <w:tc>
          <w:tcPr>
            <w:tcW w:w="851" w:type="dxa"/>
            <w:tcBorders>
              <w:top w:val="nil"/>
              <w:left w:val="nil"/>
              <w:bottom w:val="single" w:sz="4" w:space="0" w:color="auto"/>
              <w:right w:val="single" w:sz="4" w:space="0" w:color="auto"/>
            </w:tcBorders>
            <w:shd w:val="clear" w:color="auto" w:fill="auto"/>
            <w:vAlign w:val="center"/>
            <w:hideMark/>
          </w:tcPr>
          <w:p w14:paraId="14308634" w14:textId="77777777" w:rsidR="009D4357" w:rsidRPr="00434957" w:rsidRDefault="009D4357" w:rsidP="00CE3F2A">
            <w:pPr>
              <w:spacing w:after="0"/>
              <w:jc w:val="center"/>
              <w:rPr>
                <w:rFonts w:eastAsia="Times New Roman"/>
                <w:noProof/>
                <w:color w:val="000000"/>
                <w:sz w:val="18"/>
                <w:szCs w:val="18"/>
                <w:lang w:val="en-IE" w:eastAsia="fr-BE"/>
              </w:rPr>
            </w:pPr>
            <w:r w:rsidRPr="00434957">
              <w:rPr>
                <w:rFonts w:eastAsia="Times New Roman"/>
                <w:noProof/>
                <w:color w:val="000000"/>
                <w:sz w:val="18"/>
                <w:szCs w:val="18"/>
                <w:lang w:val="en-IE" w:eastAsia="fr-BE"/>
              </w:rPr>
              <w:t> </w:t>
            </w:r>
          </w:p>
        </w:tc>
        <w:tc>
          <w:tcPr>
            <w:tcW w:w="425" w:type="dxa"/>
            <w:tcBorders>
              <w:top w:val="nil"/>
              <w:left w:val="nil"/>
              <w:bottom w:val="single" w:sz="4" w:space="0" w:color="auto"/>
              <w:right w:val="single" w:sz="4" w:space="0" w:color="auto"/>
            </w:tcBorders>
            <w:shd w:val="clear" w:color="auto" w:fill="auto"/>
            <w:vAlign w:val="center"/>
          </w:tcPr>
          <w:p w14:paraId="24993163" w14:textId="77777777" w:rsidR="009D4357" w:rsidRPr="00434957" w:rsidRDefault="009D4357" w:rsidP="00CE3F2A">
            <w:pPr>
              <w:spacing w:after="0"/>
              <w:jc w:val="center"/>
              <w:rPr>
                <w:rFonts w:eastAsia="Times New Roman"/>
                <w:noProof/>
                <w:color w:val="000000"/>
                <w:sz w:val="18"/>
                <w:szCs w:val="18"/>
                <w:lang w:val="fr-BE" w:eastAsia="fr-BE"/>
              </w:rPr>
            </w:pPr>
          </w:p>
        </w:tc>
        <w:tc>
          <w:tcPr>
            <w:tcW w:w="567" w:type="dxa"/>
            <w:tcBorders>
              <w:top w:val="nil"/>
              <w:left w:val="nil"/>
              <w:bottom w:val="single" w:sz="4" w:space="0" w:color="auto"/>
              <w:right w:val="single" w:sz="4" w:space="0" w:color="auto"/>
            </w:tcBorders>
            <w:shd w:val="clear" w:color="auto" w:fill="auto"/>
            <w:vAlign w:val="center"/>
          </w:tcPr>
          <w:p w14:paraId="24087B28" w14:textId="77777777" w:rsidR="009D4357" w:rsidRPr="00434957" w:rsidRDefault="009D4357" w:rsidP="00CE3F2A">
            <w:pPr>
              <w:spacing w:after="0"/>
              <w:jc w:val="center"/>
              <w:rPr>
                <w:rFonts w:eastAsia="Times New Roman"/>
                <w:noProof/>
                <w:color w:val="000000"/>
                <w:sz w:val="18"/>
                <w:szCs w:val="18"/>
                <w:lang w:val="fr-BE" w:eastAsia="fr-BE"/>
              </w:rPr>
            </w:pPr>
          </w:p>
        </w:tc>
        <w:tc>
          <w:tcPr>
            <w:tcW w:w="567" w:type="dxa"/>
            <w:tcBorders>
              <w:top w:val="nil"/>
              <w:left w:val="nil"/>
              <w:bottom w:val="single" w:sz="4" w:space="0" w:color="auto"/>
              <w:right w:val="single" w:sz="4" w:space="0" w:color="auto"/>
            </w:tcBorders>
            <w:shd w:val="clear" w:color="auto" w:fill="auto"/>
            <w:vAlign w:val="center"/>
          </w:tcPr>
          <w:p w14:paraId="74697F5A" w14:textId="77777777" w:rsidR="009D4357" w:rsidRPr="00434957" w:rsidRDefault="009D4357" w:rsidP="00CE3F2A">
            <w:pPr>
              <w:spacing w:after="0"/>
              <w:jc w:val="center"/>
              <w:rPr>
                <w:rFonts w:eastAsia="Times New Roman"/>
                <w:noProof/>
                <w:color w:val="000000"/>
                <w:sz w:val="18"/>
                <w:szCs w:val="18"/>
                <w:lang w:val="fr-BE" w:eastAsia="fr-BE"/>
              </w:rPr>
            </w:pPr>
          </w:p>
        </w:tc>
        <w:tc>
          <w:tcPr>
            <w:tcW w:w="851" w:type="dxa"/>
            <w:tcBorders>
              <w:top w:val="nil"/>
              <w:left w:val="nil"/>
              <w:bottom w:val="single" w:sz="4" w:space="0" w:color="auto"/>
              <w:right w:val="single" w:sz="4" w:space="0" w:color="auto"/>
            </w:tcBorders>
            <w:shd w:val="clear" w:color="auto" w:fill="auto"/>
            <w:vAlign w:val="center"/>
          </w:tcPr>
          <w:p w14:paraId="0E478706" w14:textId="77777777" w:rsidR="009D4357" w:rsidRPr="00434957" w:rsidRDefault="009D4357" w:rsidP="00CE3F2A">
            <w:pPr>
              <w:spacing w:after="0"/>
              <w:jc w:val="center"/>
              <w:rPr>
                <w:noProof/>
                <w:color w:val="000000"/>
                <w:sz w:val="18"/>
                <w:szCs w:val="18"/>
              </w:rPr>
            </w:pPr>
            <w:r>
              <w:rPr>
                <w:noProof/>
                <w:color w:val="000000"/>
                <w:sz w:val="18"/>
                <w:szCs w:val="18"/>
              </w:rPr>
              <w:t>0.764</w:t>
            </w:r>
          </w:p>
        </w:tc>
        <w:tc>
          <w:tcPr>
            <w:tcW w:w="567" w:type="dxa"/>
            <w:tcBorders>
              <w:top w:val="nil"/>
              <w:left w:val="nil"/>
              <w:bottom w:val="single" w:sz="4" w:space="0" w:color="auto"/>
              <w:right w:val="single" w:sz="4" w:space="0" w:color="auto"/>
            </w:tcBorders>
            <w:shd w:val="clear" w:color="auto" w:fill="auto"/>
            <w:vAlign w:val="center"/>
          </w:tcPr>
          <w:p w14:paraId="6913B73C" w14:textId="77777777" w:rsidR="009D4357" w:rsidRPr="00434957" w:rsidRDefault="009D4357" w:rsidP="00CE3F2A">
            <w:pPr>
              <w:spacing w:after="0"/>
              <w:jc w:val="center"/>
              <w:rPr>
                <w:rFonts w:eastAsia="Times New Roman"/>
                <w:noProof/>
                <w:color w:val="000000"/>
                <w:sz w:val="18"/>
                <w:szCs w:val="18"/>
                <w:lang w:val="fr-BE" w:eastAsia="fr-BE"/>
              </w:rPr>
            </w:pPr>
          </w:p>
        </w:tc>
        <w:tc>
          <w:tcPr>
            <w:tcW w:w="850" w:type="dxa"/>
            <w:tcBorders>
              <w:top w:val="nil"/>
              <w:left w:val="nil"/>
              <w:bottom w:val="single" w:sz="4" w:space="0" w:color="auto"/>
              <w:right w:val="single" w:sz="4" w:space="0" w:color="auto"/>
            </w:tcBorders>
            <w:shd w:val="clear" w:color="auto" w:fill="auto"/>
            <w:vAlign w:val="center"/>
          </w:tcPr>
          <w:p w14:paraId="346972A2" w14:textId="77777777" w:rsidR="009D4357" w:rsidRPr="00434957" w:rsidRDefault="009D4357" w:rsidP="00CE3F2A">
            <w:pPr>
              <w:spacing w:after="0"/>
              <w:jc w:val="center"/>
              <w:rPr>
                <w:rFonts w:eastAsia="Times New Roman"/>
                <w:noProof/>
                <w:color w:val="000000"/>
                <w:sz w:val="18"/>
                <w:szCs w:val="18"/>
                <w:lang w:val="fr-BE" w:eastAsia="fr-BE"/>
              </w:rPr>
            </w:pPr>
            <w:r>
              <w:rPr>
                <w:noProof/>
                <w:color w:val="000000"/>
                <w:sz w:val="18"/>
                <w:szCs w:val="18"/>
              </w:rPr>
              <w:t>0.326</w:t>
            </w:r>
          </w:p>
        </w:tc>
        <w:tc>
          <w:tcPr>
            <w:tcW w:w="425" w:type="dxa"/>
            <w:tcBorders>
              <w:top w:val="nil"/>
              <w:left w:val="nil"/>
              <w:bottom w:val="single" w:sz="4" w:space="0" w:color="auto"/>
              <w:right w:val="single" w:sz="4" w:space="0" w:color="auto"/>
            </w:tcBorders>
            <w:shd w:val="clear" w:color="auto" w:fill="auto"/>
            <w:vAlign w:val="center"/>
          </w:tcPr>
          <w:p w14:paraId="4C5F71AA" w14:textId="77777777" w:rsidR="009D4357" w:rsidRPr="00434957" w:rsidRDefault="009D4357" w:rsidP="00CE3F2A">
            <w:pPr>
              <w:spacing w:after="0"/>
              <w:jc w:val="center"/>
              <w:rPr>
                <w:rFonts w:eastAsia="Times New Roman"/>
                <w:noProof/>
                <w:color w:val="000000"/>
                <w:sz w:val="18"/>
                <w:szCs w:val="18"/>
                <w:lang w:val="fr-BE" w:eastAsia="fr-BE"/>
              </w:rPr>
            </w:pPr>
          </w:p>
        </w:tc>
        <w:tc>
          <w:tcPr>
            <w:tcW w:w="993" w:type="dxa"/>
            <w:tcBorders>
              <w:top w:val="nil"/>
              <w:left w:val="nil"/>
              <w:bottom w:val="single" w:sz="4" w:space="0" w:color="auto"/>
              <w:right w:val="single" w:sz="4" w:space="0" w:color="auto"/>
            </w:tcBorders>
            <w:shd w:val="clear" w:color="auto" w:fill="auto"/>
            <w:vAlign w:val="center"/>
          </w:tcPr>
          <w:p w14:paraId="0498652C"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0.226</w:t>
            </w:r>
          </w:p>
        </w:tc>
        <w:tc>
          <w:tcPr>
            <w:tcW w:w="425" w:type="dxa"/>
            <w:tcBorders>
              <w:top w:val="nil"/>
              <w:left w:val="nil"/>
              <w:bottom w:val="single" w:sz="4" w:space="0" w:color="auto"/>
              <w:right w:val="single" w:sz="4" w:space="0" w:color="auto"/>
            </w:tcBorders>
            <w:shd w:val="clear" w:color="auto" w:fill="auto"/>
            <w:vAlign w:val="center"/>
          </w:tcPr>
          <w:p w14:paraId="656DF75D" w14:textId="77777777" w:rsidR="009D4357" w:rsidRPr="00434957" w:rsidRDefault="009D4357" w:rsidP="00CE3F2A">
            <w:pPr>
              <w:spacing w:after="0"/>
              <w:jc w:val="center"/>
              <w:rPr>
                <w:rFonts w:eastAsia="Times New Roman"/>
                <w:noProof/>
                <w:color w:val="000000"/>
                <w:sz w:val="18"/>
                <w:szCs w:val="18"/>
                <w:lang w:val="fr-BE" w:eastAsia="fr-BE"/>
              </w:rPr>
            </w:pPr>
          </w:p>
        </w:tc>
        <w:tc>
          <w:tcPr>
            <w:tcW w:w="1134" w:type="dxa"/>
            <w:tcBorders>
              <w:top w:val="nil"/>
              <w:left w:val="nil"/>
              <w:bottom w:val="single" w:sz="4" w:space="0" w:color="auto"/>
              <w:right w:val="single" w:sz="4" w:space="0" w:color="auto"/>
            </w:tcBorders>
            <w:shd w:val="clear" w:color="auto" w:fill="auto"/>
            <w:vAlign w:val="center"/>
          </w:tcPr>
          <w:p w14:paraId="46B79555" w14:textId="77777777" w:rsidR="009D4357" w:rsidRPr="00434957" w:rsidRDefault="009D4357" w:rsidP="00CE3F2A">
            <w:pPr>
              <w:spacing w:after="0"/>
              <w:rPr>
                <w:rFonts w:eastAsia="Times New Roman"/>
                <w:noProof/>
                <w:color w:val="000000"/>
                <w:sz w:val="18"/>
                <w:szCs w:val="18"/>
                <w:lang w:val="fr-BE" w:eastAsia="fr-BE"/>
              </w:rPr>
            </w:pPr>
            <w:r>
              <w:rPr>
                <w:rFonts w:eastAsia="Times New Roman"/>
                <w:noProof/>
                <w:color w:val="000000"/>
                <w:sz w:val="18"/>
                <w:szCs w:val="18"/>
                <w:lang w:val="fr-BE" w:eastAsia="fr-BE"/>
              </w:rPr>
              <w:t>0.226</w:t>
            </w:r>
          </w:p>
        </w:tc>
        <w:tc>
          <w:tcPr>
            <w:tcW w:w="425" w:type="dxa"/>
            <w:tcBorders>
              <w:top w:val="nil"/>
              <w:left w:val="nil"/>
              <w:bottom w:val="single" w:sz="4" w:space="0" w:color="auto"/>
              <w:right w:val="single" w:sz="4" w:space="0" w:color="auto"/>
            </w:tcBorders>
            <w:shd w:val="clear" w:color="auto" w:fill="auto"/>
            <w:vAlign w:val="center"/>
          </w:tcPr>
          <w:p w14:paraId="0BE8C2F6" w14:textId="77777777" w:rsidR="009D4357" w:rsidRPr="00434957" w:rsidRDefault="009D4357" w:rsidP="00CE3F2A">
            <w:pPr>
              <w:spacing w:after="0"/>
              <w:jc w:val="center"/>
              <w:rPr>
                <w:rFonts w:eastAsia="Times New Roman"/>
                <w:noProof/>
                <w:color w:val="000000"/>
                <w:sz w:val="18"/>
                <w:szCs w:val="18"/>
                <w:lang w:val="fr-BE" w:eastAsia="fr-BE"/>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B8C0C1D"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1.542</w:t>
            </w:r>
          </w:p>
        </w:tc>
      </w:tr>
      <w:tr w:rsidR="009D4357" w:rsidRPr="00434957" w14:paraId="53535350" w14:textId="77777777" w:rsidTr="00CE3F2A">
        <w:trPr>
          <w:trHeight w:val="690"/>
        </w:trPr>
        <w:tc>
          <w:tcPr>
            <w:tcW w:w="949" w:type="dxa"/>
            <w:tcBorders>
              <w:top w:val="nil"/>
              <w:left w:val="single" w:sz="4" w:space="0" w:color="auto"/>
              <w:bottom w:val="single" w:sz="4" w:space="0" w:color="auto"/>
              <w:right w:val="single" w:sz="4" w:space="0" w:color="auto"/>
            </w:tcBorders>
            <w:shd w:val="clear" w:color="auto" w:fill="auto"/>
            <w:vAlign w:val="center"/>
            <w:hideMark/>
          </w:tcPr>
          <w:p w14:paraId="5C9F90AF" w14:textId="77777777" w:rsidR="009D4357" w:rsidRPr="00434957" w:rsidRDefault="009D4357" w:rsidP="00CE3F2A">
            <w:pPr>
              <w:spacing w:after="0"/>
              <w:rPr>
                <w:rFonts w:eastAsia="Times New Roman"/>
                <w:noProof/>
                <w:color w:val="000000"/>
                <w:sz w:val="18"/>
                <w:szCs w:val="18"/>
                <w:lang w:val="fr-BE" w:eastAsia="fr-BE"/>
              </w:rPr>
            </w:pPr>
            <w:r w:rsidRPr="00434957">
              <w:rPr>
                <w:rFonts w:eastAsia="Times New Roman"/>
                <w:noProof/>
                <w:color w:val="000000"/>
                <w:sz w:val="18"/>
                <w:szCs w:val="18"/>
                <w:lang w:val="fr-BE" w:eastAsia="fr-BE"/>
              </w:rPr>
              <w:t>- Output</w:t>
            </w:r>
          </w:p>
        </w:tc>
        <w:tc>
          <w:tcPr>
            <w:tcW w:w="1460" w:type="dxa"/>
            <w:tcBorders>
              <w:top w:val="nil"/>
              <w:left w:val="nil"/>
              <w:bottom w:val="single" w:sz="4" w:space="0" w:color="auto"/>
              <w:right w:val="single" w:sz="4" w:space="0" w:color="auto"/>
            </w:tcBorders>
            <w:shd w:val="clear" w:color="auto" w:fill="auto"/>
            <w:vAlign w:val="center"/>
            <w:hideMark/>
          </w:tcPr>
          <w:p w14:paraId="707E6522" w14:textId="77777777" w:rsidR="009D4357" w:rsidRPr="00434957" w:rsidRDefault="009D4357" w:rsidP="00CE3F2A">
            <w:pPr>
              <w:spacing w:after="0"/>
              <w:rPr>
                <w:rFonts w:eastAsia="Times New Roman"/>
                <w:noProof/>
                <w:color w:val="000000"/>
                <w:sz w:val="18"/>
                <w:szCs w:val="18"/>
                <w:lang w:val="en-IE" w:eastAsia="fr-BE"/>
              </w:rPr>
            </w:pPr>
            <w:r>
              <w:rPr>
                <w:rFonts w:eastAsia="Times New Roman"/>
                <w:noProof/>
                <w:color w:val="000000"/>
                <w:sz w:val="18"/>
                <w:szCs w:val="18"/>
                <w:lang w:val="en-IE" w:eastAsia="fr-BE"/>
              </w:rPr>
              <w:t>Contractors</w:t>
            </w:r>
          </w:p>
        </w:tc>
        <w:tc>
          <w:tcPr>
            <w:tcW w:w="851" w:type="dxa"/>
            <w:tcBorders>
              <w:top w:val="nil"/>
              <w:left w:val="nil"/>
              <w:bottom w:val="single" w:sz="4" w:space="0" w:color="auto"/>
              <w:right w:val="single" w:sz="4" w:space="0" w:color="auto"/>
            </w:tcBorders>
            <w:shd w:val="clear" w:color="auto" w:fill="auto"/>
            <w:vAlign w:val="center"/>
            <w:hideMark/>
          </w:tcPr>
          <w:p w14:paraId="3BFAC835" w14:textId="77777777" w:rsidR="009D4357" w:rsidRPr="00434957" w:rsidRDefault="009D4357" w:rsidP="00CE3F2A">
            <w:pPr>
              <w:spacing w:after="0"/>
              <w:jc w:val="center"/>
              <w:rPr>
                <w:rFonts w:eastAsia="Times New Roman"/>
                <w:noProof/>
                <w:color w:val="000000"/>
                <w:sz w:val="18"/>
                <w:szCs w:val="18"/>
                <w:lang w:val="en-IE" w:eastAsia="fr-BE"/>
              </w:rPr>
            </w:pPr>
            <w:r w:rsidRPr="00434957">
              <w:rPr>
                <w:rFonts w:eastAsia="Times New Roman"/>
                <w:noProof/>
                <w:color w:val="000000"/>
                <w:sz w:val="18"/>
                <w:szCs w:val="18"/>
                <w:lang w:val="en-IE" w:eastAsia="fr-BE"/>
              </w:rPr>
              <w:t> </w:t>
            </w:r>
          </w:p>
        </w:tc>
        <w:tc>
          <w:tcPr>
            <w:tcW w:w="425" w:type="dxa"/>
            <w:tcBorders>
              <w:top w:val="nil"/>
              <w:left w:val="nil"/>
              <w:bottom w:val="single" w:sz="4" w:space="0" w:color="auto"/>
              <w:right w:val="single" w:sz="4" w:space="0" w:color="auto"/>
            </w:tcBorders>
            <w:shd w:val="clear" w:color="auto" w:fill="auto"/>
            <w:vAlign w:val="center"/>
          </w:tcPr>
          <w:p w14:paraId="1EDF60AA" w14:textId="77777777" w:rsidR="009D4357" w:rsidRPr="00434957" w:rsidRDefault="009D4357" w:rsidP="00CE3F2A">
            <w:pPr>
              <w:spacing w:after="0"/>
              <w:jc w:val="center"/>
              <w:rPr>
                <w:rFonts w:eastAsia="Times New Roman"/>
                <w:noProof/>
                <w:color w:val="000000"/>
                <w:sz w:val="18"/>
                <w:szCs w:val="18"/>
                <w:lang w:val="fr-BE" w:eastAsia="fr-BE"/>
              </w:rPr>
            </w:pPr>
          </w:p>
        </w:tc>
        <w:tc>
          <w:tcPr>
            <w:tcW w:w="567" w:type="dxa"/>
            <w:tcBorders>
              <w:top w:val="nil"/>
              <w:left w:val="nil"/>
              <w:bottom w:val="single" w:sz="4" w:space="0" w:color="auto"/>
              <w:right w:val="single" w:sz="4" w:space="0" w:color="auto"/>
            </w:tcBorders>
            <w:shd w:val="clear" w:color="auto" w:fill="auto"/>
            <w:vAlign w:val="center"/>
          </w:tcPr>
          <w:p w14:paraId="7A8C1134" w14:textId="77777777" w:rsidR="009D4357" w:rsidRPr="00434957" w:rsidRDefault="009D4357" w:rsidP="00CE3F2A">
            <w:pPr>
              <w:spacing w:after="0"/>
              <w:jc w:val="center"/>
              <w:rPr>
                <w:rFonts w:eastAsia="Times New Roman"/>
                <w:noProof/>
                <w:color w:val="000000"/>
                <w:sz w:val="18"/>
                <w:szCs w:val="18"/>
                <w:lang w:val="fr-BE" w:eastAsia="fr-BE"/>
              </w:rPr>
            </w:pPr>
          </w:p>
        </w:tc>
        <w:tc>
          <w:tcPr>
            <w:tcW w:w="567" w:type="dxa"/>
            <w:tcBorders>
              <w:top w:val="nil"/>
              <w:left w:val="nil"/>
              <w:bottom w:val="single" w:sz="4" w:space="0" w:color="auto"/>
              <w:right w:val="single" w:sz="4" w:space="0" w:color="auto"/>
            </w:tcBorders>
            <w:shd w:val="clear" w:color="auto" w:fill="auto"/>
            <w:vAlign w:val="center"/>
          </w:tcPr>
          <w:p w14:paraId="6A7CE19D" w14:textId="77777777" w:rsidR="009D4357" w:rsidRPr="00434957" w:rsidRDefault="009D4357" w:rsidP="00CE3F2A">
            <w:pPr>
              <w:spacing w:after="0"/>
              <w:jc w:val="center"/>
              <w:rPr>
                <w:rFonts w:eastAsia="Times New Roman"/>
                <w:noProof/>
                <w:color w:val="000000"/>
                <w:sz w:val="18"/>
                <w:szCs w:val="18"/>
                <w:lang w:val="fr-BE" w:eastAsia="fr-BE"/>
              </w:rPr>
            </w:pPr>
          </w:p>
        </w:tc>
        <w:tc>
          <w:tcPr>
            <w:tcW w:w="851" w:type="dxa"/>
            <w:tcBorders>
              <w:top w:val="nil"/>
              <w:left w:val="nil"/>
              <w:bottom w:val="single" w:sz="4" w:space="0" w:color="auto"/>
              <w:right w:val="single" w:sz="4" w:space="0" w:color="auto"/>
            </w:tcBorders>
            <w:shd w:val="clear" w:color="auto" w:fill="auto"/>
            <w:vAlign w:val="center"/>
          </w:tcPr>
          <w:p w14:paraId="53E82943"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0.726</w:t>
            </w:r>
          </w:p>
        </w:tc>
        <w:tc>
          <w:tcPr>
            <w:tcW w:w="567" w:type="dxa"/>
            <w:tcBorders>
              <w:top w:val="nil"/>
              <w:left w:val="nil"/>
              <w:bottom w:val="single" w:sz="4" w:space="0" w:color="auto"/>
              <w:right w:val="single" w:sz="4" w:space="0" w:color="auto"/>
            </w:tcBorders>
            <w:shd w:val="clear" w:color="auto" w:fill="auto"/>
            <w:vAlign w:val="center"/>
          </w:tcPr>
          <w:p w14:paraId="0C83D865" w14:textId="77777777" w:rsidR="009D4357" w:rsidRPr="00434957" w:rsidRDefault="009D4357" w:rsidP="00CE3F2A">
            <w:pPr>
              <w:spacing w:after="0"/>
              <w:jc w:val="center"/>
              <w:rPr>
                <w:rFonts w:eastAsia="Times New Roman"/>
                <w:noProof/>
                <w:color w:val="000000"/>
                <w:sz w:val="18"/>
                <w:szCs w:val="18"/>
                <w:lang w:val="fr-BE" w:eastAsia="fr-BE"/>
              </w:rPr>
            </w:pPr>
          </w:p>
        </w:tc>
        <w:tc>
          <w:tcPr>
            <w:tcW w:w="850" w:type="dxa"/>
            <w:tcBorders>
              <w:top w:val="nil"/>
              <w:left w:val="nil"/>
              <w:bottom w:val="single" w:sz="4" w:space="0" w:color="auto"/>
              <w:right w:val="single" w:sz="4" w:space="0" w:color="auto"/>
            </w:tcBorders>
            <w:shd w:val="clear" w:color="auto" w:fill="auto"/>
            <w:vAlign w:val="center"/>
          </w:tcPr>
          <w:p w14:paraId="39114121"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0.726</w:t>
            </w:r>
          </w:p>
        </w:tc>
        <w:tc>
          <w:tcPr>
            <w:tcW w:w="425" w:type="dxa"/>
            <w:tcBorders>
              <w:top w:val="nil"/>
              <w:left w:val="nil"/>
              <w:bottom w:val="single" w:sz="4" w:space="0" w:color="auto"/>
              <w:right w:val="single" w:sz="4" w:space="0" w:color="auto"/>
            </w:tcBorders>
            <w:shd w:val="clear" w:color="auto" w:fill="auto"/>
            <w:vAlign w:val="center"/>
          </w:tcPr>
          <w:p w14:paraId="65FC6FCB" w14:textId="77777777" w:rsidR="009D4357" w:rsidRPr="00434957" w:rsidRDefault="009D4357" w:rsidP="00CE3F2A">
            <w:pPr>
              <w:spacing w:after="0"/>
              <w:jc w:val="center"/>
              <w:rPr>
                <w:rFonts w:eastAsia="Times New Roman"/>
                <w:noProof/>
                <w:color w:val="000000"/>
                <w:sz w:val="18"/>
                <w:szCs w:val="18"/>
                <w:lang w:val="fr-BE" w:eastAsia="fr-BE"/>
              </w:rPr>
            </w:pPr>
          </w:p>
        </w:tc>
        <w:tc>
          <w:tcPr>
            <w:tcW w:w="993" w:type="dxa"/>
            <w:tcBorders>
              <w:top w:val="nil"/>
              <w:left w:val="nil"/>
              <w:bottom w:val="single" w:sz="4" w:space="0" w:color="auto"/>
              <w:right w:val="single" w:sz="4" w:space="0" w:color="auto"/>
            </w:tcBorders>
            <w:shd w:val="clear" w:color="auto" w:fill="auto"/>
            <w:vAlign w:val="center"/>
          </w:tcPr>
          <w:p w14:paraId="2059B2AA"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0.290</w:t>
            </w:r>
          </w:p>
        </w:tc>
        <w:tc>
          <w:tcPr>
            <w:tcW w:w="425" w:type="dxa"/>
            <w:tcBorders>
              <w:top w:val="nil"/>
              <w:left w:val="nil"/>
              <w:bottom w:val="single" w:sz="4" w:space="0" w:color="auto"/>
              <w:right w:val="single" w:sz="4" w:space="0" w:color="auto"/>
            </w:tcBorders>
            <w:shd w:val="clear" w:color="auto" w:fill="auto"/>
            <w:vAlign w:val="center"/>
          </w:tcPr>
          <w:p w14:paraId="2C27D729" w14:textId="77777777" w:rsidR="009D4357" w:rsidRPr="00434957" w:rsidRDefault="009D4357" w:rsidP="00CE3F2A">
            <w:pPr>
              <w:spacing w:after="0"/>
              <w:jc w:val="center"/>
              <w:rPr>
                <w:rFonts w:eastAsia="Times New Roman"/>
                <w:noProof/>
                <w:color w:val="000000"/>
                <w:sz w:val="18"/>
                <w:szCs w:val="18"/>
                <w:lang w:val="fr-BE" w:eastAsia="fr-BE"/>
              </w:rPr>
            </w:pPr>
          </w:p>
        </w:tc>
        <w:tc>
          <w:tcPr>
            <w:tcW w:w="1134" w:type="dxa"/>
            <w:tcBorders>
              <w:top w:val="nil"/>
              <w:left w:val="nil"/>
              <w:bottom w:val="single" w:sz="4" w:space="0" w:color="auto"/>
              <w:right w:val="single" w:sz="4" w:space="0" w:color="auto"/>
            </w:tcBorders>
            <w:shd w:val="clear" w:color="auto" w:fill="auto"/>
            <w:vAlign w:val="center"/>
          </w:tcPr>
          <w:p w14:paraId="0F760A9A"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0.290</w:t>
            </w:r>
          </w:p>
        </w:tc>
        <w:tc>
          <w:tcPr>
            <w:tcW w:w="425" w:type="dxa"/>
            <w:tcBorders>
              <w:top w:val="nil"/>
              <w:left w:val="nil"/>
              <w:bottom w:val="single" w:sz="4" w:space="0" w:color="auto"/>
              <w:right w:val="single" w:sz="4" w:space="0" w:color="auto"/>
            </w:tcBorders>
            <w:shd w:val="clear" w:color="auto" w:fill="auto"/>
            <w:vAlign w:val="center"/>
          </w:tcPr>
          <w:p w14:paraId="3E816D18" w14:textId="77777777" w:rsidR="009D4357" w:rsidRPr="00434957" w:rsidRDefault="009D4357" w:rsidP="00CE3F2A">
            <w:pPr>
              <w:spacing w:after="0"/>
              <w:jc w:val="center"/>
              <w:rPr>
                <w:rFonts w:eastAsia="Times New Roman"/>
                <w:noProof/>
                <w:color w:val="000000"/>
                <w:sz w:val="18"/>
                <w:szCs w:val="18"/>
                <w:lang w:val="fr-BE" w:eastAsia="fr-BE"/>
              </w:rPr>
            </w:pPr>
          </w:p>
        </w:tc>
        <w:tc>
          <w:tcPr>
            <w:tcW w:w="1134" w:type="dxa"/>
            <w:tcBorders>
              <w:top w:val="nil"/>
              <w:left w:val="nil"/>
              <w:bottom w:val="single" w:sz="4" w:space="0" w:color="auto"/>
              <w:right w:val="single" w:sz="4" w:space="0" w:color="auto"/>
            </w:tcBorders>
            <w:shd w:val="clear" w:color="auto" w:fill="auto"/>
            <w:vAlign w:val="center"/>
          </w:tcPr>
          <w:p w14:paraId="0642FF93"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2.032</w:t>
            </w:r>
          </w:p>
        </w:tc>
      </w:tr>
      <w:tr w:rsidR="009D4357" w:rsidRPr="00434957" w14:paraId="7345AD74" w14:textId="77777777" w:rsidTr="00CE3F2A">
        <w:trPr>
          <w:trHeight w:val="290"/>
        </w:trPr>
        <w:tc>
          <w:tcPr>
            <w:tcW w:w="949" w:type="dxa"/>
            <w:tcBorders>
              <w:top w:val="nil"/>
              <w:left w:val="single" w:sz="4" w:space="0" w:color="auto"/>
              <w:bottom w:val="single" w:sz="4" w:space="0" w:color="auto"/>
              <w:right w:val="single" w:sz="4" w:space="0" w:color="auto"/>
            </w:tcBorders>
            <w:shd w:val="clear" w:color="auto" w:fill="auto"/>
            <w:vAlign w:val="center"/>
            <w:hideMark/>
          </w:tcPr>
          <w:p w14:paraId="3EB004A5"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1460" w:type="dxa"/>
            <w:tcBorders>
              <w:top w:val="nil"/>
              <w:left w:val="nil"/>
              <w:bottom w:val="single" w:sz="4" w:space="0" w:color="auto"/>
              <w:right w:val="single" w:sz="4" w:space="0" w:color="auto"/>
            </w:tcBorders>
            <w:shd w:val="clear" w:color="auto" w:fill="auto"/>
            <w:vAlign w:val="center"/>
            <w:hideMark/>
          </w:tcPr>
          <w:p w14:paraId="01AF0CF4"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14:paraId="3390AC68"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425" w:type="dxa"/>
            <w:tcBorders>
              <w:top w:val="nil"/>
              <w:left w:val="nil"/>
              <w:bottom w:val="single" w:sz="4" w:space="0" w:color="auto"/>
              <w:right w:val="single" w:sz="4" w:space="0" w:color="auto"/>
            </w:tcBorders>
            <w:shd w:val="clear" w:color="auto" w:fill="auto"/>
            <w:vAlign w:val="center"/>
            <w:hideMark/>
          </w:tcPr>
          <w:p w14:paraId="5032DB5D"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567" w:type="dxa"/>
            <w:tcBorders>
              <w:top w:val="nil"/>
              <w:left w:val="nil"/>
              <w:bottom w:val="single" w:sz="4" w:space="0" w:color="auto"/>
              <w:right w:val="single" w:sz="4" w:space="0" w:color="auto"/>
            </w:tcBorders>
            <w:shd w:val="clear" w:color="auto" w:fill="auto"/>
            <w:vAlign w:val="center"/>
          </w:tcPr>
          <w:p w14:paraId="4A165780" w14:textId="77777777" w:rsidR="009D4357" w:rsidRPr="00434957" w:rsidRDefault="009D4357" w:rsidP="00CE3F2A">
            <w:pPr>
              <w:spacing w:after="0"/>
              <w:jc w:val="center"/>
              <w:rPr>
                <w:rFonts w:eastAsia="Times New Roman"/>
                <w:noProof/>
                <w:color w:val="000000"/>
                <w:sz w:val="18"/>
                <w:szCs w:val="18"/>
                <w:lang w:val="fr-BE" w:eastAsia="fr-BE"/>
              </w:rPr>
            </w:pPr>
          </w:p>
        </w:tc>
        <w:tc>
          <w:tcPr>
            <w:tcW w:w="567" w:type="dxa"/>
            <w:tcBorders>
              <w:top w:val="nil"/>
              <w:left w:val="nil"/>
              <w:bottom w:val="single" w:sz="4" w:space="0" w:color="auto"/>
              <w:right w:val="single" w:sz="4" w:space="0" w:color="auto"/>
            </w:tcBorders>
            <w:shd w:val="clear" w:color="auto" w:fill="auto"/>
            <w:vAlign w:val="center"/>
            <w:hideMark/>
          </w:tcPr>
          <w:p w14:paraId="5627A5BC"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14:paraId="4A0E0E23"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567" w:type="dxa"/>
            <w:tcBorders>
              <w:top w:val="nil"/>
              <w:left w:val="nil"/>
              <w:bottom w:val="single" w:sz="4" w:space="0" w:color="auto"/>
              <w:right w:val="single" w:sz="4" w:space="0" w:color="auto"/>
            </w:tcBorders>
            <w:shd w:val="clear" w:color="auto" w:fill="auto"/>
            <w:vAlign w:val="center"/>
            <w:hideMark/>
          </w:tcPr>
          <w:p w14:paraId="184143B0"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tcPr>
          <w:p w14:paraId="1ACE6ACA"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425" w:type="dxa"/>
            <w:tcBorders>
              <w:top w:val="nil"/>
              <w:left w:val="nil"/>
              <w:bottom w:val="single" w:sz="4" w:space="0" w:color="auto"/>
              <w:right w:val="single" w:sz="4" w:space="0" w:color="auto"/>
            </w:tcBorders>
            <w:shd w:val="clear" w:color="auto" w:fill="auto"/>
            <w:vAlign w:val="center"/>
            <w:hideMark/>
          </w:tcPr>
          <w:p w14:paraId="7BE39588"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14:paraId="64EC6D8D"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425" w:type="dxa"/>
            <w:tcBorders>
              <w:top w:val="nil"/>
              <w:left w:val="nil"/>
              <w:bottom w:val="single" w:sz="4" w:space="0" w:color="auto"/>
              <w:right w:val="single" w:sz="4" w:space="0" w:color="auto"/>
            </w:tcBorders>
            <w:shd w:val="clear" w:color="auto" w:fill="auto"/>
            <w:vAlign w:val="center"/>
            <w:hideMark/>
          </w:tcPr>
          <w:p w14:paraId="5D33B0D5"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1134" w:type="dxa"/>
            <w:tcBorders>
              <w:top w:val="nil"/>
              <w:left w:val="nil"/>
              <w:bottom w:val="single" w:sz="4" w:space="0" w:color="auto"/>
              <w:right w:val="single" w:sz="4" w:space="0" w:color="auto"/>
            </w:tcBorders>
            <w:shd w:val="clear" w:color="auto" w:fill="auto"/>
            <w:vAlign w:val="center"/>
          </w:tcPr>
          <w:p w14:paraId="2313C9D3"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425" w:type="dxa"/>
            <w:tcBorders>
              <w:top w:val="nil"/>
              <w:left w:val="nil"/>
              <w:bottom w:val="single" w:sz="4" w:space="0" w:color="auto"/>
              <w:right w:val="single" w:sz="4" w:space="0" w:color="auto"/>
            </w:tcBorders>
            <w:shd w:val="clear" w:color="auto" w:fill="auto"/>
            <w:vAlign w:val="center"/>
            <w:hideMark/>
          </w:tcPr>
          <w:p w14:paraId="49327373"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1134" w:type="dxa"/>
            <w:tcBorders>
              <w:top w:val="nil"/>
              <w:left w:val="nil"/>
              <w:bottom w:val="single" w:sz="4" w:space="0" w:color="auto"/>
              <w:right w:val="single" w:sz="4" w:space="0" w:color="auto"/>
            </w:tcBorders>
            <w:shd w:val="clear" w:color="auto" w:fill="auto"/>
            <w:vAlign w:val="center"/>
            <w:hideMark/>
          </w:tcPr>
          <w:p w14:paraId="2F83EDC7"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r>
      <w:tr w:rsidR="009D4357" w:rsidRPr="00434957" w14:paraId="2006DF48" w14:textId="77777777" w:rsidTr="00CE3F2A">
        <w:trPr>
          <w:trHeight w:val="290"/>
        </w:trPr>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1C23E4" w14:textId="77777777" w:rsidR="009D4357" w:rsidRPr="00434957" w:rsidRDefault="009D4357" w:rsidP="00CE3F2A">
            <w:pPr>
              <w:spacing w:after="0"/>
              <w:jc w:val="center"/>
              <w:rPr>
                <w:rFonts w:eastAsia="Times New Roman"/>
                <w:b/>
                <w:bCs/>
                <w:noProof/>
                <w:color w:val="000000"/>
                <w:sz w:val="18"/>
                <w:szCs w:val="18"/>
                <w:lang w:val="fr-BE" w:eastAsia="fr-BE"/>
              </w:rPr>
            </w:pPr>
            <w:r w:rsidRPr="00434957">
              <w:rPr>
                <w:rFonts w:eastAsia="Times New Roman"/>
                <w:b/>
                <w:bCs/>
                <w:noProof/>
                <w:color w:val="000000"/>
                <w:sz w:val="18"/>
                <w:szCs w:val="18"/>
                <w:lang w:val="fr-BE" w:eastAsia="fr-BE"/>
              </w:rPr>
              <w:t>TOTAL COSTS</w:t>
            </w:r>
          </w:p>
        </w:tc>
        <w:tc>
          <w:tcPr>
            <w:tcW w:w="851" w:type="dxa"/>
            <w:tcBorders>
              <w:top w:val="nil"/>
              <w:left w:val="nil"/>
              <w:bottom w:val="single" w:sz="4" w:space="0" w:color="auto"/>
              <w:right w:val="single" w:sz="4" w:space="0" w:color="auto"/>
            </w:tcBorders>
            <w:shd w:val="clear" w:color="auto" w:fill="auto"/>
            <w:vAlign w:val="center"/>
            <w:hideMark/>
          </w:tcPr>
          <w:p w14:paraId="7999B944" w14:textId="77777777" w:rsidR="009D4357" w:rsidRPr="00434957" w:rsidRDefault="009D4357" w:rsidP="00CE3F2A">
            <w:pPr>
              <w:spacing w:after="0"/>
              <w:jc w:val="center"/>
              <w:rPr>
                <w:rFonts w:eastAsia="Times New Roman"/>
                <w:b/>
                <w:bCs/>
                <w:noProof/>
                <w:color w:val="000000"/>
                <w:sz w:val="18"/>
                <w:szCs w:val="18"/>
                <w:lang w:val="fr-BE" w:eastAsia="fr-BE"/>
              </w:rPr>
            </w:pPr>
            <w:r w:rsidRPr="00434957">
              <w:rPr>
                <w:rFonts w:eastAsia="Times New Roman"/>
                <w:b/>
                <w:bCs/>
                <w:noProof/>
                <w:color w:val="000000"/>
                <w:sz w:val="18"/>
                <w:szCs w:val="18"/>
                <w:lang w:val="fr-BE" w:eastAsia="fr-BE"/>
              </w:rPr>
              <w:t> </w:t>
            </w:r>
          </w:p>
        </w:tc>
        <w:tc>
          <w:tcPr>
            <w:tcW w:w="425" w:type="dxa"/>
            <w:tcBorders>
              <w:top w:val="nil"/>
              <w:left w:val="nil"/>
              <w:bottom w:val="single" w:sz="4" w:space="0" w:color="auto"/>
              <w:right w:val="single" w:sz="4" w:space="0" w:color="auto"/>
            </w:tcBorders>
            <w:shd w:val="clear" w:color="auto" w:fill="auto"/>
            <w:vAlign w:val="center"/>
          </w:tcPr>
          <w:p w14:paraId="196564EF" w14:textId="77777777" w:rsidR="009D4357" w:rsidRPr="00434957" w:rsidRDefault="009D4357" w:rsidP="00CE3F2A">
            <w:pPr>
              <w:spacing w:after="0"/>
              <w:jc w:val="center"/>
              <w:rPr>
                <w:rFonts w:eastAsia="Times New Roman"/>
                <w:b/>
                <w:bCs/>
                <w:noProof/>
                <w:color w:val="000000"/>
                <w:sz w:val="18"/>
                <w:szCs w:val="18"/>
                <w:lang w:val="fr-BE" w:eastAsia="fr-BE"/>
              </w:rPr>
            </w:pPr>
          </w:p>
        </w:tc>
        <w:tc>
          <w:tcPr>
            <w:tcW w:w="567" w:type="dxa"/>
            <w:tcBorders>
              <w:top w:val="nil"/>
              <w:left w:val="nil"/>
              <w:bottom w:val="single" w:sz="4" w:space="0" w:color="auto"/>
              <w:right w:val="single" w:sz="4" w:space="0" w:color="auto"/>
            </w:tcBorders>
            <w:shd w:val="clear" w:color="auto" w:fill="auto"/>
            <w:vAlign w:val="center"/>
          </w:tcPr>
          <w:p w14:paraId="61DDE8C8" w14:textId="77777777" w:rsidR="009D4357" w:rsidRPr="00434957" w:rsidRDefault="009D4357" w:rsidP="00CE3F2A">
            <w:pPr>
              <w:spacing w:after="0"/>
              <w:jc w:val="center"/>
              <w:rPr>
                <w:rFonts w:eastAsia="Times New Roman"/>
                <w:noProof/>
                <w:color w:val="000000"/>
                <w:sz w:val="18"/>
                <w:szCs w:val="18"/>
                <w:lang w:val="fr-BE" w:eastAsia="fr-BE"/>
              </w:rPr>
            </w:pPr>
          </w:p>
        </w:tc>
        <w:tc>
          <w:tcPr>
            <w:tcW w:w="567" w:type="dxa"/>
            <w:tcBorders>
              <w:top w:val="nil"/>
              <w:left w:val="nil"/>
              <w:bottom w:val="single" w:sz="4" w:space="0" w:color="auto"/>
              <w:right w:val="single" w:sz="4" w:space="0" w:color="auto"/>
            </w:tcBorders>
            <w:shd w:val="clear" w:color="auto" w:fill="auto"/>
            <w:vAlign w:val="center"/>
          </w:tcPr>
          <w:p w14:paraId="19383732" w14:textId="77777777" w:rsidR="009D4357" w:rsidRPr="00434957" w:rsidRDefault="009D4357" w:rsidP="00CE3F2A">
            <w:pPr>
              <w:spacing w:after="0"/>
              <w:jc w:val="center"/>
              <w:rPr>
                <w:rFonts w:eastAsia="Times New Roman"/>
                <w:noProof/>
                <w:color w:val="000000"/>
                <w:sz w:val="18"/>
                <w:szCs w:val="18"/>
                <w:lang w:val="fr-BE" w:eastAsia="fr-BE"/>
              </w:rPr>
            </w:pPr>
          </w:p>
        </w:tc>
        <w:tc>
          <w:tcPr>
            <w:tcW w:w="851" w:type="dxa"/>
            <w:tcBorders>
              <w:top w:val="nil"/>
              <w:left w:val="nil"/>
              <w:bottom w:val="single" w:sz="4" w:space="0" w:color="auto"/>
              <w:right w:val="single" w:sz="4" w:space="0" w:color="auto"/>
            </w:tcBorders>
            <w:shd w:val="clear" w:color="auto" w:fill="auto"/>
            <w:vAlign w:val="center"/>
          </w:tcPr>
          <w:p w14:paraId="1CAA3A47" w14:textId="77777777" w:rsidR="009D4357" w:rsidRPr="00434957" w:rsidRDefault="009D4357" w:rsidP="00CE3F2A">
            <w:pPr>
              <w:spacing w:after="0"/>
              <w:jc w:val="center"/>
              <w:rPr>
                <w:noProof/>
                <w:color w:val="000000"/>
                <w:sz w:val="18"/>
                <w:szCs w:val="18"/>
              </w:rPr>
            </w:pPr>
            <w:r>
              <w:rPr>
                <w:noProof/>
                <w:color w:val="000000"/>
                <w:sz w:val="18"/>
                <w:szCs w:val="18"/>
              </w:rPr>
              <w:t>1.490</w:t>
            </w:r>
          </w:p>
        </w:tc>
        <w:tc>
          <w:tcPr>
            <w:tcW w:w="567" w:type="dxa"/>
            <w:tcBorders>
              <w:top w:val="nil"/>
              <w:left w:val="nil"/>
              <w:bottom w:val="single" w:sz="4" w:space="0" w:color="auto"/>
              <w:right w:val="single" w:sz="4" w:space="0" w:color="auto"/>
            </w:tcBorders>
            <w:shd w:val="clear" w:color="auto" w:fill="auto"/>
            <w:vAlign w:val="center"/>
          </w:tcPr>
          <w:p w14:paraId="498A89B6" w14:textId="77777777" w:rsidR="009D4357" w:rsidRPr="00434957" w:rsidRDefault="009D4357" w:rsidP="00CE3F2A">
            <w:pPr>
              <w:spacing w:after="0"/>
              <w:jc w:val="center"/>
              <w:rPr>
                <w:rFonts w:eastAsia="Times New Roman"/>
                <w:noProof/>
                <w:color w:val="000000"/>
                <w:sz w:val="18"/>
                <w:szCs w:val="18"/>
                <w:lang w:val="fr-BE" w:eastAsia="fr-BE"/>
              </w:rPr>
            </w:pPr>
          </w:p>
        </w:tc>
        <w:tc>
          <w:tcPr>
            <w:tcW w:w="850" w:type="dxa"/>
            <w:tcBorders>
              <w:top w:val="nil"/>
              <w:left w:val="nil"/>
              <w:bottom w:val="single" w:sz="4" w:space="0" w:color="auto"/>
              <w:right w:val="single" w:sz="4" w:space="0" w:color="auto"/>
            </w:tcBorders>
            <w:shd w:val="clear" w:color="auto" w:fill="auto"/>
            <w:vAlign w:val="center"/>
          </w:tcPr>
          <w:p w14:paraId="62D1F5BD"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1.052</w:t>
            </w:r>
          </w:p>
        </w:tc>
        <w:tc>
          <w:tcPr>
            <w:tcW w:w="425" w:type="dxa"/>
            <w:tcBorders>
              <w:top w:val="nil"/>
              <w:left w:val="nil"/>
              <w:bottom w:val="single" w:sz="4" w:space="0" w:color="auto"/>
              <w:right w:val="single" w:sz="4" w:space="0" w:color="auto"/>
            </w:tcBorders>
            <w:shd w:val="clear" w:color="auto" w:fill="auto"/>
            <w:vAlign w:val="center"/>
          </w:tcPr>
          <w:p w14:paraId="2BCD3FB5" w14:textId="77777777" w:rsidR="009D4357" w:rsidRPr="00434957" w:rsidRDefault="009D4357" w:rsidP="00CE3F2A">
            <w:pPr>
              <w:spacing w:after="0"/>
              <w:jc w:val="center"/>
              <w:rPr>
                <w:rFonts w:eastAsia="Times New Roman"/>
                <w:noProof/>
                <w:color w:val="000000"/>
                <w:sz w:val="18"/>
                <w:szCs w:val="18"/>
                <w:lang w:val="fr-BE" w:eastAsia="fr-BE"/>
              </w:rPr>
            </w:pPr>
          </w:p>
        </w:tc>
        <w:tc>
          <w:tcPr>
            <w:tcW w:w="993" w:type="dxa"/>
            <w:tcBorders>
              <w:top w:val="nil"/>
              <w:left w:val="nil"/>
              <w:bottom w:val="single" w:sz="4" w:space="0" w:color="auto"/>
              <w:right w:val="single" w:sz="4" w:space="0" w:color="auto"/>
            </w:tcBorders>
            <w:shd w:val="clear" w:color="auto" w:fill="auto"/>
            <w:vAlign w:val="center"/>
          </w:tcPr>
          <w:p w14:paraId="7C11D9BE"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0.516</w:t>
            </w:r>
          </w:p>
        </w:tc>
        <w:tc>
          <w:tcPr>
            <w:tcW w:w="425" w:type="dxa"/>
            <w:tcBorders>
              <w:top w:val="nil"/>
              <w:left w:val="nil"/>
              <w:bottom w:val="single" w:sz="4" w:space="0" w:color="auto"/>
              <w:right w:val="single" w:sz="4" w:space="0" w:color="auto"/>
            </w:tcBorders>
            <w:shd w:val="clear" w:color="auto" w:fill="auto"/>
            <w:vAlign w:val="center"/>
          </w:tcPr>
          <w:p w14:paraId="53DB49CE" w14:textId="77777777" w:rsidR="009D4357" w:rsidRPr="00434957" w:rsidRDefault="009D4357" w:rsidP="00CE3F2A">
            <w:pPr>
              <w:spacing w:after="0"/>
              <w:jc w:val="center"/>
              <w:rPr>
                <w:rFonts w:eastAsia="Times New Roman"/>
                <w:noProof/>
                <w:color w:val="000000"/>
                <w:sz w:val="18"/>
                <w:szCs w:val="18"/>
                <w:lang w:val="fr-BE" w:eastAsia="fr-BE"/>
              </w:rPr>
            </w:pPr>
          </w:p>
        </w:tc>
        <w:tc>
          <w:tcPr>
            <w:tcW w:w="1134" w:type="dxa"/>
            <w:tcBorders>
              <w:top w:val="nil"/>
              <w:left w:val="nil"/>
              <w:bottom w:val="single" w:sz="4" w:space="0" w:color="auto"/>
              <w:right w:val="single" w:sz="4" w:space="0" w:color="auto"/>
            </w:tcBorders>
            <w:shd w:val="clear" w:color="auto" w:fill="auto"/>
            <w:vAlign w:val="center"/>
          </w:tcPr>
          <w:p w14:paraId="1EAB4060" w14:textId="77777777" w:rsidR="009D4357" w:rsidRPr="00434957" w:rsidRDefault="009D4357" w:rsidP="00CE3F2A">
            <w:pPr>
              <w:spacing w:after="0"/>
              <w:rPr>
                <w:rFonts w:eastAsia="Times New Roman"/>
                <w:noProof/>
                <w:color w:val="000000"/>
                <w:sz w:val="18"/>
                <w:szCs w:val="18"/>
                <w:lang w:val="fr-BE" w:eastAsia="fr-BE"/>
              </w:rPr>
            </w:pPr>
            <w:r>
              <w:rPr>
                <w:rFonts w:eastAsia="Times New Roman"/>
                <w:noProof/>
                <w:color w:val="000000"/>
                <w:sz w:val="18"/>
                <w:szCs w:val="18"/>
                <w:lang w:val="fr-BE" w:eastAsia="fr-BE"/>
              </w:rPr>
              <w:t>0.516</w:t>
            </w:r>
          </w:p>
        </w:tc>
        <w:tc>
          <w:tcPr>
            <w:tcW w:w="425" w:type="dxa"/>
            <w:tcBorders>
              <w:top w:val="nil"/>
              <w:left w:val="nil"/>
              <w:bottom w:val="single" w:sz="4" w:space="0" w:color="auto"/>
              <w:right w:val="single" w:sz="4" w:space="0" w:color="auto"/>
            </w:tcBorders>
            <w:shd w:val="clear" w:color="auto" w:fill="auto"/>
            <w:vAlign w:val="center"/>
          </w:tcPr>
          <w:p w14:paraId="2AD162DE" w14:textId="77777777" w:rsidR="009D4357" w:rsidRPr="00434957" w:rsidRDefault="009D4357" w:rsidP="00CE3F2A">
            <w:pPr>
              <w:spacing w:after="0"/>
              <w:jc w:val="center"/>
              <w:rPr>
                <w:rFonts w:eastAsia="Times New Roman"/>
                <w:noProof/>
                <w:color w:val="000000"/>
                <w:sz w:val="18"/>
                <w:szCs w:val="18"/>
                <w:lang w:val="fr-BE" w:eastAsia="fr-BE"/>
              </w:rPr>
            </w:pPr>
          </w:p>
        </w:tc>
        <w:tc>
          <w:tcPr>
            <w:tcW w:w="1134" w:type="dxa"/>
            <w:tcBorders>
              <w:top w:val="single" w:sz="4" w:space="0" w:color="auto"/>
              <w:bottom w:val="single" w:sz="4" w:space="0" w:color="auto"/>
              <w:right w:val="single" w:sz="4" w:space="0" w:color="auto"/>
            </w:tcBorders>
            <w:vAlign w:val="center"/>
          </w:tcPr>
          <w:p w14:paraId="3DCA96C5"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3.574</w:t>
            </w:r>
          </w:p>
        </w:tc>
      </w:tr>
    </w:tbl>
    <w:p w14:paraId="42B08D38" w14:textId="77777777" w:rsidR="009D4357" w:rsidRPr="00434957" w:rsidRDefault="009D4357" w:rsidP="009D4357">
      <w:pPr>
        <w:ind w:left="1134" w:hanging="283"/>
        <w:rPr>
          <w:noProof/>
          <w:lang w:eastAsia="en-GB"/>
        </w:rPr>
      </w:pPr>
    </w:p>
    <w:p w14:paraId="0A2682CD" w14:textId="77777777" w:rsidR="009D4357" w:rsidRPr="00434957" w:rsidRDefault="009D4357" w:rsidP="009D4357">
      <w:pPr>
        <w:ind w:left="1134" w:hanging="283"/>
        <w:rPr>
          <w:noProof/>
          <w:lang w:eastAsia="en-GB"/>
        </w:rPr>
      </w:pPr>
    </w:p>
    <w:p w14:paraId="0274A3B4" w14:textId="77777777" w:rsidR="009D4357" w:rsidRPr="00434957" w:rsidRDefault="009D4357" w:rsidP="009D4357">
      <w:pPr>
        <w:ind w:left="1134" w:hanging="283"/>
        <w:rPr>
          <w:noProof/>
          <w:highlight w:val="yellow"/>
          <w:lang w:eastAsia="en-GB"/>
        </w:rPr>
      </w:pPr>
    </w:p>
    <w:p w14:paraId="4FB8F0D4" w14:textId="77777777" w:rsidR="009D4357" w:rsidRPr="00434957" w:rsidRDefault="009D4357" w:rsidP="009D4357">
      <w:pPr>
        <w:ind w:left="1134" w:hanging="283"/>
        <w:rPr>
          <w:noProof/>
          <w:highlight w:val="yellow"/>
          <w:lang w:eastAsia="en-GB"/>
        </w:rPr>
      </w:pPr>
    </w:p>
    <w:p w14:paraId="04FBD6F4" w14:textId="77777777" w:rsidR="009D4357" w:rsidRPr="00434957" w:rsidRDefault="009D4357" w:rsidP="009D4357">
      <w:pPr>
        <w:ind w:left="1134" w:hanging="283"/>
        <w:rPr>
          <w:noProof/>
          <w:highlight w:val="yellow"/>
          <w:lang w:eastAsia="en-GB"/>
        </w:rPr>
      </w:pPr>
    </w:p>
    <w:p w14:paraId="4C720244" w14:textId="77777777" w:rsidR="009D4357" w:rsidRPr="00434957" w:rsidRDefault="009D4357" w:rsidP="009D4357">
      <w:pPr>
        <w:keepNext/>
        <w:tabs>
          <w:tab w:val="left" w:pos="850"/>
        </w:tabs>
        <w:ind w:left="850" w:hanging="850"/>
        <w:outlineLvl w:val="2"/>
        <w:rPr>
          <w:i/>
          <w:noProof/>
          <w:szCs w:val="24"/>
          <w:lang w:eastAsia="en-GB"/>
        </w:rPr>
      </w:pPr>
      <w:r>
        <w:rPr>
          <w:i/>
          <w:noProof/>
        </w:rPr>
        <w:t>3.2.3</w:t>
      </w:r>
      <w:r w:rsidRPr="00434957">
        <w:rPr>
          <w:i/>
          <w:noProof/>
        </w:rPr>
        <w:t>.</w:t>
      </w:r>
      <w:r w:rsidRPr="00434957">
        <w:rPr>
          <w:i/>
          <w:noProof/>
        </w:rPr>
        <w:tab/>
      </w:r>
      <w:r w:rsidRPr="00434957">
        <w:rPr>
          <w:i/>
          <w:noProof/>
          <w:lang w:eastAsia="en-GB"/>
        </w:rPr>
        <w:t xml:space="preserve">Estimated impact on </w:t>
      </w:r>
      <w:r>
        <w:rPr>
          <w:i/>
          <w:noProof/>
          <w:lang w:eastAsia="en-GB"/>
        </w:rPr>
        <w:t>eu-LISA</w:t>
      </w:r>
      <w:r w:rsidRPr="00434957">
        <w:rPr>
          <w:i/>
          <w:noProof/>
          <w:lang w:eastAsia="en-GB"/>
        </w:rPr>
        <w:t xml:space="preserve">’s appropriations </w:t>
      </w:r>
    </w:p>
    <w:p w14:paraId="4CCDCA50" w14:textId="77777777" w:rsidR="009D4357" w:rsidRPr="00434957" w:rsidRDefault="009D4357" w:rsidP="009D4357">
      <w:pPr>
        <w:tabs>
          <w:tab w:val="num" w:pos="1134"/>
        </w:tabs>
        <w:ind w:left="1134" w:hanging="283"/>
        <w:rPr>
          <w:noProof/>
          <w:lang w:eastAsia="en-GB"/>
        </w:rPr>
      </w:pPr>
      <w:r w:rsidRPr="00434957">
        <w:rPr>
          <w:noProof/>
          <w:lang w:eastAsia="en-GB"/>
        </w:rPr>
        <w:sym w:font="Wingdings" w:char="F0A8"/>
      </w:r>
      <w:r w:rsidRPr="00434957">
        <w:rPr>
          <w:noProof/>
          <w:lang w:eastAsia="en-GB"/>
        </w:rPr>
        <w:tab/>
        <w:t xml:space="preserve">The proposal/initiative does not require the use of operational appropriations </w:t>
      </w:r>
    </w:p>
    <w:p w14:paraId="0DD73037" w14:textId="77777777" w:rsidR="009D4357" w:rsidRPr="00434957" w:rsidRDefault="009D4357" w:rsidP="009D4357">
      <w:pPr>
        <w:tabs>
          <w:tab w:val="num" w:pos="1134"/>
        </w:tabs>
        <w:ind w:left="1134" w:hanging="283"/>
        <w:rPr>
          <w:noProof/>
          <w:lang w:eastAsia="en-GB"/>
        </w:rPr>
      </w:pPr>
      <w:r w:rsidRPr="00434957">
        <w:rPr>
          <w:noProof/>
          <w:lang w:eastAsia="en-GB"/>
        </w:rPr>
        <w:sym w:font="Wingdings" w:char="F078"/>
      </w:r>
      <w:r w:rsidRPr="00434957">
        <w:rPr>
          <w:noProof/>
          <w:lang w:eastAsia="en-GB"/>
        </w:rPr>
        <w:tab/>
        <w:t>The proposal/initiative requires the use of operational appropriations, as explained below:</w:t>
      </w:r>
    </w:p>
    <w:p w14:paraId="13615698" w14:textId="77777777" w:rsidR="009D4357" w:rsidRPr="00434957" w:rsidRDefault="009D4357" w:rsidP="009D4357">
      <w:pPr>
        <w:ind w:left="1134" w:hanging="283"/>
        <w:rPr>
          <w:noProof/>
          <w:lang w:eastAsia="en-GB"/>
        </w:rPr>
      </w:pPr>
    </w:p>
    <w:p w14:paraId="1843C9EE" w14:textId="77777777" w:rsidR="009D4357" w:rsidRPr="00434957" w:rsidRDefault="009D4357" w:rsidP="009D4357">
      <w:pPr>
        <w:ind w:left="1134" w:hanging="283"/>
        <w:rPr>
          <w:noProof/>
          <w:lang w:eastAsia="en-GB"/>
        </w:rPr>
      </w:pPr>
    </w:p>
    <w:p w14:paraId="7BA67896" w14:textId="77777777" w:rsidR="009D4357" w:rsidRPr="00434957" w:rsidRDefault="009D4357" w:rsidP="009D4357">
      <w:pPr>
        <w:jc w:val="right"/>
        <w:rPr>
          <w:noProof/>
          <w:sz w:val="20"/>
          <w:lang w:eastAsia="en-GB"/>
        </w:rPr>
      </w:pPr>
      <w:r w:rsidRPr="00434957">
        <w:rPr>
          <w:noProof/>
          <w:sz w:val="20"/>
          <w:lang w:eastAsia="en-GB"/>
        </w:rPr>
        <w:t>Commitment appropriations in EUR million (to three decimal places)</w:t>
      </w:r>
    </w:p>
    <w:tbl>
      <w:tblPr>
        <w:tblW w:w="11481" w:type="dxa"/>
        <w:tblInd w:w="496" w:type="dxa"/>
        <w:tblLayout w:type="fixed"/>
        <w:tblCellMar>
          <w:left w:w="70" w:type="dxa"/>
          <w:right w:w="70" w:type="dxa"/>
        </w:tblCellMar>
        <w:tblLook w:val="04A0" w:firstRow="1" w:lastRow="0" w:firstColumn="1" w:lastColumn="0" w:noHBand="0" w:noVBand="1"/>
      </w:tblPr>
      <w:tblGrid>
        <w:gridCol w:w="949"/>
        <w:gridCol w:w="1460"/>
        <w:gridCol w:w="851"/>
        <w:gridCol w:w="425"/>
        <w:gridCol w:w="709"/>
        <w:gridCol w:w="425"/>
        <w:gridCol w:w="851"/>
        <w:gridCol w:w="425"/>
        <w:gridCol w:w="850"/>
        <w:gridCol w:w="567"/>
        <w:gridCol w:w="851"/>
        <w:gridCol w:w="567"/>
        <w:gridCol w:w="992"/>
        <w:gridCol w:w="567"/>
        <w:gridCol w:w="992"/>
      </w:tblGrid>
      <w:tr w:rsidR="009D4357" w:rsidRPr="00434957" w14:paraId="2EEC600D" w14:textId="77777777" w:rsidTr="00CE3F2A">
        <w:trPr>
          <w:trHeight w:val="920"/>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D1D7C" w14:textId="77777777" w:rsidR="009D4357" w:rsidRPr="00434957" w:rsidRDefault="009D4357" w:rsidP="00CE3F2A">
            <w:pPr>
              <w:spacing w:after="0"/>
              <w:jc w:val="center"/>
              <w:rPr>
                <w:rFonts w:eastAsia="Times New Roman"/>
                <w:b/>
                <w:bCs/>
                <w:noProof/>
                <w:color w:val="000000"/>
                <w:sz w:val="18"/>
                <w:szCs w:val="18"/>
                <w:lang w:val="fr-BE" w:eastAsia="fr-BE"/>
              </w:rPr>
            </w:pPr>
            <w:r w:rsidRPr="00434957">
              <w:rPr>
                <w:rFonts w:eastAsia="Times New Roman"/>
                <w:b/>
                <w:bCs/>
                <w:noProof/>
                <w:color w:val="000000"/>
                <w:sz w:val="18"/>
                <w:szCs w:val="18"/>
                <w:lang w:val="fr-BE" w:eastAsia="fr-BE"/>
              </w:rPr>
              <w:t xml:space="preserve">Indicate objectives and outputs </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10F5CA"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B214C2"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44D3302A"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Year</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74EBA55A"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Year</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0F3375B2"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Year</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4436D4DA"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Year</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069088F7"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Year</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71E31011"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TOTAL</w:t>
            </w:r>
          </w:p>
        </w:tc>
      </w:tr>
      <w:tr w:rsidR="009D4357" w:rsidRPr="00434957" w14:paraId="28B14AED" w14:textId="77777777" w:rsidTr="00CE3F2A">
        <w:trPr>
          <w:trHeight w:val="290"/>
        </w:trPr>
        <w:tc>
          <w:tcPr>
            <w:tcW w:w="949" w:type="dxa"/>
            <w:tcBorders>
              <w:top w:val="nil"/>
              <w:left w:val="single" w:sz="4" w:space="0" w:color="auto"/>
              <w:bottom w:val="single" w:sz="4" w:space="0" w:color="auto"/>
              <w:right w:val="single" w:sz="4" w:space="0" w:color="auto"/>
            </w:tcBorders>
            <w:shd w:val="clear" w:color="auto" w:fill="auto"/>
            <w:vAlign w:val="center"/>
            <w:hideMark/>
          </w:tcPr>
          <w:p w14:paraId="3D2DA093" w14:textId="77777777" w:rsidR="009D4357" w:rsidRPr="00434957" w:rsidRDefault="009D4357" w:rsidP="00CE3F2A">
            <w:pPr>
              <w:spacing w:after="0"/>
              <w:jc w:val="center"/>
              <w:rPr>
                <w:rFonts w:eastAsia="Times New Roman"/>
                <w:b/>
                <w:bCs/>
                <w:noProof/>
                <w:color w:val="000000"/>
                <w:sz w:val="18"/>
                <w:szCs w:val="18"/>
                <w:lang w:val="fr-BE" w:eastAsia="fr-BE"/>
              </w:rPr>
            </w:pPr>
            <w:r w:rsidRPr="00434957">
              <w:rPr>
                <w:rFonts w:eastAsia="Times New Roman"/>
                <w:b/>
                <w:bCs/>
                <w:noProof/>
                <w:color w:val="000000"/>
                <w:sz w:val="18"/>
                <w:szCs w:val="18"/>
                <w:lang w:val="fr-BE" w:eastAsia="fr-BE"/>
              </w:rPr>
              <w:t> </w:t>
            </w: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1A75F6AE" w14:textId="77777777" w:rsidR="009D4357" w:rsidRPr="00434957" w:rsidRDefault="009D4357" w:rsidP="00CE3F2A">
            <w:pPr>
              <w:spacing w:after="0"/>
              <w:rPr>
                <w:rFonts w:eastAsia="Times New Roman"/>
                <w:noProof/>
                <w:color w:val="000000"/>
                <w:sz w:val="18"/>
                <w:szCs w:val="18"/>
                <w:lang w:val="fr-BE" w:eastAsia="fr-B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A852B6E" w14:textId="77777777" w:rsidR="009D4357" w:rsidRPr="00434957" w:rsidRDefault="009D4357" w:rsidP="00CE3F2A">
            <w:pPr>
              <w:spacing w:after="0"/>
              <w:rPr>
                <w:rFonts w:eastAsia="Times New Roman"/>
                <w:noProof/>
                <w:color w:val="000000"/>
                <w:sz w:val="18"/>
                <w:szCs w:val="18"/>
                <w:lang w:val="fr-BE" w:eastAsia="fr-BE"/>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21DFF9F9" w14:textId="77777777" w:rsidR="009D4357" w:rsidRPr="00434957" w:rsidRDefault="009D4357" w:rsidP="00CE3F2A">
            <w:pPr>
              <w:spacing w:after="0"/>
              <w:jc w:val="center"/>
              <w:rPr>
                <w:rFonts w:eastAsia="Times New Roman"/>
                <w:b/>
                <w:bCs/>
                <w:noProof/>
                <w:color w:val="000000"/>
                <w:sz w:val="18"/>
                <w:szCs w:val="18"/>
                <w:lang w:val="fr-BE" w:eastAsia="fr-BE"/>
              </w:rPr>
            </w:pPr>
            <w:r w:rsidRPr="00434957">
              <w:rPr>
                <w:rFonts w:eastAsia="Times New Roman"/>
                <w:b/>
                <w:bCs/>
                <w:noProof/>
                <w:color w:val="000000"/>
                <w:sz w:val="18"/>
                <w:szCs w:val="18"/>
                <w:lang w:val="fr-BE" w:eastAsia="fr-BE"/>
              </w:rPr>
              <w:t>2023</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28858539" w14:textId="77777777" w:rsidR="009D4357" w:rsidRPr="00434957" w:rsidRDefault="009D4357" w:rsidP="00CE3F2A">
            <w:pPr>
              <w:spacing w:after="0"/>
              <w:jc w:val="center"/>
              <w:rPr>
                <w:rFonts w:eastAsia="Times New Roman"/>
                <w:b/>
                <w:bCs/>
                <w:noProof/>
                <w:color w:val="000000"/>
                <w:sz w:val="18"/>
                <w:szCs w:val="18"/>
                <w:lang w:val="fr-BE" w:eastAsia="fr-BE"/>
              </w:rPr>
            </w:pPr>
            <w:r w:rsidRPr="00434957">
              <w:rPr>
                <w:rFonts w:eastAsia="Times New Roman"/>
                <w:b/>
                <w:bCs/>
                <w:noProof/>
                <w:color w:val="000000"/>
                <w:sz w:val="18"/>
                <w:szCs w:val="18"/>
                <w:lang w:val="fr-BE" w:eastAsia="fr-BE"/>
              </w:rPr>
              <w:t>2024</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2554A54A" w14:textId="77777777" w:rsidR="009D4357" w:rsidRPr="00434957" w:rsidRDefault="009D4357" w:rsidP="00CE3F2A">
            <w:pPr>
              <w:spacing w:after="0"/>
              <w:jc w:val="center"/>
              <w:rPr>
                <w:rFonts w:eastAsia="Times New Roman"/>
                <w:b/>
                <w:bCs/>
                <w:noProof/>
                <w:color w:val="000000"/>
                <w:sz w:val="18"/>
                <w:szCs w:val="18"/>
                <w:lang w:val="fr-BE" w:eastAsia="fr-BE"/>
              </w:rPr>
            </w:pPr>
            <w:r w:rsidRPr="00434957">
              <w:rPr>
                <w:rFonts w:eastAsia="Times New Roman"/>
                <w:b/>
                <w:bCs/>
                <w:noProof/>
                <w:color w:val="000000"/>
                <w:sz w:val="18"/>
                <w:szCs w:val="18"/>
                <w:lang w:val="fr-BE" w:eastAsia="fr-BE"/>
              </w:rPr>
              <w:t>2025</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3B55C998" w14:textId="77777777" w:rsidR="009D4357" w:rsidRPr="00434957" w:rsidRDefault="009D4357" w:rsidP="00CE3F2A">
            <w:pPr>
              <w:spacing w:after="0"/>
              <w:jc w:val="center"/>
              <w:rPr>
                <w:rFonts w:eastAsia="Times New Roman"/>
                <w:b/>
                <w:bCs/>
                <w:noProof/>
                <w:color w:val="000000"/>
                <w:sz w:val="18"/>
                <w:szCs w:val="18"/>
                <w:lang w:val="fr-BE" w:eastAsia="fr-BE"/>
              </w:rPr>
            </w:pPr>
            <w:r w:rsidRPr="00434957">
              <w:rPr>
                <w:rFonts w:eastAsia="Times New Roman"/>
                <w:b/>
                <w:bCs/>
                <w:noProof/>
                <w:color w:val="000000"/>
                <w:sz w:val="18"/>
                <w:szCs w:val="18"/>
                <w:lang w:val="fr-BE" w:eastAsia="fr-BE"/>
              </w:rPr>
              <w:t>2026</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6523B185" w14:textId="77777777" w:rsidR="009D4357" w:rsidRPr="00434957" w:rsidRDefault="009D4357" w:rsidP="00CE3F2A">
            <w:pPr>
              <w:spacing w:after="0"/>
              <w:jc w:val="center"/>
              <w:rPr>
                <w:rFonts w:eastAsia="Times New Roman"/>
                <w:b/>
                <w:bCs/>
                <w:noProof/>
                <w:color w:val="000000"/>
                <w:sz w:val="18"/>
                <w:szCs w:val="18"/>
                <w:lang w:val="fr-BE" w:eastAsia="fr-BE"/>
              </w:rPr>
            </w:pPr>
            <w:r w:rsidRPr="00434957">
              <w:rPr>
                <w:rFonts w:eastAsia="Times New Roman"/>
                <w:b/>
                <w:bCs/>
                <w:noProof/>
                <w:color w:val="000000"/>
                <w:sz w:val="18"/>
                <w:szCs w:val="18"/>
                <w:lang w:val="fr-BE" w:eastAsia="fr-BE"/>
              </w:rPr>
              <w:t>2027</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255E2B56" w14:textId="77777777" w:rsidR="009D4357" w:rsidRPr="00434957" w:rsidRDefault="009D4357" w:rsidP="00CE3F2A">
            <w:pPr>
              <w:spacing w:after="0"/>
              <w:jc w:val="center"/>
              <w:rPr>
                <w:rFonts w:eastAsia="Times New Roman"/>
                <w:b/>
                <w:bCs/>
                <w:noProof/>
                <w:color w:val="000000"/>
                <w:sz w:val="18"/>
                <w:szCs w:val="18"/>
                <w:lang w:val="fr-BE" w:eastAsia="fr-BE"/>
              </w:rPr>
            </w:pPr>
            <w:r w:rsidRPr="00434957">
              <w:rPr>
                <w:rFonts w:eastAsia="Times New Roman"/>
                <w:b/>
                <w:bCs/>
                <w:noProof/>
                <w:color w:val="000000"/>
                <w:sz w:val="18"/>
                <w:szCs w:val="18"/>
                <w:lang w:val="fr-BE" w:eastAsia="fr-BE"/>
              </w:rPr>
              <w:t> </w:t>
            </w:r>
          </w:p>
        </w:tc>
      </w:tr>
      <w:tr w:rsidR="009D4357" w:rsidRPr="00434957" w14:paraId="7D827051" w14:textId="77777777" w:rsidTr="00CE3F2A">
        <w:trPr>
          <w:trHeight w:val="290"/>
        </w:trPr>
        <w:tc>
          <w:tcPr>
            <w:tcW w:w="949" w:type="dxa"/>
            <w:tcBorders>
              <w:top w:val="nil"/>
              <w:left w:val="single" w:sz="4" w:space="0" w:color="auto"/>
              <w:bottom w:val="single" w:sz="4" w:space="0" w:color="auto"/>
              <w:right w:val="single" w:sz="4" w:space="0" w:color="auto"/>
            </w:tcBorders>
            <w:shd w:val="clear" w:color="auto" w:fill="auto"/>
            <w:vAlign w:val="center"/>
            <w:hideMark/>
          </w:tcPr>
          <w:p w14:paraId="349420EB" w14:textId="77777777" w:rsidR="009D4357" w:rsidRPr="00434957" w:rsidRDefault="009D4357" w:rsidP="00CE3F2A">
            <w:pPr>
              <w:spacing w:after="0"/>
              <w:jc w:val="center"/>
              <w:rPr>
                <w:rFonts w:ascii="Wingdings" w:eastAsia="Times New Roman" w:hAnsi="Wingdings" w:cs="Calibri"/>
                <w:noProof/>
                <w:color w:val="000000"/>
                <w:sz w:val="18"/>
                <w:szCs w:val="18"/>
                <w:lang w:val="fr-BE" w:eastAsia="fr-BE"/>
              </w:rPr>
            </w:pPr>
            <w:r w:rsidRPr="00434957">
              <w:rPr>
                <w:rFonts w:ascii="Wingdings" w:eastAsia="Times New Roman" w:hAnsi="Wingdings" w:cs="Calibri"/>
                <w:noProof/>
                <w:color w:val="000000"/>
                <w:sz w:val="18"/>
                <w:szCs w:val="18"/>
                <w:lang w:val="fr-BE" w:eastAsia="fr-BE"/>
              </w:rPr>
              <w:t></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31BFA167"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Type</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F9FB194"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Average cost</w:t>
            </w:r>
            <w:r w:rsidRPr="00556E60">
              <w:rPr>
                <w:rStyle w:val="FootnoteReference0"/>
                <w:noProof/>
              </w:rPr>
              <w:footnoteReference w:id="51"/>
            </w:r>
          </w:p>
        </w:tc>
        <w:tc>
          <w:tcPr>
            <w:tcW w:w="4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C6C4758"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Number</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0F9C6DE"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Cost</w:t>
            </w:r>
          </w:p>
        </w:tc>
        <w:tc>
          <w:tcPr>
            <w:tcW w:w="4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94F32ED"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Number</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E6186BD"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Cost</w:t>
            </w:r>
          </w:p>
        </w:tc>
        <w:tc>
          <w:tcPr>
            <w:tcW w:w="4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E7AD5ED"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Number</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796DDA0F"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Cost</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653601F"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Number</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79B43AD"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Cost</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A802974"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Number</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1C3064F"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Cost</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1D5BCE6"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Number</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FBC7FDE"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Cost</w:t>
            </w:r>
          </w:p>
        </w:tc>
      </w:tr>
      <w:tr w:rsidR="009D4357" w:rsidRPr="00434957" w14:paraId="118FB25D" w14:textId="77777777" w:rsidTr="00CE3F2A">
        <w:trPr>
          <w:trHeight w:val="435"/>
        </w:trPr>
        <w:tc>
          <w:tcPr>
            <w:tcW w:w="949" w:type="dxa"/>
            <w:tcBorders>
              <w:top w:val="nil"/>
              <w:left w:val="single" w:sz="4" w:space="0" w:color="auto"/>
              <w:bottom w:val="single" w:sz="4" w:space="0" w:color="auto"/>
              <w:right w:val="single" w:sz="4" w:space="0" w:color="auto"/>
            </w:tcBorders>
            <w:shd w:val="clear" w:color="auto" w:fill="auto"/>
            <w:vAlign w:val="center"/>
            <w:hideMark/>
          </w:tcPr>
          <w:p w14:paraId="101BD056" w14:textId="77777777" w:rsidR="009D4357" w:rsidRPr="00434957" w:rsidRDefault="009D4357" w:rsidP="00CE3F2A">
            <w:pPr>
              <w:spacing w:after="0"/>
              <w:rPr>
                <w:rFonts w:ascii="Calibri" w:eastAsia="Times New Roman" w:hAnsi="Calibri" w:cs="Calibri"/>
                <w:noProof/>
                <w:color w:val="000000"/>
                <w:lang w:val="fr-BE" w:eastAsia="fr-BE"/>
              </w:rPr>
            </w:pPr>
            <w:r w:rsidRPr="00434957">
              <w:rPr>
                <w:rFonts w:ascii="Calibri" w:eastAsia="Times New Roman" w:hAnsi="Calibri" w:cs="Calibri"/>
                <w:noProof/>
                <w:color w:val="000000"/>
                <w:lang w:val="fr-BE" w:eastAsia="fr-BE"/>
              </w:rPr>
              <w:t> </w:t>
            </w:r>
          </w:p>
        </w:tc>
        <w:tc>
          <w:tcPr>
            <w:tcW w:w="1460" w:type="dxa"/>
            <w:vMerge/>
            <w:tcBorders>
              <w:top w:val="nil"/>
              <w:left w:val="single" w:sz="4" w:space="0" w:color="auto"/>
              <w:bottom w:val="single" w:sz="4" w:space="0" w:color="auto"/>
              <w:right w:val="single" w:sz="4" w:space="0" w:color="auto"/>
            </w:tcBorders>
            <w:vAlign w:val="center"/>
            <w:hideMark/>
          </w:tcPr>
          <w:p w14:paraId="16141EEE" w14:textId="77777777" w:rsidR="009D4357" w:rsidRPr="00434957" w:rsidRDefault="009D4357" w:rsidP="00CE3F2A">
            <w:pPr>
              <w:spacing w:after="0"/>
              <w:rPr>
                <w:rFonts w:eastAsia="Times New Roman"/>
                <w:noProof/>
                <w:color w:val="000000"/>
                <w:sz w:val="18"/>
                <w:szCs w:val="18"/>
                <w:lang w:val="fr-BE" w:eastAsia="fr-BE"/>
              </w:rPr>
            </w:pPr>
          </w:p>
        </w:tc>
        <w:tc>
          <w:tcPr>
            <w:tcW w:w="851" w:type="dxa"/>
            <w:vMerge/>
            <w:tcBorders>
              <w:top w:val="nil"/>
              <w:left w:val="single" w:sz="4" w:space="0" w:color="auto"/>
              <w:bottom w:val="single" w:sz="4" w:space="0" w:color="auto"/>
              <w:right w:val="single" w:sz="4" w:space="0" w:color="auto"/>
            </w:tcBorders>
            <w:vAlign w:val="center"/>
            <w:hideMark/>
          </w:tcPr>
          <w:p w14:paraId="1CF33FF8" w14:textId="77777777" w:rsidR="009D4357" w:rsidRPr="00434957" w:rsidRDefault="009D4357" w:rsidP="00CE3F2A">
            <w:pPr>
              <w:spacing w:after="0"/>
              <w:rPr>
                <w:rFonts w:eastAsia="Times New Roman"/>
                <w:noProof/>
                <w:color w:val="000000"/>
                <w:sz w:val="18"/>
                <w:szCs w:val="18"/>
                <w:lang w:val="fr-BE" w:eastAsia="fr-BE"/>
              </w:rPr>
            </w:pPr>
          </w:p>
        </w:tc>
        <w:tc>
          <w:tcPr>
            <w:tcW w:w="425" w:type="dxa"/>
            <w:vMerge/>
            <w:tcBorders>
              <w:top w:val="nil"/>
              <w:left w:val="single" w:sz="4" w:space="0" w:color="auto"/>
              <w:bottom w:val="single" w:sz="4" w:space="0" w:color="auto"/>
              <w:right w:val="single" w:sz="4" w:space="0" w:color="auto"/>
            </w:tcBorders>
            <w:vAlign w:val="center"/>
            <w:hideMark/>
          </w:tcPr>
          <w:p w14:paraId="3AE9C6B7" w14:textId="77777777" w:rsidR="009D4357" w:rsidRPr="00434957" w:rsidRDefault="009D4357" w:rsidP="00CE3F2A">
            <w:pPr>
              <w:spacing w:after="0"/>
              <w:rPr>
                <w:rFonts w:eastAsia="Times New Roman"/>
                <w:noProof/>
                <w:color w:val="000000"/>
                <w:sz w:val="18"/>
                <w:szCs w:val="18"/>
                <w:lang w:val="fr-BE" w:eastAsia="fr-BE"/>
              </w:rPr>
            </w:pPr>
          </w:p>
        </w:tc>
        <w:tc>
          <w:tcPr>
            <w:tcW w:w="709" w:type="dxa"/>
            <w:vMerge/>
            <w:tcBorders>
              <w:top w:val="nil"/>
              <w:left w:val="single" w:sz="4" w:space="0" w:color="auto"/>
              <w:bottom w:val="single" w:sz="4" w:space="0" w:color="auto"/>
              <w:right w:val="single" w:sz="4" w:space="0" w:color="auto"/>
            </w:tcBorders>
            <w:vAlign w:val="center"/>
            <w:hideMark/>
          </w:tcPr>
          <w:p w14:paraId="3579281B" w14:textId="77777777" w:rsidR="009D4357" w:rsidRPr="00434957" w:rsidRDefault="009D4357" w:rsidP="00CE3F2A">
            <w:pPr>
              <w:spacing w:after="0"/>
              <w:rPr>
                <w:rFonts w:eastAsia="Times New Roman"/>
                <w:noProof/>
                <w:color w:val="000000"/>
                <w:sz w:val="18"/>
                <w:szCs w:val="18"/>
                <w:lang w:val="fr-BE" w:eastAsia="fr-BE"/>
              </w:rPr>
            </w:pPr>
          </w:p>
        </w:tc>
        <w:tc>
          <w:tcPr>
            <w:tcW w:w="425" w:type="dxa"/>
            <w:vMerge/>
            <w:tcBorders>
              <w:top w:val="nil"/>
              <w:left w:val="single" w:sz="4" w:space="0" w:color="auto"/>
              <w:bottom w:val="single" w:sz="4" w:space="0" w:color="auto"/>
              <w:right w:val="single" w:sz="4" w:space="0" w:color="auto"/>
            </w:tcBorders>
            <w:vAlign w:val="center"/>
            <w:hideMark/>
          </w:tcPr>
          <w:p w14:paraId="0404748C" w14:textId="77777777" w:rsidR="009D4357" w:rsidRPr="00434957" w:rsidRDefault="009D4357" w:rsidP="00CE3F2A">
            <w:pPr>
              <w:spacing w:after="0"/>
              <w:rPr>
                <w:rFonts w:eastAsia="Times New Roman"/>
                <w:noProof/>
                <w:color w:val="000000"/>
                <w:sz w:val="18"/>
                <w:szCs w:val="18"/>
                <w:lang w:val="fr-BE" w:eastAsia="fr-BE"/>
              </w:rPr>
            </w:pPr>
          </w:p>
        </w:tc>
        <w:tc>
          <w:tcPr>
            <w:tcW w:w="851" w:type="dxa"/>
            <w:vMerge/>
            <w:tcBorders>
              <w:top w:val="nil"/>
              <w:left w:val="single" w:sz="4" w:space="0" w:color="auto"/>
              <w:bottom w:val="single" w:sz="4" w:space="0" w:color="auto"/>
              <w:right w:val="single" w:sz="4" w:space="0" w:color="auto"/>
            </w:tcBorders>
            <w:vAlign w:val="center"/>
            <w:hideMark/>
          </w:tcPr>
          <w:p w14:paraId="39F7BF14" w14:textId="77777777" w:rsidR="009D4357" w:rsidRPr="00434957" w:rsidRDefault="009D4357" w:rsidP="00CE3F2A">
            <w:pPr>
              <w:spacing w:after="0"/>
              <w:rPr>
                <w:rFonts w:eastAsia="Times New Roman"/>
                <w:noProof/>
                <w:color w:val="000000"/>
                <w:sz w:val="18"/>
                <w:szCs w:val="18"/>
                <w:lang w:val="fr-BE" w:eastAsia="fr-BE"/>
              </w:rPr>
            </w:pPr>
          </w:p>
        </w:tc>
        <w:tc>
          <w:tcPr>
            <w:tcW w:w="425" w:type="dxa"/>
            <w:vMerge/>
            <w:tcBorders>
              <w:top w:val="nil"/>
              <w:left w:val="single" w:sz="4" w:space="0" w:color="auto"/>
              <w:bottom w:val="single" w:sz="4" w:space="0" w:color="auto"/>
              <w:right w:val="single" w:sz="4" w:space="0" w:color="auto"/>
            </w:tcBorders>
            <w:vAlign w:val="center"/>
            <w:hideMark/>
          </w:tcPr>
          <w:p w14:paraId="706A4026" w14:textId="77777777" w:rsidR="009D4357" w:rsidRPr="00434957" w:rsidRDefault="009D4357" w:rsidP="00CE3F2A">
            <w:pPr>
              <w:spacing w:after="0"/>
              <w:rPr>
                <w:rFonts w:eastAsia="Times New Roman"/>
                <w:noProof/>
                <w:color w:val="000000"/>
                <w:sz w:val="18"/>
                <w:szCs w:val="18"/>
                <w:lang w:val="fr-BE" w:eastAsia="fr-BE"/>
              </w:rPr>
            </w:pPr>
          </w:p>
        </w:tc>
        <w:tc>
          <w:tcPr>
            <w:tcW w:w="850" w:type="dxa"/>
            <w:vMerge/>
            <w:tcBorders>
              <w:top w:val="nil"/>
              <w:left w:val="single" w:sz="4" w:space="0" w:color="auto"/>
              <w:bottom w:val="single" w:sz="4" w:space="0" w:color="auto"/>
              <w:right w:val="single" w:sz="4" w:space="0" w:color="auto"/>
            </w:tcBorders>
            <w:vAlign w:val="center"/>
            <w:hideMark/>
          </w:tcPr>
          <w:p w14:paraId="372BE27F" w14:textId="77777777" w:rsidR="009D4357" w:rsidRPr="00434957" w:rsidRDefault="009D4357" w:rsidP="00CE3F2A">
            <w:pPr>
              <w:spacing w:after="0"/>
              <w:rPr>
                <w:rFonts w:eastAsia="Times New Roman"/>
                <w:noProof/>
                <w:color w:val="000000"/>
                <w:sz w:val="18"/>
                <w:szCs w:val="18"/>
                <w:lang w:val="fr-BE" w:eastAsia="fr-BE"/>
              </w:rPr>
            </w:pPr>
          </w:p>
        </w:tc>
        <w:tc>
          <w:tcPr>
            <w:tcW w:w="567" w:type="dxa"/>
            <w:vMerge/>
            <w:tcBorders>
              <w:top w:val="nil"/>
              <w:left w:val="single" w:sz="4" w:space="0" w:color="auto"/>
              <w:bottom w:val="single" w:sz="4" w:space="0" w:color="auto"/>
              <w:right w:val="single" w:sz="4" w:space="0" w:color="auto"/>
            </w:tcBorders>
            <w:vAlign w:val="center"/>
            <w:hideMark/>
          </w:tcPr>
          <w:p w14:paraId="299D032C" w14:textId="77777777" w:rsidR="009D4357" w:rsidRPr="00434957" w:rsidRDefault="009D4357" w:rsidP="00CE3F2A">
            <w:pPr>
              <w:spacing w:after="0"/>
              <w:rPr>
                <w:rFonts w:eastAsia="Times New Roman"/>
                <w:noProof/>
                <w:color w:val="000000"/>
                <w:sz w:val="18"/>
                <w:szCs w:val="18"/>
                <w:lang w:val="fr-BE" w:eastAsia="fr-BE"/>
              </w:rPr>
            </w:pPr>
          </w:p>
        </w:tc>
        <w:tc>
          <w:tcPr>
            <w:tcW w:w="851" w:type="dxa"/>
            <w:vMerge/>
            <w:tcBorders>
              <w:top w:val="nil"/>
              <w:left w:val="single" w:sz="4" w:space="0" w:color="auto"/>
              <w:bottom w:val="single" w:sz="4" w:space="0" w:color="auto"/>
              <w:right w:val="single" w:sz="4" w:space="0" w:color="auto"/>
            </w:tcBorders>
            <w:vAlign w:val="center"/>
            <w:hideMark/>
          </w:tcPr>
          <w:p w14:paraId="078F6B15" w14:textId="77777777" w:rsidR="009D4357" w:rsidRPr="00434957" w:rsidRDefault="009D4357" w:rsidP="00CE3F2A">
            <w:pPr>
              <w:spacing w:after="0"/>
              <w:rPr>
                <w:rFonts w:eastAsia="Times New Roman"/>
                <w:noProof/>
                <w:color w:val="000000"/>
                <w:sz w:val="18"/>
                <w:szCs w:val="18"/>
                <w:lang w:val="fr-BE" w:eastAsia="fr-BE"/>
              </w:rPr>
            </w:pPr>
          </w:p>
        </w:tc>
        <w:tc>
          <w:tcPr>
            <w:tcW w:w="567" w:type="dxa"/>
            <w:vMerge/>
            <w:tcBorders>
              <w:top w:val="nil"/>
              <w:left w:val="single" w:sz="4" w:space="0" w:color="auto"/>
              <w:bottom w:val="single" w:sz="4" w:space="0" w:color="auto"/>
              <w:right w:val="single" w:sz="4" w:space="0" w:color="auto"/>
            </w:tcBorders>
            <w:vAlign w:val="center"/>
            <w:hideMark/>
          </w:tcPr>
          <w:p w14:paraId="240BABAB" w14:textId="77777777" w:rsidR="009D4357" w:rsidRPr="00434957" w:rsidRDefault="009D4357" w:rsidP="00CE3F2A">
            <w:pPr>
              <w:spacing w:after="0"/>
              <w:rPr>
                <w:rFonts w:eastAsia="Times New Roman"/>
                <w:noProof/>
                <w:color w:val="000000"/>
                <w:sz w:val="18"/>
                <w:szCs w:val="18"/>
                <w:lang w:val="fr-BE" w:eastAsia="fr-BE"/>
              </w:rPr>
            </w:pPr>
          </w:p>
        </w:tc>
        <w:tc>
          <w:tcPr>
            <w:tcW w:w="992" w:type="dxa"/>
            <w:vMerge/>
            <w:tcBorders>
              <w:top w:val="nil"/>
              <w:left w:val="single" w:sz="4" w:space="0" w:color="auto"/>
              <w:bottom w:val="single" w:sz="4" w:space="0" w:color="auto"/>
              <w:right w:val="single" w:sz="4" w:space="0" w:color="auto"/>
            </w:tcBorders>
            <w:vAlign w:val="center"/>
            <w:hideMark/>
          </w:tcPr>
          <w:p w14:paraId="6EC58AF2" w14:textId="77777777" w:rsidR="009D4357" w:rsidRPr="00434957" w:rsidRDefault="009D4357" w:rsidP="00CE3F2A">
            <w:pPr>
              <w:spacing w:after="0"/>
              <w:rPr>
                <w:rFonts w:eastAsia="Times New Roman"/>
                <w:noProof/>
                <w:color w:val="000000"/>
                <w:sz w:val="18"/>
                <w:szCs w:val="18"/>
                <w:lang w:val="fr-BE" w:eastAsia="fr-BE"/>
              </w:rPr>
            </w:pPr>
          </w:p>
        </w:tc>
        <w:tc>
          <w:tcPr>
            <w:tcW w:w="567" w:type="dxa"/>
            <w:vMerge/>
            <w:tcBorders>
              <w:top w:val="nil"/>
              <w:left w:val="single" w:sz="4" w:space="0" w:color="auto"/>
              <w:bottom w:val="single" w:sz="4" w:space="0" w:color="auto"/>
              <w:right w:val="single" w:sz="4" w:space="0" w:color="auto"/>
            </w:tcBorders>
            <w:vAlign w:val="center"/>
            <w:hideMark/>
          </w:tcPr>
          <w:p w14:paraId="2B705F39" w14:textId="77777777" w:rsidR="009D4357" w:rsidRPr="00434957" w:rsidRDefault="009D4357" w:rsidP="00CE3F2A">
            <w:pPr>
              <w:spacing w:after="0"/>
              <w:rPr>
                <w:rFonts w:eastAsia="Times New Roman"/>
                <w:noProof/>
                <w:color w:val="000000"/>
                <w:sz w:val="18"/>
                <w:szCs w:val="18"/>
                <w:lang w:val="fr-BE" w:eastAsia="fr-BE"/>
              </w:rPr>
            </w:pPr>
          </w:p>
        </w:tc>
        <w:tc>
          <w:tcPr>
            <w:tcW w:w="992" w:type="dxa"/>
            <w:vMerge/>
            <w:tcBorders>
              <w:top w:val="nil"/>
              <w:left w:val="single" w:sz="4" w:space="0" w:color="auto"/>
              <w:bottom w:val="single" w:sz="4" w:space="0" w:color="auto"/>
              <w:right w:val="single" w:sz="4" w:space="0" w:color="auto"/>
            </w:tcBorders>
            <w:vAlign w:val="center"/>
            <w:hideMark/>
          </w:tcPr>
          <w:p w14:paraId="1101EA8C" w14:textId="77777777" w:rsidR="009D4357" w:rsidRPr="00434957" w:rsidRDefault="009D4357" w:rsidP="00CE3F2A">
            <w:pPr>
              <w:spacing w:after="0"/>
              <w:rPr>
                <w:rFonts w:eastAsia="Times New Roman"/>
                <w:noProof/>
                <w:color w:val="000000"/>
                <w:sz w:val="18"/>
                <w:szCs w:val="18"/>
                <w:lang w:val="fr-BE" w:eastAsia="fr-BE"/>
              </w:rPr>
            </w:pPr>
          </w:p>
        </w:tc>
      </w:tr>
      <w:tr w:rsidR="009D4357" w:rsidRPr="00434957" w14:paraId="41D318E5" w14:textId="77777777" w:rsidTr="00CE3F2A">
        <w:trPr>
          <w:trHeight w:val="1020"/>
        </w:trPr>
        <w:tc>
          <w:tcPr>
            <w:tcW w:w="2409" w:type="dxa"/>
            <w:gridSpan w:val="2"/>
            <w:tcBorders>
              <w:top w:val="single" w:sz="4" w:space="0" w:color="auto"/>
              <w:left w:val="single" w:sz="4" w:space="0" w:color="auto"/>
              <w:right w:val="single" w:sz="4" w:space="0" w:color="auto"/>
            </w:tcBorders>
            <w:shd w:val="clear" w:color="000000" w:fill="B8CCE4"/>
            <w:vAlign w:val="center"/>
            <w:hideMark/>
          </w:tcPr>
          <w:p w14:paraId="50BA416C" w14:textId="77777777" w:rsidR="009D4357" w:rsidRPr="00941D91" w:rsidRDefault="009D4357" w:rsidP="00CE3F2A">
            <w:pPr>
              <w:spacing w:after="0"/>
              <w:jc w:val="center"/>
              <w:rPr>
                <w:rFonts w:eastAsia="Times New Roman"/>
                <w:b/>
                <w:bCs/>
                <w:noProof/>
                <w:color w:val="000000"/>
                <w:sz w:val="18"/>
                <w:szCs w:val="18"/>
                <w:lang w:eastAsia="fr-BE"/>
              </w:rPr>
            </w:pPr>
            <w:r>
              <w:rPr>
                <w:rFonts w:eastAsia="Times New Roman"/>
                <w:b/>
                <w:bCs/>
                <w:noProof/>
                <w:color w:val="000000"/>
                <w:sz w:val="18"/>
                <w:szCs w:val="18"/>
                <w:lang w:val="en-IE" w:eastAsia="fr-BE"/>
              </w:rPr>
              <w:t>Eu-LISA costs (not linked to human ressources)</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46CA973"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27AD52C2"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3F4C95DF"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781E6B18"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1FF64D1"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7DCB6B62"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FE3770C"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545B0FA7"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4746318"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400A5900"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8052133"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27D79751" w14:textId="77777777" w:rsidR="009D4357" w:rsidRPr="00941D91" w:rsidRDefault="009D4357" w:rsidP="00CE3F2A">
            <w:pPr>
              <w:spacing w:after="0"/>
              <w:jc w:val="center"/>
              <w:rPr>
                <w:rFonts w:eastAsia="Times New Roman"/>
                <w:noProof/>
                <w:color w:val="000000"/>
                <w:sz w:val="18"/>
                <w:szCs w:val="18"/>
                <w:lang w:eastAsia="fr-BE"/>
              </w:rPr>
            </w:pPr>
            <w:r w:rsidRPr="00941D91">
              <w:rPr>
                <w:rFonts w:eastAsia="Times New Roman"/>
                <w:noProof/>
                <w:color w:val="000000"/>
                <w:sz w:val="18"/>
                <w:szCs w:val="18"/>
                <w:lang w:eastAsia="fr-BE"/>
              </w:rPr>
              <w:t> </w:t>
            </w:r>
          </w:p>
        </w:tc>
        <w:tc>
          <w:tcPr>
            <w:tcW w:w="992" w:type="dxa"/>
            <w:tcBorders>
              <w:top w:val="nil"/>
              <w:left w:val="single" w:sz="4" w:space="0" w:color="auto"/>
              <w:bottom w:val="single" w:sz="4" w:space="0" w:color="auto"/>
              <w:right w:val="single" w:sz="4" w:space="0" w:color="auto"/>
            </w:tcBorders>
          </w:tcPr>
          <w:p w14:paraId="14D4C696" w14:textId="77777777" w:rsidR="009D4357" w:rsidRPr="00941D91" w:rsidRDefault="009D4357" w:rsidP="00CE3F2A">
            <w:pPr>
              <w:spacing w:after="0"/>
              <w:jc w:val="center"/>
              <w:rPr>
                <w:rFonts w:eastAsia="Times New Roman"/>
                <w:noProof/>
                <w:color w:val="000000"/>
                <w:sz w:val="18"/>
                <w:szCs w:val="18"/>
                <w:lang w:eastAsia="fr-BE"/>
              </w:rPr>
            </w:pPr>
          </w:p>
        </w:tc>
      </w:tr>
      <w:tr w:rsidR="009D4357" w:rsidRPr="00434957" w14:paraId="368C4C23" w14:textId="77777777" w:rsidTr="00CE3F2A">
        <w:trPr>
          <w:trHeight w:val="460"/>
        </w:trPr>
        <w:tc>
          <w:tcPr>
            <w:tcW w:w="949" w:type="dxa"/>
            <w:tcBorders>
              <w:top w:val="nil"/>
              <w:left w:val="single" w:sz="4" w:space="0" w:color="auto"/>
              <w:bottom w:val="single" w:sz="4" w:space="0" w:color="auto"/>
              <w:right w:val="single" w:sz="4" w:space="0" w:color="auto"/>
            </w:tcBorders>
            <w:shd w:val="clear" w:color="auto" w:fill="auto"/>
            <w:vAlign w:val="center"/>
            <w:hideMark/>
          </w:tcPr>
          <w:p w14:paraId="5A6EF011" w14:textId="77777777" w:rsidR="009D4357" w:rsidRPr="00434957" w:rsidRDefault="009D4357" w:rsidP="00CE3F2A">
            <w:pPr>
              <w:spacing w:after="0"/>
              <w:rPr>
                <w:rFonts w:eastAsia="Times New Roman"/>
                <w:noProof/>
                <w:color w:val="000000"/>
                <w:sz w:val="18"/>
                <w:szCs w:val="18"/>
                <w:lang w:val="fr-BE" w:eastAsia="fr-BE"/>
              </w:rPr>
            </w:pPr>
            <w:r w:rsidRPr="00434957">
              <w:rPr>
                <w:rFonts w:eastAsia="Times New Roman"/>
                <w:noProof/>
                <w:color w:val="000000"/>
                <w:sz w:val="18"/>
                <w:szCs w:val="18"/>
                <w:lang w:val="fr-BE" w:eastAsia="fr-BE"/>
              </w:rPr>
              <w:t>- Output</w:t>
            </w:r>
          </w:p>
        </w:tc>
        <w:tc>
          <w:tcPr>
            <w:tcW w:w="1460" w:type="dxa"/>
            <w:tcBorders>
              <w:top w:val="nil"/>
              <w:left w:val="nil"/>
              <w:bottom w:val="single" w:sz="4" w:space="0" w:color="auto"/>
              <w:right w:val="single" w:sz="4" w:space="0" w:color="auto"/>
            </w:tcBorders>
            <w:shd w:val="clear" w:color="auto" w:fill="auto"/>
            <w:vAlign w:val="center"/>
            <w:hideMark/>
          </w:tcPr>
          <w:p w14:paraId="6CFCA513" w14:textId="77777777" w:rsidR="009D4357" w:rsidRPr="00434957" w:rsidRDefault="009D4357" w:rsidP="00CE3F2A">
            <w:pPr>
              <w:spacing w:after="0"/>
              <w:rPr>
                <w:rFonts w:eastAsia="Times New Roman"/>
                <w:noProof/>
                <w:color w:val="000000"/>
                <w:sz w:val="18"/>
                <w:szCs w:val="18"/>
                <w:lang w:val="en-IE" w:eastAsia="fr-BE"/>
              </w:rPr>
            </w:pPr>
            <w:r>
              <w:rPr>
                <w:rFonts w:eastAsia="Times New Roman"/>
                <w:noProof/>
                <w:color w:val="000000"/>
                <w:sz w:val="18"/>
                <w:szCs w:val="18"/>
                <w:lang w:val="en-IE" w:eastAsia="fr-BE"/>
              </w:rPr>
              <w:t>Infrastructure</w:t>
            </w:r>
            <w:r>
              <w:rPr>
                <w:rStyle w:val="FootnoteReference0"/>
                <w:rFonts w:eastAsia="Times New Roman"/>
                <w:noProof/>
                <w:color w:val="000000"/>
                <w:sz w:val="18"/>
                <w:szCs w:val="18"/>
                <w:lang w:val="en-IE" w:eastAsia="fr-BE"/>
              </w:rPr>
              <w:footnoteReference w:id="52"/>
            </w:r>
          </w:p>
        </w:tc>
        <w:tc>
          <w:tcPr>
            <w:tcW w:w="851" w:type="dxa"/>
            <w:tcBorders>
              <w:top w:val="nil"/>
              <w:left w:val="nil"/>
              <w:bottom w:val="single" w:sz="4" w:space="0" w:color="auto"/>
              <w:right w:val="single" w:sz="4" w:space="0" w:color="auto"/>
            </w:tcBorders>
            <w:shd w:val="clear" w:color="auto" w:fill="auto"/>
            <w:vAlign w:val="center"/>
            <w:hideMark/>
          </w:tcPr>
          <w:p w14:paraId="3355AF22" w14:textId="77777777" w:rsidR="009D4357" w:rsidRPr="00434957" w:rsidRDefault="009D4357" w:rsidP="00CE3F2A">
            <w:pPr>
              <w:spacing w:after="0"/>
              <w:jc w:val="center"/>
              <w:rPr>
                <w:rFonts w:eastAsia="Times New Roman"/>
                <w:noProof/>
                <w:color w:val="000000"/>
                <w:sz w:val="18"/>
                <w:szCs w:val="18"/>
                <w:lang w:val="en-IE" w:eastAsia="fr-BE"/>
              </w:rPr>
            </w:pPr>
            <w:r w:rsidRPr="00434957">
              <w:rPr>
                <w:rFonts w:eastAsia="Times New Roman"/>
                <w:noProof/>
                <w:color w:val="000000"/>
                <w:sz w:val="18"/>
                <w:szCs w:val="18"/>
                <w:lang w:val="en-IE" w:eastAsia="fr-BE"/>
              </w:rPr>
              <w:t> </w:t>
            </w:r>
          </w:p>
        </w:tc>
        <w:tc>
          <w:tcPr>
            <w:tcW w:w="425" w:type="dxa"/>
            <w:tcBorders>
              <w:top w:val="nil"/>
              <w:left w:val="nil"/>
              <w:bottom w:val="single" w:sz="4" w:space="0" w:color="auto"/>
              <w:right w:val="single" w:sz="4" w:space="0" w:color="auto"/>
            </w:tcBorders>
            <w:shd w:val="clear" w:color="auto" w:fill="auto"/>
            <w:vAlign w:val="center"/>
          </w:tcPr>
          <w:p w14:paraId="792C6E1C" w14:textId="77777777" w:rsidR="009D4357" w:rsidRPr="00434957" w:rsidRDefault="009D4357" w:rsidP="00CE3F2A">
            <w:pPr>
              <w:spacing w:after="0"/>
              <w:jc w:val="center"/>
              <w:rPr>
                <w:rFonts w:eastAsia="Times New Roman"/>
                <w:noProof/>
                <w:color w:val="000000"/>
                <w:sz w:val="18"/>
                <w:szCs w:val="18"/>
                <w:lang w:val="fr-BE" w:eastAsia="fr-BE"/>
              </w:rPr>
            </w:pPr>
          </w:p>
        </w:tc>
        <w:tc>
          <w:tcPr>
            <w:tcW w:w="709" w:type="dxa"/>
            <w:tcBorders>
              <w:top w:val="nil"/>
              <w:left w:val="nil"/>
              <w:bottom w:val="single" w:sz="4" w:space="0" w:color="auto"/>
              <w:right w:val="single" w:sz="4" w:space="0" w:color="auto"/>
            </w:tcBorders>
            <w:shd w:val="clear" w:color="auto" w:fill="auto"/>
            <w:vAlign w:val="center"/>
          </w:tcPr>
          <w:p w14:paraId="3889224E" w14:textId="77777777" w:rsidR="009D4357" w:rsidRPr="00434957" w:rsidRDefault="009D4357" w:rsidP="00CE3F2A">
            <w:pPr>
              <w:spacing w:after="0"/>
              <w:jc w:val="center"/>
              <w:rPr>
                <w:rFonts w:eastAsia="Times New Roman"/>
                <w:noProof/>
                <w:color w:val="000000"/>
                <w:sz w:val="18"/>
                <w:szCs w:val="18"/>
                <w:lang w:val="fr-BE" w:eastAsia="fr-BE"/>
              </w:rPr>
            </w:pPr>
          </w:p>
        </w:tc>
        <w:tc>
          <w:tcPr>
            <w:tcW w:w="425" w:type="dxa"/>
            <w:tcBorders>
              <w:top w:val="nil"/>
              <w:left w:val="nil"/>
              <w:bottom w:val="single" w:sz="4" w:space="0" w:color="auto"/>
              <w:right w:val="single" w:sz="4" w:space="0" w:color="auto"/>
            </w:tcBorders>
            <w:shd w:val="clear" w:color="auto" w:fill="auto"/>
            <w:vAlign w:val="center"/>
          </w:tcPr>
          <w:p w14:paraId="7FF5E72B" w14:textId="77777777" w:rsidR="009D4357" w:rsidRPr="00434957" w:rsidRDefault="009D4357" w:rsidP="00CE3F2A">
            <w:pPr>
              <w:spacing w:after="0"/>
              <w:jc w:val="center"/>
              <w:rPr>
                <w:rFonts w:eastAsia="Times New Roman"/>
                <w:noProof/>
                <w:color w:val="000000"/>
                <w:sz w:val="18"/>
                <w:szCs w:val="18"/>
                <w:lang w:val="fr-BE" w:eastAsia="fr-BE"/>
              </w:rPr>
            </w:pPr>
          </w:p>
        </w:tc>
        <w:tc>
          <w:tcPr>
            <w:tcW w:w="851" w:type="dxa"/>
            <w:tcBorders>
              <w:top w:val="nil"/>
              <w:left w:val="nil"/>
              <w:bottom w:val="single" w:sz="4" w:space="0" w:color="auto"/>
              <w:right w:val="single" w:sz="4" w:space="0" w:color="auto"/>
            </w:tcBorders>
            <w:shd w:val="clear" w:color="auto" w:fill="auto"/>
            <w:vAlign w:val="center"/>
          </w:tcPr>
          <w:p w14:paraId="17B25ED9" w14:textId="77777777" w:rsidR="009D4357" w:rsidRPr="00434957" w:rsidRDefault="009D4357" w:rsidP="00CE3F2A">
            <w:pPr>
              <w:spacing w:after="0"/>
              <w:jc w:val="center"/>
              <w:rPr>
                <w:noProof/>
                <w:color w:val="000000"/>
                <w:sz w:val="18"/>
                <w:szCs w:val="18"/>
              </w:rPr>
            </w:pPr>
            <w:r>
              <w:rPr>
                <w:rFonts w:eastAsia="Times New Roman"/>
                <w:noProof/>
                <w:color w:val="000000"/>
                <w:sz w:val="18"/>
                <w:szCs w:val="18"/>
                <w:lang w:val="fr-BE" w:eastAsia="fr-BE"/>
              </w:rPr>
              <w:t>1.85</w:t>
            </w:r>
          </w:p>
        </w:tc>
        <w:tc>
          <w:tcPr>
            <w:tcW w:w="425" w:type="dxa"/>
            <w:tcBorders>
              <w:top w:val="nil"/>
              <w:left w:val="nil"/>
              <w:bottom w:val="single" w:sz="4" w:space="0" w:color="auto"/>
              <w:right w:val="single" w:sz="4" w:space="0" w:color="auto"/>
            </w:tcBorders>
            <w:shd w:val="clear" w:color="auto" w:fill="auto"/>
            <w:vAlign w:val="center"/>
          </w:tcPr>
          <w:p w14:paraId="30ED78FC" w14:textId="77777777" w:rsidR="009D4357" w:rsidRPr="00434957" w:rsidRDefault="009D4357" w:rsidP="00CE3F2A">
            <w:pPr>
              <w:spacing w:after="0"/>
              <w:jc w:val="center"/>
              <w:rPr>
                <w:rFonts w:eastAsia="Times New Roman"/>
                <w:noProof/>
                <w:color w:val="000000"/>
                <w:sz w:val="18"/>
                <w:szCs w:val="18"/>
                <w:lang w:val="fr-BE" w:eastAsia="fr-BE"/>
              </w:rPr>
            </w:pPr>
          </w:p>
        </w:tc>
        <w:tc>
          <w:tcPr>
            <w:tcW w:w="850" w:type="dxa"/>
            <w:tcBorders>
              <w:top w:val="nil"/>
              <w:left w:val="nil"/>
              <w:bottom w:val="single" w:sz="4" w:space="0" w:color="auto"/>
              <w:right w:val="single" w:sz="4" w:space="0" w:color="auto"/>
            </w:tcBorders>
            <w:shd w:val="clear" w:color="auto" w:fill="auto"/>
            <w:vAlign w:val="center"/>
          </w:tcPr>
          <w:p w14:paraId="21472055" w14:textId="77777777" w:rsidR="009D4357" w:rsidRPr="00434957" w:rsidRDefault="009D4357" w:rsidP="00CE3F2A">
            <w:pPr>
              <w:spacing w:after="0"/>
              <w:jc w:val="center"/>
              <w:rPr>
                <w:rFonts w:eastAsia="Times New Roman"/>
                <w:noProof/>
                <w:color w:val="000000"/>
                <w:sz w:val="18"/>
                <w:szCs w:val="18"/>
                <w:lang w:val="fr-BE" w:eastAsia="fr-BE"/>
              </w:rPr>
            </w:pPr>
            <w:r>
              <w:rPr>
                <w:noProof/>
                <w:color w:val="000000"/>
                <w:sz w:val="18"/>
                <w:szCs w:val="18"/>
              </w:rPr>
              <w:t>2.15</w:t>
            </w:r>
          </w:p>
        </w:tc>
        <w:tc>
          <w:tcPr>
            <w:tcW w:w="567" w:type="dxa"/>
            <w:tcBorders>
              <w:top w:val="nil"/>
              <w:left w:val="nil"/>
              <w:bottom w:val="single" w:sz="4" w:space="0" w:color="auto"/>
              <w:right w:val="single" w:sz="4" w:space="0" w:color="auto"/>
            </w:tcBorders>
            <w:shd w:val="clear" w:color="auto" w:fill="auto"/>
            <w:vAlign w:val="center"/>
          </w:tcPr>
          <w:p w14:paraId="40B02CFA" w14:textId="77777777" w:rsidR="009D4357" w:rsidRPr="00434957" w:rsidRDefault="009D4357" w:rsidP="00CE3F2A">
            <w:pPr>
              <w:spacing w:after="0"/>
              <w:jc w:val="center"/>
              <w:rPr>
                <w:rFonts w:eastAsia="Times New Roman"/>
                <w:noProof/>
                <w:color w:val="000000"/>
                <w:sz w:val="18"/>
                <w:szCs w:val="18"/>
                <w:lang w:val="fr-BE" w:eastAsia="fr-BE"/>
              </w:rPr>
            </w:pPr>
          </w:p>
        </w:tc>
        <w:tc>
          <w:tcPr>
            <w:tcW w:w="851" w:type="dxa"/>
            <w:tcBorders>
              <w:top w:val="nil"/>
              <w:left w:val="nil"/>
              <w:bottom w:val="single" w:sz="4" w:space="0" w:color="auto"/>
              <w:right w:val="single" w:sz="4" w:space="0" w:color="auto"/>
            </w:tcBorders>
            <w:shd w:val="clear" w:color="auto" w:fill="auto"/>
            <w:vAlign w:val="center"/>
          </w:tcPr>
          <w:p w14:paraId="41BA5354"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0.7</w:t>
            </w:r>
          </w:p>
        </w:tc>
        <w:tc>
          <w:tcPr>
            <w:tcW w:w="567" w:type="dxa"/>
            <w:tcBorders>
              <w:top w:val="nil"/>
              <w:left w:val="nil"/>
              <w:bottom w:val="single" w:sz="4" w:space="0" w:color="auto"/>
              <w:right w:val="single" w:sz="4" w:space="0" w:color="auto"/>
            </w:tcBorders>
            <w:shd w:val="clear" w:color="auto" w:fill="auto"/>
            <w:vAlign w:val="center"/>
          </w:tcPr>
          <w:p w14:paraId="241B958F" w14:textId="77777777" w:rsidR="009D4357" w:rsidRPr="00434957" w:rsidRDefault="009D4357" w:rsidP="00CE3F2A">
            <w:pPr>
              <w:spacing w:after="0"/>
              <w:jc w:val="center"/>
              <w:rPr>
                <w:rFonts w:eastAsia="Times New Roman"/>
                <w:noProof/>
                <w:color w:val="000000"/>
                <w:sz w:val="18"/>
                <w:szCs w:val="18"/>
                <w:lang w:val="fr-BE" w:eastAsia="fr-BE"/>
              </w:rPr>
            </w:pPr>
          </w:p>
        </w:tc>
        <w:tc>
          <w:tcPr>
            <w:tcW w:w="992" w:type="dxa"/>
            <w:tcBorders>
              <w:top w:val="nil"/>
              <w:left w:val="nil"/>
              <w:bottom w:val="single" w:sz="4" w:space="0" w:color="auto"/>
              <w:right w:val="single" w:sz="4" w:space="0" w:color="auto"/>
            </w:tcBorders>
            <w:shd w:val="clear" w:color="auto" w:fill="auto"/>
            <w:vAlign w:val="center"/>
          </w:tcPr>
          <w:p w14:paraId="514552D5" w14:textId="77777777" w:rsidR="009D4357" w:rsidRPr="00434957" w:rsidRDefault="009D4357" w:rsidP="00CE3F2A">
            <w:pPr>
              <w:spacing w:after="0"/>
              <w:rPr>
                <w:rFonts w:eastAsia="Times New Roman"/>
                <w:noProof/>
                <w:color w:val="000000"/>
                <w:sz w:val="18"/>
                <w:szCs w:val="18"/>
                <w:lang w:val="fr-BE" w:eastAsia="fr-BE"/>
              </w:rPr>
            </w:pPr>
            <w:r>
              <w:rPr>
                <w:rFonts w:eastAsia="Times New Roman"/>
                <w:noProof/>
                <w:color w:val="000000"/>
                <w:sz w:val="18"/>
                <w:szCs w:val="18"/>
                <w:lang w:val="fr-BE" w:eastAsia="fr-BE"/>
              </w:rPr>
              <w:t>0</w:t>
            </w:r>
          </w:p>
        </w:tc>
        <w:tc>
          <w:tcPr>
            <w:tcW w:w="567" w:type="dxa"/>
            <w:tcBorders>
              <w:top w:val="nil"/>
              <w:left w:val="nil"/>
              <w:bottom w:val="single" w:sz="4" w:space="0" w:color="auto"/>
              <w:right w:val="single" w:sz="4" w:space="0" w:color="auto"/>
            </w:tcBorders>
            <w:shd w:val="clear" w:color="auto" w:fill="auto"/>
            <w:vAlign w:val="center"/>
          </w:tcPr>
          <w:p w14:paraId="6B87A4F2" w14:textId="77777777" w:rsidR="009D4357" w:rsidRPr="00434957" w:rsidRDefault="009D4357" w:rsidP="00CE3F2A">
            <w:pPr>
              <w:spacing w:after="0"/>
              <w:jc w:val="center"/>
              <w:rPr>
                <w:rFonts w:eastAsia="Times New Roman"/>
                <w:noProof/>
                <w:color w:val="000000"/>
                <w:sz w:val="18"/>
                <w:szCs w:val="18"/>
                <w:lang w:val="fr-BE" w:eastAsia="fr-BE"/>
              </w:rPr>
            </w:pPr>
          </w:p>
        </w:tc>
        <w:tc>
          <w:tcPr>
            <w:tcW w:w="992" w:type="dxa"/>
            <w:tcBorders>
              <w:top w:val="nil"/>
              <w:left w:val="nil"/>
              <w:bottom w:val="single" w:sz="4" w:space="0" w:color="auto"/>
              <w:right w:val="single" w:sz="4" w:space="0" w:color="auto"/>
            </w:tcBorders>
            <w:shd w:val="clear" w:color="auto" w:fill="auto"/>
            <w:vAlign w:val="center"/>
          </w:tcPr>
          <w:p w14:paraId="4DCFC383"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4.7</w:t>
            </w:r>
          </w:p>
        </w:tc>
      </w:tr>
      <w:tr w:rsidR="009D4357" w:rsidRPr="00434957" w14:paraId="57F6FE26" w14:textId="77777777" w:rsidTr="00CE3F2A">
        <w:trPr>
          <w:trHeight w:val="690"/>
        </w:trPr>
        <w:tc>
          <w:tcPr>
            <w:tcW w:w="949" w:type="dxa"/>
            <w:tcBorders>
              <w:top w:val="nil"/>
              <w:left w:val="single" w:sz="4" w:space="0" w:color="auto"/>
              <w:bottom w:val="single" w:sz="4" w:space="0" w:color="auto"/>
              <w:right w:val="single" w:sz="4" w:space="0" w:color="auto"/>
            </w:tcBorders>
            <w:shd w:val="clear" w:color="auto" w:fill="auto"/>
            <w:vAlign w:val="center"/>
            <w:hideMark/>
          </w:tcPr>
          <w:p w14:paraId="3F51A27F" w14:textId="77777777" w:rsidR="009D4357" w:rsidRPr="00434957" w:rsidRDefault="009D4357" w:rsidP="00CE3F2A">
            <w:pPr>
              <w:spacing w:after="0"/>
              <w:rPr>
                <w:rFonts w:eastAsia="Times New Roman"/>
                <w:noProof/>
                <w:color w:val="000000"/>
                <w:sz w:val="18"/>
                <w:szCs w:val="18"/>
                <w:lang w:val="fr-BE" w:eastAsia="fr-BE"/>
              </w:rPr>
            </w:pPr>
            <w:r w:rsidRPr="00434957">
              <w:rPr>
                <w:rFonts w:eastAsia="Times New Roman"/>
                <w:noProof/>
                <w:color w:val="000000"/>
                <w:sz w:val="18"/>
                <w:szCs w:val="18"/>
                <w:lang w:val="fr-BE" w:eastAsia="fr-BE"/>
              </w:rPr>
              <w:t>- Output</w:t>
            </w:r>
          </w:p>
        </w:tc>
        <w:tc>
          <w:tcPr>
            <w:tcW w:w="1460" w:type="dxa"/>
            <w:tcBorders>
              <w:top w:val="nil"/>
              <w:left w:val="nil"/>
              <w:bottom w:val="single" w:sz="4" w:space="0" w:color="auto"/>
              <w:right w:val="single" w:sz="4" w:space="0" w:color="auto"/>
            </w:tcBorders>
            <w:shd w:val="clear" w:color="auto" w:fill="auto"/>
            <w:vAlign w:val="center"/>
            <w:hideMark/>
          </w:tcPr>
          <w:p w14:paraId="39D3BC6D" w14:textId="77777777" w:rsidR="009D4357" w:rsidRPr="00434957" w:rsidRDefault="009D4357" w:rsidP="00CE3F2A">
            <w:pPr>
              <w:spacing w:after="0"/>
              <w:rPr>
                <w:rFonts w:eastAsia="Times New Roman"/>
                <w:noProof/>
                <w:color w:val="000000"/>
                <w:sz w:val="18"/>
                <w:szCs w:val="18"/>
                <w:lang w:val="en-IE" w:eastAsia="fr-BE"/>
              </w:rPr>
            </w:pPr>
            <w:r>
              <w:rPr>
                <w:rFonts w:eastAsia="Times New Roman"/>
                <w:noProof/>
                <w:color w:val="000000"/>
                <w:sz w:val="18"/>
                <w:szCs w:val="18"/>
                <w:lang w:val="en-IE" w:eastAsia="fr-BE"/>
              </w:rPr>
              <w:t>Contractors</w:t>
            </w:r>
            <w:r>
              <w:rPr>
                <w:rStyle w:val="FootnoteReference0"/>
                <w:rFonts w:eastAsia="Times New Roman"/>
                <w:noProof/>
                <w:color w:val="000000"/>
                <w:sz w:val="18"/>
                <w:szCs w:val="18"/>
                <w:lang w:val="en-IE" w:eastAsia="fr-BE"/>
              </w:rPr>
              <w:footnoteReference w:id="53"/>
            </w:r>
          </w:p>
        </w:tc>
        <w:tc>
          <w:tcPr>
            <w:tcW w:w="851" w:type="dxa"/>
            <w:tcBorders>
              <w:top w:val="nil"/>
              <w:left w:val="nil"/>
              <w:bottom w:val="single" w:sz="4" w:space="0" w:color="auto"/>
              <w:right w:val="single" w:sz="4" w:space="0" w:color="auto"/>
            </w:tcBorders>
            <w:shd w:val="clear" w:color="auto" w:fill="auto"/>
            <w:vAlign w:val="center"/>
            <w:hideMark/>
          </w:tcPr>
          <w:p w14:paraId="0AF076B8" w14:textId="77777777" w:rsidR="009D4357" w:rsidRPr="00434957" w:rsidRDefault="009D4357" w:rsidP="00CE3F2A">
            <w:pPr>
              <w:spacing w:after="0"/>
              <w:jc w:val="center"/>
              <w:rPr>
                <w:rFonts w:eastAsia="Times New Roman"/>
                <w:noProof/>
                <w:color w:val="000000"/>
                <w:sz w:val="18"/>
                <w:szCs w:val="18"/>
                <w:lang w:val="en-IE" w:eastAsia="fr-BE"/>
              </w:rPr>
            </w:pPr>
            <w:r w:rsidRPr="00434957">
              <w:rPr>
                <w:rFonts w:eastAsia="Times New Roman"/>
                <w:noProof/>
                <w:color w:val="000000"/>
                <w:sz w:val="18"/>
                <w:szCs w:val="18"/>
                <w:lang w:val="en-IE" w:eastAsia="fr-BE"/>
              </w:rPr>
              <w:t> </w:t>
            </w:r>
          </w:p>
        </w:tc>
        <w:tc>
          <w:tcPr>
            <w:tcW w:w="425" w:type="dxa"/>
            <w:tcBorders>
              <w:top w:val="nil"/>
              <w:left w:val="nil"/>
              <w:bottom w:val="single" w:sz="4" w:space="0" w:color="auto"/>
              <w:right w:val="single" w:sz="4" w:space="0" w:color="auto"/>
            </w:tcBorders>
            <w:shd w:val="clear" w:color="auto" w:fill="auto"/>
            <w:vAlign w:val="center"/>
          </w:tcPr>
          <w:p w14:paraId="46073182" w14:textId="77777777" w:rsidR="009D4357" w:rsidRPr="00434957" w:rsidRDefault="009D4357" w:rsidP="00CE3F2A">
            <w:pPr>
              <w:spacing w:after="0"/>
              <w:jc w:val="center"/>
              <w:rPr>
                <w:rFonts w:eastAsia="Times New Roman"/>
                <w:noProof/>
                <w:color w:val="000000"/>
                <w:sz w:val="18"/>
                <w:szCs w:val="18"/>
                <w:lang w:val="fr-BE" w:eastAsia="fr-BE"/>
              </w:rPr>
            </w:pPr>
          </w:p>
        </w:tc>
        <w:tc>
          <w:tcPr>
            <w:tcW w:w="709" w:type="dxa"/>
            <w:tcBorders>
              <w:top w:val="nil"/>
              <w:left w:val="nil"/>
              <w:bottom w:val="single" w:sz="4" w:space="0" w:color="auto"/>
              <w:right w:val="single" w:sz="4" w:space="0" w:color="auto"/>
            </w:tcBorders>
            <w:shd w:val="clear" w:color="auto" w:fill="auto"/>
            <w:vAlign w:val="center"/>
          </w:tcPr>
          <w:p w14:paraId="1D0318B4" w14:textId="77777777" w:rsidR="009D4357" w:rsidRPr="00434957" w:rsidRDefault="009D4357" w:rsidP="00CE3F2A">
            <w:pPr>
              <w:spacing w:after="0"/>
              <w:jc w:val="center"/>
              <w:rPr>
                <w:rFonts w:eastAsia="Times New Roman"/>
                <w:noProof/>
                <w:color w:val="000000"/>
                <w:sz w:val="18"/>
                <w:szCs w:val="18"/>
                <w:lang w:val="fr-BE" w:eastAsia="fr-BE"/>
              </w:rPr>
            </w:pPr>
          </w:p>
        </w:tc>
        <w:tc>
          <w:tcPr>
            <w:tcW w:w="425" w:type="dxa"/>
            <w:tcBorders>
              <w:top w:val="nil"/>
              <w:left w:val="nil"/>
              <w:bottom w:val="single" w:sz="4" w:space="0" w:color="auto"/>
              <w:right w:val="single" w:sz="4" w:space="0" w:color="auto"/>
            </w:tcBorders>
            <w:shd w:val="clear" w:color="auto" w:fill="auto"/>
            <w:vAlign w:val="center"/>
          </w:tcPr>
          <w:p w14:paraId="1AD76804" w14:textId="77777777" w:rsidR="009D4357" w:rsidRPr="00434957" w:rsidRDefault="009D4357" w:rsidP="00CE3F2A">
            <w:pPr>
              <w:spacing w:after="0"/>
              <w:jc w:val="center"/>
              <w:rPr>
                <w:rFonts w:eastAsia="Times New Roman"/>
                <w:noProof/>
                <w:color w:val="000000"/>
                <w:sz w:val="18"/>
                <w:szCs w:val="18"/>
                <w:lang w:val="fr-BE" w:eastAsia="fr-BE"/>
              </w:rPr>
            </w:pPr>
          </w:p>
        </w:tc>
        <w:tc>
          <w:tcPr>
            <w:tcW w:w="851" w:type="dxa"/>
            <w:tcBorders>
              <w:top w:val="nil"/>
              <w:left w:val="nil"/>
              <w:bottom w:val="single" w:sz="4" w:space="0" w:color="auto"/>
              <w:right w:val="single" w:sz="4" w:space="0" w:color="auto"/>
            </w:tcBorders>
            <w:shd w:val="clear" w:color="auto" w:fill="auto"/>
            <w:vAlign w:val="center"/>
          </w:tcPr>
          <w:p w14:paraId="54BE24E3" w14:textId="77777777" w:rsidR="009D4357" w:rsidRPr="00434957" w:rsidRDefault="009D4357" w:rsidP="00CE3F2A">
            <w:pPr>
              <w:spacing w:after="0"/>
              <w:jc w:val="center"/>
              <w:rPr>
                <w:noProof/>
                <w:color w:val="000000"/>
                <w:sz w:val="18"/>
                <w:szCs w:val="18"/>
              </w:rPr>
            </w:pPr>
            <w:r>
              <w:rPr>
                <w:rFonts w:eastAsia="Times New Roman"/>
                <w:noProof/>
                <w:color w:val="000000"/>
                <w:sz w:val="18"/>
                <w:szCs w:val="18"/>
                <w:lang w:val="fr-BE" w:eastAsia="fr-BE"/>
              </w:rPr>
              <w:t>1.4</w:t>
            </w:r>
          </w:p>
        </w:tc>
        <w:tc>
          <w:tcPr>
            <w:tcW w:w="425" w:type="dxa"/>
            <w:tcBorders>
              <w:top w:val="nil"/>
              <w:left w:val="nil"/>
              <w:bottom w:val="single" w:sz="4" w:space="0" w:color="auto"/>
              <w:right w:val="single" w:sz="4" w:space="0" w:color="auto"/>
            </w:tcBorders>
            <w:shd w:val="clear" w:color="auto" w:fill="auto"/>
            <w:vAlign w:val="center"/>
          </w:tcPr>
          <w:p w14:paraId="1D9A0497" w14:textId="77777777" w:rsidR="009D4357" w:rsidRPr="00434957" w:rsidRDefault="009D4357" w:rsidP="00CE3F2A">
            <w:pPr>
              <w:spacing w:after="0"/>
              <w:jc w:val="center"/>
              <w:rPr>
                <w:rFonts w:eastAsia="Times New Roman"/>
                <w:noProof/>
                <w:color w:val="000000"/>
                <w:sz w:val="18"/>
                <w:szCs w:val="18"/>
                <w:lang w:val="fr-BE" w:eastAsia="fr-BE"/>
              </w:rPr>
            </w:pPr>
          </w:p>
        </w:tc>
        <w:tc>
          <w:tcPr>
            <w:tcW w:w="850" w:type="dxa"/>
            <w:tcBorders>
              <w:top w:val="nil"/>
              <w:left w:val="nil"/>
              <w:bottom w:val="single" w:sz="4" w:space="0" w:color="auto"/>
              <w:right w:val="single" w:sz="4" w:space="0" w:color="auto"/>
            </w:tcBorders>
            <w:shd w:val="clear" w:color="auto" w:fill="auto"/>
            <w:vAlign w:val="center"/>
          </w:tcPr>
          <w:p w14:paraId="38AECC74" w14:textId="77777777" w:rsidR="009D4357" w:rsidRPr="00434957" w:rsidRDefault="009D4357" w:rsidP="00CE3F2A">
            <w:pPr>
              <w:spacing w:after="0"/>
              <w:jc w:val="center"/>
              <w:rPr>
                <w:rFonts w:eastAsia="Times New Roman"/>
                <w:noProof/>
                <w:color w:val="000000"/>
                <w:sz w:val="18"/>
                <w:szCs w:val="18"/>
                <w:lang w:val="fr-BE" w:eastAsia="fr-BE"/>
              </w:rPr>
            </w:pPr>
            <w:r>
              <w:rPr>
                <w:noProof/>
                <w:color w:val="000000"/>
                <w:sz w:val="18"/>
                <w:szCs w:val="18"/>
              </w:rPr>
              <w:t>0.7</w:t>
            </w:r>
          </w:p>
        </w:tc>
        <w:tc>
          <w:tcPr>
            <w:tcW w:w="567" w:type="dxa"/>
            <w:tcBorders>
              <w:top w:val="nil"/>
              <w:left w:val="nil"/>
              <w:bottom w:val="single" w:sz="4" w:space="0" w:color="auto"/>
              <w:right w:val="single" w:sz="4" w:space="0" w:color="auto"/>
            </w:tcBorders>
            <w:shd w:val="clear" w:color="auto" w:fill="auto"/>
            <w:vAlign w:val="center"/>
          </w:tcPr>
          <w:p w14:paraId="24E64F71" w14:textId="77777777" w:rsidR="009D4357" w:rsidRPr="00434957" w:rsidRDefault="009D4357" w:rsidP="00CE3F2A">
            <w:pPr>
              <w:spacing w:after="0"/>
              <w:jc w:val="center"/>
              <w:rPr>
                <w:rFonts w:eastAsia="Times New Roman"/>
                <w:noProof/>
                <w:color w:val="000000"/>
                <w:sz w:val="18"/>
                <w:szCs w:val="18"/>
                <w:lang w:val="fr-BE" w:eastAsia="fr-BE"/>
              </w:rPr>
            </w:pPr>
          </w:p>
        </w:tc>
        <w:tc>
          <w:tcPr>
            <w:tcW w:w="851" w:type="dxa"/>
            <w:tcBorders>
              <w:top w:val="nil"/>
              <w:left w:val="nil"/>
              <w:bottom w:val="single" w:sz="4" w:space="0" w:color="auto"/>
              <w:right w:val="single" w:sz="4" w:space="0" w:color="auto"/>
            </w:tcBorders>
            <w:shd w:val="clear" w:color="auto" w:fill="auto"/>
            <w:vAlign w:val="center"/>
          </w:tcPr>
          <w:p w14:paraId="3282589A"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0.7</w:t>
            </w:r>
          </w:p>
        </w:tc>
        <w:tc>
          <w:tcPr>
            <w:tcW w:w="567" w:type="dxa"/>
            <w:tcBorders>
              <w:top w:val="nil"/>
              <w:left w:val="nil"/>
              <w:bottom w:val="single" w:sz="4" w:space="0" w:color="auto"/>
              <w:right w:val="single" w:sz="4" w:space="0" w:color="auto"/>
            </w:tcBorders>
            <w:shd w:val="clear" w:color="auto" w:fill="auto"/>
            <w:vAlign w:val="center"/>
          </w:tcPr>
          <w:p w14:paraId="4D8DC869" w14:textId="77777777" w:rsidR="009D4357" w:rsidRPr="00434957" w:rsidRDefault="009D4357" w:rsidP="00CE3F2A">
            <w:pPr>
              <w:spacing w:after="0"/>
              <w:jc w:val="center"/>
              <w:rPr>
                <w:rFonts w:eastAsia="Times New Roman"/>
                <w:noProof/>
                <w:color w:val="000000"/>
                <w:sz w:val="18"/>
                <w:szCs w:val="18"/>
                <w:lang w:val="fr-BE" w:eastAsia="fr-BE"/>
              </w:rPr>
            </w:pPr>
          </w:p>
        </w:tc>
        <w:tc>
          <w:tcPr>
            <w:tcW w:w="992" w:type="dxa"/>
            <w:tcBorders>
              <w:top w:val="nil"/>
              <w:left w:val="nil"/>
              <w:bottom w:val="single" w:sz="4" w:space="0" w:color="auto"/>
              <w:right w:val="single" w:sz="4" w:space="0" w:color="auto"/>
            </w:tcBorders>
            <w:shd w:val="clear" w:color="auto" w:fill="auto"/>
            <w:vAlign w:val="center"/>
          </w:tcPr>
          <w:p w14:paraId="534E5463" w14:textId="77777777" w:rsidR="009D4357" w:rsidRPr="00434957" w:rsidRDefault="009D4357" w:rsidP="00CE3F2A">
            <w:pPr>
              <w:spacing w:after="0"/>
              <w:rPr>
                <w:rFonts w:eastAsia="Times New Roman"/>
                <w:noProof/>
                <w:color w:val="000000"/>
                <w:sz w:val="18"/>
                <w:szCs w:val="18"/>
                <w:lang w:val="fr-BE" w:eastAsia="fr-BE"/>
              </w:rPr>
            </w:pPr>
            <w:r>
              <w:rPr>
                <w:rFonts w:eastAsia="Times New Roman"/>
                <w:noProof/>
                <w:color w:val="000000"/>
                <w:sz w:val="18"/>
                <w:szCs w:val="18"/>
                <w:lang w:val="fr-BE" w:eastAsia="fr-BE"/>
              </w:rPr>
              <w:t>0</w:t>
            </w:r>
          </w:p>
        </w:tc>
        <w:tc>
          <w:tcPr>
            <w:tcW w:w="567" w:type="dxa"/>
            <w:tcBorders>
              <w:top w:val="nil"/>
              <w:left w:val="nil"/>
              <w:bottom w:val="single" w:sz="4" w:space="0" w:color="auto"/>
              <w:right w:val="single" w:sz="4" w:space="0" w:color="auto"/>
            </w:tcBorders>
            <w:shd w:val="clear" w:color="auto" w:fill="auto"/>
            <w:vAlign w:val="center"/>
          </w:tcPr>
          <w:p w14:paraId="7F08378C" w14:textId="77777777" w:rsidR="009D4357" w:rsidRPr="00434957" w:rsidRDefault="009D4357" w:rsidP="00CE3F2A">
            <w:pPr>
              <w:spacing w:after="0"/>
              <w:jc w:val="center"/>
              <w:rPr>
                <w:rFonts w:eastAsia="Times New Roman"/>
                <w:noProof/>
                <w:color w:val="000000"/>
                <w:sz w:val="18"/>
                <w:szCs w:val="18"/>
                <w:lang w:val="fr-BE" w:eastAsia="fr-BE"/>
              </w:rPr>
            </w:pPr>
          </w:p>
        </w:tc>
        <w:tc>
          <w:tcPr>
            <w:tcW w:w="992" w:type="dxa"/>
            <w:tcBorders>
              <w:top w:val="nil"/>
              <w:left w:val="nil"/>
              <w:bottom w:val="single" w:sz="4" w:space="0" w:color="auto"/>
              <w:right w:val="single" w:sz="4" w:space="0" w:color="auto"/>
            </w:tcBorders>
            <w:shd w:val="clear" w:color="auto" w:fill="auto"/>
            <w:vAlign w:val="center"/>
          </w:tcPr>
          <w:p w14:paraId="7947F10A"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2.8</w:t>
            </w:r>
          </w:p>
        </w:tc>
      </w:tr>
      <w:tr w:rsidR="009D4357" w:rsidRPr="00434957" w14:paraId="57EEDE51" w14:textId="77777777" w:rsidTr="00CE3F2A">
        <w:trPr>
          <w:trHeight w:val="290"/>
        </w:trPr>
        <w:tc>
          <w:tcPr>
            <w:tcW w:w="949" w:type="dxa"/>
            <w:tcBorders>
              <w:top w:val="nil"/>
              <w:left w:val="single" w:sz="4" w:space="0" w:color="auto"/>
              <w:bottom w:val="single" w:sz="4" w:space="0" w:color="auto"/>
              <w:right w:val="single" w:sz="4" w:space="0" w:color="auto"/>
            </w:tcBorders>
            <w:shd w:val="clear" w:color="auto" w:fill="auto"/>
            <w:vAlign w:val="center"/>
            <w:hideMark/>
          </w:tcPr>
          <w:p w14:paraId="3980D8D6" w14:textId="77777777" w:rsidR="009D4357" w:rsidRPr="00434957" w:rsidRDefault="009D4357" w:rsidP="00CE3F2A">
            <w:pPr>
              <w:spacing w:after="0"/>
              <w:rPr>
                <w:rFonts w:eastAsia="Times New Roman"/>
                <w:noProof/>
                <w:color w:val="000000"/>
                <w:sz w:val="18"/>
                <w:szCs w:val="18"/>
                <w:lang w:val="fr-BE" w:eastAsia="fr-BE"/>
              </w:rPr>
            </w:pPr>
            <w:r w:rsidRPr="00434957">
              <w:rPr>
                <w:rFonts w:eastAsia="Times New Roman"/>
                <w:noProof/>
                <w:color w:val="000000"/>
                <w:sz w:val="18"/>
                <w:szCs w:val="18"/>
                <w:lang w:val="fr-BE" w:eastAsia="fr-BE"/>
              </w:rPr>
              <w:t>- Output</w:t>
            </w:r>
          </w:p>
        </w:tc>
        <w:tc>
          <w:tcPr>
            <w:tcW w:w="1460" w:type="dxa"/>
            <w:tcBorders>
              <w:top w:val="nil"/>
              <w:left w:val="nil"/>
              <w:bottom w:val="single" w:sz="4" w:space="0" w:color="auto"/>
              <w:right w:val="single" w:sz="4" w:space="0" w:color="auto"/>
            </w:tcBorders>
            <w:shd w:val="clear" w:color="auto" w:fill="auto"/>
            <w:vAlign w:val="center"/>
            <w:hideMark/>
          </w:tcPr>
          <w:p w14:paraId="1F0B6C33" w14:textId="77777777" w:rsidR="009D4357" w:rsidRPr="00434957" w:rsidRDefault="009D4357" w:rsidP="00CE3F2A">
            <w:pPr>
              <w:spacing w:after="0"/>
              <w:rPr>
                <w:rFonts w:eastAsia="Times New Roman"/>
                <w:noProof/>
                <w:color w:val="000000"/>
                <w:sz w:val="18"/>
                <w:szCs w:val="18"/>
                <w:lang w:val="en-IE" w:eastAsia="fr-BE"/>
              </w:rPr>
            </w:pPr>
            <w:r>
              <w:rPr>
                <w:rFonts w:eastAsia="Times New Roman"/>
                <w:noProof/>
                <w:color w:val="000000"/>
                <w:sz w:val="18"/>
                <w:szCs w:val="18"/>
                <w:lang w:val="en-IE" w:eastAsia="fr-BE"/>
              </w:rPr>
              <w:t>Micro matching mechanism</w:t>
            </w:r>
          </w:p>
        </w:tc>
        <w:tc>
          <w:tcPr>
            <w:tcW w:w="851" w:type="dxa"/>
            <w:tcBorders>
              <w:top w:val="nil"/>
              <w:left w:val="nil"/>
              <w:bottom w:val="single" w:sz="4" w:space="0" w:color="auto"/>
              <w:right w:val="single" w:sz="4" w:space="0" w:color="auto"/>
            </w:tcBorders>
            <w:shd w:val="clear" w:color="auto" w:fill="auto"/>
            <w:vAlign w:val="center"/>
            <w:hideMark/>
          </w:tcPr>
          <w:p w14:paraId="1442ADEE"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425" w:type="dxa"/>
            <w:tcBorders>
              <w:top w:val="nil"/>
              <w:left w:val="nil"/>
              <w:bottom w:val="single" w:sz="4" w:space="0" w:color="auto"/>
              <w:right w:val="single" w:sz="4" w:space="0" w:color="auto"/>
            </w:tcBorders>
            <w:shd w:val="clear" w:color="auto" w:fill="auto"/>
            <w:vAlign w:val="center"/>
            <w:hideMark/>
          </w:tcPr>
          <w:p w14:paraId="5D174F49"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tcPr>
          <w:p w14:paraId="62499CD4" w14:textId="77777777" w:rsidR="009D4357" w:rsidRPr="00434957" w:rsidRDefault="009D4357" w:rsidP="00CE3F2A">
            <w:pPr>
              <w:spacing w:after="0"/>
              <w:jc w:val="center"/>
              <w:rPr>
                <w:rFonts w:eastAsia="Times New Roman"/>
                <w:noProof/>
                <w:color w:val="000000"/>
                <w:sz w:val="18"/>
                <w:szCs w:val="18"/>
                <w:lang w:val="fr-BE" w:eastAsia="fr-BE"/>
              </w:rPr>
            </w:pPr>
          </w:p>
        </w:tc>
        <w:tc>
          <w:tcPr>
            <w:tcW w:w="425" w:type="dxa"/>
            <w:tcBorders>
              <w:top w:val="nil"/>
              <w:left w:val="nil"/>
              <w:bottom w:val="single" w:sz="4" w:space="0" w:color="auto"/>
              <w:right w:val="single" w:sz="4" w:space="0" w:color="auto"/>
            </w:tcBorders>
            <w:shd w:val="clear" w:color="auto" w:fill="auto"/>
            <w:vAlign w:val="center"/>
            <w:hideMark/>
          </w:tcPr>
          <w:p w14:paraId="3D124DC7"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14:paraId="023EA031"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0.9</w:t>
            </w:r>
            <w:r w:rsidRPr="00434957">
              <w:rPr>
                <w:rFonts w:eastAsia="Times New Roman"/>
                <w:noProof/>
                <w:color w:val="000000"/>
                <w:sz w:val="18"/>
                <w:szCs w:val="18"/>
                <w:lang w:val="fr-BE" w:eastAsia="fr-BE"/>
              </w:rPr>
              <w:t> </w:t>
            </w:r>
          </w:p>
        </w:tc>
        <w:tc>
          <w:tcPr>
            <w:tcW w:w="425" w:type="dxa"/>
            <w:tcBorders>
              <w:top w:val="nil"/>
              <w:left w:val="nil"/>
              <w:bottom w:val="single" w:sz="4" w:space="0" w:color="auto"/>
              <w:right w:val="single" w:sz="4" w:space="0" w:color="auto"/>
            </w:tcBorders>
            <w:shd w:val="clear" w:color="auto" w:fill="auto"/>
            <w:vAlign w:val="center"/>
            <w:hideMark/>
          </w:tcPr>
          <w:p w14:paraId="3794238F"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14:paraId="492501CA"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r>
              <w:rPr>
                <w:rFonts w:eastAsia="Times New Roman"/>
                <w:noProof/>
                <w:color w:val="000000"/>
                <w:sz w:val="18"/>
                <w:szCs w:val="18"/>
                <w:lang w:val="fr-BE" w:eastAsia="fr-BE"/>
              </w:rPr>
              <w:t>0.7</w:t>
            </w:r>
          </w:p>
        </w:tc>
        <w:tc>
          <w:tcPr>
            <w:tcW w:w="567" w:type="dxa"/>
            <w:tcBorders>
              <w:top w:val="nil"/>
              <w:left w:val="nil"/>
              <w:bottom w:val="single" w:sz="4" w:space="0" w:color="auto"/>
              <w:right w:val="single" w:sz="4" w:space="0" w:color="auto"/>
            </w:tcBorders>
            <w:shd w:val="clear" w:color="auto" w:fill="auto"/>
            <w:vAlign w:val="center"/>
            <w:hideMark/>
          </w:tcPr>
          <w:p w14:paraId="2BC26EE3"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14:paraId="5D24BF66"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r>
              <w:rPr>
                <w:rFonts w:eastAsia="Times New Roman"/>
                <w:noProof/>
                <w:color w:val="000000"/>
                <w:sz w:val="18"/>
                <w:szCs w:val="18"/>
                <w:lang w:val="fr-BE" w:eastAsia="fr-BE"/>
              </w:rPr>
              <w:t>0</w:t>
            </w:r>
          </w:p>
        </w:tc>
        <w:tc>
          <w:tcPr>
            <w:tcW w:w="567" w:type="dxa"/>
            <w:tcBorders>
              <w:top w:val="nil"/>
              <w:left w:val="nil"/>
              <w:bottom w:val="single" w:sz="4" w:space="0" w:color="auto"/>
              <w:right w:val="single" w:sz="4" w:space="0" w:color="auto"/>
            </w:tcBorders>
            <w:shd w:val="clear" w:color="auto" w:fill="auto"/>
            <w:vAlign w:val="center"/>
            <w:hideMark/>
          </w:tcPr>
          <w:p w14:paraId="65CF8A16"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992" w:type="dxa"/>
            <w:tcBorders>
              <w:top w:val="nil"/>
              <w:left w:val="nil"/>
              <w:bottom w:val="single" w:sz="4" w:space="0" w:color="auto"/>
              <w:right w:val="single" w:sz="4" w:space="0" w:color="auto"/>
            </w:tcBorders>
            <w:shd w:val="clear" w:color="auto" w:fill="auto"/>
            <w:vAlign w:val="center"/>
            <w:hideMark/>
          </w:tcPr>
          <w:p w14:paraId="65F16C9E"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r>
              <w:rPr>
                <w:rFonts w:eastAsia="Times New Roman"/>
                <w:noProof/>
                <w:color w:val="000000"/>
                <w:sz w:val="18"/>
                <w:szCs w:val="18"/>
                <w:lang w:val="fr-BE" w:eastAsia="fr-BE"/>
              </w:rPr>
              <w:t>0</w:t>
            </w:r>
          </w:p>
        </w:tc>
        <w:tc>
          <w:tcPr>
            <w:tcW w:w="567" w:type="dxa"/>
            <w:tcBorders>
              <w:top w:val="nil"/>
              <w:left w:val="nil"/>
              <w:bottom w:val="single" w:sz="4" w:space="0" w:color="auto"/>
              <w:right w:val="single" w:sz="4" w:space="0" w:color="auto"/>
            </w:tcBorders>
            <w:shd w:val="clear" w:color="auto" w:fill="auto"/>
            <w:vAlign w:val="center"/>
            <w:hideMark/>
          </w:tcPr>
          <w:p w14:paraId="79E0E88C"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c>
          <w:tcPr>
            <w:tcW w:w="992" w:type="dxa"/>
            <w:tcBorders>
              <w:top w:val="nil"/>
              <w:left w:val="nil"/>
              <w:bottom w:val="single" w:sz="4" w:space="0" w:color="auto"/>
              <w:right w:val="single" w:sz="4" w:space="0" w:color="auto"/>
            </w:tcBorders>
            <w:shd w:val="clear" w:color="auto" w:fill="auto"/>
            <w:vAlign w:val="center"/>
            <w:hideMark/>
          </w:tcPr>
          <w:p w14:paraId="44464C6E" w14:textId="77777777" w:rsidR="009D4357" w:rsidRPr="00434957" w:rsidRDefault="009D4357" w:rsidP="00CE3F2A">
            <w:pPr>
              <w:spacing w:after="0"/>
              <w:jc w:val="center"/>
              <w:rPr>
                <w:rFonts w:eastAsia="Times New Roman"/>
                <w:noProof/>
                <w:color w:val="000000"/>
                <w:sz w:val="18"/>
                <w:szCs w:val="18"/>
                <w:lang w:val="fr-BE" w:eastAsia="fr-BE"/>
              </w:rPr>
            </w:pPr>
            <w:r w:rsidRPr="00434957">
              <w:rPr>
                <w:rFonts w:eastAsia="Times New Roman"/>
                <w:noProof/>
                <w:color w:val="000000"/>
                <w:sz w:val="18"/>
                <w:szCs w:val="18"/>
                <w:lang w:val="fr-BE" w:eastAsia="fr-BE"/>
              </w:rPr>
              <w:t> </w:t>
            </w:r>
          </w:p>
        </w:tc>
      </w:tr>
      <w:tr w:rsidR="009D4357" w:rsidRPr="00434957" w14:paraId="3A4ADE63" w14:textId="77777777" w:rsidTr="00CE3F2A">
        <w:trPr>
          <w:trHeight w:val="290"/>
        </w:trPr>
        <w:tc>
          <w:tcPr>
            <w:tcW w:w="949" w:type="dxa"/>
            <w:tcBorders>
              <w:top w:val="nil"/>
              <w:left w:val="single" w:sz="4" w:space="0" w:color="auto"/>
              <w:bottom w:val="single" w:sz="4" w:space="0" w:color="auto"/>
              <w:right w:val="single" w:sz="4" w:space="0" w:color="auto"/>
            </w:tcBorders>
            <w:shd w:val="clear" w:color="auto" w:fill="auto"/>
            <w:vAlign w:val="center"/>
          </w:tcPr>
          <w:p w14:paraId="01D3B8C6" w14:textId="77777777" w:rsidR="009D4357" w:rsidRPr="00434957" w:rsidRDefault="009D4357" w:rsidP="00CE3F2A">
            <w:pPr>
              <w:spacing w:after="0"/>
              <w:rPr>
                <w:rFonts w:eastAsia="Times New Roman"/>
                <w:noProof/>
                <w:color w:val="000000"/>
                <w:sz w:val="18"/>
                <w:szCs w:val="18"/>
                <w:lang w:val="fr-BE" w:eastAsia="fr-BE"/>
              </w:rPr>
            </w:pPr>
            <w:r w:rsidRPr="00434957">
              <w:rPr>
                <w:rFonts w:eastAsia="Times New Roman"/>
                <w:noProof/>
                <w:color w:val="000000"/>
                <w:sz w:val="18"/>
                <w:szCs w:val="18"/>
                <w:lang w:val="fr-BE" w:eastAsia="fr-BE"/>
              </w:rPr>
              <w:t>- Output</w:t>
            </w:r>
          </w:p>
        </w:tc>
        <w:tc>
          <w:tcPr>
            <w:tcW w:w="1460" w:type="dxa"/>
            <w:tcBorders>
              <w:top w:val="nil"/>
              <w:left w:val="nil"/>
              <w:bottom w:val="single" w:sz="4" w:space="0" w:color="auto"/>
              <w:right w:val="single" w:sz="4" w:space="0" w:color="auto"/>
            </w:tcBorders>
            <w:shd w:val="clear" w:color="auto" w:fill="auto"/>
            <w:vAlign w:val="center"/>
          </w:tcPr>
          <w:p w14:paraId="32643442" w14:textId="77777777" w:rsidR="009D4357" w:rsidRPr="00434957" w:rsidRDefault="009D4357" w:rsidP="00CE3F2A">
            <w:pPr>
              <w:spacing w:after="0"/>
              <w:rPr>
                <w:rFonts w:eastAsia="Times New Roman"/>
                <w:noProof/>
                <w:color w:val="000000"/>
                <w:sz w:val="18"/>
                <w:szCs w:val="18"/>
                <w:lang w:val="en-IE" w:eastAsia="fr-BE"/>
              </w:rPr>
            </w:pPr>
            <w:r>
              <w:rPr>
                <w:rFonts w:eastAsia="Times New Roman"/>
                <w:noProof/>
                <w:color w:val="000000"/>
                <w:sz w:val="18"/>
                <w:szCs w:val="18"/>
                <w:lang w:val="en-IE" w:eastAsia="fr-BE"/>
              </w:rPr>
              <w:t>Maintenance</w:t>
            </w:r>
          </w:p>
        </w:tc>
        <w:tc>
          <w:tcPr>
            <w:tcW w:w="851" w:type="dxa"/>
            <w:tcBorders>
              <w:top w:val="nil"/>
              <w:left w:val="nil"/>
              <w:bottom w:val="single" w:sz="4" w:space="0" w:color="auto"/>
              <w:right w:val="single" w:sz="4" w:space="0" w:color="auto"/>
            </w:tcBorders>
            <w:shd w:val="clear" w:color="auto" w:fill="auto"/>
            <w:vAlign w:val="center"/>
          </w:tcPr>
          <w:p w14:paraId="4935A7E3" w14:textId="77777777" w:rsidR="009D4357" w:rsidRPr="00434957" w:rsidRDefault="009D4357" w:rsidP="00CE3F2A">
            <w:pPr>
              <w:spacing w:after="0"/>
              <w:jc w:val="center"/>
              <w:rPr>
                <w:rFonts w:eastAsia="Times New Roman"/>
                <w:noProof/>
                <w:color w:val="000000"/>
                <w:sz w:val="18"/>
                <w:szCs w:val="18"/>
                <w:lang w:val="fr-BE" w:eastAsia="fr-BE"/>
              </w:rPr>
            </w:pPr>
          </w:p>
        </w:tc>
        <w:tc>
          <w:tcPr>
            <w:tcW w:w="425" w:type="dxa"/>
            <w:tcBorders>
              <w:top w:val="nil"/>
              <w:left w:val="nil"/>
              <w:bottom w:val="single" w:sz="4" w:space="0" w:color="auto"/>
              <w:right w:val="single" w:sz="4" w:space="0" w:color="auto"/>
            </w:tcBorders>
            <w:shd w:val="clear" w:color="auto" w:fill="auto"/>
            <w:vAlign w:val="center"/>
          </w:tcPr>
          <w:p w14:paraId="2A768D20" w14:textId="77777777" w:rsidR="009D4357" w:rsidRPr="00434957" w:rsidRDefault="009D4357" w:rsidP="00CE3F2A">
            <w:pPr>
              <w:spacing w:after="0"/>
              <w:jc w:val="center"/>
              <w:rPr>
                <w:rFonts w:eastAsia="Times New Roman"/>
                <w:noProof/>
                <w:color w:val="000000"/>
                <w:sz w:val="18"/>
                <w:szCs w:val="18"/>
                <w:lang w:val="fr-BE" w:eastAsia="fr-BE"/>
              </w:rPr>
            </w:pPr>
          </w:p>
        </w:tc>
        <w:tc>
          <w:tcPr>
            <w:tcW w:w="709" w:type="dxa"/>
            <w:tcBorders>
              <w:top w:val="nil"/>
              <w:left w:val="nil"/>
              <w:bottom w:val="single" w:sz="4" w:space="0" w:color="auto"/>
              <w:right w:val="single" w:sz="4" w:space="0" w:color="auto"/>
            </w:tcBorders>
            <w:shd w:val="clear" w:color="auto" w:fill="auto"/>
            <w:vAlign w:val="center"/>
          </w:tcPr>
          <w:p w14:paraId="2110E06A" w14:textId="77777777" w:rsidR="009D4357" w:rsidRPr="00434957" w:rsidRDefault="009D4357" w:rsidP="00CE3F2A">
            <w:pPr>
              <w:spacing w:after="0"/>
              <w:jc w:val="center"/>
              <w:rPr>
                <w:rFonts w:eastAsia="Times New Roman"/>
                <w:noProof/>
                <w:color w:val="000000"/>
                <w:sz w:val="18"/>
                <w:szCs w:val="18"/>
                <w:lang w:val="fr-BE" w:eastAsia="fr-BE"/>
              </w:rPr>
            </w:pPr>
          </w:p>
        </w:tc>
        <w:tc>
          <w:tcPr>
            <w:tcW w:w="425" w:type="dxa"/>
            <w:tcBorders>
              <w:top w:val="nil"/>
              <w:left w:val="nil"/>
              <w:bottom w:val="single" w:sz="4" w:space="0" w:color="auto"/>
              <w:right w:val="single" w:sz="4" w:space="0" w:color="auto"/>
            </w:tcBorders>
            <w:shd w:val="clear" w:color="auto" w:fill="auto"/>
            <w:vAlign w:val="center"/>
          </w:tcPr>
          <w:p w14:paraId="1F7E098B" w14:textId="77777777" w:rsidR="009D4357" w:rsidRPr="00434957" w:rsidRDefault="009D4357" w:rsidP="00CE3F2A">
            <w:pPr>
              <w:spacing w:after="0"/>
              <w:jc w:val="center"/>
              <w:rPr>
                <w:rFonts w:eastAsia="Times New Roman"/>
                <w:noProof/>
                <w:color w:val="000000"/>
                <w:sz w:val="18"/>
                <w:szCs w:val="18"/>
                <w:lang w:val="fr-BE" w:eastAsia="fr-BE"/>
              </w:rPr>
            </w:pPr>
          </w:p>
        </w:tc>
        <w:tc>
          <w:tcPr>
            <w:tcW w:w="851" w:type="dxa"/>
            <w:tcBorders>
              <w:top w:val="nil"/>
              <w:left w:val="nil"/>
              <w:bottom w:val="single" w:sz="4" w:space="0" w:color="auto"/>
              <w:right w:val="single" w:sz="4" w:space="0" w:color="auto"/>
            </w:tcBorders>
            <w:shd w:val="clear" w:color="auto" w:fill="auto"/>
            <w:vAlign w:val="center"/>
          </w:tcPr>
          <w:p w14:paraId="4140D477"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0</w:t>
            </w:r>
          </w:p>
        </w:tc>
        <w:tc>
          <w:tcPr>
            <w:tcW w:w="425" w:type="dxa"/>
            <w:tcBorders>
              <w:top w:val="nil"/>
              <w:left w:val="nil"/>
              <w:bottom w:val="single" w:sz="4" w:space="0" w:color="auto"/>
              <w:right w:val="single" w:sz="4" w:space="0" w:color="auto"/>
            </w:tcBorders>
            <w:shd w:val="clear" w:color="auto" w:fill="auto"/>
            <w:vAlign w:val="center"/>
          </w:tcPr>
          <w:p w14:paraId="6F23B132" w14:textId="77777777" w:rsidR="009D4357" w:rsidRPr="00434957" w:rsidRDefault="009D4357" w:rsidP="00CE3F2A">
            <w:pPr>
              <w:spacing w:after="0"/>
              <w:jc w:val="center"/>
              <w:rPr>
                <w:rFonts w:eastAsia="Times New Roman"/>
                <w:noProof/>
                <w:color w:val="000000"/>
                <w:sz w:val="18"/>
                <w:szCs w:val="18"/>
                <w:lang w:val="fr-BE" w:eastAsia="fr-BE"/>
              </w:rPr>
            </w:pPr>
          </w:p>
        </w:tc>
        <w:tc>
          <w:tcPr>
            <w:tcW w:w="850" w:type="dxa"/>
            <w:tcBorders>
              <w:top w:val="nil"/>
              <w:left w:val="nil"/>
              <w:bottom w:val="single" w:sz="4" w:space="0" w:color="auto"/>
              <w:right w:val="single" w:sz="4" w:space="0" w:color="auto"/>
            </w:tcBorders>
            <w:shd w:val="clear" w:color="auto" w:fill="auto"/>
            <w:vAlign w:val="center"/>
          </w:tcPr>
          <w:p w14:paraId="4751AE72"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0</w:t>
            </w:r>
          </w:p>
        </w:tc>
        <w:tc>
          <w:tcPr>
            <w:tcW w:w="567" w:type="dxa"/>
            <w:tcBorders>
              <w:top w:val="nil"/>
              <w:left w:val="nil"/>
              <w:bottom w:val="single" w:sz="4" w:space="0" w:color="auto"/>
              <w:right w:val="single" w:sz="4" w:space="0" w:color="auto"/>
            </w:tcBorders>
            <w:shd w:val="clear" w:color="auto" w:fill="auto"/>
            <w:vAlign w:val="center"/>
          </w:tcPr>
          <w:p w14:paraId="239E18D1" w14:textId="77777777" w:rsidR="009D4357" w:rsidRPr="00434957" w:rsidRDefault="009D4357" w:rsidP="00CE3F2A">
            <w:pPr>
              <w:spacing w:after="0"/>
              <w:jc w:val="center"/>
              <w:rPr>
                <w:rFonts w:eastAsia="Times New Roman"/>
                <w:noProof/>
                <w:color w:val="000000"/>
                <w:sz w:val="18"/>
                <w:szCs w:val="18"/>
                <w:lang w:val="fr-BE" w:eastAsia="fr-BE"/>
              </w:rPr>
            </w:pPr>
          </w:p>
        </w:tc>
        <w:tc>
          <w:tcPr>
            <w:tcW w:w="851" w:type="dxa"/>
            <w:tcBorders>
              <w:top w:val="nil"/>
              <w:left w:val="nil"/>
              <w:bottom w:val="single" w:sz="4" w:space="0" w:color="auto"/>
              <w:right w:val="single" w:sz="4" w:space="0" w:color="auto"/>
            </w:tcBorders>
            <w:shd w:val="clear" w:color="auto" w:fill="auto"/>
            <w:vAlign w:val="center"/>
          </w:tcPr>
          <w:p w14:paraId="032AD5C2"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1</w:t>
            </w:r>
          </w:p>
        </w:tc>
        <w:tc>
          <w:tcPr>
            <w:tcW w:w="567" w:type="dxa"/>
            <w:tcBorders>
              <w:top w:val="nil"/>
              <w:left w:val="nil"/>
              <w:bottom w:val="single" w:sz="4" w:space="0" w:color="auto"/>
              <w:right w:val="single" w:sz="4" w:space="0" w:color="auto"/>
            </w:tcBorders>
            <w:shd w:val="clear" w:color="auto" w:fill="auto"/>
            <w:vAlign w:val="center"/>
          </w:tcPr>
          <w:p w14:paraId="1D572010" w14:textId="77777777" w:rsidR="009D4357" w:rsidRPr="00434957" w:rsidRDefault="009D4357" w:rsidP="00CE3F2A">
            <w:pPr>
              <w:spacing w:after="0"/>
              <w:jc w:val="center"/>
              <w:rPr>
                <w:rFonts w:eastAsia="Times New Roman"/>
                <w:noProof/>
                <w:color w:val="000000"/>
                <w:sz w:val="18"/>
                <w:szCs w:val="18"/>
                <w:lang w:val="fr-BE" w:eastAsia="fr-BE"/>
              </w:rPr>
            </w:pPr>
          </w:p>
        </w:tc>
        <w:tc>
          <w:tcPr>
            <w:tcW w:w="992" w:type="dxa"/>
            <w:tcBorders>
              <w:top w:val="nil"/>
              <w:left w:val="nil"/>
              <w:bottom w:val="single" w:sz="4" w:space="0" w:color="auto"/>
              <w:right w:val="single" w:sz="4" w:space="0" w:color="auto"/>
            </w:tcBorders>
            <w:shd w:val="clear" w:color="auto" w:fill="auto"/>
            <w:vAlign w:val="center"/>
          </w:tcPr>
          <w:p w14:paraId="3275BC37"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1.2</w:t>
            </w:r>
          </w:p>
        </w:tc>
        <w:tc>
          <w:tcPr>
            <w:tcW w:w="567" w:type="dxa"/>
            <w:tcBorders>
              <w:top w:val="nil"/>
              <w:left w:val="nil"/>
              <w:bottom w:val="single" w:sz="4" w:space="0" w:color="auto"/>
              <w:right w:val="single" w:sz="4" w:space="0" w:color="auto"/>
            </w:tcBorders>
            <w:shd w:val="clear" w:color="auto" w:fill="auto"/>
            <w:vAlign w:val="center"/>
          </w:tcPr>
          <w:p w14:paraId="69C24F83" w14:textId="77777777" w:rsidR="009D4357" w:rsidRPr="00434957" w:rsidRDefault="009D4357" w:rsidP="00CE3F2A">
            <w:pPr>
              <w:spacing w:after="0"/>
              <w:jc w:val="center"/>
              <w:rPr>
                <w:rFonts w:eastAsia="Times New Roman"/>
                <w:noProof/>
                <w:color w:val="000000"/>
                <w:sz w:val="18"/>
                <w:szCs w:val="18"/>
                <w:lang w:val="fr-BE" w:eastAsia="fr-BE"/>
              </w:rPr>
            </w:pPr>
          </w:p>
        </w:tc>
        <w:tc>
          <w:tcPr>
            <w:tcW w:w="992" w:type="dxa"/>
            <w:tcBorders>
              <w:top w:val="nil"/>
              <w:left w:val="nil"/>
              <w:bottom w:val="single" w:sz="4" w:space="0" w:color="auto"/>
              <w:right w:val="single" w:sz="4" w:space="0" w:color="auto"/>
            </w:tcBorders>
            <w:shd w:val="clear" w:color="auto" w:fill="auto"/>
            <w:vAlign w:val="center"/>
          </w:tcPr>
          <w:p w14:paraId="5E714402"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2.2</w:t>
            </w:r>
          </w:p>
        </w:tc>
      </w:tr>
      <w:tr w:rsidR="009D4357" w:rsidRPr="00434957" w14:paraId="6A8CE8E4" w14:textId="77777777" w:rsidTr="00CE3F2A">
        <w:trPr>
          <w:trHeight w:val="290"/>
        </w:trPr>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4257C0" w14:textId="77777777" w:rsidR="009D4357" w:rsidRPr="00434957" w:rsidRDefault="009D4357" w:rsidP="00CE3F2A">
            <w:pPr>
              <w:spacing w:after="0"/>
              <w:jc w:val="center"/>
              <w:rPr>
                <w:rFonts w:eastAsia="Times New Roman"/>
                <w:b/>
                <w:bCs/>
                <w:noProof/>
                <w:color w:val="000000"/>
                <w:sz w:val="18"/>
                <w:szCs w:val="18"/>
                <w:lang w:val="fr-BE" w:eastAsia="fr-BE"/>
              </w:rPr>
            </w:pPr>
            <w:r w:rsidRPr="00434957">
              <w:rPr>
                <w:rFonts w:eastAsia="Times New Roman"/>
                <w:b/>
                <w:bCs/>
                <w:noProof/>
                <w:color w:val="000000"/>
                <w:sz w:val="18"/>
                <w:szCs w:val="18"/>
                <w:lang w:val="fr-BE" w:eastAsia="fr-BE"/>
              </w:rPr>
              <w:t>TOTAL COSTS</w:t>
            </w:r>
          </w:p>
        </w:tc>
        <w:tc>
          <w:tcPr>
            <w:tcW w:w="851" w:type="dxa"/>
            <w:tcBorders>
              <w:top w:val="nil"/>
              <w:left w:val="nil"/>
              <w:bottom w:val="single" w:sz="4" w:space="0" w:color="auto"/>
              <w:right w:val="single" w:sz="4" w:space="0" w:color="auto"/>
            </w:tcBorders>
            <w:shd w:val="clear" w:color="auto" w:fill="auto"/>
            <w:vAlign w:val="center"/>
            <w:hideMark/>
          </w:tcPr>
          <w:p w14:paraId="3D2D4E25" w14:textId="77777777" w:rsidR="009D4357" w:rsidRPr="00434957" w:rsidRDefault="009D4357" w:rsidP="00CE3F2A">
            <w:pPr>
              <w:spacing w:after="0"/>
              <w:jc w:val="center"/>
              <w:rPr>
                <w:rFonts w:eastAsia="Times New Roman"/>
                <w:b/>
                <w:bCs/>
                <w:noProof/>
                <w:color w:val="000000"/>
                <w:sz w:val="18"/>
                <w:szCs w:val="18"/>
                <w:lang w:val="fr-BE" w:eastAsia="fr-BE"/>
              </w:rPr>
            </w:pPr>
            <w:r w:rsidRPr="00434957">
              <w:rPr>
                <w:rFonts w:eastAsia="Times New Roman"/>
                <w:b/>
                <w:bCs/>
                <w:noProof/>
                <w:color w:val="000000"/>
                <w:sz w:val="18"/>
                <w:szCs w:val="18"/>
                <w:lang w:val="fr-BE" w:eastAsia="fr-BE"/>
              </w:rPr>
              <w:t> </w:t>
            </w:r>
          </w:p>
        </w:tc>
        <w:tc>
          <w:tcPr>
            <w:tcW w:w="425" w:type="dxa"/>
            <w:tcBorders>
              <w:top w:val="nil"/>
              <w:left w:val="nil"/>
              <w:bottom w:val="single" w:sz="4" w:space="0" w:color="auto"/>
              <w:right w:val="single" w:sz="4" w:space="0" w:color="auto"/>
            </w:tcBorders>
            <w:shd w:val="clear" w:color="auto" w:fill="auto"/>
            <w:vAlign w:val="center"/>
          </w:tcPr>
          <w:p w14:paraId="0E1BC2C7" w14:textId="77777777" w:rsidR="009D4357" w:rsidRPr="00434957" w:rsidRDefault="009D4357" w:rsidP="00CE3F2A">
            <w:pPr>
              <w:spacing w:after="0"/>
              <w:jc w:val="center"/>
              <w:rPr>
                <w:rFonts w:eastAsia="Times New Roman"/>
                <w:b/>
                <w:bCs/>
                <w:noProof/>
                <w:color w:val="000000"/>
                <w:sz w:val="18"/>
                <w:szCs w:val="18"/>
                <w:lang w:val="fr-BE" w:eastAsia="fr-BE"/>
              </w:rPr>
            </w:pPr>
          </w:p>
        </w:tc>
        <w:tc>
          <w:tcPr>
            <w:tcW w:w="709" w:type="dxa"/>
            <w:tcBorders>
              <w:top w:val="nil"/>
              <w:left w:val="nil"/>
              <w:bottom w:val="single" w:sz="4" w:space="0" w:color="auto"/>
              <w:right w:val="single" w:sz="4" w:space="0" w:color="auto"/>
            </w:tcBorders>
            <w:shd w:val="clear" w:color="auto" w:fill="auto"/>
            <w:vAlign w:val="center"/>
          </w:tcPr>
          <w:p w14:paraId="5A0BFDE5" w14:textId="77777777" w:rsidR="009D4357" w:rsidRPr="00434957" w:rsidRDefault="009D4357" w:rsidP="00CE3F2A">
            <w:pPr>
              <w:spacing w:after="0"/>
              <w:jc w:val="center"/>
              <w:rPr>
                <w:rFonts w:eastAsia="Times New Roman"/>
                <w:noProof/>
                <w:color w:val="000000"/>
                <w:sz w:val="18"/>
                <w:szCs w:val="18"/>
                <w:lang w:val="fr-BE" w:eastAsia="fr-BE"/>
              </w:rPr>
            </w:pPr>
          </w:p>
        </w:tc>
        <w:tc>
          <w:tcPr>
            <w:tcW w:w="425" w:type="dxa"/>
            <w:tcBorders>
              <w:top w:val="nil"/>
              <w:left w:val="nil"/>
              <w:bottom w:val="single" w:sz="4" w:space="0" w:color="auto"/>
              <w:right w:val="single" w:sz="4" w:space="0" w:color="auto"/>
            </w:tcBorders>
            <w:shd w:val="clear" w:color="auto" w:fill="auto"/>
            <w:vAlign w:val="center"/>
          </w:tcPr>
          <w:p w14:paraId="19181D79" w14:textId="77777777" w:rsidR="009D4357" w:rsidRPr="00434957" w:rsidRDefault="009D4357" w:rsidP="00CE3F2A">
            <w:pPr>
              <w:spacing w:after="0"/>
              <w:jc w:val="center"/>
              <w:rPr>
                <w:rFonts w:eastAsia="Times New Roman"/>
                <w:noProof/>
                <w:color w:val="000000"/>
                <w:sz w:val="18"/>
                <w:szCs w:val="18"/>
                <w:lang w:val="fr-BE" w:eastAsia="fr-BE"/>
              </w:rPr>
            </w:pPr>
          </w:p>
        </w:tc>
        <w:tc>
          <w:tcPr>
            <w:tcW w:w="851" w:type="dxa"/>
            <w:tcBorders>
              <w:top w:val="nil"/>
              <w:left w:val="nil"/>
              <w:bottom w:val="single" w:sz="4" w:space="0" w:color="auto"/>
              <w:right w:val="single" w:sz="4" w:space="0" w:color="auto"/>
            </w:tcBorders>
            <w:shd w:val="clear" w:color="auto" w:fill="auto"/>
            <w:vAlign w:val="center"/>
          </w:tcPr>
          <w:p w14:paraId="4D2F7848" w14:textId="77777777" w:rsidR="009D4357" w:rsidRPr="00434957" w:rsidRDefault="009D4357" w:rsidP="00CE3F2A">
            <w:pPr>
              <w:spacing w:after="0"/>
              <w:jc w:val="center"/>
              <w:rPr>
                <w:noProof/>
                <w:color w:val="000000"/>
                <w:sz w:val="18"/>
                <w:szCs w:val="18"/>
              </w:rPr>
            </w:pPr>
            <w:r>
              <w:rPr>
                <w:rFonts w:eastAsia="Times New Roman"/>
                <w:noProof/>
                <w:color w:val="000000"/>
                <w:sz w:val="18"/>
                <w:szCs w:val="18"/>
                <w:lang w:val="fr-BE" w:eastAsia="fr-BE"/>
              </w:rPr>
              <w:t>4.15</w:t>
            </w:r>
          </w:p>
        </w:tc>
        <w:tc>
          <w:tcPr>
            <w:tcW w:w="425" w:type="dxa"/>
            <w:tcBorders>
              <w:top w:val="nil"/>
              <w:left w:val="nil"/>
              <w:bottom w:val="single" w:sz="4" w:space="0" w:color="auto"/>
              <w:right w:val="single" w:sz="4" w:space="0" w:color="auto"/>
            </w:tcBorders>
            <w:shd w:val="clear" w:color="auto" w:fill="auto"/>
            <w:vAlign w:val="center"/>
          </w:tcPr>
          <w:p w14:paraId="31264D61" w14:textId="77777777" w:rsidR="009D4357" w:rsidRPr="00434957" w:rsidRDefault="009D4357" w:rsidP="00CE3F2A">
            <w:pPr>
              <w:spacing w:after="0"/>
              <w:jc w:val="center"/>
              <w:rPr>
                <w:rFonts w:eastAsia="Times New Roman"/>
                <w:noProof/>
                <w:color w:val="000000"/>
                <w:sz w:val="18"/>
                <w:szCs w:val="18"/>
                <w:lang w:val="fr-BE" w:eastAsia="fr-BE"/>
              </w:rPr>
            </w:pPr>
          </w:p>
        </w:tc>
        <w:tc>
          <w:tcPr>
            <w:tcW w:w="850" w:type="dxa"/>
            <w:tcBorders>
              <w:top w:val="nil"/>
              <w:left w:val="nil"/>
              <w:bottom w:val="single" w:sz="4" w:space="0" w:color="auto"/>
              <w:right w:val="single" w:sz="4" w:space="0" w:color="auto"/>
            </w:tcBorders>
            <w:shd w:val="clear" w:color="auto" w:fill="auto"/>
            <w:vAlign w:val="center"/>
          </w:tcPr>
          <w:p w14:paraId="2573594F" w14:textId="77777777" w:rsidR="009D4357" w:rsidRPr="00434957" w:rsidRDefault="009D4357" w:rsidP="00CE3F2A">
            <w:pPr>
              <w:spacing w:after="0"/>
              <w:jc w:val="center"/>
              <w:rPr>
                <w:rFonts w:eastAsia="Times New Roman"/>
                <w:noProof/>
                <w:color w:val="000000"/>
                <w:sz w:val="18"/>
                <w:szCs w:val="18"/>
                <w:lang w:val="fr-BE" w:eastAsia="fr-BE"/>
              </w:rPr>
            </w:pPr>
            <w:r>
              <w:rPr>
                <w:noProof/>
                <w:color w:val="000000"/>
                <w:sz w:val="18"/>
                <w:szCs w:val="18"/>
              </w:rPr>
              <w:t>3.55</w:t>
            </w:r>
          </w:p>
        </w:tc>
        <w:tc>
          <w:tcPr>
            <w:tcW w:w="567" w:type="dxa"/>
            <w:tcBorders>
              <w:top w:val="nil"/>
              <w:left w:val="nil"/>
              <w:bottom w:val="single" w:sz="4" w:space="0" w:color="auto"/>
              <w:right w:val="single" w:sz="4" w:space="0" w:color="auto"/>
            </w:tcBorders>
            <w:shd w:val="clear" w:color="auto" w:fill="auto"/>
            <w:vAlign w:val="center"/>
          </w:tcPr>
          <w:p w14:paraId="5535E1B9" w14:textId="77777777" w:rsidR="009D4357" w:rsidRPr="00434957" w:rsidRDefault="009D4357" w:rsidP="00CE3F2A">
            <w:pPr>
              <w:spacing w:after="0"/>
              <w:jc w:val="center"/>
              <w:rPr>
                <w:rFonts w:eastAsia="Times New Roman"/>
                <w:noProof/>
                <w:color w:val="000000"/>
                <w:sz w:val="18"/>
                <w:szCs w:val="18"/>
                <w:lang w:val="fr-BE" w:eastAsia="fr-BE"/>
              </w:rPr>
            </w:pPr>
          </w:p>
        </w:tc>
        <w:tc>
          <w:tcPr>
            <w:tcW w:w="851" w:type="dxa"/>
            <w:tcBorders>
              <w:top w:val="nil"/>
              <w:left w:val="nil"/>
              <w:bottom w:val="single" w:sz="4" w:space="0" w:color="auto"/>
              <w:right w:val="single" w:sz="4" w:space="0" w:color="auto"/>
            </w:tcBorders>
            <w:shd w:val="clear" w:color="auto" w:fill="auto"/>
            <w:vAlign w:val="center"/>
          </w:tcPr>
          <w:p w14:paraId="0F214EA0"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2.4</w:t>
            </w:r>
          </w:p>
        </w:tc>
        <w:tc>
          <w:tcPr>
            <w:tcW w:w="567" w:type="dxa"/>
            <w:tcBorders>
              <w:top w:val="nil"/>
              <w:left w:val="nil"/>
              <w:bottom w:val="single" w:sz="4" w:space="0" w:color="auto"/>
              <w:right w:val="single" w:sz="4" w:space="0" w:color="auto"/>
            </w:tcBorders>
            <w:shd w:val="clear" w:color="auto" w:fill="auto"/>
            <w:vAlign w:val="center"/>
          </w:tcPr>
          <w:p w14:paraId="0BD2107E" w14:textId="77777777" w:rsidR="009D4357" w:rsidRPr="00434957" w:rsidRDefault="009D4357" w:rsidP="00CE3F2A">
            <w:pPr>
              <w:spacing w:after="0"/>
              <w:rPr>
                <w:rFonts w:eastAsia="Times New Roman"/>
                <w:noProof/>
                <w:color w:val="000000"/>
                <w:sz w:val="18"/>
                <w:szCs w:val="18"/>
                <w:lang w:val="fr-BE" w:eastAsia="fr-BE"/>
              </w:rPr>
            </w:pPr>
          </w:p>
        </w:tc>
        <w:tc>
          <w:tcPr>
            <w:tcW w:w="992" w:type="dxa"/>
            <w:tcBorders>
              <w:top w:val="nil"/>
              <w:left w:val="nil"/>
              <w:bottom w:val="single" w:sz="4" w:space="0" w:color="auto"/>
              <w:right w:val="single" w:sz="4" w:space="0" w:color="auto"/>
            </w:tcBorders>
            <w:shd w:val="clear" w:color="auto" w:fill="auto"/>
            <w:vAlign w:val="center"/>
          </w:tcPr>
          <w:p w14:paraId="14CF6660"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1.2</w:t>
            </w:r>
          </w:p>
        </w:tc>
        <w:tc>
          <w:tcPr>
            <w:tcW w:w="567" w:type="dxa"/>
            <w:tcBorders>
              <w:top w:val="nil"/>
              <w:left w:val="nil"/>
              <w:bottom w:val="single" w:sz="4" w:space="0" w:color="auto"/>
              <w:right w:val="single" w:sz="4" w:space="0" w:color="auto"/>
            </w:tcBorders>
            <w:shd w:val="clear" w:color="auto" w:fill="auto"/>
            <w:vAlign w:val="center"/>
          </w:tcPr>
          <w:p w14:paraId="739737FB" w14:textId="77777777" w:rsidR="009D4357" w:rsidRPr="00434957" w:rsidRDefault="009D4357" w:rsidP="00CE3F2A">
            <w:pPr>
              <w:spacing w:after="0"/>
              <w:jc w:val="center"/>
              <w:rPr>
                <w:rFonts w:eastAsia="Times New Roman"/>
                <w:noProof/>
                <w:color w:val="000000"/>
                <w:sz w:val="18"/>
                <w:szCs w:val="18"/>
                <w:lang w:val="fr-BE" w:eastAsia="fr-BE"/>
              </w:rPr>
            </w:pPr>
          </w:p>
        </w:tc>
        <w:tc>
          <w:tcPr>
            <w:tcW w:w="992" w:type="dxa"/>
            <w:tcBorders>
              <w:top w:val="single" w:sz="4" w:space="0" w:color="auto"/>
              <w:bottom w:val="single" w:sz="4" w:space="0" w:color="auto"/>
              <w:right w:val="single" w:sz="4" w:space="0" w:color="auto"/>
            </w:tcBorders>
            <w:vAlign w:val="center"/>
          </w:tcPr>
          <w:p w14:paraId="0B4B807D" w14:textId="77777777" w:rsidR="009D4357" w:rsidRPr="00434957" w:rsidRDefault="009D4357" w:rsidP="00CE3F2A">
            <w:pPr>
              <w:spacing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11.3</w:t>
            </w:r>
          </w:p>
        </w:tc>
      </w:tr>
    </w:tbl>
    <w:p w14:paraId="3ACF567C" w14:textId="77777777" w:rsidR="009D4357" w:rsidRPr="00434957" w:rsidRDefault="009D4357" w:rsidP="009D4357">
      <w:pPr>
        <w:rPr>
          <w:noProof/>
          <w:highlight w:val="yellow"/>
          <w:lang w:eastAsia="en-GB"/>
        </w:rPr>
        <w:sectPr w:rsidR="009D4357" w:rsidRPr="00434957" w:rsidSect="009D02A3">
          <w:pgSz w:w="15840" w:h="12240" w:orient="landscape"/>
          <w:pgMar w:top="1418" w:right="902" w:bottom="902" w:left="567" w:header="709" w:footer="709" w:gutter="0"/>
          <w:cols w:space="720"/>
          <w:docGrid w:linePitch="326"/>
        </w:sectPr>
      </w:pPr>
    </w:p>
    <w:p w14:paraId="3F359CDA" w14:textId="77777777" w:rsidR="009D4357" w:rsidRPr="00434957" w:rsidRDefault="009D4357" w:rsidP="009D4357">
      <w:pPr>
        <w:keepNext/>
        <w:tabs>
          <w:tab w:val="left" w:pos="850"/>
        </w:tabs>
        <w:ind w:left="850" w:hanging="850"/>
        <w:outlineLvl w:val="2"/>
        <w:rPr>
          <w:i/>
          <w:noProof/>
          <w:szCs w:val="24"/>
          <w:lang w:eastAsia="en-GB"/>
        </w:rPr>
      </w:pPr>
      <w:r w:rsidRPr="00434957">
        <w:rPr>
          <w:i/>
          <w:noProof/>
        </w:rPr>
        <w:t>3.2.</w:t>
      </w:r>
      <w:r>
        <w:rPr>
          <w:i/>
          <w:noProof/>
        </w:rPr>
        <w:t>4</w:t>
      </w:r>
      <w:r w:rsidRPr="00434957">
        <w:rPr>
          <w:i/>
          <w:noProof/>
        </w:rPr>
        <w:t>.</w:t>
      </w:r>
      <w:r w:rsidRPr="00434957">
        <w:rPr>
          <w:i/>
          <w:noProof/>
        </w:rPr>
        <w:tab/>
      </w:r>
      <w:r w:rsidRPr="00434957">
        <w:rPr>
          <w:i/>
          <w:noProof/>
          <w:lang w:eastAsia="en-GB"/>
        </w:rPr>
        <w:t xml:space="preserve">Estimated impact on Europol’s human resources </w:t>
      </w:r>
    </w:p>
    <w:p w14:paraId="06CF2DD1" w14:textId="77777777" w:rsidR="009D4357" w:rsidRPr="00434957" w:rsidRDefault="009D4357" w:rsidP="009D4357">
      <w:pPr>
        <w:keepNext/>
        <w:tabs>
          <w:tab w:val="left" w:pos="850"/>
        </w:tabs>
        <w:ind w:left="850" w:hanging="850"/>
        <w:outlineLvl w:val="3"/>
        <w:rPr>
          <w:noProof/>
          <w:szCs w:val="24"/>
          <w:lang w:eastAsia="en-GB"/>
        </w:rPr>
      </w:pPr>
      <w:r w:rsidRPr="00434957">
        <w:rPr>
          <w:noProof/>
        </w:rPr>
        <w:t>3.2.</w:t>
      </w:r>
      <w:r>
        <w:rPr>
          <w:noProof/>
        </w:rPr>
        <w:t>4</w:t>
      </w:r>
      <w:r w:rsidRPr="00434957">
        <w:rPr>
          <w:noProof/>
        </w:rPr>
        <w:t>.1.</w:t>
      </w:r>
      <w:r w:rsidRPr="00434957">
        <w:rPr>
          <w:noProof/>
        </w:rPr>
        <w:tab/>
      </w:r>
      <w:r w:rsidRPr="00434957">
        <w:rPr>
          <w:noProof/>
          <w:lang w:eastAsia="en-GB"/>
        </w:rPr>
        <w:t xml:space="preserve">Summary </w:t>
      </w:r>
    </w:p>
    <w:p w14:paraId="551D5D80" w14:textId="77777777" w:rsidR="009D4357" w:rsidRPr="00434957" w:rsidRDefault="009D4357" w:rsidP="009D4357">
      <w:pPr>
        <w:tabs>
          <w:tab w:val="num" w:pos="1134"/>
        </w:tabs>
        <w:ind w:left="1134" w:hanging="283"/>
        <w:rPr>
          <w:noProof/>
          <w:lang w:eastAsia="en-GB"/>
        </w:rPr>
      </w:pPr>
      <w:r w:rsidRPr="00434957">
        <w:rPr>
          <w:noProof/>
          <w:lang w:eastAsia="en-GB"/>
        </w:rPr>
        <w:sym w:font="Wingdings" w:char="F0A8"/>
      </w:r>
      <w:r w:rsidRPr="00434957">
        <w:rPr>
          <w:noProof/>
          <w:lang w:eastAsia="en-GB"/>
        </w:rPr>
        <w:tab/>
        <w:t xml:space="preserve">The proposal/initiative does not require the use of appropriations of an administrative nature </w:t>
      </w:r>
    </w:p>
    <w:p w14:paraId="6298E8A4" w14:textId="77777777" w:rsidR="009D4357" w:rsidRPr="00434957" w:rsidRDefault="009D4357" w:rsidP="009D4357">
      <w:pPr>
        <w:tabs>
          <w:tab w:val="num" w:pos="1134"/>
        </w:tabs>
        <w:ind w:left="1134" w:hanging="283"/>
        <w:rPr>
          <w:noProof/>
          <w:lang w:eastAsia="en-GB"/>
        </w:rPr>
      </w:pPr>
      <w:r w:rsidRPr="00434957">
        <w:rPr>
          <w:noProof/>
          <w:lang w:eastAsia="en-GB"/>
        </w:rPr>
        <w:sym w:font="Wingdings" w:char="F078"/>
      </w:r>
      <w:r w:rsidRPr="00434957">
        <w:rPr>
          <w:noProof/>
          <w:lang w:eastAsia="en-GB"/>
        </w:rPr>
        <w:tab/>
        <w:t>The proposal/initiative requires the use of appropriations of an administrative nature, as explained below:</w:t>
      </w:r>
    </w:p>
    <w:p w14:paraId="1F21C00F" w14:textId="77777777" w:rsidR="009D4357" w:rsidRPr="00434957" w:rsidRDefault="009D4357" w:rsidP="009D4357">
      <w:pPr>
        <w:rPr>
          <w:noProof/>
          <w:sz w:val="20"/>
          <w:lang w:eastAsia="en-GB"/>
        </w:rPr>
      </w:pPr>
      <w:r w:rsidRPr="00434957">
        <w:rPr>
          <w:noProof/>
          <w:sz w:val="20"/>
          <w:lang w:eastAsia="en-GB"/>
        </w:rPr>
        <w:t>EUR million (to three decimal places)</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9D4357" w:rsidRPr="00434957" w14:paraId="4670EA61" w14:textId="77777777" w:rsidTr="00CE3F2A">
        <w:trPr>
          <w:trHeight w:val="585"/>
        </w:trPr>
        <w:tc>
          <w:tcPr>
            <w:tcW w:w="1980" w:type="dxa"/>
          </w:tcPr>
          <w:p w14:paraId="6CD1C92D" w14:textId="77777777" w:rsidR="009D4357" w:rsidRPr="00434957" w:rsidRDefault="009D4357" w:rsidP="00CE3F2A">
            <w:pPr>
              <w:spacing w:before="60" w:after="60"/>
              <w:rPr>
                <w:noProof/>
                <w:sz w:val="20"/>
                <w:lang w:eastAsia="en-GB"/>
              </w:rPr>
            </w:pPr>
          </w:p>
        </w:tc>
        <w:tc>
          <w:tcPr>
            <w:tcW w:w="1080" w:type="dxa"/>
            <w:vAlign w:val="center"/>
          </w:tcPr>
          <w:p w14:paraId="471FB95C" w14:textId="77777777" w:rsidR="009D4357" w:rsidRPr="00434957" w:rsidRDefault="009D4357" w:rsidP="00CE3F2A">
            <w:pPr>
              <w:spacing w:before="60" w:after="60"/>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2023</w:t>
            </w:r>
          </w:p>
        </w:tc>
        <w:tc>
          <w:tcPr>
            <w:tcW w:w="1080" w:type="dxa"/>
            <w:vAlign w:val="center"/>
          </w:tcPr>
          <w:p w14:paraId="2716DB8F" w14:textId="77777777" w:rsidR="009D4357" w:rsidRPr="00434957" w:rsidRDefault="009D4357" w:rsidP="00CE3F2A">
            <w:pPr>
              <w:spacing w:before="60" w:after="60"/>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2024</w:t>
            </w:r>
          </w:p>
        </w:tc>
        <w:tc>
          <w:tcPr>
            <w:tcW w:w="1080" w:type="dxa"/>
            <w:vAlign w:val="center"/>
          </w:tcPr>
          <w:p w14:paraId="32F1CE53" w14:textId="77777777" w:rsidR="009D4357" w:rsidRPr="00434957" w:rsidRDefault="009D4357" w:rsidP="00CE3F2A">
            <w:pPr>
              <w:spacing w:before="60" w:after="60"/>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2025</w:t>
            </w:r>
          </w:p>
        </w:tc>
        <w:tc>
          <w:tcPr>
            <w:tcW w:w="1080" w:type="dxa"/>
          </w:tcPr>
          <w:p w14:paraId="018503AC" w14:textId="77777777" w:rsidR="009D4357" w:rsidRPr="00434957" w:rsidRDefault="009D4357" w:rsidP="00CE3F2A">
            <w:pPr>
              <w:spacing w:before="60" w:after="60"/>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2026</w:t>
            </w:r>
          </w:p>
        </w:tc>
        <w:tc>
          <w:tcPr>
            <w:tcW w:w="1080" w:type="dxa"/>
          </w:tcPr>
          <w:p w14:paraId="66EA95D4" w14:textId="77777777" w:rsidR="009D4357" w:rsidRPr="00434957" w:rsidRDefault="009D4357" w:rsidP="00CE3F2A">
            <w:pPr>
              <w:spacing w:before="60" w:after="60"/>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2027</w:t>
            </w:r>
          </w:p>
        </w:tc>
        <w:tc>
          <w:tcPr>
            <w:tcW w:w="1080" w:type="dxa"/>
            <w:vAlign w:val="center"/>
          </w:tcPr>
          <w:p w14:paraId="5082D6A2" w14:textId="77777777" w:rsidR="009D4357" w:rsidRPr="00434957" w:rsidRDefault="009D4357" w:rsidP="00CE3F2A">
            <w:pPr>
              <w:spacing w:before="60" w:after="60"/>
              <w:jc w:val="center"/>
              <w:rPr>
                <w:b/>
                <w:noProof/>
                <w:sz w:val="20"/>
                <w:lang w:eastAsia="en-GB"/>
              </w:rPr>
            </w:pPr>
            <w:r w:rsidRPr="00434957">
              <w:rPr>
                <w:b/>
                <w:noProof/>
                <w:sz w:val="20"/>
                <w:lang w:eastAsia="en-GB"/>
              </w:rPr>
              <w:t>TOTAL</w:t>
            </w:r>
          </w:p>
        </w:tc>
      </w:tr>
    </w:tbl>
    <w:p w14:paraId="74DC69CB" w14:textId="77777777" w:rsidR="009D4357" w:rsidRPr="00434957" w:rsidRDefault="009D4357" w:rsidP="009D4357">
      <w:pPr>
        <w:rPr>
          <w:noProof/>
          <w:sz w:val="20"/>
          <w:lang w:eastAsia="en-GB"/>
        </w:rPr>
      </w:pPr>
    </w:p>
    <w:tbl>
      <w:tblPr>
        <w:tblW w:w="846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9D4357" w:rsidRPr="00434957" w14:paraId="6BD4836B" w14:textId="77777777" w:rsidTr="00CE3F2A">
        <w:trPr>
          <w:trHeight w:val="585"/>
        </w:trPr>
        <w:tc>
          <w:tcPr>
            <w:tcW w:w="1980" w:type="dxa"/>
            <w:shd w:val="clear" w:color="auto" w:fill="D9D9D9" w:themeFill="background1" w:themeFillShade="D9"/>
            <w:vAlign w:val="center"/>
          </w:tcPr>
          <w:p w14:paraId="46D399CA" w14:textId="77777777" w:rsidR="009D4357" w:rsidRPr="00434957" w:rsidRDefault="009D4357" w:rsidP="00CE3F2A">
            <w:pPr>
              <w:spacing w:before="60" w:after="60"/>
              <w:jc w:val="center"/>
              <w:rPr>
                <w:noProof/>
                <w:lang w:eastAsia="en-GB"/>
              </w:rPr>
            </w:pPr>
            <w:r w:rsidRPr="00434957">
              <w:rPr>
                <w:noProof/>
                <w:sz w:val="18"/>
                <w:lang w:eastAsia="en-GB"/>
              </w:rPr>
              <w:t xml:space="preserve">Temporary agents - Baseline </w:t>
            </w:r>
          </w:p>
        </w:tc>
        <w:tc>
          <w:tcPr>
            <w:tcW w:w="1080" w:type="dxa"/>
            <w:vAlign w:val="center"/>
          </w:tcPr>
          <w:p w14:paraId="3EBFBCC4" w14:textId="77777777" w:rsidR="009D4357" w:rsidRPr="00434957" w:rsidRDefault="009D4357" w:rsidP="00CE3F2A">
            <w:pPr>
              <w:spacing w:before="60" w:after="60"/>
              <w:jc w:val="center"/>
              <w:rPr>
                <w:noProof/>
                <w:sz w:val="20"/>
                <w:lang w:eastAsia="en-GB"/>
              </w:rPr>
            </w:pPr>
          </w:p>
        </w:tc>
        <w:tc>
          <w:tcPr>
            <w:tcW w:w="1080" w:type="dxa"/>
            <w:vAlign w:val="center"/>
          </w:tcPr>
          <w:p w14:paraId="5CB971A2" w14:textId="77777777" w:rsidR="009D4357" w:rsidRPr="00434957" w:rsidRDefault="009D4357" w:rsidP="00CE3F2A">
            <w:pPr>
              <w:spacing w:before="60" w:after="60"/>
              <w:jc w:val="center"/>
              <w:rPr>
                <w:noProof/>
                <w:sz w:val="20"/>
                <w:lang w:eastAsia="en-GB"/>
              </w:rPr>
            </w:pPr>
          </w:p>
        </w:tc>
        <w:tc>
          <w:tcPr>
            <w:tcW w:w="1080" w:type="dxa"/>
            <w:vAlign w:val="center"/>
          </w:tcPr>
          <w:p w14:paraId="51494A2A" w14:textId="77777777" w:rsidR="009D4357" w:rsidRPr="00434957" w:rsidRDefault="009D4357" w:rsidP="00CE3F2A">
            <w:pPr>
              <w:spacing w:before="60" w:after="60"/>
              <w:jc w:val="center"/>
              <w:rPr>
                <w:noProof/>
                <w:sz w:val="20"/>
                <w:lang w:eastAsia="en-GB"/>
              </w:rPr>
            </w:pPr>
          </w:p>
        </w:tc>
        <w:tc>
          <w:tcPr>
            <w:tcW w:w="1080" w:type="dxa"/>
            <w:vAlign w:val="center"/>
          </w:tcPr>
          <w:p w14:paraId="03AEFFD5" w14:textId="77777777" w:rsidR="009D4357" w:rsidRPr="00434957" w:rsidRDefault="009D4357" w:rsidP="00CE3F2A">
            <w:pPr>
              <w:spacing w:before="60" w:after="60"/>
              <w:jc w:val="center"/>
              <w:rPr>
                <w:noProof/>
                <w:sz w:val="20"/>
                <w:lang w:eastAsia="en-GB"/>
              </w:rPr>
            </w:pPr>
          </w:p>
        </w:tc>
        <w:tc>
          <w:tcPr>
            <w:tcW w:w="1080" w:type="dxa"/>
            <w:vAlign w:val="center"/>
          </w:tcPr>
          <w:p w14:paraId="6B99484C" w14:textId="77777777" w:rsidR="009D4357" w:rsidRPr="00434957" w:rsidRDefault="009D4357" w:rsidP="00CE3F2A">
            <w:pPr>
              <w:spacing w:before="60" w:after="60"/>
              <w:jc w:val="center"/>
              <w:rPr>
                <w:noProof/>
                <w:sz w:val="20"/>
                <w:lang w:eastAsia="en-GB"/>
              </w:rPr>
            </w:pPr>
          </w:p>
        </w:tc>
        <w:tc>
          <w:tcPr>
            <w:tcW w:w="1080" w:type="dxa"/>
            <w:vAlign w:val="center"/>
          </w:tcPr>
          <w:p w14:paraId="7277751B" w14:textId="77777777" w:rsidR="009D4357" w:rsidRPr="00434957" w:rsidRDefault="009D4357" w:rsidP="00CE3F2A">
            <w:pPr>
              <w:spacing w:before="60" w:after="60"/>
              <w:jc w:val="center"/>
              <w:rPr>
                <w:b/>
                <w:noProof/>
                <w:sz w:val="20"/>
                <w:lang w:eastAsia="en-GB"/>
              </w:rPr>
            </w:pPr>
          </w:p>
        </w:tc>
      </w:tr>
      <w:tr w:rsidR="00425478" w:rsidRPr="00434957" w14:paraId="106E8245" w14:textId="77777777" w:rsidTr="00CE3F2A">
        <w:trPr>
          <w:trHeight w:val="585"/>
        </w:trPr>
        <w:tc>
          <w:tcPr>
            <w:tcW w:w="1980" w:type="dxa"/>
            <w:shd w:val="clear" w:color="auto" w:fill="D9D9D9" w:themeFill="background1" w:themeFillShade="D9"/>
            <w:vAlign w:val="center"/>
          </w:tcPr>
          <w:p w14:paraId="52C28E64" w14:textId="77777777" w:rsidR="00425478" w:rsidRPr="00434957" w:rsidRDefault="00425478" w:rsidP="00425478">
            <w:pPr>
              <w:spacing w:before="60" w:after="60"/>
              <w:jc w:val="center"/>
              <w:rPr>
                <w:noProof/>
                <w:sz w:val="18"/>
                <w:lang w:eastAsia="en-GB"/>
              </w:rPr>
            </w:pPr>
            <w:r w:rsidRPr="00434957">
              <w:rPr>
                <w:noProof/>
                <w:sz w:val="18"/>
                <w:lang w:eastAsia="en-GB"/>
              </w:rPr>
              <w:t>Temporary agents – Additional compared to the baseline (cumulative)</w:t>
            </w:r>
          </w:p>
        </w:tc>
        <w:tc>
          <w:tcPr>
            <w:tcW w:w="1080" w:type="dxa"/>
            <w:vAlign w:val="center"/>
          </w:tcPr>
          <w:p w14:paraId="0CDD692C" w14:textId="2C3089AE" w:rsidR="00425478" w:rsidRPr="00434957" w:rsidRDefault="00425478" w:rsidP="00425478">
            <w:pPr>
              <w:spacing w:before="60" w:after="60"/>
              <w:jc w:val="center"/>
              <w:rPr>
                <w:noProof/>
                <w:sz w:val="20"/>
                <w:lang w:eastAsia="en-GB"/>
              </w:rPr>
            </w:pPr>
            <w:r>
              <w:rPr>
                <w:noProof/>
                <w:sz w:val="20"/>
                <w:lang w:eastAsia="en-GB"/>
              </w:rPr>
              <w:t>0</w:t>
            </w:r>
          </w:p>
        </w:tc>
        <w:tc>
          <w:tcPr>
            <w:tcW w:w="1080" w:type="dxa"/>
            <w:vAlign w:val="center"/>
          </w:tcPr>
          <w:p w14:paraId="25188478" w14:textId="7A573449" w:rsidR="00425478" w:rsidRPr="00434957" w:rsidRDefault="00425478" w:rsidP="00425478">
            <w:pPr>
              <w:spacing w:before="60" w:after="60"/>
              <w:jc w:val="center"/>
              <w:rPr>
                <w:noProof/>
                <w:sz w:val="20"/>
                <w:lang w:eastAsia="en-GB"/>
              </w:rPr>
            </w:pPr>
            <w:r>
              <w:rPr>
                <w:noProof/>
                <w:sz w:val="20"/>
                <w:lang w:eastAsia="en-GB"/>
              </w:rPr>
              <w:t>0.551</w:t>
            </w:r>
          </w:p>
        </w:tc>
        <w:tc>
          <w:tcPr>
            <w:tcW w:w="1080" w:type="dxa"/>
            <w:vAlign w:val="center"/>
          </w:tcPr>
          <w:p w14:paraId="389EAE03" w14:textId="39401272" w:rsidR="00425478" w:rsidRPr="00434957" w:rsidRDefault="00425478" w:rsidP="00425478">
            <w:pPr>
              <w:spacing w:before="60" w:after="60"/>
              <w:jc w:val="center"/>
              <w:rPr>
                <w:noProof/>
                <w:sz w:val="20"/>
                <w:lang w:eastAsia="en-GB"/>
              </w:rPr>
            </w:pPr>
            <w:r>
              <w:rPr>
                <w:noProof/>
                <w:sz w:val="20"/>
                <w:lang w:eastAsia="en-GB"/>
              </w:rPr>
              <w:t>1.101</w:t>
            </w:r>
          </w:p>
        </w:tc>
        <w:tc>
          <w:tcPr>
            <w:tcW w:w="1080" w:type="dxa"/>
            <w:vAlign w:val="center"/>
          </w:tcPr>
          <w:p w14:paraId="3A866854" w14:textId="1256A354" w:rsidR="00425478" w:rsidRPr="00434957" w:rsidRDefault="00425478" w:rsidP="00425478">
            <w:pPr>
              <w:spacing w:before="60" w:after="60"/>
              <w:jc w:val="center"/>
              <w:rPr>
                <w:noProof/>
                <w:sz w:val="20"/>
                <w:lang w:eastAsia="en-GB"/>
              </w:rPr>
            </w:pPr>
            <w:r>
              <w:rPr>
                <w:noProof/>
                <w:sz w:val="20"/>
                <w:lang w:eastAsia="en-GB"/>
              </w:rPr>
              <w:t>0.847</w:t>
            </w:r>
          </w:p>
        </w:tc>
        <w:tc>
          <w:tcPr>
            <w:tcW w:w="1080" w:type="dxa"/>
            <w:vAlign w:val="center"/>
          </w:tcPr>
          <w:p w14:paraId="515D440B" w14:textId="2C423135" w:rsidR="00425478" w:rsidRPr="00434957" w:rsidRDefault="00425478" w:rsidP="00425478">
            <w:pPr>
              <w:spacing w:before="60" w:after="60"/>
              <w:jc w:val="center"/>
              <w:rPr>
                <w:noProof/>
                <w:sz w:val="20"/>
                <w:lang w:eastAsia="en-GB"/>
              </w:rPr>
            </w:pPr>
            <w:r>
              <w:rPr>
                <w:noProof/>
                <w:sz w:val="20"/>
                <w:lang w:eastAsia="en-GB"/>
              </w:rPr>
              <w:t>0.847</w:t>
            </w:r>
          </w:p>
        </w:tc>
        <w:tc>
          <w:tcPr>
            <w:tcW w:w="1080" w:type="dxa"/>
            <w:vAlign w:val="center"/>
          </w:tcPr>
          <w:p w14:paraId="0208388F" w14:textId="32F738A3" w:rsidR="00425478" w:rsidRPr="00434957" w:rsidRDefault="00425478" w:rsidP="00425478">
            <w:pPr>
              <w:spacing w:before="60" w:after="60"/>
              <w:jc w:val="center"/>
              <w:rPr>
                <w:b/>
                <w:noProof/>
                <w:sz w:val="20"/>
                <w:lang w:eastAsia="en-GB"/>
              </w:rPr>
            </w:pPr>
            <w:r>
              <w:rPr>
                <w:b/>
                <w:noProof/>
                <w:sz w:val="20"/>
                <w:lang w:eastAsia="en-GB"/>
              </w:rPr>
              <w:t>3.347</w:t>
            </w:r>
          </w:p>
        </w:tc>
      </w:tr>
      <w:tr w:rsidR="009D4357" w:rsidRPr="00434957" w14:paraId="495EFB5A" w14:textId="77777777" w:rsidTr="00CE3F2A">
        <w:trPr>
          <w:trHeight w:val="585"/>
        </w:trPr>
        <w:tc>
          <w:tcPr>
            <w:tcW w:w="1980" w:type="dxa"/>
            <w:shd w:val="clear" w:color="auto" w:fill="BFBFBF" w:themeFill="background1" w:themeFillShade="BF"/>
            <w:vAlign w:val="center"/>
          </w:tcPr>
          <w:p w14:paraId="7A884D02" w14:textId="77777777" w:rsidR="009D4357" w:rsidRPr="00434957" w:rsidRDefault="009D4357" w:rsidP="00CE3F2A">
            <w:pPr>
              <w:spacing w:before="60" w:after="60"/>
              <w:jc w:val="center"/>
              <w:rPr>
                <w:noProof/>
                <w:sz w:val="18"/>
                <w:lang w:eastAsia="en-GB"/>
              </w:rPr>
            </w:pPr>
            <w:r w:rsidRPr="00434957">
              <w:rPr>
                <w:noProof/>
                <w:sz w:val="18"/>
                <w:lang w:eastAsia="en-GB"/>
              </w:rPr>
              <w:t>Temporary agents - TOTAL</w:t>
            </w:r>
          </w:p>
        </w:tc>
        <w:tc>
          <w:tcPr>
            <w:tcW w:w="1080" w:type="dxa"/>
            <w:shd w:val="clear" w:color="auto" w:fill="auto"/>
            <w:vAlign w:val="center"/>
          </w:tcPr>
          <w:p w14:paraId="59FF428E"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30A9331B"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661A4D67"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1A1843E8"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2FF1ECCE"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6F166649" w14:textId="77777777" w:rsidR="009D4357" w:rsidRPr="00434957" w:rsidRDefault="009D4357" w:rsidP="00CE3F2A">
            <w:pPr>
              <w:spacing w:before="60" w:after="60"/>
              <w:jc w:val="center"/>
              <w:rPr>
                <w:b/>
                <w:noProof/>
                <w:sz w:val="20"/>
                <w:lang w:eastAsia="en-GB"/>
              </w:rPr>
            </w:pPr>
          </w:p>
        </w:tc>
      </w:tr>
      <w:tr w:rsidR="009D4357" w:rsidRPr="00434957" w14:paraId="7CD6C374" w14:textId="77777777" w:rsidTr="00CE3F2A">
        <w:trPr>
          <w:trHeight w:val="585"/>
        </w:trPr>
        <w:tc>
          <w:tcPr>
            <w:tcW w:w="1980" w:type="dxa"/>
            <w:shd w:val="clear" w:color="auto" w:fill="BFBFBF" w:themeFill="background1" w:themeFillShade="BF"/>
            <w:vAlign w:val="center"/>
          </w:tcPr>
          <w:p w14:paraId="5BDD76D9" w14:textId="77777777" w:rsidR="009D4357" w:rsidRPr="00434957" w:rsidRDefault="009D4357" w:rsidP="00CE3F2A">
            <w:pPr>
              <w:spacing w:before="60" w:after="60"/>
              <w:jc w:val="center"/>
              <w:rPr>
                <w:noProof/>
                <w:sz w:val="18"/>
                <w:lang w:eastAsia="en-GB"/>
              </w:rPr>
            </w:pPr>
            <w:r w:rsidRPr="00434957">
              <w:rPr>
                <w:noProof/>
                <w:sz w:val="20"/>
              </w:rPr>
              <w:t xml:space="preserve">Contract staff - </w:t>
            </w:r>
            <w:r w:rsidRPr="00434957">
              <w:rPr>
                <w:noProof/>
                <w:sz w:val="18"/>
                <w:lang w:eastAsia="en-GB"/>
              </w:rPr>
              <w:t xml:space="preserve">Baseline </w:t>
            </w:r>
          </w:p>
        </w:tc>
        <w:tc>
          <w:tcPr>
            <w:tcW w:w="1080" w:type="dxa"/>
            <w:shd w:val="clear" w:color="auto" w:fill="auto"/>
            <w:vAlign w:val="center"/>
          </w:tcPr>
          <w:p w14:paraId="5A2543CA"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62A677DE"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27517789"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7B638E38"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3553F72D"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713E4480" w14:textId="77777777" w:rsidR="009D4357" w:rsidRPr="00434957" w:rsidRDefault="009D4357" w:rsidP="00CE3F2A">
            <w:pPr>
              <w:spacing w:before="60" w:after="60"/>
              <w:jc w:val="center"/>
              <w:rPr>
                <w:b/>
                <w:noProof/>
                <w:sz w:val="20"/>
                <w:lang w:eastAsia="en-GB"/>
              </w:rPr>
            </w:pPr>
          </w:p>
        </w:tc>
      </w:tr>
      <w:tr w:rsidR="009D4357" w:rsidRPr="00434957" w14:paraId="42395023" w14:textId="77777777" w:rsidTr="00CE3F2A">
        <w:trPr>
          <w:trHeight w:val="585"/>
        </w:trPr>
        <w:tc>
          <w:tcPr>
            <w:tcW w:w="1980" w:type="dxa"/>
            <w:shd w:val="clear" w:color="auto" w:fill="BFBFBF" w:themeFill="background1" w:themeFillShade="BF"/>
            <w:vAlign w:val="center"/>
          </w:tcPr>
          <w:p w14:paraId="56153B24" w14:textId="77777777" w:rsidR="009D4357" w:rsidRPr="00434957" w:rsidRDefault="009D4357" w:rsidP="00CE3F2A">
            <w:pPr>
              <w:spacing w:before="60" w:after="60"/>
              <w:jc w:val="center"/>
              <w:rPr>
                <w:noProof/>
                <w:lang w:eastAsia="en-GB"/>
              </w:rPr>
            </w:pPr>
            <w:r w:rsidRPr="00434957">
              <w:rPr>
                <w:noProof/>
                <w:sz w:val="18"/>
                <w:lang w:eastAsia="en-GB"/>
              </w:rPr>
              <w:t>Seconded National Experts - Baseline (Draft Budget Request 2021)</w:t>
            </w:r>
          </w:p>
        </w:tc>
        <w:tc>
          <w:tcPr>
            <w:tcW w:w="1080" w:type="dxa"/>
            <w:shd w:val="clear" w:color="auto" w:fill="auto"/>
            <w:vAlign w:val="center"/>
          </w:tcPr>
          <w:p w14:paraId="078AB39E"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6F195836"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3A5A0914"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2B1B08AD"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4728A878"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7DD3D257" w14:textId="77777777" w:rsidR="009D4357" w:rsidRPr="00434957" w:rsidRDefault="009D4357" w:rsidP="00CE3F2A">
            <w:pPr>
              <w:spacing w:before="60" w:after="60"/>
              <w:jc w:val="center"/>
              <w:rPr>
                <w:b/>
                <w:noProof/>
                <w:sz w:val="20"/>
                <w:lang w:eastAsia="en-GB"/>
              </w:rPr>
            </w:pPr>
          </w:p>
        </w:tc>
      </w:tr>
    </w:tbl>
    <w:p w14:paraId="2BC4245C" w14:textId="77777777" w:rsidR="009D4357" w:rsidRPr="00434957" w:rsidRDefault="009D4357" w:rsidP="009D4357">
      <w:pPr>
        <w:rPr>
          <w:noProof/>
          <w:sz w:val="20"/>
          <w:lang w:eastAsia="en-GB"/>
        </w:rPr>
      </w:pPr>
    </w:p>
    <w:tbl>
      <w:tblPr>
        <w:tblW w:w="8460" w:type="dxa"/>
        <w:tblInd w:w="108" w:type="dxa"/>
        <w:tblLayout w:type="fixed"/>
        <w:tblLook w:val="01E0" w:firstRow="1" w:lastRow="1" w:firstColumn="1" w:lastColumn="1" w:noHBand="0" w:noVBand="0"/>
      </w:tblPr>
      <w:tblGrid>
        <w:gridCol w:w="1980"/>
        <w:gridCol w:w="1080"/>
        <w:gridCol w:w="1080"/>
        <w:gridCol w:w="1080"/>
        <w:gridCol w:w="1080"/>
        <w:gridCol w:w="1080"/>
        <w:gridCol w:w="1080"/>
      </w:tblGrid>
      <w:tr w:rsidR="00425478" w:rsidRPr="00434957" w14:paraId="4A38A4D5" w14:textId="77777777" w:rsidTr="00CE3F2A">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1EB3A881" w14:textId="77777777" w:rsidR="00425478" w:rsidRPr="00434957" w:rsidRDefault="00425478" w:rsidP="00425478">
            <w:pPr>
              <w:spacing w:before="60" w:after="60"/>
              <w:jc w:val="center"/>
              <w:rPr>
                <w:b/>
                <w:noProof/>
                <w:sz w:val="20"/>
                <w:lang w:eastAsia="en-GB"/>
              </w:rPr>
            </w:pPr>
            <w:r w:rsidRPr="00434957">
              <w:rPr>
                <w:b/>
                <w:noProof/>
                <w:sz w:val="20"/>
                <w:lang w:eastAsia="en-GB"/>
              </w:rPr>
              <w:t>TOTAL only additional costs</w:t>
            </w:r>
          </w:p>
        </w:tc>
        <w:tc>
          <w:tcPr>
            <w:tcW w:w="1080" w:type="dxa"/>
            <w:tcBorders>
              <w:top w:val="single" w:sz="12" w:space="0" w:color="auto"/>
              <w:left w:val="single" w:sz="2" w:space="0" w:color="auto"/>
              <w:bottom w:val="single" w:sz="12" w:space="0" w:color="auto"/>
              <w:right w:val="single" w:sz="2" w:space="0" w:color="auto"/>
            </w:tcBorders>
            <w:vAlign w:val="center"/>
          </w:tcPr>
          <w:p w14:paraId="6D54107D" w14:textId="4B7576BE" w:rsidR="00425478" w:rsidRPr="00434957" w:rsidRDefault="00425478" w:rsidP="00425478">
            <w:pPr>
              <w:spacing w:before="60" w:after="60"/>
              <w:jc w:val="center"/>
              <w:rPr>
                <w:noProof/>
                <w:sz w:val="20"/>
                <w:lang w:eastAsia="en-GB"/>
              </w:rPr>
            </w:pPr>
            <w:r>
              <w:rPr>
                <w:noProof/>
                <w:sz w:val="20"/>
                <w:lang w:eastAsia="en-GB"/>
              </w:rPr>
              <w:t>0</w:t>
            </w:r>
          </w:p>
        </w:tc>
        <w:tc>
          <w:tcPr>
            <w:tcW w:w="1080" w:type="dxa"/>
            <w:tcBorders>
              <w:top w:val="single" w:sz="12" w:space="0" w:color="auto"/>
              <w:left w:val="single" w:sz="2" w:space="0" w:color="auto"/>
              <w:bottom w:val="single" w:sz="12" w:space="0" w:color="auto"/>
              <w:right w:val="single" w:sz="2" w:space="0" w:color="auto"/>
            </w:tcBorders>
            <w:vAlign w:val="center"/>
          </w:tcPr>
          <w:p w14:paraId="4D096B05" w14:textId="1D7D96E8" w:rsidR="00425478" w:rsidRPr="00434957" w:rsidRDefault="00425478" w:rsidP="00425478">
            <w:pPr>
              <w:spacing w:before="60" w:after="60"/>
              <w:jc w:val="center"/>
              <w:rPr>
                <w:noProof/>
                <w:sz w:val="20"/>
                <w:lang w:eastAsia="en-GB"/>
              </w:rPr>
            </w:pPr>
            <w:r>
              <w:rPr>
                <w:noProof/>
                <w:sz w:val="20"/>
                <w:lang w:eastAsia="en-GB"/>
              </w:rPr>
              <w:t>0.551</w:t>
            </w:r>
          </w:p>
        </w:tc>
        <w:tc>
          <w:tcPr>
            <w:tcW w:w="1080" w:type="dxa"/>
            <w:tcBorders>
              <w:top w:val="single" w:sz="12" w:space="0" w:color="auto"/>
              <w:left w:val="single" w:sz="2" w:space="0" w:color="auto"/>
              <w:bottom w:val="single" w:sz="12" w:space="0" w:color="auto"/>
              <w:right w:val="single" w:sz="2" w:space="0" w:color="auto"/>
            </w:tcBorders>
            <w:vAlign w:val="center"/>
          </w:tcPr>
          <w:p w14:paraId="7D5B6FF6" w14:textId="531CC61C" w:rsidR="00425478" w:rsidRPr="00434957" w:rsidRDefault="00425478" w:rsidP="00425478">
            <w:pPr>
              <w:spacing w:before="60" w:after="60"/>
              <w:jc w:val="center"/>
              <w:rPr>
                <w:noProof/>
                <w:sz w:val="20"/>
                <w:lang w:eastAsia="en-GB"/>
              </w:rPr>
            </w:pPr>
            <w:r>
              <w:rPr>
                <w:noProof/>
                <w:sz w:val="20"/>
                <w:lang w:eastAsia="en-GB"/>
              </w:rPr>
              <w:t>1.101</w:t>
            </w:r>
          </w:p>
        </w:tc>
        <w:tc>
          <w:tcPr>
            <w:tcW w:w="1080" w:type="dxa"/>
            <w:tcBorders>
              <w:top w:val="single" w:sz="12" w:space="0" w:color="auto"/>
              <w:left w:val="single" w:sz="2" w:space="0" w:color="auto"/>
              <w:bottom w:val="single" w:sz="12" w:space="0" w:color="auto"/>
              <w:right w:val="single" w:sz="2" w:space="0" w:color="auto"/>
            </w:tcBorders>
            <w:vAlign w:val="center"/>
          </w:tcPr>
          <w:p w14:paraId="37E325B5" w14:textId="330288CC" w:rsidR="00425478" w:rsidRPr="00434957" w:rsidRDefault="00425478" w:rsidP="00425478">
            <w:pPr>
              <w:spacing w:before="60" w:after="60"/>
              <w:jc w:val="center"/>
              <w:rPr>
                <w:noProof/>
                <w:sz w:val="20"/>
                <w:lang w:eastAsia="en-GB"/>
              </w:rPr>
            </w:pPr>
            <w:r>
              <w:rPr>
                <w:noProof/>
                <w:sz w:val="20"/>
                <w:lang w:eastAsia="en-GB"/>
              </w:rPr>
              <w:t>0.847</w:t>
            </w:r>
          </w:p>
        </w:tc>
        <w:tc>
          <w:tcPr>
            <w:tcW w:w="1080" w:type="dxa"/>
            <w:tcBorders>
              <w:top w:val="single" w:sz="12" w:space="0" w:color="auto"/>
              <w:left w:val="single" w:sz="2" w:space="0" w:color="auto"/>
              <w:bottom w:val="single" w:sz="12" w:space="0" w:color="auto"/>
              <w:right w:val="single" w:sz="2" w:space="0" w:color="auto"/>
            </w:tcBorders>
            <w:vAlign w:val="center"/>
          </w:tcPr>
          <w:p w14:paraId="202A559E" w14:textId="4BB74B8F" w:rsidR="00425478" w:rsidRPr="00434957" w:rsidRDefault="00425478" w:rsidP="00425478">
            <w:pPr>
              <w:spacing w:before="60" w:after="60"/>
              <w:jc w:val="center"/>
              <w:rPr>
                <w:noProof/>
                <w:sz w:val="20"/>
                <w:lang w:eastAsia="en-GB"/>
              </w:rPr>
            </w:pPr>
            <w:r>
              <w:rPr>
                <w:noProof/>
                <w:sz w:val="20"/>
                <w:lang w:eastAsia="en-GB"/>
              </w:rPr>
              <w:t>0.847</w:t>
            </w:r>
          </w:p>
        </w:tc>
        <w:tc>
          <w:tcPr>
            <w:tcW w:w="1080" w:type="dxa"/>
            <w:tcBorders>
              <w:top w:val="single" w:sz="12" w:space="0" w:color="auto"/>
              <w:left w:val="single" w:sz="2" w:space="0" w:color="auto"/>
              <w:bottom w:val="single" w:sz="12" w:space="0" w:color="auto"/>
              <w:right w:val="single" w:sz="2" w:space="0" w:color="auto"/>
            </w:tcBorders>
            <w:vAlign w:val="center"/>
          </w:tcPr>
          <w:p w14:paraId="13233F1B" w14:textId="45D3EEAE" w:rsidR="00425478" w:rsidRPr="00434957" w:rsidRDefault="00425478" w:rsidP="00425478">
            <w:pPr>
              <w:spacing w:before="60" w:after="60"/>
              <w:jc w:val="center"/>
              <w:rPr>
                <w:b/>
                <w:noProof/>
                <w:sz w:val="20"/>
                <w:lang w:eastAsia="en-GB"/>
              </w:rPr>
            </w:pPr>
            <w:r>
              <w:rPr>
                <w:b/>
                <w:noProof/>
                <w:sz w:val="20"/>
                <w:lang w:eastAsia="en-GB"/>
              </w:rPr>
              <w:t>3.347</w:t>
            </w:r>
          </w:p>
        </w:tc>
      </w:tr>
      <w:tr w:rsidR="009D4357" w:rsidRPr="00434957" w14:paraId="2BB4345E" w14:textId="77777777" w:rsidTr="00CE3F2A">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7A1857CB" w14:textId="77777777" w:rsidR="009D4357" w:rsidRPr="00434957" w:rsidRDefault="009D4357" w:rsidP="00CE3F2A">
            <w:pPr>
              <w:spacing w:before="60" w:after="60"/>
              <w:jc w:val="center"/>
              <w:rPr>
                <w:noProof/>
                <w:sz w:val="20"/>
                <w:lang w:eastAsia="en-GB"/>
              </w:rPr>
            </w:pPr>
            <w:r w:rsidRPr="00434957">
              <w:rPr>
                <w:b/>
                <w:noProof/>
                <w:sz w:val="20"/>
                <w:lang w:eastAsia="en-GB"/>
              </w:rPr>
              <w:t>TOTAL – including baseline and additional costs</w:t>
            </w:r>
          </w:p>
        </w:tc>
        <w:tc>
          <w:tcPr>
            <w:tcW w:w="1080" w:type="dxa"/>
            <w:tcBorders>
              <w:top w:val="single" w:sz="12" w:space="0" w:color="auto"/>
              <w:left w:val="single" w:sz="2" w:space="0" w:color="auto"/>
              <w:bottom w:val="single" w:sz="12" w:space="0" w:color="auto"/>
              <w:right w:val="single" w:sz="2" w:space="0" w:color="auto"/>
            </w:tcBorders>
            <w:vAlign w:val="center"/>
          </w:tcPr>
          <w:p w14:paraId="12ECED7A" w14:textId="77777777" w:rsidR="009D4357" w:rsidRPr="00434957" w:rsidRDefault="009D4357" w:rsidP="00CE3F2A">
            <w:pPr>
              <w:spacing w:before="60" w:after="60"/>
              <w:jc w:val="center"/>
              <w:rPr>
                <w:noProof/>
                <w:sz w:val="20"/>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14:paraId="265F15FF" w14:textId="77777777" w:rsidR="009D4357" w:rsidRPr="00434957" w:rsidRDefault="009D4357" w:rsidP="00CE3F2A">
            <w:pPr>
              <w:spacing w:before="60" w:after="60"/>
              <w:jc w:val="center"/>
              <w:rPr>
                <w:noProof/>
                <w:sz w:val="20"/>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14:paraId="28DBA5B7" w14:textId="77777777" w:rsidR="009D4357" w:rsidRPr="00434957" w:rsidRDefault="009D4357" w:rsidP="00CE3F2A">
            <w:pPr>
              <w:spacing w:before="60" w:after="60"/>
              <w:jc w:val="center"/>
              <w:rPr>
                <w:noProof/>
                <w:sz w:val="20"/>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14:paraId="0D711B4D" w14:textId="77777777" w:rsidR="009D4357" w:rsidRPr="00434957" w:rsidRDefault="009D4357" w:rsidP="00CE3F2A">
            <w:pPr>
              <w:spacing w:before="60" w:after="60"/>
              <w:jc w:val="center"/>
              <w:rPr>
                <w:noProof/>
                <w:sz w:val="20"/>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14:paraId="473106D4" w14:textId="77777777" w:rsidR="009D4357" w:rsidRPr="00434957" w:rsidRDefault="009D4357" w:rsidP="00CE3F2A">
            <w:pPr>
              <w:spacing w:before="60" w:after="60"/>
              <w:jc w:val="center"/>
              <w:rPr>
                <w:noProof/>
                <w:sz w:val="20"/>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14:paraId="3EDFD326" w14:textId="77777777" w:rsidR="009D4357" w:rsidRPr="00434957" w:rsidRDefault="009D4357" w:rsidP="00CE3F2A">
            <w:pPr>
              <w:spacing w:before="60" w:after="60"/>
              <w:jc w:val="center"/>
              <w:rPr>
                <w:b/>
                <w:noProof/>
                <w:sz w:val="20"/>
                <w:lang w:eastAsia="en-GB"/>
              </w:rPr>
            </w:pPr>
          </w:p>
        </w:tc>
      </w:tr>
    </w:tbl>
    <w:p w14:paraId="3B49D2A4" w14:textId="77777777" w:rsidR="009D4357" w:rsidRPr="00434957" w:rsidRDefault="009D4357" w:rsidP="009D4357">
      <w:pPr>
        <w:jc w:val="center"/>
        <w:rPr>
          <w:noProof/>
          <w:u w:val="single"/>
        </w:rPr>
      </w:pPr>
    </w:p>
    <w:p w14:paraId="1A22A4EA" w14:textId="77777777" w:rsidR="009D4357" w:rsidRPr="00434957" w:rsidRDefault="009D4357" w:rsidP="009D4357">
      <w:pPr>
        <w:rPr>
          <w:noProof/>
          <w:sz w:val="20"/>
        </w:rPr>
      </w:pPr>
      <w:r w:rsidRPr="00434957">
        <w:rPr>
          <w:noProof/>
          <w:sz w:val="20"/>
        </w:rPr>
        <w:t>Staff requirements (FTE):</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9D4357" w:rsidRPr="00434957" w14:paraId="21C3662E" w14:textId="77777777" w:rsidTr="00CE3F2A">
        <w:trPr>
          <w:trHeight w:val="585"/>
        </w:trPr>
        <w:tc>
          <w:tcPr>
            <w:tcW w:w="1980" w:type="dxa"/>
          </w:tcPr>
          <w:p w14:paraId="3E1D557D" w14:textId="77777777" w:rsidR="009D4357" w:rsidRPr="00434957" w:rsidRDefault="009D4357" w:rsidP="00CE3F2A">
            <w:pPr>
              <w:spacing w:before="60" w:after="60"/>
              <w:jc w:val="center"/>
              <w:rPr>
                <w:noProof/>
                <w:sz w:val="20"/>
              </w:rPr>
            </w:pPr>
          </w:p>
        </w:tc>
        <w:tc>
          <w:tcPr>
            <w:tcW w:w="1080" w:type="dxa"/>
          </w:tcPr>
          <w:p w14:paraId="066563E5" w14:textId="77777777" w:rsidR="009D4357" w:rsidRPr="00434957" w:rsidRDefault="009D4357" w:rsidP="00CE3F2A">
            <w:pPr>
              <w:spacing w:before="60" w:after="60"/>
              <w:jc w:val="center"/>
              <w:rPr>
                <w:noProof/>
                <w:sz w:val="20"/>
              </w:rPr>
            </w:pPr>
            <w:r w:rsidRPr="00434957">
              <w:rPr>
                <w:noProof/>
                <w:sz w:val="20"/>
              </w:rPr>
              <w:t>Year</w:t>
            </w:r>
            <w:r w:rsidRPr="00434957">
              <w:rPr>
                <w:noProof/>
              </w:rPr>
              <w:br/>
            </w:r>
            <w:r>
              <w:rPr>
                <w:b/>
                <w:noProof/>
                <w:sz w:val="20"/>
              </w:rPr>
              <w:t>2023</w:t>
            </w:r>
          </w:p>
        </w:tc>
        <w:tc>
          <w:tcPr>
            <w:tcW w:w="1080" w:type="dxa"/>
            <w:vAlign w:val="center"/>
          </w:tcPr>
          <w:p w14:paraId="7AB6069A" w14:textId="77777777" w:rsidR="009D4357" w:rsidRPr="00434957" w:rsidRDefault="009D4357" w:rsidP="00CE3F2A">
            <w:pPr>
              <w:spacing w:before="60" w:after="60"/>
              <w:jc w:val="center"/>
              <w:rPr>
                <w:noProof/>
                <w:sz w:val="20"/>
              </w:rPr>
            </w:pPr>
            <w:r w:rsidRPr="00434957">
              <w:rPr>
                <w:noProof/>
                <w:sz w:val="20"/>
              </w:rPr>
              <w:t>Year</w:t>
            </w:r>
            <w:r w:rsidRPr="00434957">
              <w:rPr>
                <w:noProof/>
              </w:rPr>
              <w:br/>
            </w:r>
            <w:r w:rsidRPr="00434957">
              <w:rPr>
                <w:b/>
                <w:noProof/>
                <w:sz w:val="20"/>
              </w:rPr>
              <w:t>2024</w:t>
            </w:r>
          </w:p>
        </w:tc>
        <w:tc>
          <w:tcPr>
            <w:tcW w:w="1080" w:type="dxa"/>
            <w:vAlign w:val="center"/>
          </w:tcPr>
          <w:p w14:paraId="34284DEA" w14:textId="77777777" w:rsidR="009D4357" w:rsidRPr="00434957" w:rsidRDefault="009D4357" w:rsidP="00CE3F2A">
            <w:pPr>
              <w:spacing w:before="60" w:after="60"/>
              <w:jc w:val="center"/>
              <w:rPr>
                <w:noProof/>
                <w:sz w:val="20"/>
              </w:rPr>
            </w:pPr>
            <w:r w:rsidRPr="00434957">
              <w:rPr>
                <w:noProof/>
                <w:sz w:val="20"/>
              </w:rPr>
              <w:t>Year</w:t>
            </w:r>
            <w:r w:rsidRPr="00434957">
              <w:rPr>
                <w:noProof/>
              </w:rPr>
              <w:br/>
            </w:r>
            <w:r w:rsidRPr="00434957">
              <w:rPr>
                <w:b/>
                <w:noProof/>
                <w:sz w:val="20"/>
              </w:rPr>
              <w:t>2025</w:t>
            </w:r>
          </w:p>
        </w:tc>
        <w:tc>
          <w:tcPr>
            <w:tcW w:w="1080" w:type="dxa"/>
          </w:tcPr>
          <w:p w14:paraId="0941C92D" w14:textId="77777777" w:rsidR="009D4357" w:rsidRPr="00434957" w:rsidRDefault="009D4357" w:rsidP="00CE3F2A">
            <w:pPr>
              <w:spacing w:before="60" w:after="60"/>
              <w:jc w:val="center"/>
              <w:rPr>
                <w:noProof/>
                <w:sz w:val="20"/>
              </w:rPr>
            </w:pPr>
            <w:r w:rsidRPr="00434957">
              <w:rPr>
                <w:noProof/>
                <w:sz w:val="20"/>
              </w:rPr>
              <w:t>Year</w:t>
            </w:r>
            <w:r w:rsidRPr="00434957">
              <w:rPr>
                <w:noProof/>
              </w:rPr>
              <w:br/>
            </w:r>
            <w:r w:rsidRPr="00434957">
              <w:rPr>
                <w:b/>
                <w:noProof/>
                <w:sz w:val="20"/>
              </w:rPr>
              <w:t>2026</w:t>
            </w:r>
          </w:p>
        </w:tc>
        <w:tc>
          <w:tcPr>
            <w:tcW w:w="1080" w:type="dxa"/>
          </w:tcPr>
          <w:p w14:paraId="3BCF7B8B" w14:textId="77777777" w:rsidR="009D4357" w:rsidRPr="00434957" w:rsidRDefault="009D4357" w:rsidP="00CE3F2A">
            <w:pPr>
              <w:spacing w:before="60" w:after="60"/>
              <w:jc w:val="center"/>
              <w:rPr>
                <w:noProof/>
                <w:sz w:val="20"/>
              </w:rPr>
            </w:pPr>
            <w:r w:rsidRPr="00434957">
              <w:rPr>
                <w:noProof/>
                <w:sz w:val="20"/>
              </w:rPr>
              <w:t>Year</w:t>
            </w:r>
            <w:r w:rsidRPr="00434957">
              <w:rPr>
                <w:noProof/>
              </w:rPr>
              <w:br/>
            </w:r>
            <w:r w:rsidRPr="00434957">
              <w:rPr>
                <w:b/>
                <w:noProof/>
                <w:sz w:val="20"/>
              </w:rPr>
              <w:t>2027</w:t>
            </w:r>
          </w:p>
        </w:tc>
      </w:tr>
      <w:tr w:rsidR="009D4357" w:rsidRPr="00434957" w14:paraId="72FE1462" w14:textId="77777777" w:rsidTr="00CE3F2A">
        <w:trPr>
          <w:trHeight w:val="585"/>
        </w:trPr>
        <w:tc>
          <w:tcPr>
            <w:tcW w:w="1980" w:type="dxa"/>
            <w:shd w:val="clear" w:color="auto" w:fill="D9D9D9" w:themeFill="background1" w:themeFillShade="D9"/>
            <w:vAlign w:val="center"/>
          </w:tcPr>
          <w:p w14:paraId="6033AEA7" w14:textId="77777777" w:rsidR="009D4357" w:rsidRPr="00434957" w:rsidRDefault="009D4357" w:rsidP="00CE3F2A">
            <w:pPr>
              <w:spacing w:before="60" w:after="60"/>
              <w:jc w:val="center"/>
              <w:rPr>
                <w:noProof/>
                <w:sz w:val="18"/>
              </w:rPr>
            </w:pPr>
            <w:r w:rsidRPr="00434957">
              <w:rPr>
                <w:noProof/>
                <w:sz w:val="18"/>
              </w:rPr>
              <w:t xml:space="preserve">Temporary agents – Baseline </w:t>
            </w:r>
          </w:p>
        </w:tc>
        <w:tc>
          <w:tcPr>
            <w:tcW w:w="1080" w:type="dxa"/>
            <w:vAlign w:val="center"/>
          </w:tcPr>
          <w:p w14:paraId="39C0227F" w14:textId="77777777" w:rsidR="009D4357" w:rsidRPr="00434957" w:rsidRDefault="009D4357" w:rsidP="00CE3F2A">
            <w:pPr>
              <w:spacing w:before="60" w:after="60"/>
              <w:jc w:val="center"/>
              <w:rPr>
                <w:rFonts w:ascii="Calibri" w:hAnsi="Calibri"/>
                <w:b/>
                <w:bCs/>
                <w:noProof/>
                <w:color w:val="000000"/>
              </w:rPr>
            </w:pPr>
            <w:r>
              <w:rPr>
                <w:rFonts w:ascii="Calibri" w:hAnsi="Calibri"/>
                <w:b/>
                <w:bCs/>
                <w:noProof/>
                <w:color w:val="000000"/>
              </w:rPr>
              <w:t>0</w:t>
            </w:r>
          </w:p>
        </w:tc>
        <w:tc>
          <w:tcPr>
            <w:tcW w:w="1080" w:type="dxa"/>
            <w:vAlign w:val="center"/>
          </w:tcPr>
          <w:p w14:paraId="1AF83635" w14:textId="77777777" w:rsidR="009D4357" w:rsidRPr="00434957" w:rsidRDefault="009D4357" w:rsidP="00CE3F2A">
            <w:pPr>
              <w:spacing w:before="60" w:after="60"/>
              <w:jc w:val="center"/>
              <w:rPr>
                <w:rFonts w:ascii="Calibri" w:hAnsi="Calibri"/>
                <w:b/>
                <w:bCs/>
                <w:noProof/>
                <w:color w:val="000000"/>
              </w:rPr>
            </w:pPr>
            <w:r>
              <w:rPr>
                <w:rFonts w:ascii="Calibri" w:hAnsi="Calibri"/>
                <w:b/>
                <w:bCs/>
                <w:noProof/>
                <w:color w:val="000000"/>
              </w:rPr>
              <w:t>9.5</w:t>
            </w:r>
          </w:p>
        </w:tc>
        <w:tc>
          <w:tcPr>
            <w:tcW w:w="1080" w:type="dxa"/>
            <w:vAlign w:val="center"/>
          </w:tcPr>
          <w:p w14:paraId="3F446173" w14:textId="77777777" w:rsidR="009D4357" w:rsidRPr="00434957" w:rsidRDefault="009D4357" w:rsidP="00CE3F2A">
            <w:pPr>
              <w:spacing w:before="60" w:after="60"/>
              <w:jc w:val="center"/>
              <w:rPr>
                <w:rFonts w:ascii="Calibri" w:hAnsi="Calibri"/>
                <w:b/>
                <w:bCs/>
                <w:noProof/>
                <w:color w:val="000000"/>
              </w:rPr>
            </w:pPr>
            <w:r>
              <w:rPr>
                <w:rFonts w:ascii="Calibri" w:hAnsi="Calibri"/>
                <w:b/>
                <w:bCs/>
                <w:noProof/>
                <w:color w:val="000000"/>
              </w:rPr>
              <w:t>9.5</w:t>
            </w:r>
          </w:p>
        </w:tc>
        <w:tc>
          <w:tcPr>
            <w:tcW w:w="1080" w:type="dxa"/>
            <w:vAlign w:val="center"/>
          </w:tcPr>
          <w:p w14:paraId="3D5B5C95" w14:textId="77777777" w:rsidR="009D4357" w:rsidRPr="00434957" w:rsidRDefault="009D4357" w:rsidP="00CE3F2A">
            <w:pPr>
              <w:spacing w:before="60" w:after="60"/>
              <w:jc w:val="center"/>
              <w:rPr>
                <w:rFonts w:ascii="Calibri" w:hAnsi="Calibri"/>
                <w:b/>
                <w:bCs/>
                <w:noProof/>
                <w:color w:val="000000"/>
              </w:rPr>
            </w:pPr>
            <w:r>
              <w:rPr>
                <w:rFonts w:ascii="Calibri" w:hAnsi="Calibri"/>
                <w:b/>
                <w:bCs/>
                <w:noProof/>
                <w:color w:val="000000"/>
              </w:rPr>
              <w:t>21.5</w:t>
            </w:r>
          </w:p>
        </w:tc>
        <w:tc>
          <w:tcPr>
            <w:tcW w:w="1080" w:type="dxa"/>
            <w:vAlign w:val="center"/>
          </w:tcPr>
          <w:p w14:paraId="74FB97DE" w14:textId="77777777" w:rsidR="009D4357" w:rsidRPr="00434957" w:rsidRDefault="009D4357" w:rsidP="00CE3F2A">
            <w:pPr>
              <w:spacing w:before="60" w:after="60"/>
              <w:jc w:val="center"/>
              <w:rPr>
                <w:rFonts w:ascii="Calibri" w:hAnsi="Calibri"/>
                <w:b/>
                <w:bCs/>
                <w:noProof/>
                <w:color w:val="000000"/>
              </w:rPr>
            </w:pPr>
            <w:r>
              <w:rPr>
                <w:rFonts w:ascii="Calibri" w:hAnsi="Calibri"/>
                <w:b/>
                <w:bCs/>
                <w:noProof/>
                <w:color w:val="000000"/>
              </w:rPr>
              <w:t>19.5</w:t>
            </w:r>
          </w:p>
        </w:tc>
      </w:tr>
      <w:tr w:rsidR="00D30AAF" w:rsidRPr="00434957" w14:paraId="5C14E429" w14:textId="77777777" w:rsidTr="00CE3F2A">
        <w:trPr>
          <w:trHeight w:val="585"/>
        </w:trPr>
        <w:tc>
          <w:tcPr>
            <w:tcW w:w="1980" w:type="dxa"/>
            <w:shd w:val="clear" w:color="auto" w:fill="D9D9D9" w:themeFill="background1" w:themeFillShade="D9"/>
            <w:vAlign w:val="center"/>
          </w:tcPr>
          <w:p w14:paraId="1860F3CE" w14:textId="77777777" w:rsidR="00D30AAF" w:rsidRPr="00434957" w:rsidRDefault="00D30AAF" w:rsidP="00D30AAF">
            <w:pPr>
              <w:spacing w:before="60" w:after="60"/>
              <w:jc w:val="center"/>
              <w:rPr>
                <w:noProof/>
              </w:rPr>
            </w:pPr>
            <w:r w:rsidRPr="00434957">
              <w:rPr>
                <w:noProof/>
                <w:sz w:val="18"/>
              </w:rPr>
              <w:t>Temporary agents – Additional compared to the baseline (cumulative)</w:t>
            </w:r>
          </w:p>
        </w:tc>
        <w:tc>
          <w:tcPr>
            <w:tcW w:w="1080" w:type="dxa"/>
            <w:vAlign w:val="center"/>
          </w:tcPr>
          <w:p w14:paraId="5A75F795" w14:textId="77777777" w:rsidR="00D30AAF" w:rsidRPr="00434957" w:rsidRDefault="00D30AAF" w:rsidP="00D30AAF">
            <w:pPr>
              <w:spacing w:before="60" w:after="60"/>
              <w:jc w:val="center"/>
              <w:rPr>
                <w:noProof/>
                <w:sz w:val="20"/>
              </w:rPr>
            </w:pPr>
            <w:r>
              <w:rPr>
                <w:noProof/>
                <w:sz w:val="20"/>
              </w:rPr>
              <w:t>0</w:t>
            </w:r>
          </w:p>
        </w:tc>
        <w:tc>
          <w:tcPr>
            <w:tcW w:w="1080" w:type="dxa"/>
            <w:vAlign w:val="center"/>
          </w:tcPr>
          <w:p w14:paraId="7AA7EF7C" w14:textId="617580BC" w:rsidR="00D30AAF" w:rsidRPr="00434957" w:rsidRDefault="00D30AAF" w:rsidP="00D30AAF">
            <w:pPr>
              <w:spacing w:before="60" w:after="60"/>
              <w:jc w:val="center"/>
              <w:rPr>
                <w:noProof/>
                <w:sz w:val="20"/>
              </w:rPr>
            </w:pPr>
            <w:r>
              <w:rPr>
                <w:noProof/>
                <w:sz w:val="20"/>
              </w:rPr>
              <w:t>6.5</w:t>
            </w:r>
          </w:p>
        </w:tc>
        <w:tc>
          <w:tcPr>
            <w:tcW w:w="1080" w:type="dxa"/>
            <w:vAlign w:val="center"/>
          </w:tcPr>
          <w:p w14:paraId="179B5884" w14:textId="5898509B" w:rsidR="00D30AAF" w:rsidRPr="00434957" w:rsidRDefault="00D30AAF" w:rsidP="00D30AAF">
            <w:pPr>
              <w:spacing w:before="60" w:after="60"/>
              <w:jc w:val="center"/>
              <w:rPr>
                <w:noProof/>
                <w:sz w:val="20"/>
              </w:rPr>
            </w:pPr>
            <w:r>
              <w:rPr>
                <w:noProof/>
                <w:sz w:val="20"/>
              </w:rPr>
              <w:t>6.5</w:t>
            </w:r>
          </w:p>
        </w:tc>
        <w:tc>
          <w:tcPr>
            <w:tcW w:w="1080" w:type="dxa"/>
            <w:vAlign w:val="center"/>
          </w:tcPr>
          <w:p w14:paraId="3D9F8C28" w14:textId="77777777" w:rsidR="00D30AAF" w:rsidRPr="00434957" w:rsidRDefault="00D30AAF" w:rsidP="00D30AAF">
            <w:pPr>
              <w:spacing w:before="60" w:after="60"/>
              <w:jc w:val="center"/>
              <w:rPr>
                <w:noProof/>
                <w:sz w:val="20"/>
              </w:rPr>
            </w:pPr>
            <w:r>
              <w:rPr>
                <w:noProof/>
                <w:sz w:val="20"/>
              </w:rPr>
              <w:t>5</w:t>
            </w:r>
          </w:p>
        </w:tc>
        <w:tc>
          <w:tcPr>
            <w:tcW w:w="1080" w:type="dxa"/>
            <w:vAlign w:val="center"/>
          </w:tcPr>
          <w:p w14:paraId="2CD0A9F5" w14:textId="77777777" w:rsidR="00D30AAF" w:rsidRPr="00434957" w:rsidRDefault="00D30AAF" w:rsidP="00D30AAF">
            <w:pPr>
              <w:spacing w:before="60" w:after="60"/>
              <w:jc w:val="center"/>
              <w:rPr>
                <w:noProof/>
                <w:sz w:val="20"/>
              </w:rPr>
            </w:pPr>
            <w:r>
              <w:rPr>
                <w:noProof/>
                <w:sz w:val="20"/>
              </w:rPr>
              <w:t>5</w:t>
            </w:r>
          </w:p>
        </w:tc>
      </w:tr>
      <w:tr w:rsidR="00D30AAF" w:rsidRPr="00434957" w14:paraId="31129646" w14:textId="77777777" w:rsidTr="00CE3F2A">
        <w:trPr>
          <w:trHeight w:val="585"/>
        </w:trPr>
        <w:tc>
          <w:tcPr>
            <w:tcW w:w="1980" w:type="dxa"/>
            <w:shd w:val="clear" w:color="auto" w:fill="BFBFBF" w:themeFill="background1" w:themeFillShade="BF"/>
            <w:vAlign w:val="center"/>
          </w:tcPr>
          <w:p w14:paraId="2881CFAA" w14:textId="77777777" w:rsidR="00D30AAF" w:rsidRPr="00434957" w:rsidRDefault="00D30AAF" w:rsidP="00D30AAF">
            <w:pPr>
              <w:spacing w:before="60" w:after="60"/>
              <w:jc w:val="center"/>
              <w:rPr>
                <w:noProof/>
                <w:sz w:val="18"/>
                <w:szCs w:val="18"/>
              </w:rPr>
            </w:pPr>
            <w:r w:rsidRPr="00434957">
              <w:rPr>
                <w:noProof/>
                <w:sz w:val="18"/>
                <w:szCs w:val="18"/>
              </w:rPr>
              <w:t>Temporary agents – TOTAL</w:t>
            </w:r>
          </w:p>
        </w:tc>
        <w:tc>
          <w:tcPr>
            <w:tcW w:w="1080" w:type="dxa"/>
            <w:vAlign w:val="center"/>
          </w:tcPr>
          <w:p w14:paraId="17086D46" w14:textId="77777777" w:rsidR="00D30AAF" w:rsidRPr="00434957" w:rsidRDefault="00D30AAF" w:rsidP="00D30AAF">
            <w:pPr>
              <w:spacing w:before="60" w:after="60"/>
              <w:jc w:val="center"/>
              <w:rPr>
                <w:rFonts w:ascii="Calibri" w:hAnsi="Calibri"/>
                <w:b/>
                <w:bCs/>
                <w:noProof/>
                <w:color w:val="000000"/>
              </w:rPr>
            </w:pPr>
          </w:p>
        </w:tc>
        <w:tc>
          <w:tcPr>
            <w:tcW w:w="1080" w:type="dxa"/>
            <w:shd w:val="clear" w:color="auto" w:fill="auto"/>
            <w:vAlign w:val="center"/>
          </w:tcPr>
          <w:p w14:paraId="3954D8F7" w14:textId="04931A11" w:rsidR="00D30AAF" w:rsidRPr="0056090D" w:rsidRDefault="00D30AAF" w:rsidP="00D30AAF">
            <w:pPr>
              <w:spacing w:before="60" w:after="60"/>
              <w:jc w:val="center"/>
              <w:rPr>
                <w:b/>
                <w:bCs/>
                <w:noProof/>
                <w:color w:val="000000"/>
                <w:sz w:val="20"/>
              </w:rPr>
            </w:pPr>
            <w:r w:rsidRPr="0056090D">
              <w:rPr>
                <w:b/>
                <w:bCs/>
                <w:noProof/>
                <w:color w:val="000000"/>
                <w:sz w:val="20"/>
              </w:rPr>
              <w:t>1</w:t>
            </w:r>
            <w:r>
              <w:rPr>
                <w:b/>
                <w:bCs/>
                <w:noProof/>
                <w:color w:val="000000"/>
                <w:sz w:val="20"/>
              </w:rPr>
              <w:t>6</w:t>
            </w:r>
          </w:p>
        </w:tc>
        <w:tc>
          <w:tcPr>
            <w:tcW w:w="1080" w:type="dxa"/>
            <w:shd w:val="clear" w:color="auto" w:fill="auto"/>
            <w:vAlign w:val="center"/>
          </w:tcPr>
          <w:p w14:paraId="071460F6" w14:textId="4B845C49" w:rsidR="00D30AAF" w:rsidRPr="0056090D" w:rsidRDefault="00D30AAF" w:rsidP="00D30AAF">
            <w:pPr>
              <w:spacing w:before="60" w:after="60"/>
              <w:jc w:val="center"/>
              <w:rPr>
                <w:b/>
                <w:bCs/>
                <w:noProof/>
                <w:color w:val="000000"/>
                <w:sz w:val="20"/>
              </w:rPr>
            </w:pPr>
            <w:r w:rsidRPr="0056090D">
              <w:rPr>
                <w:b/>
                <w:bCs/>
                <w:noProof/>
                <w:color w:val="000000"/>
                <w:sz w:val="20"/>
              </w:rPr>
              <w:t>1</w:t>
            </w:r>
            <w:r>
              <w:rPr>
                <w:b/>
                <w:bCs/>
                <w:noProof/>
                <w:color w:val="000000"/>
                <w:sz w:val="20"/>
              </w:rPr>
              <w:t>6</w:t>
            </w:r>
          </w:p>
        </w:tc>
        <w:tc>
          <w:tcPr>
            <w:tcW w:w="1080" w:type="dxa"/>
            <w:shd w:val="clear" w:color="auto" w:fill="auto"/>
            <w:vAlign w:val="center"/>
          </w:tcPr>
          <w:p w14:paraId="33D8800E" w14:textId="77777777" w:rsidR="00D30AAF" w:rsidRPr="0056090D" w:rsidRDefault="00D30AAF" w:rsidP="00D30AAF">
            <w:pPr>
              <w:spacing w:before="60" w:after="60"/>
              <w:jc w:val="center"/>
              <w:rPr>
                <w:b/>
                <w:bCs/>
                <w:noProof/>
                <w:color w:val="000000"/>
                <w:sz w:val="20"/>
              </w:rPr>
            </w:pPr>
            <w:r w:rsidRPr="0056090D">
              <w:rPr>
                <w:b/>
                <w:bCs/>
                <w:noProof/>
                <w:color w:val="000000"/>
                <w:sz w:val="20"/>
              </w:rPr>
              <w:t>26.5</w:t>
            </w:r>
          </w:p>
        </w:tc>
        <w:tc>
          <w:tcPr>
            <w:tcW w:w="1080" w:type="dxa"/>
            <w:shd w:val="clear" w:color="auto" w:fill="auto"/>
            <w:vAlign w:val="center"/>
          </w:tcPr>
          <w:p w14:paraId="13B565E4" w14:textId="77777777" w:rsidR="00D30AAF" w:rsidRPr="0056090D" w:rsidRDefault="00D30AAF" w:rsidP="00D30AAF">
            <w:pPr>
              <w:spacing w:before="60" w:after="60"/>
              <w:jc w:val="center"/>
              <w:rPr>
                <w:b/>
                <w:bCs/>
                <w:noProof/>
                <w:color w:val="000000"/>
                <w:sz w:val="20"/>
              </w:rPr>
            </w:pPr>
            <w:r w:rsidRPr="0056090D">
              <w:rPr>
                <w:b/>
                <w:bCs/>
                <w:noProof/>
                <w:color w:val="000000"/>
                <w:sz w:val="20"/>
              </w:rPr>
              <w:t>24.5</w:t>
            </w:r>
          </w:p>
        </w:tc>
      </w:tr>
      <w:tr w:rsidR="009D4357" w:rsidRPr="00434957" w14:paraId="0463B29A" w14:textId="77777777" w:rsidTr="00CE3F2A">
        <w:trPr>
          <w:trHeight w:val="585"/>
        </w:trPr>
        <w:tc>
          <w:tcPr>
            <w:tcW w:w="1980" w:type="dxa"/>
            <w:shd w:val="clear" w:color="auto" w:fill="BFBFBF" w:themeFill="background1" w:themeFillShade="BF"/>
            <w:vAlign w:val="center"/>
          </w:tcPr>
          <w:p w14:paraId="311BC8FB" w14:textId="77777777" w:rsidR="009D4357" w:rsidRPr="00434957" w:rsidRDefault="009D4357" w:rsidP="00CE3F2A">
            <w:pPr>
              <w:spacing w:before="60" w:after="60"/>
              <w:ind w:left="72"/>
              <w:jc w:val="center"/>
              <w:rPr>
                <w:noProof/>
                <w:sz w:val="18"/>
                <w:szCs w:val="18"/>
              </w:rPr>
            </w:pPr>
            <w:r w:rsidRPr="00434957">
              <w:rPr>
                <w:noProof/>
                <w:sz w:val="20"/>
              </w:rPr>
              <w:t>Contract staff</w:t>
            </w:r>
          </w:p>
        </w:tc>
        <w:tc>
          <w:tcPr>
            <w:tcW w:w="1080" w:type="dxa"/>
            <w:vAlign w:val="center"/>
          </w:tcPr>
          <w:p w14:paraId="11FA1EF3" w14:textId="77777777" w:rsidR="009D4357" w:rsidRPr="00434957" w:rsidRDefault="009D4357" w:rsidP="00CE3F2A">
            <w:pPr>
              <w:spacing w:before="60" w:after="60"/>
              <w:jc w:val="center"/>
              <w:rPr>
                <w:noProof/>
                <w:sz w:val="20"/>
              </w:rPr>
            </w:pPr>
          </w:p>
        </w:tc>
        <w:tc>
          <w:tcPr>
            <w:tcW w:w="1080" w:type="dxa"/>
            <w:shd w:val="clear" w:color="auto" w:fill="auto"/>
            <w:vAlign w:val="center"/>
          </w:tcPr>
          <w:p w14:paraId="43821AFB" w14:textId="77777777" w:rsidR="009D4357" w:rsidRPr="00434957" w:rsidRDefault="009D4357" w:rsidP="00CE3F2A">
            <w:pPr>
              <w:spacing w:before="60" w:after="60"/>
              <w:jc w:val="center"/>
              <w:rPr>
                <w:noProof/>
                <w:sz w:val="20"/>
              </w:rPr>
            </w:pPr>
          </w:p>
        </w:tc>
        <w:tc>
          <w:tcPr>
            <w:tcW w:w="1080" w:type="dxa"/>
            <w:shd w:val="clear" w:color="auto" w:fill="auto"/>
            <w:vAlign w:val="center"/>
          </w:tcPr>
          <w:p w14:paraId="7151ECB1" w14:textId="77777777" w:rsidR="009D4357" w:rsidRPr="00434957" w:rsidRDefault="009D4357" w:rsidP="00CE3F2A">
            <w:pPr>
              <w:spacing w:before="60" w:after="60"/>
              <w:jc w:val="center"/>
              <w:rPr>
                <w:noProof/>
                <w:sz w:val="20"/>
              </w:rPr>
            </w:pPr>
          </w:p>
        </w:tc>
        <w:tc>
          <w:tcPr>
            <w:tcW w:w="1080" w:type="dxa"/>
            <w:shd w:val="clear" w:color="auto" w:fill="auto"/>
            <w:vAlign w:val="center"/>
          </w:tcPr>
          <w:p w14:paraId="6EF23683" w14:textId="77777777" w:rsidR="009D4357" w:rsidRPr="00434957" w:rsidRDefault="009D4357" w:rsidP="00CE3F2A">
            <w:pPr>
              <w:spacing w:before="60" w:after="60"/>
              <w:jc w:val="center"/>
              <w:rPr>
                <w:noProof/>
                <w:sz w:val="20"/>
              </w:rPr>
            </w:pPr>
          </w:p>
        </w:tc>
        <w:tc>
          <w:tcPr>
            <w:tcW w:w="1080" w:type="dxa"/>
            <w:shd w:val="clear" w:color="auto" w:fill="auto"/>
            <w:vAlign w:val="center"/>
          </w:tcPr>
          <w:p w14:paraId="5D22354D" w14:textId="77777777" w:rsidR="009D4357" w:rsidRPr="00434957" w:rsidRDefault="009D4357" w:rsidP="00CE3F2A">
            <w:pPr>
              <w:spacing w:before="60" w:after="60"/>
              <w:jc w:val="center"/>
              <w:rPr>
                <w:noProof/>
                <w:sz w:val="20"/>
              </w:rPr>
            </w:pPr>
          </w:p>
        </w:tc>
      </w:tr>
      <w:tr w:rsidR="009D4357" w:rsidRPr="00434957" w14:paraId="27DE03B1" w14:textId="77777777" w:rsidTr="00CE3F2A">
        <w:trPr>
          <w:trHeight w:val="585"/>
        </w:trPr>
        <w:tc>
          <w:tcPr>
            <w:tcW w:w="1980" w:type="dxa"/>
            <w:shd w:val="clear" w:color="auto" w:fill="BFBFBF" w:themeFill="background1" w:themeFillShade="BF"/>
            <w:vAlign w:val="center"/>
          </w:tcPr>
          <w:p w14:paraId="7FC7796F" w14:textId="77777777" w:rsidR="009D4357" w:rsidRPr="00434957" w:rsidRDefault="009D4357" w:rsidP="00CE3F2A">
            <w:pPr>
              <w:spacing w:before="60" w:after="60"/>
              <w:jc w:val="center"/>
              <w:rPr>
                <w:noProof/>
              </w:rPr>
            </w:pPr>
            <w:r w:rsidRPr="00434957">
              <w:rPr>
                <w:noProof/>
                <w:sz w:val="18"/>
              </w:rPr>
              <w:t>Seconded National Experts</w:t>
            </w:r>
          </w:p>
        </w:tc>
        <w:tc>
          <w:tcPr>
            <w:tcW w:w="1080" w:type="dxa"/>
            <w:vAlign w:val="center"/>
          </w:tcPr>
          <w:p w14:paraId="228AA012" w14:textId="77777777" w:rsidR="009D4357" w:rsidRPr="00434957" w:rsidRDefault="009D4357" w:rsidP="00CE3F2A">
            <w:pPr>
              <w:spacing w:before="60" w:after="60"/>
              <w:jc w:val="center"/>
              <w:rPr>
                <w:noProof/>
                <w:sz w:val="20"/>
              </w:rPr>
            </w:pPr>
          </w:p>
        </w:tc>
        <w:tc>
          <w:tcPr>
            <w:tcW w:w="1080" w:type="dxa"/>
            <w:shd w:val="clear" w:color="auto" w:fill="auto"/>
            <w:vAlign w:val="center"/>
          </w:tcPr>
          <w:p w14:paraId="3B2B990C" w14:textId="77777777" w:rsidR="009D4357" w:rsidRPr="00434957" w:rsidRDefault="009D4357" w:rsidP="00CE3F2A">
            <w:pPr>
              <w:spacing w:before="60" w:after="60"/>
              <w:jc w:val="center"/>
              <w:rPr>
                <w:noProof/>
                <w:sz w:val="20"/>
              </w:rPr>
            </w:pPr>
          </w:p>
        </w:tc>
        <w:tc>
          <w:tcPr>
            <w:tcW w:w="1080" w:type="dxa"/>
            <w:shd w:val="clear" w:color="auto" w:fill="auto"/>
            <w:vAlign w:val="center"/>
          </w:tcPr>
          <w:p w14:paraId="129B3847" w14:textId="77777777" w:rsidR="009D4357" w:rsidRPr="00434957" w:rsidRDefault="009D4357" w:rsidP="00CE3F2A">
            <w:pPr>
              <w:spacing w:before="60" w:after="60"/>
              <w:jc w:val="center"/>
              <w:rPr>
                <w:noProof/>
                <w:sz w:val="20"/>
              </w:rPr>
            </w:pPr>
          </w:p>
        </w:tc>
        <w:tc>
          <w:tcPr>
            <w:tcW w:w="1080" w:type="dxa"/>
            <w:shd w:val="clear" w:color="auto" w:fill="auto"/>
            <w:vAlign w:val="center"/>
          </w:tcPr>
          <w:p w14:paraId="67CACA3E" w14:textId="77777777" w:rsidR="009D4357" w:rsidRPr="00434957" w:rsidRDefault="009D4357" w:rsidP="00CE3F2A">
            <w:pPr>
              <w:spacing w:before="60" w:after="60"/>
              <w:jc w:val="center"/>
              <w:rPr>
                <w:noProof/>
                <w:sz w:val="20"/>
              </w:rPr>
            </w:pPr>
          </w:p>
        </w:tc>
        <w:tc>
          <w:tcPr>
            <w:tcW w:w="1080" w:type="dxa"/>
            <w:shd w:val="clear" w:color="auto" w:fill="auto"/>
            <w:vAlign w:val="center"/>
          </w:tcPr>
          <w:p w14:paraId="69BD8D2E" w14:textId="77777777" w:rsidR="009D4357" w:rsidRPr="00434957" w:rsidRDefault="009D4357" w:rsidP="00CE3F2A">
            <w:pPr>
              <w:spacing w:before="60" w:after="60"/>
              <w:jc w:val="center"/>
              <w:rPr>
                <w:noProof/>
                <w:sz w:val="20"/>
              </w:rPr>
            </w:pPr>
          </w:p>
        </w:tc>
      </w:tr>
      <w:tr w:rsidR="007C34E2" w:rsidRPr="00434957" w14:paraId="79F56C83" w14:textId="77777777" w:rsidTr="00CE3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0B4058F2" w14:textId="77777777" w:rsidR="007C34E2" w:rsidRPr="00434957" w:rsidRDefault="007C34E2" w:rsidP="007C34E2">
            <w:pPr>
              <w:spacing w:before="60" w:after="60"/>
              <w:jc w:val="center"/>
              <w:rPr>
                <w:noProof/>
                <w:sz w:val="20"/>
              </w:rPr>
            </w:pPr>
            <w:r w:rsidRPr="00434957">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3EA105DE" w14:textId="77777777" w:rsidR="007C34E2" w:rsidRPr="00434957" w:rsidRDefault="007C34E2" w:rsidP="007C34E2">
            <w:pPr>
              <w:spacing w:before="60" w:after="60"/>
              <w:jc w:val="center"/>
              <w:rPr>
                <w:b/>
                <w:noProof/>
                <w:sz w:val="20"/>
              </w:rPr>
            </w:pPr>
            <w:r>
              <w:rPr>
                <w:b/>
                <w:noProof/>
                <w:sz w:val="20"/>
              </w:rPr>
              <w:t>0</w:t>
            </w:r>
          </w:p>
        </w:tc>
        <w:tc>
          <w:tcPr>
            <w:tcW w:w="1080" w:type="dxa"/>
            <w:tcBorders>
              <w:top w:val="single" w:sz="12" w:space="0" w:color="auto"/>
              <w:left w:val="single" w:sz="2" w:space="0" w:color="auto"/>
              <w:bottom w:val="single" w:sz="12" w:space="0" w:color="auto"/>
              <w:right w:val="single" w:sz="2" w:space="0" w:color="auto"/>
            </w:tcBorders>
            <w:vAlign w:val="center"/>
          </w:tcPr>
          <w:p w14:paraId="426AFA34" w14:textId="623436F0" w:rsidR="007C34E2" w:rsidRPr="00434957" w:rsidRDefault="007C34E2" w:rsidP="007C34E2">
            <w:pPr>
              <w:spacing w:before="60" w:after="60"/>
              <w:jc w:val="center"/>
              <w:rPr>
                <w:b/>
                <w:noProof/>
                <w:sz w:val="20"/>
              </w:rPr>
            </w:pPr>
            <w:r>
              <w:rPr>
                <w:b/>
                <w:noProof/>
                <w:sz w:val="20"/>
              </w:rPr>
              <w:t>16.5</w:t>
            </w:r>
          </w:p>
        </w:tc>
        <w:tc>
          <w:tcPr>
            <w:tcW w:w="1080" w:type="dxa"/>
            <w:tcBorders>
              <w:top w:val="single" w:sz="12" w:space="0" w:color="auto"/>
              <w:left w:val="single" w:sz="2" w:space="0" w:color="auto"/>
              <w:bottom w:val="single" w:sz="12" w:space="0" w:color="auto"/>
              <w:right w:val="single" w:sz="2" w:space="0" w:color="auto"/>
            </w:tcBorders>
            <w:vAlign w:val="center"/>
          </w:tcPr>
          <w:p w14:paraId="1D0D6D97" w14:textId="2D7AFC65" w:rsidR="007C34E2" w:rsidRPr="00434957" w:rsidRDefault="007C34E2" w:rsidP="007C34E2">
            <w:pPr>
              <w:spacing w:before="60" w:after="60"/>
              <w:jc w:val="center"/>
              <w:rPr>
                <w:b/>
                <w:noProof/>
                <w:sz w:val="20"/>
              </w:rPr>
            </w:pPr>
            <w:r>
              <w:rPr>
                <w:b/>
                <w:noProof/>
                <w:sz w:val="20"/>
              </w:rPr>
              <w:t>16.5</w:t>
            </w:r>
          </w:p>
        </w:tc>
        <w:tc>
          <w:tcPr>
            <w:tcW w:w="1080" w:type="dxa"/>
            <w:tcBorders>
              <w:top w:val="single" w:sz="12" w:space="0" w:color="auto"/>
              <w:left w:val="single" w:sz="2" w:space="0" w:color="auto"/>
              <w:bottom w:val="single" w:sz="12" w:space="0" w:color="auto"/>
              <w:right w:val="single" w:sz="2" w:space="0" w:color="auto"/>
            </w:tcBorders>
            <w:vAlign w:val="center"/>
          </w:tcPr>
          <w:p w14:paraId="27320563" w14:textId="1F8C4F62" w:rsidR="007C34E2" w:rsidRPr="00434957" w:rsidRDefault="007C34E2" w:rsidP="007C34E2">
            <w:pPr>
              <w:spacing w:before="60" w:after="60"/>
              <w:jc w:val="center"/>
              <w:rPr>
                <w:b/>
                <w:noProof/>
                <w:sz w:val="20"/>
              </w:rPr>
            </w:pPr>
            <w:r>
              <w:rPr>
                <w:b/>
                <w:noProof/>
                <w:sz w:val="20"/>
              </w:rPr>
              <w:t>26.5</w:t>
            </w:r>
          </w:p>
        </w:tc>
        <w:tc>
          <w:tcPr>
            <w:tcW w:w="1080" w:type="dxa"/>
            <w:tcBorders>
              <w:top w:val="single" w:sz="12" w:space="0" w:color="auto"/>
              <w:left w:val="single" w:sz="2" w:space="0" w:color="auto"/>
              <w:bottom w:val="single" w:sz="12" w:space="0" w:color="auto"/>
              <w:right w:val="single" w:sz="2" w:space="0" w:color="auto"/>
            </w:tcBorders>
            <w:vAlign w:val="center"/>
          </w:tcPr>
          <w:p w14:paraId="45055E0A" w14:textId="77777777" w:rsidR="007C34E2" w:rsidRPr="00434957" w:rsidRDefault="007C34E2" w:rsidP="007C34E2">
            <w:pPr>
              <w:spacing w:before="60" w:after="60"/>
              <w:jc w:val="center"/>
              <w:rPr>
                <w:b/>
                <w:noProof/>
                <w:sz w:val="20"/>
              </w:rPr>
            </w:pPr>
            <w:r>
              <w:rPr>
                <w:b/>
                <w:noProof/>
                <w:sz w:val="20"/>
              </w:rPr>
              <w:t>24.5</w:t>
            </w:r>
          </w:p>
        </w:tc>
      </w:tr>
    </w:tbl>
    <w:p w14:paraId="5750D759" w14:textId="77777777" w:rsidR="009D4357" w:rsidRPr="00434957" w:rsidRDefault="009D4357" w:rsidP="009D4357">
      <w:pPr>
        <w:tabs>
          <w:tab w:val="num" w:pos="1134"/>
        </w:tabs>
        <w:rPr>
          <w:noProof/>
          <w:lang w:eastAsia="en-GB"/>
        </w:rPr>
      </w:pPr>
    </w:p>
    <w:p w14:paraId="5362519D" w14:textId="77777777" w:rsidR="009D4357" w:rsidRDefault="009D4357" w:rsidP="009D4357">
      <w:pPr>
        <w:rPr>
          <w:noProof/>
          <w:szCs w:val="24"/>
          <w:lang w:eastAsia="en-GB"/>
        </w:rPr>
      </w:pPr>
      <w:r w:rsidRPr="00434957">
        <w:rPr>
          <w:noProof/>
          <w:lang w:eastAsia="en-GB"/>
        </w:rPr>
        <w:t xml:space="preserve">The human ressources necessary to implement the objectives of </w:t>
      </w:r>
      <w:r>
        <w:rPr>
          <w:noProof/>
          <w:lang w:eastAsia="en-GB"/>
        </w:rPr>
        <w:t>this proposal</w:t>
      </w:r>
      <w:r w:rsidRPr="00434957">
        <w:rPr>
          <w:noProof/>
          <w:lang w:eastAsia="en-GB"/>
        </w:rPr>
        <w:t xml:space="preserve"> have been estimated in cooperation with Europol. The estimates take into consideration </w:t>
      </w:r>
      <w:r w:rsidRPr="00434957">
        <w:rPr>
          <w:noProof/>
          <w:szCs w:val="24"/>
          <w:lang w:eastAsia="en-GB"/>
        </w:rPr>
        <w:t>the expected increase in workload as stakeholders make more use of Europol’s services over time, as well as the time needed for Europol to absorb resources in order to avoid a situation where the agency would not be able to fully implement its EU contribution and commit appropriations in due time.</w:t>
      </w:r>
    </w:p>
    <w:p w14:paraId="7DE1DD88" w14:textId="77777777" w:rsidR="009D4357" w:rsidRPr="00434957" w:rsidRDefault="009D4357" w:rsidP="009D4357">
      <w:pPr>
        <w:rPr>
          <w:noProof/>
          <w:szCs w:val="24"/>
          <w:lang w:eastAsia="en-GB"/>
        </w:rPr>
      </w:pPr>
      <w:r>
        <w:rPr>
          <w:noProof/>
          <w:szCs w:val="24"/>
          <w:lang w:eastAsia="en-GB"/>
        </w:rPr>
        <w:t>The human ressources necessary to implement the objectives of this proposal will be partially covered by existing staff at Europol’s (baseline) and partially by additional ressources (additional staff compared to baseline scenario).</w:t>
      </w:r>
    </w:p>
    <w:p w14:paraId="5CFCA104" w14:textId="77777777" w:rsidR="009D4357" w:rsidRDefault="009D4357" w:rsidP="009D4357">
      <w:pPr>
        <w:rPr>
          <w:noProof/>
          <w:szCs w:val="24"/>
          <w:lang w:eastAsia="en-GB"/>
        </w:rPr>
      </w:pPr>
      <w:r w:rsidRPr="00434957">
        <w:rPr>
          <w:noProof/>
          <w:szCs w:val="24"/>
          <w:lang w:eastAsia="en-GB"/>
        </w:rPr>
        <w:t>No increase in contract</w:t>
      </w:r>
      <w:r>
        <w:rPr>
          <w:noProof/>
          <w:szCs w:val="24"/>
          <w:lang w:eastAsia="en-GB"/>
        </w:rPr>
        <w:t xml:space="preserve"> agents is foreseen in the LFS.</w:t>
      </w:r>
    </w:p>
    <w:p w14:paraId="62BA04F8" w14:textId="77777777" w:rsidR="009D4357" w:rsidRDefault="009D4357" w:rsidP="009D4357">
      <w:pPr>
        <w:rPr>
          <w:noProof/>
          <w:szCs w:val="24"/>
          <w:lang w:eastAsia="en-GB"/>
        </w:rPr>
      </w:pPr>
      <w:r w:rsidRPr="00941D91">
        <w:rPr>
          <w:noProof/>
          <w:szCs w:val="24"/>
          <w:lang w:eastAsia="en-GB"/>
        </w:rPr>
        <w:t xml:space="preserve">For </w:t>
      </w:r>
      <w:r>
        <w:rPr>
          <w:noProof/>
          <w:szCs w:val="24"/>
          <w:lang w:eastAsia="en-GB"/>
        </w:rPr>
        <w:t>the implementation of Prü</w:t>
      </w:r>
      <w:r w:rsidRPr="00941D91">
        <w:rPr>
          <w:noProof/>
          <w:szCs w:val="24"/>
          <w:lang w:eastAsia="en-GB"/>
        </w:rPr>
        <w:t xml:space="preserve">m </w:t>
      </w:r>
      <w:r>
        <w:rPr>
          <w:noProof/>
          <w:szCs w:val="24"/>
          <w:lang w:eastAsia="en-GB"/>
        </w:rPr>
        <w:t>II</w:t>
      </w:r>
      <w:r w:rsidRPr="00941D91">
        <w:rPr>
          <w:noProof/>
          <w:szCs w:val="24"/>
          <w:lang w:eastAsia="en-GB"/>
        </w:rPr>
        <w:t xml:space="preserve">, the resources needed for Europol can be divided into 3 categories: </w:t>
      </w:r>
    </w:p>
    <w:p w14:paraId="155D9B3A" w14:textId="77777777" w:rsidR="009D4357" w:rsidRDefault="009D4357" w:rsidP="009D4357">
      <w:pPr>
        <w:rPr>
          <w:noProof/>
          <w:szCs w:val="24"/>
          <w:lang w:eastAsia="en-GB"/>
        </w:rPr>
      </w:pPr>
      <w:r w:rsidRPr="00941D91">
        <w:rPr>
          <w:noProof/>
          <w:szCs w:val="24"/>
          <w:lang w:eastAsia="en-GB"/>
        </w:rPr>
        <w:t xml:space="preserve">1) ICT costs for connecting to the biometric router at eu-LISA, necessary development works in Europol informations systems to expose Third Party sourced data for searches from Member States and integrate the searches in Prum with Third Party data in Europol single search interface USE-UI, </w:t>
      </w:r>
    </w:p>
    <w:p w14:paraId="4318C095" w14:textId="77777777" w:rsidR="009D4357" w:rsidRDefault="009D4357" w:rsidP="009D4357">
      <w:pPr>
        <w:rPr>
          <w:noProof/>
          <w:szCs w:val="24"/>
          <w:lang w:eastAsia="en-GB"/>
        </w:rPr>
      </w:pPr>
      <w:r w:rsidRPr="00941D91">
        <w:rPr>
          <w:noProof/>
          <w:szCs w:val="24"/>
          <w:lang w:eastAsia="en-GB"/>
        </w:rPr>
        <w:t xml:space="preserve">2) costs for staff in Europol Operations Directorate to perform the searches with Third Party sourced data and biometrics experts to perform the verification of hits, </w:t>
      </w:r>
    </w:p>
    <w:p w14:paraId="27A0FD08" w14:textId="77777777" w:rsidR="009D4357" w:rsidRDefault="009D4357" w:rsidP="009D4357">
      <w:pPr>
        <w:rPr>
          <w:noProof/>
          <w:szCs w:val="24"/>
          <w:lang w:eastAsia="en-GB"/>
        </w:rPr>
      </w:pPr>
      <w:r w:rsidRPr="00941D91">
        <w:rPr>
          <w:noProof/>
          <w:szCs w:val="24"/>
          <w:lang w:eastAsia="en-GB"/>
        </w:rPr>
        <w:t>3) hosting a central router for police records. This will include one off hardware costs (including different environments for production and testing for Member States), ICT staff to ensure the development and change management of ADEP.EPRIS software, testing with Member States, 24/7 helpdesk to support Member States in case of issues. In order to ensure full support to Member States, it requires the availability of different profiles of ICT staff, e.g. gen</w:t>
      </w:r>
      <w:r>
        <w:rPr>
          <w:noProof/>
          <w:szCs w:val="24"/>
          <w:lang w:eastAsia="en-GB"/>
        </w:rPr>
        <w:t>e</w:t>
      </w:r>
      <w:r w:rsidRPr="00941D91">
        <w:rPr>
          <w:noProof/>
          <w:szCs w:val="24"/>
          <w:lang w:eastAsia="en-GB"/>
        </w:rPr>
        <w:t xml:space="preserve">ral coordination, requirements engineers, developers, testers, system administrators. It is foreseen to still need a slightly higher amount of ICT staff in the first year after entry into operation. </w:t>
      </w:r>
    </w:p>
    <w:p w14:paraId="6617DAC5" w14:textId="77777777" w:rsidR="009D4357" w:rsidRPr="00941D91" w:rsidRDefault="009D4357" w:rsidP="009D4357">
      <w:pPr>
        <w:rPr>
          <w:noProof/>
          <w:szCs w:val="24"/>
          <w:lang w:eastAsia="en-GB"/>
        </w:rPr>
      </w:pPr>
      <w:r w:rsidRPr="00941D91">
        <w:rPr>
          <w:noProof/>
          <w:szCs w:val="24"/>
          <w:lang w:eastAsia="en-GB"/>
        </w:rPr>
        <w:t>Due to security constraints and the agreed ceiling of contract agents, the majority of Pr</w:t>
      </w:r>
      <w:r>
        <w:rPr>
          <w:noProof/>
          <w:szCs w:val="24"/>
          <w:lang w:eastAsia="en-GB"/>
        </w:rPr>
        <w:t>ü</w:t>
      </w:r>
      <w:r w:rsidRPr="00941D91">
        <w:rPr>
          <w:noProof/>
          <w:szCs w:val="24"/>
          <w:lang w:eastAsia="en-GB"/>
        </w:rPr>
        <w:t xml:space="preserve">m related tasks have to be performed by Europol staff. Certain less sensitive activities are foreseen to be outsourced to contractors (testing, some development tasks). </w:t>
      </w:r>
      <w:r w:rsidRPr="00941D91">
        <w:rPr>
          <w:noProof/>
          <w:szCs w:val="24"/>
          <w:lang w:eastAsia="en-GB"/>
        </w:rPr>
        <w:tab/>
      </w:r>
      <w:r w:rsidRPr="00941D91">
        <w:rPr>
          <w:noProof/>
          <w:szCs w:val="24"/>
          <w:lang w:eastAsia="en-GB"/>
        </w:rPr>
        <w:tab/>
      </w:r>
      <w:r w:rsidRPr="00941D91">
        <w:rPr>
          <w:noProof/>
          <w:szCs w:val="24"/>
          <w:lang w:eastAsia="en-GB"/>
        </w:rPr>
        <w:tab/>
      </w:r>
      <w:r w:rsidRPr="00941D91">
        <w:rPr>
          <w:noProof/>
          <w:szCs w:val="24"/>
          <w:lang w:eastAsia="en-GB"/>
        </w:rPr>
        <w:tab/>
      </w:r>
      <w:r w:rsidRPr="00941D91">
        <w:rPr>
          <w:noProof/>
          <w:szCs w:val="24"/>
          <w:lang w:eastAsia="en-GB"/>
        </w:rPr>
        <w:tab/>
      </w:r>
    </w:p>
    <w:p w14:paraId="3C30A09E" w14:textId="77777777" w:rsidR="009D4357" w:rsidRPr="00941D91" w:rsidRDefault="009D4357" w:rsidP="009D4357">
      <w:pPr>
        <w:rPr>
          <w:noProof/>
          <w:szCs w:val="24"/>
          <w:lang w:eastAsia="en-GB"/>
        </w:rPr>
      </w:pPr>
      <w:r w:rsidRPr="00941D91">
        <w:rPr>
          <w:noProof/>
          <w:szCs w:val="24"/>
          <w:lang w:eastAsia="en-GB"/>
        </w:rPr>
        <w:tab/>
      </w:r>
      <w:r w:rsidRPr="00941D91">
        <w:rPr>
          <w:noProof/>
          <w:szCs w:val="24"/>
          <w:lang w:eastAsia="en-GB"/>
        </w:rPr>
        <w:tab/>
      </w:r>
      <w:r w:rsidRPr="00941D91">
        <w:rPr>
          <w:noProof/>
          <w:szCs w:val="24"/>
          <w:lang w:eastAsia="en-GB"/>
        </w:rPr>
        <w:tab/>
      </w:r>
      <w:r w:rsidRPr="00941D91">
        <w:rPr>
          <w:noProof/>
          <w:szCs w:val="24"/>
          <w:lang w:eastAsia="en-GB"/>
        </w:rPr>
        <w:tab/>
      </w:r>
      <w:r w:rsidRPr="00941D91">
        <w:rPr>
          <w:noProof/>
          <w:szCs w:val="24"/>
          <w:lang w:eastAsia="en-GB"/>
        </w:rPr>
        <w:tab/>
      </w:r>
    </w:p>
    <w:tbl>
      <w:tblPr>
        <w:tblStyle w:val="PlainTable1"/>
        <w:tblW w:w="8000" w:type="dxa"/>
        <w:tblLook w:val="04A0" w:firstRow="1" w:lastRow="0" w:firstColumn="1" w:lastColumn="0" w:noHBand="0" w:noVBand="1"/>
      </w:tblPr>
      <w:tblGrid>
        <w:gridCol w:w="2970"/>
        <w:gridCol w:w="823"/>
        <w:gridCol w:w="967"/>
        <w:gridCol w:w="1200"/>
        <w:gridCol w:w="1080"/>
        <w:gridCol w:w="960"/>
      </w:tblGrid>
      <w:tr w:rsidR="009D4357" w:rsidRPr="00351D53" w14:paraId="28395254" w14:textId="77777777" w:rsidTr="00BE1125">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308E9A34" w14:textId="77777777" w:rsidR="009D4357" w:rsidRPr="0056090D" w:rsidRDefault="009D4357" w:rsidP="00CE3F2A">
            <w:pPr>
              <w:rPr>
                <w:rFonts w:eastAsia="Times New Roman"/>
                <w:noProof/>
                <w:color w:val="0070C0"/>
              </w:rPr>
            </w:pPr>
            <w:r w:rsidRPr="0056090D">
              <w:rPr>
                <w:rFonts w:eastAsia="Times New Roman"/>
                <w:noProof/>
              </w:rPr>
              <w:t>Temporary Agents</w:t>
            </w:r>
            <w:r>
              <w:rPr>
                <w:rFonts w:eastAsia="Times New Roman"/>
                <w:noProof/>
              </w:rPr>
              <w:t xml:space="preserve"> in FTE</w:t>
            </w:r>
            <w:r w:rsidRPr="0056090D">
              <w:rPr>
                <w:rFonts w:eastAsia="Times New Roman"/>
                <w:noProof/>
              </w:rPr>
              <w:t xml:space="preserve"> (baseline + additional staff)</w:t>
            </w:r>
          </w:p>
        </w:tc>
        <w:tc>
          <w:tcPr>
            <w:tcW w:w="823" w:type="dxa"/>
            <w:noWrap/>
            <w:hideMark/>
          </w:tcPr>
          <w:p w14:paraId="69BE7755" w14:textId="77777777" w:rsidR="009D4357" w:rsidRPr="0056090D" w:rsidRDefault="009D4357" w:rsidP="00CE3F2A">
            <w:pPr>
              <w:jc w:val="center"/>
              <w:cnfStyle w:val="100000000000" w:firstRow="1" w:lastRow="0" w:firstColumn="0" w:lastColumn="0" w:oddVBand="0" w:evenVBand="0" w:oddHBand="0" w:evenHBand="0" w:firstRowFirstColumn="0" w:firstRowLastColumn="0" w:lastRowFirstColumn="0" w:lastRowLastColumn="0"/>
              <w:rPr>
                <w:rFonts w:eastAsia="Times New Roman"/>
                <w:noProof/>
                <w:color w:val="000000"/>
              </w:rPr>
            </w:pPr>
            <w:r w:rsidRPr="0056090D">
              <w:rPr>
                <w:rFonts w:eastAsia="Times New Roman"/>
                <w:noProof/>
                <w:color w:val="000000"/>
              </w:rPr>
              <w:t>2023</w:t>
            </w:r>
          </w:p>
        </w:tc>
        <w:tc>
          <w:tcPr>
            <w:tcW w:w="967" w:type="dxa"/>
            <w:noWrap/>
            <w:hideMark/>
          </w:tcPr>
          <w:p w14:paraId="4AF4EBCB" w14:textId="77777777" w:rsidR="009D4357" w:rsidRPr="0056090D" w:rsidRDefault="009D4357" w:rsidP="00CE3F2A">
            <w:pPr>
              <w:jc w:val="center"/>
              <w:cnfStyle w:val="100000000000" w:firstRow="1" w:lastRow="0" w:firstColumn="0" w:lastColumn="0" w:oddVBand="0" w:evenVBand="0" w:oddHBand="0" w:evenHBand="0" w:firstRowFirstColumn="0" w:firstRowLastColumn="0" w:lastRowFirstColumn="0" w:lastRowLastColumn="0"/>
              <w:rPr>
                <w:rFonts w:eastAsia="Times New Roman"/>
                <w:noProof/>
                <w:color w:val="000000"/>
              </w:rPr>
            </w:pPr>
            <w:r w:rsidRPr="0056090D">
              <w:rPr>
                <w:rFonts w:eastAsia="Times New Roman"/>
                <w:noProof/>
                <w:color w:val="000000"/>
              </w:rPr>
              <w:t>2024</w:t>
            </w:r>
          </w:p>
        </w:tc>
        <w:tc>
          <w:tcPr>
            <w:tcW w:w="1200" w:type="dxa"/>
            <w:noWrap/>
            <w:hideMark/>
          </w:tcPr>
          <w:p w14:paraId="3106A483" w14:textId="77777777" w:rsidR="009D4357" w:rsidRPr="0056090D" w:rsidRDefault="009D4357" w:rsidP="00CE3F2A">
            <w:pPr>
              <w:jc w:val="center"/>
              <w:cnfStyle w:val="100000000000" w:firstRow="1" w:lastRow="0" w:firstColumn="0" w:lastColumn="0" w:oddVBand="0" w:evenVBand="0" w:oddHBand="0" w:evenHBand="0" w:firstRowFirstColumn="0" w:firstRowLastColumn="0" w:lastRowFirstColumn="0" w:lastRowLastColumn="0"/>
              <w:rPr>
                <w:rFonts w:eastAsia="Times New Roman"/>
                <w:noProof/>
                <w:color w:val="000000"/>
              </w:rPr>
            </w:pPr>
            <w:r w:rsidRPr="0056090D">
              <w:rPr>
                <w:rFonts w:eastAsia="Times New Roman"/>
                <w:noProof/>
                <w:color w:val="000000"/>
              </w:rPr>
              <w:t>2025</w:t>
            </w:r>
          </w:p>
        </w:tc>
        <w:tc>
          <w:tcPr>
            <w:tcW w:w="1080" w:type="dxa"/>
            <w:noWrap/>
            <w:hideMark/>
          </w:tcPr>
          <w:p w14:paraId="66E2004B" w14:textId="77777777" w:rsidR="009D4357" w:rsidRPr="0056090D" w:rsidRDefault="009D4357" w:rsidP="00CE3F2A">
            <w:pPr>
              <w:jc w:val="center"/>
              <w:cnfStyle w:val="100000000000" w:firstRow="1" w:lastRow="0" w:firstColumn="0" w:lastColumn="0" w:oddVBand="0" w:evenVBand="0" w:oddHBand="0" w:evenHBand="0" w:firstRowFirstColumn="0" w:firstRowLastColumn="0" w:lastRowFirstColumn="0" w:lastRowLastColumn="0"/>
              <w:rPr>
                <w:rFonts w:eastAsia="Times New Roman"/>
                <w:noProof/>
                <w:color w:val="000000"/>
              </w:rPr>
            </w:pPr>
            <w:r w:rsidRPr="0056090D">
              <w:rPr>
                <w:rFonts w:eastAsia="Times New Roman"/>
                <w:noProof/>
                <w:color w:val="000000"/>
              </w:rPr>
              <w:t>2026</w:t>
            </w:r>
          </w:p>
        </w:tc>
        <w:tc>
          <w:tcPr>
            <w:tcW w:w="960" w:type="dxa"/>
            <w:noWrap/>
            <w:hideMark/>
          </w:tcPr>
          <w:p w14:paraId="07321AC3" w14:textId="77777777" w:rsidR="009D4357" w:rsidRPr="0056090D" w:rsidRDefault="009D4357" w:rsidP="00CE3F2A">
            <w:pPr>
              <w:jc w:val="center"/>
              <w:cnfStyle w:val="100000000000" w:firstRow="1" w:lastRow="0" w:firstColumn="0" w:lastColumn="0" w:oddVBand="0" w:evenVBand="0" w:oddHBand="0" w:evenHBand="0" w:firstRowFirstColumn="0" w:firstRowLastColumn="0" w:lastRowFirstColumn="0" w:lastRowLastColumn="0"/>
              <w:rPr>
                <w:rFonts w:eastAsia="Times New Roman"/>
                <w:noProof/>
                <w:color w:val="000000"/>
              </w:rPr>
            </w:pPr>
            <w:r w:rsidRPr="0056090D">
              <w:rPr>
                <w:rFonts w:eastAsia="Times New Roman"/>
                <w:noProof/>
                <w:color w:val="000000"/>
              </w:rPr>
              <w:t>2027</w:t>
            </w:r>
          </w:p>
        </w:tc>
      </w:tr>
      <w:tr w:rsidR="009D4357" w:rsidRPr="00351D53" w14:paraId="12799519" w14:textId="77777777" w:rsidTr="00BE1125">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3A182FCA" w14:textId="77777777" w:rsidR="009D4357" w:rsidRPr="0056090D" w:rsidRDefault="009D4357" w:rsidP="00CE3F2A">
            <w:pPr>
              <w:rPr>
                <w:rFonts w:eastAsia="Times New Roman"/>
                <w:noProof/>
                <w:color w:val="000000"/>
              </w:rPr>
            </w:pPr>
            <w:r w:rsidRPr="0056090D">
              <w:rPr>
                <w:rFonts w:eastAsia="Times New Roman"/>
                <w:noProof/>
                <w:color w:val="000000"/>
              </w:rPr>
              <w:t xml:space="preserve"> Project management </w:t>
            </w:r>
          </w:p>
        </w:tc>
        <w:tc>
          <w:tcPr>
            <w:tcW w:w="823" w:type="dxa"/>
            <w:noWrap/>
          </w:tcPr>
          <w:p w14:paraId="4CEE38F7" w14:textId="77777777" w:rsidR="009D4357" w:rsidRPr="0056090D" w:rsidRDefault="009D4357" w:rsidP="00CE3F2A">
            <w:pPr>
              <w:jc w:val="right"/>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p>
        </w:tc>
        <w:tc>
          <w:tcPr>
            <w:tcW w:w="967" w:type="dxa"/>
            <w:noWrap/>
            <w:vAlign w:val="center"/>
            <w:hideMark/>
          </w:tcPr>
          <w:p w14:paraId="6A0C3ABD" w14:textId="77777777" w:rsidR="009D4357" w:rsidRPr="0056090D"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r w:rsidRPr="0056090D">
              <w:rPr>
                <w:rFonts w:eastAsia="Times New Roman"/>
                <w:noProof/>
                <w:color w:val="000000"/>
              </w:rPr>
              <w:t>1,0</w:t>
            </w:r>
          </w:p>
        </w:tc>
        <w:tc>
          <w:tcPr>
            <w:tcW w:w="1200" w:type="dxa"/>
            <w:noWrap/>
            <w:vAlign w:val="center"/>
            <w:hideMark/>
          </w:tcPr>
          <w:p w14:paraId="72364AC9" w14:textId="77777777" w:rsidR="009D4357" w:rsidRPr="0056090D"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r w:rsidRPr="0056090D">
              <w:rPr>
                <w:rFonts w:eastAsia="Times New Roman"/>
                <w:noProof/>
                <w:color w:val="000000"/>
              </w:rPr>
              <w:t>1,0</w:t>
            </w:r>
          </w:p>
        </w:tc>
        <w:tc>
          <w:tcPr>
            <w:tcW w:w="1080" w:type="dxa"/>
            <w:noWrap/>
            <w:vAlign w:val="center"/>
            <w:hideMark/>
          </w:tcPr>
          <w:p w14:paraId="27DFF0F7" w14:textId="77777777" w:rsidR="009D4357" w:rsidRPr="0056090D"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r w:rsidRPr="0056090D">
              <w:rPr>
                <w:rFonts w:eastAsia="Times New Roman"/>
                <w:noProof/>
                <w:color w:val="000000"/>
              </w:rPr>
              <w:t>0,5</w:t>
            </w:r>
          </w:p>
        </w:tc>
        <w:tc>
          <w:tcPr>
            <w:tcW w:w="960" w:type="dxa"/>
            <w:noWrap/>
            <w:vAlign w:val="center"/>
            <w:hideMark/>
          </w:tcPr>
          <w:p w14:paraId="552BF597" w14:textId="77777777" w:rsidR="009D4357" w:rsidRPr="0056090D"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r w:rsidRPr="0056090D">
              <w:rPr>
                <w:rFonts w:eastAsia="Times New Roman"/>
                <w:noProof/>
                <w:color w:val="000000"/>
              </w:rPr>
              <w:t>0,5</w:t>
            </w:r>
          </w:p>
        </w:tc>
      </w:tr>
      <w:tr w:rsidR="00BE1125" w:rsidRPr="00351D53" w14:paraId="1BD53DF1" w14:textId="77777777" w:rsidTr="00BE1125">
        <w:trPr>
          <w:trHeight w:val="5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5D59A17E" w14:textId="45331C1F" w:rsidR="00BE1125" w:rsidRPr="0056090D" w:rsidRDefault="00EC4824" w:rsidP="00BE1125">
            <w:pPr>
              <w:rPr>
                <w:rFonts w:eastAsia="Times New Roman"/>
                <w:noProof/>
                <w:color w:val="000000"/>
              </w:rPr>
            </w:pPr>
            <w:r>
              <w:rPr>
                <w:rFonts w:eastAsia="Times New Roman"/>
                <w:noProof/>
                <w:color w:val="000000"/>
              </w:rPr>
              <w:t xml:space="preserve"> Experts </w:t>
            </w:r>
            <w:r w:rsidR="00BE1125" w:rsidRPr="0056090D">
              <w:rPr>
                <w:rFonts w:eastAsia="Times New Roman"/>
                <w:noProof/>
                <w:color w:val="000000"/>
              </w:rPr>
              <w:t>(total)</w:t>
            </w:r>
          </w:p>
        </w:tc>
        <w:tc>
          <w:tcPr>
            <w:tcW w:w="823" w:type="dxa"/>
            <w:noWrap/>
          </w:tcPr>
          <w:p w14:paraId="52954E91" w14:textId="77777777" w:rsidR="00BE1125" w:rsidRPr="0056090D" w:rsidRDefault="00BE1125" w:rsidP="00BE1125">
            <w:pPr>
              <w:jc w:val="right"/>
              <w:cnfStyle w:val="000000000000" w:firstRow="0" w:lastRow="0" w:firstColumn="0" w:lastColumn="0" w:oddVBand="0" w:evenVBand="0" w:oddHBand="0" w:evenHBand="0" w:firstRowFirstColumn="0" w:firstRowLastColumn="0" w:lastRowFirstColumn="0" w:lastRowLastColumn="0"/>
              <w:rPr>
                <w:rFonts w:eastAsia="Times New Roman"/>
                <w:noProof/>
                <w:color w:val="000000"/>
              </w:rPr>
            </w:pPr>
          </w:p>
        </w:tc>
        <w:tc>
          <w:tcPr>
            <w:tcW w:w="967" w:type="dxa"/>
            <w:noWrap/>
            <w:vAlign w:val="center"/>
            <w:hideMark/>
          </w:tcPr>
          <w:p w14:paraId="44F3EAD1" w14:textId="44D897BB" w:rsidR="00BE1125" w:rsidRPr="0056090D" w:rsidRDefault="00BE1125" w:rsidP="00BE1125">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rPr>
            </w:pPr>
            <w:r w:rsidRPr="0056090D">
              <w:rPr>
                <w:rFonts w:eastAsia="Times New Roman"/>
                <w:noProof/>
                <w:color w:val="000000"/>
              </w:rPr>
              <w:t>1</w:t>
            </w:r>
            <w:r>
              <w:rPr>
                <w:rFonts w:eastAsia="Times New Roman"/>
                <w:noProof/>
                <w:color w:val="000000"/>
              </w:rPr>
              <w:t>4</w:t>
            </w:r>
            <w:r w:rsidRPr="0056090D">
              <w:rPr>
                <w:rFonts w:eastAsia="Times New Roman"/>
                <w:noProof/>
                <w:color w:val="000000"/>
              </w:rPr>
              <w:t>,5</w:t>
            </w:r>
          </w:p>
        </w:tc>
        <w:tc>
          <w:tcPr>
            <w:tcW w:w="1200" w:type="dxa"/>
            <w:noWrap/>
            <w:vAlign w:val="center"/>
            <w:hideMark/>
          </w:tcPr>
          <w:p w14:paraId="5C841B1B" w14:textId="27EF17E1" w:rsidR="00BE1125" w:rsidRPr="0056090D" w:rsidRDefault="00BE1125" w:rsidP="00BE1125">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rPr>
            </w:pPr>
            <w:r w:rsidRPr="0056090D">
              <w:rPr>
                <w:rFonts w:eastAsia="Times New Roman"/>
                <w:noProof/>
                <w:color w:val="000000"/>
              </w:rPr>
              <w:t>1</w:t>
            </w:r>
            <w:r>
              <w:rPr>
                <w:rFonts w:eastAsia="Times New Roman"/>
                <w:noProof/>
                <w:color w:val="000000"/>
              </w:rPr>
              <w:t>4</w:t>
            </w:r>
            <w:r w:rsidRPr="0056090D">
              <w:rPr>
                <w:rFonts w:eastAsia="Times New Roman"/>
                <w:noProof/>
                <w:color w:val="000000"/>
              </w:rPr>
              <w:t>,5</w:t>
            </w:r>
          </w:p>
        </w:tc>
        <w:tc>
          <w:tcPr>
            <w:tcW w:w="1080" w:type="dxa"/>
            <w:noWrap/>
            <w:vAlign w:val="center"/>
            <w:hideMark/>
          </w:tcPr>
          <w:p w14:paraId="5310CA14" w14:textId="77777777" w:rsidR="00BE1125" w:rsidRPr="0056090D" w:rsidRDefault="00BE1125" w:rsidP="00BE1125">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rPr>
            </w:pPr>
            <w:r w:rsidRPr="0056090D">
              <w:rPr>
                <w:rFonts w:eastAsia="Times New Roman"/>
                <w:noProof/>
                <w:color w:val="000000"/>
              </w:rPr>
              <w:t>18,0</w:t>
            </w:r>
          </w:p>
        </w:tc>
        <w:tc>
          <w:tcPr>
            <w:tcW w:w="960" w:type="dxa"/>
            <w:noWrap/>
            <w:vAlign w:val="center"/>
            <w:hideMark/>
          </w:tcPr>
          <w:p w14:paraId="462530FD" w14:textId="77777777" w:rsidR="00BE1125" w:rsidRPr="0056090D" w:rsidRDefault="00BE1125" w:rsidP="00BE1125">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rPr>
            </w:pPr>
            <w:r w:rsidRPr="0056090D">
              <w:rPr>
                <w:rFonts w:eastAsia="Times New Roman"/>
                <w:noProof/>
                <w:color w:val="000000"/>
              </w:rPr>
              <w:t>16,0</w:t>
            </w:r>
          </w:p>
        </w:tc>
      </w:tr>
      <w:tr w:rsidR="009D4357" w:rsidRPr="00351D53" w14:paraId="6DBF4970" w14:textId="77777777" w:rsidTr="00BE1125">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5EB60CD5" w14:textId="77777777" w:rsidR="009D4357" w:rsidRPr="0056090D" w:rsidRDefault="009D4357" w:rsidP="00926358">
            <w:pPr>
              <w:pStyle w:val="ListParagraph"/>
              <w:numPr>
                <w:ilvl w:val="0"/>
                <w:numId w:val="40"/>
              </w:numPr>
              <w:spacing w:after="0"/>
              <w:outlineLvl w:val="0"/>
              <w:rPr>
                <w:rFonts w:eastAsia="Times New Roman"/>
                <w:i/>
                <w:iCs/>
                <w:noProof/>
                <w:color w:val="000000"/>
              </w:rPr>
            </w:pPr>
            <w:r w:rsidRPr="0056090D">
              <w:rPr>
                <w:rFonts w:eastAsia="Times New Roman"/>
                <w:i/>
                <w:iCs/>
                <w:noProof/>
                <w:color w:val="000000"/>
              </w:rPr>
              <w:t xml:space="preserve">biometrics </w:t>
            </w:r>
          </w:p>
        </w:tc>
        <w:tc>
          <w:tcPr>
            <w:tcW w:w="823" w:type="dxa"/>
            <w:noWrap/>
          </w:tcPr>
          <w:p w14:paraId="09172FC2" w14:textId="77777777" w:rsidR="009D4357" w:rsidRPr="0056090D" w:rsidRDefault="009D4357" w:rsidP="00CE3F2A">
            <w:pPr>
              <w:jc w:val="right"/>
              <w:outlineLvl w:val="0"/>
              <w:cnfStyle w:val="000000100000" w:firstRow="0" w:lastRow="0" w:firstColumn="0" w:lastColumn="0" w:oddVBand="0" w:evenVBand="0" w:oddHBand="1" w:evenHBand="0" w:firstRowFirstColumn="0" w:firstRowLastColumn="0" w:lastRowFirstColumn="0" w:lastRowLastColumn="0"/>
              <w:rPr>
                <w:rFonts w:eastAsia="Times New Roman"/>
                <w:i/>
                <w:iCs/>
                <w:noProof/>
                <w:color w:val="000000"/>
              </w:rPr>
            </w:pPr>
          </w:p>
        </w:tc>
        <w:tc>
          <w:tcPr>
            <w:tcW w:w="967" w:type="dxa"/>
            <w:noWrap/>
            <w:vAlign w:val="center"/>
            <w:hideMark/>
          </w:tcPr>
          <w:p w14:paraId="598FD9ED" w14:textId="77777777" w:rsidR="009D4357" w:rsidRPr="0056090D" w:rsidRDefault="009D4357" w:rsidP="00CE3F2A">
            <w:pPr>
              <w:jc w:val="center"/>
              <w:outlineLvl w:val="0"/>
              <w:cnfStyle w:val="000000100000" w:firstRow="0" w:lastRow="0" w:firstColumn="0" w:lastColumn="0" w:oddVBand="0" w:evenVBand="0" w:oddHBand="1" w:evenHBand="0" w:firstRowFirstColumn="0" w:firstRowLastColumn="0" w:lastRowFirstColumn="0" w:lastRowLastColumn="0"/>
              <w:rPr>
                <w:rFonts w:eastAsia="Times New Roman"/>
                <w:i/>
                <w:iCs/>
                <w:noProof/>
                <w:color w:val="000000"/>
              </w:rPr>
            </w:pPr>
            <w:r w:rsidRPr="0056090D">
              <w:rPr>
                <w:rFonts w:eastAsia="Times New Roman"/>
                <w:i/>
                <w:iCs/>
                <w:noProof/>
                <w:color w:val="000000"/>
              </w:rPr>
              <w:t>1,0</w:t>
            </w:r>
          </w:p>
        </w:tc>
        <w:tc>
          <w:tcPr>
            <w:tcW w:w="1200" w:type="dxa"/>
            <w:noWrap/>
            <w:vAlign w:val="center"/>
            <w:hideMark/>
          </w:tcPr>
          <w:p w14:paraId="7EA838A1" w14:textId="77777777" w:rsidR="009D4357" w:rsidRPr="0056090D" w:rsidRDefault="009D4357" w:rsidP="00CE3F2A">
            <w:pPr>
              <w:jc w:val="center"/>
              <w:outlineLvl w:val="0"/>
              <w:cnfStyle w:val="000000100000" w:firstRow="0" w:lastRow="0" w:firstColumn="0" w:lastColumn="0" w:oddVBand="0" w:evenVBand="0" w:oddHBand="1" w:evenHBand="0" w:firstRowFirstColumn="0" w:firstRowLastColumn="0" w:lastRowFirstColumn="0" w:lastRowLastColumn="0"/>
              <w:rPr>
                <w:rFonts w:eastAsia="Times New Roman"/>
                <w:i/>
                <w:iCs/>
                <w:noProof/>
                <w:color w:val="000000"/>
              </w:rPr>
            </w:pPr>
            <w:r w:rsidRPr="0056090D">
              <w:rPr>
                <w:rFonts w:eastAsia="Times New Roman"/>
                <w:i/>
                <w:iCs/>
                <w:noProof/>
                <w:color w:val="000000"/>
              </w:rPr>
              <w:t>1,0</w:t>
            </w:r>
          </w:p>
        </w:tc>
        <w:tc>
          <w:tcPr>
            <w:tcW w:w="1080" w:type="dxa"/>
            <w:noWrap/>
            <w:vAlign w:val="center"/>
            <w:hideMark/>
          </w:tcPr>
          <w:p w14:paraId="16916909" w14:textId="77777777" w:rsidR="009D4357" w:rsidRPr="0056090D" w:rsidRDefault="009D4357" w:rsidP="00CE3F2A">
            <w:pPr>
              <w:jc w:val="center"/>
              <w:outlineLvl w:val="0"/>
              <w:cnfStyle w:val="000000100000" w:firstRow="0" w:lastRow="0" w:firstColumn="0" w:lastColumn="0" w:oddVBand="0" w:evenVBand="0" w:oddHBand="1" w:evenHBand="0" w:firstRowFirstColumn="0" w:firstRowLastColumn="0" w:lastRowFirstColumn="0" w:lastRowLastColumn="0"/>
              <w:rPr>
                <w:rFonts w:eastAsia="Times New Roman"/>
                <w:i/>
                <w:iCs/>
                <w:noProof/>
                <w:color w:val="000000"/>
              </w:rPr>
            </w:pPr>
            <w:r w:rsidRPr="0056090D">
              <w:rPr>
                <w:rFonts w:eastAsia="Times New Roman"/>
                <w:i/>
                <w:iCs/>
                <w:noProof/>
                <w:color w:val="000000"/>
              </w:rPr>
              <w:t>4,0</w:t>
            </w:r>
          </w:p>
        </w:tc>
        <w:tc>
          <w:tcPr>
            <w:tcW w:w="960" w:type="dxa"/>
            <w:noWrap/>
            <w:vAlign w:val="center"/>
            <w:hideMark/>
          </w:tcPr>
          <w:p w14:paraId="63772B26" w14:textId="77777777" w:rsidR="009D4357" w:rsidRPr="0056090D" w:rsidRDefault="009D4357" w:rsidP="00CE3F2A">
            <w:pPr>
              <w:jc w:val="center"/>
              <w:outlineLvl w:val="0"/>
              <w:cnfStyle w:val="000000100000" w:firstRow="0" w:lastRow="0" w:firstColumn="0" w:lastColumn="0" w:oddVBand="0" w:evenVBand="0" w:oddHBand="1" w:evenHBand="0" w:firstRowFirstColumn="0" w:firstRowLastColumn="0" w:lastRowFirstColumn="0" w:lastRowLastColumn="0"/>
              <w:rPr>
                <w:rFonts w:eastAsia="Times New Roman"/>
                <w:i/>
                <w:iCs/>
                <w:noProof/>
                <w:color w:val="000000"/>
              </w:rPr>
            </w:pPr>
            <w:r w:rsidRPr="0056090D">
              <w:rPr>
                <w:rFonts w:eastAsia="Times New Roman"/>
                <w:i/>
                <w:iCs/>
                <w:noProof/>
                <w:color w:val="000000"/>
              </w:rPr>
              <w:t>4,0</w:t>
            </w:r>
          </w:p>
        </w:tc>
      </w:tr>
      <w:tr w:rsidR="009D4357" w:rsidRPr="00351D53" w14:paraId="664AF28A" w14:textId="77777777" w:rsidTr="00BE1125">
        <w:trPr>
          <w:trHeight w:val="5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5E713875" w14:textId="77777777" w:rsidR="009D4357" w:rsidRPr="0056090D" w:rsidRDefault="009D4357" w:rsidP="00926358">
            <w:pPr>
              <w:pStyle w:val="ListParagraph"/>
              <w:numPr>
                <w:ilvl w:val="0"/>
                <w:numId w:val="40"/>
              </w:numPr>
              <w:spacing w:after="0"/>
              <w:outlineLvl w:val="0"/>
              <w:rPr>
                <w:rFonts w:eastAsia="Times New Roman"/>
                <w:i/>
                <w:iCs/>
                <w:noProof/>
                <w:color w:val="000000"/>
              </w:rPr>
            </w:pPr>
            <w:r w:rsidRPr="0056090D">
              <w:rPr>
                <w:rFonts w:eastAsia="Times New Roman"/>
                <w:i/>
                <w:iCs/>
                <w:noProof/>
                <w:color w:val="000000"/>
              </w:rPr>
              <w:t xml:space="preserve">operational staff </w:t>
            </w:r>
          </w:p>
        </w:tc>
        <w:tc>
          <w:tcPr>
            <w:tcW w:w="823" w:type="dxa"/>
            <w:noWrap/>
          </w:tcPr>
          <w:p w14:paraId="388FDA90" w14:textId="77777777" w:rsidR="009D4357" w:rsidRPr="0056090D" w:rsidRDefault="009D4357" w:rsidP="00CE3F2A">
            <w:pPr>
              <w:jc w:val="right"/>
              <w:outlineLvl w:val="0"/>
              <w:cnfStyle w:val="000000000000" w:firstRow="0" w:lastRow="0" w:firstColumn="0" w:lastColumn="0" w:oddVBand="0" w:evenVBand="0" w:oddHBand="0" w:evenHBand="0" w:firstRowFirstColumn="0" w:firstRowLastColumn="0" w:lastRowFirstColumn="0" w:lastRowLastColumn="0"/>
              <w:rPr>
                <w:rFonts w:eastAsia="Times New Roman"/>
                <w:i/>
                <w:iCs/>
                <w:noProof/>
                <w:color w:val="000000"/>
              </w:rPr>
            </w:pPr>
          </w:p>
        </w:tc>
        <w:tc>
          <w:tcPr>
            <w:tcW w:w="967" w:type="dxa"/>
            <w:noWrap/>
            <w:vAlign w:val="center"/>
            <w:hideMark/>
          </w:tcPr>
          <w:p w14:paraId="01C09C09" w14:textId="77777777" w:rsidR="009D4357" w:rsidRPr="0056090D" w:rsidRDefault="009D4357" w:rsidP="00CE3F2A">
            <w:pPr>
              <w:jc w:val="center"/>
              <w:outlineLvl w:val="0"/>
              <w:cnfStyle w:val="000000000000" w:firstRow="0" w:lastRow="0" w:firstColumn="0" w:lastColumn="0" w:oddVBand="0" w:evenVBand="0" w:oddHBand="0" w:evenHBand="0" w:firstRowFirstColumn="0" w:firstRowLastColumn="0" w:lastRowFirstColumn="0" w:lastRowLastColumn="0"/>
              <w:rPr>
                <w:rFonts w:eastAsia="Times New Roman"/>
                <w:i/>
                <w:iCs/>
                <w:noProof/>
                <w:color w:val="000000"/>
              </w:rPr>
            </w:pPr>
            <w:r w:rsidRPr="0056090D">
              <w:rPr>
                <w:rFonts w:eastAsia="Times New Roman"/>
                <w:i/>
                <w:iCs/>
                <w:noProof/>
                <w:color w:val="000000"/>
              </w:rPr>
              <w:t>0,5</w:t>
            </w:r>
          </w:p>
        </w:tc>
        <w:tc>
          <w:tcPr>
            <w:tcW w:w="1200" w:type="dxa"/>
            <w:noWrap/>
            <w:vAlign w:val="center"/>
            <w:hideMark/>
          </w:tcPr>
          <w:p w14:paraId="552EB0F4" w14:textId="77777777" w:rsidR="009D4357" w:rsidRPr="0056090D" w:rsidRDefault="009D4357" w:rsidP="00CE3F2A">
            <w:pPr>
              <w:jc w:val="center"/>
              <w:outlineLvl w:val="0"/>
              <w:cnfStyle w:val="000000000000" w:firstRow="0" w:lastRow="0" w:firstColumn="0" w:lastColumn="0" w:oddVBand="0" w:evenVBand="0" w:oddHBand="0" w:evenHBand="0" w:firstRowFirstColumn="0" w:firstRowLastColumn="0" w:lastRowFirstColumn="0" w:lastRowLastColumn="0"/>
              <w:rPr>
                <w:rFonts w:eastAsia="Times New Roman"/>
                <w:i/>
                <w:iCs/>
                <w:noProof/>
                <w:color w:val="000000"/>
              </w:rPr>
            </w:pPr>
            <w:r w:rsidRPr="0056090D">
              <w:rPr>
                <w:rFonts w:eastAsia="Times New Roman"/>
                <w:i/>
                <w:iCs/>
                <w:noProof/>
                <w:color w:val="000000"/>
              </w:rPr>
              <w:t>0,5</w:t>
            </w:r>
          </w:p>
        </w:tc>
        <w:tc>
          <w:tcPr>
            <w:tcW w:w="1080" w:type="dxa"/>
            <w:noWrap/>
            <w:vAlign w:val="center"/>
            <w:hideMark/>
          </w:tcPr>
          <w:p w14:paraId="7B475682" w14:textId="77777777" w:rsidR="009D4357" w:rsidRPr="0056090D" w:rsidRDefault="009D4357" w:rsidP="00CE3F2A">
            <w:pPr>
              <w:jc w:val="center"/>
              <w:outlineLvl w:val="0"/>
              <w:cnfStyle w:val="000000000000" w:firstRow="0" w:lastRow="0" w:firstColumn="0" w:lastColumn="0" w:oddVBand="0" w:evenVBand="0" w:oddHBand="0" w:evenHBand="0" w:firstRowFirstColumn="0" w:firstRowLastColumn="0" w:lastRowFirstColumn="0" w:lastRowLastColumn="0"/>
              <w:rPr>
                <w:rFonts w:eastAsia="Times New Roman"/>
                <w:i/>
                <w:iCs/>
                <w:noProof/>
                <w:color w:val="000000"/>
              </w:rPr>
            </w:pPr>
            <w:r w:rsidRPr="0056090D">
              <w:rPr>
                <w:rFonts w:eastAsia="Times New Roman"/>
                <w:i/>
                <w:iCs/>
                <w:noProof/>
                <w:color w:val="000000"/>
              </w:rPr>
              <w:t>4,0</w:t>
            </w:r>
          </w:p>
        </w:tc>
        <w:tc>
          <w:tcPr>
            <w:tcW w:w="960" w:type="dxa"/>
            <w:noWrap/>
            <w:vAlign w:val="center"/>
            <w:hideMark/>
          </w:tcPr>
          <w:p w14:paraId="7ACEB036" w14:textId="77777777" w:rsidR="009D4357" w:rsidRPr="0056090D" w:rsidRDefault="009D4357" w:rsidP="00CE3F2A">
            <w:pPr>
              <w:jc w:val="center"/>
              <w:outlineLvl w:val="0"/>
              <w:cnfStyle w:val="000000000000" w:firstRow="0" w:lastRow="0" w:firstColumn="0" w:lastColumn="0" w:oddVBand="0" w:evenVBand="0" w:oddHBand="0" w:evenHBand="0" w:firstRowFirstColumn="0" w:firstRowLastColumn="0" w:lastRowFirstColumn="0" w:lastRowLastColumn="0"/>
              <w:rPr>
                <w:rFonts w:eastAsia="Times New Roman"/>
                <w:i/>
                <w:iCs/>
                <w:noProof/>
                <w:color w:val="000000"/>
              </w:rPr>
            </w:pPr>
            <w:r w:rsidRPr="0056090D">
              <w:rPr>
                <w:rFonts w:eastAsia="Times New Roman"/>
                <w:i/>
                <w:iCs/>
                <w:noProof/>
                <w:color w:val="000000"/>
              </w:rPr>
              <w:t>4,0</w:t>
            </w:r>
          </w:p>
        </w:tc>
      </w:tr>
      <w:tr w:rsidR="00BE1125" w:rsidRPr="00351D53" w14:paraId="263289A1" w14:textId="77777777" w:rsidTr="00BE1125">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644779C3" w14:textId="77777777" w:rsidR="00BE1125" w:rsidRPr="0056090D" w:rsidRDefault="00BE1125" w:rsidP="00926358">
            <w:pPr>
              <w:pStyle w:val="ListParagraph"/>
              <w:numPr>
                <w:ilvl w:val="0"/>
                <w:numId w:val="40"/>
              </w:numPr>
              <w:spacing w:after="0"/>
              <w:outlineLvl w:val="0"/>
              <w:rPr>
                <w:rFonts w:eastAsia="Times New Roman"/>
                <w:i/>
                <w:iCs/>
                <w:noProof/>
                <w:color w:val="000000"/>
              </w:rPr>
            </w:pPr>
            <w:r w:rsidRPr="0056090D">
              <w:rPr>
                <w:rFonts w:eastAsia="Times New Roman"/>
                <w:i/>
                <w:iCs/>
                <w:noProof/>
                <w:color w:val="000000"/>
              </w:rPr>
              <w:t xml:space="preserve">ICT </w:t>
            </w:r>
          </w:p>
        </w:tc>
        <w:tc>
          <w:tcPr>
            <w:tcW w:w="823" w:type="dxa"/>
            <w:noWrap/>
          </w:tcPr>
          <w:p w14:paraId="251721AE" w14:textId="77777777" w:rsidR="00BE1125" w:rsidRPr="0056090D" w:rsidRDefault="00BE1125" w:rsidP="00BE1125">
            <w:pPr>
              <w:jc w:val="right"/>
              <w:outlineLvl w:val="0"/>
              <w:cnfStyle w:val="000000100000" w:firstRow="0" w:lastRow="0" w:firstColumn="0" w:lastColumn="0" w:oddVBand="0" w:evenVBand="0" w:oddHBand="1" w:evenHBand="0" w:firstRowFirstColumn="0" w:firstRowLastColumn="0" w:lastRowFirstColumn="0" w:lastRowLastColumn="0"/>
              <w:rPr>
                <w:rFonts w:eastAsia="Times New Roman"/>
                <w:i/>
                <w:iCs/>
                <w:noProof/>
                <w:color w:val="000000"/>
              </w:rPr>
            </w:pPr>
          </w:p>
        </w:tc>
        <w:tc>
          <w:tcPr>
            <w:tcW w:w="967" w:type="dxa"/>
            <w:noWrap/>
            <w:vAlign w:val="center"/>
            <w:hideMark/>
          </w:tcPr>
          <w:p w14:paraId="0373E303" w14:textId="510765C2" w:rsidR="00BE1125" w:rsidRPr="0056090D" w:rsidRDefault="00BE1125" w:rsidP="00BE1125">
            <w:pPr>
              <w:jc w:val="center"/>
              <w:outlineLvl w:val="0"/>
              <w:cnfStyle w:val="000000100000" w:firstRow="0" w:lastRow="0" w:firstColumn="0" w:lastColumn="0" w:oddVBand="0" w:evenVBand="0" w:oddHBand="1" w:evenHBand="0" w:firstRowFirstColumn="0" w:firstRowLastColumn="0" w:lastRowFirstColumn="0" w:lastRowLastColumn="0"/>
              <w:rPr>
                <w:rFonts w:eastAsia="Times New Roman"/>
                <w:i/>
                <w:iCs/>
                <w:noProof/>
                <w:color w:val="000000"/>
              </w:rPr>
            </w:pPr>
            <w:r w:rsidRPr="0056090D">
              <w:rPr>
                <w:rFonts w:eastAsia="Times New Roman"/>
                <w:i/>
                <w:iCs/>
                <w:noProof/>
                <w:color w:val="000000"/>
              </w:rPr>
              <w:t>1</w:t>
            </w:r>
            <w:r>
              <w:rPr>
                <w:rFonts w:eastAsia="Times New Roman"/>
                <w:i/>
                <w:iCs/>
                <w:noProof/>
                <w:color w:val="000000"/>
              </w:rPr>
              <w:t>3</w:t>
            </w:r>
            <w:r w:rsidRPr="0056090D">
              <w:rPr>
                <w:rFonts w:eastAsia="Times New Roman"/>
                <w:i/>
                <w:iCs/>
                <w:noProof/>
                <w:color w:val="000000"/>
              </w:rPr>
              <w:t>,0</w:t>
            </w:r>
          </w:p>
        </w:tc>
        <w:tc>
          <w:tcPr>
            <w:tcW w:w="1200" w:type="dxa"/>
            <w:noWrap/>
            <w:vAlign w:val="center"/>
            <w:hideMark/>
          </w:tcPr>
          <w:p w14:paraId="0FD8928E" w14:textId="22EBB064" w:rsidR="00BE1125" w:rsidRPr="0056090D" w:rsidRDefault="00BE1125" w:rsidP="00BE1125">
            <w:pPr>
              <w:jc w:val="center"/>
              <w:outlineLvl w:val="0"/>
              <w:cnfStyle w:val="000000100000" w:firstRow="0" w:lastRow="0" w:firstColumn="0" w:lastColumn="0" w:oddVBand="0" w:evenVBand="0" w:oddHBand="1" w:evenHBand="0" w:firstRowFirstColumn="0" w:firstRowLastColumn="0" w:lastRowFirstColumn="0" w:lastRowLastColumn="0"/>
              <w:rPr>
                <w:rFonts w:eastAsia="Times New Roman"/>
                <w:i/>
                <w:iCs/>
                <w:noProof/>
                <w:color w:val="000000"/>
              </w:rPr>
            </w:pPr>
            <w:r w:rsidRPr="0056090D">
              <w:rPr>
                <w:rFonts w:eastAsia="Times New Roman"/>
                <w:i/>
                <w:iCs/>
                <w:noProof/>
                <w:color w:val="000000"/>
              </w:rPr>
              <w:t>1</w:t>
            </w:r>
            <w:r>
              <w:rPr>
                <w:rFonts w:eastAsia="Times New Roman"/>
                <w:i/>
                <w:iCs/>
                <w:noProof/>
                <w:color w:val="000000"/>
              </w:rPr>
              <w:t>3</w:t>
            </w:r>
            <w:r w:rsidRPr="0056090D">
              <w:rPr>
                <w:rFonts w:eastAsia="Times New Roman"/>
                <w:i/>
                <w:iCs/>
                <w:noProof/>
                <w:color w:val="000000"/>
              </w:rPr>
              <w:t>,0</w:t>
            </w:r>
          </w:p>
        </w:tc>
        <w:tc>
          <w:tcPr>
            <w:tcW w:w="1080" w:type="dxa"/>
            <w:noWrap/>
            <w:vAlign w:val="center"/>
            <w:hideMark/>
          </w:tcPr>
          <w:p w14:paraId="027B085D" w14:textId="77777777" w:rsidR="00BE1125" w:rsidRPr="0056090D" w:rsidRDefault="00BE1125" w:rsidP="00BE1125">
            <w:pPr>
              <w:jc w:val="center"/>
              <w:outlineLvl w:val="0"/>
              <w:cnfStyle w:val="000000100000" w:firstRow="0" w:lastRow="0" w:firstColumn="0" w:lastColumn="0" w:oddVBand="0" w:evenVBand="0" w:oddHBand="1" w:evenHBand="0" w:firstRowFirstColumn="0" w:firstRowLastColumn="0" w:lastRowFirstColumn="0" w:lastRowLastColumn="0"/>
              <w:rPr>
                <w:rFonts w:eastAsia="Times New Roman"/>
                <w:i/>
                <w:iCs/>
                <w:noProof/>
                <w:color w:val="000000"/>
              </w:rPr>
            </w:pPr>
            <w:r w:rsidRPr="0056090D">
              <w:rPr>
                <w:rFonts w:eastAsia="Times New Roman"/>
                <w:i/>
                <w:iCs/>
                <w:noProof/>
                <w:color w:val="000000"/>
              </w:rPr>
              <w:t>10,0</w:t>
            </w:r>
          </w:p>
        </w:tc>
        <w:tc>
          <w:tcPr>
            <w:tcW w:w="960" w:type="dxa"/>
            <w:noWrap/>
            <w:vAlign w:val="center"/>
            <w:hideMark/>
          </w:tcPr>
          <w:p w14:paraId="44FC82CB" w14:textId="77777777" w:rsidR="00BE1125" w:rsidRPr="0056090D" w:rsidRDefault="00BE1125" w:rsidP="00BE1125">
            <w:pPr>
              <w:jc w:val="center"/>
              <w:outlineLvl w:val="0"/>
              <w:cnfStyle w:val="000000100000" w:firstRow="0" w:lastRow="0" w:firstColumn="0" w:lastColumn="0" w:oddVBand="0" w:evenVBand="0" w:oddHBand="1" w:evenHBand="0" w:firstRowFirstColumn="0" w:firstRowLastColumn="0" w:lastRowFirstColumn="0" w:lastRowLastColumn="0"/>
              <w:rPr>
                <w:rFonts w:eastAsia="Times New Roman"/>
                <w:i/>
                <w:iCs/>
                <w:noProof/>
                <w:color w:val="000000"/>
              </w:rPr>
            </w:pPr>
            <w:r w:rsidRPr="0056090D">
              <w:rPr>
                <w:rFonts w:eastAsia="Times New Roman"/>
                <w:i/>
                <w:iCs/>
                <w:noProof/>
                <w:color w:val="000000"/>
              </w:rPr>
              <w:t>8,0</w:t>
            </w:r>
          </w:p>
        </w:tc>
      </w:tr>
      <w:tr w:rsidR="009D4357" w:rsidRPr="00351D53" w14:paraId="5718E0C4" w14:textId="77777777" w:rsidTr="00BE1125">
        <w:trPr>
          <w:trHeight w:val="5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7BD6B4D6" w14:textId="77777777" w:rsidR="009D4357" w:rsidRPr="0056090D" w:rsidRDefault="009D4357" w:rsidP="00CE3F2A">
            <w:pPr>
              <w:rPr>
                <w:rFonts w:eastAsia="Times New Roman"/>
                <w:noProof/>
                <w:color w:val="000000"/>
              </w:rPr>
            </w:pPr>
            <w:r w:rsidRPr="0056090D">
              <w:rPr>
                <w:rFonts w:eastAsia="Times New Roman"/>
                <w:noProof/>
                <w:color w:val="000000"/>
              </w:rPr>
              <w:t xml:space="preserve"> Helpdesk support/monitoring </w:t>
            </w:r>
          </w:p>
        </w:tc>
        <w:tc>
          <w:tcPr>
            <w:tcW w:w="823" w:type="dxa"/>
            <w:noWrap/>
          </w:tcPr>
          <w:p w14:paraId="76E45D4A" w14:textId="77777777" w:rsidR="009D4357" w:rsidRPr="0056090D" w:rsidRDefault="009D4357" w:rsidP="00CE3F2A">
            <w:pPr>
              <w:jc w:val="right"/>
              <w:cnfStyle w:val="000000000000" w:firstRow="0" w:lastRow="0" w:firstColumn="0" w:lastColumn="0" w:oddVBand="0" w:evenVBand="0" w:oddHBand="0" w:evenHBand="0" w:firstRowFirstColumn="0" w:firstRowLastColumn="0" w:lastRowFirstColumn="0" w:lastRowLastColumn="0"/>
              <w:rPr>
                <w:rFonts w:eastAsia="Times New Roman"/>
                <w:noProof/>
                <w:color w:val="000000"/>
              </w:rPr>
            </w:pPr>
          </w:p>
        </w:tc>
        <w:tc>
          <w:tcPr>
            <w:tcW w:w="967" w:type="dxa"/>
            <w:noWrap/>
            <w:vAlign w:val="center"/>
            <w:hideMark/>
          </w:tcPr>
          <w:p w14:paraId="31DBE149" w14:textId="77777777" w:rsidR="009D4357" w:rsidRPr="0056090D"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rPr>
            </w:pPr>
            <w:r w:rsidRPr="0056090D">
              <w:rPr>
                <w:rFonts w:eastAsia="Times New Roman"/>
                <w:noProof/>
                <w:color w:val="000000"/>
              </w:rPr>
              <w:t>0,0</w:t>
            </w:r>
          </w:p>
        </w:tc>
        <w:tc>
          <w:tcPr>
            <w:tcW w:w="1200" w:type="dxa"/>
            <w:noWrap/>
            <w:vAlign w:val="center"/>
            <w:hideMark/>
          </w:tcPr>
          <w:p w14:paraId="5B5E7BAB" w14:textId="77777777" w:rsidR="009D4357" w:rsidRPr="0056090D"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rPr>
            </w:pPr>
            <w:r w:rsidRPr="0056090D">
              <w:rPr>
                <w:rFonts w:eastAsia="Times New Roman"/>
                <w:noProof/>
                <w:color w:val="000000"/>
              </w:rPr>
              <w:t>0,0</w:t>
            </w:r>
          </w:p>
        </w:tc>
        <w:tc>
          <w:tcPr>
            <w:tcW w:w="1080" w:type="dxa"/>
            <w:noWrap/>
            <w:vAlign w:val="center"/>
            <w:hideMark/>
          </w:tcPr>
          <w:p w14:paraId="52BB3A45" w14:textId="77777777" w:rsidR="009D4357" w:rsidRPr="0056090D"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rPr>
            </w:pPr>
            <w:r w:rsidRPr="0056090D">
              <w:rPr>
                <w:rFonts w:eastAsia="Times New Roman"/>
                <w:noProof/>
                <w:color w:val="000000"/>
              </w:rPr>
              <w:t>7,0</w:t>
            </w:r>
          </w:p>
        </w:tc>
        <w:tc>
          <w:tcPr>
            <w:tcW w:w="960" w:type="dxa"/>
            <w:noWrap/>
            <w:vAlign w:val="center"/>
            <w:hideMark/>
          </w:tcPr>
          <w:p w14:paraId="73B73929" w14:textId="77777777" w:rsidR="009D4357" w:rsidRPr="0056090D"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rPr>
            </w:pPr>
            <w:r w:rsidRPr="0056090D">
              <w:rPr>
                <w:rFonts w:eastAsia="Times New Roman"/>
                <w:noProof/>
                <w:color w:val="000000"/>
              </w:rPr>
              <w:t>7,0</w:t>
            </w:r>
          </w:p>
        </w:tc>
      </w:tr>
      <w:tr w:rsidR="009D4357" w:rsidRPr="00351D53" w14:paraId="5D7C9559" w14:textId="77777777" w:rsidTr="00BE1125">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970" w:type="dxa"/>
            <w:noWrap/>
            <w:hideMark/>
          </w:tcPr>
          <w:p w14:paraId="7073973E" w14:textId="77777777" w:rsidR="009D4357" w:rsidRPr="0056090D" w:rsidRDefault="009D4357" w:rsidP="00CE3F2A">
            <w:pPr>
              <w:rPr>
                <w:rFonts w:eastAsia="Times New Roman"/>
                <w:noProof/>
                <w:color w:val="000000"/>
              </w:rPr>
            </w:pPr>
            <w:r w:rsidRPr="0056090D">
              <w:rPr>
                <w:rFonts w:eastAsia="Times New Roman"/>
                <w:noProof/>
                <w:color w:val="000000"/>
              </w:rPr>
              <w:t xml:space="preserve"> General Coordination </w:t>
            </w:r>
          </w:p>
        </w:tc>
        <w:tc>
          <w:tcPr>
            <w:tcW w:w="823" w:type="dxa"/>
            <w:noWrap/>
          </w:tcPr>
          <w:p w14:paraId="1D7E0FC6" w14:textId="77777777" w:rsidR="009D4357" w:rsidRPr="0056090D" w:rsidRDefault="009D4357" w:rsidP="00CE3F2A">
            <w:pPr>
              <w:jc w:val="right"/>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p>
        </w:tc>
        <w:tc>
          <w:tcPr>
            <w:tcW w:w="967" w:type="dxa"/>
            <w:noWrap/>
            <w:vAlign w:val="center"/>
            <w:hideMark/>
          </w:tcPr>
          <w:p w14:paraId="082FE84A" w14:textId="77777777" w:rsidR="009D4357" w:rsidRPr="0056090D"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r w:rsidRPr="0056090D">
              <w:rPr>
                <w:rFonts w:eastAsia="Times New Roman"/>
                <w:noProof/>
                <w:color w:val="000000"/>
              </w:rPr>
              <w:t>1,0</w:t>
            </w:r>
          </w:p>
        </w:tc>
        <w:tc>
          <w:tcPr>
            <w:tcW w:w="1200" w:type="dxa"/>
            <w:noWrap/>
            <w:vAlign w:val="center"/>
            <w:hideMark/>
          </w:tcPr>
          <w:p w14:paraId="30EF0BB1" w14:textId="77777777" w:rsidR="009D4357" w:rsidRPr="0056090D"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r w:rsidRPr="0056090D">
              <w:rPr>
                <w:rFonts w:eastAsia="Times New Roman"/>
                <w:noProof/>
                <w:color w:val="000000"/>
              </w:rPr>
              <w:t>1,0</w:t>
            </w:r>
          </w:p>
        </w:tc>
        <w:tc>
          <w:tcPr>
            <w:tcW w:w="1080" w:type="dxa"/>
            <w:noWrap/>
            <w:vAlign w:val="center"/>
            <w:hideMark/>
          </w:tcPr>
          <w:p w14:paraId="5DA0509A" w14:textId="77777777" w:rsidR="009D4357" w:rsidRPr="0056090D"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r w:rsidRPr="0056090D">
              <w:rPr>
                <w:rFonts w:eastAsia="Times New Roman"/>
                <w:noProof/>
                <w:color w:val="000000"/>
              </w:rPr>
              <w:t>1,0</w:t>
            </w:r>
          </w:p>
        </w:tc>
        <w:tc>
          <w:tcPr>
            <w:tcW w:w="960" w:type="dxa"/>
            <w:noWrap/>
            <w:vAlign w:val="center"/>
            <w:hideMark/>
          </w:tcPr>
          <w:p w14:paraId="6A4112D6" w14:textId="77777777" w:rsidR="009D4357" w:rsidRPr="0056090D"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r w:rsidRPr="0056090D">
              <w:rPr>
                <w:rFonts w:eastAsia="Times New Roman"/>
                <w:noProof/>
                <w:color w:val="000000"/>
              </w:rPr>
              <w:t>1,0</w:t>
            </w:r>
          </w:p>
        </w:tc>
      </w:tr>
      <w:tr w:rsidR="009D4357" w:rsidRPr="00351D53" w14:paraId="66EAF4D7" w14:textId="77777777" w:rsidTr="00BE1125">
        <w:trPr>
          <w:trHeight w:val="525"/>
        </w:trPr>
        <w:tc>
          <w:tcPr>
            <w:cnfStyle w:val="001000000000" w:firstRow="0" w:lastRow="0" w:firstColumn="1" w:lastColumn="0" w:oddVBand="0" w:evenVBand="0" w:oddHBand="0" w:evenHBand="0" w:firstRowFirstColumn="0" w:firstRowLastColumn="0" w:lastRowFirstColumn="0" w:lastRowLastColumn="0"/>
            <w:tcW w:w="2970" w:type="dxa"/>
            <w:noWrap/>
          </w:tcPr>
          <w:p w14:paraId="0F7A6FF8" w14:textId="77777777" w:rsidR="009D4357" w:rsidRPr="0056090D" w:rsidRDefault="009D4357" w:rsidP="00CE3F2A">
            <w:pPr>
              <w:rPr>
                <w:rFonts w:eastAsia="Times New Roman"/>
                <w:noProof/>
                <w:color w:val="000000"/>
              </w:rPr>
            </w:pPr>
          </w:p>
        </w:tc>
        <w:tc>
          <w:tcPr>
            <w:tcW w:w="823" w:type="dxa"/>
            <w:noWrap/>
          </w:tcPr>
          <w:p w14:paraId="67264180" w14:textId="77777777" w:rsidR="009D4357" w:rsidRPr="0056090D" w:rsidRDefault="009D4357" w:rsidP="00CE3F2A">
            <w:pPr>
              <w:jc w:val="right"/>
              <w:cnfStyle w:val="000000000000" w:firstRow="0" w:lastRow="0" w:firstColumn="0" w:lastColumn="0" w:oddVBand="0" w:evenVBand="0" w:oddHBand="0" w:evenHBand="0" w:firstRowFirstColumn="0" w:firstRowLastColumn="0" w:lastRowFirstColumn="0" w:lastRowLastColumn="0"/>
              <w:rPr>
                <w:rFonts w:eastAsia="Times New Roman"/>
                <w:b/>
                <w:bCs/>
                <w:noProof/>
                <w:color w:val="000000"/>
              </w:rPr>
            </w:pPr>
          </w:p>
        </w:tc>
        <w:tc>
          <w:tcPr>
            <w:tcW w:w="967" w:type="dxa"/>
            <w:noWrap/>
            <w:vAlign w:val="center"/>
          </w:tcPr>
          <w:p w14:paraId="41ABC57C" w14:textId="77777777" w:rsidR="009D4357" w:rsidRPr="0056090D"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000000"/>
              </w:rPr>
            </w:pPr>
          </w:p>
        </w:tc>
        <w:tc>
          <w:tcPr>
            <w:tcW w:w="1200" w:type="dxa"/>
            <w:noWrap/>
            <w:vAlign w:val="center"/>
          </w:tcPr>
          <w:p w14:paraId="75C3F4CB" w14:textId="77777777" w:rsidR="009D4357" w:rsidRPr="0056090D"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000000"/>
              </w:rPr>
            </w:pPr>
          </w:p>
        </w:tc>
        <w:tc>
          <w:tcPr>
            <w:tcW w:w="1080" w:type="dxa"/>
            <w:noWrap/>
            <w:vAlign w:val="center"/>
          </w:tcPr>
          <w:p w14:paraId="79930C46" w14:textId="77777777" w:rsidR="009D4357" w:rsidRPr="0056090D"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000000"/>
              </w:rPr>
            </w:pPr>
          </w:p>
        </w:tc>
        <w:tc>
          <w:tcPr>
            <w:tcW w:w="960" w:type="dxa"/>
            <w:noWrap/>
            <w:vAlign w:val="center"/>
          </w:tcPr>
          <w:p w14:paraId="194AD570" w14:textId="77777777" w:rsidR="009D4357" w:rsidRPr="0056090D"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000000"/>
              </w:rPr>
            </w:pPr>
          </w:p>
        </w:tc>
      </w:tr>
      <w:tr w:rsidR="00BE1125" w:rsidRPr="00351D53" w14:paraId="3BD37B5E" w14:textId="77777777" w:rsidTr="00BE1125">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970" w:type="dxa"/>
            <w:noWrap/>
            <w:hideMark/>
          </w:tcPr>
          <w:p w14:paraId="5EBFBD10" w14:textId="77777777" w:rsidR="00BE1125" w:rsidRPr="0056090D" w:rsidRDefault="00BE1125" w:rsidP="00BE1125">
            <w:pPr>
              <w:rPr>
                <w:rFonts w:eastAsia="Times New Roman"/>
                <w:noProof/>
                <w:color w:val="000000"/>
              </w:rPr>
            </w:pPr>
            <w:r w:rsidRPr="0056090D">
              <w:rPr>
                <w:rFonts w:eastAsia="Times New Roman"/>
                <w:noProof/>
                <w:color w:val="000000"/>
              </w:rPr>
              <w:t xml:space="preserve"> Total </w:t>
            </w:r>
          </w:p>
        </w:tc>
        <w:tc>
          <w:tcPr>
            <w:tcW w:w="823" w:type="dxa"/>
            <w:noWrap/>
          </w:tcPr>
          <w:p w14:paraId="7CC4EA4C" w14:textId="77777777" w:rsidR="00BE1125" w:rsidRPr="0056090D" w:rsidRDefault="00BE1125" w:rsidP="00BE1125">
            <w:pPr>
              <w:jc w:val="right"/>
              <w:cnfStyle w:val="000000100000" w:firstRow="0" w:lastRow="0" w:firstColumn="0" w:lastColumn="0" w:oddVBand="0" w:evenVBand="0" w:oddHBand="1" w:evenHBand="0" w:firstRowFirstColumn="0" w:firstRowLastColumn="0" w:lastRowFirstColumn="0" w:lastRowLastColumn="0"/>
              <w:rPr>
                <w:rFonts w:eastAsia="Times New Roman"/>
                <w:b/>
                <w:bCs/>
                <w:noProof/>
                <w:color w:val="000000"/>
              </w:rPr>
            </w:pPr>
          </w:p>
        </w:tc>
        <w:tc>
          <w:tcPr>
            <w:tcW w:w="967" w:type="dxa"/>
            <w:noWrap/>
            <w:vAlign w:val="center"/>
            <w:hideMark/>
          </w:tcPr>
          <w:p w14:paraId="295D5D7F" w14:textId="4C5A0A66" w:rsidR="00BE1125" w:rsidRPr="0056090D" w:rsidRDefault="00BE1125" w:rsidP="00BE1125">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000000"/>
              </w:rPr>
            </w:pPr>
            <w:r w:rsidRPr="0056090D">
              <w:rPr>
                <w:rFonts w:eastAsia="Times New Roman"/>
                <w:b/>
                <w:bCs/>
                <w:noProof/>
                <w:color w:val="000000"/>
              </w:rPr>
              <w:t>1</w:t>
            </w:r>
            <w:r>
              <w:rPr>
                <w:rFonts w:eastAsia="Times New Roman"/>
                <w:b/>
                <w:bCs/>
                <w:noProof/>
                <w:color w:val="000000"/>
              </w:rPr>
              <w:t>6</w:t>
            </w:r>
            <w:r w:rsidRPr="0056090D">
              <w:rPr>
                <w:rFonts w:eastAsia="Times New Roman"/>
                <w:b/>
                <w:bCs/>
                <w:noProof/>
                <w:color w:val="000000"/>
              </w:rPr>
              <w:t>,5</w:t>
            </w:r>
          </w:p>
        </w:tc>
        <w:tc>
          <w:tcPr>
            <w:tcW w:w="1200" w:type="dxa"/>
            <w:noWrap/>
            <w:vAlign w:val="center"/>
            <w:hideMark/>
          </w:tcPr>
          <w:p w14:paraId="7DD89C96" w14:textId="025C6451" w:rsidR="00BE1125" w:rsidRPr="0056090D" w:rsidRDefault="00BE1125" w:rsidP="00BE1125">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000000"/>
              </w:rPr>
            </w:pPr>
            <w:r w:rsidRPr="0056090D">
              <w:rPr>
                <w:rFonts w:eastAsia="Times New Roman"/>
                <w:b/>
                <w:bCs/>
                <w:noProof/>
                <w:color w:val="000000"/>
              </w:rPr>
              <w:t>1</w:t>
            </w:r>
            <w:r>
              <w:rPr>
                <w:rFonts w:eastAsia="Times New Roman"/>
                <w:b/>
                <w:bCs/>
                <w:noProof/>
                <w:color w:val="000000"/>
              </w:rPr>
              <w:t>6</w:t>
            </w:r>
            <w:r w:rsidRPr="0056090D">
              <w:rPr>
                <w:rFonts w:eastAsia="Times New Roman"/>
                <w:b/>
                <w:bCs/>
                <w:noProof/>
                <w:color w:val="000000"/>
              </w:rPr>
              <w:t>,5</w:t>
            </w:r>
          </w:p>
        </w:tc>
        <w:tc>
          <w:tcPr>
            <w:tcW w:w="1080" w:type="dxa"/>
            <w:noWrap/>
            <w:vAlign w:val="center"/>
            <w:hideMark/>
          </w:tcPr>
          <w:p w14:paraId="79FC2352" w14:textId="77777777" w:rsidR="00BE1125" w:rsidRPr="0056090D" w:rsidRDefault="00BE1125" w:rsidP="00BE1125">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000000"/>
              </w:rPr>
            </w:pPr>
            <w:r w:rsidRPr="0056090D">
              <w:rPr>
                <w:rFonts w:eastAsia="Times New Roman"/>
                <w:b/>
                <w:bCs/>
                <w:noProof/>
                <w:color w:val="000000"/>
              </w:rPr>
              <w:t>26,5</w:t>
            </w:r>
          </w:p>
        </w:tc>
        <w:tc>
          <w:tcPr>
            <w:tcW w:w="960" w:type="dxa"/>
            <w:noWrap/>
            <w:vAlign w:val="center"/>
            <w:hideMark/>
          </w:tcPr>
          <w:p w14:paraId="58E3F24E" w14:textId="77777777" w:rsidR="00BE1125" w:rsidRPr="0056090D" w:rsidRDefault="00BE1125" w:rsidP="00BE1125">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000000"/>
              </w:rPr>
            </w:pPr>
            <w:r w:rsidRPr="0056090D">
              <w:rPr>
                <w:rFonts w:eastAsia="Times New Roman"/>
                <w:b/>
                <w:bCs/>
                <w:noProof/>
                <w:color w:val="000000"/>
              </w:rPr>
              <w:t>24,5</w:t>
            </w:r>
          </w:p>
        </w:tc>
      </w:tr>
    </w:tbl>
    <w:p w14:paraId="3B30A79B" w14:textId="77777777" w:rsidR="009D4357" w:rsidRPr="00941D91" w:rsidRDefault="009D4357" w:rsidP="009D4357">
      <w:pPr>
        <w:rPr>
          <w:noProof/>
          <w:szCs w:val="24"/>
          <w:lang w:eastAsia="en-GB"/>
        </w:rPr>
      </w:pPr>
      <w:r w:rsidRPr="00941D91">
        <w:rPr>
          <w:noProof/>
          <w:szCs w:val="24"/>
          <w:lang w:eastAsia="en-GB"/>
        </w:rPr>
        <w:tab/>
      </w:r>
      <w:r w:rsidRPr="00941D91">
        <w:rPr>
          <w:noProof/>
          <w:szCs w:val="24"/>
          <w:lang w:eastAsia="en-GB"/>
        </w:rPr>
        <w:tab/>
      </w:r>
      <w:r w:rsidRPr="00941D91">
        <w:rPr>
          <w:noProof/>
          <w:szCs w:val="24"/>
          <w:lang w:eastAsia="en-GB"/>
        </w:rPr>
        <w:tab/>
      </w:r>
      <w:r w:rsidRPr="00941D91">
        <w:rPr>
          <w:noProof/>
          <w:szCs w:val="24"/>
          <w:lang w:eastAsia="en-GB"/>
        </w:rPr>
        <w:tab/>
      </w:r>
    </w:p>
    <w:p w14:paraId="549AB2B5" w14:textId="77777777" w:rsidR="009D4357" w:rsidRPr="00941D91" w:rsidRDefault="009D4357" w:rsidP="009D4357">
      <w:pPr>
        <w:rPr>
          <w:noProof/>
          <w:szCs w:val="24"/>
          <w:lang w:eastAsia="en-GB"/>
        </w:rPr>
      </w:pPr>
      <w:r w:rsidRPr="00941D91">
        <w:rPr>
          <w:noProof/>
          <w:szCs w:val="24"/>
          <w:lang w:eastAsia="en-GB"/>
        </w:rPr>
        <w:tab/>
      </w:r>
      <w:r w:rsidRPr="00941D91">
        <w:rPr>
          <w:noProof/>
          <w:szCs w:val="24"/>
          <w:lang w:eastAsia="en-GB"/>
        </w:rPr>
        <w:tab/>
      </w:r>
      <w:r w:rsidRPr="00941D91">
        <w:rPr>
          <w:noProof/>
          <w:szCs w:val="24"/>
          <w:lang w:eastAsia="en-GB"/>
        </w:rPr>
        <w:tab/>
      </w:r>
      <w:r w:rsidRPr="00941D91">
        <w:rPr>
          <w:noProof/>
          <w:szCs w:val="24"/>
          <w:lang w:eastAsia="en-GB"/>
        </w:rPr>
        <w:tab/>
      </w:r>
      <w:r w:rsidRPr="00941D91">
        <w:rPr>
          <w:noProof/>
          <w:szCs w:val="24"/>
          <w:lang w:eastAsia="en-GB"/>
        </w:rPr>
        <w:tab/>
      </w:r>
      <w:r w:rsidRPr="00941D91">
        <w:rPr>
          <w:noProof/>
          <w:szCs w:val="24"/>
          <w:lang w:eastAsia="en-GB"/>
        </w:rPr>
        <w:tab/>
      </w:r>
      <w:r w:rsidRPr="00941D91">
        <w:rPr>
          <w:noProof/>
          <w:szCs w:val="24"/>
          <w:lang w:eastAsia="en-GB"/>
        </w:rPr>
        <w:tab/>
      </w:r>
      <w:r w:rsidRPr="00941D91">
        <w:rPr>
          <w:noProof/>
          <w:szCs w:val="24"/>
          <w:lang w:eastAsia="en-GB"/>
        </w:rPr>
        <w:tab/>
      </w:r>
      <w:r w:rsidRPr="00941D91">
        <w:rPr>
          <w:noProof/>
          <w:szCs w:val="24"/>
          <w:lang w:eastAsia="en-GB"/>
        </w:rPr>
        <w:tab/>
      </w:r>
    </w:p>
    <w:p w14:paraId="4DC6BBF2" w14:textId="77777777" w:rsidR="009D4357" w:rsidRDefault="009D4357" w:rsidP="009D4357">
      <w:pPr>
        <w:rPr>
          <w:noProof/>
          <w:szCs w:val="24"/>
          <w:lang w:eastAsia="en-GB"/>
        </w:rPr>
      </w:pPr>
      <w:r w:rsidRPr="00941D91">
        <w:rPr>
          <w:noProof/>
          <w:szCs w:val="24"/>
          <w:lang w:eastAsia="en-GB"/>
        </w:rPr>
        <w:tab/>
      </w:r>
      <w:r w:rsidRPr="00941D91">
        <w:rPr>
          <w:noProof/>
          <w:szCs w:val="24"/>
          <w:lang w:eastAsia="en-GB"/>
        </w:rPr>
        <w:tab/>
      </w:r>
      <w:r w:rsidRPr="00941D91">
        <w:rPr>
          <w:noProof/>
          <w:szCs w:val="24"/>
          <w:lang w:eastAsia="en-GB"/>
        </w:rPr>
        <w:tab/>
      </w:r>
      <w:r w:rsidRPr="00941D91">
        <w:rPr>
          <w:noProof/>
          <w:szCs w:val="24"/>
          <w:lang w:eastAsia="en-GB"/>
        </w:rPr>
        <w:tab/>
      </w:r>
      <w:r w:rsidRPr="00941D91">
        <w:rPr>
          <w:noProof/>
          <w:szCs w:val="24"/>
          <w:lang w:eastAsia="en-GB"/>
        </w:rPr>
        <w:tab/>
      </w:r>
      <w:r w:rsidRPr="00941D91">
        <w:rPr>
          <w:noProof/>
          <w:szCs w:val="24"/>
          <w:lang w:eastAsia="en-GB"/>
        </w:rPr>
        <w:tab/>
      </w:r>
      <w:r w:rsidRPr="00941D91">
        <w:rPr>
          <w:noProof/>
          <w:szCs w:val="24"/>
          <w:lang w:eastAsia="en-GB"/>
        </w:rPr>
        <w:tab/>
      </w:r>
      <w:r w:rsidRPr="00941D91">
        <w:rPr>
          <w:noProof/>
          <w:szCs w:val="24"/>
          <w:lang w:eastAsia="en-GB"/>
        </w:rPr>
        <w:tab/>
      </w:r>
      <w:r w:rsidRPr="00941D91">
        <w:rPr>
          <w:noProof/>
          <w:szCs w:val="24"/>
          <w:lang w:eastAsia="en-GB"/>
        </w:rPr>
        <w:tab/>
      </w:r>
    </w:p>
    <w:p w14:paraId="5C2505DC" w14:textId="77777777" w:rsidR="009D4357" w:rsidRPr="00434957" w:rsidRDefault="009D4357" w:rsidP="009D4357">
      <w:pPr>
        <w:rPr>
          <w:i/>
          <w:noProof/>
          <w:szCs w:val="24"/>
          <w:lang w:eastAsia="en-GB"/>
        </w:rPr>
      </w:pPr>
      <w:r>
        <w:rPr>
          <w:noProof/>
          <w:szCs w:val="24"/>
          <w:lang w:eastAsia="en-GB"/>
        </w:rPr>
        <w:br w:type="page"/>
      </w:r>
      <w:r w:rsidRPr="00434957">
        <w:rPr>
          <w:i/>
          <w:noProof/>
        </w:rPr>
        <w:t>3.2.</w:t>
      </w:r>
      <w:r>
        <w:rPr>
          <w:i/>
          <w:noProof/>
        </w:rPr>
        <w:t>5</w:t>
      </w:r>
      <w:r w:rsidRPr="00434957">
        <w:rPr>
          <w:i/>
          <w:noProof/>
        </w:rPr>
        <w:t>.</w:t>
      </w:r>
      <w:r w:rsidRPr="00434957">
        <w:rPr>
          <w:i/>
          <w:noProof/>
        </w:rPr>
        <w:tab/>
      </w:r>
      <w:r w:rsidRPr="00434957">
        <w:rPr>
          <w:i/>
          <w:noProof/>
          <w:lang w:eastAsia="en-GB"/>
        </w:rPr>
        <w:t xml:space="preserve">Estimated impact on </w:t>
      </w:r>
      <w:r>
        <w:rPr>
          <w:i/>
          <w:noProof/>
          <w:lang w:eastAsia="en-GB"/>
        </w:rPr>
        <w:t>eu-LISA</w:t>
      </w:r>
      <w:r w:rsidRPr="00434957">
        <w:rPr>
          <w:i/>
          <w:noProof/>
          <w:lang w:eastAsia="en-GB"/>
        </w:rPr>
        <w:t xml:space="preserve">’s human resources </w:t>
      </w:r>
    </w:p>
    <w:p w14:paraId="135EA5B0" w14:textId="77777777" w:rsidR="009D4357" w:rsidRPr="00434957" w:rsidRDefault="009D4357" w:rsidP="009D4357">
      <w:pPr>
        <w:keepNext/>
        <w:tabs>
          <w:tab w:val="left" w:pos="850"/>
        </w:tabs>
        <w:ind w:left="850" w:hanging="850"/>
        <w:outlineLvl w:val="3"/>
        <w:rPr>
          <w:noProof/>
          <w:szCs w:val="24"/>
          <w:lang w:eastAsia="en-GB"/>
        </w:rPr>
      </w:pPr>
      <w:r w:rsidRPr="00434957">
        <w:rPr>
          <w:noProof/>
        </w:rPr>
        <w:t>3.2.</w:t>
      </w:r>
      <w:r>
        <w:rPr>
          <w:noProof/>
        </w:rPr>
        <w:t>5</w:t>
      </w:r>
      <w:r w:rsidRPr="00434957">
        <w:rPr>
          <w:noProof/>
        </w:rPr>
        <w:t>.1.</w:t>
      </w:r>
      <w:r w:rsidRPr="00434957">
        <w:rPr>
          <w:noProof/>
        </w:rPr>
        <w:tab/>
      </w:r>
      <w:r w:rsidRPr="00434957">
        <w:rPr>
          <w:noProof/>
          <w:lang w:eastAsia="en-GB"/>
        </w:rPr>
        <w:t xml:space="preserve">Summary </w:t>
      </w:r>
    </w:p>
    <w:p w14:paraId="3106FF78" w14:textId="77777777" w:rsidR="009D4357" w:rsidRPr="00434957" w:rsidRDefault="009D4357" w:rsidP="009D4357">
      <w:pPr>
        <w:tabs>
          <w:tab w:val="num" w:pos="1134"/>
        </w:tabs>
        <w:ind w:left="1134" w:hanging="283"/>
        <w:rPr>
          <w:noProof/>
          <w:lang w:eastAsia="en-GB"/>
        </w:rPr>
      </w:pPr>
      <w:r w:rsidRPr="00434957">
        <w:rPr>
          <w:noProof/>
          <w:lang w:eastAsia="en-GB"/>
        </w:rPr>
        <w:sym w:font="Wingdings" w:char="F0A8"/>
      </w:r>
      <w:r w:rsidRPr="00434957">
        <w:rPr>
          <w:noProof/>
          <w:lang w:eastAsia="en-GB"/>
        </w:rPr>
        <w:tab/>
        <w:t xml:space="preserve">The proposal/initiative does not require the use of appropriations of an administrative nature </w:t>
      </w:r>
    </w:p>
    <w:p w14:paraId="748370B6" w14:textId="77777777" w:rsidR="009D4357" w:rsidRPr="00434957" w:rsidRDefault="009D4357" w:rsidP="009D4357">
      <w:pPr>
        <w:tabs>
          <w:tab w:val="num" w:pos="1134"/>
        </w:tabs>
        <w:ind w:left="1134" w:hanging="283"/>
        <w:rPr>
          <w:noProof/>
          <w:lang w:eastAsia="en-GB"/>
        </w:rPr>
      </w:pPr>
      <w:r w:rsidRPr="00434957">
        <w:rPr>
          <w:noProof/>
          <w:lang w:eastAsia="en-GB"/>
        </w:rPr>
        <w:sym w:font="Wingdings" w:char="F078"/>
      </w:r>
      <w:r w:rsidRPr="00434957">
        <w:rPr>
          <w:noProof/>
          <w:lang w:eastAsia="en-GB"/>
        </w:rPr>
        <w:tab/>
        <w:t>The proposal/initiative requires the use of appropriations of an administrative nature, as explained below:</w:t>
      </w:r>
    </w:p>
    <w:p w14:paraId="7187F950" w14:textId="77777777" w:rsidR="009D4357" w:rsidRPr="00434957" w:rsidRDefault="009D4357" w:rsidP="009D4357">
      <w:pPr>
        <w:rPr>
          <w:noProof/>
          <w:sz w:val="20"/>
          <w:lang w:eastAsia="en-GB"/>
        </w:rPr>
      </w:pPr>
      <w:r w:rsidRPr="00434957">
        <w:rPr>
          <w:noProof/>
          <w:sz w:val="20"/>
          <w:lang w:eastAsia="en-GB"/>
        </w:rPr>
        <w:t>EUR million (to three decimal places)</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9D4357" w:rsidRPr="00434957" w14:paraId="3ECDE1B9" w14:textId="77777777" w:rsidTr="00CE3F2A">
        <w:trPr>
          <w:trHeight w:val="585"/>
        </w:trPr>
        <w:tc>
          <w:tcPr>
            <w:tcW w:w="1980" w:type="dxa"/>
          </w:tcPr>
          <w:p w14:paraId="0874745E" w14:textId="77777777" w:rsidR="009D4357" w:rsidRPr="00434957" w:rsidRDefault="009D4357" w:rsidP="00CE3F2A">
            <w:pPr>
              <w:spacing w:before="60" w:after="60"/>
              <w:rPr>
                <w:noProof/>
                <w:sz w:val="20"/>
                <w:lang w:eastAsia="en-GB"/>
              </w:rPr>
            </w:pPr>
          </w:p>
        </w:tc>
        <w:tc>
          <w:tcPr>
            <w:tcW w:w="1080" w:type="dxa"/>
            <w:vAlign w:val="center"/>
          </w:tcPr>
          <w:p w14:paraId="76A0E8D3" w14:textId="77777777" w:rsidR="009D4357" w:rsidRPr="00434957" w:rsidRDefault="009D4357" w:rsidP="00CE3F2A">
            <w:pPr>
              <w:spacing w:before="60" w:after="60"/>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2023</w:t>
            </w:r>
          </w:p>
        </w:tc>
        <w:tc>
          <w:tcPr>
            <w:tcW w:w="1080" w:type="dxa"/>
            <w:vAlign w:val="center"/>
          </w:tcPr>
          <w:p w14:paraId="1610ED14" w14:textId="77777777" w:rsidR="009D4357" w:rsidRPr="00434957" w:rsidRDefault="009D4357" w:rsidP="00CE3F2A">
            <w:pPr>
              <w:spacing w:before="60" w:after="60"/>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2024</w:t>
            </w:r>
          </w:p>
        </w:tc>
        <w:tc>
          <w:tcPr>
            <w:tcW w:w="1080" w:type="dxa"/>
            <w:vAlign w:val="center"/>
          </w:tcPr>
          <w:p w14:paraId="2263C6A6" w14:textId="77777777" w:rsidR="009D4357" w:rsidRPr="00434957" w:rsidRDefault="009D4357" w:rsidP="00CE3F2A">
            <w:pPr>
              <w:spacing w:before="60" w:after="60"/>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2025</w:t>
            </w:r>
          </w:p>
        </w:tc>
        <w:tc>
          <w:tcPr>
            <w:tcW w:w="1080" w:type="dxa"/>
          </w:tcPr>
          <w:p w14:paraId="68C8927D" w14:textId="77777777" w:rsidR="009D4357" w:rsidRPr="00434957" w:rsidRDefault="009D4357" w:rsidP="00CE3F2A">
            <w:pPr>
              <w:spacing w:before="60" w:after="60"/>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2026</w:t>
            </w:r>
          </w:p>
        </w:tc>
        <w:tc>
          <w:tcPr>
            <w:tcW w:w="1080" w:type="dxa"/>
          </w:tcPr>
          <w:p w14:paraId="71A8AA7C" w14:textId="77777777" w:rsidR="009D4357" w:rsidRPr="00434957" w:rsidRDefault="009D4357" w:rsidP="00CE3F2A">
            <w:pPr>
              <w:spacing w:before="60" w:after="60"/>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2027</w:t>
            </w:r>
          </w:p>
        </w:tc>
        <w:tc>
          <w:tcPr>
            <w:tcW w:w="1080" w:type="dxa"/>
            <w:vAlign w:val="center"/>
          </w:tcPr>
          <w:p w14:paraId="6EA15885" w14:textId="77777777" w:rsidR="009D4357" w:rsidRPr="00434957" w:rsidRDefault="009D4357" w:rsidP="00CE3F2A">
            <w:pPr>
              <w:spacing w:before="60" w:after="60"/>
              <w:jc w:val="center"/>
              <w:rPr>
                <w:b/>
                <w:noProof/>
                <w:sz w:val="20"/>
                <w:lang w:eastAsia="en-GB"/>
              </w:rPr>
            </w:pPr>
            <w:r w:rsidRPr="00434957">
              <w:rPr>
                <w:b/>
                <w:noProof/>
                <w:sz w:val="20"/>
                <w:lang w:eastAsia="en-GB"/>
              </w:rPr>
              <w:t>TOTAL</w:t>
            </w:r>
          </w:p>
        </w:tc>
      </w:tr>
    </w:tbl>
    <w:p w14:paraId="7B595656" w14:textId="77777777" w:rsidR="009D4357" w:rsidRPr="00434957" w:rsidRDefault="009D4357" w:rsidP="009D4357">
      <w:pPr>
        <w:rPr>
          <w:noProof/>
          <w:sz w:val="20"/>
          <w:lang w:eastAsia="en-GB"/>
        </w:rPr>
      </w:pPr>
    </w:p>
    <w:tbl>
      <w:tblPr>
        <w:tblW w:w="846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9D4357" w:rsidRPr="00434957" w14:paraId="1991234D" w14:textId="77777777" w:rsidTr="00CE3F2A">
        <w:trPr>
          <w:trHeight w:val="585"/>
        </w:trPr>
        <w:tc>
          <w:tcPr>
            <w:tcW w:w="1980" w:type="dxa"/>
            <w:shd w:val="clear" w:color="auto" w:fill="D9D9D9" w:themeFill="background1" w:themeFillShade="D9"/>
            <w:vAlign w:val="center"/>
          </w:tcPr>
          <w:p w14:paraId="2D52232B" w14:textId="77777777" w:rsidR="009D4357" w:rsidRPr="00434957" w:rsidRDefault="009D4357" w:rsidP="00CE3F2A">
            <w:pPr>
              <w:spacing w:before="60" w:after="60"/>
              <w:jc w:val="center"/>
              <w:rPr>
                <w:noProof/>
                <w:lang w:eastAsia="en-GB"/>
              </w:rPr>
            </w:pPr>
            <w:r w:rsidRPr="00434957">
              <w:rPr>
                <w:noProof/>
                <w:sz w:val="18"/>
                <w:lang w:eastAsia="en-GB"/>
              </w:rPr>
              <w:t xml:space="preserve">Temporary agents - Baseline </w:t>
            </w:r>
          </w:p>
        </w:tc>
        <w:tc>
          <w:tcPr>
            <w:tcW w:w="1080" w:type="dxa"/>
            <w:vAlign w:val="center"/>
          </w:tcPr>
          <w:p w14:paraId="431C0143" w14:textId="77777777" w:rsidR="009D4357" w:rsidRPr="00434957" w:rsidRDefault="009D4357" w:rsidP="00CE3F2A">
            <w:pPr>
              <w:spacing w:before="60" w:after="60"/>
              <w:jc w:val="center"/>
              <w:rPr>
                <w:noProof/>
                <w:sz w:val="20"/>
                <w:lang w:eastAsia="en-GB"/>
              </w:rPr>
            </w:pPr>
          </w:p>
        </w:tc>
        <w:tc>
          <w:tcPr>
            <w:tcW w:w="1080" w:type="dxa"/>
            <w:vAlign w:val="center"/>
          </w:tcPr>
          <w:p w14:paraId="24693C9C" w14:textId="77777777" w:rsidR="009D4357" w:rsidRPr="00434957" w:rsidRDefault="009D4357" w:rsidP="00CE3F2A">
            <w:pPr>
              <w:spacing w:before="60" w:after="60"/>
              <w:jc w:val="center"/>
              <w:rPr>
                <w:noProof/>
                <w:sz w:val="20"/>
                <w:lang w:eastAsia="en-GB"/>
              </w:rPr>
            </w:pPr>
          </w:p>
        </w:tc>
        <w:tc>
          <w:tcPr>
            <w:tcW w:w="1080" w:type="dxa"/>
            <w:vAlign w:val="center"/>
          </w:tcPr>
          <w:p w14:paraId="7446FB45" w14:textId="77777777" w:rsidR="009D4357" w:rsidRPr="00434957" w:rsidRDefault="009D4357" w:rsidP="00CE3F2A">
            <w:pPr>
              <w:spacing w:before="60" w:after="60"/>
              <w:jc w:val="center"/>
              <w:rPr>
                <w:noProof/>
                <w:sz w:val="20"/>
                <w:lang w:eastAsia="en-GB"/>
              </w:rPr>
            </w:pPr>
          </w:p>
        </w:tc>
        <w:tc>
          <w:tcPr>
            <w:tcW w:w="1080" w:type="dxa"/>
            <w:vAlign w:val="center"/>
          </w:tcPr>
          <w:p w14:paraId="622274A9" w14:textId="77777777" w:rsidR="009D4357" w:rsidRPr="00434957" w:rsidRDefault="009D4357" w:rsidP="00CE3F2A">
            <w:pPr>
              <w:spacing w:before="60" w:after="60"/>
              <w:jc w:val="center"/>
              <w:rPr>
                <w:noProof/>
                <w:sz w:val="20"/>
                <w:lang w:eastAsia="en-GB"/>
              </w:rPr>
            </w:pPr>
          </w:p>
        </w:tc>
        <w:tc>
          <w:tcPr>
            <w:tcW w:w="1080" w:type="dxa"/>
            <w:vAlign w:val="center"/>
          </w:tcPr>
          <w:p w14:paraId="5EE25521" w14:textId="77777777" w:rsidR="009D4357" w:rsidRPr="00434957" w:rsidRDefault="009D4357" w:rsidP="00CE3F2A">
            <w:pPr>
              <w:spacing w:before="60" w:after="60"/>
              <w:jc w:val="center"/>
              <w:rPr>
                <w:noProof/>
                <w:sz w:val="20"/>
                <w:lang w:eastAsia="en-GB"/>
              </w:rPr>
            </w:pPr>
          </w:p>
        </w:tc>
        <w:tc>
          <w:tcPr>
            <w:tcW w:w="1080" w:type="dxa"/>
            <w:vAlign w:val="center"/>
          </w:tcPr>
          <w:p w14:paraId="2BE8B5BF" w14:textId="77777777" w:rsidR="009D4357" w:rsidRPr="00434957" w:rsidRDefault="009D4357" w:rsidP="00CE3F2A">
            <w:pPr>
              <w:spacing w:before="60" w:after="60"/>
              <w:jc w:val="center"/>
              <w:rPr>
                <w:b/>
                <w:noProof/>
                <w:sz w:val="20"/>
                <w:lang w:eastAsia="en-GB"/>
              </w:rPr>
            </w:pPr>
          </w:p>
        </w:tc>
      </w:tr>
      <w:tr w:rsidR="009D4357" w:rsidRPr="00434957" w14:paraId="7906E7AB" w14:textId="77777777" w:rsidTr="00CE3F2A">
        <w:trPr>
          <w:trHeight w:val="585"/>
        </w:trPr>
        <w:tc>
          <w:tcPr>
            <w:tcW w:w="1980" w:type="dxa"/>
            <w:shd w:val="clear" w:color="auto" w:fill="D9D9D9" w:themeFill="background1" w:themeFillShade="D9"/>
            <w:vAlign w:val="center"/>
          </w:tcPr>
          <w:p w14:paraId="7003FC50" w14:textId="77777777" w:rsidR="009D4357" w:rsidRPr="00434957" w:rsidRDefault="009D4357" w:rsidP="00CE3F2A">
            <w:pPr>
              <w:spacing w:before="60" w:after="60"/>
              <w:jc w:val="center"/>
              <w:rPr>
                <w:noProof/>
                <w:sz w:val="18"/>
                <w:lang w:eastAsia="en-GB"/>
              </w:rPr>
            </w:pPr>
            <w:r w:rsidRPr="00434957">
              <w:rPr>
                <w:noProof/>
                <w:sz w:val="18"/>
                <w:lang w:eastAsia="en-GB"/>
              </w:rPr>
              <w:t>Temporary agents – Additional compared to the baseline (cumulative)</w:t>
            </w:r>
          </w:p>
        </w:tc>
        <w:tc>
          <w:tcPr>
            <w:tcW w:w="1080" w:type="dxa"/>
            <w:vAlign w:val="center"/>
          </w:tcPr>
          <w:p w14:paraId="63F383DE" w14:textId="77777777" w:rsidR="009D4357" w:rsidRPr="00434957" w:rsidRDefault="009D4357" w:rsidP="00CE3F2A">
            <w:pPr>
              <w:spacing w:before="60" w:after="60"/>
              <w:jc w:val="center"/>
              <w:rPr>
                <w:noProof/>
                <w:sz w:val="20"/>
                <w:lang w:eastAsia="en-GB"/>
              </w:rPr>
            </w:pPr>
          </w:p>
        </w:tc>
        <w:tc>
          <w:tcPr>
            <w:tcW w:w="1080" w:type="dxa"/>
            <w:vAlign w:val="center"/>
          </w:tcPr>
          <w:p w14:paraId="1016D0C4" w14:textId="77777777" w:rsidR="009D4357" w:rsidRPr="00434957" w:rsidRDefault="009D4357" w:rsidP="00CE3F2A">
            <w:pPr>
              <w:spacing w:before="60" w:after="60"/>
              <w:jc w:val="center"/>
              <w:rPr>
                <w:noProof/>
                <w:sz w:val="20"/>
                <w:lang w:eastAsia="en-GB"/>
              </w:rPr>
            </w:pPr>
            <w:r>
              <w:rPr>
                <w:noProof/>
                <w:sz w:val="20"/>
                <w:lang w:eastAsia="en-GB"/>
              </w:rPr>
              <w:t>0.456</w:t>
            </w:r>
          </w:p>
        </w:tc>
        <w:tc>
          <w:tcPr>
            <w:tcW w:w="1080" w:type="dxa"/>
            <w:vAlign w:val="center"/>
          </w:tcPr>
          <w:p w14:paraId="56539F02" w14:textId="77777777" w:rsidR="009D4357" w:rsidRPr="00434957" w:rsidRDefault="009D4357" w:rsidP="00CE3F2A">
            <w:pPr>
              <w:spacing w:before="60" w:after="60"/>
              <w:jc w:val="center"/>
              <w:rPr>
                <w:noProof/>
                <w:sz w:val="20"/>
                <w:lang w:eastAsia="en-GB"/>
              </w:rPr>
            </w:pPr>
            <w:r>
              <w:rPr>
                <w:noProof/>
                <w:sz w:val="20"/>
                <w:lang w:eastAsia="en-GB"/>
              </w:rPr>
              <w:t>0.988</w:t>
            </w:r>
          </w:p>
        </w:tc>
        <w:tc>
          <w:tcPr>
            <w:tcW w:w="1080" w:type="dxa"/>
            <w:vAlign w:val="center"/>
          </w:tcPr>
          <w:p w14:paraId="6107E538" w14:textId="77777777" w:rsidR="009D4357" w:rsidRPr="00434957" w:rsidRDefault="009D4357" w:rsidP="00CE3F2A">
            <w:pPr>
              <w:spacing w:before="60" w:after="60"/>
              <w:jc w:val="center"/>
              <w:rPr>
                <w:noProof/>
                <w:sz w:val="20"/>
                <w:lang w:eastAsia="en-GB"/>
              </w:rPr>
            </w:pPr>
            <w:r>
              <w:rPr>
                <w:noProof/>
                <w:sz w:val="20"/>
                <w:lang w:eastAsia="en-GB"/>
              </w:rPr>
              <w:t>1.52</w:t>
            </w:r>
          </w:p>
        </w:tc>
        <w:tc>
          <w:tcPr>
            <w:tcW w:w="1080" w:type="dxa"/>
            <w:vAlign w:val="center"/>
          </w:tcPr>
          <w:p w14:paraId="06F178DA" w14:textId="77777777" w:rsidR="009D4357" w:rsidRPr="00434957" w:rsidRDefault="009D4357" w:rsidP="00CE3F2A">
            <w:pPr>
              <w:spacing w:before="60" w:after="60"/>
              <w:jc w:val="center"/>
              <w:rPr>
                <w:noProof/>
                <w:sz w:val="20"/>
                <w:lang w:eastAsia="en-GB"/>
              </w:rPr>
            </w:pPr>
            <w:r>
              <w:rPr>
                <w:noProof/>
                <w:sz w:val="20"/>
                <w:lang w:eastAsia="en-GB"/>
              </w:rPr>
              <w:t>1.368</w:t>
            </w:r>
          </w:p>
        </w:tc>
        <w:tc>
          <w:tcPr>
            <w:tcW w:w="1080" w:type="dxa"/>
            <w:vAlign w:val="center"/>
          </w:tcPr>
          <w:p w14:paraId="78B5FF0F" w14:textId="77777777" w:rsidR="009D4357" w:rsidRPr="00434957" w:rsidRDefault="009D4357" w:rsidP="00CE3F2A">
            <w:pPr>
              <w:spacing w:before="60" w:after="60"/>
              <w:jc w:val="center"/>
              <w:rPr>
                <w:b/>
                <w:noProof/>
                <w:sz w:val="20"/>
                <w:lang w:eastAsia="en-GB"/>
              </w:rPr>
            </w:pPr>
            <w:r>
              <w:rPr>
                <w:b/>
                <w:noProof/>
                <w:sz w:val="20"/>
                <w:lang w:eastAsia="en-GB"/>
              </w:rPr>
              <w:t>4.332</w:t>
            </w:r>
          </w:p>
        </w:tc>
      </w:tr>
      <w:tr w:rsidR="009D4357" w:rsidRPr="00434957" w14:paraId="547BC61C" w14:textId="77777777" w:rsidTr="00CE3F2A">
        <w:trPr>
          <w:trHeight w:val="585"/>
        </w:trPr>
        <w:tc>
          <w:tcPr>
            <w:tcW w:w="1980" w:type="dxa"/>
            <w:shd w:val="clear" w:color="auto" w:fill="BFBFBF" w:themeFill="background1" w:themeFillShade="BF"/>
            <w:vAlign w:val="center"/>
          </w:tcPr>
          <w:p w14:paraId="18F289D4" w14:textId="77777777" w:rsidR="009D4357" w:rsidRPr="00434957" w:rsidRDefault="009D4357" w:rsidP="00CE3F2A">
            <w:pPr>
              <w:spacing w:before="60" w:after="60"/>
              <w:jc w:val="center"/>
              <w:rPr>
                <w:noProof/>
                <w:sz w:val="18"/>
                <w:lang w:eastAsia="en-GB"/>
              </w:rPr>
            </w:pPr>
            <w:r w:rsidRPr="00434957">
              <w:rPr>
                <w:noProof/>
                <w:sz w:val="18"/>
                <w:lang w:eastAsia="en-GB"/>
              </w:rPr>
              <w:t>Temporary agents - TOTAL</w:t>
            </w:r>
          </w:p>
        </w:tc>
        <w:tc>
          <w:tcPr>
            <w:tcW w:w="1080" w:type="dxa"/>
            <w:shd w:val="clear" w:color="auto" w:fill="auto"/>
            <w:vAlign w:val="center"/>
          </w:tcPr>
          <w:p w14:paraId="2B9E437D"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718FD219"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357BF20F"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6F01EF5B"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384861F5"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4BE2BD0F" w14:textId="77777777" w:rsidR="009D4357" w:rsidRPr="00434957" w:rsidRDefault="009D4357" w:rsidP="00CE3F2A">
            <w:pPr>
              <w:spacing w:before="60" w:after="60"/>
              <w:jc w:val="center"/>
              <w:rPr>
                <w:b/>
                <w:noProof/>
                <w:sz w:val="20"/>
                <w:lang w:eastAsia="en-GB"/>
              </w:rPr>
            </w:pPr>
          </w:p>
        </w:tc>
      </w:tr>
      <w:tr w:rsidR="009D4357" w:rsidRPr="00434957" w14:paraId="5EA2CD0E" w14:textId="77777777" w:rsidTr="00CE3F2A">
        <w:trPr>
          <w:trHeight w:val="585"/>
        </w:trPr>
        <w:tc>
          <w:tcPr>
            <w:tcW w:w="1980" w:type="dxa"/>
            <w:shd w:val="clear" w:color="auto" w:fill="BFBFBF" w:themeFill="background1" w:themeFillShade="BF"/>
            <w:vAlign w:val="center"/>
          </w:tcPr>
          <w:p w14:paraId="2B6BFBF6" w14:textId="77777777" w:rsidR="009D4357" w:rsidRPr="00434957" w:rsidRDefault="009D4357" w:rsidP="00CE3F2A">
            <w:pPr>
              <w:spacing w:before="60" w:after="60"/>
              <w:jc w:val="center"/>
              <w:rPr>
                <w:noProof/>
                <w:sz w:val="18"/>
                <w:lang w:eastAsia="en-GB"/>
              </w:rPr>
            </w:pPr>
            <w:r w:rsidRPr="00434957">
              <w:rPr>
                <w:noProof/>
                <w:sz w:val="20"/>
              </w:rPr>
              <w:t xml:space="preserve">Contract staff - </w:t>
            </w:r>
            <w:r w:rsidRPr="00434957">
              <w:rPr>
                <w:noProof/>
                <w:sz w:val="18"/>
                <w:lang w:eastAsia="en-GB"/>
              </w:rPr>
              <w:t xml:space="preserve">Baseline </w:t>
            </w:r>
          </w:p>
        </w:tc>
        <w:tc>
          <w:tcPr>
            <w:tcW w:w="1080" w:type="dxa"/>
            <w:shd w:val="clear" w:color="auto" w:fill="auto"/>
            <w:vAlign w:val="center"/>
          </w:tcPr>
          <w:p w14:paraId="68ADD366"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6F93D162"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14D49AEF"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3B487FE4"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675F2917"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48B83A56" w14:textId="77777777" w:rsidR="009D4357" w:rsidRPr="00434957" w:rsidRDefault="009D4357" w:rsidP="00CE3F2A">
            <w:pPr>
              <w:spacing w:before="60" w:after="60"/>
              <w:jc w:val="center"/>
              <w:rPr>
                <w:b/>
                <w:noProof/>
                <w:sz w:val="20"/>
                <w:lang w:eastAsia="en-GB"/>
              </w:rPr>
            </w:pPr>
          </w:p>
        </w:tc>
      </w:tr>
      <w:tr w:rsidR="009D4357" w:rsidRPr="00434957" w14:paraId="48AF3BD5" w14:textId="77777777" w:rsidTr="00CE3F2A">
        <w:trPr>
          <w:trHeight w:val="585"/>
        </w:trPr>
        <w:tc>
          <w:tcPr>
            <w:tcW w:w="1980" w:type="dxa"/>
            <w:shd w:val="clear" w:color="auto" w:fill="BFBFBF" w:themeFill="background1" w:themeFillShade="BF"/>
            <w:vAlign w:val="center"/>
          </w:tcPr>
          <w:p w14:paraId="26A18DCB" w14:textId="77777777" w:rsidR="009D4357" w:rsidRPr="00434957" w:rsidRDefault="009D4357" w:rsidP="00CE3F2A">
            <w:pPr>
              <w:spacing w:before="60" w:after="60"/>
              <w:jc w:val="center"/>
              <w:rPr>
                <w:noProof/>
                <w:sz w:val="20"/>
              </w:rPr>
            </w:pPr>
            <w:r w:rsidRPr="00434957">
              <w:rPr>
                <w:noProof/>
                <w:sz w:val="20"/>
              </w:rPr>
              <w:t xml:space="preserve">Contract staff - </w:t>
            </w:r>
            <w:r>
              <w:rPr>
                <w:noProof/>
                <w:sz w:val="18"/>
                <w:lang w:eastAsia="en-GB"/>
              </w:rPr>
              <w:t>Additional</w:t>
            </w:r>
          </w:p>
        </w:tc>
        <w:tc>
          <w:tcPr>
            <w:tcW w:w="1080" w:type="dxa"/>
            <w:shd w:val="clear" w:color="auto" w:fill="auto"/>
            <w:vAlign w:val="center"/>
          </w:tcPr>
          <w:p w14:paraId="1EC97A51"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32663989"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16BA1AE2"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7CA608F8"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08B30D21" w14:textId="77777777" w:rsidR="009D4357" w:rsidRPr="00434957" w:rsidRDefault="009D4357" w:rsidP="00CE3F2A">
            <w:pPr>
              <w:spacing w:before="60" w:after="60"/>
              <w:jc w:val="center"/>
              <w:rPr>
                <w:noProof/>
                <w:sz w:val="20"/>
                <w:lang w:eastAsia="en-GB"/>
              </w:rPr>
            </w:pPr>
            <w:r>
              <w:rPr>
                <w:noProof/>
                <w:sz w:val="20"/>
                <w:lang w:eastAsia="en-GB"/>
              </w:rPr>
              <w:t>0.082</w:t>
            </w:r>
          </w:p>
        </w:tc>
        <w:tc>
          <w:tcPr>
            <w:tcW w:w="1080" w:type="dxa"/>
            <w:shd w:val="clear" w:color="auto" w:fill="auto"/>
            <w:vAlign w:val="center"/>
          </w:tcPr>
          <w:p w14:paraId="580B685A" w14:textId="77777777" w:rsidR="009D4357" w:rsidRPr="00270074" w:rsidRDefault="009D4357" w:rsidP="00CE3F2A">
            <w:pPr>
              <w:spacing w:before="60" w:after="60"/>
              <w:jc w:val="center"/>
              <w:rPr>
                <w:b/>
                <w:noProof/>
                <w:sz w:val="20"/>
                <w:lang w:eastAsia="en-GB"/>
              </w:rPr>
            </w:pPr>
            <w:r w:rsidRPr="0056090D">
              <w:rPr>
                <w:b/>
                <w:noProof/>
                <w:sz w:val="20"/>
                <w:lang w:eastAsia="en-GB"/>
              </w:rPr>
              <w:t>0.082</w:t>
            </w:r>
          </w:p>
        </w:tc>
      </w:tr>
      <w:tr w:rsidR="009D4357" w:rsidRPr="00434957" w14:paraId="3EBAF56D" w14:textId="77777777" w:rsidTr="00CE3F2A">
        <w:trPr>
          <w:trHeight w:val="585"/>
        </w:trPr>
        <w:tc>
          <w:tcPr>
            <w:tcW w:w="1980" w:type="dxa"/>
            <w:shd w:val="clear" w:color="auto" w:fill="BFBFBF" w:themeFill="background1" w:themeFillShade="BF"/>
            <w:vAlign w:val="center"/>
          </w:tcPr>
          <w:p w14:paraId="05972CE1" w14:textId="77777777" w:rsidR="009D4357" w:rsidRPr="00434957" w:rsidRDefault="009D4357" w:rsidP="00CE3F2A">
            <w:pPr>
              <w:spacing w:before="60" w:after="60"/>
              <w:jc w:val="center"/>
              <w:rPr>
                <w:noProof/>
                <w:lang w:eastAsia="en-GB"/>
              </w:rPr>
            </w:pPr>
            <w:r w:rsidRPr="00434957">
              <w:rPr>
                <w:noProof/>
                <w:sz w:val="18"/>
                <w:lang w:eastAsia="en-GB"/>
              </w:rPr>
              <w:t>Seconded National Experts - Baseline (Draft Budget Request 2021)</w:t>
            </w:r>
            <w:r w:rsidRPr="00556E60">
              <w:rPr>
                <w:rStyle w:val="FootnoteReference0"/>
                <w:noProof/>
              </w:rPr>
              <w:footnoteReference w:id="54"/>
            </w:r>
          </w:p>
        </w:tc>
        <w:tc>
          <w:tcPr>
            <w:tcW w:w="1080" w:type="dxa"/>
            <w:shd w:val="clear" w:color="auto" w:fill="auto"/>
            <w:vAlign w:val="center"/>
          </w:tcPr>
          <w:p w14:paraId="13A166B1"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31ED5B8F"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79DE4CD2"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60360641"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139AD018" w14:textId="77777777" w:rsidR="009D4357" w:rsidRPr="00434957" w:rsidRDefault="009D4357" w:rsidP="00CE3F2A">
            <w:pPr>
              <w:spacing w:before="60" w:after="60"/>
              <w:jc w:val="center"/>
              <w:rPr>
                <w:noProof/>
                <w:sz w:val="20"/>
                <w:lang w:eastAsia="en-GB"/>
              </w:rPr>
            </w:pPr>
          </w:p>
        </w:tc>
        <w:tc>
          <w:tcPr>
            <w:tcW w:w="1080" w:type="dxa"/>
            <w:shd w:val="clear" w:color="auto" w:fill="auto"/>
            <w:vAlign w:val="center"/>
          </w:tcPr>
          <w:p w14:paraId="352DF273" w14:textId="77777777" w:rsidR="009D4357" w:rsidRPr="00434957" w:rsidRDefault="009D4357" w:rsidP="00CE3F2A">
            <w:pPr>
              <w:spacing w:before="60" w:after="60"/>
              <w:jc w:val="center"/>
              <w:rPr>
                <w:b/>
                <w:noProof/>
                <w:sz w:val="20"/>
                <w:lang w:eastAsia="en-GB"/>
              </w:rPr>
            </w:pPr>
          </w:p>
        </w:tc>
      </w:tr>
    </w:tbl>
    <w:p w14:paraId="256633A9" w14:textId="77777777" w:rsidR="009D4357" w:rsidRPr="00434957" w:rsidRDefault="009D4357" w:rsidP="009D4357">
      <w:pPr>
        <w:rPr>
          <w:noProof/>
          <w:sz w:val="20"/>
          <w:lang w:eastAsia="en-GB"/>
        </w:rPr>
      </w:pPr>
    </w:p>
    <w:tbl>
      <w:tblPr>
        <w:tblW w:w="8460" w:type="dxa"/>
        <w:tblInd w:w="108" w:type="dxa"/>
        <w:tblLayout w:type="fixed"/>
        <w:tblLook w:val="01E0" w:firstRow="1" w:lastRow="1" w:firstColumn="1" w:lastColumn="1" w:noHBand="0" w:noVBand="0"/>
      </w:tblPr>
      <w:tblGrid>
        <w:gridCol w:w="1980"/>
        <w:gridCol w:w="1080"/>
        <w:gridCol w:w="1080"/>
        <w:gridCol w:w="1080"/>
        <w:gridCol w:w="1080"/>
        <w:gridCol w:w="1080"/>
        <w:gridCol w:w="1080"/>
      </w:tblGrid>
      <w:tr w:rsidR="009D4357" w:rsidRPr="00434957" w14:paraId="31592B8A" w14:textId="77777777" w:rsidTr="00CE3F2A">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5CD8A4CC" w14:textId="77777777" w:rsidR="009D4357" w:rsidRPr="00434957" w:rsidRDefault="009D4357" w:rsidP="00CE3F2A">
            <w:pPr>
              <w:spacing w:before="60" w:after="60"/>
              <w:jc w:val="center"/>
              <w:rPr>
                <w:b/>
                <w:noProof/>
                <w:sz w:val="20"/>
                <w:lang w:eastAsia="en-GB"/>
              </w:rPr>
            </w:pPr>
            <w:r w:rsidRPr="00434957">
              <w:rPr>
                <w:b/>
                <w:noProof/>
                <w:sz w:val="20"/>
                <w:lang w:eastAsia="en-GB"/>
              </w:rPr>
              <w:t>TOTAL only additional costs</w:t>
            </w:r>
          </w:p>
        </w:tc>
        <w:tc>
          <w:tcPr>
            <w:tcW w:w="1080" w:type="dxa"/>
            <w:tcBorders>
              <w:top w:val="single" w:sz="12" w:space="0" w:color="auto"/>
              <w:left w:val="single" w:sz="2" w:space="0" w:color="auto"/>
              <w:bottom w:val="single" w:sz="12" w:space="0" w:color="auto"/>
              <w:right w:val="single" w:sz="2" w:space="0" w:color="auto"/>
            </w:tcBorders>
            <w:vAlign w:val="center"/>
          </w:tcPr>
          <w:p w14:paraId="7E370E1B" w14:textId="77777777" w:rsidR="009D4357" w:rsidRPr="00434957" w:rsidRDefault="009D4357" w:rsidP="00CE3F2A">
            <w:pPr>
              <w:spacing w:before="60" w:after="60"/>
              <w:jc w:val="center"/>
              <w:rPr>
                <w:noProof/>
                <w:sz w:val="20"/>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14:paraId="21252682" w14:textId="77777777" w:rsidR="009D4357" w:rsidRPr="00434957" w:rsidRDefault="009D4357" w:rsidP="00CE3F2A">
            <w:pPr>
              <w:spacing w:before="60" w:after="60"/>
              <w:jc w:val="center"/>
              <w:rPr>
                <w:noProof/>
                <w:sz w:val="20"/>
                <w:lang w:eastAsia="en-GB"/>
              </w:rPr>
            </w:pPr>
            <w:r>
              <w:rPr>
                <w:noProof/>
                <w:sz w:val="20"/>
                <w:lang w:eastAsia="en-GB"/>
              </w:rPr>
              <w:t>0.456</w:t>
            </w:r>
          </w:p>
        </w:tc>
        <w:tc>
          <w:tcPr>
            <w:tcW w:w="1080" w:type="dxa"/>
            <w:tcBorders>
              <w:top w:val="single" w:sz="12" w:space="0" w:color="auto"/>
              <w:left w:val="single" w:sz="2" w:space="0" w:color="auto"/>
              <w:bottom w:val="single" w:sz="12" w:space="0" w:color="auto"/>
              <w:right w:val="single" w:sz="2" w:space="0" w:color="auto"/>
            </w:tcBorders>
            <w:vAlign w:val="center"/>
          </w:tcPr>
          <w:p w14:paraId="29431714" w14:textId="77777777" w:rsidR="009D4357" w:rsidRPr="00434957" w:rsidRDefault="009D4357" w:rsidP="00CE3F2A">
            <w:pPr>
              <w:spacing w:before="60" w:after="60"/>
              <w:jc w:val="center"/>
              <w:rPr>
                <w:noProof/>
                <w:sz w:val="20"/>
                <w:lang w:eastAsia="en-GB"/>
              </w:rPr>
            </w:pPr>
            <w:r>
              <w:rPr>
                <w:noProof/>
                <w:sz w:val="20"/>
                <w:lang w:eastAsia="en-GB"/>
              </w:rPr>
              <w:t>0.988</w:t>
            </w:r>
          </w:p>
        </w:tc>
        <w:tc>
          <w:tcPr>
            <w:tcW w:w="1080" w:type="dxa"/>
            <w:tcBorders>
              <w:top w:val="single" w:sz="12" w:space="0" w:color="auto"/>
              <w:left w:val="single" w:sz="2" w:space="0" w:color="auto"/>
              <w:bottom w:val="single" w:sz="12" w:space="0" w:color="auto"/>
              <w:right w:val="single" w:sz="2" w:space="0" w:color="auto"/>
            </w:tcBorders>
            <w:vAlign w:val="center"/>
          </w:tcPr>
          <w:p w14:paraId="0DD9298B" w14:textId="77777777" w:rsidR="009D4357" w:rsidRPr="00434957" w:rsidRDefault="009D4357" w:rsidP="00CE3F2A">
            <w:pPr>
              <w:spacing w:before="60" w:after="60"/>
              <w:jc w:val="center"/>
              <w:rPr>
                <w:noProof/>
                <w:sz w:val="20"/>
                <w:lang w:eastAsia="en-GB"/>
              </w:rPr>
            </w:pPr>
            <w:r>
              <w:rPr>
                <w:noProof/>
                <w:sz w:val="20"/>
                <w:lang w:eastAsia="en-GB"/>
              </w:rPr>
              <w:t>1.52</w:t>
            </w:r>
          </w:p>
        </w:tc>
        <w:tc>
          <w:tcPr>
            <w:tcW w:w="1080" w:type="dxa"/>
            <w:tcBorders>
              <w:top w:val="single" w:sz="12" w:space="0" w:color="auto"/>
              <w:left w:val="single" w:sz="2" w:space="0" w:color="auto"/>
              <w:bottom w:val="single" w:sz="12" w:space="0" w:color="auto"/>
              <w:right w:val="single" w:sz="2" w:space="0" w:color="auto"/>
            </w:tcBorders>
            <w:vAlign w:val="center"/>
          </w:tcPr>
          <w:p w14:paraId="5F1B73B7" w14:textId="77777777" w:rsidR="009D4357" w:rsidRPr="00434957" w:rsidRDefault="009D4357" w:rsidP="00CE3F2A">
            <w:pPr>
              <w:spacing w:before="60" w:after="60"/>
              <w:jc w:val="center"/>
              <w:rPr>
                <w:noProof/>
                <w:sz w:val="20"/>
                <w:lang w:eastAsia="en-GB"/>
              </w:rPr>
            </w:pPr>
            <w:r>
              <w:rPr>
                <w:noProof/>
                <w:sz w:val="20"/>
                <w:lang w:eastAsia="en-GB"/>
              </w:rPr>
              <w:t>1.45</w:t>
            </w:r>
          </w:p>
        </w:tc>
        <w:tc>
          <w:tcPr>
            <w:tcW w:w="1080" w:type="dxa"/>
            <w:tcBorders>
              <w:top w:val="single" w:sz="12" w:space="0" w:color="auto"/>
              <w:left w:val="single" w:sz="2" w:space="0" w:color="auto"/>
              <w:bottom w:val="single" w:sz="12" w:space="0" w:color="auto"/>
              <w:right w:val="single" w:sz="2" w:space="0" w:color="auto"/>
            </w:tcBorders>
            <w:vAlign w:val="center"/>
          </w:tcPr>
          <w:p w14:paraId="3B33127D" w14:textId="77777777" w:rsidR="009D4357" w:rsidRPr="00434957" w:rsidRDefault="009D4357" w:rsidP="00CE3F2A">
            <w:pPr>
              <w:spacing w:before="60" w:after="60"/>
              <w:jc w:val="center"/>
              <w:rPr>
                <w:b/>
                <w:noProof/>
                <w:sz w:val="20"/>
                <w:lang w:eastAsia="en-GB"/>
              </w:rPr>
            </w:pPr>
            <w:r>
              <w:rPr>
                <w:b/>
                <w:noProof/>
                <w:sz w:val="20"/>
                <w:lang w:eastAsia="en-GB"/>
              </w:rPr>
              <w:t>4.414</w:t>
            </w:r>
          </w:p>
        </w:tc>
      </w:tr>
      <w:tr w:rsidR="009D4357" w:rsidRPr="00434957" w14:paraId="6238A284" w14:textId="77777777" w:rsidTr="00CE3F2A">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44E816B6" w14:textId="77777777" w:rsidR="009D4357" w:rsidRPr="00434957" w:rsidRDefault="009D4357" w:rsidP="00CE3F2A">
            <w:pPr>
              <w:spacing w:before="60" w:after="60"/>
              <w:jc w:val="center"/>
              <w:rPr>
                <w:noProof/>
                <w:sz w:val="20"/>
                <w:lang w:eastAsia="en-GB"/>
              </w:rPr>
            </w:pPr>
            <w:r w:rsidRPr="00434957">
              <w:rPr>
                <w:b/>
                <w:noProof/>
                <w:sz w:val="20"/>
                <w:lang w:eastAsia="en-GB"/>
              </w:rPr>
              <w:t>TOTAL – including baseline and additional costs</w:t>
            </w:r>
          </w:p>
        </w:tc>
        <w:tc>
          <w:tcPr>
            <w:tcW w:w="1080" w:type="dxa"/>
            <w:tcBorders>
              <w:top w:val="single" w:sz="12" w:space="0" w:color="auto"/>
              <w:left w:val="single" w:sz="2" w:space="0" w:color="auto"/>
              <w:bottom w:val="single" w:sz="12" w:space="0" w:color="auto"/>
              <w:right w:val="single" w:sz="2" w:space="0" w:color="auto"/>
            </w:tcBorders>
            <w:vAlign w:val="center"/>
          </w:tcPr>
          <w:p w14:paraId="16BC2C32" w14:textId="77777777" w:rsidR="009D4357" w:rsidRPr="00434957" w:rsidRDefault="009D4357" w:rsidP="00CE3F2A">
            <w:pPr>
              <w:spacing w:before="60" w:after="60"/>
              <w:jc w:val="center"/>
              <w:rPr>
                <w:noProof/>
                <w:sz w:val="20"/>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14:paraId="4BF8391A" w14:textId="77777777" w:rsidR="009D4357" w:rsidRPr="00434957" w:rsidRDefault="009D4357" w:rsidP="00CE3F2A">
            <w:pPr>
              <w:spacing w:before="60" w:after="60"/>
              <w:jc w:val="center"/>
              <w:rPr>
                <w:noProof/>
                <w:sz w:val="20"/>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14:paraId="0CB38A77" w14:textId="77777777" w:rsidR="009D4357" w:rsidRPr="00434957" w:rsidRDefault="009D4357" w:rsidP="00CE3F2A">
            <w:pPr>
              <w:spacing w:before="60" w:after="60"/>
              <w:jc w:val="center"/>
              <w:rPr>
                <w:noProof/>
                <w:sz w:val="20"/>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14:paraId="5ED3BFE9" w14:textId="77777777" w:rsidR="009D4357" w:rsidRPr="00434957" w:rsidRDefault="009D4357" w:rsidP="00CE3F2A">
            <w:pPr>
              <w:spacing w:before="60" w:after="60"/>
              <w:jc w:val="center"/>
              <w:rPr>
                <w:noProof/>
                <w:sz w:val="20"/>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14:paraId="7C762ED3" w14:textId="77777777" w:rsidR="009D4357" w:rsidRPr="00434957" w:rsidRDefault="009D4357" w:rsidP="00CE3F2A">
            <w:pPr>
              <w:spacing w:before="60" w:after="60"/>
              <w:jc w:val="center"/>
              <w:rPr>
                <w:noProof/>
                <w:sz w:val="20"/>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14:paraId="5CEF450B" w14:textId="77777777" w:rsidR="009D4357" w:rsidRPr="00434957" w:rsidRDefault="009D4357" w:rsidP="00CE3F2A">
            <w:pPr>
              <w:spacing w:before="60" w:after="60"/>
              <w:jc w:val="center"/>
              <w:rPr>
                <w:b/>
                <w:noProof/>
                <w:sz w:val="20"/>
                <w:lang w:eastAsia="en-GB"/>
              </w:rPr>
            </w:pPr>
          </w:p>
        </w:tc>
      </w:tr>
    </w:tbl>
    <w:p w14:paraId="31BF94E5" w14:textId="77777777" w:rsidR="009D4357" w:rsidRPr="00434957" w:rsidRDefault="009D4357" w:rsidP="009D4357">
      <w:pPr>
        <w:rPr>
          <w:noProof/>
          <w:u w:val="single"/>
          <w:lang w:eastAsia="en-GB"/>
        </w:rPr>
      </w:pPr>
    </w:p>
    <w:p w14:paraId="1DBFE119" w14:textId="77777777" w:rsidR="009D4357" w:rsidRPr="00434957" w:rsidRDefault="009D4357" w:rsidP="009D4357">
      <w:pPr>
        <w:jc w:val="center"/>
        <w:rPr>
          <w:noProof/>
          <w:u w:val="single"/>
        </w:rPr>
      </w:pPr>
    </w:p>
    <w:p w14:paraId="652B2FA1" w14:textId="77777777" w:rsidR="009D4357" w:rsidRPr="00434957" w:rsidRDefault="009D4357" w:rsidP="009D4357">
      <w:pPr>
        <w:rPr>
          <w:noProof/>
          <w:sz w:val="20"/>
        </w:rPr>
      </w:pPr>
      <w:r w:rsidRPr="00434957">
        <w:rPr>
          <w:noProof/>
          <w:sz w:val="20"/>
        </w:rPr>
        <w:t>Staff requirements (FTE):</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9D4357" w:rsidRPr="00434957" w14:paraId="73B7E20E" w14:textId="77777777" w:rsidTr="00CE3F2A">
        <w:trPr>
          <w:trHeight w:val="585"/>
        </w:trPr>
        <w:tc>
          <w:tcPr>
            <w:tcW w:w="1980" w:type="dxa"/>
          </w:tcPr>
          <w:p w14:paraId="44CF327E" w14:textId="77777777" w:rsidR="009D4357" w:rsidRPr="00434957" w:rsidRDefault="009D4357" w:rsidP="00CE3F2A">
            <w:pPr>
              <w:spacing w:before="60" w:after="60"/>
              <w:jc w:val="center"/>
              <w:rPr>
                <w:noProof/>
                <w:sz w:val="20"/>
              </w:rPr>
            </w:pPr>
          </w:p>
        </w:tc>
        <w:tc>
          <w:tcPr>
            <w:tcW w:w="1080" w:type="dxa"/>
          </w:tcPr>
          <w:p w14:paraId="5BD0E10A" w14:textId="77777777" w:rsidR="009D4357" w:rsidRPr="00434957" w:rsidRDefault="009D4357" w:rsidP="00CE3F2A">
            <w:pPr>
              <w:spacing w:before="60" w:after="60"/>
              <w:jc w:val="center"/>
              <w:rPr>
                <w:noProof/>
                <w:sz w:val="20"/>
              </w:rPr>
            </w:pPr>
            <w:r w:rsidRPr="00434957">
              <w:rPr>
                <w:noProof/>
                <w:sz w:val="20"/>
              </w:rPr>
              <w:t>Year</w:t>
            </w:r>
            <w:r w:rsidRPr="00434957">
              <w:rPr>
                <w:noProof/>
              </w:rPr>
              <w:br/>
            </w:r>
            <w:r w:rsidRPr="00434957">
              <w:rPr>
                <w:b/>
                <w:noProof/>
                <w:sz w:val="20"/>
              </w:rPr>
              <w:t>202</w:t>
            </w:r>
            <w:r>
              <w:rPr>
                <w:b/>
                <w:noProof/>
                <w:sz w:val="20"/>
              </w:rPr>
              <w:t>3</w:t>
            </w:r>
          </w:p>
        </w:tc>
        <w:tc>
          <w:tcPr>
            <w:tcW w:w="1080" w:type="dxa"/>
            <w:vAlign w:val="center"/>
          </w:tcPr>
          <w:p w14:paraId="77563198" w14:textId="77777777" w:rsidR="009D4357" w:rsidRPr="00434957" w:rsidRDefault="009D4357" w:rsidP="00CE3F2A">
            <w:pPr>
              <w:spacing w:before="60" w:after="60"/>
              <w:jc w:val="center"/>
              <w:rPr>
                <w:noProof/>
                <w:sz w:val="20"/>
              </w:rPr>
            </w:pPr>
            <w:r w:rsidRPr="00434957">
              <w:rPr>
                <w:noProof/>
                <w:sz w:val="20"/>
              </w:rPr>
              <w:t>Year</w:t>
            </w:r>
            <w:r w:rsidRPr="00434957">
              <w:rPr>
                <w:noProof/>
              </w:rPr>
              <w:br/>
            </w:r>
            <w:r w:rsidRPr="00434957">
              <w:rPr>
                <w:b/>
                <w:noProof/>
                <w:sz w:val="20"/>
              </w:rPr>
              <w:t>2024</w:t>
            </w:r>
          </w:p>
        </w:tc>
        <w:tc>
          <w:tcPr>
            <w:tcW w:w="1080" w:type="dxa"/>
            <w:vAlign w:val="center"/>
          </w:tcPr>
          <w:p w14:paraId="40B982D0" w14:textId="77777777" w:rsidR="009D4357" w:rsidRPr="00434957" w:rsidRDefault="009D4357" w:rsidP="00CE3F2A">
            <w:pPr>
              <w:spacing w:before="60" w:after="60"/>
              <w:jc w:val="center"/>
              <w:rPr>
                <w:noProof/>
                <w:sz w:val="20"/>
              </w:rPr>
            </w:pPr>
            <w:r w:rsidRPr="00434957">
              <w:rPr>
                <w:noProof/>
                <w:sz w:val="20"/>
              </w:rPr>
              <w:t>Year</w:t>
            </w:r>
            <w:r w:rsidRPr="00434957">
              <w:rPr>
                <w:noProof/>
              </w:rPr>
              <w:br/>
            </w:r>
            <w:r w:rsidRPr="00434957">
              <w:rPr>
                <w:b/>
                <w:noProof/>
                <w:sz w:val="20"/>
              </w:rPr>
              <w:t>2025</w:t>
            </w:r>
          </w:p>
        </w:tc>
        <w:tc>
          <w:tcPr>
            <w:tcW w:w="1080" w:type="dxa"/>
          </w:tcPr>
          <w:p w14:paraId="27DC434D" w14:textId="77777777" w:rsidR="009D4357" w:rsidRPr="00434957" w:rsidRDefault="009D4357" w:rsidP="00CE3F2A">
            <w:pPr>
              <w:spacing w:before="60" w:after="60"/>
              <w:jc w:val="center"/>
              <w:rPr>
                <w:noProof/>
                <w:sz w:val="20"/>
              </w:rPr>
            </w:pPr>
            <w:r w:rsidRPr="00434957">
              <w:rPr>
                <w:noProof/>
                <w:sz w:val="20"/>
              </w:rPr>
              <w:t>Year</w:t>
            </w:r>
            <w:r w:rsidRPr="00434957">
              <w:rPr>
                <w:noProof/>
              </w:rPr>
              <w:br/>
            </w:r>
            <w:r w:rsidRPr="00434957">
              <w:rPr>
                <w:b/>
                <w:noProof/>
                <w:sz w:val="20"/>
              </w:rPr>
              <w:t>2026</w:t>
            </w:r>
          </w:p>
        </w:tc>
        <w:tc>
          <w:tcPr>
            <w:tcW w:w="1080" w:type="dxa"/>
          </w:tcPr>
          <w:p w14:paraId="480E9D5D" w14:textId="77777777" w:rsidR="009D4357" w:rsidRPr="00434957" w:rsidRDefault="009D4357" w:rsidP="00CE3F2A">
            <w:pPr>
              <w:spacing w:before="60" w:after="60"/>
              <w:jc w:val="center"/>
              <w:rPr>
                <w:noProof/>
                <w:sz w:val="20"/>
              </w:rPr>
            </w:pPr>
            <w:r w:rsidRPr="00434957">
              <w:rPr>
                <w:noProof/>
                <w:sz w:val="20"/>
              </w:rPr>
              <w:t>Year</w:t>
            </w:r>
            <w:r w:rsidRPr="00434957">
              <w:rPr>
                <w:noProof/>
              </w:rPr>
              <w:br/>
            </w:r>
            <w:r w:rsidRPr="00434957">
              <w:rPr>
                <w:b/>
                <w:noProof/>
                <w:sz w:val="20"/>
              </w:rPr>
              <w:t>2027</w:t>
            </w:r>
          </w:p>
        </w:tc>
      </w:tr>
      <w:tr w:rsidR="009D4357" w:rsidRPr="00434957" w14:paraId="4BCEA5FD" w14:textId="77777777" w:rsidTr="00CE3F2A">
        <w:trPr>
          <w:trHeight w:val="585"/>
        </w:trPr>
        <w:tc>
          <w:tcPr>
            <w:tcW w:w="1980" w:type="dxa"/>
            <w:shd w:val="clear" w:color="auto" w:fill="D9D9D9" w:themeFill="background1" w:themeFillShade="D9"/>
            <w:vAlign w:val="center"/>
          </w:tcPr>
          <w:p w14:paraId="70683B27" w14:textId="77777777" w:rsidR="009D4357" w:rsidRPr="00434957" w:rsidRDefault="009D4357" w:rsidP="00CE3F2A">
            <w:pPr>
              <w:spacing w:before="60" w:after="60"/>
              <w:jc w:val="center"/>
              <w:rPr>
                <w:noProof/>
                <w:sz w:val="18"/>
              </w:rPr>
            </w:pPr>
            <w:r w:rsidRPr="00434957">
              <w:rPr>
                <w:noProof/>
                <w:sz w:val="18"/>
              </w:rPr>
              <w:t xml:space="preserve">Temporary agents – Baseline </w:t>
            </w:r>
          </w:p>
        </w:tc>
        <w:tc>
          <w:tcPr>
            <w:tcW w:w="1080" w:type="dxa"/>
            <w:vAlign w:val="center"/>
          </w:tcPr>
          <w:p w14:paraId="69B241F9" w14:textId="77777777" w:rsidR="009D4357" w:rsidRPr="00434957" w:rsidRDefault="009D4357" w:rsidP="00CE3F2A">
            <w:pPr>
              <w:spacing w:before="60" w:after="60"/>
              <w:jc w:val="center"/>
              <w:rPr>
                <w:rFonts w:ascii="Calibri" w:hAnsi="Calibri"/>
                <w:b/>
                <w:bCs/>
                <w:noProof/>
                <w:color w:val="000000"/>
              </w:rPr>
            </w:pPr>
          </w:p>
        </w:tc>
        <w:tc>
          <w:tcPr>
            <w:tcW w:w="1080" w:type="dxa"/>
            <w:vAlign w:val="center"/>
          </w:tcPr>
          <w:p w14:paraId="7699E291" w14:textId="77777777" w:rsidR="009D4357" w:rsidRPr="00434957" w:rsidRDefault="009D4357" w:rsidP="00CE3F2A">
            <w:pPr>
              <w:spacing w:before="60" w:after="60"/>
              <w:jc w:val="center"/>
              <w:rPr>
                <w:rFonts w:ascii="Calibri" w:hAnsi="Calibri"/>
                <w:b/>
                <w:bCs/>
                <w:noProof/>
                <w:color w:val="000000"/>
              </w:rPr>
            </w:pPr>
          </w:p>
        </w:tc>
        <w:tc>
          <w:tcPr>
            <w:tcW w:w="1080" w:type="dxa"/>
            <w:vAlign w:val="center"/>
          </w:tcPr>
          <w:p w14:paraId="0895D136" w14:textId="77777777" w:rsidR="009D4357" w:rsidRPr="00434957" w:rsidRDefault="009D4357" w:rsidP="00CE3F2A">
            <w:pPr>
              <w:spacing w:before="60" w:after="60"/>
              <w:jc w:val="center"/>
              <w:rPr>
                <w:rFonts w:ascii="Calibri" w:hAnsi="Calibri"/>
                <w:b/>
                <w:bCs/>
                <w:noProof/>
                <w:color w:val="000000"/>
              </w:rPr>
            </w:pPr>
          </w:p>
        </w:tc>
        <w:tc>
          <w:tcPr>
            <w:tcW w:w="1080" w:type="dxa"/>
            <w:vAlign w:val="center"/>
          </w:tcPr>
          <w:p w14:paraId="7687B3E5" w14:textId="77777777" w:rsidR="009D4357" w:rsidRPr="00434957" w:rsidRDefault="009D4357" w:rsidP="00CE3F2A">
            <w:pPr>
              <w:spacing w:before="60" w:after="60"/>
              <w:jc w:val="center"/>
              <w:rPr>
                <w:rFonts w:ascii="Calibri" w:hAnsi="Calibri"/>
                <w:b/>
                <w:bCs/>
                <w:noProof/>
                <w:color w:val="000000"/>
              </w:rPr>
            </w:pPr>
          </w:p>
        </w:tc>
        <w:tc>
          <w:tcPr>
            <w:tcW w:w="1080" w:type="dxa"/>
            <w:vAlign w:val="center"/>
          </w:tcPr>
          <w:p w14:paraId="4F0D49A2" w14:textId="77777777" w:rsidR="009D4357" w:rsidRPr="00434957" w:rsidRDefault="009D4357" w:rsidP="00CE3F2A">
            <w:pPr>
              <w:spacing w:before="60" w:after="60"/>
              <w:jc w:val="center"/>
              <w:rPr>
                <w:rFonts w:ascii="Calibri" w:hAnsi="Calibri"/>
                <w:b/>
                <w:bCs/>
                <w:noProof/>
                <w:color w:val="000000"/>
              </w:rPr>
            </w:pPr>
          </w:p>
        </w:tc>
      </w:tr>
      <w:tr w:rsidR="009D4357" w:rsidRPr="00434957" w14:paraId="34C417B2" w14:textId="77777777" w:rsidTr="00CE3F2A">
        <w:trPr>
          <w:trHeight w:val="585"/>
        </w:trPr>
        <w:tc>
          <w:tcPr>
            <w:tcW w:w="1980" w:type="dxa"/>
            <w:shd w:val="clear" w:color="auto" w:fill="D9D9D9" w:themeFill="background1" w:themeFillShade="D9"/>
            <w:vAlign w:val="center"/>
          </w:tcPr>
          <w:p w14:paraId="51C2C874" w14:textId="77777777" w:rsidR="009D4357" w:rsidRPr="00434957" w:rsidRDefault="009D4357" w:rsidP="00CE3F2A">
            <w:pPr>
              <w:spacing w:before="60" w:after="60"/>
              <w:jc w:val="center"/>
              <w:rPr>
                <w:noProof/>
              </w:rPr>
            </w:pPr>
            <w:r w:rsidRPr="00434957">
              <w:rPr>
                <w:noProof/>
                <w:sz w:val="18"/>
              </w:rPr>
              <w:t>Temporary agents – Additional compared to the baseline (cumulative)</w:t>
            </w:r>
          </w:p>
        </w:tc>
        <w:tc>
          <w:tcPr>
            <w:tcW w:w="1080" w:type="dxa"/>
            <w:vAlign w:val="center"/>
          </w:tcPr>
          <w:p w14:paraId="3890F969" w14:textId="77777777" w:rsidR="009D4357" w:rsidRDefault="009D4357" w:rsidP="00CE3F2A">
            <w:pPr>
              <w:spacing w:before="60" w:after="60"/>
              <w:jc w:val="center"/>
              <w:rPr>
                <w:noProof/>
                <w:sz w:val="20"/>
              </w:rPr>
            </w:pPr>
          </w:p>
        </w:tc>
        <w:tc>
          <w:tcPr>
            <w:tcW w:w="1080" w:type="dxa"/>
            <w:vAlign w:val="center"/>
          </w:tcPr>
          <w:p w14:paraId="2CBD00DF" w14:textId="77777777" w:rsidR="009D4357" w:rsidRPr="00434957" w:rsidRDefault="009D4357" w:rsidP="00CE3F2A">
            <w:pPr>
              <w:spacing w:before="60" w:after="60"/>
              <w:jc w:val="center"/>
              <w:rPr>
                <w:noProof/>
                <w:sz w:val="20"/>
              </w:rPr>
            </w:pPr>
            <w:r>
              <w:rPr>
                <w:noProof/>
                <w:sz w:val="20"/>
              </w:rPr>
              <w:t>6</w:t>
            </w:r>
          </w:p>
        </w:tc>
        <w:tc>
          <w:tcPr>
            <w:tcW w:w="1080" w:type="dxa"/>
            <w:vAlign w:val="center"/>
          </w:tcPr>
          <w:p w14:paraId="69D728AD" w14:textId="77777777" w:rsidR="009D4357" w:rsidRPr="00434957" w:rsidRDefault="009D4357" w:rsidP="00CE3F2A">
            <w:pPr>
              <w:spacing w:before="60" w:after="60"/>
              <w:jc w:val="center"/>
              <w:rPr>
                <w:noProof/>
                <w:sz w:val="20"/>
              </w:rPr>
            </w:pPr>
            <w:r>
              <w:rPr>
                <w:noProof/>
                <w:sz w:val="20"/>
              </w:rPr>
              <w:t>7</w:t>
            </w:r>
          </w:p>
        </w:tc>
        <w:tc>
          <w:tcPr>
            <w:tcW w:w="1080" w:type="dxa"/>
            <w:vAlign w:val="center"/>
          </w:tcPr>
          <w:p w14:paraId="7E40617D" w14:textId="77777777" w:rsidR="009D4357" w:rsidRPr="00434957" w:rsidRDefault="009D4357" w:rsidP="00CE3F2A">
            <w:pPr>
              <w:spacing w:before="60" w:after="60"/>
              <w:jc w:val="center"/>
              <w:rPr>
                <w:noProof/>
                <w:sz w:val="20"/>
              </w:rPr>
            </w:pPr>
            <w:r>
              <w:rPr>
                <w:noProof/>
                <w:sz w:val="20"/>
              </w:rPr>
              <w:t>10</w:t>
            </w:r>
          </w:p>
        </w:tc>
        <w:tc>
          <w:tcPr>
            <w:tcW w:w="1080" w:type="dxa"/>
            <w:vAlign w:val="center"/>
          </w:tcPr>
          <w:p w14:paraId="06E90727" w14:textId="77777777" w:rsidR="009D4357" w:rsidRPr="00434957" w:rsidRDefault="009D4357" w:rsidP="00CE3F2A">
            <w:pPr>
              <w:spacing w:before="60" w:after="60"/>
              <w:jc w:val="center"/>
              <w:rPr>
                <w:noProof/>
                <w:sz w:val="20"/>
              </w:rPr>
            </w:pPr>
            <w:r>
              <w:rPr>
                <w:noProof/>
                <w:sz w:val="20"/>
              </w:rPr>
              <w:t>9</w:t>
            </w:r>
          </w:p>
        </w:tc>
      </w:tr>
      <w:tr w:rsidR="009D4357" w:rsidRPr="00434957" w14:paraId="0B5E68F1" w14:textId="77777777" w:rsidTr="00CE3F2A">
        <w:trPr>
          <w:trHeight w:val="585"/>
        </w:trPr>
        <w:tc>
          <w:tcPr>
            <w:tcW w:w="1980" w:type="dxa"/>
            <w:shd w:val="clear" w:color="auto" w:fill="BFBFBF" w:themeFill="background1" w:themeFillShade="BF"/>
            <w:vAlign w:val="center"/>
          </w:tcPr>
          <w:p w14:paraId="61CDC7CD" w14:textId="77777777" w:rsidR="009D4357" w:rsidRPr="00434957" w:rsidRDefault="009D4357" w:rsidP="00CE3F2A">
            <w:pPr>
              <w:spacing w:before="60" w:after="60"/>
              <w:jc w:val="center"/>
              <w:rPr>
                <w:noProof/>
                <w:sz w:val="18"/>
                <w:szCs w:val="18"/>
              </w:rPr>
            </w:pPr>
            <w:r w:rsidRPr="00434957">
              <w:rPr>
                <w:noProof/>
                <w:sz w:val="18"/>
                <w:szCs w:val="18"/>
              </w:rPr>
              <w:t>Temporary agents – TOTAL</w:t>
            </w:r>
          </w:p>
        </w:tc>
        <w:tc>
          <w:tcPr>
            <w:tcW w:w="1080" w:type="dxa"/>
            <w:vAlign w:val="center"/>
          </w:tcPr>
          <w:p w14:paraId="2E76EFE5" w14:textId="77777777" w:rsidR="009D4357" w:rsidRPr="00434957" w:rsidRDefault="009D4357" w:rsidP="00CE3F2A">
            <w:pPr>
              <w:spacing w:before="60" w:after="60"/>
              <w:jc w:val="center"/>
              <w:rPr>
                <w:rFonts w:ascii="Calibri" w:hAnsi="Calibri"/>
                <w:b/>
                <w:bCs/>
                <w:noProof/>
                <w:color w:val="000000"/>
              </w:rPr>
            </w:pPr>
          </w:p>
        </w:tc>
        <w:tc>
          <w:tcPr>
            <w:tcW w:w="1080" w:type="dxa"/>
            <w:shd w:val="clear" w:color="auto" w:fill="auto"/>
            <w:vAlign w:val="center"/>
          </w:tcPr>
          <w:p w14:paraId="23DDF7AA" w14:textId="77777777" w:rsidR="009D4357" w:rsidRPr="00434957" w:rsidRDefault="009D4357" w:rsidP="00CE3F2A">
            <w:pPr>
              <w:spacing w:before="60" w:after="60"/>
              <w:jc w:val="center"/>
              <w:rPr>
                <w:rFonts w:ascii="Calibri" w:hAnsi="Calibri"/>
                <w:b/>
                <w:bCs/>
                <w:noProof/>
                <w:color w:val="000000"/>
              </w:rPr>
            </w:pPr>
          </w:p>
        </w:tc>
        <w:tc>
          <w:tcPr>
            <w:tcW w:w="1080" w:type="dxa"/>
            <w:shd w:val="clear" w:color="auto" w:fill="auto"/>
            <w:vAlign w:val="center"/>
          </w:tcPr>
          <w:p w14:paraId="1572F593" w14:textId="77777777" w:rsidR="009D4357" w:rsidRPr="00434957" w:rsidRDefault="009D4357" w:rsidP="00CE3F2A">
            <w:pPr>
              <w:spacing w:before="60" w:after="60"/>
              <w:jc w:val="center"/>
              <w:rPr>
                <w:rFonts w:ascii="Calibri" w:hAnsi="Calibri"/>
                <w:b/>
                <w:bCs/>
                <w:noProof/>
                <w:color w:val="000000"/>
              </w:rPr>
            </w:pPr>
          </w:p>
        </w:tc>
        <w:tc>
          <w:tcPr>
            <w:tcW w:w="1080" w:type="dxa"/>
            <w:shd w:val="clear" w:color="auto" w:fill="auto"/>
            <w:vAlign w:val="center"/>
          </w:tcPr>
          <w:p w14:paraId="7643C072" w14:textId="77777777" w:rsidR="009D4357" w:rsidRPr="00434957" w:rsidRDefault="009D4357" w:rsidP="00CE3F2A">
            <w:pPr>
              <w:spacing w:before="60" w:after="60"/>
              <w:jc w:val="center"/>
              <w:rPr>
                <w:rFonts w:ascii="Calibri" w:hAnsi="Calibri"/>
                <w:b/>
                <w:bCs/>
                <w:noProof/>
                <w:color w:val="000000"/>
              </w:rPr>
            </w:pPr>
          </w:p>
        </w:tc>
        <w:tc>
          <w:tcPr>
            <w:tcW w:w="1080" w:type="dxa"/>
            <w:shd w:val="clear" w:color="auto" w:fill="auto"/>
            <w:vAlign w:val="center"/>
          </w:tcPr>
          <w:p w14:paraId="203AD086" w14:textId="77777777" w:rsidR="009D4357" w:rsidRPr="00434957" w:rsidRDefault="009D4357" w:rsidP="00CE3F2A">
            <w:pPr>
              <w:spacing w:before="60" w:after="60"/>
              <w:jc w:val="center"/>
              <w:rPr>
                <w:rFonts w:ascii="Calibri" w:hAnsi="Calibri"/>
                <w:b/>
                <w:bCs/>
                <w:noProof/>
                <w:color w:val="000000"/>
              </w:rPr>
            </w:pPr>
          </w:p>
        </w:tc>
      </w:tr>
      <w:tr w:rsidR="009D4357" w:rsidRPr="00434957" w14:paraId="0F990F77" w14:textId="77777777" w:rsidTr="00CE3F2A">
        <w:trPr>
          <w:trHeight w:val="585"/>
        </w:trPr>
        <w:tc>
          <w:tcPr>
            <w:tcW w:w="1980" w:type="dxa"/>
            <w:shd w:val="clear" w:color="auto" w:fill="BFBFBF" w:themeFill="background1" w:themeFillShade="BF"/>
            <w:vAlign w:val="center"/>
          </w:tcPr>
          <w:p w14:paraId="3FECAB3C" w14:textId="77777777" w:rsidR="009D4357" w:rsidRPr="00434957" w:rsidRDefault="009D4357" w:rsidP="00CE3F2A">
            <w:pPr>
              <w:spacing w:before="60" w:after="60"/>
              <w:ind w:left="72"/>
              <w:jc w:val="center"/>
              <w:rPr>
                <w:noProof/>
                <w:sz w:val="18"/>
                <w:szCs w:val="18"/>
              </w:rPr>
            </w:pPr>
            <w:r w:rsidRPr="00434957">
              <w:rPr>
                <w:noProof/>
                <w:sz w:val="20"/>
              </w:rPr>
              <w:t>Contract staff</w:t>
            </w:r>
            <w:r>
              <w:rPr>
                <w:noProof/>
                <w:sz w:val="20"/>
              </w:rPr>
              <w:t xml:space="preserve"> - baseline</w:t>
            </w:r>
          </w:p>
        </w:tc>
        <w:tc>
          <w:tcPr>
            <w:tcW w:w="1080" w:type="dxa"/>
            <w:vAlign w:val="center"/>
          </w:tcPr>
          <w:p w14:paraId="7571F3C9" w14:textId="77777777" w:rsidR="009D4357" w:rsidRPr="00434957" w:rsidRDefault="009D4357" w:rsidP="00CE3F2A">
            <w:pPr>
              <w:spacing w:before="60" w:after="60"/>
              <w:jc w:val="center"/>
              <w:rPr>
                <w:noProof/>
                <w:sz w:val="20"/>
              </w:rPr>
            </w:pPr>
          </w:p>
        </w:tc>
        <w:tc>
          <w:tcPr>
            <w:tcW w:w="1080" w:type="dxa"/>
            <w:shd w:val="clear" w:color="auto" w:fill="auto"/>
            <w:vAlign w:val="center"/>
          </w:tcPr>
          <w:p w14:paraId="2FA261CD" w14:textId="77777777" w:rsidR="009D4357" w:rsidRPr="00434957" w:rsidRDefault="009D4357" w:rsidP="00CE3F2A">
            <w:pPr>
              <w:spacing w:before="60" w:after="60"/>
              <w:jc w:val="center"/>
              <w:rPr>
                <w:noProof/>
                <w:sz w:val="20"/>
              </w:rPr>
            </w:pPr>
          </w:p>
        </w:tc>
        <w:tc>
          <w:tcPr>
            <w:tcW w:w="1080" w:type="dxa"/>
            <w:shd w:val="clear" w:color="auto" w:fill="auto"/>
            <w:vAlign w:val="center"/>
          </w:tcPr>
          <w:p w14:paraId="038ED203" w14:textId="77777777" w:rsidR="009D4357" w:rsidRPr="00434957" w:rsidRDefault="009D4357" w:rsidP="00CE3F2A">
            <w:pPr>
              <w:spacing w:before="60" w:after="60"/>
              <w:jc w:val="center"/>
              <w:rPr>
                <w:noProof/>
                <w:sz w:val="20"/>
              </w:rPr>
            </w:pPr>
          </w:p>
        </w:tc>
        <w:tc>
          <w:tcPr>
            <w:tcW w:w="1080" w:type="dxa"/>
            <w:shd w:val="clear" w:color="auto" w:fill="auto"/>
            <w:vAlign w:val="center"/>
          </w:tcPr>
          <w:p w14:paraId="191B7D15" w14:textId="77777777" w:rsidR="009D4357" w:rsidRPr="00434957" w:rsidRDefault="009D4357" w:rsidP="00CE3F2A">
            <w:pPr>
              <w:spacing w:before="60" w:after="60"/>
              <w:jc w:val="center"/>
              <w:rPr>
                <w:noProof/>
                <w:sz w:val="20"/>
              </w:rPr>
            </w:pPr>
          </w:p>
        </w:tc>
        <w:tc>
          <w:tcPr>
            <w:tcW w:w="1080" w:type="dxa"/>
            <w:shd w:val="clear" w:color="auto" w:fill="auto"/>
            <w:vAlign w:val="center"/>
          </w:tcPr>
          <w:p w14:paraId="4E9A46C0" w14:textId="77777777" w:rsidR="009D4357" w:rsidRPr="00434957" w:rsidRDefault="009D4357" w:rsidP="00CE3F2A">
            <w:pPr>
              <w:spacing w:before="60" w:after="60"/>
              <w:jc w:val="center"/>
              <w:rPr>
                <w:noProof/>
                <w:sz w:val="20"/>
              </w:rPr>
            </w:pPr>
          </w:p>
        </w:tc>
      </w:tr>
      <w:tr w:rsidR="009D4357" w:rsidRPr="00434957" w14:paraId="3C45C5D0" w14:textId="77777777" w:rsidTr="00CE3F2A">
        <w:trPr>
          <w:trHeight w:val="585"/>
        </w:trPr>
        <w:tc>
          <w:tcPr>
            <w:tcW w:w="1980" w:type="dxa"/>
            <w:shd w:val="clear" w:color="auto" w:fill="BFBFBF" w:themeFill="background1" w:themeFillShade="BF"/>
            <w:vAlign w:val="center"/>
          </w:tcPr>
          <w:p w14:paraId="7DF3084A" w14:textId="77777777" w:rsidR="009D4357" w:rsidRPr="00434957" w:rsidRDefault="009D4357" w:rsidP="00CE3F2A">
            <w:pPr>
              <w:spacing w:before="60" w:after="60"/>
              <w:ind w:left="72"/>
              <w:jc w:val="center"/>
              <w:rPr>
                <w:noProof/>
                <w:sz w:val="18"/>
                <w:szCs w:val="18"/>
              </w:rPr>
            </w:pPr>
            <w:r w:rsidRPr="00434957">
              <w:rPr>
                <w:noProof/>
                <w:sz w:val="20"/>
              </w:rPr>
              <w:t>Contract staff</w:t>
            </w:r>
            <w:r>
              <w:rPr>
                <w:noProof/>
                <w:sz w:val="20"/>
              </w:rPr>
              <w:t xml:space="preserve"> – additional </w:t>
            </w:r>
          </w:p>
        </w:tc>
        <w:tc>
          <w:tcPr>
            <w:tcW w:w="1080" w:type="dxa"/>
            <w:vAlign w:val="center"/>
          </w:tcPr>
          <w:p w14:paraId="6F920AB2" w14:textId="77777777" w:rsidR="009D4357" w:rsidRPr="00434957" w:rsidRDefault="009D4357" w:rsidP="00CE3F2A">
            <w:pPr>
              <w:spacing w:before="60" w:after="60"/>
              <w:jc w:val="center"/>
              <w:rPr>
                <w:noProof/>
                <w:sz w:val="20"/>
              </w:rPr>
            </w:pPr>
          </w:p>
        </w:tc>
        <w:tc>
          <w:tcPr>
            <w:tcW w:w="1080" w:type="dxa"/>
            <w:shd w:val="clear" w:color="auto" w:fill="auto"/>
            <w:vAlign w:val="center"/>
          </w:tcPr>
          <w:p w14:paraId="50B14CC5" w14:textId="77777777" w:rsidR="009D4357" w:rsidRPr="00434957" w:rsidRDefault="009D4357" w:rsidP="00CE3F2A">
            <w:pPr>
              <w:spacing w:before="60" w:after="60"/>
              <w:jc w:val="center"/>
              <w:rPr>
                <w:noProof/>
                <w:sz w:val="20"/>
              </w:rPr>
            </w:pPr>
          </w:p>
        </w:tc>
        <w:tc>
          <w:tcPr>
            <w:tcW w:w="1080" w:type="dxa"/>
            <w:shd w:val="clear" w:color="auto" w:fill="auto"/>
            <w:vAlign w:val="center"/>
          </w:tcPr>
          <w:p w14:paraId="3CDAF004" w14:textId="77777777" w:rsidR="009D4357" w:rsidRPr="00434957" w:rsidRDefault="009D4357" w:rsidP="00CE3F2A">
            <w:pPr>
              <w:spacing w:before="60" w:after="60"/>
              <w:jc w:val="center"/>
              <w:rPr>
                <w:noProof/>
                <w:sz w:val="20"/>
              </w:rPr>
            </w:pPr>
          </w:p>
        </w:tc>
        <w:tc>
          <w:tcPr>
            <w:tcW w:w="1080" w:type="dxa"/>
            <w:shd w:val="clear" w:color="auto" w:fill="auto"/>
            <w:vAlign w:val="center"/>
          </w:tcPr>
          <w:p w14:paraId="3636AA1D" w14:textId="77777777" w:rsidR="009D4357" w:rsidRPr="00434957" w:rsidRDefault="009D4357" w:rsidP="00CE3F2A">
            <w:pPr>
              <w:spacing w:before="60" w:after="60"/>
              <w:jc w:val="center"/>
              <w:rPr>
                <w:noProof/>
                <w:sz w:val="20"/>
              </w:rPr>
            </w:pPr>
          </w:p>
        </w:tc>
        <w:tc>
          <w:tcPr>
            <w:tcW w:w="1080" w:type="dxa"/>
            <w:shd w:val="clear" w:color="auto" w:fill="auto"/>
            <w:vAlign w:val="center"/>
          </w:tcPr>
          <w:p w14:paraId="6A28DA26" w14:textId="77777777" w:rsidR="009D4357" w:rsidRPr="00434957" w:rsidRDefault="009D4357" w:rsidP="00CE3F2A">
            <w:pPr>
              <w:spacing w:before="60" w:after="60"/>
              <w:jc w:val="center"/>
              <w:rPr>
                <w:noProof/>
                <w:sz w:val="20"/>
              </w:rPr>
            </w:pPr>
            <w:r>
              <w:rPr>
                <w:noProof/>
                <w:sz w:val="20"/>
              </w:rPr>
              <w:t>2</w:t>
            </w:r>
          </w:p>
        </w:tc>
      </w:tr>
      <w:tr w:rsidR="009D4357" w:rsidRPr="00434957" w14:paraId="065B47B7" w14:textId="77777777" w:rsidTr="00CE3F2A">
        <w:trPr>
          <w:trHeight w:val="585"/>
        </w:trPr>
        <w:tc>
          <w:tcPr>
            <w:tcW w:w="1980" w:type="dxa"/>
            <w:shd w:val="clear" w:color="auto" w:fill="BFBFBF" w:themeFill="background1" w:themeFillShade="BF"/>
            <w:vAlign w:val="center"/>
          </w:tcPr>
          <w:p w14:paraId="5BC28684" w14:textId="77777777" w:rsidR="009D4357" w:rsidRPr="00434957" w:rsidRDefault="009D4357" w:rsidP="00CE3F2A">
            <w:pPr>
              <w:spacing w:before="60" w:after="60"/>
              <w:jc w:val="center"/>
              <w:rPr>
                <w:noProof/>
              </w:rPr>
            </w:pPr>
            <w:r w:rsidRPr="00434957">
              <w:rPr>
                <w:noProof/>
                <w:sz w:val="18"/>
              </w:rPr>
              <w:t>Seconded National Experts</w:t>
            </w:r>
          </w:p>
        </w:tc>
        <w:tc>
          <w:tcPr>
            <w:tcW w:w="1080" w:type="dxa"/>
            <w:vAlign w:val="center"/>
          </w:tcPr>
          <w:p w14:paraId="50AF5A82" w14:textId="77777777" w:rsidR="009D4357" w:rsidRPr="00434957" w:rsidRDefault="009D4357" w:rsidP="00CE3F2A">
            <w:pPr>
              <w:spacing w:before="60" w:after="60"/>
              <w:jc w:val="center"/>
              <w:rPr>
                <w:noProof/>
                <w:sz w:val="20"/>
              </w:rPr>
            </w:pPr>
          </w:p>
        </w:tc>
        <w:tc>
          <w:tcPr>
            <w:tcW w:w="1080" w:type="dxa"/>
            <w:shd w:val="clear" w:color="auto" w:fill="auto"/>
            <w:vAlign w:val="center"/>
          </w:tcPr>
          <w:p w14:paraId="722FFDEC" w14:textId="77777777" w:rsidR="009D4357" w:rsidRPr="00434957" w:rsidRDefault="009D4357" w:rsidP="00CE3F2A">
            <w:pPr>
              <w:spacing w:before="60" w:after="60"/>
              <w:jc w:val="center"/>
              <w:rPr>
                <w:noProof/>
                <w:sz w:val="20"/>
              </w:rPr>
            </w:pPr>
          </w:p>
        </w:tc>
        <w:tc>
          <w:tcPr>
            <w:tcW w:w="1080" w:type="dxa"/>
            <w:shd w:val="clear" w:color="auto" w:fill="auto"/>
            <w:vAlign w:val="center"/>
          </w:tcPr>
          <w:p w14:paraId="362D38A0" w14:textId="77777777" w:rsidR="009D4357" w:rsidRPr="00434957" w:rsidRDefault="009D4357" w:rsidP="00CE3F2A">
            <w:pPr>
              <w:spacing w:before="60" w:after="60"/>
              <w:jc w:val="center"/>
              <w:rPr>
                <w:noProof/>
                <w:sz w:val="20"/>
              </w:rPr>
            </w:pPr>
          </w:p>
        </w:tc>
        <w:tc>
          <w:tcPr>
            <w:tcW w:w="1080" w:type="dxa"/>
            <w:shd w:val="clear" w:color="auto" w:fill="auto"/>
            <w:vAlign w:val="center"/>
          </w:tcPr>
          <w:p w14:paraId="7FE22F8F" w14:textId="77777777" w:rsidR="009D4357" w:rsidRPr="00434957" w:rsidRDefault="009D4357" w:rsidP="00CE3F2A">
            <w:pPr>
              <w:spacing w:before="60" w:after="60"/>
              <w:jc w:val="center"/>
              <w:rPr>
                <w:noProof/>
                <w:sz w:val="20"/>
              </w:rPr>
            </w:pPr>
          </w:p>
        </w:tc>
        <w:tc>
          <w:tcPr>
            <w:tcW w:w="1080" w:type="dxa"/>
            <w:shd w:val="clear" w:color="auto" w:fill="auto"/>
            <w:vAlign w:val="center"/>
          </w:tcPr>
          <w:p w14:paraId="23476E32" w14:textId="77777777" w:rsidR="009D4357" w:rsidRPr="00434957" w:rsidRDefault="009D4357" w:rsidP="00CE3F2A">
            <w:pPr>
              <w:spacing w:before="60" w:after="60"/>
              <w:jc w:val="center"/>
              <w:rPr>
                <w:noProof/>
                <w:sz w:val="20"/>
              </w:rPr>
            </w:pPr>
          </w:p>
        </w:tc>
      </w:tr>
      <w:tr w:rsidR="009D4357" w:rsidRPr="00434957" w14:paraId="1B7BFC52" w14:textId="77777777" w:rsidTr="00CE3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76DAD8E5" w14:textId="77777777" w:rsidR="009D4357" w:rsidRPr="00434957" w:rsidRDefault="009D4357" w:rsidP="00CE3F2A">
            <w:pPr>
              <w:spacing w:before="60" w:after="60"/>
              <w:jc w:val="center"/>
              <w:rPr>
                <w:noProof/>
                <w:sz w:val="20"/>
              </w:rPr>
            </w:pPr>
            <w:r w:rsidRPr="00434957">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44BFC9D8" w14:textId="77777777" w:rsidR="009D4357" w:rsidRPr="00434957" w:rsidRDefault="009D4357" w:rsidP="00CE3F2A">
            <w:pPr>
              <w:spacing w:before="60" w:after="60"/>
              <w:jc w:val="center"/>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0CAF38AA" w14:textId="77777777" w:rsidR="009D4357" w:rsidRPr="00434957" w:rsidRDefault="009D4357" w:rsidP="00CE3F2A">
            <w:pPr>
              <w:spacing w:before="60" w:after="60"/>
              <w:jc w:val="center"/>
              <w:rPr>
                <w:b/>
                <w:noProof/>
                <w:sz w:val="20"/>
              </w:rPr>
            </w:pPr>
            <w:r>
              <w:rPr>
                <w:b/>
                <w:noProof/>
                <w:sz w:val="20"/>
              </w:rPr>
              <w:t>6</w:t>
            </w:r>
          </w:p>
        </w:tc>
        <w:tc>
          <w:tcPr>
            <w:tcW w:w="1080" w:type="dxa"/>
            <w:tcBorders>
              <w:top w:val="single" w:sz="12" w:space="0" w:color="auto"/>
              <w:left w:val="single" w:sz="2" w:space="0" w:color="auto"/>
              <w:bottom w:val="single" w:sz="12" w:space="0" w:color="auto"/>
              <w:right w:val="single" w:sz="2" w:space="0" w:color="auto"/>
            </w:tcBorders>
            <w:vAlign w:val="center"/>
          </w:tcPr>
          <w:p w14:paraId="391D9964" w14:textId="77777777" w:rsidR="009D4357" w:rsidRPr="00434957" w:rsidRDefault="009D4357" w:rsidP="00CE3F2A">
            <w:pPr>
              <w:spacing w:before="60" w:after="60"/>
              <w:jc w:val="center"/>
              <w:rPr>
                <w:b/>
                <w:noProof/>
                <w:sz w:val="20"/>
              </w:rPr>
            </w:pPr>
            <w:r>
              <w:rPr>
                <w:b/>
                <w:noProof/>
                <w:sz w:val="20"/>
              </w:rPr>
              <w:t>7</w:t>
            </w:r>
          </w:p>
        </w:tc>
        <w:tc>
          <w:tcPr>
            <w:tcW w:w="1080" w:type="dxa"/>
            <w:tcBorders>
              <w:top w:val="single" w:sz="12" w:space="0" w:color="auto"/>
              <w:left w:val="single" w:sz="2" w:space="0" w:color="auto"/>
              <w:bottom w:val="single" w:sz="12" w:space="0" w:color="auto"/>
              <w:right w:val="single" w:sz="2" w:space="0" w:color="auto"/>
            </w:tcBorders>
            <w:vAlign w:val="center"/>
          </w:tcPr>
          <w:p w14:paraId="3F925DAE" w14:textId="77777777" w:rsidR="009D4357" w:rsidRPr="00434957" w:rsidRDefault="009D4357" w:rsidP="00CE3F2A">
            <w:pPr>
              <w:spacing w:before="60" w:after="60"/>
              <w:jc w:val="center"/>
              <w:rPr>
                <w:b/>
                <w:noProof/>
                <w:sz w:val="20"/>
              </w:rPr>
            </w:pPr>
            <w:r>
              <w:rPr>
                <w:b/>
                <w:noProof/>
                <w:sz w:val="20"/>
              </w:rPr>
              <w:t>10</w:t>
            </w:r>
          </w:p>
        </w:tc>
        <w:tc>
          <w:tcPr>
            <w:tcW w:w="1080" w:type="dxa"/>
            <w:tcBorders>
              <w:top w:val="single" w:sz="12" w:space="0" w:color="auto"/>
              <w:left w:val="single" w:sz="2" w:space="0" w:color="auto"/>
              <w:bottom w:val="single" w:sz="12" w:space="0" w:color="auto"/>
              <w:right w:val="single" w:sz="2" w:space="0" w:color="auto"/>
            </w:tcBorders>
            <w:vAlign w:val="center"/>
          </w:tcPr>
          <w:p w14:paraId="6D20B992" w14:textId="77777777" w:rsidR="009D4357" w:rsidRPr="00434957" w:rsidRDefault="009D4357" w:rsidP="00CE3F2A">
            <w:pPr>
              <w:spacing w:before="60" w:after="60"/>
              <w:jc w:val="center"/>
              <w:rPr>
                <w:b/>
                <w:noProof/>
                <w:sz w:val="20"/>
              </w:rPr>
            </w:pPr>
            <w:r>
              <w:rPr>
                <w:b/>
                <w:noProof/>
                <w:sz w:val="20"/>
              </w:rPr>
              <w:t>11</w:t>
            </w:r>
          </w:p>
        </w:tc>
      </w:tr>
    </w:tbl>
    <w:p w14:paraId="7E8B8703" w14:textId="77777777" w:rsidR="009D4357" w:rsidRPr="00434957" w:rsidRDefault="009D4357" w:rsidP="009D4357">
      <w:pPr>
        <w:tabs>
          <w:tab w:val="num" w:pos="1134"/>
        </w:tabs>
        <w:rPr>
          <w:noProof/>
          <w:lang w:eastAsia="en-GB"/>
        </w:rPr>
      </w:pPr>
    </w:p>
    <w:p w14:paraId="49C78B41" w14:textId="77777777" w:rsidR="009D4357" w:rsidRPr="00434957" w:rsidRDefault="009D4357" w:rsidP="009D4357">
      <w:pPr>
        <w:rPr>
          <w:noProof/>
          <w:szCs w:val="24"/>
          <w:lang w:eastAsia="en-GB"/>
        </w:rPr>
      </w:pPr>
      <w:r w:rsidRPr="00434957">
        <w:rPr>
          <w:noProof/>
          <w:lang w:eastAsia="en-GB"/>
        </w:rPr>
        <w:t xml:space="preserve">The human ressources necessary to implement the objectives of the new mandate have been estimated in cooperation with </w:t>
      </w:r>
      <w:r>
        <w:rPr>
          <w:noProof/>
          <w:lang w:eastAsia="en-GB"/>
        </w:rPr>
        <w:t>eu-LISA</w:t>
      </w:r>
      <w:r w:rsidRPr="00434957">
        <w:rPr>
          <w:noProof/>
          <w:lang w:eastAsia="en-GB"/>
        </w:rPr>
        <w:t xml:space="preserve">. The estimates take into consideration </w:t>
      </w:r>
      <w:r w:rsidRPr="00434957">
        <w:rPr>
          <w:noProof/>
          <w:szCs w:val="24"/>
          <w:lang w:eastAsia="en-GB"/>
        </w:rPr>
        <w:t xml:space="preserve">the expected increase in workload as stakeholders make more use of </w:t>
      </w:r>
      <w:r>
        <w:rPr>
          <w:noProof/>
          <w:szCs w:val="24"/>
          <w:lang w:eastAsia="en-GB"/>
        </w:rPr>
        <w:t>eu-LISA</w:t>
      </w:r>
      <w:r w:rsidRPr="00434957">
        <w:rPr>
          <w:noProof/>
          <w:szCs w:val="24"/>
          <w:lang w:eastAsia="en-GB"/>
        </w:rPr>
        <w:t xml:space="preserve">’s services over time, as well as the time needed for </w:t>
      </w:r>
      <w:r>
        <w:rPr>
          <w:noProof/>
          <w:szCs w:val="24"/>
          <w:lang w:eastAsia="en-GB"/>
        </w:rPr>
        <w:t>eu-LISA</w:t>
      </w:r>
      <w:r w:rsidRPr="00434957">
        <w:rPr>
          <w:noProof/>
          <w:szCs w:val="24"/>
          <w:lang w:eastAsia="en-GB"/>
        </w:rPr>
        <w:t xml:space="preserve"> to absorb resources in order to avoid a situation where the agency would not be able to fully implement its EU contribution and commit appropriations in due time.</w:t>
      </w:r>
    </w:p>
    <w:p w14:paraId="07361E8C" w14:textId="77777777" w:rsidR="009D4357" w:rsidRDefault="009D4357" w:rsidP="009D4357">
      <w:pPr>
        <w:pStyle w:val="Text1"/>
        <w:ind w:left="0"/>
        <w:rPr>
          <w:noProof/>
        </w:rPr>
      </w:pPr>
      <w:r>
        <w:rPr>
          <w:noProof/>
        </w:rPr>
        <w:t>These estimates are based on the following staffing levels:</w:t>
      </w:r>
    </w:p>
    <w:p w14:paraId="423EA3D8" w14:textId="77777777" w:rsidR="009D4357" w:rsidRDefault="009D4357" w:rsidP="009D4357">
      <w:pPr>
        <w:pStyle w:val="Text1"/>
        <w:ind w:left="0"/>
        <w:rPr>
          <w:noProof/>
        </w:rPr>
        <w:sectPr w:rsidR="009D4357" w:rsidSect="009D02A3">
          <w:headerReference w:type="default" r:id="rId19"/>
          <w:footerReference w:type="default" r:id="rId20"/>
          <w:headerReference w:type="first" r:id="rId21"/>
          <w:footerReference w:type="first" r:id="rId22"/>
          <w:pgSz w:w="11907" w:h="16839"/>
          <w:pgMar w:top="1134" w:right="1417" w:bottom="1134" w:left="1417" w:header="709" w:footer="709" w:gutter="0"/>
          <w:cols w:space="720"/>
          <w:docGrid w:linePitch="326"/>
        </w:sectPr>
      </w:pPr>
    </w:p>
    <w:p w14:paraId="78207E24" w14:textId="77777777" w:rsidR="009D4357" w:rsidRDefault="009D4357" w:rsidP="009D4357">
      <w:pPr>
        <w:pStyle w:val="Text1"/>
        <w:ind w:left="0"/>
        <w:rPr>
          <w:noProof/>
        </w:rPr>
      </w:pPr>
    </w:p>
    <w:p w14:paraId="119421C5" w14:textId="77777777" w:rsidR="009D4357" w:rsidRPr="00434957" w:rsidRDefault="009D4357" w:rsidP="009D4357">
      <w:pPr>
        <w:rPr>
          <w:noProof/>
          <w:szCs w:val="24"/>
          <w:lang w:eastAsia="en-GB"/>
        </w:rPr>
      </w:pPr>
    </w:p>
    <w:tbl>
      <w:tblPr>
        <w:tblStyle w:val="PlainTable1"/>
        <w:tblW w:w="5000" w:type="pct"/>
        <w:tblLayout w:type="fixed"/>
        <w:tblLook w:val="04A0" w:firstRow="1" w:lastRow="0" w:firstColumn="1" w:lastColumn="0" w:noHBand="0" w:noVBand="1"/>
      </w:tblPr>
      <w:tblGrid>
        <w:gridCol w:w="2665"/>
        <w:gridCol w:w="1074"/>
        <w:gridCol w:w="1769"/>
        <w:gridCol w:w="1440"/>
        <w:gridCol w:w="958"/>
        <w:gridCol w:w="1198"/>
        <w:gridCol w:w="967"/>
        <w:gridCol w:w="1079"/>
        <w:gridCol w:w="1446"/>
        <w:gridCol w:w="1319"/>
        <w:gridCol w:w="872"/>
      </w:tblGrid>
      <w:tr w:rsidR="009D4357" w14:paraId="595E8A67" w14:textId="77777777" w:rsidTr="00CE3F2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 w:type="pct"/>
            <w:hideMark/>
          </w:tcPr>
          <w:p w14:paraId="7AE02B40" w14:textId="77777777" w:rsidR="009D4357" w:rsidRDefault="009D4357" w:rsidP="00CE3F2A">
            <w:pPr>
              <w:rPr>
                <w:noProof/>
              </w:rPr>
            </w:pPr>
          </w:p>
        </w:tc>
        <w:tc>
          <w:tcPr>
            <w:tcW w:w="4099" w:type="pct"/>
            <w:gridSpan w:val="10"/>
            <w:hideMark/>
          </w:tcPr>
          <w:p w14:paraId="04E8284B" w14:textId="77777777" w:rsidR="009D4357" w:rsidRDefault="009D4357" w:rsidP="00CE3F2A">
            <w:pPr>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noProof/>
                <w:color w:val="404040"/>
                <w:lang w:eastAsia="en-GB"/>
              </w:rPr>
            </w:pPr>
            <w:r>
              <w:rPr>
                <w:rFonts w:eastAsia="Times New Roman"/>
                <w:noProof/>
                <w:lang w:eastAsia="en-GB"/>
              </w:rPr>
              <w:t>Phase</w:t>
            </w:r>
          </w:p>
        </w:tc>
      </w:tr>
      <w:tr w:rsidR="009D4357" w14:paraId="3F7D4232" w14:textId="77777777" w:rsidTr="00CE3F2A">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901" w:type="pct"/>
            <w:hideMark/>
          </w:tcPr>
          <w:p w14:paraId="1AF0845C" w14:textId="77777777" w:rsidR="009D4357" w:rsidRDefault="009D4357" w:rsidP="00CE3F2A">
            <w:pPr>
              <w:rPr>
                <w:rFonts w:eastAsia="Times New Roman"/>
                <w:noProof/>
                <w:color w:val="0D0D0D"/>
                <w:lang w:eastAsia="en-GB"/>
              </w:rPr>
            </w:pPr>
            <w:r>
              <w:rPr>
                <w:rFonts w:eastAsia="Times New Roman"/>
                <w:noProof/>
                <w:color w:val="0D0D0D"/>
                <w:lang w:eastAsia="en-GB"/>
              </w:rPr>
              <w:t> </w:t>
            </w:r>
          </w:p>
        </w:tc>
        <w:tc>
          <w:tcPr>
            <w:tcW w:w="1448" w:type="pct"/>
            <w:gridSpan w:val="3"/>
            <w:hideMark/>
          </w:tcPr>
          <w:p w14:paraId="18128954"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Analysis &amp; Design</w:t>
            </w:r>
          </w:p>
        </w:tc>
        <w:tc>
          <w:tcPr>
            <w:tcW w:w="1421" w:type="pct"/>
            <w:gridSpan w:val="4"/>
            <w:hideMark/>
          </w:tcPr>
          <w:p w14:paraId="1A2B0F12"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Build &amp; Development</w:t>
            </w:r>
          </w:p>
        </w:tc>
        <w:tc>
          <w:tcPr>
            <w:tcW w:w="1230" w:type="pct"/>
            <w:gridSpan w:val="3"/>
            <w:hideMark/>
          </w:tcPr>
          <w:p w14:paraId="00EDD7D2"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Operations</w:t>
            </w:r>
          </w:p>
        </w:tc>
      </w:tr>
      <w:tr w:rsidR="009D4357" w14:paraId="3E43EE10" w14:textId="77777777" w:rsidTr="00CE3F2A">
        <w:trPr>
          <w:trHeight w:val="288"/>
        </w:trPr>
        <w:tc>
          <w:tcPr>
            <w:cnfStyle w:val="001000000000" w:firstRow="0" w:lastRow="0" w:firstColumn="1" w:lastColumn="0" w:oddVBand="0" w:evenVBand="0" w:oddHBand="0" w:evenHBand="0" w:firstRowFirstColumn="0" w:firstRowLastColumn="0" w:lastRowFirstColumn="0" w:lastRowLastColumn="0"/>
            <w:tcW w:w="901" w:type="pct"/>
            <w:hideMark/>
          </w:tcPr>
          <w:p w14:paraId="436146C4" w14:textId="77777777" w:rsidR="009D4357" w:rsidRDefault="009D4357" w:rsidP="00CE3F2A">
            <w:pPr>
              <w:rPr>
                <w:rFonts w:eastAsia="Times New Roman"/>
                <w:noProof/>
                <w:color w:val="0D0D0D"/>
                <w:lang w:eastAsia="en-GB"/>
              </w:rPr>
            </w:pPr>
            <w:r>
              <w:rPr>
                <w:rFonts w:eastAsia="Times New Roman"/>
                <w:b w:val="0"/>
                <w:bCs w:val="0"/>
                <w:noProof/>
                <w:color w:val="0D0D0D"/>
                <w:lang w:eastAsia="en-GB"/>
              </w:rPr>
              <w:t>Contract type</w:t>
            </w:r>
          </w:p>
        </w:tc>
        <w:tc>
          <w:tcPr>
            <w:tcW w:w="363" w:type="pct"/>
            <w:hideMark/>
          </w:tcPr>
          <w:p w14:paraId="05E4A0E7"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TA</w:t>
            </w:r>
          </w:p>
        </w:tc>
        <w:tc>
          <w:tcPr>
            <w:tcW w:w="598" w:type="pct"/>
            <w:hideMark/>
          </w:tcPr>
          <w:p w14:paraId="2EFD6D46"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CA</w:t>
            </w:r>
          </w:p>
        </w:tc>
        <w:tc>
          <w:tcPr>
            <w:tcW w:w="487" w:type="pct"/>
            <w:hideMark/>
          </w:tcPr>
          <w:p w14:paraId="4B55E87A"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Total</w:t>
            </w:r>
          </w:p>
        </w:tc>
        <w:tc>
          <w:tcPr>
            <w:tcW w:w="324" w:type="pct"/>
            <w:hideMark/>
          </w:tcPr>
          <w:p w14:paraId="39C46630"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TA</w:t>
            </w:r>
          </w:p>
        </w:tc>
        <w:tc>
          <w:tcPr>
            <w:tcW w:w="732" w:type="pct"/>
            <w:gridSpan w:val="2"/>
            <w:hideMark/>
          </w:tcPr>
          <w:p w14:paraId="3E911F6C"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CA</w:t>
            </w:r>
          </w:p>
        </w:tc>
        <w:tc>
          <w:tcPr>
            <w:tcW w:w="365" w:type="pct"/>
            <w:hideMark/>
          </w:tcPr>
          <w:p w14:paraId="606F3FDC"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Total</w:t>
            </w:r>
          </w:p>
        </w:tc>
        <w:tc>
          <w:tcPr>
            <w:tcW w:w="489" w:type="pct"/>
            <w:hideMark/>
          </w:tcPr>
          <w:p w14:paraId="26F1BBA8"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TA</w:t>
            </w:r>
          </w:p>
        </w:tc>
        <w:tc>
          <w:tcPr>
            <w:tcW w:w="446" w:type="pct"/>
            <w:hideMark/>
          </w:tcPr>
          <w:p w14:paraId="22B8E29E"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CA</w:t>
            </w:r>
          </w:p>
        </w:tc>
        <w:tc>
          <w:tcPr>
            <w:tcW w:w="296" w:type="pct"/>
            <w:hideMark/>
          </w:tcPr>
          <w:p w14:paraId="29DA7EEC"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Total</w:t>
            </w:r>
          </w:p>
        </w:tc>
      </w:tr>
      <w:tr w:rsidR="009D4357" w14:paraId="4A3A87F2" w14:textId="77777777" w:rsidTr="00CE3F2A">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901" w:type="pct"/>
            <w:hideMark/>
          </w:tcPr>
          <w:p w14:paraId="4F10BCD8" w14:textId="77777777" w:rsidR="009D4357" w:rsidRDefault="009D4357" w:rsidP="00CE3F2A">
            <w:pPr>
              <w:rPr>
                <w:rFonts w:eastAsia="Times New Roman"/>
                <w:noProof/>
                <w:color w:val="0D0D0D"/>
                <w:lang w:eastAsia="en-GB"/>
              </w:rPr>
            </w:pPr>
            <w:r>
              <w:rPr>
                <w:rFonts w:eastAsia="Times New Roman"/>
                <w:b w:val="0"/>
                <w:bCs w:val="0"/>
                <w:noProof/>
                <w:color w:val="0D0D0D"/>
                <w:lang w:eastAsia="en-GB"/>
              </w:rPr>
              <w:t>Profile</w:t>
            </w:r>
          </w:p>
        </w:tc>
        <w:tc>
          <w:tcPr>
            <w:tcW w:w="363" w:type="pct"/>
            <w:hideMark/>
          </w:tcPr>
          <w:p w14:paraId="50298CED"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No.</w:t>
            </w:r>
          </w:p>
        </w:tc>
        <w:tc>
          <w:tcPr>
            <w:tcW w:w="598" w:type="pct"/>
            <w:hideMark/>
          </w:tcPr>
          <w:p w14:paraId="65102D7F"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No.</w:t>
            </w:r>
          </w:p>
          <w:p w14:paraId="38AE5354"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D0D0D"/>
                <w:lang w:eastAsia="en-GB"/>
              </w:rPr>
            </w:pPr>
          </w:p>
        </w:tc>
        <w:tc>
          <w:tcPr>
            <w:tcW w:w="487" w:type="pct"/>
            <w:hideMark/>
          </w:tcPr>
          <w:p w14:paraId="12BF9077"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D0D0D"/>
                <w:lang w:eastAsia="en-GB"/>
              </w:rPr>
            </w:pPr>
          </w:p>
        </w:tc>
        <w:tc>
          <w:tcPr>
            <w:tcW w:w="324" w:type="pct"/>
            <w:hideMark/>
          </w:tcPr>
          <w:p w14:paraId="5A15DBA1"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No.</w:t>
            </w:r>
          </w:p>
        </w:tc>
        <w:tc>
          <w:tcPr>
            <w:tcW w:w="732" w:type="pct"/>
            <w:gridSpan w:val="2"/>
            <w:hideMark/>
          </w:tcPr>
          <w:p w14:paraId="13978463"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No.</w:t>
            </w:r>
          </w:p>
        </w:tc>
        <w:tc>
          <w:tcPr>
            <w:tcW w:w="365" w:type="pct"/>
            <w:hideMark/>
          </w:tcPr>
          <w:p w14:paraId="36BE75B9"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D0D0D"/>
                <w:lang w:eastAsia="en-GB"/>
              </w:rPr>
            </w:pPr>
          </w:p>
        </w:tc>
        <w:tc>
          <w:tcPr>
            <w:tcW w:w="489" w:type="pct"/>
            <w:hideMark/>
          </w:tcPr>
          <w:p w14:paraId="43B7170B"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No.</w:t>
            </w:r>
          </w:p>
        </w:tc>
        <w:tc>
          <w:tcPr>
            <w:tcW w:w="446" w:type="pct"/>
            <w:hideMark/>
          </w:tcPr>
          <w:p w14:paraId="61FBDCDB"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No.</w:t>
            </w:r>
          </w:p>
        </w:tc>
        <w:tc>
          <w:tcPr>
            <w:tcW w:w="296" w:type="pct"/>
            <w:hideMark/>
          </w:tcPr>
          <w:p w14:paraId="1654B1ED"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D0D0D"/>
                <w:lang w:eastAsia="en-GB"/>
              </w:rPr>
            </w:pPr>
          </w:p>
        </w:tc>
      </w:tr>
      <w:tr w:rsidR="009D4357" w14:paraId="47B5EDCC" w14:textId="77777777" w:rsidTr="00CE3F2A">
        <w:trPr>
          <w:trHeight w:val="288"/>
        </w:trPr>
        <w:tc>
          <w:tcPr>
            <w:cnfStyle w:val="001000000000" w:firstRow="0" w:lastRow="0" w:firstColumn="1" w:lastColumn="0" w:oddVBand="0" w:evenVBand="0" w:oddHBand="0" w:evenHBand="0" w:firstRowFirstColumn="0" w:firstRowLastColumn="0" w:lastRowFirstColumn="0" w:lastRowLastColumn="0"/>
            <w:tcW w:w="901" w:type="pct"/>
            <w:hideMark/>
          </w:tcPr>
          <w:p w14:paraId="427E2741" w14:textId="77777777" w:rsidR="009D4357" w:rsidRDefault="009D4357" w:rsidP="00CE3F2A">
            <w:pPr>
              <w:rPr>
                <w:rFonts w:eastAsia="Times New Roman"/>
                <w:noProof/>
                <w:color w:val="0D0D0D"/>
                <w:lang w:eastAsia="en-GB"/>
              </w:rPr>
            </w:pPr>
            <w:r>
              <w:rPr>
                <w:rFonts w:eastAsia="Times New Roman"/>
                <w:noProof/>
                <w:color w:val="0D0D0D"/>
                <w:lang w:eastAsia="en-GB"/>
              </w:rPr>
              <w:t>IT Architect</w:t>
            </w:r>
          </w:p>
        </w:tc>
        <w:tc>
          <w:tcPr>
            <w:tcW w:w="363" w:type="pct"/>
            <w:hideMark/>
          </w:tcPr>
          <w:p w14:paraId="7CB4C85E"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1</w:t>
            </w:r>
          </w:p>
        </w:tc>
        <w:tc>
          <w:tcPr>
            <w:tcW w:w="598" w:type="pct"/>
            <w:hideMark/>
          </w:tcPr>
          <w:p w14:paraId="3E77C399"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ascii="Cambria" w:hAnsi="Cambria"/>
                <w:noProof/>
              </w:rPr>
            </w:pPr>
          </w:p>
        </w:tc>
        <w:tc>
          <w:tcPr>
            <w:tcW w:w="487" w:type="pct"/>
            <w:hideMark/>
          </w:tcPr>
          <w:p w14:paraId="13978B64"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noProof/>
                <w:color w:val="0D0D0D"/>
                <w:lang w:eastAsia="en-GB"/>
              </w:rPr>
            </w:pPr>
            <w:r>
              <w:rPr>
                <w:rFonts w:eastAsia="Times New Roman"/>
                <w:noProof/>
                <w:color w:val="0D0D0D"/>
                <w:lang w:eastAsia="en-GB"/>
              </w:rPr>
              <w:t>1</w:t>
            </w:r>
          </w:p>
        </w:tc>
        <w:tc>
          <w:tcPr>
            <w:tcW w:w="324" w:type="pct"/>
            <w:hideMark/>
          </w:tcPr>
          <w:p w14:paraId="37CB47C1"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1</w:t>
            </w:r>
          </w:p>
        </w:tc>
        <w:tc>
          <w:tcPr>
            <w:tcW w:w="732" w:type="pct"/>
            <w:gridSpan w:val="2"/>
            <w:hideMark/>
          </w:tcPr>
          <w:p w14:paraId="0C8C9B72"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ascii="Cambria" w:hAnsi="Cambria"/>
                <w:noProof/>
              </w:rPr>
            </w:pPr>
          </w:p>
        </w:tc>
        <w:tc>
          <w:tcPr>
            <w:tcW w:w="365" w:type="pct"/>
            <w:hideMark/>
          </w:tcPr>
          <w:p w14:paraId="09342036"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noProof/>
                <w:color w:val="0D0D0D"/>
                <w:lang w:eastAsia="en-GB"/>
              </w:rPr>
            </w:pPr>
            <w:r>
              <w:rPr>
                <w:rFonts w:eastAsia="Times New Roman"/>
                <w:noProof/>
                <w:color w:val="0D0D0D"/>
                <w:lang w:eastAsia="en-GB"/>
              </w:rPr>
              <w:t>1</w:t>
            </w:r>
          </w:p>
        </w:tc>
        <w:tc>
          <w:tcPr>
            <w:tcW w:w="489" w:type="pct"/>
            <w:hideMark/>
          </w:tcPr>
          <w:p w14:paraId="2FC46925"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1</w:t>
            </w:r>
          </w:p>
        </w:tc>
        <w:tc>
          <w:tcPr>
            <w:tcW w:w="446" w:type="pct"/>
            <w:hideMark/>
          </w:tcPr>
          <w:p w14:paraId="1D028CC1"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ascii="Cambria" w:hAnsi="Cambria"/>
                <w:noProof/>
              </w:rPr>
            </w:pPr>
          </w:p>
        </w:tc>
        <w:tc>
          <w:tcPr>
            <w:tcW w:w="296" w:type="pct"/>
            <w:hideMark/>
          </w:tcPr>
          <w:p w14:paraId="05DE9990"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noProof/>
                <w:color w:val="0D0D0D"/>
                <w:lang w:eastAsia="en-GB"/>
              </w:rPr>
            </w:pPr>
            <w:r>
              <w:rPr>
                <w:rFonts w:eastAsia="Times New Roman"/>
                <w:noProof/>
                <w:color w:val="0D0D0D"/>
                <w:lang w:eastAsia="en-GB"/>
              </w:rPr>
              <w:t>1</w:t>
            </w:r>
          </w:p>
        </w:tc>
      </w:tr>
      <w:tr w:rsidR="009D4357" w14:paraId="5745F591" w14:textId="77777777" w:rsidTr="00CE3F2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1" w:type="pct"/>
            <w:hideMark/>
          </w:tcPr>
          <w:p w14:paraId="297085B3" w14:textId="77777777" w:rsidR="009D4357" w:rsidRDefault="009D4357" w:rsidP="00CE3F2A">
            <w:pPr>
              <w:rPr>
                <w:rFonts w:eastAsia="Times New Roman"/>
                <w:noProof/>
                <w:color w:val="0D0D0D"/>
                <w:lang w:eastAsia="en-GB"/>
              </w:rPr>
            </w:pPr>
            <w:r>
              <w:rPr>
                <w:rFonts w:eastAsia="Times New Roman"/>
                <w:noProof/>
                <w:color w:val="0D0D0D"/>
                <w:lang w:eastAsia="en-GB"/>
              </w:rPr>
              <w:t>Test Management</w:t>
            </w:r>
          </w:p>
        </w:tc>
        <w:tc>
          <w:tcPr>
            <w:tcW w:w="363" w:type="pct"/>
            <w:hideMark/>
          </w:tcPr>
          <w:p w14:paraId="5CC5EEA8"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1</w:t>
            </w:r>
          </w:p>
        </w:tc>
        <w:tc>
          <w:tcPr>
            <w:tcW w:w="598" w:type="pct"/>
            <w:hideMark/>
          </w:tcPr>
          <w:p w14:paraId="30617993"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ascii="Cambria" w:hAnsi="Cambria"/>
                <w:noProof/>
              </w:rPr>
            </w:pPr>
          </w:p>
        </w:tc>
        <w:tc>
          <w:tcPr>
            <w:tcW w:w="487" w:type="pct"/>
            <w:hideMark/>
          </w:tcPr>
          <w:p w14:paraId="2681CE60"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noProof/>
                <w:color w:val="0D0D0D"/>
                <w:lang w:eastAsia="en-GB"/>
              </w:rPr>
            </w:pPr>
            <w:r>
              <w:rPr>
                <w:rFonts w:eastAsia="Times New Roman"/>
                <w:noProof/>
                <w:color w:val="0D0D0D"/>
                <w:lang w:eastAsia="en-GB"/>
              </w:rPr>
              <w:t>1</w:t>
            </w:r>
          </w:p>
        </w:tc>
        <w:tc>
          <w:tcPr>
            <w:tcW w:w="324" w:type="pct"/>
            <w:hideMark/>
          </w:tcPr>
          <w:p w14:paraId="5CD707C6"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1</w:t>
            </w:r>
          </w:p>
        </w:tc>
        <w:tc>
          <w:tcPr>
            <w:tcW w:w="732" w:type="pct"/>
            <w:gridSpan w:val="2"/>
            <w:hideMark/>
          </w:tcPr>
          <w:p w14:paraId="40521B09"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ascii="Cambria" w:hAnsi="Cambria"/>
                <w:noProof/>
              </w:rPr>
            </w:pPr>
          </w:p>
        </w:tc>
        <w:tc>
          <w:tcPr>
            <w:tcW w:w="365" w:type="pct"/>
            <w:hideMark/>
          </w:tcPr>
          <w:p w14:paraId="28E3F586"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noProof/>
                <w:color w:val="0D0D0D"/>
                <w:lang w:eastAsia="en-GB"/>
              </w:rPr>
            </w:pPr>
            <w:r>
              <w:rPr>
                <w:rFonts w:eastAsia="Times New Roman"/>
                <w:noProof/>
                <w:color w:val="0D0D0D"/>
                <w:lang w:eastAsia="en-GB"/>
              </w:rPr>
              <w:t>1</w:t>
            </w:r>
          </w:p>
        </w:tc>
        <w:tc>
          <w:tcPr>
            <w:tcW w:w="489" w:type="pct"/>
            <w:hideMark/>
          </w:tcPr>
          <w:p w14:paraId="4C4ED392"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0,5</w:t>
            </w:r>
          </w:p>
        </w:tc>
        <w:tc>
          <w:tcPr>
            <w:tcW w:w="446" w:type="pct"/>
            <w:hideMark/>
          </w:tcPr>
          <w:p w14:paraId="0717633B"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ascii="Cambria" w:hAnsi="Cambria"/>
                <w:noProof/>
              </w:rPr>
            </w:pPr>
          </w:p>
        </w:tc>
        <w:tc>
          <w:tcPr>
            <w:tcW w:w="296" w:type="pct"/>
            <w:hideMark/>
          </w:tcPr>
          <w:p w14:paraId="27468416"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noProof/>
                <w:color w:val="0D0D0D"/>
                <w:lang w:eastAsia="en-GB"/>
              </w:rPr>
            </w:pPr>
            <w:r>
              <w:rPr>
                <w:rFonts w:eastAsia="Times New Roman"/>
                <w:noProof/>
                <w:color w:val="0D0D0D"/>
                <w:lang w:eastAsia="en-GB"/>
              </w:rPr>
              <w:t>0.5</w:t>
            </w:r>
          </w:p>
        </w:tc>
      </w:tr>
      <w:tr w:rsidR="009D4357" w14:paraId="44B66A16" w14:textId="77777777" w:rsidTr="00CE3F2A">
        <w:trPr>
          <w:trHeight w:val="288"/>
        </w:trPr>
        <w:tc>
          <w:tcPr>
            <w:cnfStyle w:val="001000000000" w:firstRow="0" w:lastRow="0" w:firstColumn="1" w:lastColumn="0" w:oddVBand="0" w:evenVBand="0" w:oddHBand="0" w:evenHBand="0" w:firstRowFirstColumn="0" w:firstRowLastColumn="0" w:lastRowFirstColumn="0" w:lastRowLastColumn="0"/>
            <w:tcW w:w="901" w:type="pct"/>
            <w:hideMark/>
          </w:tcPr>
          <w:p w14:paraId="31EA90A5" w14:textId="77777777" w:rsidR="009D4357" w:rsidRDefault="009D4357" w:rsidP="00CE3F2A">
            <w:pPr>
              <w:rPr>
                <w:rFonts w:eastAsia="Times New Roman"/>
                <w:noProof/>
                <w:color w:val="0D0D0D"/>
                <w:lang w:eastAsia="en-GB"/>
              </w:rPr>
            </w:pPr>
            <w:r>
              <w:rPr>
                <w:rFonts w:eastAsia="Times New Roman"/>
                <w:noProof/>
                <w:color w:val="0D0D0D"/>
                <w:lang w:eastAsia="en-GB"/>
              </w:rPr>
              <w:t xml:space="preserve">Release &amp; Change Management </w:t>
            </w:r>
          </w:p>
        </w:tc>
        <w:tc>
          <w:tcPr>
            <w:tcW w:w="363" w:type="pct"/>
            <w:hideMark/>
          </w:tcPr>
          <w:p w14:paraId="0EBBE309"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strike/>
                <w:noProof/>
                <w:color w:val="FF0000"/>
                <w:lang w:eastAsia="en-GB"/>
              </w:rPr>
            </w:pPr>
          </w:p>
        </w:tc>
        <w:tc>
          <w:tcPr>
            <w:tcW w:w="598" w:type="pct"/>
            <w:hideMark/>
          </w:tcPr>
          <w:p w14:paraId="5901829F"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D0D0D"/>
                <w:lang w:eastAsia="en-GB"/>
              </w:rPr>
            </w:pPr>
          </w:p>
          <w:p w14:paraId="29FCEA00"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D0D0D"/>
                <w:lang w:eastAsia="en-GB"/>
              </w:rPr>
            </w:pPr>
          </w:p>
        </w:tc>
        <w:tc>
          <w:tcPr>
            <w:tcW w:w="487" w:type="pct"/>
            <w:hideMark/>
          </w:tcPr>
          <w:p w14:paraId="66A9CC7A"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0</w:t>
            </w:r>
          </w:p>
        </w:tc>
        <w:tc>
          <w:tcPr>
            <w:tcW w:w="324" w:type="pct"/>
            <w:hideMark/>
          </w:tcPr>
          <w:p w14:paraId="1B16534B"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1</w:t>
            </w:r>
          </w:p>
        </w:tc>
        <w:tc>
          <w:tcPr>
            <w:tcW w:w="732" w:type="pct"/>
            <w:gridSpan w:val="2"/>
            <w:hideMark/>
          </w:tcPr>
          <w:p w14:paraId="42861819"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D0D0D"/>
                <w:lang w:eastAsia="en-GB"/>
              </w:rPr>
            </w:pPr>
          </w:p>
          <w:p w14:paraId="2D57453C"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D0D0D"/>
                <w:lang w:eastAsia="en-GB"/>
              </w:rPr>
            </w:pPr>
          </w:p>
        </w:tc>
        <w:tc>
          <w:tcPr>
            <w:tcW w:w="365" w:type="pct"/>
            <w:hideMark/>
          </w:tcPr>
          <w:p w14:paraId="0807D396"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1</w:t>
            </w:r>
          </w:p>
        </w:tc>
        <w:tc>
          <w:tcPr>
            <w:tcW w:w="489" w:type="pct"/>
            <w:hideMark/>
          </w:tcPr>
          <w:p w14:paraId="2F4CCB3B"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1</w:t>
            </w:r>
          </w:p>
        </w:tc>
        <w:tc>
          <w:tcPr>
            <w:tcW w:w="446" w:type="pct"/>
            <w:hideMark/>
          </w:tcPr>
          <w:p w14:paraId="301D5094"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D0D0D"/>
                <w:lang w:eastAsia="en-GB"/>
              </w:rPr>
            </w:pPr>
          </w:p>
        </w:tc>
        <w:tc>
          <w:tcPr>
            <w:tcW w:w="296" w:type="pct"/>
            <w:hideMark/>
          </w:tcPr>
          <w:p w14:paraId="6FA915CE" w14:textId="77777777" w:rsidR="009D4357"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D0D0D"/>
                <w:lang w:eastAsia="en-GB"/>
              </w:rPr>
            </w:pPr>
            <w:r>
              <w:rPr>
                <w:rFonts w:eastAsia="Times New Roman"/>
                <w:noProof/>
                <w:color w:val="0D0D0D"/>
                <w:lang w:eastAsia="en-GB"/>
              </w:rPr>
              <w:t>1</w:t>
            </w:r>
          </w:p>
        </w:tc>
      </w:tr>
      <w:tr w:rsidR="009D4357" w14:paraId="3CD24341" w14:textId="77777777" w:rsidTr="00CE3F2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1" w:type="pct"/>
            <w:hideMark/>
          </w:tcPr>
          <w:p w14:paraId="25109759" w14:textId="77777777" w:rsidR="009D4357" w:rsidRDefault="009D4357" w:rsidP="00CE3F2A">
            <w:pPr>
              <w:rPr>
                <w:rFonts w:eastAsia="Times New Roman"/>
                <w:noProof/>
                <w:lang w:eastAsia="en-GB"/>
              </w:rPr>
            </w:pPr>
            <w:r>
              <w:rPr>
                <w:rFonts w:eastAsia="Times New Roman"/>
                <w:noProof/>
                <w:lang w:eastAsia="en-GB"/>
              </w:rPr>
              <w:t>Network Administrator</w:t>
            </w:r>
          </w:p>
        </w:tc>
        <w:tc>
          <w:tcPr>
            <w:tcW w:w="363" w:type="pct"/>
            <w:hideMark/>
          </w:tcPr>
          <w:p w14:paraId="088B0482"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Pr>
                <w:rFonts w:eastAsia="Times New Roman"/>
                <w:noProof/>
                <w:lang w:eastAsia="en-GB"/>
              </w:rPr>
              <w:t>1</w:t>
            </w:r>
          </w:p>
        </w:tc>
        <w:tc>
          <w:tcPr>
            <w:tcW w:w="598" w:type="pct"/>
            <w:hideMark/>
          </w:tcPr>
          <w:p w14:paraId="5838942A"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p w14:paraId="0D98FE28"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tc>
        <w:tc>
          <w:tcPr>
            <w:tcW w:w="487" w:type="pct"/>
            <w:hideMark/>
          </w:tcPr>
          <w:p w14:paraId="415AF16A"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Pr>
                <w:rFonts w:eastAsia="Times New Roman"/>
                <w:noProof/>
                <w:lang w:eastAsia="en-GB"/>
              </w:rPr>
              <w:t>1</w:t>
            </w:r>
          </w:p>
        </w:tc>
        <w:tc>
          <w:tcPr>
            <w:tcW w:w="324" w:type="pct"/>
            <w:hideMark/>
          </w:tcPr>
          <w:p w14:paraId="58EC41C7"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Pr>
                <w:rFonts w:eastAsia="Times New Roman"/>
                <w:noProof/>
                <w:lang w:eastAsia="en-GB"/>
              </w:rPr>
              <w:t>1</w:t>
            </w:r>
          </w:p>
        </w:tc>
        <w:tc>
          <w:tcPr>
            <w:tcW w:w="732" w:type="pct"/>
            <w:gridSpan w:val="2"/>
            <w:hideMark/>
          </w:tcPr>
          <w:p w14:paraId="7AA45A10"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p w14:paraId="0E2011CD"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tc>
        <w:tc>
          <w:tcPr>
            <w:tcW w:w="365" w:type="pct"/>
            <w:hideMark/>
          </w:tcPr>
          <w:p w14:paraId="7F578DDB"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Pr>
                <w:rFonts w:eastAsia="Times New Roman"/>
                <w:noProof/>
                <w:lang w:eastAsia="en-GB"/>
              </w:rPr>
              <w:t>1</w:t>
            </w:r>
          </w:p>
        </w:tc>
        <w:tc>
          <w:tcPr>
            <w:tcW w:w="489" w:type="pct"/>
            <w:hideMark/>
          </w:tcPr>
          <w:p w14:paraId="5CEA0717"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Pr>
                <w:rFonts w:eastAsia="Times New Roman"/>
                <w:noProof/>
                <w:lang w:eastAsia="en-GB"/>
              </w:rPr>
              <w:t>1</w:t>
            </w:r>
          </w:p>
        </w:tc>
        <w:tc>
          <w:tcPr>
            <w:tcW w:w="446" w:type="pct"/>
            <w:hideMark/>
          </w:tcPr>
          <w:p w14:paraId="191ED300"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tc>
        <w:tc>
          <w:tcPr>
            <w:tcW w:w="296" w:type="pct"/>
            <w:hideMark/>
          </w:tcPr>
          <w:p w14:paraId="4E917214" w14:textId="77777777" w:rsidR="009D4357"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Pr>
                <w:rFonts w:eastAsia="Times New Roman"/>
                <w:noProof/>
                <w:lang w:eastAsia="en-GB"/>
              </w:rPr>
              <w:t>1</w:t>
            </w:r>
          </w:p>
        </w:tc>
      </w:tr>
      <w:tr w:rsidR="009D4357" w14:paraId="654FDAC8" w14:textId="77777777" w:rsidTr="00CE3F2A">
        <w:trPr>
          <w:trHeight w:val="288"/>
        </w:trPr>
        <w:tc>
          <w:tcPr>
            <w:cnfStyle w:val="001000000000" w:firstRow="0" w:lastRow="0" w:firstColumn="1" w:lastColumn="0" w:oddVBand="0" w:evenVBand="0" w:oddHBand="0" w:evenHBand="0" w:firstRowFirstColumn="0" w:firstRowLastColumn="0" w:lastRowFirstColumn="0" w:lastRowLastColumn="0"/>
            <w:tcW w:w="901" w:type="pct"/>
            <w:hideMark/>
          </w:tcPr>
          <w:p w14:paraId="696AF438" w14:textId="77777777" w:rsidR="009D4357" w:rsidRPr="003B56E2" w:rsidRDefault="009D4357" w:rsidP="00CE3F2A">
            <w:pPr>
              <w:rPr>
                <w:rFonts w:eastAsia="Times New Roman"/>
                <w:noProof/>
                <w:lang w:eastAsia="en-GB"/>
              </w:rPr>
            </w:pPr>
            <w:r w:rsidRPr="003B56E2">
              <w:rPr>
                <w:rFonts w:eastAsia="Times New Roman"/>
                <w:noProof/>
                <w:lang w:eastAsia="en-GB"/>
              </w:rPr>
              <w:t xml:space="preserve">Security Management </w:t>
            </w:r>
          </w:p>
        </w:tc>
        <w:tc>
          <w:tcPr>
            <w:tcW w:w="363" w:type="pct"/>
            <w:hideMark/>
          </w:tcPr>
          <w:p w14:paraId="4727FFDB"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2</w:t>
            </w:r>
          </w:p>
        </w:tc>
        <w:tc>
          <w:tcPr>
            <w:tcW w:w="598" w:type="pct"/>
            <w:hideMark/>
          </w:tcPr>
          <w:p w14:paraId="648F4388"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p w14:paraId="671EA37A"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tc>
        <w:tc>
          <w:tcPr>
            <w:tcW w:w="487" w:type="pct"/>
            <w:hideMark/>
          </w:tcPr>
          <w:p w14:paraId="1D726ED1"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2</w:t>
            </w:r>
          </w:p>
        </w:tc>
        <w:tc>
          <w:tcPr>
            <w:tcW w:w="324" w:type="pct"/>
            <w:hideMark/>
          </w:tcPr>
          <w:p w14:paraId="4A120631"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2</w:t>
            </w:r>
          </w:p>
        </w:tc>
        <w:tc>
          <w:tcPr>
            <w:tcW w:w="732" w:type="pct"/>
            <w:gridSpan w:val="2"/>
            <w:hideMark/>
          </w:tcPr>
          <w:p w14:paraId="30845D78"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p w14:paraId="61028C00"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tc>
        <w:tc>
          <w:tcPr>
            <w:tcW w:w="365" w:type="pct"/>
            <w:hideMark/>
          </w:tcPr>
          <w:p w14:paraId="39C1B9D0"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2</w:t>
            </w:r>
          </w:p>
        </w:tc>
        <w:tc>
          <w:tcPr>
            <w:tcW w:w="489" w:type="pct"/>
            <w:hideMark/>
          </w:tcPr>
          <w:p w14:paraId="580223EC"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2</w:t>
            </w:r>
          </w:p>
        </w:tc>
        <w:tc>
          <w:tcPr>
            <w:tcW w:w="446" w:type="pct"/>
            <w:hideMark/>
          </w:tcPr>
          <w:p w14:paraId="6528F9E3"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tc>
        <w:tc>
          <w:tcPr>
            <w:tcW w:w="296" w:type="pct"/>
            <w:hideMark/>
          </w:tcPr>
          <w:p w14:paraId="70075B8B"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2</w:t>
            </w:r>
          </w:p>
        </w:tc>
      </w:tr>
      <w:tr w:rsidR="009D4357" w14:paraId="382B814D" w14:textId="77777777" w:rsidTr="00CE3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 w:type="pct"/>
            <w:hideMark/>
          </w:tcPr>
          <w:p w14:paraId="43890B17" w14:textId="77777777" w:rsidR="009D4357" w:rsidRPr="003B56E2" w:rsidRDefault="009D4357" w:rsidP="00CE3F2A">
            <w:pPr>
              <w:rPr>
                <w:rFonts w:eastAsia="Times New Roman"/>
                <w:noProof/>
                <w:lang w:eastAsia="en-GB"/>
              </w:rPr>
            </w:pPr>
            <w:r w:rsidRPr="003B56E2">
              <w:rPr>
                <w:rFonts w:eastAsia="Times New Roman"/>
                <w:noProof/>
                <w:lang w:eastAsia="en-GB"/>
              </w:rPr>
              <w:t>1</w:t>
            </w:r>
            <w:r w:rsidRPr="003B56E2">
              <w:rPr>
                <w:rFonts w:eastAsia="Times New Roman"/>
                <w:noProof/>
                <w:vertAlign w:val="superscript"/>
                <w:lang w:eastAsia="en-GB"/>
              </w:rPr>
              <w:t>st</w:t>
            </w:r>
            <w:r w:rsidRPr="003B56E2">
              <w:rPr>
                <w:rFonts w:eastAsia="Times New Roman"/>
                <w:noProof/>
                <w:lang w:eastAsia="en-GB"/>
              </w:rPr>
              <w:t xml:space="preserve"> level support operator (24x7) </w:t>
            </w:r>
          </w:p>
        </w:tc>
        <w:tc>
          <w:tcPr>
            <w:tcW w:w="363" w:type="pct"/>
            <w:hideMark/>
          </w:tcPr>
          <w:p w14:paraId="7B7B426D"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tc>
        <w:tc>
          <w:tcPr>
            <w:tcW w:w="598" w:type="pct"/>
            <w:hideMark/>
          </w:tcPr>
          <w:p w14:paraId="42B03DF8"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p w14:paraId="7E461BFF"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tc>
        <w:tc>
          <w:tcPr>
            <w:tcW w:w="487" w:type="pct"/>
            <w:hideMark/>
          </w:tcPr>
          <w:p w14:paraId="62ACFBB9"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0</w:t>
            </w:r>
          </w:p>
        </w:tc>
        <w:tc>
          <w:tcPr>
            <w:tcW w:w="324" w:type="pct"/>
            <w:hideMark/>
          </w:tcPr>
          <w:p w14:paraId="2141CC3D"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tc>
        <w:tc>
          <w:tcPr>
            <w:tcW w:w="732" w:type="pct"/>
            <w:gridSpan w:val="2"/>
            <w:hideMark/>
          </w:tcPr>
          <w:p w14:paraId="74450671"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p w14:paraId="1715056E"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tc>
        <w:tc>
          <w:tcPr>
            <w:tcW w:w="365" w:type="pct"/>
            <w:hideMark/>
          </w:tcPr>
          <w:p w14:paraId="1C7E017D"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0</w:t>
            </w:r>
          </w:p>
        </w:tc>
        <w:tc>
          <w:tcPr>
            <w:tcW w:w="489" w:type="pct"/>
            <w:hideMark/>
          </w:tcPr>
          <w:p w14:paraId="290BD88D"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tc>
        <w:tc>
          <w:tcPr>
            <w:tcW w:w="446" w:type="pct"/>
            <w:hideMark/>
          </w:tcPr>
          <w:p w14:paraId="467F5F48"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296" w:type="pct"/>
            <w:hideMark/>
          </w:tcPr>
          <w:p w14:paraId="1F7720A1"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r>
      <w:tr w:rsidR="009D4357" w14:paraId="1EA29757" w14:textId="77777777" w:rsidTr="00CE3F2A">
        <w:trPr>
          <w:trHeight w:val="300"/>
        </w:trPr>
        <w:tc>
          <w:tcPr>
            <w:cnfStyle w:val="001000000000" w:firstRow="0" w:lastRow="0" w:firstColumn="1" w:lastColumn="0" w:oddVBand="0" w:evenVBand="0" w:oddHBand="0" w:evenHBand="0" w:firstRowFirstColumn="0" w:firstRowLastColumn="0" w:lastRowFirstColumn="0" w:lastRowLastColumn="0"/>
            <w:tcW w:w="901" w:type="pct"/>
            <w:hideMark/>
          </w:tcPr>
          <w:p w14:paraId="780C4561" w14:textId="77777777" w:rsidR="009D4357" w:rsidRPr="003B56E2" w:rsidRDefault="009D4357" w:rsidP="00CE3F2A">
            <w:pPr>
              <w:rPr>
                <w:rFonts w:eastAsia="Times New Roman"/>
                <w:noProof/>
                <w:lang w:eastAsia="en-GB"/>
              </w:rPr>
            </w:pPr>
            <w:r w:rsidRPr="003B56E2">
              <w:rPr>
                <w:rFonts w:eastAsia="Times New Roman"/>
                <w:noProof/>
                <w:lang w:eastAsia="en-GB"/>
              </w:rPr>
              <w:t>2</w:t>
            </w:r>
            <w:r w:rsidRPr="003B56E2">
              <w:rPr>
                <w:rFonts w:eastAsia="Times New Roman"/>
                <w:noProof/>
                <w:vertAlign w:val="superscript"/>
                <w:lang w:eastAsia="en-GB"/>
              </w:rPr>
              <w:t>nd</w:t>
            </w:r>
            <w:r w:rsidRPr="003B56E2">
              <w:rPr>
                <w:rFonts w:eastAsia="Times New Roman"/>
                <w:noProof/>
                <w:lang w:eastAsia="en-GB"/>
              </w:rPr>
              <w:t xml:space="preserve"> level support administrator (24x7)</w:t>
            </w:r>
          </w:p>
        </w:tc>
        <w:tc>
          <w:tcPr>
            <w:tcW w:w="363" w:type="pct"/>
            <w:hideMark/>
          </w:tcPr>
          <w:p w14:paraId="09CE9559"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tc>
        <w:tc>
          <w:tcPr>
            <w:tcW w:w="598" w:type="pct"/>
            <w:hideMark/>
          </w:tcPr>
          <w:p w14:paraId="55443B97"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p w14:paraId="35AEFBE7"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tc>
        <w:tc>
          <w:tcPr>
            <w:tcW w:w="487" w:type="pct"/>
            <w:hideMark/>
          </w:tcPr>
          <w:p w14:paraId="1502A3EA"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0</w:t>
            </w:r>
          </w:p>
        </w:tc>
        <w:tc>
          <w:tcPr>
            <w:tcW w:w="324" w:type="pct"/>
            <w:hideMark/>
          </w:tcPr>
          <w:p w14:paraId="2156F711"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tc>
        <w:tc>
          <w:tcPr>
            <w:tcW w:w="732" w:type="pct"/>
            <w:gridSpan w:val="2"/>
            <w:hideMark/>
          </w:tcPr>
          <w:p w14:paraId="2050FD5A"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p w14:paraId="5E1425AF"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tc>
        <w:tc>
          <w:tcPr>
            <w:tcW w:w="365" w:type="pct"/>
            <w:hideMark/>
          </w:tcPr>
          <w:p w14:paraId="45F6890F"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0</w:t>
            </w:r>
          </w:p>
        </w:tc>
        <w:tc>
          <w:tcPr>
            <w:tcW w:w="489" w:type="pct"/>
            <w:hideMark/>
          </w:tcPr>
          <w:p w14:paraId="1DF4E02A"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p w14:paraId="56486B52"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tc>
        <w:tc>
          <w:tcPr>
            <w:tcW w:w="446" w:type="pct"/>
            <w:hideMark/>
          </w:tcPr>
          <w:p w14:paraId="334A0E3E"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296" w:type="pct"/>
            <w:hideMark/>
          </w:tcPr>
          <w:p w14:paraId="3B11381E"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r>
      <w:tr w:rsidR="009D4357" w14:paraId="5C1D2155" w14:textId="77777777" w:rsidTr="00CE3F2A">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901" w:type="pct"/>
            <w:hideMark/>
          </w:tcPr>
          <w:p w14:paraId="5E94A02C" w14:textId="77777777" w:rsidR="009D4357" w:rsidRPr="003B56E2" w:rsidRDefault="009D4357" w:rsidP="00CE3F2A">
            <w:pPr>
              <w:rPr>
                <w:rFonts w:eastAsia="Times New Roman"/>
                <w:noProof/>
                <w:lang w:eastAsia="en-GB"/>
              </w:rPr>
            </w:pPr>
            <w:r w:rsidRPr="003B56E2">
              <w:rPr>
                <w:rFonts w:eastAsia="Times New Roman"/>
                <w:noProof/>
                <w:lang w:eastAsia="en-GB"/>
              </w:rPr>
              <w:t xml:space="preserve">Programme and Project management </w:t>
            </w:r>
          </w:p>
        </w:tc>
        <w:tc>
          <w:tcPr>
            <w:tcW w:w="363" w:type="pct"/>
            <w:hideMark/>
          </w:tcPr>
          <w:p w14:paraId="06D1A156"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598" w:type="pct"/>
          </w:tcPr>
          <w:p w14:paraId="3327228E"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tc>
        <w:tc>
          <w:tcPr>
            <w:tcW w:w="487" w:type="pct"/>
            <w:hideMark/>
          </w:tcPr>
          <w:p w14:paraId="7F6571E8"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noProof/>
                <w:lang w:eastAsia="en-GB"/>
              </w:rPr>
            </w:pPr>
            <w:r w:rsidRPr="003B56E2">
              <w:rPr>
                <w:rFonts w:eastAsia="Times New Roman"/>
                <w:noProof/>
                <w:lang w:eastAsia="en-GB"/>
              </w:rPr>
              <w:t>1</w:t>
            </w:r>
          </w:p>
        </w:tc>
        <w:tc>
          <w:tcPr>
            <w:tcW w:w="324" w:type="pct"/>
            <w:hideMark/>
          </w:tcPr>
          <w:p w14:paraId="71CFC6B1"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732" w:type="pct"/>
            <w:gridSpan w:val="2"/>
            <w:hideMark/>
          </w:tcPr>
          <w:p w14:paraId="4B06666B"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ascii="Cambria" w:hAnsi="Cambria"/>
                <w:noProof/>
              </w:rPr>
            </w:pPr>
          </w:p>
        </w:tc>
        <w:tc>
          <w:tcPr>
            <w:tcW w:w="365" w:type="pct"/>
            <w:hideMark/>
          </w:tcPr>
          <w:p w14:paraId="4F93E2EC"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noProof/>
                <w:lang w:eastAsia="en-GB"/>
              </w:rPr>
            </w:pPr>
            <w:r w:rsidRPr="003B56E2">
              <w:rPr>
                <w:rFonts w:eastAsia="Times New Roman"/>
                <w:noProof/>
                <w:lang w:eastAsia="en-GB"/>
              </w:rPr>
              <w:t>1</w:t>
            </w:r>
          </w:p>
        </w:tc>
        <w:tc>
          <w:tcPr>
            <w:tcW w:w="489" w:type="pct"/>
            <w:hideMark/>
          </w:tcPr>
          <w:p w14:paraId="77755F95"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0.5</w:t>
            </w:r>
          </w:p>
        </w:tc>
        <w:tc>
          <w:tcPr>
            <w:tcW w:w="446" w:type="pct"/>
            <w:hideMark/>
          </w:tcPr>
          <w:p w14:paraId="6CE0CDE3"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ascii="Cambria" w:hAnsi="Cambria"/>
                <w:noProof/>
              </w:rPr>
            </w:pPr>
          </w:p>
        </w:tc>
        <w:tc>
          <w:tcPr>
            <w:tcW w:w="296" w:type="pct"/>
            <w:hideMark/>
          </w:tcPr>
          <w:p w14:paraId="074779ED"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noProof/>
                <w:lang w:eastAsia="en-GB"/>
              </w:rPr>
            </w:pPr>
            <w:r w:rsidRPr="003B56E2">
              <w:rPr>
                <w:rFonts w:eastAsia="Times New Roman"/>
                <w:noProof/>
                <w:lang w:eastAsia="en-GB"/>
              </w:rPr>
              <w:t>0.5</w:t>
            </w:r>
          </w:p>
        </w:tc>
      </w:tr>
      <w:tr w:rsidR="009D4357" w14:paraId="485D91D4" w14:textId="77777777" w:rsidTr="00CE3F2A">
        <w:trPr>
          <w:trHeight w:val="288"/>
        </w:trPr>
        <w:tc>
          <w:tcPr>
            <w:cnfStyle w:val="001000000000" w:firstRow="0" w:lastRow="0" w:firstColumn="1" w:lastColumn="0" w:oddVBand="0" w:evenVBand="0" w:oddHBand="0" w:evenHBand="0" w:firstRowFirstColumn="0" w:firstRowLastColumn="0" w:lastRowFirstColumn="0" w:lastRowLastColumn="0"/>
            <w:tcW w:w="901" w:type="pct"/>
            <w:hideMark/>
          </w:tcPr>
          <w:p w14:paraId="6494A879" w14:textId="77777777" w:rsidR="009D4357" w:rsidRPr="003B56E2" w:rsidRDefault="009D4357" w:rsidP="00CE3F2A">
            <w:pPr>
              <w:rPr>
                <w:rFonts w:eastAsia="Times New Roman"/>
                <w:noProof/>
                <w:lang w:eastAsia="en-GB"/>
              </w:rPr>
            </w:pPr>
            <w:r w:rsidRPr="003B56E2">
              <w:rPr>
                <w:rFonts w:eastAsia="Times New Roman"/>
                <w:noProof/>
                <w:lang w:eastAsia="en-GB"/>
              </w:rPr>
              <w:t>Product Owner</w:t>
            </w:r>
          </w:p>
        </w:tc>
        <w:tc>
          <w:tcPr>
            <w:tcW w:w="363" w:type="pct"/>
            <w:hideMark/>
          </w:tcPr>
          <w:p w14:paraId="361007B1"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tc>
        <w:tc>
          <w:tcPr>
            <w:tcW w:w="598" w:type="pct"/>
            <w:hideMark/>
          </w:tcPr>
          <w:p w14:paraId="2003F40F"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noProof/>
                <w:lang w:eastAsia="en-GB"/>
              </w:rPr>
            </w:pPr>
          </w:p>
          <w:p w14:paraId="52B6A65C"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tc>
        <w:tc>
          <w:tcPr>
            <w:tcW w:w="487" w:type="pct"/>
            <w:hideMark/>
          </w:tcPr>
          <w:p w14:paraId="4418F921"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0</w:t>
            </w:r>
          </w:p>
        </w:tc>
        <w:tc>
          <w:tcPr>
            <w:tcW w:w="324" w:type="pct"/>
            <w:hideMark/>
          </w:tcPr>
          <w:p w14:paraId="0D1A3B70"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732" w:type="pct"/>
            <w:gridSpan w:val="2"/>
            <w:hideMark/>
          </w:tcPr>
          <w:p w14:paraId="4266E000"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tc>
        <w:tc>
          <w:tcPr>
            <w:tcW w:w="365" w:type="pct"/>
            <w:hideMark/>
          </w:tcPr>
          <w:p w14:paraId="7FAC2F32"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489" w:type="pct"/>
            <w:hideMark/>
          </w:tcPr>
          <w:p w14:paraId="0B9B9125"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446" w:type="pct"/>
            <w:hideMark/>
          </w:tcPr>
          <w:p w14:paraId="6A1BF535"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tc>
        <w:tc>
          <w:tcPr>
            <w:tcW w:w="296" w:type="pct"/>
            <w:hideMark/>
          </w:tcPr>
          <w:p w14:paraId="4D9AD802"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r>
      <w:tr w:rsidR="009D4357" w14:paraId="702C5184" w14:textId="77777777" w:rsidTr="00CE3F2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1" w:type="pct"/>
            <w:hideMark/>
          </w:tcPr>
          <w:p w14:paraId="48B04855" w14:textId="77777777" w:rsidR="009D4357" w:rsidRPr="003B56E2" w:rsidRDefault="009D4357" w:rsidP="00CE3F2A">
            <w:pPr>
              <w:rPr>
                <w:rFonts w:eastAsia="Times New Roman"/>
                <w:noProof/>
                <w:lang w:eastAsia="en-GB"/>
              </w:rPr>
            </w:pPr>
            <w:r w:rsidRPr="003B56E2">
              <w:rPr>
                <w:rFonts w:eastAsia="Times New Roman"/>
                <w:noProof/>
                <w:lang w:eastAsia="en-GB"/>
              </w:rPr>
              <w:t>Biometric Expert</w:t>
            </w:r>
          </w:p>
        </w:tc>
        <w:tc>
          <w:tcPr>
            <w:tcW w:w="363" w:type="pct"/>
            <w:hideMark/>
          </w:tcPr>
          <w:p w14:paraId="2DD3C84F"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598" w:type="pct"/>
          </w:tcPr>
          <w:p w14:paraId="30B859F7"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tc>
        <w:tc>
          <w:tcPr>
            <w:tcW w:w="487" w:type="pct"/>
            <w:hideMark/>
          </w:tcPr>
          <w:p w14:paraId="2B601559"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24" w:type="pct"/>
            <w:hideMark/>
          </w:tcPr>
          <w:p w14:paraId="201FCF26"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732" w:type="pct"/>
            <w:gridSpan w:val="2"/>
          </w:tcPr>
          <w:p w14:paraId="7F5ABA25"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tc>
        <w:tc>
          <w:tcPr>
            <w:tcW w:w="365" w:type="pct"/>
            <w:hideMark/>
          </w:tcPr>
          <w:p w14:paraId="56A4195F"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489" w:type="pct"/>
            <w:hideMark/>
          </w:tcPr>
          <w:p w14:paraId="706E3C22"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446" w:type="pct"/>
          </w:tcPr>
          <w:p w14:paraId="5005D066"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tc>
        <w:tc>
          <w:tcPr>
            <w:tcW w:w="296" w:type="pct"/>
            <w:hideMark/>
          </w:tcPr>
          <w:p w14:paraId="0A18B033"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r>
      <w:tr w:rsidR="009D4357" w14:paraId="2D351E23" w14:textId="77777777" w:rsidTr="00CE3F2A">
        <w:trPr>
          <w:trHeight w:val="288"/>
        </w:trPr>
        <w:tc>
          <w:tcPr>
            <w:cnfStyle w:val="001000000000" w:firstRow="0" w:lastRow="0" w:firstColumn="1" w:lastColumn="0" w:oddVBand="0" w:evenVBand="0" w:oddHBand="0" w:evenHBand="0" w:firstRowFirstColumn="0" w:firstRowLastColumn="0" w:lastRowFirstColumn="0" w:lastRowLastColumn="0"/>
            <w:tcW w:w="901" w:type="pct"/>
            <w:hideMark/>
          </w:tcPr>
          <w:p w14:paraId="6F402F9C" w14:textId="77777777" w:rsidR="009D4357" w:rsidRPr="003B56E2" w:rsidRDefault="009D4357" w:rsidP="00CE3F2A">
            <w:pPr>
              <w:rPr>
                <w:rFonts w:eastAsia="Times New Roman"/>
                <w:noProof/>
                <w:lang w:eastAsia="en-GB"/>
              </w:rPr>
            </w:pPr>
            <w:r w:rsidRPr="003B56E2">
              <w:rPr>
                <w:rFonts w:eastAsia="Times New Roman"/>
                <w:noProof/>
                <w:lang w:eastAsia="en-GB"/>
              </w:rPr>
              <w:t>System Administrator/Infra</w:t>
            </w:r>
          </w:p>
        </w:tc>
        <w:tc>
          <w:tcPr>
            <w:tcW w:w="363" w:type="pct"/>
            <w:hideMark/>
          </w:tcPr>
          <w:p w14:paraId="0C6F5ADA"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598" w:type="pct"/>
            <w:hideMark/>
          </w:tcPr>
          <w:p w14:paraId="26FD1552"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p w14:paraId="5627A023"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tc>
        <w:tc>
          <w:tcPr>
            <w:tcW w:w="487" w:type="pct"/>
            <w:hideMark/>
          </w:tcPr>
          <w:p w14:paraId="49374524"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24" w:type="pct"/>
            <w:hideMark/>
          </w:tcPr>
          <w:p w14:paraId="68645B87"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732" w:type="pct"/>
            <w:gridSpan w:val="2"/>
            <w:hideMark/>
          </w:tcPr>
          <w:p w14:paraId="6D1847FF"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tc>
        <w:tc>
          <w:tcPr>
            <w:tcW w:w="365" w:type="pct"/>
            <w:hideMark/>
          </w:tcPr>
          <w:p w14:paraId="578EE870"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489" w:type="pct"/>
            <w:hideMark/>
          </w:tcPr>
          <w:p w14:paraId="2077F29F"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446" w:type="pct"/>
            <w:hideMark/>
          </w:tcPr>
          <w:p w14:paraId="34A380C0"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tc>
        <w:tc>
          <w:tcPr>
            <w:tcW w:w="296" w:type="pct"/>
            <w:hideMark/>
          </w:tcPr>
          <w:p w14:paraId="7F8F080F"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r>
      <w:tr w:rsidR="009D4357" w14:paraId="3EC42CFA" w14:textId="77777777" w:rsidTr="00CE3F2A">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901" w:type="pct"/>
            <w:hideMark/>
          </w:tcPr>
          <w:p w14:paraId="69D1F3C3" w14:textId="77777777" w:rsidR="009D4357" w:rsidRPr="003B56E2" w:rsidRDefault="009D4357" w:rsidP="00CE3F2A">
            <w:pPr>
              <w:rPr>
                <w:rFonts w:eastAsia="Times New Roman"/>
                <w:noProof/>
                <w:lang w:eastAsia="en-GB"/>
              </w:rPr>
            </w:pPr>
            <w:r w:rsidRPr="003B56E2">
              <w:rPr>
                <w:rFonts w:eastAsia="Times New Roman"/>
                <w:b w:val="0"/>
                <w:bCs w:val="0"/>
                <w:noProof/>
                <w:lang w:eastAsia="en-GB"/>
              </w:rPr>
              <w:t>Total (CA+TA)</w:t>
            </w:r>
          </w:p>
        </w:tc>
        <w:tc>
          <w:tcPr>
            <w:tcW w:w="363" w:type="pct"/>
            <w:hideMark/>
          </w:tcPr>
          <w:p w14:paraId="368171E2"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lang w:eastAsia="en-GB"/>
              </w:rPr>
            </w:pPr>
            <w:r w:rsidRPr="003B56E2">
              <w:rPr>
                <w:rFonts w:eastAsia="Times New Roman"/>
                <w:b/>
                <w:bCs/>
                <w:noProof/>
                <w:lang w:eastAsia="en-GB"/>
              </w:rPr>
              <w:t>8</w:t>
            </w:r>
          </w:p>
        </w:tc>
        <w:tc>
          <w:tcPr>
            <w:tcW w:w="598" w:type="pct"/>
            <w:hideMark/>
          </w:tcPr>
          <w:p w14:paraId="1EFAB01D"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b/>
                <w:bCs/>
                <w:noProof/>
                <w:lang w:eastAsia="en-GB"/>
              </w:rPr>
            </w:pPr>
          </w:p>
        </w:tc>
        <w:tc>
          <w:tcPr>
            <w:tcW w:w="487" w:type="pct"/>
            <w:hideMark/>
          </w:tcPr>
          <w:p w14:paraId="1243072E"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lang w:eastAsia="en-GB"/>
              </w:rPr>
            </w:pPr>
            <w:r w:rsidRPr="003B56E2">
              <w:rPr>
                <w:rFonts w:eastAsia="Times New Roman"/>
                <w:b/>
                <w:bCs/>
                <w:noProof/>
                <w:lang w:eastAsia="en-GB"/>
              </w:rPr>
              <w:t>8</w:t>
            </w:r>
          </w:p>
        </w:tc>
        <w:tc>
          <w:tcPr>
            <w:tcW w:w="324" w:type="pct"/>
            <w:hideMark/>
          </w:tcPr>
          <w:p w14:paraId="30771D7E"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lang w:eastAsia="en-GB"/>
              </w:rPr>
            </w:pPr>
            <w:r w:rsidRPr="003B56E2">
              <w:rPr>
                <w:rFonts w:eastAsia="Times New Roman"/>
                <w:b/>
                <w:bCs/>
                <w:noProof/>
                <w:lang w:eastAsia="en-GB"/>
              </w:rPr>
              <w:t>10</w:t>
            </w:r>
          </w:p>
          <w:p w14:paraId="64B343F0"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lang w:eastAsia="en-GB"/>
              </w:rPr>
            </w:pPr>
          </w:p>
        </w:tc>
        <w:tc>
          <w:tcPr>
            <w:tcW w:w="732" w:type="pct"/>
            <w:gridSpan w:val="2"/>
            <w:hideMark/>
          </w:tcPr>
          <w:p w14:paraId="4C422DDF"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b/>
                <w:bCs/>
                <w:noProof/>
                <w:lang w:eastAsia="en-GB"/>
              </w:rPr>
            </w:pPr>
          </w:p>
        </w:tc>
        <w:tc>
          <w:tcPr>
            <w:tcW w:w="365" w:type="pct"/>
            <w:hideMark/>
          </w:tcPr>
          <w:p w14:paraId="21E69C21"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lang w:eastAsia="en-GB"/>
              </w:rPr>
            </w:pPr>
            <w:r w:rsidRPr="003B56E2">
              <w:rPr>
                <w:rFonts w:eastAsia="Times New Roman"/>
                <w:b/>
                <w:bCs/>
                <w:noProof/>
                <w:lang w:eastAsia="en-GB"/>
              </w:rPr>
              <w:t>10</w:t>
            </w:r>
          </w:p>
        </w:tc>
        <w:tc>
          <w:tcPr>
            <w:tcW w:w="489" w:type="pct"/>
            <w:hideMark/>
          </w:tcPr>
          <w:p w14:paraId="270068D8"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lang w:eastAsia="en-GB"/>
              </w:rPr>
            </w:pPr>
            <w:r w:rsidRPr="003B56E2">
              <w:rPr>
                <w:rFonts w:eastAsia="Times New Roman"/>
                <w:b/>
                <w:bCs/>
                <w:noProof/>
                <w:lang w:eastAsia="en-GB"/>
              </w:rPr>
              <w:t>9</w:t>
            </w:r>
          </w:p>
        </w:tc>
        <w:tc>
          <w:tcPr>
            <w:tcW w:w="446" w:type="pct"/>
            <w:hideMark/>
          </w:tcPr>
          <w:p w14:paraId="55C2EB8D"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lang w:eastAsia="en-GB"/>
              </w:rPr>
            </w:pPr>
            <w:r w:rsidRPr="003B56E2">
              <w:rPr>
                <w:rFonts w:eastAsia="Times New Roman"/>
                <w:b/>
                <w:bCs/>
                <w:noProof/>
                <w:lang w:eastAsia="en-GB"/>
              </w:rPr>
              <w:t>2</w:t>
            </w:r>
          </w:p>
          <w:p w14:paraId="31D36C32"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lang w:eastAsia="en-GB"/>
              </w:rPr>
            </w:pPr>
          </w:p>
        </w:tc>
        <w:tc>
          <w:tcPr>
            <w:tcW w:w="296" w:type="pct"/>
            <w:hideMark/>
          </w:tcPr>
          <w:p w14:paraId="16EA8A31"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lang w:eastAsia="en-GB"/>
              </w:rPr>
            </w:pPr>
            <w:r w:rsidRPr="003B56E2">
              <w:rPr>
                <w:rFonts w:eastAsia="Times New Roman"/>
                <w:b/>
                <w:bCs/>
                <w:noProof/>
                <w:lang w:eastAsia="en-GB"/>
              </w:rPr>
              <w:t>11</w:t>
            </w:r>
          </w:p>
        </w:tc>
      </w:tr>
      <w:tr w:rsidR="009D4357" w14:paraId="7C493DCF" w14:textId="77777777" w:rsidTr="00CE3F2A">
        <w:trPr>
          <w:gridBefore w:val="1"/>
          <w:gridAfter w:val="2"/>
          <w:wBefore w:w="901" w:type="pct"/>
          <w:wAfter w:w="742" w:type="pct"/>
          <w:trHeight w:val="960"/>
        </w:trPr>
        <w:tc>
          <w:tcPr>
            <w:cnfStyle w:val="001000000000" w:firstRow="0" w:lastRow="0" w:firstColumn="1" w:lastColumn="0" w:oddVBand="0" w:evenVBand="0" w:oddHBand="0" w:evenHBand="0" w:firstRowFirstColumn="0" w:firstRowLastColumn="0" w:lastRowFirstColumn="0" w:lastRowLastColumn="0"/>
            <w:tcW w:w="961" w:type="pct"/>
            <w:gridSpan w:val="2"/>
            <w:hideMark/>
          </w:tcPr>
          <w:p w14:paraId="06FE4EFC" w14:textId="77777777" w:rsidR="009D4357" w:rsidRPr="003B56E2" w:rsidRDefault="009D4357" w:rsidP="00CE3F2A">
            <w:pPr>
              <w:rPr>
                <w:rFonts w:eastAsia="Times New Roman"/>
                <w:noProof/>
                <w:lang w:eastAsia="en-GB"/>
              </w:rPr>
            </w:pPr>
            <w:r w:rsidRPr="003B56E2">
              <w:rPr>
                <w:rFonts w:eastAsia="Times New Roman"/>
                <w:noProof/>
                <w:lang w:eastAsia="en-GB"/>
              </w:rPr>
              <w:t>Profiles</w:t>
            </w:r>
          </w:p>
        </w:tc>
        <w:tc>
          <w:tcPr>
            <w:tcW w:w="487" w:type="pct"/>
            <w:hideMark/>
          </w:tcPr>
          <w:p w14:paraId="6528DD0E"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 xml:space="preserve">Year -1 </w:t>
            </w:r>
          </w:p>
          <w:p w14:paraId="6BB5552C"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(Preparation &amp; Design)</w:t>
            </w:r>
          </w:p>
        </w:tc>
        <w:tc>
          <w:tcPr>
            <w:tcW w:w="324" w:type="pct"/>
            <w:hideMark/>
          </w:tcPr>
          <w:p w14:paraId="26917930"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Year 1</w:t>
            </w:r>
          </w:p>
        </w:tc>
        <w:tc>
          <w:tcPr>
            <w:tcW w:w="405" w:type="pct"/>
            <w:hideMark/>
          </w:tcPr>
          <w:p w14:paraId="35E2F82F"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Year 2</w:t>
            </w:r>
          </w:p>
        </w:tc>
        <w:tc>
          <w:tcPr>
            <w:tcW w:w="327" w:type="pct"/>
            <w:hideMark/>
          </w:tcPr>
          <w:p w14:paraId="5F58036E"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Year 3</w:t>
            </w:r>
          </w:p>
        </w:tc>
        <w:tc>
          <w:tcPr>
            <w:tcW w:w="365" w:type="pct"/>
            <w:hideMark/>
          </w:tcPr>
          <w:p w14:paraId="4E88836E"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Year 4</w:t>
            </w:r>
          </w:p>
        </w:tc>
        <w:tc>
          <w:tcPr>
            <w:tcW w:w="489" w:type="pct"/>
            <w:hideMark/>
          </w:tcPr>
          <w:p w14:paraId="6626DF16"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Year 5</w:t>
            </w:r>
          </w:p>
        </w:tc>
      </w:tr>
      <w:tr w:rsidR="009D4357" w14:paraId="6B530214" w14:textId="77777777" w:rsidTr="00CE3F2A">
        <w:trPr>
          <w:gridBefore w:val="1"/>
          <w:gridAfter w:val="2"/>
          <w:cnfStyle w:val="000000100000" w:firstRow="0" w:lastRow="0" w:firstColumn="0" w:lastColumn="0" w:oddVBand="0" w:evenVBand="0" w:oddHBand="1" w:evenHBand="0" w:firstRowFirstColumn="0" w:firstRowLastColumn="0" w:lastRowFirstColumn="0" w:lastRowLastColumn="0"/>
          <w:wBefore w:w="901" w:type="pct"/>
          <w:wAfter w:w="742" w:type="pct"/>
          <w:trHeight w:val="288"/>
        </w:trPr>
        <w:tc>
          <w:tcPr>
            <w:cnfStyle w:val="001000000000" w:firstRow="0" w:lastRow="0" w:firstColumn="1" w:lastColumn="0" w:oddVBand="0" w:evenVBand="0" w:oddHBand="0" w:evenHBand="0" w:firstRowFirstColumn="0" w:firstRowLastColumn="0" w:lastRowFirstColumn="0" w:lastRowLastColumn="0"/>
            <w:tcW w:w="961" w:type="pct"/>
            <w:gridSpan w:val="2"/>
            <w:hideMark/>
          </w:tcPr>
          <w:p w14:paraId="20D520D7" w14:textId="77777777" w:rsidR="009D4357" w:rsidRPr="0056090D" w:rsidRDefault="009D4357" w:rsidP="00CE3F2A">
            <w:pPr>
              <w:rPr>
                <w:rFonts w:eastAsia="Times New Roman"/>
                <w:b w:val="0"/>
                <w:noProof/>
                <w:sz w:val="20"/>
                <w:lang w:eastAsia="en-GB"/>
              </w:rPr>
            </w:pPr>
            <w:r w:rsidRPr="003E1DA3">
              <w:rPr>
                <w:rFonts w:eastAsia="Times New Roman"/>
                <w:noProof/>
                <w:lang w:eastAsia="en-GB"/>
              </w:rPr>
              <w:t>IT Architect (TA)</w:t>
            </w:r>
          </w:p>
        </w:tc>
        <w:tc>
          <w:tcPr>
            <w:tcW w:w="487" w:type="pct"/>
            <w:noWrap/>
            <w:hideMark/>
          </w:tcPr>
          <w:p w14:paraId="2B59AEA6"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24" w:type="pct"/>
            <w:noWrap/>
            <w:hideMark/>
          </w:tcPr>
          <w:p w14:paraId="2A8DE847"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405" w:type="pct"/>
            <w:noWrap/>
            <w:hideMark/>
          </w:tcPr>
          <w:p w14:paraId="2114BAB2"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27" w:type="pct"/>
            <w:hideMark/>
          </w:tcPr>
          <w:p w14:paraId="334AFC68"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65" w:type="pct"/>
            <w:hideMark/>
          </w:tcPr>
          <w:p w14:paraId="5EC1EF08"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489" w:type="pct"/>
            <w:hideMark/>
          </w:tcPr>
          <w:p w14:paraId="50FBEA29"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r>
      <w:tr w:rsidR="009D4357" w14:paraId="350D5ED6" w14:textId="77777777" w:rsidTr="00CE3F2A">
        <w:trPr>
          <w:gridBefore w:val="1"/>
          <w:gridAfter w:val="2"/>
          <w:wBefore w:w="901" w:type="pct"/>
          <w:wAfter w:w="742" w:type="pct"/>
          <w:trHeight w:val="288"/>
        </w:trPr>
        <w:tc>
          <w:tcPr>
            <w:cnfStyle w:val="001000000000" w:firstRow="0" w:lastRow="0" w:firstColumn="1" w:lastColumn="0" w:oddVBand="0" w:evenVBand="0" w:oddHBand="0" w:evenHBand="0" w:firstRowFirstColumn="0" w:firstRowLastColumn="0" w:lastRowFirstColumn="0" w:lastRowLastColumn="0"/>
            <w:tcW w:w="961" w:type="pct"/>
            <w:gridSpan w:val="2"/>
            <w:hideMark/>
          </w:tcPr>
          <w:p w14:paraId="6A83BBA3" w14:textId="77777777" w:rsidR="009D4357" w:rsidRPr="0056090D" w:rsidRDefault="009D4357" w:rsidP="00CE3F2A">
            <w:pPr>
              <w:rPr>
                <w:rFonts w:eastAsia="Times New Roman"/>
                <w:b w:val="0"/>
                <w:noProof/>
                <w:sz w:val="20"/>
                <w:lang w:eastAsia="en-GB"/>
              </w:rPr>
            </w:pPr>
            <w:r w:rsidRPr="003E1DA3">
              <w:rPr>
                <w:rFonts w:eastAsia="Times New Roman"/>
                <w:noProof/>
                <w:lang w:eastAsia="en-GB"/>
              </w:rPr>
              <w:t>Test Management (TA)</w:t>
            </w:r>
          </w:p>
        </w:tc>
        <w:tc>
          <w:tcPr>
            <w:tcW w:w="487" w:type="pct"/>
            <w:noWrap/>
          </w:tcPr>
          <w:p w14:paraId="5AC25E84"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tc>
        <w:tc>
          <w:tcPr>
            <w:tcW w:w="324" w:type="pct"/>
            <w:noWrap/>
            <w:hideMark/>
          </w:tcPr>
          <w:p w14:paraId="6DB0C2EB"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405" w:type="pct"/>
            <w:noWrap/>
            <w:hideMark/>
          </w:tcPr>
          <w:p w14:paraId="3132B0D3"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27" w:type="pct"/>
            <w:hideMark/>
          </w:tcPr>
          <w:p w14:paraId="00B66772"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0.5</w:t>
            </w:r>
          </w:p>
        </w:tc>
        <w:tc>
          <w:tcPr>
            <w:tcW w:w="365" w:type="pct"/>
            <w:hideMark/>
          </w:tcPr>
          <w:p w14:paraId="70AB3D41"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0.5</w:t>
            </w:r>
          </w:p>
        </w:tc>
        <w:tc>
          <w:tcPr>
            <w:tcW w:w="489" w:type="pct"/>
            <w:hideMark/>
          </w:tcPr>
          <w:p w14:paraId="7459D355"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0.5</w:t>
            </w:r>
          </w:p>
        </w:tc>
      </w:tr>
      <w:tr w:rsidR="009D4357" w14:paraId="0FDE44B6" w14:textId="77777777" w:rsidTr="00CE3F2A">
        <w:trPr>
          <w:gridBefore w:val="1"/>
          <w:gridAfter w:val="2"/>
          <w:cnfStyle w:val="000000100000" w:firstRow="0" w:lastRow="0" w:firstColumn="0" w:lastColumn="0" w:oddVBand="0" w:evenVBand="0" w:oddHBand="1" w:evenHBand="0" w:firstRowFirstColumn="0" w:firstRowLastColumn="0" w:lastRowFirstColumn="0" w:lastRowLastColumn="0"/>
          <w:wBefore w:w="901" w:type="pct"/>
          <w:wAfter w:w="742" w:type="pct"/>
          <w:trHeight w:val="288"/>
        </w:trPr>
        <w:tc>
          <w:tcPr>
            <w:cnfStyle w:val="001000000000" w:firstRow="0" w:lastRow="0" w:firstColumn="1" w:lastColumn="0" w:oddVBand="0" w:evenVBand="0" w:oddHBand="0" w:evenHBand="0" w:firstRowFirstColumn="0" w:firstRowLastColumn="0" w:lastRowFirstColumn="0" w:lastRowLastColumn="0"/>
            <w:tcW w:w="961" w:type="pct"/>
            <w:gridSpan w:val="2"/>
            <w:hideMark/>
          </w:tcPr>
          <w:p w14:paraId="5CFC146D" w14:textId="77777777" w:rsidR="009D4357" w:rsidRPr="0056090D" w:rsidRDefault="009D4357" w:rsidP="00CE3F2A">
            <w:pPr>
              <w:rPr>
                <w:rFonts w:eastAsia="Times New Roman"/>
                <w:b w:val="0"/>
                <w:noProof/>
                <w:sz w:val="20"/>
                <w:lang w:eastAsia="en-GB"/>
              </w:rPr>
            </w:pPr>
            <w:r w:rsidRPr="003E1DA3">
              <w:rPr>
                <w:rFonts w:eastAsia="Times New Roman"/>
                <w:noProof/>
                <w:lang w:eastAsia="en-GB"/>
              </w:rPr>
              <w:t>Release &amp; Change Management (TA)</w:t>
            </w:r>
          </w:p>
        </w:tc>
        <w:tc>
          <w:tcPr>
            <w:tcW w:w="487" w:type="pct"/>
            <w:noWrap/>
          </w:tcPr>
          <w:p w14:paraId="4DA88DE3"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tc>
        <w:tc>
          <w:tcPr>
            <w:tcW w:w="324" w:type="pct"/>
            <w:noWrap/>
          </w:tcPr>
          <w:p w14:paraId="565813B5"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tc>
        <w:tc>
          <w:tcPr>
            <w:tcW w:w="405" w:type="pct"/>
            <w:noWrap/>
            <w:hideMark/>
          </w:tcPr>
          <w:p w14:paraId="0BF8E338"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27" w:type="pct"/>
            <w:hideMark/>
          </w:tcPr>
          <w:p w14:paraId="6631945D"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65" w:type="pct"/>
            <w:hideMark/>
          </w:tcPr>
          <w:p w14:paraId="17159665"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489" w:type="pct"/>
            <w:hideMark/>
          </w:tcPr>
          <w:p w14:paraId="323755AB"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r>
      <w:tr w:rsidR="009D4357" w14:paraId="2B60EF2F" w14:textId="77777777" w:rsidTr="00CE3F2A">
        <w:trPr>
          <w:gridBefore w:val="1"/>
          <w:gridAfter w:val="2"/>
          <w:wBefore w:w="901" w:type="pct"/>
          <w:wAfter w:w="742" w:type="pct"/>
          <w:trHeight w:val="288"/>
        </w:trPr>
        <w:tc>
          <w:tcPr>
            <w:cnfStyle w:val="001000000000" w:firstRow="0" w:lastRow="0" w:firstColumn="1" w:lastColumn="0" w:oddVBand="0" w:evenVBand="0" w:oddHBand="0" w:evenHBand="0" w:firstRowFirstColumn="0" w:firstRowLastColumn="0" w:lastRowFirstColumn="0" w:lastRowLastColumn="0"/>
            <w:tcW w:w="961" w:type="pct"/>
            <w:gridSpan w:val="2"/>
            <w:hideMark/>
          </w:tcPr>
          <w:p w14:paraId="5CFEA773" w14:textId="77777777" w:rsidR="009D4357" w:rsidRPr="0056090D" w:rsidRDefault="009D4357" w:rsidP="00CE3F2A">
            <w:pPr>
              <w:rPr>
                <w:rFonts w:eastAsia="Times New Roman"/>
                <w:b w:val="0"/>
                <w:noProof/>
                <w:sz w:val="20"/>
                <w:lang w:eastAsia="en-GB"/>
              </w:rPr>
            </w:pPr>
            <w:r w:rsidRPr="003E1DA3">
              <w:rPr>
                <w:rFonts w:eastAsia="Times New Roman"/>
                <w:noProof/>
                <w:lang w:eastAsia="en-GB"/>
              </w:rPr>
              <w:t>Network Administrator (TA)</w:t>
            </w:r>
          </w:p>
        </w:tc>
        <w:tc>
          <w:tcPr>
            <w:tcW w:w="487" w:type="pct"/>
            <w:noWrap/>
            <w:hideMark/>
          </w:tcPr>
          <w:p w14:paraId="306ABC7F"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24" w:type="pct"/>
            <w:noWrap/>
            <w:hideMark/>
          </w:tcPr>
          <w:p w14:paraId="09CE2630"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405" w:type="pct"/>
            <w:noWrap/>
            <w:hideMark/>
          </w:tcPr>
          <w:p w14:paraId="449BAEF1"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27" w:type="pct"/>
            <w:hideMark/>
          </w:tcPr>
          <w:p w14:paraId="23933389"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65" w:type="pct"/>
            <w:hideMark/>
          </w:tcPr>
          <w:p w14:paraId="612CDC65"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489" w:type="pct"/>
            <w:hideMark/>
          </w:tcPr>
          <w:p w14:paraId="110FEF6D"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r>
      <w:tr w:rsidR="009D4357" w14:paraId="78A8251D" w14:textId="77777777" w:rsidTr="00CE3F2A">
        <w:trPr>
          <w:gridBefore w:val="1"/>
          <w:gridAfter w:val="2"/>
          <w:cnfStyle w:val="000000100000" w:firstRow="0" w:lastRow="0" w:firstColumn="0" w:lastColumn="0" w:oddVBand="0" w:evenVBand="0" w:oddHBand="1" w:evenHBand="0" w:firstRowFirstColumn="0" w:firstRowLastColumn="0" w:lastRowFirstColumn="0" w:lastRowLastColumn="0"/>
          <w:wBefore w:w="901" w:type="pct"/>
          <w:wAfter w:w="742" w:type="pct"/>
          <w:trHeight w:val="288"/>
        </w:trPr>
        <w:tc>
          <w:tcPr>
            <w:cnfStyle w:val="001000000000" w:firstRow="0" w:lastRow="0" w:firstColumn="1" w:lastColumn="0" w:oddVBand="0" w:evenVBand="0" w:oddHBand="0" w:evenHBand="0" w:firstRowFirstColumn="0" w:firstRowLastColumn="0" w:lastRowFirstColumn="0" w:lastRowLastColumn="0"/>
            <w:tcW w:w="961" w:type="pct"/>
            <w:gridSpan w:val="2"/>
            <w:hideMark/>
          </w:tcPr>
          <w:p w14:paraId="40C49599" w14:textId="77777777" w:rsidR="009D4357" w:rsidRPr="0056090D" w:rsidRDefault="009D4357" w:rsidP="00CE3F2A">
            <w:pPr>
              <w:rPr>
                <w:rFonts w:eastAsia="Times New Roman"/>
                <w:b w:val="0"/>
                <w:noProof/>
                <w:sz w:val="20"/>
                <w:lang w:eastAsia="en-GB"/>
              </w:rPr>
            </w:pPr>
            <w:r w:rsidRPr="003E1DA3">
              <w:rPr>
                <w:rFonts w:eastAsia="Times New Roman"/>
                <w:noProof/>
                <w:lang w:eastAsia="en-GB"/>
              </w:rPr>
              <w:t>Security Management (TA)</w:t>
            </w:r>
          </w:p>
        </w:tc>
        <w:tc>
          <w:tcPr>
            <w:tcW w:w="487" w:type="pct"/>
            <w:noWrap/>
            <w:hideMark/>
          </w:tcPr>
          <w:p w14:paraId="50ABD8E9"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24" w:type="pct"/>
            <w:noWrap/>
            <w:hideMark/>
          </w:tcPr>
          <w:p w14:paraId="6BAD43AD"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405" w:type="pct"/>
            <w:noWrap/>
            <w:hideMark/>
          </w:tcPr>
          <w:p w14:paraId="710A264D"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2</w:t>
            </w:r>
          </w:p>
        </w:tc>
        <w:tc>
          <w:tcPr>
            <w:tcW w:w="327" w:type="pct"/>
            <w:hideMark/>
          </w:tcPr>
          <w:p w14:paraId="2D6C4BE3"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2</w:t>
            </w:r>
          </w:p>
        </w:tc>
        <w:tc>
          <w:tcPr>
            <w:tcW w:w="365" w:type="pct"/>
            <w:hideMark/>
          </w:tcPr>
          <w:p w14:paraId="2EA81D4E"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2</w:t>
            </w:r>
          </w:p>
        </w:tc>
        <w:tc>
          <w:tcPr>
            <w:tcW w:w="489" w:type="pct"/>
            <w:hideMark/>
          </w:tcPr>
          <w:p w14:paraId="02790B03"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2</w:t>
            </w:r>
          </w:p>
        </w:tc>
      </w:tr>
      <w:tr w:rsidR="009D4357" w14:paraId="5DF13823" w14:textId="77777777" w:rsidTr="00CE3F2A">
        <w:trPr>
          <w:gridBefore w:val="1"/>
          <w:gridAfter w:val="2"/>
          <w:wBefore w:w="901" w:type="pct"/>
          <w:wAfter w:w="742" w:type="pct"/>
          <w:trHeight w:val="288"/>
        </w:trPr>
        <w:tc>
          <w:tcPr>
            <w:cnfStyle w:val="001000000000" w:firstRow="0" w:lastRow="0" w:firstColumn="1" w:lastColumn="0" w:oddVBand="0" w:evenVBand="0" w:oddHBand="0" w:evenHBand="0" w:firstRowFirstColumn="0" w:firstRowLastColumn="0" w:lastRowFirstColumn="0" w:lastRowLastColumn="0"/>
            <w:tcW w:w="961" w:type="pct"/>
            <w:gridSpan w:val="2"/>
            <w:hideMark/>
          </w:tcPr>
          <w:p w14:paraId="65A4BE20" w14:textId="77777777" w:rsidR="009D4357" w:rsidRPr="0056090D" w:rsidRDefault="009D4357" w:rsidP="00CE3F2A">
            <w:pPr>
              <w:rPr>
                <w:rFonts w:eastAsia="Times New Roman"/>
                <w:b w:val="0"/>
                <w:noProof/>
                <w:sz w:val="20"/>
                <w:lang w:eastAsia="en-GB"/>
              </w:rPr>
            </w:pPr>
            <w:r w:rsidRPr="003E1DA3">
              <w:rPr>
                <w:rFonts w:eastAsia="Times New Roman"/>
                <w:noProof/>
                <w:lang w:eastAsia="en-GB"/>
              </w:rPr>
              <w:t>1</w:t>
            </w:r>
            <w:r w:rsidRPr="003E1DA3">
              <w:rPr>
                <w:rFonts w:eastAsia="Times New Roman"/>
                <w:noProof/>
                <w:vertAlign w:val="superscript"/>
                <w:lang w:eastAsia="en-GB"/>
              </w:rPr>
              <w:t>st</w:t>
            </w:r>
            <w:r w:rsidRPr="003E1DA3">
              <w:rPr>
                <w:rFonts w:eastAsia="Times New Roman"/>
                <w:noProof/>
                <w:lang w:eastAsia="en-GB"/>
              </w:rPr>
              <w:t xml:space="preserve"> level support operator (24x7) – (CA)</w:t>
            </w:r>
          </w:p>
        </w:tc>
        <w:tc>
          <w:tcPr>
            <w:tcW w:w="487" w:type="pct"/>
            <w:noWrap/>
          </w:tcPr>
          <w:p w14:paraId="7C1EB474"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tc>
        <w:tc>
          <w:tcPr>
            <w:tcW w:w="324" w:type="pct"/>
            <w:noWrap/>
          </w:tcPr>
          <w:p w14:paraId="40FDB662"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tc>
        <w:tc>
          <w:tcPr>
            <w:tcW w:w="405" w:type="pct"/>
            <w:noWrap/>
          </w:tcPr>
          <w:p w14:paraId="604AAB56"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p>
        </w:tc>
        <w:tc>
          <w:tcPr>
            <w:tcW w:w="327" w:type="pct"/>
            <w:hideMark/>
          </w:tcPr>
          <w:p w14:paraId="2B9BE500"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65" w:type="pct"/>
            <w:hideMark/>
          </w:tcPr>
          <w:p w14:paraId="16ACF3EA"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489" w:type="pct"/>
            <w:hideMark/>
          </w:tcPr>
          <w:p w14:paraId="0416135B"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r>
      <w:tr w:rsidR="009D4357" w14:paraId="302E6E24" w14:textId="77777777" w:rsidTr="00CE3F2A">
        <w:trPr>
          <w:gridBefore w:val="1"/>
          <w:gridAfter w:val="2"/>
          <w:cnfStyle w:val="000000100000" w:firstRow="0" w:lastRow="0" w:firstColumn="0" w:lastColumn="0" w:oddVBand="0" w:evenVBand="0" w:oddHBand="1" w:evenHBand="0" w:firstRowFirstColumn="0" w:firstRowLastColumn="0" w:lastRowFirstColumn="0" w:lastRowLastColumn="0"/>
          <w:wBefore w:w="901" w:type="pct"/>
          <w:wAfter w:w="742" w:type="pct"/>
          <w:trHeight w:val="288"/>
        </w:trPr>
        <w:tc>
          <w:tcPr>
            <w:cnfStyle w:val="001000000000" w:firstRow="0" w:lastRow="0" w:firstColumn="1" w:lastColumn="0" w:oddVBand="0" w:evenVBand="0" w:oddHBand="0" w:evenHBand="0" w:firstRowFirstColumn="0" w:firstRowLastColumn="0" w:lastRowFirstColumn="0" w:lastRowLastColumn="0"/>
            <w:tcW w:w="961" w:type="pct"/>
            <w:gridSpan w:val="2"/>
            <w:hideMark/>
          </w:tcPr>
          <w:p w14:paraId="0A038BC2" w14:textId="0F7582EE" w:rsidR="009D4357" w:rsidRPr="0056090D" w:rsidRDefault="009D4357" w:rsidP="00CE3F2A">
            <w:pPr>
              <w:rPr>
                <w:rFonts w:eastAsia="Times New Roman"/>
                <w:b w:val="0"/>
                <w:noProof/>
                <w:sz w:val="20"/>
                <w:lang w:eastAsia="en-GB"/>
              </w:rPr>
            </w:pPr>
            <w:r w:rsidRPr="003E1DA3">
              <w:rPr>
                <w:rFonts w:eastAsia="Times New Roman"/>
                <w:noProof/>
                <w:lang w:eastAsia="en-GB"/>
              </w:rPr>
              <w:t>2</w:t>
            </w:r>
            <w:r w:rsidRPr="003E1DA3">
              <w:rPr>
                <w:rFonts w:eastAsia="Times New Roman"/>
                <w:noProof/>
                <w:vertAlign w:val="superscript"/>
                <w:lang w:eastAsia="en-GB"/>
              </w:rPr>
              <w:t>nd</w:t>
            </w:r>
            <w:r w:rsidRPr="003E1DA3">
              <w:rPr>
                <w:rFonts w:eastAsia="Times New Roman"/>
                <w:noProof/>
                <w:lang w:eastAsia="en-GB"/>
              </w:rPr>
              <w:t xml:space="preserve"> level</w:t>
            </w:r>
            <w:r w:rsidR="00EC4824">
              <w:rPr>
                <w:rFonts w:eastAsia="Times New Roman"/>
                <w:noProof/>
                <w:lang w:eastAsia="en-GB"/>
              </w:rPr>
              <w:t xml:space="preserve"> support administrator (24x7) –</w:t>
            </w:r>
            <w:r w:rsidRPr="003E1DA3">
              <w:rPr>
                <w:rFonts w:eastAsia="Times New Roman"/>
                <w:noProof/>
                <w:lang w:eastAsia="en-GB"/>
              </w:rPr>
              <w:t xml:space="preserve"> (CA)</w:t>
            </w:r>
          </w:p>
        </w:tc>
        <w:tc>
          <w:tcPr>
            <w:tcW w:w="487" w:type="pct"/>
            <w:noWrap/>
          </w:tcPr>
          <w:p w14:paraId="45153A50"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tc>
        <w:tc>
          <w:tcPr>
            <w:tcW w:w="324" w:type="pct"/>
            <w:noWrap/>
          </w:tcPr>
          <w:p w14:paraId="5A6AE8AD"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tc>
        <w:tc>
          <w:tcPr>
            <w:tcW w:w="405" w:type="pct"/>
            <w:noWrap/>
          </w:tcPr>
          <w:p w14:paraId="526D17FA"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tc>
        <w:tc>
          <w:tcPr>
            <w:tcW w:w="327" w:type="pct"/>
            <w:hideMark/>
          </w:tcPr>
          <w:p w14:paraId="3E3DB793"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65" w:type="pct"/>
            <w:hideMark/>
          </w:tcPr>
          <w:p w14:paraId="60B84F80"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489" w:type="pct"/>
            <w:hideMark/>
          </w:tcPr>
          <w:p w14:paraId="19CEDE2F"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r>
      <w:tr w:rsidR="009D4357" w14:paraId="10E03249" w14:textId="77777777" w:rsidTr="00CE3F2A">
        <w:trPr>
          <w:gridBefore w:val="1"/>
          <w:gridAfter w:val="2"/>
          <w:wBefore w:w="901" w:type="pct"/>
          <w:wAfter w:w="742" w:type="pct"/>
          <w:trHeight w:val="288"/>
        </w:trPr>
        <w:tc>
          <w:tcPr>
            <w:cnfStyle w:val="001000000000" w:firstRow="0" w:lastRow="0" w:firstColumn="1" w:lastColumn="0" w:oddVBand="0" w:evenVBand="0" w:oddHBand="0" w:evenHBand="0" w:firstRowFirstColumn="0" w:firstRowLastColumn="0" w:lastRowFirstColumn="0" w:lastRowLastColumn="0"/>
            <w:tcW w:w="961" w:type="pct"/>
            <w:gridSpan w:val="2"/>
            <w:hideMark/>
          </w:tcPr>
          <w:p w14:paraId="00443658" w14:textId="77777777" w:rsidR="009D4357" w:rsidRPr="0056090D" w:rsidRDefault="009D4357" w:rsidP="00CE3F2A">
            <w:pPr>
              <w:rPr>
                <w:rFonts w:eastAsia="Times New Roman"/>
                <w:b w:val="0"/>
                <w:noProof/>
                <w:sz w:val="20"/>
                <w:lang w:eastAsia="en-GB"/>
              </w:rPr>
            </w:pPr>
            <w:r w:rsidRPr="003E1DA3">
              <w:rPr>
                <w:rFonts w:eastAsia="Times New Roman"/>
                <w:noProof/>
                <w:lang w:eastAsia="en-GB"/>
              </w:rPr>
              <w:t>Programme and Project management (TA)</w:t>
            </w:r>
          </w:p>
        </w:tc>
        <w:tc>
          <w:tcPr>
            <w:tcW w:w="487" w:type="pct"/>
            <w:noWrap/>
            <w:hideMark/>
          </w:tcPr>
          <w:p w14:paraId="53E58A96"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24" w:type="pct"/>
            <w:noWrap/>
            <w:hideMark/>
          </w:tcPr>
          <w:p w14:paraId="28027450"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405" w:type="pct"/>
            <w:noWrap/>
            <w:hideMark/>
          </w:tcPr>
          <w:p w14:paraId="0134DE6F"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27" w:type="pct"/>
            <w:hideMark/>
          </w:tcPr>
          <w:p w14:paraId="6445F2BB"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0.5</w:t>
            </w:r>
          </w:p>
        </w:tc>
        <w:tc>
          <w:tcPr>
            <w:tcW w:w="365" w:type="pct"/>
            <w:hideMark/>
          </w:tcPr>
          <w:p w14:paraId="6A7DE8CB"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0.5</w:t>
            </w:r>
          </w:p>
        </w:tc>
        <w:tc>
          <w:tcPr>
            <w:tcW w:w="489" w:type="pct"/>
            <w:hideMark/>
          </w:tcPr>
          <w:p w14:paraId="7B589885"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0.5</w:t>
            </w:r>
          </w:p>
        </w:tc>
      </w:tr>
      <w:tr w:rsidR="009D4357" w14:paraId="1BBEE426" w14:textId="77777777" w:rsidTr="00CE3F2A">
        <w:trPr>
          <w:gridBefore w:val="1"/>
          <w:gridAfter w:val="2"/>
          <w:cnfStyle w:val="000000100000" w:firstRow="0" w:lastRow="0" w:firstColumn="0" w:lastColumn="0" w:oddVBand="0" w:evenVBand="0" w:oddHBand="1" w:evenHBand="0" w:firstRowFirstColumn="0" w:firstRowLastColumn="0" w:lastRowFirstColumn="0" w:lastRowLastColumn="0"/>
          <w:wBefore w:w="901" w:type="pct"/>
          <w:wAfter w:w="742" w:type="pct"/>
          <w:trHeight w:val="288"/>
        </w:trPr>
        <w:tc>
          <w:tcPr>
            <w:cnfStyle w:val="001000000000" w:firstRow="0" w:lastRow="0" w:firstColumn="1" w:lastColumn="0" w:oddVBand="0" w:evenVBand="0" w:oddHBand="0" w:evenHBand="0" w:firstRowFirstColumn="0" w:firstRowLastColumn="0" w:lastRowFirstColumn="0" w:lastRowLastColumn="0"/>
            <w:tcW w:w="961" w:type="pct"/>
            <w:gridSpan w:val="2"/>
            <w:hideMark/>
          </w:tcPr>
          <w:p w14:paraId="03F5D9B0" w14:textId="77777777" w:rsidR="009D4357" w:rsidRPr="0056090D" w:rsidRDefault="009D4357" w:rsidP="00CE3F2A">
            <w:pPr>
              <w:rPr>
                <w:rFonts w:eastAsia="Times New Roman"/>
                <w:b w:val="0"/>
                <w:noProof/>
                <w:sz w:val="20"/>
                <w:lang w:eastAsia="en-GB"/>
              </w:rPr>
            </w:pPr>
            <w:r w:rsidRPr="003E1DA3">
              <w:rPr>
                <w:rFonts w:eastAsia="Times New Roman"/>
                <w:noProof/>
                <w:lang w:eastAsia="en-GB"/>
              </w:rPr>
              <w:t>Product Owner (TA)</w:t>
            </w:r>
          </w:p>
        </w:tc>
        <w:tc>
          <w:tcPr>
            <w:tcW w:w="487" w:type="pct"/>
            <w:noWrap/>
          </w:tcPr>
          <w:p w14:paraId="09ACED23"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tc>
        <w:tc>
          <w:tcPr>
            <w:tcW w:w="324" w:type="pct"/>
            <w:noWrap/>
          </w:tcPr>
          <w:p w14:paraId="4A121408"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p>
        </w:tc>
        <w:tc>
          <w:tcPr>
            <w:tcW w:w="405" w:type="pct"/>
            <w:noWrap/>
            <w:hideMark/>
          </w:tcPr>
          <w:p w14:paraId="32975937"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27" w:type="pct"/>
            <w:hideMark/>
          </w:tcPr>
          <w:p w14:paraId="73465271"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65" w:type="pct"/>
            <w:hideMark/>
          </w:tcPr>
          <w:p w14:paraId="6BD5B37B"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489" w:type="pct"/>
            <w:hideMark/>
          </w:tcPr>
          <w:p w14:paraId="00536E66"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r>
      <w:tr w:rsidR="009D4357" w14:paraId="50EFD06D" w14:textId="77777777" w:rsidTr="00CE3F2A">
        <w:trPr>
          <w:gridBefore w:val="1"/>
          <w:gridAfter w:val="2"/>
          <w:wBefore w:w="901" w:type="pct"/>
          <w:wAfter w:w="742" w:type="pct"/>
          <w:trHeight w:val="288"/>
        </w:trPr>
        <w:tc>
          <w:tcPr>
            <w:cnfStyle w:val="001000000000" w:firstRow="0" w:lastRow="0" w:firstColumn="1" w:lastColumn="0" w:oddVBand="0" w:evenVBand="0" w:oddHBand="0" w:evenHBand="0" w:firstRowFirstColumn="0" w:firstRowLastColumn="0" w:lastRowFirstColumn="0" w:lastRowLastColumn="0"/>
            <w:tcW w:w="961" w:type="pct"/>
            <w:gridSpan w:val="2"/>
            <w:hideMark/>
          </w:tcPr>
          <w:p w14:paraId="054335EA" w14:textId="77777777" w:rsidR="009D4357" w:rsidRPr="0056090D" w:rsidRDefault="009D4357" w:rsidP="00CE3F2A">
            <w:pPr>
              <w:rPr>
                <w:rFonts w:eastAsia="Times New Roman"/>
                <w:b w:val="0"/>
                <w:noProof/>
                <w:sz w:val="20"/>
                <w:lang w:eastAsia="en-GB"/>
              </w:rPr>
            </w:pPr>
            <w:r w:rsidRPr="003E1DA3">
              <w:rPr>
                <w:rFonts w:eastAsia="Times New Roman"/>
                <w:noProof/>
                <w:lang w:eastAsia="en-GB"/>
              </w:rPr>
              <w:t>Biometric Expert (TA)</w:t>
            </w:r>
          </w:p>
        </w:tc>
        <w:tc>
          <w:tcPr>
            <w:tcW w:w="487" w:type="pct"/>
            <w:noWrap/>
            <w:hideMark/>
          </w:tcPr>
          <w:p w14:paraId="7E780508"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24" w:type="pct"/>
            <w:noWrap/>
            <w:hideMark/>
          </w:tcPr>
          <w:p w14:paraId="5D65F87E"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405" w:type="pct"/>
            <w:noWrap/>
            <w:hideMark/>
          </w:tcPr>
          <w:p w14:paraId="2BFAEBE4"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27" w:type="pct"/>
            <w:hideMark/>
          </w:tcPr>
          <w:p w14:paraId="543855CE"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65" w:type="pct"/>
            <w:hideMark/>
          </w:tcPr>
          <w:p w14:paraId="1040A0B9"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489" w:type="pct"/>
            <w:hideMark/>
          </w:tcPr>
          <w:p w14:paraId="1A62875E"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r>
      <w:tr w:rsidR="009D4357" w14:paraId="7C436C2D" w14:textId="77777777" w:rsidTr="00CE3F2A">
        <w:trPr>
          <w:gridBefore w:val="1"/>
          <w:gridAfter w:val="2"/>
          <w:cnfStyle w:val="000000100000" w:firstRow="0" w:lastRow="0" w:firstColumn="0" w:lastColumn="0" w:oddVBand="0" w:evenVBand="0" w:oddHBand="1" w:evenHBand="0" w:firstRowFirstColumn="0" w:firstRowLastColumn="0" w:lastRowFirstColumn="0" w:lastRowLastColumn="0"/>
          <w:wBefore w:w="901" w:type="pct"/>
          <w:wAfter w:w="742" w:type="pct"/>
          <w:trHeight w:val="288"/>
        </w:trPr>
        <w:tc>
          <w:tcPr>
            <w:cnfStyle w:val="001000000000" w:firstRow="0" w:lastRow="0" w:firstColumn="1" w:lastColumn="0" w:oddVBand="0" w:evenVBand="0" w:oddHBand="0" w:evenHBand="0" w:firstRowFirstColumn="0" w:firstRowLastColumn="0" w:lastRowFirstColumn="0" w:lastRowLastColumn="0"/>
            <w:tcW w:w="961" w:type="pct"/>
            <w:gridSpan w:val="2"/>
            <w:hideMark/>
          </w:tcPr>
          <w:p w14:paraId="1B1BD70B" w14:textId="77777777" w:rsidR="009D4357" w:rsidRPr="0056090D" w:rsidRDefault="009D4357" w:rsidP="00CE3F2A">
            <w:pPr>
              <w:rPr>
                <w:rFonts w:eastAsia="Times New Roman"/>
                <w:b w:val="0"/>
                <w:noProof/>
                <w:lang w:eastAsia="en-GB"/>
              </w:rPr>
            </w:pPr>
            <w:r w:rsidRPr="003E1DA3">
              <w:rPr>
                <w:rFonts w:eastAsia="Times New Roman"/>
                <w:noProof/>
                <w:lang w:eastAsia="en-GB"/>
              </w:rPr>
              <w:t>System Administrator/</w:t>
            </w:r>
          </w:p>
          <w:p w14:paraId="161574A0" w14:textId="77777777" w:rsidR="009D4357" w:rsidRPr="0056090D" w:rsidRDefault="009D4357" w:rsidP="00CE3F2A">
            <w:pPr>
              <w:rPr>
                <w:rFonts w:eastAsia="Times New Roman"/>
                <w:b w:val="0"/>
                <w:noProof/>
                <w:sz w:val="20"/>
                <w:lang w:eastAsia="en-GB"/>
              </w:rPr>
            </w:pPr>
            <w:r w:rsidRPr="003E1DA3">
              <w:rPr>
                <w:rFonts w:eastAsia="Times New Roman"/>
                <w:noProof/>
                <w:lang w:eastAsia="en-GB"/>
              </w:rPr>
              <w:t>Infrastructure (TA)</w:t>
            </w:r>
          </w:p>
        </w:tc>
        <w:tc>
          <w:tcPr>
            <w:tcW w:w="487" w:type="pct"/>
            <w:noWrap/>
            <w:hideMark/>
          </w:tcPr>
          <w:p w14:paraId="5027D75F"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24" w:type="pct"/>
            <w:noWrap/>
            <w:hideMark/>
          </w:tcPr>
          <w:p w14:paraId="237E28A9"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405" w:type="pct"/>
            <w:noWrap/>
            <w:hideMark/>
          </w:tcPr>
          <w:p w14:paraId="39EAAA5F"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27" w:type="pct"/>
            <w:hideMark/>
          </w:tcPr>
          <w:p w14:paraId="7A96C338"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365" w:type="pct"/>
            <w:hideMark/>
          </w:tcPr>
          <w:p w14:paraId="04CC2AD7"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c>
          <w:tcPr>
            <w:tcW w:w="489" w:type="pct"/>
            <w:hideMark/>
          </w:tcPr>
          <w:p w14:paraId="2794385F" w14:textId="77777777" w:rsidR="009D4357" w:rsidRPr="003B56E2" w:rsidRDefault="009D4357" w:rsidP="00CE3F2A">
            <w:pPr>
              <w:jc w:val="center"/>
              <w:cnfStyle w:val="000000100000" w:firstRow="0" w:lastRow="0" w:firstColumn="0" w:lastColumn="0" w:oddVBand="0" w:evenVBand="0" w:oddHBand="1" w:evenHBand="0" w:firstRowFirstColumn="0" w:firstRowLastColumn="0" w:lastRowFirstColumn="0" w:lastRowLastColumn="0"/>
              <w:rPr>
                <w:rFonts w:eastAsia="Times New Roman"/>
                <w:noProof/>
                <w:lang w:eastAsia="en-GB"/>
              </w:rPr>
            </w:pPr>
            <w:r w:rsidRPr="003B56E2">
              <w:rPr>
                <w:rFonts w:eastAsia="Times New Roman"/>
                <w:noProof/>
                <w:lang w:eastAsia="en-GB"/>
              </w:rPr>
              <w:t>1</w:t>
            </w:r>
          </w:p>
        </w:tc>
      </w:tr>
      <w:tr w:rsidR="009D4357" w14:paraId="7567D30A" w14:textId="77777777" w:rsidTr="00CE3F2A">
        <w:trPr>
          <w:gridBefore w:val="1"/>
          <w:gridAfter w:val="2"/>
          <w:wBefore w:w="901" w:type="pct"/>
          <w:wAfter w:w="742" w:type="pct"/>
          <w:trHeight w:val="288"/>
        </w:trPr>
        <w:tc>
          <w:tcPr>
            <w:cnfStyle w:val="001000000000" w:firstRow="0" w:lastRow="0" w:firstColumn="1" w:lastColumn="0" w:oddVBand="0" w:evenVBand="0" w:oddHBand="0" w:evenHBand="0" w:firstRowFirstColumn="0" w:firstRowLastColumn="0" w:lastRowFirstColumn="0" w:lastRowLastColumn="0"/>
            <w:tcW w:w="961" w:type="pct"/>
            <w:gridSpan w:val="2"/>
            <w:hideMark/>
          </w:tcPr>
          <w:p w14:paraId="4199E81E" w14:textId="77777777" w:rsidR="009D4357" w:rsidRPr="00270074" w:rsidRDefault="009D4357" w:rsidP="00CE3F2A">
            <w:pPr>
              <w:rPr>
                <w:rFonts w:eastAsia="Times New Roman"/>
                <w:noProof/>
                <w:sz w:val="20"/>
                <w:lang w:eastAsia="en-GB"/>
              </w:rPr>
            </w:pPr>
            <w:r w:rsidRPr="003E1DA3">
              <w:rPr>
                <w:rFonts w:eastAsia="Times New Roman"/>
                <w:noProof/>
                <w:lang w:eastAsia="en-GB"/>
              </w:rPr>
              <w:t>TOTAL</w:t>
            </w:r>
          </w:p>
        </w:tc>
        <w:tc>
          <w:tcPr>
            <w:tcW w:w="487" w:type="pct"/>
            <w:noWrap/>
            <w:hideMark/>
          </w:tcPr>
          <w:p w14:paraId="486AA4C9"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b/>
                <w:noProof/>
                <w:lang w:eastAsia="en-GB"/>
              </w:rPr>
            </w:pPr>
            <w:r w:rsidRPr="003B56E2">
              <w:rPr>
                <w:rFonts w:eastAsia="Times New Roman"/>
                <w:b/>
                <w:noProof/>
                <w:lang w:eastAsia="en-GB"/>
              </w:rPr>
              <w:t>6</w:t>
            </w:r>
          </w:p>
        </w:tc>
        <w:tc>
          <w:tcPr>
            <w:tcW w:w="324" w:type="pct"/>
            <w:noWrap/>
            <w:hideMark/>
          </w:tcPr>
          <w:p w14:paraId="3E407D59"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b/>
                <w:noProof/>
                <w:lang w:eastAsia="en-GB"/>
              </w:rPr>
            </w:pPr>
            <w:r w:rsidRPr="003B56E2">
              <w:rPr>
                <w:rFonts w:eastAsia="Times New Roman"/>
                <w:b/>
                <w:noProof/>
                <w:lang w:eastAsia="en-GB"/>
              </w:rPr>
              <w:t>7</w:t>
            </w:r>
          </w:p>
        </w:tc>
        <w:tc>
          <w:tcPr>
            <w:tcW w:w="405" w:type="pct"/>
            <w:noWrap/>
            <w:hideMark/>
          </w:tcPr>
          <w:p w14:paraId="4B15A05D"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b/>
                <w:noProof/>
                <w:lang w:eastAsia="en-GB"/>
              </w:rPr>
            </w:pPr>
            <w:r w:rsidRPr="003B56E2">
              <w:rPr>
                <w:rFonts w:eastAsia="Times New Roman"/>
                <w:b/>
                <w:noProof/>
                <w:lang w:eastAsia="en-GB"/>
              </w:rPr>
              <w:t>10</w:t>
            </w:r>
          </w:p>
        </w:tc>
        <w:tc>
          <w:tcPr>
            <w:tcW w:w="327" w:type="pct"/>
            <w:hideMark/>
          </w:tcPr>
          <w:p w14:paraId="17B5F23E"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b/>
                <w:noProof/>
                <w:lang w:eastAsia="en-GB"/>
              </w:rPr>
            </w:pPr>
            <w:r w:rsidRPr="003B56E2">
              <w:rPr>
                <w:rFonts w:eastAsia="Times New Roman"/>
                <w:b/>
                <w:noProof/>
                <w:lang w:eastAsia="en-GB"/>
              </w:rPr>
              <w:t>11</w:t>
            </w:r>
          </w:p>
        </w:tc>
        <w:tc>
          <w:tcPr>
            <w:tcW w:w="365" w:type="pct"/>
            <w:hideMark/>
          </w:tcPr>
          <w:p w14:paraId="3A1B01ED"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b/>
                <w:noProof/>
                <w:lang w:eastAsia="en-GB"/>
              </w:rPr>
            </w:pPr>
            <w:r w:rsidRPr="003B56E2">
              <w:rPr>
                <w:rFonts w:eastAsia="Times New Roman"/>
                <w:b/>
                <w:noProof/>
                <w:lang w:eastAsia="en-GB"/>
              </w:rPr>
              <w:t>11</w:t>
            </w:r>
          </w:p>
        </w:tc>
        <w:tc>
          <w:tcPr>
            <w:tcW w:w="489" w:type="pct"/>
            <w:hideMark/>
          </w:tcPr>
          <w:p w14:paraId="3925ACED" w14:textId="77777777" w:rsidR="009D4357" w:rsidRPr="003B56E2" w:rsidRDefault="009D4357" w:rsidP="00CE3F2A">
            <w:pPr>
              <w:jc w:val="center"/>
              <w:cnfStyle w:val="000000000000" w:firstRow="0" w:lastRow="0" w:firstColumn="0" w:lastColumn="0" w:oddVBand="0" w:evenVBand="0" w:oddHBand="0" w:evenHBand="0" w:firstRowFirstColumn="0" w:firstRowLastColumn="0" w:lastRowFirstColumn="0" w:lastRowLastColumn="0"/>
              <w:rPr>
                <w:rFonts w:eastAsia="Times New Roman"/>
                <w:b/>
                <w:noProof/>
                <w:lang w:eastAsia="en-GB"/>
              </w:rPr>
            </w:pPr>
            <w:r w:rsidRPr="003B56E2">
              <w:rPr>
                <w:rFonts w:eastAsia="Times New Roman"/>
                <w:b/>
                <w:noProof/>
                <w:lang w:eastAsia="en-GB"/>
              </w:rPr>
              <w:t>11</w:t>
            </w:r>
          </w:p>
        </w:tc>
      </w:tr>
    </w:tbl>
    <w:p w14:paraId="2B1829C2" w14:textId="77777777" w:rsidR="009D4357" w:rsidRPr="00434957" w:rsidRDefault="009D4357" w:rsidP="009D4357">
      <w:pPr>
        <w:rPr>
          <w:noProof/>
          <w:szCs w:val="24"/>
          <w:lang w:eastAsia="en-GB"/>
        </w:rPr>
      </w:pPr>
    </w:p>
    <w:p w14:paraId="5906CC85" w14:textId="77777777" w:rsidR="009D4357" w:rsidRPr="00434957" w:rsidRDefault="009D4357" w:rsidP="009D4357">
      <w:pPr>
        <w:rPr>
          <w:noProof/>
          <w:szCs w:val="24"/>
          <w:lang w:eastAsia="en-GB"/>
        </w:rPr>
      </w:pPr>
    </w:p>
    <w:p w14:paraId="74E0EA5F" w14:textId="77777777" w:rsidR="009D4357" w:rsidRPr="00434957" w:rsidRDefault="009D4357" w:rsidP="009D4357">
      <w:pPr>
        <w:rPr>
          <w:noProof/>
          <w:highlight w:val="yellow"/>
          <w:lang w:eastAsia="en-GB"/>
        </w:rPr>
        <w:sectPr w:rsidR="009D4357" w:rsidRPr="00434957" w:rsidSect="009D02A3">
          <w:headerReference w:type="default" r:id="rId23"/>
          <w:footerReference w:type="default" r:id="rId24"/>
          <w:headerReference w:type="first" r:id="rId25"/>
          <w:footerReference w:type="first" r:id="rId26"/>
          <w:pgSz w:w="16839" w:h="11907" w:orient="landscape"/>
          <w:pgMar w:top="1417" w:right="1134" w:bottom="1417" w:left="1134" w:header="709" w:footer="709" w:gutter="0"/>
          <w:cols w:space="720"/>
          <w:docGrid w:linePitch="326"/>
        </w:sectPr>
      </w:pPr>
    </w:p>
    <w:p w14:paraId="738C3977" w14:textId="77777777" w:rsidR="009D4357" w:rsidRPr="00434957" w:rsidRDefault="009D4357" w:rsidP="009D4357">
      <w:pPr>
        <w:keepNext/>
        <w:tabs>
          <w:tab w:val="left" w:pos="850"/>
        </w:tabs>
        <w:ind w:left="850" w:hanging="850"/>
        <w:outlineLvl w:val="3"/>
        <w:rPr>
          <w:noProof/>
          <w:szCs w:val="24"/>
          <w:lang w:eastAsia="en-GB"/>
        </w:rPr>
      </w:pPr>
      <w:r w:rsidRPr="00434957">
        <w:rPr>
          <w:noProof/>
        </w:rPr>
        <w:t>3.2.</w:t>
      </w:r>
      <w:r>
        <w:rPr>
          <w:noProof/>
        </w:rPr>
        <w:t>5</w:t>
      </w:r>
      <w:r w:rsidRPr="00434957">
        <w:rPr>
          <w:noProof/>
        </w:rPr>
        <w:t>.2.</w:t>
      </w:r>
      <w:r w:rsidRPr="00434957">
        <w:rPr>
          <w:noProof/>
        </w:rPr>
        <w:tab/>
      </w:r>
      <w:r w:rsidRPr="00434957">
        <w:rPr>
          <w:noProof/>
          <w:lang w:eastAsia="en-GB"/>
        </w:rPr>
        <w:t xml:space="preserve">Estimated requirements of human resources for the </w:t>
      </w:r>
      <w:r>
        <w:rPr>
          <w:noProof/>
          <w:lang w:eastAsia="en-GB"/>
        </w:rPr>
        <w:t>partner</w:t>
      </w:r>
      <w:r w:rsidRPr="00434957">
        <w:rPr>
          <w:noProof/>
          <w:lang w:eastAsia="en-GB"/>
        </w:rPr>
        <w:t xml:space="preserve"> DG</w:t>
      </w:r>
    </w:p>
    <w:p w14:paraId="65858D47" w14:textId="77777777" w:rsidR="009D4357" w:rsidRPr="00434957" w:rsidRDefault="009D4357" w:rsidP="009D4357">
      <w:pPr>
        <w:tabs>
          <w:tab w:val="num" w:pos="1134"/>
        </w:tabs>
        <w:ind w:left="1134" w:hanging="283"/>
        <w:rPr>
          <w:noProof/>
          <w:lang w:eastAsia="en-GB"/>
        </w:rPr>
      </w:pPr>
      <w:r w:rsidRPr="00434957">
        <w:rPr>
          <w:noProof/>
          <w:lang w:eastAsia="en-GB"/>
        </w:rPr>
        <w:sym w:font="Wingdings" w:char="F0A8"/>
      </w:r>
      <w:r w:rsidRPr="00434957">
        <w:rPr>
          <w:noProof/>
          <w:lang w:eastAsia="en-GB"/>
        </w:rPr>
        <w:tab/>
        <w:t xml:space="preserve">The proposal/initiative does not require the use of human resources. </w:t>
      </w:r>
    </w:p>
    <w:p w14:paraId="4F89D128" w14:textId="77777777" w:rsidR="009D4357" w:rsidRPr="00434957" w:rsidRDefault="009D4357" w:rsidP="009D4357">
      <w:pPr>
        <w:tabs>
          <w:tab w:val="num" w:pos="1134"/>
        </w:tabs>
        <w:ind w:left="1134" w:hanging="283"/>
        <w:rPr>
          <w:noProof/>
          <w:lang w:eastAsia="en-GB"/>
        </w:rPr>
      </w:pPr>
      <w:r w:rsidRPr="00434957">
        <w:rPr>
          <w:noProof/>
          <w:lang w:eastAsia="en-GB"/>
        </w:rPr>
        <w:sym w:font="Wingdings" w:char="F078"/>
      </w:r>
      <w:r w:rsidRPr="00434957">
        <w:rPr>
          <w:noProof/>
          <w:lang w:eastAsia="en-GB"/>
        </w:rPr>
        <w:tab/>
        <w:t>The proposal/initiative requires the use of human resources, as explained below:</w:t>
      </w:r>
    </w:p>
    <w:p w14:paraId="7529C8BD" w14:textId="77777777" w:rsidR="009D4357" w:rsidRPr="00434957" w:rsidRDefault="009D4357" w:rsidP="009D4357">
      <w:pPr>
        <w:spacing w:after="60"/>
        <w:jc w:val="right"/>
        <w:rPr>
          <w:i/>
          <w:noProof/>
          <w:sz w:val="20"/>
          <w:lang w:eastAsia="en-GB"/>
        </w:rPr>
      </w:pPr>
      <w:r w:rsidRPr="00434957">
        <w:rPr>
          <w:i/>
          <w:noProof/>
          <w:sz w:val="20"/>
          <w:lang w:eastAsia="en-GB"/>
        </w:rPr>
        <w:t>Estimate to be expressed in full amounts (or at most to one decimal place)</w:t>
      </w:r>
    </w:p>
    <w:tbl>
      <w:tblPr>
        <w:tblW w:w="447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9"/>
        <w:gridCol w:w="2058"/>
        <w:gridCol w:w="756"/>
        <w:gridCol w:w="815"/>
        <w:gridCol w:w="815"/>
        <w:gridCol w:w="815"/>
        <w:gridCol w:w="996"/>
      </w:tblGrid>
      <w:tr w:rsidR="009D4357" w:rsidRPr="00434957" w14:paraId="2936A168" w14:textId="77777777" w:rsidTr="00CE3F2A">
        <w:trPr>
          <w:trHeight w:val="289"/>
          <w:jc w:val="center"/>
        </w:trPr>
        <w:tc>
          <w:tcPr>
            <w:tcW w:w="2472" w:type="pct"/>
            <w:gridSpan w:val="2"/>
            <w:shd w:val="clear" w:color="auto" w:fill="auto"/>
          </w:tcPr>
          <w:p w14:paraId="5F06F95D" w14:textId="77777777" w:rsidR="009D4357" w:rsidRPr="00434957" w:rsidRDefault="009D4357" w:rsidP="00CE3F2A">
            <w:pPr>
              <w:spacing w:before="40" w:after="40"/>
              <w:jc w:val="center"/>
              <w:rPr>
                <w:i/>
                <w:noProof/>
                <w:sz w:val="20"/>
                <w:lang w:eastAsia="en-GB"/>
              </w:rPr>
            </w:pPr>
          </w:p>
        </w:tc>
        <w:tc>
          <w:tcPr>
            <w:tcW w:w="455" w:type="pct"/>
            <w:shd w:val="clear" w:color="auto" w:fill="auto"/>
            <w:vAlign w:val="center"/>
          </w:tcPr>
          <w:p w14:paraId="2999449F" w14:textId="77777777" w:rsidR="009D4357" w:rsidRPr="00434957" w:rsidRDefault="009D4357" w:rsidP="00CE3F2A">
            <w:pPr>
              <w:spacing w:before="20" w:after="20"/>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2023</w:t>
            </w:r>
          </w:p>
        </w:tc>
        <w:tc>
          <w:tcPr>
            <w:tcW w:w="491" w:type="pct"/>
            <w:vAlign w:val="center"/>
          </w:tcPr>
          <w:p w14:paraId="77EA4773" w14:textId="77777777" w:rsidR="009D4357" w:rsidRPr="00434957" w:rsidRDefault="009D4357" w:rsidP="00CE3F2A">
            <w:pPr>
              <w:spacing w:before="20" w:after="20"/>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2024</w:t>
            </w:r>
          </w:p>
        </w:tc>
        <w:tc>
          <w:tcPr>
            <w:tcW w:w="491" w:type="pct"/>
            <w:vAlign w:val="center"/>
          </w:tcPr>
          <w:p w14:paraId="71C3EFC0" w14:textId="77777777" w:rsidR="009D4357" w:rsidRPr="00434957" w:rsidRDefault="009D4357" w:rsidP="00CE3F2A">
            <w:pPr>
              <w:spacing w:before="20" w:after="20"/>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2025</w:t>
            </w:r>
          </w:p>
        </w:tc>
        <w:tc>
          <w:tcPr>
            <w:tcW w:w="491" w:type="pct"/>
            <w:shd w:val="clear" w:color="auto" w:fill="auto"/>
          </w:tcPr>
          <w:p w14:paraId="04D18506" w14:textId="77777777" w:rsidR="009D4357" w:rsidRPr="00434957" w:rsidRDefault="009D4357" w:rsidP="00CE3F2A">
            <w:pPr>
              <w:spacing w:before="20" w:after="20"/>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2026</w:t>
            </w:r>
          </w:p>
        </w:tc>
        <w:tc>
          <w:tcPr>
            <w:tcW w:w="600" w:type="pct"/>
            <w:shd w:val="clear" w:color="auto" w:fill="auto"/>
          </w:tcPr>
          <w:p w14:paraId="74E8FCC9" w14:textId="77777777" w:rsidR="009D4357" w:rsidRPr="00434957" w:rsidRDefault="009D4357" w:rsidP="00CE3F2A">
            <w:pPr>
              <w:spacing w:before="20" w:after="20"/>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2027</w:t>
            </w:r>
          </w:p>
        </w:tc>
      </w:tr>
      <w:tr w:rsidR="009D4357" w:rsidRPr="00434957" w14:paraId="60500D3F" w14:textId="77777777" w:rsidTr="00CE3F2A">
        <w:trPr>
          <w:trHeight w:val="289"/>
          <w:jc w:val="center"/>
        </w:trPr>
        <w:tc>
          <w:tcPr>
            <w:tcW w:w="2472" w:type="pct"/>
            <w:gridSpan w:val="2"/>
            <w:shd w:val="clear" w:color="auto" w:fill="auto"/>
            <w:vAlign w:val="center"/>
          </w:tcPr>
          <w:p w14:paraId="2FDAEC52" w14:textId="77777777" w:rsidR="009D4357" w:rsidRPr="00434957" w:rsidRDefault="009D4357" w:rsidP="00926358">
            <w:pPr>
              <w:numPr>
                <w:ilvl w:val="0"/>
                <w:numId w:val="39"/>
              </w:numPr>
              <w:tabs>
                <w:tab w:val="left" w:pos="208"/>
              </w:tabs>
              <w:spacing w:beforeLines="20" w:before="48" w:afterLines="20" w:after="48"/>
              <w:ind w:left="208" w:hanging="120"/>
              <w:rPr>
                <w:b/>
                <w:noProof/>
                <w:sz w:val="20"/>
                <w:lang w:eastAsia="en-GB"/>
              </w:rPr>
            </w:pPr>
            <w:r w:rsidRPr="00434957">
              <w:rPr>
                <w:b/>
                <w:noProof/>
                <w:sz w:val="20"/>
                <w:lang w:eastAsia="en-GB"/>
              </w:rPr>
              <w:t>Establishment plan posts (officials and temporary staff)</w:t>
            </w:r>
          </w:p>
        </w:tc>
        <w:tc>
          <w:tcPr>
            <w:tcW w:w="455" w:type="pct"/>
            <w:shd w:val="clear" w:color="auto" w:fill="auto"/>
            <w:vAlign w:val="center"/>
          </w:tcPr>
          <w:p w14:paraId="7CA8E1F3" w14:textId="77777777" w:rsidR="009D4357" w:rsidRPr="00434957" w:rsidRDefault="009D4357" w:rsidP="00CE3F2A">
            <w:pPr>
              <w:spacing w:beforeLines="20" w:before="48" w:afterLines="20" w:after="48"/>
              <w:jc w:val="center"/>
              <w:rPr>
                <w:noProof/>
                <w:sz w:val="20"/>
                <w:lang w:eastAsia="en-GB"/>
              </w:rPr>
            </w:pPr>
          </w:p>
        </w:tc>
        <w:tc>
          <w:tcPr>
            <w:tcW w:w="491" w:type="pct"/>
          </w:tcPr>
          <w:p w14:paraId="75F11126" w14:textId="77777777" w:rsidR="009D4357" w:rsidRPr="00434957" w:rsidRDefault="009D4357" w:rsidP="00CE3F2A">
            <w:pPr>
              <w:spacing w:beforeLines="20" w:before="48" w:afterLines="20" w:after="48"/>
              <w:jc w:val="center"/>
              <w:rPr>
                <w:noProof/>
                <w:sz w:val="20"/>
                <w:lang w:eastAsia="en-GB"/>
              </w:rPr>
            </w:pPr>
          </w:p>
        </w:tc>
        <w:tc>
          <w:tcPr>
            <w:tcW w:w="491" w:type="pct"/>
          </w:tcPr>
          <w:p w14:paraId="3C2BD1F8" w14:textId="77777777" w:rsidR="009D4357" w:rsidRPr="00434957" w:rsidRDefault="009D4357" w:rsidP="00CE3F2A">
            <w:pPr>
              <w:spacing w:beforeLines="20" w:before="48" w:afterLines="20" w:after="48"/>
              <w:jc w:val="center"/>
              <w:rPr>
                <w:noProof/>
                <w:sz w:val="20"/>
                <w:lang w:eastAsia="en-GB"/>
              </w:rPr>
            </w:pPr>
          </w:p>
        </w:tc>
        <w:tc>
          <w:tcPr>
            <w:tcW w:w="491" w:type="pct"/>
            <w:shd w:val="clear" w:color="auto" w:fill="auto"/>
            <w:vAlign w:val="center"/>
          </w:tcPr>
          <w:p w14:paraId="7822F7F9" w14:textId="77777777" w:rsidR="009D4357" w:rsidRPr="00434957" w:rsidRDefault="009D4357" w:rsidP="00CE3F2A">
            <w:pPr>
              <w:spacing w:beforeLines="20" w:before="48" w:afterLines="20" w:after="48"/>
              <w:jc w:val="center"/>
              <w:rPr>
                <w:noProof/>
                <w:sz w:val="20"/>
                <w:lang w:eastAsia="en-GB"/>
              </w:rPr>
            </w:pPr>
          </w:p>
        </w:tc>
        <w:tc>
          <w:tcPr>
            <w:tcW w:w="600" w:type="pct"/>
            <w:shd w:val="clear" w:color="auto" w:fill="auto"/>
            <w:vAlign w:val="center"/>
          </w:tcPr>
          <w:p w14:paraId="70900656" w14:textId="77777777" w:rsidR="009D4357" w:rsidRPr="00434957" w:rsidRDefault="009D4357" w:rsidP="00CE3F2A">
            <w:pPr>
              <w:spacing w:beforeLines="20" w:before="48" w:afterLines="20" w:after="48"/>
              <w:jc w:val="center"/>
              <w:rPr>
                <w:noProof/>
                <w:sz w:val="20"/>
                <w:lang w:eastAsia="en-GB"/>
              </w:rPr>
            </w:pPr>
          </w:p>
        </w:tc>
      </w:tr>
      <w:tr w:rsidR="009D4357" w:rsidRPr="00434957" w14:paraId="0DCC64F6" w14:textId="77777777" w:rsidTr="00CE3F2A">
        <w:trPr>
          <w:trHeight w:val="289"/>
          <w:jc w:val="center"/>
        </w:trPr>
        <w:tc>
          <w:tcPr>
            <w:tcW w:w="2472" w:type="pct"/>
            <w:gridSpan w:val="2"/>
            <w:shd w:val="clear" w:color="auto" w:fill="auto"/>
            <w:vAlign w:val="center"/>
          </w:tcPr>
          <w:p w14:paraId="7A191B66" w14:textId="77777777" w:rsidR="009D4357" w:rsidRPr="00434957" w:rsidRDefault="009D4357" w:rsidP="00CE3F2A">
            <w:pPr>
              <w:spacing w:beforeLines="20" w:before="48" w:afterLines="20" w:after="48"/>
              <w:ind w:left="984"/>
              <w:rPr>
                <w:b/>
                <w:noProof/>
                <w:sz w:val="20"/>
                <w:lang w:eastAsia="en-GB"/>
              </w:rPr>
            </w:pPr>
            <w:r w:rsidRPr="00434957">
              <w:rPr>
                <w:noProof/>
                <w:sz w:val="20"/>
                <w:lang w:eastAsia="en-GB"/>
              </w:rPr>
              <w:t>XX 01 01 01 (Headquarters and Commission’s Representation Offices)</w:t>
            </w:r>
          </w:p>
        </w:tc>
        <w:tc>
          <w:tcPr>
            <w:tcW w:w="455" w:type="pct"/>
            <w:shd w:val="clear" w:color="auto" w:fill="auto"/>
            <w:vAlign w:val="center"/>
          </w:tcPr>
          <w:p w14:paraId="303D1F60" w14:textId="77777777" w:rsidR="009D4357" w:rsidRPr="00434957" w:rsidRDefault="009D4357" w:rsidP="00CE3F2A">
            <w:pPr>
              <w:spacing w:beforeLines="20" w:before="48" w:afterLines="20" w:after="48"/>
              <w:rPr>
                <w:noProof/>
                <w:sz w:val="20"/>
                <w:lang w:eastAsia="en-GB"/>
              </w:rPr>
            </w:pPr>
          </w:p>
        </w:tc>
        <w:tc>
          <w:tcPr>
            <w:tcW w:w="491" w:type="pct"/>
            <w:vAlign w:val="center"/>
          </w:tcPr>
          <w:p w14:paraId="33E98183" w14:textId="77777777" w:rsidR="009D4357" w:rsidRPr="00434957" w:rsidRDefault="009D4357" w:rsidP="00CE3F2A">
            <w:pPr>
              <w:spacing w:beforeLines="20" w:before="48" w:afterLines="20" w:after="48"/>
              <w:rPr>
                <w:noProof/>
                <w:sz w:val="20"/>
                <w:lang w:eastAsia="en-GB"/>
              </w:rPr>
            </w:pPr>
            <w:r>
              <w:rPr>
                <w:noProof/>
                <w:sz w:val="20"/>
                <w:lang w:eastAsia="en-GB"/>
              </w:rPr>
              <w:t>5</w:t>
            </w:r>
          </w:p>
        </w:tc>
        <w:tc>
          <w:tcPr>
            <w:tcW w:w="491" w:type="pct"/>
            <w:vAlign w:val="center"/>
          </w:tcPr>
          <w:p w14:paraId="201A5E0D" w14:textId="77777777" w:rsidR="009D4357" w:rsidRPr="00434957" w:rsidRDefault="009D4357" w:rsidP="00CE3F2A">
            <w:pPr>
              <w:spacing w:beforeLines="20" w:before="48" w:afterLines="20" w:after="48"/>
              <w:rPr>
                <w:noProof/>
                <w:sz w:val="20"/>
                <w:lang w:eastAsia="en-GB"/>
              </w:rPr>
            </w:pPr>
            <w:r>
              <w:rPr>
                <w:noProof/>
                <w:sz w:val="20"/>
                <w:lang w:eastAsia="en-GB"/>
              </w:rPr>
              <w:t>5</w:t>
            </w:r>
          </w:p>
        </w:tc>
        <w:tc>
          <w:tcPr>
            <w:tcW w:w="491" w:type="pct"/>
            <w:shd w:val="clear" w:color="auto" w:fill="auto"/>
            <w:vAlign w:val="center"/>
          </w:tcPr>
          <w:p w14:paraId="2E96DBEF" w14:textId="77777777" w:rsidR="009D4357" w:rsidRPr="00434957" w:rsidRDefault="009D4357" w:rsidP="00CE3F2A">
            <w:pPr>
              <w:spacing w:beforeLines="20" w:before="48" w:afterLines="20" w:after="48"/>
              <w:rPr>
                <w:noProof/>
                <w:sz w:val="20"/>
                <w:lang w:eastAsia="en-GB"/>
              </w:rPr>
            </w:pPr>
            <w:r>
              <w:rPr>
                <w:noProof/>
                <w:sz w:val="20"/>
                <w:lang w:eastAsia="en-GB"/>
              </w:rPr>
              <w:t>4</w:t>
            </w:r>
          </w:p>
        </w:tc>
        <w:tc>
          <w:tcPr>
            <w:tcW w:w="600" w:type="pct"/>
            <w:shd w:val="clear" w:color="auto" w:fill="auto"/>
            <w:vAlign w:val="center"/>
          </w:tcPr>
          <w:p w14:paraId="6C80370A" w14:textId="77777777" w:rsidR="009D4357" w:rsidRPr="00434957" w:rsidRDefault="009D4357" w:rsidP="00CE3F2A">
            <w:pPr>
              <w:spacing w:beforeLines="20" w:before="48" w:afterLines="20" w:after="48"/>
              <w:rPr>
                <w:noProof/>
                <w:sz w:val="20"/>
                <w:lang w:eastAsia="en-GB"/>
              </w:rPr>
            </w:pPr>
            <w:r>
              <w:rPr>
                <w:noProof/>
                <w:sz w:val="20"/>
                <w:lang w:eastAsia="en-GB"/>
              </w:rPr>
              <w:t>4</w:t>
            </w:r>
          </w:p>
        </w:tc>
      </w:tr>
      <w:tr w:rsidR="009D4357" w:rsidRPr="00434957" w14:paraId="31165C41" w14:textId="77777777" w:rsidTr="00CE3F2A">
        <w:trPr>
          <w:trHeight w:val="289"/>
          <w:jc w:val="center"/>
        </w:trPr>
        <w:tc>
          <w:tcPr>
            <w:tcW w:w="2472" w:type="pct"/>
            <w:gridSpan w:val="2"/>
            <w:shd w:val="clear" w:color="auto" w:fill="auto"/>
            <w:vAlign w:val="center"/>
          </w:tcPr>
          <w:p w14:paraId="7549DB40" w14:textId="77777777" w:rsidR="009D4357" w:rsidRPr="00434957" w:rsidRDefault="009D4357" w:rsidP="00CE3F2A">
            <w:pPr>
              <w:spacing w:beforeLines="20" w:before="48" w:afterLines="20" w:after="48"/>
              <w:ind w:left="984"/>
              <w:rPr>
                <w:noProof/>
                <w:sz w:val="20"/>
                <w:lang w:eastAsia="en-GB"/>
              </w:rPr>
            </w:pPr>
            <w:r w:rsidRPr="00434957">
              <w:rPr>
                <w:noProof/>
                <w:sz w:val="20"/>
                <w:lang w:eastAsia="en-GB"/>
              </w:rPr>
              <w:t>XX 01 01 02 (Delegations)</w:t>
            </w:r>
          </w:p>
        </w:tc>
        <w:tc>
          <w:tcPr>
            <w:tcW w:w="455" w:type="pct"/>
            <w:shd w:val="clear" w:color="auto" w:fill="auto"/>
            <w:vAlign w:val="center"/>
          </w:tcPr>
          <w:p w14:paraId="2D6D14B2" w14:textId="77777777" w:rsidR="009D4357" w:rsidRPr="00434957" w:rsidRDefault="009D4357" w:rsidP="00CE3F2A">
            <w:pPr>
              <w:spacing w:beforeLines="20" w:before="48" w:afterLines="20" w:after="48"/>
              <w:rPr>
                <w:noProof/>
                <w:sz w:val="20"/>
                <w:lang w:eastAsia="en-GB"/>
              </w:rPr>
            </w:pPr>
          </w:p>
        </w:tc>
        <w:tc>
          <w:tcPr>
            <w:tcW w:w="491" w:type="pct"/>
            <w:vAlign w:val="center"/>
          </w:tcPr>
          <w:p w14:paraId="4CBFC09D" w14:textId="77777777" w:rsidR="009D4357" w:rsidRPr="00434957" w:rsidRDefault="009D4357" w:rsidP="00CE3F2A">
            <w:pPr>
              <w:spacing w:beforeLines="20" w:before="48" w:afterLines="20" w:after="48"/>
              <w:rPr>
                <w:noProof/>
                <w:sz w:val="20"/>
                <w:lang w:eastAsia="en-GB"/>
              </w:rPr>
            </w:pPr>
          </w:p>
        </w:tc>
        <w:tc>
          <w:tcPr>
            <w:tcW w:w="491" w:type="pct"/>
            <w:vAlign w:val="center"/>
          </w:tcPr>
          <w:p w14:paraId="734D199A" w14:textId="77777777" w:rsidR="009D4357" w:rsidRPr="00434957" w:rsidRDefault="009D4357" w:rsidP="00CE3F2A">
            <w:pPr>
              <w:spacing w:beforeLines="20" w:before="48" w:afterLines="20" w:after="48"/>
              <w:rPr>
                <w:noProof/>
                <w:sz w:val="20"/>
                <w:lang w:eastAsia="en-GB"/>
              </w:rPr>
            </w:pPr>
          </w:p>
        </w:tc>
        <w:tc>
          <w:tcPr>
            <w:tcW w:w="491" w:type="pct"/>
            <w:shd w:val="clear" w:color="auto" w:fill="auto"/>
            <w:vAlign w:val="center"/>
          </w:tcPr>
          <w:p w14:paraId="6FDC2F97" w14:textId="77777777" w:rsidR="009D4357" w:rsidRPr="00434957" w:rsidRDefault="009D4357" w:rsidP="00CE3F2A">
            <w:pPr>
              <w:spacing w:beforeLines="20" w:before="48" w:afterLines="20" w:after="48"/>
              <w:rPr>
                <w:noProof/>
                <w:sz w:val="20"/>
                <w:lang w:eastAsia="en-GB"/>
              </w:rPr>
            </w:pPr>
          </w:p>
        </w:tc>
        <w:tc>
          <w:tcPr>
            <w:tcW w:w="600" w:type="pct"/>
            <w:shd w:val="clear" w:color="auto" w:fill="auto"/>
            <w:vAlign w:val="center"/>
          </w:tcPr>
          <w:p w14:paraId="6D1A9D6D" w14:textId="77777777" w:rsidR="009D4357" w:rsidRPr="00434957" w:rsidRDefault="009D4357" w:rsidP="00CE3F2A">
            <w:pPr>
              <w:spacing w:beforeLines="20" w:before="48" w:afterLines="20" w:after="48"/>
              <w:rPr>
                <w:noProof/>
                <w:sz w:val="20"/>
                <w:lang w:eastAsia="en-GB"/>
              </w:rPr>
            </w:pPr>
          </w:p>
        </w:tc>
      </w:tr>
      <w:tr w:rsidR="009D4357" w:rsidRPr="00434957" w14:paraId="0D45C87F" w14:textId="77777777" w:rsidTr="00CE3F2A">
        <w:trPr>
          <w:trHeight w:val="953"/>
          <w:jc w:val="center"/>
        </w:trPr>
        <w:tc>
          <w:tcPr>
            <w:tcW w:w="2472" w:type="pct"/>
            <w:gridSpan w:val="2"/>
            <w:shd w:val="clear" w:color="auto" w:fill="auto"/>
            <w:vAlign w:val="center"/>
          </w:tcPr>
          <w:p w14:paraId="41DDF49E" w14:textId="77777777" w:rsidR="009D4357" w:rsidRPr="00434957" w:rsidRDefault="009D4357" w:rsidP="00CE3F2A">
            <w:pPr>
              <w:spacing w:beforeLines="20" w:before="48" w:afterLines="20" w:after="48"/>
              <w:ind w:left="984"/>
              <w:rPr>
                <w:noProof/>
                <w:sz w:val="20"/>
                <w:lang w:eastAsia="en-GB"/>
              </w:rPr>
            </w:pPr>
            <w:r w:rsidRPr="00434957">
              <w:rPr>
                <w:noProof/>
                <w:sz w:val="20"/>
                <w:lang w:eastAsia="en-GB"/>
              </w:rPr>
              <w:t>XX 01 05 01 (Indirect research)</w:t>
            </w:r>
          </w:p>
        </w:tc>
        <w:tc>
          <w:tcPr>
            <w:tcW w:w="455" w:type="pct"/>
            <w:shd w:val="clear" w:color="auto" w:fill="auto"/>
            <w:vAlign w:val="center"/>
          </w:tcPr>
          <w:p w14:paraId="7AFE246A" w14:textId="77777777" w:rsidR="009D4357" w:rsidRPr="00434957" w:rsidRDefault="009D4357" w:rsidP="00CE3F2A">
            <w:pPr>
              <w:spacing w:beforeLines="20" w:before="48" w:afterLines="20" w:after="48"/>
              <w:rPr>
                <w:noProof/>
                <w:sz w:val="20"/>
                <w:lang w:eastAsia="en-GB"/>
              </w:rPr>
            </w:pPr>
          </w:p>
        </w:tc>
        <w:tc>
          <w:tcPr>
            <w:tcW w:w="491" w:type="pct"/>
            <w:vAlign w:val="center"/>
          </w:tcPr>
          <w:p w14:paraId="02C8009B" w14:textId="77777777" w:rsidR="009D4357" w:rsidRPr="00434957" w:rsidRDefault="009D4357" w:rsidP="00CE3F2A">
            <w:pPr>
              <w:spacing w:beforeLines="20" w:before="48" w:afterLines="20" w:after="48"/>
              <w:rPr>
                <w:noProof/>
                <w:sz w:val="20"/>
                <w:lang w:eastAsia="en-GB"/>
              </w:rPr>
            </w:pPr>
          </w:p>
        </w:tc>
        <w:tc>
          <w:tcPr>
            <w:tcW w:w="491" w:type="pct"/>
            <w:vAlign w:val="center"/>
          </w:tcPr>
          <w:p w14:paraId="4DCBE4CB" w14:textId="77777777" w:rsidR="009D4357" w:rsidRPr="00434957" w:rsidRDefault="009D4357" w:rsidP="00CE3F2A">
            <w:pPr>
              <w:spacing w:beforeLines="20" w:before="48" w:afterLines="20" w:after="48"/>
              <w:rPr>
                <w:noProof/>
                <w:sz w:val="20"/>
                <w:lang w:eastAsia="en-GB"/>
              </w:rPr>
            </w:pPr>
          </w:p>
        </w:tc>
        <w:tc>
          <w:tcPr>
            <w:tcW w:w="491" w:type="pct"/>
            <w:shd w:val="clear" w:color="auto" w:fill="auto"/>
            <w:vAlign w:val="center"/>
          </w:tcPr>
          <w:p w14:paraId="22151937" w14:textId="77777777" w:rsidR="009D4357" w:rsidRPr="00434957" w:rsidRDefault="009D4357" w:rsidP="00CE3F2A">
            <w:pPr>
              <w:spacing w:beforeLines="20" w:before="48" w:afterLines="20" w:after="48"/>
              <w:rPr>
                <w:noProof/>
                <w:sz w:val="20"/>
                <w:lang w:eastAsia="en-GB"/>
              </w:rPr>
            </w:pPr>
          </w:p>
        </w:tc>
        <w:tc>
          <w:tcPr>
            <w:tcW w:w="600" w:type="pct"/>
            <w:shd w:val="clear" w:color="auto" w:fill="auto"/>
            <w:vAlign w:val="center"/>
          </w:tcPr>
          <w:p w14:paraId="1E7518D1" w14:textId="77777777" w:rsidR="009D4357" w:rsidRPr="00434957" w:rsidRDefault="009D4357" w:rsidP="00CE3F2A">
            <w:pPr>
              <w:spacing w:beforeLines="20" w:before="48" w:afterLines="20" w:after="48"/>
              <w:rPr>
                <w:noProof/>
                <w:sz w:val="20"/>
                <w:lang w:eastAsia="en-GB"/>
              </w:rPr>
            </w:pPr>
          </w:p>
        </w:tc>
      </w:tr>
      <w:tr w:rsidR="009D4357" w:rsidRPr="00434957" w14:paraId="7BF1E25D" w14:textId="77777777" w:rsidTr="00CE3F2A">
        <w:trPr>
          <w:trHeight w:val="289"/>
          <w:jc w:val="center"/>
        </w:trPr>
        <w:tc>
          <w:tcPr>
            <w:tcW w:w="2472" w:type="pct"/>
            <w:gridSpan w:val="2"/>
            <w:shd w:val="clear" w:color="auto" w:fill="auto"/>
            <w:vAlign w:val="center"/>
          </w:tcPr>
          <w:p w14:paraId="492956F3" w14:textId="77777777" w:rsidR="009D4357" w:rsidRPr="00434957" w:rsidRDefault="009D4357" w:rsidP="00CE3F2A">
            <w:pPr>
              <w:spacing w:beforeLines="20" w:before="48" w:afterLines="20" w:after="48"/>
              <w:ind w:left="984"/>
              <w:rPr>
                <w:noProof/>
                <w:sz w:val="20"/>
                <w:lang w:eastAsia="en-GB"/>
              </w:rPr>
            </w:pPr>
            <w:r w:rsidRPr="00434957">
              <w:rPr>
                <w:noProof/>
                <w:sz w:val="20"/>
                <w:lang w:eastAsia="en-GB"/>
              </w:rPr>
              <w:t>10 01 05 01 (Direct research)</w:t>
            </w:r>
          </w:p>
        </w:tc>
        <w:tc>
          <w:tcPr>
            <w:tcW w:w="455" w:type="pct"/>
            <w:shd w:val="clear" w:color="auto" w:fill="auto"/>
            <w:vAlign w:val="center"/>
          </w:tcPr>
          <w:p w14:paraId="51F98590" w14:textId="77777777" w:rsidR="009D4357" w:rsidRPr="00434957" w:rsidRDefault="009D4357" w:rsidP="00CE3F2A">
            <w:pPr>
              <w:spacing w:beforeLines="20" w:before="48" w:afterLines="20" w:after="48"/>
              <w:rPr>
                <w:noProof/>
                <w:sz w:val="20"/>
                <w:lang w:eastAsia="en-GB"/>
              </w:rPr>
            </w:pPr>
          </w:p>
        </w:tc>
        <w:tc>
          <w:tcPr>
            <w:tcW w:w="491" w:type="pct"/>
            <w:vAlign w:val="center"/>
          </w:tcPr>
          <w:p w14:paraId="6C85C49E" w14:textId="77777777" w:rsidR="009D4357" w:rsidRPr="00434957" w:rsidRDefault="009D4357" w:rsidP="00CE3F2A">
            <w:pPr>
              <w:spacing w:beforeLines="20" w:before="48" w:afterLines="20" w:after="48"/>
              <w:rPr>
                <w:noProof/>
                <w:sz w:val="20"/>
                <w:lang w:eastAsia="en-GB"/>
              </w:rPr>
            </w:pPr>
          </w:p>
        </w:tc>
        <w:tc>
          <w:tcPr>
            <w:tcW w:w="491" w:type="pct"/>
            <w:vAlign w:val="center"/>
          </w:tcPr>
          <w:p w14:paraId="62D4E366" w14:textId="77777777" w:rsidR="009D4357" w:rsidRPr="00434957" w:rsidRDefault="009D4357" w:rsidP="00CE3F2A">
            <w:pPr>
              <w:spacing w:beforeLines="20" w:before="48" w:afterLines="20" w:after="48"/>
              <w:rPr>
                <w:noProof/>
                <w:sz w:val="20"/>
                <w:lang w:eastAsia="en-GB"/>
              </w:rPr>
            </w:pPr>
          </w:p>
        </w:tc>
        <w:tc>
          <w:tcPr>
            <w:tcW w:w="491" w:type="pct"/>
            <w:shd w:val="clear" w:color="auto" w:fill="auto"/>
            <w:vAlign w:val="center"/>
          </w:tcPr>
          <w:p w14:paraId="1C249F97" w14:textId="77777777" w:rsidR="009D4357" w:rsidRPr="00434957" w:rsidRDefault="009D4357" w:rsidP="00CE3F2A">
            <w:pPr>
              <w:spacing w:beforeLines="20" w:before="48" w:afterLines="20" w:after="48"/>
              <w:rPr>
                <w:noProof/>
                <w:sz w:val="20"/>
                <w:lang w:eastAsia="en-GB"/>
              </w:rPr>
            </w:pPr>
          </w:p>
        </w:tc>
        <w:tc>
          <w:tcPr>
            <w:tcW w:w="600" w:type="pct"/>
            <w:shd w:val="clear" w:color="auto" w:fill="auto"/>
            <w:vAlign w:val="center"/>
          </w:tcPr>
          <w:p w14:paraId="440B2E09" w14:textId="77777777" w:rsidR="009D4357" w:rsidRPr="00434957" w:rsidRDefault="009D4357" w:rsidP="00CE3F2A">
            <w:pPr>
              <w:spacing w:beforeLines="20" w:before="48" w:afterLines="20" w:after="48"/>
              <w:rPr>
                <w:noProof/>
                <w:sz w:val="20"/>
                <w:lang w:eastAsia="en-GB"/>
              </w:rPr>
            </w:pPr>
          </w:p>
        </w:tc>
      </w:tr>
      <w:tr w:rsidR="009D4357" w:rsidRPr="00434957" w14:paraId="58CDC607" w14:textId="77777777" w:rsidTr="00CE3F2A">
        <w:trPr>
          <w:trHeight w:val="289"/>
          <w:jc w:val="center"/>
        </w:trPr>
        <w:tc>
          <w:tcPr>
            <w:tcW w:w="2472" w:type="pct"/>
            <w:gridSpan w:val="2"/>
            <w:shd w:val="clear" w:color="auto" w:fill="auto"/>
            <w:vAlign w:val="center"/>
          </w:tcPr>
          <w:p w14:paraId="0985F47D" w14:textId="77777777" w:rsidR="009D4357" w:rsidRPr="00434957" w:rsidRDefault="009D4357" w:rsidP="00CE3F2A">
            <w:pPr>
              <w:spacing w:beforeLines="20" w:before="48" w:afterLines="20" w:after="48"/>
              <w:ind w:left="984"/>
              <w:rPr>
                <w:noProof/>
                <w:sz w:val="20"/>
                <w:lang w:eastAsia="en-GB"/>
              </w:rPr>
            </w:pPr>
          </w:p>
        </w:tc>
        <w:tc>
          <w:tcPr>
            <w:tcW w:w="455" w:type="pct"/>
            <w:shd w:val="clear" w:color="auto" w:fill="auto"/>
            <w:vAlign w:val="center"/>
          </w:tcPr>
          <w:p w14:paraId="730105B2" w14:textId="77777777" w:rsidR="009D4357" w:rsidRPr="00434957" w:rsidRDefault="009D4357" w:rsidP="00CE3F2A">
            <w:pPr>
              <w:spacing w:beforeLines="20" w:before="48" w:afterLines="20" w:after="48"/>
              <w:rPr>
                <w:noProof/>
                <w:sz w:val="20"/>
                <w:lang w:eastAsia="en-GB"/>
              </w:rPr>
            </w:pPr>
          </w:p>
        </w:tc>
        <w:tc>
          <w:tcPr>
            <w:tcW w:w="491" w:type="pct"/>
            <w:vAlign w:val="center"/>
          </w:tcPr>
          <w:p w14:paraId="094476E7" w14:textId="77777777" w:rsidR="009D4357" w:rsidRPr="00434957" w:rsidRDefault="009D4357" w:rsidP="00CE3F2A">
            <w:pPr>
              <w:spacing w:beforeLines="20" w:before="48" w:afterLines="20" w:after="48"/>
              <w:rPr>
                <w:noProof/>
                <w:sz w:val="20"/>
                <w:lang w:eastAsia="en-GB"/>
              </w:rPr>
            </w:pPr>
          </w:p>
        </w:tc>
        <w:tc>
          <w:tcPr>
            <w:tcW w:w="491" w:type="pct"/>
            <w:vAlign w:val="center"/>
          </w:tcPr>
          <w:p w14:paraId="22922B80" w14:textId="77777777" w:rsidR="009D4357" w:rsidRPr="00434957" w:rsidRDefault="009D4357" w:rsidP="00CE3F2A">
            <w:pPr>
              <w:spacing w:beforeLines="20" w:before="48" w:afterLines="20" w:after="48"/>
              <w:rPr>
                <w:noProof/>
                <w:sz w:val="20"/>
                <w:lang w:eastAsia="en-GB"/>
              </w:rPr>
            </w:pPr>
          </w:p>
        </w:tc>
        <w:tc>
          <w:tcPr>
            <w:tcW w:w="491" w:type="pct"/>
            <w:shd w:val="clear" w:color="auto" w:fill="auto"/>
            <w:vAlign w:val="center"/>
          </w:tcPr>
          <w:p w14:paraId="5C9B8E16" w14:textId="77777777" w:rsidR="009D4357" w:rsidRPr="00434957" w:rsidRDefault="009D4357" w:rsidP="00CE3F2A">
            <w:pPr>
              <w:spacing w:beforeLines="20" w:before="48" w:afterLines="20" w:after="48"/>
              <w:rPr>
                <w:noProof/>
                <w:sz w:val="20"/>
                <w:lang w:eastAsia="en-GB"/>
              </w:rPr>
            </w:pPr>
          </w:p>
        </w:tc>
        <w:tc>
          <w:tcPr>
            <w:tcW w:w="600" w:type="pct"/>
            <w:shd w:val="clear" w:color="auto" w:fill="auto"/>
            <w:vAlign w:val="center"/>
          </w:tcPr>
          <w:p w14:paraId="56A6D1DC" w14:textId="77777777" w:rsidR="009D4357" w:rsidRPr="00434957" w:rsidRDefault="009D4357" w:rsidP="00CE3F2A">
            <w:pPr>
              <w:spacing w:beforeLines="20" w:before="48" w:afterLines="20" w:after="48"/>
              <w:rPr>
                <w:noProof/>
                <w:sz w:val="20"/>
                <w:lang w:eastAsia="en-GB"/>
              </w:rPr>
            </w:pPr>
          </w:p>
        </w:tc>
      </w:tr>
      <w:tr w:rsidR="009D4357" w:rsidRPr="00434957" w14:paraId="2E2265D1" w14:textId="77777777" w:rsidTr="00CE3F2A">
        <w:trPr>
          <w:trHeight w:val="289"/>
          <w:jc w:val="center"/>
        </w:trPr>
        <w:tc>
          <w:tcPr>
            <w:tcW w:w="2472" w:type="pct"/>
            <w:gridSpan w:val="2"/>
            <w:shd w:val="clear" w:color="auto" w:fill="auto"/>
            <w:vAlign w:val="center"/>
          </w:tcPr>
          <w:p w14:paraId="6932E3F7" w14:textId="77777777" w:rsidR="009D4357" w:rsidRPr="00434957" w:rsidRDefault="009D4357" w:rsidP="00CE3F2A">
            <w:pPr>
              <w:spacing w:beforeLines="20" w:before="48" w:afterLines="20" w:after="48"/>
              <w:ind w:left="208" w:hanging="120"/>
              <w:rPr>
                <w:noProof/>
                <w:sz w:val="20"/>
                <w:lang w:eastAsia="en-GB"/>
              </w:rPr>
            </w:pPr>
            <w:r w:rsidRPr="00434957">
              <w:rPr>
                <w:b/>
                <w:noProof/>
                <w:sz w:val="20"/>
                <w:lang w:eastAsia="en-GB"/>
              </w:rPr>
              <w:sym w:font="Wingdings" w:char="F09F"/>
            </w:r>
            <w:r w:rsidRPr="00434957">
              <w:rPr>
                <w:b/>
                <w:noProof/>
                <w:sz w:val="20"/>
                <w:lang w:eastAsia="en-GB"/>
              </w:rPr>
              <w:t xml:space="preserve"> External staff (in Full Time Equivalent unit: FTE)</w:t>
            </w:r>
            <w:r w:rsidRPr="00556E60">
              <w:rPr>
                <w:rStyle w:val="FootnoteReference0"/>
                <w:noProof/>
              </w:rPr>
              <w:footnoteReference w:id="55"/>
            </w:r>
          </w:p>
        </w:tc>
        <w:tc>
          <w:tcPr>
            <w:tcW w:w="455" w:type="pct"/>
            <w:shd w:val="clear" w:color="auto" w:fill="auto"/>
            <w:vAlign w:val="center"/>
          </w:tcPr>
          <w:p w14:paraId="60606A5F" w14:textId="77777777" w:rsidR="009D4357" w:rsidRPr="00434957" w:rsidRDefault="009D4357" w:rsidP="00CE3F2A">
            <w:pPr>
              <w:spacing w:beforeLines="20" w:before="48" w:afterLines="20" w:after="48"/>
              <w:rPr>
                <w:noProof/>
                <w:sz w:val="20"/>
                <w:lang w:eastAsia="en-GB"/>
              </w:rPr>
            </w:pPr>
          </w:p>
        </w:tc>
        <w:tc>
          <w:tcPr>
            <w:tcW w:w="491" w:type="pct"/>
            <w:vAlign w:val="center"/>
          </w:tcPr>
          <w:p w14:paraId="6DDDB113" w14:textId="77777777" w:rsidR="009D4357" w:rsidRPr="00434957" w:rsidRDefault="009D4357" w:rsidP="00CE3F2A">
            <w:pPr>
              <w:spacing w:beforeLines="20" w:before="48" w:afterLines="20" w:after="48"/>
              <w:rPr>
                <w:noProof/>
                <w:sz w:val="20"/>
                <w:lang w:eastAsia="en-GB"/>
              </w:rPr>
            </w:pPr>
          </w:p>
        </w:tc>
        <w:tc>
          <w:tcPr>
            <w:tcW w:w="491" w:type="pct"/>
            <w:vAlign w:val="center"/>
          </w:tcPr>
          <w:p w14:paraId="6CDF1BB0" w14:textId="77777777" w:rsidR="009D4357" w:rsidRPr="00434957" w:rsidRDefault="009D4357" w:rsidP="00CE3F2A">
            <w:pPr>
              <w:spacing w:beforeLines="20" w:before="48" w:afterLines="20" w:after="48"/>
              <w:rPr>
                <w:noProof/>
                <w:sz w:val="20"/>
                <w:lang w:eastAsia="en-GB"/>
              </w:rPr>
            </w:pPr>
          </w:p>
        </w:tc>
        <w:tc>
          <w:tcPr>
            <w:tcW w:w="491" w:type="pct"/>
            <w:shd w:val="clear" w:color="auto" w:fill="auto"/>
            <w:vAlign w:val="center"/>
          </w:tcPr>
          <w:p w14:paraId="46361D75" w14:textId="77777777" w:rsidR="009D4357" w:rsidRPr="00434957" w:rsidRDefault="009D4357" w:rsidP="00CE3F2A">
            <w:pPr>
              <w:spacing w:beforeLines="20" w:before="48" w:afterLines="20" w:after="48"/>
              <w:rPr>
                <w:noProof/>
                <w:sz w:val="20"/>
                <w:lang w:eastAsia="en-GB"/>
              </w:rPr>
            </w:pPr>
          </w:p>
        </w:tc>
        <w:tc>
          <w:tcPr>
            <w:tcW w:w="600" w:type="pct"/>
            <w:shd w:val="clear" w:color="auto" w:fill="auto"/>
            <w:vAlign w:val="center"/>
          </w:tcPr>
          <w:p w14:paraId="2514E859" w14:textId="77777777" w:rsidR="009D4357" w:rsidRPr="00434957" w:rsidRDefault="009D4357" w:rsidP="00CE3F2A">
            <w:pPr>
              <w:spacing w:beforeLines="20" w:before="48" w:afterLines="20" w:after="48"/>
              <w:rPr>
                <w:noProof/>
                <w:sz w:val="20"/>
                <w:lang w:eastAsia="en-GB"/>
              </w:rPr>
            </w:pPr>
          </w:p>
        </w:tc>
      </w:tr>
      <w:tr w:rsidR="009D4357" w:rsidRPr="00434957" w14:paraId="15256F23" w14:textId="77777777" w:rsidTr="00CE3F2A">
        <w:trPr>
          <w:trHeight w:val="289"/>
          <w:jc w:val="center"/>
        </w:trPr>
        <w:tc>
          <w:tcPr>
            <w:tcW w:w="2472" w:type="pct"/>
            <w:gridSpan w:val="2"/>
            <w:shd w:val="clear" w:color="auto" w:fill="auto"/>
            <w:vAlign w:val="center"/>
          </w:tcPr>
          <w:p w14:paraId="78A8C157" w14:textId="77777777" w:rsidR="009D4357" w:rsidRPr="00434957" w:rsidRDefault="009D4357" w:rsidP="00CE3F2A">
            <w:pPr>
              <w:spacing w:beforeLines="20" w:before="48" w:afterLines="20" w:after="48"/>
              <w:ind w:left="986"/>
              <w:rPr>
                <w:b/>
                <w:noProof/>
                <w:sz w:val="20"/>
                <w:lang w:eastAsia="en-GB"/>
              </w:rPr>
            </w:pPr>
            <w:r w:rsidRPr="00434957">
              <w:rPr>
                <w:noProof/>
                <w:sz w:val="20"/>
                <w:lang w:eastAsia="en-GB"/>
              </w:rPr>
              <w:t>XX 01 02 01 (AC, END, INT from the ‘global envelope’)</w:t>
            </w:r>
          </w:p>
        </w:tc>
        <w:tc>
          <w:tcPr>
            <w:tcW w:w="455" w:type="pct"/>
            <w:shd w:val="clear" w:color="auto" w:fill="auto"/>
            <w:vAlign w:val="center"/>
          </w:tcPr>
          <w:p w14:paraId="7D0E0C34" w14:textId="77777777" w:rsidR="009D4357" w:rsidRPr="00434957" w:rsidRDefault="009D4357" w:rsidP="00CE3F2A">
            <w:pPr>
              <w:spacing w:beforeLines="20" w:before="48" w:afterLines="20" w:after="48"/>
              <w:rPr>
                <w:noProof/>
                <w:sz w:val="20"/>
                <w:lang w:eastAsia="en-GB"/>
              </w:rPr>
            </w:pPr>
          </w:p>
        </w:tc>
        <w:tc>
          <w:tcPr>
            <w:tcW w:w="491" w:type="pct"/>
            <w:vAlign w:val="center"/>
          </w:tcPr>
          <w:p w14:paraId="1EF732C9" w14:textId="77777777" w:rsidR="009D4357" w:rsidRPr="00434957" w:rsidRDefault="009D4357" w:rsidP="00CE3F2A">
            <w:pPr>
              <w:spacing w:beforeLines="20" w:before="48" w:afterLines="20" w:after="48"/>
              <w:rPr>
                <w:noProof/>
                <w:sz w:val="20"/>
                <w:lang w:eastAsia="en-GB"/>
              </w:rPr>
            </w:pPr>
          </w:p>
        </w:tc>
        <w:tc>
          <w:tcPr>
            <w:tcW w:w="491" w:type="pct"/>
            <w:vAlign w:val="center"/>
          </w:tcPr>
          <w:p w14:paraId="0C64014B" w14:textId="77777777" w:rsidR="009D4357" w:rsidRPr="00434957" w:rsidRDefault="009D4357" w:rsidP="00CE3F2A">
            <w:pPr>
              <w:spacing w:beforeLines="20" w:before="48" w:afterLines="20" w:after="48"/>
              <w:rPr>
                <w:noProof/>
                <w:sz w:val="20"/>
                <w:lang w:eastAsia="en-GB"/>
              </w:rPr>
            </w:pPr>
          </w:p>
        </w:tc>
        <w:tc>
          <w:tcPr>
            <w:tcW w:w="491" w:type="pct"/>
            <w:shd w:val="clear" w:color="auto" w:fill="auto"/>
            <w:vAlign w:val="center"/>
          </w:tcPr>
          <w:p w14:paraId="73925D87" w14:textId="77777777" w:rsidR="009D4357" w:rsidRPr="00434957" w:rsidRDefault="009D4357" w:rsidP="00CE3F2A">
            <w:pPr>
              <w:spacing w:beforeLines="20" w:before="48" w:afterLines="20" w:after="48"/>
              <w:rPr>
                <w:noProof/>
                <w:sz w:val="20"/>
                <w:lang w:eastAsia="en-GB"/>
              </w:rPr>
            </w:pPr>
          </w:p>
        </w:tc>
        <w:tc>
          <w:tcPr>
            <w:tcW w:w="600" w:type="pct"/>
            <w:shd w:val="clear" w:color="auto" w:fill="auto"/>
            <w:vAlign w:val="center"/>
          </w:tcPr>
          <w:p w14:paraId="511B0897" w14:textId="77777777" w:rsidR="009D4357" w:rsidRPr="00434957" w:rsidRDefault="009D4357" w:rsidP="00CE3F2A">
            <w:pPr>
              <w:spacing w:beforeLines="20" w:before="48" w:afterLines="20" w:after="48"/>
              <w:rPr>
                <w:noProof/>
                <w:sz w:val="20"/>
                <w:lang w:eastAsia="en-GB"/>
              </w:rPr>
            </w:pPr>
          </w:p>
        </w:tc>
      </w:tr>
      <w:tr w:rsidR="009D4357" w:rsidRPr="00434957" w14:paraId="26A0553F" w14:textId="77777777" w:rsidTr="00CE3F2A">
        <w:trPr>
          <w:trHeight w:val="289"/>
          <w:jc w:val="center"/>
        </w:trPr>
        <w:tc>
          <w:tcPr>
            <w:tcW w:w="2472" w:type="pct"/>
            <w:gridSpan w:val="2"/>
            <w:shd w:val="clear" w:color="auto" w:fill="auto"/>
            <w:vAlign w:val="center"/>
          </w:tcPr>
          <w:p w14:paraId="582542DE" w14:textId="77777777" w:rsidR="009D4357" w:rsidRPr="00434957" w:rsidRDefault="009D4357" w:rsidP="00CE3F2A">
            <w:pPr>
              <w:spacing w:beforeLines="20" w:before="48" w:afterLines="20" w:after="48"/>
              <w:ind w:left="986"/>
              <w:rPr>
                <w:noProof/>
                <w:sz w:val="20"/>
                <w:lang w:eastAsia="en-GB"/>
              </w:rPr>
            </w:pPr>
            <w:r w:rsidRPr="00434957">
              <w:rPr>
                <w:noProof/>
                <w:sz w:val="20"/>
                <w:lang w:eastAsia="en-GB"/>
              </w:rPr>
              <w:t>XX 01 02 02 (AC, AL, END, INT and JPD in the Delegations)</w:t>
            </w:r>
          </w:p>
        </w:tc>
        <w:tc>
          <w:tcPr>
            <w:tcW w:w="455" w:type="pct"/>
            <w:shd w:val="clear" w:color="auto" w:fill="auto"/>
            <w:vAlign w:val="center"/>
          </w:tcPr>
          <w:p w14:paraId="28831E7C" w14:textId="77777777" w:rsidR="009D4357" w:rsidRPr="00434957" w:rsidRDefault="009D4357" w:rsidP="00CE3F2A">
            <w:pPr>
              <w:spacing w:beforeLines="20" w:before="48" w:afterLines="20" w:after="48"/>
              <w:rPr>
                <w:noProof/>
                <w:sz w:val="20"/>
                <w:lang w:eastAsia="en-GB"/>
              </w:rPr>
            </w:pPr>
          </w:p>
        </w:tc>
        <w:tc>
          <w:tcPr>
            <w:tcW w:w="491" w:type="pct"/>
            <w:vAlign w:val="center"/>
          </w:tcPr>
          <w:p w14:paraId="49353ABC" w14:textId="77777777" w:rsidR="009D4357" w:rsidRPr="00434957" w:rsidRDefault="009D4357" w:rsidP="00CE3F2A">
            <w:pPr>
              <w:spacing w:beforeLines="20" w:before="48" w:afterLines="20" w:after="48"/>
              <w:rPr>
                <w:noProof/>
                <w:sz w:val="20"/>
                <w:lang w:eastAsia="en-GB"/>
              </w:rPr>
            </w:pPr>
          </w:p>
        </w:tc>
        <w:tc>
          <w:tcPr>
            <w:tcW w:w="491" w:type="pct"/>
            <w:vAlign w:val="center"/>
          </w:tcPr>
          <w:p w14:paraId="1A1B2746" w14:textId="77777777" w:rsidR="009D4357" w:rsidRPr="00434957" w:rsidRDefault="009D4357" w:rsidP="00CE3F2A">
            <w:pPr>
              <w:spacing w:beforeLines="20" w:before="48" w:afterLines="20" w:after="48"/>
              <w:rPr>
                <w:noProof/>
                <w:sz w:val="20"/>
                <w:lang w:eastAsia="en-GB"/>
              </w:rPr>
            </w:pPr>
          </w:p>
        </w:tc>
        <w:tc>
          <w:tcPr>
            <w:tcW w:w="491" w:type="pct"/>
            <w:shd w:val="clear" w:color="auto" w:fill="auto"/>
            <w:vAlign w:val="center"/>
          </w:tcPr>
          <w:p w14:paraId="1EBE6E44" w14:textId="77777777" w:rsidR="009D4357" w:rsidRPr="00434957" w:rsidRDefault="009D4357" w:rsidP="00CE3F2A">
            <w:pPr>
              <w:spacing w:beforeLines="20" w:before="48" w:afterLines="20" w:after="48"/>
              <w:rPr>
                <w:noProof/>
                <w:sz w:val="20"/>
                <w:lang w:eastAsia="en-GB"/>
              </w:rPr>
            </w:pPr>
          </w:p>
        </w:tc>
        <w:tc>
          <w:tcPr>
            <w:tcW w:w="600" w:type="pct"/>
            <w:shd w:val="clear" w:color="auto" w:fill="auto"/>
            <w:vAlign w:val="center"/>
          </w:tcPr>
          <w:p w14:paraId="0A98E546" w14:textId="77777777" w:rsidR="009D4357" w:rsidRPr="00434957" w:rsidRDefault="009D4357" w:rsidP="00CE3F2A">
            <w:pPr>
              <w:spacing w:beforeLines="20" w:before="48" w:afterLines="20" w:after="48"/>
              <w:rPr>
                <w:noProof/>
                <w:sz w:val="20"/>
                <w:lang w:eastAsia="en-GB"/>
              </w:rPr>
            </w:pPr>
          </w:p>
        </w:tc>
      </w:tr>
      <w:tr w:rsidR="009D4357" w:rsidRPr="00434957" w14:paraId="17D86380" w14:textId="77777777" w:rsidTr="00CE3F2A">
        <w:trPr>
          <w:trHeight w:val="289"/>
          <w:jc w:val="center"/>
        </w:trPr>
        <w:tc>
          <w:tcPr>
            <w:tcW w:w="1233" w:type="pct"/>
            <w:vMerge w:val="restart"/>
            <w:shd w:val="clear" w:color="auto" w:fill="auto"/>
            <w:vAlign w:val="center"/>
          </w:tcPr>
          <w:p w14:paraId="6FF308CE" w14:textId="77777777" w:rsidR="009D4357" w:rsidRPr="00434957" w:rsidRDefault="009D4357" w:rsidP="00CE3F2A">
            <w:pPr>
              <w:spacing w:beforeLines="20" w:before="48" w:afterLines="20" w:after="48"/>
              <w:ind w:left="986"/>
              <w:rPr>
                <w:b/>
                <w:noProof/>
                <w:sz w:val="20"/>
                <w:lang w:eastAsia="en-GB"/>
              </w:rPr>
            </w:pPr>
            <w:r w:rsidRPr="00434957">
              <w:rPr>
                <w:b/>
                <w:noProof/>
                <w:sz w:val="20"/>
                <w:lang w:eastAsia="en-GB"/>
              </w:rPr>
              <w:t>XX</w:t>
            </w:r>
            <w:r w:rsidRPr="00434957">
              <w:rPr>
                <w:noProof/>
                <w:sz w:val="20"/>
                <w:lang w:eastAsia="en-GB"/>
              </w:rPr>
              <w:t xml:space="preserve"> 01 04 </w:t>
            </w:r>
            <w:r w:rsidRPr="00434957">
              <w:rPr>
                <w:b/>
                <w:i/>
                <w:noProof/>
                <w:sz w:val="20"/>
                <w:lang w:eastAsia="en-GB"/>
              </w:rPr>
              <w:t>yy</w:t>
            </w:r>
            <w:r w:rsidRPr="00556E60">
              <w:rPr>
                <w:rStyle w:val="FootnoteReference0"/>
                <w:noProof/>
              </w:rPr>
              <w:footnoteReference w:id="56"/>
            </w:r>
          </w:p>
        </w:tc>
        <w:tc>
          <w:tcPr>
            <w:tcW w:w="1239" w:type="pct"/>
            <w:shd w:val="clear" w:color="auto" w:fill="auto"/>
            <w:vAlign w:val="center"/>
          </w:tcPr>
          <w:p w14:paraId="59A5CC82" w14:textId="77777777" w:rsidR="009D4357" w:rsidRPr="00434957" w:rsidRDefault="009D4357" w:rsidP="00CE3F2A">
            <w:pPr>
              <w:spacing w:beforeLines="20" w:before="48" w:afterLines="20" w:after="48"/>
              <w:ind w:left="598"/>
              <w:rPr>
                <w:b/>
                <w:noProof/>
                <w:sz w:val="20"/>
                <w:lang w:eastAsia="en-GB"/>
              </w:rPr>
            </w:pPr>
            <w:r w:rsidRPr="00434957">
              <w:rPr>
                <w:noProof/>
                <w:sz w:val="20"/>
                <w:lang w:eastAsia="en-GB"/>
              </w:rPr>
              <w:t>- at Headquarters</w:t>
            </w:r>
            <w:r w:rsidRPr="00556E60">
              <w:rPr>
                <w:rStyle w:val="FootnoteReference0"/>
                <w:noProof/>
              </w:rPr>
              <w:footnoteReference w:id="57"/>
            </w:r>
            <w:r w:rsidRPr="00434957">
              <w:rPr>
                <w:noProof/>
                <w:sz w:val="20"/>
                <w:lang w:eastAsia="en-GB"/>
              </w:rPr>
              <w:br/>
            </w:r>
          </w:p>
        </w:tc>
        <w:tc>
          <w:tcPr>
            <w:tcW w:w="455" w:type="pct"/>
            <w:shd w:val="clear" w:color="auto" w:fill="auto"/>
            <w:vAlign w:val="center"/>
          </w:tcPr>
          <w:p w14:paraId="48A372DD" w14:textId="77777777" w:rsidR="009D4357" w:rsidRPr="00434957" w:rsidRDefault="009D4357" w:rsidP="00CE3F2A">
            <w:pPr>
              <w:spacing w:beforeLines="20" w:before="48" w:afterLines="20" w:after="48"/>
              <w:jc w:val="center"/>
              <w:rPr>
                <w:noProof/>
                <w:sz w:val="20"/>
                <w:lang w:eastAsia="en-GB"/>
              </w:rPr>
            </w:pPr>
          </w:p>
        </w:tc>
        <w:tc>
          <w:tcPr>
            <w:tcW w:w="491" w:type="pct"/>
          </w:tcPr>
          <w:p w14:paraId="417A67BE" w14:textId="77777777" w:rsidR="009D4357" w:rsidRPr="00434957" w:rsidRDefault="009D4357" w:rsidP="00CE3F2A">
            <w:pPr>
              <w:spacing w:beforeLines="20" w:before="48" w:afterLines="20" w:after="48"/>
              <w:jc w:val="center"/>
              <w:rPr>
                <w:noProof/>
                <w:sz w:val="20"/>
                <w:lang w:eastAsia="en-GB"/>
              </w:rPr>
            </w:pPr>
          </w:p>
        </w:tc>
        <w:tc>
          <w:tcPr>
            <w:tcW w:w="491" w:type="pct"/>
          </w:tcPr>
          <w:p w14:paraId="0FEACD9A" w14:textId="77777777" w:rsidR="009D4357" w:rsidRPr="00434957" w:rsidRDefault="009D4357" w:rsidP="00CE3F2A">
            <w:pPr>
              <w:spacing w:beforeLines="20" w:before="48" w:afterLines="20" w:after="48"/>
              <w:jc w:val="center"/>
              <w:rPr>
                <w:noProof/>
                <w:sz w:val="20"/>
                <w:lang w:eastAsia="en-GB"/>
              </w:rPr>
            </w:pPr>
          </w:p>
        </w:tc>
        <w:tc>
          <w:tcPr>
            <w:tcW w:w="491" w:type="pct"/>
            <w:shd w:val="clear" w:color="auto" w:fill="auto"/>
            <w:vAlign w:val="center"/>
          </w:tcPr>
          <w:p w14:paraId="3DDE3DCD" w14:textId="77777777" w:rsidR="009D4357" w:rsidRPr="00434957" w:rsidRDefault="009D4357" w:rsidP="00CE3F2A">
            <w:pPr>
              <w:spacing w:beforeLines="20" w:before="48" w:afterLines="20" w:after="48"/>
              <w:jc w:val="center"/>
              <w:rPr>
                <w:noProof/>
                <w:sz w:val="20"/>
                <w:lang w:eastAsia="en-GB"/>
              </w:rPr>
            </w:pPr>
          </w:p>
        </w:tc>
        <w:tc>
          <w:tcPr>
            <w:tcW w:w="600" w:type="pct"/>
            <w:shd w:val="clear" w:color="auto" w:fill="auto"/>
            <w:vAlign w:val="center"/>
          </w:tcPr>
          <w:p w14:paraId="11F5A570" w14:textId="77777777" w:rsidR="009D4357" w:rsidRPr="00434957" w:rsidRDefault="009D4357" w:rsidP="00CE3F2A">
            <w:pPr>
              <w:spacing w:beforeLines="20" w:before="48" w:afterLines="20" w:after="48"/>
              <w:jc w:val="center"/>
              <w:rPr>
                <w:noProof/>
                <w:sz w:val="20"/>
                <w:lang w:eastAsia="en-GB"/>
              </w:rPr>
            </w:pPr>
          </w:p>
        </w:tc>
      </w:tr>
      <w:tr w:rsidR="009D4357" w:rsidRPr="00434957" w14:paraId="3A5379D0" w14:textId="77777777" w:rsidTr="00CE3F2A">
        <w:trPr>
          <w:trHeight w:val="289"/>
          <w:jc w:val="center"/>
        </w:trPr>
        <w:tc>
          <w:tcPr>
            <w:tcW w:w="1233" w:type="pct"/>
            <w:vMerge/>
            <w:shd w:val="clear" w:color="auto" w:fill="auto"/>
            <w:vAlign w:val="center"/>
          </w:tcPr>
          <w:p w14:paraId="636DE69C" w14:textId="77777777" w:rsidR="009D4357" w:rsidRPr="00434957" w:rsidRDefault="009D4357" w:rsidP="00CE3F2A">
            <w:pPr>
              <w:rPr>
                <w:b/>
                <w:noProof/>
                <w:sz w:val="20"/>
                <w:lang w:eastAsia="en-GB"/>
              </w:rPr>
            </w:pPr>
          </w:p>
        </w:tc>
        <w:tc>
          <w:tcPr>
            <w:tcW w:w="1239" w:type="pct"/>
            <w:shd w:val="clear" w:color="auto" w:fill="auto"/>
            <w:vAlign w:val="center"/>
          </w:tcPr>
          <w:p w14:paraId="0A34E8F5" w14:textId="77777777" w:rsidR="009D4357" w:rsidRPr="00434957" w:rsidRDefault="009D4357" w:rsidP="00CE3F2A">
            <w:pPr>
              <w:spacing w:beforeLines="20" w:before="48" w:afterLines="20" w:after="48"/>
              <w:ind w:left="598"/>
              <w:rPr>
                <w:b/>
                <w:noProof/>
                <w:sz w:val="20"/>
                <w:lang w:eastAsia="en-GB"/>
              </w:rPr>
            </w:pPr>
            <w:r w:rsidRPr="00434957">
              <w:rPr>
                <w:noProof/>
                <w:sz w:val="20"/>
                <w:lang w:eastAsia="en-GB"/>
              </w:rPr>
              <w:t xml:space="preserve">- in Delegations </w:t>
            </w:r>
          </w:p>
        </w:tc>
        <w:tc>
          <w:tcPr>
            <w:tcW w:w="455" w:type="pct"/>
            <w:shd w:val="clear" w:color="auto" w:fill="auto"/>
            <w:vAlign w:val="center"/>
          </w:tcPr>
          <w:p w14:paraId="2AD9C344" w14:textId="77777777" w:rsidR="009D4357" w:rsidRPr="00434957" w:rsidRDefault="009D4357" w:rsidP="00CE3F2A">
            <w:pPr>
              <w:spacing w:beforeLines="20" w:before="48" w:afterLines="20" w:after="48"/>
              <w:jc w:val="center"/>
              <w:rPr>
                <w:noProof/>
                <w:sz w:val="20"/>
                <w:lang w:eastAsia="en-GB"/>
              </w:rPr>
            </w:pPr>
          </w:p>
        </w:tc>
        <w:tc>
          <w:tcPr>
            <w:tcW w:w="491" w:type="pct"/>
          </w:tcPr>
          <w:p w14:paraId="7F24CD62" w14:textId="77777777" w:rsidR="009D4357" w:rsidRPr="00434957" w:rsidRDefault="009D4357" w:rsidP="00CE3F2A">
            <w:pPr>
              <w:spacing w:beforeLines="20" w:before="48" w:afterLines="20" w:after="48"/>
              <w:jc w:val="center"/>
              <w:rPr>
                <w:noProof/>
                <w:sz w:val="20"/>
                <w:lang w:eastAsia="en-GB"/>
              </w:rPr>
            </w:pPr>
          </w:p>
        </w:tc>
        <w:tc>
          <w:tcPr>
            <w:tcW w:w="491" w:type="pct"/>
          </w:tcPr>
          <w:p w14:paraId="41E825F5" w14:textId="77777777" w:rsidR="009D4357" w:rsidRPr="00434957" w:rsidRDefault="009D4357" w:rsidP="00CE3F2A">
            <w:pPr>
              <w:spacing w:beforeLines="20" w:before="48" w:afterLines="20" w:after="48"/>
              <w:jc w:val="center"/>
              <w:rPr>
                <w:noProof/>
                <w:sz w:val="20"/>
                <w:lang w:eastAsia="en-GB"/>
              </w:rPr>
            </w:pPr>
          </w:p>
        </w:tc>
        <w:tc>
          <w:tcPr>
            <w:tcW w:w="491" w:type="pct"/>
            <w:shd w:val="clear" w:color="auto" w:fill="auto"/>
            <w:vAlign w:val="center"/>
          </w:tcPr>
          <w:p w14:paraId="0204FD80" w14:textId="77777777" w:rsidR="009D4357" w:rsidRPr="00434957" w:rsidRDefault="009D4357" w:rsidP="00CE3F2A">
            <w:pPr>
              <w:spacing w:beforeLines="20" w:before="48" w:afterLines="20" w:after="48"/>
              <w:jc w:val="center"/>
              <w:rPr>
                <w:noProof/>
                <w:sz w:val="20"/>
                <w:lang w:eastAsia="en-GB"/>
              </w:rPr>
            </w:pPr>
          </w:p>
        </w:tc>
        <w:tc>
          <w:tcPr>
            <w:tcW w:w="600" w:type="pct"/>
            <w:shd w:val="clear" w:color="auto" w:fill="auto"/>
            <w:vAlign w:val="center"/>
          </w:tcPr>
          <w:p w14:paraId="147DD4A5" w14:textId="77777777" w:rsidR="009D4357" w:rsidRPr="00434957" w:rsidRDefault="009D4357" w:rsidP="00CE3F2A">
            <w:pPr>
              <w:spacing w:beforeLines="20" w:before="48" w:afterLines="20" w:after="48"/>
              <w:jc w:val="center"/>
              <w:rPr>
                <w:noProof/>
                <w:sz w:val="20"/>
                <w:lang w:eastAsia="en-GB"/>
              </w:rPr>
            </w:pPr>
          </w:p>
        </w:tc>
      </w:tr>
      <w:tr w:rsidR="009D4357" w:rsidRPr="00434957" w14:paraId="2C0696FE" w14:textId="77777777" w:rsidTr="00CE3F2A">
        <w:trPr>
          <w:trHeight w:val="289"/>
          <w:jc w:val="center"/>
        </w:trPr>
        <w:tc>
          <w:tcPr>
            <w:tcW w:w="2472" w:type="pct"/>
            <w:gridSpan w:val="2"/>
            <w:shd w:val="clear" w:color="auto" w:fill="auto"/>
            <w:vAlign w:val="center"/>
          </w:tcPr>
          <w:p w14:paraId="2F74F010" w14:textId="77777777" w:rsidR="009D4357" w:rsidRPr="00434957" w:rsidRDefault="009D4357" w:rsidP="00CE3F2A">
            <w:pPr>
              <w:spacing w:beforeLines="20" w:before="48" w:afterLines="20" w:after="48"/>
              <w:ind w:left="986"/>
              <w:rPr>
                <w:noProof/>
                <w:sz w:val="20"/>
                <w:lang w:eastAsia="en-GB"/>
              </w:rPr>
            </w:pPr>
            <w:r w:rsidRPr="00434957">
              <w:rPr>
                <w:b/>
                <w:noProof/>
                <w:sz w:val="20"/>
                <w:lang w:eastAsia="en-GB"/>
              </w:rPr>
              <w:t>XX</w:t>
            </w:r>
            <w:r w:rsidRPr="00434957">
              <w:rPr>
                <w:noProof/>
                <w:sz w:val="20"/>
                <w:lang w:eastAsia="en-GB"/>
              </w:rPr>
              <w:t xml:space="preserve"> 01 05 02 (AC, END, INT – Indirect research)</w:t>
            </w:r>
          </w:p>
        </w:tc>
        <w:tc>
          <w:tcPr>
            <w:tcW w:w="455" w:type="pct"/>
            <w:shd w:val="clear" w:color="auto" w:fill="auto"/>
            <w:vAlign w:val="center"/>
          </w:tcPr>
          <w:p w14:paraId="342A64F0" w14:textId="77777777" w:rsidR="009D4357" w:rsidRPr="00434957" w:rsidRDefault="009D4357" w:rsidP="00CE3F2A">
            <w:pPr>
              <w:spacing w:beforeLines="20" w:before="48" w:afterLines="20" w:after="48"/>
              <w:jc w:val="center"/>
              <w:rPr>
                <w:noProof/>
                <w:sz w:val="20"/>
                <w:lang w:eastAsia="en-GB"/>
              </w:rPr>
            </w:pPr>
          </w:p>
        </w:tc>
        <w:tc>
          <w:tcPr>
            <w:tcW w:w="491" w:type="pct"/>
          </w:tcPr>
          <w:p w14:paraId="596F1DD5" w14:textId="77777777" w:rsidR="009D4357" w:rsidRPr="00434957" w:rsidRDefault="009D4357" w:rsidP="00CE3F2A">
            <w:pPr>
              <w:spacing w:beforeLines="20" w:before="48" w:afterLines="20" w:after="48"/>
              <w:jc w:val="center"/>
              <w:rPr>
                <w:noProof/>
                <w:sz w:val="20"/>
                <w:lang w:eastAsia="en-GB"/>
              </w:rPr>
            </w:pPr>
          </w:p>
        </w:tc>
        <w:tc>
          <w:tcPr>
            <w:tcW w:w="491" w:type="pct"/>
          </w:tcPr>
          <w:p w14:paraId="16D85BA2" w14:textId="77777777" w:rsidR="009D4357" w:rsidRPr="00434957" w:rsidRDefault="009D4357" w:rsidP="00CE3F2A">
            <w:pPr>
              <w:spacing w:beforeLines="20" w:before="48" w:afterLines="20" w:after="48"/>
              <w:jc w:val="center"/>
              <w:rPr>
                <w:noProof/>
                <w:sz w:val="20"/>
                <w:lang w:eastAsia="en-GB"/>
              </w:rPr>
            </w:pPr>
          </w:p>
        </w:tc>
        <w:tc>
          <w:tcPr>
            <w:tcW w:w="491" w:type="pct"/>
            <w:shd w:val="clear" w:color="auto" w:fill="auto"/>
            <w:vAlign w:val="center"/>
          </w:tcPr>
          <w:p w14:paraId="054014DF" w14:textId="77777777" w:rsidR="009D4357" w:rsidRPr="00434957" w:rsidRDefault="009D4357" w:rsidP="00CE3F2A">
            <w:pPr>
              <w:spacing w:beforeLines="20" w:before="48" w:afterLines="20" w:after="48"/>
              <w:jc w:val="center"/>
              <w:rPr>
                <w:noProof/>
                <w:sz w:val="20"/>
                <w:lang w:eastAsia="en-GB"/>
              </w:rPr>
            </w:pPr>
          </w:p>
        </w:tc>
        <w:tc>
          <w:tcPr>
            <w:tcW w:w="600" w:type="pct"/>
            <w:shd w:val="clear" w:color="auto" w:fill="auto"/>
            <w:vAlign w:val="center"/>
          </w:tcPr>
          <w:p w14:paraId="066D5946" w14:textId="77777777" w:rsidR="009D4357" w:rsidRPr="00434957" w:rsidRDefault="009D4357" w:rsidP="00CE3F2A">
            <w:pPr>
              <w:spacing w:beforeLines="20" w:before="48" w:afterLines="20" w:after="48"/>
              <w:jc w:val="center"/>
              <w:rPr>
                <w:noProof/>
                <w:sz w:val="20"/>
                <w:lang w:eastAsia="en-GB"/>
              </w:rPr>
            </w:pPr>
          </w:p>
        </w:tc>
      </w:tr>
      <w:tr w:rsidR="009D4357" w:rsidRPr="00434957" w14:paraId="5E082DCB" w14:textId="77777777" w:rsidTr="00CE3F2A">
        <w:trPr>
          <w:trHeight w:val="289"/>
          <w:jc w:val="center"/>
        </w:trPr>
        <w:tc>
          <w:tcPr>
            <w:tcW w:w="2472" w:type="pct"/>
            <w:gridSpan w:val="2"/>
            <w:shd w:val="clear" w:color="auto" w:fill="auto"/>
            <w:vAlign w:val="center"/>
          </w:tcPr>
          <w:p w14:paraId="13DB4978" w14:textId="77777777" w:rsidR="009D4357" w:rsidRPr="00434957" w:rsidRDefault="009D4357" w:rsidP="00CE3F2A">
            <w:pPr>
              <w:spacing w:beforeLines="20" w:before="48" w:afterLines="20" w:after="48"/>
              <w:ind w:left="986"/>
              <w:rPr>
                <w:noProof/>
                <w:sz w:val="20"/>
                <w:lang w:eastAsia="en-GB"/>
              </w:rPr>
            </w:pPr>
            <w:r w:rsidRPr="00434957">
              <w:rPr>
                <w:noProof/>
                <w:sz w:val="20"/>
                <w:lang w:eastAsia="en-GB"/>
              </w:rPr>
              <w:t>10 01 05 02 (AC, END, INT – Direct research)</w:t>
            </w:r>
          </w:p>
        </w:tc>
        <w:tc>
          <w:tcPr>
            <w:tcW w:w="455" w:type="pct"/>
            <w:shd w:val="clear" w:color="auto" w:fill="auto"/>
            <w:vAlign w:val="center"/>
          </w:tcPr>
          <w:p w14:paraId="5E9E471A" w14:textId="77777777" w:rsidR="009D4357" w:rsidRPr="00434957" w:rsidRDefault="009D4357" w:rsidP="00CE3F2A">
            <w:pPr>
              <w:spacing w:beforeLines="20" w:before="48" w:afterLines="20" w:after="48"/>
              <w:jc w:val="center"/>
              <w:rPr>
                <w:noProof/>
                <w:sz w:val="20"/>
                <w:lang w:eastAsia="en-GB"/>
              </w:rPr>
            </w:pPr>
          </w:p>
        </w:tc>
        <w:tc>
          <w:tcPr>
            <w:tcW w:w="491" w:type="pct"/>
          </w:tcPr>
          <w:p w14:paraId="791A875C" w14:textId="77777777" w:rsidR="009D4357" w:rsidRPr="00434957" w:rsidRDefault="009D4357" w:rsidP="00CE3F2A">
            <w:pPr>
              <w:spacing w:beforeLines="20" w:before="48" w:afterLines="20" w:after="48"/>
              <w:jc w:val="center"/>
              <w:rPr>
                <w:noProof/>
                <w:sz w:val="20"/>
                <w:lang w:eastAsia="en-GB"/>
              </w:rPr>
            </w:pPr>
          </w:p>
        </w:tc>
        <w:tc>
          <w:tcPr>
            <w:tcW w:w="491" w:type="pct"/>
          </w:tcPr>
          <w:p w14:paraId="09C7C93D" w14:textId="77777777" w:rsidR="009D4357" w:rsidRPr="00434957" w:rsidRDefault="009D4357" w:rsidP="00CE3F2A">
            <w:pPr>
              <w:spacing w:beforeLines="20" w:before="48" w:afterLines="20" w:after="48"/>
              <w:jc w:val="center"/>
              <w:rPr>
                <w:noProof/>
                <w:sz w:val="20"/>
                <w:lang w:eastAsia="en-GB"/>
              </w:rPr>
            </w:pPr>
          </w:p>
        </w:tc>
        <w:tc>
          <w:tcPr>
            <w:tcW w:w="491" w:type="pct"/>
            <w:shd w:val="clear" w:color="auto" w:fill="auto"/>
            <w:vAlign w:val="center"/>
          </w:tcPr>
          <w:p w14:paraId="507FE387" w14:textId="77777777" w:rsidR="009D4357" w:rsidRPr="00434957" w:rsidRDefault="009D4357" w:rsidP="00CE3F2A">
            <w:pPr>
              <w:spacing w:beforeLines="20" w:before="48" w:afterLines="20" w:after="48"/>
              <w:jc w:val="center"/>
              <w:rPr>
                <w:noProof/>
                <w:sz w:val="20"/>
                <w:lang w:eastAsia="en-GB"/>
              </w:rPr>
            </w:pPr>
          </w:p>
        </w:tc>
        <w:tc>
          <w:tcPr>
            <w:tcW w:w="600" w:type="pct"/>
            <w:shd w:val="clear" w:color="auto" w:fill="auto"/>
            <w:vAlign w:val="center"/>
          </w:tcPr>
          <w:p w14:paraId="55489EFD" w14:textId="77777777" w:rsidR="009D4357" w:rsidRPr="00434957" w:rsidRDefault="009D4357" w:rsidP="00CE3F2A">
            <w:pPr>
              <w:spacing w:beforeLines="20" w:before="48" w:afterLines="20" w:after="48"/>
              <w:jc w:val="center"/>
              <w:rPr>
                <w:noProof/>
                <w:sz w:val="20"/>
                <w:lang w:eastAsia="en-GB"/>
              </w:rPr>
            </w:pPr>
          </w:p>
        </w:tc>
      </w:tr>
      <w:tr w:rsidR="009D4357" w:rsidRPr="00434957" w14:paraId="116D2B60" w14:textId="77777777" w:rsidTr="00CE3F2A">
        <w:trPr>
          <w:trHeight w:val="289"/>
          <w:jc w:val="center"/>
        </w:trPr>
        <w:tc>
          <w:tcPr>
            <w:tcW w:w="2472" w:type="pct"/>
            <w:gridSpan w:val="2"/>
            <w:tcBorders>
              <w:bottom w:val="double" w:sz="4" w:space="0" w:color="auto"/>
            </w:tcBorders>
            <w:shd w:val="clear" w:color="auto" w:fill="auto"/>
            <w:vAlign w:val="center"/>
          </w:tcPr>
          <w:p w14:paraId="7AD1B56F" w14:textId="77777777" w:rsidR="009D4357" w:rsidRPr="00434957" w:rsidRDefault="009D4357" w:rsidP="00CE3F2A">
            <w:pPr>
              <w:spacing w:beforeLines="20" w:before="48" w:afterLines="20" w:after="48"/>
              <w:ind w:left="984"/>
              <w:rPr>
                <w:noProof/>
                <w:sz w:val="20"/>
                <w:lang w:eastAsia="en-GB"/>
              </w:rPr>
            </w:pPr>
            <w:r w:rsidRPr="00434957">
              <w:rPr>
                <w:noProof/>
                <w:sz w:val="20"/>
                <w:lang w:eastAsia="en-GB"/>
              </w:rPr>
              <w:t>Other budget lines (specify)</w:t>
            </w:r>
          </w:p>
        </w:tc>
        <w:tc>
          <w:tcPr>
            <w:tcW w:w="455" w:type="pct"/>
            <w:tcBorders>
              <w:bottom w:val="double" w:sz="4" w:space="0" w:color="auto"/>
            </w:tcBorders>
            <w:shd w:val="clear" w:color="auto" w:fill="auto"/>
            <w:vAlign w:val="center"/>
          </w:tcPr>
          <w:p w14:paraId="5A2A6AB8" w14:textId="77777777" w:rsidR="009D4357" w:rsidRPr="00434957" w:rsidRDefault="009D4357" w:rsidP="00CE3F2A">
            <w:pPr>
              <w:spacing w:beforeLines="20" w:before="48" w:afterLines="20" w:after="48"/>
              <w:jc w:val="center"/>
              <w:rPr>
                <w:noProof/>
                <w:sz w:val="20"/>
                <w:lang w:eastAsia="en-GB"/>
              </w:rPr>
            </w:pPr>
          </w:p>
        </w:tc>
        <w:tc>
          <w:tcPr>
            <w:tcW w:w="491" w:type="pct"/>
            <w:tcBorders>
              <w:bottom w:val="double" w:sz="4" w:space="0" w:color="auto"/>
            </w:tcBorders>
          </w:tcPr>
          <w:p w14:paraId="284CF760" w14:textId="77777777" w:rsidR="009D4357" w:rsidRPr="00434957" w:rsidRDefault="009D4357" w:rsidP="00CE3F2A">
            <w:pPr>
              <w:spacing w:beforeLines="20" w:before="48" w:afterLines="20" w:after="48"/>
              <w:jc w:val="center"/>
              <w:rPr>
                <w:noProof/>
                <w:sz w:val="20"/>
                <w:lang w:eastAsia="en-GB"/>
              </w:rPr>
            </w:pPr>
          </w:p>
        </w:tc>
        <w:tc>
          <w:tcPr>
            <w:tcW w:w="491" w:type="pct"/>
            <w:tcBorders>
              <w:bottom w:val="double" w:sz="4" w:space="0" w:color="auto"/>
            </w:tcBorders>
          </w:tcPr>
          <w:p w14:paraId="2BBAF23F" w14:textId="77777777" w:rsidR="009D4357" w:rsidRPr="00434957" w:rsidRDefault="009D4357" w:rsidP="00CE3F2A">
            <w:pPr>
              <w:spacing w:beforeLines="20" w:before="48" w:afterLines="20" w:after="48"/>
              <w:jc w:val="center"/>
              <w:rPr>
                <w:noProof/>
                <w:sz w:val="20"/>
                <w:lang w:eastAsia="en-GB"/>
              </w:rPr>
            </w:pPr>
          </w:p>
        </w:tc>
        <w:tc>
          <w:tcPr>
            <w:tcW w:w="491" w:type="pct"/>
            <w:tcBorders>
              <w:bottom w:val="double" w:sz="4" w:space="0" w:color="auto"/>
            </w:tcBorders>
            <w:shd w:val="clear" w:color="auto" w:fill="auto"/>
            <w:vAlign w:val="center"/>
          </w:tcPr>
          <w:p w14:paraId="3DEC2298" w14:textId="77777777" w:rsidR="009D4357" w:rsidRPr="00434957" w:rsidRDefault="009D4357" w:rsidP="00CE3F2A">
            <w:pPr>
              <w:spacing w:beforeLines="20" w:before="48" w:afterLines="20" w:after="48"/>
              <w:jc w:val="center"/>
              <w:rPr>
                <w:noProof/>
                <w:sz w:val="20"/>
                <w:lang w:eastAsia="en-GB"/>
              </w:rPr>
            </w:pPr>
          </w:p>
        </w:tc>
        <w:tc>
          <w:tcPr>
            <w:tcW w:w="600" w:type="pct"/>
            <w:tcBorders>
              <w:bottom w:val="double" w:sz="4" w:space="0" w:color="auto"/>
            </w:tcBorders>
            <w:shd w:val="clear" w:color="auto" w:fill="auto"/>
            <w:vAlign w:val="center"/>
          </w:tcPr>
          <w:p w14:paraId="26F7F48A" w14:textId="77777777" w:rsidR="009D4357" w:rsidRPr="00434957" w:rsidRDefault="009D4357" w:rsidP="00CE3F2A">
            <w:pPr>
              <w:spacing w:beforeLines="20" w:before="48" w:afterLines="20" w:after="48"/>
              <w:jc w:val="center"/>
              <w:rPr>
                <w:noProof/>
                <w:sz w:val="20"/>
                <w:lang w:eastAsia="en-GB"/>
              </w:rPr>
            </w:pPr>
          </w:p>
        </w:tc>
      </w:tr>
      <w:tr w:rsidR="009D4357" w:rsidRPr="00434957" w14:paraId="7D793872" w14:textId="77777777" w:rsidTr="00CE3F2A">
        <w:trPr>
          <w:trHeight w:val="289"/>
          <w:jc w:val="center"/>
        </w:trPr>
        <w:tc>
          <w:tcPr>
            <w:tcW w:w="2472" w:type="pct"/>
            <w:gridSpan w:val="2"/>
            <w:tcBorders>
              <w:top w:val="double" w:sz="4" w:space="0" w:color="auto"/>
            </w:tcBorders>
            <w:shd w:val="clear" w:color="auto" w:fill="auto"/>
            <w:vAlign w:val="center"/>
          </w:tcPr>
          <w:p w14:paraId="2425C22A" w14:textId="77777777" w:rsidR="009D4357" w:rsidRPr="00434957" w:rsidRDefault="009D4357" w:rsidP="00CE3F2A">
            <w:pPr>
              <w:spacing w:beforeLines="20" w:before="48" w:afterLines="20" w:after="48"/>
              <w:ind w:left="986"/>
              <w:rPr>
                <w:noProof/>
                <w:sz w:val="20"/>
                <w:lang w:eastAsia="en-GB"/>
              </w:rPr>
            </w:pPr>
            <w:r w:rsidRPr="00434957">
              <w:rPr>
                <w:b/>
                <w:noProof/>
                <w:sz w:val="20"/>
                <w:lang w:eastAsia="en-GB"/>
              </w:rPr>
              <w:t>TOTAL</w:t>
            </w:r>
          </w:p>
        </w:tc>
        <w:tc>
          <w:tcPr>
            <w:tcW w:w="455" w:type="pct"/>
            <w:tcBorders>
              <w:top w:val="double" w:sz="4" w:space="0" w:color="auto"/>
            </w:tcBorders>
            <w:shd w:val="clear" w:color="auto" w:fill="auto"/>
            <w:vAlign w:val="center"/>
          </w:tcPr>
          <w:p w14:paraId="57969940" w14:textId="77777777" w:rsidR="009D4357" w:rsidRPr="00434957" w:rsidRDefault="009D4357" w:rsidP="00CE3F2A">
            <w:pPr>
              <w:spacing w:beforeLines="20" w:before="48" w:afterLines="20" w:after="48"/>
              <w:jc w:val="center"/>
              <w:rPr>
                <w:b/>
                <w:noProof/>
                <w:sz w:val="20"/>
                <w:lang w:eastAsia="en-GB"/>
              </w:rPr>
            </w:pPr>
          </w:p>
        </w:tc>
        <w:tc>
          <w:tcPr>
            <w:tcW w:w="491" w:type="pct"/>
            <w:tcBorders>
              <w:top w:val="double" w:sz="4" w:space="0" w:color="auto"/>
            </w:tcBorders>
          </w:tcPr>
          <w:p w14:paraId="47821DD7" w14:textId="77777777" w:rsidR="009D4357" w:rsidRPr="00434957" w:rsidRDefault="009D4357" w:rsidP="00CE3F2A">
            <w:pPr>
              <w:spacing w:beforeLines="20" w:before="48" w:afterLines="20" w:after="48"/>
              <w:jc w:val="center"/>
              <w:rPr>
                <w:b/>
                <w:noProof/>
                <w:sz w:val="20"/>
                <w:lang w:eastAsia="en-GB"/>
              </w:rPr>
            </w:pPr>
            <w:r>
              <w:rPr>
                <w:b/>
                <w:noProof/>
                <w:sz w:val="20"/>
                <w:lang w:eastAsia="en-GB"/>
              </w:rPr>
              <w:t>5</w:t>
            </w:r>
          </w:p>
        </w:tc>
        <w:tc>
          <w:tcPr>
            <w:tcW w:w="491" w:type="pct"/>
            <w:tcBorders>
              <w:top w:val="double" w:sz="4" w:space="0" w:color="auto"/>
            </w:tcBorders>
          </w:tcPr>
          <w:p w14:paraId="65BFA907" w14:textId="77777777" w:rsidR="009D4357" w:rsidRPr="00434957" w:rsidRDefault="009D4357" w:rsidP="00CE3F2A">
            <w:pPr>
              <w:spacing w:beforeLines="20" w:before="48" w:afterLines="20" w:after="48"/>
              <w:jc w:val="center"/>
              <w:rPr>
                <w:b/>
                <w:noProof/>
                <w:sz w:val="20"/>
                <w:lang w:eastAsia="en-GB"/>
              </w:rPr>
            </w:pPr>
            <w:r>
              <w:rPr>
                <w:b/>
                <w:noProof/>
                <w:sz w:val="20"/>
                <w:lang w:eastAsia="en-GB"/>
              </w:rPr>
              <w:t>5</w:t>
            </w:r>
          </w:p>
        </w:tc>
        <w:tc>
          <w:tcPr>
            <w:tcW w:w="491" w:type="pct"/>
            <w:tcBorders>
              <w:top w:val="double" w:sz="4" w:space="0" w:color="auto"/>
            </w:tcBorders>
            <w:shd w:val="clear" w:color="auto" w:fill="auto"/>
            <w:vAlign w:val="center"/>
          </w:tcPr>
          <w:p w14:paraId="04C46F47" w14:textId="77777777" w:rsidR="009D4357" w:rsidRPr="00434957" w:rsidRDefault="009D4357" w:rsidP="00CE3F2A">
            <w:pPr>
              <w:spacing w:beforeLines="20" w:before="48" w:afterLines="20" w:after="48"/>
              <w:jc w:val="center"/>
              <w:rPr>
                <w:b/>
                <w:noProof/>
                <w:sz w:val="20"/>
                <w:lang w:eastAsia="en-GB"/>
              </w:rPr>
            </w:pPr>
            <w:r>
              <w:rPr>
                <w:b/>
                <w:noProof/>
                <w:sz w:val="20"/>
                <w:lang w:eastAsia="en-GB"/>
              </w:rPr>
              <w:t>4</w:t>
            </w:r>
          </w:p>
        </w:tc>
        <w:tc>
          <w:tcPr>
            <w:tcW w:w="600" w:type="pct"/>
            <w:tcBorders>
              <w:top w:val="double" w:sz="4" w:space="0" w:color="auto"/>
            </w:tcBorders>
            <w:shd w:val="clear" w:color="auto" w:fill="auto"/>
            <w:vAlign w:val="center"/>
          </w:tcPr>
          <w:p w14:paraId="7EEDA253" w14:textId="77777777" w:rsidR="009D4357" w:rsidRPr="00434957" w:rsidRDefault="009D4357" w:rsidP="00CE3F2A">
            <w:pPr>
              <w:spacing w:beforeLines="20" w:before="48" w:afterLines="20" w:after="48"/>
              <w:jc w:val="center"/>
              <w:rPr>
                <w:b/>
                <w:noProof/>
                <w:sz w:val="20"/>
                <w:lang w:eastAsia="en-GB"/>
              </w:rPr>
            </w:pPr>
            <w:r>
              <w:rPr>
                <w:b/>
                <w:noProof/>
                <w:sz w:val="20"/>
                <w:lang w:eastAsia="en-GB"/>
              </w:rPr>
              <w:t>4</w:t>
            </w:r>
          </w:p>
        </w:tc>
      </w:tr>
    </w:tbl>
    <w:p w14:paraId="2E7755A4" w14:textId="77777777" w:rsidR="009D4357" w:rsidRPr="00434957" w:rsidRDefault="009D4357" w:rsidP="009D4357">
      <w:pPr>
        <w:spacing w:before="60" w:after="60"/>
        <w:ind w:left="851"/>
        <w:rPr>
          <w:noProof/>
          <w:lang w:eastAsia="en-GB"/>
        </w:rPr>
      </w:pPr>
      <w:r w:rsidRPr="00434957">
        <w:rPr>
          <w:b/>
          <w:noProof/>
          <w:lang w:eastAsia="en-GB"/>
        </w:rPr>
        <w:t>XX</w:t>
      </w:r>
      <w:r w:rsidRPr="00434957">
        <w:rPr>
          <w:noProof/>
          <w:lang w:eastAsia="en-GB"/>
        </w:rPr>
        <w:t xml:space="preserve"> is the policy area or budget title concerned.</w:t>
      </w:r>
    </w:p>
    <w:p w14:paraId="331D4188" w14:textId="77777777" w:rsidR="009D4357" w:rsidRPr="00434957" w:rsidRDefault="009D4357" w:rsidP="009D4357">
      <w:pPr>
        <w:ind w:left="850"/>
        <w:rPr>
          <w:noProof/>
          <w:lang w:eastAsia="en-GB"/>
        </w:rPr>
      </w:pPr>
      <w:r w:rsidRPr="00434957">
        <w:rPr>
          <w:noProof/>
          <w:lang w:eastAsia="en-GB"/>
        </w:rPr>
        <w:t>The human resources required will be</w:t>
      </w:r>
      <w:r>
        <w:rPr>
          <w:noProof/>
          <w:lang w:eastAsia="en-GB"/>
        </w:rPr>
        <w:t xml:space="preserve"> partially</w:t>
      </w:r>
      <w:r w:rsidRPr="00434957">
        <w:rPr>
          <w:noProof/>
          <w:lang w:eastAsia="en-GB"/>
        </w:rPr>
        <w:t xml:space="preserve"> </w:t>
      </w:r>
      <w:r>
        <w:rPr>
          <w:noProof/>
          <w:lang w:eastAsia="en-GB"/>
        </w:rPr>
        <w:t xml:space="preserve">(3 FTE) </w:t>
      </w:r>
      <w:r w:rsidRPr="00434957">
        <w:rPr>
          <w:noProof/>
          <w:lang w:eastAsia="en-GB"/>
        </w:rPr>
        <w:t>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r>
        <w:rPr>
          <w:noProof/>
          <w:lang w:eastAsia="en-GB"/>
        </w:rPr>
        <w:t xml:space="preserve"> The DG will also require additional staff (2 FTE).</w:t>
      </w:r>
    </w:p>
    <w:p w14:paraId="0467C6CA" w14:textId="77777777" w:rsidR="009D4357" w:rsidRPr="0056090D" w:rsidRDefault="009D4357" w:rsidP="009D4357">
      <w:pPr>
        <w:ind w:left="850"/>
        <w:rPr>
          <w:noProof/>
          <w:sz w:val="22"/>
          <w:lang w:eastAsia="en-GB"/>
        </w:rPr>
      </w:pPr>
      <w:r w:rsidRPr="0056090D">
        <w:rPr>
          <w:noProof/>
          <w:sz w:val="22"/>
          <w:lang w:eastAsia="en-GB"/>
        </w:rPr>
        <w:t>Description of tasks to be carried out:</w:t>
      </w:r>
    </w:p>
    <w:p w14:paraId="1C41F8B2" w14:textId="77777777" w:rsidR="009D4357" w:rsidRPr="0056090D" w:rsidRDefault="009D4357" w:rsidP="009D4357">
      <w:pPr>
        <w:ind w:left="850"/>
        <w:rPr>
          <w:noProof/>
          <w:sz w:val="22"/>
          <w:lang w:eastAsia="en-GB"/>
        </w:rPr>
      </w:pPr>
      <w:r w:rsidRPr="0056090D">
        <w:rPr>
          <w:noProof/>
          <w:sz w:val="22"/>
          <w:lang w:eastAsia="en-GB"/>
        </w:rPr>
        <w:t>Five officials for the follow-up. The staff deal with taking up the Commission's duties in the delivery of the programme: checking compliance with legal proposal, addressing compliance issues, preparing reports to European Parliament and Council, assessing Member State progress, keeping secondary legislation up-to-date including any development concerning the standards. As the programme is an additional activity compared with existing workloads, additional staff are required (2 FTE). One of the staff increase is limited in terms of duration and covers only the development period, the second one represents the absortion of the tasks of the Council Secretariat, as the Council Decisions are transformed into a Regulation, the Commission must take over the Council Secretariat tasks its workload is 1 FTE.</w:t>
      </w:r>
    </w:p>
    <w:p w14:paraId="29EE78D1" w14:textId="77777777" w:rsidR="009D4357" w:rsidRPr="00434957" w:rsidRDefault="009D4357" w:rsidP="009D4357">
      <w:pPr>
        <w:rPr>
          <w:noProof/>
          <w:lang w:eastAsia="en-GB"/>
        </w:rPr>
      </w:pPr>
    </w:p>
    <w:p w14:paraId="3C9DAD96" w14:textId="77777777" w:rsidR="009D4357" w:rsidRPr="00434957" w:rsidRDefault="009D4357" w:rsidP="009D4357">
      <w:pPr>
        <w:rPr>
          <w:noProof/>
          <w:highlight w:val="yellow"/>
          <w:lang w:eastAsia="en-GB"/>
        </w:rPr>
        <w:sectPr w:rsidR="009D4357" w:rsidRPr="00434957" w:rsidSect="009D02A3">
          <w:headerReference w:type="default" r:id="rId27"/>
          <w:footerReference w:type="default" r:id="rId28"/>
          <w:headerReference w:type="first" r:id="rId29"/>
          <w:footerReference w:type="first" r:id="rId30"/>
          <w:pgSz w:w="11907" w:h="16839"/>
          <w:pgMar w:top="1134" w:right="1417" w:bottom="1134" w:left="1417" w:header="709" w:footer="709" w:gutter="0"/>
          <w:cols w:space="720"/>
          <w:docGrid w:linePitch="326"/>
        </w:sectPr>
      </w:pPr>
    </w:p>
    <w:p w14:paraId="08192E29" w14:textId="77777777" w:rsidR="009D4357" w:rsidRPr="00434957" w:rsidRDefault="009D4357" w:rsidP="009D4357">
      <w:pPr>
        <w:keepNext/>
        <w:tabs>
          <w:tab w:val="left" w:pos="850"/>
        </w:tabs>
        <w:ind w:left="850" w:hanging="850"/>
        <w:outlineLvl w:val="2"/>
        <w:rPr>
          <w:i/>
          <w:noProof/>
          <w:szCs w:val="24"/>
          <w:lang w:eastAsia="en-GB"/>
        </w:rPr>
      </w:pPr>
      <w:r w:rsidRPr="00434957">
        <w:rPr>
          <w:i/>
          <w:noProof/>
        </w:rPr>
        <w:t>3.2.</w:t>
      </w:r>
      <w:r>
        <w:rPr>
          <w:i/>
          <w:noProof/>
        </w:rPr>
        <w:t>6</w:t>
      </w:r>
      <w:r w:rsidRPr="00434957">
        <w:rPr>
          <w:i/>
          <w:noProof/>
        </w:rPr>
        <w:t>.</w:t>
      </w:r>
      <w:r w:rsidRPr="00434957">
        <w:rPr>
          <w:i/>
          <w:noProof/>
        </w:rPr>
        <w:tab/>
      </w:r>
      <w:r w:rsidRPr="00434957">
        <w:rPr>
          <w:i/>
          <w:noProof/>
          <w:lang w:eastAsia="en-GB"/>
        </w:rPr>
        <w:t xml:space="preserve">Compatibility with the current multiannual financial framework </w:t>
      </w:r>
    </w:p>
    <w:p w14:paraId="490C8621" w14:textId="77777777" w:rsidR="009D4357" w:rsidRPr="00434957" w:rsidRDefault="009D4357" w:rsidP="009D4357">
      <w:pPr>
        <w:tabs>
          <w:tab w:val="num" w:pos="1134"/>
        </w:tabs>
        <w:ind w:left="1134" w:hanging="283"/>
        <w:rPr>
          <w:noProof/>
          <w:lang w:eastAsia="en-GB"/>
        </w:rPr>
      </w:pPr>
      <w:r w:rsidRPr="00434957">
        <w:rPr>
          <w:noProof/>
          <w:lang w:eastAsia="en-GB"/>
        </w:rPr>
        <w:sym w:font="Wingdings" w:char="F0A8"/>
      </w:r>
      <w:r w:rsidRPr="00434957">
        <w:rPr>
          <w:noProof/>
          <w:lang w:eastAsia="en-GB"/>
        </w:rPr>
        <w:tab/>
        <w:t>The proposal/initiative is compatible the current multiannual financial framework.</w:t>
      </w:r>
    </w:p>
    <w:p w14:paraId="0082726A" w14:textId="77777777" w:rsidR="009D4357" w:rsidRPr="00434957" w:rsidRDefault="009D4357" w:rsidP="009D4357">
      <w:pPr>
        <w:tabs>
          <w:tab w:val="num" w:pos="1134"/>
        </w:tabs>
        <w:ind w:left="1134" w:hanging="283"/>
        <w:rPr>
          <w:noProof/>
          <w:lang w:eastAsia="en-GB"/>
        </w:rPr>
      </w:pPr>
      <w:r w:rsidRPr="00434957">
        <w:rPr>
          <w:noProof/>
          <w:lang w:eastAsia="en-GB"/>
        </w:rPr>
        <w:sym w:font="Wingdings" w:char="F0A8"/>
      </w:r>
      <w:r w:rsidRPr="00434957">
        <w:rPr>
          <w:noProof/>
          <w:lang w:eastAsia="en-GB"/>
        </w:rPr>
        <w:tab/>
        <w:t>The proposal/initiative will entail reprogramming of the relevant heading in the multiannual financial framework.</w:t>
      </w:r>
    </w:p>
    <w:p w14:paraId="276BF87E"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sz w:val="20"/>
          <w:lang w:eastAsia="en-GB"/>
        </w:rPr>
      </w:pPr>
    </w:p>
    <w:p w14:paraId="7428C526" w14:textId="77777777" w:rsidR="009D4357" w:rsidRPr="00434957" w:rsidRDefault="009D4357" w:rsidP="009D4357">
      <w:pPr>
        <w:tabs>
          <w:tab w:val="num" w:pos="1134"/>
        </w:tabs>
        <w:ind w:left="1134" w:hanging="283"/>
        <w:rPr>
          <w:noProof/>
          <w:lang w:eastAsia="en-GB"/>
        </w:rPr>
      </w:pPr>
      <w:r w:rsidRPr="00434957">
        <w:rPr>
          <w:noProof/>
          <w:lang w:eastAsia="en-GB"/>
        </w:rPr>
        <w:sym w:font="Wingdings" w:char="F0A8"/>
      </w:r>
      <w:r w:rsidRPr="00434957">
        <w:rPr>
          <w:noProof/>
          <w:lang w:eastAsia="en-GB"/>
        </w:rPr>
        <w:tab/>
        <w:t>The proposal/initiative requires application of the flexibility instrument or revision of the multiannual financial framework</w:t>
      </w:r>
      <w:r w:rsidRPr="00556E60">
        <w:rPr>
          <w:rStyle w:val="FootnoteReference0"/>
          <w:noProof/>
        </w:rPr>
        <w:footnoteReference w:id="58"/>
      </w:r>
      <w:r w:rsidRPr="00434957">
        <w:rPr>
          <w:noProof/>
          <w:lang w:eastAsia="en-GB"/>
        </w:rPr>
        <w:t>.</w:t>
      </w:r>
    </w:p>
    <w:p w14:paraId="5B20442B"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sz w:val="20"/>
          <w:lang w:eastAsia="en-GB"/>
        </w:rPr>
      </w:pPr>
      <w:r w:rsidRPr="00434957">
        <w:rPr>
          <w:noProof/>
          <w:sz w:val="20"/>
          <w:lang w:eastAsia="en-GB"/>
        </w:rPr>
        <w:t>Explain what is required, specifying the headings and budget lines concerned and the corresponding amounts.</w:t>
      </w:r>
    </w:p>
    <w:p w14:paraId="7FE40381"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sz w:val="20"/>
          <w:lang w:eastAsia="en-GB"/>
        </w:rPr>
      </w:pPr>
      <w:r w:rsidRPr="00434957">
        <w:rPr>
          <w:noProof/>
          <w:color w:val="0000FF"/>
          <w:lang w:eastAsia="en-GB"/>
        </w:rPr>
        <w:t>[…]</w:t>
      </w:r>
    </w:p>
    <w:p w14:paraId="69675C8E" w14:textId="77777777" w:rsidR="009D4357" w:rsidRPr="00434957" w:rsidRDefault="009D4357" w:rsidP="009D4357">
      <w:pPr>
        <w:keepNext/>
        <w:tabs>
          <w:tab w:val="left" w:pos="850"/>
        </w:tabs>
        <w:ind w:left="850" w:hanging="850"/>
        <w:outlineLvl w:val="2"/>
        <w:rPr>
          <w:i/>
          <w:noProof/>
          <w:szCs w:val="24"/>
          <w:lang w:eastAsia="en-GB"/>
        </w:rPr>
      </w:pPr>
      <w:r w:rsidRPr="00434957">
        <w:rPr>
          <w:i/>
          <w:noProof/>
        </w:rPr>
        <w:t>3.2.</w:t>
      </w:r>
      <w:r>
        <w:rPr>
          <w:i/>
          <w:noProof/>
        </w:rPr>
        <w:t>7</w:t>
      </w:r>
      <w:r w:rsidRPr="00434957">
        <w:rPr>
          <w:i/>
          <w:noProof/>
        </w:rPr>
        <w:t>.</w:t>
      </w:r>
      <w:r w:rsidRPr="00434957">
        <w:rPr>
          <w:i/>
          <w:noProof/>
        </w:rPr>
        <w:tab/>
      </w:r>
      <w:r w:rsidRPr="00434957">
        <w:rPr>
          <w:i/>
          <w:noProof/>
          <w:lang w:eastAsia="en-GB"/>
        </w:rPr>
        <w:t xml:space="preserve">Third-party contributions </w:t>
      </w:r>
    </w:p>
    <w:p w14:paraId="3D56949E" w14:textId="77777777" w:rsidR="009D4357" w:rsidRPr="00434957" w:rsidRDefault="009D4357" w:rsidP="009D4357">
      <w:pPr>
        <w:tabs>
          <w:tab w:val="num" w:pos="1134"/>
        </w:tabs>
        <w:ind w:left="1134" w:hanging="283"/>
        <w:rPr>
          <w:noProof/>
          <w:lang w:eastAsia="en-GB"/>
        </w:rPr>
      </w:pPr>
      <w:r w:rsidRPr="00434957">
        <w:rPr>
          <w:noProof/>
          <w:lang w:eastAsia="en-GB"/>
        </w:rPr>
        <w:t xml:space="preserve">The proposal/initiative does not provide for co-financing by third parties. </w:t>
      </w:r>
    </w:p>
    <w:p w14:paraId="3D9053DB" w14:textId="77777777" w:rsidR="009D4357" w:rsidRPr="00434957" w:rsidRDefault="009D4357" w:rsidP="009D4357">
      <w:pPr>
        <w:tabs>
          <w:tab w:val="num" w:pos="1134"/>
        </w:tabs>
        <w:ind w:left="1134" w:hanging="283"/>
        <w:rPr>
          <w:noProof/>
          <w:lang w:eastAsia="en-GB"/>
        </w:rPr>
      </w:pPr>
      <w:r w:rsidRPr="00434957">
        <w:rPr>
          <w:noProof/>
          <w:lang w:eastAsia="en-GB"/>
        </w:rPr>
        <w:t>The proposal/initiative provides for the co-financing estimated below:</w:t>
      </w:r>
    </w:p>
    <w:p w14:paraId="64EDC5F5" w14:textId="77777777" w:rsidR="009D4357" w:rsidRPr="00434957" w:rsidRDefault="009D4357" w:rsidP="009D4357">
      <w:pPr>
        <w:jc w:val="right"/>
        <w:rPr>
          <w:noProof/>
          <w:sz w:val="20"/>
          <w:lang w:eastAsia="en-GB"/>
        </w:rPr>
      </w:pPr>
      <w:r w:rsidRPr="00434957">
        <w:rPr>
          <w:noProof/>
          <w:sz w:val="20"/>
          <w:lang w:eastAsia="en-GB"/>
        </w:rPr>
        <w:t>EUR million (to three decimal places)</w:t>
      </w:r>
    </w:p>
    <w:tbl>
      <w:tblPr>
        <w:tblW w:w="0" w:type="auto"/>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9D4357" w:rsidRPr="00434957" w14:paraId="445B2422" w14:textId="77777777" w:rsidTr="00CE3F2A">
        <w:trPr>
          <w:cantSplit/>
        </w:trPr>
        <w:tc>
          <w:tcPr>
            <w:tcW w:w="2340" w:type="dxa"/>
          </w:tcPr>
          <w:p w14:paraId="10D03A33" w14:textId="77777777" w:rsidR="009D4357" w:rsidRPr="00434957" w:rsidRDefault="009D4357" w:rsidP="00CE3F2A">
            <w:pPr>
              <w:spacing w:before="60" w:after="60"/>
              <w:rPr>
                <w:noProof/>
                <w:sz w:val="20"/>
                <w:lang w:eastAsia="en-GB"/>
              </w:rPr>
            </w:pPr>
          </w:p>
        </w:tc>
        <w:tc>
          <w:tcPr>
            <w:tcW w:w="964" w:type="dxa"/>
            <w:vAlign w:val="center"/>
          </w:tcPr>
          <w:p w14:paraId="1F55631D" w14:textId="77777777" w:rsidR="009D4357" w:rsidRPr="00434957" w:rsidRDefault="009D4357" w:rsidP="00CE3F2A">
            <w:pPr>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N</w:t>
            </w:r>
          </w:p>
        </w:tc>
        <w:tc>
          <w:tcPr>
            <w:tcW w:w="964" w:type="dxa"/>
            <w:vAlign w:val="center"/>
          </w:tcPr>
          <w:p w14:paraId="29C805EF" w14:textId="77777777" w:rsidR="009D4357" w:rsidRPr="00434957" w:rsidRDefault="009D4357" w:rsidP="00CE3F2A">
            <w:pPr>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N+1</w:t>
            </w:r>
          </w:p>
        </w:tc>
        <w:tc>
          <w:tcPr>
            <w:tcW w:w="964" w:type="dxa"/>
            <w:vAlign w:val="center"/>
          </w:tcPr>
          <w:p w14:paraId="799876B7" w14:textId="77777777" w:rsidR="009D4357" w:rsidRPr="00434957" w:rsidRDefault="009D4357" w:rsidP="00CE3F2A">
            <w:pPr>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N+2</w:t>
            </w:r>
          </w:p>
        </w:tc>
        <w:tc>
          <w:tcPr>
            <w:tcW w:w="964" w:type="dxa"/>
            <w:vAlign w:val="center"/>
          </w:tcPr>
          <w:p w14:paraId="690F42F7" w14:textId="77777777" w:rsidR="009D4357" w:rsidRPr="00434957" w:rsidRDefault="009D4357" w:rsidP="00CE3F2A">
            <w:pPr>
              <w:jc w:val="center"/>
              <w:rPr>
                <w:noProof/>
                <w:sz w:val="20"/>
                <w:lang w:eastAsia="en-GB"/>
              </w:rPr>
            </w:pPr>
            <w:r w:rsidRPr="00434957">
              <w:rPr>
                <w:noProof/>
                <w:sz w:val="20"/>
                <w:lang w:eastAsia="en-GB"/>
              </w:rPr>
              <w:t>Year</w:t>
            </w:r>
            <w:r w:rsidRPr="00434957">
              <w:rPr>
                <w:noProof/>
                <w:lang w:eastAsia="en-GB"/>
              </w:rPr>
              <w:br/>
            </w:r>
            <w:r w:rsidRPr="00434957">
              <w:rPr>
                <w:b/>
                <w:noProof/>
                <w:sz w:val="20"/>
                <w:lang w:eastAsia="en-GB"/>
              </w:rPr>
              <w:t>N+3</w:t>
            </w:r>
          </w:p>
        </w:tc>
        <w:tc>
          <w:tcPr>
            <w:tcW w:w="2892" w:type="dxa"/>
            <w:gridSpan w:val="3"/>
            <w:vAlign w:val="center"/>
          </w:tcPr>
          <w:p w14:paraId="0988DA92" w14:textId="77777777" w:rsidR="009D4357" w:rsidRPr="00434957" w:rsidRDefault="009D4357" w:rsidP="00CE3F2A">
            <w:pPr>
              <w:jc w:val="center"/>
              <w:rPr>
                <w:b/>
                <w:noProof/>
                <w:sz w:val="20"/>
                <w:lang w:eastAsia="en-GB"/>
              </w:rPr>
            </w:pPr>
            <w:r w:rsidRPr="00434957">
              <w:rPr>
                <w:noProof/>
                <w:sz w:val="20"/>
                <w:lang w:eastAsia="en-GB"/>
              </w:rPr>
              <w:t>Enter as many years as necessary to show the duration of the impact (see point 1.6)</w:t>
            </w:r>
          </w:p>
        </w:tc>
        <w:tc>
          <w:tcPr>
            <w:tcW w:w="1158" w:type="dxa"/>
            <w:vAlign w:val="center"/>
          </w:tcPr>
          <w:p w14:paraId="6235C889" w14:textId="77777777" w:rsidR="009D4357" w:rsidRPr="00434957" w:rsidRDefault="009D4357" w:rsidP="00CE3F2A">
            <w:pPr>
              <w:spacing w:before="60" w:after="60"/>
              <w:jc w:val="center"/>
              <w:rPr>
                <w:noProof/>
                <w:sz w:val="20"/>
                <w:lang w:eastAsia="en-GB"/>
              </w:rPr>
            </w:pPr>
            <w:r w:rsidRPr="00434957">
              <w:rPr>
                <w:noProof/>
                <w:sz w:val="20"/>
                <w:lang w:eastAsia="en-GB"/>
              </w:rPr>
              <w:t>Total</w:t>
            </w:r>
          </w:p>
        </w:tc>
      </w:tr>
      <w:tr w:rsidR="009D4357" w:rsidRPr="00434957" w14:paraId="03DED13A" w14:textId="77777777" w:rsidTr="00CE3F2A">
        <w:trPr>
          <w:cantSplit/>
        </w:trPr>
        <w:tc>
          <w:tcPr>
            <w:tcW w:w="2340" w:type="dxa"/>
          </w:tcPr>
          <w:p w14:paraId="7786098F" w14:textId="77777777" w:rsidR="009D4357" w:rsidRPr="00434957" w:rsidRDefault="009D4357" w:rsidP="00CE3F2A">
            <w:pPr>
              <w:rPr>
                <w:noProof/>
                <w:lang w:eastAsia="en-GB"/>
              </w:rPr>
            </w:pPr>
            <w:r w:rsidRPr="00434957">
              <w:rPr>
                <w:noProof/>
                <w:sz w:val="20"/>
                <w:lang w:eastAsia="en-GB"/>
              </w:rPr>
              <w:t>Specify the co-financing body</w:t>
            </w:r>
            <w:r w:rsidRPr="00434957">
              <w:rPr>
                <w:i/>
                <w:noProof/>
                <w:sz w:val="20"/>
                <w:lang w:eastAsia="en-GB"/>
              </w:rPr>
              <w:t xml:space="preserve"> </w:t>
            </w:r>
          </w:p>
        </w:tc>
        <w:tc>
          <w:tcPr>
            <w:tcW w:w="964" w:type="dxa"/>
            <w:vAlign w:val="center"/>
          </w:tcPr>
          <w:p w14:paraId="6C29B1A7" w14:textId="77777777" w:rsidR="009D4357" w:rsidRPr="00434957" w:rsidRDefault="009D4357" w:rsidP="00CE3F2A">
            <w:pPr>
              <w:spacing w:before="60" w:after="60"/>
              <w:jc w:val="center"/>
              <w:rPr>
                <w:noProof/>
                <w:sz w:val="20"/>
                <w:lang w:eastAsia="en-GB"/>
              </w:rPr>
            </w:pPr>
          </w:p>
        </w:tc>
        <w:tc>
          <w:tcPr>
            <w:tcW w:w="964" w:type="dxa"/>
            <w:vAlign w:val="center"/>
          </w:tcPr>
          <w:p w14:paraId="16913381" w14:textId="77777777" w:rsidR="009D4357" w:rsidRPr="00434957" w:rsidRDefault="009D4357" w:rsidP="00CE3F2A">
            <w:pPr>
              <w:spacing w:before="60" w:after="60"/>
              <w:jc w:val="center"/>
              <w:rPr>
                <w:noProof/>
                <w:sz w:val="20"/>
                <w:lang w:eastAsia="en-GB"/>
              </w:rPr>
            </w:pPr>
          </w:p>
        </w:tc>
        <w:tc>
          <w:tcPr>
            <w:tcW w:w="964" w:type="dxa"/>
            <w:vAlign w:val="center"/>
          </w:tcPr>
          <w:p w14:paraId="5B719BA0" w14:textId="77777777" w:rsidR="009D4357" w:rsidRPr="00434957" w:rsidRDefault="009D4357" w:rsidP="00CE3F2A">
            <w:pPr>
              <w:spacing w:before="60" w:after="60"/>
              <w:jc w:val="center"/>
              <w:rPr>
                <w:noProof/>
                <w:sz w:val="20"/>
                <w:lang w:eastAsia="en-GB"/>
              </w:rPr>
            </w:pPr>
          </w:p>
        </w:tc>
        <w:tc>
          <w:tcPr>
            <w:tcW w:w="964" w:type="dxa"/>
            <w:vAlign w:val="center"/>
          </w:tcPr>
          <w:p w14:paraId="306C3912" w14:textId="77777777" w:rsidR="009D4357" w:rsidRPr="00434957" w:rsidRDefault="009D4357" w:rsidP="00CE3F2A">
            <w:pPr>
              <w:spacing w:before="60" w:after="60"/>
              <w:jc w:val="center"/>
              <w:rPr>
                <w:noProof/>
                <w:sz w:val="20"/>
                <w:lang w:eastAsia="en-GB"/>
              </w:rPr>
            </w:pPr>
          </w:p>
        </w:tc>
        <w:tc>
          <w:tcPr>
            <w:tcW w:w="964" w:type="dxa"/>
            <w:vAlign w:val="center"/>
          </w:tcPr>
          <w:p w14:paraId="42D62940" w14:textId="77777777" w:rsidR="009D4357" w:rsidRPr="00434957" w:rsidRDefault="009D4357" w:rsidP="00CE3F2A">
            <w:pPr>
              <w:spacing w:before="60" w:after="60"/>
              <w:jc w:val="center"/>
              <w:rPr>
                <w:noProof/>
                <w:sz w:val="20"/>
                <w:lang w:eastAsia="en-GB"/>
              </w:rPr>
            </w:pPr>
          </w:p>
        </w:tc>
        <w:tc>
          <w:tcPr>
            <w:tcW w:w="964" w:type="dxa"/>
            <w:vAlign w:val="center"/>
          </w:tcPr>
          <w:p w14:paraId="2CF9618E" w14:textId="77777777" w:rsidR="009D4357" w:rsidRPr="00434957" w:rsidRDefault="009D4357" w:rsidP="00CE3F2A">
            <w:pPr>
              <w:spacing w:before="60" w:after="60"/>
              <w:jc w:val="center"/>
              <w:rPr>
                <w:noProof/>
                <w:sz w:val="20"/>
                <w:lang w:eastAsia="en-GB"/>
              </w:rPr>
            </w:pPr>
          </w:p>
        </w:tc>
        <w:tc>
          <w:tcPr>
            <w:tcW w:w="964" w:type="dxa"/>
            <w:vAlign w:val="center"/>
          </w:tcPr>
          <w:p w14:paraId="76204E3D" w14:textId="77777777" w:rsidR="009D4357" w:rsidRPr="00434957" w:rsidRDefault="009D4357" w:rsidP="00CE3F2A">
            <w:pPr>
              <w:spacing w:before="60" w:after="60"/>
              <w:jc w:val="center"/>
              <w:rPr>
                <w:noProof/>
                <w:sz w:val="20"/>
                <w:lang w:eastAsia="en-GB"/>
              </w:rPr>
            </w:pPr>
          </w:p>
        </w:tc>
        <w:tc>
          <w:tcPr>
            <w:tcW w:w="1158" w:type="dxa"/>
            <w:vAlign w:val="center"/>
          </w:tcPr>
          <w:p w14:paraId="50666934" w14:textId="77777777" w:rsidR="009D4357" w:rsidRPr="00434957" w:rsidRDefault="009D4357" w:rsidP="00CE3F2A">
            <w:pPr>
              <w:spacing w:before="60" w:after="60"/>
              <w:jc w:val="center"/>
              <w:rPr>
                <w:noProof/>
                <w:sz w:val="20"/>
                <w:lang w:eastAsia="en-GB"/>
              </w:rPr>
            </w:pPr>
          </w:p>
        </w:tc>
      </w:tr>
      <w:tr w:rsidR="009D4357" w:rsidRPr="00434957" w14:paraId="222A083F" w14:textId="77777777" w:rsidTr="00CE3F2A">
        <w:trPr>
          <w:cantSplit/>
        </w:trPr>
        <w:tc>
          <w:tcPr>
            <w:tcW w:w="2340" w:type="dxa"/>
          </w:tcPr>
          <w:p w14:paraId="160D4FAD" w14:textId="77777777" w:rsidR="009D4357" w:rsidRPr="00434957" w:rsidRDefault="009D4357" w:rsidP="00CE3F2A">
            <w:pPr>
              <w:spacing w:before="60" w:after="60"/>
              <w:rPr>
                <w:noProof/>
                <w:sz w:val="20"/>
                <w:lang w:eastAsia="en-GB"/>
              </w:rPr>
            </w:pPr>
            <w:r w:rsidRPr="00434957">
              <w:rPr>
                <w:noProof/>
                <w:sz w:val="20"/>
                <w:lang w:eastAsia="en-GB"/>
              </w:rPr>
              <w:t xml:space="preserve">TOTAL appropriations co-financed </w:t>
            </w:r>
          </w:p>
        </w:tc>
        <w:tc>
          <w:tcPr>
            <w:tcW w:w="964" w:type="dxa"/>
            <w:vAlign w:val="center"/>
          </w:tcPr>
          <w:p w14:paraId="17B65CC4" w14:textId="77777777" w:rsidR="009D4357" w:rsidRPr="00434957" w:rsidRDefault="009D4357" w:rsidP="00CE3F2A">
            <w:pPr>
              <w:spacing w:before="60" w:after="60"/>
              <w:jc w:val="center"/>
              <w:rPr>
                <w:noProof/>
                <w:sz w:val="20"/>
                <w:lang w:eastAsia="en-GB"/>
              </w:rPr>
            </w:pPr>
          </w:p>
        </w:tc>
        <w:tc>
          <w:tcPr>
            <w:tcW w:w="964" w:type="dxa"/>
            <w:vAlign w:val="center"/>
          </w:tcPr>
          <w:p w14:paraId="4A119887" w14:textId="77777777" w:rsidR="009D4357" w:rsidRPr="00434957" w:rsidRDefault="009D4357" w:rsidP="00CE3F2A">
            <w:pPr>
              <w:spacing w:before="60" w:after="60"/>
              <w:jc w:val="center"/>
              <w:rPr>
                <w:noProof/>
                <w:sz w:val="20"/>
                <w:lang w:eastAsia="en-GB"/>
              </w:rPr>
            </w:pPr>
          </w:p>
        </w:tc>
        <w:tc>
          <w:tcPr>
            <w:tcW w:w="964" w:type="dxa"/>
            <w:vAlign w:val="center"/>
          </w:tcPr>
          <w:p w14:paraId="20155E45" w14:textId="77777777" w:rsidR="009D4357" w:rsidRPr="00434957" w:rsidRDefault="009D4357" w:rsidP="00CE3F2A">
            <w:pPr>
              <w:spacing w:before="60" w:after="60"/>
              <w:jc w:val="center"/>
              <w:rPr>
                <w:noProof/>
                <w:sz w:val="20"/>
                <w:lang w:eastAsia="en-GB"/>
              </w:rPr>
            </w:pPr>
          </w:p>
        </w:tc>
        <w:tc>
          <w:tcPr>
            <w:tcW w:w="964" w:type="dxa"/>
            <w:vAlign w:val="center"/>
          </w:tcPr>
          <w:p w14:paraId="6ECE2DC4" w14:textId="77777777" w:rsidR="009D4357" w:rsidRPr="00434957" w:rsidRDefault="009D4357" w:rsidP="00CE3F2A">
            <w:pPr>
              <w:spacing w:before="60" w:after="60"/>
              <w:jc w:val="center"/>
              <w:rPr>
                <w:noProof/>
                <w:sz w:val="20"/>
                <w:lang w:eastAsia="en-GB"/>
              </w:rPr>
            </w:pPr>
          </w:p>
        </w:tc>
        <w:tc>
          <w:tcPr>
            <w:tcW w:w="964" w:type="dxa"/>
            <w:vAlign w:val="center"/>
          </w:tcPr>
          <w:p w14:paraId="76BEBAF3" w14:textId="77777777" w:rsidR="009D4357" w:rsidRPr="00434957" w:rsidRDefault="009D4357" w:rsidP="00CE3F2A">
            <w:pPr>
              <w:spacing w:before="60" w:after="60"/>
              <w:jc w:val="center"/>
              <w:rPr>
                <w:noProof/>
                <w:sz w:val="20"/>
                <w:lang w:eastAsia="en-GB"/>
              </w:rPr>
            </w:pPr>
          </w:p>
        </w:tc>
        <w:tc>
          <w:tcPr>
            <w:tcW w:w="964" w:type="dxa"/>
            <w:vAlign w:val="center"/>
          </w:tcPr>
          <w:p w14:paraId="0E16FB22" w14:textId="77777777" w:rsidR="009D4357" w:rsidRPr="00434957" w:rsidRDefault="009D4357" w:rsidP="00CE3F2A">
            <w:pPr>
              <w:spacing w:before="60" w:after="60"/>
              <w:jc w:val="center"/>
              <w:rPr>
                <w:noProof/>
                <w:sz w:val="20"/>
                <w:lang w:eastAsia="en-GB"/>
              </w:rPr>
            </w:pPr>
          </w:p>
        </w:tc>
        <w:tc>
          <w:tcPr>
            <w:tcW w:w="964" w:type="dxa"/>
            <w:vAlign w:val="center"/>
          </w:tcPr>
          <w:p w14:paraId="22AD0EC3" w14:textId="77777777" w:rsidR="009D4357" w:rsidRPr="00434957" w:rsidRDefault="009D4357" w:rsidP="00CE3F2A">
            <w:pPr>
              <w:spacing w:before="60" w:after="60"/>
              <w:jc w:val="center"/>
              <w:rPr>
                <w:noProof/>
                <w:sz w:val="20"/>
                <w:lang w:eastAsia="en-GB"/>
              </w:rPr>
            </w:pPr>
          </w:p>
        </w:tc>
        <w:tc>
          <w:tcPr>
            <w:tcW w:w="1158" w:type="dxa"/>
            <w:vAlign w:val="center"/>
          </w:tcPr>
          <w:p w14:paraId="641C0649" w14:textId="77777777" w:rsidR="009D4357" w:rsidRPr="00434957" w:rsidRDefault="009D4357" w:rsidP="00CE3F2A">
            <w:pPr>
              <w:spacing w:before="60" w:after="60"/>
              <w:jc w:val="center"/>
              <w:rPr>
                <w:noProof/>
                <w:sz w:val="20"/>
                <w:lang w:eastAsia="en-GB"/>
              </w:rPr>
            </w:pPr>
          </w:p>
        </w:tc>
      </w:tr>
    </w:tbl>
    <w:p w14:paraId="418B17AD" w14:textId="77777777" w:rsidR="009D4357" w:rsidRPr="00434957" w:rsidRDefault="009D4357" w:rsidP="009D4357">
      <w:pPr>
        <w:rPr>
          <w:noProof/>
          <w:lang w:eastAsia="en-GB"/>
        </w:rPr>
      </w:pPr>
      <w:r w:rsidRPr="00434957">
        <w:rPr>
          <w:noProof/>
          <w:lang w:eastAsia="en-GB"/>
        </w:rPr>
        <w:br/>
      </w:r>
    </w:p>
    <w:p w14:paraId="101829EF" w14:textId="77777777" w:rsidR="009D4357" w:rsidRPr="00434957" w:rsidRDefault="009D4357" w:rsidP="009D4357">
      <w:pPr>
        <w:keepNext/>
        <w:tabs>
          <w:tab w:val="left" w:pos="850"/>
        </w:tabs>
        <w:ind w:left="850" w:hanging="850"/>
        <w:outlineLvl w:val="1"/>
        <w:rPr>
          <w:b/>
          <w:noProof/>
          <w:szCs w:val="24"/>
          <w:lang w:eastAsia="en-GB"/>
        </w:rPr>
      </w:pPr>
      <w:r w:rsidRPr="00434957">
        <w:rPr>
          <w:b/>
          <w:noProof/>
          <w:lang w:eastAsia="en-GB"/>
        </w:rPr>
        <w:br w:type="page"/>
      </w:r>
      <w:r w:rsidRPr="00434957">
        <w:rPr>
          <w:b/>
          <w:noProof/>
        </w:rPr>
        <w:t>3.3.</w:t>
      </w:r>
      <w:r w:rsidRPr="00434957">
        <w:rPr>
          <w:b/>
          <w:noProof/>
        </w:rPr>
        <w:tab/>
      </w:r>
      <w:r w:rsidRPr="00434957">
        <w:rPr>
          <w:b/>
          <w:noProof/>
          <w:lang w:eastAsia="en-GB"/>
        </w:rPr>
        <w:t xml:space="preserve">Estimated impact on revenue </w:t>
      </w:r>
    </w:p>
    <w:p w14:paraId="0A0D6063" w14:textId="77777777" w:rsidR="009D4357" w:rsidRPr="00434957" w:rsidRDefault="009D4357" w:rsidP="009D4357">
      <w:pPr>
        <w:tabs>
          <w:tab w:val="num" w:pos="1134"/>
        </w:tabs>
        <w:ind w:left="1134" w:hanging="283"/>
        <w:rPr>
          <w:noProof/>
          <w:lang w:eastAsia="en-GB"/>
        </w:rPr>
      </w:pPr>
      <w:r w:rsidRPr="00434957">
        <w:rPr>
          <w:noProof/>
          <w:lang w:eastAsia="en-GB"/>
        </w:rPr>
        <w:sym w:font="Wingdings" w:char="F078"/>
      </w:r>
      <w:r w:rsidRPr="00434957">
        <w:rPr>
          <w:noProof/>
          <w:lang w:eastAsia="en-GB"/>
        </w:rPr>
        <w:tab/>
        <w:t>The proposal/initiative has no financial impact on revenue.</w:t>
      </w:r>
    </w:p>
    <w:p w14:paraId="3E377009" w14:textId="77777777" w:rsidR="009D4357" w:rsidRPr="00434957" w:rsidRDefault="009D4357" w:rsidP="009D4357">
      <w:pPr>
        <w:tabs>
          <w:tab w:val="num" w:pos="1134"/>
        </w:tabs>
        <w:ind w:left="1134" w:hanging="283"/>
        <w:rPr>
          <w:noProof/>
          <w:lang w:eastAsia="en-GB"/>
        </w:rPr>
      </w:pPr>
      <w:r w:rsidRPr="00434957">
        <w:rPr>
          <w:noProof/>
          <w:lang w:eastAsia="en-GB"/>
        </w:rPr>
        <w:sym w:font="Wingdings" w:char="F0A8"/>
      </w:r>
      <w:r w:rsidRPr="00434957">
        <w:rPr>
          <w:noProof/>
          <w:lang w:eastAsia="en-GB"/>
        </w:rPr>
        <w:tab/>
        <w:t>The proposal/initiative has the following financial impact:</w:t>
      </w:r>
    </w:p>
    <w:p w14:paraId="6FD1DA57" w14:textId="77777777" w:rsidR="009D4357" w:rsidRPr="00434957" w:rsidRDefault="009D4357" w:rsidP="009D4357">
      <w:pPr>
        <w:numPr>
          <w:ilvl w:val="2"/>
          <w:numId w:val="0"/>
        </w:numPr>
        <w:tabs>
          <w:tab w:val="num" w:pos="2126"/>
        </w:tabs>
        <w:ind w:left="2126" w:hanging="709"/>
        <w:rPr>
          <w:noProof/>
          <w:lang w:eastAsia="en-GB"/>
        </w:rPr>
      </w:pPr>
      <w:r w:rsidRPr="00434957">
        <w:rPr>
          <w:noProof/>
          <w:lang w:eastAsia="en-GB"/>
        </w:rPr>
        <w:sym w:font="Wingdings" w:char="F0A8"/>
      </w:r>
      <w:r w:rsidRPr="00434957">
        <w:rPr>
          <w:noProof/>
          <w:lang w:eastAsia="en-GB"/>
        </w:rPr>
        <w:tab/>
        <w:t xml:space="preserve">on own resources </w:t>
      </w:r>
    </w:p>
    <w:p w14:paraId="60B229F9" w14:textId="77777777" w:rsidR="009D4357" w:rsidRPr="00434957" w:rsidRDefault="009D4357" w:rsidP="009D4357">
      <w:pPr>
        <w:numPr>
          <w:ilvl w:val="2"/>
          <w:numId w:val="0"/>
        </w:numPr>
        <w:tabs>
          <w:tab w:val="num" w:pos="2126"/>
        </w:tabs>
        <w:ind w:left="2126" w:hanging="709"/>
        <w:rPr>
          <w:noProof/>
          <w:lang w:eastAsia="en-GB"/>
        </w:rPr>
      </w:pPr>
      <w:r w:rsidRPr="00434957">
        <w:rPr>
          <w:noProof/>
          <w:lang w:eastAsia="en-GB"/>
        </w:rPr>
        <w:sym w:font="Wingdings" w:char="F0A8"/>
      </w:r>
      <w:r w:rsidRPr="00434957">
        <w:rPr>
          <w:noProof/>
          <w:lang w:eastAsia="en-GB"/>
        </w:rPr>
        <w:tab/>
        <w:t xml:space="preserve">on other revenue </w:t>
      </w:r>
    </w:p>
    <w:p w14:paraId="2E0124BA" w14:textId="5EEF6D2E" w:rsidR="009D4357" w:rsidRPr="00434957" w:rsidRDefault="009D4357" w:rsidP="009D4357">
      <w:pPr>
        <w:numPr>
          <w:ilvl w:val="2"/>
          <w:numId w:val="0"/>
        </w:numPr>
        <w:tabs>
          <w:tab w:val="num" w:pos="2126"/>
        </w:tabs>
        <w:ind w:left="2126" w:hanging="709"/>
        <w:rPr>
          <w:noProof/>
          <w:lang w:eastAsia="en-GB"/>
        </w:rPr>
      </w:pPr>
      <w:r w:rsidRPr="00434957">
        <w:rPr>
          <w:noProof/>
          <w:lang w:eastAsia="en-GB"/>
        </w:rPr>
        <w:sym w:font="Wingdings" w:char="F0A8"/>
      </w:r>
      <w:r w:rsidR="00EC4824">
        <w:rPr>
          <w:noProof/>
          <w:lang w:eastAsia="en-GB"/>
        </w:rPr>
        <w:tab/>
      </w:r>
      <w:r w:rsidRPr="00434957">
        <w:rPr>
          <w:noProof/>
          <w:lang w:eastAsia="en-GB"/>
        </w:rPr>
        <w:t xml:space="preserve">please indicate, if the revenue is assigned to expenditure lines </w:t>
      </w:r>
    </w:p>
    <w:p w14:paraId="7CEAC34A" w14:textId="77777777" w:rsidR="009D4357" w:rsidRPr="00434957" w:rsidRDefault="009D4357" w:rsidP="009D4357">
      <w:pPr>
        <w:jc w:val="right"/>
        <w:rPr>
          <w:i/>
          <w:noProof/>
          <w:sz w:val="20"/>
          <w:lang w:eastAsia="en-GB"/>
        </w:rPr>
      </w:pPr>
      <w:r w:rsidRPr="00434957">
        <w:rPr>
          <w:noProof/>
          <w:sz w:val="20"/>
          <w:lang w:eastAsia="en-GB"/>
        </w:rPr>
        <w:t>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9D4357" w:rsidRPr="00434957" w14:paraId="3DC017A6" w14:textId="77777777" w:rsidTr="00CE3F2A">
        <w:trPr>
          <w:trHeight w:val="388"/>
        </w:trPr>
        <w:tc>
          <w:tcPr>
            <w:tcW w:w="2144" w:type="dxa"/>
            <w:vMerge w:val="restart"/>
            <w:vAlign w:val="center"/>
          </w:tcPr>
          <w:p w14:paraId="5552F846" w14:textId="77777777" w:rsidR="009D4357" w:rsidRPr="00434957" w:rsidRDefault="009D4357" w:rsidP="00CE3F2A">
            <w:pPr>
              <w:spacing w:before="40" w:after="40"/>
              <w:rPr>
                <w:noProof/>
                <w:sz w:val="18"/>
                <w:lang w:eastAsia="en-GB"/>
              </w:rPr>
            </w:pPr>
            <w:r w:rsidRPr="00434957">
              <w:rPr>
                <w:noProof/>
                <w:sz w:val="18"/>
                <w:lang w:eastAsia="en-GB"/>
              </w:rPr>
              <w:t>Budget revenue line:</w:t>
            </w:r>
          </w:p>
        </w:tc>
        <w:tc>
          <w:tcPr>
            <w:tcW w:w="1276" w:type="dxa"/>
            <w:vMerge w:val="restart"/>
            <w:vAlign w:val="center"/>
          </w:tcPr>
          <w:p w14:paraId="6B0B8226" w14:textId="77777777" w:rsidR="009D4357" w:rsidRPr="00434957" w:rsidRDefault="009D4357" w:rsidP="00CE3F2A">
            <w:pPr>
              <w:jc w:val="center"/>
              <w:rPr>
                <w:noProof/>
                <w:sz w:val="18"/>
                <w:lang w:eastAsia="en-GB"/>
              </w:rPr>
            </w:pPr>
            <w:r w:rsidRPr="00434957">
              <w:rPr>
                <w:noProof/>
                <w:sz w:val="18"/>
                <w:lang w:eastAsia="en-GB"/>
              </w:rPr>
              <w:t>Appropriations available for the current financial year</w:t>
            </w:r>
          </w:p>
        </w:tc>
        <w:tc>
          <w:tcPr>
            <w:tcW w:w="7200" w:type="dxa"/>
            <w:gridSpan w:val="7"/>
            <w:vAlign w:val="center"/>
          </w:tcPr>
          <w:p w14:paraId="338CDB26" w14:textId="77777777" w:rsidR="009D4357" w:rsidRPr="00434957" w:rsidRDefault="009D4357" w:rsidP="00CE3F2A">
            <w:pPr>
              <w:jc w:val="center"/>
              <w:rPr>
                <w:noProof/>
                <w:sz w:val="18"/>
                <w:lang w:eastAsia="en-GB"/>
              </w:rPr>
            </w:pPr>
            <w:r w:rsidRPr="00434957">
              <w:rPr>
                <w:noProof/>
                <w:sz w:val="18"/>
                <w:lang w:eastAsia="en-GB"/>
              </w:rPr>
              <w:t>Impact of the proposal/initiative</w:t>
            </w:r>
            <w:r w:rsidRPr="00556E60">
              <w:rPr>
                <w:rStyle w:val="FootnoteReference0"/>
                <w:noProof/>
              </w:rPr>
              <w:footnoteReference w:id="59"/>
            </w:r>
          </w:p>
        </w:tc>
      </w:tr>
      <w:tr w:rsidR="009D4357" w:rsidRPr="00434957" w14:paraId="26BCAA10" w14:textId="77777777" w:rsidTr="00CE3F2A">
        <w:trPr>
          <w:trHeight w:val="388"/>
        </w:trPr>
        <w:tc>
          <w:tcPr>
            <w:tcW w:w="2144" w:type="dxa"/>
            <w:vMerge/>
            <w:vAlign w:val="center"/>
          </w:tcPr>
          <w:p w14:paraId="0D5802CA" w14:textId="77777777" w:rsidR="009D4357" w:rsidRPr="00434957" w:rsidRDefault="009D4357" w:rsidP="00CE3F2A">
            <w:pPr>
              <w:rPr>
                <w:noProof/>
                <w:sz w:val="18"/>
                <w:lang w:eastAsia="en-GB"/>
              </w:rPr>
            </w:pPr>
          </w:p>
        </w:tc>
        <w:tc>
          <w:tcPr>
            <w:tcW w:w="1276" w:type="dxa"/>
            <w:vMerge/>
            <w:vAlign w:val="center"/>
          </w:tcPr>
          <w:p w14:paraId="046FBDCD" w14:textId="77777777" w:rsidR="009D4357" w:rsidRPr="00434957" w:rsidRDefault="009D4357" w:rsidP="00CE3F2A">
            <w:pPr>
              <w:rPr>
                <w:noProof/>
                <w:sz w:val="18"/>
                <w:lang w:eastAsia="en-GB"/>
              </w:rPr>
            </w:pPr>
          </w:p>
        </w:tc>
        <w:tc>
          <w:tcPr>
            <w:tcW w:w="1080" w:type="dxa"/>
            <w:vAlign w:val="center"/>
          </w:tcPr>
          <w:p w14:paraId="4DD120B6" w14:textId="77777777" w:rsidR="009D4357" w:rsidRPr="00434957" w:rsidRDefault="009D4357" w:rsidP="00CE3F2A">
            <w:pPr>
              <w:jc w:val="center"/>
              <w:rPr>
                <w:noProof/>
                <w:sz w:val="18"/>
                <w:lang w:eastAsia="en-GB"/>
              </w:rPr>
            </w:pPr>
            <w:r w:rsidRPr="00434957">
              <w:rPr>
                <w:noProof/>
                <w:sz w:val="18"/>
                <w:lang w:eastAsia="en-GB"/>
              </w:rPr>
              <w:t>Year</w:t>
            </w:r>
            <w:r w:rsidRPr="00434957">
              <w:rPr>
                <w:noProof/>
                <w:lang w:eastAsia="en-GB"/>
              </w:rPr>
              <w:br/>
            </w:r>
            <w:r w:rsidRPr="00434957">
              <w:rPr>
                <w:b/>
                <w:noProof/>
                <w:sz w:val="18"/>
                <w:lang w:eastAsia="en-GB"/>
              </w:rPr>
              <w:t>N</w:t>
            </w:r>
          </w:p>
        </w:tc>
        <w:tc>
          <w:tcPr>
            <w:tcW w:w="900" w:type="dxa"/>
            <w:vAlign w:val="center"/>
          </w:tcPr>
          <w:p w14:paraId="6AE0CBA5" w14:textId="77777777" w:rsidR="009D4357" w:rsidRPr="00434957" w:rsidRDefault="009D4357" w:rsidP="00CE3F2A">
            <w:pPr>
              <w:jc w:val="center"/>
              <w:rPr>
                <w:noProof/>
                <w:sz w:val="18"/>
                <w:lang w:eastAsia="en-GB"/>
              </w:rPr>
            </w:pPr>
            <w:r w:rsidRPr="00434957">
              <w:rPr>
                <w:noProof/>
                <w:sz w:val="18"/>
                <w:lang w:eastAsia="en-GB"/>
              </w:rPr>
              <w:t>Year</w:t>
            </w:r>
            <w:r w:rsidRPr="00434957">
              <w:rPr>
                <w:noProof/>
                <w:lang w:eastAsia="en-GB"/>
              </w:rPr>
              <w:br/>
            </w:r>
            <w:r w:rsidRPr="00434957">
              <w:rPr>
                <w:b/>
                <w:noProof/>
                <w:sz w:val="18"/>
                <w:lang w:eastAsia="en-GB"/>
              </w:rPr>
              <w:t>N+1</w:t>
            </w:r>
          </w:p>
        </w:tc>
        <w:tc>
          <w:tcPr>
            <w:tcW w:w="900" w:type="dxa"/>
            <w:vAlign w:val="center"/>
          </w:tcPr>
          <w:p w14:paraId="4CF15780" w14:textId="77777777" w:rsidR="009D4357" w:rsidRPr="00434957" w:rsidRDefault="009D4357" w:rsidP="00CE3F2A">
            <w:pPr>
              <w:jc w:val="center"/>
              <w:rPr>
                <w:noProof/>
                <w:sz w:val="18"/>
                <w:lang w:eastAsia="en-GB"/>
              </w:rPr>
            </w:pPr>
            <w:r w:rsidRPr="00434957">
              <w:rPr>
                <w:noProof/>
                <w:sz w:val="18"/>
                <w:lang w:eastAsia="en-GB"/>
              </w:rPr>
              <w:t>Year</w:t>
            </w:r>
            <w:r w:rsidRPr="00434957">
              <w:rPr>
                <w:noProof/>
                <w:lang w:eastAsia="en-GB"/>
              </w:rPr>
              <w:br/>
            </w:r>
            <w:r w:rsidRPr="00434957">
              <w:rPr>
                <w:b/>
                <w:noProof/>
                <w:sz w:val="18"/>
                <w:lang w:eastAsia="en-GB"/>
              </w:rPr>
              <w:t>N+2</w:t>
            </w:r>
          </w:p>
        </w:tc>
        <w:tc>
          <w:tcPr>
            <w:tcW w:w="1080" w:type="dxa"/>
            <w:vAlign w:val="center"/>
          </w:tcPr>
          <w:p w14:paraId="61B6AC54" w14:textId="77777777" w:rsidR="009D4357" w:rsidRPr="00434957" w:rsidRDefault="009D4357" w:rsidP="00CE3F2A">
            <w:pPr>
              <w:jc w:val="center"/>
              <w:rPr>
                <w:noProof/>
                <w:sz w:val="18"/>
                <w:lang w:eastAsia="en-GB"/>
              </w:rPr>
            </w:pPr>
            <w:r w:rsidRPr="00434957">
              <w:rPr>
                <w:noProof/>
                <w:sz w:val="18"/>
                <w:lang w:eastAsia="en-GB"/>
              </w:rPr>
              <w:t>Year</w:t>
            </w:r>
            <w:r w:rsidRPr="00434957">
              <w:rPr>
                <w:noProof/>
                <w:lang w:eastAsia="en-GB"/>
              </w:rPr>
              <w:br/>
            </w:r>
            <w:r w:rsidRPr="00434957">
              <w:rPr>
                <w:b/>
                <w:noProof/>
                <w:sz w:val="18"/>
                <w:lang w:eastAsia="en-GB"/>
              </w:rPr>
              <w:t>N+3</w:t>
            </w:r>
          </w:p>
        </w:tc>
        <w:tc>
          <w:tcPr>
            <w:tcW w:w="3240" w:type="dxa"/>
            <w:gridSpan w:val="3"/>
            <w:vAlign w:val="center"/>
          </w:tcPr>
          <w:p w14:paraId="37FE02C2" w14:textId="77777777" w:rsidR="009D4357" w:rsidRPr="00434957" w:rsidRDefault="009D4357" w:rsidP="00CE3F2A">
            <w:pPr>
              <w:jc w:val="center"/>
              <w:rPr>
                <w:b/>
                <w:noProof/>
                <w:sz w:val="18"/>
                <w:lang w:eastAsia="en-GB"/>
              </w:rPr>
            </w:pPr>
            <w:r w:rsidRPr="00434957">
              <w:rPr>
                <w:noProof/>
                <w:sz w:val="18"/>
                <w:lang w:eastAsia="en-GB"/>
              </w:rPr>
              <w:t>Enter as many years as necessary to show the duration of the impact (see point 1.6)</w:t>
            </w:r>
          </w:p>
        </w:tc>
      </w:tr>
      <w:tr w:rsidR="009D4357" w:rsidRPr="00434957" w14:paraId="700BC183" w14:textId="77777777" w:rsidTr="00CE3F2A">
        <w:trPr>
          <w:trHeight w:val="388"/>
        </w:trPr>
        <w:tc>
          <w:tcPr>
            <w:tcW w:w="2144" w:type="dxa"/>
            <w:vAlign w:val="center"/>
          </w:tcPr>
          <w:p w14:paraId="2ED4FCA2" w14:textId="77777777" w:rsidR="009D4357" w:rsidRPr="00434957" w:rsidRDefault="009D4357" w:rsidP="00CE3F2A">
            <w:pPr>
              <w:spacing w:before="40" w:after="40"/>
              <w:rPr>
                <w:noProof/>
                <w:sz w:val="18"/>
                <w:lang w:eastAsia="en-GB"/>
              </w:rPr>
            </w:pPr>
            <w:r w:rsidRPr="00434957">
              <w:rPr>
                <w:noProof/>
                <w:sz w:val="18"/>
                <w:lang w:eastAsia="en-GB"/>
              </w:rPr>
              <w:t>Article ………….</w:t>
            </w:r>
          </w:p>
        </w:tc>
        <w:tc>
          <w:tcPr>
            <w:tcW w:w="1276" w:type="dxa"/>
          </w:tcPr>
          <w:p w14:paraId="3BEC9E01" w14:textId="77777777" w:rsidR="009D4357" w:rsidRPr="00434957" w:rsidRDefault="009D4357" w:rsidP="00CE3F2A">
            <w:pPr>
              <w:spacing w:beforeLines="40" w:before="96" w:afterLines="40" w:after="96"/>
              <w:jc w:val="center"/>
              <w:rPr>
                <w:i/>
                <w:noProof/>
                <w:sz w:val="18"/>
                <w:lang w:eastAsia="en-GB"/>
              </w:rPr>
            </w:pPr>
          </w:p>
        </w:tc>
        <w:tc>
          <w:tcPr>
            <w:tcW w:w="1080" w:type="dxa"/>
          </w:tcPr>
          <w:p w14:paraId="7F766D51" w14:textId="77777777" w:rsidR="009D4357" w:rsidRPr="00434957" w:rsidRDefault="009D4357" w:rsidP="00CE3F2A">
            <w:pPr>
              <w:spacing w:beforeLines="40" w:before="96" w:afterLines="40" w:after="96"/>
              <w:jc w:val="center"/>
              <w:rPr>
                <w:noProof/>
                <w:sz w:val="18"/>
                <w:lang w:eastAsia="en-GB"/>
              </w:rPr>
            </w:pPr>
          </w:p>
        </w:tc>
        <w:tc>
          <w:tcPr>
            <w:tcW w:w="900" w:type="dxa"/>
          </w:tcPr>
          <w:p w14:paraId="7D4CBE46" w14:textId="77777777" w:rsidR="009D4357" w:rsidRPr="00434957" w:rsidRDefault="009D4357" w:rsidP="00CE3F2A">
            <w:pPr>
              <w:spacing w:beforeLines="40" w:before="96" w:afterLines="40" w:after="96"/>
              <w:jc w:val="center"/>
              <w:rPr>
                <w:noProof/>
                <w:sz w:val="18"/>
                <w:lang w:eastAsia="en-GB"/>
              </w:rPr>
            </w:pPr>
          </w:p>
        </w:tc>
        <w:tc>
          <w:tcPr>
            <w:tcW w:w="900" w:type="dxa"/>
          </w:tcPr>
          <w:p w14:paraId="042C7B65" w14:textId="77777777" w:rsidR="009D4357" w:rsidRPr="00434957" w:rsidRDefault="009D4357" w:rsidP="00CE3F2A">
            <w:pPr>
              <w:spacing w:beforeLines="40" w:before="96" w:afterLines="40" w:after="96"/>
              <w:jc w:val="center"/>
              <w:rPr>
                <w:noProof/>
                <w:sz w:val="18"/>
                <w:lang w:eastAsia="en-GB"/>
              </w:rPr>
            </w:pPr>
          </w:p>
        </w:tc>
        <w:tc>
          <w:tcPr>
            <w:tcW w:w="1080" w:type="dxa"/>
          </w:tcPr>
          <w:p w14:paraId="39867DD3" w14:textId="77777777" w:rsidR="009D4357" w:rsidRPr="00434957" w:rsidRDefault="009D4357" w:rsidP="00CE3F2A">
            <w:pPr>
              <w:spacing w:beforeLines="40" w:before="96" w:afterLines="40" w:after="96"/>
              <w:jc w:val="center"/>
              <w:rPr>
                <w:noProof/>
                <w:sz w:val="18"/>
                <w:lang w:eastAsia="en-GB"/>
              </w:rPr>
            </w:pPr>
          </w:p>
        </w:tc>
        <w:tc>
          <w:tcPr>
            <w:tcW w:w="1080" w:type="dxa"/>
          </w:tcPr>
          <w:p w14:paraId="7795E0F7" w14:textId="77777777" w:rsidR="009D4357" w:rsidRPr="00434957" w:rsidRDefault="009D4357" w:rsidP="00CE3F2A">
            <w:pPr>
              <w:spacing w:beforeLines="40" w:before="96" w:afterLines="40" w:after="96"/>
              <w:jc w:val="center"/>
              <w:rPr>
                <w:noProof/>
                <w:sz w:val="18"/>
                <w:lang w:eastAsia="en-GB"/>
              </w:rPr>
            </w:pPr>
          </w:p>
        </w:tc>
        <w:tc>
          <w:tcPr>
            <w:tcW w:w="1080" w:type="dxa"/>
          </w:tcPr>
          <w:p w14:paraId="4BE4515A" w14:textId="77777777" w:rsidR="009D4357" w:rsidRPr="00434957" w:rsidRDefault="009D4357" w:rsidP="00CE3F2A">
            <w:pPr>
              <w:spacing w:beforeLines="40" w:before="96" w:afterLines="40" w:after="96"/>
              <w:jc w:val="center"/>
              <w:rPr>
                <w:noProof/>
                <w:sz w:val="18"/>
                <w:lang w:eastAsia="en-GB"/>
              </w:rPr>
            </w:pPr>
          </w:p>
        </w:tc>
        <w:tc>
          <w:tcPr>
            <w:tcW w:w="1080" w:type="dxa"/>
          </w:tcPr>
          <w:p w14:paraId="1111B9A6" w14:textId="77777777" w:rsidR="009D4357" w:rsidRPr="00434957" w:rsidRDefault="009D4357" w:rsidP="00CE3F2A">
            <w:pPr>
              <w:spacing w:beforeLines="40" w:before="96" w:afterLines="40" w:after="96"/>
              <w:jc w:val="center"/>
              <w:rPr>
                <w:noProof/>
                <w:sz w:val="18"/>
                <w:lang w:eastAsia="en-GB"/>
              </w:rPr>
            </w:pPr>
          </w:p>
        </w:tc>
      </w:tr>
    </w:tbl>
    <w:p w14:paraId="0E0B9EE0" w14:textId="77777777" w:rsidR="009D4357" w:rsidRPr="00434957" w:rsidRDefault="009D4357" w:rsidP="009D4357">
      <w:pPr>
        <w:ind w:left="850"/>
        <w:rPr>
          <w:noProof/>
          <w:sz w:val="20"/>
          <w:lang w:eastAsia="en-GB"/>
        </w:rPr>
      </w:pPr>
      <w:r w:rsidRPr="00434957">
        <w:rPr>
          <w:noProof/>
          <w:sz w:val="20"/>
          <w:lang w:eastAsia="en-GB"/>
        </w:rPr>
        <w:t>For miscellaneous ‘assigned’ revenue, specify the budget expenditure line(s) affected.</w:t>
      </w:r>
    </w:p>
    <w:p w14:paraId="6EDABA95"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noProof/>
          <w:color w:val="0000FF"/>
          <w:lang w:eastAsia="en-GB"/>
        </w:rPr>
        <w:t>[…]</w:t>
      </w:r>
    </w:p>
    <w:p w14:paraId="5834E3B5" w14:textId="77777777" w:rsidR="009D4357" w:rsidRPr="00434957" w:rsidRDefault="009D4357" w:rsidP="009D4357">
      <w:pPr>
        <w:ind w:left="850"/>
        <w:rPr>
          <w:noProof/>
          <w:sz w:val="20"/>
          <w:lang w:eastAsia="en-GB"/>
        </w:rPr>
      </w:pPr>
      <w:r w:rsidRPr="00434957">
        <w:rPr>
          <w:noProof/>
          <w:sz w:val="20"/>
          <w:lang w:eastAsia="en-GB"/>
        </w:rPr>
        <w:t>Specify the method for calculating the impact on revenue.</w:t>
      </w:r>
    </w:p>
    <w:p w14:paraId="00108115" w14:textId="77777777" w:rsidR="009D4357" w:rsidRPr="00434957" w:rsidRDefault="009D4357" w:rsidP="009D4357">
      <w:pPr>
        <w:pBdr>
          <w:top w:val="single" w:sz="4" w:space="1" w:color="auto"/>
          <w:left w:val="single" w:sz="4" w:space="4" w:color="auto"/>
          <w:bottom w:val="single" w:sz="4" w:space="1" w:color="auto"/>
          <w:right w:val="single" w:sz="4" w:space="4" w:color="auto"/>
        </w:pBdr>
        <w:ind w:left="850"/>
        <w:rPr>
          <w:noProof/>
          <w:lang w:eastAsia="en-GB"/>
        </w:rPr>
      </w:pPr>
      <w:r w:rsidRPr="00434957">
        <w:rPr>
          <w:noProof/>
          <w:color w:val="0000FF"/>
          <w:lang w:eastAsia="en-GB"/>
        </w:rPr>
        <w:t>[…]</w:t>
      </w:r>
    </w:p>
    <w:p w14:paraId="1434AC71" w14:textId="77777777" w:rsidR="009D4357" w:rsidRDefault="009D4357" w:rsidP="009D4357">
      <w:pPr>
        <w:rPr>
          <w:noProof/>
        </w:rPr>
      </w:pPr>
    </w:p>
    <w:p w14:paraId="4E32D5A2" w14:textId="6A7CAE25" w:rsidR="009D4357" w:rsidRDefault="009D4357">
      <w:pPr>
        <w:spacing w:before="0" w:after="200" w:line="276" w:lineRule="auto"/>
        <w:jc w:val="left"/>
        <w:rPr>
          <w:noProof/>
        </w:rPr>
      </w:pPr>
      <w:r>
        <w:rPr>
          <w:i/>
          <w:noProof/>
        </w:rPr>
        <w:br w:type="page"/>
      </w:r>
    </w:p>
    <w:p w14:paraId="48EF65F2" w14:textId="77777777" w:rsidR="002A22AB" w:rsidRDefault="002A22AB" w:rsidP="002A22AB">
      <w:pPr>
        <w:jc w:val="center"/>
        <w:rPr>
          <w:noProof/>
          <w:color w:val="4F81BD" w:themeColor="accent1"/>
          <w:sz w:val="32"/>
        </w:rPr>
      </w:pPr>
    </w:p>
    <w:p w14:paraId="2326BF9F" w14:textId="77777777" w:rsidR="002A22AB" w:rsidRDefault="002A22AB" w:rsidP="002A22AB">
      <w:pPr>
        <w:jc w:val="center"/>
        <w:rPr>
          <w:noProof/>
          <w:color w:val="4F81BD" w:themeColor="accent1"/>
          <w:sz w:val="32"/>
        </w:rPr>
      </w:pPr>
    </w:p>
    <w:p w14:paraId="2091EDE9" w14:textId="77777777" w:rsidR="002A22AB" w:rsidRDefault="002A22AB" w:rsidP="002A22AB">
      <w:pPr>
        <w:jc w:val="center"/>
        <w:rPr>
          <w:noProof/>
          <w:color w:val="4F81BD" w:themeColor="accent1"/>
          <w:sz w:val="32"/>
        </w:rPr>
      </w:pPr>
    </w:p>
    <w:p w14:paraId="1960D17F" w14:textId="77777777" w:rsidR="002A22AB" w:rsidRDefault="002A22AB" w:rsidP="002A22AB">
      <w:pPr>
        <w:jc w:val="center"/>
        <w:rPr>
          <w:noProof/>
          <w:color w:val="4F81BD" w:themeColor="accent1"/>
          <w:sz w:val="32"/>
        </w:rPr>
      </w:pPr>
    </w:p>
    <w:p w14:paraId="3251C469" w14:textId="77777777" w:rsidR="002A22AB" w:rsidRDefault="002A22AB" w:rsidP="002A22AB">
      <w:pPr>
        <w:jc w:val="center"/>
        <w:rPr>
          <w:noProof/>
          <w:color w:val="4F81BD" w:themeColor="accent1"/>
          <w:sz w:val="32"/>
        </w:rPr>
      </w:pPr>
    </w:p>
    <w:p w14:paraId="05E8D0BB" w14:textId="77777777" w:rsidR="002A22AB" w:rsidRDefault="002A22AB" w:rsidP="002A22AB">
      <w:pPr>
        <w:jc w:val="center"/>
        <w:rPr>
          <w:noProof/>
          <w:color w:val="4F81BD" w:themeColor="accent1"/>
          <w:sz w:val="32"/>
        </w:rPr>
      </w:pPr>
    </w:p>
    <w:p w14:paraId="4F9C4E94" w14:textId="77777777" w:rsidR="002A22AB" w:rsidRDefault="002A22AB" w:rsidP="002A22AB">
      <w:pPr>
        <w:jc w:val="center"/>
        <w:rPr>
          <w:noProof/>
          <w:color w:val="4F81BD" w:themeColor="accent1"/>
          <w:sz w:val="32"/>
        </w:rPr>
      </w:pPr>
    </w:p>
    <w:p w14:paraId="3A7F69E5" w14:textId="77777777" w:rsidR="002A22AB" w:rsidRDefault="002A22AB" w:rsidP="002A22AB">
      <w:pPr>
        <w:jc w:val="center"/>
        <w:rPr>
          <w:noProof/>
          <w:color w:val="4F81BD" w:themeColor="accent1"/>
          <w:sz w:val="32"/>
        </w:rPr>
      </w:pPr>
    </w:p>
    <w:p w14:paraId="450E3FC5" w14:textId="77777777" w:rsidR="002A22AB" w:rsidRDefault="002A22AB" w:rsidP="002A22AB">
      <w:pPr>
        <w:tabs>
          <w:tab w:val="left" w:pos="-720"/>
          <w:tab w:val="left" w:pos="480"/>
          <w:tab w:val="left" w:pos="960"/>
          <w:tab w:val="left" w:pos="1320"/>
          <w:tab w:val="left" w:pos="6840"/>
          <w:tab w:val="left" w:pos="8520"/>
        </w:tabs>
        <w:jc w:val="center"/>
        <w:rPr>
          <w:b/>
          <w:noProof/>
        </w:rPr>
      </w:pPr>
      <w:r>
        <w:rPr>
          <w:b/>
          <w:noProof/>
        </w:rPr>
        <w:t xml:space="preserve">ANNEX 5 </w:t>
      </w:r>
    </w:p>
    <w:p w14:paraId="4EB150A4" w14:textId="77777777" w:rsidR="002A22AB" w:rsidRDefault="002A22AB" w:rsidP="002A22AB">
      <w:pPr>
        <w:jc w:val="center"/>
        <w:rPr>
          <w:b/>
          <w:noProof/>
        </w:rPr>
      </w:pPr>
      <w:r>
        <w:rPr>
          <w:b/>
          <w:noProof/>
        </w:rPr>
        <w:br/>
        <w:t xml:space="preserve">to the </w:t>
      </w:r>
      <w:r>
        <w:rPr>
          <w:b/>
          <w:noProof/>
        </w:rPr>
        <w:br/>
        <w:t>COMMISSION DECISION</w:t>
      </w:r>
    </w:p>
    <w:p w14:paraId="036F88E3" w14:textId="77777777" w:rsidR="002A22AB" w:rsidRDefault="002A22AB" w:rsidP="002A22AB">
      <w:pPr>
        <w:tabs>
          <w:tab w:val="left" w:pos="-720"/>
          <w:tab w:val="left" w:pos="480"/>
          <w:tab w:val="left" w:pos="960"/>
          <w:tab w:val="left" w:pos="1320"/>
          <w:tab w:val="left" w:pos="6840"/>
          <w:tab w:val="left" w:pos="8520"/>
        </w:tabs>
        <w:jc w:val="center"/>
        <w:rPr>
          <w:b/>
          <w:noProof/>
        </w:rPr>
      </w:pPr>
      <w:r>
        <w:rPr>
          <w:b/>
          <w:noProof/>
        </w:rPr>
        <w:t>on the Internal Rules on the implementation of the general budget of the European Union (European Commission section) for the attention of the Commission departments</w:t>
      </w:r>
    </w:p>
    <w:p w14:paraId="68E30FC1" w14:textId="77777777" w:rsidR="002A22AB" w:rsidRDefault="002A22AB" w:rsidP="002A22AB">
      <w:pPr>
        <w:tabs>
          <w:tab w:val="left" w:pos="-720"/>
          <w:tab w:val="left" w:pos="480"/>
          <w:tab w:val="left" w:pos="960"/>
          <w:tab w:val="left" w:pos="1320"/>
          <w:tab w:val="left" w:pos="6840"/>
          <w:tab w:val="left" w:pos="8520"/>
        </w:tabs>
        <w:jc w:val="center"/>
        <w:rPr>
          <w:b/>
          <w:noProof/>
        </w:rPr>
      </w:pPr>
    </w:p>
    <w:p w14:paraId="69E04E28" w14:textId="77777777" w:rsidR="002A22AB" w:rsidRDefault="002A22AB" w:rsidP="002A22AB">
      <w:pPr>
        <w:jc w:val="center"/>
        <w:rPr>
          <w:noProof/>
          <w:color w:val="4F81BD" w:themeColor="accent1"/>
          <w:sz w:val="32"/>
        </w:rPr>
      </w:pPr>
    </w:p>
    <w:p w14:paraId="5D2335B6" w14:textId="77777777" w:rsidR="002A22AB" w:rsidRDefault="002A22AB" w:rsidP="002A22AB">
      <w:pPr>
        <w:jc w:val="center"/>
        <w:rPr>
          <w:noProof/>
          <w:color w:val="4F81BD" w:themeColor="accent1"/>
          <w:sz w:val="32"/>
        </w:rPr>
      </w:pPr>
    </w:p>
    <w:p w14:paraId="2AD07783" w14:textId="77777777" w:rsidR="002A22AB" w:rsidRDefault="002A22AB" w:rsidP="002A22AB">
      <w:pPr>
        <w:jc w:val="center"/>
        <w:rPr>
          <w:noProof/>
          <w:color w:val="4F81BD" w:themeColor="accent1"/>
          <w:sz w:val="32"/>
        </w:rPr>
      </w:pPr>
    </w:p>
    <w:p w14:paraId="1A85A1C0" w14:textId="77777777" w:rsidR="002A22AB" w:rsidRPr="00631A61" w:rsidRDefault="002A22AB" w:rsidP="002A22AB">
      <w:pPr>
        <w:jc w:val="center"/>
        <w:rPr>
          <w:b/>
          <w:bCs/>
          <w:noProof/>
        </w:rPr>
      </w:pPr>
      <w:r w:rsidRPr="00631A61">
        <w:rPr>
          <w:b/>
          <w:noProof/>
        </w:rPr>
        <w:t>ANNEX</w:t>
      </w:r>
      <w:r w:rsidRPr="00631A61">
        <w:rPr>
          <w:noProof/>
        </w:rPr>
        <w:br/>
      </w:r>
      <w:r w:rsidRPr="00631A61">
        <w:rPr>
          <w:b/>
          <w:noProof/>
        </w:rPr>
        <w:t>to the LEGISLATIVE FINANCIAL STATEMENT</w:t>
      </w:r>
    </w:p>
    <w:p w14:paraId="139B0F54" w14:textId="77777777" w:rsidR="002A22AB" w:rsidRDefault="002A22AB" w:rsidP="002A22AB">
      <w:pPr>
        <w:jc w:val="center"/>
        <w:rPr>
          <w:noProof/>
          <w:color w:val="4F81BD" w:themeColor="accent1"/>
          <w:sz w:val="32"/>
        </w:rPr>
      </w:pPr>
    </w:p>
    <w:p w14:paraId="3EA7D56B" w14:textId="77777777" w:rsidR="002A22AB" w:rsidRDefault="002A22AB" w:rsidP="002A22AB">
      <w:pPr>
        <w:jc w:val="center"/>
        <w:rPr>
          <w:noProof/>
          <w:color w:val="4F81BD" w:themeColor="accent1"/>
          <w:sz w:val="32"/>
        </w:rPr>
      </w:pPr>
    </w:p>
    <w:p w14:paraId="47B343C9" w14:textId="77777777" w:rsidR="002A22AB" w:rsidRDefault="002A22AB" w:rsidP="002A22AB">
      <w:pPr>
        <w:jc w:val="center"/>
        <w:rPr>
          <w:noProof/>
          <w:color w:val="4F81BD" w:themeColor="accent1"/>
          <w:sz w:val="32"/>
        </w:rPr>
      </w:pPr>
    </w:p>
    <w:p w14:paraId="433C4EA9" w14:textId="77777777" w:rsidR="002A22AB" w:rsidRDefault="002A22AB" w:rsidP="002A22AB">
      <w:pPr>
        <w:jc w:val="center"/>
        <w:rPr>
          <w:noProof/>
          <w:color w:val="4F81BD" w:themeColor="accent1"/>
          <w:sz w:val="32"/>
        </w:rPr>
      </w:pPr>
    </w:p>
    <w:p w14:paraId="7BA27EA9" w14:textId="77777777" w:rsidR="002A22AB" w:rsidRDefault="002A22AB" w:rsidP="002A22AB">
      <w:pPr>
        <w:jc w:val="center"/>
        <w:rPr>
          <w:noProof/>
          <w:color w:val="4F81BD" w:themeColor="accent1"/>
          <w:sz w:val="32"/>
        </w:rPr>
      </w:pPr>
    </w:p>
    <w:p w14:paraId="23E20E5C" w14:textId="77777777" w:rsidR="002A22AB" w:rsidRDefault="002A22AB" w:rsidP="002A22AB">
      <w:pPr>
        <w:jc w:val="center"/>
        <w:rPr>
          <w:noProof/>
          <w:color w:val="4F81BD" w:themeColor="accent1"/>
          <w:sz w:val="32"/>
        </w:rPr>
      </w:pPr>
    </w:p>
    <w:p w14:paraId="324DA7BB" w14:textId="77777777" w:rsidR="002A22AB" w:rsidRDefault="002A22AB" w:rsidP="002A22AB">
      <w:pPr>
        <w:jc w:val="center"/>
        <w:rPr>
          <w:noProof/>
          <w:color w:val="4F81BD" w:themeColor="accent1"/>
          <w:sz w:val="32"/>
        </w:rPr>
      </w:pPr>
    </w:p>
    <w:p w14:paraId="68286F46" w14:textId="77777777" w:rsidR="002A22AB" w:rsidRDefault="002A22AB" w:rsidP="002A22AB">
      <w:pPr>
        <w:jc w:val="center"/>
        <w:rPr>
          <w:noProof/>
          <w:color w:val="4F81BD" w:themeColor="accent1"/>
          <w:sz w:val="32"/>
        </w:rPr>
      </w:pPr>
    </w:p>
    <w:p w14:paraId="7241AF10" w14:textId="77777777" w:rsidR="002A22AB" w:rsidRDefault="002A22AB" w:rsidP="002A22AB">
      <w:pPr>
        <w:jc w:val="center"/>
        <w:rPr>
          <w:noProof/>
          <w:color w:val="4F81BD" w:themeColor="accent1"/>
          <w:sz w:val="32"/>
        </w:rPr>
      </w:pPr>
    </w:p>
    <w:p w14:paraId="5CE5E276" w14:textId="77777777" w:rsidR="002A22AB" w:rsidRDefault="002A22AB" w:rsidP="002A22AB">
      <w:pPr>
        <w:spacing w:after="200" w:line="276" w:lineRule="auto"/>
        <w:rPr>
          <w:b/>
          <w:noProof/>
          <w:sz w:val="36"/>
          <w:u w:val="single"/>
        </w:rPr>
      </w:pPr>
    </w:p>
    <w:p w14:paraId="7A2DA733" w14:textId="77777777" w:rsidR="002A22AB" w:rsidRDefault="002A22AB" w:rsidP="009F0B5C">
      <w:pPr>
        <w:rPr>
          <w:b/>
          <w:noProof/>
          <w:sz w:val="36"/>
          <w:u w:val="single"/>
        </w:rPr>
        <w:sectPr w:rsidR="002A22AB" w:rsidSect="009D02A3">
          <w:headerReference w:type="default" r:id="rId31"/>
          <w:footerReference w:type="default" r:id="rId32"/>
          <w:headerReference w:type="first" r:id="rId33"/>
          <w:footerReference w:type="first" r:id="rId34"/>
          <w:pgSz w:w="12240" w:h="15840" w:code="1"/>
          <w:pgMar w:top="902" w:right="1134" w:bottom="1247" w:left="902" w:header="709" w:footer="709" w:gutter="0"/>
          <w:cols w:space="720"/>
          <w:docGrid w:linePitch="360"/>
        </w:sectPr>
      </w:pPr>
    </w:p>
    <w:p w14:paraId="447443AB" w14:textId="77777777" w:rsidR="002A22AB" w:rsidRDefault="002A22AB" w:rsidP="002A22AB">
      <w:pPr>
        <w:jc w:val="center"/>
        <w:rPr>
          <w:b/>
          <w:bCs/>
          <w:noProof/>
          <w:sz w:val="36"/>
          <w:szCs w:val="36"/>
          <w:u w:val="single"/>
        </w:rPr>
      </w:pPr>
      <w:r>
        <w:rPr>
          <w:b/>
          <w:noProof/>
          <w:sz w:val="36"/>
          <w:u w:val="single"/>
        </w:rPr>
        <w:t>ANNEX</w:t>
      </w:r>
      <w:r>
        <w:rPr>
          <w:noProof/>
        </w:rPr>
        <w:br/>
      </w:r>
      <w:r>
        <w:rPr>
          <w:b/>
          <w:noProof/>
          <w:sz w:val="36"/>
          <w:u w:val="single"/>
        </w:rPr>
        <w:t>to the LEGISLATIVE FINANCIAL STATEMENT</w:t>
      </w:r>
    </w:p>
    <w:p w14:paraId="3B54BF94" w14:textId="77777777" w:rsidR="002A22AB" w:rsidRDefault="002A22AB" w:rsidP="002A22AB">
      <w:pPr>
        <w:jc w:val="center"/>
        <w:rPr>
          <w:noProof/>
        </w:rPr>
      </w:pPr>
    </w:p>
    <w:p w14:paraId="3D465D0B" w14:textId="77777777" w:rsidR="002A22AB" w:rsidRDefault="002A22AB" w:rsidP="002A22AB">
      <w:pPr>
        <w:outlineLvl w:val="0"/>
        <w:rPr>
          <w:b/>
          <w:bCs/>
          <w:noProof/>
        </w:rPr>
      </w:pPr>
    </w:p>
    <w:p w14:paraId="4F6C4563" w14:textId="77777777" w:rsidR="002A22AB" w:rsidRDefault="002A22AB" w:rsidP="002A22AB">
      <w:pPr>
        <w:outlineLvl w:val="0"/>
        <w:rPr>
          <w:b/>
          <w:bCs/>
          <w:noProof/>
        </w:rPr>
      </w:pPr>
    </w:p>
    <w:p w14:paraId="07AED15E" w14:textId="77777777" w:rsidR="002A22AB" w:rsidRDefault="002A22AB" w:rsidP="002A22AB">
      <w:pPr>
        <w:outlineLvl w:val="0"/>
        <w:rPr>
          <w:b/>
          <w:bCs/>
          <w:noProof/>
        </w:rPr>
      </w:pPr>
    </w:p>
    <w:p w14:paraId="58A2B3ED" w14:textId="77777777" w:rsidR="002A22AB" w:rsidRDefault="002A22AB" w:rsidP="002A22AB">
      <w:pPr>
        <w:spacing w:before="240"/>
        <w:ind w:left="360"/>
        <w:jc w:val="center"/>
        <w:rPr>
          <w:noProof/>
        </w:rPr>
      </w:pPr>
      <w:r>
        <w:rPr>
          <w:noProof/>
        </w:rPr>
        <w:t>Name of the proposal:</w:t>
      </w:r>
    </w:p>
    <w:p w14:paraId="74DD6E73" w14:textId="77777777" w:rsidR="002A22AB" w:rsidRDefault="002A22AB" w:rsidP="002A22AB">
      <w:pPr>
        <w:pBdr>
          <w:top w:val="dotted" w:sz="4" w:space="1" w:color="auto"/>
          <w:left w:val="dotted" w:sz="4" w:space="4" w:color="auto"/>
          <w:bottom w:val="dotted" w:sz="4" w:space="1" w:color="auto"/>
          <w:right w:val="dotted" w:sz="4" w:space="4" w:color="auto"/>
        </w:pBdr>
        <w:shd w:val="clear" w:color="auto" w:fill="FFFF99"/>
        <w:spacing w:after="60"/>
        <w:rPr>
          <w:noProof/>
          <w:color w:val="808080"/>
        </w:rPr>
      </w:pPr>
      <w:r w:rsidRPr="001150AC">
        <w:rPr>
          <w:noProof/>
          <w:color w:val="808080"/>
        </w:rPr>
        <w:t xml:space="preserve">Proposal </w:t>
      </w:r>
      <w:r w:rsidRPr="00F00A7A">
        <w:rPr>
          <w:noProof/>
          <w:color w:val="808080"/>
        </w:rPr>
        <w:t>on automated data exchange for police cooperation (“Prüm II”), amending Regulation (EU) 2018/1726, Regulation (EU) 2019/817 and Regulation (EU) 2019/818, and repealing Council Decisions 2008/615/JHA and 2008/616/JHA</w:t>
      </w:r>
    </w:p>
    <w:p w14:paraId="6DE32C6F" w14:textId="77777777" w:rsidR="002A22AB" w:rsidRDefault="002A22AB" w:rsidP="002A22AB">
      <w:pPr>
        <w:outlineLvl w:val="0"/>
        <w:rPr>
          <w:b/>
          <w:bCs/>
          <w:noProof/>
        </w:rPr>
      </w:pPr>
    </w:p>
    <w:p w14:paraId="3F2C8580" w14:textId="77777777" w:rsidR="002A22AB" w:rsidRDefault="002A22AB" w:rsidP="002A22AB">
      <w:pPr>
        <w:outlineLvl w:val="0"/>
        <w:rPr>
          <w:b/>
          <w:bCs/>
          <w:noProof/>
        </w:rPr>
      </w:pPr>
    </w:p>
    <w:p w14:paraId="2A0A5DFC" w14:textId="77777777" w:rsidR="002A22AB" w:rsidRDefault="002A22AB" w:rsidP="002A22AB">
      <w:pPr>
        <w:outlineLvl w:val="0"/>
        <w:rPr>
          <w:b/>
          <w:bCs/>
          <w:noProof/>
        </w:rPr>
      </w:pPr>
    </w:p>
    <w:p w14:paraId="6AC46842" w14:textId="707BBA35" w:rsidR="002A22AB" w:rsidRDefault="00C304BF" w:rsidP="00C304BF">
      <w:pPr>
        <w:pStyle w:val="ManualHeading1"/>
        <w:rPr>
          <w:noProof/>
          <w:szCs w:val="32"/>
        </w:rPr>
      </w:pPr>
      <w:r w:rsidRPr="00C304BF">
        <w:t>1.</w:t>
      </w:r>
      <w:r w:rsidRPr="00C304BF">
        <w:tab/>
      </w:r>
      <w:r w:rsidR="002A22AB">
        <w:rPr>
          <w:noProof/>
        </w:rPr>
        <w:t>NUMBER and COST of HUMAN RESOURCES CONSIDERED NECESSARY</w:t>
      </w:r>
    </w:p>
    <w:p w14:paraId="0BE09268" w14:textId="745809C5" w:rsidR="002A22AB" w:rsidRDefault="00C304BF" w:rsidP="00C304BF">
      <w:pPr>
        <w:pStyle w:val="ManualHeading1"/>
        <w:rPr>
          <w:noProof/>
          <w:szCs w:val="32"/>
        </w:rPr>
      </w:pPr>
      <w:r w:rsidRPr="00C304BF">
        <w:t>2.</w:t>
      </w:r>
      <w:r w:rsidRPr="00C304BF">
        <w:tab/>
      </w:r>
      <w:r w:rsidR="002A22AB">
        <w:rPr>
          <w:noProof/>
        </w:rPr>
        <w:t>COST of OTHER ADMINISTRATIVE EXPENDITURE</w:t>
      </w:r>
    </w:p>
    <w:p w14:paraId="415D5EF2" w14:textId="190BCA2E" w:rsidR="002A22AB" w:rsidRPr="00AF372D" w:rsidRDefault="00C304BF" w:rsidP="00C304BF">
      <w:pPr>
        <w:pStyle w:val="ManualHeading1"/>
        <w:rPr>
          <w:noProof/>
        </w:rPr>
      </w:pPr>
      <w:r w:rsidRPr="00C304BF">
        <w:t>3.</w:t>
      </w:r>
      <w:r w:rsidRPr="00C304BF">
        <w:tab/>
      </w:r>
      <w:r w:rsidR="002A22AB">
        <w:rPr>
          <w:noProof/>
        </w:rPr>
        <w:t>TOTAL ADMINISTRATIVE COSTS</w:t>
      </w:r>
    </w:p>
    <w:p w14:paraId="36104879" w14:textId="52FB983A" w:rsidR="002A22AB" w:rsidRDefault="00C304BF" w:rsidP="00C304BF">
      <w:pPr>
        <w:pStyle w:val="ManualHeading1"/>
        <w:rPr>
          <w:noProof/>
          <w:szCs w:val="32"/>
        </w:rPr>
      </w:pPr>
      <w:r w:rsidRPr="00C304BF">
        <w:t>4.</w:t>
      </w:r>
      <w:r w:rsidRPr="00C304BF">
        <w:tab/>
      </w:r>
      <w:r w:rsidR="002A22AB">
        <w:rPr>
          <w:noProof/>
        </w:rPr>
        <w:t>METHODS of CALCULATION USED for ESTIMATING COSTS</w:t>
      </w:r>
    </w:p>
    <w:p w14:paraId="29B92CA4" w14:textId="5B9A8C0C" w:rsidR="002A22AB" w:rsidRDefault="00C304BF" w:rsidP="00C304BF">
      <w:pPr>
        <w:pStyle w:val="ManualHeading2"/>
        <w:rPr>
          <w:noProof/>
          <w:szCs w:val="32"/>
        </w:rPr>
      </w:pPr>
      <w:r w:rsidRPr="00C304BF">
        <w:t>4.1.</w:t>
      </w:r>
      <w:r w:rsidRPr="00C304BF">
        <w:tab/>
      </w:r>
      <w:r w:rsidR="002A22AB">
        <w:rPr>
          <w:noProof/>
        </w:rPr>
        <w:t>Human resources</w:t>
      </w:r>
    </w:p>
    <w:p w14:paraId="3FF24B85" w14:textId="450E95ED" w:rsidR="002A22AB" w:rsidRDefault="00C304BF" w:rsidP="00C304BF">
      <w:pPr>
        <w:pStyle w:val="ManualHeading2"/>
        <w:rPr>
          <w:noProof/>
          <w:szCs w:val="32"/>
        </w:rPr>
      </w:pPr>
      <w:r w:rsidRPr="00C304BF">
        <w:t>4.2.</w:t>
      </w:r>
      <w:r w:rsidRPr="00C304BF">
        <w:tab/>
      </w:r>
      <w:r w:rsidR="002A22AB">
        <w:rPr>
          <w:noProof/>
        </w:rPr>
        <w:t>Other administrative expenditure</w:t>
      </w:r>
    </w:p>
    <w:p w14:paraId="4D481325" w14:textId="77777777" w:rsidR="002A22AB" w:rsidRDefault="002A22AB" w:rsidP="002A22AB">
      <w:pPr>
        <w:spacing w:before="240" w:after="240"/>
        <w:rPr>
          <w:rFonts w:ascii="Times New Roman Bold" w:hAnsi="Times New Roman Bold"/>
          <w:bCs/>
          <w:noProof/>
          <w:sz w:val="32"/>
          <w:szCs w:val="32"/>
        </w:rPr>
      </w:pPr>
    </w:p>
    <w:p w14:paraId="61134682" w14:textId="77777777" w:rsidR="002A22AB" w:rsidRDefault="002A22AB" w:rsidP="002A22AB">
      <w:pPr>
        <w:spacing w:before="240" w:after="240"/>
        <w:rPr>
          <w:rFonts w:ascii="Times New Roman Bold" w:hAnsi="Times New Roman Bold"/>
          <w:bCs/>
          <w:noProof/>
          <w:sz w:val="32"/>
          <w:szCs w:val="32"/>
        </w:rPr>
      </w:pPr>
    </w:p>
    <w:p w14:paraId="3B84E1C9" w14:textId="77777777" w:rsidR="002A22AB" w:rsidRDefault="002A22AB" w:rsidP="002A22AB">
      <w:pPr>
        <w:pBdr>
          <w:top w:val="single" w:sz="4" w:space="0" w:color="auto"/>
          <w:left w:val="single" w:sz="4" w:space="4" w:color="auto"/>
          <w:bottom w:val="single" w:sz="4" w:space="1" w:color="auto"/>
          <w:right w:val="single" w:sz="4" w:space="4" w:color="auto"/>
        </w:pBdr>
        <w:shd w:val="pct30" w:color="CCFFFF" w:fill="auto"/>
        <w:rPr>
          <w:noProof/>
          <w:sz w:val="16"/>
          <w:szCs w:val="16"/>
        </w:rPr>
      </w:pPr>
    </w:p>
    <w:p w14:paraId="73D6BFD2" w14:textId="77777777" w:rsidR="002A22AB" w:rsidRDefault="002A22AB" w:rsidP="002A22AB">
      <w:pPr>
        <w:pBdr>
          <w:top w:val="single" w:sz="4" w:space="0" w:color="auto"/>
          <w:left w:val="single" w:sz="4" w:space="4" w:color="auto"/>
          <w:bottom w:val="single" w:sz="4" w:space="1" w:color="auto"/>
          <w:right w:val="single" w:sz="4" w:space="4" w:color="auto"/>
        </w:pBdr>
        <w:shd w:val="pct30" w:color="CCFFFF" w:fill="auto"/>
        <w:rPr>
          <w:i/>
          <w:noProof/>
          <w:sz w:val="22"/>
        </w:rPr>
      </w:pPr>
      <w:r>
        <w:rPr>
          <w:i/>
          <w:noProof/>
          <w:sz w:val="22"/>
        </w:rPr>
        <w:t>This annex must accompany the legislative financial statement when the inter-services consultation is launched.</w:t>
      </w:r>
    </w:p>
    <w:p w14:paraId="1089D966" w14:textId="77777777" w:rsidR="002A22AB" w:rsidRDefault="002A22AB" w:rsidP="002A22AB">
      <w:pPr>
        <w:pBdr>
          <w:top w:val="single" w:sz="4" w:space="0" w:color="auto"/>
          <w:left w:val="single" w:sz="4" w:space="4" w:color="auto"/>
          <w:bottom w:val="single" w:sz="4" w:space="1" w:color="auto"/>
          <w:right w:val="single" w:sz="4" w:space="4" w:color="auto"/>
        </w:pBdr>
        <w:shd w:val="pct30" w:color="CCFFFF" w:fill="auto"/>
        <w:rPr>
          <w:i/>
          <w:noProof/>
          <w:sz w:val="22"/>
        </w:rPr>
      </w:pPr>
      <w:r>
        <w:rPr>
          <w:i/>
          <w:noProof/>
          <w:sz w:val="22"/>
        </w:rPr>
        <w:t>The data tables are used as a source for the tables contained in the legislative financial statement. They are strictly for internal use within the Commission.</w:t>
      </w:r>
    </w:p>
    <w:p w14:paraId="1365C625" w14:textId="77777777" w:rsidR="002A22AB" w:rsidRDefault="002A22AB" w:rsidP="002A22AB">
      <w:pPr>
        <w:pBdr>
          <w:top w:val="single" w:sz="4" w:space="0" w:color="auto"/>
          <w:left w:val="single" w:sz="4" w:space="4" w:color="auto"/>
          <w:bottom w:val="single" w:sz="4" w:space="1" w:color="auto"/>
          <w:right w:val="single" w:sz="4" w:space="4" w:color="auto"/>
        </w:pBdr>
        <w:shd w:val="pct30" w:color="CCFFFF" w:fill="auto"/>
        <w:rPr>
          <w:bCs/>
          <w:noProof/>
          <w:sz w:val="16"/>
          <w:szCs w:val="16"/>
        </w:rPr>
      </w:pPr>
    </w:p>
    <w:p w14:paraId="426F33BC" w14:textId="77777777" w:rsidR="002A22AB" w:rsidRDefault="002A22AB" w:rsidP="002A22AB">
      <w:pPr>
        <w:spacing w:after="80"/>
        <w:rPr>
          <w:b/>
          <w:bCs/>
          <w:noProof/>
        </w:rPr>
      </w:pPr>
    </w:p>
    <w:p w14:paraId="3F209946" w14:textId="77777777" w:rsidR="002A22AB" w:rsidRDefault="002A22AB" w:rsidP="002A22AB">
      <w:pPr>
        <w:rPr>
          <w:noProof/>
        </w:rPr>
        <w:sectPr w:rsidR="002A22AB" w:rsidSect="009D02A3">
          <w:pgSz w:w="12240" w:h="15840" w:code="1"/>
          <w:pgMar w:top="902" w:right="1134" w:bottom="1247" w:left="902" w:header="709" w:footer="709" w:gutter="0"/>
          <w:cols w:space="720"/>
          <w:docGrid w:linePitch="360"/>
        </w:sectPr>
      </w:pPr>
    </w:p>
    <w:p w14:paraId="60A4F46F" w14:textId="77777777" w:rsidR="002A22AB" w:rsidRDefault="002A22AB" w:rsidP="002A22AB">
      <w:pPr>
        <w:rPr>
          <w:noProof/>
          <w:sz w:val="16"/>
          <w:szCs w:val="16"/>
        </w:rPr>
      </w:pPr>
    </w:p>
    <w:p w14:paraId="334236A5" w14:textId="26E5482C" w:rsidR="002A22AB" w:rsidRPr="00796518" w:rsidRDefault="00C304BF" w:rsidP="00C304BF">
      <w:pPr>
        <w:pStyle w:val="Point0"/>
        <w:rPr>
          <w:noProof/>
          <w:szCs w:val="28"/>
        </w:rPr>
      </w:pPr>
      <w:r w:rsidRPr="00C304BF">
        <w:t>(1)</w:t>
      </w:r>
      <w:r w:rsidRPr="00C304BF">
        <w:tab/>
      </w:r>
      <w:r w:rsidR="002A22AB">
        <w:rPr>
          <w:noProof/>
        </w:rPr>
        <w:t>Cost of human resources considered necessary</w:t>
      </w:r>
      <w:r w:rsidR="002A22AB">
        <w:rPr>
          <w:noProof/>
        </w:rPr>
        <w:tab/>
      </w:r>
    </w:p>
    <w:p w14:paraId="0E371623" w14:textId="77777777" w:rsidR="002A22AB" w:rsidRDefault="002A22AB" w:rsidP="002A22AB">
      <w:pPr>
        <w:pStyle w:val="Point1"/>
        <w:spacing w:after="0"/>
        <w:ind w:left="2263" w:hanging="284"/>
        <w:rPr>
          <w:noProof/>
        </w:rPr>
      </w:pPr>
      <w:r>
        <w:rPr>
          <w:noProof/>
        </w:rPr>
        <w:sym w:font="Wingdings" w:char="F0A8"/>
      </w:r>
      <w:r>
        <w:rPr>
          <w:noProof/>
        </w:rPr>
        <w:tab/>
      </w:r>
      <w:r>
        <w:rPr>
          <w:noProof/>
          <w:sz w:val="22"/>
        </w:rPr>
        <w:t>The proposal/initiative does not require the use of human resources</w:t>
      </w:r>
    </w:p>
    <w:p w14:paraId="7258E70C" w14:textId="77777777" w:rsidR="002A22AB" w:rsidRDefault="002A22AB" w:rsidP="002A22AB">
      <w:pPr>
        <w:pStyle w:val="Text1"/>
        <w:spacing w:before="60" w:after="0"/>
        <w:ind w:left="2263" w:hanging="284"/>
        <w:rPr>
          <w:noProof/>
        </w:rPr>
      </w:pPr>
      <w:r>
        <w:rPr>
          <w:noProof/>
        </w:rPr>
        <w:t>X</w:t>
      </w:r>
      <w:r>
        <w:rPr>
          <w:noProof/>
        </w:rPr>
        <w:sym w:font="Wingdings" w:char="F0A8"/>
      </w:r>
      <w:r>
        <w:rPr>
          <w:noProof/>
        </w:rPr>
        <w:tab/>
      </w:r>
      <w:r>
        <w:rPr>
          <w:noProof/>
          <w:sz w:val="22"/>
        </w:rPr>
        <w:t>The proposal/initiative requires the use of human resources, as explained below:</w:t>
      </w:r>
    </w:p>
    <w:p w14:paraId="57A4A940" w14:textId="77777777" w:rsidR="002A22AB" w:rsidRPr="00556E60" w:rsidRDefault="002A22AB" w:rsidP="002A22AB">
      <w:pPr>
        <w:jc w:val="right"/>
        <w:rPr>
          <w:iCs/>
          <w:noProof/>
          <w:sz w:val="20"/>
          <w:szCs w:val="20"/>
        </w:rPr>
      </w:pPr>
      <w:r w:rsidRPr="00556E60">
        <w:rPr>
          <w:noProof/>
          <w:sz w:val="20"/>
          <w:szCs w:val="20"/>
        </w:rPr>
        <w:t>EUR million (to three decimal places)</w:t>
      </w:r>
    </w:p>
    <w:tbl>
      <w:tblPr>
        <w:tblW w:w="15000" w:type="dxa"/>
        <w:jc w:val="center"/>
        <w:tblLook w:val="04A0" w:firstRow="1" w:lastRow="0" w:firstColumn="1" w:lastColumn="0" w:noHBand="0" w:noVBand="1"/>
      </w:tblPr>
      <w:tblGrid>
        <w:gridCol w:w="1875"/>
        <w:gridCol w:w="757"/>
        <w:gridCol w:w="483"/>
        <w:gridCol w:w="1063"/>
        <w:gridCol w:w="483"/>
        <w:gridCol w:w="1063"/>
        <w:gridCol w:w="483"/>
        <w:gridCol w:w="1063"/>
        <w:gridCol w:w="483"/>
        <w:gridCol w:w="1063"/>
        <w:gridCol w:w="483"/>
        <w:gridCol w:w="1063"/>
        <w:gridCol w:w="483"/>
        <w:gridCol w:w="1063"/>
        <w:gridCol w:w="483"/>
        <w:gridCol w:w="1063"/>
        <w:gridCol w:w="483"/>
        <w:gridCol w:w="1063"/>
      </w:tblGrid>
      <w:tr w:rsidR="002A22AB" w14:paraId="51409F90" w14:textId="77777777" w:rsidTr="00CE3F2A">
        <w:trPr>
          <w:trHeight w:val="330"/>
          <w:jc w:val="center"/>
        </w:trPr>
        <w:tc>
          <w:tcPr>
            <w:tcW w:w="2632" w:type="dxa"/>
            <w:gridSpan w:val="2"/>
            <w:vMerge w:val="restart"/>
            <w:tcBorders>
              <w:top w:val="single" w:sz="4" w:space="0" w:color="auto"/>
              <w:left w:val="single" w:sz="4" w:space="0" w:color="auto"/>
              <w:right w:val="single" w:sz="4" w:space="0" w:color="auto"/>
            </w:tcBorders>
            <w:shd w:val="pct50" w:color="C0C0C0" w:fill="E2E2E2"/>
            <w:vAlign w:val="center"/>
            <w:hideMark/>
          </w:tcPr>
          <w:p w14:paraId="62FDD9AF" w14:textId="77777777" w:rsidR="002A22AB" w:rsidRDefault="002A22AB" w:rsidP="00CE3F2A">
            <w:pPr>
              <w:jc w:val="center"/>
              <w:rPr>
                <w:rFonts w:ascii="Arial Narrow" w:hAnsi="Arial Narrow"/>
                <w:b/>
                <w:bCs/>
                <w:noProof/>
                <w:color w:val="000000"/>
                <w:sz w:val="22"/>
              </w:rPr>
            </w:pPr>
            <w:r>
              <w:rPr>
                <w:rFonts w:ascii="Arial Narrow" w:hAnsi="Arial Narrow"/>
                <w:b/>
                <w:bCs/>
                <w:noProof/>
                <w:color w:val="000000"/>
                <w:sz w:val="22"/>
              </w:rPr>
              <w:t>HEADING 7</w:t>
            </w:r>
          </w:p>
          <w:p w14:paraId="3F94FBD2" w14:textId="77777777" w:rsidR="002A22AB" w:rsidRDefault="002A22AB" w:rsidP="00CE3F2A">
            <w:pPr>
              <w:jc w:val="center"/>
              <w:rPr>
                <w:rFonts w:ascii="Arial Narrow" w:hAnsi="Arial Narrow"/>
                <w:b/>
                <w:bCs/>
                <w:noProof/>
                <w:color w:val="000000"/>
                <w:sz w:val="22"/>
              </w:rPr>
            </w:pPr>
            <w:r>
              <w:rPr>
                <w:rFonts w:ascii="Arial Narrow" w:hAnsi="Arial Narrow"/>
                <w:noProof/>
                <w:color w:val="000000"/>
                <w:sz w:val="22"/>
              </w:rPr>
              <w:t>of the multiannual financial framework</w:t>
            </w:r>
          </w:p>
        </w:tc>
        <w:tc>
          <w:tcPr>
            <w:tcW w:w="1546" w:type="dxa"/>
            <w:gridSpan w:val="2"/>
            <w:tcBorders>
              <w:top w:val="single" w:sz="4" w:space="0" w:color="auto"/>
              <w:left w:val="nil"/>
              <w:bottom w:val="single" w:sz="4" w:space="0" w:color="auto"/>
              <w:right w:val="single" w:sz="4" w:space="0" w:color="auto"/>
            </w:tcBorders>
            <w:shd w:val="pct12" w:color="CCFFFF" w:fill="FCFFFF"/>
            <w:vAlign w:val="center"/>
            <w:hideMark/>
          </w:tcPr>
          <w:p w14:paraId="518D7AAF" w14:textId="77777777" w:rsidR="002A22AB" w:rsidRDefault="002A22AB" w:rsidP="00CE3F2A">
            <w:pPr>
              <w:jc w:val="center"/>
              <w:rPr>
                <w:rFonts w:ascii="Arial Narrow" w:hAnsi="Arial Narrow"/>
                <w:b/>
                <w:bCs/>
                <w:noProof/>
                <w:color w:val="0000FF"/>
                <w:sz w:val="20"/>
                <w:szCs w:val="20"/>
              </w:rPr>
            </w:pPr>
            <w:r>
              <w:rPr>
                <w:rFonts w:ascii="Arial Narrow" w:hAnsi="Arial Narrow"/>
                <w:b/>
                <w:bCs/>
                <w:noProof/>
                <w:color w:val="0000FF"/>
                <w:sz w:val="20"/>
                <w:szCs w:val="20"/>
                <w:lang w:val="fr-FR"/>
              </w:rPr>
              <w:t>2024</w:t>
            </w:r>
          </w:p>
        </w:tc>
        <w:tc>
          <w:tcPr>
            <w:tcW w:w="1546" w:type="dxa"/>
            <w:gridSpan w:val="2"/>
            <w:tcBorders>
              <w:top w:val="single" w:sz="4" w:space="0" w:color="auto"/>
              <w:left w:val="nil"/>
              <w:bottom w:val="single" w:sz="4" w:space="0" w:color="auto"/>
              <w:right w:val="single" w:sz="4" w:space="0" w:color="auto"/>
            </w:tcBorders>
            <w:shd w:val="pct12" w:color="CCFFFF" w:fill="FCFFFF"/>
            <w:vAlign w:val="center"/>
            <w:hideMark/>
          </w:tcPr>
          <w:p w14:paraId="3BA86BC8" w14:textId="77777777" w:rsidR="002A22AB" w:rsidRDefault="002A22AB" w:rsidP="00CE3F2A">
            <w:pPr>
              <w:jc w:val="center"/>
              <w:rPr>
                <w:rFonts w:ascii="Arial Narrow" w:hAnsi="Arial Narrow"/>
                <w:b/>
                <w:bCs/>
                <w:noProof/>
                <w:color w:val="0000FF"/>
                <w:sz w:val="20"/>
                <w:szCs w:val="20"/>
              </w:rPr>
            </w:pPr>
            <w:r>
              <w:rPr>
                <w:rFonts w:ascii="Arial Narrow" w:hAnsi="Arial Narrow"/>
                <w:b/>
                <w:bCs/>
                <w:noProof/>
                <w:color w:val="0000FF"/>
                <w:sz w:val="20"/>
                <w:szCs w:val="20"/>
                <w:lang w:val="fr-FR"/>
              </w:rPr>
              <w:t>2025</w:t>
            </w:r>
          </w:p>
        </w:tc>
        <w:tc>
          <w:tcPr>
            <w:tcW w:w="1546" w:type="dxa"/>
            <w:gridSpan w:val="2"/>
            <w:tcBorders>
              <w:top w:val="single" w:sz="4" w:space="0" w:color="auto"/>
              <w:left w:val="nil"/>
              <w:bottom w:val="single" w:sz="4" w:space="0" w:color="auto"/>
              <w:right w:val="single" w:sz="4" w:space="0" w:color="auto"/>
            </w:tcBorders>
            <w:shd w:val="pct12" w:color="CCFFFF" w:fill="FCFFFF"/>
            <w:vAlign w:val="center"/>
            <w:hideMark/>
          </w:tcPr>
          <w:p w14:paraId="473BBA30" w14:textId="77777777" w:rsidR="002A22AB" w:rsidRDefault="002A22AB" w:rsidP="00CE3F2A">
            <w:pPr>
              <w:jc w:val="center"/>
              <w:rPr>
                <w:rFonts w:ascii="Arial Narrow" w:hAnsi="Arial Narrow"/>
                <w:b/>
                <w:bCs/>
                <w:noProof/>
                <w:color w:val="0000FF"/>
                <w:sz w:val="20"/>
                <w:szCs w:val="20"/>
              </w:rPr>
            </w:pPr>
            <w:r>
              <w:rPr>
                <w:rFonts w:ascii="Arial Narrow" w:hAnsi="Arial Narrow"/>
                <w:b/>
                <w:bCs/>
                <w:noProof/>
                <w:color w:val="0000FF"/>
                <w:sz w:val="20"/>
                <w:szCs w:val="20"/>
                <w:lang w:val="fr-FR"/>
              </w:rPr>
              <w:t>2026</w:t>
            </w:r>
          </w:p>
        </w:tc>
        <w:tc>
          <w:tcPr>
            <w:tcW w:w="1546" w:type="dxa"/>
            <w:gridSpan w:val="2"/>
            <w:tcBorders>
              <w:top w:val="single" w:sz="4" w:space="0" w:color="auto"/>
              <w:left w:val="nil"/>
              <w:bottom w:val="single" w:sz="4" w:space="0" w:color="auto"/>
              <w:right w:val="single" w:sz="4" w:space="0" w:color="auto"/>
            </w:tcBorders>
            <w:shd w:val="pct12" w:color="CCFFFF" w:fill="FCFFFF"/>
            <w:vAlign w:val="center"/>
            <w:hideMark/>
          </w:tcPr>
          <w:p w14:paraId="596297CE" w14:textId="77777777" w:rsidR="002A22AB" w:rsidRDefault="002A22AB" w:rsidP="00CE3F2A">
            <w:pPr>
              <w:jc w:val="center"/>
              <w:rPr>
                <w:rFonts w:ascii="Arial Narrow" w:hAnsi="Arial Narrow"/>
                <w:b/>
                <w:bCs/>
                <w:noProof/>
                <w:color w:val="0000FF"/>
                <w:sz w:val="20"/>
                <w:szCs w:val="20"/>
              </w:rPr>
            </w:pPr>
            <w:r>
              <w:rPr>
                <w:rFonts w:ascii="Arial Narrow" w:hAnsi="Arial Narrow"/>
                <w:b/>
                <w:bCs/>
                <w:noProof/>
                <w:color w:val="0000FF"/>
                <w:sz w:val="20"/>
                <w:szCs w:val="20"/>
                <w:lang w:val="fr-FR"/>
              </w:rPr>
              <w:t>2027</w:t>
            </w:r>
          </w:p>
        </w:tc>
        <w:tc>
          <w:tcPr>
            <w:tcW w:w="1546" w:type="dxa"/>
            <w:gridSpan w:val="2"/>
            <w:tcBorders>
              <w:top w:val="single" w:sz="4" w:space="0" w:color="auto"/>
              <w:left w:val="nil"/>
              <w:bottom w:val="single" w:sz="4" w:space="0" w:color="auto"/>
              <w:right w:val="single" w:sz="4" w:space="0" w:color="auto"/>
            </w:tcBorders>
            <w:shd w:val="pct12" w:color="CCFFFF" w:fill="FCFFFF"/>
            <w:vAlign w:val="center"/>
            <w:hideMark/>
          </w:tcPr>
          <w:p w14:paraId="3666A7E8" w14:textId="77777777" w:rsidR="002A22AB" w:rsidRDefault="002A22AB" w:rsidP="00CE3F2A">
            <w:pPr>
              <w:jc w:val="center"/>
              <w:rPr>
                <w:rFonts w:ascii="Arial Narrow" w:hAnsi="Arial Narrow"/>
                <w:b/>
                <w:bCs/>
                <w:noProof/>
                <w:color w:val="0000FF"/>
                <w:sz w:val="20"/>
                <w:szCs w:val="20"/>
              </w:rPr>
            </w:pPr>
          </w:p>
        </w:tc>
        <w:tc>
          <w:tcPr>
            <w:tcW w:w="1546" w:type="dxa"/>
            <w:gridSpan w:val="2"/>
            <w:tcBorders>
              <w:top w:val="single" w:sz="4" w:space="0" w:color="auto"/>
              <w:left w:val="nil"/>
              <w:bottom w:val="single" w:sz="4" w:space="0" w:color="auto"/>
              <w:right w:val="single" w:sz="4" w:space="0" w:color="auto"/>
            </w:tcBorders>
            <w:shd w:val="pct12" w:color="CCFFFF" w:fill="FCFFFF"/>
            <w:vAlign w:val="center"/>
            <w:hideMark/>
          </w:tcPr>
          <w:p w14:paraId="1B44429B" w14:textId="77777777" w:rsidR="002A22AB" w:rsidRDefault="002A22AB" w:rsidP="00CE3F2A">
            <w:pPr>
              <w:jc w:val="center"/>
              <w:rPr>
                <w:rFonts w:ascii="Arial Narrow" w:hAnsi="Arial Narrow"/>
                <w:b/>
                <w:bCs/>
                <w:noProof/>
                <w:color w:val="0000FF"/>
                <w:sz w:val="20"/>
                <w:szCs w:val="20"/>
              </w:rPr>
            </w:pPr>
          </w:p>
        </w:tc>
        <w:tc>
          <w:tcPr>
            <w:tcW w:w="1546" w:type="dxa"/>
            <w:gridSpan w:val="2"/>
            <w:tcBorders>
              <w:top w:val="single" w:sz="4" w:space="0" w:color="auto"/>
              <w:left w:val="nil"/>
              <w:bottom w:val="single" w:sz="4" w:space="0" w:color="auto"/>
              <w:right w:val="single" w:sz="4" w:space="0" w:color="auto"/>
            </w:tcBorders>
            <w:shd w:val="pct12" w:color="CCFFFF" w:fill="FCFFFF"/>
            <w:vAlign w:val="center"/>
            <w:hideMark/>
          </w:tcPr>
          <w:p w14:paraId="24BBE730" w14:textId="77777777" w:rsidR="002A22AB" w:rsidRDefault="002A22AB" w:rsidP="00CE3F2A">
            <w:pPr>
              <w:jc w:val="center"/>
              <w:rPr>
                <w:rFonts w:ascii="Arial Narrow" w:hAnsi="Arial Narrow"/>
                <w:b/>
                <w:bCs/>
                <w:noProof/>
                <w:color w:val="0000FF"/>
                <w:sz w:val="20"/>
                <w:szCs w:val="20"/>
              </w:rPr>
            </w:pPr>
          </w:p>
        </w:tc>
        <w:tc>
          <w:tcPr>
            <w:tcW w:w="1546" w:type="dxa"/>
            <w:gridSpan w:val="2"/>
            <w:tcBorders>
              <w:top w:val="single" w:sz="4" w:space="0" w:color="auto"/>
              <w:left w:val="nil"/>
              <w:bottom w:val="single" w:sz="4" w:space="0" w:color="auto"/>
              <w:right w:val="single" w:sz="4" w:space="0" w:color="auto"/>
            </w:tcBorders>
            <w:shd w:val="pct12" w:color="CCFFFF" w:fill="FCFFFF"/>
            <w:vAlign w:val="center"/>
            <w:hideMark/>
          </w:tcPr>
          <w:p w14:paraId="57A0DCBA"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TOTAL</w:t>
            </w:r>
          </w:p>
        </w:tc>
      </w:tr>
      <w:tr w:rsidR="002A22AB" w14:paraId="302B7EBE" w14:textId="77777777" w:rsidTr="00CE3F2A">
        <w:trPr>
          <w:trHeight w:val="660"/>
          <w:jc w:val="center"/>
        </w:trPr>
        <w:tc>
          <w:tcPr>
            <w:tcW w:w="2632" w:type="dxa"/>
            <w:gridSpan w:val="2"/>
            <w:vMerge/>
            <w:tcBorders>
              <w:left w:val="single" w:sz="4" w:space="0" w:color="auto"/>
              <w:bottom w:val="single" w:sz="4" w:space="0" w:color="auto"/>
              <w:right w:val="single" w:sz="4" w:space="0" w:color="auto"/>
            </w:tcBorders>
            <w:shd w:val="pct50" w:color="C0C0C0" w:fill="E2E2E2"/>
            <w:vAlign w:val="center"/>
            <w:hideMark/>
          </w:tcPr>
          <w:p w14:paraId="373648E8" w14:textId="77777777" w:rsidR="002A22AB" w:rsidRDefault="002A22AB" w:rsidP="00CE3F2A">
            <w:pPr>
              <w:jc w:val="center"/>
              <w:rPr>
                <w:rFonts w:ascii="Arial Narrow" w:hAnsi="Arial Narrow"/>
                <w:noProof/>
                <w:color w:val="000000"/>
                <w:sz w:val="22"/>
              </w:rPr>
            </w:pPr>
          </w:p>
        </w:tc>
        <w:tc>
          <w:tcPr>
            <w:tcW w:w="483" w:type="dxa"/>
            <w:tcBorders>
              <w:top w:val="nil"/>
              <w:left w:val="nil"/>
              <w:bottom w:val="single" w:sz="4" w:space="0" w:color="auto"/>
              <w:right w:val="single" w:sz="4" w:space="0" w:color="auto"/>
            </w:tcBorders>
            <w:shd w:val="pct12" w:color="CCFFFF" w:fill="FCFFFF"/>
            <w:vAlign w:val="center"/>
            <w:hideMark/>
          </w:tcPr>
          <w:p w14:paraId="3897ADD8" w14:textId="77777777" w:rsidR="002A22AB" w:rsidRDefault="002A22AB" w:rsidP="00CE3F2A">
            <w:pPr>
              <w:jc w:val="center"/>
              <w:rPr>
                <w:rFonts w:ascii="Arial Narrow" w:hAnsi="Arial Narrow"/>
                <w:noProof/>
                <w:color w:val="000000"/>
                <w:sz w:val="16"/>
                <w:szCs w:val="16"/>
              </w:rPr>
            </w:pPr>
            <w:r>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2DF50ED6" w14:textId="77777777" w:rsidR="002A22AB" w:rsidRDefault="002A22AB" w:rsidP="00CE3F2A">
            <w:pPr>
              <w:jc w:val="center"/>
              <w:rPr>
                <w:rFonts w:ascii="Arial Narrow" w:hAnsi="Arial Narrow"/>
                <w:noProof/>
                <w:color w:val="000000"/>
                <w:sz w:val="16"/>
                <w:szCs w:val="16"/>
              </w:rPr>
            </w:pPr>
            <w:r>
              <w:rPr>
                <w:rFonts w:ascii="Arial Narrow" w:hAnsi="Arial Narrow"/>
                <w:noProof/>
                <w:color w:val="000000"/>
                <w:sz w:val="16"/>
                <w:szCs w:val="16"/>
              </w:rPr>
              <w:t>Appropriations</w:t>
            </w:r>
          </w:p>
        </w:tc>
        <w:tc>
          <w:tcPr>
            <w:tcW w:w="483" w:type="dxa"/>
            <w:tcBorders>
              <w:top w:val="nil"/>
              <w:left w:val="nil"/>
              <w:bottom w:val="single" w:sz="4" w:space="0" w:color="auto"/>
              <w:right w:val="single" w:sz="4" w:space="0" w:color="auto"/>
            </w:tcBorders>
            <w:shd w:val="pct12" w:color="CCFFFF" w:fill="FCFFFF"/>
            <w:vAlign w:val="center"/>
            <w:hideMark/>
          </w:tcPr>
          <w:p w14:paraId="2D46F9A4" w14:textId="77777777" w:rsidR="002A22AB" w:rsidRDefault="002A22AB" w:rsidP="00CE3F2A">
            <w:pPr>
              <w:jc w:val="center"/>
              <w:rPr>
                <w:rFonts w:ascii="Arial Narrow" w:hAnsi="Arial Narrow"/>
                <w:noProof/>
                <w:color w:val="000000"/>
                <w:sz w:val="16"/>
                <w:szCs w:val="16"/>
              </w:rPr>
            </w:pPr>
            <w:r>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16E3D083" w14:textId="77777777" w:rsidR="002A22AB" w:rsidRDefault="002A22AB" w:rsidP="00CE3F2A">
            <w:pPr>
              <w:jc w:val="center"/>
              <w:rPr>
                <w:rFonts w:ascii="Arial Narrow" w:hAnsi="Arial Narrow"/>
                <w:noProof/>
                <w:color w:val="000000"/>
                <w:sz w:val="16"/>
                <w:szCs w:val="16"/>
              </w:rPr>
            </w:pPr>
            <w:r>
              <w:rPr>
                <w:rFonts w:ascii="Arial Narrow" w:hAnsi="Arial Narrow"/>
                <w:noProof/>
                <w:color w:val="000000"/>
                <w:sz w:val="16"/>
                <w:szCs w:val="16"/>
              </w:rPr>
              <w:t>Appropriations</w:t>
            </w:r>
          </w:p>
        </w:tc>
        <w:tc>
          <w:tcPr>
            <w:tcW w:w="483" w:type="dxa"/>
            <w:tcBorders>
              <w:top w:val="nil"/>
              <w:left w:val="nil"/>
              <w:bottom w:val="single" w:sz="4" w:space="0" w:color="auto"/>
              <w:right w:val="single" w:sz="4" w:space="0" w:color="auto"/>
            </w:tcBorders>
            <w:shd w:val="pct12" w:color="CCFFFF" w:fill="FCFFFF"/>
            <w:vAlign w:val="center"/>
            <w:hideMark/>
          </w:tcPr>
          <w:p w14:paraId="3CC2F374" w14:textId="77777777" w:rsidR="002A22AB" w:rsidRDefault="002A22AB" w:rsidP="00CE3F2A">
            <w:pPr>
              <w:jc w:val="center"/>
              <w:rPr>
                <w:rFonts w:ascii="Arial Narrow" w:hAnsi="Arial Narrow"/>
                <w:noProof/>
                <w:color w:val="000000"/>
                <w:sz w:val="16"/>
                <w:szCs w:val="16"/>
              </w:rPr>
            </w:pPr>
            <w:r>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1E027605" w14:textId="77777777" w:rsidR="002A22AB" w:rsidRDefault="002A22AB" w:rsidP="00CE3F2A">
            <w:pPr>
              <w:jc w:val="center"/>
              <w:rPr>
                <w:rFonts w:ascii="Arial Narrow" w:hAnsi="Arial Narrow"/>
                <w:noProof/>
                <w:color w:val="000000"/>
                <w:sz w:val="16"/>
                <w:szCs w:val="16"/>
              </w:rPr>
            </w:pPr>
            <w:r>
              <w:rPr>
                <w:rFonts w:ascii="Arial Narrow" w:hAnsi="Arial Narrow"/>
                <w:noProof/>
                <w:color w:val="000000"/>
                <w:sz w:val="16"/>
                <w:szCs w:val="16"/>
              </w:rPr>
              <w:t>Appropriations</w:t>
            </w:r>
          </w:p>
        </w:tc>
        <w:tc>
          <w:tcPr>
            <w:tcW w:w="483" w:type="dxa"/>
            <w:tcBorders>
              <w:top w:val="nil"/>
              <w:left w:val="nil"/>
              <w:bottom w:val="single" w:sz="4" w:space="0" w:color="auto"/>
              <w:right w:val="single" w:sz="4" w:space="0" w:color="auto"/>
            </w:tcBorders>
            <w:shd w:val="pct12" w:color="CCFFFF" w:fill="FCFFFF"/>
            <w:vAlign w:val="center"/>
            <w:hideMark/>
          </w:tcPr>
          <w:p w14:paraId="5F765F3A" w14:textId="77777777" w:rsidR="002A22AB" w:rsidRDefault="002A22AB" w:rsidP="00CE3F2A">
            <w:pPr>
              <w:jc w:val="center"/>
              <w:rPr>
                <w:rFonts w:ascii="Arial Narrow" w:hAnsi="Arial Narrow"/>
                <w:noProof/>
                <w:color w:val="000000"/>
                <w:sz w:val="16"/>
                <w:szCs w:val="16"/>
              </w:rPr>
            </w:pPr>
            <w:r>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5B3023DD" w14:textId="77777777" w:rsidR="002A22AB" w:rsidRDefault="002A22AB" w:rsidP="00CE3F2A">
            <w:pPr>
              <w:jc w:val="center"/>
              <w:rPr>
                <w:rFonts w:ascii="Arial Narrow" w:hAnsi="Arial Narrow"/>
                <w:noProof/>
                <w:color w:val="000000"/>
                <w:sz w:val="16"/>
                <w:szCs w:val="16"/>
              </w:rPr>
            </w:pPr>
            <w:r>
              <w:rPr>
                <w:rFonts w:ascii="Arial Narrow" w:hAnsi="Arial Narrow"/>
                <w:noProof/>
                <w:color w:val="000000"/>
                <w:sz w:val="16"/>
                <w:szCs w:val="16"/>
              </w:rPr>
              <w:t>Appropriations</w:t>
            </w:r>
          </w:p>
        </w:tc>
        <w:tc>
          <w:tcPr>
            <w:tcW w:w="483" w:type="dxa"/>
            <w:tcBorders>
              <w:top w:val="nil"/>
              <w:left w:val="nil"/>
              <w:bottom w:val="single" w:sz="4" w:space="0" w:color="auto"/>
              <w:right w:val="single" w:sz="4" w:space="0" w:color="auto"/>
            </w:tcBorders>
            <w:shd w:val="pct12" w:color="CCFFFF" w:fill="FCFFFF"/>
            <w:vAlign w:val="center"/>
            <w:hideMark/>
          </w:tcPr>
          <w:p w14:paraId="60DCAF6C" w14:textId="77777777" w:rsidR="002A22AB" w:rsidRDefault="002A22AB" w:rsidP="00CE3F2A">
            <w:pPr>
              <w:jc w:val="center"/>
              <w:rPr>
                <w:rFonts w:ascii="Arial Narrow" w:hAnsi="Arial Narrow"/>
                <w:noProof/>
                <w:color w:val="000000"/>
                <w:sz w:val="16"/>
                <w:szCs w:val="16"/>
              </w:rPr>
            </w:pPr>
            <w:r>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0D42AFC8" w14:textId="77777777" w:rsidR="002A22AB" w:rsidRDefault="002A22AB" w:rsidP="00CE3F2A">
            <w:pPr>
              <w:jc w:val="center"/>
              <w:rPr>
                <w:rFonts w:ascii="Arial Narrow" w:hAnsi="Arial Narrow"/>
                <w:noProof/>
                <w:color w:val="000000"/>
                <w:sz w:val="16"/>
                <w:szCs w:val="16"/>
              </w:rPr>
            </w:pPr>
            <w:r>
              <w:rPr>
                <w:rFonts w:ascii="Arial Narrow" w:hAnsi="Arial Narrow"/>
                <w:noProof/>
                <w:color w:val="000000"/>
                <w:sz w:val="16"/>
                <w:szCs w:val="16"/>
              </w:rPr>
              <w:t>Appropriations</w:t>
            </w:r>
          </w:p>
        </w:tc>
        <w:tc>
          <w:tcPr>
            <w:tcW w:w="483" w:type="dxa"/>
            <w:tcBorders>
              <w:top w:val="nil"/>
              <w:left w:val="nil"/>
              <w:bottom w:val="single" w:sz="4" w:space="0" w:color="auto"/>
              <w:right w:val="single" w:sz="4" w:space="0" w:color="auto"/>
            </w:tcBorders>
            <w:shd w:val="pct12" w:color="CCFFFF" w:fill="FCFFFF"/>
            <w:vAlign w:val="center"/>
            <w:hideMark/>
          </w:tcPr>
          <w:p w14:paraId="525E5490" w14:textId="77777777" w:rsidR="002A22AB" w:rsidRDefault="002A22AB" w:rsidP="00CE3F2A">
            <w:pPr>
              <w:jc w:val="center"/>
              <w:rPr>
                <w:rFonts w:ascii="Arial Narrow" w:hAnsi="Arial Narrow"/>
                <w:noProof/>
                <w:color w:val="000000"/>
                <w:sz w:val="16"/>
                <w:szCs w:val="16"/>
              </w:rPr>
            </w:pPr>
            <w:r>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07DEE80A" w14:textId="77777777" w:rsidR="002A22AB" w:rsidRDefault="002A22AB" w:rsidP="00CE3F2A">
            <w:pPr>
              <w:jc w:val="center"/>
              <w:rPr>
                <w:rFonts w:ascii="Arial Narrow" w:hAnsi="Arial Narrow"/>
                <w:noProof/>
                <w:color w:val="000000"/>
                <w:sz w:val="16"/>
                <w:szCs w:val="16"/>
              </w:rPr>
            </w:pPr>
            <w:r>
              <w:rPr>
                <w:rFonts w:ascii="Arial Narrow" w:hAnsi="Arial Narrow"/>
                <w:noProof/>
                <w:color w:val="000000"/>
                <w:sz w:val="16"/>
                <w:szCs w:val="16"/>
              </w:rPr>
              <w:t>Appropriations</w:t>
            </w:r>
          </w:p>
        </w:tc>
        <w:tc>
          <w:tcPr>
            <w:tcW w:w="483" w:type="dxa"/>
            <w:tcBorders>
              <w:top w:val="nil"/>
              <w:left w:val="nil"/>
              <w:bottom w:val="single" w:sz="4" w:space="0" w:color="auto"/>
              <w:right w:val="single" w:sz="4" w:space="0" w:color="auto"/>
            </w:tcBorders>
            <w:shd w:val="pct12" w:color="CCFFFF" w:fill="FCFFFF"/>
            <w:vAlign w:val="center"/>
            <w:hideMark/>
          </w:tcPr>
          <w:p w14:paraId="0D78854D" w14:textId="77777777" w:rsidR="002A22AB" w:rsidRDefault="002A22AB" w:rsidP="00CE3F2A">
            <w:pPr>
              <w:jc w:val="center"/>
              <w:rPr>
                <w:rFonts w:ascii="Arial Narrow" w:hAnsi="Arial Narrow"/>
                <w:noProof/>
                <w:color w:val="000000"/>
                <w:sz w:val="16"/>
                <w:szCs w:val="16"/>
              </w:rPr>
            </w:pPr>
            <w:r>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639EA141" w14:textId="77777777" w:rsidR="002A22AB" w:rsidRDefault="002A22AB" w:rsidP="00CE3F2A">
            <w:pPr>
              <w:jc w:val="center"/>
              <w:rPr>
                <w:rFonts w:ascii="Arial Narrow" w:hAnsi="Arial Narrow"/>
                <w:noProof/>
                <w:color w:val="000000"/>
                <w:sz w:val="16"/>
                <w:szCs w:val="16"/>
              </w:rPr>
            </w:pPr>
            <w:r>
              <w:rPr>
                <w:rFonts w:ascii="Arial Narrow" w:hAnsi="Arial Narrow"/>
                <w:noProof/>
                <w:color w:val="000000"/>
                <w:sz w:val="16"/>
                <w:szCs w:val="16"/>
              </w:rPr>
              <w:t>Appropriations</w:t>
            </w:r>
          </w:p>
        </w:tc>
        <w:tc>
          <w:tcPr>
            <w:tcW w:w="483" w:type="dxa"/>
            <w:tcBorders>
              <w:top w:val="nil"/>
              <w:left w:val="nil"/>
              <w:bottom w:val="single" w:sz="4" w:space="0" w:color="auto"/>
              <w:right w:val="single" w:sz="4" w:space="0" w:color="auto"/>
            </w:tcBorders>
            <w:shd w:val="pct12" w:color="CCFFFF" w:fill="FCFFFF"/>
            <w:vAlign w:val="center"/>
            <w:hideMark/>
          </w:tcPr>
          <w:p w14:paraId="579D22FD" w14:textId="77777777" w:rsidR="002A22AB" w:rsidRDefault="002A22AB" w:rsidP="00CE3F2A">
            <w:pPr>
              <w:jc w:val="center"/>
              <w:rPr>
                <w:rFonts w:ascii="Arial Narrow" w:hAnsi="Arial Narrow"/>
                <w:noProof/>
                <w:color w:val="000000"/>
                <w:sz w:val="16"/>
                <w:szCs w:val="16"/>
              </w:rPr>
            </w:pPr>
            <w:r>
              <w:rPr>
                <w:rFonts w:ascii="Arial Narrow" w:hAnsi="Arial Narrow"/>
                <w:noProof/>
                <w:color w:val="000000"/>
                <w:sz w:val="16"/>
                <w:szCs w:val="16"/>
              </w:rPr>
              <w:t>FTE</w:t>
            </w:r>
          </w:p>
        </w:tc>
        <w:tc>
          <w:tcPr>
            <w:tcW w:w="1063" w:type="dxa"/>
            <w:tcBorders>
              <w:top w:val="nil"/>
              <w:left w:val="nil"/>
              <w:bottom w:val="single" w:sz="4" w:space="0" w:color="auto"/>
              <w:right w:val="single" w:sz="4" w:space="0" w:color="auto"/>
            </w:tcBorders>
            <w:shd w:val="pct12" w:color="CCFFFF" w:fill="FCFFFF"/>
            <w:vAlign w:val="center"/>
            <w:hideMark/>
          </w:tcPr>
          <w:p w14:paraId="42541EB9" w14:textId="77777777" w:rsidR="002A22AB" w:rsidRDefault="002A22AB" w:rsidP="00CE3F2A">
            <w:pPr>
              <w:jc w:val="center"/>
              <w:rPr>
                <w:rFonts w:ascii="Arial Narrow" w:hAnsi="Arial Narrow"/>
                <w:noProof/>
                <w:color w:val="000000"/>
                <w:sz w:val="16"/>
                <w:szCs w:val="16"/>
              </w:rPr>
            </w:pPr>
            <w:r>
              <w:rPr>
                <w:rFonts w:ascii="Arial Narrow" w:hAnsi="Arial Narrow"/>
                <w:noProof/>
                <w:color w:val="000000"/>
                <w:sz w:val="16"/>
                <w:szCs w:val="16"/>
              </w:rPr>
              <w:t>Appropriations</w:t>
            </w:r>
          </w:p>
        </w:tc>
      </w:tr>
      <w:tr w:rsidR="002A22AB" w14:paraId="092FE2FD" w14:textId="77777777" w:rsidTr="00CE3F2A">
        <w:trPr>
          <w:trHeight w:val="330"/>
          <w:jc w:val="center"/>
        </w:trPr>
        <w:tc>
          <w:tcPr>
            <w:tcW w:w="15000" w:type="dxa"/>
            <w:gridSpan w:val="18"/>
            <w:tcBorders>
              <w:top w:val="single" w:sz="4" w:space="0" w:color="auto"/>
              <w:left w:val="single" w:sz="4" w:space="0" w:color="auto"/>
              <w:bottom w:val="single" w:sz="4" w:space="0" w:color="auto"/>
              <w:right w:val="single" w:sz="4" w:space="0" w:color="auto"/>
            </w:tcBorders>
            <w:shd w:val="pct12" w:color="CCFFFF" w:fill="CCFFD0"/>
            <w:vAlign w:val="center"/>
            <w:hideMark/>
          </w:tcPr>
          <w:p w14:paraId="0FAA0935" w14:textId="77777777" w:rsidR="002A22AB" w:rsidRDefault="002A22AB" w:rsidP="00CE3F2A">
            <w:pPr>
              <w:rPr>
                <w:rFonts w:ascii="Arial Narrow" w:hAnsi="Arial Narrow"/>
                <w:noProof/>
                <w:color w:val="000000"/>
                <w:sz w:val="20"/>
                <w:szCs w:val="20"/>
              </w:rPr>
            </w:pPr>
            <w:r>
              <w:rPr>
                <w:rFonts w:ascii="Arial Narrow" w:hAnsi="Arial Narrow"/>
                <w:b/>
                <w:noProof/>
                <w:color w:val="008000"/>
                <w:sz w:val="20"/>
              </w:rPr>
              <w:sym w:font="Wingdings" w:char="F09F"/>
            </w:r>
            <w:r>
              <w:rPr>
                <w:rFonts w:ascii="Arial Narrow" w:hAnsi="Arial Narrow"/>
                <w:b/>
                <w:noProof/>
                <w:color w:val="008000"/>
                <w:sz w:val="20"/>
              </w:rPr>
              <w:t xml:space="preserve"> </w:t>
            </w:r>
            <w:r>
              <w:rPr>
                <w:rFonts w:ascii="Arial Narrow" w:hAnsi="Arial Narrow"/>
                <w:b/>
                <w:noProof/>
                <w:color w:val="008000"/>
                <w:sz w:val="22"/>
              </w:rPr>
              <w:t>Establishment plan posts (officials and temporary staff)</w:t>
            </w:r>
          </w:p>
        </w:tc>
      </w:tr>
      <w:tr w:rsidR="002A22AB" w14:paraId="0E6E59A7" w14:textId="77777777" w:rsidTr="00CE3F2A">
        <w:trPr>
          <w:trHeight w:val="300"/>
          <w:jc w:val="center"/>
        </w:trPr>
        <w:tc>
          <w:tcPr>
            <w:tcW w:w="1875" w:type="dxa"/>
            <w:vMerge w:val="restart"/>
            <w:tcBorders>
              <w:top w:val="nil"/>
              <w:left w:val="single" w:sz="4" w:space="0" w:color="auto"/>
              <w:bottom w:val="single" w:sz="4" w:space="0" w:color="auto"/>
              <w:right w:val="single" w:sz="4" w:space="0" w:color="auto"/>
            </w:tcBorders>
            <w:shd w:val="pct12" w:color="CCFFFF" w:fill="FCFFFF"/>
            <w:vAlign w:val="center"/>
            <w:hideMark/>
          </w:tcPr>
          <w:p w14:paraId="0D23C840"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20 01 02 01 - Headquarters and Representation offices</w:t>
            </w:r>
          </w:p>
        </w:tc>
        <w:tc>
          <w:tcPr>
            <w:tcW w:w="757" w:type="dxa"/>
            <w:tcBorders>
              <w:top w:val="nil"/>
              <w:left w:val="nil"/>
              <w:bottom w:val="single" w:sz="4" w:space="0" w:color="auto"/>
              <w:right w:val="single" w:sz="4" w:space="0" w:color="auto"/>
            </w:tcBorders>
            <w:shd w:val="pct12" w:color="CCFFFF" w:fill="FCFFFF"/>
            <w:vAlign w:val="center"/>
            <w:hideMark/>
          </w:tcPr>
          <w:p w14:paraId="30C5E58A" w14:textId="77777777" w:rsidR="002A22AB" w:rsidRDefault="002A22AB" w:rsidP="00CE3F2A">
            <w:pPr>
              <w:jc w:val="center"/>
              <w:rPr>
                <w:rFonts w:ascii="Arial Narrow" w:hAnsi="Arial Narrow"/>
                <w:noProof/>
                <w:color w:val="000000"/>
                <w:sz w:val="18"/>
                <w:szCs w:val="18"/>
              </w:rPr>
            </w:pPr>
            <w:r>
              <w:rPr>
                <w:rFonts w:ascii="Arial Narrow" w:hAnsi="Arial Narrow"/>
                <w:noProof/>
                <w:color w:val="000000"/>
                <w:sz w:val="18"/>
                <w:szCs w:val="18"/>
              </w:rPr>
              <w:t>AD</w:t>
            </w:r>
          </w:p>
        </w:tc>
        <w:tc>
          <w:tcPr>
            <w:tcW w:w="483" w:type="dxa"/>
            <w:tcBorders>
              <w:top w:val="nil"/>
              <w:left w:val="nil"/>
              <w:bottom w:val="single" w:sz="4" w:space="0" w:color="auto"/>
              <w:right w:val="single" w:sz="4" w:space="0" w:color="auto"/>
            </w:tcBorders>
            <w:shd w:val="pct12" w:color="CCFFFF" w:fill="FCFFFF"/>
            <w:vAlign w:val="center"/>
            <w:hideMark/>
          </w:tcPr>
          <w:p w14:paraId="3303B20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5</w:t>
            </w:r>
          </w:p>
        </w:tc>
        <w:tc>
          <w:tcPr>
            <w:tcW w:w="1063" w:type="dxa"/>
            <w:tcBorders>
              <w:top w:val="nil"/>
              <w:left w:val="nil"/>
              <w:bottom w:val="single" w:sz="4" w:space="0" w:color="auto"/>
              <w:right w:val="single" w:sz="4" w:space="0" w:color="auto"/>
            </w:tcBorders>
            <w:shd w:val="pct12" w:color="CCFFFF" w:fill="FCFFFF"/>
            <w:vAlign w:val="center"/>
            <w:hideMark/>
          </w:tcPr>
          <w:p w14:paraId="2FD0A628"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0.608 </w:t>
            </w:r>
          </w:p>
        </w:tc>
        <w:tc>
          <w:tcPr>
            <w:tcW w:w="483" w:type="dxa"/>
            <w:tcBorders>
              <w:top w:val="nil"/>
              <w:left w:val="nil"/>
              <w:bottom w:val="single" w:sz="4" w:space="0" w:color="auto"/>
              <w:right w:val="single" w:sz="4" w:space="0" w:color="auto"/>
            </w:tcBorders>
            <w:shd w:val="pct12" w:color="CCFFFF" w:fill="FCFFFF"/>
            <w:vAlign w:val="center"/>
            <w:hideMark/>
          </w:tcPr>
          <w:p w14:paraId="7283258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5</w:t>
            </w:r>
            <w:r w:rsidRPr="00597C1E">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C443D9C"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0.684 </w:t>
            </w:r>
          </w:p>
        </w:tc>
        <w:tc>
          <w:tcPr>
            <w:tcW w:w="483" w:type="dxa"/>
            <w:tcBorders>
              <w:top w:val="nil"/>
              <w:left w:val="nil"/>
              <w:bottom w:val="single" w:sz="4" w:space="0" w:color="auto"/>
              <w:right w:val="single" w:sz="4" w:space="0" w:color="auto"/>
            </w:tcBorders>
            <w:shd w:val="pct12" w:color="CCFFFF" w:fill="FCFFFF"/>
            <w:vAlign w:val="center"/>
            <w:hideMark/>
          </w:tcPr>
          <w:p w14:paraId="50FC43BE"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4</w:t>
            </w:r>
          </w:p>
        </w:tc>
        <w:tc>
          <w:tcPr>
            <w:tcW w:w="1063" w:type="dxa"/>
            <w:tcBorders>
              <w:top w:val="nil"/>
              <w:left w:val="nil"/>
              <w:bottom w:val="single" w:sz="4" w:space="0" w:color="auto"/>
              <w:right w:val="single" w:sz="4" w:space="0" w:color="auto"/>
            </w:tcBorders>
            <w:shd w:val="pct12" w:color="CCFFFF" w:fill="FCFFFF"/>
            <w:vAlign w:val="center"/>
            <w:hideMark/>
          </w:tcPr>
          <w:p w14:paraId="78BFA118"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0.608 </w:t>
            </w:r>
          </w:p>
        </w:tc>
        <w:tc>
          <w:tcPr>
            <w:tcW w:w="483" w:type="dxa"/>
            <w:tcBorders>
              <w:top w:val="nil"/>
              <w:left w:val="nil"/>
              <w:bottom w:val="single" w:sz="4" w:space="0" w:color="auto"/>
              <w:right w:val="single" w:sz="4" w:space="0" w:color="auto"/>
            </w:tcBorders>
            <w:shd w:val="pct12" w:color="CCFFFF" w:fill="FCFFFF"/>
            <w:vAlign w:val="center"/>
            <w:hideMark/>
          </w:tcPr>
          <w:p w14:paraId="6A940416"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4</w:t>
            </w:r>
          </w:p>
        </w:tc>
        <w:tc>
          <w:tcPr>
            <w:tcW w:w="1063" w:type="dxa"/>
            <w:tcBorders>
              <w:top w:val="nil"/>
              <w:left w:val="nil"/>
              <w:bottom w:val="single" w:sz="4" w:space="0" w:color="auto"/>
              <w:right w:val="single" w:sz="4" w:space="0" w:color="auto"/>
            </w:tcBorders>
            <w:shd w:val="pct12" w:color="CCFFFF" w:fill="FCFFFF"/>
            <w:vAlign w:val="center"/>
            <w:hideMark/>
          </w:tcPr>
          <w:p w14:paraId="4B6DAF4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0.608</w:t>
            </w:r>
          </w:p>
        </w:tc>
        <w:tc>
          <w:tcPr>
            <w:tcW w:w="483" w:type="dxa"/>
            <w:tcBorders>
              <w:top w:val="nil"/>
              <w:left w:val="nil"/>
              <w:bottom w:val="single" w:sz="4" w:space="0" w:color="auto"/>
              <w:right w:val="single" w:sz="4" w:space="0" w:color="auto"/>
            </w:tcBorders>
            <w:shd w:val="pct12" w:color="CCFFFF" w:fill="FCFFFF"/>
            <w:vAlign w:val="center"/>
            <w:hideMark/>
          </w:tcPr>
          <w:p w14:paraId="49E96D1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B09E2D8"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65503EC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284342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34D08A7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F5BCA39"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3F69B6E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4</w:t>
            </w:r>
          </w:p>
        </w:tc>
        <w:tc>
          <w:tcPr>
            <w:tcW w:w="1063" w:type="dxa"/>
            <w:tcBorders>
              <w:top w:val="nil"/>
              <w:left w:val="nil"/>
              <w:bottom w:val="single" w:sz="4" w:space="0" w:color="auto"/>
              <w:right w:val="single" w:sz="4" w:space="0" w:color="auto"/>
            </w:tcBorders>
            <w:shd w:val="pct12" w:color="CCFFFF" w:fill="FCFFFF"/>
            <w:vAlign w:val="center"/>
            <w:hideMark/>
          </w:tcPr>
          <w:p w14:paraId="5599F58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2.508</w:t>
            </w:r>
          </w:p>
        </w:tc>
      </w:tr>
      <w:tr w:rsidR="002A22AB" w14:paraId="72CEEC31" w14:textId="77777777" w:rsidTr="00CE3F2A">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14:paraId="3A7201F5" w14:textId="77777777" w:rsidR="002A22AB" w:rsidRDefault="002A22AB" w:rsidP="00CE3F2A">
            <w:pPr>
              <w:rPr>
                <w:rFonts w:ascii="Arial Narrow" w:hAnsi="Arial Narrow"/>
                <w:noProof/>
                <w:color w:val="000000"/>
                <w:sz w:val="20"/>
                <w:szCs w:val="20"/>
              </w:rPr>
            </w:pPr>
          </w:p>
        </w:tc>
        <w:tc>
          <w:tcPr>
            <w:tcW w:w="757" w:type="dxa"/>
            <w:tcBorders>
              <w:top w:val="nil"/>
              <w:left w:val="nil"/>
              <w:bottom w:val="single" w:sz="4" w:space="0" w:color="auto"/>
              <w:right w:val="single" w:sz="4" w:space="0" w:color="auto"/>
            </w:tcBorders>
            <w:shd w:val="pct12" w:color="CCFFFF" w:fill="FCFFFF"/>
            <w:vAlign w:val="center"/>
            <w:hideMark/>
          </w:tcPr>
          <w:p w14:paraId="42C1E6E0" w14:textId="77777777" w:rsidR="002A22AB" w:rsidRDefault="002A22AB" w:rsidP="00CE3F2A">
            <w:pPr>
              <w:jc w:val="center"/>
              <w:rPr>
                <w:rFonts w:ascii="Arial Narrow" w:hAnsi="Arial Narrow"/>
                <w:noProof/>
                <w:color w:val="000000"/>
                <w:sz w:val="18"/>
                <w:szCs w:val="18"/>
              </w:rPr>
            </w:pPr>
            <w:r>
              <w:rPr>
                <w:rFonts w:ascii="Arial Narrow" w:hAnsi="Arial Narrow"/>
                <w:noProof/>
                <w:color w:val="000000"/>
                <w:sz w:val="18"/>
                <w:szCs w:val="18"/>
              </w:rPr>
              <w:t>AST</w:t>
            </w:r>
          </w:p>
        </w:tc>
        <w:tc>
          <w:tcPr>
            <w:tcW w:w="483" w:type="dxa"/>
            <w:tcBorders>
              <w:top w:val="nil"/>
              <w:left w:val="nil"/>
              <w:bottom w:val="single" w:sz="4" w:space="0" w:color="auto"/>
              <w:right w:val="single" w:sz="4" w:space="0" w:color="auto"/>
            </w:tcBorders>
            <w:shd w:val="pct12" w:color="CCFFFF" w:fill="FCFFFF"/>
            <w:vAlign w:val="center"/>
            <w:hideMark/>
          </w:tcPr>
          <w:p w14:paraId="23C2F52C" w14:textId="77777777" w:rsidR="002A22AB" w:rsidRDefault="002A22AB" w:rsidP="00CE3F2A">
            <w:pPr>
              <w:jc w:val="center"/>
              <w:rPr>
                <w:rFonts w:ascii="Arial Narrow" w:hAnsi="Arial Narrow"/>
                <w:noProof/>
                <w:color w:val="000000"/>
                <w:sz w:val="20"/>
                <w:szCs w:val="20"/>
              </w:rPr>
            </w:pPr>
            <w:r w:rsidRPr="00597C1E">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9444BA4"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1C167DF7" w14:textId="77777777" w:rsidR="002A22AB" w:rsidRDefault="002A22AB" w:rsidP="00CE3F2A">
            <w:pPr>
              <w:jc w:val="center"/>
              <w:rPr>
                <w:rFonts w:ascii="Arial Narrow" w:hAnsi="Arial Narrow"/>
                <w:noProof/>
                <w:color w:val="000000"/>
                <w:sz w:val="20"/>
                <w:szCs w:val="20"/>
              </w:rPr>
            </w:pPr>
            <w:r w:rsidRPr="00597C1E">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5EB26B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493977AD" w14:textId="77777777" w:rsidR="002A22AB" w:rsidRDefault="002A22AB" w:rsidP="00CE3F2A">
            <w:pPr>
              <w:jc w:val="center"/>
              <w:rPr>
                <w:rFonts w:ascii="Arial Narrow" w:hAnsi="Arial Narrow"/>
                <w:noProof/>
                <w:color w:val="000000"/>
                <w:sz w:val="20"/>
                <w:szCs w:val="20"/>
              </w:rPr>
            </w:pPr>
            <w:r w:rsidRPr="00597C1E">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CB0F3F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6B8C8646" w14:textId="77777777" w:rsidR="002A22AB" w:rsidRDefault="002A22AB" w:rsidP="00CE3F2A">
            <w:pPr>
              <w:jc w:val="center"/>
              <w:rPr>
                <w:rFonts w:ascii="Arial Narrow" w:hAnsi="Arial Narrow"/>
                <w:noProof/>
                <w:color w:val="000000"/>
                <w:sz w:val="20"/>
                <w:szCs w:val="20"/>
              </w:rPr>
            </w:pPr>
            <w:r w:rsidRPr="00597C1E">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9081E1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17766F16"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5904A9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7B8AC4D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5AE769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6107B2A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F5D94E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4426FCEC"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6C1C5D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r>
      <w:tr w:rsidR="002A22AB" w14:paraId="3D8A30F4" w14:textId="77777777" w:rsidTr="00CE3F2A">
        <w:trPr>
          <w:trHeight w:val="300"/>
          <w:jc w:val="center"/>
        </w:trPr>
        <w:tc>
          <w:tcPr>
            <w:tcW w:w="1875" w:type="dxa"/>
            <w:vMerge w:val="restart"/>
            <w:tcBorders>
              <w:top w:val="nil"/>
              <w:left w:val="single" w:sz="4" w:space="0" w:color="auto"/>
              <w:bottom w:val="single" w:sz="4" w:space="0" w:color="auto"/>
              <w:right w:val="single" w:sz="4" w:space="0" w:color="auto"/>
            </w:tcBorders>
            <w:shd w:val="pct12" w:color="CCFFFF" w:fill="FCFFFF"/>
            <w:vAlign w:val="center"/>
            <w:hideMark/>
          </w:tcPr>
          <w:p w14:paraId="07480B04"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20 01 02 03 - Union Delegations</w:t>
            </w:r>
          </w:p>
        </w:tc>
        <w:tc>
          <w:tcPr>
            <w:tcW w:w="757" w:type="dxa"/>
            <w:tcBorders>
              <w:top w:val="nil"/>
              <w:left w:val="nil"/>
              <w:bottom w:val="single" w:sz="4" w:space="0" w:color="auto"/>
              <w:right w:val="single" w:sz="4" w:space="0" w:color="auto"/>
            </w:tcBorders>
            <w:shd w:val="pct12" w:color="CCFFFF" w:fill="FCFFFF"/>
            <w:vAlign w:val="center"/>
            <w:hideMark/>
          </w:tcPr>
          <w:p w14:paraId="71DB4BA0" w14:textId="39625DF3" w:rsidR="002A22AB" w:rsidRDefault="002A22AB" w:rsidP="00982D11">
            <w:pPr>
              <w:jc w:val="center"/>
              <w:rPr>
                <w:rFonts w:ascii="Arial Narrow" w:hAnsi="Arial Narrow"/>
                <w:noProof/>
                <w:color w:val="000000"/>
                <w:sz w:val="18"/>
                <w:szCs w:val="18"/>
              </w:rPr>
            </w:pPr>
            <w:r>
              <w:rPr>
                <w:rFonts w:ascii="Arial Narrow" w:hAnsi="Arial Narrow"/>
                <w:noProof/>
                <w:color w:val="000000"/>
                <w:sz w:val="18"/>
                <w:szCs w:val="18"/>
              </w:rPr>
              <w:t>AD</w:t>
            </w:r>
          </w:p>
        </w:tc>
        <w:tc>
          <w:tcPr>
            <w:tcW w:w="483" w:type="dxa"/>
            <w:tcBorders>
              <w:top w:val="nil"/>
              <w:left w:val="nil"/>
              <w:bottom w:val="single" w:sz="4" w:space="0" w:color="auto"/>
              <w:right w:val="single" w:sz="4" w:space="0" w:color="auto"/>
            </w:tcBorders>
            <w:shd w:val="pct12" w:color="CCFFFF" w:fill="FCFFFF"/>
            <w:vAlign w:val="center"/>
            <w:hideMark/>
          </w:tcPr>
          <w:p w14:paraId="04F13BA7"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58A3954"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12C6262F"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6B3844F"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3FE79D1F"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383809C"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56E9AC0C"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D7A3E38"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35B1DFD5"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3E4C107"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79CDEA6D"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BA76356"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0F9AD14E"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15C68F0"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1132A398"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EBAC0FA"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 </w:t>
            </w:r>
          </w:p>
        </w:tc>
      </w:tr>
      <w:tr w:rsidR="002A22AB" w14:paraId="5BCDFBD4" w14:textId="77777777" w:rsidTr="00CE3F2A">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14:paraId="7984DD53" w14:textId="77777777" w:rsidR="002A22AB" w:rsidRDefault="002A22AB" w:rsidP="00CE3F2A">
            <w:pPr>
              <w:rPr>
                <w:rFonts w:ascii="Arial Narrow" w:hAnsi="Arial Narrow"/>
                <w:noProof/>
                <w:color w:val="000000"/>
                <w:sz w:val="20"/>
                <w:szCs w:val="20"/>
              </w:rPr>
            </w:pPr>
          </w:p>
        </w:tc>
        <w:tc>
          <w:tcPr>
            <w:tcW w:w="757" w:type="dxa"/>
            <w:tcBorders>
              <w:top w:val="nil"/>
              <w:left w:val="nil"/>
              <w:bottom w:val="single" w:sz="4" w:space="0" w:color="auto"/>
              <w:right w:val="single" w:sz="4" w:space="0" w:color="auto"/>
            </w:tcBorders>
            <w:shd w:val="pct12" w:color="CCFFFF" w:fill="FCFFFF"/>
            <w:vAlign w:val="center"/>
            <w:hideMark/>
          </w:tcPr>
          <w:p w14:paraId="792BAD70" w14:textId="77777777" w:rsidR="002A22AB" w:rsidRDefault="002A22AB" w:rsidP="00CE3F2A">
            <w:pPr>
              <w:jc w:val="center"/>
              <w:rPr>
                <w:rFonts w:ascii="Arial Narrow" w:hAnsi="Arial Narrow"/>
                <w:noProof/>
                <w:color w:val="000000"/>
                <w:sz w:val="18"/>
                <w:szCs w:val="18"/>
              </w:rPr>
            </w:pPr>
            <w:r>
              <w:rPr>
                <w:rFonts w:ascii="Arial Narrow" w:hAnsi="Arial Narrow"/>
                <w:noProof/>
                <w:color w:val="000000"/>
                <w:sz w:val="18"/>
                <w:szCs w:val="18"/>
              </w:rPr>
              <w:t>AST</w:t>
            </w:r>
          </w:p>
        </w:tc>
        <w:tc>
          <w:tcPr>
            <w:tcW w:w="483" w:type="dxa"/>
            <w:tcBorders>
              <w:top w:val="nil"/>
              <w:left w:val="nil"/>
              <w:bottom w:val="single" w:sz="4" w:space="0" w:color="auto"/>
              <w:right w:val="single" w:sz="4" w:space="0" w:color="auto"/>
            </w:tcBorders>
            <w:shd w:val="pct12" w:color="CCFFFF" w:fill="FCFFFF"/>
            <w:vAlign w:val="center"/>
            <w:hideMark/>
          </w:tcPr>
          <w:p w14:paraId="1BA99E4C"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52A7FC8"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5A750202"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5DAE536"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49982454"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CB690F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32E3530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5F4251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12404B3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79123C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2615D9F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F56ADD2"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2B571EC4"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844180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775986D2"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09629C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r>
      <w:tr w:rsidR="002A22AB" w14:paraId="086C9EE1" w14:textId="77777777" w:rsidTr="00CE3F2A">
        <w:trPr>
          <w:trHeight w:val="300"/>
          <w:jc w:val="center"/>
        </w:trPr>
        <w:tc>
          <w:tcPr>
            <w:tcW w:w="15000" w:type="dxa"/>
            <w:gridSpan w:val="18"/>
            <w:tcBorders>
              <w:top w:val="single" w:sz="4" w:space="0" w:color="auto"/>
              <w:left w:val="single" w:sz="4" w:space="0" w:color="auto"/>
              <w:bottom w:val="single" w:sz="4" w:space="0" w:color="auto"/>
              <w:right w:val="single" w:sz="4" w:space="0" w:color="auto"/>
            </w:tcBorders>
            <w:shd w:val="pct12" w:color="CCFFFF" w:fill="FCFFA1"/>
            <w:vAlign w:val="center"/>
            <w:hideMark/>
          </w:tcPr>
          <w:p w14:paraId="0842DEDE" w14:textId="77777777" w:rsidR="002A22AB" w:rsidRDefault="002A22AB" w:rsidP="00CE3F2A">
            <w:pPr>
              <w:rPr>
                <w:rFonts w:ascii="Arial Narrow" w:hAnsi="Arial Narrow"/>
                <w:noProof/>
                <w:color w:val="000000"/>
                <w:sz w:val="20"/>
                <w:szCs w:val="20"/>
              </w:rPr>
            </w:pPr>
            <w:r>
              <w:rPr>
                <w:rFonts w:ascii="Arial Narrow" w:hAnsi="Arial Narrow"/>
                <w:b/>
                <w:noProof/>
                <w:color w:val="FF6600"/>
                <w:sz w:val="20"/>
              </w:rPr>
              <w:sym w:font="Wingdings" w:char="F09F"/>
            </w:r>
            <w:r>
              <w:rPr>
                <w:rFonts w:ascii="Arial Narrow" w:hAnsi="Arial Narrow"/>
                <w:b/>
                <w:noProof/>
                <w:color w:val="FF6600"/>
                <w:sz w:val="20"/>
              </w:rPr>
              <w:t xml:space="preserve"> </w:t>
            </w:r>
            <w:r>
              <w:rPr>
                <w:rFonts w:ascii="Arial Narrow" w:hAnsi="Arial Narrow"/>
                <w:b/>
                <w:noProof/>
                <w:color w:val="FF6600"/>
                <w:sz w:val="22"/>
              </w:rPr>
              <w:t xml:space="preserve">External staff </w:t>
            </w:r>
            <w:r w:rsidRPr="00556E60">
              <w:rPr>
                <w:rStyle w:val="FootnoteReference0"/>
                <w:rFonts w:ascii="Arial Narrow" w:hAnsi="Arial Narrow"/>
                <w:b/>
                <w:noProof/>
                <w:color w:val="FF0000"/>
                <w:sz w:val="22"/>
              </w:rPr>
              <w:footnoteReference w:id="60"/>
            </w:r>
          </w:p>
        </w:tc>
      </w:tr>
      <w:tr w:rsidR="002A22AB" w14:paraId="319E3E15" w14:textId="77777777" w:rsidTr="00CE3F2A">
        <w:trPr>
          <w:trHeight w:val="300"/>
          <w:jc w:val="center"/>
        </w:trPr>
        <w:tc>
          <w:tcPr>
            <w:tcW w:w="1875" w:type="dxa"/>
            <w:vMerge w:val="restart"/>
            <w:tcBorders>
              <w:top w:val="nil"/>
              <w:left w:val="single" w:sz="4" w:space="0" w:color="auto"/>
              <w:bottom w:val="single" w:sz="4" w:space="0" w:color="auto"/>
              <w:right w:val="single" w:sz="4" w:space="0" w:color="auto"/>
            </w:tcBorders>
            <w:shd w:val="pct12" w:color="CCFFFF" w:fill="FCFFFF"/>
            <w:vAlign w:val="center"/>
            <w:hideMark/>
          </w:tcPr>
          <w:p w14:paraId="4A17C201"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20 02 01 and 20 02 02 – External personnel – Headquarters and Representation offices</w:t>
            </w:r>
          </w:p>
        </w:tc>
        <w:tc>
          <w:tcPr>
            <w:tcW w:w="757" w:type="dxa"/>
            <w:tcBorders>
              <w:top w:val="nil"/>
              <w:left w:val="nil"/>
              <w:bottom w:val="single" w:sz="4" w:space="0" w:color="auto"/>
              <w:right w:val="single" w:sz="4" w:space="0" w:color="auto"/>
            </w:tcBorders>
            <w:shd w:val="pct12" w:color="CCFFFF" w:fill="FCFFFF"/>
            <w:vAlign w:val="center"/>
            <w:hideMark/>
          </w:tcPr>
          <w:p w14:paraId="0C7A76E9" w14:textId="77777777" w:rsidR="002A22AB" w:rsidRDefault="002A22AB" w:rsidP="00CE3F2A">
            <w:pPr>
              <w:jc w:val="center"/>
              <w:rPr>
                <w:rFonts w:ascii="Arial Narrow" w:hAnsi="Arial Narrow"/>
                <w:noProof/>
                <w:color w:val="000000"/>
                <w:sz w:val="18"/>
                <w:szCs w:val="18"/>
              </w:rPr>
            </w:pPr>
            <w:r>
              <w:rPr>
                <w:rFonts w:ascii="Arial Narrow" w:hAnsi="Arial Narrow"/>
                <w:noProof/>
                <w:color w:val="000000"/>
                <w:sz w:val="18"/>
                <w:szCs w:val="18"/>
              </w:rPr>
              <w:t>AC</w:t>
            </w:r>
          </w:p>
        </w:tc>
        <w:tc>
          <w:tcPr>
            <w:tcW w:w="483" w:type="dxa"/>
            <w:tcBorders>
              <w:top w:val="nil"/>
              <w:left w:val="nil"/>
              <w:bottom w:val="single" w:sz="4" w:space="0" w:color="auto"/>
              <w:right w:val="single" w:sz="4" w:space="0" w:color="auto"/>
            </w:tcBorders>
            <w:shd w:val="pct12" w:color="CCFFFF" w:fill="FCFFFF"/>
            <w:vAlign w:val="center"/>
            <w:hideMark/>
          </w:tcPr>
          <w:p w14:paraId="5130744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AE8B08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5BC875B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457FAE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2E41C74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C86308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3300870E"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64A0006"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4FEFBB26"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AEB79E5"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76B01EE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D9E8684"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259B66D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5C64896"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32DB7896"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8ADE105"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r>
      <w:tr w:rsidR="002A22AB" w14:paraId="5D354101" w14:textId="77777777" w:rsidTr="00CE3F2A">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14:paraId="1EC06720" w14:textId="77777777" w:rsidR="002A22AB" w:rsidRDefault="002A22AB" w:rsidP="00CE3F2A">
            <w:pPr>
              <w:rPr>
                <w:rFonts w:ascii="Arial Narrow" w:hAnsi="Arial Narrow"/>
                <w:noProof/>
                <w:color w:val="000000"/>
                <w:sz w:val="20"/>
                <w:szCs w:val="20"/>
              </w:rPr>
            </w:pPr>
          </w:p>
        </w:tc>
        <w:tc>
          <w:tcPr>
            <w:tcW w:w="757" w:type="dxa"/>
            <w:tcBorders>
              <w:top w:val="nil"/>
              <w:left w:val="nil"/>
              <w:bottom w:val="single" w:sz="4" w:space="0" w:color="auto"/>
              <w:right w:val="single" w:sz="4" w:space="0" w:color="auto"/>
            </w:tcBorders>
            <w:shd w:val="pct12" w:color="CCFFFF" w:fill="FCFFFF"/>
            <w:vAlign w:val="center"/>
            <w:hideMark/>
          </w:tcPr>
          <w:p w14:paraId="5640F2A4" w14:textId="77777777" w:rsidR="002A22AB" w:rsidRDefault="002A22AB" w:rsidP="00CE3F2A">
            <w:pPr>
              <w:jc w:val="center"/>
              <w:rPr>
                <w:rFonts w:ascii="Arial Narrow" w:hAnsi="Arial Narrow"/>
                <w:noProof/>
                <w:color w:val="000000"/>
                <w:sz w:val="18"/>
                <w:szCs w:val="18"/>
              </w:rPr>
            </w:pPr>
            <w:r>
              <w:rPr>
                <w:rFonts w:ascii="Arial Narrow" w:hAnsi="Arial Narrow"/>
                <w:noProof/>
                <w:color w:val="000000"/>
                <w:sz w:val="18"/>
                <w:szCs w:val="18"/>
              </w:rPr>
              <w:t>END</w:t>
            </w:r>
          </w:p>
        </w:tc>
        <w:tc>
          <w:tcPr>
            <w:tcW w:w="483" w:type="dxa"/>
            <w:tcBorders>
              <w:top w:val="nil"/>
              <w:left w:val="nil"/>
              <w:bottom w:val="single" w:sz="4" w:space="0" w:color="auto"/>
              <w:right w:val="single" w:sz="4" w:space="0" w:color="auto"/>
            </w:tcBorders>
            <w:shd w:val="pct12" w:color="CCFFFF" w:fill="FCFFFF"/>
            <w:vAlign w:val="center"/>
            <w:hideMark/>
          </w:tcPr>
          <w:p w14:paraId="14A96A6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262B4D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5FBFD539"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D63CBFD"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58959268"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D1E9664"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197C68C6"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4CC43E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3B54E14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25473F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3CF24DA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69B02D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73C820B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F9C9C18"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161D2FC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8BF47D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r>
      <w:tr w:rsidR="002A22AB" w14:paraId="26D2ED44" w14:textId="77777777" w:rsidTr="00CE3F2A">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14:paraId="5F0B9B1A" w14:textId="77777777" w:rsidR="002A22AB" w:rsidRDefault="002A22AB" w:rsidP="00CE3F2A">
            <w:pPr>
              <w:rPr>
                <w:rFonts w:ascii="Arial Narrow" w:hAnsi="Arial Narrow"/>
                <w:noProof/>
                <w:color w:val="000000"/>
                <w:sz w:val="20"/>
                <w:szCs w:val="20"/>
              </w:rPr>
            </w:pPr>
          </w:p>
        </w:tc>
        <w:tc>
          <w:tcPr>
            <w:tcW w:w="757" w:type="dxa"/>
            <w:tcBorders>
              <w:top w:val="nil"/>
              <w:left w:val="nil"/>
              <w:bottom w:val="single" w:sz="4" w:space="0" w:color="auto"/>
              <w:right w:val="single" w:sz="4" w:space="0" w:color="auto"/>
            </w:tcBorders>
            <w:shd w:val="pct12" w:color="CCFFFF" w:fill="FCFFFF"/>
            <w:vAlign w:val="center"/>
            <w:hideMark/>
          </w:tcPr>
          <w:p w14:paraId="5B4A292F" w14:textId="77777777" w:rsidR="002A22AB" w:rsidRDefault="002A22AB" w:rsidP="00CE3F2A">
            <w:pPr>
              <w:jc w:val="center"/>
              <w:rPr>
                <w:rFonts w:ascii="Arial Narrow" w:hAnsi="Arial Narrow"/>
                <w:noProof/>
                <w:color w:val="000000"/>
                <w:sz w:val="18"/>
                <w:szCs w:val="18"/>
              </w:rPr>
            </w:pPr>
            <w:r>
              <w:rPr>
                <w:rFonts w:ascii="Arial Narrow" w:hAnsi="Arial Narrow"/>
                <w:noProof/>
                <w:color w:val="000000"/>
                <w:sz w:val="18"/>
                <w:szCs w:val="18"/>
              </w:rPr>
              <w:t>INT</w:t>
            </w:r>
          </w:p>
        </w:tc>
        <w:tc>
          <w:tcPr>
            <w:tcW w:w="483" w:type="dxa"/>
            <w:tcBorders>
              <w:top w:val="nil"/>
              <w:left w:val="nil"/>
              <w:bottom w:val="single" w:sz="4" w:space="0" w:color="auto"/>
              <w:right w:val="single" w:sz="4" w:space="0" w:color="auto"/>
            </w:tcBorders>
            <w:shd w:val="pct12" w:color="CCFFFF" w:fill="FCFFFF"/>
            <w:vAlign w:val="center"/>
            <w:hideMark/>
          </w:tcPr>
          <w:p w14:paraId="471AC9C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9BB27F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4BF803D2"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4B75CC5"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096E9E0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3B034D2"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49E75FC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C5299D4"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17E444DE"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B32ACE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521ED80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45174E9"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43FEBA4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E3C1E84"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036B6BB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B0F58E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r>
      <w:tr w:rsidR="002A22AB" w14:paraId="24461EF7" w14:textId="77777777" w:rsidTr="00CE3F2A">
        <w:trPr>
          <w:trHeight w:val="300"/>
          <w:jc w:val="center"/>
        </w:trPr>
        <w:tc>
          <w:tcPr>
            <w:tcW w:w="1875" w:type="dxa"/>
            <w:vMerge w:val="restart"/>
            <w:tcBorders>
              <w:top w:val="nil"/>
              <w:left w:val="single" w:sz="4" w:space="0" w:color="auto"/>
              <w:bottom w:val="single" w:sz="4" w:space="0" w:color="auto"/>
              <w:right w:val="single" w:sz="4" w:space="0" w:color="auto"/>
            </w:tcBorders>
            <w:shd w:val="pct12" w:color="CCFFFF" w:fill="FCFFFF"/>
            <w:vAlign w:val="center"/>
            <w:hideMark/>
          </w:tcPr>
          <w:p w14:paraId="04E4FE88"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20 02 03 – External personnel - Union Delegations</w:t>
            </w:r>
          </w:p>
        </w:tc>
        <w:tc>
          <w:tcPr>
            <w:tcW w:w="757" w:type="dxa"/>
            <w:tcBorders>
              <w:top w:val="nil"/>
              <w:left w:val="nil"/>
              <w:bottom w:val="single" w:sz="4" w:space="0" w:color="auto"/>
              <w:right w:val="single" w:sz="4" w:space="0" w:color="auto"/>
            </w:tcBorders>
            <w:shd w:val="pct12" w:color="CCFFFF" w:fill="FCFFFF"/>
            <w:vAlign w:val="center"/>
            <w:hideMark/>
          </w:tcPr>
          <w:p w14:paraId="60055D0E" w14:textId="77777777" w:rsidR="002A22AB" w:rsidRDefault="002A22AB" w:rsidP="00CE3F2A">
            <w:pPr>
              <w:jc w:val="center"/>
              <w:rPr>
                <w:rFonts w:ascii="Arial Narrow" w:hAnsi="Arial Narrow"/>
                <w:noProof/>
                <w:color w:val="000000"/>
                <w:sz w:val="18"/>
                <w:szCs w:val="18"/>
              </w:rPr>
            </w:pPr>
            <w:r>
              <w:rPr>
                <w:rFonts w:ascii="Arial Narrow" w:hAnsi="Arial Narrow"/>
                <w:noProof/>
                <w:color w:val="000000"/>
                <w:sz w:val="18"/>
                <w:szCs w:val="18"/>
              </w:rPr>
              <w:t>AC</w:t>
            </w:r>
          </w:p>
        </w:tc>
        <w:tc>
          <w:tcPr>
            <w:tcW w:w="483" w:type="dxa"/>
            <w:tcBorders>
              <w:top w:val="nil"/>
              <w:left w:val="nil"/>
              <w:bottom w:val="single" w:sz="4" w:space="0" w:color="auto"/>
              <w:right w:val="single" w:sz="4" w:space="0" w:color="auto"/>
            </w:tcBorders>
            <w:shd w:val="pct12" w:color="CCFFFF" w:fill="FCFFFF"/>
            <w:vAlign w:val="center"/>
            <w:hideMark/>
          </w:tcPr>
          <w:p w14:paraId="48CFBE06"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4B9C125"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4533A7E5"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9BCD4E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0C40A485"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6F44CCC"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0532F6B8"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F2FA4B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31CE0ED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91B2CB6"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328F123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5BAA87D"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54DE9B7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AFE7506"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0EDC56C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5F8C90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r>
      <w:tr w:rsidR="002A22AB" w14:paraId="2CC7EA75" w14:textId="77777777" w:rsidTr="00CE3F2A">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14:paraId="311EAD64" w14:textId="77777777" w:rsidR="002A22AB" w:rsidRDefault="002A22AB" w:rsidP="00CE3F2A">
            <w:pPr>
              <w:rPr>
                <w:rFonts w:ascii="Arial Narrow" w:hAnsi="Arial Narrow"/>
                <w:noProof/>
                <w:color w:val="000000"/>
                <w:sz w:val="20"/>
                <w:szCs w:val="20"/>
              </w:rPr>
            </w:pPr>
          </w:p>
        </w:tc>
        <w:tc>
          <w:tcPr>
            <w:tcW w:w="757" w:type="dxa"/>
            <w:tcBorders>
              <w:top w:val="nil"/>
              <w:left w:val="nil"/>
              <w:bottom w:val="single" w:sz="4" w:space="0" w:color="auto"/>
              <w:right w:val="single" w:sz="4" w:space="0" w:color="auto"/>
            </w:tcBorders>
            <w:shd w:val="pct12" w:color="CCFFFF" w:fill="FCFFFF"/>
            <w:vAlign w:val="center"/>
            <w:hideMark/>
          </w:tcPr>
          <w:p w14:paraId="00EEAFFF" w14:textId="77777777" w:rsidR="002A22AB" w:rsidRDefault="002A22AB" w:rsidP="00CE3F2A">
            <w:pPr>
              <w:jc w:val="center"/>
              <w:rPr>
                <w:rFonts w:ascii="Arial Narrow" w:hAnsi="Arial Narrow"/>
                <w:noProof/>
                <w:color w:val="000000"/>
                <w:sz w:val="18"/>
                <w:szCs w:val="18"/>
              </w:rPr>
            </w:pPr>
            <w:r>
              <w:rPr>
                <w:rFonts w:ascii="Arial Narrow" w:hAnsi="Arial Narrow"/>
                <w:noProof/>
                <w:color w:val="000000"/>
                <w:sz w:val="18"/>
                <w:szCs w:val="18"/>
              </w:rPr>
              <w:t xml:space="preserve">AL </w:t>
            </w:r>
          </w:p>
        </w:tc>
        <w:tc>
          <w:tcPr>
            <w:tcW w:w="483" w:type="dxa"/>
            <w:tcBorders>
              <w:top w:val="nil"/>
              <w:left w:val="nil"/>
              <w:bottom w:val="single" w:sz="4" w:space="0" w:color="auto"/>
              <w:right w:val="single" w:sz="4" w:space="0" w:color="auto"/>
            </w:tcBorders>
            <w:shd w:val="pct12" w:color="CCFFFF" w:fill="FCFFFF"/>
            <w:vAlign w:val="center"/>
            <w:hideMark/>
          </w:tcPr>
          <w:p w14:paraId="5FE274DE"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DAA617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5C68BD22"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92CAB1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01ABDD0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94C442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3DDFF68C"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40229EE"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720F7DD4"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75B1D35"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5D7C695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8E349A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128DC4A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3BE99A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22198B1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8F9A8A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r>
      <w:tr w:rsidR="002A22AB" w14:paraId="488D6589" w14:textId="77777777" w:rsidTr="00CE3F2A">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14:paraId="0C7A518A" w14:textId="77777777" w:rsidR="002A22AB" w:rsidRDefault="002A22AB" w:rsidP="00CE3F2A">
            <w:pPr>
              <w:rPr>
                <w:rFonts w:ascii="Arial Narrow" w:hAnsi="Arial Narrow"/>
                <w:noProof/>
                <w:color w:val="000000"/>
                <w:sz w:val="20"/>
                <w:szCs w:val="20"/>
              </w:rPr>
            </w:pPr>
          </w:p>
        </w:tc>
        <w:tc>
          <w:tcPr>
            <w:tcW w:w="757" w:type="dxa"/>
            <w:tcBorders>
              <w:top w:val="nil"/>
              <w:left w:val="nil"/>
              <w:bottom w:val="single" w:sz="4" w:space="0" w:color="auto"/>
              <w:right w:val="single" w:sz="4" w:space="0" w:color="auto"/>
            </w:tcBorders>
            <w:shd w:val="pct12" w:color="CCFFFF" w:fill="FCFFFF"/>
            <w:vAlign w:val="center"/>
            <w:hideMark/>
          </w:tcPr>
          <w:p w14:paraId="4B96D61A" w14:textId="77777777" w:rsidR="002A22AB" w:rsidRDefault="002A22AB" w:rsidP="00CE3F2A">
            <w:pPr>
              <w:jc w:val="center"/>
              <w:rPr>
                <w:rFonts w:ascii="Arial Narrow" w:hAnsi="Arial Narrow"/>
                <w:noProof/>
                <w:color w:val="000000"/>
                <w:sz w:val="18"/>
                <w:szCs w:val="18"/>
              </w:rPr>
            </w:pPr>
            <w:r>
              <w:rPr>
                <w:rFonts w:ascii="Arial Narrow" w:hAnsi="Arial Narrow"/>
                <w:noProof/>
                <w:color w:val="000000"/>
                <w:sz w:val="18"/>
                <w:szCs w:val="18"/>
              </w:rPr>
              <w:t>END</w:t>
            </w:r>
          </w:p>
        </w:tc>
        <w:tc>
          <w:tcPr>
            <w:tcW w:w="483" w:type="dxa"/>
            <w:tcBorders>
              <w:top w:val="nil"/>
              <w:left w:val="nil"/>
              <w:bottom w:val="single" w:sz="4" w:space="0" w:color="auto"/>
              <w:right w:val="single" w:sz="4" w:space="0" w:color="auto"/>
            </w:tcBorders>
            <w:shd w:val="pct12" w:color="CCFFFF" w:fill="FCFFFF"/>
            <w:vAlign w:val="center"/>
            <w:hideMark/>
          </w:tcPr>
          <w:p w14:paraId="74A07B69"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BAB4E6D"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05EC790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BEAC0D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57F457F6"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3DF552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39D1A7E2"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B225B39"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3012768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F5A8E5C"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60142D6C"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11F657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2C839EC2"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06E31D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2E7C2299"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B481CF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r>
      <w:tr w:rsidR="002A22AB" w14:paraId="37C04A83" w14:textId="77777777" w:rsidTr="00CE3F2A">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14:paraId="737D1F32" w14:textId="77777777" w:rsidR="002A22AB" w:rsidRDefault="002A22AB" w:rsidP="00CE3F2A">
            <w:pPr>
              <w:rPr>
                <w:rFonts w:ascii="Arial Narrow" w:hAnsi="Arial Narrow"/>
                <w:noProof/>
                <w:color w:val="000000"/>
                <w:sz w:val="20"/>
                <w:szCs w:val="20"/>
              </w:rPr>
            </w:pPr>
          </w:p>
        </w:tc>
        <w:tc>
          <w:tcPr>
            <w:tcW w:w="757" w:type="dxa"/>
            <w:tcBorders>
              <w:top w:val="nil"/>
              <w:left w:val="nil"/>
              <w:bottom w:val="single" w:sz="4" w:space="0" w:color="auto"/>
              <w:right w:val="single" w:sz="4" w:space="0" w:color="auto"/>
            </w:tcBorders>
            <w:shd w:val="pct12" w:color="CCFFFF" w:fill="FCFFFF"/>
            <w:vAlign w:val="center"/>
            <w:hideMark/>
          </w:tcPr>
          <w:p w14:paraId="2222A69E" w14:textId="77777777" w:rsidR="002A22AB" w:rsidRDefault="002A22AB" w:rsidP="00CE3F2A">
            <w:pPr>
              <w:jc w:val="center"/>
              <w:rPr>
                <w:rFonts w:ascii="Arial Narrow" w:hAnsi="Arial Narrow"/>
                <w:noProof/>
                <w:color w:val="000000"/>
                <w:sz w:val="18"/>
                <w:szCs w:val="18"/>
              </w:rPr>
            </w:pPr>
            <w:r>
              <w:rPr>
                <w:rFonts w:ascii="Arial Narrow" w:hAnsi="Arial Narrow"/>
                <w:noProof/>
                <w:color w:val="000000"/>
                <w:sz w:val="18"/>
                <w:szCs w:val="18"/>
              </w:rPr>
              <w:t>INT</w:t>
            </w:r>
          </w:p>
        </w:tc>
        <w:tc>
          <w:tcPr>
            <w:tcW w:w="483" w:type="dxa"/>
            <w:tcBorders>
              <w:top w:val="nil"/>
              <w:left w:val="nil"/>
              <w:bottom w:val="single" w:sz="4" w:space="0" w:color="auto"/>
              <w:right w:val="single" w:sz="4" w:space="0" w:color="auto"/>
            </w:tcBorders>
            <w:shd w:val="pct12" w:color="CCFFFF" w:fill="FCFFFF"/>
            <w:vAlign w:val="center"/>
            <w:hideMark/>
          </w:tcPr>
          <w:p w14:paraId="265ED324"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ED6DA75"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33876DD5"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D8D481D"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6014622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906D92D"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66C646B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F94FE74"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71F285A6"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FFE2584"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53F22EA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0CF5176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318EEC76"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31226E2"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7A6A98E5"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6787F8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r>
      <w:tr w:rsidR="002A22AB" w14:paraId="6B2668D8" w14:textId="77777777" w:rsidTr="00CE3F2A">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14:paraId="66F7447A" w14:textId="77777777" w:rsidR="002A22AB" w:rsidRDefault="002A22AB" w:rsidP="00CE3F2A">
            <w:pPr>
              <w:rPr>
                <w:rFonts w:ascii="Arial Narrow" w:hAnsi="Arial Narrow"/>
                <w:noProof/>
                <w:color w:val="000000"/>
                <w:sz w:val="20"/>
                <w:szCs w:val="20"/>
              </w:rPr>
            </w:pPr>
          </w:p>
        </w:tc>
        <w:tc>
          <w:tcPr>
            <w:tcW w:w="757" w:type="dxa"/>
            <w:tcBorders>
              <w:top w:val="nil"/>
              <w:left w:val="nil"/>
              <w:bottom w:val="single" w:sz="4" w:space="0" w:color="auto"/>
              <w:right w:val="single" w:sz="4" w:space="0" w:color="auto"/>
            </w:tcBorders>
            <w:shd w:val="pct12" w:color="CCFFFF" w:fill="FCFFFF"/>
            <w:vAlign w:val="center"/>
            <w:hideMark/>
          </w:tcPr>
          <w:p w14:paraId="370AE1B3" w14:textId="77777777" w:rsidR="002A22AB" w:rsidRDefault="002A22AB" w:rsidP="00CE3F2A">
            <w:pPr>
              <w:jc w:val="center"/>
              <w:rPr>
                <w:rFonts w:ascii="Arial Narrow" w:hAnsi="Arial Narrow"/>
                <w:noProof/>
                <w:color w:val="000000"/>
                <w:sz w:val="18"/>
                <w:szCs w:val="18"/>
              </w:rPr>
            </w:pPr>
            <w:r>
              <w:rPr>
                <w:rFonts w:ascii="Arial Narrow" w:hAnsi="Arial Narrow"/>
                <w:noProof/>
                <w:color w:val="000000"/>
                <w:sz w:val="18"/>
                <w:szCs w:val="18"/>
              </w:rPr>
              <w:t>JPD</w:t>
            </w:r>
          </w:p>
        </w:tc>
        <w:tc>
          <w:tcPr>
            <w:tcW w:w="483" w:type="dxa"/>
            <w:tcBorders>
              <w:top w:val="nil"/>
              <w:left w:val="nil"/>
              <w:bottom w:val="single" w:sz="4" w:space="0" w:color="auto"/>
              <w:right w:val="single" w:sz="4" w:space="0" w:color="auto"/>
            </w:tcBorders>
            <w:shd w:val="pct12" w:color="CCFFFF" w:fill="FCFFFF"/>
            <w:vAlign w:val="center"/>
            <w:hideMark/>
          </w:tcPr>
          <w:p w14:paraId="378160A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965AB39"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4C66B1A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1AB93426"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4E12544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038ADD2"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09710C56"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0F2F7D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1419C5B9"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BC317E9"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467906F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C0DB40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24BF8EFD"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63DD46B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3AEECD45"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645B464"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r>
      <w:tr w:rsidR="002A22AB" w14:paraId="35BB27C3" w14:textId="77777777" w:rsidTr="00CE3F2A">
        <w:trPr>
          <w:trHeight w:val="300"/>
          <w:jc w:val="center"/>
        </w:trPr>
        <w:tc>
          <w:tcPr>
            <w:tcW w:w="1875" w:type="dxa"/>
            <w:tcBorders>
              <w:top w:val="nil"/>
              <w:left w:val="single" w:sz="4" w:space="0" w:color="auto"/>
              <w:bottom w:val="single" w:sz="4" w:space="0" w:color="auto"/>
              <w:right w:val="single" w:sz="4" w:space="0" w:color="auto"/>
            </w:tcBorders>
            <w:shd w:val="pct12" w:color="CCFFFF" w:fill="FCFFFF"/>
            <w:vAlign w:val="center"/>
            <w:hideMark/>
          </w:tcPr>
          <w:p w14:paraId="3B9124E0"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Other HR related budget lines</w:t>
            </w:r>
            <w:r w:rsidDel="00C24BCB">
              <w:rPr>
                <w:rFonts w:ascii="Arial Narrow" w:hAnsi="Arial Narrow"/>
                <w:noProof/>
                <w:color w:val="000000"/>
                <w:sz w:val="20"/>
                <w:szCs w:val="20"/>
              </w:rPr>
              <w:t xml:space="preserve"> </w:t>
            </w:r>
            <w:r>
              <w:rPr>
                <w:rFonts w:ascii="Arial Narrow" w:hAnsi="Arial Narrow"/>
                <w:noProof/>
                <w:color w:val="000000"/>
                <w:sz w:val="20"/>
                <w:szCs w:val="20"/>
              </w:rPr>
              <w:t>(</w:t>
            </w:r>
            <w:r>
              <w:rPr>
                <w:rFonts w:ascii="Arial Narrow" w:hAnsi="Arial Narrow"/>
                <w:i/>
                <w:iCs/>
                <w:noProof/>
                <w:color w:val="000000"/>
                <w:sz w:val="20"/>
                <w:szCs w:val="20"/>
              </w:rPr>
              <w:t>specify</w:t>
            </w:r>
            <w:r>
              <w:rPr>
                <w:rFonts w:ascii="Arial Narrow" w:hAnsi="Arial Narrow"/>
                <w:noProof/>
                <w:color w:val="000000"/>
                <w:sz w:val="20"/>
                <w:szCs w:val="20"/>
              </w:rPr>
              <w:t>)</w:t>
            </w:r>
          </w:p>
        </w:tc>
        <w:tc>
          <w:tcPr>
            <w:tcW w:w="757" w:type="dxa"/>
            <w:tcBorders>
              <w:top w:val="nil"/>
              <w:left w:val="nil"/>
              <w:bottom w:val="single" w:sz="4" w:space="0" w:color="auto"/>
              <w:right w:val="single" w:sz="4" w:space="0" w:color="auto"/>
            </w:tcBorders>
            <w:shd w:val="pct12" w:color="CCFFFF" w:fill="FCFFFF"/>
            <w:vAlign w:val="center"/>
            <w:hideMark/>
          </w:tcPr>
          <w:p w14:paraId="4A406956" w14:textId="77777777" w:rsidR="002A22AB" w:rsidRDefault="002A22AB" w:rsidP="00CE3F2A">
            <w:pPr>
              <w:jc w:val="center"/>
              <w:rPr>
                <w:rFonts w:ascii="Arial Narrow" w:hAnsi="Arial Narrow"/>
                <w:noProof/>
                <w:color w:val="000000"/>
                <w:sz w:val="18"/>
                <w:szCs w:val="18"/>
              </w:rPr>
            </w:pPr>
            <w:r>
              <w:rPr>
                <w:rFonts w:ascii="Arial Narrow" w:hAnsi="Arial Narrow"/>
                <w:noProof/>
                <w:color w:val="000000"/>
                <w:sz w:val="18"/>
                <w:szCs w:val="18"/>
              </w:rPr>
              <w:t> </w:t>
            </w:r>
          </w:p>
        </w:tc>
        <w:tc>
          <w:tcPr>
            <w:tcW w:w="483" w:type="dxa"/>
            <w:tcBorders>
              <w:top w:val="nil"/>
              <w:left w:val="nil"/>
              <w:bottom w:val="single" w:sz="4" w:space="0" w:color="auto"/>
              <w:right w:val="single" w:sz="4" w:space="0" w:color="auto"/>
            </w:tcBorders>
            <w:shd w:val="pct12" w:color="CCFFFF" w:fill="FCFFFF"/>
            <w:vAlign w:val="center"/>
            <w:hideMark/>
          </w:tcPr>
          <w:p w14:paraId="2415D86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51C41F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581C347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4D15A3D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523BCE3E"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B63F784"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251B586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51A110D"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740CDFB5"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2CEF279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6DCF1AB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3D416554"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10D928D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7600E4C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nil"/>
              <w:left w:val="nil"/>
              <w:bottom w:val="single" w:sz="4" w:space="0" w:color="auto"/>
              <w:right w:val="single" w:sz="4" w:space="0" w:color="auto"/>
            </w:tcBorders>
            <w:shd w:val="pct12" w:color="CCFFFF" w:fill="FCFFFF"/>
            <w:vAlign w:val="center"/>
            <w:hideMark/>
          </w:tcPr>
          <w:p w14:paraId="1B564964"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nil"/>
              <w:left w:val="nil"/>
              <w:bottom w:val="single" w:sz="4" w:space="0" w:color="auto"/>
              <w:right w:val="single" w:sz="4" w:space="0" w:color="auto"/>
            </w:tcBorders>
            <w:shd w:val="pct12" w:color="CCFFFF" w:fill="FCFFFF"/>
            <w:vAlign w:val="center"/>
            <w:hideMark/>
          </w:tcPr>
          <w:p w14:paraId="584A4EB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r>
      <w:tr w:rsidR="002A22AB" w14:paraId="0D51B516" w14:textId="77777777" w:rsidTr="00CE3F2A">
        <w:trPr>
          <w:trHeight w:val="546"/>
          <w:jc w:val="center"/>
        </w:trPr>
        <w:tc>
          <w:tcPr>
            <w:tcW w:w="1875"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7F136C9" w14:textId="77777777" w:rsidR="002A22AB" w:rsidRDefault="002A22AB" w:rsidP="00CE3F2A">
            <w:pPr>
              <w:jc w:val="center"/>
              <w:rPr>
                <w:rFonts w:ascii="Arial Narrow" w:hAnsi="Arial Narrow"/>
                <w:b/>
                <w:bCs/>
                <w:noProof/>
                <w:color w:val="000000"/>
                <w:sz w:val="22"/>
              </w:rPr>
            </w:pPr>
            <w:r>
              <w:rPr>
                <w:rFonts w:ascii="Arial Narrow" w:hAnsi="Arial Narrow"/>
                <w:b/>
                <w:bCs/>
                <w:noProof/>
                <w:color w:val="000000"/>
                <w:sz w:val="22"/>
              </w:rPr>
              <w:t>Subtotal HR – HEADING 7</w:t>
            </w:r>
          </w:p>
        </w:tc>
        <w:tc>
          <w:tcPr>
            <w:tcW w:w="757"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2BCF99C8" w14:textId="77777777" w:rsidR="002A22AB" w:rsidRDefault="002A22AB" w:rsidP="00CE3F2A">
            <w:pPr>
              <w:jc w:val="center"/>
              <w:rPr>
                <w:rFonts w:ascii="Arial Narrow" w:hAnsi="Arial Narrow"/>
                <w:noProof/>
                <w:color w:val="000000"/>
                <w:sz w:val="18"/>
                <w:szCs w:val="18"/>
              </w:rPr>
            </w:pPr>
            <w:r>
              <w:rPr>
                <w:rFonts w:ascii="Arial Narrow" w:hAnsi="Arial Narrow"/>
                <w:noProof/>
                <w:color w:val="000000"/>
                <w:sz w:val="18"/>
                <w:szCs w:val="18"/>
              </w:rPr>
              <w:t> </w:t>
            </w:r>
          </w:p>
        </w:tc>
        <w:tc>
          <w:tcPr>
            <w:tcW w:w="48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564B628D"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5</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25108D59"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0.608</w:t>
            </w:r>
          </w:p>
        </w:tc>
        <w:tc>
          <w:tcPr>
            <w:tcW w:w="48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070B45C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5</w:t>
            </w:r>
            <w:r w:rsidRPr="00597C1E">
              <w:rPr>
                <w:rFonts w:ascii="Arial Narrow" w:hAnsi="Arial Narrow"/>
                <w:noProof/>
                <w:color w:val="000000"/>
                <w:sz w:val="20"/>
                <w:szCs w:val="20"/>
              </w:rPr>
              <w:t>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5681CBB2"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0.684</w:t>
            </w:r>
          </w:p>
        </w:tc>
        <w:tc>
          <w:tcPr>
            <w:tcW w:w="48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4C70600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4</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0E20C9C2"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0.608 </w:t>
            </w:r>
          </w:p>
        </w:tc>
        <w:tc>
          <w:tcPr>
            <w:tcW w:w="48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1AE8C975"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4</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F8546E5"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0.608</w:t>
            </w:r>
          </w:p>
        </w:tc>
        <w:tc>
          <w:tcPr>
            <w:tcW w:w="48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6FDC4A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06D8E6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75FC3864"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80C38A8"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7E6674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1D145434"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48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2FEF00B8"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4</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7EFB64A9"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2.508 </w:t>
            </w:r>
          </w:p>
        </w:tc>
      </w:tr>
    </w:tbl>
    <w:p w14:paraId="129CD30E" w14:textId="77777777" w:rsidR="002A22AB" w:rsidRDefault="002A22AB" w:rsidP="002A22AB">
      <w:pPr>
        <w:pStyle w:val="Text1"/>
        <w:spacing w:before="0" w:after="0"/>
        <w:ind w:left="-540" w:right="-694"/>
        <w:rPr>
          <w:noProof/>
          <w:sz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25596D32" w14:textId="77777777" w:rsidR="002A22AB" w:rsidRDefault="002A22AB" w:rsidP="002A22AB">
      <w:pPr>
        <w:pStyle w:val="Text1"/>
        <w:spacing w:before="0" w:after="0"/>
        <w:ind w:left="-540" w:right="-694"/>
        <w:rPr>
          <w:noProof/>
          <w:sz w:val="18"/>
        </w:rPr>
      </w:pPr>
    </w:p>
    <w:p w14:paraId="7E430A43" w14:textId="77777777" w:rsidR="002A22AB" w:rsidRDefault="002A22AB" w:rsidP="002A22AB">
      <w:pPr>
        <w:keepNext/>
        <w:rPr>
          <w:noProof/>
          <w:sz w:val="28"/>
          <w:szCs w:val="28"/>
          <w:u w:val="single"/>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6CED9743" w14:textId="77777777" w:rsidR="002A22AB" w:rsidRDefault="002A22AB" w:rsidP="002A22AB">
      <w:pPr>
        <w:keepNext/>
        <w:spacing w:after="60"/>
        <w:ind w:left="540"/>
        <w:rPr>
          <w:noProof/>
        </w:rPr>
        <w:sectPr w:rsidR="002A22AB" w:rsidSect="009D02A3">
          <w:headerReference w:type="default" r:id="rId35"/>
          <w:footerReference w:type="default" r:id="rId36"/>
          <w:headerReference w:type="first" r:id="rId37"/>
          <w:footerReference w:type="first" r:id="rId38"/>
          <w:pgSz w:w="15840" w:h="12240" w:orient="landscape" w:code="1"/>
          <w:pgMar w:top="624" w:right="902" w:bottom="624" w:left="1191" w:header="709" w:footer="567" w:gutter="0"/>
          <w:cols w:space="708"/>
          <w:docGrid w:linePitch="360"/>
        </w:sectPr>
      </w:pPr>
    </w:p>
    <w:p w14:paraId="71D0C6F8" w14:textId="096C9D90" w:rsidR="002A22AB" w:rsidRPr="00796518" w:rsidRDefault="00C304BF" w:rsidP="00C304BF">
      <w:pPr>
        <w:pStyle w:val="Point0"/>
        <w:rPr>
          <w:noProof/>
          <w:szCs w:val="28"/>
        </w:rPr>
      </w:pPr>
      <w:r w:rsidRPr="00C304BF">
        <w:t>(2)</w:t>
      </w:r>
      <w:r w:rsidRPr="00C304BF">
        <w:tab/>
      </w:r>
      <w:r w:rsidR="002A22AB">
        <w:rPr>
          <w:noProof/>
        </w:rPr>
        <w:t>Cost of other administrative expenditure</w:t>
      </w:r>
    </w:p>
    <w:p w14:paraId="716E0C01" w14:textId="77777777" w:rsidR="002A22AB" w:rsidRDefault="002A22AB" w:rsidP="002A22AB">
      <w:pPr>
        <w:pStyle w:val="Point1"/>
        <w:spacing w:after="0"/>
        <w:ind w:left="2263" w:hanging="284"/>
        <w:rPr>
          <w:noProof/>
        </w:rPr>
      </w:pPr>
      <w:r>
        <w:rPr>
          <w:noProof/>
        </w:rPr>
        <w:sym w:font="Wingdings" w:char="F0A8"/>
      </w:r>
      <w:r>
        <w:rPr>
          <w:noProof/>
        </w:rPr>
        <w:tab/>
        <w:t>The proposal/initiative does not require the use of administrative appropriations</w:t>
      </w:r>
    </w:p>
    <w:p w14:paraId="25CF8291" w14:textId="77777777" w:rsidR="002A22AB" w:rsidRDefault="002A22AB" w:rsidP="002A22AB">
      <w:pPr>
        <w:pStyle w:val="Text1"/>
        <w:spacing w:before="0" w:after="0"/>
        <w:ind w:left="2263" w:hanging="284"/>
        <w:rPr>
          <w:noProof/>
        </w:rPr>
      </w:pPr>
      <w:r>
        <w:rPr>
          <w:noProof/>
        </w:rPr>
        <w:sym w:font="Wingdings" w:char="F0FE"/>
      </w:r>
      <w:r>
        <w:rPr>
          <w:noProof/>
        </w:rPr>
        <w:t xml:space="preserve"> The proposal/initiative requires the use of administrative appropriations, as explained below:</w:t>
      </w:r>
    </w:p>
    <w:p w14:paraId="24D0C66D" w14:textId="77777777" w:rsidR="002A22AB" w:rsidRDefault="002A22AB" w:rsidP="002A22AB">
      <w:pPr>
        <w:tabs>
          <w:tab w:val="left" w:pos="870"/>
        </w:tabs>
        <w:rPr>
          <w:noProof/>
          <w:sz w:val="16"/>
          <w:szCs w:val="16"/>
        </w:rPr>
      </w:pPr>
    </w:p>
    <w:p w14:paraId="7858FD97" w14:textId="77777777" w:rsidR="002A22AB" w:rsidRPr="00556E60" w:rsidRDefault="002A22AB" w:rsidP="002A22AB">
      <w:pPr>
        <w:jc w:val="right"/>
        <w:rPr>
          <w:i/>
          <w:noProof/>
          <w:sz w:val="20"/>
          <w:szCs w:val="20"/>
        </w:rPr>
      </w:pPr>
      <w:r w:rsidRPr="00556E60">
        <w:rPr>
          <w:i/>
          <w:noProof/>
          <w:sz w:val="20"/>
          <w:szCs w:val="20"/>
        </w:rPr>
        <w:t>EUR million (to three decimal places)</w:t>
      </w:r>
    </w:p>
    <w:tbl>
      <w:tblPr>
        <w:tblW w:w="14757" w:type="dxa"/>
        <w:jc w:val="center"/>
        <w:tblLook w:val="04A0" w:firstRow="1" w:lastRow="0" w:firstColumn="1" w:lastColumn="0" w:noHBand="0" w:noVBand="1"/>
      </w:tblPr>
      <w:tblGrid>
        <w:gridCol w:w="4410"/>
        <w:gridCol w:w="1275"/>
        <w:gridCol w:w="1276"/>
        <w:gridCol w:w="1276"/>
        <w:gridCol w:w="1417"/>
        <w:gridCol w:w="1276"/>
        <w:gridCol w:w="1276"/>
        <w:gridCol w:w="1276"/>
        <w:gridCol w:w="1275"/>
      </w:tblGrid>
      <w:tr w:rsidR="002A22AB" w14:paraId="063AC88C" w14:textId="77777777" w:rsidTr="00CE3F2A">
        <w:trPr>
          <w:trHeight w:val="970"/>
          <w:jc w:val="center"/>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57A54" w14:textId="77777777" w:rsidR="002A22AB" w:rsidRDefault="002A22AB" w:rsidP="00CE3F2A">
            <w:pPr>
              <w:jc w:val="center"/>
              <w:rPr>
                <w:rFonts w:ascii="Arial Narrow" w:hAnsi="Arial Narrow"/>
                <w:b/>
                <w:bCs/>
                <w:noProof/>
                <w:color w:val="000000"/>
                <w:sz w:val="22"/>
              </w:rPr>
            </w:pPr>
            <w:r>
              <w:rPr>
                <w:rFonts w:ascii="Arial Narrow" w:hAnsi="Arial Narrow"/>
                <w:b/>
                <w:bCs/>
                <w:noProof/>
                <w:color w:val="000000"/>
                <w:sz w:val="22"/>
              </w:rPr>
              <w:t>HEADING 7</w:t>
            </w:r>
          </w:p>
          <w:p w14:paraId="32328E5B" w14:textId="77777777" w:rsidR="002A22AB" w:rsidRDefault="002A22AB" w:rsidP="00CE3F2A">
            <w:pPr>
              <w:jc w:val="center"/>
              <w:rPr>
                <w:rFonts w:ascii="Arial Narrow" w:hAnsi="Arial Narrow"/>
                <w:i/>
                <w:iCs/>
                <w:noProof/>
                <w:color w:val="000000"/>
                <w:sz w:val="20"/>
                <w:szCs w:val="20"/>
              </w:rPr>
            </w:pPr>
            <w:r>
              <w:rPr>
                <w:rFonts w:ascii="Arial Narrow" w:hAnsi="Arial Narrow"/>
                <w:noProof/>
                <w:color w:val="000000"/>
                <w:sz w:val="22"/>
              </w:rPr>
              <w:t>of the multiannual financial framework</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8C087B" w14:textId="77777777" w:rsidR="002A22AB" w:rsidRDefault="002A22AB" w:rsidP="00CE3F2A">
            <w:pPr>
              <w:jc w:val="center"/>
              <w:rPr>
                <w:rFonts w:ascii="Arial Narrow" w:hAnsi="Arial Narrow"/>
                <w:b/>
                <w:bCs/>
                <w:noProof/>
                <w:color w:val="0000FF"/>
                <w:sz w:val="20"/>
                <w:szCs w:val="20"/>
              </w:rPr>
            </w:pPr>
            <w:r>
              <w:rPr>
                <w:rFonts w:ascii="Arial Narrow" w:hAnsi="Arial Narrow"/>
                <w:b/>
                <w:bCs/>
                <w:noProof/>
                <w:color w:val="0000FF"/>
                <w:sz w:val="20"/>
                <w:szCs w:val="20"/>
                <w:lang w:val="fr-FR"/>
              </w:rPr>
              <w:t>2024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2E4535" w14:textId="77777777" w:rsidR="002A22AB" w:rsidRDefault="002A22AB" w:rsidP="00CE3F2A">
            <w:pPr>
              <w:jc w:val="center"/>
              <w:rPr>
                <w:rFonts w:ascii="Arial Narrow" w:hAnsi="Arial Narrow"/>
                <w:b/>
                <w:bCs/>
                <w:noProof/>
                <w:color w:val="0000FF"/>
                <w:sz w:val="20"/>
                <w:szCs w:val="20"/>
              </w:rPr>
            </w:pPr>
            <w:r>
              <w:rPr>
                <w:rFonts w:ascii="Arial Narrow" w:hAnsi="Arial Narrow"/>
                <w:b/>
                <w:bCs/>
                <w:noProof/>
                <w:color w:val="0000FF"/>
                <w:sz w:val="20"/>
                <w:szCs w:val="20"/>
                <w:lang w:val="fr-FR"/>
              </w:rPr>
              <w:t>2025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21B2A7" w14:textId="77777777" w:rsidR="002A22AB" w:rsidRDefault="002A22AB" w:rsidP="00CE3F2A">
            <w:pPr>
              <w:jc w:val="center"/>
              <w:rPr>
                <w:rFonts w:ascii="Arial Narrow" w:hAnsi="Arial Narrow"/>
                <w:b/>
                <w:bCs/>
                <w:noProof/>
                <w:color w:val="0000FF"/>
                <w:sz w:val="20"/>
                <w:szCs w:val="20"/>
              </w:rPr>
            </w:pPr>
            <w:r>
              <w:rPr>
                <w:rFonts w:ascii="Arial Narrow" w:hAnsi="Arial Narrow"/>
                <w:b/>
                <w:bCs/>
                <w:noProof/>
                <w:color w:val="0000FF"/>
                <w:sz w:val="20"/>
                <w:szCs w:val="20"/>
                <w:lang w:val="fr-FR"/>
              </w:rPr>
              <w:t>2026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0CFBDE9" w14:textId="77777777" w:rsidR="002A22AB" w:rsidRDefault="002A22AB" w:rsidP="00CE3F2A">
            <w:pPr>
              <w:jc w:val="center"/>
              <w:rPr>
                <w:rFonts w:ascii="Arial Narrow" w:hAnsi="Arial Narrow"/>
                <w:b/>
                <w:bCs/>
                <w:noProof/>
                <w:color w:val="0000FF"/>
                <w:sz w:val="20"/>
                <w:szCs w:val="20"/>
              </w:rPr>
            </w:pPr>
            <w:r>
              <w:rPr>
                <w:rFonts w:ascii="Arial Narrow" w:hAnsi="Arial Narrow"/>
                <w:b/>
                <w:bCs/>
                <w:noProof/>
                <w:color w:val="0000FF"/>
                <w:sz w:val="20"/>
                <w:szCs w:val="20"/>
                <w:lang w:val="fr-FR"/>
              </w:rPr>
              <w:t>2027</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B55642" w14:textId="77777777" w:rsidR="002A22AB" w:rsidRDefault="002A22AB" w:rsidP="00CE3F2A">
            <w:pPr>
              <w:jc w:val="center"/>
              <w:rPr>
                <w:rFonts w:ascii="Arial Narrow" w:hAnsi="Arial Narrow"/>
                <w:b/>
                <w:bCs/>
                <w:noProof/>
                <w:color w:val="0000FF"/>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3BAE7D0" w14:textId="77777777" w:rsidR="002A22AB" w:rsidRDefault="002A22AB" w:rsidP="00CE3F2A">
            <w:pPr>
              <w:jc w:val="center"/>
              <w:rPr>
                <w:rFonts w:ascii="Arial Narrow" w:hAnsi="Arial Narrow"/>
                <w:b/>
                <w:bCs/>
                <w:noProof/>
                <w:color w:val="0000FF"/>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45BD520" w14:textId="77777777" w:rsidR="002A22AB" w:rsidRDefault="002A22AB" w:rsidP="00CE3F2A">
            <w:pPr>
              <w:jc w:val="center"/>
              <w:rPr>
                <w:rFonts w:ascii="Arial Narrow" w:hAnsi="Arial Narrow"/>
                <w:b/>
                <w:bCs/>
                <w:noProof/>
                <w:color w:val="0000FF"/>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20C202A"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Total</w:t>
            </w:r>
          </w:p>
        </w:tc>
      </w:tr>
      <w:tr w:rsidR="002A22AB" w14:paraId="1B105BAF" w14:textId="77777777" w:rsidTr="00CE3F2A">
        <w:trPr>
          <w:trHeight w:val="300"/>
          <w:jc w:val="center"/>
        </w:trPr>
        <w:tc>
          <w:tcPr>
            <w:tcW w:w="4410" w:type="dxa"/>
            <w:tcBorders>
              <w:top w:val="single" w:sz="4" w:space="0" w:color="auto"/>
              <w:left w:val="single" w:sz="4" w:space="0" w:color="auto"/>
              <w:bottom w:val="single" w:sz="4" w:space="0" w:color="auto"/>
              <w:right w:val="single" w:sz="4" w:space="0" w:color="auto"/>
            </w:tcBorders>
            <w:shd w:val="pct25" w:color="CCFFCC" w:fill="EDFFED"/>
            <w:vAlign w:val="center"/>
            <w:hideMark/>
          </w:tcPr>
          <w:p w14:paraId="182C5BCF" w14:textId="77777777" w:rsidR="002A22AB" w:rsidRDefault="002A22AB" w:rsidP="00CE3F2A">
            <w:pPr>
              <w:rPr>
                <w:rFonts w:ascii="Arial Narrow" w:hAnsi="Arial Narrow"/>
                <w:b/>
                <w:bCs/>
                <w:noProof/>
                <w:color w:val="008000"/>
                <w:sz w:val="20"/>
                <w:szCs w:val="20"/>
                <w:u w:val="single"/>
              </w:rPr>
            </w:pPr>
            <w:r>
              <w:rPr>
                <w:rFonts w:ascii="Arial Narrow" w:hAnsi="Arial Narrow"/>
                <w:b/>
                <w:bCs/>
                <w:noProof/>
                <w:color w:val="008000"/>
                <w:sz w:val="20"/>
                <w:szCs w:val="20"/>
                <w:u w:val="single"/>
              </w:rPr>
              <w:t>At headquarters or within EU territory:</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8CAC978"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6A0066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22FA3C"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CE68E9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F8F293" w14:textId="77777777" w:rsidR="002A22AB" w:rsidRDefault="002A22AB" w:rsidP="00CE3F2A">
            <w:pPr>
              <w:jc w:val="center"/>
              <w:rPr>
                <w:rFonts w:ascii="Arial Narrow" w:hAnsi="Arial Narrow"/>
                <w:noProof/>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7EC254"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F1CA95"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F5AD90"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 </w:t>
            </w:r>
          </w:p>
        </w:tc>
      </w:tr>
      <w:tr w:rsidR="002A22AB" w14:paraId="582BD634" w14:textId="77777777" w:rsidTr="00CE3F2A">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5D9A117A"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20 02 06 01 - Mission and representation expenses</w:t>
            </w:r>
          </w:p>
        </w:tc>
        <w:tc>
          <w:tcPr>
            <w:tcW w:w="1275" w:type="dxa"/>
            <w:tcBorders>
              <w:top w:val="nil"/>
              <w:left w:val="nil"/>
              <w:bottom w:val="single" w:sz="4" w:space="0" w:color="auto"/>
              <w:right w:val="single" w:sz="4" w:space="0" w:color="auto"/>
            </w:tcBorders>
            <w:shd w:val="clear" w:color="auto" w:fill="auto"/>
            <w:hideMark/>
          </w:tcPr>
          <w:p w14:paraId="7A9D6B67" w14:textId="77777777" w:rsidR="002A22AB" w:rsidRDefault="002A22AB" w:rsidP="00CE3F2A">
            <w:pPr>
              <w:jc w:val="center"/>
              <w:rPr>
                <w:rFonts w:ascii="Arial Narrow" w:hAnsi="Arial Narrow"/>
                <w:noProof/>
                <w:color w:val="000000"/>
                <w:sz w:val="20"/>
                <w:szCs w:val="20"/>
              </w:rPr>
            </w:pPr>
            <w:r w:rsidRPr="00396E41">
              <w:rPr>
                <w:rFonts w:ascii="Arial Narrow" w:hAnsi="Arial Narrow"/>
                <w:noProof/>
                <w:color w:val="000000"/>
                <w:sz w:val="20"/>
                <w:szCs w:val="20"/>
              </w:rPr>
              <w:t>0</w:t>
            </w:r>
            <w:r>
              <w:rPr>
                <w:rFonts w:ascii="Arial Narrow" w:hAnsi="Arial Narrow"/>
                <w:noProof/>
                <w:color w:val="000000"/>
                <w:sz w:val="20"/>
                <w:szCs w:val="20"/>
              </w:rPr>
              <w:t>.</w:t>
            </w:r>
            <w:r w:rsidRPr="00396E41">
              <w:rPr>
                <w:rFonts w:ascii="Arial Narrow" w:hAnsi="Arial Narrow"/>
                <w:noProof/>
                <w:color w:val="000000"/>
                <w:sz w:val="20"/>
                <w:szCs w:val="20"/>
              </w:rPr>
              <w:t>0</w:t>
            </w:r>
            <w:r>
              <w:rPr>
                <w:rFonts w:ascii="Arial Narrow" w:hAnsi="Arial Narrow"/>
                <w:noProof/>
                <w:color w:val="000000"/>
                <w:sz w:val="20"/>
                <w:szCs w:val="20"/>
              </w:rPr>
              <w:t>35</w:t>
            </w:r>
          </w:p>
        </w:tc>
        <w:tc>
          <w:tcPr>
            <w:tcW w:w="1276" w:type="dxa"/>
            <w:tcBorders>
              <w:top w:val="nil"/>
              <w:left w:val="nil"/>
              <w:bottom w:val="single" w:sz="4" w:space="0" w:color="auto"/>
              <w:right w:val="single" w:sz="4" w:space="0" w:color="auto"/>
            </w:tcBorders>
            <w:shd w:val="clear" w:color="auto" w:fill="auto"/>
            <w:hideMark/>
          </w:tcPr>
          <w:p w14:paraId="042E58D1" w14:textId="77777777" w:rsidR="002A22AB" w:rsidRDefault="002A22AB" w:rsidP="00CE3F2A">
            <w:pPr>
              <w:jc w:val="center"/>
              <w:rPr>
                <w:rFonts w:ascii="Arial Narrow" w:hAnsi="Arial Narrow"/>
                <w:noProof/>
                <w:color w:val="000000"/>
                <w:sz w:val="20"/>
                <w:szCs w:val="20"/>
              </w:rPr>
            </w:pPr>
            <w:r w:rsidRPr="00396E41">
              <w:rPr>
                <w:rFonts w:ascii="Arial Narrow" w:hAnsi="Arial Narrow"/>
                <w:noProof/>
                <w:color w:val="000000"/>
                <w:sz w:val="20"/>
                <w:szCs w:val="20"/>
              </w:rPr>
              <w:t>0</w:t>
            </w:r>
            <w:r>
              <w:rPr>
                <w:rFonts w:ascii="Arial Narrow" w:hAnsi="Arial Narrow"/>
                <w:noProof/>
                <w:color w:val="000000"/>
                <w:sz w:val="20"/>
                <w:szCs w:val="20"/>
              </w:rPr>
              <w:t>.</w:t>
            </w:r>
            <w:r w:rsidRPr="00396E41">
              <w:rPr>
                <w:rFonts w:ascii="Arial Narrow" w:hAnsi="Arial Narrow"/>
                <w:noProof/>
                <w:color w:val="000000"/>
                <w:sz w:val="20"/>
                <w:szCs w:val="20"/>
              </w:rPr>
              <w:t>0</w:t>
            </w:r>
            <w:r>
              <w:rPr>
                <w:rFonts w:ascii="Arial Narrow" w:hAnsi="Arial Narrow"/>
                <w:noProof/>
                <w:color w:val="000000"/>
                <w:sz w:val="20"/>
                <w:szCs w:val="20"/>
              </w:rPr>
              <w:t>35</w:t>
            </w:r>
          </w:p>
        </w:tc>
        <w:tc>
          <w:tcPr>
            <w:tcW w:w="1276" w:type="dxa"/>
            <w:tcBorders>
              <w:top w:val="nil"/>
              <w:left w:val="nil"/>
              <w:bottom w:val="single" w:sz="4" w:space="0" w:color="auto"/>
              <w:right w:val="single" w:sz="4" w:space="0" w:color="auto"/>
            </w:tcBorders>
            <w:shd w:val="clear" w:color="auto" w:fill="auto"/>
            <w:hideMark/>
          </w:tcPr>
          <w:p w14:paraId="0111E9ED" w14:textId="77777777" w:rsidR="002A22AB" w:rsidRDefault="002A22AB" w:rsidP="00CE3F2A">
            <w:pPr>
              <w:jc w:val="center"/>
              <w:rPr>
                <w:rFonts w:ascii="Arial Narrow" w:hAnsi="Arial Narrow"/>
                <w:noProof/>
                <w:color w:val="000000"/>
                <w:sz w:val="20"/>
                <w:szCs w:val="20"/>
              </w:rPr>
            </w:pPr>
            <w:r w:rsidRPr="00396E41">
              <w:rPr>
                <w:rFonts w:ascii="Arial Narrow" w:hAnsi="Arial Narrow"/>
                <w:noProof/>
                <w:color w:val="000000"/>
                <w:sz w:val="20"/>
                <w:szCs w:val="20"/>
              </w:rPr>
              <w:t>0</w:t>
            </w:r>
            <w:r>
              <w:rPr>
                <w:rFonts w:ascii="Arial Narrow" w:hAnsi="Arial Narrow"/>
                <w:noProof/>
                <w:color w:val="000000"/>
                <w:sz w:val="20"/>
                <w:szCs w:val="20"/>
              </w:rPr>
              <w:t>.</w:t>
            </w:r>
            <w:r w:rsidRPr="00396E41">
              <w:rPr>
                <w:rFonts w:ascii="Arial Narrow" w:hAnsi="Arial Narrow"/>
                <w:noProof/>
                <w:color w:val="000000"/>
                <w:sz w:val="20"/>
                <w:szCs w:val="20"/>
              </w:rPr>
              <w:t>0</w:t>
            </w:r>
            <w:r>
              <w:rPr>
                <w:rFonts w:ascii="Arial Narrow" w:hAnsi="Arial Narrow"/>
                <w:noProof/>
                <w:color w:val="000000"/>
                <w:sz w:val="20"/>
                <w:szCs w:val="20"/>
              </w:rPr>
              <w:t>35</w:t>
            </w:r>
          </w:p>
        </w:tc>
        <w:tc>
          <w:tcPr>
            <w:tcW w:w="1417" w:type="dxa"/>
            <w:tcBorders>
              <w:top w:val="nil"/>
              <w:left w:val="nil"/>
              <w:bottom w:val="single" w:sz="4" w:space="0" w:color="auto"/>
              <w:right w:val="single" w:sz="4" w:space="0" w:color="auto"/>
            </w:tcBorders>
            <w:shd w:val="clear" w:color="auto" w:fill="auto"/>
            <w:hideMark/>
          </w:tcPr>
          <w:p w14:paraId="2747CBB7" w14:textId="77777777" w:rsidR="002A22AB" w:rsidRDefault="002A22AB" w:rsidP="00CE3F2A">
            <w:pPr>
              <w:jc w:val="center"/>
              <w:rPr>
                <w:rFonts w:ascii="Arial Narrow" w:hAnsi="Arial Narrow"/>
                <w:noProof/>
                <w:color w:val="000000"/>
                <w:sz w:val="20"/>
                <w:szCs w:val="20"/>
              </w:rPr>
            </w:pPr>
            <w:r w:rsidRPr="00396E41">
              <w:rPr>
                <w:rFonts w:ascii="Arial Narrow" w:hAnsi="Arial Narrow"/>
                <w:noProof/>
                <w:color w:val="000000"/>
                <w:sz w:val="20"/>
                <w:szCs w:val="20"/>
              </w:rPr>
              <w:t>0</w:t>
            </w:r>
            <w:r>
              <w:rPr>
                <w:rFonts w:ascii="Arial Narrow" w:hAnsi="Arial Narrow"/>
                <w:noProof/>
                <w:color w:val="000000"/>
                <w:sz w:val="20"/>
                <w:szCs w:val="20"/>
              </w:rPr>
              <w:t>.</w:t>
            </w:r>
            <w:r w:rsidRPr="00396E41">
              <w:rPr>
                <w:rFonts w:ascii="Arial Narrow" w:hAnsi="Arial Narrow"/>
                <w:noProof/>
                <w:color w:val="000000"/>
                <w:sz w:val="20"/>
                <w:szCs w:val="20"/>
              </w:rPr>
              <w:t>0</w:t>
            </w:r>
            <w:r>
              <w:rPr>
                <w:rFonts w:ascii="Arial Narrow" w:hAnsi="Arial Narrow"/>
                <w:noProof/>
                <w:color w:val="000000"/>
                <w:sz w:val="20"/>
                <w:szCs w:val="20"/>
              </w:rPr>
              <w:t>35</w:t>
            </w:r>
          </w:p>
        </w:tc>
        <w:tc>
          <w:tcPr>
            <w:tcW w:w="1276" w:type="dxa"/>
            <w:tcBorders>
              <w:top w:val="nil"/>
              <w:left w:val="nil"/>
              <w:bottom w:val="single" w:sz="4" w:space="0" w:color="auto"/>
              <w:right w:val="single" w:sz="4" w:space="0" w:color="auto"/>
            </w:tcBorders>
            <w:shd w:val="clear" w:color="auto" w:fill="auto"/>
          </w:tcPr>
          <w:p w14:paraId="085F022D" w14:textId="77777777" w:rsidR="002A22AB" w:rsidRDefault="002A22AB" w:rsidP="00CE3F2A">
            <w:pPr>
              <w:jc w:val="center"/>
              <w:rPr>
                <w:rFonts w:ascii="Arial Narrow" w:hAnsi="Arial Narrow"/>
                <w:noProof/>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3FE33D65" w14:textId="77777777" w:rsidR="002A22AB" w:rsidRDefault="002A22AB" w:rsidP="00CE3F2A">
            <w:pPr>
              <w:jc w:val="center"/>
              <w:rPr>
                <w:rFonts w:ascii="Arial Narrow" w:hAnsi="Arial Narrow"/>
                <w:noProof/>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0BB7210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0B79BBF1"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 0.140</w:t>
            </w:r>
          </w:p>
        </w:tc>
      </w:tr>
      <w:tr w:rsidR="002A22AB" w14:paraId="6662B387" w14:textId="77777777" w:rsidTr="00CE3F2A">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24C577F0"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20 02 06 02 - Conference and meeting costs</w:t>
            </w:r>
          </w:p>
        </w:tc>
        <w:tc>
          <w:tcPr>
            <w:tcW w:w="1275" w:type="dxa"/>
            <w:tcBorders>
              <w:top w:val="nil"/>
              <w:left w:val="nil"/>
              <w:bottom w:val="single" w:sz="4" w:space="0" w:color="auto"/>
              <w:right w:val="single" w:sz="4" w:space="0" w:color="auto"/>
            </w:tcBorders>
            <w:shd w:val="clear" w:color="auto" w:fill="auto"/>
            <w:vAlign w:val="center"/>
            <w:hideMark/>
          </w:tcPr>
          <w:p w14:paraId="4696ED02" w14:textId="6E857961" w:rsidR="002A22AB" w:rsidRDefault="002A22AB" w:rsidP="00F16B97">
            <w:pPr>
              <w:jc w:val="center"/>
              <w:rPr>
                <w:rFonts w:ascii="Arial Narrow" w:hAnsi="Arial Narrow"/>
                <w:noProof/>
                <w:color w:val="000000"/>
                <w:sz w:val="20"/>
                <w:szCs w:val="20"/>
              </w:rPr>
            </w:pPr>
            <w:r>
              <w:rPr>
                <w:rFonts w:ascii="Arial Narrow" w:hAnsi="Arial Narrow"/>
                <w:noProof/>
                <w:color w:val="000000"/>
                <w:sz w:val="20"/>
                <w:szCs w:val="20"/>
              </w:rPr>
              <w:t> 0.</w:t>
            </w:r>
            <w:r w:rsidR="00F16B97">
              <w:rPr>
                <w:rFonts w:ascii="Arial Narrow" w:hAnsi="Arial Narrow"/>
                <w:noProof/>
                <w:color w:val="000000"/>
                <w:sz w:val="20"/>
                <w:szCs w:val="20"/>
              </w:rPr>
              <w:t>125</w:t>
            </w:r>
          </w:p>
        </w:tc>
        <w:tc>
          <w:tcPr>
            <w:tcW w:w="1276" w:type="dxa"/>
            <w:tcBorders>
              <w:top w:val="nil"/>
              <w:left w:val="nil"/>
              <w:bottom w:val="single" w:sz="4" w:space="0" w:color="auto"/>
              <w:right w:val="single" w:sz="4" w:space="0" w:color="auto"/>
            </w:tcBorders>
            <w:shd w:val="clear" w:color="auto" w:fill="auto"/>
            <w:vAlign w:val="center"/>
            <w:hideMark/>
          </w:tcPr>
          <w:p w14:paraId="270F2FC2" w14:textId="7E4CEF31" w:rsidR="002A22AB" w:rsidRDefault="002A22AB" w:rsidP="00F16B97">
            <w:pPr>
              <w:jc w:val="center"/>
              <w:rPr>
                <w:rFonts w:ascii="Arial Narrow" w:hAnsi="Arial Narrow"/>
                <w:noProof/>
                <w:color w:val="000000"/>
                <w:sz w:val="20"/>
                <w:szCs w:val="20"/>
              </w:rPr>
            </w:pPr>
            <w:r>
              <w:rPr>
                <w:rFonts w:ascii="Arial Narrow" w:hAnsi="Arial Narrow"/>
                <w:noProof/>
                <w:color w:val="000000"/>
                <w:sz w:val="20"/>
                <w:szCs w:val="20"/>
              </w:rPr>
              <w:t> 0.</w:t>
            </w:r>
            <w:r w:rsidR="00F16B97">
              <w:rPr>
                <w:rFonts w:ascii="Arial Narrow" w:hAnsi="Arial Narrow"/>
                <w:noProof/>
                <w:color w:val="000000"/>
                <w:sz w:val="20"/>
                <w:szCs w:val="20"/>
              </w:rPr>
              <w:t>125</w:t>
            </w:r>
          </w:p>
        </w:tc>
        <w:tc>
          <w:tcPr>
            <w:tcW w:w="1276" w:type="dxa"/>
            <w:tcBorders>
              <w:top w:val="nil"/>
              <w:left w:val="nil"/>
              <w:bottom w:val="single" w:sz="4" w:space="0" w:color="auto"/>
              <w:right w:val="single" w:sz="4" w:space="0" w:color="auto"/>
            </w:tcBorders>
            <w:shd w:val="clear" w:color="auto" w:fill="auto"/>
            <w:vAlign w:val="center"/>
            <w:hideMark/>
          </w:tcPr>
          <w:p w14:paraId="0CA7EAA4" w14:textId="1671E07C" w:rsidR="002A22AB" w:rsidRDefault="002A22AB" w:rsidP="00F16B97">
            <w:pPr>
              <w:jc w:val="center"/>
              <w:rPr>
                <w:rFonts w:ascii="Arial Narrow" w:hAnsi="Arial Narrow"/>
                <w:noProof/>
                <w:color w:val="000000"/>
                <w:sz w:val="20"/>
                <w:szCs w:val="20"/>
              </w:rPr>
            </w:pPr>
            <w:r>
              <w:rPr>
                <w:rFonts w:ascii="Arial Narrow" w:hAnsi="Arial Narrow"/>
                <w:noProof/>
                <w:color w:val="000000"/>
                <w:sz w:val="20"/>
                <w:szCs w:val="20"/>
              </w:rPr>
              <w:t> 0.</w:t>
            </w:r>
            <w:r w:rsidR="00F16B97">
              <w:rPr>
                <w:rFonts w:ascii="Arial Narrow" w:hAnsi="Arial Narrow"/>
                <w:noProof/>
                <w:color w:val="000000"/>
                <w:sz w:val="20"/>
                <w:szCs w:val="20"/>
              </w:rPr>
              <w:t>125</w:t>
            </w:r>
          </w:p>
        </w:tc>
        <w:tc>
          <w:tcPr>
            <w:tcW w:w="1417" w:type="dxa"/>
            <w:tcBorders>
              <w:top w:val="nil"/>
              <w:left w:val="nil"/>
              <w:bottom w:val="single" w:sz="4" w:space="0" w:color="auto"/>
              <w:right w:val="single" w:sz="4" w:space="0" w:color="auto"/>
            </w:tcBorders>
            <w:shd w:val="clear" w:color="auto" w:fill="auto"/>
            <w:vAlign w:val="center"/>
            <w:hideMark/>
          </w:tcPr>
          <w:p w14:paraId="20E13BCB" w14:textId="1215E702" w:rsidR="002A22AB" w:rsidRDefault="002A22AB" w:rsidP="00F16B97">
            <w:pPr>
              <w:jc w:val="center"/>
              <w:rPr>
                <w:rFonts w:ascii="Arial Narrow" w:hAnsi="Arial Narrow"/>
                <w:noProof/>
                <w:color w:val="000000"/>
                <w:sz w:val="20"/>
                <w:szCs w:val="20"/>
              </w:rPr>
            </w:pPr>
            <w:r>
              <w:rPr>
                <w:rFonts w:ascii="Arial Narrow" w:hAnsi="Arial Narrow"/>
                <w:noProof/>
                <w:color w:val="000000"/>
                <w:sz w:val="20"/>
                <w:szCs w:val="20"/>
              </w:rPr>
              <w:t> 0.</w:t>
            </w:r>
            <w:r w:rsidR="00F16B97">
              <w:rPr>
                <w:rFonts w:ascii="Arial Narrow" w:hAnsi="Arial Narrow"/>
                <w:noProof/>
                <w:color w:val="000000"/>
                <w:sz w:val="20"/>
                <w:szCs w:val="20"/>
              </w:rPr>
              <w:t>125</w:t>
            </w:r>
          </w:p>
        </w:tc>
        <w:tc>
          <w:tcPr>
            <w:tcW w:w="1276" w:type="dxa"/>
            <w:tcBorders>
              <w:top w:val="nil"/>
              <w:left w:val="nil"/>
              <w:bottom w:val="single" w:sz="4" w:space="0" w:color="auto"/>
              <w:right w:val="single" w:sz="4" w:space="0" w:color="auto"/>
            </w:tcBorders>
            <w:shd w:val="clear" w:color="auto" w:fill="auto"/>
            <w:vAlign w:val="center"/>
          </w:tcPr>
          <w:p w14:paraId="7BBFA6A5" w14:textId="77777777" w:rsidR="002A22AB" w:rsidRDefault="002A22AB" w:rsidP="00CE3F2A">
            <w:pPr>
              <w:jc w:val="center"/>
              <w:rPr>
                <w:rFonts w:ascii="Arial Narrow" w:hAnsi="Arial Narrow"/>
                <w:noProof/>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02690839" w14:textId="77777777" w:rsidR="002A22AB" w:rsidRDefault="002A22AB" w:rsidP="00CE3F2A">
            <w:pPr>
              <w:jc w:val="center"/>
              <w:rPr>
                <w:rFonts w:ascii="Arial Narrow" w:hAnsi="Arial Narrow"/>
                <w:noProof/>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126D24FD"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0030ACD2" w14:textId="2D5C4683" w:rsidR="002A22AB" w:rsidRDefault="00F16B97" w:rsidP="00CE3F2A">
            <w:pPr>
              <w:jc w:val="center"/>
              <w:rPr>
                <w:rFonts w:ascii="Arial Narrow" w:hAnsi="Arial Narrow"/>
                <w:b/>
                <w:bCs/>
                <w:noProof/>
                <w:color w:val="000000"/>
                <w:sz w:val="20"/>
                <w:szCs w:val="20"/>
              </w:rPr>
            </w:pPr>
            <w:r>
              <w:rPr>
                <w:rFonts w:ascii="Arial Narrow" w:hAnsi="Arial Narrow"/>
                <w:b/>
                <w:bCs/>
                <w:noProof/>
                <w:color w:val="000000"/>
                <w:sz w:val="20"/>
                <w:szCs w:val="20"/>
              </w:rPr>
              <w:t>0.500</w:t>
            </w:r>
          </w:p>
        </w:tc>
      </w:tr>
      <w:tr w:rsidR="002A22AB" w14:paraId="1F026F4C" w14:textId="77777777" w:rsidTr="00CE3F2A">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738E2792" w14:textId="77777777" w:rsidR="002A22AB" w:rsidRDefault="002A22AB" w:rsidP="00CE3F2A">
            <w:pPr>
              <w:rPr>
                <w:rFonts w:ascii="Calibri" w:hAnsi="Calibri"/>
                <w:noProof/>
                <w:color w:val="0000FF"/>
                <w:sz w:val="22"/>
                <w:u w:val="single"/>
              </w:rPr>
            </w:pPr>
            <w:r>
              <w:rPr>
                <w:rFonts w:ascii="Arial Narrow" w:hAnsi="Arial Narrow"/>
                <w:noProof/>
                <w:sz w:val="20"/>
                <w:szCs w:val="20"/>
              </w:rPr>
              <w:t>20 02 06 03 – Committees (Prüm II Committee)</w:t>
            </w:r>
            <w:r>
              <w:rPr>
                <w:rStyle w:val="FootnoteReference0"/>
                <w:rFonts w:ascii="Arial Narrow" w:hAnsi="Arial Narrow"/>
                <w:noProof/>
                <w:sz w:val="20"/>
                <w:szCs w:val="20"/>
              </w:rPr>
              <w:footnoteReference w:id="61"/>
            </w:r>
          </w:p>
        </w:tc>
        <w:tc>
          <w:tcPr>
            <w:tcW w:w="1275" w:type="dxa"/>
            <w:tcBorders>
              <w:top w:val="nil"/>
              <w:left w:val="nil"/>
              <w:bottom w:val="single" w:sz="4" w:space="0" w:color="auto"/>
              <w:right w:val="single" w:sz="4" w:space="0" w:color="auto"/>
            </w:tcBorders>
            <w:shd w:val="clear" w:color="auto" w:fill="auto"/>
            <w:vAlign w:val="center"/>
            <w:hideMark/>
          </w:tcPr>
          <w:p w14:paraId="2F90F8FC" w14:textId="6D45EC07" w:rsidR="002A22AB" w:rsidRDefault="002A22AB" w:rsidP="00F16B97">
            <w:pPr>
              <w:jc w:val="center"/>
              <w:rPr>
                <w:rFonts w:ascii="Arial Narrow" w:hAnsi="Arial Narrow"/>
                <w:noProof/>
                <w:color w:val="000000"/>
                <w:sz w:val="20"/>
                <w:szCs w:val="20"/>
              </w:rPr>
            </w:pPr>
            <w:r>
              <w:rPr>
                <w:rFonts w:ascii="Arial Narrow" w:hAnsi="Arial Narrow"/>
                <w:noProof/>
                <w:color w:val="000000"/>
                <w:sz w:val="20"/>
                <w:szCs w:val="20"/>
              </w:rPr>
              <w:t> 0.</w:t>
            </w:r>
            <w:r w:rsidR="00F16B97">
              <w:rPr>
                <w:rFonts w:ascii="Arial Narrow" w:hAnsi="Arial Narrow"/>
                <w:noProof/>
                <w:color w:val="000000"/>
                <w:sz w:val="20"/>
                <w:szCs w:val="20"/>
              </w:rPr>
              <w:t>065</w:t>
            </w:r>
          </w:p>
        </w:tc>
        <w:tc>
          <w:tcPr>
            <w:tcW w:w="1276" w:type="dxa"/>
            <w:tcBorders>
              <w:top w:val="nil"/>
              <w:left w:val="nil"/>
              <w:bottom w:val="single" w:sz="4" w:space="0" w:color="auto"/>
              <w:right w:val="single" w:sz="4" w:space="0" w:color="auto"/>
            </w:tcBorders>
            <w:shd w:val="clear" w:color="auto" w:fill="auto"/>
            <w:vAlign w:val="center"/>
            <w:hideMark/>
          </w:tcPr>
          <w:p w14:paraId="67ACB994" w14:textId="0A3C9032" w:rsidR="002A22AB" w:rsidRDefault="002A22AB" w:rsidP="00F16B97">
            <w:pPr>
              <w:jc w:val="center"/>
              <w:rPr>
                <w:rFonts w:ascii="Arial Narrow" w:hAnsi="Arial Narrow"/>
                <w:noProof/>
                <w:color w:val="000000"/>
                <w:sz w:val="20"/>
                <w:szCs w:val="20"/>
              </w:rPr>
            </w:pPr>
            <w:r>
              <w:rPr>
                <w:rFonts w:ascii="Arial Narrow" w:hAnsi="Arial Narrow"/>
                <w:noProof/>
                <w:color w:val="000000"/>
                <w:sz w:val="20"/>
                <w:szCs w:val="20"/>
              </w:rPr>
              <w:t>0.</w:t>
            </w:r>
            <w:r w:rsidR="00F16B97">
              <w:rPr>
                <w:rFonts w:ascii="Arial Narrow" w:hAnsi="Arial Narrow"/>
                <w:noProof/>
                <w:color w:val="000000"/>
                <w:sz w:val="20"/>
                <w:szCs w:val="20"/>
              </w:rPr>
              <w:t>065</w:t>
            </w:r>
          </w:p>
        </w:tc>
        <w:tc>
          <w:tcPr>
            <w:tcW w:w="1276" w:type="dxa"/>
            <w:tcBorders>
              <w:top w:val="nil"/>
              <w:left w:val="nil"/>
              <w:bottom w:val="single" w:sz="4" w:space="0" w:color="auto"/>
              <w:right w:val="single" w:sz="4" w:space="0" w:color="auto"/>
            </w:tcBorders>
            <w:shd w:val="clear" w:color="auto" w:fill="auto"/>
            <w:vAlign w:val="center"/>
            <w:hideMark/>
          </w:tcPr>
          <w:p w14:paraId="68586164" w14:textId="09341528" w:rsidR="002A22AB" w:rsidRDefault="002A22AB" w:rsidP="00F16B97">
            <w:pPr>
              <w:jc w:val="center"/>
              <w:rPr>
                <w:rFonts w:ascii="Arial Narrow" w:hAnsi="Arial Narrow"/>
                <w:noProof/>
                <w:color w:val="000000"/>
                <w:sz w:val="20"/>
                <w:szCs w:val="20"/>
              </w:rPr>
            </w:pPr>
            <w:r>
              <w:rPr>
                <w:rFonts w:ascii="Arial Narrow" w:hAnsi="Arial Narrow"/>
                <w:noProof/>
                <w:color w:val="000000"/>
                <w:sz w:val="20"/>
                <w:szCs w:val="20"/>
              </w:rPr>
              <w:t> 0.0</w:t>
            </w:r>
            <w:r w:rsidR="00F16B97">
              <w:rPr>
                <w:rFonts w:ascii="Arial Narrow" w:hAnsi="Arial Narrow"/>
                <w:noProof/>
                <w:color w:val="000000"/>
                <w:sz w:val="20"/>
                <w:szCs w:val="20"/>
              </w:rPr>
              <w:t>26</w:t>
            </w:r>
          </w:p>
        </w:tc>
        <w:tc>
          <w:tcPr>
            <w:tcW w:w="1417" w:type="dxa"/>
            <w:tcBorders>
              <w:top w:val="nil"/>
              <w:left w:val="nil"/>
              <w:bottom w:val="single" w:sz="4" w:space="0" w:color="auto"/>
              <w:right w:val="single" w:sz="4" w:space="0" w:color="auto"/>
            </w:tcBorders>
            <w:shd w:val="clear" w:color="auto" w:fill="auto"/>
            <w:vAlign w:val="center"/>
            <w:hideMark/>
          </w:tcPr>
          <w:p w14:paraId="219D387C" w14:textId="58018E03" w:rsidR="002A22AB" w:rsidRDefault="002A22AB" w:rsidP="00F16B97">
            <w:pPr>
              <w:jc w:val="center"/>
              <w:rPr>
                <w:rFonts w:ascii="Arial Narrow" w:hAnsi="Arial Narrow"/>
                <w:noProof/>
                <w:color w:val="000000"/>
                <w:sz w:val="20"/>
                <w:szCs w:val="20"/>
              </w:rPr>
            </w:pPr>
            <w:r>
              <w:rPr>
                <w:rFonts w:ascii="Arial Narrow" w:hAnsi="Arial Narrow"/>
                <w:noProof/>
                <w:color w:val="000000"/>
                <w:sz w:val="20"/>
                <w:szCs w:val="20"/>
              </w:rPr>
              <w:t> 0.0</w:t>
            </w:r>
            <w:r w:rsidR="00F16B97">
              <w:rPr>
                <w:rFonts w:ascii="Arial Narrow" w:hAnsi="Arial Narrow"/>
                <w:noProof/>
                <w:color w:val="000000"/>
                <w:sz w:val="20"/>
                <w:szCs w:val="20"/>
              </w:rPr>
              <w:t>26</w:t>
            </w:r>
          </w:p>
        </w:tc>
        <w:tc>
          <w:tcPr>
            <w:tcW w:w="1276" w:type="dxa"/>
            <w:tcBorders>
              <w:top w:val="nil"/>
              <w:left w:val="nil"/>
              <w:bottom w:val="single" w:sz="4" w:space="0" w:color="auto"/>
              <w:right w:val="single" w:sz="4" w:space="0" w:color="auto"/>
            </w:tcBorders>
            <w:shd w:val="clear" w:color="auto" w:fill="auto"/>
            <w:vAlign w:val="center"/>
          </w:tcPr>
          <w:p w14:paraId="278CA9E4" w14:textId="77777777" w:rsidR="002A22AB" w:rsidRDefault="002A22AB" w:rsidP="00CE3F2A">
            <w:pPr>
              <w:jc w:val="center"/>
              <w:rPr>
                <w:rFonts w:ascii="Arial Narrow" w:hAnsi="Arial Narrow"/>
                <w:noProof/>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5A5E562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01D386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2C0A3791" w14:textId="5E6C048D" w:rsidR="002A22AB" w:rsidRDefault="002A22AB" w:rsidP="001478A5">
            <w:pPr>
              <w:jc w:val="center"/>
              <w:rPr>
                <w:rFonts w:ascii="Arial Narrow" w:hAnsi="Arial Narrow"/>
                <w:b/>
                <w:bCs/>
                <w:noProof/>
                <w:color w:val="000000"/>
                <w:sz w:val="20"/>
                <w:szCs w:val="20"/>
              </w:rPr>
            </w:pPr>
            <w:r>
              <w:rPr>
                <w:rFonts w:ascii="Arial Narrow" w:hAnsi="Arial Narrow"/>
                <w:b/>
                <w:bCs/>
                <w:noProof/>
                <w:color w:val="000000"/>
                <w:sz w:val="20"/>
                <w:szCs w:val="20"/>
              </w:rPr>
              <w:t>0.</w:t>
            </w:r>
            <w:r w:rsidR="001478A5">
              <w:rPr>
                <w:rFonts w:ascii="Arial Narrow" w:hAnsi="Arial Narrow"/>
                <w:b/>
                <w:bCs/>
                <w:noProof/>
                <w:color w:val="000000"/>
                <w:sz w:val="20"/>
                <w:szCs w:val="20"/>
              </w:rPr>
              <w:t>182</w:t>
            </w:r>
          </w:p>
        </w:tc>
      </w:tr>
      <w:tr w:rsidR="002A22AB" w14:paraId="0EF14D1B" w14:textId="77777777" w:rsidTr="00CE3F2A">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3B74843C"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20 02 06 04 Studies and consultations</w:t>
            </w:r>
          </w:p>
        </w:tc>
        <w:tc>
          <w:tcPr>
            <w:tcW w:w="1275" w:type="dxa"/>
            <w:tcBorders>
              <w:top w:val="nil"/>
              <w:left w:val="nil"/>
              <w:bottom w:val="single" w:sz="4" w:space="0" w:color="auto"/>
              <w:right w:val="single" w:sz="4" w:space="0" w:color="auto"/>
            </w:tcBorders>
            <w:shd w:val="clear" w:color="auto" w:fill="auto"/>
            <w:vAlign w:val="center"/>
            <w:hideMark/>
          </w:tcPr>
          <w:p w14:paraId="0001D289"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0F671FD"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97FD4C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68136E4C"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C7B51C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31FDC01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EBE5EE2"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184AF6F8"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 </w:t>
            </w:r>
          </w:p>
        </w:tc>
      </w:tr>
      <w:tr w:rsidR="002A22AB" w14:paraId="674C7EF0" w14:textId="77777777" w:rsidTr="00CE3F2A">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5A27C373"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20 04 – IT expenditure (corporate)</w:t>
            </w:r>
            <w:r>
              <w:rPr>
                <w:rStyle w:val="FootnoteReference0"/>
                <w:rFonts w:ascii="Arial Narrow" w:hAnsi="Arial Narrow"/>
                <w:noProof/>
                <w:color w:val="000000"/>
                <w:sz w:val="20"/>
                <w:szCs w:val="20"/>
              </w:rPr>
              <w:footnoteReference w:id="62"/>
            </w:r>
            <w:r>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281E6EC"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C84C4E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C828B3D"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17247B4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D9A1DA5"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C702E6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6B0781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3AFBC1F4"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 </w:t>
            </w:r>
          </w:p>
        </w:tc>
      </w:tr>
      <w:tr w:rsidR="002A22AB" w14:paraId="4E1E2E91" w14:textId="77777777" w:rsidTr="00CE3F2A">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7CAE9A18"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Other budget lines non-HR related (</w:t>
            </w:r>
            <w:r>
              <w:rPr>
                <w:rFonts w:ascii="Arial Narrow" w:hAnsi="Arial Narrow"/>
                <w:i/>
                <w:iCs/>
                <w:noProof/>
                <w:color w:val="000000"/>
                <w:sz w:val="20"/>
                <w:szCs w:val="20"/>
              </w:rPr>
              <w:t>specify where necessary</w:t>
            </w:r>
            <w:r>
              <w:rPr>
                <w:rFonts w:ascii="Arial Narrow" w:hAnsi="Arial Narrow"/>
                <w:noProof/>
                <w:color w:val="000000"/>
                <w:sz w:val="20"/>
                <w:szCs w:val="20"/>
              </w:rPr>
              <w:t>)</w:t>
            </w:r>
          </w:p>
        </w:tc>
        <w:tc>
          <w:tcPr>
            <w:tcW w:w="1275" w:type="dxa"/>
            <w:tcBorders>
              <w:top w:val="nil"/>
              <w:left w:val="nil"/>
              <w:bottom w:val="single" w:sz="4" w:space="0" w:color="auto"/>
              <w:right w:val="single" w:sz="4" w:space="0" w:color="auto"/>
            </w:tcBorders>
            <w:shd w:val="clear" w:color="auto" w:fill="auto"/>
            <w:vAlign w:val="center"/>
            <w:hideMark/>
          </w:tcPr>
          <w:p w14:paraId="515A93E9"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AE941F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1945EED"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340A546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B55F1D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B2C212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6FFEAE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02E2B3F3"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 </w:t>
            </w:r>
          </w:p>
        </w:tc>
      </w:tr>
      <w:tr w:rsidR="002A22AB" w14:paraId="7005E378" w14:textId="77777777" w:rsidTr="00CE3F2A">
        <w:trPr>
          <w:trHeight w:val="300"/>
          <w:jc w:val="center"/>
        </w:trPr>
        <w:tc>
          <w:tcPr>
            <w:tcW w:w="4410" w:type="dxa"/>
            <w:tcBorders>
              <w:top w:val="nil"/>
              <w:left w:val="single" w:sz="4" w:space="0" w:color="auto"/>
              <w:bottom w:val="single" w:sz="4" w:space="0" w:color="auto"/>
              <w:right w:val="single" w:sz="4" w:space="0" w:color="auto"/>
            </w:tcBorders>
            <w:shd w:val="pct25" w:color="CCFFCC" w:fill="EDFFED"/>
            <w:vAlign w:val="center"/>
            <w:hideMark/>
          </w:tcPr>
          <w:p w14:paraId="76ED60D8" w14:textId="77777777" w:rsidR="002A22AB" w:rsidRDefault="002A22AB" w:rsidP="00CE3F2A">
            <w:pPr>
              <w:rPr>
                <w:rFonts w:ascii="Arial Narrow" w:hAnsi="Arial Narrow"/>
                <w:b/>
                <w:bCs/>
                <w:noProof/>
                <w:color w:val="008000"/>
                <w:sz w:val="20"/>
                <w:szCs w:val="20"/>
                <w:u w:val="single"/>
              </w:rPr>
            </w:pPr>
            <w:r>
              <w:rPr>
                <w:rFonts w:ascii="Arial Narrow" w:hAnsi="Arial Narrow"/>
                <w:b/>
                <w:bCs/>
                <w:noProof/>
                <w:color w:val="008000"/>
                <w:sz w:val="20"/>
                <w:szCs w:val="20"/>
                <w:u w:val="single"/>
              </w:rPr>
              <w:t>In Union delegations</w:t>
            </w:r>
          </w:p>
        </w:tc>
        <w:tc>
          <w:tcPr>
            <w:tcW w:w="1275" w:type="dxa"/>
            <w:tcBorders>
              <w:top w:val="nil"/>
              <w:left w:val="nil"/>
              <w:bottom w:val="single" w:sz="4" w:space="0" w:color="auto"/>
              <w:right w:val="single" w:sz="4" w:space="0" w:color="auto"/>
            </w:tcBorders>
            <w:shd w:val="clear" w:color="auto" w:fill="auto"/>
            <w:vAlign w:val="center"/>
            <w:hideMark/>
          </w:tcPr>
          <w:p w14:paraId="0BA92C18"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40D3E4D"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3B1C08E8"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3D8E8CB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0B9198E"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816249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486A40E"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3C504F7B"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 </w:t>
            </w:r>
          </w:p>
        </w:tc>
      </w:tr>
      <w:tr w:rsidR="002A22AB" w14:paraId="0F61F1A1" w14:textId="77777777" w:rsidTr="00CE3F2A">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2CF45EDE"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20 02 07 01 - Missions, conferences and representation expenses</w:t>
            </w:r>
          </w:p>
        </w:tc>
        <w:tc>
          <w:tcPr>
            <w:tcW w:w="1275" w:type="dxa"/>
            <w:tcBorders>
              <w:top w:val="nil"/>
              <w:left w:val="nil"/>
              <w:bottom w:val="single" w:sz="4" w:space="0" w:color="auto"/>
              <w:right w:val="single" w:sz="4" w:space="0" w:color="auto"/>
            </w:tcBorders>
            <w:shd w:val="clear" w:color="auto" w:fill="auto"/>
            <w:vAlign w:val="center"/>
            <w:hideMark/>
          </w:tcPr>
          <w:p w14:paraId="35E83042"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790240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FC1ED8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2DC2A34C"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EFF5E1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5CA97FD"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8359EC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0C17FD6D"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 </w:t>
            </w:r>
          </w:p>
        </w:tc>
      </w:tr>
      <w:tr w:rsidR="002A22AB" w14:paraId="5211CA80" w14:textId="77777777" w:rsidTr="00CE3F2A">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3B7F555A"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20 02 07 02 - Further training of staff</w:t>
            </w:r>
          </w:p>
        </w:tc>
        <w:tc>
          <w:tcPr>
            <w:tcW w:w="1275" w:type="dxa"/>
            <w:tcBorders>
              <w:top w:val="nil"/>
              <w:left w:val="nil"/>
              <w:bottom w:val="single" w:sz="4" w:space="0" w:color="auto"/>
              <w:right w:val="single" w:sz="4" w:space="0" w:color="auto"/>
            </w:tcBorders>
            <w:shd w:val="clear" w:color="auto" w:fill="auto"/>
            <w:vAlign w:val="center"/>
            <w:hideMark/>
          </w:tcPr>
          <w:p w14:paraId="1EFA297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E14ECC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3CB890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3253733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6787B0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7154252"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59DF7C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3837DC78"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 </w:t>
            </w:r>
          </w:p>
        </w:tc>
      </w:tr>
      <w:tr w:rsidR="002A22AB" w14:paraId="50E11B81" w14:textId="77777777" w:rsidTr="00CE3F2A">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0F92615A"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20 03 05 – Infrastructure and logistics</w:t>
            </w:r>
          </w:p>
        </w:tc>
        <w:tc>
          <w:tcPr>
            <w:tcW w:w="1275" w:type="dxa"/>
            <w:tcBorders>
              <w:top w:val="nil"/>
              <w:left w:val="nil"/>
              <w:bottom w:val="single" w:sz="4" w:space="0" w:color="auto"/>
              <w:right w:val="single" w:sz="4" w:space="0" w:color="auto"/>
            </w:tcBorders>
            <w:shd w:val="clear" w:color="auto" w:fill="auto"/>
            <w:vAlign w:val="center"/>
            <w:hideMark/>
          </w:tcPr>
          <w:p w14:paraId="7DAD6CC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133A34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350CAF0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42A40C5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A79642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E049499"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0C5764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1257E461"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 </w:t>
            </w:r>
          </w:p>
        </w:tc>
      </w:tr>
      <w:tr w:rsidR="002A22AB" w14:paraId="3EC12EB0" w14:textId="77777777" w:rsidTr="00CE3F2A">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66E8FB87"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Other budget lines non-HR related (</w:t>
            </w:r>
            <w:r>
              <w:rPr>
                <w:rFonts w:ascii="Arial Narrow" w:hAnsi="Arial Narrow"/>
                <w:i/>
                <w:iCs/>
                <w:noProof/>
                <w:color w:val="000000"/>
                <w:sz w:val="20"/>
                <w:szCs w:val="20"/>
              </w:rPr>
              <w:t>specify where necessary</w:t>
            </w:r>
            <w:r>
              <w:rPr>
                <w:rFonts w:ascii="Arial Narrow" w:hAnsi="Arial Narrow"/>
                <w:noProof/>
                <w:color w:val="000000"/>
                <w:sz w:val="20"/>
                <w:szCs w:val="20"/>
              </w:rPr>
              <w:t>)</w:t>
            </w:r>
          </w:p>
        </w:tc>
        <w:tc>
          <w:tcPr>
            <w:tcW w:w="1275" w:type="dxa"/>
            <w:tcBorders>
              <w:top w:val="nil"/>
              <w:left w:val="nil"/>
              <w:bottom w:val="single" w:sz="4" w:space="0" w:color="auto"/>
              <w:right w:val="single" w:sz="4" w:space="0" w:color="auto"/>
            </w:tcBorders>
            <w:shd w:val="clear" w:color="auto" w:fill="auto"/>
            <w:vAlign w:val="center"/>
            <w:hideMark/>
          </w:tcPr>
          <w:p w14:paraId="130657D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563A45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AA5BA3D"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12E6750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E24503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226B43C"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1DD429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005101DD"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 </w:t>
            </w:r>
          </w:p>
        </w:tc>
      </w:tr>
      <w:tr w:rsidR="002A22AB" w14:paraId="5D946108" w14:textId="77777777" w:rsidTr="00CE3F2A">
        <w:trPr>
          <w:trHeight w:val="6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8E0A5" w14:textId="77777777" w:rsidR="002A22AB" w:rsidRDefault="002A22AB" w:rsidP="00CE3F2A">
            <w:pPr>
              <w:jc w:val="center"/>
              <w:rPr>
                <w:rFonts w:ascii="Arial Narrow" w:hAnsi="Arial Narrow"/>
                <w:b/>
                <w:bCs/>
                <w:noProof/>
                <w:color w:val="000000"/>
                <w:sz w:val="22"/>
              </w:rPr>
            </w:pPr>
            <w:r>
              <w:rPr>
                <w:rFonts w:ascii="Arial Narrow" w:hAnsi="Arial Narrow"/>
                <w:b/>
                <w:bCs/>
                <w:noProof/>
                <w:color w:val="000000"/>
                <w:sz w:val="22"/>
              </w:rPr>
              <w:t>Subtotal Other - HEADING 7</w:t>
            </w:r>
          </w:p>
          <w:p w14:paraId="7F3EDF79" w14:textId="77777777" w:rsidR="002A22AB" w:rsidRDefault="002A22AB" w:rsidP="00CE3F2A">
            <w:pPr>
              <w:jc w:val="center"/>
              <w:rPr>
                <w:rFonts w:ascii="Arial Narrow" w:hAnsi="Arial Narrow"/>
                <w:b/>
                <w:bCs/>
                <w:noProof/>
                <w:color w:val="000000"/>
                <w:sz w:val="22"/>
              </w:rPr>
            </w:pPr>
            <w:r>
              <w:rPr>
                <w:rFonts w:ascii="Arial Narrow" w:hAnsi="Arial Narrow"/>
                <w:noProof/>
                <w:color w:val="000000"/>
                <w:sz w:val="22"/>
              </w:rPr>
              <w:t>of the multiannual financial framework</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2A101461" w14:textId="565FA629" w:rsidR="002A22AB" w:rsidRDefault="002A22AB" w:rsidP="001478A5">
            <w:pPr>
              <w:jc w:val="center"/>
              <w:rPr>
                <w:rFonts w:ascii="Arial Narrow" w:hAnsi="Arial Narrow"/>
                <w:noProof/>
                <w:color w:val="000000"/>
                <w:sz w:val="20"/>
                <w:szCs w:val="20"/>
              </w:rPr>
            </w:pPr>
            <w:r>
              <w:rPr>
                <w:rFonts w:ascii="Arial Narrow" w:hAnsi="Arial Narrow"/>
                <w:noProof/>
                <w:color w:val="000000"/>
                <w:sz w:val="20"/>
                <w:szCs w:val="20"/>
              </w:rPr>
              <w:t>0.</w:t>
            </w:r>
            <w:r w:rsidR="001478A5">
              <w:rPr>
                <w:rFonts w:ascii="Arial Narrow" w:hAnsi="Arial Narrow"/>
                <w:noProof/>
                <w:color w:val="000000"/>
                <w:sz w:val="20"/>
                <w:szCs w:val="20"/>
              </w:rPr>
              <w:t>225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5EA849C" w14:textId="7EF776A6" w:rsidR="002A22AB" w:rsidRDefault="002A22AB" w:rsidP="001478A5">
            <w:pPr>
              <w:jc w:val="center"/>
              <w:rPr>
                <w:rFonts w:ascii="Arial Narrow" w:hAnsi="Arial Narrow"/>
                <w:noProof/>
                <w:color w:val="000000"/>
                <w:sz w:val="20"/>
                <w:szCs w:val="20"/>
              </w:rPr>
            </w:pPr>
            <w:r>
              <w:rPr>
                <w:rFonts w:ascii="Arial Narrow" w:hAnsi="Arial Narrow"/>
                <w:noProof/>
                <w:color w:val="000000"/>
                <w:sz w:val="20"/>
                <w:szCs w:val="20"/>
              </w:rPr>
              <w:t> 0.</w:t>
            </w:r>
            <w:r w:rsidR="001478A5">
              <w:rPr>
                <w:rFonts w:ascii="Arial Narrow" w:hAnsi="Arial Narrow"/>
                <w:noProof/>
                <w:color w:val="000000"/>
                <w:sz w:val="20"/>
                <w:szCs w:val="20"/>
              </w:rPr>
              <w:t>225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0EE376D" w14:textId="58936AD9" w:rsidR="002A22AB" w:rsidRDefault="002A22AB" w:rsidP="001478A5">
            <w:pPr>
              <w:jc w:val="center"/>
              <w:rPr>
                <w:rFonts w:ascii="Arial Narrow" w:hAnsi="Arial Narrow"/>
                <w:noProof/>
                <w:color w:val="000000"/>
                <w:sz w:val="20"/>
                <w:szCs w:val="20"/>
              </w:rPr>
            </w:pPr>
            <w:r>
              <w:rPr>
                <w:rFonts w:ascii="Arial Narrow" w:hAnsi="Arial Narrow"/>
                <w:noProof/>
                <w:color w:val="000000"/>
                <w:sz w:val="20"/>
                <w:szCs w:val="20"/>
              </w:rPr>
              <w:t>0.</w:t>
            </w:r>
            <w:r w:rsidR="001478A5">
              <w:rPr>
                <w:rFonts w:ascii="Arial Narrow" w:hAnsi="Arial Narrow"/>
                <w:noProof/>
                <w:color w:val="000000"/>
                <w:sz w:val="20"/>
                <w:szCs w:val="20"/>
              </w:rPr>
              <w:t>186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DD139DF" w14:textId="009C3D58" w:rsidR="002A22AB" w:rsidRDefault="002A22AB" w:rsidP="001478A5">
            <w:pPr>
              <w:jc w:val="center"/>
              <w:rPr>
                <w:rFonts w:ascii="Arial Narrow" w:hAnsi="Arial Narrow"/>
                <w:noProof/>
                <w:color w:val="000000"/>
                <w:sz w:val="20"/>
                <w:szCs w:val="20"/>
              </w:rPr>
            </w:pPr>
            <w:r>
              <w:rPr>
                <w:rFonts w:ascii="Arial Narrow" w:hAnsi="Arial Narrow"/>
                <w:noProof/>
                <w:color w:val="000000"/>
                <w:sz w:val="20"/>
                <w:szCs w:val="20"/>
              </w:rPr>
              <w:t>0.</w:t>
            </w:r>
            <w:r w:rsidR="001478A5">
              <w:rPr>
                <w:rFonts w:ascii="Arial Narrow" w:hAnsi="Arial Narrow"/>
                <w:noProof/>
                <w:color w:val="000000"/>
                <w:sz w:val="20"/>
                <w:szCs w:val="20"/>
              </w:rPr>
              <w:t>186</w:t>
            </w:r>
            <w:r>
              <w:rPr>
                <w:rFonts w:ascii="Arial Narrow" w:hAnsi="Arial Narrow"/>
                <w:noProof/>
                <w:color w:val="000000"/>
                <w:sz w:val="20"/>
                <w:szCs w:val="2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EA601B8"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19CC44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623198E"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3B985226" w14:textId="6CB024C1" w:rsidR="002A22AB" w:rsidRDefault="001478A5" w:rsidP="00CE3F2A">
            <w:pPr>
              <w:jc w:val="center"/>
              <w:rPr>
                <w:rFonts w:ascii="Arial Narrow" w:hAnsi="Arial Narrow"/>
                <w:b/>
                <w:bCs/>
                <w:noProof/>
                <w:color w:val="000000"/>
                <w:sz w:val="20"/>
                <w:szCs w:val="20"/>
              </w:rPr>
            </w:pPr>
            <w:r>
              <w:rPr>
                <w:rFonts w:ascii="Arial Narrow" w:hAnsi="Arial Narrow"/>
                <w:b/>
                <w:bCs/>
                <w:noProof/>
                <w:color w:val="000000"/>
                <w:sz w:val="20"/>
                <w:szCs w:val="20"/>
              </w:rPr>
              <w:t>0.822</w:t>
            </w:r>
          </w:p>
        </w:tc>
      </w:tr>
    </w:tbl>
    <w:p w14:paraId="205B58F5" w14:textId="77777777" w:rsidR="002A22AB" w:rsidRDefault="002A22AB" w:rsidP="002A22AB">
      <w:pPr>
        <w:jc w:val="right"/>
        <w:rPr>
          <w:rFonts w:ascii="Arial Narrow" w:hAnsi="Arial Narrow"/>
          <w:i/>
          <w:noProof/>
          <w:sz w:val="20"/>
          <w:szCs w:val="20"/>
        </w:rPr>
      </w:pPr>
    </w:p>
    <w:p w14:paraId="6B707BCE" w14:textId="77777777" w:rsidR="002A22AB" w:rsidRDefault="002A22AB" w:rsidP="002A22AB">
      <w:pPr>
        <w:ind w:right="-496"/>
        <w:rPr>
          <w:rFonts w:ascii="Arial Narrow" w:hAnsi="Arial Narrow"/>
          <w:b/>
          <w:noProof/>
          <w:color w:val="0000FF"/>
          <w:sz w:val="20"/>
          <w:szCs w:val="20"/>
        </w:rPr>
      </w:pPr>
    </w:p>
    <w:p w14:paraId="554A6EA4" w14:textId="77777777" w:rsidR="002A22AB" w:rsidRDefault="002A22AB" w:rsidP="002A22AB">
      <w:pPr>
        <w:rPr>
          <w:rFonts w:ascii="Arial Narrow" w:hAnsi="Arial Narrow"/>
          <w:b/>
          <w:noProof/>
          <w:color w:val="0000FF"/>
          <w:sz w:val="20"/>
          <w:szCs w:val="20"/>
        </w:rPr>
      </w:pPr>
    </w:p>
    <w:p w14:paraId="23837D7F" w14:textId="77777777" w:rsidR="002A22AB" w:rsidRPr="00556E60" w:rsidRDefault="002A22AB" w:rsidP="002A22AB">
      <w:pPr>
        <w:ind w:right="-496"/>
        <w:jc w:val="right"/>
        <w:rPr>
          <w:i/>
          <w:iCs/>
          <w:noProof/>
          <w:sz w:val="20"/>
          <w:szCs w:val="20"/>
        </w:rPr>
      </w:pPr>
      <w:r w:rsidRPr="00556E60">
        <w:rPr>
          <w:i/>
          <w:noProof/>
          <w:sz w:val="20"/>
          <w:szCs w:val="20"/>
        </w:rPr>
        <w:t>EUR million (to three decimal places)</w:t>
      </w:r>
    </w:p>
    <w:tbl>
      <w:tblPr>
        <w:tblW w:w="14670" w:type="dxa"/>
        <w:jc w:val="center"/>
        <w:tblLook w:val="04A0" w:firstRow="1" w:lastRow="0" w:firstColumn="1" w:lastColumn="0" w:noHBand="0" w:noVBand="1"/>
      </w:tblPr>
      <w:tblGrid>
        <w:gridCol w:w="4361"/>
        <w:gridCol w:w="1276"/>
        <w:gridCol w:w="1250"/>
        <w:gridCol w:w="1263"/>
        <w:gridCol w:w="1314"/>
        <w:gridCol w:w="1305"/>
        <w:gridCol w:w="1306"/>
        <w:gridCol w:w="1358"/>
        <w:gridCol w:w="1237"/>
      </w:tblGrid>
      <w:tr w:rsidR="002A22AB" w14:paraId="2B39FD4D" w14:textId="77777777" w:rsidTr="00CE3F2A">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72248B" w14:textId="77777777" w:rsidR="002A22AB" w:rsidRDefault="002A22AB" w:rsidP="00CE3F2A">
            <w:pPr>
              <w:jc w:val="center"/>
              <w:rPr>
                <w:rFonts w:ascii="Arial Narrow" w:hAnsi="Arial Narrow"/>
                <w:noProof/>
                <w:color w:val="000000"/>
                <w:sz w:val="22"/>
              </w:rPr>
            </w:pPr>
            <w:r>
              <w:rPr>
                <w:rFonts w:ascii="Arial Narrow" w:hAnsi="Arial Narrow"/>
                <w:b/>
                <w:bCs/>
                <w:noProof/>
                <w:color w:val="000000"/>
                <w:sz w:val="22"/>
              </w:rPr>
              <w:t>Outside HEADING 7</w:t>
            </w:r>
            <w:r>
              <w:rPr>
                <w:rFonts w:ascii="Arial Narrow" w:hAnsi="Arial Narrow"/>
                <w:noProof/>
                <w:color w:val="000000"/>
                <w:sz w:val="22"/>
              </w:rPr>
              <w:t xml:space="preserve"> </w:t>
            </w:r>
          </w:p>
          <w:p w14:paraId="63F08CD6" w14:textId="77777777" w:rsidR="002A22AB" w:rsidRDefault="002A22AB" w:rsidP="00CE3F2A">
            <w:pPr>
              <w:jc w:val="center"/>
              <w:rPr>
                <w:rFonts w:ascii="Arial Narrow" w:hAnsi="Arial Narrow"/>
                <w:b/>
                <w:bCs/>
                <w:noProof/>
                <w:color w:val="000000"/>
                <w:sz w:val="22"/>
              </w:rPr>
            </w:pPr>
            <w:r>
              <w:rPr>
                <w:rFonts w:ascii="Arial Narrow" w:hAnsi="Arial Narrow"/>
                <w:noProof/>
                <w:color w:val="000000"/>
                <w:sz w:val="22"/>
              </w:rPr>
              <w:t>of the multiannual financial framework</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57CB41" w14:textId="77777777" w:rsidR="002A22AB" w:rsidRDefault="002A22AB" w:rsidP="00CE3F2A">
            <w:pPr>
              <w:jc w:val="center"/>
              <w:rPr>
                <w:rFonts w:ascii="Arial Narrow" w:hAnsi="Arial Narrow"/>
                <w:b/>
                <w:bCs/>
                <w:noProof/>
                <w:color w:val="0000FF"/>
                <w:sz w:val="20"/>
                <w:szCs w:val="20"/>
              </w:rPr>
            </w:pPr>
            <w:r w:rsidRPr="00FA7B9A">
              <w:rPr>
                <w:rFonts w:ascii="Arial Narrow" w:hAnsi="Arial Narrow"/>
                <w:b/>
                <w:bCs/>
                <w:noProof/>
                <w:color w:val="0000FF"/>
                <w:sz w:val="20"/>
                <w:szCs w:val="20"/>
                <w:lang w:val="en-US"/>
              </w:rPr>
              <w:t>2024</w:t>
            </w:r>
          </w:p>
        </w:tc>
        <w:tc>
          <w:tcPr>
            <w:tcW w:w="1250" w:type="dxa"/>
            <w:tcBorders>
              <w:top w:val="single" w:sz="4" w:space="0" w:color="auto"/>
              <w:left w:val="nil"/>
              <w:bottom w:val="single" w:sz="4" w:space="0" w:color="auto"/>
              <w:right w:val="single" w:sz="4" w:space="0" w:color="auto"/>
            </w:tcBorders>
            <w:shd w:val="clear" w:color="auto" w:fill="auto"/>
            <w:vAlign w:val="center"/>
          </w:tcPr>
          <w:p w14:paraId="291D4A77" w14:textId="77777777" w:rsidR="002A22AB" w:rsidRDefault="002A22AB" w:rsidP="00CE3F2A">
            <w:pPr>
              <w:jc w:val="center"/>
              <w:rPr>
                <w:rFonts w:ascii="Arial Narrow" w:hAnsi="Arial Narrow"/>
                <w:b/>
                <w:bCs/>
                <w:noProof/>
                <w:color w:val="0000FF"/>
                <w:sz w:val="20"/>
                <w:szCs w:val="20"/>
              </w:rPr>
            </w:pPr>
            <w:r w:rsidRPr="00FA7B9A">
              <w:rPr>
                <w:rFonts w:ascii="Arial Narrow" w:hAnsi="Arial Narrow"/>
                <w:b/>
                <w:bCs/>
                <w:noProof/>
                <w:color w:val="0000FF"/>
                <w:sz w:val="20"/>
                <w:szCs w:val="20"/>
                <w:lang w:val="en-US"/>
              </w:rPr>
              <w:t>20</w:t>
            </w:r>
            <w:r>
              <w:rPr>
                <w:rFonts w:ascii="Arial Narrow" w:hAnsi="Arial Narrow"/>
                <w:b/>
                <w:bCs/>
                <w:noProof/>
                <w:color w:val="0000FF"/>
                <w:sz w:val="20"/>
                <w:szCs w:val="20"/>
                <w:lang w:val="fr-FR"/>
              </w:rPr>
              <w:t>25</w:t>
            </w:r>
          </w:p>
        </w:tc>
        <w:tc>
          <w:tcPr>
            <w:tcW w:w="1263" w:type="dxa"/>
            <w:tcBorders>
              <w:top w:val="single" w:sz="4" w:space="0" w:color="auto"/>
              <w:left w:val="nil"/>
              <w:bottom w:val="single" w:sz="4" w:space="0" w:color="auto"/>
              <w:right w:val="single" w:sz="4" w:space="0" w:color="auto"/>
            </w:tcBorders>
            <w:shd w:val="clear" w:color="auto" w:fill="auto"/>
            <w:vAlign w:val="center"/>
          </w:tcPr>
          <w:p w14:paraId="63BE8681" w14:textId="77777777" w:rsidR="002A22AB" w:rsidRDefault="002A22AB" w:rsidP="00CE3F2A">
            <w:pPr>
              <w:jc w:val="center"/>
              <w:rPr>
                <w:rFonts w:ascii="Arial Narrow" w:hAnsi="Arial Narrow"/>
                <w:b/>
                <w:bCs/>
                <w:noProof/>
                <w:color w:val="0000FF"/>
                <w:sz w:val="20"/>
                <w:szCs w:val="20"/>
              </w:rPr>
            </w:pPr>
            <w:r>
              <w:rPr>
                <w:rFonts w:ascii="Arial Narrow" w:hAnsi="Arial Narrow"/>
                <w:b/>
                <w:bCs/>
                <w:noProof/>
                <w:color w:val="0000FF"/>
                <w:sz w:val="20"/>
                <w:szCs w:val="20"/>
                <w:lang w:val="fr-FR"/>
              </w:rPr>
              <w:t>2026</w:t>
            </w:r>
          </w:p>
        </w:tc>
        <w:tc>
          <w:tcPr>
            <w:tcW w:w="1314" w:type="dxa"/>
            <w:tcBorders>
              <w:top w:val="single" w:sz="4" w:space="0" w:color="auto"/>
              <w:left w:val="nil"/>
              <w:bottom w:val="single" w:sz="4" w:space="0" w:color="auto"/>
              <w:right w:val="single" w:sz="4" w:space="0" w:color="auto"/>
            </w:tcBorders>
            <w:shd w:val="clear" w:color="auto" w:fill="auto"/>
            <w:vAlign w:val="center"/>
          </w:tcPr>
          <w:p w14:paraId="1F3AE373" w14:textId="77777777" w:rsidR="002A22AB" w:rsidRDefault="002A22AB" w:rsidP="00CE3F2A">
            <w:pPr>
              <w:jc w:val="center"/>
              <w:rPr>
                <w:rFonts w:ascii="Arial Narrow" w:hAnsi="Arial Narrow"/>
                <w:b/>
                <w:bCs/>
                <w:noProof/>
                <w:color w:val="0000FF"/>
                <w:sz w:val="20"/>
                <w:szCs w:val="20"/>
              </w:rPr>
            </w:pPr>
            <w:r>
              <w:rPr>
                <w:rFonts w:ascii="Arial Narrow" w:hAnsi="Arial Narrow"/>
                <w:b/>
                <w:bCs/>
                <w:noProof/>
                <w:color w:val="0000FF"/>
                <w:sz w:val="20"/>
                <w:szCs w:val="20"/>
                <w:lang w:val="fr-FR"/>
              </w:rPr>
              <w:t>2027</w:t>
            </w:r>
          </w:p>
        </w:tc>
        <w:tc>
          <w:tcPr>
            <w:tcW w:w="1305" w:type="dxa"/>
            <w:tcBorders>
              <w:top w:val="single" w:sz="4" w:space="0" w:color="auto"/>
              <w:left w:val="nil"/>
              <w:bottom w:val="single" w:sz="4" w:space="0" w:color="auto"/>
              <w:right w:val="single" w:sz="4" w:space="0" w:color="auto"/>
            </w:tcBorders>
            <w:shd w:val="clear" w:color="auto" w:fill="auto"/>
            <w:vAlign w:val="center"/>
          </w:tcPr>
          <w:p w14:paraId="31346B6D" w14:textId="77777777" w:rsidR="002A22AB" w:rsidRDefault="002A22AB" w:rsidP="00CE3F2A">
            <w:pPr>
              <w:jc w:val="center"/>
              <w:rPr>
                <w:rFonts w:ascii="Arial Narrow" w:hAnsi="Arial Narrow"/>
                <w:b/>
                <w:bCs/>
                <w:noProof/>
                <w:color w:val="0000FF"/>
                <w:sz w:val="20"/>
                <w:szCs w:val="20"/>
              </w:rPr>
            </w:pP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4309F45D" w14:textId="77777777" w:rsidR="002A22AB" w:rsidRDefault="002A22AB" w:rsidP="00CE3F2A">
            <w:pPr>
              <w:jc w:val="center"/>
              <w:rPr>
                <w:rFonts w:ascii="Arial Narrow" w:hAnsi="Arial Narrow"/>
                <w:b/>
                <w:bCs/>
                <w:noProof/>
                <w:color w:val="0000FF"/>
                <w:sz w:val="20"/>
                <w:szCs w:val="20"/>
              </w:rPr>
            </w:pP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6FF05D5D" w14:textId="77777777" w:rsidR="002A22AB" w:rsidRDefault="002A22AB" w:rsidP="00CE3F2A">
            <w:pPr>
              <w:jc w:val="center"/>
              <w:rPr>
                <w:rFonts w:ascii="Arial Narrow" w:hAnsi="Arial Narrow"/>
                <w:b/>
                <w:bCs/>
                <w:noProof/>
                <w:color w:val="0000FF"/>
                <w:sz w:val="20"/>
                <w:szCs w:val="20"/>
              </w:rPr>
            </w:pP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733AA0DC"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Total</w:t>
            </w:r>
          </w:p>
        </w:tc>
      </w:tr>
      <w:tr w:rsidR="002A22AB" w14:paraId="416AE43D" w14:textId="77777777" w:rsidTr="00CE3F2A">
        <w:trPr>
          <w:trHeight w:val="765"/>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6AB743AB"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Expenditure on technical and administrative assistance (</w:t>
            </w:r>
            <w:r>
              <w:rPr>
                <w:rFonts w:ascii="Arial Narrow" w:hAnsi="Arial Narrow"/>
                <w:noProof/>
                <w:color w:val="000000"/>
                <w:sz w:val="20"/>
                <w:szCs w:val="20"/>
                <w:u w:val="single"/>
              </w:rPr>
              <w:t>not including</w:t>
            </w:r>
            <w:r>
              <w:rPr>
                <w:rFonts w:ascii="Arial Narrow" w:hAnsi="Arial Narrow"/>
                <w:noProof/>
                <w:color w:val="000000"/>
                <w:sz w:val="20"/>
                <w:szCs w:val="20"/>
              </w:rPr>
              <w:t xml:space="preserve"> external staff) from operational appropriations (former 'BA' lines):</w:t>
            </w:r>
          </w:p>
        </w:tc>
        <w:tc>
          <w:tcPr>
            <w:tcW w:w="1276" w:type="dxa"/>
            <w:tcBorders>
              <w:top w:val="nil"/>
              <w:left w:val="nil"/>
              <w:bottom w:val="single" w:sz="4" w:space="0" w:color="auto"/>
              <w:right w:val="single" w:sz="4" w:space="0" w:color="auto"/>
            </w:tcBorders>
            <w:shd w:val="clear" w:color="auto" w:fill="auto"/>
            <w:vAlign w:val="center"/>
            <w:hideMark/>
          </w:tcPr>
          <w:p w14:paraId="13ABE904"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4516F58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63" w:type="dxa"/>
            <w:tcBorders>
              <w:top w:val="nil"/>
              <w:left w:val="nil"/>
              <w:bottom w:val="single" w:sz="4" w:space="0" w:color="auto"/>
              <w:right w:val="single" w:sz="4" w:space="0" w:color="auto"/>
            </w:tcBorders>
            <w:shd w:val="clear" w:color="auto" w:fill="auto"/>
            <w:vAlign w:val="center"/>
            <w:hideMark/>
          </w:tcPr>
          <w:p w14:paraId="1CD602ED"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14" w:type="dxa"/>
            <w:tcBorders>
              <w:top w:val="nil"/>
              <w:left w:val="nil"/>
              <w:bottom w:val="single" w:sz="4" w:space="0" w:color="auto"/>
              <w:right w:val="single" w:sz="4" w:space="0" w:color="auto"/>
            </w:tcBorders>
            <w:shd w:val="clear" w:color="auto" w:fill="auto"/>
            <w:vAlign w:val="center"/>
            <w:hideMark/>
          </w:tcPr>
          <w:p w14:paraId="593B117E"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4A1AEEF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64EF5B8"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58" w:type="dxa"/>
            <w:tcBorders>
              <w:top w:val="nil"/>
              <w:left w:val="nil"/>
              <w:bottom w:val="single" w:sz="4" w:space="0" w:color="auto"/>
              <w:right w:val="single" w:sz="4" w:space="0" w:color="auto"/>
            </w:tcBorders>
            <w:shd w:val="clear" w:color="auto" w:fill="auto"/>
            <w:vAlign w:val="center"/>
            <w:hideMark/>
          </w:tcPr>
          <w:p w14:paraId="1E3541D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37" w:type="dxa"/>
            <w:tcBorders>
              <w:top w:val="nil"/>
              <w:left w:val="nil"/>
              <w:bottom w:val="single" w:sz="4" w:space="0" w:color="auto"/>
              <w:right w:val="single" w:sz="4" w:space="0" w:color="auto"/>
            </w:tcBorders>
            <w:shd w:val="clear" w:color="auto" w:fill="auto"/>
            <w:vAlign w:val="center"/>
            <w:hideMark/>
          </w:tcPr>
          <w:p w14:paraId="7C2C0FE6"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 </w:t>
            </w:r>
          </w:p>
        </w:tc>
      </w:tr>
      <w:tr w:rsidR="002A22AB" w14:paraId="6D107ADF" w14:textId="77777777" w:rsidTr="00CE3F2A">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3CC2D166" w14:textId="77777777" w:rsidR="002A22AB" w:rsidRDefault="002A22AB" w:rsidP="00CE3F2A">
            <w:pPr>
              <w:ind w:firstLineChars="100" w:firstLine="200"/>
              <w:rPr>
                <w:rFonts w:ascii="Arial Narrow" w:hAnsi="Arial Narrow"/>
                <w:noProof/>
                <w:color w:val="000000"/>
                <w:sz w:val="20"/>
                <w:szCs w:val="20"/>
              </w:rPr>
            </w:pPr>
            <w:r>
              <w:rPr>
                <w:rFonts w:ascii="Arial Narrow" w:hAnsi="Arial Narrow"/>
                <w:noProof/>
                <w:color w:val="000000"/>
                <w:sz w:val="20"/>
                <w:szCs w:val="20"/>
              </w:rPr>
              <w:t>- at Headquarters</w:t>
            </w:r>
          </w:p>
        </w:tc>
        <w:tc>
          <w:tcPr>
            <w:tcW w:w="1276" w:type="dxa"/>
            <w:tcBorders>
              <w:top w:val="nil"/>
              <w:left w:val="nil"/>
              <w:bottom w:val="single" w:sz="4" w:space="0" w:color="auto"/>
              <w:right w:val="single" w:sz="4" w:space="0" w:color="auto"/>
            </w:tcBorders>
            <w:shd w:val="clear" w:color="auto" w:fill="auto"/>
            <w:vAlign w:val="center"/>
            <w:hideMark/>
          </w:tcPr>
          <w:p w14:paraId="18E81CB6"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1BA21FC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63" w:type="dxa"/>
            <w:tcBorders>
              <w:top w:val="nil"/>
              <w:left w:val="nil"/>
              <w:bottom w:val="single" w:sz="4" w:space="0" w:color="auto"/>
              <w:right w:val="single" w:sz="4" w:space="0" w:color="auto"/>
            </w:tcBorders>
            <w:shd w:val="clear" w:color="auto" w:fill="auto"/>
            <w:vAlign w:val="center"/>
            <w:hideMark/>
          </w:tcPr>
          <w:p w14:paraId="35A8D3F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14" w:type="dxa"/>
            <w:tcBorders>
              <w:top w:val="nil"/>
              <w:left w:val="nil"/>
              <w:bottom w:val="single" w:sz="4" w:space="0" w:color="auto"/>
              <w:right w:val="single" w:sz="4" w:space="0" w:color="auto"/>
            </w:tcBorders>
            <w:shd w:val="clear" w:color="auto" w:fill="auto"/>
            <w:vAlign w:val="center"/>
            <w:hideMark/>
          </w:tcPr>
          <w:p w14:paraId="28D905B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28BE47C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6D3890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58" w:type="dxa"/>
            <w:tcBorders>
              <w:top w:val="nil"/>
              <w:left w:val="nil"/>
              <w:bottom w:val="single" w:sz="4" w:space="0" w:color="auto"/>
              <w:right w:val="single" w:sz="4" w:space="0" w:color="auto"/>
            </w:tcBorders>
            <w:shd w:val="clear" w:color="auto" w:fill="auto"/>
            <w:vAlign w:val="center"/>
            <w:hideMark/>
          </w:tcPr>
          <w:p w14:paraId="1C3C0006"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37" w:type="dxa"/>
            <w:tcBorders>
              <w:top w:val="nil"/>
              <w:left w:val="nil"/>
              <w:bottom w:val="single" w:sz="4" w:space="0" w:color="auto"/>
              <w:right w:val="single" w:sz="4" w:space="0" w:color="auto"/>
            </w:tcBorders>
            <w:shd w:val="clear" w:color="auto" w:fill="auto"/>
            <w:vAlign w:val="center"/>
            <w:hideMark/>
          </w:tcPr>
          <w:p w14:paraId="44D9A80B"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 </w:t>
            </w:r>
          </w:p>
        </w:tc>
      </w:tr>
      <w:tr w:rsidR="002A22AB" w14:paraId="0514E359" w14:textId="77777777" w:rsidTr="00CE3F2A">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2C46A4CA" w14:textId="77777777" w:rsidR="002A22AB" w:rsidRDefault="002A22AB" w:rsidP="00CE3F2A">
            <w:pPr>
              <w:ind w:firstLineChars="100" w:firstLine="200"/>
              <w:rPr>
                <w:rFonts w:ascii="Arial Narrow" w:hAnsi="Arial Narrow"/>
                <w:noProof/>
                <w:color w:val="000000"/>
                <w:sz w:val="20"/>
                <w:szCs w:val="20"/>
              </w:rPr>
            </w:pPr>
            <w:r>
              <w:rPr>
                <w:rFonts w:ascii="Arial Narrow" w:hAnsi="Arial Narrow"/>
                <w:noProof/>
                <w:color w:val="000000"/>
                <w:sz w:val="20"/>
                <w:szCs w:val="20"/>
              </w:rPr>
              <w:t>- in Union delegations</w:t>
            </w:r>
          </w:p>
        </w:tc>
        <w:tc>
          <w:tcPr>
            <w:tcW w:w="1276" w:type="dxa"/>
            <w:tcBorders>
              <w:top w:val="nil"/>
              <w:left w:val="nil"/>
              <w:bottom w:val="single" w:sz="4" w:space="0" w:color="auto"/>
              <w:right w:val="single" w:sz="4" w:space="0" w:color="auto"/>
            </w:tcBorders>
            <w:shd w:val="clear" w:color="auto" w:fill="auto"/>
            <w:vAlign w:val="center"/>
            <w:hideMark/>
          </w:tcPr>
          <w:p w14:paraId="2D2CA2E4"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2471BF9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63" w:type="dxa"/>
            <w:tcBorders>
              <w:top w:val="nil"/>
              <w:left w:val="nil"/>
              <w:bottom w:val="single" w:sz="4" w:space="0" w:color="auto"/>
              <w:right w:val="single" w:sz="4" w:space="0" w:color="auto"/>
            </w:tcBorders>
            <w:shd w:val="clear" w:color="auto" w:fill="auto"/>
            <w:vAlign w:val="center"/>
            <w:hideMark/>
          </w:tcPr>
          <w:p w14:paraId="3ACF2D7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14" w:type="dxa"/>
            <w:tcBorders>
              <w:top w:val="nil"/>
              <w:left w:val="nil"/>
              <w:bottom w:val="single" w:sz="4" w:space="0" w:color="auto"/>
              <w:right w:val="single" w:sz="4" w:space="0" w:color="auto"/>
            </w:tcBorders>
            <w:shd w:val="clear" w:color="auto" w:fill="auto"/>
            <w:vAlign w:val="center"/>
            <w:hideMark/>
          </w:tcPr>
          <w:p w14:paraId="390FF78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349728C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604C32C"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58" w:type="dxa"/>
            <w:tcBorders>
              <w:top w:val="nil"/>
              <w:left w:val="nil"/>
              <w:bottom w:val="single" w:sz="4" w:space="0" w:color="auto"/>
              <w:right w:val="single" w:sz="4" w:space="0" w:color="auto"/>
            </w:tcBorders>
            <w:shd w:val="clear" w:color="auto" w:fill="auto"/>
            <w:vAlign w:val="center"/>
            <w:hideMark/>
          </w:tcPr>
          <w:p w14:paraId="1FC03725"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37" w:type="dxa"/>
            <w:tcBorders>
              <w:top w:val="nil"/>
              <w:left w:val="nil"/>
              <w:bottom w:val="single" w:sz="4" w:space="0" w:color="auto"/>
              <w:right w:val="single" w:sz="4" w:space="0" w:color="auto"/>
            </w:tcBorders>
            <w:shd w:val="clear" w:color="auto" w:fill="auto"/>
            <w:vAlign w:val="center"/>
            <w:hideMark/>
          </w:tcPr>
          <w:p w14:paraId="2C1036D9"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 </w:t>
            </w:r>
          </w:p>
        </w:tc>
      </w:tr>
      <w:tr w:rsidR="002A22AB" w14:paraId="0AEEDB8F" w14:textId="77777777" w:rsidTr="00CE3F2A">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0D628FDF"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Other management expenditure for research</w:t>
            </w:r>
          </w:p>
        </w:tc>
        <w:tc>
          <w:tcPr>
            <w:tcW w:w="1276" w:type="dxa"/>
            <w:tcBorders>
              <w:top w:val="nil"/>
              <w:left w:val="nil"/>
              <w:bottom w:val="single" w:sz="4" w:space="0" w:color="auto"/>
              <w:right w:val="single" w:sz="4" w:space="0" w:color="auto"/>
            </w:tcBorders>
            <w:shd w:val="clear" w:color="auto" w:fill="auto"/>
            <w:vAlign w:val="center"/>
            <w:hideMark/>
          </w:tcPr>
          <w:p w14:paraId="19361CE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4BFEA66D"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63" w:type="dxa"/>
            <w:tcBorders>
              <w:top w:val="nil"/>
              <w:left w:val="nil"/>
              <w:bottom w:val="single" w:sz="4" w:space="0" w:color="auto"/>
              <w:right w:val="single" w:sz="4" w:space="0" w:color="auto"/>
            </w:tcBorders>
            <w:shd w:val="clear" w:color="auto" w:fill="auto"/>
            <w:vAlign w:val="center"/>
            <w:hideMark/>
          </w:tcPr>
          <w:p w14:paraId="0343706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14" w:type="dxa"/>
            <w:tcBorders>
              <w:top w:val="nil"/>
              <w:left w:val="nil"/>
              <w:bottom w:val="single" w:sz="4" w:space="0" w:color="auto"/>
              <w:right w:val="single" w:sz="4" w:space="0" w:color="auto"/>
            </w:tcBorders>
            <w:shd w:val="clear" w:color="auto" w:fill="auto"/>
            <w:vAlign w:val="center"/>
            <w:hideMark/>
          </w:tcPr>
          <w:p w14:paraId="4D3BD9DD"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0C21C0D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5EFC28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58" w:type="dxa"/>
            <w:tcBorders>
              <w:top w:val="nil"/>
              <w:left w:val="nil"/>
              <w:bottom w:val="single" w:sz="4" w:space="0" w:color="auto"/>
              <w:right w:val="single" w:sz="4" w:space="0" w:color="auto"/>
            </w:tcBorders>
            <w:shd w:val="clear" w:color="auto" w:fill="auto"/>
            <w:vAlign w:val="center"/>
            <w:hideMark/>
          </w:tcPr>
          <w:p w14:paraId="5A05DD3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37" w:type="dxa"/>
            <w:tcBorders>
              <w:top w:val="nil"/>
              <w:left w:val="nil"/>
              <w:bottom w:val="single" w:sz="4" w:space="0" w:color="auto"/>
              <w:right w:val="single" w:sz="4" w:space="0" w:color="auto"/>
            </w:tcBorders>
            <w:shd w:val="clear" w:color="auto" w:fill="auto"/>
            <w:vAlign w:val="center"/>
            <w:hideMark/>
          </w:tcPr>
          <w:p w14:paraId="2E04D868"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 </w:t>
            </w:r>
          </w:p>
        </w:tc>
      </w:tr>
      <w:tr w:rsidR="002A22AB" w14:paraId="25AC2DC5" w14:textId="77777777" w:rsidTr="00CE3F2A">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tcPr>
          <w:p w14:paraId="0869C542"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Policy IT expenditure on operational programmes</w:t>
            </w:r>
            <w:r>
              <w:rPr>
                <w:rStyle w:val="FootnoteReference0"/>
                <w:rFonts w:ascii="Arial Narrow" w:hAnsi="Arial Narrow"/>
                <w:noProof/>
                <w:color w:val="000000"/>
                <w:sz w:val="20"/>
                <w:szCs w:val="20"/>
              </w:rPr>
              <w:footnoteReference w:id="63"/>
            </w: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14:paraId="5CC13351" w14:textId="77777777" w:rsidR="002A22AB" w:rsidRDefault="002A22AB" w:rsidP="00CE3F2A">
            <w:pPr>
              <w:jc w:val="center"/>
              <w:rPr>
                <w:rFonts w:ascii="Arial Narrow" w:hAnsi="Arial Narrow"/>
                <w:noProof/>
                <w:color w:val="000000"/>
                <w:sz w:val="20"/>
                <w:szCs w:val="20"/>
              </w:rPr>
            </w:pPr>
          </w:p>
        </w:tc>
        <w:tc>
          <w:tcPr>
            <w:tcW w:w="1250" w:type="dxa"/>
            <w:tcBorders>
              <w:top w:val="nil"/>
              <w:left w:val="nil"/>
              <w:bottom w:val="single" w:sz="4" w:space="0" w:color="auto"/>
              <w:right w:val="single" w:sz="4" w:space="0" w:color="auto"/>
            </w:tcBorders>
            <w:shd w:val="clear" w:color="auto" w:fill="auto"/>
            <w:vAlign w:val="center"/>
          </w:tcPr>
          <w:p w14:paraId="7ADA890F" w14:textId="77777777" w:rsidR="002A22AB" w:rsidRDefault="002A22AB" w:rsidP="00CE3F2A">
            <w:pPr>
              <w:jc w:val="center"/>
              <w:rPr>
                <w:rFonts w:ascii="Arial Narrow" w:hAnsi="Arial Narrow"/>
                <w:noProof/>
                <w:color w:val="000000"/>
                <w:sz w:val="20"/>
                <w:szCs w:val="20"/>
              </w:rPr>
            </w:pPr>
          </w:p>
        </w:tc>
        <w:tc>
          <w:tcPr>
            <w:tcW w:w="1263" w:type="dxa"/>
            <w:tcBorders>
              <w:top w:val="nil"/>
              <w:left w:val="nil"/>
              <w:bottom w:val="single" w:sz="4" w:space="0" w:color="auto"/>
              <w:right w:val="single" w:sz="4" w:space="0" w:color="auto"/>
            </w:tcBorders>
            <w:shd w:val="clear" w:color="auto" w:fill="auto"/>
            <w:vAlign w:val="center"/>
          </w:tcPr>
          <w:p w14:paraId="2CC8EE1A" w14:textId="77777777" w:rsidR="002A22AB" w:rsidRDefault="002A22AB" w:rsidP="00CE3F2A">
            <w:pPr>
              <w:jc w:val="center"/>
              <w:rPr>
                <w:rFonts w:ascii="Arial Narrow" w:hAnsi="Arial Narrow"/>
                <w:noProof/>
                <w:color w:val="00000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3363136B" w14:textId="77777777" w:rsidR="002A22AB" w:rsidRDefault="002A22AB" w:rsidP="00CE3F2A">
            <w:pPr>
              <w:jc w:val="center"/>
              <w:rPr>
                <w:rFonts w:ascii="Arial Narrow" w:hAnsi="Arial Narrow"/>
                <w:noProof/>
                <w:color w:val="000000"/>
                <w:sz w:val="20"/>
                <w:szCs w:val="20"/>
              </w:rPr>
            </w:pPr>
          </w:p>
        </w:tc>
        <w:tc>
          <w:tcPr>
            <w:tcW w:w="1305" w:type="dxa"/>
            <w:tcBorders>
              <w:top w:val="nil"/>
              <w:left w:val="nil"/>
              <w:bottom w:val="single" w:sz="4" w:space="0" w:color="auto"/>
              <w:right w:val="single" w:sz="4" w:space="0" w:color="auto"/>
            </w:tcBorders>
            <w:shd w:val="clear" w:color="auto" w:fill="auto"/>
            <w:vAlign w:val="center"/>
          </w:tcPr>
          <w:p w14:paraId="7AECBDA5" w14:textId="77777777" w:rsidR="002A22AB" w:rsidRDefault="002A22AB" w:rsidP="00CE3F2A">
            <w:pPr>
              <w:jc w:val="center"/>
              <w:rPr>
                <w:rFonts w:ascii="Arial Narrow" w:hAnsi="Arial Narrow"/>
                <w:noProof/>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tcPr>
          <w:p w14:paraId="6734519C" w14:textId="77777777" w:rsidR="002A22AB" w:rsidRDefault="002A22AB" w:rsidP="00CE3F2A">
            <w:pPr>
              <w:jc w:val="center"/>
              <w:rPr>
                <w:rFonts w:ascii="Arial Narrow" w:hAnsi="Arial Narrow"/>
                <w:noProof/>
                <w:color w:val="000000"/>
                <w:sz w:val="20"/>
                <w:szCs w:val="20"/>
              </w:rPr>
            </w:pPr>
          </w:p>
        </w:tc>
        <w:tc>
          <w:tcPr>
            <w:tcW w:w="1358" w:type="dxa"/>
            <w:tcBorders>
              <w:top w:val="nil"/>
              <w:left w:val="nil"/>
              <w:bottom w:val="single" w:sz="4" w:space="0" w:color="auto"/>
              <w:right w:val="single" w:sz="4" w:space="0" w:color="auto"/>
            </w:tcBorders>
            <w:shd w:val="clear" w:color="auto" w:fill="auto"/>
            <w:vAlign w:val="center"/>
          </w:tcPr>
          <w:p w14:paraId="5D2BB273" w14:textId="77777777" w:rsidR="002A22AB" w:rsidRDefault="002A22AB" w:rsidP="00CE3F2A">
            <w:pPr>
              <w:jc w:val="center"/>
              <w:rPr>
                <w:rFonts w:ascii="Arial Narrow" w:hAnsi="Arial Narrow"/>
                <w:noProof/>
                <w:color w:val="000000"/>
                <w:sz w:val="20"/>
                <w:szCs w:val="20"/>
              </w:rPr>
            </w:pPr>
          </w:p>
        </w:tc>
        <w:tc>
          <w:tcPr>
            <w:tcW w:w="1237" w:type="dxa"/>
            <w:tcBorders>
              <w:top w:val="nil"/>
              <w:left w:val="nil"/>
              <w:bottom w:val="single" w:sz="4" w:space="0" w:color="auto"/>
              <w:right w:val="single" w:sz="4" w:space="0" w:color="auto"/>
            </w:tcBorders>
            <w:shd w:val="clear" w:color="auto" w:fill="auto"/>
            <w:vAlign w:val="center"/>
          </w:tcPr>
          <w:p w14:paraId="7069CB61" w14:textId="77777777" w:rsidR="002A22AB" w:rsidRDefault="002A22AB" w:rsidP="00CE3F2A">
            <w:pPr>
              <w:jc w:val="center"/>
              <w:rPr>
                <w:rFonts w:ascii="Arial Narrow" w:hAnsi="Arial Narrow"/>
                <w:b/>
                <w:bCs/>
                <w:noProof/>
                <w:color w:val="000000"/>
                <w:sz w:val="20"/>
                <w:szCs w:val="20"/>
              </w:rPr>
            </w:pPr>
          </w:p>
        </w:tc>
      </w:tr>
      <w:tr w:rsidR="002A22AB" w14:paraId="4AB56DA0" w14:textId="77777777" w:rsidTr="00CE3F2A">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tcPr>
          <w:p w14:paraId="596496D6"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Corporate IT expenditure on operational programmes</w:t>
            </w:r>
            <w:r>
              <w:rPr>
                <w:rStyle w:val="FootnoteReference0"/>
                <w:rFonts w:ascii="Arial Narrow" w:hAnsi="Arial Narrow"/>
                <w:noProof/>
                <w:color w:val="000000"/>
                <w:sz w:val="20"/>
                <w:szCs w:val="20"/>
              </w:rPr>
              <w:footnoteReference w:id="64"/>
            </w:r>
          </w:p>
        </w:tc>
        <w:tc>
          <w:tcPr>
            <w:tcW w:w="1276" w:type="dxa"/>
            <w:tcBorders>
              <w:top w:val="nil"/>
              <w:left w:val="nil"/>
              <w:bottom w:val="single" w:sz="4" w:space="0" w:color="auto"/>
              <w:right w:val="single" w:sz="4" w:space="0" w:color="auto"/>
            </w:tcBorders>
            <w:shd w:val="clear" w:color="auto" w:fill="auto"/>
            <w:vAlign w:val="center"/>
          </w:tcPr>
          <w:p w14:paraId="02FB7965" w14:textId="77777777" w:rsidR="002A22AB" w:rsidRDefault="002A22AB" w:rsidP="00CE3F2A">
            <w:pPr>
              <w:jc w:val="center"/>
              <w:rPr>
                <w:rFonts w:ascii="Arial Narrow" w:hAnsi="Arial Narrow"/>
                <w:noProof/>
                <w:color w:val="000000"/>
                <w:sz w:val="20"/>
                <w:szCs w:val="20"/>
              </w:rPr>
            </w:pPr>
          </w:p>
        </w:tc>
        <w:tc>
          <w:tcPr>
            <w:tcW w:w="1250" w:type="dxa"/>
            <w:tcBorders>
              <w:top w:val="nil"/>
              <w:left w:val="nil"/>
              <w:bottom w:val="single" w:sz="4" w:space="0" w:color="auto"/>
              <w:right w:val="single" w:sz="4" w:space="0" w:color="auto"/>
            </w:tcBorders>
            <w:shd w:val="clear" w:color="auto" w:fill="auto"/>
            <w:vAlign w:val="center"/>
          </w:tcPr>
          <w:p w14:paraId="046CCF84" w14:textId="77777777" w:rsidR="002A22AB" w:rsidRDefault="002A22AB" w:rsidP="00CE3F2A">
            <w:pPr>
              <w:jc w:val="center"/>
              <w:rPr>
                <w:rFonts w:ascii="Arial Narrow" w:hAnsi="Arial Narrow"/>
                <w:noProof/>
                <w:color w:val="000000"/>
                <w:sz w:val="20"/>
                <w:szCs w:val="20"/>
              </w:rPr>
            </w:pPr>
          </w:p>
        </w:tc>
        <w:tc>
          <w:tcPr>
            <w:tcW w:w="1263" w:type="dxa"/>
            <w:tcBorders>
              <w:top w:val="nil"/>
              <w:left w:val="nil"/>
              <w:bottom w:val="single" w:sz="4" w:space="0" w:color="auto"/>
              <w:right w:val="single" w:sz="4" w:space="0" w:color="auto"/>
            </w:tcBorders>
            <w:shd w:val="clear" w:color="auto" w:fill="auto"/>
            <w:vAlign w:val="center"/>
          </w:tcPr>
          <w:p w14:paraId="5D61BACB" w14:textId="77777777" w:rsidR="002A22AB" w:rsidRDefault="002A22AB" w:rsidP="00CE3F2A">
            <w:pPr>
              <w:jc w:val="center"/>
              <w:rPr>
                <w:rFonts w:ascii="Arial Narrow" w:hAnsi="Arial Narrow"/>
                <w:noProof/>
                <w:color w:val="00000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0947E54B" w14:textId="77777777" w:rsidR="002A22AB" w:rsidRDefault="002A22AB" w:rsidP="00CE3F2A">
            <w:pPr>
              <w:jc w:val="center"/>
              <w:rPr>
                <w:rFonts w:ascii="Arial Narrow" w:hAnsi="Arial Narrow"/>
                <w:noProof/>
                <w:color w:val="000000"/>
                <w:sz w:val="20"/>
                <w:szCs w:val="20"/>
              </w:rPr>
            </w:pPr>
          </w:p>
        </w:tc>
        <w:tc>
          <w:tcPr>
            <w:tcW w:w="1305" w:type="dxa"/>
            <w:tcBorders>
              <w:top w:val="nil"/>
              <w:left w:val="nil"/>
              <w:bottom w:val="single" w:sz="4" w:space="0" w:color="auto"/>
              <w:right w:val="single" w:sz="4" w:space="0" w:color="auto"/>
            </w:tcBorders>
            <w:shd w:val="clear" w:color="auto" w:fill="auto"/>
            <w:vAlign w:val="center"/>
          </w:tcPr>
          <w:p w14:paraId="2634137D" w14:textId="77777777" w:rsidR="002A22AB" w:rsidRDefault="002A22AB" w:rsidP="00CE3F2A">
            <w:pPr>
              <w:jc w:val="center"/>
              <w:rPr>
                <w:rFonts w:ascii="Arial Narrow" w:hAnsi="Arial Narrow"/>
                <w:noProof/>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tcPr>
          <w:p w14:paraId="36DC6074" w14:textId="77777777" w:rsidR="002A22AB" w:rsidRDefault="002A22AB" w:rsidP="00CE3F2A">
            <w:pPr>
              <w:jc w:val="center"/>
              <w:rPr>
                <w:rFonts w:ascii="Arial Narrow" w:hAnsi="Arial Narrow"/>
                <w:noProof/>
                <w:color w:val="000000"/>
                <w:sz w:val="20"/>
                <w:szCs w:val="20"/>
              </w:rPr>
            </w:pPr>
          </w:p>
        </w:tc>
        <w:tc>
          <w:tcPr>
            <w:tcW w:w="1358" w:type="dxa"/>
            <w:tcBorders>
              <w:top w:val="nil"/>
              <w:left w:val="nil"/>
              <w:bottom w:val="single" w:sz="4" w:space="0" w:color="auto"/>
              <w:right w:val="single" w:sz="4" w:space="0" w:color="auto"/>
            </w:tcBorders>
            <w:shd w:val="clear" w:color="auto" w:fill="auto"/>
            <w:vAlign w:val="center"/>
          </w:tcPr>
          <w:p w14:paraId="3F6D04E7" w14:textId="77777777" w:rsidR="002A22AB" w:rsidRDefault="002A22AB" w:rsidP="00CE3F2A">
            <w:pPr>
              <w:jc w:val="center"/>
              <w:rPr>
                <w:rFonts w:ascii="Arial Narrow" w:hAnsi="Arial Narrow"/>
                <w:noProof/>
                <w:color w:val="000000"/>
                <w:sz w:val="20"/>
                <w:szCs w:val="20"/>
              </w:rPr>
            </w:pPr>
          </w:p>
        </w:tc>
        <w:tc>
          <w:tcPr>
            <w:tcW w:w="1237" w:type="dxa"/>
            <w:tcBorders>
              <w:top w:val="nil"/>
              <w:left w:val="nil"/>
              <w:bottom w:val="single" w:sz="4" w:space="0" w:color="auto"/>
              <w:right w:val="single" w:sz="4" w:space="0" w:color="auto"/>
            </w:tcBorders>
            <w:shd w:val="clear" w:color="auto" w:fill="auto"/>
            <w:vAlign w:val="center"/>
          </w:tcPr>
          <w:p w14:paraId="5461E5B0" w14:textId="77777777" w:rsidR="002A22AB" w:rsidRDefault="002A22AB" w:rsidP="00CE3F2A">
            <w:pPr>
              <w:jc w:val="center"/>
              <w:rPr>
                <w:rFonts w:ascii="Arial Narrow" w:hAnsi="Arial Narrow"/>
                <w:b/>
                <w:bCs/>
                <w:noProof/>
                <w:color w:val="000000"/>
                <w:sz w:val="20"/>
                <w:szCs w:val="20"/>
              </w:rPr>
            </w:pPr>
          </w:p>
        </w:tc>
      </w:tr>
      <w:tr w:rsidR="002A22AB" w14:paraId="2E2E31B1" w14:textId="77777777" w:rsidTr="00CE3F2A">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2D3B610D"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Other budget lines non-HR related (</w:t>
            </w:r>
            <w:r>
              <w:rPr>
                <w:rFonts w:ascii="Arial Narrow" w:hAnsi="Arial Narrow"/>
                <w:i/>
                <w:iCs/>
                <w:noProof/>
                <w:color w:val="000000"/>
                <w:sz w:val="20"/>
                <w:szCs w:val="20"/>
              </w:rPr>
              <w:t>specify where necessary</w:t>
            </w:r>
            <w:r>
              <w:rPr>
                <w:rFonts w:ascii="Arial Narrow" w:hAnsi="Arial Narrow"/>
                <w:noProof/>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5A0705F7"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5A7CB13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63" w:type="dxa"/>
            <w:tcBorders>
              <w:top w:val="nil"/>
              <w:left w:val="nil"/>
              <w:bottom w:val="single" w:sz="4" w:space="0" w:color="auto"/>
              <w:right w:val="single" w:sz="4" w:space="0" w:color="auto"/>
            </w:tcBorders>
            <w:shd w:val="clear" w:color="auto" w:fill="auto"/>
            <w:vAlign w:val="center"/>
            <w:hideMark/>
          </w:tcPr>
          <w:p w14:paraId="7CA6842E"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14" w:type="dxa"/>
            <w:tcBorders>
              <w:top w:val="nil"/>
              <w:left w:val="nil"/>
              <w:bottom w:val="single" w:sz="4" w:space="0" w:color="auto"/>
              <w:right w:val="single" w:sz="4" w:space="0" w:color="auto"/>
            </w:tcBorders>
            <w:shd w:val="clear" w:color="auto" w:fill="auto"/>
            <w:vAlign w:val="center"/>
            <w:hideMark/>
          </w:tcPr>
          <w:p w14:paraId="1B29E1A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30C3AB8D"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D9903CE"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58" w:type="dxa"/>
            <w:tcBorders>
              <w:top w:val="nil"/>
              <w:left w:val="nil"/>
              <w:bottom w:val="single" w:sz="4" w:space="0" w:color="auto"/>
              <w:right w:val="single" w:sz="4" w:space="0" w:color="auto"/>
            </w:tcBorders>
            <w:shd w:val="clear" w:color="auto" w:fill="auto"/>
            <w:vAlign w:val="center"/>
            <w:hideMark/>
          </w:tcPr>
          <w:p w14:paraId="5233EFE5"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37" w:type="dxa"/>
            <w:tcBorders>
              <w:top w:val="nil"/>
              <w:left w:val="nil"/>
              <w:bottom w:val="single" w:sz="4" w:space="0" w:color="auto"/>
              <w:right w:val="single" w:sz="4" w:space="0" w:color="auto"/>
            </w:tcBorders>
            <w:shd w:val="clear" w:color="auto" w:fill="auto"/>
            <w:vAlign w:val="center"/>
            <w:hideMark/>
          </w:tcPr>
          <w:p w14:paraId="2D86F9E9"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 </w:t>
            </w:r>
          </w:p>
        </w:tc>
      </w:tr>
      <w:tr w:rsidR="002A22AB" w14:paraId="607D0592" w14:textId="77777777" w:rsidTr="00CE3F2A">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5292B" w14:textId="77777777" w:rsidR="002A22AB" w:rsidRDefault="002A22AB" w:rsidP="00CE3F2A">
            <w:pPr>
              <w:jc w:val="center"/>
              <w:rPr>
                <w:rFonts w:ascii="Arial Narrow" w:hAnsi="Arial Narrow"/>
                <w:b/>
                <w:bCs/>
                <w:noProof/>
                <w:color w:val="000000"/>
                <w:sz w:val="22"/>
              </w:rPr>
            </w:pPr>
            <w:r>
              <w:rPr>
                <w:rFonts w:ascii="Arial Narrow" w:hAnsi="Arial Narrow"/>
                <w:b/>
                <w:bCs/>
                <w:noProof/>
                <w:color w:val="000000"/>
                <w:sz w:val="22"/>
              </w:rPr>
              <w:t>Sub-total Other – Outside HEADING 7</w:t>
            </w:r>
          </w:p>
          <w:p w14:paraId="3B79369B" w14:textId="77777777" w:rsidR="002A22AB" w:rsidRDefault="002A22AB" w:rsidP="00CE3F2A">
            <w:pPr>
              <w:jc w:val="center"/>
              <w:rPr>
                <w:rFonts w:ascii="Arial Narrow" w:hAnsi="Arial Narrow"/>
                <w:b/>
                <w:bCs/>
                <w:noProof/>
                <w:color w:val="000000"/>
                <w:sz w:val="22"/>
              </w:rPr>
            </w:pPr>
            <w:r>
              <w:rPr>
                <w:rFonts w:ascii="Arial Narrow" w:hAnsi="Arial Narrow"/>
                <w:noProof/>
                <w:color w:val="000000"/>
                <w:sz w:val="22"/>
              </w:rPr>
              <w:t>of the multiannual financial framework</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430A5E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50" w:type="dxa"/>
            <w:tcBorders>
              <w:top w:val="nil"/>
              <w:left w:val="single" w:sz="4" w:space="0" w:color="auto"/>
              <w:bottom w:val="single" w:sz="4" w:space="0" w:color="auto"/>
              <w:right w:val="single" w:sz="4" w:space="0" w:color="auto"/>
            </w:tcBorders>
            <w:shd w:val="clear" w:color="auto" w:fill="auto"/>
            <w:vAlign w:val="center"/>
            <w:hideMark/>
          </w:tcPr>
          <w:p w14:paraId="495AA28E"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63" w:type="dxa"/>
            <w:tcBorders>
              <w:top w:val="nil"/>
              <w:left w:val="single" w:sz="4" w:space="0" w:color="auto"/>
              <w:bottom w:val="single" w:sz="4" w:space="0" w:color="auto"/>
              <w:right w:val="single" w:sz="4" w:space="0" w:color="auto"/>
            </w:tcBorders>
            <w:shd w:val="clear" w:color="auto" w:fill="auto"/>
            <w:vAlign w:val="center"/>
            <w:hideMark/>
          </w:tcPr>
          <w:p w14:paraId="351B0E88"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14" w:type="dxa"/>
            <w:tcBorders>
              <w:top w:val="nil"/>
              <w:left w:val="single" w:sz="4" w:space="0" w:color="auto"/>
              <w:bottom w:val="single" w:sz="4" w:space="0" w:color="auto"/>
              <w:right w:val="single" w:sz="4" w:space="0" w:color="auto"/>
            </w:tcBorders>
            <w:shd w:val="clear" w:color="auto" w:fill="auto"/>
            <w:vAlign w:val="center"/>
            <w:hideMark/>
          </w:tcPr>
          <w:p w14:paraId="6A09554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0319E894"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06" w:type="dxa"/>
            <w:tcBorders>
              <w:top w:val="nil"/>
              <w:left w:val="single" w:sz="4" w:space="0" w:color="auto"/>
              <w:bottom w:val="single" w:sz="4" w:space="0" w:color="auto"/>
              <w:right w:val="single" w:sz="4" w:space="0" w:color="auto"/>
            </w:tcBorders>
            <w:shd w:val="clear" w:color="auto" w:fill="auto"/>
            <w:vAlign w:val="center"/>
            <w:hideMark/>
          </w:tcPr>
          <w:p w14:paraId="13FC307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58" w:type="dxa"/>
            <w:tcBorders>
              <w:top w:val="nil"/>
              <w:left w:val="single" w:sz="4" w:space="0" w:color="auto"/>
              <w:bottom w:val="single" w:sz="4" w:space="0" w:color="auto"/>
              <w:right w:val="single" w:sz="4" w:space="0" w:color="auto"/>
            </w:tcBorders>
            <w:shd w:val="clear" w:color="auto" w:fill="auto"/>
            <w:vAlign w:val="center"/>
            <w:hideMark/>
          </w:tcPr>
          <w:p w14:paraId="4CDAF4C8"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06ED8110"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 </w:t>
            </w:r>
          </w:p>
        </w:tc>
      </w:tr>
      <w:tr w:rsidR="00591F0B" w14:paraId="34EDBD59" w14:textId="77777777" w:rsidTr="00CE3F2A">
        <w:trPr>
          <w:trHeight w:val="814"/>
          <w:jc w:val="center"/>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374BAC2C" w14:textId="77777777" w:rsidR="00591F0B" w:rsidRDefault="00591F0B" w:rsidP="00591F0B">
            <w:pPr>
              <w:jc w:val="center"/>
              <w:rPr>
                <w:rFonts w:ascii="Arial Narrow" w:hAnsi="Arial Narrow"/>
                <w:b/>
                <w:bCs/>
                <w:noProof/>
                <w:color w:val="000000"/>
                <w:sz w:val="22"/>
              </w:rPr>
            </w:pPr>
            <w:r>
              <w:rPr>
                <w:rFonts w:ascii="Arial Narrow" w:hAnsi="Arial Narrow"/>
                <w:b/>
                <w:bCs/>
                <w:noProof/>
                <w:color w:val="000000"/>
                <w:sz w:val="22"/>
              </w:rPr>
              <w:t>Total Other admin expenditure (all MFF Headings)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18F0AB" w14:textId="0DF33187" w:rsidR="00591F0B" w:rsidRDefault="00591F0B" w:rsidP="00591F0B">
            <w:pPr>
              <w:jc w:val="center"/>
              <w:rPr>
                <w:rFonts w:ascii="Arial Narrow" w:hAnsi="Arial Narrow"/>
                <w:noProof/>
                <w:color w:val="000000"/>
                <w:sz w:val="20"/>
                <w:szCs w:val="20"/>
              </w:rPr>
            </w:pPr>
            <w:r>
              <w:rPr>
                <w:rFonts w:ascii="Arial Narrow" w:hAnsi="Arial Narrow"/>
                <w:noProof/>
                <w:color w:val="000000"/>
                <w:sz w:val="20"/>
                <w:szCs w:val="20"/>
              </w:rPr>
              <w:t>0.225</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70D5C468" w14:textId="65B803F0" w:rsidR="00591F0B" w:rsidRDefault="00591F0B" w:rsidP="00591F0B">
            <w:pPr>
              <w:jc w:val="center"/>
              <w:rPr>
                <w:rFonts w:ascii="Arial Narrow" w:hAnsi="Arial Narrow"/>
                <w:noProof/>
                <w:color w:val="000000"/>
                <w:sz w:val="20"/>
                <w:szCs w:val="20"/>
              </w:rPr>
            </w:pPr>
            <w:r>
              <w:rPr>
                <w:rFonts w:ascii="Arial Narrow" w:hAnsi="Arial Narrow"/>
                <w:noProof/>
                <w:color w:val="000000"/>
                <w:sz w:val="20"/>
                <w:szCs w:val="20"/>
              </w:rPr>
              <w:t> 0.225</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14:paraId="53DCC663" w14:textId="31C00C5A" w:rsidR="00591F0B" w:rsidRDefault="00591F0B" w:rsidP="00591F0B">
            <w:pPr>
              <w:jc w:val="center"/>
              <w:rPr>
                <w:rFonts w:ascii="Arial Narrow" w:hAnsi="Arial Narrow"/>
                <w:noProof/>
                <w:color w:val="000000"/>
                <w:sz w:val="20"/>
                <w:szCs w:val="20"/>
              </w:rPr>
            </w:pPr>
            <w:r>
              <w:rPr>
                <w:rFonts w:ascii="Arial Narrow" w:hAnsi="Arial Narrow"/>
                <w:noProof/>
                <w:color w:val="000000"/>
                <w:sz w:val="20"/>
                <w:szCs w:val="20"/>
              </w:rPr>
              <w:t>0.186</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57B3A080" w14:textId="2641E44B" w:rsidR="00591F0B" w:rsidRDefault="00591F0B" w:rsidP="00591F0B">
            <w:pPr>
              <w:jc w:val="center"/>
              <w:rPr>
                <w:rFonts w:ascii="Arial Narrow" w:hAnsi="Arial Narrow"/>
                <w:noProof/>
                <w:color w:val="000000"/>
                <w:sz w:val="20"/>
                <w:szCs w:val="20"/>
              </w:rPr>
            </w:pPr>
            <w:r>
              <w:rPr>
                <w:rFonts w:ascii="Arial Narrow" w:hAnsi="Arial Narrow"/>
                <w:noProof/>
                <w:color w:val="000000"/>
                <w:sz w:val="20"/>
                <w:szCs w:val="20"/>
              </w:rPr>
              <w:t>0.186 </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212134DB" w14:textId="4D1D2CC6" w:rsidR="00591F0B" w:rsidRDefault="00591F0B" w:rsidP="00591F0B">
            <w:pPr>
              <w:jc w:val="center"/>
              <w:rPr>
                <w:rFonts w:ascii="Arial Narrow" w:hAnsi="Arial Narrow"/>
                <w:noProof/>
                <w:color w:val="000000"/>
                <w:sz w:val="20"/>
                <w:szCs w:val="20"/>
              </w:rPr>
            </w:pPr>
            <w:r>
              <w:rPr>
                <w:rFonts w:ascii="Arial Narrow" w:hAnsi="Arial Narrow"/>
                <w:noProof/>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11F56DAF" w14:textId="3273779A" w:rsidR="00591F0B" w:rsidRDefault="00591F0B" w:rsidP="00591F0B">
            <w:pPr>
              <w:jc w:val="center"/>
              <w:rPr>
                <w:rFonts w:ascii="Arial Narrow" w:hAnsi="Arial Narrow"/>
                <w:noProof/>
                <w:color w:val="000000"/>
                <w:sz w:val="20"/>
                <w:szCs w:val="20"/>
              </w:rPr>
            </w:pPr>
            <w:r>
              <w:rPr>
                <w:rFonts w:ascii="Arial Narrow" w:hAnsi="Arial Narrow"/>
                <w:noProof/>
                <w:color w:val="000000"/>
                <w:sz w:val="20"/>
                <w:szCs w:val="20"/>
              </w:rPr>
              <w:t> </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0F7D87ED" w14:textId="6FA7872C" w:rsidR="00591F0B" w:rsidRDefault="00591F0B" w:rsidP="00591F0B">
            <w:pPr>
              <w:jc w:val="center"/>
              <w:rPr>
                <w:rFonts w:ascii="Arial Narrow" w:hAnsi="Arial Narrow"/>
                <w:noProof/>
                <w:color w:val="000000"/>
                <w:sz w:val="20"/>
                <w:szCs w:val="20"/>
              </w:rPr>
            </w:pPr>
            <w:r>
              <w:rPr>
                <w:rFonts w:ascii="Arial Narrow" w:hAnsi="Arial Narrow"/>
                <w:noProof/>
                <w:color w:val="000000"/>
                <w:sz w:val="20"/>
                <w:szCs w:val="20"/>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DD44F29" w14:textId="1510805C" w:rsidR="00591F0B" w:rsidRPr="002653AB" w:rsidRDefault="00982D11" w:rsidP="00591F0B">
            <w:pPr>
              <w:jc w:val="center"/>
              <w:rPr>
                <w:rFonts w:ascii="Arial Narrow" w:hAnsi="Arial Narrow"/>
                <w:noProof/>
                <w:color w:val="000000"/>
                <w:sz w:val="20"/>
                <w:szCs w:val="20"/>
              </w:rPr>
            </w:pPr>
            <w:r>
              <w:rPr>
                <w:rFonts w:ascii="Arial Narrow" w:hAnsi="Arial Narrow"/>
                <w:b/>
                <w:bCs/>
                <w:noProof/>
                <w:color w:val="000000"/>
                <w:sz w:val="20"/>
                <w:szCs w:val="20"/>
              </w:rPr>
              <w:t>0.822</w:t>
            </w:r>
          </w:p>
        </w:tc>
      </w:tr>
    </w:tbl>
    <w:p w14:paraId="1F85D6ED" w14:textId="77777777" w:rsidR="002A22AB" w:rsidRDefault="002A22AB" w:rsidP="002A22AB">
      <w:pPr>
        <w:ind w:right="-496"/>
        <w:rPr>
          <w:rFonts w:ascii="Arial Narrow" w:hAnsi="Arial Narrow"/>
          <w:b/>
          <w:noProof/>
          <w:color w:val="0000FF"/>
          <w:sz w:val="20"/>
          <w:szCs w:val="20"/>
        </w:rPr>
      </w:pPr>
    </w:p>
    <w:p w14:paraId="6C930289" w14:textId="77777777" w:rsidR="002A22AB" w:rsidRPr="00556E60" w:rsidRDefault="002A22AB" w:rsidP="002A22AB">
      <w:pPr>
        <w:spacing w:after="200" w:line="276" w:lineRule="auto"/>
        <w:rPr>
          <w:b/>
          <w:noProof/>
          <w:color w:val="0000FF"/>
          <w:sz w:val="20"/>
          <w:szCs w:val="20"/>
        </w:rPr>
      </w:pPr>
      <w:r w:rsidRPr="00556E60">
        <w:rPr>
          <w:b/>
          <w:noProof/>
          <w:color w:val="0000FF"/>
          <w:sz w:val="20"/>
          <w:szCs w:val="20"/>
        </w:rPr>
        <w:br w:type="page"/>
      </w:r>
    </w:p>
    <w:p w14:paraId="5ED523B3" w14:textId="77777777" w:rsidR="002A22AB" w:rsidRPr="00556E60" w:rsidRDefault="002A22AB" w:rsidP="002A22AB">
      <w:pPr>
        <w:ind w:right="-496"/>
        <w:rPr>
          <w:b/>
          <w:noProof/>
          <w:color w:val="0000FF"/>
          <w:sz w:val="20"/>
          <w:szCs w:val="20"/>
        </w:rPr>
      </w:pPr>
    </w:p>
    <w:p w14:paraId="31C77374" w14:textId="2758817F" w:rsidR="002A22AB" w:rsidRPr="00796518" w:rsidRDefault="00C304BF" w:rsidP="00C304BF">
      <w:pPr>
        <w:pStyle w:val="Point0"/>
        <w:rPr>
          <w:noProof/>
          <w:szCs w:val="28"/>
        </w:rPr>
      </w:pPr>
      <w:r w:rsidRPr="00C304BF">
        <w:t>(3)</w:t>
      </w:r>
      <w:r w:rsidRPr="00C304BF">
        <w:tab/>
      </w:r>
      <w:r w:rsidR="002A22AB">
        <w:rPr>
          <w:noProof/>
        </w:rPr>
        <w:t>Total administrative costs (all Headings MFF)</w:t>
      </w:r>
    </w:p>
    <w:p w14:paraId="4BA4F26C" w14:textId="77777777" w:rsidR="002A22AB" w:rsidRDefault="002A22AB" w:rsidP="002A22AB">
      <w:pPr>
        <w:ind w:right="-496"/>
        <w:rPr>
          <w:rFonts w:ascii="Arial Narrow" w:hAnsi="Arial Narrow"/>
          <w:b/>
          <w:noProof/>
          <w:color w:val="0000FF"/>
          <w:sz w:val="20"/>
          <w:szCs w:val="20"/>
        </w:rPr>
      </w:pPr>
    </w:p>
    <w:p w14:paraId="11F4E571" w14:textId="77777777" w:rsidR="002A22AB" w:rsidRPr="00556E60" w:rsidRDefault="002A22AB" w:rsidP="002A22AB">
      <w:pPr>
        <w:ind w:right="-496"/>
        <w:jc w:val="right"/>
        <w:rPr>
          <w:i/>
          <w:iCs/>
          <w:noProof/>
          <w:sz w:val="20"/>
          <w:szCs w:val="20"/>
        </w:rPr>
      </w:pPr>
      <w:r w:rsidRPr="00556E60">
        <w:rPr>
          <w:i/>
          <w:noProof/>
          <w:sz w:val="20"/>
          <w:szCs w:val="20"/>
        </w:rPr>
        <w:t>EUR million (to three decimal places)</w:t>
      </w:r>
    </w:p>
    <w:tbl>
      <w:tblPr>
        <w:tblW w:w="14670" w:type="dxa"/>
        <w:jc w:val="center"/>
        <w:tblLook w:val="04A0" w:firstRow="1" w:lastRow="0" w:firstColumn="1" w:lastColumn="0" w:noHBand="0" w:noVBand="1"/>
      </w:tblPr>
      <w:tblGrid>
        <w:gridCol w:w="4346"/>
        <w:gridCol w:w="1273"/>
        <w:gridCol w:w="1247"/>
        <w:gridCol w:w="25"/>
        <w:gridCol w:w="1235"/>
        <w:gridCol w:w="38"/>
        <w:gridCol w:w="1273"/>
        <w:gridCol w:w="1273"/>
        <w:gridCol w:w="29"/>
        <w:gridCol w:w="1243"/>
        <w:gridCol w:w="60"/>
        <w:gridCol w:w="1355"/>
        <w:gridCol w:w="1234"/>
        <w:gridCol w:w="39"/>
      </w:tblGrid>
      <w:tr w:rsidR="002A22AB" w14:paraId="2278F240" w14:textId="77777777" w:rsidTr="00CE3F2A">
        <w:trPr>
          <w:gridAfter w:val="1"/>
          <w:wAfter w:w="39" w:type="dxa"/>
          <w:trHeight w:val="660"/>
          <w:jc w:val="center"/>
        </w:trPr>
        <w:tc>
          <w:tcPr>
            <w:tcW w:w="434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12C91C" w14:textId="77777777" w:rsidR="002A22AB" w:rsidRDefault="002A22AB" w:rsidP="00CE3F2A">
            <w:pPr>
              <w:jc w:val="center"/>
              <w:rPr>
                <w:rFonts w:ascii="Arial Narrow" w:hAnsi="Arial Narrow"/>
                <w:b/>
                <w:bCs/>
                <w:noProof/>
                <w:color w:val="000000"/>
                <w:sz w:val="22"/>
              </w:rPr>
            </w:pPr>
            <w:r>
              <w:rPr>
                <w:rFonts w:ascii="Arial Narrow" w:hAnsi="Arial Narrow"/>
                <w:b/>
                <w:bCs/>
                <w:noProof/>
                <w:color w:val="000000"/>
                <w:sz w:val="22"/>
              </w:rPr>
              <w:t>Summary</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1ABA25B2" w14:textId="77777777" w:rsidR="002A22AB" w:rsidRDefault="002A22AB" w:rsidP="00CE3F2A">
            <w:pPr>
              <w:jc w:val="center"/>
              <w:rPr>
                <w:rFonts w:ascii="Arial Narrow" w:hAnsi="Arial Narrow"/>
                <w:b/>
                <w:bCs/>
                <w:noProof/>
                <w:color w:val="0000FF"/>
                <w:sz w:val="20"/>
                <w:szCs w:val="20"/>
              </w:rPr>
            </w:pPr>
            <w:r>
              <w:rPr>
                <w:rFonts w:ascii="Arial Narrow" w:hAnsi="Arial Narrow"/>
                <w:b/>
                <w:bCs/>
                <w:noProof/>
                <w:color w:val="0000FF"/>
                <w:sz w:val="20"/>
                <w:szCs w:val="20"/>
                <w:lang w:val="fr-FR"/>
              </w:rPr>
              <w:t>2024</w:t>
            </w:r>
          </w:p>
        </w:tc>
        <w:tc>
          <w:tcPr>
            <w:tcW w:w="1247" w:type="dxa"/>
            <w:tcBorders>
              <w:top w:val="single" w:sz="4" w:space="0" w:color="auto"/>
              <w:left w:val="nil"/>
              <w:bottom w:val="single" w:sz="4" w:space="0" w:color="auto"/>
              <w:right w:val="single" w:sz="4" w:space="0" w:color="auto"/>
            </w:tcBorders>
            <w:shd w:val="clear" w:color="auto" w:fill="auto"/>
            <w:vAlign w:val="center"/>
          </w:tcPr>
          <w:p w14:paraId="7244CE24" w14:textId="77777777" w:rsidR="002A22AB" w:rsidRDefault="002A22AB" w:rsidP="00CE3F2A">
            <w:pPr>
              <w:jc w:val="center"/>
              <w:rPr>
                <w:rFonts w:ascii="Arial Narrow" w:hAnsi="Arial Narrow"/>
                <w:b/>
                <w:bCs/>
                <w:noProof/>
                <w:color w:val="0000FF"/>
                <w:sz w:val="20"/>
                <w:szCs w:val="20"/>
              </w:rPr>
            </w:pPr>
            <w:r>
              <w:rPr>
                <w:rFonts w:ascii="Arial Narrow" w:hAnsi="Arial Narrow"/>
                <w:b/>
                <w:bCs/>
                <w:noProof/>
                <w:color w:val="0000FF"/>
                <w:sz w:val="20"/>
                <w:szCs w:val="20"/>
                <w:lang w:val="fr-FR"/>
              </w:rPr>
              <w:t>2025</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14:paraId="54A528EC" w14:textId="77777777" w:rsidR="002A22AB" w:rsidRDefault="002A22AB" w:rsidP="00CE3F2A">
            <w:pPr>
              <w:jc w:val="center"/>
              <w:rPr>
                <w:rFonts w:ascii="Arial Narrow" w:hAnsi="Arial Narrow"/>
                <w:b/>
                <w:bCs/>
                <w:noProof/>
                <w:color w:val="0000FF"/>
                <w:sz w:val="20"/>
                <w:szCs w:val="20"/>
              </w:rPr>
            </w:pPr>
            <w:r>
              <w:rPr>
                <w:rFonts w:ascii="Arial Narrow" w:hAnsi="Arial Narrow"/>
                <w:b/>
                <w:bCs/>
                <w:noProof/>
                <w:color w:val="0000FF"/>
                <w:sz w:val="20"/>
                <w:szCs w:val="20"/>
                <w:lang w:val="fr-FR"/>
              </w:rPr>
              <w:t>2026</w:t>
            </w:r>
          </w:p>
        </w:tc>
        <w:tc>
          <w:tcPr>
            <w:tcW w:w="1311" w:type="dxa"/>
            <w:gridSpan w:val="2"/>
            <w:tcBorders>
              <w:top w:val="single" w:sz="4" w:space="0" w:color="auto"/>
              <w:left w:val="nil"/>
              <w:bottom w:val="single" w:sz="4" w:space="0" w:color="auto"/>
              <w:right w:val="single" w:sz="4" w:space="0" w:color="auto"/>
            </w:tcBorders>
            <w:shd w:val="clear" w:color="auto" w:fill="auto"/>
            <w:vAlign w:val="center"/>
          </w:tcPr>
          <w:p w14:paraId="5F1FCAA9" w14:textId="77777777" w:rsidR="002A22AB" w:rsidRDefault="002A22AB" w:rsidP="00CE3F2A">
            <w:pPr>
              <w:jc w:val="center"/>
              <w:rPr>
                <w:rFonts w:ascii="Arial Narrow" w:hAnsi="Arial Narrow"/>
                <w:b/>
                <w:bCs/>
                <w:noProof/>
                <w:color w:val="0000FF"/>
                <w:sz w:val="20"/>
                <w:szCs w:val="20"/>
              </w:rPr>
            </w:pPr>
            <w:r>
              <w:rPr>
                <w:rFonts w:ascii="Arial Narrow" w:hAnsi="Arial Narrow"/>
                <w:b/>
                <w:bCs/>
                <w:noProof/>
                <w:color w:val="0000FF"/>
                <w:sz w:val="20"/>
                <w:szCs w:val="20"/>
                <w:lang w:val="fr-FR"/>
              </w:rPr>
              <w:t>2027</w:t>
            </w:r>
          </w:p>
        </w:tc>
        <w:tc>
          <w:tcPr>
            <w:tcW w:w="1302" w:type="dxa"/>
            <w:gridSpan w:val="2"/>
            <w:tcBorders>
              <w:top w:val="single" w:sz="4" w:space="0" w:color="auto"/>
              <w:left w:val="nil"/>
              <w:bottom w:val="single" w:sz="4" w:space="0" w:color="auto"/>
              <w:right w:val="single" w:sz="4" w:space="0" w:color="auto"/>
            </w:tcBorders>
            <w:shd w:val="clear" w:color="auto" w:fill="auto"/>
            <w:vAlign w:val="center"/>
          </w:tcPr>
          <w:p w14:paraId="61AEA8EF" w14:textId="77777777" w:rsidR="002A22AB" w:rsidRDefault="002A22AB" w:rsidP="00CE3F2A">
            <w:pPr>
              <w:jc w:val="center"/>
              <w:rPr>
                <w:rFonts w:ascii="Arial Narrow" w:hAnsi="Arial Narrow"/>
                <w:b/>
                <w:bCs/>
                <w:noProof/>
                <w:color w:val="0000FF"/>
                <w:sz w:val="20"/>
                <w:szCs w:val="20"/>
              </w:rPr>
            </w:pPr>
          </w:p>
        </w:tc>
        <w:tc>
          <w:tcPr>
            <w:tcW w:w="1303" w:type="dxa"/>
            <w:gridSpan w:val="2"/>
            <w:tcBorders>
              <w:top w:val="single" w:sz="4" w:space="0" w:color="auto"/>
              <w:left w:val="nil"/>
              <w:bottom w:val="single" w:sz="4" w:space="0" w:color="auto"/>
              <w:right w:val="single" w:sz="4" w:space="0" w:color="auto"/>
            </w:tcBorders>
            <w:shd w:val="clear" w:color="auto" w:fill="auto"/>
            <w:vAlign w:val="center"/>
            <w:hideMark/>
          </w:tcPr>
          <w:p w14:paraId="0493B61D" w14:textId="77777777" w:rsidR="002A22AB" w:rsidRDefault="002A22AB" w:rsidP="00CE3F2A">
            <w:pPr>
              <w:jc w:val="center"/>
              <w:rPr>
                <w:rFonts w:ascii="Arial Narrow" w:hAnsi="Arial Narrow"/>
                <w:b/>
                <w:bCs/>
                <w:noProof/>
                <w:color w:val="0000FF"/>
                <w:sz w:val="20"/>
                <w:szCs w:val="20"/>
              </w:rPr>
            </w:pP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31BE2F7B" w14:textId="77777777" w:rsidR="002A22AB" w:rsidRDefault="002A22AB" w:rsidP="00CE3F2A">
            <w:pPr>
              <w:jc w:val="center"/>
              <w:rPr>
                <w:rFonts w:ascii="Arial Narrow" w:hAnsi="Arial Narrow"/>
                <w:b/>
                <w:bCs/>
                <w:noProof/>
                <w:color w:val="0000FF"/>
                <w:sz w:val="20"/>
                <w:szCs w:val="20"/>
              </w:rPr>
            </w:pP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68305D52"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Total</w:t>
            </w:r>
          </w:p>
        </w:tc>
      </w:tr>
      <w:tr w:rsidR="002A22AB" w14:paraId="7AB4BD8C" w14:textId="77777777" w:rsidTr="00CE3F2A">
        <w:trPr>
          <w:gridAfter w:val="1"/>
          <w:wAfter w:w="39" w:type="dxa"/>
          <w:trHeight w:val="363"/>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14:paraId="14F24477"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Heading 7 - Human Resources</w:t>
            </w:r>
          </w:p>
        </w:tc>
        <w:tc>
          <w:tcPr>
            <w:tcW w:w="1273" w:type="dxa"/>
            <w:tcBorders>
              <w:top w:val="nil"/>
              <w:left w:val="nil"/>
              <w:bottom w:val="single" w:sz="4" w:space="0" w:color="auto"/>
              <w:right w:val="single" w:sz="4" w:space="0" w:color="auto"/>
            </w:tcBorders>
            <w:shd w:val="clear" w:color="auto" w:fill="auto"/>
            <w:vAlign w:val="center"/>
            <w:hideMark/>
          </w:tcPr>
          <w:p w14:paraId="2D393A16"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0.608</w:t>
            </w:r>
          </w:p>
        </w:tc>
        <w:tc>
          <w:tcPr>
            <w:tcW w:w="1247" w:type="dxa"/>
            <w:tcBorders>
              <w:top w:val="nil"/>
              <w:left w:val="nil"/>
              <w:bottom w:val="single" w:sz="4" w:space="0" w:color="auto"/>
              <w:right w:val="single" w:sz="4" w:space="0" w:color="auto"/>
            </w:tcBorders>
            <w:shd w:val="clear" w:color="auto" w:fill="auto"/>
            <w:vAlign w:val="center"/>
            <w:hideMark/>
          </w:tcPr>
          <w:p w14:paraId="077621F5"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0.684</w:t>
            </w:r>
          </w:p>
        </w:tc>
        <w:tc>
          <w:tcPr>
            <w:tcW w:w="1260" w:type="dxa"/>
            <w:gridSpan w:val="2"/>
            <w:tcBorders>
              <w:top w:val="nil"/>
              <w:left w:val="nil"/>
              <w:bottom w:val="single" w:sz="4" w:space="0" w:color="auto"/>
              <w:right w:val="single" w:sz="4" w:space="0" w:color="auto"/>
            </w:tcBorders>
            <w:shd w:val="clear" w:color="auto" w:fill="auto"/>
            <w:vAlign w:val="center"/>
            <w:hideMark/>
          </w:tcPr>
          <w:p w14:paraId="5A015DD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0.608 </w:t>
            </w:r>
          </w:p>
        </w:tc>
        <w:tc>
          <w:tcPr>
            <w:tcW w:w="1311" w:type="dxa"/>
            <w:gridSpan w:val="2"/>
            <w:tcBorders>
              <w:top w:val="nil"/>
              <w:left w:val="nil"/>
              <w:bottom w:val="single" w:sz="4" w:space="0" w:color="auto"/>
              <w:right w:val="single" w:sz="4" w:space="0" w:color="auto"/>
            </w:tcBorders>
            <w:shd w:val="clear" w:color="auto" w:fill="auto"/>
            <w:vAlign w:val="center"/>
            <w:hideMark/>
          </w:tcPr>
          <w:p w14:paraId="0178DC0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0.608</w:t>
            </w:r>
          </w:p>
        </w:tc>
        <w:tc>
          <w:tcPr>
            <w:tcW w:w="1302" w:type="dxa"/>
            <w:gridSpan w:val="2"/>
            <w:tcBorders>
              <w:top w:val="nil"/>
              <w:left w:val="nil"/>
              <w:bottom w:val="single" w:sz="4" w:space="0" w:color="auto"/>
              <w:right w:val="single" w:sz="4" w:space="0" w:color="auto"/>
            </w:tcBorders>
            <w:shd w:val="clear" w:color="auto" w:fill="auto"/>
            <w:vAlign w:val="center"/>
            <w:hideMark/>
          </w:tcPr>
          <w:p w14:paraId="149E3F8E"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03" w:type="dxa"/>
            <w:gridSpan w:val="2"/>
            <w:tcBorders>
              <w:top w:val="nil"/>
              <w:left w:val="nil"/>
              <w:bottom w:val="single" w:sz="4" w:space="0" w:color="auto"/>
              <w:right w:val="single" w:sz="4" w:space="0" w:color="auto"/>
            </w:tcBorders>
            <w:shd w:val="clear" w:color="auto" w:fill="auto"/>
            <w:vAlign w:val="center"/>
            <w:hideMark/>
          </w:tcPr>
          <w:p w14:paraId="15F8EED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55" w:type="dxa"/>
            <w:tcBorders>
              <w:top w:val="nil"/>
              <w:left w:val="nil"/>
              <w:bottom w:val="single" w:sz="4" w:space="0" w:color="auto"/>
              <w:right w:val="single" w:sz="4" w:space="0" w:color="auto"/>
            </w:tcBorders>
            <w:shd w:val="clear" w:color="auto" w:fill="auto"/>
            <w:vAlign w:val="center"/>
            <w:hideMark/>
          </w:tcPr>
          <w:p w14:paraId="09EFCC05"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4F729B18"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2.508</w:t>
            </w:r>
          </w:p>
        </w:tc>
      </w:tr>
      <w:tr w:rsidR="00591F0B" w14:paraId="26BBB0BC" w14:textId="77777777" w:rsidTr="00CE3F2A">
        <w:trPr>
          <w:gridAfter w:val="1"/>
          <w:wAfter w:w="39" w:type="dxa"/>
          <w:trHeight w:val="300"/>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14:paraId="02D89382" w14:textId="77777777" w:rsidR="00591F0B" w:rsidRDefault="00591F0B" w:rsidP="00591F0B">
            <w:pPr>
              <w:rPr>
                <w:rFonts w:ascii="Arial Narrow" w:hAnsi="Arial Narrow"/>
                <w:noProof/>
                <w:color w:val="000000"/>
                <w:sz w:val="20"/>
                <w:szCs w:val="20"/>
              </w:rPr>
            </w:pPr>
            <w:r>
              <w:rPr>
                <w:rFonts w:ascii="Arial Narrow" w:hAnsi="Arial Narrow"/>
                <w:noProof/>
                <w:color w:val="000000"/>
                <w:sz w:val="20"/>
                <w:szCs w:val="20"/>
              </w:rPr>
              <w:t>Heading 7 – Other administrative expenditure</w:t>
            </w:r>
          </w:p>
        </w:tc>
        <w:tc>
          <w:tcPr>
            <w:tcW w:w="1273" w:type="dxa"/>
            <w:tcBorders>
              <w:top w:val="nil"/>
              <w:left w:val="nil"/>
              <w:bottom w:val="single" w:sz="4" w:space="0" w:color="auto"/>
              <w:right w:val="single" w:sz="4" w:space="0" w:color="auto"/>
            </w:tcBorders>
            <w:shd w:val="clear" w:color="auto" w:fill="auto"/>
            <w:vAlign w:val="center"/>
            <w:hideMark/>
          </w:tcPr>
          <w:p w14:paraId="499F8837" w14:textId="62D5074F" w:rsidR="00591F0B" w:rsidRDefault="00591F0B" w:rsidP="00591F0B">
            <w:pPr>
              <w:jc w:val="center"/>
              <w:rPr>
                <w:rFonts w:ascii="Arial Narrow" w:hAnsi="Arial Narrow"/>
                <w:noProof/>
                <w:color w:val="000000"/>
                <w:sz w:val="20"/>
                <w:szCs w:val="20"/>
              </w:rPr>
            </w:pPr>
            <w:r>
              <w:rPr>
                <w:rFonts w:ascii="Arial Narrow" w:hAnsi="Arial Narrow"/>
                <w:noProof/>
                <w:color w:val="000000"/>
                <w:sz w:val="20"/>
                <w:szCs w:val="20"/>
              </w:rPr>
              <w:t>0.225</w:t>
            </w:r>
          </w:p>
        </w:tc>
        <w:tc>
          <w:tcPr>
            <w:tcW w:w="1247" w:type="dxa"/>
            <w:tcBorders>
              <w:top w:val="nil"/>
              <w:left w:val="nil"/>
              <w:bottom w:val="single" w:sz="4" w:space="0" w:color="auto"/>
              <w:right w:val="single" w:sz="4" w:space="0" w:color="auto"/>
            </w:tcBorders>
            <w:shd w:val="clear" w:color="auto" w:fill="auto"/>
            <w:vAlign w:val="center"/>
            <w:hideMark/>
          </w:tcPr>
          <w:p w14:paraId="08398359" w14:textId="39054802" w:rsidR="00591F0B" w:rsidRDefault="00591F0B" w:rsidP="00591F0B">
            <w:pPr>
              <w:jc w:val="center"/>
              <w:rPr>
                <w:rFonts w:ascii="Arial Narrow" w:hAnsi="Arial Narrow"/>
                <w:noProof/>
                <w:color w:val="000000"/>
                <w:sz w:val="20"/>
                <w:szCs w:val="20"/>
              </w:rPr>
            </w:pPr>
            <w:r>
              <w:rPr>
                <w:rFonts w:ascii="Arial Narrow" w:hAnsi="Arial Narrow"/>
                <w:noProof/>
                <w:color w:val="000000"/>
                <w:sz w:val="20"/>
                <w:szCs w:val="20"/>
              </w:rPr>
              <w:t> 0.225</w:t>
            </w:r>
          </w:p>
        </w:tc>
        <w:tc>
          <w:tcPr>
            <w:tcW w:w="1260" w:type="dxa"/>
            <w:gridSpan w:val="2"/>
            <w:tcBorders>
              <w:top w:val="nil"/>
              <w:left w:val="nil"/>
              <w:bottom w:val="single" w:sz="4" w:space="0" w:color="auto"/>
              <w:right w:val="single" w:sz="4" w:space="0" w:color="auto"/>
            </w:tcBorders>
            <w:shd w:val="clear" w:color="auto" w:fill="auto"/>
            <w:vAlign w:val="center"/>
            <w:hideMark/>
          </w:tcPr>
          <w:p w14:paraId="21709DE3" w14:textId="447C3220" w:rsidR="00591F0B" w:rsidRDefault="00591F0B" w:rsidP="00591F0B">
            <w:pPr>
              <w:jc w:val="center"/>
              <w:rPr>
                <w:rFonts w:ascii="Arial Narrow" w:hAnsi="Arial Narrow"/>
                <w:noProof/>
                <w:color w:val="000000"/>
                <w:sz w:val="20"/>
                <w:szCs w:val="20"/>
              </w:rPr>
            </w:pPr>
            <w:r>
              <w:rPr>
                <w:rFonts w:ascii="Arial Narrow" w:hAnsi="Arial Narrow"/>
                <w:noProof/>
                <w:color w:val="000000"/>
                <w:sz w:val="20"/>
                <w:szCs w:val="20"/>
              </w:rPr>
              <w:t>0.186</w:t>
            </w:r>
          </w:p>
        </w:tc>
        <w:tc>
          <w:tcPr>
            <w:tcW w:w="1311" w:type="dxa"/>
            <w:gridSpan w:val="2"/>
            <w:tcBorders>
              <w:top w:val="nil"/>
              <w:left w:val="nil"/>
              <w:bottom w:val="single" w:sz="4" w:space="0" w:color="auto"/>
              <w:right w:val="single" w:sz="4" w:space="0" w:color="auto"/>
            </w:tcBorders>
            <w:shd w:val="clear" w:color="auto" w:fill="auto"/>
            <w:vAlign w:val="center"/>
            <w:hideMark/>
          </w:tcPr>
          <w:p w14:paraId="7865DBE9" w14:textId="53FCD3B2" w:rsidR="00591F0B" w:rsidRDefault="00591F0B" w:rsidP="00591F0B">
            <w:pPr>
              <w:jc w:val="center"/>
              <w:rPr>
                <w:rFonts w:ascii="Arial Narrow" w:hAnsi="Arial Narrow"/>
                <w:noProof/>
                <w:color w:val="000000"/>
                <w:sz w:val="20"/>
                <w:szCs w:val="20"/>
              </w:rPr>
            </w:pPr>
            <w:r>
              <w:rPr>
                <w:rFonts w:ascii="Arial Narrow" w:hAnsi="Arial Narrow"/>
                <w:noProof/>
                <w:color w:val="000000"/>
                <w:sz w:val="20"/>
                <w:szCs w:val="20"/>
              </w:rPr>
              <w:t>0.186 </w:t>
            </w:r>
          </w:p>
        </w:tc>
        <w:tc>
          <w:tcPr>
            <w:tcW w:w="1302" w:type="dxa"/>
            <w:gridSpan w:val="2"/>
            <w:tcBorders>
              <w:top w:val="nil"/>
              <w:left w:val="nil"/>
              <w:bottom w:val="single" w:sz="4" w:space="0" w:color="auto"/>
              <w:right w:val="single" w:sz="4" w:space="0" w:color="auto"/>
            </w:tcBorders>
            <w:shd w:val="clear" w:color="auto" w:fill="auto"/>
            <w:vAlign w:val="center"/>
            <w:hideMark/>
          </w:tcPr>
          <w:p w14:paraId="76B280AA" w14:textId="5BB70A66" w:rsidR="00591F0B" w:rsidRDefault="00591F0B" w:rsidP="00591F0B">
            <w:pPr>
              <w:jc w:val="center"/>
              <w:rPr>
                <w:rFonts w:ascii="Arial Narrow" w:hAnsi="Arial Narrow"/>
                <w:noProof/>
                <w:color w:val="000000"/>
                <w:sz w:val="20"/>
                <w:szCs w:val="20"/>
              </w:rPr>
            </w:pPr>
            <w:r>
              <w:rPr>
                <w:rFonts w:ascii="Arial Narrow" w:hAnsi="Arial Narrow"/>
                <w:noProof/>
                <w:color w:val="000000"/>
                <w:sz w:val="20"/>
                <w:szCs w:val="20"/>
              </w:rPr>
              <w:t> </w:t>
            </w:r>
          </w:p>
        </w:tc>
        <w:tc>
          <w:tcPr>
            <w:tcW w:w="1303" w:type="dxa"/>
            <w:gridSpan w:val="2"/>
            <w:tcBorders>
              <w:top w:val="nil"/>
              <w:left w:val="nil"/>
              <w:bottom w:val="single" w:sz="4" w:space="0" w:color="auto"/>
              <w:right w:val="single" w:sz="4" w:space="0" w:color="auto"/>
            </w:tcBorders>
            <w:shd w:val="clear" w:color="auto" w:fill="auto"/>
            <w:vAlign w:val="center"/>
            <w:hideMark/>
          </w:tcPr>
          <w:p w14:paraId="38FEDFE3" w14:textId="3C9D9616" w:rsidR="00591F0B" w:rsidRDefault="00591F0B" w:rsidP="00591F0B">
            <w:pPr>
              <w:jc w:val="center"/>
              <w:rPr>
                <w:rFonts w:ascii="Arial Narrow" w:hAnsi="Arial Narrow"/>
                <w:noProof/>
                <w:color w:val="000000"/>
                <w:sz w:val="20"/>
                <w:szCs w:val="20"/>
              </w:rPr>
            </w:pPr>
            <w:r>
              <w:rPr>
                <w:rFonts w:ascii="Arial Narrow" w:hAnsi="Arial Narrow"/>
                <w:noProof/>
                <w:color w:val="000000"/>
                <w:sz w:val="20"/>
                <w:szCs w:val="20"/>
              </w:rPr>
              <w:t> </w:t>
            </w:r>
          </w:p>
        </w:tc>
        <w:tc>
          <w:tcPr>
            <w:tcW w:w="1355" w:type="dxa"/>
            <w:tcBorders>
              <w:top w:val="nil"/>
              <w:left w:val="nil"/>
              <w:bottom w:val="single" w:sz="4" w:space="0" w:color="auto"/>
              <w:right w:val="single" w:sz="4" w:space="0" w:color="auto"/>
            </w:tcBorders>
            <w:shd w:val="clear" w:color="auto" w:fill="auto"/>
            <w:vAlign w:val="center"/>
            <w:hideMark/>
          </w:tcPr>
          <w:p w14:paraId="24DFD11F" w14:textId="30FADD4A" w:rsidR="00591F0B" w:rsidRDefault="00591F0B" w:rsidP="00591F0B">
            <w:pPr>
              <w:jc w:val="center"/>
              <w:rPr>
                <w:rFonts w:ascii="Arial Narrow" w:hAnsi="Arial Narrow"/>
                <w:noProof/>
                <w:color w:val="000000"/>
                <w:sz w:val="20"/>
                <w:szCs w:val="20"/>
              </w:rPr>
            </w:pPr>
            <w:r>
              <w:rPr>
                <w:rFonts w:ascii="Arial Narrow" w:hAnsi="Arial Narrow"/>
                <w:noProof/>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39665AF1" w14:textId="0ADEC262" w:rsidR="00591F0B" w:rsidRDefault="00982D11" w:rsidP="00591F0B">
            <w:pPr>
              <w:jc w:val="center"/>
              <w:rPr>
                <w:rFonts w:ascii="Arial Narrow" w:hAnsi="Arial Narrow"/>
                <w:b/>
                <w:bCs/>
                <w:noProof/>
                <w:color w:val="000000"/>
                <w:sz w:val="20"/>
                <w:szCs w:val="20"/>
              </w:rPr>
            </w:pPr>
            <w:r>
              <w:rPr>
                <w:rFonts w:ascii="Arial Narrow" w:hAnsi="Arial Narrow"/>
                <w:b/>
                <w:bCs/>
                <w:noProof/>
                <w:color w:val="000000"/>
                <w:sz w:val="20"/>
                <w:szCs w:val="20"/>
              </w:rPr>
              <w:t>0.822</w:t>
            </w:r>
          </w:p>
        </w:tc>
      </w:tr>
      <w:tr w:rsidR="002A22AB" w14:paraId="726DC374" w14:textId="77777777" w:rsidTr="00CE3F2A">
        <w:trPr>
          <w:gridAfter w:val="1"/>
          <w:wAfter w:w="39" w:type="dxa"/>
          <w:trHeight w:val="401"/>
          <w:jc w:val="center"/>
        </w:trPr>
        <w:tc>
          <w:tcPr>
            <w:tcW w:w="4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7E654" w14:textId="77777777" w:rsidR="002A22AB" w:rsidRDefault="002A22AB" w:rsidP="00CE3F2A">
            <w:pPr>
              <w:jc w:val="center"/>
              <w:rPr>
                <w:rFonts w:ascii="Arial Narrow" w:hAnsi="Arial Narrow"/>
                <w:b/>
                <w:bCs/>
                <w:noProof/>
                <w:color w:val="000000"/>
                <w:sz w:val="22"/>
              </w:rPr>
            </w:pPr>
            <w:r>
              <w:rPr>
                <w:rFonts w:ascii="Arial Narrow" w:hAnsi="Arial Narrow"/>
                <w:b/>
                <w:bCs/>
                <w:noProof/>
                <w:color w:val="000000"/>
                <w:sz w:val="22"/>
              </w:rPr>
              <w:t>Sub-total Heading 7</w:t>
            </w: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57CBE9AC"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14:paraId="44D05E6D"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60" w:type="dxa"/>
            <w:gridSpan w:val="2"/>
            <w:tcBorders>
              <w:top w:val="nil"/>
              <w:left w:val="single" w:sz="4" w:space="0" w:color="auto"/>
              <w:bottom w:val="single" w:sz="4" w:space="0" w:color="auto"/>
              <w:right w:val="single" w:sz="4" w:space="0" w:color="auto"/>
            </w:tcBorders>
            <w:shd w:val="clear" w:color="auto" w:fill="auto"/>
            <w:vAlign w:val="center"/>
            <w:hideMark/>
          </w:tcPr>
          <w:p w14:paraId="08C3478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11" w:type="dxa"/>
            <w:gridSpan w:val="2"/>
            <w:tcBorders>
              <w:top w:val="nil"/>
              <w:left w:val="single" w:sz="4" w:space="0" w:color="auto"/>
              <w:bottom w:val="single" w:sz="4" w:space="0" w:color="auto"/>
              <w:right w:val="single" w:sz="4" w:space="0" w:color="auto"/>
            </w:tcBorders>
            <w:shd w:val="clear" w:color="auto" w:fill="auto"/>
            <w:vAlign w:val="center"/>
            <w:hideMark/>
          </w:tcPr>
          <w:p w14:paraId="469AD36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02" w:type="dxa"/>
            <w:gridSpan w:val="2"/>
            <w:tcBorders>
              <w:top w:val="nil"/>
              <w:left w:val="single" w:sz="4" w:space="0" w:color="auto"/>
              <w:bottom w:val="single" w:sz="4" w:space="0" w:color="auto"/>
              <w:right w:val="single" w:sz="4" w:space="0" w:color="auto"/>
            </w:tcBorders>
            <w:shd w:val="clear" w:color="auto" w:fill="auto"/>
            <w:vAlign w:val="center"/>
            <w:hideMark/>
          </w:tcPr>
          <w:p w14:paraId="3CAD6226"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03" w:type="dxa"/>
            <w:gridSpan w:val="2"/>
            <w:tcBorders>
              <w:top w:val="nil"/>
              <w:left w:val="single" w:sz="4" w:space="0" w:color="auto"/>
              <w:bottom w:val="single" w:sz="4" w:space="0" w:color="auto"/>
              <w:right w:val="single" w:sz="4" w:space="0" w:color="auto"/>
            </w:tcBorders>
            <w:shd w:val="clear" w:color="auto" w:fill="auto"/>
            <w:vAlign w:val="center"/>
            <w:hideMark/>
          </w:tcPr>
          <w:p w14:paraId="629B2112"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55" w:type="dxa"/>
            <w:tcBorders>
              <w:top w:val="nil"/>
              <w:left w:val="single" w:sz="4" w:space="0" w:color="auto"/>
              <w:bottom w:val="single" w:sz="4" w:space="0" w:color="auto"/>
              <w:right w:val="single" w:sz="4" w:space="0" w:color="auto"/>
            </w:tcBorders>
            <w:shd w:val="clear" w:color="auto" w:fill="auto"/>
            <w:vAlign w:val="center"/>
            <w:hideMark/>
          </w:tcPr>
          <w:p w14:paraId="7450A48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34" w:type="dxa"/>
            <w:tcBorders>
              <w:top w:val="nil"/>
              <w:left w:val="single" w:sz="4" w:space="0" w:color="auto"/>
              <w:bottom w:val="single" w:sz="4" w:space="0" w:color="auto"/>
              <w:right w:val="single" w:sz="4" w:space="0" w:color="auto"/>
            </w:tcBorders>
            <w:shd w:val="clear" w:color="auto" w:fill="auto"/>
            <w:vAlign w:val="center"/>
            <w:hideMark/>
          </w:tcPr>
          <w:p w14:paraId="54C3B118"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 </w:t>
            </w:r>
          </w:p>
        </w:tc>
      </w:tr>
      <w:tr w:rsidR="002A22AB" w14:paraId="609B2653" w14:textId="77777777" w:rsidTr="00CE3F2A">
        <w:trPr>
          <w:gridAfter w:val="1"/>
          <w:wAfter w:w="39" w:type="dxa"/>
          <w:trHeight w:val="363"/>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14:paraId="77F01BE5"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Outside Heading 7 – Human Resources</w:t>
            </w:r>
          </w:p>
        </w:tc>
        <w:tc>
          <w:tcPr>
            <w:tcW w:w="1273" w:type="dxa"/>
            <w:tcBorders>
              <w:top w:val="nil"/>
              <w:left w:val="nil"/>
              <w:bottom w:val="single" w:sz="4" w:space="0" w:color="auto"/>
              <w:right w:val="single" w:sz="4" w:space="0" w:color="auto"/>
            </w:tcBorders>
            <w:shd w:val="clear" w:color="auto" w:fill="auto"/>
            <w:vAlign w:val="center"/>
            <w:hideMark/>
          </w:tcPr>
          <w:p w14:paraId="516B099D"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47" w:type="dxa"/>
            <w:tcBorders>
              <w:top w:val="nil"/>
              <w:left w:val="nil"/>
              <w:bottom w:val="single" w:sz="4" w:space="0" w:color="auto"/>
              <w:right w:val="single" w:sz="4" w:space="0" w:color="auto"/>
            </w:tcBorders>
            <w:shd w:val="clear" w:color="auto" w:fill="auto"/>
            <w:vAlign w:val="center"/>
            <w:hideMark/>
          </w:tcPr>
          <w:p w14:paraId="125CBBC2"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0A9BAE4A"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11" w:type="dxa"/>
            <w:gridSpan w:val="2"/>
            <w:tcBorders>
              <w:top w:val="nil"/>
              <w:left w:val="nil"/>
              <w:bottom w:val="single" w:sz="4" w:space="0" w:color="auto"/>
              <w:right w:val="single" w:sz="4" w:space="0" w:color="auto"/>
            </w:tcBorders>
            <w:shd w:val="clear" w:color="auto" w:fill="auto"/>
            <w:vAlign w:val="center"/>
            <w:hideMark/>
          </w:tcPr>
          <w:p w14:paraId="1179F1D3"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02" w:type="dxa"/>
            <w:gridSpan w:val="2"/>
            <w:tcBorders>
              <w:top w:val="nil"/>
              <w:left w:val="nil"/>
              <w:bottom w:val="single" w:sz="4" w:space="0" w:color="auto"/>
              <w:right w:val="single" w:sz="4" w:space="0" w:color="auto"/>
            </w:tcBorders>
            <w:shd w:val="clear" w:color="auto" w:fill="auto"/>
            <w:vAlign w:val="center"/>
            <w:hideMark/>
          </w:tcPr>
          <w:p w14:paraId="0E3EF43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03" w:type="dxa"/>
            <w:gridSpan w:val="2"/>
            <w:tcBorders>
              <w:top w:val="nil"/>
              <w:left w:val="nil"/>
              <w:bottom w:val="single" w:sz="4" w:space="0" w:color="auto"/>
              <w:right w:val="single" w:sz="4" w:space="0" w:color="auto"/>
            </w:tcBorders>
            <w:shd w:val="clear" w:color="auto" w:fill="auto"/>
            <w:vAlign w:val="center"/>
            <w:hideMark/>
          </w:tcPr>
          <w:p w14:paraId="202A8252"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55" w:type="dxa"/>
            <w:tcBorders>
              <w:top w:val="nil"/>
              <w:left w:val="nil"/>
              <w:bottom w:val="single" w:sz="4" w:space="0" w:color="auto"/>
              <w:right w:val="single" w:sz="4" w:space="0" w:color="auto"/>
            </w:tcBorders>
            <w:shd w:val="clear" w:color="auto" w:fill="auto"/>
            <w:vAlign w:val="center"/>
            <w:hideMark/>
          </w:tcPr>
          <w:p w14:paraId="19D65610"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4EB06839"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 </w:t>
            </w:r>
          </w:p>
        </w:tc>
      </w:tr>
      <w:tr w:rsidR="002A22AB" w14:paraId="142058E8" w14:textId="77777777" w:rsidTr="00CE3F2A">
        <w:trPr>
          <w:gridAfter w:val="1"/>
          <w:wAfter w:w="39" w:type="dxa"/>
          <w:trHeight w:val="300"/>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14:paraId="3B1A3344" w14:textId="77777777" w:rsidR="002A22AB" w:rsidRDefault="002A22AB" w:rsidP="00CE3F2A">
            <w:pPr>
              <w:rPr>
                <w:rFonts w:ascii="Arial Narrow" w:hAnsi="Arial Narrow"/>
                <w:noProof/>
                <w:color w:val="000000"/>
                <w:sz w:val="20"/>
                <w:szCs w:val="20"/>
              </w:rPr>
            </w:pPr>
            <w:r>
              <w:rPr>
                <w:rFonts w:ascii="Arial Narrow" w:hAnsi="Arial Narrow"/>
                <w:noProof/>
                <w:color w:val="000000"/>
                <w:sz w:val="20"/>
                <w:szCs w:val="20"/>
              </w:rPr>
              <w:t>Outside Heading 7 – Other administrative expenditure</w:t>
            </w:r>
          </w:p>
        </w:tc>
        <w:tc>
          <w:tcPr>
            <w:tcW w:w="1273" w:type="dxa"/>
            <w:tcBorders>
              <w:top w:val="nil"/>
              <w:left w:val="nil"/>
              <w:bottom w:val="single" w:sz="4" w:space="0" w:color="auto"/>
              <w:right w:val="single" w:sz="4" w:space="0" w:color="auto"/>
            </w:tcBorders>
            <w:shd w:val="clear" w:color="auto" w:fill="auto"/>
            <w:vAlign w:val="center"/>
            <w:hideMark/>
          </w:tcPr>
          <w:p w14:paraId="772D8DDE"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47" w:type="dxa"/>
            <w:tcBorders>
              <w:top w:val="nil"/>
              <w:left w:val="nil"/>
              <w:bottom w:val="single" w:sz="4" w:space="0" w:color="auto"/>
              <w:right w:val="single" w:sz="4" w:space="0" w:color="auto"/>
            </w:tcBorders>
            <w:shd w:val="clear" w:color="auto" w:fill="auto"/>
            <w:vAlign w:val="center"/>
            <w:hideMark/>
          </w:tcPr>
          <w:p w14:paraId="29A87982"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3F4A2D7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11" w:type="dxa"/>
            <w:gridSpan w:val="2"/>
            <w:tcBorders>
              <w:top w:val="nil"/>
              <w:left w:val="nil"/>
              <w:bottom w:val="single" w:sz="4" w:space="0" w:color="auto"/>
              <w:right w:val="single" w:sz="4" w:space="0" w:color="auto"/>
            </w:tcBorders>
            <w:shd w:val="clear" w:color="auto" w:fill="auto"/>
            <w:vAlign w:val="center"/>
            <w:hideMark/>
          </w:tcPr>
          <w:p w14:paraId="1BBE3141"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02" w:type="dxa"/>
            <w:gridSpan w:val="2"/>
            <w:tcBorders>
              <w:top w:val="nil"/>
              <w:left w:val="nil"/>
              <w:bottom w:val="single" w:sz="4" w:space="0" w:color="auto"/>
              <w:right w:val="single" w:sz="4" w:space="0" w:color="auto"/>
            </w:tcBorders>
            <w:shd w:val="clear" w:color="auto" w:fill="auto"/>
            <w:vAlign w:val="center"/>
            <w:hideMark/>
          </w:tcPr>
          <w:p w14:paraId="6A743EFC"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03" w:type="dxa"/>
            <w:gridSpan w:val="2"/>
            <w:tcBorders>
              <w:top w:val="nil"/>
              <w:left w:val="nil"/>
              <w:bottom w:val="single" w:sz="4" w:space="0" w:color="auto"/>
              <w:right w:val="single" w:sz="4" w:space="0" w:color="auto"/>
            </w:tcBorders>
            <w:shd w:val="clear" w:color="auto" w:fill="auto"/>
            <w:vAlign w:val="center"/>
            <w:hideMark/>
          </w:tcPr>
          <w:p w14:paraId="08A1487B"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55" w:type="dxa"/>
            <w:tcBorders>
              <w:top w:val="nil"/>
              <w:left w:val="nil"/>
              <w:bottom w:val="single" w:sz="4" w:space="0" w:color="auto"/>
              <w:right w:val="single" w:sz="4" w:space="0" w:color="auto"/>
            </w:tcBorders>
            <w:shd w:val="clear" w:color="auto" w:fill="auto"/>
            <w:vAlign w:val="center"/>
            <w:hideMark/>
          </w:tcPr>
          <w:p w14:paraId="2E663E9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237D2C7C"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 </w:t>
            </w:r>
          </w:p>
        </w:tc>
      </w:tr>
      <w:tr w:rsidR="002A22AB" w14:paraId="6FBD5080" w14:textId="77777777" w:rsidTr="00CE3F2A">
        <w:trPr>
          <w:gridAfter w:val="1"/>
          <w:wAfter w:w="39" w:type="dxa"/>
          <w:trHeight w:val="431"/>
          <w:jc w:val="center"/>
        </w:trPr>
        <w:tc>
          <w:tcPr>
            <w:tcW w:w="4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F772D" w14:textId="77777777" w:rsidR="002A22AB" w:rsidRDefault="002A22AB" w:rsidP="00CE3F2A">
            <w:pPr>
              <w:jc w:val="center"/>
              <w:rPr>
                <w:rFonts w:ascii="Arial Narrow" w:hAnsi="Arial Narrow"/>
                <w:b/>
                <w:bCs/>
                <w:noProof/>
                <w:color w:val="000000"/>
                <w:sz w:val="22"/>
              </w:rPr>
            </w:pPr>
            <w:r>
              <w:rPr>
                <w:rFonts w:ascii="Arial Narrow" w:hAnsi="Arial Narrow"/>
                <w:b/>
                <w:bCs/>
                <w:noProof/>
                <w:color w:val="000000"/>
                <w:sz w:val="22"/>
              </w:rPr>
              <w:t>Sub-total Other Headings</w:t>
            </w: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5E8BCA58"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14:paraId="33DE795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60" w:type="dxa"/>
            <w:gridSpan w:val="2"/>
            <w:tcBorders>
              <w:top w:val="nil"/>
              <w:left w:val="single" w:sz="4" w:space="0" w:color="auto"/>
              <w:bottom w:val="single" w:sz="4" w:space="0" w:color="auto"/>
              <w:right w:val="single" w:sz="4" w:space="0" w:color="auto"/>
            </w:tcBorders>
            <w:shd w:val="clear" w:color="auto" w:fill="auto"/>
            <w:vAlign w:val="center"/>
            <w:hideMark/>
          </w:tcPr>
          <w:p w14:paraId="78E2FE76"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11" w:type="dxa"/>
            <w:gridSpan w:val="2"/>
            <w:tcBorders>
              <w:top w:val="nil"/>
              <w:left w:val="single" w:sz="4" w:space="0" w:color="auto"/>
              <w:bottom w:val="single" w:sz="4" w:space="0" w:color="auto"/>
              <w:right w:val="single" w:sz="4" w:space="0" w:color="auto"/>
            </w:tcBorders>
            <w:shd w:val="clear" w:color="auto" w:fill="auto"/>
            <w:vAlign w:val="center"/>
            <w:hideMark/>
          </w:tcPr>
          <w:p w14:paraId="3748E39D"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02" w:type="dxa"/>
            <w:gridSpan w:val="2"/>
            <w:tcBorders>
              <w:top w:val="nil"/>
              <w:left w:val="single" w:sz="4" w:space="0" w:color="auto"/>
              <w:bottom w:val="single" w:sz="4" w:space="0" w:color="auto"/>
              <w:right w:val="single" w:sz="4" w:space="0" w:color="auto"/>
            </w:tcBorders>
            <w:shd w:val="clear" w:color="auto" w:fill="auto"/>
            <w:vAlign w:val="center"/>
            <w:hideMark/>
          </w:tcPr>
          <w:p w14:paraId="0250C37F"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03" w:type="dxa"/>
            <w:gridSpan w:val="2"/>
            <w:tcBorders>
              <w:top w:val="nil"/>
              <w:left w:val="single" w:sz="4" w:space="0" w:color="auto"/>
              <w:bottom w:val="single" w:sz="4" w:space="0" w:color="auto"/>
              <w:right w:val="single" w:sz="4" w:space="0" w:color="auto"/>
            </w:tcBorders>
            <w:shd w:val="clear" w:color="auto" w:fill="auto"/>
            <w:vAlign w:val="center"/>
            <w:hideMark/>
          </w:tcPr>
          <w:p w14:paraId="6F68A139"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355" w:type="dxa"/>
            <w:tcBorders>
              <w:top w:val="nil"/>
              <w:left w:val="single" w:sz="4" w:space="0" w:color="auto"/>
              <w:bottom w:val="single" w:sz="4" w:space="0" w:color="auto"/>
              <w:right w:val="single" w:sz="4" w:space="0" w:color="auto"/>
            </w:tcBorders>
            <w:shd w:val="clear" w:color="auto" w:fill="auto"/>
            <w:vAlign w:val="center"/>
            <w:hideMark/>
          </w:tcPr>
          <w:p w14:paraId="1BFDE97E" w14:textId="77777777" w:rsidR="002A22AB" w:rsidRDefault="002A22AB" w:rsidP="00CE3F2A">
            <w:pPr>
              <w:jc w:val="center"/>
              <w:rPr>
                <w:rFonts w:ascii="Arial Narrow" w:hAnsi="Arial Narrow"/>
                <w:noProof/>
                <w:color w:val="000000"/>
                <w:sz w:val="20"/>
                <w:szCs w:val="20"/>
              </w:rPr>
            </w:pPr>
            <w:r>
              <w:rPr>
                <w:rFonts w:ascii="Arial Narrow" w:hAnsi="Arial Narrow"/>
                <w:noProof/>
                <w:color w:val="000000"/>
                <w:sz w:val="20"/>
                <w:szCs w:val="20"/>
              </w:rPr>
              <w:t> </w:t>
            </w:r>
          </w:p>
        </w:tc>
        <w:tc>
          <w:tcPr>
            <w:tcW w:w="1234" w:type="dxa"/>
            <w:tcBorders>
              <w:top w:val="nil"/>
              <w:left w:val="single" w:sz="4" w:space="0" w:color="auto"/>
              <w:bottom w:val="single" w:sz="4" w:space="0" w:color="auto"/>
              <w:right w:val="single" w:sz="4" w:space="0" w:color="auto"/>
            </w:tcBorders>
            <w:shd w:val="clear" w:color="auto" w:fill="auto"/>
            <w:vAlign w:val="center"/>
            <w:hideMark/>
          </w:tcPr>
          <w:p w14:paraId="76F352D3" w14:textId="77777777" w:rsidR="002A22AB" w:rsidRDefault="002A22AB" w:rsidP="00CE3F2A">
            <w:pPr>
              <w:jc w:val="center"/>
              <w:rPr>
                <w:rFonts w:ascii="Arial Narrow" w:hAnsi="Arial Narrow"/>
                <w:b/>
                <w:bCs/>
                <w:noProof/>
                <w:color w:val="000000"/>
                <w:sz w:val="20"/>
                <w:szCs w:val="20"/>
              </w:rPr>
            </w:pPr>
            <w:r>
              <w:rPr>
                <w:rFonts w:ascii="Arial Narrow" w:hAnsi="Arial Narrow"/>
                <w:b/>
                <w:bCs/>
                <w:noProof/>
                <w:color w:val="000000"/>
                <w:sz w:val="20"/>
                <w:szCs w:val="20"/>
              </w:rPr>
              <w:t> </w:t>
            </w:r>
          </w:p>
        </w:tc>
      </w:tr>
      <w:tr w:rsidR="00591F0B" w14:paraId="3214BF98" w14:textId="77777777" w:rsidTr="00CE3F2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289"/>
          <w:jc w:val="center"/>
        </w:trPr>
        <w:tc>
          <w:tcPr>
            <w:tcW w:w="4346" w:type="dxa"/>
            <w:tcBorders>
              <w:top w:val="single" w:sz="12" w:space="0" w:color="auto"/>
            </w:tcBorders>
            <w:vAlign w:val="center"/>
          </w:tcPr>
          <w:p w14:paraId="4CC63569" w14:textId="77777777" w:rsidR="00591F0B" w:rsidRDefault="00591F0B" w:rsidP="00591F0B">
            <w:pPr>
              <w:pStyle w:val="Text1"/>
              <w:spacing w:after="0"/>
              <w:ind w:left="0"/>
              <w:jc w:val="center"/>
              <w:rPr>
                <w:rFonts w:ascii="Arial Narrow" w:hAnsi="Arial Narrow"/>
                <w:b/>
                <w:noProof/>
                <w:sz w:val="22"/>
              </w:rPr>
            </w:pPr>
            <w:r>
              <w:rPr>
                <w:rFonts w:ascii="Arial Narrow" w:hAnsi="Arial Narrow"/>
                <w:b/>
                <w:noProof/>
                <w:sz w:val="22"/>
              </w:rPr>
              <w:t>TOTAL</w:t>
            </w:r>
          </w:p>
          <w:p w14:paraId="6AFBE12C" w14:textId="77777777" w:rsidR="00591F0B" w:rsidRDefault="00591F0B" w:rsidP="00591F0B">
            <w:pPr>
              <w:pStyle w:val="Text1"/>
              <w:spacing w:before="0"/>
              <w:ind w:left="0"/>
              <w:jc w:val="center"/>
              <w:rPr>
                <w:rFonts w:ascii="Arial Narrow" w:hAnsi="Arial Narrow"/>
                <w:b/>
                <w:noProof/>
                <w:sz w:val="22"/>
              </w:rPr>
            </w:pPr>
            <w:r>
              <w:rPr>
                <w:rFonts w:ascii="Arial Narrow" w:hAnsi="Arial Narrow"/>
                <w:b/>
                <w:noProof/>
                <w:sz w:val="22"/>
              </w:rPr>
              <w:t>HEADING 7 and Outside HEADING 7</w:t>
            </w:r>
          </w:p>
        </w:tc>
        <w:tc>
          <w:tcPr>
            <w:tcW w:w="1273" w:type="dxa"/>
            <w:tcBorders>
              <w:top w:val="single" w:sz="12" w:space="0" w:color="auto"/>
            </w:tcBorders>
            <w:vAlign w:val="center"/>
          </w:tcPr>
          <w:p w14:paraId="5BFA41A1" w14:textId="7626CC9D" w:rsidR="00591F0B" w:rsidRDefault="00591F0B" w:rsidP="00591F0B">
            <w:pPr>
              <w:jc w:val="center"/>
              <w:rPr>
                <w:rFonts w:ascii="Arial Narrow" w:hAnsi="Arial Narrow"/>
                <w:noProof/>
                <w:sz w:val="20"/>
                <w:szCs w:val="20"/>
              </w:rPr>
            </w:pPr>
            <w:r>
              <w:rPr>
                <w:rFonts w:ascii="Arial Narrow" w:hAnsi="Arial Narrow"/>
                <w:noProof/>
                <w:sz w:val="20"/>
                <w:szCs w:val="20"/>
              </w:rPr>
              <w:t>0.833</w:t>
            </w:r>
          </w:p>
        </w:tc>
        <w:tc>
          <w:tcPr>
            <w:tcW w:w="1272" w:type="dxa"/>
            <w:gridSpan w:val="2"/>
            <w:tcBorders>
              <w:top w:val="single" w:sz="12" w:space="0" w:color="auto"/>
            </w:tcBorders>
            <w:vAlign w:val="center"/>
          </w:tcPr>
          <w:p w14:paraId="2AB4A604" w14:textId="21C4178E" w:rsidR="00591F0B" w:rsidRDefault="00591F0B" w:rsidP="00591F0B">
            <w:pPr>
              <w:jc w:val="center"/>
              <w:rPr>
                <w:rFonts w:ascii="Arial Narrow" w:hAnsi="Arial Narrow"/>
                <w:noProof/>
                <w:sz w:val="20"/>
                <w:szCs w:val="20"/>
              </w:rPr>
            </w:pPr>
            <w:r>
              <w:rPr>
                <w:rFonts w:ascii="Arial Narrow" w:hAnsi="Arial Narrow"/>
                <w:noProof/>
                <w:sz w:val="20"/>
                <w:szCs w:val="20"/>
              </w:rPr>
              <w:t>0.833</w:t>
            </w:r>
          </w:p>
        </w:tc>
        <w:tc>
          <w:tcPr>
            <w:tcW w:w="1273" w:type="dxa"/>
            <w:gridSpan w:val="2"/>
            <w:tcBorders>
              <w:top w:val="single" w:sz="12" w:space="0" w:color="auto"/>
            </w:tcBorders>
            <w:vAlign w:val="center"/>
          </w:tcPr>
          <w:p w14:paraId="6F51A9D6" w14:textId="27CB4C4F" w:rsidR="00591F0B" w:rsidRDefault="00591F0B" w:rsidP="00591F0B">
            <w:pPr>
              <w:jc w:val="center"/>
              <w:rPr>
                <w:rFonts w:ascii="Arial Narrow" w:hAnsi="Arial Narrow"/>
                <w:noProof/>
                <w:sz w:val="20"/>
                <w:szCs w:val="20"/>
              </w:rPr>
            </w:pPr>
            <w:r>
              <w:rPr>
                <w:rFonts w:ascii="Arial Narrow" w:hAnsi="Arial Narrow"/>
                <w:noProof/>
                <w:sz w:val="20"/>
                <w:szCs w:val="20"/>
              </w:rPr>
              <w:t>0.794</w:t>
            </w:r>
          </w:p>
        </w:tc>
        <w:tc>
          <w:tcPr>
            <w:tcW w:w="1273" w:type="dxa"/>
            <w:tcBorders>
              <w:top w:val="single" w:sz="12" w:space="0" w:color="auto"/>
            </w:tcBorders>
            <w:vAlign w:val="center"/>
          </w:tcPr>
          <w:p w14:paraId="2AED7466" w14:textId="5F86DC46" w:rsidR="00591F0B" w:rsidRDefault="00591F0B" w:rsidP="00591F0B">
            <w:pPr>
              <w:jc w:val="center"/>
              <w:rPr>
                <w:rFonts w:ascii="Arial Narrow" w:hAnsi="Arial Narrow"/>
                <w:noProof/>
                <w:sz w:val="20"/>
                <w:szCs w:val="20"/>
              </w:rPr>
            </w:pPr>
            <w:r>
              <w:rPr>
                <w:rFonts w:ascii="Arial Narrow" w:hAnsi="Arial Narrow"/>
                <w:noProof/>
                <w:sz w:val="20"/>
                <w:szCs w:val="20"/>
              </w:rPr>
              <w:t>0.794</w:t>
            </w:r>
          </w:p>
        </w:tc>
        <w:tc>
          <w:tcPr>
            <w:tcW w:w="1273" w:type="dxa"/>
            <w:tcBorders>
              <w:top w:val="single" w:sz="12" w:space="0" w:color="auto"/>
            </w:tcBorders>
            <w:vAlign w:val="center"/>
          </w:tcPr>
          <w:p w14:paraId="7297380E" w14:textId="77777777" w:rsidR="00591F0B" w:rsidRDefault="00591F0B" w:rsidP="00591F0B">
            <w:pPr>
              <w:jc w:val="center"/>
              <w:rPr>
                <w:rFonts w:ascii="Arial Narrow" w:hAnsi="Arial Narrow"/>
                <w:noProof/>
                <w:sz w:val="20"/>
                <w:szCs w:val="20"/>
              </w:rPr>
            </w:pPr>
          </w:p>
        </w:tc>
        <w:tc>
          <w:tcPr>
            <w:tcW w:w="1272" w:type="dxa"/>
            <w:gridSpan w:val="2"/>
            <w:tcBorders>
              <w:top w:val="single" w:sz="12" w:space="0" w:color="auto"/>
            </w:tcBorders>
            <w:vAlign w:val="center"/>
          </w:tcPr>
          <w:p w14:paraId="2E4E6A79" w14:textId="77777777" w:rsidR="00591F0B" w:rsidRDefault="00591F0B" w:rsidP="00591F0B">
            <w:pPr>
              <w:jc w:val="center"/>
              <w:rPr>
                <w:rFonts w:ascii="Arial Narrow" w:hAnsi="Arial Narrow"/>
                <w:noProof/>
                <w:sz w:val="20"/>
                <w:szCs w:val="20"/>
              </w:rPr>
            </w:pPr>
          </w:p>
        </w:tc>
        <w:tc>
          <w:tcPr>
            <w:tcW w:w="1415" w:type="dxa"/>
            <w:gridSpan w:val="2"/>
            <w:tcBorders>
              <w:top w:val="single" w:sz="12" w:space="0" w:color="auto"/>
            </w:tcBorders>
            <w:vAlign w:val="center"/>
          </w:tcPr>
          <w:p w14:paraId="11576154" w14:textId="77777777" w:rsidR="00591F0B" w:rsidRDefault="00591F0B" w:rsidP="00591F0B">
            <w:pPr>
              <w:jc w:val="center"/>
              <w:rPr>
                <w:rFonts w:ascii="Arial Narrow" w:hAnsi="Arial Narrow"/>
                <w:noProof/>
                <w:sz w:val="20"/>
                <w:szCs w:val="20"/>
              </w:rPr>
            </w:pPr>
          </w:p>
        </w:tc>
        <w:tc>
          <w:tcPr>
            <w:tcW w:w="1273" w:type="dxa"/>
            <w:gridSpan w:val="2"/>
            <w:tcBorders>
              <w:top w:val="single" w:sz="12" w:space="0" w:color="auto"/>
            </w:tcBorders>
            <w:vAlign w:val="center"/>
          </w:tcPr>
          <w:p w14:paraId="603D7DEC" w14:textId="7570AC46" w:rsidR="00591F0B" w:rsidRDefault="00591F0B" w:rsidP="00591F0B">
            <w:pPr>
              <w:jc w:val="center"/>
              <w:rPr>
                <w:rFonts w:ascii="Arial Narrow" w:hAnsi="Arial Narrow"/>
                <w:b/>
                <w:noProof/>
                <w:sz w:val="20"/>
                <w:szCs w:val="20"/>
              </w:rPr>
            </w:pPr>
            <w:r>
              <w:rPr>
                <w:rFonts w:ascii="Arial Narrow" w:hAnsi="Arial Narrow"/>
                <w:b/>
                <w:noProof/>
                <w:sz w:val="20"/>
                <w:szCs w:val="20"/>
              </w:rPr>
              <w:t>3.330</w:t>
            </w:r>
          </w:p>
        </w:tc>
      </w:tr>
    </w:tbl>
    <w:p w14:paraId="61070388" w14:textId="77777777" w:rsidR="002A22AB" w:rsidRDefault="002A22AB" w:rsidP="002A22AB">
      <w:pPr>
        <w:ind w:right="-496"/>
        <w:jc w:val="right"/>
        <w:rPr>
          <w:rFonts w:ascii="Arial Narrow" w:hAnsi="Arial Narrow"/>
          <w:i/>
          <w:iCs/>
          <w:noProof/>
          <w:sz w:val="20"/>
          <w:szCs w:val="20"/>
        </w:rPr>
      </w:pPr>
    </w:p>
    <w:p w14:paraId="651F6606" w14:textId="77777777" w:rsidR="002A22AB" w:rsidRDefault="002A22AB" w:rsidP="002A22AB">
      <w:pPr>
        <w:pStyle w:val="Text2"/>
        <w:spacing w:before="0" w:after="0"/>
        <w:ind w:left="0"/>
        <w:jc w:val="center"/>
        <w:rPr>
          <w:iCs/>
          <w:noProof/>
          <w:sz w:val="18"/>
          <w:szCs w:val="18"/>
        </w:rPr>
      </w:pPr>
      <w:r>
        <w:rPr>
          <w:noProof/>
          <w:sz w:val="18"/>
        </w:rPr>
        <w:t>The administrative appropriations required will be met by the appropriations which are already assigned to management of the action and/or which have been redeployed, together if necessary with any additional allocation which may be granted to the managing DG under the annual allocation procedure and in the light of existing budgetary constraints.</w:t>
      </w:r>
    </w:p>
    <w:p w14:paraId="0099EA6C" w14:textId="77777777" w:rsidR="002A22AB" w:rsidRDefault="002A22AB" w:rsidP="002A22AB">
      <w:pPr>
        <w:spacing w:before="60"/>
        <w:ind w:left="-360" w:firstLine="900"/>
        <w:rPr>
          <w:noProof/>
          <w:sz w:val="20"/>
          <w:szCs w:val="20"/>
        </w:rPr>
      </w:pPr>
    </w:p>
    <w:p w14:paraId="2BC2D67A" w14:textId="2C4056DD" w:rsidR="002A22AB" w:rsidRDefault="002A22AB" w:rsidP="00556E60">
      <w:pPr>
        <w:keepNext/>
        <w:spacing w:before="240" w:after="0"/>
        <w:rPr>
          <w:noProof/>
        </w:rPr>
        <w:sectPr w:rsidR="002A22AB" w:rsidSect="009D02A3">
          <w:pgSz w:w="15840" w:h="12240" w:orient="landscape" w:code="1"/>
          <w:pgMar w:top="1418" w:right="1247" w:bottom="1418" w:left="1247" w:header="709" w:footer="709" w:gutter="0"/>
          <w:cols w:space="708"/>
          <w:docGrid w:linePitch="360"/>
        </w:sectPr>
      </w:pPr>
    </w:p>
    <w:p w14:paraId="6CAAC45C" w14:textId="796B6040" w:rsidR="002A22AB" w:rsidRDefault="00C304BF" w:rsidP="00C304BF">
      <w:pPr>
        <w:pStyle w:val="ManualHeading1"/>
        <w:rPr>
          <w:noProof/>
        </w:rPr>
      </w:pPr>
      <w:r w:rsidRPr="00C304BF">
        <w:t>4.</w:t>
      </w:r>
      <w:r w:rsidRPr="00C304BF">
        <w:tab/>
      </w:r>
      <w:r w:rsidR="002A22AB">
        <w:rPr>
          <w:noProof/>
        </w:rPr>
        <w:t>Methods of calculation used to estimate costs</w:t>
      </w:r>
    </w:p>
    <w:p w14:paraId="6E3BF20C" w14:textId="4C79D84A" w:rsidR="002A22AB" w:rsidRDefault="00C304BF" w:rsidP="00C304BF">
      <w:pPr>
        <w:pStyle w:val="ManualHeading2"/>
        <w:rPr>
          <w:noProof/>
          <w:szCs w:val="28"/>
        </w:rPr>
      </w:pPr>
      <w:r w:rsidRPr="00C304BF">
        <w:t>4.1.</w:t>
      </w:r>
      <w:r w:rsidRPr="00C304BF">
        <w:tab/>
      </w:r>
      <w:r w:rsidR="002A22AB">
        <w:rPr>
          <w:noProof/>
        </w:rPr>
        <w:t xml:space="preserve"> Human resources</w:t>
      </w:r>
    </w:p>
    <w:p w14:paraId="0CC198E5" w14:textId="77777777" w:rsidR="002A22AB" w:rsidRDefault="002A22AB" w:rsidP="002A22AB">
      <w:pPr>
        <w:ind w:left="-357" w:firstLine="902"/>
        <w:rPr>
          <w:noProof/>
          <w:sz w:val="20"/>
          <w:szCs w:val="20"/>
        </w:rPr>
      </w:pPr>
    </w:p>
    <w:p w14:paraId="7A133745" w14:textId="77777777" w:rsidR="002A22AB" w:rsidRDefault="002A22AB" w:rsidP="002A22AB">
      <w:pPr>
        <w:spacing w:after="60"/>
        <w:jc w:val="center"/>
        <w:rPr>
          <w:i/>
          <w:noProof/>
          <w:sz w:val="20"/>
          <w:szCs w:val="20"/>
        </w:rPr>
      </w:pPr>
    </w:p>
    <w:p w14:paraId="4E3C471B" w14:textId="77777777" w:rsidR="002A22AB" w:rsidRDefault="002A22AB" w:rsidP="002A22AB">
      <w:pPr>
        <w:spacing w:after="60"/>
        <w:jc w:val="center"/>
        <w:rPr>
          <w:i/>
          <w:noProof/>
          <w:sz w:val="20"/>
          <w:szCs w:val="20"/>
        </w:rPr>
      </w:pPr>
      <w:r>
        <w:rPr>
          <w:i/>
          <w:noProof/>
          <w:sz w:val="20"/>
        </w:rPr>
        <w:t>This part sets out the method of calculation used to estimate the human resources considered necessary (workload assumptions, including specific jobs (Sysper 2 work profiles), staff categories and the corresponding average costs)</w:t>
      </w:r>
    </w:p>
    <w:p w14:paraId="7980A628" w14:textId="77777777" w:rsidR="002A22AB" w:rsidRDefault="002A22AB" w:rsidP="002A22AB">
      <w:pPr>
        <w:spacing w:after="60"/>
        <w:ind w:left="540"/>
        <w:jc w:val="center"/>
        <w:rPr>
          <w:i/>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9"/>
      </w:tblGrid>
      <w:tr w:rsidR="002A22AB" w14:paraId="79A1E4AA" w14:textId="77777777" w:rsidTr="00CE3F2A">
        <w:trPr>
          <w:jc w:val="center"/>
        </w:trPr>
        <w:tc>
          <w:tcPr>
            <w:tcW w:w="12474" w:type="dxa"/>
            <w:tcBorders>
              <w:top w:val="single" w:sz="4" w:space="0" w:color="auto"/>
            </w:tcBorders>
          </w:tcPr>
          <w:p w14:paraId="57733415" w14:textId="77777777" w:rsidR="002A22AB" w:rsidRDefault="002A22AB" w:rsidP="00CE3F2A">
            <w:pPr>
              <w:pStyle w:val="Text2"/>
              <w:spacing w:before="60" w:after="60"/>
              <w:ind w:left="0"/>
              <w:jc w:val="left"/>
              <w:rPr>
                <w:rFonts w:ascii="Arial Narrow" w:hAnsi="Arial Narrow"/>
                <w:b/>
                <w:noProof/>
                <w:sz w:val="22"/>
              </w:rPr>
            </w:pPr>
            <w:r>
              <w:rPr>
                <w:rFonts w:ascii="Arial Narrow" w:hAnsi="Arial Narrow"/>
                <w:b/>
                <w:noProof/>
                <w:sz w:val="22"/>
              </w:rPr>
              <w:t>HEADING 7</w:t>
            </w:r>
            <w:r>
              <w:rPr>
                <w:rFonts w:ascii="Arial Narrow" w:hAnsi="Arial Narrow"/>
                <w:noProof/>
                <w:sz w:val="22"/>
              </w:rPr>
              <w:t xml:space="preserve"> of the multiannual financial framework</w:t>
            </w:r>
          </w:p>
        </w:tc>
      </w:tr>
      <w:tr w:rsidR="002A22AB" w14:paraId="00BF2FEF" w14:textId="77777777" w:rsidTr="00CE3F2A">
        <w:trPr>
          <w:jc w:val="center"/>
        </w:trPr>
        <w:tc>
          <w:tcPr>
            <w:tcW w:w="12474" w:type="dxa"/>
          </w:tcPr>
          <w:p w14:paraId="52CE4232" w14:textId="77777777" w:rsidR="002A22AB" w:rsidRDefault="002A22AB" w:rsidP="00CE3F2A">
            <w:pPr>
              <w:pStyle w:val="Text2"/>
              <w:spacing w:before="20" w:after="20"/>
              <w:ind w:left="0"/>
              <w:jc w:val="center"/>
              <w:rPr>
                <w:rFonts w:ascii="Arial Narrow" w:hAnsi="Arial Narrow"/>
                <w:noProof/>
                <w:sz w:val="18"/>
                <w:szCs w:val="18"/>
              </w:rPr>
            </w:pPr>
            <w:r>
              <w:rPr>
                <w:rFonts w:ascii="Arial Narrow" w:hAnsi="Arial Narrow"/>
                <w:noProof/>
                <w:sz w:val="18"/>
                <w:u w:val="single"/>
              </w:rPr>
              <w:t>NB:</w:t>
            </w:r>
            <w:r>
              <w:rPr>
                <w:rFonts w:ascii="Arial Narrow" w:hAnsi="Arial Narrow"/>
                <w:noProof/>
                <w:sz w:val="18"/>
              </w:rPr>
              <w:t xml:space="preserve"> The average costs for each category of staff at Headquarters are available on BudgWeb:</w:t>
            </w:r>
          </w:p>
          <w:p w14:paraId="4DCE5C7E" w14:textId="77777777" w:rsidR="002A22AB" w:rsidRDefault="000F7023" w:rsidP="00CE3F2A">
            <w:pPr>
              <w:pStyle w:val="Text2"/>
              <w:spacing w:before="0" w:after="20"/>
              <w:ind w:left="0"/>
              <w:jc w:val="center"/>
              <w:rPr>
                <w:rFonts w:ascii="Arial Narrow" w:hAnsi="Arial Narrow"/>
                <w:noProof/>
                <w:sz w:val="18"/>
                <w:szCs w:val="18"/>
              </w:rPr>
            </w:pPr>
            <w:hyperlink r:id="rId39" w:history="1">
              <w:r w:rsidR="002A22AB">
                <w:rPr>
                  <w:rStyle w:val="Hyperlink"/>
                  <w:rFonts w:ascii="Arial Narrow" w:hAnsi="Arial Narrow"/>
                  <w:noProof/>
                  <w:sz w:val="18"/>
                  <w:szCs w:val="18"/>
                </w:rPr>
                <w:t>https://myintracomm.ec.europa.eu/budgweb/EN/pre/legalbasis/Pages/pre-040-020_preparation.aspx</w:t>
              </w:r>
            </w:hyperlink>
          </w:p>
        </w:tc>
      </w:tr>
      <w:tr w:rsidR="002A22AB" w14:paraId="1D81AA5A" w14:textId="77777777" w:rsidTr="00CE3F2A">
        <w:trPr>
          <w:jc w:val="center"/>
        </w:trPr>
        <w:tc>
          <w:tcPr>
            <w:tcW w:w="12474" w:type="dxa"/>
          </w:tcPr>
          <w:p w14:paraId="419E955A" w14:textId="77777777" w:rsidR="002A22AB" w:rsidRDefault="002A22AB" w:rsidP="00CE3F2A">
            <w:pPr>
              <w:rPr>
                <w:rFonts w:ascii="Arial Narrow" w:hAnsi="Arial Narrow"/>
                <w:noProof/>
                <w:sz w:val="22"/>
              </w:rPr>
            </w:pPr>
            <w:r>
              <w:rPr>
                <w:rFonts w:ascii="Arial Narrow" w:hAnsi="Arial Narrow"/>
                <w:b/>
                <w:noProof/>
              </w:rPr>
              <w:t xml:space="preserve"> </w:t>
            </w:r>
            <w:r>
              <w:rPr>
                <w:rFonts w:ascii="Arial Narrow" w:hAnsi="Arial Narrow"/>
                <w:noProof/>
                <w:sz w:val="22"/>
              </w:rPr>
              <w:t xml:space="preserve">Officials and temporary staff: </w:t>
            </w:r>
          </w:p>
          <w:p w14:paraId="08FF144E" w14:textId="23D2DE85" w:rsidR="00B73F74" w:rsidRPr="00F00A7A" w:rsidRDefault="002A22AB" w:rsidP="00CE3F2A">
            <w:pPr>
              <w:rPr>
                <w:noProof/>
                <w:sz w:val="22"/>
              </w:rPr>
            </w:pPr>
            <w:r w:rsidRPr="00F00A7A">
              <w:rPr>
                <w:noProof/>
                <w:sz w:val="22"/>
              </w:rPr>
              <w:t>In line with Circular note of DG BUDGET to RUF/2020/23 of 30/11/2020 (see annexe 1, Ares(2020)7207955 of 30/11/2020), 1AD</w:t>
            </w:r>
            <w:r>
              <w:rPr>
                <w:noProof/>
                <w:sz w:val="22"/>
              </w:rPr>
              <w:t xml:space="preserve"> </w:t>
            </w:r>
            <w:r w:rsidRPr="00F00A7A">
              <w:rPr>
                <w:noProof/>
                <w:sz w:val="22"/>
              </w:rPr>
              <w:t>represents a cost of 152 000 EUR per annum.</w:t>
            </w:r>
            <w:r w:rsidR="00B73F74">
              <w:rPr>
                <w:noProof/>
                <w:sz w:val="22"/>
              </w:rPr>
              <w:t xml:space="preserve"> H</w:t>
            </w:r>
            <w:r w:rsidR="00B73F74" w:rsidRPr="00B73F74">
              <w:rPr>
                <w:noProof/>
                <w:sz w:val="22"/>
              </w:rPr>
              <w:t>alf of the corresponding annual appropriation is calculated for the year during which staff is recruited</w:t>
            </w:r>
            <w:r w:rsidR="00B73F74">
              <w:rPr>
                <w:noProof/>
                <w:sz w:val="22"/>
              </w:rPr>
              <w:t xml:space="preserve"> and phased out</w:t>
            </w:r>
            <w:r w:rsidR="00B73F74" w:rsidRPr="00B73F74">
              <w:rPr>
                <w:noProof/>
                <w:sz w:val="22"/>
              </w:rPr>
              <w:t>.</w:t>
            </w:r>
          </w:p>
          <w:p w14:paraId="21597BA4" w14:textId="77777777" w:rsidR="002A22AB" w:rsidRPr="0014645F" w:rsidRDefault="002A22AB" w:rsidP="00CE3F2A">
            <w:pPr>
              <w:rPr>
                <w:noProof/>
                <w:sz w:val="22"/>
              </w:rPr>
            </w:pPr>
            <w:r w:rsidRPr="0014645F">
              <w:rPr>
                <w:noProof/>
                <w:sz w:val="22"/>
              </w:rPr>
              <w:t>The human resources required will be partially (3 FTE)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 The DG will also require additional staff (2 FTE).</w:t>
            </w:r>
          </w:p>
          <w:p w14:paraId="00E8FF0D" w14:textId="77777777" w:rsidR="002A22AB" w:rsidRPr="00EF028C" w:rsidRDefault="002A22AB" w:rsidP="00CE3F2A">
            <w:pPr>
              <w:rPr>
                <w:noProof/>
                <w:sz w:val="22"/>
              </w:rPr>
            </w:pPr>
            <w:r w:rsidRPr="00EF028C">
              <w:rPr>
                <w:noProof/>
                <w:sz w:val="22"/>
              </w:rPr>
              <w:t>Description of tasks to be carried out:</w:t>
            </w:r>
          </w:p>
          <w:p w14:paraId="058D393E" w14:textId="77777777" w:rsidR="002A22AB" w:rsidRDefault="002A22AB" w:rsidP="00CE3F2A">
            <w:pPr>
              <w:pStyle w:val="Text2"/>
              <w:spacing w:before="40" w:after="0"/>
              <w:ind w:left="0"/>
              <w:rPr>
                <w:rFonts w:ascii="Arial Narrow" w:hAnsi="Arial Narrow"/>
                <w:bCs/>
                <w:iCs/>
                <w:noProof/>
                <w:sz w:val="20"/>
                <w:szCs w:val="20"/>
              </w:rPr>
            </w:pPr>
            <w:r w:rsidRPr="00EF028C">
              <w:rPr>
                <w:noProof/>
                <w:sz w:val="22"/>
              </w:rPr>
              <w:t>Five officials for the follow-up. The staff deal with taking up the Commission's duties in the delivery of the programme: checking compliance with legal proposal, addressing compliance issues, preparing reports to European Parliament and Council, assessing Member State progress, keeping secondary legislation up-to-date including any development concerning the standards. As the programme is an additional activity compared with existing workloads, additional staff are required (2 FTE). One of the staff increase is limited in terms of duration and covers only the development period, the second one represents the absortion of the tasks of the Council Secretariat, as the Council Decisions are transformed into a Regulation, the Commission must take over the Council Secretariat tasks its workload is 1 FTE.</w:t>
            </w:r>
          </w:p>
          <w:p w14:paraId="15D9B6C0" w14:textId="77777777" w:rsidR="002A22AB" w:rsidRDefault="002A22AB" w:rsidP="00CE3F2A">
            <w:pPr>
              <w:pStyle w:val="Text2"/>
              <w:spacing w:before="0" w:after="0"/>
              <w:ind w:left="0"/>
              <w:rPr>
                <w:rFonts w:ascii="Arial Narrow" w:hAnsi="Arial Narrow"/>
                <w:noProof/>
                <w:sz w:val="20"/>
                <w:szCs w:val="20"/>
                <w:u w:val="single"/>
              </w:rPr>
            </w:pPr>
          </w:p>
          <w:p w14:paraId="5C449DB3" w14:textId="77777777" w:rsidR="002A22AB" w:rsidRDefault="002A22AB" w:rsidP="00CE3F2A">
            <w:pPr>
              <w:pStyle w:val="Text2"/>
              <w:spacing w:before="0" w:after="0"/>
              <w:ind w:left="0"/>
              <w:rPr>
                <w:rFonts w:ascii="Arial Narrow" w:hAnsi="Arial Narrow"/>
                <w:noProof/>
                <w:sz w:val="20"/>
                <w:szCs w:val="20"/>
                <w:u w:val="single"/>
              </w:rPr>
            </w:pPr>
          </w:p>
          <w:p w14:paraId="4F62D491" w14:textId="77777777" w:rsidR="002A22AB" w:rsidRDefault="002A22AB" w:rsidP="00CE3F2A">
            <w:pPr>
              <w:pStyle w:val="Text2"/>
              <w:spacing w:before="60" w:after="0"/>
              <w:ind w:left="0"/>
              <w:rPr>
                <w:rFonts w:ascii="Arial Narrow" w:hAnsi="Arial Narrow"/>
                <w:noProof/>
                <w:sz w:val="18"/>
                <w:szCs w:val="18"/>
                <w:u w:val="single"/>
              </w:rPr>
            </w:pPr>
          </w:p>
        </w:tc>
      </w:tr>
      <w:tr w:rsidR="002A22AB" w14:paraId="57214AF1" w14:textId="77777777" w:rsidTr="00CE3F2A">
        <w:trPr>
          <w:jc w:val="center"/>
        </w:trPr>
        <w:tc>
          <w:tcPr>
            <w:tcW w:w="12474" w:type="dxa"/>
            <w:tcBorders>
              <w:bottom w:val="single" w:sz="4" w:space="0" w:color="auto"/>
            </w:tcBorders>
          </w:tcPr>
          <w:p w14:paraId="1270F2D9" w14:textId="77777777" w:rsidR="002A22AB" w:rsidRDefault="002A22AB" w:rsidP="00CE3F2A">
            <w:pPr>
              <w:pStyle w:val="Text2"/>
              <w:spacing w:before="40" w:after="0"/>
              <w:ind w:left="0"/>
              <w:jc w:val="left"/>
              <w:rPr>
                <w:rFonts w:ascii="Arial Narrow" w:hAnsi="Arial Narrow"/>
                <w:noProof/>
                <w:sz w:val="20"/>
                <w:szCs w:val="20"/>
              </w:rPr>
            </w:pPr>
            <w:r>
              <w:rPr>
                <w:rFonts w:ascii="Arial Narrow" w:hAnsi="Arial Narrow"/>
                <w:b/>
                <w:noProof/>
              </w:rPr>
              <w:sym w:font="Wingdings" w:char="F09F"/>
            </w:r>
            <w:r>
              <w:rPr>
                <w:rFonts w:ascii="Arial Narrow" w:hAnsi="Arial Narrow"/>
                <w:b/>
                <w:noProof/>
              </w:rPr>
              <w:t xml:space="preserve"> </w:t>
            </w:r>
            <w:r>
              <w:rPr>
                <w:rFonts w:ascii="Arial Narrow" w:hAnsi="Arial Narrow"/>
                <w:noProof/>
                <w:sz w:val="22"/>
              </w:rPr>
              <w:t>External staff</w:t>
            </w:r>
          </w:p>
          <w:p w14:paraId="1221327F" w14:textId="77777777" w:rsidR="002A22AB" w:rsidRDefault="002A22AB" w:rsidP="00CE3F2A">
            <w:pPr>
              <w:pStyle w:val="Text2"/>
              <w:spacing w:before="0" w:after="0"/>
              <w:ind w:left="0"/>
              <w:rPr>
                <w:rFonts w:ascii="Arial Narrow" w:hAnsi="Arial Narrow"/>
                <w:noProof/>
                <w:sz w:val="20"/>
                <w:szCs w:val="20"/>
                <w:u w:val="single"/>
              </w:rPr>
            </w:pPr>
          </w:p>
          <w:p w14:paraId="1E9AE670" w14:textId="77777777" w:rsidR="002A22AB" w:rsidRDefault="002A22AB" w:rsidP="00CE3F2A">
            <w:pPr>
              <w:pStyle w:val="Text2"/>
              <w:spacing w:before="0" w:after="0"/>
              <w:ind w:left="0"/>
              <w:rPr>
                <w:rFonts w:ascii="Arial Narrow" w:hAnsi="Arial Narrow"/>
                <w:noProof/>
                <w:sz w:val="20"/>
                <w:szCs w:val="20"/>
                <w:u w:val="single"/>
              </w:rPr>
            </w:pPr>
          </w:p>
          <w:p w14:paraId="37872849" w14:textId="77777777" w:rsidR="002A22AB" w:rsidRDefault="002A22AB" w:rsidP="00CE3F2A">
            <w:pPr>
              <w:pStyle w:val="Text2"/>
              <w:spacing w:before="60" w:after="0"/>
              <w:ind w:left="0"/>
              <w:rPr>
                <w:rFonts w:ascii="Arial Narrow" w:hAnsi="Arial Narrow"/>
                <w:noProof/>
                <w:sz w:val="18"/>
                <w:szCs w:val="18"/>
                <w:u w:val="single"/>
              </w:rPr>
            </w:pPr>
          </w:p>
        </w:tc>
      </w:tr>
    </w:tbl>
    <w:p w14:paraId="3344D1E6" w14:textId="77777777" w:rsidR="002A22AB" w:rsidRDefault="002A22AB" w:rsidP="002A22AB">
      <w:pPr>
        <w:rPr>
          <w:rFonts w:ascii="Arial Narrow" w:hAnsi="Arial Narrow"/>
          <w:noProof/>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9"/>
      </w:tblGrid>
      <w:tr w:rsidR="002A22AB" w14:paraId="7D7CB352" w14:textId="77777777" w:rsidTr="00CE3F2A">
        <w:trPr>
          <w:jc w:val="center"/>
        </w:trPr>
        <w:tc>
          <w:tcPr>
            <w:tcW w:w="12474" w:type="dxa"/>
            <w:tcBorders>
              <w:top w:val="single" w:sz="4" w:space="0" w:color="auto"/>
            </w:tcBorders>
          </w:tcPr>
          <w:p w14:paraId="72352FEE" w14:textId="77777777" w:rsidR="002A22AB" w:rsidRDefault="002A22AB" w:rsidP="00CE3F2A">
            <w:pPr>
              <w:pStyle w:val="Text2"/>
              <w:spacing w:before="60" w:after="60"/>
              <w:ind w:left="0"/>
              <w:jc w:val="left"/>
              <w:rPr>
                <w:rFonts w:ascii="Arial Narrow" w:hAnsi="Arial Narrow"/>
                <w:b/>
                <w:noProof/>
                <w:sz w:val="22"/>
              </w:rPr>
            </w:pPr>
            <w:r>
              <w:rPr>
                <w:rFonts w:ascii="Arial Narrow" w:hAnsi="Arial Narrow"/>
                <w:b/>
                <w:noProof/>
                <w:sz w:val="22"/>
              </w:rPr>
              <w:t>Outside HEADING 7</w:t>
            </w:r>
            <w:r>
              <w:rPr>
                <w:rFonts w:ascii="Arial Narrow" w:hAnsi="Arial Narrow"/>
                <w:noProof/>
                <w:sz w:val="22"/>
              </w:rPr>
              <w:t xml:space="preserve"> of the multiannual financial framework</w:t>
            </w:r>
          </w:p>
        </w:tc>
      </w:tr>
      <w:tr w:rsidR="002A22AB" w14:paraId="3B7979DF" w14:textId="77777777" w:rsidTr="00CE3F2A">
        <w:trPr>
          <w:jc w:val="center"/>
        </w:trPr>
        <w:tc>
          <w:tcPr>
            <w:tcW w:w="12474" w:type="dxa"/>
          </w:tcPr>
          <w:p w14:paraId="33F8465A" w14:textId="77777777" w:rsidR="002A22AB" w:rsidRDefault="002A22AB" w:rsidP="00CE3F2A">
            <w:pPr>
              <w:pStyle w:val="Text2"/>
              <w:spacing w:before="40" w:after="0"/>
              <w:ind w:left="0"/>
              <w:jc w:val="left"/>
              <w:rPr>
                <w:rFonts w:ascii="Arial Narrow" w:hAnsi="Arial Narrow"/>
                <w:bCs/>
                <w:iCs/>
                <w:noProof/>
                <w:sz w:val="20"/>
                <w:szCs w:val="20"/>
              </w:rPr>
            </w:pPr>
            <w:r>
              <w:rPr>
                <w:rFonts w:ascii="Arial Narrow" w:hAnsi="Arial Narrow"/>
                <w:b/>
                <w:noProof/>
              </w:rPr>
              <w:sym w:font="Wingdings" w:char="F09F"/>
            </w:r>
            <w:r>
              <w:rPr>
                <w:rFonts w:ascii="Arial Narrow" w:hAnsi="Arial Narrow"/>
                <w:b/>
                <w:noProof/>
              </w:rPr>
              <w:t xml:space="preserve"> </w:t>
            </w:r>
            <w:r>
              <w:rPr>
                <w:rFonts w:ascii="Arial Narrow" w:hAnsi="Arial Narrow"/>
                <w:noProof/>
              </w:rPr>
              <w:t>Only posts financed from the research budget</w:t>
            </w:r>
            <w:r>
              <w:rPr>
                <w:rFonts w:ascii="Arial Narrow" w:hAnsi="Arial Narrow"/>
                <w:noProof/>
                <w:sz w:val="22"/>
              </w:rPr>
              <w:t xml:space="preserve"> </w:t>
            </w:r>
          </w:p>
          <w:p w14:paraId="56AFC462" w14:textId="77777777" w:rsidR="002A22AB" w:rsidRPr="003D7537" w:rsidRDefault="002A22AB" w:rsidP="00CE3F2A">
            <w:pPr>
              <w:pStyle w:val="Text2"/>
              <w:spacing w:before="0" w:after="0"/>
              <w:ind w:left="0"/>
              <w:rPr>
                <w:noProof/>
                <w:sz w:val="22"/>
              </w:rPr>
            </w:pPr>
          </w:p>
          <w:p w14:paraId="300DCDB4" w14:textId="77777777" w:rsidR="002A22AB" w:rsidRDefault="002A22AB" w:rsidP="00CE3F2A">
            <w:pPr>
              <w:pStyle w:val="Text2"/>
              <w:spacing w:before="0" w:after="0"/>
              <w:ind w:left="0"/>
              <w:rPr>
                <w:rFonts w:ascii="Arial Narrow" w:hAnsi="Arial Narrow"/>
                <w:noProof/>
                <w:sz w:val="20"/>
                <w:szCs w:val="20"/>
                <w:u w:val="single"/>
              </w:rPr>
            </w:pPr>
          </w:p>
          <w:p w14:paraId="1C992DA9" w14:textId="77777777" w:rsidR="002A22AB" w:rsidRDefault="002A22AB" w:rsidP="00CE3F2A">
            <w:pPr>
              <w:pStyle w:val="Text2"/>
              <w:spacing w:before="60" w:after="0"/>
              <w:ind w:left="0"/>
              <w:rPr>
                <w:rFonts w:ascii="Arial Narrow" w:hAnsi="Arial Narrow"/>
                <w:noProof/>
                <w:sz w:val="18"/>
                <w:szCs w:val="18"/>
                <w:u w:val="single"/>
              </w:rPr>
            </w:pPr>
          </w:p>
        </w:tc>
      </w:tr>
      <w:tr w:rsidR="002A22AB" w14:paraId="7A530ADB" w14:textId="77777777" w:rsidTr="00CE3F2A">
        <w:trPr>
          <w:jc w:val="center"/>
        </w:trPr>
        <w:tc>
          <w:tcPr>
            <w:tcW w:w="12474" w:type="dxa"/>
            <w:tcBorders>
              <w:bottom w:val="single" w:sz="4" w:space="0" w:color="auto"/>
            </w:tcBorders>
          </w:tcPr>
          <w:p w14:paraId="3E4532CF" w14:textId="77777777" w:rsidR="002A22AB" w:rsidRDefault="002A22AB" w:rsidP="00CE3F2A">
            <w:pPr>
              <w:pStyle w:val="Text2"/>
              <w:spacing w:before="40" w:after="0"/>
              <w:ind w:left="0"/>
              <w:jc w:val="left"/>
              <w:rPr>
                <w:rFonts w:ascii="Arial Narrow" w:hAnsi="Arial Narrow"/>
                <w:noProof/>
                <w:sz w:val="20"/>
                <w:szCs w:val="20"/>
              </w:rPr>
            </w:pPr>
            <w:r>
              <w:rPr>
                <w:rFonts w:ascii="Arial Narrow" w:hAnsi="Arial Narrow"/>
                <w:b/>
                <w:noProof/>
              </w:rPr>
              <w:sym w:font="Wingdings" w:char="F09F"/>
            </w:r>
            <w:r>
              <w:rPr>
                <w:rFonts w:ascii="Arial Narrow" w:hAnsi="Arial Narrow"/>
                <w:b/>
                <w:noProof/>
              </w:rPr>
              <w:t xml:space="preserve"> </w:t>
            </w:r>
            <w:r>
              <w:rPr>
                <w:rFonts w:ascii="Arial Narrow" w:hAnsi="Arial Narrow"/>
                <w:noProof/>
                <w:sz w:val="22"/>
              </w:rPr>
              <w:t>External staff</w:t>
            </w:r>
          </w:p>
          <w:p w14:paraId="7FBAFE05" w14:textId="77777777" w:rsidR="002A22AB" w:rsidRDefault="002A22AB" w:rsidP="00CE3F2A">
            <w:pPr>
              <w:pStyle w:val="Text2"/>
              <w:spacing w:before="0" w:after="0"/>
              <w:ind w:left="0"/>
              <w:rPr>
                <w:rFonts w:ascii="Arial Narrow" w:hAnsi="Arial Narrow"/>
                <w:noProof/>
                <w:sz w:val="20"/>
                <w:szCs w:val="20"/>
                <w:u w:val="single"/>
              </w:rPr>
            </w:pPr>
          </w:p>
          <w:p w14:paraId="43B00951" w14:textId="77777777" w:rsidR="002A22AB" w:rsidRDefault="002A22AB" w:rsidP="00CE3F2A">
            <w:pPr>
              <w:pStyle w:val="Text2"/>
              <w:spacing w:before="0" w:after="0"/>
              <w:ind w:left="0"/>
              <w:rPr>
                <w:rFonts w:ascii="Arial Narrow" w:hAnsi="Arial Narrow"/>
                <w:noProof/>
                <w:sz w:val="20"/>
                <w:szCs w:val="20"/>
                <w:u w:val="single"/>
              </w:rPr>
            </w:pPr>
          </w:p>
          <w:p w14:paraId="536239DF" w14:textId="77777777" w:rsidR="002A22AB" w:rsidRDefault="002A22AB" w:rsidP="00CE3F2A">
            <w:pPr>
              <w:pStyle w:val="Text2"/>
              <w:spacing w:before="60" w:after="0"/>
              <w:ind w:left="0"/>
              <w:rPr>
                <w:rFonts w:ascii="Arial Narrow" w:hAnsi="Arial Narrow"/>
                <w:noProof/>
                <w:sz w:val="18"/>
                <w:szCs w:val="18"/>
                <w:u w:val="single"/>
              </w:rPr>
            </w:pPr>
          </w:p>
        </w:tc>
      </w:tr>
    </w:tbl>
    <w:p w14:paraId="5ED47482" w14:textId="77777777" w:rsidR="002A22AB" w:rsidRDefault="002A22AB" w:rsidP="002A22AB">
      <w:pPr>
        <w:spacing w:before="60"/>
        <w:ind w:left="-360" w:firstLine="900"/>
        <w:rPr>
          <w:noProof/>
          <w:sz w:val="20"/>
          <w:szCs w:val="20"/>
        </w:rPr>
      </w:pPr>
    </w:p>
    <w:p w14:paraId="1786904C" w14:textId="44640753" w:rsidR="002A22AB" w:rsidRDefault="00C304BF" w:rsidP="00C304BF">
      <w:pPr>
        <w:pStyle w:val="ManualHeading2"/>
        <w:rPr>
          <w:noProof/>
          <w:szCs w:val="28"/>
        </w:rPr>
      </w:pPr>
      <w:r w:rsidRPr="00C304BF">
        <w:t>4.2.</w:t>
      </w:r>
      <w:r w:rsidRPr="00C304BF">
        <w:tab/>
      </w:r>
      <w:r w:rsidR="002A22AB">
        <w:rPr>
          <w:noProof/>
        </w:rPr>
        <w:t>Other administrative expenditure</w:t>
      </w:r>
    </w:p>
    <w:p w14:paraId="205A6AC2" w14:textId="77777777" w:rsidR="002A22AB" w:rsidRDefault="002A22AB" w:rsidP="002A22AB">
      <w:pPr>
        <w:ind w:left="-357" w:firstLine="902"/>
        <w:rPr>
          <w:noProof/>
          <w:sz w:val="20"/>
          <w:szCs w:val="20"/>
        </w:rPr>
      </w:pPr>
    </w:p>
    <w:p w14:paraId="47BE6254" w14:textId="77777777" w:rsidR="002A22AB" w:rsidRDefault="002A22AB" w:rsidP="002A22AB">
      <w:pPr>
        <w:spacing w:before="60"/>
        <w:ind w:left="539"/>
        <w:jc w:val="center"/>
        <w:rPr>
          <w:i/>
          <w:noProof/>
          <w:sz w:val="20"/>
          <w:szCs w:val="20"/>
        </w:rPr>
      </w:pPr>
      <w:r>
        <w:rPr>
          <w:i/>
          <w:noProof/>
          <w:sz w:val="20"/>
        </w:rPr>
        <w:t xml:space="preserve">Give details of the method of calculation used for each budget line </w:t>
      </w:r>
    </w:p>
    <w:p w14:paraId="6DCEFFCA" w14:textId="77777777" w:rsidR="002A22AB" w:rsidRDefault="002A22AB" w:rsidP="002A22AB">
      <w:pPr>
        <w:spacing w:after="60"/>
        <w:ind w:left="539"/>
        <w:jc w:val="center"/>
        <w:rPr>
          <w:i/>
          <w:noProof/>
          <w:sz w:val="20"/>
          <w:szCs w:val="20"/>
        </w:rPr>
      </w:pPr>
      <w:r>
        <w:rPr>
          <w:i/>
          <w:noProof/>
          <w:sz w:val="20"/>
        </w:rPr>
        <w:t>and in particular the underlying assumptions (e.g. number of meetings per year, average costs, etc.)</w:t>
      </w: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9"/>
      </w:tblGrid>
      <w:tr w:rsidR="002A22AB" w14:paraId="2C258AD1" w14:textId="77777777" w:rsidTr="00CE3F2A">
        <w:trPr>
          <w:jc w:val="center"/>
        </w:trPr>
        <w:tc>
          <w:tcPr>
            <w:tcW w:w="9537" w:type="dxa"/>
            <w:tcBorders>
              <w:top w:val="single" w:sz="4" w:space="0" w:color="auto"/>
            </w:tcBorders>
          </w:tcPr>
          <w:p w14:paraId="3937C8F7" w14:textId="77777777" w:rsidR="002A22AB" w:rsidRDefault="002A22AB" w:rsidP="00CE3F2A">
            <w:pPr>
              <w:pStyle w:val="Text2"/>
              <w:spacing w:before="60" w:after="60"/>
              <w:ind w:left="0"/>
              <w:jc w:val="left"/>
              <w:rPr>
                <w:rFonts w:ascii="Arial Narrow" w:hAnsi="Arial Narrow"/>
                <w:b/>
                <w:noProof/>
                <w:sz w:val="22"/>
              </w:rPr>
            </w:pPr>
            <w:r>
              <w:rPr>
                <w:rFonts w:ascii="Arial Narrow" w:hAnsi="Arial Narrow"/>
                <w:b/>
                <w:noProof/>
                <w:sz w:val="22"/>
              </w:rPr>
              <w:t>HEADING 7</w:t>
            </w:r>
            <w:r>
              <w:rPr>
                <w:rFonts w:ascii="Arial Narrow" w:hAnsi="Arial Narrow"/>
                <w:noProof/>
                <w:sz w:val="22"/>
              </w:rPr>
              <w:t xml:space="preserve"> of the multiannual financial framework</w:t>
            </w:r>
          </w:p>
        </w:tc>
      </w:tr>
      <w:tr w:rsidR="002A22AB" w14:paraId="48326B08" w14:textId="77777777" w:rsidTr="00CE3F2A">
        <w:trPr>
          <w:jc w:val="center"/>
        </w:trPr>
        <w:tc>
          <w:tcPr>
            <w:tcW w:w="9537" w:type="dxa"/>
            <w:tcBorders>
              <w:bottom w:val="single" w:sz="4" w:space="0" w:color="auto"/>
            </w:tcBorders>
          </w:tcPr>
          <w:p w14:paraId="374B3AA9" w14:textId="77777777" w:rsidR="002A22AB" w:rsidRDefault="002A22AB" w:rsidP="00CE3F2A">
            <w:pPr>
              <w:pStyle w:val="Text2"/>
              <w:spacing w:before="0" w:after="0"/>
              <w:ind w:left="0"/>
              <w:rPr>
                <w:rFonts w:ascii="Arial Narrow" w:hAnsi="Arial Narrow"/>
                <w:noProof/>
                <w:sz w:val="22"/>
                <w:u w:val="single"/>
              </w:rPr>
            </w:pPr>
          </w:p>
          <w:p w14:paraId="5C162ADA" w14:textId="77777777" w:rsidR="002A22AB" w:rsidRDefault="002A22AB" w:rsidP="00CE3F2A">
            <w:pPr>
              <w:pStyle w:val="Text2"/>
              <w:spacing w:before="0" w:after="0"/>
              <w:ind w:left="0"/>
              <w:rPr>
                <w:rFonts w:ascii="Arial Narrow" w:hAnsi="Arial Narrow"/>
                <w:noProof/>
                <w:sz w:val="20"/>
                <w:szCs w:val="20"/>
                <w:u w:val="single"/>
              </w:rPr>
            </w:pPr>
          </w:p>
          <w:p w14:paraId="5976D5A5" w14:textId="77777777" w:rsidR="002A22AB" w:rsidRPr="003D7537" w:rsidRDefault="002A22AB" w:rsidP="00CE3F2A">
            <w:pPr>
              <w:pStyle w:val="Text2"/>
              <w:spacing w:before="0" w:after="0"/>
              <w:ind w:left="0"/>
              <w:rPr>
                <w:noProof/>
                <w:sz w:val="22"/>
              </w:rPr>
            </w:pPr>
            <w:r w:rsidRPr="003D7537">
              <w:rPr>
                <w:noProof/>
                <w:sz w:val="22"/>
              </w:rPr>
              <w:t>It is estimated that an average of 35 missions will take place per year, including missions for the statutory meetings (</w:t>
            </w:r>
            <w:r>
              <w:rPr>
                <w:noProof/>
                <w:sz w:val="22"/>
              </w:rPr>
              <w:t>Advisory Group</w:t>
            </w:r>
            <w:r w:rsidRPr="003D7537">
              <w:rPr>
                <w:noProof/>
                <w:sz w:val="22"/>
              </w:rPr>
              <w:t>, Working Groups</w:t>
            </w:r>
            <w:r>
              <w:rPr>
                <w:noProof/>
                <w:sz w:val="22"/>
              </w:rPr>
              <w:t xml:space="preserve"> of both eu-LISA and Europol</w:t>
            </w:r>
            <w:r w:rsidRPr="003D7537">
              <w:rPr>
                <w:noProof/>
                <w:sz w:val="22"/>
              </w:rPr>
              <w:t xml:space="preserve"> and meetings </w:t>
            </w:r>
            <w:r>
              <w:rPr>
                <w:noProof/>
                <w:sz w:val="22"/>
              </w:rPr>
              <w:t>related to EPRIS and Eucaris</w:t>
            </w:r>
            <w:r w:rsidRPr="003D7537">
              <w:rPr>
                <w:noProof/>
                <w:sz w:val="22"/>
              </w:rPr>
              <w:t xml:space="preserve">), to attend </w:t>
            </w:r>
            <w:r>
              <w:rPr>
                <w:noProof/>
                <w:sz w:val="22"/>
              </w:rPr>
              <w:t>Prüm related</w:t>
            </w:r>
            <w:r w:rsidRPr="003D7537">
              <w:rPr>
                <w:noProof/>
                <w:sz w:val="22"/>
              </w:rPr>
              <w:t xml:space="preserve"> meetings and conferences. The unit cost per mission is calculated based on 1 official travelling for an average of 2 days for each mission and is set at EUR 500</w:t>
            </w:r>
            <w:r>
              <w:rPr>
                <w:noProof/>
                <w:sz w:val="22"/>
              </w:rPr>
              <w:t xml:space="preserve"> per mission per day</w:t>
            </w:r>
            <w:r w:rsidRPr="003D7537">
              <w:rPr>
                <w:noProof/>
                <w:sz w:val="22"/>
              </w:rPr>
              <w:t xml:space="preserve">. </w:t>
            </w:r>
          </w:p>
          <w:p w14:paraId="3EEEFCB9" w14:textId="77777777" w:rsidR="002A22AB" w:rsidRPr="003D7537" w:rsidRDefault="002A22AB" w:rsidP="00CE3F2A">
            <w:pPr>
              <w:pStyle w:val="Text2"/>
              <w:spacing w:before="0" w:after="0"/>
              <w:ind w:left="0"/>
              <w:rPr>
                <w:noProof/>
                <w:sz w:val="22"/>
              </w:rPr>
            </w:pPr>
          </w:p>
          <w:p w14:paraId="7162209E" w14:textId="54F91282" w:rsidR="002A22AB" w:rsidRDefault="002A22AB" w:rsidP="00CE3F2A">
            <w:pPr>
              <w:pStyle w:val="Text2"/>
              <w:spacing w:before="0" w:after="0"/>
              <w:ind w:left="0"/>
              <w:rPr>
                <w:noProof/>
                <w:sz w:val="22"/>
              </w:rPr>
            </w:pPr>
            <w:r w:rsidRPr="003D7537">
              <w:rPr>
                <w:noProof/>
                <w:sz w:val="22"/>
              </w:rPr>
              <w:t>The unit costs per expert meeting</w:t>
            </w:r>
            <w:r>
              <w:rPr>
                <w:noProof/>
                <w:sz w:val="22"/>
              </w:rPr>
              <w:t>/conference</w:t>
            </w:r>
            <w:r w:rsidRPr="003D7537">
              <w:rPr>
                <w:noProof/>
                <w:sz w:val="22"/>
              </w:rPr>
              <w:t xml:space="preserve"> is set at EUR 25</w:t>
            </w:r>
            <w:r>
              <w:rPr>
                <w:noProof/>
                <w:sz w:val="22"/>
              </w:rPr>
              <w:t xml:space="preserve"> </w:t>
            </w:r>
            <w:r w:rsidRPr="003D7537">
              <w:rPr>
                <w:noProof/>
                <w:sz w:val="22"/>
              </w:rPr>
              <w:t xml:space="preserve">000 for 50 participants. It is estimated that </w:t>
            </w:r>
            <w:r w:rsidR="00F16B97">
              <w:rPr>
                <w:noProof/>
                <w:sz w:val="22"/>
              </w:rPr>
              <w:t>5</w:t>
            </w:r>
            <w:r w:rsidRPr="003D7537">
              <w:rPr>
                <w:noProof/>
                <w:sz w:val="22"/>
              </w:rPr>
              <w:t xml:space="preserve"> meetings will be organised per year.</w:t>
            </w:r>
          </w:p>
          <w:p w14:paraId="5C8A3E50" w14:textId="77777777" w:rsidR="002A22AB" w:rsidRDefault="002A22AB" w:rsidP="00CE3F2A">
            <w:pPr>
              <w:pStyle w:val="Text2"/>
              <w:spacing w:before="0" w:after="0"/>
              <w:ind w:left="0"/>
              <w:rPr>
                <w:noProof/>
                <w:sz w:val="22"/>
              </w:rPr>
            </w:pPr>
          </w:p>
          <w:p w14:paraId="3E857913" w14:textId="7362C743" w:rsidR="002A22AB" w:rsidRPr="003D7537" w:rsidRDefault="002A22AB" w:rsidP="00CE3F2A">
            <w:pPr>
              <w:pStyle w:val="Text2"/>
              <w:spacing w:before="0" w:after="0"/>
              <w:ind w:left="0"/>
              <w:rPr>
                <w:noProof/>
                <w:sz w:val="22"/>
              </w:rPr>
            </w:pPr>
            <w:r w:rsidRPr="003D7537">
              <w:rPr>
                <w:noProof/>
                <w:sz w:val="22"/>
              </w:rPr>
              <w:t xml:space="preserve">The unit costs per </w:t>
            </w:r>
            <w:r>
              <w:rPr>
                <w:noProof/>
                <w:sz w:val="22"/>
              </w:rPr>
              <w:t>Committee</w:t>
            </w:r>
            <w:r w:rsidRPr="003D7537">
              <w:rPr>
                <w:noProof/>
                <w:sz w:val="22"/>
              </w:rPr>
              <w:t xml:space="preserve"> is set at EUR </w:t>
            </w:r>
            <w:r>
              <w:rPr>
                <w:noProof/>
                <w:sz w:val="22"/>
              </w:rPr>
              <w:t>13 000</w:t>
            </w:r>
            <w:r w:rsidRPr="003D7537">
              <w:rPr>
                <w:noProof/>
                <w:sz w:val="22"/>
              </w:rPr>
              <w:t xml:space="preserve"> for </w:t>
            </w:r>
            <w:r>
              <w:rPr>
                <w:noProof/>
                <w:sz w:val="22"/>
              </w:rPr>
              <w:t>26</w:t>
            </w:r>
            <w:r w:rsidRPr="003D7537">
              <w:rPr>
                <w:noProof/>
                <w:sz w:val="22"/>
              </w:rPr>
              <w:t xml:space="preserve"> participants</w:t>
            </w:r>
            <w:r>
              <w:rPr>
                <w:noProof/>
                <w:sz w:val="22"/>
              </w:rPr>
              <w:t>, assuming the reimbursement of 1 participant per MS for a one-day mission to attend the Committee</w:t>
            </w:r>
            <w:r w:rsidRPr="003D7537">
              <w:rPr>
                <w:noProof/>
                <w:sz w:val="22"/>
              </w:rPr>
              <w:t>. It is estimated that 10 meetings will</w:t>
            </w:r>
            <w:r>
              <w:rPr>
                <w:noProof/>
                <w:sz w:val="22"/>
              </w:rPr>
              <w:t xml:space="preserve"> be organised per year during 2024 and 2025</w:t>
            </w:r>
            <w:r w:rsidR="00F16B97">
              <w:rPr>
                <w:noProof/>
                <w:sz w:val="22"/>
              </w:rPr>
              <w:t xml:space="preserve"> (5 in physical format and 5 in videoconference format)</w:t>
            </w:r>
            <w:r>
              <w:rPr>
                <w:noProof/>
                <w:sz w:val="22"/>
              </w:rPr>
              <w:t xml:space="preserve"> and 4 meetings will be organised per year as of 2026</w:t>
            </w:r>
            <w:r w:rsidR="00F16B97">
              <w:rPr>
                <w:noProof/>
                <w:sz w:val="22"/>
              </w:rPr>
              <w:t xml:space="preserve"> (2 in physical format and 2 in videoconference format)</w:t>
            </w:r>
            <w:r>
              <w:rPr>
                <w:noProof/>
                <w:sz w:val="22"/>
              </w:rPr>
              <w:t>.</w:t>
            </w:r>
          </w:p>
          <w:p w14:paraId="2182AAF7" w14:textId="77777777" w:rsidR="002A22AB" w:rsidRDefault="002A22AB" w:rsidP="00CE3F2A">
            <w:pPr>
              <w:pStyle w:val="Text2"/>
              <w:spacing w:before="0" w:after="0"/>
              <w:ind w:left="0"/>
              <w:rPr>
                <w:rFonts w:ascii="Arial Narrow" w:hAnsi="Arial Narrow"/>
                <w:noProof/>
                <w:sz w:val="22"/>
                <w:u w:val="single"/>
              </w:rPr>
            </w:pPr>
          </w:p>
          <w:p w14:paraId="2CE59023" w14:textId="77777777" w:rsidR="002A22AB" w:rsidRDefault="002A22AB" w:rsidP="00CE3F2A">
            <w:pPr>
              <w:pStyle w:val="Text2"/>
              <w:spacing w:before="0" w:after="0"/>
              <w:ind w:left="0"/>
              <w:rPr>
                <w:rFonts w:ascii="Arial Narrow" w:hAnsi="Arial Narrow"/>
                <w:noProof/>
                <w:sz w:val="22"/>
                <w:u w:val="single"/>
              </w:rPr>
            </w:pPr>
          </w:p>
          <w:p w14:paraId="7DD75059" w14:textId="77777777" w:rsidR="002A22AB" w:rsidRDefault="002A22AB" w:rsidP="00CE3F2A">
            <w:pPr>
              <w:pStyle w:val="Text2"/>
              <w:spacing w:before="60" w:after="0"/>
              <w:ind w:left="0"/>
              <w:rPr>
                <w:rFonts w:ascii="Arial Narrow" w:hAnsi="Arial Narrow"/>
                <w:noProof/>
                <w:sz w:val="22"/>
                <w:u w:val="single"/>
              </w:rPr>
            </w:pPr>
          </w:p>
        </w:tc>
      </w:tr>
    </w:tbl>
    <w:p w14:paraId="5140DFC2" w14:textId="77777777" w:rsidR="002A22AB" w:rsidRDefault="002A22AB" w:rsidP="002A22AB">
      <w:pPr>
        <w:rPr>
          <w:rFonts w:ascii="Arial Narrow" w:hAnsi="Arial Narrow"/>
          <w:noProof/>
          <w:sz w:val="22"/>
        </w:rPr>
      </w:pPr>
    </w:p>
    <w:tbl>
      <w:tblPr>
        <w:tblW w:w="9295" w:type="dxa"/>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95"/>
      </w:tblGrid>
      <w:tr w:rsidR="002A22AB" w14:paraId="42587A55" w14:textId="77777777" w:rsidTr="00CE3F2A">
        <w:trPr>
          <w:jc w:val="center"/>
        </w:trPr>
        <w:tc>
          <w:tcPr>
            <w:tcW w:w="9295" w:type="dxa"/>
            <w:tcBorders>
              <w:top w:val="single" w:sz="4" w:space="0" w:color="auto"/>
            </w:tcBorders>
          </w:tcPr>
          <w:p w14:paraId="40D4E4C0" w14:textId="77777777" w:rsidR="002A22AB" w:rsidRDefault="002A22AB" w:rsidP="00CE3F2A">
            <w:pPr>
              <w:pStyle w:val="Text2"/>
              <w:spacing w:before="60" w:after="60"/>
              <w:ind w:left="0"/>
              <w:jc w:val="left"/>
              <w:rPr>
                <w:rFonts w:ascii="Arial Narrow" w:hAnsi="Arial Narrow"/>
                <w:b/>
                <w:noProof/>
                <w:sz w:val="22"/>
              </w:rPr>
            </w:pPr>
            <w:r>
              <w:rPr>
                <w:rFonts w:ascii="Arial Narrow" w:hAnsi="Arial Narrow"/>
                <w:b/>
                <w:noProof/>
                <w:sz w:val="22"/>
              </w:rPr>
              <w:t>Outside HEADING 7</w:t>
            </w:r>
            <w:r>
              <w:rPr>
                <w:rFonts w:ascii="Arial Narrow" w:hAnsi="Arial Narrow"/>
                <w:noProof/>
                <w:sz w:val="22"/>
              </w:rPr>
              <w:t xml:space="preserve"> of the multiannual financial framework</w:t>
            </w:r>
          </w:p>
        </w:tc>
      </w:tr>
      <w:tr w:rsidR="002A22AB" w14:paraId="19B76161" w14:textId="77777777" w:rsidTr="00CE3F2A">
        <w:trPr>
          <w:jc w:val="center"/>
        </w:trPr>
        <w:tc>
          <w:tcPr>
            <w:tcW w:w="9295" w:type="dxa"/>
            <w:tcBorders>
              <w:bottom w:val="single" w:sz="4" w:space="0" w:color="auto"/>
            </w:tcBorders>
          </w:tcPr>
          <w:p w14:paraId="5759EDE3" w14:textId="77777777" w:rsidR="002A22AB" w:rsidRDefault="002A22AB" w:rsidP="00CE3F2A">
            <w:pPr>
              <w:pStyle w:val="Text2"/>
              <w:spacing w:before="0" w:after="0"/>
              <w:ind w:left="0"/>
              <w:rPr>
                <w:rFonts w:ascii="Arial Narrow" w:hAnsi="Arial Narrow"/>
                <w:noProof/>
                <w:sz w:val="20"/>
                <w:szCs w:val="20"/>
                <w:u w:val="single"/>
              </w:rPr>
            </w:pPr>
          </w:p>
          <w:p w14:paraId="30080398" w14:textId="77777777" w:rsidR="002A22AB" w:rsidRDefault="002A22AB" w:rsidP="00CE3F2A">
            <w:pPr>
              <w:pStyle w:val="Text2"/>
              <w:spacing w:before="0" w:after="0"/>
              <w:ind w:left="0"/>
              <w:rPr>
                <w:rFonts w:ascii="Arial Narrow" w:hAnsi="Arial Narrow"/>
                <w:noProof/>
                <w:sz w:val="20"/>
                <w:szCs w:val="20"/>
                <w:u w:val="single"/>
              </w:rPr>
            </w:pPr>
          </w:p>
          <w:p w14:paraId="3E7EA7CC" w14:textId="77777777" w:rsidR="002A22AB" w:rsidRDefault="002A22AB" w:rsidP="00CE3F2A">
            <w:pPr>
              <w:pStyle w:val="Text2"/>
              <w:spacing w:before="0" w:after="0"/>
              <w:ind w:left="0"/>
              <w:rPr>
                <w:rFonts w:ascii="Arial Narrow" w:hAnsi="Arial Narrow"/>
                <w:noProof/>
                <w:sz w:val="20"/>
                <w:szCs w:val="20"/>
                <w:u w:val="single"/>
              </w:rPr>
            </w:pPr>
          </w:p>
          <w:p w14:paraId="1BF82530" w14:textId="77777777" w:rsidR="002A22AB" w:rsidRDefault="002A22AB" w:rsidP="00CE3F2A">
            <w:pPr>
              <w:pStyle w:val="Text2"/>
              <w:spacing w:before="60" w:after="0"/>
              <w:ind w:left="0"/>
              <w:rPr>
                <w:rFonts w:ascii="Arial Narrow" w:hAnsi="Arial Narrow"/>
                <w:noProof/>
                <w:sz w:val="18"/>
                <w:szCs w:val="18"/>
                <w:u w:val="single"/>
              </w:rPr>
            </w:pPr>
          </w:p>
        </w:tc>
      </w:tr>
    </w:tbl>
    <w:p w14:paraId="2B1F8FE5" w14:textId="77777777" w:rsidR="002A22AB" w:rsidRDefault="002A22AB" w:rsidP="002A22AB">
      <w:pPr>
        <w:rPr>
          <w:noProof/>
        </w:rPr>
      </w:pPr>
    </w:p>
    <w:p w14:paraId="540AC20A" w14:textId="37307F61" w:rsidR="001D65AB" w:rsidRPr="001D65AB" w:rsidRDefault="001D65AB" w:rsidP="006C58FA">
      <w:pPr>
        <w:rPr>
          <w:noProof/>
        </w:rPr>
      </w:pPr>
    </w:p>
    <w:sectPr w:rsidR="001D65AB" w:rsidRPr="001D65AB" w:rsidSect="009D02A3">
      <w:headerReference w:type="default" r:id="rId40"/>
      <w:footerReference w:type="default" r:id="rId41"/>
      <w:headerReference w:type="first" r:id="rId42"/>
      <w:footerReference w:type="first" r:id="rId43"/>
      <w:pgSz w:w="11907" w:h="16839"/>
      <w:pgMar w:top="1134" w:right="1417" w:bottom="1134"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86560" w16cex:dateUtc="2021-09-24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8118FD" w16cid:durableId="24F82217"/>
  <w16cid:commentId w16cid:paraId="2C1F45C9" w16cid:durableId="24F85230"/>
  <w16cid:commentId w16cid:paraId="41830718" w16cid:durableId="24F86560"/>
  <w16cid:commentId w16cid:paraId="0BF8FA22" w16cid:durableId="24ED8BDA"/>
  <w16cid:commentId w16cid:paraId="23F56F27" w16cid:durableId="24ED8BDC"/>
  <w16cid:commentId w16cid:paraId="25B73820" w16cid:durableId="24EDA986"/>
  <w16cid:commentId w16cid:paraId="075CD047" w16cid:durableId="24F8221C"/>
  <w16cid:commentId w16cid:paraId="223AC10D" w16cid:durableId="24D09B57"/>
  <w16cid:commentId w16cid:paraId="3D2F24D5" w16cid:durableId="24D09B59"/>
  <w16cid:commentId w16cid:paraId="7025C871" w16cid:durableId="24D09B5A"/>
  <w16cid:commentId w16cid:paraId="4BC12542" w16cid:durableId="24D09B5B"/>
  <w16cid:commentId w16cid:paraId="31C2922F" w16cid:durableId="24D09B5C"/>
  <w16cid:commentId w16cid:paraId="5EE6192A" w16cid:durableId="24D09B5D"/>
  <w16cid:commentId w16cid:paraId="50C0B604" w16cid:durableId="24D09B5E"/>
  <w16cid:commentId w16cid:paraId="02E5F248" w16cid:durableId="24D09B5F"/>
  <w16cid:commentId w16cid:paraId="74C6A837" w16cid:durableId="24D09B60"/>
  <w16cid:commentId w16cid:paraId="4BC68E73" w16cid:durableId="24D09B64"/>
  <w16cid:commentId w16cid:paraId="10AEA4F8" w16cid:durableId="24D09B65"/>
  <w16cid:commentId w16cid:paraId="20A56570" w16cid:durableId="24D09B66"/>
  <w16cid:commentId w16cid:paraId="61975200" w16cid:durableId="24D09B67"/>
  <w16cid:commentId w16cid:paraId="07184985" w16cid:durableId="24D09B68"/>
  <w16cid:commentId w16cid:paraId="5B8710E6" w16cid:durableId="24D09B69"/>
  <w16cid:commentId w16cid:paraId="6B857CC0" w16cid:durableId="24D09B6A"/>
  <w16cid:commentId w16cid:paraId="381912C1" w16cid:durableId="24D09B6D"/>
  <w16cid:commentId w16cid:paraId="1E111B31" w16cid:durableId="24EDE315"/>
  <w16cid:commentId w16cid:paraId="27A95CDA" w16cid:durableId="24D09B6E"/>
  <w16cid:commentId w16cid:paraId="768F491C" w16cid:durableId="24EDE317"/>
  <w16cid:commentId w16cid:paraId="76567800" w16cid:durableId="24D09B6F"/>
  <w16cid:commentId w16cid:paraId="4664081E" w16cid:durableId="24D09B72"/>
  <w16cid:commentId w16cid:paraId="11BF4420" w16cid:durableId="24EDEB58"/>
  <w16cid:commentId w16cid:paraId="0D45DD8D" w16cid:durableId="24F84A4A"/>
  <w16cid:commentId w16cid:paraId="32E0F707" w16cid:durableId="24D09B74"/>
  <w16cid:commentId w16cid:paraId="252B7108" w16cid:durableId="24D09B75"/>
  <w16cid:commentId w16cid:paraId="17C559A7" w16cid:durableId="24F82236"/>
  <w16cid:commentId w16cid:paraId="10498AD5" w16cid:durableId="24F82237"/>
  <w16cid:commentId w16cid:paraId="32CE7348" w16cid:durableId="24F84AC9"/>
  <w16cid:commentId w16cid:paraId="352953C5" w16cid:durableId="24F84ACA"/>
  <w16cid:commentId w16cid:paraId="0D7F7267" w16cid:durableId="24F84ACB"/>
  <w16cid:commentId w16cid:paraId="595FA962" w16cid:durableId="24F82239"/>
  <w16cid:commentId w16cid:paraId="5131724E" w16cid:durableId="24EDE325"/>
  <w16cid:commentId w16cid:paraId="5ADAAFD1" w16cid:durableId="24F8223B"/>
  <w16cid:commentId w16cid:paraId="19E13E12" w16cid:durableId="24D09B7B"/>
  <w16cid:commentId w16cid:paraId="28C45006" w16cid:durableId="24D09B7F"/>
  <w16cid:commentId w16cid:paraId="5DE35465" w16cid:durableId="24F8223E"/>
  <w16cid:commentId w16cid:paraId="672C98A1" w16cid:durableId="24D09B80"/>
  <w16cid:commentId w16cid:paraId="3E2BFC87" w16cid:durableId="24D09B83"/>
  <w16cid:commentId w16cid:paraId="42E8DD95" w16cid:durableId="24D09B84"/>
  <w16cid:commentId w16cid:paraId="66CBF276" w16cid:durableId="24D09B85"/>
  <w16cid:commentId w16cid:paraId="11F17D97" w16cid:durableId="24F83AB4"/>
  <w16cid:commentId w16cid:paraId="1EE800EF" w16cid:durableId="24F82243"/>
  <w16cid:commentId w16cid:paraId="5E3E9621" w16cid:durableId="24F82244"/>
  <w16cid:commentId w16cid:paraId="5C39D6AB" w16cid:durableId="24ED8C1A"/>
  <w16cid:commentId w16cid:paraId="192973AC" w16cid:durableId="24ED8C1C"/>
  <w16cid:commentId w16cid:paraId="4D9A7662" w16cid:durableId="24ED8C1D"/>
  <w16cid:commentId w16cid:paraId="08DFAA7A" w16cid:durableId="24ED8C1F"/>
  <w16cid:commentId w16cid:paraId="70678ED0" w16cid:durableId="24ED8C20"/>
  <w16cid:commentId w16cid:paraId="088D894F" w16cid:durableId="24F8224A"/>
  <w16cid:commentId w16cid:paraId="10C91A8F" w16cid:durableId="24F8224B"/>
  <w16cid:commentId w16cid:paraId="0D310549" w16cid:durableId="24ED8C26"/>
  <w16cid:commentId w16cid:paraId="079F0D74" w16cid:durableId="24F822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78095" w14:textId="77777777" w:rsidR="0078064E" w:rsidRDefault="0078064E" w:rsidP="00E70ABC">
      <w:pPr>
        <w:spacing w:before="0" w:after="0"/>
      </w:pPr>
      <w:r>
        <w:separator/>
      </w:r>
    </w:p>
  </w:endnote>
  <w:endnote w:type="continuationSeparator" w:id="0">
    <w:p w14:paraId="33F17EE9" w14:textId="77777777" w:rsidR="0078064E" w:rsidRDefault="0078064E" w:rsidP="00E70ABC">
      <w:pPr>
        <w:spacing w:before="0" w:after="0"/>
      </w:pPr>
      <w:r>
        <w:continuationSeparator/>
      </w:r>
    </w:p>
  </w:endnote>
  <w:endnote w:type="continuationNotice" w:id="1">
    <w:p w14:paraId="253116DF" w14:textId="77777777" w:rsidR="0078064E" w:rsidRDefault="007806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2971F" w14:textId="2B5A84BD" w:rsidR="0078064E" w:rsidRPr="009D02A3" w:rsidRDefault="009D02A3" w:rsidP="009D02A3">
    <w:pPr>
      <w:pStyle w:val="Footer"/>
      <w:rPr>
        <w:rFonts w:ascii="Arial" w:hAnsi="Arial" w:cs="Arial"/>
        <w:b/>
        <w:sz w:val="48"/>
      </w:rPr>
    </w:pPr>
    <w:r w:rsidRPr="009D02A3">
      <w:rPr>
        <w:rFonts w:ascii="Arial" w:hAnsi="Arial" w:cs="Arial"/>
        <w:b/>
        <w:sz w:val="48"/>
      </w:rPr>
      <w:t>EN</w:t>
    </w:r>
    <w:r w:rsidRPr="009D02A3">
      <w:rPr>
        <w:rFonts w:ascii="Arial" w:hAnsi="Arial" w:cs="Arial"/>
        <w:b/>
        <w:sz w:val="48"/>
      </w:rPr>
      <w:tab/>
    </w:r>
    <w:r w:rsidRPr="009D02A3">
      <w:rPr>
        <w:rFonts w:ascii="Arial" w:hAnsi="Arial" w:cs="Arial"/>
        <w:b/>
        <w:sz w:val="48"/>
      </w:rPr>
      <w:tab/>
    </w:r>
    <w:r w:rsidRPr="009D02A3">
      <w:tab/>
    </w:r>
    <w:r w:rsidRPr="009D02A3">
      <w:rPr>
        <w:rFonts w:ascii="Arial" w:hAnsi="Arial" w:cs="Arial"/>
        <w:b/>
        <w:sz w:val="48"/>
      </w:rPr>
      <w:t>EN</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0B8D8" w14:textId="59B4D88A" w:rsidR="009D02A3" w:rsidRPr="009D02A3" w:rsidRDefault="009D02A3" w:rsidP="009D02A3">
    <w:pPr>
      <w:pStyle w:val="Footer"/>
      <w:rPr>
        <w:rFonts w:ascii="Arial" w:hAnsi="Arial" w:cs="Arial"/>
        <w:b/>
        <w:sz w:val="48"/>
      </w:rPr>
    </w:pPr>
    <w:r w:rsidRPr="009D02A3">
      <w:rPr>
        <w:rFonts w:ascii="Arial" w:hAnsi="Arial" w:cs="Arial"/>
        <w:b/>
        <w:sz w:val="48"/>
      </w:rPr>
      <w:t>EN</w:t>
    </w:r>
    <w:r w:rsidRPr="009D02A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D02A3">
      <w:tab/>
    </w:r>
    <w:r w:rsidRPr="009D02A3">
      <w:rPr>
        <w:rFonts w:ascii="Arial" w:hAnsi="Arial" w:cs="Arial"/>
        <w:b/>
        <w:sz w:val="48"/>
      </w:rPr>
      <w:t>EN</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A88A4" w14:textId="77777777" w:rsidR="009D02A3" w:rsidRPr="009D02A3" w:rsidRDefault="009D02A3" w:rsidP="009D02A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17D1F" w14:textId="37403344" w:rsidR="009A6A20" w:rsidRPr="009D02A3" w:rsidRDefault="009D02A3" w:rsidP="009A6A20">
    <w:pPr>
      <w:pStyle w:val="Footer"/>
      <w:rPr>
        <w:rFonts w:ascii="Arial" w:hAnsi="Arial" w:cs="Arial"/>
        <w:b/>
        <w:sz w:val="48"/>
      </w:rPr>
    </w:pPr>
    <w:r w:rsidRPr="009D02A3">
      <w:rPr>
        <w:rFonts w:ascii="Arial" w:hAnsi="Arial" w:cs="Arial"/>
        <w:b/>
        <w:sz w:val="48"/>
      </w:rPr>
      <w:t>EN</w:t>
    </w:r>
    <w:r w:rsidRPr="009D02A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D02A3">
      <w:tab/>
    </w:r>
    <w:r w:rsidRPr="009D02A3">
      <w:rPr>
        <w:rFonts w:ascii="Arial" w:hAnsi="Arial" w:cs="Arial"/>
        <w:b/>
        <w:sz w:val="48"/>
      </w:rPr>
      <w:t>EN</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4CF5D" w14:textId="77777777" w:rsidR="009D02A3" w:rsidRPr="009D02A3" w:rsidRDefault="009D02A3" w:rsidP="009D02A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7BA0F" w14:textId="0F8B5EC5" w:rsidR="009A6A20" w:rsidRPr="009D02A3" w:rsidRDefault="009D02A3" w:rsidP="009D02A3">
    <w:pPr>
      <w:pStyle w:val="FooterLandscape"/>
      <w:rPr>
        <w:rFonts w:ascii="Arial" w:hAnsi="Arial" w:cs="Arial"/>
        <w:b/>
        <w:sz w:val="48"/>
      </w:rPr>
    </w:pPr>
    <w:r w:rsidRPr="009D02A3">
      <w:rPr>
        <w:rFonts w:ascii="Arial" w:hAnsi="Arial" w:cs="Arial"/>
        <w:b/>
        <w:sz w:val="48"/>
      </w:rPr>
      <w:t>EN</w:t>
    </w:r>
    <w:r w:rsidRPr="009D02A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D02A3">
      <w:tab/>
    </w:r>
    <w:r w:rsidRPr="009D02A3">
      <w:rPr>
        <w:rFonts w:ascii="Arial" w:hAnsi="Arial" w:cs="Arial"/>
        <w:b/>
        <w:sz w:val="48"/>
      </w:rPr>
      <w:t>EN</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FB612" w14:textId="77777777" w:rsidR="009D02A3" w:rsidRPr="009D02A3" w:rsidRDefault="009D02A3" w:rsidP="009D02A3">
    <w:pPr>
      <w:pStyle w:val="FooterLandscape"/>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4D3D6" w14:textId="5A346717" w:rsidR="009D02A3" w:rsidRPr="009D02A3" w:rsidRDefault="009D02A3" w:rsidP="009D02A3">
    <w:pPr>
      <w:pStyle w:val="Footer"/>
      <w:rPr>
        <w:rFonts w:ascii="Arial" w:hAnsi="Arial" w:cs="Arial"/>
        <w:b/>
        <w:sz w:val="48"/>
      </w:rPr>
    </w:pPr>
    <w:r w:rsidRPr="009D02A3">
      <w:rPr>
        <w:rFonts w:ascii="Arial" w:hAnsi="Arial" w:cs="Arial"/>
        <w:b/>
        <w:sz w:val="48"/>
      </w:rPr>
      <w:t>EN</w:t>
    </w:r>
    <w:r w:rsidRPr="009D02A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D02A3">
      <w:tab/>
    </w:r>
    <w:r w:rsidRPr="009D02A3">
      <w:rPr>
        <w:rFonts w:ascii="Arial" w:hAnsi="Arial" w:cs="Arial"/>
        <w:b/>
        <w:sz w:val="48"/>
      </w:rPr>
      <w:t>EN</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6FD85" w14:textId="77777777" w:rsidR="009D02A3" w:rsidRPr="009D02A3" w:rsidRDefault="009D02A3" w:rsidP="009D0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F50EE" w14:textId="4F47B909" w:rsidR="009D02A3" w:rsidRPr="009D02A3" w:rsidRDefault="009D02A3" w:rsidP="009D02A3">
    <w:pPr>
      <w:pStyle w:val="Footer"/>
      <w:rPr>
        <w:rFonts w:ascii="Arial" w:hAnsi="Arial" w:cs="Arial"/>
        <w:b/>
        <w:sz w:val="48"/>
      </w:rPr>
    </w:pPr>
    <w:r w:rsidRPr="009D02A3">
      <w:rPr>
        <w:rFonts w:ascii="Arial" w:hAnsi="Arial" w:cs="Arial"/>
        <w:b/>
        <w:sz w:val="48"/>
      </w:rPr>
      <w:t>EN</w:t>
    </w:r>
    <w:r w:rsidRPr="009D02A3">
      <w:rPr>
        <w:rFonts w:ascii="Arial" w:hAnsi="Arial" w:cs="Arial"/>
        <w:b/>
        <w:sz w:val="48"/>
      </w:rPr>
      <w:tab/>
    </w:r>
    <w:r>
      <w:fldChar w:fldCharType="begin"/>
    </w:r>
    <w:r>
      <w:instrText xml:space="preserve"> PAGE  \* MERGEFORMAT </w:instrText>
    </w:r>
    <w:r>
      <w:fldChar w:fldCharType="separate"/>
    </w:r>
    <w:r w:rsidR="000F7023">
      <w:rPr>
        <w:noProof/>
      </w:rPr>
      <w:t>47</w:t>
    </w:r>
    <w:r>
      <w:fldChar w:fldCharType="end"/>
    </w:r>
    <w:r>
      <w:tab/>
    </w:r>
    <w:r w:rsidRPr="009D02A3">
      <w:tab/>
    </w:r>
    <w:r w:rsidRPr="009D02A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03324" w14:textId="77777777" w:rsidR="009D02A3" w:rsidRPr="009D02A3" w:rsidRDefault="009D02A3" w:rsidP="009D02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5D093" w14:textId="0C3E9902" w:rsidR="009A6A20" w:rsidRPr="009D02A3" w:rsidRDefault="009D02A3" w:rsidP="009D02A3">
    <w:pPr>
      <w:pStyle w:val="FooterLandscape"/>
      <w:rPr>
        <w:rFonts w:ascii="Arial" w:hAnsi="Arial" w:cs="Arial"/>
        <w:b/>
        <w:sz w:val="48"/>
      </w:rPr>
    </w:pPr>
    <w:r w:rsidRPr="009D02A3">
      <w:rPr>
        <w:rFonts w:ascii="Arial" w:hAnsi="Arial" w:cs="Arial"/>
        <w:b/>
        <w:sz w:val="48"/>
      </w:rPr>
      <w:t>EN</w:t>
    </w:r>
    <w:r w:rsidRPr="009D02A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D02A3">
      <w:tab/>
    </w:r>
    <w:r w:rsidRPr="009D02A3">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B791" w14:textId="77777777" w:rsidR="009D02A3" w:rsidRPr="009D02A3" w:rsidRDefault="009D02A3" w:rsidP="009D02A3">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6D474" w14:textId="024A038D" w:rsidR="009D02A3" w:rsidRPr="009D02A3" w:rsidRDefault="009D02A3" w:rsidP="009D02A3">
    <w:pPr>
      <w:pStyle w:val="Footer"/>
      <w:rPr>
        <w:rFonts w:ascii="Arial" w:hAnsi="Arial" w:cs="Arial"/>
        <w:b/>
        <w:sz w:val="48"/>
      </w:rPr>
    </w:pPr>
    <w:r w:rsidRPr="009D02A3">
      <w:rPr>
        <w:rFonts w:ascii="Arial" w:hAnsi="Arial" w:cs="Arial"/>
        <w:b/>
        <w:sz w:val="48"/>
      </w:rPr>
      <w:t>EN</w:t>
    </w:r>
    <w:r w:rsidRPr="009D02A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D02A3">
      <w:tab/>
    </w:r>
    <w:r w:rsidRPr="009D02A3">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6703F" w14:textId="77777777" w:rsidR="009D02A3" w:rsidRPr="009D02A3" w:rsidRDefault="009D02A3" w:rsidP="009D02A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67207" w14:textId="413A5CC8" w:rsidR="009D02A3" w:rsidRPr="009D02A3" w:rsidRDefault="009D02A3" w:rsidP="009D02A3">
    <w:pPr>
      <w:pStyle w:val="FooterLandscape"/>
      <w:rPr>
        <w:rFonts w:ascii="Arial" w:hAnsi="Arial" w:cs="Arial"/>
        <w:b/>
        <w:sz w:val="48"/>
      </w:rPr>
    </w:pPr>
    <w:r w:rsidRPr="009D02A3">
      <w:rPr>
        <w:rFonts w:ascii="Arial" w:hAnsi="Arial" w:cs="Arial"/>
        <w:b/>
        <w:sz w:val="48"/>
      </w:rPr>
      <w:t>EN</w:t>
    </w:r>
    <w:r w:rsidRPr="009D02A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D02A3">
      <w:tab/>
    </w:r>
    <w:r w:rsidRPr="009D02A3">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B625F" w14:textId="77777777" w:rsidR="009D02A3" w:rsidRPr="009D02A3" w:rsidRDefault="009D02A3" w:rsidP="009D02A3">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5AEB1" w14:textId="77777777" w:rsidR="0078064E" w:rsidRDefault="0078064E" w:rsidP="00E70ABC">
      <w:pPr>
        <w:spacing w:before="0" w:after="0"/>
      </w:pPr>
      <w:r>
        <w:separator/>
      </w:r>
    </w:p>
  </w:footnote>
  <w:footnote w:type="continuationSeparator" w:id="0">
    <w:p w14:paraId="675DCB9F" w14:textId="77777777" w:rsidR="0078064E" w:rsidRDefault="0078064E" w:rsidP="00E70ABC">
      <w:pPr>
        <w:spacing w:before="0" w:after="0"/>
      </w:pPr>
      <w:r>
        <w:continuationSeparator/>
      </w:r>
    </w:p>
  </w:footnote>
  <w:footnote w:type="continuationNotice" w:id="1">
    <w:p w14:paraId="4A6AEAC8" w14:textId="77777777" w:rsidR="0078064E" w:rsidRDefault="0078064E">
      <w:pPr>
        <w:spacing w:before="0" w:after="0"/>
      </w:pPr>
    </w:p>
  </w:footnote>
  <w:footnote w:id="2">
    <w:p w14:paraId="26F1B02D" w14:textId="1BF9B1F6" w:rsidR="0078064E" w:rsidRPr="005574F8" w:rsidRDefault="0078064E" w:rsidP="00A51C63">
      <w:pPr>
        <w:pStyle w:val="FootnoteText"/>
        <w:ind w:left="142" w:hanging="142"/>
        <w:rPr>
          <w:rFonts w:ascii="Arial" w:hAnsi="Arial" w:cs="Arial"/>
          <w:lang w:val="en-IE"/>
        </w:rPr>
      </w:pPr>
      <w:r w:rsidRPr="00CE3F2A">
        <w:rPr>
          <w:rStyle w:val="FootnoteReference0"/>
        </w:rPr>
        <w:footnoteRef/>
      </w:r>
      <w:r>
        <w:tab/>
        <w:t xml:space="preserve">See the </w:t>
      </w:r>
      <w:r w:rsidRPr="005574F8">
        <w:rPr>
          <w:rFonts w:eastAsia="Arial Unicode MS"/>
        </w:rPr>
        <w:t>2020 EU Security Union Strategy</w:t>
      </w:r>
      <w:r w:rsidRPr="005574F8">
        <w:t xml:space="preserve"> </w:t>
      </w:r>
      <w:r>
        <w:t xml:space="preserve">- </w:t>
      </w:r>
      <w:r w:rsidRPr="005574F8">
        <w:t>COM(2020) 605 final (24.7.2020).</w:t>
      </w:r>
    </w:p>
  </w:footnote>
  <w:footnote w:id="3">
    <w:p w14:paraId="20B08C1F" w14:textId="36BD2854" w:rsidR="0078064E" w:rsidRPr="00F506D5" w:rsidRDefault="0078064E" w:rsidP="00A51C63">
      <w:pPr>
        <w:pStyle w:val="FootnoteText"/>
        <w:ind w:left="142" w:hanging="142"/>
      </w:pPr>
      <w:r w:rsidRPr="005A04A2">
        <w:rPr>
          <w:rStyle w:val="FootnoteReference0"/>
        </w:rPr>
        <w:footnoteRef/>
      </w:r>
      <w:r>
        <w:tab/>
      </w:r>
      <w:r w:rsidRPr="00F506D5">
        <w:t>EU Serious and Organised Crime threat assessment</w:t>
      </w:r>
      <w:r>
        <w:t xml:space="preserve"> 2021</w:t>
      </w:r>
    </w:p>
  </w:footnote>
  <w:footnote w:id="4">
    <w:p w14:paraId="4AB21AED" w14:textId="33270B2E" w:rsidR="0078064E" w:rsidRPr="008C6F09" w:rsidRDefault="0078064E" w:rsidP="00203EC4">
      <w:pPr>
        <w:pStyle w:val="FootnoteText"/>
        <w:ind w:left="142" w:hanging="142"/>
      </w:pPr>
      <w:r w:rsidRPr="00CE3F2A">
        <w:rPr>
          <w:rStyle w:val="FootnoteReference0"/>
        </w:rPr>
        <w:footnoteRef/>
      </w:r>
      <w:r>
        <w:tab/>
      </w:r>
      <w:r w:rsidRPr="008C6F09">
        <w:t>EU Strategy to tackle Organised Crime 2021-2025, COM(2021) 170 final (14.4.2021).</w:t>
      </w:r>
    </w:p>
  </w:footnote>
  <w:footnote w:id="5">
    <w:p w14:paraId="22296F60" w14:textId="4514516A" w:rsidR="0078064E" w:rsidRPr="008C6F09" w:rsidRDefault="0078064E" w:rsidP="00436EF4">
      <w:pPr>
        <w:pStyle w:val="FootnoteText"/>
        <w:ind w:left="0" w:firstLine="0"/>
        <w:rPr>
          <w:lang w:val="en-US"/>
        </w:rPr>
      </w:pPr>
      <w:r w:rsidRPr="00AB1CCF">
        <w:rPr>
          <w:rStyle w:val="FootnoteReference0"/>
        </w:rPr>
        <w:footnoteRef/>
      </w:r>
      <w:r w:rsidR="00AB1CCF">
        <w:tab/>
      </w:r>
      <w:r w:rsidRPr="008C6F09">
        <w:t>Such as the way certain categories of data are exchanged, the channel used for these exchanges, the time limits applicable, etc.</w:t>
      </w:r>
      <w:r w:rsidRPr="00F34391">
        <w:rPr>
          <w:lang w:val="en-US"/>
        </w:rPr>
        <w:t xml:space="preserve"> </w:t>
      </w:r>
    </w:p>
  </w:footnote>
  <w:footnote w:id="6">
    <w:p w14:paraId="6F64B6ED" w14:textId="620B25D5" w:rsidR="0078064E" w:rsidRPr="00D04F21" w:rsidRDefault="0078064E">
      <w:pPr>
        <w:pStyle w:val="FootnoteText"/>
      </w:pPr>
      <w:r w:rsidRPr="00AB1CCF">
        <w:rPr>
          <w:rStyle w:val="FootnoteReference0"/>
        </w:rPr>
        <w:footnoteRef/>
      </w:r>
      <w:r w:rsidR="00AB1CCF">
        <w:tab/>
      </w:r>
      <w:r w:rsidRPr="008C6F09">
        <w:t>[Reference].</w:t>
      </w:r>
    </w:p>
  </w:footnote>
  <w:footnote w:id="7">
    <w:p w14:paraId="2DE4DAE7" w14:textId="20A4BCF3" w:rsidR="0078064E" w:rsidRPr="00F506D5" w:rsidRDefault="0078064E" w:rsidP="00A51C63">
      <w:pPr>
        <w:pStyle w:val="FootnoteText"/>
        <w:ind w:left="142" w:hanging="142"/>
        <w:rPr>
          <w:lang w:val="en-IE"/>
        </w:rPr>
      </w:pPr>
      <w:r w:rsidRPr="00CE3F2A">
        <w:rPr>
          <w:rStyle w:val="FootnoteReference0"/>
        </w:rPr>
        <w:footnoteRef/>
      </w:r>
      <w:r>
        <w:tab/>
      </w:r>
      <w:r w:rsidRPr="009B2E1B">
        <w:t xml:space="preserve">Communication on a </w:t>
      </w:r>
      <w:r w:rsidRPr="00F506D5">
        <w:t>Strategy towards a fully functioning and resilient Schengen area</w:t>
      </w:r>
      <w:r>
        <w:t>, COM(2021) 277 final (2.6.2021).</w:t>
      </w:r>
    </w:p>
  </w:footnote>
  <w:footnote w:id="8">
    <w:p w14:paraId="4EDC6F30" w14:textId="0E897D3E" w:rsidR="0078064E" w:rsidRDefault="0078064E" w:rsidP="00436EF4">
      <w:pPr>
        <w:pStyle w:val="FootnoteText"/>
        <w:ind w:left="0" w:firstLine="0"/>
      </w:pPr>
      <w:r w:rsidRPr="00E9725F">
        <w:rPr>
          <w:rStyle w:val="FootnoteReference0"/>
        </w:rPr>
        <w:footnoteRef/>
      </w:r>
      <w:r>
        <w:tab/>
        <w:t>Council Decision 2008/615/JHA on the stepping up of cross-border cooperation, particularly in combating terrorism and cross-border crime and Council Decision 2008/616/JHA on the implementation of Decision 2008/615/JHA. The Council Decisions are based on the 2005 Prüm Convention.</w:t>
      </w:r>
    </w:p>
  </w:footnote>
  <w:footnote w:id="9">
    <w:p w14:paraId="390FC737" w14:textId="4D4F9505" w:rsidR="0078064E" w:rsidRDefault="0078064E" w:rsidP="00436EF4">
      <w:pPr>
        <w:pStyle w:val="FootnoteText"/>
        <w:ind w:left="0" w:firstLine="0"/>
        <w:rPr>
          <w:rFonts w:cstheme="minorBidi"/>
        </w:rPr>
      </w:pPr>
      <w:r w:rsidRPr="00E9725F">
        <w:rPr>
          <w:rStyle w:val="FootnoteReference0"/>
        </w:rPr>
        <w:footnoteRef/>
      </w:r>
      <w:r>
        <w:tab/>
        <w:t xml:space="preserve">Council Conclusions on the implementation of the "PRÜM DECISIONS" ten years after their adoption (document 11227/18), </w:t>
      </w:r>
      <w:hyperlink r:id="rId1" w:history="1">
        <w:r>
          <w:rPr>
            <w:rStyle w:val="Hyperlink"/>
          </w:rPr>
          <w:t>https://data.consilium.europa.eu/doc/document/ST-11227-2018-INIT/en/pdf</w:t>
        </w:r>
      </w:hyperlink>
      <w:r>
        <w:t xml:space="preserve">. </w:t>
      </w:r>
    </w:p>
  </w:footnote>
  <w:footnote w:id="10">
    <w:p w14:paraId="48DF1569" w14:textId="6E1B914A" w:rsidR="0078064E" w:rsidRPr="007B4046" w:rsidRDefault="0078064E">
      <w:pPr>
        <w:pStyle w:val="FootnoteText"/>
        <w:rPr>
          <w:lang w:val="en-US"/>
        </w:rPr>
      </w:pPr>
      <w:r w:rsidRPr="00E9725F">
        <w:rPr>
          <w:rStyle w:val="FootnoteReference0"/>
        </w:rPr>
        <w:footnoteRef/>
      </w:r>
      <w:r>
        <w:tab/>
        <w:t xml:space="preserve">Point (a) of </w:t>
      </w:r>
      <w:r w:rsidRPr="007B4046">
        <w:rPr>
          <w:lang w:val="en-US"/>
        </w:rPr>
        <w:t>Article 87(2) TFEU.</w:t>
      </w:r>
    </w:p>
  </w:footnote>
  <w:footnote w:id="11">
    <w:p w14:paraId="3575F9C9" w14:textId="011AA6B2" w:rsidR="0078064E" w:rsidRPr="00A51C63" w:rsidRDefault="0078064E" w:rsidP="00436EF4">
      <w:pPr>
        <w:pStyle w:val="FootnoteText"/>
        <w:ind w:left="0" w:firstLine="0"/>
      </w:pPr>
      <w:r w:rsidRPr="00E9725F">
        <w:rPr>
          <w:rStyle w:val="FootnoteReference0"/>
        </w:rPr>
        <w:footnoteRef/>
      </w:r>
      <w:r>
        <w:tab/>
        <w:t xml:space="preserve">Communication from the Commission to the European Parliament and the Council on a Strategy towards a fully functioning and resilient Schengen area, </w:t>
      </w:r>
      <w:r w:rsidRPr="00A51C63">
        <w:t>COM(2021)277</w:t>
      </w:r>
      <w:r>
        <w:t xml:space="preserve"> final (2.6.2021).</w:t>
      </w:r>
    </w:p>
  </w:footnote>
  <w:footnote w:id="12">
    <w:p w14:paraId="4E4F79AC" w14:textId="732E6B68" w:rsidR="0078064E" w:rsidRDefault="0078064E" w:rsidP="00436EF4">
      <w:pPr>
        <w:pStyle w:val="FootnoteText"/>
        <w:ind w:left="0" w:firstLine="0"/>
        <w:rPr>
          <w:lang w:val="en-US"/>
        </w:rPr>
      </w:pPr>
      <w:r w:rsidRPr="00AB1CCF">
        <w:rPr>
          <w:rStyle w:val="FootnoteReference0"/>
        </w:rPr>
        <w:footnoteRef/>
      </w:r>
      <w:r w:rsidR="00AB1CCF">
        <w:tab/>
      </w:r>
      <w:r>
        <w:t>The SIS assists competent authorities in the EU to preserve internal security in the absence of internal border checks and the VIS allows Schengen States to exchange visa data. The Eurodac system establishes an EU asylum fingerprint database enabling Member States to compare the fingerprints of asylum applicants in order to see whether they have previously applied for asylum or entered the EU irregularly via another Member State.</w:t>
      </w:r>
    </w:p>
  </w:footnote>
  <w:footnote w:id="13">
    <w:p w14:paraId="59FBA761" w14:textId="1DBAB1DB" w:rsidR="0078064E" w:rsidRDefault="0078064E" w:rsidP="00436EF4">
      <w:pPr>
        <w:pStyle w:val="FootnoteText"/>
        <w:ind w:left="0" w:firstLine="0"/>
      </w:pPr>
      <w:r w:rsidRPr="00E9725F">
        <w:rPr>
          <w:rStyle w:val="FootnoteReference0"/>
        </w:rPr>
        <w:footnoteRef/>
      </w:r>
      <w:r>
        <w:tab/>
        <w:t>The EES and ETIAS will strengthen security checks on visa-free travellers by enabling advance irregular migration and security vetting. The ECRIS-TCN system will address the identified gap in the exchange of information between Member States on convicted non-EU nationals.</w:t>
      </w:r>
    </w:p>
  </w:footnote>
  <w:footnote w:id="14">
    <w:p w14:paraId="265123A9" w14:textId="7815EF3F" w:rsidR="0078064E" w:rsidRDefault="0078064E" w:rsidP="001E387C">
      <w:pPr>
        <w:pStyle w:val="FootnoteText"/>
        <w:ind w:left="142" w:hanging="142"/>
      </w:pPr>
      <w:r w:rsidRPr="00E9725F">
        <w:rPr>
          <w:rStyle w:val="FootnoteReference0"/>
        </w:rPr>
        <w:footnoteRef/>
      </w:r>
      <w:r>
        <w:tab/>
        <w:t>Regulation (EU) 2019/817 and Regulation (EU) 2019/818.</w:t>
      </w:r>
    </w:p>
  </w:footnote>
  <w:footnote w:id="15">
    <w:p w14:paraId="39E29614" w14:textId="142A26C7" w:rsidR="0078064E" w:rsidRDefault="0078064E" w:rsidP="00436EF4">
      <w:pPr>
        <w:pStyle w:val="FootnoteText"/>
        <w:ind w:left="0" w:firstLine="0"/>
        <w:rPr>
          <w:rFonts w:cstheme="minorBidi"/>
        </w:rPr>
      </w:pPr>
      <w:r w:rsidRPr="00E9725F">
        <w:rPr>
          <w:rStyle w:val="FootnoteReference0"/>
        </w:rPr>
        <w:footnoteRef/>
      </w:r>
      <w:r>
        <w:tab/>
        <w:t>For instance, the Mobile Competence Team (MCT) project (2011–2014) was initiated by Germany and funded by the Commission’s Prevention of and Fight against Crime programme (ISEC). The MCT aimed at providing expert knowledge and support to EU Member States which were not yet operational for DNA and fingerprint data exchange.</w:t>
      </w:r>
    </w:p>
  </w:footnote>
  <w:footnote w:id="16">
    <w:p w14:paraId="44A46318" w14:textId="1538CCFC" w:rsidR="0078064E" w:rsidRDefault="0078064E" w:rsidP="00436EF4">
      <w:pPr>
        <w:pStyle w:val="FootnoteText"/>
        <w:ind w:left="0" w:firstLine="0"/>
      </w:pPr>
      <w:r w:rsidRPr="00E9725F">
        <w:rPr>
          <w:rStyle w:val="FootnoteReference0"/>
        </w:rPr>
        <w:footnoteRef/>
      </w:r>
      <w:r>
        <w:tab/>
        <w:t xml:space="preserve">Through a project led by Finland, Member States analysed the national procedures applied following a hit. The outcome of this project recommended a series of good and non-mandatory practices to streamline the </w:t>
      </w:r>
      <w:r w:rsidDel="008B2EED">
        <w:t xml:space="preserve">post-hit </w:t>
      </w:r>
      <w:r>
        <w:t xml:space="preserve">information exchange throughout the EU (see document 14310/2/16 REV2, not public). </w:t>
      </w:r>
    </w:p>
    <w:p w14:paraId="717A63C9" w14:textId="77777777" w:rsidR="0078064E" w:rsidRDefault="0078064E" w:rsidP="00436EF4">
      <w:pPr>
        <w:pStyle w:val="FootnoteText"/>
        <w:ind w:left="0" w:firstLine="0"/>
      </w:pPr>
      <w:r>
        <w:t>Moreover, Europol supported in 2012-2013 the development of standardized forms to be used for the follow-up information exchange, independently from the communication channel used (see document 9383/13 for more information). It is, however, not known to what extent National Contact Points use these forms.</w:t>
      </w:r>
    </w:p>
  </w:footnote>
  <w:footnote w:id="17">
    <w:p w14:paraId="7F530E93" w14:textId="3F1C9C04" w:rsidR="0078064E" w:rsidRDefault="0078064E" w:rsidP="00A51C63">
      <w:pPr>
        <w:pStyle w:val="FootnoteText"/>
        <w:ind w:left="142" w:hanging="142"/>
      </w:pPr>
      <w:r w:rsidRPr="00E9725F">
        <w:rPr>
          <w:rStyle w:val="FootnoteReference0"/>
        </w:rPr>
        <w:footnoteRef/>
      </w:r>
      <w:r>
        <w:tab/>
        <w:t>COM(2012) 732 final.</w:t>
      </w:r>
    </w:p>
  </w:footnote>
  <w:footnote w:id="18">
    <w:p w14:paraId="01A6FCFF" w14:textId="7C4B0D76" w:rsidR="0078064E" w:rsidRPr="0003722E" w:rsidRDefault="0078064E" w:rsidP="009F0B5C">
      <w:pPr>
        <w:pStyle w:val="FootnoteText"/>
        <w:ind w:left="0" w:firstLine="0"/>
      </w:pPr>
      <w:r w:rsidRPr="00E9725F">
        <w:rPr>
          <w:rStyle w:val="FootnoteReference0"/>
        </w:rPr>
        <w:footnoteRef/>
      </w:r>
      <w:r>
        <w:tab/>
      </w:r>
      <w:r w:rsidRPr="0003722E">
        <w:t>Council Decision 2008/615/JHA on the stepping up of cross-border cooperation, particularly in combating terrorism and cross-border crime, and Council Decision 2008/616/JHA on the implementation of Decision 2008/615/JHA</w:t>
      </w:r>
      <w:r>
        <w:t>.</w:t>
      </w:r>
    </w:p>
  </w:footnote>
  <w:footnote w:id="19">
    <w:p w14:paraId="3006A39F" w14:textId="34F4B4E0" w:rsidR="0078064E" w:rsidRPr="0066769C" w:rsidRDefault="0078064E">
      <w:pPr>
        <w:pStyle w:val="FootnoteText"/>
        <w:rPr>
          <w:lang w:val="en-US"/>
        </w:rPr>
      </w:pPr>
      <w:r w:rsidRPr="00E9725F">
        <w:rPr>
          <w:rStyle w:val="FootnoteReference0"/>
        </w:rPr>
        <w:footnoteRef/>
      </w:r>
      <w:r>
        <w:tab/>
        <w:t xml:space="preserve">Annex 4 to the </w:t>
      </w:r>
      <w:r w:rsidRPr="00CE3F2A">
        <w:t>accompanying Staff Working Document [Prüm impact assessment reference].</w:t>
      </w:r>
    </w:p>
  </w:footnote>
  <w:footnote w:id="20">
    <w:p w14:paraId="5A850522" w14:textId="68EA565D" w:rsidR="0078064E" w:rsidRPr="00466375" w:rsidRDefault="0078064E" w:rsidP="009F0B5C">
      <w:pPr>
        <w:pStyle w:val="FootnoteText"/>
        <w:ind w:left="0" w:firstLine="0"/>
      </w:pPr>
      <w:r w:rsidRPr="00E9725F">
        <w:rPr>
          <w:rStyle w:val="FootnoteReference0"/>
        </w:rPr>
        <w:footnoteRef/>
      </w:r>
      <w:r>
        <w:tab/>
        <w:t>S</w:t>
      </w:r>
      <w:r w:rsidRPr="0032769B">
        <w:t>uch as the Europol Information system (EIS), Interpol’s information systems</w:t>
      </w:r>
      <w:r>
        <w:t xml:space="preserve"> and</w:t>
      </w:r>
      <w:r w:rsidRPr="0032769B">
        <w:t xml:space="preserve"> the Schengen Information System (SIS)</w:t>
      </w:r>
      <w:r>
        <w:t>.</w:t>
      </w:r>
    </w:p>
  </w:footnote>
  <w:footnote w:id="21">
    <w:p w14:paraId="6FCBD251" w14:textId="7DB202EF" w:rsidR="0078064E" w:rsidRDefault="0078064E" w:rsidP="009F0B5C">
      <w:pPr>
        <w:pStyle w:val="FootnoteText"/>
        <w:ind w:left="0" w:firstLine="0"/>
      </w:pPr>
      <w:r w:rsidRPr="00E9725F">
        <w:rPr>
          <w:rStyle w:val="FootnoteReference0"/>
        </w:rPr>
        <w:footnoteRef/>
      </w:r>
      <w:r>
        <w:tab/>
        <w:t xml:space="preserve">Regulation (EU) 2019/817 of the European Parliament and of the Council of 20 May 2019 on establishing a framework for interoperability between EU information systems in the field of borders and visa and amending Regulations (EC) No 767/2008, (EU) 2016/399, (EU) 2017/2226, (EU) 2018/1240, (EU) 2018/1726 and (EU) 2018/1861 of the European Parliament and of the Council and Council Decisions 2004/512/EC and 2008/633/JHA; </w:t>
      </w:r>
    </w:p>
    <w:p w14:paraId="79504FA7" w14:textId="77777777" w:rsidR="0078064E" w:rsidRPr="00466375" w:rsidRDefault="0078064E" w:rsidP="009F0B5C">
      <w:pPr>
        <w:pStyle w:val="FootnoteText"/>
        <w:ind w:left="0" w:firstLine="0"/>
      </w:pPr>
      <w:r>
        <w:t>Regulation (EU) 2019/818 of the European Parliament and of the Council of 20 May 2019 on establishing a framework for interoperability between EU information systems in the field of police and judicial cooperation, asylum and migration and amending Regulations (EU) 2018/1726, (EU) 2018/1862 and (EU) 2019/816.</w:t>
      </w:r>
    </w:p>
  </w:footnote>
  <w:footnote w:id="22">
    <w:p w14:paraId="10BE44C2" w14:textId="312787A8" w:rsidR="0078064E" w:rsidRPr="00D66307" w:rsidRDefault="0078064E" w:rsidP="00A51C63">
      <w:pPr>
        <w:pStyle w:val="FootnoteText"/>
        <w:ind w:left="142" w:hanging="142"/>
        <w:rPr>
          <w:lang w:val="en-IE"/>
        </w:rPr>
      </w:pPr>
      <w:r w:rsidRPr="00E9725F">
        <w:rPr>
          <w:rStyle w:val="FootnoteReference0"/>
        </w:rPr>
        <w:footnoteRef/>
      </w:r>
      <w:r>
        <w:tab/>
        <w:t xml:space="preserve">Contained in </w:t>
      </w:r>
      <w:r w:rsidRPr="00D66307">
        <w:t>Council Decision 2008/616/JHA</w:t>
      </w:r>
      <w:r>
        <w:t>.</w:t>
      </w:r>
    </w:p>
  </w:footnote>
  <w:footnote w:id="23">
    <w:p w14:paraId="5C095D9D" w14:textId="1C17EF60" w:rsidR="0078064E" w:rsidRPr="0066769C" w:rsidRDefault="0078064E" w:rsidP="009F0B5C">
      <w:pPr>
        <w:pStyle w:val="FootnoteText"/>
        <w:ind w:left="0" w:firstLine="0"/>
        <w:rPr>
          <w:lang w:val="en-US"/>
        </w:rPr>
      </w:pPr>
      <w:r w:rsidRPr="00E9725F">
        <w:rPr>
          <w:rStyle w:val="FootnoteReference0"/>
        </w:rPr>
        <w:footnoteRef/>
      </w:r>
      <w:r>
        <w:tab/>
        <w:t xml:space="preserve">The Commission launched infringement proceedings against five Member States in 2016. As of October 2021, two of these infringement cases are still open. </w:t>
      </w:r>
    </w:p>
  </w:footnote>
  <w:footnote w:id="24">
    <w:p w14:paraId="64FAF9D3" w14:textId="088F040A" w:rsidR="0078064E" w:rsidRPr="000170A1" w:rsidRDefault="0078064E" w:rsidP="009F0B5C">
      <w:pPr>
        <w:pStyle w:val="FootnoteText"/>
        <w:ind w:left="0" w:firstLine="0"/>
      </w:pPr>
      <w:r w:rsidRPr="00E9725F">
        <w:rPr>
          <w:rStyle w:val="FootnoteReference0"/>
        </w:rPr>
        <w:footnoteRef/>
      </w:r>
      <w:r>
        <w:tab/>
      </w:r>
      <w:r w:rsidRPr="00126A26">
        <w:t>Council Working Party on Information Exchange and Data Protection (DAPIX), and as from 1 January 2020</w:t>
      </w:r>
      <w:r>
        <w:t>,</w:t>
      </w:r>
      <w:r w:rsidRPr="00126A26">
        <w:t xml:space="preserve"> </w:t>
      </w:r>
      <w:r>
        <w:t>Working Party on Justice and Home Affairs</w:t>
      </w:r>
      <w:r w:rsidRPr="00126A26">
        <w:t xml:space="preserve"> Information Exchange (IXIM).</w:t>
      </w:r>
    </w:p>
  </w:footnote>
  <w:footnote w:id="25">
    <w:p w14:paraId="4CED03A9" w14:textId="719A9A85" w:rsidR="0078064E" w:rsidRPr="00F617B0" w:rsidRDefault="0078064E" w:rsidP="00A51C63">
      <w:pPr>
        <w:pStyle w:val="FootnoteText"/>
        <w:ind w:left="142" w:hanging="142"/>
        <w:rPr>
          <w:lang w:val="en-IE"/>
        </w:rPr>
      </w:pPr>
      <w:r w:rsidRPr="00E9725F">
        <w:rPr>
          <w:rStyle w:val="FootnoteReference0"/>
        </w:rPr>
        <w:footnoteRef/>
      </w:r>
      <w:r>
        <w:tab/>
      </w:r>
      <w:r w:rsidRPr="00F617B0">
        <w:rPr>
          <w:lang w:val="en-IE"/>
        </w:rPr>
        <w:t xml:space="preserve">The </w:t>
      </w:r>
      <w:r>
        <w:rPr>
          <w:lang w:val="en-IE"/>
        </w:rPr>
        <w:t xml:space="preserve">inception impact assessment and </w:t>
      </w:r>
      <w:r w:rsidRPr="00F617B0">
        <w:rPr>
          <w:lang w:val="en-IE"/>
        </w:rPr>
        <w:t xml:space="preserve">contributions are available </w:t>
      </w:r>
      <w:hyperlink r:id="rId2" w:history="1">
        <w:r w:rsidRPr="00F617B0">
          <w:rPr>
            <w:rStyle w:val="Hyperlink"/>
            <w:lang w:val="en-IE"/>
          </w:rPr>
          <w:t>here</w:t>
        </w:r>
      </w:hyperlink>
      <w:r>
        <w:rPr>
          <w:lang w:val="en-IE"/>
        </w:rPr>
        <w:t xml:space="preserve">. </w:t>
      </w:r>
    </w:p>
  </w:footnote>
  <w:footnote w:id="26">
    <w:p w14:paraId="0858B3FD" w14:textId="5326C492" w:rsidR="0078064E" w:rsidRDefault="0078064E" w:rsidP="00A51C63">
      <w:pPr>
        <w:pStyle w:val="FootnoteText"/>
        <w:ind w:left="142" w:hanging="142"/>
        <w:rPr>
          <w:rFonts w:cstheme="minorBidi"/>
        </w:rPr>
      </w:pPr>
      <w:r w:rsidRPr="00E9725F">
        <w:rPr>
          <w:rStyle w:val="FootnoteReference0"/>
        </w:rPr>
        <w:footnoteRef/>
      </w:r>
      <w:r>
        <w:tab/>
        <w:t>European Court of Human Rights, Osman v United Kingdom, No. 87/1997/871/1083, 28 October 1998, para. 116.</w:t>
      </w:r>
    </w:p>
  </w:footnote>
  <w:footnote w:id="27">
    <w:p w14:paraId="4DFDB3F8" w14:textId="42C57CD3" w:rsidR="0078064E" w:rsidRDefault="0078064E" w:rsidP="009F0B5C">
      <w:pPr>
        <w:pStyle w:val="FootnoteText"/>
        <w:ind w:left="0" w:firstLine="0"/>
      </w:pPr>
      <w:r w:rsidRPr="00E9725F">
        <w:rPr>
          <w:rStyle w:val="FootnoteReference0"/>
        </w:rPr>
        <w:footnoteRef/>
      </w:r>
      <w:r>
        <w:tab/>
      </w:r>
      <w:r>
        <w:rPr>
          <w:lang w:eastAsia="en-GB"/>
        </w:rPr>
        <w:t>Court of Justice of the EU, judgment of 9.11.2010, Joined Cases C-92/09 and C-93/09 Volker und Markus Schecke and Eifert [2010] ECR I-0000.</w:t>
      </w:r>
    </w:p>
  </w:footnote>
  <w:footnote w:id="28">
    <w:p w14:paraId="2BB163CD" w14:textId="50C5F20D" w:rsidR="0078064E" w:rsidRPr="0003774E" w:rsidRDefault="0078064E" w:rsidP="009F0B5C">
      <w:pPr>
        <w:pStyle w:val="FootnoteText"/>
        <w:ind w:left="0" w:firstLine="0"/>
        <w:rPr>
          <w:lang w:val="en-US"/>
        </w:rPr>
      </w:pPr>
      <w:r w:rsidRPr="00E9725F">
        <w:rPr>
          <w:rStyle w:val="FootnoteReference0"/>
        </w:rPr>
        <w:footnoteRef/>
      </w:r>
      <w:r>
        <w:tab/>
      </w:r>
      <w:r>
        <w:rPr>
          <w:rFonts w:eastAsia="Arial Unicode MS"/>
        </w:rPr>
        <w:t>Following the Commission’s findings in its Communication of 24 June 2020</w:t>
      </w:r>
      <w:r w:rsidRPr="00656A80">
        <w:t xml:space="preserve"> </w:t>
      </w:r>
      <w:r>
        <w:t>on the way forward on aligning the former third pillar acquis with data protection rules (COM(2020) 262 final).</w:t>
      </w:r>
    </w:p>
  </w:footnote>
  <w:footnote w:id="29">
    <w:p w14:paraId="76D66228" w14:textId="1A90E38B" w:rsidR="0078064E" w:rsidRDefault="0078064E" w:rsidP="00A51C63">
      <w:pPr>
        <w:pStyle w:val="FootnoteText"/>
        <w:ind w:left="142" w:hanging="142"/>
      </w:pPr>
      <w:r w:rsidRPr="00E9725F">
        <w:rPr>
          <w:rStyle w:val="FootnoteReference0"/>
        </w:rPr>
        <w:footnoteRef/>
      </w:r>
      <w:r>
        <w:tab/>
        <w:t>OJ C , , p. .</w:t>
      </w:r>
    </w:p>
  </w:footnote>
  <w:footnote w:id="30">
    <w:p w14:paraId="1980833B" w14:textId="04E90305" w:rsidR="0078064E" w:rsidRDefault="0078064E" w:rsidP="00A51C63">
      <w:pPr>
        <w:pStyle w:val="FootnoteText"/>
        <w:ind w:left="142" w:hanging="142"/>
      </w:pPr>
      <w:r w:rsidRPr="00E9725F">
        <w:rPr>
          <w:rStyle w:val="FootnoteReference0"/>
        </w:rPr>
        <w:footnoteRef/>
      </w:r>
      <w:r>
        <w:tab/>
        <w:t>OJ C , , p. .</w:t>
      </w:r>
    </w:p>
  </w:footnote>
  <w:footnote w:id="31">
    <w:p w14:paraId="63266ACE" w14:textId="46EFB753" w:rsidR="0078064E" w:rsidRPr="009A4DE0" w:rsidRDefault="0078064E" w:rsidP="009F0B5C">
      <w:pPr>
        <w:pStyle w:val="FootnoteText"/>
        <w:ind w:left="0" w:firstLine="0"/>
        <w:rPr>
          <w:lang w:val="en-US"/>
        </w:rPr>
      </w:pPr>
      <w:r w:rsidRPr="00E9725F">
        <w:rPr>
          <w:rStyle w:val="FootnoteReference0"/>
        </w:rPr>
        <w:footnoteRef/>
      </w:r>
      <w:r>
        <w:tab/>
      </w:r>
      <w:r w:rsidRPr="009557D9">
        <w:t>Regulation (EU) 2016/794 of the European Parliament and of the Council of 11 May 2016 on the European Union Agency for Law Enforcement Cooperation (Europol) and replacing and repealing Council Decisions 2009/371/JHA, 2009/934/JHA, 2009/935/JHA, 2009/936/JHA and 2009/968/JHA (OJ L 135, 24.5.2016, p. 53).</w:t>
      </w:r>
    </w:p>
  </w:footnote>
  <w:footnote w:id="32">
    <w:p w14:paraId="2D6CAFD7" w14:textId="6A928A0C" w:rsidR="0078064E" w:rsidRPr="006D3AE6" w:rsidRDefault="0078064E" w:rsidP="009F0B5C">
      <w:pPr>
        <w:pStyle w:val="FootnoteText"/>
        <w:ind w:left="0" w:firstLine="0"/>
        <w:rPr>
          <w:lang w:val="en-US"/>
        </w:rPr>
      </w:pPr>
      <w:r w:rsidRPr="00E9725F">
        <w:rPr>
          <w:rStyle w:val="FootnoteReference0"/>
        </w:rPr>
        <w:footnoteRef/>
      </w:r>
      <w:r>
        <w:rPr>
          <w:lang w:val="en-US"/>
        </w:rPr>
        <w:tab/>
      </w:r>
      <w:r w:rsidRPr="00CE3F2A">
        <w:t>Council Decision 2008/615/JHA of 23 June 2008 on the stepping up of cross-border cooperation, particularly in combating terrorism and cross-border crime (OJ L 210, 6.8.2008, p. 1).</w:t>
      </w:r>
    </w:p>
  </w:footnote>
  <w:footnote w:id="33">
    <w:p w14:paraId="5B2CD92F" w14:textId="6F9C16F4" w:rsidR="0078064E" w:rsidRPr="006D3AE6" w:rsidRDefault="0078064E" w:rsidP="009F0B5C">
      <w:pPr>
        <w:pStyle w:val="FootnoteText"/>
        <w:ind w:left="0" w:firstLine="0"/>
        <w:rPr>
          <w:lang w:val="en-US"/>
        </w:rPr>
      </w:pPr>
      <w:r w:rsidRPr="00E9725F">
        <w:rPr>
          <w:rStyle w:val="FootnoteReference0"/>
        </w:rPr>
        <w:footnoteRef/>
      </w:r>
      <w:r>
        <w:rPr>
          <w:lang w:val="en-US"/>
        </w:rPr>
        <w:tab/>
      </w:r>
      <w:r w:rsidRPr="00CE3F2A">
        <w:t>Council Decision 2008/616/JHA of 23 June 2008 on the implementation of Decision 2008/615/JHA on the stepping up of cross-border cooperation, particularly in combating terrorism and cross-border crime (OJ L 210, 6.8.2008, p. 12).</w:t>
      </w:r>
    </w:p>
  </w:footnote>
  <w:footnote w:id="34">
    <w:p w14:paraId="3BFBD710" w14:textId="1F318807" w:rsidR="0078064E" w:rsidRDefault="0078064E" w:rsidP="009F0B5C">
      <w:pPr>
        <w:pStyle w:val="FootnoteText"/>
        <w:ind w:left="0" w:firstLine="0"/>
        <w:rPr>
          <w:lang w:val="en-US"/>
        </w:rPr>
      </w:pPr>
      <w:r w:rsidRPr="00E9725F">
        <w:rPr>
          <w:rStyle w:val="FootnoteReference0"/>
        </w:rPr>
        <w:footnoteRef/>
      </w:r>
      <w:r>
        <w:tab/>
        <w:t>Regulation (EU) 2018/1862 of the European Parliament and of the Council of 28 November 2018 on the establishment, operation and use of the Schengen Information System (SIS) in the field of police cooperation and judicial cooperation in criminal matters, amending and repealing Council Decision 2007/533/JHA, and repealing Regulation (EC) No 1986/2006 of the European Parliament and of the Council and Commission Decision 2010/261/EU (OJ L 312, 7.12.2018, p. 56).</w:t>
      </w:r>
    </w:p>
  </w:footnote>
  <w:footnote w:id="35">
    <w:p w14:paraId="6E9014E5" w14:textId="04B7CCE0" w:rsidR="0078064E" w:rsidRPr="00DE008D" w:rsidRDefault="0078064E" w:rsidP="009F0B5C">
      <w:pPr>
        <w:pStyle w:val="FootnoteText"/>
        <w:ind w:left="0" w:firstLine="0"/>
        <w:rPr>
          <w:lang w:val="en-US"/>
        </w:rPr>
      </w:pPr>
      <w:r w:rsidRPr="00E9725F">
        <w:rPr>
          <w:rStyle w:val="FootnoteReference0"/>
        </w:rPr>
        <w:footnoteRef/>
      </w:r>
      <w:r>
        <w:tab/>
      </w:r>
      <w:r w:rsidRPr="001234FF">
        <w:t>Regulation (EU) 2019/817 of the European Parliament and of the Council of 20 May 2019 on establishing a framework for interoperability between EU information systems in the field of borders and visa and amending Regulations (EC) No 767/2008, (EU) 2016/399, (EU) 2017/2226, (EU) 2018/1240, (EU) 2018/1726 and (EU) 2018/1861 of the European Parliament and of the Council and Council Decisions 2004/512/EC and 2008/633/JHA</w:t>
      </w:r>
      <w:r>
        <w:t xml:space="preserve"> (OJ L 135, 22.5.2019, p. 27).</w:t>
      </w:r>
    </w:p>
  </w:footnote>
  <w:footnote w:id="36">
    <w:p w14:paraId="287E8416" w14:textId="729501A6" w:rsidR="0078064E" w:rsidRPr="00DE008D" w:rsidRDefault="0078064E" w:rsidP="009F0B5C">
      <w:pPr>
        <w:pStyle w:val="FootnoteText"/>
        <w:ind w:left="0" w:firstLine="0"/>
        <w:rPr>
          <w:lang w:val="en-US"/>
        </w:rPr>
      </w:pPr>
      <w:r w:rsidRPr="00E9725F">
        <w:rPr>
          <w:rStyle w:val="FootnoteReference0"/>
        </w:rPr>
        <w:footnoteRef/>
      </w:r>
      <w:r>
        <w:tab/>
      </w:r>
      <w:r w:rsidRPr="00BA1C2B">
        <w:t>Regulation (EU) 2019/818 of the European Parliament and of the Council of 20 May 2019 on establishing a framework for interoperability between EU information systems in the field of police and judicial cooperation, asylum and migration and amending Regulations (EU) 2018/1726, (EU) 2018/1862 and (EU) 2019/816</w:t>
      </w:r>
      <w:r>
        <w:t xml:space="preserve"> (OJ L 135, 22.5.2019, p. 85).</w:t>
      </w:r>
    </w:p>
  </w:footnote>
  <w:footnote w:id="37">
    <w:p w14:paraId="50031A74" w14:textId="4EA6D85B" w:rsidR="0078064E" w:rsidRPr="00DE008D" w:rsidRDefault="0078064E" w:rsidP="009F0B5C">
      <w:pPr>
        <w:pStyle w:val="FootnoteText"/>
        <w:ind w:left="0" w:firstLine="0"/>
        <w:rPr>
          <w:lang w:val="en-US"/>
        </w:rPr>
      </w:pPr>
      <w:r w:rsidRPr="00E9725F">
        <w:rPr>
          <w:rStyle w:val="FootnoteReference0"/>
        </w:rPr>
        <w:footnoteRef/>
      </w:r>
      <w:r>
        <w:tab/>
      </w:r>
      <w:r w:rsidRPr="00DE008D">
        <w:rPr>
          <w:lang w:val="en-US"/>
        </w:rPr>
        <w:t>Regulation (EU) No 182/2011 of the European Parliament and of the Council of 16 February 2011 laying down the rules and general principles concerning mechanisms for control by Member States of the Commission’s exercise of implementing powers</w:t>
      </w:r>
      <w:r>
        <w:rPr>
          <w:lang w:val="en-US"/>
        </w:rPr>
        <w:t xml:space="preserve"> (OJ L 55, 28.2.2011, p. 13).</w:t>
      </w:r>
    </w:p>
  </w:footnote>
  <w:footnote w:id="38">
    <w:p w14:paraId="60EC852B" w14:textId="78D90B49" w:rsidR="0078064E" w:rsidRPr="00B771C5" w:rsidRDefault="0078064E" w:rsidP="009F0B5C">
      <w:pPr>
        <w:pStyle w:val="FootnoteText"/>
        <w:ind w:left="0" w:firstLine="0"/>
        <w:rPr>
          <w:lang w:val="en-US"/>
        </w:rPr>
      </w:pPr>
      <w:r w:rsidRPr="00E9725F">
        <w:rPr>
          <w:rStyle w:val="FootnoteReference0"/>
        </w:rPr>
        <w:footnoteRef/>
      </w:r>
      <w:r>
        <w:rPr>
          <w:lang w:val="en-US"/>
        </w:rPr>
        <w:tab/>
      </w:r>
      <w:r w:rsidRPr="009557D9">
        <w:rPr>
          <w:lang w:val="en-US"/>
        </w:rPr>
        <w:t>Regulation (EU) 2018/1726 of the European Parliament and of the Council of 14 November 2018 on the European Union Agency for the Operational Management of Large-Scale IT Systems in the Area of Freedom, Security and Justice (eu-LISA), and amending Regulation (EC) No 1987/2006 and Council Decision 2007/533/JHA and repealing Regulation (EU) No 1077/2011 (OJ L 295, 21.11.2018, p. 99).</w:t>
      </w:r>
    </w:p>
  </w:footnote>
  <w:footnote w:id="39">
    <w:p w14:paraId="332DED55" w14:textId="51714714" w:rsidR="0078064E" w:rsidRPr="00DE008D" w:rsidRDefault="0078064E" w:rsidP="009F0B5C">
      <w:pPr>
        <w:pStyle w:val="FootnoteText"/>
        <w:ind w:left="0" w:firstLine="0"/>
        <w:rPr>
          <w:lang w:val="en-US"/>
        </w:rPr>
      </w:pPr>
      <w:r w:rsidRPr="00E9725F">
        <w:rPr>
          <w:rStyle w:val="FootnoteReference0"/>
        </w:rPr>
        <w:footnoteRef/>
      </w:r>
      <w:r>
        <w:rPr>
          <w:lang w:val="en-US"/>
        </w:rPr>
        <w:tab/>
      </w:r>
      <w:r w:rsidRPr="00DE008D">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40">
    <w:p w14:paraId="4D4F4447" w14:textId="584A3BA0" w:rsidR="0078064E" w:rsidRPr="00DE008D" w:rsidRDefault="0078064E" w:rsidP="001819E0">
      <w:pPr>
        <w:pStyle w:val="FootnoteText"/>
        <w:rPr>
          <w:lang w:val="en-US"/>
        </w:rPr>
      </w:pPr>
      <w:r w:rsidRPr="00E9725F">
        <w:rPr>
          <w:rStyle w:val="FootnoteReference0"/>
        </w:rPr>
        <w:footnoteRef/>
      </w:r>
      <w:r>
        <w:rPr>
          <w:lang w:val="en-US"/>
        </w:rPr>
        <w:tab/>
        <w:t>[OJ C …].</w:t>
      </w:r>
    </w:p>
  </w:footnote>
  <w:footnote w:id="41">
    <w:p w14:paraId="0615E7EB" w14:textId="12C79167" w:rsidR="0078064E" w:rsidRPr="00100996" w:rsidRDefault="0078064E" w:rsidP="009F0B5C">
      <w:pPr>
        <w:pStyle w:val="FootnoteText"/>
        <w:ind w:left="0" w:firstLine="0"/>
        <w:rPr>
          <w:lang w:val="en-US"/>
        </w:rPr>
      </w:pPr>
      <w:r w:rsidRPr="00E9725F">
        <w:rPr>
          <w:rStyle w:val="FootnoteReference0"/>
        </w:rPr>
        <w:footnoteRef/>
      </w:r>
      <w:r>
        <w:tab/>
      </w:r>
      <w:r w:rsidRPr="009557D9">
        <w:t>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(OJ L 119, 4.5.2016, p. 89).</w:t>
      </w:r>
    </w:p>
  </w:footnote>
  <w:footnote w:id="42">
    <w:p w14:paraId="3FE3DF13" w14:textId="6484DD9F" w:rsidR="0078064E" w:rsidRPr="000763B1" w:rsidRDefault="0078064E" w:rsidP="009C1F86">
      <w:pPr>
        <w:pStyle w:val="FootnoteText"/>
        <w:rPr>
          <w:lang w:val="en-US"/>
        </w:rPr>
      </w:pPr>
      <w:r w:rsidRPr="00E9725F">
        <w:rPr>
          <w:rStyle w:val="FootnoteReference0"/>
        </w:rPr>
        <w:footnoteRef/>
      </w:r>
      <w:r>
        <w:rPr>
          <w:lang w:val="en-US"/>
        </w:rPr>
        <w:tab/>
      </w:r>
      <w:r w:rsidRPr="0095133B">
        <w:t xml:space="preserve">Directive </w:t>
      </w:r>
      <w:r w:rsidRPr="005F6BB4">
        <w:t xml:space="preserve">(EU) </w:t>
      </w:r>
      <w:r>
        <w:t>…</w:t>
      </w:r>
      <w:r w:rsidRPr="005F6BB4">
        <w:t>/</w:t>
      </w:r>
      <w:r>
        <w:t>…</w:t>
      </w:r>
      <w:r w:rsidRPr="005F6BB4">
        <w:t xml:space="preserve"> of the European Parliament and of the Council</w:t>
      </w:r>
      <w:r>
        <w:t>… (OJ..).</w:t>
      </w:r>
    </w:p>
  </w:footnote>
  <w:footnote w:id="43">
    <w:p w14:paraId="315B507B" w14:textId="521D66E8" w:rsidR="0078064E" w:rsidRPr="00D525B4" w:rsidRDefault="0078064E" w:rsidP="00345927">
      <w:pPr>
        <w:pStyle w:val="FootnoteText"/>
        <w:rPr>
          <w:lang w:val="en-US"/>
        </w:rPr>
      </w:pPr>
      <w:r w:rsidRPr="00E9725F">
        <w:rPr>
          <w:rStyle w:val="FootnoteReference0"/>
        </w:rPr>
        <w:footnoteRef/>
      </w:r>
      <w:r>
        <w:rPr>
          <w:lang w:val="en-US"/>
        </w:rPr>
        <w:tab/>
      </w:r>
      <w:r w:rsidRPr="00FC6C6C">
        <w:t>OJ L 56, 4.3.1968, p. 1.</w:t>
      </w:r>
    </w:p>
  </w:footnote>
  <w:footnote w:id="44">
    <w:p w14:paraId="6AAF2BE7" w14:textId="5503E99F" w:rsidR="0078064E" w:rsidRDefault="0078064E" w:rsidP="009D4357">
      <w:pPr>
        <w:pStyle w:val="FootnoteText"/>
        <w:ind w:left="360" w:hanging="360"/>
        <w:rPr>
          <w:szCs w:val="24"/>
        </w:rPr>
      </w:pPr>
      <w:r w:rsidRPr="00E9725F">
        <w:rPr>
          <w:rStyle w:val="FootnoteReference0"/>
        </w:rPr>
        <w:footnoteRef/>
      </w:r>
      <w:r>
        <w:tab/>
        <w:t>As referred to in Article 58(2)(a) or (b) of the Financial Regulation.</w:t>
      </w:r>
    </w:p>
  </w:footnote>
  <w:footnote w:id="45">
    <w:p w14:paraId="5D343B65" w14:textId="64B15ECE" w:rsidR="0078064E" w:rsidRPr="00FE789B" w:rsidRDefault="0078064E" w:rsidP="009D4357">
      <w:pPr>
        <w:pStyle w:val="FootnoteText"/>
        <w:rPr>
          <w:lang w:val="en-US"/>
        </w:rPr>
      </w:pPr>
      <w:r w:rsidRPr="00E9725F">
        <w:rPr>
          <w:rStyle w:val="FootnoteReference0"/>
        </w:rPr>
        <w:footnoteRef/>
      </w:r>
      <w:r>
        <w:tab/>
      </w:r>
      <w:r w:rsidRPr="00FE789B">
        <w:t>Council Decisions 2008/615/JHA and 2008/616/JHA</w:t>
      </w:r>
    </w:p>
  </w:footnote>
  <w:footnote w:id="46">
    <w:p w14:paraId="37D782E9" w14:textId="59B9391B" w:rsidR="0078064E" w:rsidRDefault="0078064E" w:rsidP="009F0B5C">
      <w:pPr>
        <w:pStyle w:val="FootnoteText"/>
        <w:ind w:left="0" w:firstLine="0"/>
        <w:rPr>
          <w:szCs w:val="24"/>
        </w:rPr>
      </w:pPr>
      <w:r w:rsidRPr="00FC1288">
        <w:rPr>
          <w:rStyle w:val="FootnoteReference0"/>
        </w:rPr>
        <w:footnoteRef/>
      </w:r>
      <w:r>
        <w:tab/>
        <w:t xml:space="preserve">Details of management modes and references to the Financial Regulation may be found on the BudgWeb site: </w:t>
      </w:r>
      <w:hyperlink r:id="rId3" w:history="1">
        <w:r>
          <w:rPr>
            <w:rStyle w:val="Hyperlink"/>
            <w:szCs w:val="24"/>
          </w:rPr>
          <w:t>https://myintracomm.ec.europa.eu/budgweb/EN/man/budgmanag/Pages/budgmanag.aspx</w:t>
        </w:r>
      </w:hyperlink>
      <w:r>
        <w:rPr>
          <w:szCs w:val="24"/>
        </w:rPr>
        <w:t>.</w:t>
      </w:r>
    </w:p>
  </w:footnote>
  <w:footnote w:id="47">
    <w:p w14:paraId="61C5E9BA" w14:textId="1B23E2F8" w:rsidR="0078064E" w:rsidRDefault="0078064E" w:rsidP="009D4357">
      <w:pPr>
        <w:pStyle w:val="FootnoteText"/>
        <w:ind w:left="360" w:hanging="360"/>
        <w:rPr>
          <w:szCs w:val="24"/>
        </w:rPr>
      </w:pPr>
      <w:r w:rsidRPr="00E9725F">
        <w:rPr>
          <w:rStyle w:val="FootnoteReference0"/>
        </w:rPr>
        <w:footnoteRef/>
      </w:r>
      <w:r>
        <w:tab/>
        <w:t>Diff. = Differentiated appropriations / Non-diff. = Non-differentiated appropriations.</w:t>
      </w:r>
    </w:p>
  </w:footnote>
  <w:footnote w:id="48">
    <w:p w14:paraId="00A4708C" w14:textId="52197F69" w:rsidR="0078064E" w:rsidRDefault="0078064E" w:rsidP="009D4357">
      <w:pPr>
        <w:pStyle w:val="FootnoteText"/>
        <w:ind w:left="360" w:hanging="360"/>
        <w:rPr>
          <w:szCs w:val="24"/>
        </w:rPr>
      </w:pPr>
      <w:r w:rsidRPr="00E9725F">
        <w:rPr>
          <w:rStyle w:val="FootnoteReference0"/>
        </w:rPr>
        <w:footnoteRef/>
      </w:r>
      <w:r>
        <w:tab/>
        <w:t xml:space="preserve">EFTA: European Free Trade Association. </w:t>
      </w:r>
    </w:p>
  </w:footnote>
  <w:footnote w:id="49">
    <w:p w14:paraId="3F7E5485" w14:textId="3F884A0B" w:rsidR="0078064E" w:rsidRDefault="0078064E" w:rsidP="009F0B5C">
      <w:pPr>
        <w:pStyle w:val="FootnoteText"/>
        <w:rPr>
          <w:szCs w:val="24"/>
        </w:rPr>
      </w:pPr>
      <w:r w:rsidRPr="00E9725F">
        <w:rPr>
          <w:rStyle w:val="FootnoteReference0"/>
        </w:rPr>
        <w:footnoteRef/>
      </w:r>
      <w:r>
        <w:tab/>
        <w:t>Candidate countries and, where applicable, potential candidates from the Western Balkans.</w:t>
      </w:r>
    </w:p>
  </w:footnote>
  <w:footnote w:id="50">
    <w:p w14:paraId="6C7D4BDB" w14:textId="4B9BEFAD" w:rsidR="0078064E" w:rsidRDefault="0078064E" w:rsidP="009F0B5C">
      <w:pPr>
        <w:pStyle w:val="FootnoteText"/>
        <w:ind w:left="0" w:firstLine="0"/>
      </w:pPr>
      <w:r w:rsidRPr="00E9725F">
        <w:rPr>
          <w:rStyle w:val="FootnoteReference0"/>
        </w:rPr>
        <w:footnoteRef/>
      </w:r>
      <w:r>
        <w:tab/>
        <w:t>Due to their specific operational nature, it is not possible to identify precise unit costs per output, nor exact expected volume of outputs, notably as some outputs are related to law enforcement activities reactive to unpredictable criminal activities.</w:t>
      </w:r>
    </w:p>
  </w:footnote>
  <w:footnote w:id="51">
    <w:p w14:paraId="1DD3F830" w14:textId="05945CDB" w:rsidR="0078064E" w:rsidRDefault="0078064E" w:rsidP="009F0B5C">
      <w:pPr>
        <w:pStyle w:val="FootnoteText"/>
        <w:ind w:left="0" w:firstLine="0"/>
      </w:pPr>
      <w:r w:rsidRPr="00E9725F">
        <w:rPr>
          <w:rStyle w:val="FootnoteReference0"/>
        </w:rPr>
        <w:footnoteRef/>
      </w:r>
      <w:r>
        <w:tab/>
        <w:t>Due to their specific operational nature, it is not possible to identify precise unit costs per output, nor exact expected volume of outputs, notably as some outputs are related to law enforcement activities reactive to unpredictable criminal activities.</w:t>
      </w:r>
    </w:p>
  </w:footnote>
  <w:footnote w:id="52">
    <w:p w14:paraId="67E50501" w14:textId="4C69D929" w:rsidR="0078064E" w:rsidRPr="00123D63" w:rsidRDefault="0078064E" w:rsidP="009D4357">
      <w:pPr>
        <w:pStyle w:val="FootnoteText"/>
        <w:rPr>
          <w:lang w:val="en-US"/>
        </w:rPr>
      </w:pPr>
      <w:r w:rsidRPr="00E9725F">
        <w:rPr>
          <w:rStyle w:val="FootnoteReference0"/>
        </w:rPr>
        <w:footnoteRef/>
      </w:r>
      <w:r>
        <w:tab/>
      </w:r>
      <w:r w:rsidRPr="00123D63">
        <w:rPr>
          <w:lang w:val="en-US"/>
        </w:rPr>
        <w:t>Includes hardware, software, network provisions, security.</w:t>
      </w:r>
    </w:p>
  </w:footnote>
  <w:footnote w:id="53">
    <w:p w14:paraId="57FDE0B6" w14:textId="50808909" w:rsidR="0078064E" w:rsidRPr="00123D63" w:rsidRDefault="0078064E" w:rsidP="009D4357">
      <w:pPr>
        <w:pStyle w:val="FootnoteText"/>
        <w:rPr>
          <w:lang w:val="en-US"/>
        </w:rPr>
      </w:pPr>
      <w:r w:rsidRPr="00E9725F">
        <w:rPr>
          <w:rStyle w:val="FootnoteReference0"/>
        </w:rPr>
        <w:footnoteRef/>
      </w:r>
      <w:r>
        <w:tab/>
      </w:r>
      <w:r w:rsidRPr="00123D63">
        <w:rPr>
          <w:lang w:val="en-US"/>
        </w:rPr>
        <w:t>Includes professional services, design &amp; testing costs</w:t>
      </w:r>
      <w:r>
        <w:rPr>
          <w:lang w:val="en-US"/>
        </w:rPr>
        <w:t>.</w:t>
      </w:r>
    </w:p>
  </w:footnote>
  <w:footnote w:id="54">
    <w:p w14:paraId="41A28ECB" w14:textId="5A9FEA11" w:rsidR="0078064E" w:rsidRDefault="0078064E" w:rsidP="009F0B5C">
      <w:pPr>
        <w:pStyle w:val="FootnoteText"/>
        <w:ind w:left="0" w:firstLine="0"/>
        <w:rPr>
          <w:lang w:val="en-IE"/>
        </w:rPr>
      </w:pPr>
      <w:r w:rsidRPr="00E9725F">
        <w:rPr>
          <w:rStyle w:val="FootnoteReference0"/>
        </w:rPr>
        <w:footnoteRef/>
      </w:r>
      <w:r>
        <w:tab/>
        <w:t>Staff levels indicated in Draft Budget 2021, calculated on the basis of the average staff unit costs to be used for LFS</w:t>
      </w:r>
      <w:r w:rsidRPr="00274476">
        <w:rPr>
          <w:szCs w:val="24"/>
        </w:rPr>
        <w:t xml:space="preserve"> </w:t>
      </w:r>
      <w:r>
        <w:rPr>
          <w:szCs w:val="24"/>
        </w:rPr>
        <w:t>A half of the corresponding annual appropriation is calculated for the year during which staff is recruited.</w:t>
      </w:r>
    </w:p>
  </w:footnote>
  <w:footnote w:id="55">
    <w:p w14:paraId="144CD212" w14:textId="0ABA7DD9" w:rsidR="0078064E" w:rsidRDefault="0078064E" w:rsidP="009F0B5C">
      <w:pPr>
        <w:pStyle w:val="FootnoteText"/>
        <w:ind w:left="0" w:firstLine="0"/>
        <w:rPr>
          <w:szCs w:val="24"/>
        </w:rPr>
      </w:pPr>
      <w:r w:rsidRPr="00E9725F">
        <w:rPr>
          <w:rStyle w:val="FootnoteReference0"/>
        </w:rPr>
        <w:footnoteRef/>
      </w:r>
      <w:r>
        <w:tab/>
        <w:t xml:space="preserve">AC = Contract Staff; AL = Local Staff; END = Seconded National Expert; INT = agency staff; JPD = Junior Professionals in Delegations. </w:t>
      </w:r>
    </w:p>
  </w:footnote>
  <w:footnote w:id="56">
    <w:p w14:paraId="6223CB96" w14:textId="0CFE7739" w:rsidR="0078064E" w:rsidRDefault="0078064E" w:rsidP="009D4357">
      <w:pPr>
        <w:pStyle w:val="FootnoteText"/>
        <w:ind w:left="360" w:hanging="360"/>
        <w:rPr>
          <w:szCs w:val="24"/>
        </w:rPr>
      </w:pPr>
      <w:r w:rsidRPr="00E9725F">
        <w:rPr>
          <w:rStyle w:val="FootnoteReference0"/>
        </w:rPr>
        <w:footnoteRef/>
      </w:r>
      <w:r>
        <w:tab/>
        <w:t>Sub-ceiling for external staff covered by operational appropriations (former ‘BA’ lines).</w:t>
      </w:r>
    </w:p>
  </w:footnote>
  <w:footnote w:id="57">
    <w:p w14:paraId="12462B89" w14:textId="7291DE29" w:rsidR="0078064E" w:rsidRDefault="0078064E" w:rsidP="009F0B5C">
      <w:pPr>
        <w:pStyle w:val="FootnoteText"/>
        <w:ind w:left="0" w:firstLine="0"/>
        <w:rPr>
          <w:szCs w:val="24"/>
        </w:rPr>
      </w:pPr>
      <w:r w:rsidRPr="00E9725F">
        <w:rPr>
          <w:rStyle w:val="FootnoteReference0"/>
        </w:rPr>
        <w:footnoteRef/>
      </w:r>
      <w:r>
        <w:tab/>
        <w:t>Mainly for the Structural Funds, the European Agricultural Fund for Rural Development (EAFRD) and the European Fisheries Fund (EFF).</w:t>
      </w:r>
    </w:p>
  </w:footnote>
  <w:footnote w:id="58">
    <w:p w14:paraId="2900EBC8" w14:textId="0BEB3E22" w:rsidR="0078064E" w:rsidRDefault="0078064E" w:rsidP="009F0B5C">
      <w:pPr>
        <w:pStyle w:val="FootnoteText"/>
        <w:ind w:left="0" w:firstLine="0"/>
        <w:rPr>
          <w:szCs w:val="24"/>
        </w:rPr>
      </w:pPr>
      <w:r w:rsidRPr="00E9725F">
        <w:rPr>
          <w:rStyle w:val="FootnoteReference0"/>
        </w:rPr>
        <w:footnoteRef/>
      </w:r>
      <w:r>
        <w:tab/>
        <w:t>See Articles 11 and 17 of Council Regulation (EU, Euratom) No 1311/2013 laying down the multiannual financial framework for the years 2014-2020.</w:t>
      </w:r>
    </w:p>
  </w:footnote>
  <w:footnote w:id="59">
    <w:p w14:paraId="2362164C" w14:textId="5D19FC63" w:rsidR="0078064E" w:rsidRDefault="0078064E" w:rsidP="009F0B5C">
      <w:pPr>
        <w:pStyle w:val="FootnoteText"/>
        <w:ind w:left="0" w:firstLine="0"/>
        <w:rPr>
          <w:szCs w:val="24"/>
        </w:rPr>
      </w:pPr>
      <w:r w:rsidRPr="00E9725F">
        <w:rPr>
          <w:rStyle w:val="FootnoteReference0"/>
        </w:rPr>
        <w:footnoteRef/>
      </w:r>
      <w:r>
        <w:tab/>
        <w:t>As regards traditional own resources (customs duties, sugar levies), the amounts indicated must be net amounts, i.e. gross amounts after deduction of 20 % for collection costs.</w:t>
      </w:r>
    </w:p>
  </w:footnote>
  <w:footnote w:id="60">
    <w:p w14:paraId="525AA831" w14:textId="5F8F9E03" w:rsidR="0078064E" w:rsidRDefault="0078064E" w:rsidP="002A22AB">
      <w:pPr>
        <w:pStyle w:val="FootnoteText"/>
        <w:spacing w:after="120"/>
      </w:pPr>
      <w:r w:rsidRPr="00E9725F">
        <w:rPr>
          <w:rStyle w:val="FootnoteReference0"/>
        </w:rPr>
        <w:footnoteRef/>
      </w:r>
      <w:r>
        <w:tab/>
      </w:r>
      <w:r>
        <w:rPr>
          <w:sz w:val="18"/>
        </w:rPr>
        <w:t xml:space="preserve">AC = Contract Staff; AL = Local Staff; END = Seconded National Expert; INT= agency staff; </w:t>
      </w:r>
      <w:r w:rsidRPr="00C94718">
        <w:rPr>
          <w:sz w:val="18"/>
        </w:rPr>
        <w:t>JPD= Junior Professionals in Delegations</w:t>
      </w:r>
      <w:r>
        <w:rPr>
          <w:sz w:val="18"/>
        </w:rPr>
        <w:t>.</w:t>
      </w:r>
    </w:p>
  </w:footnote>
  <w:footnote w:id="61">
    <w:p w14:paraId="5828190A" w14:textId="5AAA7B24" w:rsidR="0078064E" w:rsidRDefault="0078064E" w:rsidP="009F0B5C">
      <w:pPr>
        <w:pStyle w:val="FootnoteText"/>
        <w:ind w:left="0" w:firstLine="0"/>
      </w:pPr>
      <w:r w:rsidRPr="00E9725F">
        <w:rPr>
          <w:rStyle w:val="FootnoteReference0"/>
        </w:rPr>
        <w:footnoteRef/>
      </w:r>
      <w:r>
        <w:tab/>
        <w:t>Prüm II Committee, aprox 10 meetings per year in 2024 and 2025 and 4 meetings per year after with only half being accounted for in the costs (the other half being in videoconference format)</w:t>
      </w:r>
      <w:r>
        <w:rPr>
          <w:sz w:val="18"/>
        </w:rPr>
        <w:t>.</w:t>
      </w:r>
    </w:p>
  </w:footnote>
  <w:footnote w:id="62">
    <w:p w14:paraId="15556B07" w14:textId="76DC4B7B" w:rsidR="0078064E" w:rsidRPr="0046549D" w:rsidRDefault="0078064E" w:rsidP="009F0B5C">
      <w:pPr>
        <w:pStyle w:val="FootnoteText"/>
        <w:ind w:left="0" w:firstLine="0"/>
        <w:rPr>
          <w:lang w:val="ca-ES-valencia"/>
        </w:rPr>
      </w:pPr>
      <w:r w:rsidRPr="00E9725F">
        <w:rPr>
          <w:rStyle w:val="FootnoteReference0"/>
        </w:rPr>
        <w:footnoteRef/>
      </w:r>
      <w:r>
        <w:rPr>
          <w:sz w:val="18"/>
        </w:rPr>
        <w:tab/>
      </w:r>
      <w:r w:rsidRPr="00CB3E86">
        <w:rPr>
          <w:sz w:val="18"/>
        </w:rPr>
        <w:t>The opinion of DG DIGIT – IT Investments Team is required (see the Guidelines on Financing of IT, C(2020)6126 final of 10.9.2020, page 7)</w:t>
      </w:r>
      <w:r>
        <w:rPr>
          <w:sz w:val="18"/>
        </w:rPr>
        <w:t>.</w:t>
      </w:r>
    </w:p>
  </w:footnote>
  <w:footnote w:id="63">
    <w:p w14:paraId="08F7AF95" w14:textId="0A499A64" w:rsidR="0078064E" w:rsidRPr="00CB3E86" w:rsidRDefault="0078064E" w:rsidP="002A22AB">
      <w:pPr>
        <w:pStyle w:val="FootnoteText"/>
      </w:pPr>
      <w:r w:rsidRPr="00E9725F">
        <w:rPr>
          <w:rStyle w:val="FootnoteReference0"/>
        </w:rPr>
        <w:footnoteRef/>
      </w:r>
      <w:r>
        <w:tab/>
      </w:r>
      <w:r w:rsidRPr="00CB3E86">
        <w:rPr>
          <w:sz w:val="18"/>
        </w:rPr>
        <w:t>The opinion of DG DIGIT – IT Investments Team is required (see the Guidelines on Financing of IT, C(2020)6126 final of 10.9.2020, page 7)</w:t>
      </w:r>
      <w:r>
        <w:rPr>
          <w:sz w:val="18"/>
        </w:rPr>
        <w:t>.</w:t>
      </w:r>
    </w:p>
  </w:footnote>
  <w:footnote w:id="64">
    <w:p w14:paraId="211797E9" w14:textId="629E9743" w:rsidR="0078064E" w:rsidRPr="00CB3E86" w:rsidRDefault="0078064E" w:rsidP="009F0B5C">
      <w:pPr>
        <w:pStyle w:val="FootnoteText"/>
        <w:ind w:left="0" w:firstLine="0"/>
      </w:pPr>
      <w:r w:rsidRPr="00E9725F">
        <w:rPr>
          <w:rStyle w:val="FootnoteReference0"/>
        </w:rPr>
        <w:footnoteRef/>
      </w:r>
      <w:r>
        <w:tab/>
      </w:r>
      <w:r w:rsidRPr="003B7F97">
        <w:rPr>
          <w:sz w:val="18"/>
        </w:rPr>
        <w:t>This item includes local administrative systems and contributions to the co-financing of corporate IT systems (see the Guidelines on Financing of IT, C(2020)6126 final of 10.9.2020)</w:t>
      </w:r>
      <w:r>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5CCE8" w14:textId="77777777" w:rsidR="009A6A20" w:rsidRPr="009A6A20" w:rsidRDefault="009A6A20" w:rsidP="009D02A3">
    <w:pPr>
      <w:pStyle w:val="HeaderLandscap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2FCDD" w14:textId="77777777" w:rsidR="009D02A3" w:rsidRPr="009D02A3" w:rsidRDefault="009D02A3" w:rsidP="009D02A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C0194" w14:textId="77777777" w:rsidR="009A6A20" w:rsidRPr="009A6A20" w:rsidRDefault="009A6A20" w:rsidP="009D02A3">
    <w:pPr>
      <w:pStyle w:val="HeaderLandscape"/>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49058" w14:textId="77777777" w:rsidR="009D02A3" w:rsidRPr="009D02A3" w:rsidRDefault="009D02A3" w:rsidP="009D02A3">
    <w:pPr>
      <w:pStyle w:val="HeaderLandscape"/>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5437B" w14:textId="77777777" w:rsidR="009D02A3" w:rsidRPr="009A6A20" w:rsidRDefault="009D02A3" w:rsidP="009D02A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B3581" w14:textId="77777777" w:rsidR="009D02A3" w:rsidRPr="009D02A3" w:rsidRDefault="009D02A3" w:rsidP="009D0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C8B3E" w14:textId="77777777" w:rsidR="009D02A3" w:rsidRPr="009D02A3" w:rsidRDefault="009D02A3" w:rsidP="009D02A3">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F9787" w14:textId="77777777" w:rsidR="009D02A3" w:rsidRPr="009A6A20" w:rsidRDefault="009D02A3" w:rsidP="009D02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0ABA4" w14:textId="77777777" w:rsidR="009D02A3" w:rsidRPr="009D02A3" w:rsidRDefault="009D02A3" w:rsidP="009D02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632F5" w14:textId="77777777" w:rsidR="009D02A3" w:rsidRPr="009A6A20" w:rsidRDefault="009D02A3" w:rsidP="009D02A3">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FF660" w14:textId="77777777" w:rsidR="009D02A3" w:rsidRPr="009D02A3" w:rsidRDefault="009D02A3" w:rsidP="009D02A3">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F9D44" w14:textId="77777777" w:rsidR="009D02A3" w:rsidRPr="009A6A20" w:rsidRDefault="009D02A3" w:rsidP="009D02A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5DF5E" w14:textId="77777777" w:rsidR="009D02A3" w:rsidRPr="009D02A3" w:rsidRDefault="009D02A3" w:rsidP="009D02A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C7BC3" w14:textId="77777777" w:rsidR="009A6A20" w:rsidRPr="009A6A20" w:rsidRDefault="009A6A20" w:rsidP="009A6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814570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1E24E0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4"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5"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2E221FE"/>
    <w:multiLevelType w:val="hybridMultilevel"/>
    <w:tmpl w:val="AA0641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9"/>
  </w:num>
  <w:num w:numId="30">
    <w:abstractNumId w:val="18"/>
  </w:num>
  <w:num w:numId="31">
    <w:abstractNumId w:val="17"/>
  </w:num>
  <w:num w:numId="32">
    <w:abstractNumId w:val="27"/>
  </w:num>
  <w:num w:numId="33">
    <w:abstractNumId w:val="3"/>
  </w:num>
  <w:num w:numId="34">
    <w:abstractNumId w:val="11"/>
  </w:num>
  <w:num w:numId="35">
    <w:abstractNumId w:val="4"/>
  </w:num>
  <w:num w:numId="36">
    <w:abstractNumId w:val="12"/>
  </w:num>
  <w:num w:numId="37">
    <w:abstractNumId w:val="10"/>
  </w:num>
  <w:num w:numId="38">
    <w:abstractNumId w:val="19"/>
  </w:num>
  <w:num w:numId="39">
    <w:abstractNumId w:val="24"/>
  </w:num>
  <w:num w:numId="40">
    <w:abstractNumId w:val="28"/>
  </w:num>
  <w:num w:numId="41">
    <w:abstractNumId w:val="29"/>
    <w:lvlOverride w:ilvl="0">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lvlOverride w:ilvl="0">
      <w:startOverride w:val="1"/>
    </w:lvlOverride>
  </w:num>
  <w:num w:numId="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num>
  <w:num w:numId="66">
    <w:abstractNumId w:val="13"/>
  </w:num>
  <w:num w:numId="67">
    <w:abstractNumId w:val="26"/>
  </w:num>
  <w:num w:numId="68">
    <w:abstractNumId w:val="8"/>
  </w:num>
  <w:num w:numId="69">
    <w:abstractNumId w:val="14"/>
  </w:num>
  <w:num w:numId="70">
    <w:abstractNumId w:val="6"/>
  </w:num>
  <w:num w:numId="71">
    <w:abstractNumId w:val="25"/>
  </w:num>
  <w:num w:numId="72">
    <w:abstractNumId w:val="5"/>
  </w:num>
  <w:num w:numId="73">
    <w:abstractNumId w:val="16"/>
  </w:num>
  <w:num w:numId="74">
    <w:abstractNumId w:val="21"/>
  </w:num>
  <w:num w:numId="75">
    <w:abstractNumId w:val="22"/>
  </w:num>
  <w:num w:numId="76">
    <w:abstractNumId w:val="7"/>
  </w:num>
  <w:num w:numId="77">
    <w:abstractNumId w:val="20"/>
  </w:num>
  <w:num w:numId="78">
    <w:abstractNumId w:val="29"/>
  </w:num>
  <w:num w:numId="79">
    <w:abstractNumId w:val="25"/>
  </w:num>
  <w:num w:numId="80">
    <w:abstractNumId w:val="25"/>
  </w:num>
  <w:num w:numId="81">
    <w:abstractNumId w:val="25"/>
  </w:num>
  <w:num w:numId="82">
    <w:abstractNumId w:val="15"/>
  </w:num>
  <w:num w:numId="83">
    <w:abstractNumId w:val="6"/>
  </w:num>
  <w:num w:numId="84">
    <w:abstractNumId w:val="6"/>
  </w:num>
  <w:num w:numId="85">
    <w:abstractNumId w:val="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attachedTemplate r:id="rId1"/>
  <w:revisionView w:markup="0"/>
  <w:defaultTabStop w:val="720"/>
  <w:hyphenationZone w:val="425"/>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30 16:04:50"/>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301"/>
    <w:docVar w:name="DQCResult_ModifiedMarkers" w:val="0;0"/>
    <w:docVar w:name="DQCResult_ModifiedNumbering" w:val="0;0"/>
    <w:docVar w:name="DQCResult_Objects" w:val="0;0"/>
    <w:docVar w:name="DQCResult_Sections" w:val="0;0"/>
    <w:docVar w:name="DQCResult_StructureCheck" w:val="0;0"/>
    <w:docVar w:name="DQCResult_SuperfluousWhitespace" w:val="0;119"/>
    <w:docVar w:name="DQCResult_UnknownFonts" w:val="0;0"/>
    <w:docVar w:name="DQCResult_UnknownStyles" w:val="0;22"/>
    <w:docVar w:name="DQCStatus" w:val="Yellow"/>
    <w:docVar w:name="DQCVersion" w:val="3"/>
    <w:docVar w:name="DQCWithWarnings" w:val="0"/>
    <w:docVar w:name="LW_CORRIGENDUM" w:val="&lt;UNUSED&gt;"/>
    <w:docVar w:name="LW_COVERPAGE_EXISTS" w:val="True"/>
    <w:docVar w:name="LW_COVERPAGE_GUID" w:val="C590FDDD-4A03-4293-85B4-3CF0910BE476"/>
    <w:docVar w:name="LW_COVERPAGE_TYPE" w:val="1"/>
    <w:docVar w:name="LW_CROSSREFERENCE" w:val="{SEC(2021) 421 final} - {SWD(2021) 378 final} - {SWD(2021) 379 final}"/>
    <w:docVar w:name="LW_DocType" w:val="COM"/>
    <w:docVar w:name="LW_EMISSION" w:val="8.12.2021"/>
    <w:docVar w:name="LW_EMISSION_ISODATE" w:val="2021-12-08"/>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410"/>
    <w:docVar w:name="LW_REF.II.NEW.CP_YEAR" w:val="2021"/>
    <w:docVar w:name="LW_REF.INST.NEW" w:val="COM"/>
    <w:docVar w:name="LW_REF.INST.NEW_ADOPTED" w:val="final"/>
    <w:docVar w:name="LW_REF.INST.NEW_TEXT" w:val="(2021) 78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automated data exchange for police cooperation (“Prüm II”), amending Council Decisions 2008/615/JHA and 2008/616/JHA and Regulations (EU) 2018/1726, 2019/817 and 2019/818 of the European Parliament and of the Council"/>
    <w:docVar w:name="LW_TYPE.DOC.CP" w:val="REGULATION OF THE EUROPEAN PARLIAMENT AND OF THE COUNCIL"/>
    <w:docVar w:name="LwApiVersions" w:val="LW4CoDe 1.23.2.0; LW 8.0, Build 20211117"/>
  </w:docVars>
  <w:rsids>
    <w:rsidRoot w:val="00E70ABC"/>
    <w:rsid w:val="00001AC4"/>
    <w:rsid w:val="0000203B"/>
    <w:rsid w:val="000026AB"/>
    <w:rsid w:val="00002A93"/>
    <w:rsid w:val="00002F36"/>
    <w:rsid w:val="00003464"/>
    <w:rsid w:val="00003871"/>
    <w:rsid w:val="00003FD6"/>
    <w:rsid w:val="00004EEA"/>
    <w:rsid w:val="00005E55"/>
    <w:rsid w:val="00006570"/>
    <w:rsid w:val="00006D1D"/>
    <w:rsid w:val="000070AC"/>
    <w:rsid w:val="000077FE"/>
    <w:rsid w:val="00007997"/>
    <w:rsid w:val="000106C1"/>
    <w:rsid w:val="00010E85"/>
    <w:rsid w:val="00011F9B"/>
    <w:rsid w:val="000120D1"/>
    <w:rsid w:val="00014117"/>
    <w:rsid w:val="00014B02"/>
    <w:rsid w:val="00014C86"/>
    <w:rsid w:val="00016385"/>
    <w:rsid w:val="0001654C"/>
    <w:rsid w:val="000170A1"/>
    <w:rsid w:val="000211D6"/>
    <w:rsid w:val="000214A1"/>
    <w:rsid w:val="00022746"/>
    <w:rsid w:val="000228E4"/>
    <w:rsid w:val="000229B2"/>
    <w:rsid w:val="0002387E"/>
    <w:rsid w:val="00025166"/>
    <w:rsid w:val="00025AA9"/>
    <w:rsid w:val="00025E60"/>
    <w:rsid w:val="00026714"/>
    <w:rsid w:val="000269E5"/>
    <w:rsid w:val="00027273"/>
    <w:rsid w:val="00027658"/>
    <w:rsid w:val="000305D3"/>
    <w:rsid w:val="00031BF6"/>
    <w:rsid w:val="00031F9B"/>
    <w:rsid w:val="00033641"/>
    <w:rsid w:val="0003623E"/>
    <w:rsid w:val="00036990"/>
    <w:rsid w:val="0003722E"/>
    <w:rsid w:val="0003774E"/>
    <w:rsid w:val="00040A87"/>
    <w:rsid w:val="00041691"/>
    <w:rsid w:val="00041B44"/>
    <w:rsid w:val="000421D0"/>
    <w:rsid w:val="00043B99"/>
    <w:rsid w:val="000440D5"/>
    <w:rsid w:val="0004514A"/>
    <w:rsid w:val="000453BD"/>
    <w:rsid w:val="00045AA3"/>
    <w:rsid w:val="00045FB1"/>
    <w:rsid w:val="00046B8C"/>
    <w:rsid w:val="000478E9"/>
    <w:rsid w:val="00053A7F"/>
    <w:rsid w:val="00054D49"/>
    <w:rsid w:val="00055106"/>
    <w:rsid w:val="00055538"/>
    <w:rsid w:val="000564CE"/>
    <w:rsid w:val="00057BD1"/>
    <w:rsid w:val="00060F6F"/>
    <w:rsid w:val="0006139B"/>
    <w:rsid w:val="000613E3"/>
    <w:rsid w:val="000615DD"/>
    <w:rsid w:val="00061E25"/>
    <w:rsid w:val="0006311A"/>
    <w:rsid w:val="0006357A"/>
    <w:rsid w:val="00065888"/>
    <w:rsid w:val="000660C9"/>
    <w:rsid w:val="00066836"/>
    <w:rsid w:val="0006758C"/>
    <w:rsid w:val="00070C82"/>
    <w:rsid w:val="00070E56"/>
    <w:rsid w:val="00071B48"/>
    <w:rsid w:val="00071E93"/>
    <w:rsid w:val="00072017"/>
    <w:rsid w:val="0007285C"/>
    <w:rsid w:val="00072C73"/>
    <w:rsid w:val="00073278"/>
    <w:rsid w:val="000763B1"/>
    <w:rsid w:val="00077623"/>
    <w:rsid w:val="00077805"/>
    <w:rsid w:val="00081AF0"/>
    <w:rsid w:val="0008377E"/>
    <w:rsid w:val="00086537"/>
    <w:rsid w:val="0008669A"/>
    <w:rsid w:val="00086CE7"/>
    <w:rsid w:val="00087DB8"/>
    <w:rsid w:val="00090108"/>
    <w:rsid w:val="00091188"/>
    <w:rsid w:val="0009152A"/>
    <w:rsid w:val="000920DC"/>
    <w:rsid w:val="00092C0B"/>
    <w:rsid w:val="0009305E"/>
    <w:rsid w:val="000930A8"/>
    <w:rsid w:val="00093BAD"/>
    <w:rsid w:val="00094CEE"/>
    <w:rsid w:val="000952F0"/>
    <w:rsid w:val="000968FA"/>
    <w:rsid w:val="00097061"/>
    <w:rsid w:val="000973CC"/>
    <w:rsid w:val="000A0243"/>
    <w:rsid w:val="000A2060"/>
    <w:rsid w:val="000A3FCD"/>
    <w:rsid w:val="000A4294"/>
    <w:rsid w:val="000A45DD"/>
    <w:rsid w:val="000A520B"/>
    <w:rsid w:val="000A524E"/>
    <w:rsid w:val="000A52D3"/>
    <w:rsid w:val="000A6E41"/>
    <w:rsid w:val="000A7249"/>
    <w:rsid w:val="000A746D"/>
    <w:rsid w:val="000A7517"/>
    <w:rsid w:val="000B0DFC"/>
    <w:rsid w:val="000B1291"/>
    <w:rsid w:val="000B1894"/>
    <w:rsid w:val="000B1A0C"/>
    <w:rsid w:val="000B1CEE"/>
    <w:rsid w:val="000B283F"/>
    <w:rsid w:val="000B2DAF"/>
    <w:rsid w:val="000B323A"/>
    <w:rsid w:val="000B34E6"/>
    <w:rsid w:val="000B370F"/>
    <w:rsid w:val="000B3FF5"/>
    <w:rsid w:val="000B44D7"/>
    <w:rsid w:val="000B4BD5"/>
    <w:rsid w:val="000B62B8"/>
    <w:rsid w:val="000B660A"/>
    <w:rsid w:val="000B74E9"/>
    <w:rsid w:val="000B76D2"/>
    <w:rsid w:val="000B7C1F"/>
    <w:rsid w:val="000C0946"/>
    <w:rsid w:val="000C184B"/>
    <w:rsid w:val="000C1995"/>
    <w:rsid w:val="000C1BD3"/>
    <w:rsid w:val="000C2128"/>
    <w:rsid w:val="000C2188"/>
    <w:rsid w:val="000C2349"/>
    <w:rsid w:val="000C2BE4"/>
    <w:rsid w:val="000C3A9C"/>
    <w:rsid w:val="000C62BC"/>
    <w:rsid w:val="000C7180"/>
    <w:rsid w:val="000C7B23"/>
    <w:rsid w:val="000D1038"/>
    <w:rsid w:val="000D1BEA"/>
    <w:rsid w:val="000D3A9A"/>
    <w:rsid w:val="000D3BFE"/>
    <w:rsid w:val="000D442D"/>
    <w:rsid w:val="000D4C22"/>
    <w:rsid w:val="000D4EE7"/>
    <w:rsid w:val="000D4EF4"/>
    <w:rsid w:val="000E091B"/>
    <w:rsid w:val="000E198E"/>
    <w:rsid w:val="000E1EC3"/>
    <w:rsid w:val="000E27BD"/>
    <w:rsid w:val="000E5A2F"/>
    <w:rsid w:val="000E5E95"/>
    <w:rsid w:val="000E634C"/>
    <w:rsid w:val="000E72F4"/>
    <w:rsid w:val="000E7E63"/>
    <w:rsid w:val="000F3F2E"/>
    <w:rsid w:val="000F57EB"/>
    <w:rsid w:val="000F606A"/>
    <w:rsid w:val="000F69FC"/>
    <w:rsid w:val="000F7023"/>
    <w:rsid w:val="000F7364"/>
    <w:rsid w:val="000F74F3"/>
    <w:rsid w:val="00102C9D"/>
    <w:rsid w:val="00102D65"/>
    <w:rsid w:val="00102E12"/>
    <w:rsid w:val="00102F1D"/>
    <w:rsid w:val="0010333F"/>
    <w:rsid w:val="00103C4A"/>
    <w:rsid w:val="00104552"/>
    <w:rsid w:val="0010645B"/>
    <w:rsid w:val="00107881"/>
    <w:rsid w:val="00107BC1"/>
    <w:rsid w:val="001123A8"/>
    <w:rsid w:val="0011376F"/>
    <w:rsid w:val="00113AB1"/>
    <w:rsid w:val="00113C36"/>
    <w:rsid w:val="0011418C"/>
    <w:rsid w:val="0011515F"/>
    <w:rsid w:val="001156EF"/>
    <w:rsid w:val="00117487"/>
    <w:rsid w:val="00122F49"/>
    <w:rsid w:val="001230B2"/>
    <w:rsid w:val="001261A4"/>
    <w:rsid w:val="00126246"/>
    <w:rsid w:val="0012758C"/>
    <w:rsid w:val="00127847"/>
    <w:rsid w:val="0013029F"/>
    <w:rsid w:val="001302CD"/>
    <w:rsid w:val="001308F6"/>
    <w:rsid w:val="00130F19"/>
    <w:rsid w:val="0013185D"/>
    <w:rsid w:val="00133155"/>
    <w:rsid w:val="001333AD"/>
    <w:rsid w:val="00133482"/>
    <w:rsid w:val="00134DCA"/>
    <w:rsid w:val="00134ECB"/>
    <w:rsid w:val="00135896"/>
    <w:rsid w:val="001366C4"/>
    <w:rsid w:val="00137F0A"/>
    <w:rsid w:val="001402AA"/>
    <w:rsid w:val="00140A9C"/>
    <w:rsid w:val="00141602"/>
    <w:rsid w:val="00141A4A"/>
    <w:rsid w:val="00141D64"/>
    <w:rsid w:val="00142122"/>
    <w:rsid w:val="001422DA"/>
    <w:rsid w:val="001424B0"/>
    <w:rsid w:val="00143E3D"/>
    <w:rsid w:val="00143F4B"/>
    <w:rsid w:val="001447F8"/>
    <w:rsid w:val="00144D4B"/>
    <w:rsid w:val="001457F0"/>
    <w:rsid w:val="001478A5"/>
    <w:rsid w:val="00147D97"/>
    <w:rsid w:val="001512E6"/>
    <w:rsid w:val="00153401"/>
    <w:rsid w:val="001546D0"/>
    <w:rsid w:val="001548FB"/>
    <w:rsid w:val="00154B57"/>
    <w:rsid w:val="0015690B"/>
    <w:rsid w:val="00157A3D"/>
    <w:rsid w:val="001608CC"/>
    <w:rsid w:val="00160A1D"/>
    <w:rsid w:val="00161DE7"/>
    <w:rsid w:val="0016290D"/>
    <w:rsid w:val="0016435A"/>
    <w:rsid w:val="001644DB"/>
    <w:rsid w:val="00165F17"/>
    <w:rsid w:val="00170984"/>
    <w:rsid w:val="00172840"/>
    <w:rsid w:val="00172ABE"/>
    <w:rsid w:val="00172E8D"/>
    <w:rsid w:val="00174AEA"/>
    <w:rsid w:val="00174B92"/>
    <w:rsid w:val="00175612"/>
    <w:rsid w:val="00176CD7"/>
    <w:rsid w:val="00177202"/>
    <w:rsid w:val="001801FB"/>
    <w:rsid w:val="001806E7"/>
    <w:rsid w:val="001819E0"/>
    <w:rsid w:val="00182CD1"/>
    <w:rsid w:val="00184817"/>
    <w:rsid w:val="00185751"/>
    <w:rsid w:val="00185BE8"/>
    <w:rsid w:val="0018719A"/>
    <w:rsid w:val="00187AD0"/>
    <w:rsid w:val="00187F21"/>
    <w:rsid w:val="00190087"/>
    <w:rsid w:val="00190C69"/>
    <w:rsid w:val="00191B5B"/>
    <w:rsid w:val="001923B6"/>
    <w:rsid w:val="00192B8D"/>
    <w:rsid w:val="00193853"/>
    <w:rsid w:val="0019390C"/>
    <w:rsid w:val="00194E2D"/>
    <w:rsid w:val="00195273"/>
    <w:rsid w:val="00195E21"/>
    <w:rsid w:val="001960F1"/>
    <w:rsid w:val="00196B80"/>
    <w:rsid w:val="001974DF"/>
    <w:rsid w:val="00197847"/>
    <w:rsid w:val="001A0A26"/>
    <w:rsid w:val="001A29A3"/>
    <w:rsid w:val="001A36F9"/>
    <w:rsid w:val="001A4249"/>
    <w:rsid w:val="001A5B2E"/>
    <w:rsid w:val="001B04C2"/>
    <w:rsid w:val="001B1D90"/>
    <w:rsid w:val="001B1F29"/>
    <w:rsid w:val="001B206A"/>
    <w:rsid w:val="001B212C"/>
    <w:rsid w:val="001B2384"/>
    <w:rsid w:val="001B2639"/>
    <w:rsid w:val="001B4ACA"/>
    <w:rsid w:val="001B4DA4"/>
    <w:rsid w:val="001B57A3"/>
    <w:rsid w:val="001B5A53"/>
    <w:rsid w:val="001B64AD"/>
    <w:rsid w:val="001B651C"/>
    <w:rsid w:val="001B7A5E"/>
    <w:rsid w:val="001C0103"/>
    <w:rsid w:val="001C069E"/>
    <w:rsid w:val="001C2816"/>
    <w:rsid w:val="001C283E"/>
    <w:rsid w:val="001C30CE"/>
    <w:rsid w:val="001C3743"/>
    <w:rsid w:val="001C46BA"/>
    <w:rsid w:val="001C5ED2"/>
    <w:rsid w:val="001C6048"/>
    <w:rsid w:val="001C624B"/>
    <w:rsid w:val="001C6900"/>
    <w:rsid w:val="001C7FC6"/>
    <w:rsid w:val="001D05FF"/>
    <w:rsid w:val="001D0EEE"/>
    <w:rsid w:val="001D28FC"/>
    <w:rsid w:val="001D4113"/>
    <w:rsid w:val="001D460F"/>
    <w:rsid w:val="001D63F5"/>
    <w:rsid w:val="001D65AB"/>
    <w:rsid w:val="001D6622"/>
    <w:rsid w:val="001D6E5E"/>
    <w:rsid w:val="001D7A24"/>
    <w:rsid w:val="001E1DE5"/>
    <w:rsid w:val="001E2248"/>
    <w:rsid w:val="001E387C"/>
    <w:rsid w:val="001E41C6"/>
    <w:rsid w:val="001E4695"/>
    <w:rsid w:val="001E4702"/>
    <w:rsid w:val="001E5555"/>
    <w:rsid w:val="001E5C98"/>
    <w:rsid w:val="001E634C"/>
    <w:rsid w:val="001E6DE8"/>
    <w:rsid w:val="001E7652"/>
    <w:rsid w:val="001F05D4"/>
    <w:rsid w:val="001F11DF"/>
    <w:rsid w:val="001F1F54"/>
    <w:rsid w:val="001F2654"/>
    <w:rsid w:val="001F2A5B"/>
    <w:rsid w:val="001F3176"/>
    <w:rsid w:val="001F329E"/>
    <w:rsid w:val="001F3814"/>
    <w:rsid w:val="001F4927"/>
    <w:rsid w:val="001F575A"/>
    <w:rsid w:val="001F61D7"/>
    <w:rsid w:val="001F6256"/>
    <w:rsid w:val="001F6614"/>
    <w:rsid w:val="001F787D"/>
    <w:rsid w:val="001F7F46"/>
    <w:rsid w:val="00200757"/>
    <w:rsid w:val="0020142F"/>
    <w:rsid w:val="00201902"/>
    <w:rsid w:val="002026A5"/>
    <w:rsid w:val="00203B78"/>
    <w:rsid w:val="00203EC4"/>
    <w:rsid w:val="002048CB"/>
    <w:rsid w:val="002048E7"/>
    <w:rsid w:val="00205A21"/>
    <w:rsid w:val="00210954"/>
    <w:rsid w:val="002116E8"/>
    <w:rsid w:val="00212029"/>
    <w:rsid w:val="0021213D"/>
    <w:rsid w:val="00213E04"/>
    <w:rsid w:val="00214112"/>
    <w:rsid w:val="002144BB"/>
    <w:rsid w:val="00220060"/>
    <w:rsid w:val="00220CBF"/>
    <w:rsid w:val="00221F2E"/>
    <w:rsid w:val="00224E35"/>
    <w:rsid w:val="00224F79"/>
    <w:rsid w:val="00225169"/>
    <w:rsid w:val="00226AAB"/>
    <w:rsid w:val="0023040F"/>
    <w:rsid w:val="00232E98"/>
    <w:rsid w:val="00234964"/>
    <w:rsid w:val="0024172C"/>
    <w:rsid w:val="00241CAB"/>
    <w:rsid w:val="0024241D"/>
    <w:rsid w:val="002426D2"/>
    <w:rsid w:val="002434E1"/>
    <w:rsid w:val="00244958"/>
    <w:rsid w:val="00244B1D"/>
    <w:rsid w:val="00244CF8"/>
    <w:rsid w:val="002456BD"/>
    <w:rsid w:val="00245A40"/>
    <w:rsid w:val="00246E75"/>
    <w:rsid w:val="00247B2A"/>
    <w:rsid w:val="0025037C"/>
    <w:rsid w:val="00251B14"/>
    <w:rsid w:val="00252EDB"/>
    <w:rsid w:val="002560EC"/>
    <w:rsid w:val="00256C35"/>
    <w:rsid w:val="002575F5"/>
    <w:rsid w:val="00260A46"/>
    <w:rsid w:val="002620ED"/>
    <w:rsid w:val="0026541C"/>
    <w:rsid w:val="00265982"/>
    <w:rsid w:val="002667C6"/>
    <w:rsid w:val="00267175"/>
    <w:rsid w:val="00272359"/>
    <w:rsid w:val="00273867"/>
    <w:rsid w:val="00274285"/>
    <w:rsid w:val="00275611"/>
    <w:rsid w:val="0027662D"/>
    <w:rsid w:val="002800C8"/>
    <w:rsid w:val="00280E66"/>
    <w:rsid w:val="00281B45"/>
    <w:rsid w:val="00283700"/>
    <w:rsid w:val="00284DCB"/>
    <w:rsid w:val="00285225"/>
    <w:rsid w:val="0028579C"/>
    <w:rsid w:val="00286FAD"/>
    <w:rsid w:val="00287588"/>
    <w:rsid w:val="00287BC2"/>
    <w:rsid w:val="002905F8"/>
    <w:rsid w:val="0029174C"/>
    <w:rsid w:val="002917DD"/>
    <w:rsid w:val="00291C61"/>
    <w:rsid w:val="002922B7"/>
    <w:rsid w:val="00292BE9"/>
    <w:rsid w:val="0029319E"/>
    <w:rsid w:val="00293EF8"/>
    <w:rsid w:val="00296359"/>
    <w:rsid w:val="002A14C1"/>
    <w:rsid w:val="002A1EC3"/>
    <w:rsid w:val="002A22AB"/>
    <w:rsid w:val="002A29CB"/>
    <w:rsid w:val="002A2ADA"/>
    <w:rsid w:val="002A3C20"/>
    <w:rsid w:val="002A3D74"/>
    <w:rsid w:val="002A4119"/>
    <w:rsid w:val="002A49EE"/>
    <w:rsid w:val="002A5A67"/>
    <w:rsid w:val="002A62F7"/>
    <w:rsid w:val="002B1556"/>
    <w:rsid w:val="002B3844"/>
    <w:rsid w:val="002B3BAD"/>
    <w:rsid w:val="002B5990"/>
    <w:rsid w:val="002B62DD"/>
    <w:rsid w:val="002B7609"/>
    <w:rsid w:val="002C0B77"/>
    <w:rsid w:val="002C146E"/>
    <w:rsid w:val="002C1DBC"/>
    <w:rsid w:val="002C1FEA"/>
    <w:rsid w:val="002C2C4E"/>
    <w:rsid w:val="002C3100"/>
    <w:rsid w:val="002C49EB"/>
    <w:rsid w:val="002C5DE9"/>
    <w:rsid w:val="002C5F91"/>
    <w:rsid w:val="002C6E58"/>
    <w:rsid w:val="002C7721"/>
    <w:rsid w:val="002D041B"/>
    <w:rsid w:val="002D320C"/>
    <w:rsid w:val="002D4758"/>
    <w:rsid w:val="002D5E3A"/>
    <w:rsid w:val="002D601E"/>
    <w:rsid w:val="002D6CB9"/>
    <w:rsid w:val="002D6E77"/>
    <w:rsid w:val="002E0D8D"/>
    <w:rsid w:val="002E1813"/>
    <w:rsid w:val="002E1E9E"/>
    <w:rsid w:val="002E3284"/>
    <w:rsid w:val="002E3380"/>
    <w:rsid w:val="002F079B"/>
    <w:rsid w:val="002F3E35"/>
    <w:rsid w:val="002F4E7C"/>
    <w:rsid w:val="002F50B4"/>
    <w:rsid w:val="002F5A1A"/>
    <w:rsid w:val="002F6BED"/>
    <w:rsid w:val="002F7324"/>
    <w:rsid w:val="0030216B"/>
    <w:rsid w:val="00303AA1"/>
    <w:rsid w:val="00305E8F"/>
    <w:rsid w:val="00306371"/>
    <w:rsid w:val="003069CE"/>
    <w:rsid w:val="00310DEC"/>
    <w:rsid w:val="0031140C"/>
    <w:rsid w:val="00311CA7"/>
    <w:rsid w:val="00311DA8"/>
    <w:rsid w:val="00312966"/>
    <w:rsid w:val="00314321"/>
    <w:rsid w:val="00315CAC"/>
    <w:rsid w:val="00316471"/>
    <w:rsid w:val="0031715A"/>
    <w:rsid w:val="003205A1"/>
    <w:rsid w:val="00321A69"/>
    <w:rsid w:val="00321F4C"/>
    <w:rsid w:val="00322AC1"/>
    <w:rsid w:val="0032380E"/>
    <w:rsid w:val="00325664"/>
    <w:rsid w:val="00330912"/>
    <w:rsid w:val="00331256"/>
    <w:rsid w:val="00331C28"/>
    <w:rsid w:val="00332FD5"/>
    <w:rsid w:val="0033372A"/>
    <w:rsid w:val="00337766"/>
    <w:rsid w:val="00337B5A"/>
    <w:rsid w:val="00341A2B"/>
    <w:rsid w:val="00342935"/>
    <w:rsid w:val="003437D8"/>
    <w:rsid w:val="00344829"/>
    <w:rsid w:val="00344A47"/>
    <w:rsid w:val="00345662"/>
    <w:rsid w:val="00345927"/>
    <w:rsid w:val="00345EE9"/>
    <w:rsid w:val="00347506"/>
    <w:rsid w:val="00350600"/>
    <w:rsid w:val="00352015"/>
    <w:rsid w:val="00352351"/>
    <w:rsid w:val="00352E1F"/>
    <w:rsid w:val="003540D8"/>
    <w:rsid w:val="003546AF"/>
    <w:rsid w:val="00354F78"/>
    <w:rsid w:val="00355CDA"/>
    <w:rsid w:val="00357054"/>
    <w:rsid w:val="00360DB9"/>
    <w:rsid w:val="003611BD"/>
    <w:rsid w:val="003612F3"/>
    <w:rsid w:val="0036227B"/>
    <w:rsid w:val="00362434"/>
    <w:rsid w:val="00362AC4"/>
    <w:rsid w:val="0036303D"/>
    <w:rsid w:val="003644CF"/>
    <w:rsid w:val="003652F2"/>
    <w:rsid w:val="00366A21"/>
    <w:rsid w:val="00366C5A"/>
    <w:rsid w:val="003672E2"/>
    <w:rsid w:val="00367D51"/>
    <w:rsid w:val="00370238"/>
    <w:rsid w:val="00370BDE"/>
    <w:rsid w:val="003727E6"/>
    <w:rsid w:val="003728A4"/>
    <w:rsid w:val="00372E4D"/>
    <w:rsid w:val="003742D8"/>
    <w:rsid w:val="00374C37"/>
    <w:rsid w:val="00376366"/>
    <w:rsid w:val="0037793D"/>
    <w:rsid w:val="00377F8B"/>
    <w:rsid w:val="00380561"/>
    <w:rsid w:val="003840D5"/>
    <w:rsid w:val="0038464E"/>
    <w:rsid w:val="00385C98"/>
    <w:rsid w:val="00386B27"/>
    <w:rsid w:val="0038722B"/>
    <w:rsid w:val="00387398"/>
    <w:rsid w:val="00387469"/>
    <w:rsid w:val="00390633"/>
    <w:rsid w:val="00390994"/>
    <w:rsid w:val="0039129E"/>
    <w:rsid w:val="00391B15"/>
    <w:rsid w:val="00393858"/>
    <w:rsid w:val="003954B4"/>
    <w:rsid w:val="00395598"/>
    <w:rsid w:val="00397009"/>
    <w:rsid w:val="0039768A"/>
    <w:rsid w:val="003A060D"/>
    <w:rsid w:val="003A17C8"/>
    <w:rsid w:val="003A17D8"/>
    <w:rsid w:val="003A1990"/>
    <w:rsid w:val="003A27CF"/>
    <w:rsid w:val="003A2FB4"/>
    <w:rsid w:val="003A3998"/>
    <w:rsid w:val="003A5E48"/>
    <w:rsid w:val="003A6D50"/>
    <w:rsid w:val="003A7626"/>
    <w:rsid w:val="003A7AEA"/>
    <w:rsid w:val="003B03E3"/>
    <w:rsid w:val="003B0D68"/>
    <w:rsid w:val="003B1064"/>
    <w:rsid w:val="003B1E79"/>
    <w:rsid w:val="003B33FA"/>
    <w:rsid w:val="003B36B1"/>
    <w:rsid w:val="003B38B1"/>
    <w:rsid w:val="003B4E07"/>
    <w:rsid w:val="003B4EE7"/>
    <w:rsid w:val="003B6F5C"/>
    <w:rsid w:val="003B7AAE"/>
    <w:rsid w:val="003C05F3"/>
    <w:rsid w:val="003C074B"/>
    <w:rsid w:val="003C099B"/>
    <w:rsid w:val="003C0D84"/>
    <w:rsid w:val="003C2869"/>
    <w:rsid w:val="003C2DB5"/>
    <w:rsid w:val="003C30EF"/>
    <w:rsid w:val="003C3D18"/>
    <w:rsid w:val="003C4D96"/>
    <w:rsid w:val="003C55CA"/>
    <w:rsid w:val="003C6564"/>
    <w:rsid w:val="003C709E"/>
    <w:rsid w:val="003C786A"/>
    <w:rsid w:val="003D0525"/>
    <w:rsid w:val="003D07BC"/>
    <w:rsid w:val="003D2257"/>
    <w:rsid w:val="003D246E"/>
    <w:rsid w:val="003D35AC"/>
    <w:rsid w:val="003D3F5A"/>
    <w:rsid w:val="003D5CBC"/>
    <w:rsid w:val="003D7F81"/>
    <w:rsid w:val="003E0FAC"/>
    <w:rsid w:val="003E1FC7"/>
    <w:rsid w:val="003E20F6"/>
    <w:rsid w:val="003E291C"/>
    <w:rsid w:val="003E32F9"/>
    <w:rsid w:val="003E431F"/>
    <w:rsid w:val="003E666A"/>
    <w:rsid w:val="003F0481"/>
    <w:rsid w:val="003F1A5B"/>
    <w:rsid w:val="003F1B8A"/>
    <w:rsid w:val="003F1E92"/>
    <w:rsid w:val="003F24BD"/>
    <w:rsid w:val="003F31EC"/>
    <w:rsid w:val="003F47FB"/>
    <w:rsid w:val="003F4856"/>
    <w:rsid w:val="003F5B10"/>
    <w:rsid w:val="003F604E"/>
    <w:rsid w:val="003F6AF0"/>
    <w:rsid w:val="003F6DCC"/>
    <w:rsid w:val="00400BA1"/>
    <w:rsid w:val="00401931"/>
    <w:rsid w:val="00403208"/>
    <w:rsid w:val="00403FBD"/>
    <w:rsid w:val="00404355"/>
    <w:rsid w:val="004056C7"/>
    <w:rsid w:val="00406723"/>
    <w:rsid w:val="00406730"/>
    <w:rsid w:val="0040694F"/>
    <w:rsid w:val="00407720"/>
    <w:rsid w:val="00407910"/>
    <w:rsid w:val="00407AB2"/>
    <w:rsid w:val="004138D1"/>
    <w:rsid w:val="00413F1C"/>
    <w:rsid w:val="004152B3"/>
    <w:rsid w:val="00415B20"/>
    <w:rsid w:val="00416E83"/>
    <w:rsid w:val="004171ED"/>
    <w:rsid w:val="004201CF"/>
    <w:rsid w:val="00423210"/>
    <w:rsid w:val="00424A5C"/>
    <w:rsid w:val="00424BBA"/>
    <w:rsid w:val="00425478"/>
    <w:rsid w:val="00425858"/>
    <w:rsid w:val="00425903"/>
    <w:rsid w:val="00427012"/>
    <w:rsid w:val="00430FBF"/>
    <w:rsid w:val="004311B9"/>
    <w:rsid w:val="0043138B"/>
    <w:rsid w:val="004322F0"/>
    <w:rsid w:val="00433516"/>
    <w:rsid w:val="00433CE7"/>
    <w:rsid w:val="004346AC"/>
    <w:rsid w:val="00436217"/>
    <w:rsid w:val="00436EF4"/>
    <w:rsid w:val="00440146"/>
    <w:rsid w:val="00440724"/>
    <w:rsid w:val="00440AD3"/>
    <w:rsid w:val="004420CB"/>
    <w:rsid w:val="0044339E"/>
    <w:rsid w:val="00443C07"/>
    <w:rsid w:val="004477FC"/>
    <w:rsid w:val="00447905"/>
    <w:rsid w:val="00447BE4"/>
    <w:rsid w:val="004500C4"/>
    <w:rsid w:val="00450747"/>
    <w:rsid w:val="0045160F"/>
    <w:rsid w:val="0045165F"/>
    <w:rsid w:val="004533E8"/>
    <w:rsid w:val="00454217"/>
    <w:rsid w:val="004543FE"/>
    <w:rsid w:val="004544B7"/>
    <w:rsid w:val="004554F0"/>
    <w:rsid w:val="0045619C"/>
    <w:rsid w:val="00456CD2"/>
    <w:rsid w:val="0046099A"/>
    <w:rsid w:val="004621C8"/>
    <w:rsid w:val="004632BF"/>
    <w:rsid w:val="0046409E"/>
    <w:rsid w:val="004643ED"/>
    <w:rsid w:val="00464F34"/>
    <w:rsid w:val="004652CA"/>
    <w:rsid w:val="00465AD2"/>
    <w:rsid w:val="0046607E"/>
    <w:rsid w:val="004662B4"/>
    <w:rsid w:val="00470981"/>
    <w:rsid w:val="00471D06"/>
    <w:rsid w:val="00472039"/>
    <w:rsid w:val="004720BE"/>
    <w:rsid w:val="004722EC"/>
    <w:rsid w:val="004725F5"/>
    <w:rsid w:val="00472612"/>
    <w:rsid w:val="00472FCE"/>
    <w:rsid w:val="00473616"/>
    <w:rsid w:val="00473B00"/>
    <w:rsid w:val="00474278"/>
    <w:rsid w:val="0047465A"/>
    <w:rsid w:val="004754F0"/>
    <w:rsid w:val="00475830"/>
    <w:rsid w:val="00476A90"/>
    <w:rsid w:val="00482336"/>
    <w:rsid w:val="00483D10"/>
    <w:rsid w:val="00485F01"/>
    <w:rsid w:val="004860DA"/>
    <w:rsid w:val="0048669B"/>
    <w:rsid w:val="004871A3"/>
    <w:rsid w:val="00491F29"/>
    <w:rsid w:val="00493A52"/>
    <w:rsid w:val="004943F2"/>
    <w:rsid w:val="0049487D"/>
    <w:rsid w:val="00494ED8"/>
    <w:rsid w:val="00494EDE"/>
    <w:rsid w:val="00495BF1"/>
    <w:rsid w:val="004960F3"/>
    <w:rsid w:val="004A077A"/>
    <w:rsid w:val="004A237C"/>
    <w:rsid w:val="004A2AB8"/>
    <w:rsid w:val="004A34BE"/>
    <w:rsid w:val="004A3F41"/>
    <w:rsid w:val="004A448D"/>
    <w:rsid w:val="004A67AE"/>
    <w:rsid w:val="004A7E64"/>
    <w:rsid w:val="004B0DD0"/>
    <w:rsid w:val="004B1769"/>
    <w:rsid w:val="004B1F21"/>
    <w:rsid w:val="004B335C"/>
    <w:rsid w:val="004B3F73"/>
    <w:rsid w:val="004B61E3"/>
    <w:rsid w:val="004B7175"/>
    <w:rsid w:val="004B72CB"/>
    <w:rsid w:val="004C12D0"/>
    <w:rsid w:val="004C19FD"/>
    <w:rsid w:val="004C275A"/>
    <w:rsid w:val="004C342B"/>
    <w:rsid w:val="004C35CB"/>
    <w:rsid w:val="004C4263"/>
    <w:rsid w:val="004C5C39"/>
    <w:rsid w:val="004C63E5"/>
    <w:rsid w:val="004D21F2"/>
    <w:rsid w:val="004D3911"/>
    <w:rsid w:val="004D3DA8"/>
    <w:rsid w:val="004D3F43"/>
    <w:rsid w:val="004D53B8"/>
    <w:rsid w:val="004D57BE"/>
    <w:rsid w:val="004D63BF"/>
    <w:rsid w:val="004D6952"/>
    <w:rsid w:val="004D69AA"/>
    <w:rsid w:val="004E06B7"/>
    <w:rsid w:val="004E0FF0"/>
    <w:rsid w:val="004E7A8F"/>
    <w:rsid w:val="004F035E"/>
    <w:rsid w:val="004F2333"/>
    <w:rsid w:val="004F2CA3"/>
    <w:rsid w:val="004F2E6F"/>
    <w:rsid w:val="004F2F49"/>
    <w:rsid w:val="004F3AD3"/>
    <w:rsid w:val="004F683A"/>
    <w:rsid w:val="005009DF"/>
    <w:rsid w:val="00500AC6"/>
    <w:rsid w:val="005029DE"/>
    <w:rsid w:val="00503066"/>
    <w:rsid w:val="00503276"/>
    <w:rsid w:val="00507595"/>
    <w:rsid w:val="0050759D"/>
    <w:rsid w:val="00507F4F"/>
    <w:rsid w:val="005125D9"/>
    <w:rsid w:val="005126D9"/>
    <w:rsid w:val="005143B7"/>
    <w:rsid w:val="00514A06"/>
    <w:rsid w:val="0051570E"/>
    <w:rsid w:val="0051577C"/>
    <w:rsid w:val="00517A6B"/>
    <w:rsid w:val="00520715"/>
    <w:rsid w:val="005248FC"/>
    <w:rsid w:val="005254E0"/>
    <w:rsid w:val="00525A67"/>
    <w:rsid w:val="00526C90"/>
    <w:rsid w:val="00526D97"/>
    <w:rsid w:val="00530977"/>
    <w:rsid w:val="00532F5E"/>
    <w:rsid w:val="00533088"/>
    <w:rsid w:val="00533E18"/>
    <w:rsid w:val="005343F7"/>
    <w:rsid w:val="00537771"/>
    <w:rsid w:val="00537CBF"/>
    <w:rsid w:val="00540003"/>
    <w:rsid w:val="0054313C"/>
    <w:rsid w:val="005438CA"/>
    <w:rsid w:val="00544095"/>
    <w:rsid w:val="00544418"/>
    <w:rsid w:val="005448F2"/>
    <w:rsid w:val="00544E78"/>
    <w:rsid w:val="0054617C"/>
    <w:rsid w:val="0054641F"/>
    <w:rsid w:val="00546C3D"/>
    <w:rsid w:val="00550E69"/>
    <w:rsid w:val="00550FF2"/>
    <w:rsid w:val="005519C1"/>
    <w:rsid w:val="0055268A"/>
    <w:rsid w:val="005535F1"/>
    <w:rsid w:val="00553669"/>
    <w:rsid w:val="005545C0"/>
    <w:rsid w:val="00554A70"/>
    <w:rsid w:val="00554C77"/>
    <w:rsid w:val="005550FB"/>
    <w:rsid w:val="005555B9"/>
    <w:rsid w:val="00555726"/>
    <w:rsid w:val="00556670"/>
    <w:rsid w:val="00556E60"/>
    <w:rsid w:val="00556F3B"/>
    <w:rsid w:val="005574F8"/>
    <w:rsid w:val="00562B02"/>
    <w:rsid w:val="005662E1"/>
    <w:rsid w:val="00566808"/>
    <w:rsid w:val="005678B7"/>
    <w:rsid w:val="005721E3"/>
    <w:rsid w:val="0057251E"/>
    <w:rsid w:val="00572962"/>
    <w:rsid w:val="00573089"/>
    <w:rsid w:val="005732AE"/>
    <w:rsid w:val="00575669"/>
    <w:rsid w:val="005757CE"/>
    <w:rsid w:val="00575969"/>
    <w:rsid w:val="00576A88"/>
    <w:rsid w:val="00577098"/>
    <w:rsid w:val="00577958"/>
    <w:rsid w:val="00577FD2"/>
    <w:rsid w:val="0058027B"/>
    <w:rsid w:val="0058334C"/>
    <w:rsid w:val="00583E15"/>
    <w:rsid w:val="005902D5"/>
    <w:rsid w:val="005917F0"/>
    <w:rsid w:val="00591F0B"/>
    <w:rsid w:val="00592BA0"/>
    <w:rsid w:val="005956D9"/>
    <w:rsid w:val="00596EF1"/>
    <w:rsid w:val="00597D90"/>
    <w:rsid w:val="005A04A2"/>
    <w:rsid w:val="005A07B7"/>
    <w:rsid w:val="005A18D3"/>
    <w:rsid w:val="005A3C8A"/>
    <w:rsid w:val="005A5AB2"/>
    <w:rsid w:val="005A5F09"/>
    <w:rsid w:val="005A6943"/>
    <w:rsid w:val="005A7936"/>
    <w:rsid w:val="005B12ED"/>
    <w:rsid w:val="005B3A20"/>
    <w:rsid w:val="005B4249"/>
    <w:rsid w:val="005B428F"/>
    <w:rsid w:val="005B4425"/>
    <w:rsid w:val="005B605D"/>
    <w:rsid w:val="005B6502"/>
    <w:rsid w:val="005C042F"/>
    <w:rsid w:val="005C087C"/>
    <w:rsid w:val="005C122B"/>
    <w:rsid w:val="005C1BEA"/>
    <w:rsid w:val="005C2A75"/>
    <w:rsid w:val="005C36EA"/>
    <w:rsid w:val="005C397C"/>
    <w:rsid w:val="005C40EC"/>
    <w:rsid w:val="005C4FEC"/>
    <w:rsid w:val="005C50EA"/>
    <w:rsid w:val="005C51D1"/>
    <w:rsid w:val="005C664C"/>
    <w:rsid w:val="005D09A5"/>
    <w:rsid w:val="005D1E0A"/>
    <w:rsid w:val="005D5D19"/>
    <w:rsid w:val="005D79C5"/>
    <w:rsid w:val="005D7AB3"/>
    <w:rsid w:val="005E06C0"/>
    <w:rsid w:val="005E0A80"/>
    <w:rsid w:val="005E1DA1"/>
    <w:rsid w:val="005E2D53"/>
    <w:rsid w:val="005E2EB3"/>
    <w:rsid w:val="005E37AE"/>
    <w:rsid w:val="005E7222"/>
    <w:rsid w:val="005E763A"/>
    <w:rsid w:val="005E782D"/>
    <w:rsid w:val="005F1453"/>
    <w:rsid w:val="005F20FE"/>
    <w:rsid w:val="005F252F"/>
    <w:rsid w:val="005F261F"/>
    <w:rsid w:val="005F3229"/>
    <w:rsid w:val="005F3BE1"/>
    <w:rsid w:val="005F6BB4"/>
    <w:rsid w:val="005F70FF"/>
    <w:rsid w:val="00601369"/>
    <w:rsid w:val="00601F7C"/>
    <w:rsid w:val="00602207"/>
    <w:rsid w:val="00602AD4"/>
    <w:rsid w:val="006030AF"/>
    <w:rsid w:val="0060359F"/>
    <w:rsid w:val="00603717"/>
    <w:rsid w:val="00603D44"/>
    <w:rsid w:val="0060426B"/>
    <w:rsid w:val="00605F73"/>
    <w:rsid w:val="00606C3B"/>
    <w:rsid w:val="00610F71"/>
    <w:rsid w:val="00612DE0"/>
    <w:rsid w:val="00613DB2"/>
    <w:rsid w:val="006147BA"/>
    <w:rsid w:val="00614A30"/>
    <w:rsid w:val="00614FDA"/>
    <w:rsid w:val="0061664C"/>
    <w:rsid w:val="006177CB"/>
    <w:rsid w:val="006208C2"/>
    <w:rsid w:val="00620E4B"/>
    <w:rsid w:val="00622458"/>
    <w:rsid w:val="00622ACE"/>
    <w:rsid w:val="006239DD"/>
    <w:rsid w:val="00624351"/>
    <w:rsid w:val="006247E8"/>
    <w:rsid w:val="006249E6"/>
    <w:rsid w:val="0062507C"/>
    <w:rsid w:val="006251CE"/>
    <w:rsid w:val="00625820"/>
    <w:rsid w:val="006266B7"/>
    <w:rsid w:val="00626C55"/>
    <w:rsid w:val="0063073B"/>
    <w:rsid w:val="00632DC1"/>
    <w:rsid w:val="00633C5B"/>
    <w:rsid w:val="006344C1"/>
    <w:rsid w:val="0063506C"/>
    <w:rsid w:val="006400FD"/>
    <w:rsid w:val="006407E8"/>
    <w:rsid w:val="00642453"/>
    <w:rsid w:val="00647760"/>
    <w:rsid w:val="0065084C"/>
    <w:rsid w:val="00651219"/>
    <w:rsid w:val="006515E5"/>
    <w:rsid w:val="006517D1"/>
    <w:rsid w:val="00652094"/>
    <w:rsid w:val="006532AC"/>
    <w:rsid w:val="0065361C"/>
    <w:rsid w:val="00653A63"/>
    <w:rsid w:val="00653C10"/>
    <w:rsid w:val="00653EF1"/>
    <w:rsid w:val="0065466B"/>
    <w:rsid w:val="00654DC4"/>
    <w:rsid w:val="0065530D"/>
    <w:rsid w:val="006566E5"/>
    <w:rsid w:val="00656A93"/>
    <w:rsid w:val="00657087"/>
    <w:rsid w:val="006600FC"/>
    <w:rsid w:val="00660AC3"/>
    <w:rsid w:val="00661457"/>
    <w:rsid w:val="00664CC5"/>
    <w:rsid w:val="00664E69"/>
    <w:rsid w:val="006657E3"/>
    <w:rsid w:val="00666505"/>
    <w:rsid w:val="0066769C"/>
    <w:rsid w:val="00670201"/>
    <w:rsid w:val="00670506"/>
    <w:rsid w:val="00670E18"/>
    <w:rsid w:val="00670E6C"/>
    <w:rsid w:val="00671E17"/>
    <w:rsid w:val="00672E9D"/>
    <w:rsid w:val="00672FAD"/>
    <w:rsid w:val="0067337C"/>
    <w:rsid w:val="00676141"/>
    <w:rsid w:val="006803A4"/>
    <w:rsid w:val="006803F5"/>
    <w:rsid w:val="00683139"/>
    <w:rsid w:val="006832B5"/>
    <w:rsid w:val="00684280"/>
    <w:rsid w:val="00685EF6"/>
    <w:rsid w:val="0068617F"/>
    <w:rsid w:val="00686528"/>
    <w:rsid w:val="006868A0"/>
    <w:rsid w:val="00687E29"/>
    <w:rsid w:val="0069097C"/>
    <w:rsid w:val="00693B47"/>
    <w:rsid w:val="006952BD"/>
    <w:rsid w:val="00695EA1"/>
    <w:rsid w:val="00696098"/>
    <w:rsid w:val="00696851"/>
    <w:rsid w:val="00697E27"/>
    <w:rsid w:val="006A0874"/>
    <w:rsid w:val="006A6D38"/>
    <w:rsid w:val="006A6F5A"/>
    <w:rsid w:val="006B06CC"/>
    <w:rsid w:val="006B1895"/>
    <w:rsid w:val="006B24E5"/>
    <w:rsid w:val="006B2E24"/>
    <w:rsid w:val="006B3800"/>
    <w:rsid w:val="006B4D83"/>
    <w:rsid w:val="006B545B"/>
    <w:rsid w:val="006B5BAD"/>
    <w:rsid w:val="006B5DC2"/>
    <w:rsid w:val="006C1AAC"/>
    <w:rsid w:val="006C2433"/>
    <w:rsid w:val="006C349E"/>
    <w:rsid w:val="006C42AD"/>
    <w:rsid w:val="006C48FB"/>
    <w:rsid w:val="006C56D5"/>
    <w:rsid w:val="006C58FA"/>
    <w:rsid w:val="006C5E80"/>
    <w:rsid w:val="006C7C5F"/>
    <w:rsid w:val="006C7C98"/>
    <w:rsid w:val="006D192B"/>
    <w:rsid w:val="006D232D"/>
    <w:rsid w:val="006D3AE6"/>
    <w:rsid w:val="006D4EDA"/>
    <w:rsid w:val="006D5110"/>
    <w:rsid w:val="006D685F"/>
    <w:rsid w:val="006D7E41"/>
    <w:rsid w:val="006E005E"/>
    <w:rsid w:val="006E1FDB"/>
    <w:rsid w:val="006E26B6"/>
    <w:rsid w:val="006E28CE"/>
    <w:rsid w:val="006E28EF"/>
    <w:rsid w:val="006E321C"/>
    <w:rsid w:val="006E3B50"/>
    <w:rsid w:val="006E4094"/>
    <w:rsid w:val="006E5F8A"/>
    <w:rsid w:val="006F12CF"/>
    <w:rsid w:val="006F137A"/>
    <w:rsid w:val="006F3BCA"/>
    <w:rsid w:val="006F4068"/>
    <w:rsid w:val="006F4BC9"/>
    <w:rsid w:val="006F6B92"/>
    <w:rsid w:val="006F6F5F"/>
    <w:rsid w:val="006F7719"/>
    <w:rsid w:val="007000A3"/>
    <w:rsid w:val="00700ABD"/>
    <w:rsid w:val="00700F94"/>
    <w:rsid w:val="0070128F"/>
    <w:rsid w:val="00701763"/>
    <w:rsid w:val="00701F27"/>
    <w:rsid w:val="0070383B"/>
    <w:rsid w:val="00703C5F"/>
    <w:rsid w:val="0070433D"/>
    <w:rsid w:val="00706692"/>
    <w:rsid w:val="007072D8"/>
    <w:rsid w:val="00707A22"/>
    <w:rsid w:val="0071044E"/>
    <w:rsid w:val="00712674"/>
    <w:rsid w:val="00717CD8"/>
    <w:rsid w:val="00721207"/>
    <w:rsid w:val="00721B84"/>
    <w:rsid w:val="0072217D"/>
    <w:rsid w:val="0072277D"/>
    <w:rsid w:val="007229C1"/>
    <w:rsid w:val="00722A77"/>
    <w:rsid w:val="007267EA"/>
    <w:rsid w:val="00727DB6"/>
    <w:rsid w:val="0073041D"/>
    <w:rsid w:val="00730B7C"/>
    <w:rsid w:val="00730F66"/>
    <w:rsid w:val="007317A7"/>
    <w:rsid w:val="00731A50"/>
    <w:rsid w:val="00733A5E"/>
    <w:rsid w:val="00737B2E"/>
    <w:rsid w:val="0074015A"/>
    <w:rsid w:val="00740DA0"/>
    <w:rsid w:val="00740E9A"/>
    <w:rsid w:val="00742428"/>
    <w:rsid w:val="00743C4D"/>
    <w:rsid w:val="007450D9"/>
    <w:rsid w:val="00745866"/>
    <w:rsid w:val="007474DE"/>
    <w:rsid w:val="00752F9F"/>
    <w:rsid w:val="00754B38"/>
    <w:rsid w:val="007556C7"/>
    <w:rsid w:val="007563D9"/>
    <w:rsid w:val="00756A44"/>
    <w:rsid w:val="0076196B"/>
    <w:rsid w:val="00762A6F"/>
    <w:rsid w:val="00763623"/>
    <w:rsid w:val="00763973"/>
    <w:rsid w:val="007657FC"/>
    <w:rsid w:val="007664CE"/>
    <w:rsid w:val="0076659A"/>
    <w:rsid w:val="00767F5F"/>
    <w:rsid w:val="00770BA3"/>
    <w:rsid w:val="00771DF2"/>
    <w:rsid w:val="00772157"/>
    <w:rsid w:val="00772774"/>
    <w:rsid w:val="00772B78"/>
    <w:rsid w:val="00773414"/>
    <w:rsid w:val="00774CF0"/>
    <w:rsid w:val="0077727F"/>
    <w:rsid w:val="007773C9"/>
    <w:rsid w:val="00777764"/>
    <w:rsid w:val="0078064E"/>
    <w:rsid w:val="00780ADB"/>
    <w:rsid w:val="00781E74"/>
    <w:rsid w:val="00782415"/>
    <w:rsid w:val="0078382C"/>
    <w:rsid w:val="00784AD0"/>
    <w:rsid w:val="007857BF"/>
    <w:rsid w:val="00785A37"/>
    <w:rsid w:val="00786553"/>
    <w:rsid w:val="00790ED6"/>
    <w:rsid w:val="00792261"/>
    <w:rsid w:val="00792306"/>
    <w:rsid w:val="00792DF5"/>
    <w:rsid w:val="00795F13"/>
    <w:rsid w:val="00796518"/>
    <w:rsid w:val="007966AF"/>
    <w:rsid w:val="0079750B"/>
    <w:rsid w:val="007A03F1"/>
    <w:rsid w:val="007A05D2"/>
    <w:rsid w:val="007A1286"/>
    <w:rsid w:val="007A270A"/>
    <w:rsid w:val="007A3004"/>
    <w:rsid w:val="007A3317"/>
    <w:rsid w:val="007A3B8F"/>
    <w:rsid w:val="007A4975"/>
    <w:rsid w:val="007A5335"/>
    <w:rsid w:val="007A6506"/>
    <w:rsid w:val="007B014D"/>
    <w:rsid w:val="007B12AD"/>
    <w:rsid w:val="007B1946"/>
    <w:rsid w:val="007B4046"/>
    <w:rsid w:val="007B47BF"/>
    <w:rsid w:val="007B538A"/>
    <w:rsid w:val="007B5982"/>
    <w:rsid w:val="007B70E5"/>
    <w:rsid w:val="007C06F6"/>
    <w:rsid w:val="007C2182"/>
    <w:rsid w:val="007C2D1F"/>
    <w:rsid w:val="007C3096"/>
    <w:rsid w:val="007C34E2"/>
    <w:rsid w:val="007C488A"/>
    <w:rsid w:val="007C69B4"/>
    <w:rsid w:val="007C7097"/>
    <w:rsid w:val="007C7BE5"/>
    <w:rsid w:val="007D058E"/>
    <w:rsid w:val="007D19F1"/>
    <w:rsid w:val="007D46A7"/>
    <w:rsid w:val="007D482D"/>
    <w:rsid w:val="007D69A3"/>
    <w:rsid w:val="007D6F0C"/>
    <w:rsid w:val="007E0F0E"/>
    <w:rsid w:val="007E2A4A"/>
    <w:rsid w:val="007E4E3A"/>
    <w:rsid w:val="007E62F4"/>
    <w:rsid w:val="007E7224"/>
    <w:rsid w:val="007F0676"/>
    <w:rsid w:val="007F079A"/>
    <w:rsid w:val="007F08DA"/>
    <w:rsid w:val="007F2856"/>
    <w:rsid w:val="007F3508"/>
    <w:rsid w:val="007F3C97"/>
    <w:rsid w:val="007F60F5"/>
    <w:rsid w:val="007F6246"/>
    <w:rsid w:val="007F6DF9"/>
    <w:rsid w:val="00802D2D"/>
    <w:rsid w:val="008054CA"/>
    <w:rsid w:val="008061ED"/>
    <w:rsid w:val="00807131"/>
    <w:rsid w:val="00807DB2"/>
    <w:rsid w:val="00810F5C"/>
    <w:rsid w:val="0081194C"/>
    <w:rsid w:val="00813EB6"/>
    <w:rsid w:val="00813F4F"/>
    <w:rsid w:val="00815D1E"/>
    <w:rsid w:val="00816A79"/>
    <w:rsid w:val="008211A6"/>
    <w:rsid w:val="00823181"/>
    <w:rsid w:val="0082337F"/>
    <w:rsid w:val="00823BA3"/>
    <w:rsid w:val="008242FE"/>
    <w:rsid w:val="008247C2"/>
    <w:rsid w:val="00824E8C"/>
    <w:rsid w:val="008259D5"/>
    <w:rsid w:val="00825B7F"/>
    <w:rsid w:val="008265C6"/>
    <w:rsid w:val="008309A3"/>
    <w:rsid w:val="00830DE3"/>
    <w:rsid w:val="00831B03"/>
    <w:rsid w:val="00834938"/>
    <w:rsid w:val="00834BB3"/>
    <w:rsid w:val="00835DCA"/>
    <w:rsid w:val="00836707"/>
    <w:rsid w:val="008378CF"/>
    <w:rsid w:val="008412FD"/>
    <w:rsid w:val="00844F16"/>
    <w:rsid w:val="0084629C"/>
    <w:rsid w:val="008472A3"/>
    <w:rsid w:val="00847A53"/>
    <w:rsid w:val="00847EC8"/>
    <w:rsid w:val="00850996"/>
    <w:rsid w:val="00850BCC"/>
    <w:rsid w:val="008517B5"/>
    <w:rsid w:val="00852FE2"/>
    <w:rsid w:val="008533A2"/>
    <w:rsid w:val="00853D92"/>
    <w:rsid w:val="008545CD"/>
    <w:rsid w:val="00856490"/>
    <w:rsid w:val="0085772B"/>
    <w:rsid w:val="008600E1"/>
    <w:rsid w:val="008618F3"/>
    <w:rsid w:val="0086407A"/>
    <w:rsid w:val="00864719"/>
    <w:rsid w:val="0086545C"/>
    <w:rsid w:val="008663C4"/>
    <w:rsid w:val="00870111"/>
    <w:rsid w:val="00870889"/>
    <w:rsid w:val="0087308A"/>
    <w:rsid w:val="008744F7"/>
    <w:rsid w:val="0087506E"/>
    <w:rsid w:val="008762D0"/>
    <w:rsid w:val="00877ABA"/>
    <w:rsid w:val="008803AD"/>
    <w:rsid w:val="00881D76"/>
    <w:rsid w:val="00882E23"/>
    <w:rsid w:val="00882E8F"/>
    <w:rsid w:val="008852BA"/>
    <w:rsid w:val="00885423"/>
    <w:rsid w:val="00885912"/>
    <w:rsid w:val="00885FEE"/>
    <w:rsid w:val="00886BE4"/>
    <w:rsid w:val="008876C6"/>
    <w:rsid w:val="008921C4"/>
    <w:rsid w:val="0089324C"/>
    <w:rsid w:val="00893381"/>
    <w:rsid w:val="008954B0"/>
    <w:rsid w:val="00896576"/>
    <w:rsid w:val="008966CA"/>
    <w:rsid w:val="008967C9"/>
    <w:rsid w:val="008A02FC"/>
    <w:rsid w:val="008A0DB1"/>
    <w:rsid w:val="008A3C92"/>
    <w:rsid w:val="008A42DC"/>
    <w:rsid w:val="008A4352"/>
    <w:rsid w:val="008A6BD5"/>
    <w:rsid w:val="008A726F"/>
    <w:rsid w:val="008B02F5"/>
    <w:rsid w:val="008B1045"/>
    <w:rsid w:val="008B1ADB"/>
    <w:rsid w:val="008B2E3A"/>
    <w:rsid w:val="008B2EED"/>
    <w:rsid w:val="008B3EEA"/>
    <w:rsid w:val="008B45B4"/>
    <w:rsid w:val="008B618A"/>
    <w:rsid w:val="008B61C3"/>
    <w:rsid w:val="008B681D"/>
    <w:rsid w:val="008B69D2"/>
    <w:rsid w:val="008B7248"/>
    <w:rsid w:val="008C15EA"/>
    <w:rsid w:val="008C1AF3"/>
    <w:rsid w:val="008C2CBA"/>
    <w:rsid w:val="008C3138"/>
    <w:rsid w:val="008C4AC9"/>
    <w:rsid w:val="008C5255"/>
    <w:rsid w:val="008C6F09"/>
    <w:rsid w:val="008D1FFD"/>
    <w:rsid w:val="008D4374"/>
    <w:rsid w:val="008D7542"/>
    <w:rsid w:val="008E25EF"/>
    <w:rsid w:val="008E3761"/>
    <w:rsid w:val="008E4AF7"/>
    <w:rsid w:val="008F0E6E"/>
    <w:rsid w:val="008F2F6F"/>
    <w:rsid w:val="008F2FE5"/>
    <w:rsid w:val="008F410D"/>
    <w:rsid w:val="008F4982"/>
    <w:rsid w:val="008F58A0"/>
    <w:rsid w:val="008F5D67"/>
    <w:rsid w:val="008F62B9"/>
    <w:rsid w:val="008F6E2B"/>
    <w:rsid w:val="008F7590"/>
    <w:rsid w:val="008F7DFE"/>
    <w:rsid w:val="009007A5"/>
    <w:rsid w:val="00904FCE"/>
    <w:rsid w:val="00905C52"/>
    <w:rsid w:val="00906739"/>
    <w:rsid w:val="00906774"/>
    <w:rsid w:val="00911046"/>
    <w:rsid w:val="0091122A"/>
    <w:rsid w:val="00911264"/>
    <w:rsid w:val="009115B5"/>
    <w:rsid w:val="009121BD"/>
    <w:rsid w:val="00913357"/>
    <w:rsid w:val="00914BF6"/>
    <w:rsid w:val="00916355"/>
    <w:rsid w:val="009169EC"/>
    <w:rsid w:val="009170E2"/>
    <w:rsid w:val="00920426"/>
    <w:rsid w:val="00920A11"/>
    <w:rsid w:val="00920C58"/>
    <w:rsid w:val="00921195"/>
    <w:rsid w:val="0092195E"/>
    <w:rsid w:val="00921CD9"/>
    <w:rsid w:val="00922A29"/>
    <w:rsid w:val="00922D63"/>
    <w:rsid w:val="009231E6"/>
    <w:rsid w:val="00923726"/>
    <w:rsid w:val="009252C3"/>
    <w:rsid w:val="00925300"/>
    <w:rsid w:val="00925925"/>
    <w:rsid w:val="00925AEA"/>
    <w:rsid w:val="00926358"/>
    <w:rsid w:val="00926979"/>
    <w:rsid w:val="009303F9"/>
    <w:rsid w:val="00932430"/>
    <w:rsid w:val="009348D1"/>
    <w:rsid w:val="009351DF"/>
    <w:rsid w:val="00935695"/>
    <w:rsid w:val="00937B10"/>
    <w:rsid w:val="00940F73"/>
    <w:rsid w:val="00941A69"/>
    <w:rsid w:val="00941BA4"/>
    <w:rsid w:val="00944182"/>
    <w:rsid w:val="00944270"/>
    <w:rsid w:val="009445EA"/>
    <w:rsid w:val="00944629"/>
    <w:rsid w:val="0094528A"/>
    <w:rsid w:val="0094635B"/>
    <w:rsid w:val="009474E4"/>
    <w:rsid w:val="0094757B"/>
    <w:rsid w:val="0094781E"/>
    <w:rsid w:val="00947B9C"/>
    <w:rsid w:val="00947CF4"/>
    <w:rsid w:val="00952856"/>
    <w:rsid w:val="00952DFB"/>
    <w:rsid w:val="00953AAC"/>
    <w:rsid w:val="00954CC1"/>
    <w:rsid w:val="00955943"/>
    <w:rsid w:val="00960194"/>
    <w:rsid w:val="009606FB"/>
    <w:rsid w:val="00960A1D"/>
    <w:rsid w:val="00961B68"/>
    <w:rsid w:val="00962EA9"/>
    <w:rsid w:val="0096474C"/>
    <w:rsid w:val="00964A0A"/>
    <w:rsid w:val="00965456"/>
    <w:rsid w:val="00965C79"/>
    <w:rsid w:val="00972DF1"/>
    <w:rsid w:val="00973C96"/>
    <w:rsid w:val="00974A3E"/>
    <w:rsid w:val="00974F15"/>
    <w:rsid w:val="009754DB"/>
    <w:rsid w:val="0097615F"/>
    <w:rsid w:val="009775C7"/>
    <w:rsid w:val="009807AB"/>
    <w:rsid w:val="009809C6"/>
    <w:rsid w:val="00980A88"/>
    <w:rsid w:val="0098128C"/>
    <w:rsid w:val="0098140E"/>
    <w:rsid w:val="0098298C"/>
    <w:rsid w:val="00982D11"/>
    <w:rsid w:val="00984A90"/>
    <w:rsid w:val="009858BD"/>
    <w:rsid w:val="00985916"/>
    <w:rsid w:val="0098627F"/>
    <w:rsid w:val="00986398"/>
    <w:rsid w:val="00986B33"/>
    <w:rsid w:val="00987AD5"/>
    <w:rsid w:val="00990613"/>
    <w:rsid w:val="009906A2"/>
    <w:rsid w:val="009929A1"/>
    <w:rsid w:val="009930DB"/>
    <w:rsid w:val="009941C5"/>
    <w:rsid w:val="00994A2E"/>
    <w:rsid w:val="00995672"/>
    <w:rsid w:val="00995D27"/>
    <w:rsid w:val="009A17D9"/>
    <w:rsid w:val="009A1E44"/>
    <w:rsid w:val="009A287A"/>
    <w:rsid w:val="009A2E61"/>
    <w:rsid w:val="009A3A7B"/>
    <w:rsid w:val="009A3BD7"/>
    <w:rsid w:val="009A43F1"/>
    <w:rsid w:val="009A5016"/>
    <w:rsid w:val="009A64CB"/>
    <w:rsid w:val="009A6A20"/>
    <w:rsid w:val="009B0162"/>
    <w:rsid w:val="009B0456"/>
    <w:rsid w:val="009B2827"/>
    <w:rsid w:val="009B2E1B"/>
    <w:rsid w:val="009B4738"/>
    <w:rsid w:val="009B5496"/>
    <w:rsid w:val="009B5CEE"/>
    <w:rsid w:val="009B7138"/>
    <w:rsid w:val="009C0C7E"/>
    <w:rsid w:val="009C0EFC"/>
    <w:rsid w:val="009C11E3"/>
    <w:rsid w:val="009C1F86"/>
    <w:rsid w:val="009C2668"/>
    <w:rsid w:val="009C3075"/>
    <w:rsid w:val="009C4F3B"/>
    <w:rsid w:val="009C5CF1"/>
    <w:rsid w:val="009C723D"/>
    <w:rsid w:val="009C7BCC"/>
    <w:rsid w:val="009D0128"/>
    <w:rsid w:val="009D02A3"/>
    <w:rsid w:val="009D2469"/>
    <w:rsid w:val="009D35CE"/>
    <w:rsid w:val="009D3C30"/>
    <w:rsid w:val="009D4357"/>
    <w:rsid w:val="009D71C3"/>
    <w:rsid w:val="009D7571"/>
    <w:rsid w:val="009D7832"/>
    <w:rsid w:val="009E00B2"/>
    <w:rsid w:val="009E24EF"/>
    <w:rsid w:val="009E3197"/>
    <w:rsid w:val="009E3440"/>
    <w:rsid w:val="009E349B"/>
    <w:rsid w:val="009E3988"/>
    <w:rsid w:val="009E4089"/>
    <w:rsid w:val="009E489F"/>
    <w:rsid w:val="009E4C1C"/>
    <w:rsid w:val="009E6619"/>
    <w:rsid w:val="009E6802"/>
    <w:rsid w:val="009E6A30"/>
    <w:rsid w:val="009E779F"/>
    <w:rsid w:val="009E7EE8"/>
    <w:rsid w:val="009F03C2"/>
    <w:rsid w:val="009F0B5C"/>
    <w:rsid w:val="009F22B8"/>
    <w:rsid w:val="009F4F57"/>
    <w:rsid w:val="009F56E6"/>
    <w:rsid w:val="009F7558"/>
    <w:rsid w:val="00A00562"/>
    <w:rsid w:val="00A0145D"/>
    <w:rsid w:val="00A01994"/>
    <w:rsid w:val="00A03658"/>
    <w:rsid w:val="00A03864"/>
    <w:rsid w:val="00A03D63"/>
    <w:rsid w:val="00A03E1E"/>
    <w:rsid w:val="00A04F8B"/>
    <w:rsid w:val="00A068DA"/>
    <w:rsid w:val="00A12220"/>
    <w:rsid w:val="00A12ABB"/>
    <w:rsid w:val="00A136C2"/>
    <w:rsid w:val="00A14AC6"/>
    <w:rsid w:val="00A14B86"/>
    <w:rsid w:val="00A15474"/>
    <w:rsid w:val="00A165BD"/>
    <w:rsid w:val="00A16FB5"/>
    <w:rsid w:val="00A17430"/>
    <w:rsid w:val="00A1748A"/>
    <w:rsid w:val="00A17666"/>
    <w:rsid w:val="00A1788E"/>
    <w:rsid w:val="00A20F1A"/>
    <w:rsid w:val="00A213BE"/>
    <w:rsid w:val="00A23725"/>
    <w:rsid w:val="00A238BE"/>
    <w:rsid w:val="00A242FA"/>
    <w:rsid w:val="00A25D9D"/>
    <w:rsid w:val="00A26839"/>
    <w:rsid w:val="00A30977"/>
    <w:rsid w:val="00A30D57"/>
    <w:rsid w:val="00A30EEF"/>
    <w:rsid w:val="00A3164B"/>
    <w:rsid w:val="00A3186D"/>
    <w:rsid w:val="00A319A9"/>
    <w:rsid w:val="00A33B70"/>
    <w:rsid w:val="00A34451"/>
    <w:rsid w:val="00A34634"/>
    <w:rsid w:val="00A3527C"/>
    <w:rsid w:val="00A36ADD"/>
    <w:rsid w:val="00A36E24"/>
    <w:rsid w:val="00A401AB"/>
    <w:rsid w:val="00A40D8F"/>
    <w:rsid w:val="00A4254F"/>
    <w:rsid w:val="00A44048"/>
    <w:rsid w:val="00A45D1D"/>
    <w:rsid w:val="00A511E6"/>
    <w:rsid w:val="00A513F3"/>
    <w:rsid w:val="00A51C63"/>
    <w:rsid w:val="00A5285F"/>
    <w:rsid w:val="00A53548"/>
    <w:rsid w:val="00A54C26"/>
    <w:rsid w:val="00A554F3"/>
    <w:rsid w:val="00A5614F"/>
    <w:rsid w:val="00A64509"/>
    <w:rsid w:val="00A64D04"/>
    <w:rsid w:val="00A6677C"/>
    <w:rsid w:val="00A66834"/>
    <w:rsid w:val="00A66866"/>
    <w:rsid w:val="00A70503"/>
    <w:rsid w:val="00A721F6"/>
    <w:rsid w:val="00A7230B"/>
    <w:rsid w:val="00A7280B"/>
    <w:rsid w:val="00A728A3"/>
    <w:rsid w:val="00A74BD9"/>
    <w:rsid w:val="00A75239"/>
    <w:rsid w:val="00A754BF"/>
    <w:rsid w:val="00A75D8D"/>
    <w:rsid w:val="00A7656F"/>
    <w:rsid w:val="00A810FB"/>
    <w:rsid w:val="00A81494"/>
    <w:rsid w:val="00A8404A"/>
    <w:rsid w:val="00A8450A"/>
    <w:rsid w:val="00A8617C"/>
    <w:rsid w:val="00A8650A"/>
    <w:rsid w:val="00A873EA"/>
    <w:rsid w:val="00A8750D"/>
    <w:rsid w:val="00A87D24"/>
    <w:rsid w:val="00A90D3F"/>
    <w:rsid w:val="00A919CC"/>
    <w:rsid w:val="00A91D04"/>
    <w:rsid w:val="00A944B7"/>
    <w:rsid w:val="00A946D7"/>
    <w:rsid w:val="00A94850"/>
    <w:rsid w:val="00A94EA1"/>
    <w:rsid w:val="00A95DF7"/>
    <w:rsid w:val="00AA0F26"/>
    <w:rsid w:val="00AA1455"/>
    <w:rsid w:val="00AA1F3F"/>
    <w:rsid w:val="00AA2432"/>
    <w:rsid w:val="00AA38DF"/>
    <w:rsid w:val="00AA698C"/>
    <w:rsid w:val="00AA6BFD"/>
    <w:rsid w:val="00AA7291"/>
    <w:rsid w:val="00AB1319"/>
    <w:rsid w:val="00AB1B8D"/>
    <w:rsid w:val="00AB1CCF"/>
    <w:rsid w:val="00AB28A3"/>
    <w:rsid w:val="00AB320E"/>
    <w:rsid w:val="00AB3D92"/>
    <w:rsid w:val="00AB3F06"/>
    <w:rsid w:val="00AB5B18"/>
    <w:rsid w:val="00AB6E67"/>
    <w:rsid w:val="00AC34D2"/>
    <w:rsid w:val="00AC3ED5"/>
    <w:rsid w:val="00AC4EF2"/>
    <w:rsid w:val="00AC530E"/>
    <w:rsid w:val="00AC5A01"/>
    <w:rsid w:val="00AC64E1"/>
    <w:rsid w:val="00AD07BB"/>
    <w:rsid w:val="00AD0C4B"/>
    <w:rsid w:val="00AD0E3D"/>
    <w:rsid w:val="00AD162F"/>
    <w:rsid w:val="00AD2D99"/>
    <w:rsid w:val="00AD31A0"/>
    <w:rsid w:val="00AD6D1D"/>
    <w:rsid w:val="00AD6E17"/>
    <w:rsid w:val="00AD7680"/>
    <w:rsid w:val="00AD7C29"/>
    <w:rsid w:val="00AD7E29"/>
    <w:rsid w:val="00AE0405"/>
    <w:rsid w:val="00AE12A8"/>
    <w:rsid w:val="00AE1DE5"/>
    <w:rsid w:val="00AE3403"/>
    <w:rsid w:val="00AE364C"/>
    <w:rsid w:val="00AE3BE6"/>
    <w:rsid w:val="00AE3F84"/>
    <w:rsid w:val="00AE4BED"/>
    <w:rsid w:val="00AE4CAE"/>
    <w:rsid w:val="00AE6288"/>
    <w:rsid w:val="00AE6617"/>
    <w:rsid w:val="00AE69EA"/>
    <w:rsid w:val="00AE7D04"/>
    <w:rsid w:val="00AF048A"/>
    <w:rsid w:val="00AF0784"/>
    <w:rsid w:val="00AF121C"/>
    <w:rsid w:val="00AF1A07"/>
    <w:rsid w:val="00AF3E65"/>
    <w:rsid w:val="00AF44FC"/>
    <w:rsid w:val="00AF4CE9"/>
    <w:rsid w:val="00AF578F"/>
    <w:rsid w:val="00AF589A"/>
    <w:rsid w:val="00AF5B42"/>
    <w:rsid w:val="00B02048"/>
    <w:rsid w:val="00B027A3"/>
    <w:rsid w:val="00B02E17"/>
    <w:rsid w:val="00B03AC9"/>
    <w:rsid w:val="00B03DFF"/>
    <w:rsid w:val="00B05B57"/>
    <w:rsid w:val="00B05FDE"/>
    <w:rsid w:val="00B06DFB"/>
    <w:rsid w:val="00B07064"/>
    <w:rsid w:val="00B12EF4"/>
    <w:rsid w:val="00B13263"/>
    <w:rsid w:val="00B135CC"/>
    <w:rsid w:val="00B15459"/>
    <w:rsid w:val="00B15641"/>
    <w:rsid w:val="00B15718"/>
    <w:rsid w:val="00B15838"/>
    <w:rsid w:val="00B15E68"/>
    <w:rsid w:val="00B160C7"/>
    <w:rsid w:val="00B16C24"/>
    <w:rsid w:val="00B16E91"/>
    <w:rsid w:val="00B17721"/>
    <w:rsid w:val="00B17948"/>
    <w:rsid w:val="00B224E2"/>
    <w:rsid w:val="00B267D2"/>
    <w:rsid w:val="00B269B8"/>
    <w:rsid w:val="00B2785F"/>
    <w:rsid w:val="00B32F97"/>
    <w:rsid w:val="00B339BB"/>
    <w:rsid w:val="00B33B4F"/>
    <w:rsid w:val="00B36362"/>
    <w:rsid w:val="00B370AE"/>
    <w:rsid w:val="00B3761C"/>
    <w:rsid w:val="00B42EC7"/>
    <w:rsid w:val="00B45DC9"/>
    <w:rsid w:val="00B4636E"/>
    <w:rsid w:val="00B46E5B"/>
    <w:rsid w:val="00B475CB"/>
    <w:rsid w:val="00B476B4"/>
    <w:rsid w:val="00B47DCD"/>
    <w:rsid w:val="00B512AD"/>
    <w:rsid w:val="00B521D7"/>
    <w:rsid w:val="00B52B6B"/>
    <w:rsid w:val="00B53268"/>
    <w:rsid w:val="00B542C7"/>
    <w:rsid w:val="00B55A81"/>
    <w:rsid w:val="00B571DC"/>
    <w:rsid w:val="00B6026A"/>
    <w:rsid w:val="00B60667"/>
    <w:rsid w:val="00B60ECF"/>
    <w:rsid w:val="00B61289"/>
    <w:rsid w:val="00B616A8"/>
    <w:rsid w:val="00B6181A"/>
    <w:rsid w:val="00B6285F"/>
    <w:rsid w:val="00B62D37"/>
    <w:rsid w:val="00B6349D"/>
    <w:rsid w:val="00B64878"/>
    <w:rsid w:val="00B64AE0"/>
    <w:rsid w:val="00B65C3E"/>
    <w:rsid w:val="00B66C0E"/>
    <w:rsid w:val="00B66FA0"/>
    <w:rsid w:val="00B7147D"/>
    <w:rsid w:val="00B728C0"/>
    <w:rsid w:val="00B73F74"/>
    <w:rsid w:val="00B74E86"/>
    <w:rsid w:val="00B74E9E"/>
    <w:rsid w:val="00B75168"/>
    <w:rsid w:val="00B751EA"/>
    <w:rsid w:val="00B752AC"/>
    <w:rsid w:val="00B75380"/>
    <w:rsid w:val="00B7575C"/>
    <w:rsid w:val="00B776F3"/>
    <w:rsid w:val="00B8006F"/>
    <w:rsid w:val="00B8017F"/>
    <w:rsid w:val="00B80ACA"/>
    <w:rsid w:val="00B8292B"/>
    <w:rsid w:val="00B8490B"/>
    <w:rsid w:val="00B856ED"/>
    <w:rsid w:val="00B85B42"/>
    <w:rsid w:val="00B86684"/>
    <w:rsid w:val="00B87041"/>
    <w:rsid w:val="00B90BE4"/>
    <w:rsid w:val="00B910F7"/>
    <w:rsid w:val="00B93893"/>
    <w:rsid w:val="00B93D74"/>
    <w:rsid w:val="00B94034"/>
    <w:rsid w:val="00B94773"/>
    <w:rsid w:val="00B94E36"/>
    <w:rsid w:val="00B95277"/>
    <w:rsid w:val="00B95970"/>
    <w:rsid w:val="00B96A2A"/>
    <w:rsid w:val="00B9708B"/>
    <w:rsid w:val="00B972C2"/>
    <w:rsid w:val="00B9750E"/>
    <w:rsid w:val="00BA0149"/>
    <w:rsid w:val="00BA0520"/>
    <w:rsid w:val="00BA0889"/>
    <w:rsid w:val="00BA08ED"/>
    <w:rsid w:val="00BA0B97"/>
    <w:rsid w:val="00BA1C30"/>
    <w:rsid w:val="00BA371A"/>
    <w:rsid w:val="00BA3C1B"/>
    <w:rsid w:val="00BA717D"/>
    <w:rsid w:val="00BA720D"/>
    <w:rsid w:val="00BA7FF8"/>
    <w:rsid w:val="00BB0AFD"/>
    <w:rsid w:val="00BB16CF"/>
    <w:rsid w:val="00BB3499"/>
    <w:rsid w:val="00BB3A99"/>
    <w:rsid w:val="00BB4203"/>
    <w:rsid w:val="00BB4799"/>
    <w:rsid w:val="00BB77EA"/>
    <w:rsid w:val="00BB7C47"/>
    <w:rsid w:val="00BC05E8"/>
    <w:rsid w:val="00BC1311"/>
    <w:rsid w:val="00BC1A6A"/>
    <w:rsid w:val="00BC1FFF"/>
    <w:rsid w:val="00BC3DBD"/>
    <w:rsid w:val="00BC4292"/>
    <w:rsid w:val="00BC5E23"/>
    <w:rsid w:val="00BC61B9"/>
    <w:rsid w:val="00BC6691"/>
    <w:rsid w:val="00BC6E29"/>
    <w:rsid w:val="00BC75A1"/>
    <w:rsid w:val="00BC78BE"/>
    <w:rsid w:val="00BD0673"/>
    <w:rsid w:val="00BD123D"/>
    <w:rsid w:val="00BD3E92"/>
    <w:rsid w:val="00BD4A4B"/>
    <w:rsid w:val="00BD562B"/>
    <w:rsid w:val="00BD6664"/>
    <w:rsid w:val="00BD7ABC"/>
    <w:rsid w:val="00BE1125"/>
    <w:rsid w:val="00BE246D"/>
    <w:rsid w:val="00BE3941"/>
    <w:rsid w:val="00BE3A16"/>
    <w:rsid w:val="00BE6612"/>
    <w:rsid w:val="00BE7639"/>
    <w:rsid w:val="00BE7805"/>
    <w:rsid w:val="00BE7A5B"/>
    <w:rsid w:val="00BF0777"/>
    <w:rsid w:val="00BF0C13"/>
    <w:rsid w:val="00BF0D90"/>
    <w:rsid w:val="00BF17AA"/>
    <w:rsid w:val="00BF3F09"/>
    <w:rsid w:val="00BF4EE1"/>
    <w:rsid w:val="00BF7B18"/>
    <w:rsid w:val="00C0177B"/>
    <w:rsid w:val="00C01DFA"/>
    <w:rsid w:val="00C03F7B"/>
    <w:rsid w:val="00C05927"/>
    <w:rsid w:val="00C10D98"/>
    <w:rsid w:val="00C12881"/>
    <w:rsid w:val="00C13EC0"/>
    <w:rsid w:val="00C17FE6"/>
    <w:rsid w:val="00C205C0"/>
    <w:rsid w:val="00C240F3"/>
    <w:rsid w:val="00C24166"/>
    <w:rsid w:val="00C24556"/>
    <w:rsid w:val="00C24575"/>
    <w:rsid w:val="00C248D5"/>
    <w:rsid w:val="00C275D1"/>
    <w:rsid w:val="00C276DD"/>
    <w:rsid w:val="00C27E40"/>
    <w:rsid w:val="00C27FD2"/>
    <w:rsid w:val="00C304BF"/>
    <w:rsid w:val="00C3216E"/>
    <w:rsid w:val="00C33017"/>
    <w:rsid w:val="00C3384E"/>
    <w:rsid w:val="00C36828"/>
    <w:rsid w:val="00C3721C"/>
    <w:rsid w:val="00C411D0"/>
    <w:rsid w:val="00C41276"/>
    <w:rsid w:val="00C412C9"/>
    <w:rsid w:val="00C421C9"/>
    <w:rsid w:val="00C42457"/>
    <w:rsid w:val="00C43563"/>
    <w:rsid w:val="00C43D9C"/>
    <w:rsid w:val="00C44207"/>
    <w:rsid w:val="00C447ED"/>
    <w:rsid w:val="00C4704B"/>
    <w:rsid w:val="00C471FD"/>
    <w:rsid w:val="00C476FA"/>
    <w:rsid w:val="00C50DCF"/>
    <w:rsid w:val="00C5266A"/>
    <w:rsid w:val="00C56B4C"/>
    <w:rsid w:val="00C574E6"/>
    <w:rsid w:val="00C5751B"/>
    <w:rsid w:val="00C60362"/>
    <w:rsid w:val="00C606FC"/>
    <w:rsid w:val="00C62386"/>
    <w:rsid w:val="00C62500"/>
    <w:rsid w:val="00C70004"/>
    <w:rsid w:val="00C70869"/>
    <w:rsid w:val="00C71220"/>
    <w:rsid w:val="00C72516"/>
    <w:rsid w:val="00C73DB5"/>
    <w:rsid w:val="00C7580B"/>
    <w:rsid w:val="00C76723"/>
    <w:rsid w:val="00C834D1"/>
    <w:rsid w:val="00C83726"/>
    <w:rsid w:val="00C84E36"/>
    <w:rsid w:val="00C860FF"/>
    <w:rsid w:val="00C874B1"/>
    <w:rsid w:val="00C87EEF"/>
    <w:rsid w:val="00C93F54"/>
    <w:rsid w:val="00C9541E"/>
    <w:rsid w:val="00C97110"/>
    <w:rsid w:val="00C973E4"/>
    <w:rsid w:val="00CA11DA"/>
    <w:rsid w:val="00CA16CB"/>
    <w:rsid w:val="00CA21FD"/>
    <w:rsid w:val="00CA5895"/>
    <w:rsid w:val="00CA637B"/>
    <w:rsid w:val="00CA6AA8"/>
    <w:rsid w:val="00CA7662"/>
    <w:rsid w:val="00CA76AC"/>
    <w:rsid w:val="00CB2265"/>
    <w:rsid w:val="00CB2713"/>
    <w:rsid w:val="00CB275F"/>
    <w:rsid w:val="00CB40F4"/>
    <w:rsid w:val="00CB42D5"/>
    <w:rsid w:val="00CB5135"/>
    <w:rsid w:val="00CB63CB"/>
    <w:rsid w:val="00CB6CDB"/>
    <w:rsid w:val="00CB6EAE"/>
    <w:rsid w:val="00CB72B9"/>
    <w:rsid w:val="00CB790D"/>
    <w:rsid w:val="00CC178C"/>
    <w:rsid w:val="00CC1A0B"/>
    <w:rsid w:val="00CC250A"/>
    <w:rsid w:val="00CC3523"/>
    <w:rsid w:val="00CC4FEE"/>
    <w:rsid w:val="00CC58B0"/>
    <w:rsid w:val="00CC5BFF"/>
    <w:rsid w:val="00CC6FCC"/>
    <w:rsid w:val="00CD1910"/>
    <w:rsid w:val="00CD2034"/>
    <w:rsid w:val="00CD23C6"/>
    <w:rsid w:val="00CD2665"/>
    <w:rsid w:val="00CD36AC"/>
    <w:rsid w:val="00CD3FFA"/>
    <w:rsid w:val="00CD4C77"/>
    <w:rsid w:val="00CD59D5"/>
    <w:rsid w:val="00CD67EA"/>
    <w:rsid w:val="00CD7387"/>
    <w:rsid w:val="00CE194A"/>
    <w:rsid w:val="00CE1A85"/>
    <w:rsid w:val="00CE1B02"/>
    <w:rsid w:val="00CE3F2A"/>
    <w:rsid w:val="00CE4516"/>
    <w:rsid w:val="00CE5760"/>
    <w:rsid w:val="00CE609C"/>
    <w:rsid w:val="00CF016B"/>
    <w:rsid w:val="00CF0556"/>
    <w:rsid w:val="00CF146C"/>
    <w:rsid w:val="00CF255D"/>
    <w:rsid w:val="00CF339C"/>
    <w:rsid w:val="00CF35D6"/>
    <w:rsid w:val="00CF3E6B"/>
    <w:rsid w:val="00CF4C9B"/>
    <w:rsid w:val="00CF5B3F"/>
    <w:rsid w:val="00CF5CB2"/>
    <w:rsid w:val="00D01039"/>
    <w:rsid w:val="00D02E39"/>
    <w:rsid w:val="00D03472"/>
    <w:rsid w:val="00D03889"/>
    <w:rsid w:val="00D04877"/>
    <w:rsid w:val="00D04AF3"/>
    <w:rsid w:val="00D04E0A"/>
    <w:rsid w:val="00D04F21"/>
    <w:rsid w:val="00D05538"/>
    <w:rsid w:val="00D104F7"/>
    <w:rsid w:val="00D10A64"/>
    <w:rsid w:val="00D10C65"/>
    <w:rsid w:val="00D14007"/>
    <w:rsid w:val="00D14D13"/>
    <w:rsid w:val="00D17361"/>
    <w:rsid w:val="00D206A9"/>
    <w:rsid w:val="00D20DCB"/>
    <w:rsid w:val="00D22AA1"/>
    <w:rsid w:val="00D236CE"/>
    <w:rsid w:val="00D24629"/>
    <w:rsid w:val="00D24BF1"/>
    <w:rsid w:val="00D2607E"/>
    <w:rsid w:val="00D26491"/>
    <w:rsid w:val="00D267EE"/>
    <w:rsid w:val="00D30AAF"/>
    <w:rsid w:val="00D30CCD"/>
    <w:rsid w:val="00D32193"/>
    <w:rsid w:val="00D32EC6"/>
    <w:rsid w:val="00D32F1D"/>
    <w:rsid w:val="00D33B95"/>
    <w:rsid w:val="00D33DCC"/>
    <w:rsid w:val="00D35785"/>
    <w:rsid w:val="00D35978"/>
    <w:rsid w:val="00D361AF"/>
    <w:rsid w:val="00D362B9"/>
    <w:rsid w:val="00D40FF9"/>
    <w:rsid w:val="00D41077"/>
    <w:rsid w:val="00D41E5D"/>
    <w:rsid w:val="00D42D0C"/>
    <w:rsid w:val="00D43171"/>
    <w:rsid w:val="00D4487E"/>
    <w:rsid w:val="00D44EA6"/>
    <w:rsid w:val="00D45570"/>
    <w:rsid w:val="00D45BE5"/>
    <w:rsid w:val="00D46F1E"/>
    <w:rsid w:val="00D5098C"/>
    <w:rsid w:val="00D52DC9"/>
    <w:rsid w:val="00D52FC0"/>
    <w:rsid w:val="00D53B33"/>
    <w:rsid w:val="00D53E60"/>
    <w:rsid w:val="00D54AA9"/>
    <w:rsid w:val="00D54CC3"/>
    <w:rsid w:val="00D56A4F"/>
    <w:rsid w:val="00D601B7"/>
    <w:rsid w:val="00D609D1"/>
    <w:rsid w:val="00D60CF7"/>
    <w:rsid w:val="00D62713"/>
    <w:rsid w:val="00D62DF1"/>
    <w:rsid w:val="00D63EB2"/>
    <w:rsid w:val="00D64421"/>
    <w:rsid w:val="00D65926"/>
    <w:rsid w:val="00D65B24"/>
    <w:rsid w:val="00D66307"/>
    <w:rsid w:val="00D6632D"/>
    <w:rsid w:val="00D71349"/>
    <w:rsid w:val="00D71A39"/>
    <w:rsid w:val="00D72625"/>
    <w:rsid w:val="00D72FE3"/>
    <w:rsid w:val="00D73268"/>
    <w:rsid w:val="00D75521"/>
    <w:rsid w:val="00D7598D"/>
    <w:rsid w:val="00D76908"/>
    <w:rsid w:val="00D76C68"/>
    <w:rsid w:val="00D775D0"/>
    <w:rsid w:val="00D777FA"/>
    <w:rsid w:val="00D77A29"/>
    <w:rsid w:val="00D80308"/>
    <w:rsid w:val="00D80427"/>
    <w:rsid w:val="00D80C7D"/>
    <w:rsid w:val="00D80D7F"/>
    <w:rsid w:val="00D81147"/>
    <w:rsid w:val="00D81478"/>
    <w:rsid w:val="00D81CD4"/>
    <w:rsid w:val="00D83376"/>
    <w:rsid w:val="00D83E18"/>
    <w:rsid w:val="00D846A2"/>
    <w:rsid w:val="00D85E64"/>
    <w:rsid w:val="00D87034"/>
    <w:rsid w:val="00D902EA"/>
    <w:rsid w:val="00D91256"/>
    <w:rsid w:val="00D91EB1"/>
    <w:rsid w:val="00D92460"/>
    <w:rsid w:val="00D92811"/>
    <w:rsid w:val="00D928AA"/>
    <w:rsid w:val="00D938C2"/>
    <w:rsid w:val="00D94220"/>
    <w:rsid w:val="00D94595"/>
    <w:rsid w:val="00D9641D"/>
    <w:rsid w:val="00D96E2C"/>
    <w:rsid w:val="00DA1B1A"/>
    <w:rsid w:val="00DA1EAF"/>
    <w:rsid w:val="00DA1FC3"/>
    <w:rsid w:val="00DA3B93"/>
    <w:rsid w:val="00DA40C2"/>
    <w:rsid w:val="00DA717C"/>
    <w:rsid w:val="00DA784E"/>
    <w:rsid w:val="00DA7DBF"/>
    <w:rsid w:val="00DB0D03"/>
    <w:rsid w:val="00DB31A4"/>
    <w:rsid w:val="00DB3A26"/>
    <w:rsid w:val="00DB771A"/>
    <w:rsid w:val="00DB7913"/>
    <w:rsid w:val="00DB7B48"/>
    <w:rsid w:val="00DC0000"/>
    <w:rsid w:val="00DC0D44"/>
    <w:rsid w:val="00DC12AC"/>
    <w:rsid w:val="00DC14CE"/>
    <w:rsid w:val="00DC23B4"/>
    <w:rsid w:val="00DC2DC1"/>
    <w:rsid w:val="00DC3947"/>
    <w:rsid w:val="00DC5EDB"/>
    <w:rsid w:val="00DC6263"/>
    <w:rsid w:val="00DC6690"/>
    <w:rsid w:val="00DC69FD"/>
    <w:rsid w:val="00DD129B"/>
    <w:rsid w:val="00DD2724"/>
    <w:rsid w:val="00DD2C4D"/>
    <w:rsid w:val="00DD42C8"/>
    <w:rsid w:val="00DD5531"/>
    <w:rsid w:val="00DD677B"/>
    <w:rsid w:val="00DD6E61"/>
    <w:rsid w:val="00DD712D"/>
    <w:rsid w:val="00DE0DC6"/>
    <w:rsid w:val="00DE23B8"/>
    <w:rsid w:val="00DE292E"/>
    <w:rsid w:val="00DE4498"/>
    <w:rsid w:val="00DE4FB5"/>
    <w:rsid w:val="00DE5E70"/>
    <w:rsid w:val="00DE7F9C"/>
    <w:rsid w:val="00DF0705"/>
    <w:rsid w:val="00DF0B20"/>
    <w:rsid w:val="00DF0EF9"/>
    <w:rsid w:val="00DF4BB7"/>
    <w:rsid w:val="00DF634E"/>
    <w:rsid w:val="00E01DDE"/>
    <w:rsid w:val="00E02AE5"/>
    <w:rsid w:val="00E04559"/>
    <w:rsid w:val="00E047AB"/>
    <w:rsid w:val="00E04ACC"/>
    <w:rsid w:val="00E0595D"/>
    <w:rsid w:val="00E102AC"/>
    <w:rsid w:val="00E11D31"/>
    <w:rsid w:val="00E13FD0"/>
    <w:rsid w:val="00E1585A"/>
    <w:rsid w:val="00E15E51"/>
    <w:rsid w:val="00E17C7D"/>
    <w:rsid w:val="00E21DC0"/>
    <w:rsid w:val="00E2257F"/>
    <w:rsid w:val="00E22866"/>
    <w:rsid w:val="00E22C76"/>
    <w:rsid w:val="00E23594"/>
    <w:rsid w:val="00E23CAB"/>
    <w:rsid w:val="00E23F46"/>
    <w:rsid w:val="00E24D01"/>
    <w:rsid w:val="00E25F1E"/>
    <w:rsid w:val="00E26735"/>
    <w:rsid w:val="00E269E7"/>
    <w:rsid w:val="00E26E91"/>
    <w:rsid w:val="00E2782C"/>
    <w:rsid w:val="00E27F2B"/>
    <w:rsid w:val="00E304AC"/>
    <w:rsid w:val="00E309BB"/>
    <w:rsid w:val="00E3125A"/>
    <w:rsid w:val="00E313C1"/>
    <w:rsid w:val="00E33CB9"/>
    <w:rsid w:val="00E343B0"/>
    <w:rsid w:val="00E37A78"/>
    <w:rsid w:val="00E4029B"/>
    <w:rsid w:val="00E415EF"/>
    <w:rsid w:val="00E426F6"/>
    <w:rsid w:val="00E459B9"/>
    <w:rsid w:val="00E459E2"/>
    <w:rsid w:val="00E45E68"/>
    <w:rsid w:val="00E46508"/>
    <w:rsid w:val="00E47355"/>
    <w:rsid w:val="00E52C31"/>
    <w:rsid w:val="00E52E27"/>
    <w:rsid w:val="00E52E35"/>
    <w:rsid w:val="00E531A6"/>
    <w:rsid w:val="00E53659"/>
    <w:rsid w:val="00E53E83"/>
    <w:rsid w:val="00E545C7"/>
    <w:rsid w:val="00E56367"/>
    <w:rsid w:val="00E56E72"/>
    <w:rsid w:val="00E5707B"/>
    <w:rsid w:val="00E576DB"/>
    <w:rsid w:val="00E57D31"/>
    <w:rsid w:val="00E6047B"/>
    <w:rsid w:val="00E60D2D"/>
    <w:rsid w:val="00E620E2"/>
    <w:rsid w:val="00E635DB"/>
    <w:rsid w:val="00E638E3"/>
    <w:rsid w:val="00E63F3B"/>
    <w:rsid w:val="00E64340"/>
    <w:rsid w:val="00E64A27"/>
    <w:rsid w:val="00E64F06"/>
    <w:rsid w:val="00E65375"/>
    <w:rsid w:val="00E65890"/>
    <w:rsid w:val="00E6756D"/>
    <w:rsid w:val="00E67DAB"/>
    <w:rsid w:val="00E67FA6"/>
    <w:rsid w:val="00E701B0"/>
    <w:rsid w:val="00E70A32"/>
    <w:rsid w:val="00E70ABC"/>
    <w:rsid w:val="00E72471"/>
    <w:rsid w:val="00E73348"/>
    <w:rsid w:val="00E7465F"/>
    <w:rsid w:val="00E74D11"/>
    <w:rsid w:val="00E775B1"/>
    <w:rsid w:val="00E80A64"/>
    <w:rsid w:val="00E80BED"/>
    <w:rsid w:val="00E80FF6"/>
    <w:rsid w:val="00E81876"/>
    <w:rsid w:val="00E82627"/>
    <w:rsid w:val="00E841D7"/>
    <w:rsid w:val="00E845E2"/>
    <w:rsid w:val="00E84987"/>
    <w:rsid w:val="00E8740C"/>
    <w:rsid w:val="00E91FAA"/>
    <w:rsid w:val="00E925EA"/>
    <w:rsid w:val="00E934BC"/>
    <w:rsid w:val="00E9455D"/>
    <w:rsid w:val="00E951DA"/>
    <w:rsid w:val="00E960AC"/>
    <w:rsid w:val="00E96F0B"/>
    <w:rsid w:val="00E97138"/>
    <w:rsid w:val="00E9725F"/>
    <w:rsid w:val="00E97413"/>
    <w:rsid w:val="00E97F2D"/>
    <w:rsid w:val="00EA0549"/>
    <w:rsid w:val="00EA408E"/>
    <w:rsid w:val="00EA43B8"/>
    <w:rsid w:val="00EA4A15"/>
    <w:rsid w:val="00EA4AE2"/>
    <w:rsid w:val="00EB0424"/>
    <w:rsid w:val="00EB0688"/>
    <w:rsid w:val="00EB35EE"/>
    <w:rsid w:val="00EB564D"/>
    <w:rsid w:val="00EB575B"/>
    <w:rsid w:val="00EB6495"/>
    <w:rsid w:val="00EC0140"/>
    <w:rsid w:val="00EC0882"/>
    <w:rsid w:val="00EC117E"/>
    <w:rsid w:val="00EC255E"/>
    <w:rsid w:val="00EC25E0"/>
    <w:rsid w:val="00EC2DCC"/>
    <w:rsid w:val="00EC356D"/>
    <w:rsid w:val="00EC375B"/>
    <w:rsid w:val="00EC4824"/>
    <w:rsid w:val="00EC580B"/>
    <w:rsid w:val="00EC5D73"/>
    <w:rsid w:val="00EC62F1"/>
    <w:rsid w:val="00EC651A"/>
    <w:rsid w:val="00EC6705"/>
    <w:rsid w:val="00EC6BF7"/>
    <w:rsid w:val="00EC73DB"/>
    <w:rsid w:val="00ED1B47"/>
    <w:rsid w:val="00ED1C79"/>
    <w:rsid w:val="00ED2A9C"/>
    <w:rsid w:val="00ED4057"/>
    <w:rsid w:val="00ED41B3"/>
    <w:rsid w:val="00ED5650"/>
    <w:rsid w:val="00ED5C7A"/>
    <w:rsid w:val="00ED7382"/>
    <w:rsid w:val="00EE07E5"/>
    <w:rsid w:val="00EE34C6"/>
    <w:rsid w:val="00EE4228"/>
    <w:rsid w:val="00EE4A02"/>
    <w:rsid w:val="00EE5F48"/>
    <w:rsid w:val="00EE603D"/>
    <w:rsid w:val="00EE6773"/>
    <w:rsid w:val="00EE6C96"/>
    <w:rsid w:val="00EF0875"/>
    <w:rsid w:val="00EF231C"/>
    <w:rsid w:val="00EF268D"/>
    <w:rsid w:val="00EF29AA"/>
    <w:rsid w:val="00EF306C"/>
    <w:rsid w:val="00EF3BA7"/>
    <w:rsid w:val="00EF48FC"/>
    <w:rsid w:val="00EF4C55"/>
    <w:rsid w:val="00EF5DDE"/>
    <w:rsid w:val="00EF71C6"/>
    <w:rsid w:val="00EF782E"/>
    <w:rsid w:val="00F01B57"/>
    <w:rsid w:val="00F01E8B"/>
    <w:rsid w:val="00F01EB2"/>
    <w:rsid w:val="00F027DF"/>
    <w:rsid w:val="00F02C2E"/>
    <w:rsid w:val="00F06843"/>
    <w:rsid w:val="00F06B5B"/>
    <w:rsid w:val="00F06FEA"/>
    <w:rsid w:val="00F072F4"/>
    <w:rsid w:val="00F10DAD"/>
    <w:rsid w:val="00F110EF"/>
    <w:rsid w:val="00F11850"/>
    <w:rsid w:val="00F11F85"/>
    <w:rsid w:val="00F12A69"/>
    <w:rsid w:val="00F12C4A"/>
    <w:rsid w:val="00F1331B"/>
    <w:rsid w:val="00F138DB"/>
    <w:rsid w:val="00F15153"/>
    <w:rsid w:val="00F168A8"/>
    <w:rsid w:val="00F16B97"/>
    <w:rsid w:val="00F20062"/>
    <w:rsid w:val="00F246DA"/>
    <w:rsid w:val="00F25E51"/>
    <w:rsid w:val="00F26626"/>
    <w:rsid w:val="00F267DA"/>
    <w:rsid w:val="00F27248"/>
    <w:rsid w:val="00F30455"/>
    <w:rsid w:val="00F309B5"/>
    <w:rsid w:val="00F3118E"/>
    <w:rsid w:val="00F31A2D"/>
    <w:rsid w:val="00F31F63"/>
    <w:rsid w:val="00F34391"/>
    <w:rsid w:val="00F34910"/>
    <w:rsid w:val="00F353A2"/>
    <w:rsid w:val="00F35CA2"/>
    <w:rsid w:val="00F40185"/>
    <w:rsid w:val="00F40495"/>
    <w:rsid w:val="00F40863"/>
    <w:rsid w:val="00F420C2"/>
    <w:rsid w:val="00F4325F"/>
    <w:rsid w:val="00F43681"/>
    <w:rsid w:val="00F437D6"/>
    <w:rsid w:val="00F4686D"/>
    <w:rsid w:val="00F47BA7"/>
    <w:rsid w:val="00F47BBF"/>
    <w:rsid w:val="00F47C01"/>
    <w:rsid w:val="00F506D5"/>
    <w:rsid w:val="00F50912"/>
    <w:rsid w:val="00F50E57"/>
    <w:rsid w:val="00F51891"/>
    <w:rsid w:val="00F51E4A"/>
    <w:rsid w:val="00F52295"/>
    <w:rsid w:val="00F5383E"/>
    <w:rsid w:val="00F53974"/>
    <w:rsid w:val="00F53D0D"/>
    <w:rsid w:val="00F54882"/>
    <w:rsid w:val="00F56E20"/>
    <w:rsid w:val="00F57AD0"/>
    <w:rsid w:val="00F60B6A"/>
    <w:rsid w:val="00F61777"/>
    <w:rsid w:val="00F617B0"/>
    <w:rsid w:val="00F61B19"/>
    <w:rsid w:val="00F62E49"/>
    <w:rsid w:val="00F6387D"/>
    <w:rsid w:val="00F63EC8"/>
    <w:rsid w:val="00F63F4D"/>
    <w:rsid w:val="00F65BDE"/>
    <w:rsid w:val="00F65F09"/>
    <w:rsid w:val="00F67856"/>
    <w:rsid w:val="00F70271"/>
    <w:rsid w:val="00F70700"/>
    <w:rsid w:val="00F71253"/>
    <w:rsid w:val="00F720A8"/>
    <w:rsid w:val="00F724BA"/>
    <w:rsid w:val="00F72C91"/>
    <w:rsid w:val="00F72EA1"/>
    <w:rsid w:val="00F73CB5"/>
    <w:rsid w:val="00F75305"/>
    <w:rsid w:val="00F75DDE"/>
    <w:rsid w:val="00F7668D"/>
    <w:rsid w:val="00F77596"/>
    <w:rsid w:val="00F776FA"/>
    <w:rsid w:val="00F77CB5"/>
    <w:rsid w:val="00F8114A"/>
    <w:rsid w:val="00F81861"/>
    <w:rsid w:val="00F82319"/>
    <w:rsid w:val="00F8326E"/>
    <w:rsid w:val="00F84CE0"/>
    <w:rsid w:val="00F85F5B"/>
    <w:rsid w:val="00F867C6"/>
    <w:rsid w:val="00F90233"/>
    <w:rsid w:val="00F9055A"/>
    <w:rsid w:val="00F911A7"/>
    <w:rsid w:val="00F9168D"/>
    <w:rsid w:val="00F92B24"/>
    <w:rsid w:val="00F93650"/>
    <w:rsid w:val="00F94091"/>
    <w:rsid w:val="00F94E93"/>
    <w:rsid w:val="00F95A61"/>
    <w:rsid w:val="00F964A6"/>
    <w:rsid w:val="00FA00BC"/>
    <w:rsid w:val="00FA3A6D"/>
    <w:rsid w:val="00FA478F"/>
    <w:rsid w:val="00FA5202"/>
    <w:rsid w:val="00FA6382"/>
    <w:rsid w:val="00FA6822"/>
    <w:rsid w:val="00FB054D"/>
    <w:rsid w:val="00FB1EE7"/>
    <w:rsid w:val="00FB4A6A"/>
    <w:rsid w:val="00FB55F0"/>
    <w:rsid w:val="00FB5F8B"/>
    <w:rsid w:val="00FB6425"/>
    <w:rsid w:val="00FB7743"/>
    <w:rsid w:val="00FB7FD8"/>
    <w:rsid w:val="00FC0CF3"/>
    <w:rsid w:val="00FC1288"/>
    <w:rsid w:val="00FC12DC"/>
    <w:rsid w:val="00FC1499"/>
    <w:rsid w:val="00FC16AF"/>
    <w:rsid w:val="00FC2D03"/>
    <w:rsid w:val="00FC30DE"/>
    <w:rsid w:val="00FC3487"/>
    <w:rsid w:val="00FC57A7"/>
    <w:rsid w:val="00FC6D74"/>
    <w:rsid w:val="00FD08C8"/>
    <w:rsid w:val="00FD30F6"/>
    <w:rsid w:val="00FD4C29"/>
    <w:rsid w:val="00FD5726"/>
    <w:rsid w:val="00FD62BD"/>
    <w:rsid w:val="00FE0529"/>
    <w:rsid w:val="00FE16A5"/>
    <w:rsid w:val="00FE2759"/>
    <w:rsid w:val="00FE31BE"/>
    <w:rsid w:val="00FE4D4B"/>
    <w:rsid w:val="00FE4EB3"/>
    <w:rsid w:val="00FE523D"/>
    <w:rsid w:val="00FE620B"/>
    <w:rsid w:val="00FE631E"/>
    <w:rsid w:val="00FE6849"/>
    <w:rsid w:val="00FE6B49"/>
    <w:rsid w:val="00FE6E80"/>
    <w:rsid w:val="00FF19D5"/>
    <w:rsid w:val="00FF4162"/>
    <w:rsid w:val="00FF497E"/>
    <w:rsid w:val="00FF5406"/>
    <w:rsid w:val="00FF5870"/>
    <w:rsid w:val="00FF599B"/>
    <w:rsid w:val="00FF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D692D3A"/>
  <w15:docId w15:val="{DC038FEC-1AF7-4895-A244-FCC10052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8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8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81"/>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8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374C37"/>
    <w:pPr>
      <w:keepNext/>
      <w:numPr>
        <w:ilvl w:val="4"/>
        <w:numId w:val="81"/>
      </w:numPr>
      <w:outlineLvl w:val="4"/>
    </w:pPr>
    <w:rPr>
      <w:rFonts w:eastAsiaTheme="majorEastAsia"/>
    </w:rPr>
  </w:style>
  <w:style w:type="paragraph" w:styleId="Heading6">
    <w:name w:val="heading 6"/>
    <w:basedOn w:val="Normal"/>
    <w:next w:val="Text2"/>
    <w:link w:val="Heading6Char"/>
    <w:uiPriority w:val="9"/>
    <w:semiHidden/>
    <w:unhideWhenUsed/>
    <w:qFormat/>
    <w:rsid w:val="00374C37"/>
    <w:pPr>
      <w:keepNext/>
      <w:numPr>
        <w:ilvl w:val="5"/>
        <w:numId w:val="81"/>
      </w:numPr>
      <w:outlineLvl w:val="5"/>
    </w:pPr>
    <w:rPr>
      <w:rFonts w:eastAsiaTheme="majorEastAsia"/>
      <w:iCs/>
    </w:rPr>
  </w:style>
  <w:style w:type="paragraph" w:styleId="Heading7">
    <w:name w:val="heading 7"/>
    <w:basedOn w:val="Normal"/>
    <w:next w:val="Text2"/>
    <w:link w:val="Heading7Char"/>
    <w:uiPriority w:val="9"/>
    <w:semiHidden/>
    <w:unhideWhenUsed/>
    <w:qFormat/>
    <w:rsid w:val="00374C37"/>
    <w:pPr>
      <w:keepNext/>
      <w:numPr>
        <w:ilvl w:val="6"/>
        <w:numId w:val="8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E951DA"/>
    <w:pPr>
      <w:numPr>
        <w:numId w:val="1"/>
      </w:numPr>
      <w:contextualSpacing/>
    </w:pPr>
  </w:style>
  <w:style w:type="paragraph" w:styleId="ListBullet2">
    <w:name w:val="List Bullet 2"/>
    <w:basedOn w:val="Normal"/>
    <w:unhideWhenUsed/>
    <w:rsid w:val="00E951DA"/>
    <w:pPr>
      <w:numPr>
        <w:numId w:val="2"/>
      </w:numPr>
      <w:contextualSpacing/>
    </w:pPr>
  </w:style>
  <w:style w:type="paragraph" w:styleId="ListBullet3">
    <w:name w:val="List Bullet 3"/>
    <w:basedOn w:val="Normal"/>
    <w:unhideWhenUsed/>
    <w:rsid w:val="00E951DA"/>
    <w:pPr>
      <w:tabs>
        <w:tab w:val="num" w:pos="850"/>
      </w:tabs>
      <w:ind w:left="850" w:hanging="850"/>
      <w:contextualSpacing/>
    </w:pPr>
  </w:style>
  <w:style w:type="paragraph" w:styleId="ListBullet4">
    <w:name w:val="List Bullet 4"/>
    <w:basedOn w:val="Normal"/>
    <w:unhideWhenUsed/>
    <w:rsid w:val="00E951DA"/>
    <w:pPr>
      <w:tabs>
        <w:tab w:val="num" w:pos="850"/>
      </w:tabs>
      <w:ind w:left="850" w:hanging="850"/>
      <w:contextualSpacing/>
    </w:pPr>
  </w:style>
  <w:style w:type="character" w:styleId="CommentReference">
    <w:name w:val="annotation reference"/>
    <w:basedOn w:val="DefaultParagraphFont"/>
    <w:unhideWhenUsed/>
    <w:rsid w:val="00E951DA"/>
    <w:rPr>
      <w:sz w:val="16"/>
      <w:szCs w:val="16"/>
    </w:rPr>
  </w:style>
  <w:style w:type="paragraph" w:styleId="CommentText">
    <w:name w:val="annotation text"/>
    <w:basedOn w:val="Normal"/>
    <w:link w:val="CommentTextChar"/>
    <w:unhideWhenUsed/>
    <w:rsid w:val="005009DF"/>
    <w:rPr>
      <w:sz w:val="20"/>
      <w:szCs w:val="20"/>
    </w:rPr>
  </w:style>
  <w:style w:type="character" w:customStyle="1" w:styleId="CommentTextChar">
    <w:name w:val="Comment Text Char"/>
    <w:basedOn w:val="DefaultParagraphFont"/>
    <w:link w:val="CommentText"/>
    <w:rsid w:val="005009DF"/>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sid w:val="00E951DA"/>
    <w:rPr>
      <w:b/>
      <w:bCs/>
    </w:rPr>
  </w:style>
  <w:style w:type="character" w:customStyle="1" w:styleId="CommentSubjectChar">
    <w:name w:val="Comment Subject Char"/>
    <w:basedOn w:val="CommentTextChar"/>
    <w:link w:val="CommentSubject"/>
    <w:rsid w:val="005009DF"/>
    <w:rPr>
      <w:rFonts w:ascii="Times New Roman" w:hAnsi="Times New Roman" w:cs="Times New Roman"/>
      <w:b/>
      <w:bCs/>
      <w:sz w:val="20"/>
      <w:szCs w:val="20"/>
      <w:lang w:val="en-GB"/>
    </w:rPr>
  </w:style>
  <w:style w:type="paragraph" w:styleId="BalloonText">
    <w:name w:val="Balloon Text"/>
    <w:basedOn w:val="Normal"/>
    <w:link w:val="BalloonTextChar"/>
    <w:unhideWhenUsed/>
    <w:rsid w:val="00E951DA"/>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5009DF"/>
    <w:rPr>
      <w:rFonts w:ascii="Segoe UI" w:hAnsi="Segoe UI" w:cs="Segoe UI"/>
      <w:sz w:val="18"/>
      <w:szCs w:val="18"/>
      <w:lang w:val="en-GB"/>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
    <w:basedOn w:val="Normal"/>
    <w:link w:val="ListParagraphChar"/>
    <w:uiPriority w:val="34"/>
    <w:qFormat/>
    <w:rsid w:val="00743C4D"/>
    <w:pPr>
      <w:ind w:left="720"/>
      <w:contextualSpacing/>
    </w:pPr>
  </w:style>
  <w:style w:type="paragraph" w:styleId="Revision">
    <w:name w:val="Revision"/>
    <w:hidden/>
    <w:uiPriority w:val="99"/>
    <w:semiHidden/>
    <w:rsid w:val="00622458"/>
    <w:pPr>
      <w:spacing w:after="0" w:line="240" w:lineRule="auto"/>
    </w:pPr>
    <w:rPr>
      <w:rFonts w:ascii="Times New Roman" w:hAnsi="Times New Roman" w:cs="Times New Roman"/>
      <w:sz w:val="24"/>
      <w:lang w:val="en-GB"/>
    </w:rPr>
  </w:style>
  <w:style w:type="character" w:styleId="Hyperlink">
    <w:name w:val="Hyperlink"/>
    <w:basedOn w:val="DefaultParagraphFont"/>
    <w:uiPriority w:val="99"/>
    <w:unhideWhenUsed/>
    <w:rsid w:val="00972DF1"/>
    <w:rPr>
      <w:color w:val="0000FF" w:themeColor="hyperlink"/>
      <w:u w:val="singl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link w:val="ListParagraph"/>
    <w:uiPriority w:val="34"/>
    <w:qFormat/>
    <w:locked/>
    <w:rsid w:val="006249E6"/>
    <w:rPr>
      <w:rFonts w:ascii="Times New Roman" w:hAnsi="Times New Roman" w:cs="Times New Roman"/>
      <w:sz w:val="24"/>
      <w:lang w:val="en-GB"/>
    </w:rPr>
  </w:style>
  <w:style w:type="paragraph" w:customStyle="1" w:styleId="Normal1">
    <w:name w:val="Normal1"/>
    <w:basedOn w:val="Normal"/>
    <w:rsid w:val="00550FF2"/>
    <w:pPr>
      <w:spacing w:before="100" w:beforeAutospacing="1" w:after="100" w:afterAutospacing="1"/>
      <w:jc w:val="left"/>
    </w:pPr>
    <w:rPr>
      <w:rFonts w:eastAsia="Times New Roman"/>
      <w:szCs w:val="24"/>
      <w:lang w:val="en-US"/>
    </w:rPr>
  </w:style>
  <w:style w:type="paragraph" w:customStyle="1" w:styleId="li">
    <w:name w:val="li"/>
    <w:basedOn w:val="Normal"/>
    <w:rsid w:val="004652CA"/>
    <w:pPr>
      <w:spacing w:before="100" w:beforeAutospacing="1" w:after="100" w:afterAutospacing="1"/>
      <w:jc w:val="left"/>
    </w:pPr>
    <w:rPr>
      <w:rFonts w:eastAsia="Times New Roman"/>
      <w:szCs w:val="24"/>
      <w:lang w:val="en-US"/>
    </w:rPr>
  </w:style>
  <w:style w:type="character" w:customStyle="1" w:styleId="num">
    <w:name w:val="num"/>
    <w:basedOn w:val="DefaultParagraphFont"/>
    <w:rsid w:val="004652CA"/>
  </w:style>
  <w:style w:type="paragraph" w:customStyle="1" w:styleId="default">
    <w:name w:val="default"/>
    <w:basedOn w:val="Normal"/>
    <w:rsid w:val="004652CA"/>
    <w:pPr>
      <w:spacing w:before="100" w:beforeAutospacing="1" w:after="100" w:afterAutospacing="1"/>
      <w:jc w:val="left"/>
    </w:pPr>
    <w:rPr>
      <w:rFonts w:eastAsia="Times New Roman"/>
      <w:szCs w:val="24"/>
      <w:lang w:val="en-US"/>
    </w:rPr>
  </w:style>
  <w:style w:type="character" w:customStyle="1" w:styleId="footnotereference">
    <w:name w:val="footnotereference"/>
    <w:basedOn w:val="DefaultParagraphFont"/>
    <w:rsid w:val="004652CA"/>
  </w:style>
  <w:style w:type="character" w:customStyle="1" w:styleId="UnresolvedMention1">
    <w:name w:val="Unresolved Mention1"/>
    <w:basedOn w:val="DefaultParagraphFont"/>
    <w:uiPriority w:val="99"/>
    <w:semiHidden/>
    <w:unhideWhenUsed/>
    <w:rsid w:val="005343F7"/>
    <w:rPr>
      <w:color w:val="605E5C"/>
      <w:shd w:val="clear" w:color="auto" w:fill="E1DFDD"/>
    </w:rPr>
  </w:style>
  <w:style w:type="paragraph" w:customStyle="1" w:styleId="Normal2">
    <w:name w:val="Normal2"/>
    <w:basedOn w:val="Normal"/>
    <w:rsid w:val="005143B7"/>
    <w:pPr>
      <w:spacing w:before="100" w:beforeAutospacing="1" w:after="100" w:afterAutospacing="1"/>
      <w:jc w:val="left"/>
    </w:pPr>
    <w:rPr>
      <w:rFonts w:eastAsia="Times New Roman"/>
      <w:szCs w:val="24"/>
      <w:lang w:val="en-US"/>
    </w:rPr>
  </w:style>
  <w:style w:type="character" w:customStyle="1" w:styleId="italic">
    <w:name w:val="italic"/>
    <w:basedOn w:val="DefaultParagraphFont"/>
    <w:rsid w:val="00157A3D"/>
  </w:style>
  <w:style w:type="character" w:customStyle="1" w:styleId="truncate">
    <w:name w:val="truncate"/>
    <w:basedOn w:val="DefaultParagraphFont"/>
    <w:rsid w:val="0076196B"/>
  </w:style>
  <w:style w:type="paragraph" w:customStyle="1" w:styleId="Normal3">
    <w:name w:val="Normal3"/>
    <w:basedOn w:val="Normal"/>
    <w:rsid w:val="009906A2"/>
    <w:pPr>
      <w:spacing w:before="100" w:beforeAutospacing="1" w:after="100" w:afterAutospacing="1"/>
      <w:jc w:val="left"/>
    </w:pPr>
    <w:rPr>
      <w:rFonts w:eastAsia="Times New Roman"/>
      <w:szCs w:val="24"/>
      <w:lang w:eastAsia="en-GB"/>
    </w:rPr>
  </w:style>
  <w:style w:type="paragraph" w:customStyle="1" w:styleId="text10">
    <w:name w:val="text1"/>
    <w:basedOn w:val="Normal"/>
    <w:rsid w:val="009906A2"/>
    <w:pPr>
      <w:spacing w:before="100" w:beforeAutospacing="1" w:after="100" w:afterAutospacing="1"/>
      <w:jc w:val="left"/>
    </w:pPr>
    <w:rPr>
      <w:rFonts w:eastAsia="Times New Roman"/>
      <w:szCs w:val="24"/>
      <w:lang w:eastAsia="en-GB"/>
    </w:rPr>
  </w:style>
  <w:style w:type="numbering" w:customStyle="1" w:styleId="NoList1">
    <w:name w:val="No List1"/>
    <w:next w:val="NoList"/>
    <w:uiPriority w:val="99"/>
    <w:semiHidden/>
    <w:unhideWhenUsed/>
    <w:rsid w:val="009D4357"/>
  </w:style>
  <w:style w:type="paragraph" w:styleId="ListNumber">
    <w:name w:val="List Number"/>
    <w:basedOn w:val="Normal"/>
    <w:rsid w:val="00E951DA"/>
    <w:pPr>
      <w:numPr>
        <w:numId w:val="32"/>
      </w:numPr>
    </w:pPr>
    <w:rPr>
      <w:rFonts w:eastAsia="Times New Roman"/>
      <w:lang w:eastAsia="de-DE"/>
    </w:rPr>
  </w:style>
  <w:style w:type="paragraph" w:customStyle="1" w:styleId="ListBullet1">
    <w:name w:val="List Bullet 1"/>
    <w:basedOn w:val="Normal"/>
    <w:rsid w:val="009D4357"/>
    <w:pPr>
      <w:numPr>
        <w:numId w:val="28"/>
      </w:numPr>
    </w:pPr>
    <w:rPr>
      <w:rFonts w:eastAsia="Times New Roman"/>
      <w:lang w:eastAsia="de-DE"/>
    </w:rPr>
  </w:style>
  <w:style w:type="paragraph" w:customStyle="1" w:styleId="ListDash">
    <w:name w:val="List Dash"/>
    <w:basedOn w:val="Normal"/>
    <w:rsid w:val="009D4357"/>
    <w:pPr>
      <w:numPr>
        <w:numId w:val="29"/>
      </w:numPr>
    </w:pPr>
    <w:rPr>
      <w:rFonts w:eastAsia="Times New Roman"/>
      <w:lang w:eastAsia="de-DE"/>
    </w:rPr>
  </w:style>
  <w:style w:type="paragraph" w:customStyle="1" w:styleId="ListDash1">
    <w:name w:val="List Dash 1"/>
    <w:basedOn w:val="Normal"/>
    <w:rsid w:val="009D4357"/>
    <w:pPr>
      <w:numPr>
        <w:numId w:val="30"/>
      </w:numPr>
    </w:pPr>
    <w:rPr>
      <w:rFonts w:eastAsia="Times New Roman"/>
      <w:lang w:eastAsia="de-DE"/>
    </w:rPr>
  </w:style>
  <w:style w:type="paragraph" w:customStyle="1" w:styleId="ListDash2">
    <w:name w:val="List Dash 2"/>
    <w:basedOn w:val="Normal"/>
    <w:rsid w:val="009D4357"/>
    <w:pPr>
      <w:numPr>
        <w:numId w:val="31"/>
      </w:numPr>
    </w:pPr>
    <w:rPr>
      <w:rFonts w:eastAsia="Times New Roman"/>
      <w:lang w:eastAsia="de-DE"/>
    </w:rPr>
  </w:style>
  <w:style w:type="paragraph" w:customStyle="1" w:styleId="ListNumberLevel2">
    <w:name w:val="List Number (Level 2)"/>
    <w:basedOn w:val="Normal"/>
    <w:rsid w:val="009D4357"/>
    <w:pPr>
      <w:numPr>
        <w:ilvl w:val="1"/>
        <w:numId w:val="32"/>
      </w:numPr>
    </w:pPr>
    <w:rPr>
      <w:rFonts w:eastAsia="Times New Roman"/>
      <w:lang w:eastAsia="de-DE"/>
    </w:rPr>
  </w:style>
  <w:style w:type="paragraph" w:customStyle="1" w:styleId="ListNumberLevel3">
    <w:name w:val="List Number (Level 3)"/>
    <w:basedOn w:val="Normal"/>
    <w:rsid w:val="009D4357"/>
    <w:pPr>
      <w:numPr>
        <w:ilvl w:val="2"/>
        <w:numId w:val="32"/>
      </w:numPr>
    </w:pPr>
    <w:rPr>
      <w:rFonts w:eastAsia="Times New Roman"/>
      <w:lang w:eastAsia="de-DE"/>
    </w:rPr>
  </w:style>
  <w:style w:type="paragraph" w:customStyle="1" w:styleId="ListNumberLevel4">
    <w:name w:val="List Number (Level 4)"/>
    <w:basedOn w:val="Normal"/>
    <w:rsid w:val="009D4357"/>
    <w:pPr>
      <w:numPr>
        <w:ilvl w:val="3"/>
        <w:numId w:val="32"/>
      </w:numPr>
    </w:pPr>
    <w:rPr>
      <w:rFonts w:eastAsia="Times New Roman"/>
      <w:lang w:eastAsia="de-DE"/>
    </w:rPr>
  </w:style>
  <w:style w:type="table" w:styleId="TableGrid">
    <w:name w:val="Table Grid"/>
    <w:aliases w:val="Document Table,CV1"/>
    <w:basedOn w:val="TableNormal"/>
    <w:rsid w:val="009D4357"/>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E951DA"/>
    <w:pPr>
      <w:numPr>
        <w:numId w:val="36"/>
      </w:numPr>
    </w:pPr>
    <w:rPr>
      <w:rFonts w:eastAsia="Times New Roman"/>
      <w:lang w:val="fr-FR" w:eastAsia="en-GB"/>
    </w:rPr>
  </w:style>
  <w:style w:type="paragraph" w:styleId="ListNumber3">
    <w:name w:val="List Number 3"/>
    <w:basedOn w:val="Normal"/>
    <w:rsid w:val="00E951DA"/>
    <w:pPr>
      <w:numPr>
        <w:numId w:val="37"/>
      </w:numPr>
    </w:pPr>
    <w:rPr>
      <w:rFonts w:eastAsia="Times New Roman"/>
      <w:lang w:val="fr-FR" w:eastAsia="en-GB"/>
    </w:rPr>
  </w:style>
  <w:style w:type="paragraph" w:styleId="ListNumber4">
    <w:name w:val="List Number 4"/>
    <w:basedOn w:val="Normal"/>
    <w:rsid w:val="00E951DA"/>
    <w:pPr>
      <w:numPr>
        <w:numId w:val="38"/>
      </w:numPr>
    </w:pPr>
    <w:rPr>
      <w:rFonts w:eastAsia="Times New Roman"/>
      <w:lang w:val="fr-FR" w:eastAsia="en-GB"/>
    </w:rPr>
  </w:style>
  <w:style w:type="paragraph" w:customStyle="1" w:styleId="ListDash3">
    <w:name w:val="List Dash 3"/>
    <w:basedOn w:val="Normal"/>
    <w:rsid w:val="009D4357"/>
    <w:pPr>
      <w:numPr>
        <w:numId w:val="33"/>
      </w:numPr>
    </w:pPr>
    <w:rPr>
      <w:rFonts w:eastAsia="Times New Roman"/>
      <w:lang w:val="fr-FR" w:eastAsia="en-GB"/>
    </w:rPr>
  </w:style>
  <w:style w:type="paragraph" w:customStyle="1" w:styleId="ListDash4">
    <w:name w:val="List Dash 4"/>
    <w:basedOn w:val="Normal"/>
    <w:rsid w:val="009D4357"/>
    <w:pPr>
      <w:numPr>
        <w:numId w:val="34"/>
      </w:numPr>
    </w:pPr>
    <w:rPr>
      <w:rFonts w:eastAsia="Times New Roman"/>
      <w:lang w:val="fr-FR" w:eastAsia="en-GB"/>
    </w:rPr>
  </w:style>
  <w:style w:type="paragraph" w:customStyle="1" w:styleId="ListNumber1">
    <w:name w:val="List Number 1"/>
    <w:basedOn w:val="Text1"/>
    <w:rsid w:val="009D4357"/>
    <w:pPr>
      <w:numPr>
        <w:numId w:val="35"/>
      </w:numPr>
    </w:pPr>
    <w:rPr>
      <w:rFonts w:eastAsia="Times New Roman"/>
      <w:lang w:val="fr-FR" w:eastAsia="en-GB"/>
    </w:rPr>
  </w:style>
  <w:style w:type="paragraph" w:customStyle="1" w:styleId="ListNumber1Level2">
    <w:name w:val="List Number 1 (Level 2)"/>
    <w:basedOn w:val="Text1"/>
    <w:rsid w:val="009D4357"/>
    <w:pPr>
      <w:numPr>
        <w:ilvl w:val="1"/>
        <w:numId w:val="35"/>
      </w:numPr>
    </w:pPr>
    <w:rPr>
      <w:rFonts w:eastAsia="Times New Roman"/>
      <w:lang w:val="fr-FR" w:eastAsia="en-GB"/>
    </w:rPr>
  </w:style>
  <w:style w:type="paragraph" w:customStyle="1" w:styleId="ListNumber2Level2">
    <w:name w:val="List Number 2 (Level 2)"/>
    <w:basedOn w:val="Text2"/>
    <w:rsid w:val="009D4357"/>
    <w:pPr>
      <w:numPr>
        <w:ilvl w:val="1"/>
        <w:numId w:val="36"/>
      </w:numPr>
    </w:pPr>
    <w:rPr>
      <w:rFonts w:eastAsia="Times New Roman"/>
      <w:lang w:val="fr-FR" w:eastAsia="en-GB"/>
    </w:rPr>
  </w:style>
  <w:style w:type="paragraph" w:customStyle="1" w:styleId="ListNumber3Level2">
    <w:name w:val="List Number 3 (Level 2)"/>
    <w:basedOn w:val="Text3"/>
    <w:rsid w:val="009D4357"/>
    <w:pPr>
      <w:numPr>
        <w:ilvl w:val="1"/>
        <w:numId w:val="37"/>
      </w:numPr>
    </w:pPr>
    <w:rPr>
      <w:rFonts w:eastAsia="Times New Roman"/>
      <w:lang w:val="fr-FR" w:eastAsia="en-GB"/>
    </w:rPr>
  </w:style>
  <w:style w:type="paragraph" w:customStyle="1" w:styleId="ListNumber4Level2">
    <w:name w:val="List Number 4 (Level 2)"/>
    <w:basedOn w:val="Text4"/>
    <w:rsid w:val="009D4357"/>
    <w:pPr>
      <w:numPr>
        <w:ilvl w:val="1"/>
        <w:numId w:val="38"/>
      </w:numPr>
    </w:pPr>
    <w:rPr>
      <w:rFonts w:eastAsia="Times New Roman"/>
      <w:lang w:val="fr-FR" w:eastAsia="en-GB"/>
    </w:rPr>
  </w:style>
  <w:style w:type="paragraph" w:customStyle="1" w:styleId="ListNumber1Level3">
    <w:name w:val="List Number 1 (Level 3)"/>
    <w:basedOn w:val="Text1"/>
    <w:rsid w:val="009D4357"/>
    <w:pPr>
      <w:numPr>
        <w:ilvl w:val="2"/>
        <w:numId w:val="35"/>
      </w:numPr>
    </w:pPr>
    <w:rPr>
      <w:rFonts w:eastAsia="Times New Roman"/>
      <w:lang w:val="fr-FR" w:eastAsia="en-GB"/>
    </w:rPr>
  </w:style>
  <w:style w:type="paragraph" w:customStyle="1" w:styleId="ListNumber2Level3">
    <w:name w:val="List Number 2 (Level 3)"/>
    <w:basedOn w:val="Text2"/>
    <w:rsid w:val="009D4357"/>
    <w:pPr>
      <w:numPr>
        <w:ilvl w:val="2"/>
        <w:numId w:val="36"/>
      </w:numPr>
    </w:pPr>
    <w:rPr>
      <w:rFonts w:eastAsia="Times New Roman"/>
      <w:lang w:val="fr-FR" w:eastAsia="en-GB"/>
    </w:rPr>
  </w:style>
  <w:style w:type="paragraph" w:customStyle="1" w:styleId="ListNumber3Level3">
    <w:name w:val="List Number 3 (Level 3)"/>
    <w:basedOn w:val="Text3"/>
    <w:rsid w:val="009D4357"/>
    <w:pPr>
      <w:numPr>
        <w:ilvl w:val="2"/>
        <w:numId w:val="37"/>
      </w:numPr>
    </w:pPr>
    <w:rPr>
      <w:rFonts w:eastAsia="Times New Roman"/>
      <w:lang w:val="fr-FR" w:eastAsia="en-GB"/>
    </w:rPr>
  </w:style>
  <w:style w:type="paragraph" w:customStyle="1" w:styleId="ListNumber4Level3">
    <w:name w:val="List Number 4 (Level 3)"/>
    <w:basedOn w:val="Text4"/>
    <w:rsid w:val="009D4357"/>
    <w:pPr>
      <w:numPr>
        <w:ilvl w:val="2"/>
        <w:numId w:val="38"/>
      </w:numPr>
    </w:pPr>
    <w:rPr>
      <w:rFonts w:eastAsia="Times New Roman"/>
      <w:lang w:val="fr-FR" w:eastAsia="en-GB"/>
    </w:rPr>
  </w:style>
  <w:style w:type="paragraph" w:customStyle="1" w:styleId="ListNumber1Level4">
    <w:name w:val="List Number 1 (Level 4)"/>
    <w:basedOn w:val="Text1"/>
    <w:rsid w:val="009D4357"/>
    <w:pPr>
      <w:numPr>
        <w:ilvl w:val="3"/>
        <w:numId w:val="35"/>
      </w:numPr>
    </w:pPr>
    <w:rPr>
      <w:rFonts w:eastAsia="Times New Roman"/>
      <w:lang w:val="fr-FR" w:eastAsia="en-GB"/>
    </w:rPr>
  </w:style>
  <w:style w:type="paragraph" w:customStyle="1" w:styleId="ListNumber2Level4">
    <w:name w:val="List Number 2 (Level 4)"/>
    <w:basedOn w:val="Text2"/>
    <w:rsid w:val="009D4357"/>
    <w:pPr>
      <w:numPr>
        <w:ilvl w:val="3"/>
        <w:numId w:val="36"/>
      </w:numPr>
    </w:pPr>
    <w:rPr>
      <w:rFonts w:eastAsia="Times New Roman"/>
      <w:lang w:val="fr-FR" w:eastAsia="en-GB"/>
    </w:rPr>
  </w:style>
  <w:style w:type="paragraph" w:customStyle="1" w:styleId="ListNumber3Level4">
    <w:name w:val="List Number 3 (Level 4)"/>
    <w:basedOn w:val="Text3"/>
    <w:rsid w:val="009D4357"/>
    <w:pPr>
      <w:numPr>
        <w:ilvl w:val="3"/>
        <w:numId w:val="37"/>
      </w:numPr>
    </w:pPr>
    <w:rPr>
      <w:rFonts w:eastAsia="Times New Roman"/>
      <w:lang w:val="fr-FR" w:eastAsia="en-GB"/>
    </w:rPr>
  </w:style>
  <w:style w:type="paragraph" w:customStyle="1" w:styleId="ListNumber4Level4">
    <w:name w:val="List Number 4 (Level 4)"/>
    <w:basedOn w:val="Text4"/>
    <w:rsid w:val="009D4357"/>
    <w:pPr>
      <w:numPr>
        <w:ilvl w:val="3"/>
        <w:numId w:val="38"/>
      </w:numPr>
    </w:pPr>
    <w:rPr>
      <w:rFonts w:eastAsia="Times New Roman"/>
      <w:lang w:val="fr-FR" w:eastAsia="en-GB"/>
    </w:rPr>
  </w:style>
  <w:style w:type="paragraph" w:customStyle="1" w:styleId="Annexetitreacte">
    <w:name w:val="Annexe titre (acte)"/>
    <w:basedOn w:val="Normal"/>
    <w:next w:val="Normal"/>
    <w:rsid w:val="009D4357"/>
    <w:pPr>
      <w:jc w:val="center"/>
    </w:pPr>
    <w:rPr>
      <w:rFonts w:eastAsia="Times New Roman"/>
      <w:b/>
      <w:u w:val="single"/>
      <w:lang w:val="fr-FR" w:eastAsia="en-GB"/>
    </w:rPr>
  </w:style>
  <w:style w:type="paragraph" w:customStyle="1" w:styleId="Annexetitreexposglobal">
    <w:name w:val="Annexe titre (exposé global)"/>
    <w:basedOn w:val="Normal"/>
    <w:next w:val="Normal"/>
    <w:rsid w:val="009D4357"/>
    <w:pPr>
      <w:jc w:val="center"/>
    </w:pPr>
    <w:rPr>
      <w:rFonts w:eastAsia="Times New Roman"/>
      <w:b/>
      <w:u w:val="single"/>
      <w:lang w:val="fr-FR" w:eastAsia="en-GB"/>
    </w:rPr>
  </w:style>
  <w:style w:type="paragraph" w:customStyle="1" w:styleId="Annexetitrefichefinacte">
    <w:name w:val="Annexe titre (fiche fin. acte)"/>
    <w:basedOn w:val="Normal"/>
    <w:next w:val="Normal"/>
    <w:rsid w:val="009D4357"/>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9D4357"/>
    <w:pPr>
      <w:jc w:val="center"/>
    </w:pPr>
    <w:rPr>
      <w:rFonts w:eastAsia="Times New Roman"/>
      <w:b/>
      <w:u w:val="single"/>
      <w:lang w:val="fr-FR" w:eastAsia="en-GB"/>
    </w:rPr>
  </w:style>
  <w:style w:type="paragraph" w:customStyle="1" w:styleId="Annexetitreglobale">
    <w:name w:val="Annexe titre (globale)"/>
    <w:basedOn w:val="Normal"/>
    <w:next w:val="Normal"/>
    <w:rsid w:val="009D4357"/>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9D4357"/>
    <w:pPr>
      <w:jc w:val="center"/>
    </w:pPr>
    <w:rPr>
      <w:rFonts w:eastAsia="Times New Roman"/>
      <w:b/>
      <w:u w:val="single"/>
      <w:lang w:val="fr-FR" w:eastAsia="en-GB"/>
    </w:rPr>
  </w:style>
  <w:style w:type="paragraph" w:customStyle="1" w:styleId="Langueoriginale">
    <w:name w:val="Langue originale"/>
    <w:basedOn w:val="Normal"/>
    <w:rsid w:val="009D4357"/>
    <w:pPr>
      <w:spacing w:before="360"/>
      <w:jc w:val="center"/>
    </w:pPr>
    <w:rPr>
      <w:rFonts w:eastAsia="Times New Roman"/>
      <w:caps/>
      <w:lang w:val="fr-FR" w:eastAsia="en-GB"/>
    </w:rPr>
  </w:style>
  <w:style w:type="paragraph" w:customStyle="1" w:styleId="Phrasefinale">
    <w:name w:val="Phrase finale"/>
    <w:basedOn w:val="Normal"/>
    <w:next w:val="Normal"/>
    <w:rsid w:val="009D4357"/>
    <w:pPr>
      <w:spacing w:before="360" w:after="0"/>
      <w:jc w:val="center"/>
    </w:pPr>
    <w:rPr>
      <w:rFonts w:eastAsia="Times New Roman"/>
      <w:lang w:val="fr-FR" w:eastAsia="en-GB"/>
    </w:rPr>
  </w:style>
  <w:style w:type="paragraph" w:customStyle="1" w:styleId="Prliminairetitre">
    <w:name w:val="Préliminaire titre"/>
    <w:basedOn w:val="Normal"/>
    <w:next w:val="Normal"/>
    <w:rsid w:val="009D4357"/>
    <w:pPr>
      <w:spacing w:before="360" w:after="360"/>
      <w:jc w:val="center"/>
    </w:pPr>
    <w:rPr>
      <w:rFonts w:eastAsia="Times New Roman"/>
      <w:b/>
      <w:lang w:val="fr-FR" w:eastAsia="en-GB"/>
    </w:rPr>
  </w:style>
  <w:style w:type="paragraph" w:customStyle="1" w:styleId="Prliminairetype">
    <w:name w:val="Préliminaire type"/>
    <w:basedOn w:val="Normal"/>
    <w:next w:val="Normal"/>
    <w:rsid w:val="009D4357"/>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9D4357"/>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9D4357"/>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9D4357"/>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9D4357"/>
    <w:pPr>
      <w:spacing w:before="0" w:after="0"/>
      <w:jc w:val="center"/>
    </w:pPr>
    <w:rPr>
      <w:rFonts w:eastAsia="Times New Roman"/>
      <w:b/>
      <w:lang w:val="fr-FR" w:eastAsia="en-GB"/>
    </w:rPr>
  </w:style>
  <w:style w:type="paragraph" w:customStyle="1" w:styleId="Statutprliminaire">
    <w:name w:val="Statut (préliminaire)"/>
    <w:basedOn w:val="Normal"/>
    <w:next w:val="Normal"/>
    <w:rsid w:val="009D4357"/>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9D4357"/>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9D4357"/>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9D4357"/>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9D4357"/>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9D4357"/>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9D4357"/>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9D4357"/>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9D4357"/>
    <w:pPr>
      <w:jc w:val="center"/>
    </w:pPr>
    <w:rPr>
      <w:rFonts w:eastAsia="Times New Roman"/>
      <w:b/>
      <w:u w:val="single"/>
      <w:lang w:val="fr-FR" w:eastAsia="en-GB"/>
    </w:rPr>
  </w:style>
  <w:style w:type="paragraph" w:styleId="Caption">
    <w:name w:val="caption"/>
    <w:basedOn w:val="Normal"/>
    <w:next w:val="Normal"/>
    <w:qFormat/>
    <w:rsid w:val="00E951DA"/>
    <w:rPr>
      <w:rFonts w:eastAsia="Times New Roman"/>
      <w:b/>
      <w:bCs/>
      <w:sz w:val="20"/>
      <w:szCs w:val="20"/>
      <w:lang w:val="fr-FR" w:eastAsia="en-GB"/>
    </w:rPr>
  </w:style>
  <w:style w:type="paragraph" w:styleId="TableofFigures">
    <w:name w:val="table of figures"/>
    <w:basedOn w:val="Normal"/>
    <w:next w:val="Normal"/>
    <w:rsid w:val="00E951DA"/>
    <w:rPr>
      <w:rFonts w:eastAsia="Times New Roman"/>
      <w:lang w:val="fr-FR" w:eastAsia="en-GB"/>
    </w:rPr>
  </w:style>
  <w:style w:type="character" w:styleId="PageNumber">
    <w:name w:val="page number"/>
    <w:rsid w:val="009D4357"/>
  </w:style>
  <w:style w:type="character" w:customStyle="1" w:styleId="tw4winMark">
    <w:name w:val="tw4winMark"/>
    <w:rsid w:val="009D4357"/>
    <w:rPr>
      <w:vanish/>
      <w:color w:val="800080"/>
      <w:vertAlign w:val="subscript"/>
    </w:rPr>
  </w:style>
  <w:style w:type="character" w:styleId="FollowedHyperlink">
    <w:name w:val="FollowedHyperlink"/>
    <w:rsid w:val="009D4357"/>
    <w:rPr>
      <w:color w:val="800080"/>
      <w:u w:val="single"/>
    </w:rPr>
  </w:style>
  <w:style w:type="paragraph" w:customStyle="1" w:styleId="Sous-titreobjet">
    <w:name w:val="Sous-titre objet"/>
    <w:basedOn w:val="Normal"/>
    <w:rsid w:val="009D435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9D4357"/>
  </w:style>
  <w:style w:type="character" w:customStyle="1" w:styleId="Heading11">
    <w:name w:val="Heading #1|1_"/>
    <w:basedOn w:val="DefaultParagraphFont"/>
    <w:link w:val="Heading110"/>
    <w:rsid w:val="009D4357"/>
    <w:rPr>
      <w:b/>
      <w:bCs/>
      <w:sz w:val="16"/>
      <w:szCs w:val="16"/>
      <w:shd w:val="clear" w:color="auto" w:fill="FFFFFF"/>
    </w:rPr>
  </w:style>
  <w:style w:type="paragraph" w:customStyle="1" w:styleId="Heading110">
    <w:name w:val="Heading #1|1"/>
    <w:basedOn w:val="Normal"/>
    <w:link w:val="Heading11"/>
    <w:qFormat/>
    <w:rsid w:val="009D4357"/>
    <w:pPr>
      <w:widowControl w:val="0"/>
      <w:shd w:val="clear" w:color="auto" w:fill="FFFFFF"/>
      <w:spacing w:before="0" w:after="160" w:line="178" w:lineRule="exact"/>
      <w:jc w:val="center"/>
      <w:outlineLvl w:val="0"/>
    </w:pPr>
    <w:rPr>
      <w:rFonts w:asciiTheme="minorHAnsi" w:hAnsiTheme="minorHAnsi" w:cstheme="minorBidi"/>
      <w:b/>
      <w:bCs/>
      <w:sz w:val="16"/>
      <w:szCs w:val="16"/>
      <w:lang w:val="en-US"/>
    </w:rPr>
  </w:style>
  <w:style w:type="character" w:customStyle="1" w:styleId="Bodytext2">
    <w:name w:val="Body text|2_"/>
    <w:basedOn w:val="DefaultParagraphFont"/>
    <w:link w:val="Bodytext20"/>
    <w:rsid w:val="009D4357"/>
    <w:rPr>
      <w:sz w:val="18"/>
      <w:szCs w:val="18"/>
      <w:shd w:val="clear" w:color="auto" w:fill="FFFFFF"/>
    </w:rPr>
  </w:style>
  <w:style w:type="paragraph" w:customStyle="1" w:styleId="Bodytext20">
    <w:name w:val="Body text|2"/>
    <w:basedOn w:val="Normal"/>
    <w:link w:val="Bodytext2"/>
    <w:qFormat/>
    <w:rsid w:val="009D4357"/>
    <w:pPr>
      <w:widowControl w:val="0"/>
      <w:shd w:val="clear" w:color="auto" w:fill="FFFFFF"/>
      <w:spacing w:before="580" w:after="580" w:line="200" w:lineRule="exact"/>
      <w:ind w:hanging="560"/>
    </w:pPr>
    <w:rPr>
      <w:rFonts w:asciiTheme="minorHAnsi" w:hAnsiTheme="minorHAnsi" w:cstheme="minorBidi"/>
      <w:sz w:val="18"/>
      <w:szCs w:val="18"/>
      <w:lang w:val="en-US"/>
    </w:rPr>
  </w:style>
  <w:style w:type="character" w:customStyle="1" w:styleId="Bodytext6">
    <w:name w:val="Body text|6_"/>
    <w:basedOn w:val="DefaultParagraphFont"/>
    <w:link w:val="Bodytext60"/>
    <w:rsid w:val="009D4357"/>
    <w:rPr>
      <w:i/>
      <w:iCs/>
      <w:sz w:val="18"/>
      <w:szCs w:val="18"/>
      <w:shd w:val="clear" w:color="auto" w:fill="FFFFFF"/>
    </w:rPr>
  </w:style>
  <w:style w:type="paragraph" w:customStyle="1" w:styleId="Bodytext60">
    <w:name w:val="Body text|6"/>
    <w:basedOn w:val="Normal"/>
    <w:link w:val="Bodytext6"/>
    <w:rsid w:val="009D4357"/>
    <w:pPr>
      <w:widowControl w:val="0"/>
      <w:shd w:val="clear" w:color="auto" w:fill="FFFFFF"/>
      <w:spacing w:before="440" w:after="440" w:line="200" w:lineRule="exact"/>
      <w:ind w:hanging="600"/>
      <w:jc w:val="center"/>
    </w:pPr>
    <w:rPr>
      <w:rFonts w:asciiTheme="minorHAnsi" w:hAnsiTheme="minorHAnsi" w:cstheme="minorBidi"/>
      <w:i/>
      <w:iCs/>
      <w:sz w:val="18"/>
      <w:szCs w:val="18"/>
      <w:lang w:val="en-US"/>
    </w:rPr>
  </w:style>
  <w:style w:type="character" w:customStyle="1" w:styleId="TOCHeadingChar">
    <w:name w:val="TOC Heading Char"/>
    <w:basedOn w:val="DefaultParagraphFont"/>
    <w:uiPriority w:val="39"/>
    <w:rsid w:val="009D4357"/>
    <w:rPr>
      <w:rFonts w:ascii="Times New Roman" w:hAnsi="Times New Roman" w:cs="Times New Roman"/>
      <w:b/>
      <w:sz w:val="28"/>
      <w:lang w:val="en-GB"/>
    </w:rPr>
  </w:style>
  <w:style w:type="paragraph" w:customStyle="1" w:styleId="FooterCoverPage">
    <w:name w:val="Footer Cover Page"/>
    <w:basedOn w:val="Normal"/>
    <w:link w:val="FooterCoverPageChar"/>
    <w:rsid w:val="009D4357"/>
    <w:pPr>
      <w:tabs>
        <w:tab w:val="center" w:pos="4535"/>
        <w:tab w:val="right" w:pos="9071"/>
        <w:tab w:val="right" w:pos="9921"/>
      </w:tabs>
      <w:spacing w:before="360" w:after="0"/>
      <w:ind w:left="-850" w:right="-850"/>
      <w:jc w:val="left"/>
    </w:pPr>
  </w:style>
  <w:style w:type="character" w:customStyle="1" w:styleId="FooterCoverPageChar">
    <w:name w:val="Footer Cover Page Char"/>
    <w:basedOn w:val="TOCHeadingChar"/>
    <w:link w:val="FooterCoverPage"/>
    <w:rsid w:val="009D4357"/>
    <w:rPr>
      <w:rFonts w:ascii="Times New Roman" w:hAnsi="Times New Roman" w:cs="Times New Roman"/>
      <w:b w:val="0"/>
      <w:sz w:val="24"/>
      <w:lang w:val="en-GB"/>
    </w:rPr>
  </w:style>
  <w:style w:type="paragraph" w:customStyle="1" w:styleId="HeaderCoverPage">
    <w:name w:val="Header Cover Page"/>
    <w:basedOn w:val="Normal"/>
    <w:link w:val="HeaderCoverPageChar"/>
    <w:rsid w:val="009D4357"/>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sid w:val="009D4357"/>
    <w:rPr>
      <w:rFonts w:ascii="Times New Roman" w:hAnsi="Times New Roman" w:cs="Times New Roman"/>
      <w:b w:val="0"/>
      <w:sz w:val="24"/>
      <w:lang w:val="en-GB" w:eastAsia="en-GB"/>
    </w:rPr>
  </w:style>
  <w:style w:type="table" w:customStyle="1" w:styleId="TableGrid1">
    <w:name w:val="Table Grid1"/>
    <w:basedOn w:val="TableNormal"/>
    <w:next w:val="TableGrid"/>
    <w:rsid w:val="009D435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D4357"/>
    <w:pPr>
      <w:spacing w:after="0" w:line="240" w:lineRule="auto"/>
    </w:pPr>
    <w:rPr>
      <w:sz w:val="20"/>
      <w:szCs w:val="20"/>
      <w:lang w:val="en-GB" w:eastAsia="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w4winError">
    <w:name w:val="tw4winError"/>
    <w:rsid w:val="002A22AB"/>
    <w:rPr>
      <w:color w:val="00FF00"/>
      <w:sz w:val="40"/>
      <w:lang w:val="en-GB" w:eastAsia="en-GB"/>
    </w:rPr>
  </w:style>
  <w:style w:type="character" w:customStyle="1" w:styleId="tw4winTerm">
    <w:name w:val="tw4winTerm"/>
    <w:rsid w:val="002A22AB"/>
    <w:rPr>
      <w:color w:val="0000FF"/>
      <w:lang w:val="en-GB" w:eastAsia="en-GB"/>
    </w:rPr>
  </w:style>
  <w:style w:type="character" w:customStyle="1" w:styleId="tw4winPopup">
    <w:name w:val="tw4winPopup"/>
    <w:rsid w:val="002A22AB"/>
    <w:rPr>
      <w:noProof/>
      <w:color w:val="008000"/>
      <w:lang w:val="en-GB" w:eastAsia="en-GB"/>
    </w:rPr>
  </w:style>
  <w:style w:type="character" w:customStyle="1" w:styleId="tw4winJump">
    <w:name w:val="tw4winJump"/>
    <w:rsid w:val="002A22AB"/>
    <w:rPr>
      <w:noProof/>
      <w:color w:val="008080"/>
      <w:lang w:val="en-GB" w:eastAsia="en-GB"/>
    </w:rPr>
  </w:style>
  <w:style w:type="character" w:customStyle="1" w:styleId="tw4winExternal">
    <w:name w:val="tw4winExternal"/>
    <w:rsid w:val="002A22AB"/>
    <w:rPr>
      <w:noProof/>
      <w:color w:val="808080"/>
      <w:lang w:val="en-GB" w:eastAsia="en-GB"/>
    </w:rPr>
  </w:style>
  <w:style w:type="character" w:customStyle="1" w:styleId="tw4winInternal">
    <w:name w:val="tw4winInternal"/>
    <w:rsid w:val="002A22AB"/>
    <w:rPr>
      <w:noProof/>
      <w:color w:val="FF0000"/>
      <w:lang w:val="en-GB" w:eastAsia="en-GB"/>
    </w:rPr>
  </w:style>
  <w:style w:type="character" w:customStyle="1" w:styleId="DONOTTRANSLATE">
    <w:name w:val="DO_NOT_TRANSLATE"/>
    <w:rsid w:val="002A22AB"/>
    <w:rPr>
      <w:noProof/>
      <w:color w:val="800000"/>
      <w:lang w:val="en-GB" w:eastAsia="en-GB"/>
    </w:rPr>
  </w:style>
  <w:style w:type="character" w:styleId="FootnoteReference0">
    <w:name w:val="footnote reference"/>
    <w:basedOn w:val="DefaultParagraphFont"/>
    <w:uiPriority w:val="99"/>
    <w:semiHidden/>
    <w:unhideWhenUsed/>
    <w:rsid w:val="009B7138"/>
    <w:rPr>
      <w:shd w:val="clear" w:color="auto" w:fill="auto"/>
      <w:vertAlign w:val="superscript"/>
    </w:rPr>
  </w:style>
  <w:style w:type="paragraph" w:customStyle="1" w:styleId="Intit">
    <w:name w:val="Intit"/>
    <w:basedOn w:val="Fait"/>
    <w:rsid w:val="00BB77EA"/>
    <w:rPr>
      <w:i/>
    </w:rPr>
  </w:style>
  <w:style w:type="paragraph" w:customStyle="1" w:styleId="Fichefinancieretitre">
    <w:name w:val="Fiche financiere titre"/>
    <w:basedOn w:val="Normal"/>
    <w:rsid w:val="005E782D"/>
    <w:pPr>
      <w:jc w:val="center"/>
    </w:pPr>
    <w:rPr>
      <w:b/>
      <w:noProof/>
      <w:u w:val="single"/>
    </w:rPr>
  </w:style>
  <w:style w:type="paragraph" w:customStyle="1" w:styleId="Text">
    <w:name w:val="Text"/>
    <w:basedOn w:val="Point0number"/>
    <w:rsid w:val="007B1946"/>
    <w:pPr>
      <w:numPr>
        <w:numId w:val="0"/>
      </w:numPr>
    </w:pPr>
  </w:style>
  <w:style w:type="paragraph" w:customStyle="1" w:styleId="Normal0">
    <w:name w:val="Normal#"/>
    <w:basedOn w:val="Point0letter"/>
    <w:rsid w:val="007B1946"/>
    <w:pPr>
      <w:numPr>
        <w:ilvl w:val="0"/>
        <w:numId w:val="0"/>
      </w:numPr>
    </w:pPr>
  </w:style>
  <w:style w:type="paragraph" w:styleId="Header">
    <w:name w:val="header"/>
    <w:basedOn w:val="Normal"/>
    <w:link w:val="HeaderChar"/>
    <w:uiPriority w:val="99"/>
    <w:unhideWhenUsed/>
    <w:rsid w:val="009D02A3"/>
    <w:pPr>
      <w:tabs>
        <w:tab w:val="center" w:pos="4535"/>
        <w:tab w:val="right" w:pos="9071"/>
      </w:tabs>
      <w:spacing w:before="0"/>
    </w:pPr>
  </w:style>
  <w:style w:type="character" w:customStyle="1" w:styleId="HeaderChar">
    <w:name w:val="Header Char"/>
    <w:basedOn w:val="DefaultParagraphFont"/>
    <w:link w:val="Header"/>
    <w:uiPriority w:val="99"/>
    <w:rsid w:val="009D02A3"/>
    <w:rPr>
      <w:rFonts w:ascii="Times New Roman" w:hAnsi="Times New Roman" w:cs="Times New Roman"/>
      <w:sz w:val="24"/>
      <w:lang w:val="en-GB"/>
    </w:rPr>
  </w:style>
  <w:style w:type="paragraph" w:styleId="Footer">
    <w:name w:val="footer"/>
    <w:basedOn w:val="Normal"/>
    <w:link w:val="FooterChar"/>
    <w:uiPriority w:val="99"/>
    <w:unhideWhenUsed/>
    <w:rsid w:val="009D02A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D02A3"/>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D02A3"/>
    <w:pPr>
      <w:tabs>
        <w:tab w:val="center" w:pos="7285"/>
        <w:tab w:val="right" w:pos="14003"/>
      </w:tabs>
      <w:spacing w:before="0"/>
    </w:pPr>
  </w:style>
  <w:style w:type="paragraph" w:customStyle="1" w:styleId="FooterLandscape">
    <w:name w:val="FooterLandscape"/>
    <w:basedOn w:val="Normal"/>
    <w:rsid w:val="009D02A3"/>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9D02A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D02A3"/>
    <w:pPr>
      <w:spacing w:before="0"/>
      <w:jc w:val="right"/>
    </w:pPr>
    <w:rPr>
      <w:sz w:val="28"/>
    </w:rPr>
  </w:style>
  <w:style w:type="paragraph" w:customStyle="1" w:styleId="FooterSensitivity">
    <w:name w:val="Footer Sensitivity"/>
    <w:basedOn w:val="Normal"/>
    <w:rsid w:val="009D02A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65"/>
      </w:numPr>
    </w:pPr>
  </w:style>
  <w:style w:type="paragraph" w:customStyle="1" w:styleId="Tiret1">
    <w:name w:val="Tiret 1"/>
    <w:basedOn w:val="Point1"/>
    <w:rsid w:val="009B7138"/>
    <w:pPr>
      <w:numPr>
        <w:numId w:val="66"/>
      </w:numPr>
    </w:pPr>
  </w:style>
  <w:style w:type="paragraph" w:customStyle="1" w:styleId="Tiret2">
    <w:name w:val="Tiret 2"/>
    <w:basedOn w:val="Point2"/>
    <w:rsid w:val="009B7138"/>
    <w:pPr>
      <w:numPr>
        <w:numId w:val="67"/>
      </w:numPr>
    </w:pPr>
  </w:style>
  <w:style w:type="paragraph" w:customStyle="1" w:styleId="Tiret3">
    <w:name w:val="Tiret 3"/>
    <w:basedOn w:val="Point3"/>
    <w:rsid w:val="009B7138"/>
    <w:pPr>
      <w:numPr>
        <w:numId w:val="68"/>
      </w:numPr>
    </w:pPr>
  </w:style>
  <w:style w:type="paragraph" w:customStyle="1" w:styleId="Tiret4">
    <w:name w:val="Tiret 4"/>
    <w:basedOn w:val="Point4"/>
    <w:rsid w:val="009B7138"/>
    <w:pPr>
      <w:numPr>
        <w:numId w:val="69"/>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85"/>
      </w:numPr>
    </w:pPr>
  </w:style>
  <w:style w:type="paragraph" w:customStyle="1" w:styleId="NumPar2">
    <w:name w:val="NumPar 2"/>
    <w:basedOn w:val="Normal"/>
    <w:next w:val="Text1"/>
    <w:rsid w:val="009B7138"/>
    <w:pPr>
      <w:numPr>
        <w:ilvl w:val="1"/>
        <w:numId w:val="85"/>
      </w:numPr>
    </w:pPr>
  </w:style>
  <w:style w:type="paragraph" w:customStyle="1" w:styleId="NumPar3">
    <w:name w:val="NumPar 3"/>
    <w:basedOn w:val="Normal"/>
    <w:next w:val="Text1"/>
    <w:rsid w:val="009B7138"/>
    <w:pPr>
      <w:numPr>
        <w:ilvl w:val="2"/>
        <w:numId w:val="85"/>
      </w:numPr>
    </w:pPr>
  </w:style>
  <w:style w:type="paragraph" w:customStyle="1" w:styleId="NumPar4">
    <w:name w:val="NumPar 4"/>
    <w:basedOn w:val="Normal"/>
    <w:next w:val="Text1"/>
    <w:rsid w:val="009B7138"/>
    <w:pPr>
      <w:numPr>
        <w:ilvl w:val="3"/>
        <w:numId w:val="85"/>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196B80"/>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72"/>
      </w:numPr>
    </w:pPr>
  </w:style>
  <w:style w:type="paragraph" w:customStyle="1" w:styleId="Point1number">
    <w:name w:val="Point 1 (number)"/>
    <w:basedOn w:val="Normal"/>
    <w:rsid w:val="009B7138"/>
    <w:pPr>
      <w:numPr>
        <w:ilvl w:val="2"/>
        <w:numId w:val="72"/>
      </w:numPr>
    </w:pPr>
  </w:style>
  <w:style w:type="paragraph" w:customStyle="1" w:styleId="Point2number">
    <w:name w:val="Point 2 (number)"/>
    <w:basedOn w:val="Normal"/>
    <w:rsid w:val="009B7138"/>
    <w:pPr>
      <w:numPr>
        <w:ilvl w:val="4"/>
        <w:numId w:val="72"/>
      </w:numPr>
    </w:pPr>
  </w:style>
  <w:style w:type="paragraph" w:customStyle="1" w:styleId="Point3number">
    <w:name w:val="Point 3 (number)"/>
    <w:basedOn w:val="Normal"/>
    <w:rsid w:val="009B7138"/>
    <w:pPr>
      <w:numPr>
        <w:ilvl w:val="6"/>
        <w:numId w:val="72"/>
      </w:numPr>
    </w:pPr>
  </w:style>
  <w:style w:type="paragraph" w:customStyle="1" w:styleId="Point0letter">
    <w:name w:val="Point 0 (letter)"/>
    <w:basedOn w:val="Normal"/>
    <w:rsid w:val="009B7138"/>
    <w:pPr>
      <w:numPr>
        <w:ilvl w:val="1"/>
        <w:numId w:val="72"/>
      </w:numPr>
    </w:pPr>
  </w:style>
  <w:style w:type="paragraph" w:customStyle="1" w:styleId="Point1letter">
    <w:name w:val="Point 1 (letter)"/>
    <w:basedOn w:val="Normal"/>
    <w:rsid w:val="009B7138"/>
    <w:pPr>
      <w:numPr>
        <w:ilvl w:val="3"/>
        <w:numId w:val="72"/>
      </w:numPr>
    </w:pPr>
  </w:style>
  <w:style w:type="paragraph" w:customStyle="1" w:styleId="Point2letter">
    <w:name w:val="Point 2 (letter)"/>
    <w:basedOn w:val="Normal"/>
    <w:rsid w:val="009B7138"/>
    <w:pPr>
      <w:numPr>
        <w:ilvl w:val="5"/>
        <w:numId w:val="72"/>
      </w:numPr>
    </w:pPr>
  </w:style>
  <w:style w:type="paragraph" w:customStyle="1" w:styleId="Point3letter">
    <w:name w:val="Point 3 (letter)"/>
    <w:basedOn w:val="Normal"/>
    <w:rsid w:val="009B7138"/>
    <w:pPr>
      <w:numPr>
        <w:ilvl w:val="7"/>
        <w:numId w:val="72"/>
      </w:numPr>
    </w:pPr>
  </w:style>
  <w:style w:type="paragraph" w:customStyle="1" w:styleId="Point4letter">
    <w:name w:val="Point 4 (letter)"/>
    <w:basedOn w:val="Normal"/>
    <w:rsid w:val="009B7138"/>
    <w:pPr>
      <w:numPr>
        <w:ilvl w:val="8"/>
        <w:numId w:val="72"/>
      </w:numPr>
    </w:pPr>
  </w:style>
  <w:style w:type="paragraph" w:customStyle="1" w:styleId="Bullet0">
    <w:name w:val="Bullet 0"/>
    <w:basedOn w:val="Normal"/>
    <w:rsid w:val="009B7138"/>
    <w:pPr>
      <w:numPr>
        <w:numId w:val="73"/>
      </w:numPr>
    </w:pPr>
  </w:style>
  <w:style w:type="paragraph" w:customStyle="1" w:styleId="Bullet1">
    <w:name w:val="Bullet 1"/>
    <w:basedOn w:val="Normal"/>
    <w:rsid w:val="009B7138"/>
    <w:pPr>
      <w:numPr>
        <w:numId w:val="74"/>
      </w:numPr>
    </w:pPr>
  </w:style>
  <w:style w:type="paragraph" w:customStyle="1" w:styleId="Bullet2">
    <w:name w:val="Bullet 2"/>
    <w:basedOn w:val="Normal"/>
    <w:rsid w:val="009B7138"/>
    <w:pPr>
      <w:numPr>
        <w:numId w:val="75"/>
      </w:numPr>
    </w:pPr>
  </w:style>
  <w:style w:type="paragraph" w:customStyle="1" w:styleId="Bullet3">
    <w:name w:val="Bullet 3"/>
    <w:basedOn w:val="Normal"/>
    <w:rsid w:val="009B7138"/>
    <w:pPr>
      <w:numPr>
        <w:numId w:val="76"/>
      </w:numPr>
    </w:pPr>
  </w:style>
  <w:style w:type="paragraph" w:customStyle="1" w:styleId="Bullet4">
    <w:name w:val="Bullet 4"/>
    <w:basedOn w:val="Normal"/>
    <w:rsid w:val="009B7138"/>
    <w:pPr>
      <w:numPr>
        <w:numId w:val="77"/>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78"/>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374C37"/>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374C37"/>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374C37"/>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374C37"/>
    <w:pPr>
      <w:keepNext/>
      <w:tabs>
        <w:tab w:val="left" w:pos="1417"/>
      </w:tabs>
      <w:ind w:left="1417" w:hanging="1417"/>
      <w:outlineLvl w:val="4"/>
    </w:pPr>
  </w:style>
  <w:style w:type="paragraph" w:customStyle="1" w:styleId="ManualHeading6">
    <w:name w:val="Manual Heading 6"/>
    <w:basedOn w:val="Normal"/>
    <w:next w:val="Text2"/>
    <w:rsid w:val="00374C37"/>
    <w:pPr>
      <w:keepNext/>
      <w:tabs>
        <w:tab w:val="left" w:pos="1417"/>
      </w:tabs>
      <w:ind w:left="1417" w:hanging="1417"/>
      <w:outlineLvl w:val="5"/>
    </w:pPr>
  </w:style>
  <w:style w:type="paragraph" w:customStyle="1" w:styleId="ManualHeading7">
    <w:name w:val="Manual Heading 7"/>
    <w:basedOn w:val="Normal"/>
    <w:next w:val="Text2"/>
    <w:rsid w:val="00374C37"/>
    <w:pPr>
      <w:keepNext/>
      <w:tabs>
        <w:tab w:val="left" w:pos="1417"/>
      </w:tabs>
      <w:ind w:left="1417" w:hanging="1417"/>
      <w:outlineLvl w:val="6"/>
    </w:pPr>
  </w:style>
  <w:style w:type="paragraph" w:customStyle="1" w:styleId="Text5">
    <w:name w:val="Text 5"/>
    <w:basedOn w:val="Normal"/>
    <w:rsid w:val="00374C37"/>
    <w:pPr>
      <w:ind w:left="3118"/>
    </w:pPr>
  </w:style>
  <w:style w:type="paragraph" w:customStyle="1" w:styleId="Text6">
    <w:name w:val="Text 6"/>
    <w:basedOn w:val="Normal"/>
    <w:rsid w:val="00374C37"/>
    <w:pPr>
      <w:ind w:left="3685"/>
    </w:pPr>
  </w:style>
  <w:style w:type="paragraph" w:customStyle="1" w:styleId="Point5">
    <w:name w:val="Point 5"/>
    <w:basedOn w:val="Normal"/>
    <w:rsid w:val="00374C37"/>
    <w:pPr>
      <w:ind w:left="3685" w:hanging="567"/>
    </w:pPr>
  </w:style>
  <w:style w:type="paragraph" w:customStyle="1" w:styleId="Tiret5">
    <w:name w:val="Tiret 5"/>
    <w:basedOn w:val="Point5"/>
    <w:rsid w:val="00374C37"/>
    <w:pPr>
      <w:numPr>
        <w:numId w:val="82"/>
      </w:numPr>
    </w:pPr>
  </w:style>
  <w:style w:type="paragraph" w:customStyle="1" w:styleId="NumPar5">
    <w:name w:val="NumPar 5"/>
    <w:basedOn w:val="Normal"/>
    <w:next w:val="Text2"/>
    <w:rsid w:val="00374C37"/>
    <w:pPr>
      <w:numPr>
        <w:ilvl w:val="4"/>
        <w:numId w:val="85"/>
      </w:numPr>
    </w:pPr>
  </w:style>
  <w:style w:type="paragraph" w:customStyle="1" w:styleId="NumPar6">
    <w:name w:val="NumPar 6"/>
    <w:basedOn w:val="Normal"/>
    <w:next w:val="Text2"/>
    <w:rsid w:val="00374C37"/>
    <w:pPr>
      <w:numPr>
        <w:ilvl w:val="5"/>
        <w:numId w:val="85"/>
      </w:numPr>
    </w:pPr>
  </w:style>
  <w:style w:type="paragraph" w:customStyle="1" w:styleId="NumPar7">
    <w:name w:val="NumPar 7"/>
    <w:basedOn w:val="Normal"/>
    <w:next w:val="Text2"/>
    <w:rsid w:val="00374C37"/>
    <w:pPr>
      <w:numPr>
        <w:ilvl w:val="6"/>
        <w:numId w:val="85"/>
      </w:numPr>
    </w:pPr>
  </w:style>
  <w:style w:type="paragraph" w:customStyle="1" w:styleId="ManualNumPar5">
    <w:name w:val="Manual NumPar 5"/>
    <w:basedOn w:val="Normal"/>
    <w:next w:val="Text2"/>
    <w:rsid w:val="00374C37"/>
    <w:pPr>
      <w:ind w:left="1417" w:hanging="1417"/>
    </w:pPr>
  </w:style>
  <w:style w:type="paragraph" w:customStyle="1" w:styleId="ManualNumPar6">
    <w:name w:val="Manual NumPar 6"/>
    <w:basedOn w:val="Normal"/>
    <w:next w:val="Text2"/>
    <w:rsid w:val="00374C37"/>
    <w:pPr>
      <w:ind w:left="1417" w:hanging="1417"/>
    </w:pPr>
  </w:style>
  <w:style w:type="paragraph" w:customStyle="1" w:styleId="ManualNumPar7">
    <w:name w:val="Manual NumPar 7"/>
    <w:basedOn w:val="Normal"/>
    <w:next w:val="Text2"/>
    <w:rsid w:val="00374C37"/>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2892">
      <w:bodyDiv w:val="1"/>
      <w:marLeft w:val="0"/>
      <w:marRight w:val="0"/>
      <w:marTop w:val="0"/>
      <w:marBottom w:val="0"/>
      <w:divBdr>
        <w:top w:val="none" w:sz="0" w:space="0" w:color="auto"/>
        <w:left w:val="none" w:sz="0" w:space="0" w:color="auto"/>
        <w:bottom w:val="none" w:sz="0" w:space="0" w:color="auto"/>
        <w:right w:val="none" w:sz="0" w:space="0" w:color="auto"/>
      </w:divBdr>
    </w:div>
    <w:div w:id="11760247">
      <w:bodyDiv w:val="1"/>
      <w:marLeft w:val="0"/>
      <w:marRight w:val="0"/>
      <w:marTop w:val="0"/>
      <w:marBottom w:val="0"/>
      <w:divBdr>
        <w:top w:val="none" w:sz="0" w:space="0" w:color="auto"/>
        <w:left w:val="none" w:sz="0" w:space="0" w:color="auto"/>
        <w:bottom w:val="none" w:sz="0" w:space="0" w:color="auto"/>
        <w:right w:val="none" w:sz="0" w:space="0" w:color="auto"/>
      </w:divBdr>
    </w:div>
    <w:div w:id="47531686">
      <w:bodyDiv w:val="1"/>
      <w:marLeft w:val="0"/>
      <w:marRight w:val="0"/>
      <w:marTop w:val="0"/>
      <w:marBottom w:val="0"/>
      <w:divBdr>
        <w:top w:val="none" w:sz="0" w:space="0" w:color="auto"/>
        <w:left w:val="none" w:sz="0" w:space="0" w:color="auto"/>
        <w:bottom w:val="none" w:sz="0" w:space="0" w:color="auto"/>
        <w:right w:val="none" w:sz="0" w:space="0" w:color="auto"/>
      </w:divBdr>
    </w:div>
    <w:div w:id="47609111">
      <w:bodyDiv w:val="1"/>
      <w:marLeft w:val="0"/>
      <w:marRight w:val="0"/>
      <w:marTop w:val="0"/>
      <w:marBottom w:val="0"/>
      <w:divBdr>
        <w:top w:val="none" w:sz="0" w:space="0" w:color="auto"/>
        <w:left w:val="none" w:sz="0" w:space="0" w:color="auto"/>
        <w:bottom w:val="none" w:sz="0" w:space="0" w:color="auto"/>
        <w:right w:val="none" w:sz="0" w:space="0" w:color="auto"/>
      </w:divBdr>
      <w:divsChild>
        <w:div w:id="1969121539">
          <w:marLeft w:val="0"/>
          <w:marRight w:val="0"/>
          <w:marTop w:val="0"/>
          <w:marBottom w:val="0"/>
          <w:divBdr>
            <w:top w:val="none" w:sz="0" w:space="0" w:color="auto"/>
            <w:left w:val="none" w:sz="0" w:space="0" w:color="auto"/>
            <w:bottom w:val="none" w:sz="0" w:space="0" w:color="auto"/>
            <w:right w:val="none" w:sz="0" w:space="0" w:color="auto"/>
          </w:divBdr>
        </w:div>
        <w:div w:id="1195460307">
          <w:marLeft w:val="0"/>
          <w:marRight w:val="0"/>
          <w:marTop w:val="0"/>
          <w:marBottom w:val="0"/>
          <w:divBdr>
            <w:top w:val="none" w:sz="0" w:space="0" w:color="auto"/>
            <w:left w:val="none" w:sz="0" w:space="0" w:color="auto"/>
            <w:bottom w:val="none" w:sz="0" w:space="0" w:color="auto"/>
            <w:right w:val="none" w:sz="0" w:space="0" w:color="auto"/>
          </w:divBdr>
        </w:div>
        <w:div w:id="911282700">
          <w:marLeft w:val="0"/>
          <w:marRight w:val="0"/>
          <w:marTop w:val="0"/>
          <w:marBottom w:val="0"/>
          <w:divBdr>
            <w:top w:val="none" w:sz="0" w:space="0" w:color="auto"/>
            <w:left w:val="none" w:sz="0" w:space="0" w:color="auto"/>
            <w:bottom w:val="none" w:sz="0" w:space="0" w:color="auto"/>
            <w:right w:val="none" w:sz="0" w:space="0" w:color="auto"/>
          </w:divBdr>
        </w:div>
        <w:div w:id="1583637866">
          <w:marLeft w:val="0"/>
          <w:marRight w:val="0"/>
          <w:marTop w:val="0"/>
          <w:marBottom w:val="0"/>
          <w:divBdr>
            <w:top w:val="none" w:sz="0" w:space="0" w:color="auto"/>
            <w:left w:val="none" w:sz="0" w:space="0" w:color="auto"/>
            <w:bottom w:val="none" w:sz="0" w:space="0" w:color="auto"/>
            <w:right w:val="none" w:sz="0" w:space="0" w:color="auto"/>
          </w:divBdr>
        </w:div>
        <w:div w:id="1220482456">
          <w:marLeft w:val="0"/>
          <w:marRight w:val="0"/>
          <w:marTop w:val="0"/>
          <w:marBottom w:val="0"/>
          <w:divBdr>
            <w:top w:val="none" w:sz="0" w:space="0" w:color="auto"/>
            <w:left w:val="none" w:sz="0" w:space="0" w:color="auto"/>
            <w:bottom w:val="none" w:sz="0" w:space="0" w:color="auto"/>
            <w:right w:val="none" w:sz="0" w:space="0" w:color="auto"/>
          </w:divBdr>
        </w:div>
      </w:divsChild>
    </w:div>
    <w:div w:id="48068948">
      <w:bodyDiv w:val="1"/>
      <w:marLeft w:val="0"/>
      <w:marRight w:val="0"/>
      <w:marTop w:val="0"/>
      <w:marBottom w:val="0"/>
      <w:divBdr>
        <w:top w:val="none" w:sz="0" w:space="0" w:color="auto"/>
        <w:left w:val="none" w:sz="0" w:space="0" w:color="auto"/>
        <w:bottom w:val="none" w:sz="0" w:space="0" w:color="auto"/>
        <w:right w:val="none" w:sz="0" w:space="0" w:color="auto"/>
      </w:divBdr>
    </w:div>
    <w:div w:id="49428086">
      <w:bodyDiv w:val="1"/>
      <w:marLeft w:val="0"/>
      <w:marRight w:val="0"/>
      <w:marTop w:val="0"/>
      <w:marBottom w:val="0"/>
      <w:divBdr>
        <w:top w:val="none" w:sz="0" w:space="0" w:color="auto"/>
        <w:left w:val="none" w:sz="0" w:space="0" w:color="auto"/>
        <w:bottom w:val="none" w:sz="0" w:space="0" w:color="auto"/>
        <w:right w:val="none" w:sz="0" w:space="0" w:color="auto"/>
      </w:divBdr>
    </w:div>
    <w:div w:id="56125336">
      <w:bodyDiv w:val="1"/>
      <w:marLeft w:val="0"/>
      <w:marRight w:val="0"/>
      <w:marTop w:val="0"/>
      <w:marBottom w:val="0"/>
      <w:divBdr>
        <w:top w:val="none" w:sz="0" w:space="0" w:color="auto"/>
        <w:left w:val="none" w:sz="0" w:space="0" w:color="auto"/>
        <w:bottom w:val="none" w:sz="0" w:space="0" w:color="auto"/>
        <w:right w:val="none" w:sz="0" w:space="0" w:color="auto"/>
      </w:divBdr>
    </w:div>
    <w:div w:id="139689295">
      <w:bodyDiv w:val="1"/>
      <w:marLeft w:val="0"/>
      <w:marRight w:val="0"/>
      <w:marTop w:val="0"/>
      <w:marBottom w:val="0"/>
      <w:divBdr>
        <w:top w:val="none" w:sz="0" w:space="0" w:color="auto"/>
        <w:left w:val="none" w:sz="0" w:space="0" w:color="auto"/>
        <w:bottom w:val="none" w:sz="0" w:space="0" w:color="auto"/>
        <w:right w:val="none" w:sz="0" w:space="0" w:color="auto"/>
      </w:divBdr>
    </w:div>
    <w:div w:id="186022021">
      <w:bodyDiv w:val="1"/>
      <w:marLeft w:val="0"/>
      <w:marRight w:val="0"/>
      <w:marTop w:val="0"/>
      <w:marBottom w:val="0"/>
      <w:divBdr>
        <w:top w:val="none" w:sz="0" w:space="0" w:color="auto"/>
        <w:left w:val="none" w:sz="0" w:space="0" w:color="auto"/>
        <w:bottom w:val="none" w:sz="0" w:space="0" w:color="auto"/>
        <w:right w:val="none" w:sz="0" w:space="0" w:color="auto"/>
      </w:divBdr>
    </w:div>
    <w:div w:id="193079161">
      <w:bodyDiv w:val="1"/>
      <w:marLeft w:val="0"/>
      <w:marRight w:val="0"/>
      <w:marTop w:val="0"/>
      <w:marBottom w:val="0"/>
      <w:divBdr>
        <w:top w:val="none" w:sz="0" w:space="0" w:color="auto"/>
        <w:left w:val="none" w:sz="0" w:space="0" w:color="auto"/>
        <w:bottom w:val="none" w:sz="0" w:space="0" w:color="auto"/>
        <w:right w:val="none" w:sz="0" w:space="0" w:color="auto"/>
      </w:divBdr>
    </w:div>
    <w:div w:id="247079715">
      <w:bodyDiv w:val="1"/>
      <w:marLeft w:val="0"/>
      <w:marRight w:val="0"/>
      <w:marTop w:val="0"/>
      <w:marBottom w:val="0"/>
      <w:divBdr>
        <w:top w:val="none" w:sz="0" w:space="0" w:color="auto"/>
        <w:left w:val="none" w:sz="0" w:space="0" w:color="auto"/>
        <w:bottom w:val="none" w:sz="0" w:space="0" w:color="auto"/>
        <w:right w:val="none" w:sz="0" w:space="0" w:color="auto"/>
      </w:divBdr>
    </w:div>
    <w:div w:id="247465691">
      <w:bodyDiv w:val="1"/>
      <w:marLeft w:val="0"/>
      <w:marRight w:val="0"/>
      <w:marTop w:val="0"/>
      <w:marBottom w:val="0"/>
      <w:divBdr>
        <w:top w:val="none" w:sz="0" w:space="0" w:color="auto"/>
        <w:left w:val="none" w:sz="0" w:space="0" w:color="auto"/>
        <w:bottom w:val="none" w:sz="0" w:space="0" w:color="auto"/>
        <w:right w:val="none" w:sz="0" w:space="0" w:color="auto"/>
      </w:divBdr>
    </w:div>
    <w:div w:id="249775202">
      <w:bodyDiv w:val="1"/>
      <w:marLeft w:val="0"/>
      <w:marRight w:val="0"/>
      <w:marTop w:val="0"/>
      <w:marBottom w:val="0"/>
      <w:divBdr>
        <w:top w:val="none" w:sz="0" w:space="0" w:color="auto"/>
        <w:left w:val="none" w:sz="0" w:space="0" w:color="auto"/>
        <w:bottom w:val="none" w:sz="0" w:space="0" w:color="auto"/>
        <w:right w:val="none" w:sz="0" w:space="0" w:color="auto"/>
      </w:divBdr>
    </w:div>
    <w:div w:id="260995886">
      <w:bodyDiv w:val="1"/>
      <w:marLeft w:val="0"/>
      <w:marRight w:val="0"/>
      <w:marTop w:val="0"/>
      <w:marBottom w:val="0"/>
      <w:divBdr>
        <w:top w:val="none" w:sz="0" w:space="0" w:color="auto"/>
        <w:left w:val="none" w:sz="0" w:space="0" w:color="auto"/>
        <w:bottom w:val="none" w:sz="0" w:space="0" w:color="auto"/>
        <w:right w:val="none" w:sz="0" w:space="0" w:color="auto"/>
      </w:divBdr>
    </w:div>
    <w:div w:id="278950046">
      <w:bodyDiv w:val="1"/>
      <w:marLeft w:val="0"/>
      <w:marRight w:val="0"/>
      <w:marTop w:val="0"/>
      <w:marBottom w:val="0"/>
      <w:divBdr>
        <w:top w:val="none" w:sz="0" w:space="0" w:color="auto"/>
        <w:left w:val="none" w:sz="0" w:space="0" w:color="auto"/>
        <w:bottom w:val="none" w:sz="0" w:space="0" w:color="auto"/>
        <w:right w:val="none" w:sz="0" w:space="0" w:color="auto"/>
      </w:divBdr>
    </w:div>
    <w:div w:id="280190484">
      <w:bodyDiv w:val="1"/>
      <w:marLeft w:val="0"/>
      <w:marRight w:val="0"/>
      <w:marTop w:val="0"/>
      <w:marBottom w:val="0"/>
      <w:divBdr>
        <w:top w:val="none" w:sz="0" w:space="0" w:color="auto"/>
        <w:left w:val="none" w:sz="0" w:space="0" w:color="auto"/>
        <w:bottom w:val="none" w:sz="0" w:space="0" w:color="auto"/>
        <w:right w:val="none" w:sz="0" w:space="0" w:color="auto"/>
      </w:divBdr>
      <w:divsChild>
        <w:div w:id="2074039075">
          <w:marLeft w:val="0"/>
          <w:marRight w:val="0"/>
          <w:marTop w:val="0"/>
          <w:marBottom w:val="0"/>
          <w:divBdr>
            <w:top w:val="none" w:sz="0" w:space="0" w:color="auto"/>
            <w:left w:val="none" w:sz="0" w:space="0" w:color="auto"/>
            <w:bottom w:val="none" w:sz="0" w:space="0" w:color="auto"/>
            <w:right w:val="none" w:sz="0" w:space="0" w:color="auto"/>
          </w:divBdr>
          <w:divsChild>
            <w:div w:id="58769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32417">
      <w:bodyDiv w:val="1"/>
      <w:marLeft w:val="0"/>
      <w:marRight w:val="0"/>
      <w:marTop w:val="0"/>
      <w:marBottom w:val="0"/>
      <w:divBdr>
        <w:top w:val="none" w:sz="0" w:space="0" w:color="auto"/>
        <w:left w:val="none" w:sz="0" w:space="0" w:color="auto"/>
        <w:bottom w:val="none" w:sz="0" w:space="0" w:color="auto"/>
        <w:right w:val="none" w:sz="0" w:space="0" w:color="auto"/>
      </w:divBdr>
    </w:div>
    <w:div w:id="292565936">
      <w:bodyDiv w:val="1"/>
      <w:marLeft w:val="0"/>
      <w:marRight w:val="0"/>
      <w:marTop w:val="0"/>
      <w:marBottom w:val="0"/>
      <w:divBdr>
        <w:top w:val="none" w:sz="0" w:space="0" w:color="auto"/>
        <w:left w:val="none" w:sz="0" w:space="0" w:color="auto"/>
        <w:bottom w:val="none" w:sz="0" w:space="0" w:color="auto"/>
        <w:right w:val="none" w:sz="0" w:space="0" w:color="auto"/>
      </w:divBdr>
    </w:div>
    <w:div w:id="302778669">
      <w:bodyDiv w:val="1"/>
      <w:marLeft w:val="0"/>
      <w:marRight w:val="0"/>
      <w:marTop w:val="0"/>
      <w:marBottom w:val="0"/>
      <w:divBdr>
        <w:top w:val="none" w:sz="0" w:space="0" w:color="auto"/>
        <w:left w:val="none" w:sz="0" w:space="0" w:color="auto"/>
        <w:bottom w:val="none" w:sz="0" w:space="0" w:color="auto"/>
        <w:right w:val="none" w:sz="0" w:space="0" w:color="auto"/>
      </w:divBdr>
    </w:div>
    <w:div w:id="327487261">
      <w:bodyDiv w:val="1"/>
      <w:marLeft w:val="0"/>
      <w:marRight w:val="0"/>
      <w:marTop w:val="0"/>
      <w:marBottom w:val="0"/>
      <w:divBdr>
        <w:top w:val="none" w:sz="0" w:space="0" w:color="auto"/>
        <w:left w:val="none" w:sz="0" w:space="0" w:color="auto"/>
        <w:bottom w:val="none" w:sz="0" w:space="0" w:color="auto"/>
        <w:right w:val="none" w:sz="0" w:space="0" w:color="auto"/>
      </w:divBdr>
    </w:div>
    <w:div w:id="364671678">
      <w:bodyDiv w:val="1"/>
      <w:marLeft w:val="0"/>
      <w:marRight w:val="0"/>
      <w:marTop w:val="0"/>
      <w:marBottom w:val="0"/>
      <w:divBdr>
        <w:top w:val="none" w:sz="0" w:space="0" w:color="auto"/>
        <w:left w:val="none" w:sz="0" w:space="0" w:color="auto"/>
        <w:bottom w:val="none" w:sz="0" w:space="0" w:color="auto"/>
        <w:right w:val="none" w:sz="0" w:space="0" w:color="auto"/>
      </w:divBdr>
    </w:div>
    <w:div w:id="371854887">
      <w:bodyDiv w:val="1"/>
      <w:marLeft w:val="0"/>
      <w:marRight w:val="0"/>
      <w:marTop w:val="0"/>
      <w:marBottom w:val="0"/>
      <w:divBdr>
        <w:top w:val="none" w:sz="0" w:space="0" w:color="auto"/>
        <w:left w:val="none" w:sz="0" w:space="0" w:color="auto"/>
        <w:bottom w:val="none" w:sz="0" w:space="0" w:color="auto"/>
        <w:right w:val="none" w:sz="0" w:space="0" w:color="auto"/>
      </w:divBdr>
    </w:div>
    <w:div w:id="381096324">
      <w:bodyDiv w:val="1"/>
      <w:marLeft w:val="0"/>
      <w:marRight w:val="0"/>
      <w:marTop w:val="0"/>
      <w:marBottom w:val="0"/>
      <w:divBdr>
        <w:top w:val="none" w:sz="0" w:space="0" w:color="auto"/>
        <w:left w:val="none" w:sz="0" w:space="0" w:color="auto"/>
        <w:bottom w:val="none" w:sz="0" w:space="0" w:color="auto"/>
        <w:right w:val="none" w:sz="0" w:space="0" w:color="auto"/>
      </w:divBdr>
    </w:div>
    <w:div w:id="390887213">
      <w:bodyDiv w:val="1"/>
      <w:marLeft w:val="0"/>
      <w:marRight w:val="0"/>
      <w:marTop w:val="0"/>
      <w:marBottom w:val="0"/>
      <w:divBdr>
        <w:top w:val="none" w:sz="0" w:space="0" w:color="auto"/>
        <w:left w:val="none" w:sz="0" w:space="0" w:color="auto"/>
        <w:bottom w:val="none" w:sz="0" w:space="0" w:color="auto"/>
        <w:right w:val="none" w:sz="0" w:space="0" w:color="auto"/>
      </w:divBdr>
    </w:div>
    <w:div w:id="405541753">
      <w:bodyDiv w:val="1"/>
      <w:marLeft w:val="0"/>
      <w:marRight w:val="0"/>
      <w:marTop w:val="0"/>
      <w:marBottom w:val="0"/>
      <w:divBdr>
        <w:top w:val="none" w:sz="0" w:space="0" w:color="auto"/>
        <w:left w:val="none" w:sz="0" w:space="0" w:color="auto"/>
        <w:bottom w:val="none" w:sz="0" w:space="0" w:color="auto"/>
        <w:right w:val="none" w:sz="0" w:space="0" w:color="auto"/>
      </w:divBdr>
    </w:div>
    <w:div w:id="411974319">
      <w:bodyDiv w:val="1"/>
      <w:marLeft w:val="0"/>
      <w:marRight w:val="0"/>
      <w:marTop w:val="0"/>
      <w:marBottom w:val="0"/>
      <w:divBdr>
        <w:top w:val="none" w:sz="0" w:space="0" w:color="auto"/>
        <w:left w:val="none" w:sz="0" w:space="0" w:color="auto"/>
        <w:bottom w:val="none" w:sz="0" w:space="0" w:color="auto"/>
        <w:right w:val="none" w:sz="0" w:space="0" w:color="auto"/>
      </w:divBdr>
    </w:div>
    <w:div w:id="423260167">
      <w:bodyDiv w:val="1"/>
      <w:marLeft w:val="0"/>
      <w:marRight w:val="0"/>
      <w:marTop w:val="0"/>
      <w:marBottom w:val="0"/>
      <w:divBdr>
        <w:top w:val="none" w:sz="0" w:space="0" w:color="auto"/>
        <w:left w:val="none" w:sz="0" w:space="0" w:color="auto"/>
        <w:bottom w:val="none" w:sz="0" w:space="0" w:color="auto"/>
        <w:right w:val="none" w:sz="0" w:space="0" w:color="auto"/>
      </w:divBdr>
    </w:div>
    <w:div w:id="458887560">
      <w:bodyDiv w:val="1"/>
      <w:marLeft w:val="0"/>
      <w:marRight w:val="0"/>
      <w:marTop w:val="0"/>
      <w:marBottom w:val="0"/>
      <w:divBdr>
        <w:top w:val="none" w:sz="0" w:space="0" w:color="auto"/>
        <w:left w:val="none" w:sz="0" w:space="0" w:color="auto"/>
        <w:bottom w:val="none" w:sz="0" w:space="0" w:color="auto"/>
        <w:right w:val="none" w:sz="0" w:space="0" w:color="auto"/>
      </w:divBdr>
    </w:div>
    <w:div w:id="525866942">
      <w:bodyDiv w:val="1"/>
      <w:marLeft w:val="0"/>
      <w:marRight w:val="0"/>
      <w:marTop w:val="0"/>
      <w:marBottom w:val="0"/>
      <w:divBdr>
        <w:top w:val="none" w:sz="0" w:space="0" w:color="auto"/>
        <w:left w:val="none" w:sz="0" w:space="0" w:color="auto"/>
        <w:bottom w:val="none" w:sz="0" w:space="0" w:color="auto"/>
        <w:right w:val="none" w:sz="0" w:space="0" w:color="auto"/>
      </w:divBdr>
    </w:div>
    <w:div w:id="543640844">
      <w:bodyDiv w:val="1"/>
      <w:marLeft w:val="0"/>
      <w:marRight w:val="0"/>
      <w:marTop w:val="0"/>
      <w:marBottom w:val="0"/>
      <w:divBdr>
        <w:top w:val="none" w:sz="0" w:space="0" w:color="auto"/>
        <w:left w:val="none" w:sz="0" w:space="0" w:color="auto"/>
        <w:bottom w:val="none" w:sz="0" w:space="0" w:color="auto"/>
        <w:right w:val="none" w:sz="0" w:space="0" w:color="auto"/>
      </w:divBdr>
    </w:div>
    <w:div w:id="546647436">
      <w:bodyDiv w:val="1"/>
      <w:marLeft w:val="0"/>
      <w:marRight w:val="0"/>
      <w:marTop w:val="0"/>
      <w:marBottom w:val="0"/>
      <w:divBdr>
        <w:top w:val="none" w:sz="0" w:space="0" w:color="auto"/>
        <w:left w:val="none" w:sz="0" w:space="0" w:color="auto"/>
        <w:bottom w:val="none" w:sz="0" w:space="0" w:color="auto"/>
        <w:right w:val="none" w:sz="0" w:space="0" w:color="auto"/>
      </w:divBdr>
    </w:div>
    <w:div w:id="584919732">
      <w:bodyDiv w:val="1"/>
      <w:marLeft w:val="0"/>
      <w:marRight w:val="0"/>
      <w:marTop w:val="0"/>
      <w:marBottom w:val="0"/>
      <w:divBdr>
        <w:top w:val="none" w:sz="0" w:space="0" w:color="auto"/>
        <w:left w:val="none" w:sz="0" w:space="0" w:color="auto"/>
        <w:bottom w:val="none" w:sz="0" w:space="0" w:color="auto"/>
        <w:right w:val="none" w:sz="0" w:space="0" w:color="auto"/>
      </w:divBdr>
    </w:div>
    <w:div w:id="587810982">
      <w:bodyDiv w:val="1"/>
      <w:marLeft w:val="0"/>
      <w:marRight w:val="0"/>
      <w:marTop w:val="0"/>
      <w:marBottom w:val="0"/>
      <w:divBdr>
        <w:top w:val="none" w:sz="0" w:space="0" w:color="auto"/>
        <w:left w:val="none" w:sz="0" w:space="0" w:color="auto"/>
        <w:bottom w:val="none" w:sz="0" w:space="0" w:color="auto"/>
        <w:right w:val="none" w:sz="0" w:space="0" w:color="auto"/>
      </w:divBdr>
    </w:div>
    <w:div w:id="601838046">
      <w:bodyDiv w:val="1"/>
      <w:marLeft w:val="0"/>
      <w:marRight w:val="0"/>
      <w:marTop w:val="0"/>
      <w:marBottom w:val="0"/>
      <w:divBdr>
        <w:top w:val="none" w:sz="0" w:space="0" w:color="auto"/>
        <w:left w:val="none" w:sz="0" w:space="0" w:color="auto"/>
        <w:bottom w:val="none" w:sz="0" w:space="0" w:color="auto"/>
        <w:right w:val="none" w:sz="0" w:space="0" w:color="auto"/>
      </w:divBdr>
    </w:div>
    <w:div w:id="607278932">
      <w:bodyDiv w:val="1"/>
      <w:marLeft w:val="0"/>
      <w:marRight w:val="0"/>
      <w:marTop w:val="0"/>
      <w:marBottom w:val="0"/>
      <w:divBdr>
        <w:top w:val="none" w:sz="0" w:space="0" w:color="auto"/>
        <w:left w:val="none" w:sz="0" w:space="0" w:color="auto"/>
        <w:bottom w:val="none" w:sz="0" w:space="0" w:color="auto"/>
        <w:right w:val="none" w:sz="0" w:space="0" w:color="auto"/>
      </w:divBdr>
    </w:div>
    <w:div w:id="613441190">
      <w:bodyDiv w:val="1"/>
      <w:marLeft w:val="0"/>
      <w:marRight w:val="0"/>
      <w:marTop w:val="0"/>
      <w:marBottom w:val="0"/>
      <w:divBdr>
        <w:top w:val="none" w:sz="0" w:space="0" w:color="auto"/>
        <w:left w:val="none" w:sz="0" w:space="0" w:color="auto"/>
        <w:bottom w:val="none" w:sz="0" w:space="0" w:color="auto"/>
        <w:right w:val="none" w:sz="0" w:space="0" w:color="auto"/>
      </w:divBdr>
    </w:div>
    <w:div w:id="627786320">
      <w:bodyDiv w:val="1"/>
      <w:marLeft w:val="0"/>
      <w:marRight w:val="0"/>
      <w:marTop w:val="0"/>
      <w:marBottom w:val="0"/>
      <w:divBdr>
        <w:top w:val="none" w:sz="0" w:space="0" w:color="auto"/>
        <w:left w:val="none" w:sz="0" w:space="0" w:color="auto"/>
        <w:bottom w:val="none" w:sz="0" w:space="0" w:color="auto"/>
        <w:right w:val="none" w:sz="0" w:space="0" w:color="auto"/>
      </w:divBdr>
    </w:div>
    <w:div w:id="662664479">
      <w:bodyDiv w:val="1"/>
      <w:marLeft w:val="0"/>
      <w:marRight w:val="0"/>
      <w:marTop w:val="0"/>
      <w:marBottom w:val="0"/>
      <w:divBdr>
        <w:top w:val="none" w:sz="0" w:space="0" w:color="auto"/>
        <w:left w:val="none" w:sz="0" w:space="0" w:color="auto"/>
        <w:bottom w:val="none" w:sz="0" w:space="0" w:color="auto"/>
        <w:right w:val="none" w:sz="0" w:space="0" w:color="auto"/>
      </w:divBdr>
      <w:divsChild>
        <w:div w:id="1753429809">
          <w:marLeft w:val="0"/>
          <w:marRight w:val="0"/>
          <w:marTop w:val="0"/>
          <w:marBottom w:val="0"/>
          <w:divBdr>
            <w:top w:val="none" w:sz="0" w:space="0" w:color="auto"/>
            <w:left w:val="none" w:sz="0" w:space="0" w:color="auto"/>
            <w:bottom w:val="none" w:sz="0" w:space="0" w:color="auto"/>
            <w:right w:val="none" w:sz="0" w:space="0" w:color="auto"/>
          </w:divBdr>
        </w:div>
        <w:div w:id="2117675748">
          <w:marLeft w:val="0"/>
          <w:marRight w:val="0"/>
          <w:marTop w:val="0"/>
          <w:marBottom w:val="0"/>
          <w:divBdr>
            <w:top w:val="none" w:sz="0" w:space="0" w:color="auto"/>
            <w:left w:val="none" w:sz="0" w:space="0" w:color="auto"/>
            <w:bottom w:val="none" w:sz="0" w:space="0" w:color="auto"/>
            <w:right w:val="none" w:sz="0" w:space="0" w:color="auto"/>
          </w:divBdr>
        </w:div>
        <w:div w:id="676887648">
          <w:marLeft w:val="0"/>
          <w:marRight w:val="0"/>
          <w:marTop w:val="0"/>
          <w:marBottom w:val="0"/>
          <w:divBdr>
            <w:top w:val="none" w:sz="0" w:space="0" w:color="auto"/>
            <w:left w:val="none" w:sz="0" w:space="0" w:color="auto"/>
            <w:bottom w:val="none" w:sz="0" w:space="0" w:color="auto"/>
            <w:right w:val="none" w:sz="0" w:space="0" w:color="auto"/>
          </w:divBdr>
        </w:div>
        <w:div w:id="568462121">
          <w:marLeft w:val="0"/>
          <w:marRight w:val="0"/>
          <w:marTop w:val="0"/>
          <w:marBottom w:val="0"/>
          <w:divBdr>
            <w:top w:val="none" w:sz="0" w:space="0" w:color="auto"/>
            <w:left w:val="none" w:sz="0" w:space="0" w:color="auto"/>
            <w:bottom w:val="none" w:sz="0" w:space="0" w:color="auto"/>
            <w:right w:val="none" w:sz="0" w:space="0" w:color="auto"/>
          </w:divBdr>
        </w:div>
      </w:divsChild>
    </w:div>
    <w:div w:id="670446192">
      <w:bodyDiv w:val="1"/>
      <w:marLeft w:val="0"/>
      <w:marRight w:val="0"/>
      <w:marTop w:val="0"/>
      <w:marBottom w:val="0"/>
      <w:divBdr>
        <w:top w:val="none" w:sz="0" w:space="0" w:color="auto"/>
        <w:left w:val="none" w:sz="0" w:space="0" w:color="auto"/>
        <w:bottom w:val="none" w:sz="0" w:space="0" w:color="auto"/>
        <w:right w:val="none" w:sz="0" w:space="0" w:color="auto"/>
      </w:divBdr>
    </w:div>
    <w:div w:id="709183910">
      <w:bodyDiv w:val="1"/>
      <w:marLeft w:val="0"/>
      <w:marRight w:val="0"/>
      <w:marTop w:val="0"/>
      <w:marBottom w:val="0"/>
      <w:divBdr>
        <w:top w:val="none" w:sz="0" w:space="0" w:color="auto"/>
        <w:left w:val="none" w:sz="0" w:space="0" w:color="auto"/>
        <w:bottom w:val="none" w:sz="0" w:space="0" w:color="auto"/>
        <w:right w:val="none" w:sz="0" w:space="0" w:color="auto"/>
      </w:divBdr>
    </w:div>
    <w:div w:id="715667634">
      <w:bodyDiv w:val="1"/>
      <w:marLeft w:val="0"/>
      <w:marRight w:val="0"/>
      <w:marTop w:val="0"/>
      <w:marBottom w:val="0"/>
      <w:divBdr>
        <w:top w:val="none" w:sz="0" w:space="0" w:color="auto"/>
        <w:left w:val="none" w:sz="0" w:space="0" w:color="auto"/>
        <w:bottom w:val="none" w:sz="0" w:space="0" w:color="auto"/>
        <w:right w:val="none" w:sz="0" w:space="0" w:color="auto"/>
      </w:divBdr>
      <w:divsChild>
        <w:div w:id="251470656">
          <w:marLeft w:val="0"/>
          <w:marRight w:val="0"/>
          <w:marTop w:val="0"/>
          <w:marBottom w:val="0"/>
          <w:divBdr>
            <w:top w:val="none" w:sz="0" w:space="0" w:color="auto"/>
            <w:left w:val="none" w:sz="0" w:space="0" w:color="auto"/>
            <w:bottom w:val="none" w:sz="0" w:space="0" w:color="auto"/>
            <w:right w:val="none" w:sz="0" w:space="0" w:color="auto"/>
          </w:divBdr>
        </w:div>
        <w:div w:id="1496413180">
          <w:marLeft w:val="0"/>
          <w:marRight w:val="0"/>
          <w:marTop w:val="0"/>
          <w:marBottom w:val="0"/>
          <w:divBdr>
            <w:top w:val="none" w:sz="0" w:space="0" w:color="auto"/>
            <w:left w:val="none" w:sz="0" w:space="0" w:color="auto"/>
            <w:bottom w:val="none" w:sz="0" w:space="0" w:color="auto"/>
            <w:right w:val="none" w:sz="0" w:space="0" w:color="auto"/>
          </w:divBdr>
        </w:div>
      </w:divsChild>
    </w:div>
    <w:div w:id="723260715">
      <w:bodyDiv w:val="1"/>
      <w:marLeft w:val="0"/>
      <w:marRight w:val="0"/>
      <w:marTop w:val="0"/>
      <w:marBottom w:val="0"/>
      <w:divBdr>
        <w:top w:val="none" w:sz="0" w:space="0" w:color="auto"/>
        <w:left w:val="none" w:sz="0" w:space="0" w:color="auto"/>
        <w:bottom w:val="none" w:sz="0" w:space="0" w:color="auto"/>
        <w:right w:val="none" w:sz="0" w:space="0" w:color="auto"/>
      </w:divBdr>
    </w:div>
    <w:div w:id="732316583">
      <w:bodyDiv w:val="1"/>
      <w:marLeft w:val="0"/>
      <w:marRight w:val="0"/>
      <w:marTop w:val="0"/>
      <w:marBottom w:val="0"/>
      <w:divBdr>
        <w:top w:val="none" w:sz="0" w:space="0" w:color="auto"/>
        <w:left w:val="none" w:sz="0" w:space="0" w:color="auto"/>
        <w:bottom w:val="none" w:sz="0" w:space="0" w:color="auto"/>
        <w:right w:val="none" w:sz="0" w:space="0" w:color="auto"/>
      </w:divBdr>
    </w:div>
    <w:div w:id="733895567">
      <w:bodyDiv w:val="1"/>
      <w:marLeft w:val="0"/>
      <w:marRight w:val="0"/>
      <w:marTop w:val="0"/>
      <w:marBottom w:val="0"/>
      <w:divBdr>
        <w:top w:val="none" w:sz="0" w:space="0" w:color="auto"/>
        <w:left w:val="none" w:sz="0" w:space="0" w:color="auto"/>
        <w:bottom w:val="none" w:sz="0" w:space="0" w:color="auto"/>
        <w:right w:val="none" w:sz="0" w:space="0" w:color="auto"/>
      </w:divBdr>
    </w:div>
    <w:div w:id="737022606">
      <w:bodyDiv w:val="1"/>
      <w:marLeft w:val="0"/>
      <w:marRight w:val="0"/>
      <w:marTop w:val="0"/>
      <w:marBottom w:val="0"/>
      <w:divBdr>
        <w:top w:val="none" w:sz="0" w:space="0" w:color="auto"/>
        <w:left w:val="none" w:sz="0" w:space="0" w:color="auto"/>
        <w:bottom w:val="none" w:sz="0" w:space="0" w:color="auto"/>
        <w:right w:val="none" w:sz="0" w:space="0" w:color="auto"/>
      </w:divBdr>
    </w:div>
    <w:div w:id="745342423">
      <w:bodyDiv w:val="1"/>
      <w:marLeft w:val="0"/>
      <w:marRight w:val="0"/>
      <w:marTop w:val="0"/>
      <w:marBottom w:val="0"/>
      <w:divBdr>
        <w:top w:val="none" w:sz="0" w:space="0" w:color="auto"/>
        <w:left w:val="none" w:sz="0" w:space="0" w:color="auto"/>
        <w:bottom w:val="none" w:sz="0" w:space="0" w:color="auto"/>
        <w:right w:val="none" w:sz="0" w:space="0" w:color="auto"/>
      </w:divBdr>
    </w:div>
    <w:div w:id="750157463">
      <w:bodyDiv w:val="1"/>
      <w:marLeft w:val="0"/>
      <w:marRight w:val="0"/>
      <w:marTop w:val="0"/>
      <w:marBottom w:val="0"/>
      <w:divBdr>
        <w:top w:val="none" w:sz="0" w:space="0" w:color="auto"/>
        <w:left w:val="none" w:sz="0" w:space="0" w:color="auto"/>
        <w:bottom w:val="none" w:sz="0" w:space="0" w:color="auto"/>
        <w:right w:val="none" w:sz="0" w:space="0" w:color="auto"/>
      </w:divBdr>
    </w:div>
    <w:div w:id="756830018">
      <w:bodyDiv w:val="1"/>
      <w:marLeft w:val="0"/>
      <w:marRight w:val="0"/>
      <w:marTop w:val="0"/>
      <w:marBottom w:val="0"/>
      <w:divBdr>
        <w:top w:val="none" w:sz="0" w:space="0" w:color="auto"/>
        <w:left w:val="none" w:sz="0" w:space="0" w:color="auto"/>
        <w:bottom w:val="none" w:sz="0" w:space="0" w:color="auto"/>
        <w:right w:val="none" w:sz="0" w:space="0" w:color="auto"/>
      </w:divBdr>
    </w:div>
    <w:div w:id="764232142">
      <w:bodyDiv w:val="1"/>
      <w:marLeft w:val="0"/>
      <w:marRight w:val="0"/>
      <w:marTop w:val="0"/>
      <w:marBottom w:val="0"/>
      <w:divBdr>
        <w:top w:val="none" w:sz="0" w:space="0" w:color="auto"/>
        <w:left w:val="none" w:sz="0" w:space="0" w:color="auto"/>
        <w:bottom w:val="none" w:sz="0" w:space="0" w:color="auto"/>
        <w:right w:val="none" w:sz="0" w:space="0" w:color="auto"/>
      </w:divBdr>
    </w:div>
    <w:div w:id="789476092">
      <w:bodyDiv w:val="1"/>
      <w:marLeft w:val="0"/>
      <w:marRight w:val="0"/>
      <w:marTop w:val="0"/>
      <w:marBottom w:val="0"/>
      <w:divBdr>
        <w:top w:val="none" w:sz="0" w:space="0" w:color="auto"/>
        <w:left w:val="none" w:sz="0" w:space="0" w:color="auto"/>
        <w:bottom w:val="none" w:sz="0" w:space="0" w:color="auto"/>
        <w:right w:val="none" w:sz="0" w:space="0" w:color="auto"/>
      </w:divBdr>
    </w:div>
    <w:div w:id="803810597">
      <w:bodyDiv w:val="1"/>
      <w:marLeft w:val="0"/>
      <w:marRight w:val="0"/>
      <w:marTop w:val="0"/>
      <w:marBottom w:val="0"/>
      <w:divBdr>
        <w:top w:val="none" w:sz="0" w:space="0" w:color="auto"/>
        <w:left w:val="none" w:sz="0" w:space="0" w:color="auto"/>
        <w:bottom w:val="none" w:sz="0" w:space="0" w:color="auto"/>
        <w:right w:val="none" w:sz="0" w:space="0" w:color="auto"/>
      </w:divBdr>
    </w:div>
    <w:div w:id="814107191">
      <w:bodyDiv w:val="1"/>
      <w:marLeft w:val="0"/>
      <w:marRight w:val="0"/>
      <w:marTop w:val="0"/>
      <w:marBottom w:val="0"/>
      <w:divBdr>
        <w:top w:val="none" w:sz="0" w:space="0" w:color="auto"/>
        <w:left w:val="none" w:sz="0" w:space="0" w:color="auto"/>
        <w:bottom w:val="none" w:sz="0" w:space="0" w:color="auto"/>
        <w:right w:val="none" w:sz="0" w:space="0" w:color="auto"/>
      </w:divBdr>
      <w:divsChild>
        <w:div w:id="266621388">
          <w:marLeft w:val="0"/>
          <w:marRight w:val="0"/>
          <w:marTop w:val="0"/>
          <w:marBottom w:val="0"/>
          <w:divBdr>
            <w:top w:val="none" w:sz="0" w:space="0" w:color="auto"/>
            <w:left w:val="none" w:sz="0" w:space="0" w:color="auto"/>
            <w:bottom w:val="none" w:sz="0" w:space="0" w:color="auto"/>
            <w:right w:val="none" w:sz="0" w:space="0" w:color="auto"/>
          </w:divBdr>
        </w:div>
      </w:divsChild>
    </w:div>
    <w:div w:id="819537756">
      <w:bodyDiv w:val="1"/>
      <w:marLeft w:val="0"/>
      <w:marRight w:val="0"/>
      <w:marTop w:val="0"/>
      <w:marBottom w:val="0"/>
      <w:divBdr>
        <w:top w:val="none" w:sz="0" w:space="0" w:color="auto"/>
        <w:left w:val="none" w:sz="0" w:space="0" w:color="auto"/>
        <w:bottom w:val="none" w:sz="0" w:space="0" w:color="auto"/>
        <w:right w:val="none" w:sz="0" w:space="0" w:color="auto"/>
      </w:divBdr>
      <w:divsChild>
        <w:div w:id="1505440635">
          <w:marLeft w:val="0"/>
          <w:marRight w:val="0"/>
          <w:marTop w:val="0"/>
          <w:marBottom w:val="0"/>
          <w:divBdr>
            <w:top w:val="none" w:sz="0" w:space="0" w:color="auto"/>
            <w:left w:val="none" w:sz="0" w:space="0" w:color="auto"/>
            <w:bottom w:val="none" w:sz="0" w:space="0" w:color="auto"/>
            <w:right w:val="none" w:sz="0" w:space="0" w:color="auto"/>
          </w:divBdr>
        </w:div>
        <w:div w:id="229850574">
          <w:marLeft w:val="0"/>
          <w:marRight w:val="0"/>
          <w:marTop w:val="0"/>
          <w:marBottom w:val="0"/>
          <w:divBdr>
            <w:top w:val="none" w:sz="0" w:space="0" w:color="auto"/>
            <w:left w:val="none" w:sz="0" w:space="0" w:color="auto"/>
            <w:bottom w:val="none" w:sz="0" w:space="0" w:color="auto"/>
            <w:right w:val="none" w:sz="0" w:space="0" w:color="auto"/>
          </w:divBdr>
        </w:div>
        <w:div w:id="787164683">
          <w:marLeft w:val="0"/>
          <w:marRight w:val="0"/>
          <w:marTop w:val="0"/>
          <w:marBottom w:val="0"/>
          <w:divBdr>
            <w:top w:val="none" w:sz="0" w:space="0" w:color="auto"/>
            <w:left w:val="none" w:sz="0" w:space="0" w:color="auto"/>
            <w:bottom w:val="none" w:sz="0" w:space="0" w:color="auto"/>
            <w:right w:val="none" w:sz="0" w:space="0" w:color="auto"/>
          </w:divBdr>
        </w:div>
        <w:div w:id="2145003715">
          <w:marLeft w:val="0"/>
          <w:marRight w:val="0"/>
          <w:marTop w:val="0"/>
          <w:marBottom w:val="0"/>
          <w:divBdr>
            <w:top w:val="none" w:sz="0" w:space="0" w:color="auto"/>
            <w:left w:val="none" w:sz="0" w:space="0" w:color="auto"/>
            <w:bottom w:val="none" w:sz="0" w:space="0" w:color="auto"/>
            <w:right w:val="none" w:sz="0" w:space="0" w:color="auto"/>
          </w:divBdr>
        </w:div>
        <w:div w:id="199129043">
          <w:marLeft w:val="0"/>
          <w:marRight w:val="0"/>
          <w:marTop w:val="0"/>
          <w:marBottom w:val="0"/>
          <w:divBdr>
            <w:top w:val="none" w:sz="0" w:space="0" w:color="auto"/>
            <w:left w:val="none" w:sz="0" w:space="0" w:color="auto"/>
            <w:bottom w:val="none" w:sz="0" w:space="0" w:color="auto"/>
            <w:right w:val="none" w:sz="0" w:space="0" w:color="auto"/>
          </w:divBdr>
        </w:div>
        <w:div w:id="2039118178">
          <w:marLeft w:val="0"/>
          <w:marRight w:val="0"/>
          <w:marTop w:val="0"/>
          <w:marBottom w:val="0"/>
          <w:divBdr>
            <w:top w:val="none" w:sz="0" w:space="0" w:color="auto"/>
            <w:left w:val="none" w:sz="0" w:space="0" w:color="auto"/>
            <w:bottom w:val="none" w:sz="0" w:space="0" w:color="auto"/>
            <w:right w:val="none" w:sz="0" w:space="0" w:color="auto"/>
          </w:divBdr>
        </w:div>
        <w:div w:id="1416853091">
          <w:marLeft w:val="0"/>
          <w:marRight w:val="0"/>
          <w:marTop w:val="0"/>
          <w:marBottom w:val="0"/>
          <w:divBdr>
            <w:top w:val="none" w:sz="0" w:space="0" w:color="auto"/>
            <w:left w:val="none" w:sz="0" w:space="0" w:color="auto"/>
            <w:bottom w:val="none" w:sz="0" w:space="0" w:color="auto"/>
            <w:right w:val="none" w:sz="0" w:space="0" w:color="auto"/>
          </w:divBdr>
        </w:div>
        <w:div w:id="257521674">
          <w:marLeft w:val="0"/>
          <w:marRight w:val="0"/>
          <w:marTop w:val="0"/>
          <w:marBottom w:val="0"/>
          <w:divBdr>
            <w:top w:val="none" w:sz="0" w:space="0" w:color="auto"/>
            <w:left w:val="none" w:sz="0" w:space="0" w:color="auto"/>
            <w:bottom w:val="none" w:sz="0" w:space="0" w:color="auto"/>
            <w:right w:val="none" w:sz="0" w:space="0" w:color="auto"/>
          </w:divBdr>
        </w:div>
      </w:divsChild>
    </w:div>
    <w:div w:id="822090967">
      <w:bodyDiv w:val="1"/>
      <w:marLeft w:val="0"/>
      <w:marRight w:val="0"/>
      <w:marTop w:val="0"/>
      <w:marBottom w:val="0"/>
      <w:divBdr>
        <w:top w:val="none" w:sz="0" w:space="0" w:color="auto"/>
        <w:left w:val="none" w:sz="0" w:space="0" w:color="auto"/>
        <w:bottom w:val="none" w:sz="0" w:space="0" w:color="auto"/>
        <w:right w:val="none" w:sz="0" w:space="0" w:color="auto"/>
      </w:divBdr>
    </w:div>
    <w:div w:id="873228989">
      <w:bodyDiv w:val="1"/>
      <w:marLeft w:val="0"/>
      <w:marRight w:val="0"/>
      <w:marTop w:val="0"/>
      <w:marBottom w:val="0"/>
      <w:divBdr>
        <w:top w:val="none" w:sz="0" w:space="0" w:color="auto"/>
        <w:left w:val="none" w:sz="0" w:space="0" w:color="auto"/>
        <w:bottom w:val="none" w:sz="0" w:space="0" w:color="auto"/>
        <w:right w:val="none" w:sz="0" w:space="0" w:color="auto"/>
      </w:divBdr>
    </w:div>
    <w:div w:id="881866904">
      <w:bodyDiv w:val="1"/>
      <w:marLeft w:val="0"/>
      <w:marRight w:val="0"/>
      <w:marTop w:val="0"/>
      <w:marBottom w:val="0"/>
      <w:divBdr>
        <w:top w:val="none" w:sz="0" w:space="0" w:color="auto"/>
        <w:left w:val="none" w:sz="0" w:space="0" w:color="auto"/>
        <w:bottom w:val="none" w:sz="0" w:space="0" w:color="auto"/>
        <w:right w:val="none" w:sz="0" w:space="0" w:color="auto"/>
      </w:divBdr>
    </w:div>
    <w:div w:id="887575180">
      <w:bodyDiv w:val="1"/>
      <w:marLeft w:val="0"/>
      <w:marRight w:val="0"/>
      <w:marTop w:val="0"/>
      <w:marBottom w:val="0"/>
      <w:divBdr>
        <w:top w:val="none" w:sz="0" w:space="0" w:color="auto"/>
        <w:left w:val="none" w:sz="0" w:space="0" w:color="auto"/>
        <w:bottom w:val="none" w:sz="0" w:space="0" w:color="auto"/>
        <w:right w:val="none" w:sz="0" w:space="0" w:color="auto"/>
      </w:divBdr>
    </w:div>
    <w:div w:id="890725424">
      <w:bodyDiv w:val="1"/>
      <w:marLeft w:val="0"/>
      <w:marRight w:val="0"/>
      <w:marTop w:val="0"/>
      <w:marBottom w:val="0"/>
      <w:divBdr>
        <w:top w:val="none" w:sz="0" w:space="0" w:color="auto"/>
        <w:left w:val="none" w:sz="0" w:space="0" w:color="auto"/>
        <w:bottom w:val="none" w:sz="0" w:space="0" w:color="auto"/>
        <w:right w:val="none" w:sz="0" w:space="0" w:color="auto"/>
      </w:divBdr>
    </w:div>
    <w:div w:id="924142774">
      <w:bodyDiv w:val="1"/>
      <w:marLeft w:val="0"/>
      <w:marRight w:val="0"/>
      <w:marTop w:val="0"/>
      <w:marBottom w:val="0"/>
      <w:divBdr>
        <w:top w:val="none" w:sz="0" w:space="0" w:color="auto"/>
        <w:left w:val="none" w:sz="0" w:space="0" w:color="auto"/>
        <w:bottom w:val="none" w:sz="0" w:space="0" w:color="auto"/>
        <w:right w:val="none" w:sz="0" w:space="0" w:color="auto"/>
      </w:divBdr>
    </w:div>
    <w:div w:id="932785129">
      <w:bodyDiv w:val="1"/>
      <w:marLeft w:val="0"/>
      <w:marRight w:val="0"/>
      <w:marTop w:val="0"/>
      <w:marBottom w:val="0"/>
      <w:divBdr>
        <w:top w:val="none" w:sz="0" w:space="0" w:color="auto"/>
        <w:left w:val="none" w:sz="0" w:space="0" w:color="auto"/>
        <w:bottom w:val="none" w:sz="0" w:space="0" w:color="auto"/>
        <w:right w:val="none" w:sz="0" w:space="0" w:color="auto"/>
      </w:divBdr>
    </w:div>
    <w:div w:id="936182086">
      <w:bodyDiv w:val="1"/>
      <w:marLeft w:val="0"/>
      <w:marRight w:val="0"/>
      <w:marTop w:val="0"/>
      <w:marBottom w:val="0"/>
      <w:divBdr>
        <w:top w:val="none" w:sz="0" w:space="0" w:color="auto"/>
        <w:left w:val="none" w:sz="0" w:space="0" w:color="auto"/>
        <w:bottom w:val="none" w:sz="0" w:space="0" w:color="auto"/>
        <w:right w:val="none" w:sz="0" w:space="0" w:color="auto"/>
      </w:divBdr>
    </w:div>
    <w:div w:id="956371949">
      <w:bodyDiv w:val="1"/>
      <w:marLeft w:val="0"/>
      <w:marRight w:val="0"/>
      <w:marTop w:val="0"/>
      <w:marBottom w:val="0"/>
      <w:divBdr>
        <w:top w:val="none" w:sz="0" w:space="0" w:color="auto"/>
        <w:left w:val="none" w:sz="0" w:space="0" w:color="auto"/>
        <w:bottom w:val="none" w:sz="0" w:space="0" w:color="auto"/>
        <w:right w:val="none" w:sz="0" w:space="0" w:color="auto"/>
      </w:divBdr>
    </w:div>
    <w:div w:id="960259855">
      <w:bodyDiv w:val="1"/>
      <w:marLeft w:val="0"/>
      <w:marRight w:val="0"/>
      <w:marTop w:val="0"/>
      <w:marBottom w:val="0"/>
      <w:divBdr>
        <w:top w:val="none" w:sz="0" w:space="0" w:color="auto"/>
        <w:left w:val="none" w:sz="0" w:space="0" w:color="auto"/>
        <w:bottom w:val="none" w:sz="0" w:space="0" w:color="auto"/>
        <w:right w:val="none" w:sz="0" w:space="0" w:color="auto"/>
      </w:divBdr>
    </w:div>
    <w:div w:id="970669925">
      <w:bodyDiv w:val="1"/>
      <w:marLeft w:val="0"/>
      <w:marRight w:val="0"/>
      <w:marTop w:val="0"/>
      <w:marBottom w:val="0"/>
      <w:divBdr>
        <w:top w:val="none" w:sz="0" w:space="0" w:color="auto"/>
        <w:left w:val="none" w:sz="0" w:space="0" w:color="auto"/>
        <w:bottom w:val="none" w:sz="0" w:space="0" w:color="auto"/>
        <w:right w:val="none" w:sz="0" w:space="0" w:color="auto"/>
      </w:divBdr>
    </w:div>
    <w:div w:id="984699512">
      <w:bodyDiv w:val="1"/>
      <w:marLeft w:val="0"/>
      <w:marRight w:val="0"/>
      <w:marTop w:val="0"/>
      <w:marBottom w:val="0"/>
      <w:divBdr>
        <w:top w:val="none" w:sz="0" w:space="0" w:color="auto"/>
        <w:left w:val="none" w:sz="0" w:space="0" w:color="auto"/>
        <w:bottom w:val="none" w:sz="0" w:space="0" w:color="auto"/>
        <w:right w:val="none" w:sz="0" w:space="0" w:color="auto"/>
      </w:divBdr>
    </w:div>
    <w:div w:id="1025785372">
      <w:bodyDiv w:val="1"/>
      <w:marLeft w:val="0"/>
      <w:marRight w:val="0"/>
      <w:marTop w:val="0"/>
      <w:marBottom w:val="0"/>
      <w:divBdr>
        <w:top w:val="none" w:sz="0" w:space="0" w:color="auto"/>
        <w:left w:val="none" w:sz="0" w:space="0" w:color="auto"/>
        <w:bottom w:val="none" w:sz="0" w:space="0" w:color="auto"/>
        <w:right w:val="none" w:sz="0" w:space="0" w:color="auto"/>
      </w:divBdr>
    </w:div>
    <w:div w:id="1026759015">
      <w:bodyDiv w:val="1"/>
      <w:marLeft w:val="0"/>
      <w:marRight w:val="0"/>
      <w:marTop w:val="0"/>
      <w:marBottom w:val="0"/>
      <w:divBdr>
        <w:top w:val="none" w:sz="0" w:space="0" w:color="auto"/>
        <w:left w:val="none" w:sz="0" w:space="0" w:color="auto"/>
        <w:bottom w:val="none" w:sz="0" w:space="0" w:color="auto"/>
        <w:right w:val="none" w:sz="0" w:space="0" w:color="auto"/>
      </w:divBdr>
    </w:div>
    <w:div w:id="1051684246">
      <w:bodyDiv w:val="1"/>
      <w:marLeft w:val="0"/>
      <w:marRight w:val="0"/>
      <w:marTop w:val="0"/>
      <w:marBottom w:val="0"/>
      <w:divBdr>
        <w:top w:val="none" w:sz="0" w:space="0" w:color="auto"/>
        <w:left w:val="none" w:sz="0" w:space="0" w:color="auto"/>
        <w:bottom w:val="none" w:sz="0" w:space="0" w:color="auto"/>
        <w:right w:val="none" w:sz="0" w:space="0" w:color="auto"/>
      </w:divBdr>
    </w:div>
    <w:div w:id="1064186305">
      <w:bodyDiv w:val="1"/>
      <w:marLeft w:val="0"/>
      <w:marRight w:val="0"/>
      <w:marTop w:val="0"/>
      <w:marBottom w:val="0"/>
      <w:divBdr>
        <w:top w:val="none" w:sz="0" w:space="0" w:color="auto"/>
        <w:left w:val="none" w:sz="0" w:space="0" w:color="auto"/>
        <w:bottom w:val="none" w:sz="0" w:space="0" w:color="auto"/>
        <w:right w:val="none" w:sz="0" w:space="0" w:color="auto"/>
      </w:divBdr>
    </w:div>
    <w:div w:id="1069617740">
      <w:bodyDiv w:val="1"/>
      <w:marLeft w:val="0"/>
      <w:marRight w:val="0"/>
      <w:marTop w:val="0"/>
      <w:marBottom w:val="0"/>
      <w:divBdr>
        <w:top w:val="none" w:sz="0" w:space="0" w:color="auto"/>
        <w:left w:val="none" w:sz="0" w:space="0" w:color="auto"/>
        <w:bottom w:val="none" w:sz="0" w:space="0" w:color="auto"/>
        <w:right w:val="none" w:sz="0" w:space="0" w:color="auto"/>
      </w:divBdr>
    </w:div>
    <w:div w:id="1078331195">
      <w:bodyDiv w:val="1"/>
      <w:marLeft w:val="0"/>
      <w:marRight w:val="0"/>
      <w:marTop w:val="0"/>
      <w:marBottom w:val="0"/>
      <w:divBdr>
        <w:top w:val="none" w:sz="0" w:space="0" w:color="auto"/>
        <w:left w:val="none" w:sz="0" w:space="0" w:color="auto"/>
        <w:bottom w:val="none" w:sz="0" w:space="0" w:color="auto"/>
        <w:right w:val="none" w:sz="0" w:space="0" w:color="auto"/>
      </w:divBdr>
    </w:div>
    <w:div w:id="1091777156">
      <w:bodyDiv w:val="1"/>
      <w:marLeft w:val="0"/>
      <w:marRight w:val="0"/>
      <w:marTop w:val="0"/>
      <w:marBottom w:val="0"/>
      <w:divBdr>
        <w:top w:val="none" w:sz="0" w:space="0" w:color="auto"/>
        <w:left w:val="none" w:sz="0" w:space="0" w:color="auto"/>
        <w:bottom w:val="none" w:sz="0" w:space="0" w:color="auto"/>
        <w:right w:val="none" w:sz="0" w:space="0" w:color="auto"/>
      </w:divBdr>
      <w:divsChild>
        <w:div w:id="1490826979">
          <w:marLeft w:val="0"/>
          <w:marRight w:val="0"/>
          <w:marTop w:val="0"/>
          <w:marBottom w:val="0"/>
          <w:divBdr>
            <w:top w:val="none" w:sz="0" w:space="0" w:color="auto"/>
            <w:left w:val="none" w:sz="0" w:space="0" w:color="auto"/>
            <w:bottom w:val="none" w:sz="0" w:space="0" w:color="auto"/>
            <w:right w:val="none" w:sz="0" w:space="0" w:color="auto"/>
          </w:divBdr>
        </w:div>
        <w:div w:id="958806099">
          <w:marLeft w:val="0"/>
          <w:marRight w:val="0"/>
          <w:marTop w:val="0"/>
          <w:marBottom w:val="0"/>
          <w:divBdr>
            <w:top w:val="none" w:sz="0" w:space="0" w:color="auto"/>
            <w:left w:val="none" w:sz="0" w:space="0" w:color="auto"/>
            <w:bottom w:val="none" w:sz="0" w:space="0" w:color="auto"/>
            <w:right w:val="none" w:sz="0" w:space="0" w:color="auto"/>
          </w:divBdr>
        </w:div>
        <w:div w:id="1471284069">
          <w:marLeft w:val="0"/>
          <w:marRight w:val="0"/>
          <w:marTop w:val="0"/>
          <w:marBottom w:val="0"/>
          <w:divBdr>
            <w:top w:val="none" w:sz="0" w:space="0" w:color="auto"/>
            <w:left w:val="none" w:sz="0" w:space="0" w:color="auto"/>
            <w:bottom w:val="none" w:sz="0" w:space="0" w:color="auto"/>
            <w:right w:val="none" w:sz="0" w:space="0" w:color="auto"/>
          </w:divBdr>
        </w:div>
        <w:div w:id="1131947461">
          <w:marLeft w:val="0"/>
          <w:marRight w:val="0"/>
          <w:marTop w:val="0"/>
          <w:marBottom w:val="0"/>
          <w:divBdr>
            <w:top w:val="none" w:sz="0" w:space="0" w:color="auto"/>
            <w:left w:val="none" w:sz="0" w:space="0" w:color="auto"/>
            <w:bottom w:val="none" w:sz="0" w:space="0" w:color="auto"/>
            <w:right w:val="none" w:sz="0" w:space="0" w:color="auto"/>
          </w:divBdr>
        </w:div>
        <w:div w:id="175922912">
          <w:marLeft w:val="0"/>
          <w:marRight w:val="0"/>
          <w:marTop w:val="0"/>
          <w:marBottom w:val="0"/>
          <w:divBdr>
            <w:top w:val="none" w:sz="0" w:space="0" w:color="auto"/>
            <w:left w:val="none" w:sz="0" w:space="0" w:color="auto"/>
            <w:bottom w:val="none" w:sz="0" w:space="0" w:color="auto"/>
            <w:right w:val="none" w:sz="0" w:space="0" w:color="auto"/>
          </w:divBdr>
        </w:div>
        <w:div w:id="197206247">
          <w:marLeft w:val="0"/>
          <w:marRight w:val="0"/>
          <w:marTop w:val="0"/>
          <w:marBottom w:val="0"/>
          <w:divBdr>
            <w:top w:val="none" w:sz="0" w:space="0" w:color="auto"/>
            <w:left w:val="none" w:sz="0" w:space="0" w:color="auto"/>
            <w:bottom w:val="none" w:sz="0" w:space="0" w:color="auto"/>
            <w:right w:val="none" w:sz="0" w:space="0" w:color="auto"/>
          </w:divBdr>
        </w:div>
      </w:divsChild>
    </w:div>
    <w:div w:id="1106458783">
      <w:bodyDiv w:val="1"/>
      <w:marLeft w:val="0"/>
      <w:marRight w:val="0"/>
      <w:marTop w:val="0"/>
      <w:marBottom w:val="0"/>
      <w:divBdr>
        <w:top w:val="none" w:sz="0" w:space="0" w:color="auto"/>
        <w:left w:val="none" w:sz="0" w:space="0" w:color="auto"/>
        <w:bottom w:val="none" w:sz="0" w:space="0" w:color="auto"/>
        <w:right w:val="none" w:sz="0" w:space="0" w:color="auto"/>
      </w:divBdr>
    </w:div>
    <w:div w:id="1143157623">
      <w:bodyDiv w:val="1"/>
      <w:marLeft w:val="0"/>
      <w:marRight w:val="0"/>
      <w:marTop w:val="0"/>
      <w:marBottom w:val="0"/>
      <w:divBdr>
        <w:top w:val="none" w:sz="0" w:space="0" w:color="auto"/>
        <w:left w:val="none" w:sz="0" w:space="0" w:color="auto"/>
        <w:bottom w:val="none" w:sz="0" w:space="0" w:color="auto"/>
        <w:right w:val="none" w:sz="0" w:space="0" w:color="auto"/>
      </w:divBdr>
    </w:div>
    <w:div w:id="1153062463">
      <w:bodyDiv w:val="1"/>
      <w:marLeft w:val="0"/>
      <w:marRight w:val="0"/>
      <w:marTop w:val="0"/>
      <w:marBottom w:val="0"/>
      <w:divBdr>
        <w:top w:val="none" w:sz="0" w:space="0" w:color="auto"/>
        <w:left w:val="none" w:sz="0" w:space="0" w:color="auto"/>
        <w:bottom w:val="none" w:sz="0" w:space="0" w:color="auto"/>
        <w:right w:val="none" w:sz="0" w:space="0" w:color="auto"/>
      </w:divBdr>
    </w:div>
    <w:div w:id="1188560955">
      <w:bodyDiv w:val="1"/>
      <w:marLeft w:val="0"/>
      <w:marRight w:val="0"/>
      <w:marTop w:val="0"/>
      <w:marBottom w:val="0"/>
      <w:divBdr>
        <w:top w:val="none" w:sz="0" w:space="0" w:color="auto"/>
        <w:left w:val="none" w:sz="0" w:space="0" w:color="auto"/>
        <w:bottom w:val="none" w:sz="0" w:space="0" w:color="auto"/>
        <w:right w:val="none" w:sz="0" w:space="0" w:color="auto"/>
      </w:divBdr>
    </w:div>
    <w:div w:id="1197234343">
      <w:bodyDiv w:val="1"/>
      <w:marLeft w:val="0"/>
      <w:marRight w:val="0"/>
      <w:marTop w:val="0"/>
      <w:marBottom w:val="0"/>
      <w:divBdr>
        <w:top w:val="none" w:sz="0" w:space="0" w:color="auto"/>
        <w:left w:val="none" w:sz="0" w:space="0" w:color="auto"/>
        <w:bottom w:val="none" w:sz="0" w:space="0" w:color="auto"/>
        <w:right w:val="none" w:sz="0" w:space="0" w:color="auto"/>
      </w:divBdr>
    </w:div>
    <w:div w:id="1203439184">
      <w:bodyDiv w:val="1"/>
      <w:marLeft w:val="0"/>
      <w:marRight w:val="0"/>
      <w:marTop w:val="0"/>
      <w:marBottom w:val="0"/>
      <w:divBdr>
        <w:top w:val="none" w:sz="0" w:space="0" w:color="auto"/>
        <w:left w:val="none" w:sz="0" w:space="0" w:color="auto"/>
        <w:bottom w:val="none" w:sz="0" w:space="0" w:color="auto"/>
        <w:right w:val="none" w:sz="0" w:space="0" w:color="auto"/>
      </w:divBdr>
    </w:div>
    <w:div w:id="1222837166">
      <w:bodyDiv w:val="1"/>
      <w:marLeft w:val="0"/>
      <w:marRight w:val="0"/>
      <w:marTop w:val="0"/>
      <w:marBottom w:val="0"/>
      <w:divBdr>
        <w:top w:val="none" w:sz="0" w:space="0" w:color="auto"/>
        <w:left w:val="none" w:sz="0" w:space="0" w:color="auto"/>
        <w:bottom w:val="none" w:sz="0" w:space="0" w:color="auto"/>
        <w:right w:val="none" w:sz="0" w:space="0" w:color="auto"/>
      </w:divBdr>
    </w:div>
    <w:div w:id="1229344616">
      <w:bodyDiv w:val="1"/>
      <w:marLeft w:val="0"/>
      <w:marRight w:val="0"/>
      <w:marTop w:val="0"/>
      <w:marBottom w:val="0"/>
      <w:divBdr>
        <w:top w:val="none" w:sz="0" w:space="0" w:color="auto"/>
        <w:left w:val="none" w:sz="0" w:space="0" w:color="auto"/>
        <w:bottom w:val="none" w:sz="0" w:space="0" w:color="auto"/>
        <w:right w:val="none" w:sz="0" w:space="0" w:color="auto"/>
      </w:divBdr>
    </w:div>
    <w:div w:id="1254315123">
      <w:bodyDiv w:val="1"/>
      <w:marLeft w:val="0"/>
      <w:marRight w:val="0"/>
      <w:marTop w:val="0"/>
      <w:marBottom w:val="0"/>
      <w:divBdr>
        <w:top w:val="none" w:sz="0" w:space="0" w:color="auto"/>
        <w:left w:val="none" w:sz="0" w:space="0" w:color="auto"/>
        <w:bottom w:val="none" w:sz="0" w:space="0" w:color="auto"/>
        <w:right w:val="none" w:sz="0" w:space="0" w:color="auto"/>
      </w:divBdr>
    </w:div>
    <w:div w:id="1256554398">
      <w:bodyDiv w:val="1"/>
      <w:marLeft w:val="0"/>
      <w:marRight w:val="0"/>
      <w:marTop w:val="0"/>
      <w:marBottom w:val="0"/>
      <w:divBdr>
        <w:top w:val="none" w:sz="0" w:space="0" w:color="auto"/>
        <w:left w:val="none" w:sz="0" w:space="0" w:color="auto"/>
        <w:bottom w:val="none" w:sz="0" w:space="0" w:color="auto"/>
        <w:right w:val="none" w:sz="0" w:space="0" w:color="auto"/>
      </w:divBdr>
    </w:div>
    <w:div w:id="1268735873">
      <w:bodyDiv w:val="1"/>
      <w:marLeft w:val="0"/>
      <w:marRight w:val="0"/>
      <w:marTop w:val="0"/>
      <w:marBottom w:val="0"/>
      <w:divBdr>
        <w:top w:val="none" w:sz="0" w:space="0" w:color="auto"/>
        <w:left w:val="none" w:sz="0" w:space="0" w:color="auto"/>
        <w:bottom w:val="none" w:sz="0" w:space="0" w:color="auto"/>
        <w:right w:val="none" w:sz="0" w:space="0" w:color="auto"/>
      </w:divBdr>
    </w:div>
    <w:div w:id="1290864864">
      <w:bodyDiv w:val="1"/>
      <w:marLeft w:val="0"/>
      <w:marRight w:val="0"/>
      <w:marTop w:val="0"/>
      <w:marBottom w:val="0"/>
      <w:divBdr>
        <w:top w:val="none" w:sz="0" w:space="0" w:color="auto"/>
        <w:left w:val="none" w:sz="0" w:space="0" w:color="auto"/>
        <w:bottom w:val="none" w:sz="0" w:space="0" w:color="auto"/>
        <w:right w:val="none" w:sz="0" w:space="0" w:color="auto"/>
      </w:divBdr>
    </w:div>
    <w:div w:id="1295064419">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5087407">
      <w:bodyDiv w:val="1"/>
      <w:marLeft w:val="0"/>
      <w:marRight w:val="0"/>
      <w:marTop w:val="0"/>
      <w:marBottom w:val="0"/>
      <w:divBdr>
        <w:top w:val="none" w:sz="0" w:space="0" w:color="auto"/>
        <w:left w:val="none" w:sz="0" w:space="0" w:color="auto"/>
        <w:bottom w:val="none" w:sz="0" w:space="0" w:color="auto"/>
        <w:right w:val="none" w:sz="0" w:space="0" w:color="auto"/>
      </w:divBdr>
    </w:div>
    <w:div w:id="1326665291">
      <w:bodyDiv w:val="1"/>
      <w:marLeft w:val="0"/>
      <w:marRight w:val="0"/>
      <w:marTop w:val="0"/>
      <w:marBottom w:val="0"/>
      <w:divBdr>
        <w:top w:val="none" w:sz="0" w:space="0" w:color="auto"/>
        <w:left w:val="none" w:sz="0" w:space="0" w:color="auto"/>
        <w:bottom w:val="none" w:sz="0" w:space="0" w:color="auto"/>
        <w:right w:val="none" w:sz="0" w:space="0" w:color="auto"/>
      </w:divBdr>
    </w:div>
    <w:div w:id="1336614549">
      <w:bodyDiv w:val="1"/>
      <w:marLeft w:val="0"/>
      <w:marRight w:val="0"/>
      <w:marTop w:val="0"/>
      <w:marBottom w:val="0"/>
      <w:divBdr>
        <w:top w:val="none" w:sz="0" w:space="0" w:color="auto"/>
        <w:left w:val="none" w:sz="0" w:space="0" w:color="auto"/>
        <w:bottom w:val="none" w:sz="0" w:space="0" w:color="auto"/>
        <w:right w:val="none" w:sz="0" w:space="0" w:color="auto"/>
      </w:divBdr>
    </w:div>
    <w:div w:id="1363749201">
      <w:bodyDiv w:val="1"/>
      <w:marLeft w:val="0"/>
      <w:marRight w:val="0"/>
      <w:marTop w:val="0"/>
      <w:marBottom w:val="0"/>
      <w:divBdr>
        <w:top w:val="none" w:sz="0" w:space="0" w:color="auto"/>
        <w:left w:val="none" w:sz="0" w:space="0" w:color="auto"/>
        <w:bottom w:val="none" w:sz="0" w:space="0" w:color="auto"/>
        <w:right w:val="none" w:sz="0" w:space="0" w:color="auto"/>
      </w:divBdr>
    </w:div>
    <w:div w:id="1365591656">
      <w:bodyDiv w:val="1"/>
      <w:marLeft w:val="0"/>
      <w:marRight w:val="0"/>
      <w:marTop w:val="0"/>
      <w:marBottom w:val="0"/>
      <w:divBdr>
        <w:top w:val="none" w:sz="0" w:space="0" w:color="auto"/>
        <w:left w:val="none" w:sz="0" w:space="0" w:color="auto"/>
        <w:bottom w:val="none" w:sz="0" w:space="0" w:color="auto"/>
        <w:right w:val="none" w:sz="0" w:space="0" w:color="auto"/>
      </w:divBdr>
    </w:div>
    <w:div w:id="1393041022">
      <w:bodyDiv w:val="1"/>
      <w:marLeft w:val="0"/>
      <w:marRight w:val="0"/>
      <w:marTop w:val="0"/>
      <w:marBottom w:val="0"/>
      <w:divBdr>
        <w:top w:val="none" w:sz="0" w:space="0" w:color="auto"/>
        <w:left w:val="none" w:sz="0" w:space="0" w:color="auto"/>
        <w:bottom w:val="none" w:sz="0" w:space="0" w:color="auto"/>
        <w:right w:val="none" w:sz="0" w:space="0" w:color="auto"/>
      </w:divBdr>
    </w:div>
    <w:div w:id="1399936414">
      <w:bodyDiv w:val="1"/>
      <w:marLeft w:val="0"/>
      <w:marRight w:val="0"/>
      <w:marTop w:val="0"/>
      <w:marBottom w:val="0"/>
      <w:divBdr>
        <w:top w:val="none" w:sz="0" w:space="0" w:color="auto"/>
        <w:left w:val="none" w:sz="0" w:space="0" w:color="auto"/>
        <w:bottom w:val="none" w:sz="0" w:space="0" w:color="auto"/>
        <w:right w:val="none" w:sz="0" w:space="0" w:color="auto"/>
      </w:divBdr>
    </w:div>
    <w:div w:id="1406105918">
      <w:bodyDiv w:val="1"/>
      <w:marLeft w:val="0"/>
      <w:marRight w:val="0"/>
      <w:marTop w:val="0"/>
      <w:marBottom w:val="0"/>
      <w:divBdr>
        <w:top w:val="none" w:sz="0" w:space="0" w:color="auto"/>
        <w:left w:val="none" w:sz="0" w:space="0" w:color="auto"/>
        <w:bottom w:val="none" w:sz="0" w:space="0" w:color="auto"/>
        <w:right w:val="none" w:sz="0" w:space="0" w:color="auto"/>
      </w:divBdr>
    </w:div>
    <w:div w:id="1407191138">
      <w:bodyDiv w:val="1"/>
      <w:marLeft w:val="0"/>
      <w:marRight w:val="0"/>
      <w:marTop w:val="0"/>
      <w:marBottom w:val="0"/>
      <w:divBdr>
        <w:top w:val="none" w:sz="0" w:space="0" w:color="auto"/>
        <w:left w:val="none" w:sz="0" w:space="0" w:color="auto"/>
        <w:bottom w:val="none" w:sz="0" w:space="0" w:color="auto"/>
        <w:right w:val="none" w:sz="0" w:space="0" w:color="auto"/>
      </w:divBdr>
    </w:div>
    <w:div w:id="1421567005">
      <w:bodyDiv w:val="1"/>
      <w:marLeft w:val="0"/>
      <w:marRight w:val="0"/>
      <w:marTop w:val="0"/>
      <w:marBottom w:val="0"/>
      <w:divBdr>
        <w:top w:val="none" w:sz="0" w:space="0" w:color="auto"/>
        <w:left w:val="none" w:sz="0" w:space="0" w:color="auto"/>
        <w:bottom w:val="none" w:sz="0" w:space="0" w:color="auto"/>
        <w:right w:val="none" w:sz="0" w:space="0" w:color="auto"/>
      </w:divBdr>
    </w:div>
    <w:div w:id="1454399458">
      <w:bodyDiv w:val="1"/>
      <w:marLeft w:val="0"/>
      <w:marRight w:val="0"/>
      <w:marTop w:val="0"/>
      <w:marBottom w:val="0"/>
      <w:divBdr>
        <w:top w:val="none" w:sz="0" w:space="0" w:color="auto"/>
        <w:left w:val="none" w:sz="0" w:space="0" w:color="auto"/>
        <w:bottom w:val="none" w:sz="0" w:space="0" w:color="auto"/>
        <w:right w:val="none" w:sz="0" w:space="0" w:color="auto"/>
      </w:divBdr>
    </w:div>
    <w:div w:id="1455175963">
      <w:bodyDiv w:val="1"/>
      <w:marLeft w:val="0"/>
      <w:marRight w:val="0"/>
      <w:marTop w:val="0"/>
      <w:marBottom w:val="0"/>
      <w:divBdr>
        <w:top w:val="none" w:sz="0" w:space="0" w:color="auto"/>
        <w:left w:val="none" w:sz="0" w:space="0" w:color="auto"/>
        <w:bottom w:val="none" w:sz="0" w:space="0" w:color="auto"/>
        <w:right w:val="none" w:sz="0" w:space="0" w:color="auto"/>
      </w:divBdr>
    </w:div>
    <w:div w:id="1464300799">
      <w:bodyDiv w:val="1"/>
      <w:marLeft w:val="0"/>
      <w:marRight w:val="0"/>
      <w:marTop w:val="0"/>
      <w:marBottom w:val="0"/>
      <w:divBdr>
        <w:top w:val="none" w:sz="0" w:space="0" w:color="auto"/>
        <w:left w:val="none" w:sz="0" w:space="0" w:color="auto"/>
        <w:bottom w:val="none" w:sz="0" w:space="0" w:color="auto"/>
        <w:right w:val="none" w:sz="0" w:space="0" w:color="auto"/>
      </w:divBdr>
    </w:div>
    <w:div w:id="1470901692">
      <w:bodyDiv w:val="1"/>
      <w:marLeft w:val="0"/>
      <w:marRight w:val="0"/>
      <w:marTop w:val="0"/>
      <w:marBottom w:val="0"/>
      <w:divBdr>
        <w:top w:val="none" w:sz="0" w:space="0" w:color="auto"/>
        <w:left w:val="none" w:sz="0" w:space="0" w:color="auto"/>
        <w:bottom w:val="none" w:sz="0" w:space="0" w:color="auto"/>
        <w:right w:val="none" w:sz="0" w:space="0" w:color="auto"/>
      </w:divBdr>
    </w:div>
    <w:div w:id="1472408755">
      <w:bodyDiv w:val="1"/>
      <w:marLeft w:val="0"/>
      <w:marRight w:val="0"/>
      <w:marTop w:val="0"/>
      <w:marBottom w:val="0"/>
      <w:divBdr>
        <w:top w:val="none" w:sz="0" w:space="0" w:color="auto"/>
        <w:left w:val="none" w:sz="0" w:space="0" w:color="auto"/>
        <w:bottom w:val="none" w:sz="0" w:space="0" w:color="auto"/>
        <w:right w:val="none" w:sz="0" w:space="0" w:color="auto"/>
      </w:divBdr>
    </w:div>
    <w:div w:id="1482383699">
      <w:bodyDiv w:val="1"/>
      <w:marLeft w:val="0"/>
      <w:marRight w:val="0"/>
      <w:marTop w:val="0"/>
      <w:marBottom w:val="0"/>
      <w:divBdr>
        <w:top w:val="none" w:sz="0" w:space="0" w:color="auto"/>
        <w:left w:val="none" w:sz="0" w:space="0" w:color="auto"/>
        <w:bottom w:val="none" w:sz="0" w:space="0" w:color="auto"/>
        <w:right w:val="none" w:sz="0" w:space="0" w:color="auto"/>
      </w:divBdr>
    </w:div>
    <w:div w:id="1485391711">
      <w:bodyDiv w:val="1"/>
      <w:marLeft w:val="0"/>
      <w:marRight w:val="0"/>
      <w:marTop w:val="0"/>
      <w:marBottom w:val="0"/>
      <w:divBdr>
        <w:top w:val="none" w:sz="0" w:space="0" w:color="auto"/>
        <w:left w:val="none" w:sz="0" w:space="0" w:color="auto"/>
        <w:bottom w:val="none" w:sz="0" w:space="0" w:color="auto"/>
        <w:right w:val="none" w:sz="0" w:space="0" w:color="auto"/>
      </w:divBdr>
    </w:div>
    <w:div w:id="1516772820">
      <w:bodyDiv w:val="1"/>
      <w:marLeft w:val="0"/>
      <w:marRight w:val="0"/>
      <w:marTop w:val="0"/>
      <w:marBottom w:val="0"/>
      <w:divBdr>
        <w:top w:val="none" w:sz="0" w:space="0" w:color="auto"/>
        <w:left w:val="none" w:sz="0" w:space="0" w:color="auto"/>
        <w:bottom w:val="none" w:sz="0" w:space="0" w:color="auto"/>
        <w:right w:val="none" w:sz="0" w:space="0" w:color="auto"/>
      </w:divBdr>
    </w:div>
    <w:div w:id="1546143379">
      <w:bodyDiv w:val="1"/>
      <w:marLeft w:val="0"/>
      <w:marRight w:val="0"/>
      <w:marTop w:val="0"/>
      <w:marBottom w:val="0"/>
      <w:divBdr>
        <w:top w:val="none" w:sz="0" w:space="0" w:color="auto"/>
        <w:left w:val="none" w:sz="0" w:space="0" w:color="auto"/>
        <w:bottom w:val="none" w:sz="0" w:space="0" w:color="auto"/>
        <w:right w:val="none" w:sz="0" w:space="0" w:color="auto"/>
      </w:divBdr>
    </w:div>
    <w:div w:id="1567640548">
      <w:bodyDiv w:val="1"/>
      <w:marLeft w:val="0"/>
      <w:marRight w:val="0"/>
      <w:marTop w:val="0"/>
      <w:marBottom w:val="0"/>
      <w:divBdr>
        <w:top w:val="none" w:sz="0" w:space="0" w:color="auto"/>
        <w:left w:val="none" w:sz="0" w:space="0" w:color="auto"/>
        <w:bottom w:val="none" w:sz="0" w:space="0" w:color="auto"/>
        <w:right w:val="none" w:sz="0" w:space="0" w:color="auto"/>
      </w:divBdr>
    </w:div>
    <w:div w:id="1578980028">
      <w:bodyDiv w:val="1"/>
      <w:marLeft w:val="0"/>
      <w:marRight w:val="0"/>
      <w:marTop w:val="0"/>
      <w:marBottom w:val="0"/>
      <w:divBdr>
        <w:top w:val="none" w:sz="0" w:space="0" w:color="auto"/>
        <w:left w:val="none" w:sz="0" w:space="0" w:color="auto"/>
        <w:bottom w:val="none" w:sz="0" w:space="0" w:color="auto"/>
        <w:right w:val="none" w:sz="0" w:space="0" w:color="auto"/>
      </w:divBdr>
    </w:div>
    <w:div w:id="1594430740">
      <w:bodyDiv w:val="1"/>
      <w:marLeft w:val="0"/>
      <w:marRight w:val="0"/>
      <w:marTop w:val="0"/>
      <w:marBottom w:val="0"/>
      <w:divBdr>
        <w:top w:val="none" w:sz="0" w:space="0" w:color="auto"/>
        <w:left w:val="none" w:sz="0" w:space="0" w:color="auto"/>
        <w:bottom w:val="none" w:sz="0" w:space="0" w:color="auto"/>
        <w:right w:val="none" w:sz="0" w:space="0" w:color="auto"/>
      </w:divBdr>
    </w:div>
    <w:div w:id="1614362788">
      <w:bodyDiv w:val="1"/>
      <w:marLeft w:val="0"/>
      <w:marRight w:val="0"/>
      <w:marTop w:val="0"/>
      <w:marBottom w:val="0"/>
      <w:divBdr>
        <w:top w:val="none" w:sz="0" w:space="0" w:color="auto"/>
        <w:left w:val="none" w:sz="0" w:space="0" w:color="auto"/>
        <w:bottom w:val="none" w:sz="0" w:space="0" w:color="auto"/>
        <w:right w:val="none" w:sz="0" w:space="0" w:color="auto"/>
      </w:divBdr>
    </w:div>
    <w:div w:id="1616205581">
      <w:bodyDiv w:val="1"/>
      <w:marLeft w:val="0"/>
      <w:marRight w:val="0"/>
      <w:marTop w:val="0"/>
      <w:marBottom w:val="0"/>
      <w:divBdr>
        <w:top w:val="none" w:sz="0" w:space="0" w:color="auto"/>
        <w:left w:val="none" w:sz="0" w:space="0" w:color="auto"/>
        <w:bottom w:val="none" w:sz="0" w:space="0" w:color="auto"/>
        <w:right w:val="none" w:sz="0" w:space="0" w:color="auto"/>
      </w:divBdr>
    </w:div>
    <w:div w:id="1627277692">
      <w:bodyDiv w:val="1"/>
      <w:marLeft w:val="0"/>
      <w:marRight w:val="0"/>
      <w:marTop w:val="0"/>
      <w:marBottom w:val="0"/>
      <w:divBdr>
        <w:top w:val="none" w:sz="0" w:space="0" w:color="auto"/>
        <w:left w:val="none" w:sz="0" w:space="0" w:color="auto"/>
        <w:bottom w:val="none" w:sz="0" w:space="0" w:color="auto"/>
        <w:right w:val="none" w:sz="0" w:space="0" w:color="auto"/>
      </w:divBdr>
    </w:div>
    <w:div w:id="1628076049">
      <w:bodyDiv w:val="1"/>
      <w:marLeft w:val="0"/>
      <w:marRight w:val="0"/>
      <w:marTop w:val="0"/>
      <w:marBottom w:val="0"/>
      <w:divBdr>
        <w:top w:val="none" w:sz="0" w:space="0" w:color="auto"/>
        <w:left w:val="none" w:sz="0" w:space="0" w:color="auto"/>
        <w:bottom w:val="none" w:sz="0" w:space="0" w:color="auto"/>
        <w:right w:val="none" w:sz="0" w:space="0" w:color="auto"/>
      </w:divBdr>
    </w:div>
    <w:div w:id="1638989918">
      <w:bodyDiv w:val="1"/>
      <w:marLeft w:val="0"/>
      <w:marRight w:val="0"/>
      <w:marTop w:val="0"/>
      <w:marBottom w:val="0"/>
      <w:divBdr>
        <w:top w:val="none" w:sz="0" w:space="0" w:color="auto"/>
        <w:left w:val="none" w:sz="0" w:space="0" w:color="auto"/>
        <w:bottom w:val="none" w:sz="0" w:space="0" w:color="auto"/>
        <w:right w:val="none" w:sz="0" w:space="0" w:color="auto"/>
      </w:divBdr>
      <w:divsChild>
        <w:div w:id="569003776">
          <w:marLeft w:val="0"/>
          <w:marRight w:val="0"/>
          <w:marTop w:val="0"/>
          <w:marBottom w:val="0"/>
          <w:divBdr>
            <w:top w:val="none" w:sz="0" w:space="0" w:color="auto"/>
            <w:left w:val="none" w:sz="0" w:space="0" w:color="auto"/>
            <w:bottom w:val="none" w:sz="0" w:space="0" w:color="auto"/>
            <w:right w:val="none" w:sz="0" w:space="0" w:color="auto"/>
          </w:divBdr>
        </w:div>
      </w:divsChild>
    </w:div>
    <w:div w:id="1648628541">
      <w:bodyDiv w:val="1"/>
      <w:marLeft w:val="0"/>
      <w:marRight w:val="0"/>
      <w:marTop w:val="0"/>
      <w:marBottom w:val="0"/>
      <w:divBdr>
        <w:top w:val="none" w:sz="0" w:space="0" w:color="auto"/>
        <w:left w:val="none" w:sz="0" w:space="0" w:color="auto"/>
        <w:bottom w:val="none" w:sz="0" w:space="0" w:color="auto"/>
        <w:right w:val="none" w:sz="0" w:space="0" w:color="auto"/>
      </w:divBdr>
    </w:div>
    <w:div w:id="1652516066">
      <w:bodyDiv w:val="1"/>
      <w:marLeft w:val="0"/>
      <w:marRight w:val="0"/>
      <w:marTop w:val="0"/>
      <w:marBottom w:val="0"/>
      <w:divBdr>
        <w:top w:val="none" w:sz="0" w:space="0" w:color="auto"/>
        <w:left w:val="none" w:sz="0" w:space="0" w:color="auto"/>
        <w:bottom w:val="none" w:sz="0" w:space="0" w:color="auto"/>
        <w:right w:val="none" w:sz="0" w:space="0" w:color="auto"/>
      </w:divBdr>
    </w:div>
    <w:div w:id="1658071330">
      <w:bodyDiv w:val="1"/>
      <w:marLeft w:val="0"/>
      <w:marRight w:val="0"/>
      <w:marTop w:val="0"/>
      <w:marBottom w:val="0"/>
      <w:divBdr>
        <w:top w:val="none" w:sz="0" w:space="0" w:color="auto"/>
        <w:left w:val="none" w:sz="0" w:space="0" w:color="auto"/>
        <w:bottom w:val="none" w:sz="0" w:space="0" w:color="auto"/>
        <w:right w:val="none" w:sz="0" w:space="0" w:color="auto"/>
      </w:divBdr>
    </w:div>
    <w:div w:id="1676573060">
      <w:bodyDiv w:val="1"/>
      <w:marLeft w:val="0"/>
      <w:marRight w:val="0"/>
      <w:marTop w:val="0"/>
      <w:marBottom w:val="0"/>
      <w:divBdr>
        <w:top w:val="none" w:sz="0" w:space="0" w:color="auto"/>
        <w:left w:val="none" w:sz="0" w:space="0" w:color="auto"/>
        <w:bottom w:val="none" w:sz="0" w:space="0" w:color="auto"/>
        <w:right w:val="none" w:sz="0" w:space="0" w:color="auto"/>
      </w:divBdr>
    </w:div>
    <w:div w:id="1689717261">
      <w:bodyDiv w:val="1"/>
      <w:marLeft w:val="0"/>
      <w:marRight w:val="0"/>
      <w:marTop w:val="0"/>
      <w:marBottom w:val="0"/>
      <w:divBdr>
        <w:top w:val="none" w:sz="0" w:space="0" w:color="auto"/>
        <w:left w:val="none" w:sz="0" w:space="0" w:color="auto"/>
        <w:bottom w:val="none" w:sz="0" w:space="0" w:color="auto"/>
        <w:right w:val="none" w:sz="0" w:space="0" w:color="auto"/>
      </w:divBdr>
    </w:div>
    <w:div w:id="1714160519">
      <w:bodyDiv w:val="1"/>
      <w:marLeft w:val="0"/>
      <w:marRight w:val="0"/>
      <w:marTop w:val="0"/>
      <w:marBottom w:val="0"/>
      <w:divBdr>
        <w:top w:val="none" w:sz="0" w:space="0" w:color="auto"/>
        <w:left w:val="none" w:sz="0" w:space="0" w:color="auto"/>
        <w:bottom w:val="none" w:sz="0" w:space="0" w:color="auto"/>
        <w:right w:val="none" w:sz="0" w:space="0" w:color="auto"/>
      </w:divBdr>
    </w:div>
    <w:div w:id="1716805309">
      <w:bodyDiv w:val="1"/>
      <w:marLeft w:val="0"/>
      <w:marRight w:val="0"/>
      <w:marTop w:val="0"/>
      <w:marBottom w:val="0"/>
      <w:divBdr>
        <w:top w:val="none" w:sz="0" w:space="0" w:color="auto"/>
        <w:left w:val="none" w:sz="0" w:space="0" w:color="auto"/>
        <w:bottom w:val="none" w:sz="0" w:space="0" w:color="auto"/>
        <w:right w:val="none" w:sz="0" w:space="0" w:color="auto"/>
      </w:divBdr>
      <w:divsChild>
        <w:div w:id="1691684790">
          <w:marLeft w:val="0"/>
          <w:marRight w:val="0"/>
          <w:marTop w:val="0"/>
          <w:marBottom w:val="0"/>
          <w:divBdr>
            <w:top w:val="none" w:sz="0" w:space="0" w:color="auto"/>
            <w:left w:val="none" w:sz="0" w:space="0" w:color="auto"/>
            <w:bottom w:val="none" w:sz="0" w:space="0" w:color="auto"/>
            <w:right w:val="none" w:sz="0" w:space="0" w:color="auto"/>
          </w:divBdr>
        </w:div>
        <w:div w:id="1484546147">
          <w:marLeft w:val="0"/>
          <w:marRight w:val="0"/>
          <w:marTop w:val="0"/>
          <w:marBottom w:val="0"/>
          <w:divBdr>
            <w:top w:val="none" w:sz="0" w:space="0" w:color="auto"/>
            <w:left w:val="none" w:sz="0" w:space="0" w:color="auto"/>
            <w:bottom w:val="none" w:sz="0" w:space="0" w:color="auto"/>
            <w:right w:val="none" w:sz="0" w:space="0" w:color="auto"/>
          </w:divBdr>
        </w:div>
        <w:div w:id="1604262929">
          <w:marLeft w:val="0"/>
          <w:marRight w:val="0"/>
          <w:marTop w:val="0"/>
          <w:marBottom w:val="0"/>
          <w:divBdr>
            <w:top w:val="none" w:sz="0" w:space="0" w:color="auto"/>
            <w:left w:val="none" w:sz="0" w:space="0" w:color="auto"/>
            <w:bottom w:val="none" w:sz="0" w:space="0" w:color="auto"/>
            <w:right w:val="none" w:sz="0" w:space="0" w:color="auto"/>
          </w:divBdr>
        </w:div>
        <w:div w:id="938414594">
          <w:marLeft w:val="0"/>
          <w:marRight w:val="0"/>
          <w:marTop w:val="0"/>
          <w:marBottom w:val="0"/>
          <w:divBdr>
            <w:top w:val="none" w:sz="0" w:space="0" w:color="auto"/>
            <w:left w:val="none" w:sz="0" w:space="0" w:color="auto"/>
            <w:bottom w:val="none" w:sz="0" w:space="0" w:color="auto"/>
            <w:right w:val="none" w:sz="0" w:space="0" w:color="auto"/>
          </w:divBdr>
        </w:div>
      </w:divsChild>
    </w:div>
    <w:div w:id="1743797368">
      <w:bodyDiv w:val="1"/>
      <w:marLeft w:val="0"/>
      <w:marRight w:val="0"/>
      <w:marTop w:val="0"/>
      <w:marBottom w:val="0"/>
      <w:divBdr>
        <w:top w:val="none" w:sz="0" w:space="0" w:color="auto"/>
        <w:left w:val="none" w:sz="0" w:space="0" w:color="auto"/>
        <w:bottom w:val="none" w:sz="0" w:space="0" w:color="auto"/>
        <w:right w:val="none" w:sz="0" w:space="0" w:color="auto"/>
      </w:divBdr>
    </w:div>
    <w:div w:id="1751384283">
      <w:bodyDiv w:val="1"/>
      <w:marLeft w:val="0"/>
      <w:marRight w:val="0"/>
      <w:marTop w:val="0"/>
      <w:marBottom w:val="0"/>
      <w:divBdr>
        <w:top w:val="none" w:sz="0" w:space="0" w:color="auto"/>
        <w:left w:val="none" w:sz="0" w:space="0" w:color="auto"/>
        <w:bottom w:val="none" w:sz="0" w:space="0" w:color="auto"/>
        <w:right w:val="none" w:sz="0" w:space="0" w:color="auto"/>
      </w:divBdr>
    </w:div>
    <w:div w:id="1768496911">
      <w:bodyDiv w:val="1"/>
      <w:marLeft w:val="0"/>
      <w:marRight w:val="0"/>
      <w:marTop w:val="0"/>
      <w:marBottom w:val="0"/>
      <w:divBdr>
        <w:top w:val="none" w:sz="0" w:space="0" w:color="auto"/>
        <w:left w:val="none" w:sz="0" w:space="0" w:color="auto"/>
        <w:bottom w:val="none" w:sz="0" w:space="0" w:color="auto"/>
        <w:right w:val="none" w:sz="0" w:space="0" w:color="auto"/>
      </w:divBdr>
    </w:div>
    <w:div w:id="1796751783">
      <w:bodyDiv w:val="1"/>
      <w:marLeft w:val="0"/>
      <w:marRight w:val="0"/>
      <w:marTop w:val="0"/>
      <w:marBottom w:val="0"/>
      <w:divBdr>
        <w:top w:val="none" w:sz="0" w:space="0" w:color="auto"/>
        <w:left w:val="none" w:sz="0" w:space="0" w:color="auto"/>
        <w:bottom w:val="none" w:sz="0" w:space="0" w:color="auto"/>
        <w:right w:val="none" w:sz="0" w:space="0" w:color="auto"/>
      </w:divBdr>
    </w:div>
    <w:div w:id="1799567173">
      <w:bodyDiv w:val="1"/>
      <w:marLeft w:val="0"/>
      <w:marRight w:val="0"/>
      <w:marTop w:val="0"/>
      <w:marBottom w:val="0"/>
      <w:divBdr>
        <w:top w:val="none" w:sz="0" w:space="0" w:color="auto"/>
        <w:left w:val="none" w:sz="0" w:space="0" w:color="auto"/>
        <w:bottom w:val="none" w:sz="0" w:space="0" w:color="auto"/>
        <w:right w:val="none" w:sz="0" w:space="0" w:color="auto"/>
      </w:divBdr>
    </w:div>
    <w:div w:id="1828589376">
      <w:bodyDiv w:val="1"/>
      <w:marLeft w:val="0"/>
      <w:marRight w:val="0"/>
      <w:marTop w:val="0"/>
      <w:marBottom w:val="0"/>
      <w:divBdr>
        <w:top w:val="none" w:sz="0" w:space="0" w:color="auto"/>
        <w:left w:val="none" w:sz="0" w:space="0" w:color="auto"/>
        <w:bottom w:val="none" w:sz="0" w:space="0" w:color="auto"/>
        <w:right w:val="none" w:sz="0" w:space="0" w:color="auto"/>
      </w:divBdr>
    </w:div>
    <w:div w:id="1849250316">
      <w:bodyDiv w:val="1"/>
      <w:marLeft w:val="0"/>
      <w:marRight w:val="0"/>
      <w:marTop w:val="0"/>
      <w:marBottom w:val="0"/>
      <w:divBdr>
        <w:top w:val="none" w:sz="0" w:space="0" w:color="auto"/>
        <w:left w:val="none" w:sz="0" w:space="0" w:color="auto"/>
        <w:bottom w:val="none" w:sz="0" w:space="0" w:color="auto"/>
        <w:right w:val="none" w:sz="0" w:space="0" w:color="auto"/>
      </w:divBdr>
    </w:div>
    <w:div w:id="1864434770">
      <w:bodyDiv w:val="1"/>
      <w:marLeft w:val="0"/>
      <w:marRight w:val="0"/>
      <w:marTop w:val="0"/>
      <w:marBottom w:val="0"/>
      <w:divBdr>
        <w:top w:val="none" w:sz="0" w:space="0" w:color="auto"/>
        <w:left w:val="none" w:sz="0" w:space="0" w:color="auto"/>
        <w:bottom w:val="none" w:sz="0" w:space="0" w:color="auto"/>
        <w:right w:val="none" w:sz="0" w:space="0" w:color="auto"/>
      </w:divBdr>
    </w:div>
    <w:div w:id="1875995979">
      <w:bodyDiv w:val="1"/>
      <w:marLeft w:val="0"/>
      <w:marRight w:val="0"/>
      <w:marTop w:val="0"/>
      <w:marBottom w:val="0"/>
      <w:divBdr>
        <w:top w:val="none" w:sz="0" w:space="0" w:color="auto"/>
        <w:left w:val="none" w:sz="0" w:space="0" w:color="auto"/>
        <w:bottom w:val="none" w:sz="0" w:space="0" w:color="auto"/>
        <w:right w:val="none" w:sz="0" w:space="0" w:color="auto"/>
      </w:divBdr>
    </w:div>
    <w:div w:id="1912961224">
      <w:bodyDiv w:val="1"/>
      <w:marLeft w:val="0"/>
      <w:marRight w:val="0"/>
      <w:marTop w:val="0"/>
      <w:marBottom w:val="0"/>
      <w:divBdr>
        <w:top w:val="none" w:sz="0" w:space="0" w:color="auto"/>
        <w:left w:val="none" w:sz="0" w:space="0" w:color="auto"/>
        <w:bottom w:val="none" w:sz="0" w:space="0" w:color="auto"/>
        <w:right w:val="none" w:sz="0" w:space="0" w:color="auto"/>
      </w:divBdr>
    </w:div>
    <w:div w:id="1913393954">
      <w:bodyDiv w:val="1"/>
      <w:marLeft w:val="0"/>
      <w:marRight w:val="0"/>
      <w:marTop w:val="0"/>
      <w:marBottom w:val="0"/>
      <w:divBdr>
        <w:top w:val="none" w:sz="0" w:space="0" w:color="auto"/>
        <w:left w:val="none" w:sz="0" w:space="0" w:color="auto"/>
        <w:bottom w:val="none" w:sz="0" w:space="0" w:color="auto"/>
        <w:right w:val="none" w:sz="0" w:space="0" w:color="auto"/>
      </w:divBdr>
      <w:divsChild>
        <w:div w:id="225917130">
          <w:marLeft w:val="0"/>
          <w:marRight w:val="0"/>
          <w:marTop w:val="0"/>
          <w:marBottom w:val="0"/>
          <w:divBdr>
            <w:top w:val="none" w:sz="0" w:space="0" w:color="auto"/>
            <w:left w:val="none" w:sz="0" w:space="0" w:color="auto"/>
            <w:bottom w:val="none" w:sz="0" w:space="0" w:color="auto"/>
            <w:right w:val="none" w:sz="0" w:space="0" w:color="auto"/>
          </w:divBdr>
        </w:div>
        <w:div w:id="905183867">
          <w:marLeft w:val="0"/>
          <w:marRight w:val="0"/>
          <w:marTop w:val="0"/>
          <w:marBottom w:val="0"/>
          <w:divBdr>
            <w:top w:val="none" w:sz="0" w:space="0" w:color="auto"/>
            <w:left w:val="none" w:sz="0" w:space="0" w:color="auto"/>
            <w:bottom w:val="none" w:sz="0" w:space="0" w:color="auto"/>
            <w:right w:val="none" w:sz="0" w:space="0" w:color="auto"/>
          </w:divBdr>
        </w:div>
        <w:div w:id="864100795">
          <w:marLeft w:val="0"/>
          <w:marRight w:val="0"/>
          <w:marTop w:val="0"/>
          <w:marBottom w:val="0"/>
          <w:divBdr>
            <w:top w:val="none" w:sz="0" w:space="0" w:color="auto"/>
            <w:left w:val="none" w:sz="0" w:space="0" w:color="auto"/>
            <w:bottom w:val="none" w:sz="0" w:space="0" w:color="auto"/>
            <w:right w:val="none" w:sz="0" w:space="0" w:color="auto"/>
          </w:divBdr>
        </w:div>
        <w:div w:id="308097100">
          <w:marLeft w:val="0"/>
          <w:marRight w:val="0"/>
          <w:marTop w:val="0"/>
          <w:marBottom w:val="0"/>
          <w:divBdr>
            <w:top w:val="none" w:sz="0" w:space="0" w:color="auto"/>
            <w:left w:val="none" w:sz="0" w:space="0" w:color="auto"/>
            <w:bottom w:val="none" w:sz="0" w:space="0" w:color="auto"/>
            <w:right w:val="none" w:sz="0" w:space="0" w:color="auto"/>
          </w:divBdr>
        </w:div>
      </w:divsChild>
    </w:div>
    <w:div w:id="1914701452">
      <w:bodyDiv w:val="1"/>
      <w:marLeft w:val="0"/>
      <w:marRight w:val="0"/>
      <w:marTop w:val="0"/>
      <w:marBottom w:val="0"/>
      <w:divBdr>
        <w:top w:val="none" w:sz="0" w:space="0" w:color="auto"/>
        <w:left w:val="none" w:sz="0" w:space="0" w:color="auto"/>
        <w:bottom w:val="none" w:sz="0" w:space="0" w:color="auto"/>
        <w:right w:val="none" w:sz="0" w:space="0" w:color="auto"/>
      </w:divBdr>
    </w:div>
    <w:div w:id="1915312738">
      <w:bodyDiv w:val="1"/>
      <w:marLeft w:val="0"/>
      <w:marRight w:val="0"/>
      <w:marTop w:val="0"/>
      <w:marBottom w:val="0"/>
      <w:divBdr>
        <w:top w:val="none" w:sz="0" w:space="0" w:color="auto"/>
        <w:left w:val="none" w:sz="0" w:space="0" w:color="auto"/>
        <w:bottom w:val="none" w:sz="0" w:space="0" w:color="auto"/>
        <w:right w:val="none" w:sz="0" w:space="0" w:color="auto"/>
      </w:divBdr>
    </w:div>
    <w:div w:id="1941063720">
      <w:bodyDiv w:val="1"/>
      <w:marLeft w:val="0"/>
      <w:marRight w:val="0"/>
      <w:marTop w:val="0"/>
      <w:marBottom w:val="0"/>
      <w:divBdr>
        <w:top w:val="none" w:sz="0" w:space="0" w:color="auto"/>
        <w:left w:val="none" w:sz="0" w:space="0" w:color="auto"/>
        <w:bottom w:val="none" w:sz="0" w:space="0" w:color="auto"/>
        <w:right w:val="none" w:sz="0" w:space="0" w:color="auto"/>
      </w:divBdr>
    </w:div>
    <w:div w:id="1943371249">
      <w:bodyDiv w:val="1"/>
      <w:marLeft w:val="0"/>
      <w:marRight w:val="0"/>
      <w:marTop w:val="0"/>
      <w:marBottom w:val="0"/>
      <w:divBdr>
        <w:top w:val="none" w:sz="0" w:space="0" w:color="auto"/>
        <w:left w:val="none" w:sz="0" w:space="0" w:color="auto"/>
        <w:bottom w:val="none" w:sz="0" w:space="0" w:color="auto"/>
        <w:right w:val="none" w:sz="0" w:space="0" w:color="auto"/>
      </w:divBdr>
    </w:div>
    <w:div w:id="1971206267">
      <w:bodyDiv w:val="1"/>
      <w:marLeft w:val="0"/>
      <w:marRight w:val="0"/>
      <w:marTop w:val="0"/>
      <w:marBottom w:val="0"/>
      <w:divBdr>
        <w:top w:val="none" w:sz="0" w:space="0" w:color="auto"/>
        <w:left w:val="none" w:sz="0" w:space="0" w:color="auto"/>
        <w:bottom w:val="none" w:sz="0" w:space="0" w:color="auto"/>
        <w:right w:val="none" w:sz="0" w:space="0" w:color="auto"/>
      </w:divBdr>
    </w:div>
    <w:div w:id="1990284771">
      <w:bodyDiv w:val="1"/>
      <w:marLeft w:val="0"/>
      <w:marRight w:val="0"/>
      <w:marTop w:val="0"/>
      <w:marBottom w:val="0"/>
      <w:divBdr>
        <w:top w:val="none" w:sz="0" w:space="0" w:color="auto"/>
        <w:left w:val="none" w:sz="0" w:space="0" w:color="auto"/>
        <w:bottom w:val="none" w:sz="0" w:space="0" w:color="auto"/>
        <w:right w:val="none" w:sz="0" w:space="0" w:color="auto"/>
      </w:divBdr>
    </w:div>
    <w:div w:id="1994219357">
      <w:bodyDiv w:val="1"/>
      <w:marLeft w:val="0"/>
      <w:marRight w:val="0"/>
      <w:marTop w:val="0"/>
      <w:marBottom w:val="0"/>
      <w:divBdr>
        <w:top w:val="none" w:sz="0" w:space="0" w:color="auto"/>
        <w:left w:val="none" w:sz="0" w:space="0" w:color="auto"/>
        <w:bottom w:val="none" w:sz="0" w:space="0" w:color="auto"/>
        <w:right w:val="none" w:sz="0" w:space="0" w:color="auto"/>
      </w:divBdr>
    </w:div>
    <w:div w:id="2003310953">
      <w:bodyDiv w:val="1"/>
      <w:marLeft w:val="0"/>
      <w:marRight w:val="0"/>
      <w:marTop w:val="0"/>
      <w:marBottom w:val="0"/>
      <w:divBdr>
        <w:top w:val="none" w:sz="0" w:space="0" w:color="auto"/>
        <w:left w:val="none" w:sz="0" w:space="0" w:color="auto"/>
        <w:bottom w:val="none" w:sz="0" w:space="0" w:color="auto"/>
        <w:right w:val="none" w:sz="0" w:space="0" w:color="auto"/>
      </w:divBdr>
    </w:div>
    <w:div w:id="2017341036">
      <w:bodyDiv w:val="1"/>
      <w:marLeft w:val="0"/>
      <w:marRight w:val="0"/>
      <w:marTop w:val="0"/>
      <w:marBottom w:val="0"/>
      <w:divBdr>
        <w:top w:val="none" w:sz="0" w:space="0" w:color="auto"/>
        <w:left w:val="none" w:sz="0" w:space="0" w:color="auto"/>
        <w:bottom w:val="none" w:sz="0" w:space="0" w:color="auto"/>
        <w:right w:val="none" w:sz="0" w:space="0" w:color="auto"/>
      </w:divBdr>
    </w:div>
    <w:div w:id="2020889451">
      <w:bodyDiv w:val="1"/>
      <w:marLeft w:val="0"/>
      <w:marRight w:val="0"/>
      <w:marTop w:val="0"/>
      <w:marBottom w:val="0"/>
      <w:divBdr>
        <w:top w:val="none" w:sz="0" w:space="0" w:color="auto"/>
        <w:left w:val="none" w:sz="0" w:space="0" w:color="auto"/>
        <w:bottom w:val="none" w:sz="0" w:space="0" w:color="auto"/>
        <w:right w:val="none" w:sz="0" w:space="0" w:color="auto"/>
      </w:divBdr>
      <w:divsChild>
        <w:div w:id="1192644837">
          <w:marLeft w:val="0"/>
          <w:marRight w:val="0"/>
          <w:marTop w:val="0"/>
          <w:marBottom w:val="0"/>
          <w:divBdr>
            <w:top w:val="none" w:sz="0" w:space="0" w:color="auto"/>
            <w:left w:val="none" w:sz="0" w:space="0" w:color="auto"/>
            <w:bottom w:val="none" w:sz="0" w:space="0" w:color="auto"/>
            <w:right w:val="none" w:sz="0" w:space="0" w:color="auto"/>
          </w:divBdr>
        </w:div>
      </w:divsChild>
    </w:div>
    <w:div w:id="2042129496">
      <w:bodyDiv w:val="1"/>
      <w:marLeft w:val="0"/>
      <w:marRight w:val="0"/>
      <w:marTop w:val="0"/>
      <w:marBottom w:val="0"/>
      <w:divBdr>
        <w:top w:val="none" w:sz="0" w:space="0" w:color="auto"/>
        <w:left w:val="none" w:sz="0" w:space="0" w:color="auto"/>
        <w:bottom w:val="none" w:sz="0" w:space="0" w:color="auto"/>
        <w:right w:val="none" w:sz="0" w:space="0" w:color="auto"/>
      </w:divBdr>
    </w:div>
    <w:div w:id="2046371324">
      <w:bodyDiv w:val="1"/>
      <w:marLeft w:val="0"/>
      <w:marRight w:val="0"/>
      <w:marTop w:val="0"/>
      <w:marBottom w:val="0"/>
      <w:divBdr>
        <w:top w:val="none" w:sz="0" w:space="0" w:color="auto"/>
        <w:left w:val="none" w:sz="0" w:space="0" w:color="auto"/>
        <w:bottom w:val="none" w:sz="0" w:space="0" w:color="auto"/>
        <w:right w:val="none" w:sz="0" w:space="0" w:color="auto"/>
      </w:divBdr>
    </w:div>
    <w:div w:id="2055152464">
      <w:bodyDiv w:val="1"/>
      <w:marLeft w:val="0"/>
      <w:marRight w:val="0"/>
      <w:marTop w:val="0"/>
      <w:marBottom w:val="0"/>
      <w:divBdr>
        <w:top w:val="none" w:sz="0" w:space="0" w:color="auto"/>
        <w:left w:val="none" w:sz="0" w:space="0" w:color="auto"/>
        <w:bottom w:val="none" w:sz="0" w:space="0" w:color="auto"/>
        <w:right w:val="none" w:sz="0" w:space="0" w:color="auto"/>
      </w:divBdr>
    </w:div>
    <w:div w:id="2058891639">
      <w:bodyDiv w:val="1"/>
      <w:marLeft w:val="0"/>
      <w:marRight w:val="0"/>
      <w:marTop w:val="0"/>
      <w:marBottom w:val="0"/>
      <w:divBdr>
        <w:top w:val="none" w:sz="0" w:space="0" w:color="auto"/>
        <w:left w:val="none" w:sz="0" w:space="0" w:color="auto"/>
        <w:bottom w:val="none" w:sz="0" w:space="0" w:color="auto"/>
        <w:right w:val="none" w:sz="0" w:space="0" w:color="auto"/>
      </w:divBdr>
    </w:div>
    <w:div w:id="2064257424">
      <w:bodyDiv w:val="1"/>
      <w:marLeft w:val="0"/>
      <w:marRight w:val="0"/>
      <w:marTop w:val="0"/>
      <w:marBottom w:val="0"/>
      <w:divBdr>
        <w:top w:val="none" w:sz="0" w:space="0" w:color="auto"/>
        <w:left w:val="none" w:sz="0" w:space="0" w:color="auto"/>
        <w:bottom w:val="none" w:sz="0" w:space="0" w:color="auto"/>
        <w:right w:val="none" w:sz="0" w:space="0" w:color="auto"/>
      </w:divBdr>
    </w:div>
    <w:div w:id="2068800559">
      <w:bodyDiv w:val="1"/>
      <w:marLeft w:val="0"/>
      <w:marRight w:val="0"/>
      <w:marTop w:val="0"/>
      <w:marBottom w:val="0"/>
      <w:divBdr>
        <w:top w:val="none" w:sz="0" w:space="0" w:color="auto"/>
        <w:left w:val="none" w:sz="0" w:space="0" w:color="auto"/>
        <w:bottom w:val="none" w:sz="0" w:space="0" w:color="auto"/>
        <w:right w:val="none" w:sz="0" w:space="0" w:color="auto"/>
      </w:divBdr>
    </w:div>
    <w:div w:id="2080440513">
      <w:bodyDiv w:val="1"/>
      <w:marLeft w:val="0"/>
      <w:marRight w:val="0"/>
      <w:marTop w:val="0"/>
      <w:marBottom w:val="0"/>
      <w:divBdr>
        <w:top w:val="none" w:sz="0" w:space="0" w:color="auto"/>
        <w:left w:val="none" w:sz="0" w:space="0" w:color="auto"/>
        <w:bottom w:val="none" w:sz="0" w:space="0" w:color="auto"/>
        <w:right w:val="none" w:sz="0" w:space="0" w:color="auto"/>
      </w:divBdr>
    </w:div>
    <w:div w:id="2106923989">
      <w:bodyDiv w:val="1"/>
      <w:marLeft w:val="0"/>
      <w:marRight w:val="0"/>
      <w:marTop w:val="0"/>
      <w:marBottom w:val="0"/>
      <w:divBdr>
        <w:top w:val="none" w:sz="0" w:space="0" w:color="auto"/>
        <w:left w:val="none" w:sz="0" w:space="0" w:color="auto"/>
        <w:bottom w:val="none" w:sz="0" w:space="0" w:color="auto"/>
        <w:right w:val="none" w:sz="0" w:space="0" w:color="auto"/>
      </w:divBdr>
    </w:div>
    <w:div w:id="2113619943">
      <w:bodyDiv w:val="1"/>
      <w:marLeft w:val="0"/>
      <w:marRight w:val="0"/>
      <w:marTop w:val="0"/>
      <w:marBottom w:val="0"/>
      <w:divBdr>
        <w:top w:val="none" w:sz="0" w:space="0" w:color="auto"/>
        <w:left w:val="none" w:sz="0" w:space="0" w:color="auto"/>
        <w:bottom w:val="none" w:sz="0" w:space="0" w:color="auto"/>
        <w:right w:val="none" w:sz="0" w:space="0" w:color="auto"/>
      </w:divBdr>
    </w:div>
    <w:div w:id="2116366781">
      <w:bodyDiv w:val="1"/>
      <w:marLeft w:val="0"/>
      <w:marRight w:val="0"/>
      <w:marTop w:val="0"/>
      <w:marBottom w:val="0"/>
      <w:divBdr>
        <w:top w:val="none" w:sz="0" w:space="0" w:color="auto"/>
        <w:left w:val="none" w:sz="0" w:space="0" w:color="auto"/>
        <w:bottom w:val="none" w:sz="0" w:space="0" w:color="auto"/>
        <w:right w:val="none" w:sz="0" w:space="0" w:color="auto"/>
      </w:divBdr>
    </w:div>
    <w:div w:id="2126190912">
      <w:bodyDiv w:val="1"/>
      <w:marLeft w:val="0"/>
      <w:marRight w:val="0"/>
      <w:marTop w:val="0"/>
      <w:marBottom w:val="0"/>
      <w:divBdr>
        <w:top w:val="none" w:sz="0" w:space="0" w:color="auto"/>
        <w:left w:val="none" w:sz="0" w:space="0" w:color="auto"/>
        <w:bottom w:val="none" w:sz="0" w:space="0" w:color="auto"/>
        <w:right w:val="none" w:sz="0" w:space="0" w:color="auto"/>
      </w:divBdr>
    </w:div>
    <w:div w:id="2138713798">
      <w:bodyDiv w:val="1"/>
      <w:marLeft w:val="0"/>
      <w:marRight w:val="0"/>
      <w:marTop w:val="0"/>
      <w:marBottom w:val="0"/>
      <w:divBdr>
        <w:top w:val="none" w:sz="0" w:space="0" w:color="auto"/>
        <w:left w:val="none" w:sz="0" w:space="0" w:color="auto"/>
        <w:bottom w:val="none" w:sz="0" w:space="0" w:color="auto"/>
        <w:right w:val="none" w:sz="0" w:space="0" w:color="auto"/>
      </w:divBdr>
    </w:div>
    <w:div w:id="21466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s://myintracomm.ec.europa.eu/budgweb/EN/pre/legalbasis/Pages/pre-040-020_preparation.aspx"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13.xml"/><Relationship Id="rId42" Type="http://schemas.openxmlformats.org/officeDocument/2006/relationships/header" Target="header1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8.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theme" Target="theme/theme1.xml"/><Relationship Id="rId66"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fontTable" Target="fontTable.xml"/><Relationship Id="rId65"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footer" Target="footer11.xml"/><Relationship Id="rId35" Type="http://schemas.openxmlformats.org/officeDocument/2006/relationships/header" Target="header11.xml"/><Relationship Id="rId43" Type="http://schemas.openxmlformats.org/officeDocument/2006/relationships/footer" Target="footer17.xml"/></Relationships>
</file>

<file path=word/_rels/footnotes.xml.rels><?xml version="1.0" encoding="UTF-8" standalone="yes"?>
<Relationships xmlns="http://schemas.openxmlformats.org/package/2006/relationships"><Relationship Id="rId3" Type="http://schemas.openxmlformats.org/officeDocument/2006/relationships/hyperlink" Target="https://myintracomm.ec.europa.eu/budgweb/EN/man/budgmanag/Pages/budgmanag.aspx" TargetMode="External"/><Relationship Id="rId2" Type="http://schemas.openxmlformats.org/officeDocument/2006/relationships/hyperlink" Target="https://ec.europa.eu/info/law/better-regulation/have-your-say/initiatives/12563-Strengthening-the-automated-data-exchange-under-the-Prum-framework_en" TargetMode="External"/><Relationship Id="rId1" Type="http://schemas.openxmlformats.org/officeDocument/2006/relationships/hyperlink" Target="https://data.consilium.europa.eu/doc/document/ST-11227-2018-INIT/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B4A1A7827F8CD546B7C4F1FFB7AD6665" ma:contentTypeVersion="0" ma:contentTypeDescription="Create a new document in this library." ma:contentTypeScope="" ma:versionID="8322454b09cb3c1b0596d12240a994a2">
  <xsd:schema xmlns:xsd="http://www.w3.org/2001/XMLSchema" xmlns:xs="http://www.w3.org/2001/XMLSchema" xmlns:p="http://schemas.microsoft.com/office/2006/metadata/properties" xmlns:ns2="http://schemas.microsoft.com/sharepoint/v3/fields" xmlns:ns3="c822c759-7f2f-410b-b0a6-59a10afa4539" targetNamespace="http://schemas.microsoft.com/office/2006/metadata/properties" ma:root="true" ma:fieldsID="956e3f3f64e337db9b836c2031adb257" ns2:_="" ns3:_="">
    <xsd:import namespace="http://schemas.microsoft.com/sharepoint/v3/fields"/>
    <xsd:import namespace="c822c759-7f2f-410b-b0a6-59a10afa4539"/>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22c759-7f2f-410b-b0a6-59a10afa453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c822c759-7f2f-410b-b0a6-59a10afa4539">EN</EC_Collab_DocumentLanguage>
    <EC_Collab_Status xmlns="c822c759-7f2f-410b-b0a6-59a10afa4539">Not Started</EC_Collab_Status>
    <EC_Collab_Reference xmlns="c822c759-7f2f-410b-b0a6-59a10afa453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473AB-B88F-48E7-AE80-87BC3B425E63}">
  <ds:schemaRefs>
    <ds:schemaRef ds:uri="http://schemas.microsoft.com/sharepoint/v3/contenttype/forms"/>
  </ds:schemaRefs>
</ds:datastoreItem>
</file>

<file path=customXml/itemProps2.xml><?xml version="1.0" encoding="utf-8"?>
<ds:datastoreItem xmlns:ds="http://schemas.openxmlformats.org/officeDocument/2006/customXml" ds:itemID="{3BB9097B-3D83-43D1-BB06-13D85FB4F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822c759-7f2f-410b-b0a6-59a10afa4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6BE0D-24B1-4EF7-ABD8-A1D1A3D0E697}">
  <ds:schemaRefs>
    <ds:schemaRef ds:uri="http://schemas.microsoft.com/sharepoint/v3/field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c822c759-7f2f-410b-b0a6-59a10afa4539"/>
    <ds:schemaRef ds:uri="http://www.w3.org/XML/1998/namespace"/>
    <ds:schemaRef ds:uri="http://purl.org/dc/dcmitype/"/>
  </ds:schemaRefs>
</ds:datastoreItem>
</file>

<file path=customXml/itemProps4.xml><?xml version="1.0" encoding="utf-8"?>
<ds:datastoreItem xmlns:ds="http://schemas.openxmlformats.org/officeDocument/2006/customXml" ds:itemID="{59C419E6-30DC-4FBB-8950-9341AD3A5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93</Pages>
  <Words>28466</Words>
  <Characters>154004</Characters>
  <Application>Microsoft Office Word</Application>
  <DocSecurity>0</DocSecurity>
  <Lines>4967</Lines>
  <Paragraphs>2465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cp:lastPrinted>2021-10-14T09:50:00Z</cp:lastPrinted>
  <dcterms:created xsi:type="dcterms:W3CDTF">2021-12-03T13:42:00Z</dcterms:created>
  <dcterms:modified xsi:type="dcterms:W3CDTF">2021-12-06T19:25:00Z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0x010100258AA79CEB83498886A3A0868112325000B4A1A7827F8CD546B7C4F1FFB7AD6665</vt:lpwstr>
  </property>
  <property fmtid="{D5CDD505-2E9C-101B-9397-08002B2CF9AE}" pid="11" name="MSIP_Label_6bd9ddd1-4d20-43f6-abfa-fc3c07406f94_Enabled">
    <vt:lpwstr>true</vt:lpwstr>
  </property>
  <property fmtid="{D5CDD505-2E9C-101B-9397-08002B2CF9AE}" pid="12" name="MSIP_Label_6bd9ddd1-4d20-43f6-abfa-fc3c07406f94_SetDate">
    <vt:lpwstr>2021-08-25T08:35:04Z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c5c86d8d-5046-48b8-b617-d96e22abfeb4</vt:lpwstr>
  </property>
  <property fmtid="{D5CDD505-2E9C-101B-9397-08002B2CF9AE}" pid="17" name="MSIP_Label_6bd9ddd1-4d20-43f6-abfa-fc3c07406f94_ContentBits">
    <vt:lpwstr>0</vt:lpwstr>
  </property>
  <property fmtid="{D5CDD505-2E9C-101B-9397-08002B2CF9AE}" pid="18" name="DQCStatus">
    <vt:lpwstr>Yellow (DQC version 03)</vt:lpwstr>
  </property>
</Properties>
</file>