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B85" w:rsidRDefault="00A12F7B" w:rsidP="00A12F7B">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D8D6B66-90C6-4779-91BB-C73752D46EAA" style="width:455.25pt;height:351.75pt">
            <v:imagedata r:id="rId11" o:title=""/>
          </v:shape>
        </w:pict>
      </w:r>
    </w:p>
    <w:bookmarkEnd w:id="0"/>
    <w:p w:rsidR="00112B85" w:rsidRDefault="00112B85" w:rsidP="00112B85">
      <w:pPr>
        <w:rPr>
          <w:noProof/>
          <w:lang w:val="en-GB"/>
        </w:rPr>
        <w:sectPr w:rsidR="00112B85" w:rsidSect="00A12F7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567A6A" w:rsidRPr="00AA1AFD" w:rsidRDefault="00A01EF6" w:rsidP="00567A6A">
      <w:pPr>
        <w:rPr>
          <w:rFonts w:ascii="Times New Roman" w:hAnsi="Times New Roman" w:cs="Times New Roman"/>
          <w:b/>
          <w:noProof/>
          <w:sz w:val="24"/>
          <w:u w:val="single"/>
          <w:lang w:val="en-GB"/>
        </w:rPr>
      </w:pPr>
      <w:bookmarkStart w:id="1" w:name="_GoBack"/>
      <w:bookmarkEnd w:id="1"/>
      <w:r w:rsidRPr="00AA1AFD">
        <w:rPr>
          <w:rFonts w:ascii="Times New Roman" w:hAnsi="Times New Roman" w:cs="Times New Roman"/>
          <w:b/>
          <w:noProof/>
          <w:sz w:val="24"/>
          <w:u w:val="single"/>
          <w:lang w:val="en-GB"/>
        </w:rPr>
        <w:lastRenderedPageBreak/>
        <w:t>I. I</w:t>
      </w:r>
      <w:r w:rsidR="006353AD" w:rsidRPr="00AA1AFD">
        <w:rPr>
          <w:rFonts w:ascii="Times New Roman" w:hAnsi="Times New Roman" w:cs="Times New Roman"/>
          <w:b/>
          <w:noProof/>
          <w:sz w:val="24"/>
          <w:u w:val="single"/>
          <w:lang w:val="en-GB"/>
        </w:rPr>
        <w:t xml:space="preserve">ntroduction </w:t>
      </w:r>
      <w:r w:rsidR="00592F40">
        <w:rPr>
          <w:rFonts w:ascii="Times New Roman" w:hAnsi="Times New Roman" w:cs="Times New Roman"/>
          <w:b/>
          <w:noProof/>
          <w:sz w:val="24"/>
          <w:u w:val="single"/>
          <w:lang w:val="en-GB"/>
        </w:rPr>
        <w:t>– Scope of cooperation with third countries</w:t>
      </w:r>
      <w:r w:rsidR="00567A6A" w:rsidRPr="00AA1AFD">
        <w:rPr>
          <w:rFonts w:ascii="Times New Roman" w:hAnsi="Times New Roman" w:cs="Times New Roman"/>
          <w:noProof/>
          <w:sz w:val="24"/>
          <w:lang w:val="en-GB"/>
        </w:rPr>
        <w:t xml:space="preserve"> </w:t>
      </w:r>
    </w:p>
    <w:p w:rsidR="007C0131" w:rsidRDefault="00C77398" w:rsidP="00154C38">
      <w:pPr>
        <w:jc w:val="both"/>
        <w:rPr>
          <w:rFonts w:ascii="Times New Roman" w:hAnsi="Times New Roman" w:cs="Times New Roman"/>
          <w:noProof/>
          <w:sz w:val="24"/>
          <w:lang w:val="en-GB"/>
        </w:rPr>
      </w:pPr>
      <w:r w:rsidRPr="00AA1AFD">
        <w:rPr>
          <w:rFonts w:ascii="Times New Roman" w:hAnsi="Times New Roman" w:cs="Times New Roman"/>
          <w:noProof/>
          <w:sz w:val="24"/>
          <w:lang w:val="en-GB"/>
        </w:rPr>
        <w:t xml:space="preserve">The ambition </w:t>
      </w:r>
      <w:r w:rsidR="00031D0A">
        <w:rPr>
          <w:rFonts w:ascii="Times New Roman" w:hAnsi="Times New Roman" w:cs="Times New Roman"/>
          <w:noProof/>
          <w:sz w:val="24"/>
          <w:lang w:val="en-GB"/>
        </w:rPr>
        <w:t xml:space="preserve">of </w:t>
      </w:r>
      <w:r w:rsidR="0050651E">
        <w:rPr>
          <w:rFonts w:ascii="Times New Roman" w:hAnsi="Times New Roman" w:cs="Times New Roman"/>
          <w:noProof/>
          <w:sz w:val="24"/>
          <w:lang w:val="en-GB"/>
        </w:rPr>
        <w:t xml:space="preserve">the </w:t>
      </w:r>
      <w:r w:rsidR="00031D0A">
        <w:rPr>
          <w:rFonts w:ascii="Times New Roman" w:hAnsi="Times New Roman" w:cs="Times New Roman"/>
          <w:noProof/>
          <w:sz w:val="24"/>
          <w:lang w:val="en-GB"/>
        </w:rPr>
        <w:t>trans-European transport</w:t>
      </w:r>
      <w:r w:rsidR="00B71405">
        <w:rPr>
          <w:rFonts w:ascii="Times New Roman" w:hAnsi="Times New Roman" w:cs="Times New Roman"/>
          <w:noProof/>
          <w:sz w:val="24"/>
          <w:lang w:val="en-GB"/>
        </w:rPr>
        <w:t xml:space="preserve"> network</w:t>
      </w:r>
      <w:r w:rsidR="00031D0A" w:rsidRPr="00AA1AFD">
        <w:rPr>
          <w:rFonts w:ascii="Times New Roman" w:hAnsi="Times New Roman" w:cs="Times New Roman"/>
          <w:noProof/>
          <w:sz w:val="24"/>
          <w:lang w:val="en-GB"/>
        </w:rPr>
        <w:t xml:space="preserve"> </w:t>
      </w:r>
      <w:r w:rsidR="00031D0A">
        <w:rPr>
          <w:rFonts w:ascii="Times New Roman" w:hAnsi="Times New Roman" w:cs="Times New Roman"/>
          <w:noProof/>
          <w:sz w:val="24"/>
          <w:lang w:val="en-GB"/>
        </w:rPr>
        <w:t>(</w:t>
      </w:r>
      <w:r w:rsidR="00031D0A" w:rsidRPr="00AA1AFD">
        <w:rPr>
          <w:rFonts w:ascii="Times New Roman" w:hAnsi="Times New Roman" w:cs="Times New Roman"/>
          <w:noProof/>
          <w:sz w:val="24"/>
          <w:lang w:val="en-GB"/>
        </w:rPr>
        <w:t>TEN-T</w:t>
      </w:r>
      <w:r w:rsidR="00031D0A">
        <w:rPr>
          <w:rFonts w:ascii="Times New Roman" w:hAnsi="Times New Roman" w:cs="Times New Roman"/>
          <w:noProof/>
          <w:sz w:val="24"/>
          <w:lang w:val="en-GB"/>
        </w:rPr>
        <w:t>)</w:t>
      </w:r>
      <w:r w:rsidR="00031D0A" w:rsidRPr="00AA1AFD">
        <w:rPr>
          <w:rFonts w:ascii="Times New Roman" w:hAnsi="Times New Roman" w:cs="Times New Roman"/>
          <w:noProof/>
          <w:sz w:val="24"/>
          <w:lang w:val="en-GB"/>
        </w:rPr>
        <w:t xml:space="preserve"> </w:t>
      </w:r>
      <w:r w:rsidR="004F0B9B">
        <w:rPr>
          <w:rFonts w:ascii="Times New Roman" w:hAnsi="Times New Roman" w:cs="Times New Roman"/>
          <w:noProof/>
          <w:sz w:val="24"/>
          <w:lang w:val="en-GB"/>
        </w:rPr>
        <w:t>policy</w:t>
      </w:r>
      <w:r w:rsidR="00031D0A">
        <w:rPr>
          <w:rFonts w:ascii="Times New Roman" w:hAnsi="Times New Roman" w:cs="Times New Roman"/>
          <w:noProof/>
          <w:sz w:val="24"/>
          <w:lang w:val="en-GB"/>
        </w:rPr>
        <w:t xml:space="preserve"> </w:t>
      </w:r>
      <w:r w:rsidR="0041770A" w:rsidRPr="00AA1AFD">
        <w:rPr>
          <w:rFonts w:ascii="Times New Roman" w:hAnsi="Times New Roman" w:cs="Times New Roman"/>
          <w:noProof/>
          <w:sz w:val="24"/>
          <w:lang w:val="en-GB"/>
        </w:rPr>
        <w:t>i</w:t>
      </w:r>
      <w:r w:rsidRPr="00AA1AFD">
        <w:rPr>
          <w:rFonts w:ascii="Times New Roman" w:hAnsi="Times New Roman" w:cs="Times New Roman"/>
          <w:noProof/>
          <w:sz w:val="24"/>
          <w:lang w:val="en-GB"/>
        </w:rPr>
        <w:t>s to provide for seamless</w:t>
      </w:r>
      <w:r w:rsidR="00B71405">
        <w:rPr>
          <w:rFonts w:ascii="Times New Roman" w:hAnsi="Times New Roman" w:cs="Times New Roman"/>
          <w:noProof/>
          <w:sz w:val="24"/>
          <w:lang w:val="en-GB"/>
        </w:rPr>
        <w:t>, sustainable</w:t>
      </w:r>
      <w:r w:rsidRPr="00AA1AFD">
        <w:rPr>
          <w:rFonts w:ascii="Times New Roman" w:hAnsi="Times New Roman" w:cs="Times New Roman"/>
          <w:noProof/>
          <w:sz w:val="24"/>
          <w:lang w:val="en-GB"/>
        </w:rPr>
        <w:t xml:space="preserve"> and effective transport across the Union while strengthening social, economic and territorial cohesion</w:t>
      </w:r>
      <w:r w:rsidR="00713718" w:rsidRPr="00AA1AFD">
        <w:rPr>
          <w:rFonts w:ascii="Times New Roman" w:hAnsi="Times New Roman" w:cs="Times New Roman"/>
          <w:noProof/>
          <w:sz w:val="24"/>
          <w:lang w:val="en-GB"/>
        </w:rPr>
        <w:t>.</w:t>
      </w:r>
      <w:r w:rsidR="004A75EE">
        <w:rPr>
          <w:rFonts w:ascii="Times New Roman" w:hAnsi="Times New Roman" w:cs="Times New Roman"/>
          <w:noProof/>
          <w:sz w:val="24"/>
          <w:lang w:val="en-GB"/>
        </w:rPr>
        <w:t xml:space="preserve"> </w:t>
      </w:r>
      <w:r w:rsidR="00B326C6">
        <w:rPr>
          <w:rFonts w:ascii="Times New Roman" w:hAnsi="Times New Roman" w:cs="Times New Roman"/>
          <w:noProof/>
          <w:sz w:val="24"/>
          <w:lang w:val="en-GB"/>
        </w:rPr>
        <w:t xml:space="preserve">The policy has been implemented since 1996, </w:t>
      </w:r>
      <w:r w:rsidR="005B3DF5">
        <w:rPr>
          <w:rFonts w:ascii="Times New Roman" w:hAnsi="Times New Roman" w:cs="Times New Roman"/>
          <w:noProof/>
          <w:sz w:val="24"/>
          <w:lang w:val="en-GB"/>
        </w:rPr>
        <w:t>and</w:t>
      </w:r>
      <w:r w:rsidR="00B326C6">
        <w:rPr>
          <w:rFonts w:ascii="Times New Roman" w:hAnsi="Times New Roman" w:cs="Times New Roman"/>
          <w:noProof/>
          <w:sz w:val="24"/>
          <w:lang w:val="en-GB"/>
        </w:rPr>
        <w:t xml:space="preserve"> the </w:t>
      </w:r>
      <w:r w:rsidR="00031D0A">
        <w:rPr>
          <w:rFonts w:ascii="Times New Roman" w:hAnsi="Times New Roman" w:cs="Times New Roman"/>
          <w:noProof/>
          <w:sz w:val="24"/>
          <w:lang w:val="en-GB"/>
        </w:rPr>
        <w:t xml:space="preserve">current </w:t>
      </w:r>
      <w:r w:rsidR="00F1139A">
        <w:rPr>
          <w:rFonts w:ascii="Times New Roman" w:hAnsi="Times New Roman" w:cs="Times New Roman"/>
          <w:noProof/>
          <w:sz w:val="24"/>
          <w:lang w:val="en-GB"/>
        </w:rPr>
        <w:t xml:space="preserve">TEN-T legal framework </w:t>
      </w:r>
      <w:r w:rsidR="005B3DF5">
        <w:rPr>
          <w:rFonts w:ascii="Times New Roman" w:hAnsi="Times New Roman" w:cs="Times New Roman"/>
          <w:noProof/>
          <w:sz w:val="24"/>
          <w:lang w:val="en-GB"/>
        </w:rPr>
        <w:t xml:space="preserve">is </w:t>
      </w:r>
      <w:r w:rsidR="00F1139A">
        <w:rPr>
          <w:rFonts w:ascii="Times New Roman" w:hAnsi="Times New Roman" w:cs="Times New Roman"/>
          <w:noProof/>
          <w:sz w:val="24"/>
          <w:lang w:val="en-GB"/>
        </w:rPr>
        <w:t>set</w:t>
      </w:r>
      <w:r w:rsidR="00B326C6">
        <w:rPr>
          <w:rFonts w:ascii="Times New Roman" w:hAnsi="Times New Roman" w:cs="Times New Roman"/>
          <w:noProof/>
          <w:sz w:val="24"/>
          <w:lang w:val="en-GB"/>
        </w:rPr>
        <w:t xml:space="preserve"> out</w:t>
      </w:r>
      <w:r w:rsidR="00F1139A">
        <w:rPr>
          <w:rFonts w:ascii="Times New Roman" w:hAnsi="Times New Roman" w:cs="Times New Roman"/>
          <w:noProof/>
          <w:sz w:val="24"/>
          <w:lang w:val="en-GB"/>
        </w:rPr>
        <w:t xml:space="preserve"> in Regulation </w:t>
      </w:r>
      <w:r w:rsidR="0050651E">
        <w:rPr>
          <w:rFonts w:ascii="Times New Roman" w:hAnsi="Times New Roman" w:cs="Times New Roman"/>
          <w:noProof/>
          <w:sz w:val="24"/>
          <w:lang w:val="en-GB"/>
        </w:rPr>
        <w:t>(EU) No 1315/2013</w:t>
      </w:r>
      <w:r w:rsidR="00F1139A">
        <w:rPr>
          <w:rStyle w:val="FootnoteReference"/>
          <w:rFonts w:ascii="Times New Roman" w:hAnsi="Times New Roman" w:cs="Times New Roman"/>
          <w:noProof/>
          <w:sz w:val="24"/>
          <w:lang w:val="en-GB"/>
        </w:rPr>
        <w:footnoteReference w:id="2"/>
      </w:r>
      <w:r w:rsidR="002B1D61">
        <w:rPr>
          <w:rFonts w:ascii="Times New Roman" w:hAnsi="Times New Roman" w:cs="Times New Roman"/>
          <w:noProof/>
          <w:sz w:val="24"/>
          <w:lang w:val="en-GB"/>
        </w:rPr>
        <w:t xml:space="preserve"> (“the TEN-T Regulation”)</w:t>
      </w:r>
      <w:r w:rsidR="00F1139A">
        <w:rPr>
          <w:rFonts w:ascii="Times New Roman" w:hAnsi="Times New Roman" w:cs="Times New Roman"/>
          <w:noProof/>
          <w:sz w:val="24"/>
          <w:lang w:val="en-GB"/>
        </w:rPr>
        <w:t>.</w:t>
      </w:r>
      <w:r w:rsidR="00B326C6">
        <w:rPr>
          <w:rFonts w:ascii="Times New Roman" w:hAnsi="Times New Roman" w:cs="Times New Roman"/>
          <w:noProof/>
          <w:sz w:val="24"/>
          <w:lang w:val="en-GB"/>
        </w:rPr>
        <w:t xml:space="preserve"> On 14 </w:t>
      </w:r>
      <w:r w:rsidR="005B3DF5">
        <w:rPr>
          <w:rFonts w:ascii="Times New Roman" w:hAnsi="Times New Roman" w:cs="Times New Roman"/>
          <w:noProof/>
          <w:sz w:val="24"/>
          <w:lang w:val="en-GB"/>
        </w:rPr>
        <w:t>D</w:t>
      </w:r>
      <w:r w:rsidR="00B326C6">
        <w:rPr>
          <w:rFonts w:ascii="Times New Roman" w:hAnsi="Times New Roman" w:cs="Times New Roman"/>
          <w:noProof/>
          <w:sz w:val="24"/>
          <w:lang w:val="en-GB"/>
        </w:rPr>
        <w:t>ecember</w:t>
      </w:r>
      <w:r w:rsidR="005B3DF5">
        <w:rPr>
          <w:rFonts w:ascii="Times New Roman" w:hAnsi="Times New Roman" w:cs="Times New Roman"/>
          <w:noProof/>
          <w:sz w:val="24"/>
          <w:lang w:val="en-GB"/>
        </w:rPr>
        <w:t xml:space="preserve"> 2021</w:t>
      </w:r>
      <w:r w:rsidR="00B326C6">
        <w:rPr>
          <w:rFonts w:ascii="Times New Roman" w:hAnsi="Times New Roman" w:cs="Times New Roman"/>
          <w:noProof/>
          <w:sz w:val="24"/>
          <w:lang w:val="en-GB"/>
        </w:rPr>
        <w:t>,</w:t>
      </w:r>
      <w:r w:rsidR="00F1139A">
        <w:rPr>
          <w:rFonts w:ascii="Times New Roman" w:hAnsi="Times New Roman" w:cs="Times New Roman"/>
          <w:noProof/>
          <w:sz w:val="24"/>
          <w:lang w:val="en-GB"/>
        </w:rPr>
        <w:t xml:space="preserve"> </w:t>
      </w:r>
      <w:r w:rsidR="00B326C6">
        <w:rPr>
          <w:rFonts w:ascii="Times New Roman" w:hAnsi="Times New Roman" w:cs="Times New Roman"/>
          <w:noProof/>
          <w:sz w:val="24"/>
          <w:lang w:val="en-GB"/>
        </w:rPr>
        <w:t xml:space="preserve">the </w:t>
      </w:r>
      <w:r w:rsidR="007C0131">
        <w:rPr>
          <w:rFonts w:ascii="Times New Roman" w:hAnsi="Times New Roman" w:cs="Times New Roman"/>
          <w:noProof/>
          <w:sz w:val="24"/>
          <w:lang w:val="en-GB"/>
        </w:rPr>
        <w:t xml:space="preserve">Commission </w:t>
      </w:r>
      <w:r w:rsidR="00031D0A">
        <w:rPr>
          <w:rFonts w:ascii="Times New Roman" w:hAnsi="Times New Roman" w:cs="Times New Roman"/>
          <w:noProof/>
          <w:sz w:val="24"/>
          <w:lang w:val="en-GB"/>
        </w:rPr>
        <w:t xml:space="preserve">proposed </w:t>
      </w:r>
      <w:r w:rsidR="00794A3F">
        <w:rPr>
          <w:rFonts w:ascii="Times New Roman" w:hAnsi="Times New Roman" w:cs="Times New Roman"/>
          <w:noProof/>
          <w:sz w:val="24"/>
          <w:lang w:val="en-GB"/>
        </w:rPr>
        <w:t>a revision of the current policy framework</w:t>
      </w:r>
      <w:r w:rsidR="00794A3F">
        <w:rPr>
          <w:rStyle w:val="FootnoteReference"/>
          <w:rFonts w:ascii="Times New Roman" w:hAnsi="Times New Roman" w:cs="Times New Roman"/>
          <w:noProof/>
          <w:sz w:val="24"/>
          <w:lang w:val="en-GB"/>
        </w:rPr>
        <w:footnoteReference w:id="3"/>
      </w:r>
      <w:r w:rsidR="00794A3F">
        <w:rPr>
          <w:rFonts w:ascii="Times New Roman" w:hAnsi="Times New Roman" w:cs="Times New Roman"/>
          <w:noProof/>
          <w:sz w:val="24"/>
          <w:lang w:val="en-GB"/>
        </w:rPr>
        <w:t>, notably</w:t>
      </w:r>
      <w:r w:rsidR="007C0131">
        <w:rPr>
          <w:rFonts w:ascii="Times New Roman" w:hAnsi="Times New Roman" w:cs="Times New Roman"/>
          <w:noProof/>
          <w:sz w:val="24"/>
          <w:lang w:val="en-GB"/>
        </w:rPr>
        <w:t xml:space="preserve"> to reflect the priorities of the</w:t>
      </w:r>
      <w:r w:rsidR="002B6126">
        <w:rPr>
          <w:rFonts w:ascii="Times New Roman" w:hAnsi="Times New Roman" w:cs="Times New Roman"/>
          <w:noProof/>
          <w:sz w:val="24"/>
          <w:lang w:val="en-GB"/>
        </w:rPr>
        <w:t xml:space="preserve"> European</w:t>
      </w:r>
      <w:r w:rsidR="007C0131">
        <w:rPr>
          <w:rFonts w:ascii="Times New Roman" w:hAnsi="Times New Roman" w:cs="Times New Roman"/>
          <w:noProof/>
          <w:sz w:val="24"/>
          <w:lang w:val="en-GB"/>
        </w:rPr>
        <w:t xml:space="preserve"> Green Deal</w:t>
      </w:r>
      <w:r w:rsidR="007C0131">
        <w:rPr>
          <w:rStyle w:val="FootnoteReference"/>
          <w:rFonts w:ascii="Times New Roman" w:hAnsi="Times New Roman" w:cs="Times New Roman"/>
          <w:noProof/>
          <w:sz w:val="24"/>
          <w:lang w:val="en-GB"/>
        </w:rPr>
        <w:footnoteReference w:id="4"/>
      </w:r>
      <w:r w:rsidR="0042116B">
        <w:rPr>
          <w:rFonts w:ascii="Times New Roman" w:hAnsi="Times New Roman" w:cs="Times New Roman"/>
          <w:noProof/>
          <w:sz w:val="24"/>
          <w:lang w:val="en-GB"/>
        </w:rPr>
        <w:t>,</w:t>
      </w:r>
      <w:r w:rsidR="007C0131">
        <w:rPr>
          <w:rFonts w:ascii="Times New Roman" w:hAnsi="Times New Roman" w:cs="Times New Roman"/>
          <w:noProof/>
          <w:sz w:val="24"/>
          <w:lang w:val="en-GB"/>
        </w:rPr>
        <w:t xml:space="preserve"> the </w:t>
      </w:r>
      <w:r w:rsidR="002B1D61">
        <w:rPr>
          <w:rFonts w:ascii="Times New Roman" w:hAnsi="Times New Roman" w:cs="Times New Roman"/>
          <w:noProof/>
          <w:sz w:val="24"/>
          <w:lang w:val="en-GB"/>
        </w:rPr>
        <w:t>Sustainable and S</w:t>
      </w:r>
      <w:r w:rsidR="007C0131">
        <w:rPr>
          <w:rFonts w:ascii="Times New Roman" w:hAnsi="Times New Roman" w:cs="Times New Roman"/>
          <w:noProof/>
          <w:sz w:val="24"/>
          <w:lang w:val="en-GB"/>
        </w:rPr>
        <w:t xml:space="preserve">mart </w:t>
      </w:r>
      <w:r w:rsidR="002B1D61">
        <w:rPr>
          <w:rFonts w:ascii="Times New Roman" w:hAnsi="Times New Roman" w:cs="Times New Roman"/>
          <w:noProof/>
          <w:sz w:val="24"/>
          <w:lang w:val="en-GB"/>
        </w:rPr>
        <w:t>Mobility S</w:t>
      </w:r>
      <w:r w:rsidR="007C0131">
        <w:rPr>
          <w:rFonts w:ascii="Times New Roman" w:hAnsi="Times New Roman" w:cs="Times New Roman"/>
          <w:noProof/>
          <w:sz w:val="24"/>
          <w:lang w:val="en-GB"/>
        </w:rPr>
        <w:t>trategy of the Commission</w:t>
      </w:r>
      <w:r w:rsidR="007C0131">
        <w:rPr>
          <w:rStyle w:val="FootnoteReference"/>
          <w:rFonts w:ascii="Times New Roman" w:hAnsi="Times New Roman" w:cs="Times New Roman"/>
          <w:noProof/>
          <w:sz w:val="24"/>
          <w:lang w:val="en-GB"/>
        </w:rPr>
        <w:footnoteReference w:id="5"/>
      </w:r>
      <w:r w:rsidR="0042116B">
        <w:rPr>
          <w:rFonts w:ascii="Times New Roman" w:hAnsi="Times New Roman" w:cs="Times New Roman"/>
          <w:noProof/>
          <w:sz w:val="24"/>
          <w:lang w:val="en-GB"/>
        </w:rPr>
        <w:t xml:space="preserve"> and the Global Gateway Connectivity Strategy.</w:t>
      </w:r>
      <w:r w:rsidR="0042116B" w:rsidRPr="00827722">
        <w:rPr>
          <w:rFonts w:ascii="Times New Roman" w:hAnsi="Times New Roman" w:cs="Times New Roman"/>
          <w:noProof/>
          <w:sz w:val="24"/>
          <w:szCs w:val="24"/>
          <w:vertAlign w:val="superscript"/>
        </w:rPr>
        <w:footnoteReference w:id="6"/>
      </w:r>
    </w:p>
    <w:p w:rsidR="00F65646" w:rsidRPr="00AA1AFD" w:rsidRDefault="00F9613F" w:rsidP="00F9613F">
      <w:pPr>
        <w:pStyle w:val="Considrant"/>
        <w:numPr>
          <w:ilvl w:val="0"/>
          <w:numId w:val="0"/>
        </w:numPr>
        <w:rPr>
          <w:noProof/>
        </w:rPr>
      </w:pPr>
      <w:r w:rsidRPr="00AB00BB">
        <w:rPr>
          <w:noProof/>
        </w:rPr>
        <w:t xml:space="preserve">The </w:t>
      </w:r>
      <w:r>
        <w:rPr>
          <w:noProof/>
        </w:rPr>
        <w:t>TEN-T</w:t>
      </w:r>
      <w:r w:rsidRPr="00AB00BB">
        <w:rPr>
          <w:noProof/>
        </w:rPr>
        <w:t xml:space="preserve"> </w:t>
      </w:r>
      <w:r>
        <w:rPr>
          <w:noProof/>
        </w:rPr>
        <w:t xml:space="preserve">represents </w:t>
      </w:r>
      <w:r w:rsidRPr="00AB00BB">
        <w:rPr>
          <w:noProof/>
        </w:rPr>
        <w:t xml:space="preserve">the highest level of infrastructure planning </w:t>
      </w:r>
      <w:r w:rsidR="00B326C6">
        <w:rPr>
          <w:noProof/>
        </w:rPr>
        <w:t>of</w:t>
      </w:r>
      <w:r w:rsidR="00B326C6" w:rsidRPr="00AB00BB">
        <w:rPr>
          <w:noProof/>
        </w:rPr>
        <w:t xml:space="preserve"> </w:t>
      </w:r>
      <w:r w:rsidRPr="00AB00BB">
        <w:rPr>
          <w:noProof/>
        </w:rPr>
        <w:t>the Union</w:t>
      </w:r>
      <w:r>
        <w:rPr>
          <w:noProof/>
        </w:rPr>
        <w:t xml:space="preserve">. </w:t>
      </w:r>
      <w:r w:rsidR="00A24ED6" w:rsidRPr="00AA1AFD">
        <w:rPr>
          <w:noProof/>
        </w:rPr>
        <w:t>Foreseen to be completed by 2030, the core network of the TEN-T will provide high quality, multimodal connections of all capitals and main transport arteries</w:t>
      </w:r>
      <w:r w:rsidR="0065565B" w:rsidRPr="00AA1AFD">
        <w:rPr>
          <w:noProof/>
        </w:rPr>
        <w:t xml:space="preserve"> of the Union</w:t>
      </w:r>
      <w:r w:rsidR="00A24ED6" w:rsidRPr="00AA1AFD">
        <w:rPr>
          <w:noProof/>
        </w:rPr>
        <w:t>, as the cornerstone of the Single European Transport Area.</w:t>
      </w:r>
      <w:r w:rsidR="0065565B" w:rsidRPr="00AA1AFD">
        <w:rPr>
          <w:noProof/>
        </w:rPr>
        <w:t xml:space="preserve"> </w:t>
      </w:r>
      <w:r w:rsidR="001A2769" w:rsidRPr="00AA1AFD">
        <w:rPr>
          <w:noProof/>
        </w:rPr>
        <w:t>T</w:t>
      </w:r>
      <w:r w:rsidR="00D72973" w:rsidRPr="00AA1AFD">
        <w:rPr>
          <w:noProof/>
        </w:rPr>
        <w:t>ransport</w:t>
      </w:r>
      <w:r w:rsidR="00034A34" w:rsidRPr="00AA1AFD">
        <w:rPr>
          <w:noProof/>
        </w:rPr>
        <w:t xml:space="preserve"> flows</w:t>
      </w:r>
      <w:r w:rsidR="001A2769" w:rsidRPr="00AA1AFD">
        <w:rPr>
          <w:noProof/>
        </w:rPr>
        <w:t>, however,</w:t>
      </w:r>
      <w:r w:rsidR="00034A34" w:rsidRPr="00AA1AFD">
        <w:rPr>
          <w:noProof/>
        </w:rPr>
        <w:t xml:space="preserve"> </w:t>
      </w:r>
      <w:r w:rsidR="00B44093" w:rsidRPr="00AA1AFD">
        <w:rPr>
          <w:noProof/>
        </w:rPr>
        <w:t xml:space="preserve">do not stop at the Union border. </w:t>
      </w:r>
      <w:r w:rsidR="00B44093" w:rsidRPr="00794A3F">
        <w:rPr>
          <w:noProof/>
        </w:rPr>
        <w:t>With the increasingly globally interlinked value and supply chains,</w:t>
      </w:r>
      <w:r w:rsidR="003003E3" w:rsidRPr="00794A3F">
        <w:rPr>
          <w:noProof/>
        </w:rPr>
        <w:t xml:space="preserve"> the provision of</w:t>
      </w:r>
      <w:r w:rsidR="00B44093" w:rsidRPr="009D0437">
        <w:rPr>
          <w:noProof/>
        </w:rPr>
        <w:t xml:space="preserve"> </w:t>
      </w:r>
      <w:r w:rsidR="00D72973" w:rsidRPr="009D0437">
        <w:rPr>
          <w:noProof/>
        </w:rPr>
        <w:t>cross-border</w:t>
      </w:r>
      <w:r w:rsidR="003003E3" w:rsidRPr="009D0437">
        <w:rPr>
          <w:noProof/>
        </w:rPr>
        <w:t xml:space="preserve"> connectivity</w:t>
      </w:r>
      <w:r w:rsidR="00E125D7" w:rsidRPr="009D0437">
        <w:rPr>
          <w:noProof/>
        </w:rPr>
        <w:t xml:space="preserve"> with third countries</w:t>
      </w:r>
      <w:r w:rsidR="003003E3" w:rsidRPr="009D0437">
        <w:rPr>
          <w:noProof/>
        </w:rPr>
        <w:t xml:space="preserve"> </w:t>
      </w:r>
      <w:r w:rsidR="00E125D7" w:rsidRPr="009D0437">
        <w:rPr>
          <w:noProof/>
        </w:rPr>
        <w:t>has</w:t>
      </w:r>
      <w:r w:rsidR="00F65646" w:rsidRPr="009D0437">
        <w:rPr>
          <w:noProof/>
        </w:rPr>
        <w:t xml:space="preserve"> long</w:t>
      </w:r>
      <w:r w:rsidR="00E125D7" w:rsidRPr="009D0437">
        <w:rPr>
          <w:noProof/>
        </w:rPr>
        <w:t xml:space="preserve"> been gaining importance to the</w:t>
      </w:r>
      <w:r w:rsidR="003D5D20" w:rsidRPr="009D0437">
        <w:rPr>
          <w:noProof/>
        </w:rPr>
        <w:t xml:space="preserve"> Union</w:t>
      </w:r>
      <w:r w:rsidR="00E125D7" w:rsidRPr="009D0437">
        <w:rPr>
          <w:noProof/>
        </w:rPr>
        <w:t>.</w:t>
      </w:r>
      <w:r w:rsidR="00E125D7" w:rsidRPr="00AA1AFD">
        <w:rPr>
          <w:noProof/>
        </w:rPr>
        <w:t xml:space="preserve"> </w:t>
      </w:r>
    </w:p>
    <w:p w:rsidR="00F65646" w:rsidRPr="00AA1AFD" w:rsidRDefault="004A75EE" w:rsidP="00154C38">
      <w:pPr>
        <w:jc w:val="both"/>
        <w:rPr>
          <w:rFonts w:ascii="Times New Roman" w:hAnsi="Times New Roman" w:cs="Times New Roman"/>
          <w:noProof/>
          <w:sz w:val="24"/>
          <w:lang w:val="en-GB"/>
        </w:rPr>
      </w:pPr>
      <w:r>
        <w:rPr>
          <w:rFonts w:ascii="Times New Roman" w:hAnsi="Times New Roman" w:cs="Times New Roman"/>
          <w:noProof/>
          <w:sz w:val="24"/>
          <w:lang w:val="en-GB"/>
        </w:rPr>
        <w:t>T</w:t>
      </w:r>
      <w:r w:rsidR="00F65646" w:rsidRPr="00AA1AFD">
        <w:rPr>
          <w:rFonts w:ascii="Times New Roman" w:hAnsi="Times New Roman" w:cs="Times New Roman"/>
          <w:noProof/>
          <w:sz w:val="24"/>
          <w:lang w:val="en-GB"/>
        </w:rPr>
        <w:t xml:space="preserve">he TEN-T policy has been a centrepiece in the projection of the </w:t>
      </w:r>
      <w:r w:rsidR="006F4BC7">
        <w:rPr>
          <w:rFonts w:ascii="Times New Roman" w:hAnsi="Times New Roman" w:cs="Times New Roman"/>
          <w:noProof/>
          <w:sz w:val="24"/>
          <w:lang w:val="en-GB"/>
        </w:rPr>
        <w:t>Union</w:t>
      </w:r>
      <w:r w:rsidR="006F4BC7" w:rsidRPr="00AA1AFD">
        <w:rPr>
          <w:rFonts w:ascii="Times New Roman" w:hAnsi="Times New Roman" w:cs="Times New Roman"/>
          <w:noProof/>
          <w:sz w:val="24"/>
          <w:lang w:val="en-GB"/>
        </w:rPr>
        <w:t xml:space="preserve"> </w:t>
      </w:r>
      <w:r w:rsidR="00F65646" w:rsidRPr="00AA1AFD">
        <w:rPr>
          <w:rFonts w:ascii="Times New Roman" w:hAnsi="Times New Roman" w:cs="Times New Roman"/>
          <w:noProof/>
          <w:sz w:val="24"/>
          <w:lang w:val="en-GB"/>
        </w:rPr>
        <w:t>transport policy to third countries</w:t>
      </w:r>
      <w:r w:rsidR="00B34F0C" w:rsidRPr="00AA1AFD">
        <w:rPr>
          <w:rFonts w:ascii="Times New Roman" w:hAnsi="Times New Roman" w:cs="Times New Roman"/>
          <w:noProof/>
          <w:sz w:val="24"/>
          <w:lang w:val="en-GB"/>
        </w:rPr>
        <w:t>.</w:t>
      </w:r>
      <w:r w:rsidR="00F65646" w:rsidRPr="00AA1AFD">
        <w:rPr>
          <w:rFonts w:ascii="Times New Roman" w:hAnsi="Times New Roman" w:cs="Times New Roman"/>
          <w:noProof/>
          <w:sz w:val="24"/>
          <w:lang w:val="en-GB"/>
        </w:rPr>
        <w:t xml:space="preserve"> Drawing on the Lisbon Treaty that articulated the importance of giving priority to</w:t>
      </w:r>
      <w:r w:rsidR="00FA6C4B" w:rsidRPr="00AA1AFD">
        <w:rPr>
          <w:rFonts w:ascii="Times New Roman" w:hAnsi="Times New Roman" w:cs="Times New Roman"/>
          <w:noProof/>
          <w:sz w:val="24"/>
          <w:lang w:val="en-GB"/>
        </w:rPr>
        <w:t xml:space="preserve"> cross-border</w:t>
      </w:r>
      <w:r w:rsidR="00F65646" w:rsidRPr="00AA1AFD">
        <w:rPr>
          <w:rFonts w:ascii="Times New Roman" w:hAnsi="Times New Roman" w:cs="Times New Roman"/>
          <w:noProof/>
          <w:sz w:val="24"/>
          <w:lang w:val="en-GB"/>
        </w:rPr>
        <w:t xml:space="preserve"> cooperation </w:t>
      </w:r>
      <w:r w:rsidR="00FA6C4B" w:rsidRPr="00AA1AFD">
        <w:rPr>
          <w:rFonts w:ascii="Times New Roman" w:hAnsi="Times New Roman" w:cs="Times New Roman"/>
          <w:noProof/>
          <w:sz w:val="24"/>
          <w:lang w:val="en-GB"/>
        </w:rPr>
        <w:t>with</w:t>
      </w:r>
      <w:r w:rsidR="00F65646" w:rsidRPr="00AA1AFD">
        <w:rPr>
          <w:rFonts w:ascii="Times New Roman" w:hAnsi="Times New Roman" w:cs="Times New Roman"/>
          <w:noProof/>
          <w:sz w:val="24"/>
          <w:lang w:val="en-GB"/>
        </w:rPr>
        <w:t xml:space="preserve"> the European Neighbourhood</w:t>
      </w:r>
      <w:r w:rsidR="00690CF9">
        <w:rPr>
          <w:rFonts w:ascii="Times New Roman" w:hAnsi="Times New Roman" w:cs="Times New Roman"/>
          <w:noProof/>
          <w:sz w:val="24"/>
          <w:lang w:val="en-GB"/>
        </w:rPr>
        <w:t xml:space="preserve"> (Article 8 of the TEU)</w:t>
      </w:r>
      <w:r w:rsidR="00F65646" w:rsidRPr="00AA1AFD">
        <w:rPr>
          <w:rFonts w:ascii="Times New Roman" w:hAnsi="Times New Roman" w:cs="Times New Roman"/>
          <w:noProof/>
          <w:sz w:val="24"/>
          <w:lang w:val="en-GB"/>
        </w:rPr>
        <w:t xml:space="preserve">, </w:t>
      </w:r>
      <w:r w:rsidR="00F00963" w:rsidRPr="009D0437">
        <w:rPr>
          <w:rFonts w:ascii="Times New Roman" w:hAnsi="Times New Roman" w:cs="Times New Roman"/>
          <w:noProof/>
          <w:sz w:val="24"/>
          <w:lang w:val="en-GB"/>
        </w:rPr>
        <w:t>Art</w:t>
      </w:r>
      <w:r w:rsidR="005B3DF5">
        <w:rPr>
          <w:rFonts w:ascii="Times New Roman" w:hAnsi="Times New Roman" w:cs="Times New Roman"/>
          <w:noProof/>
          <w:sz w:val="24"/>
          <w:lang w:val="en-GB"/>
        </w:rPr>
        <w:t>icle</w:t>
      </w:r>
      <w:r w:rsidR="00F00963" w:rsidRPr="009D0437">
        <w:rPr>
          <w:rFonts w:ascii="Times New Roman" w:hAnsi="Times New Roman" w:cs="Times New Roman"/>
          <w:noProof/>
          <w:sz w:val="24"/>
          <w:lang w:val="en-GB"/>
        </w:rPr>
        <w:t xml:space="preserve"> 8 of the Regulation</w:t>
      </w:r>
      <w:r w:rsidR="00C57A33">
        <w:rPr>
          <w:rFonts w:ascii="Times New Roman" w:hAnsi="Times New Roman" w:cs="Times New Roman"/>
          <w:noProof/>
          <w:sz w:val="24"/>
          <w:lang w:val="en-GB"/>
        </w:rPr>
        <w:t xml:space="preserve"> that sets out the framework for cooperation with third countries</w:t>
      </w:r>
      <w:r w:rsidR="00F00963" w:rsidRPr="009D0437">
        <w:rPr>
          <w:rFonts w:ascii="Times New Roman" w:hAnsi="Times New Roman" w:cs="Times New Roman"/>
          <w:noProof/>
          <w:sz w:val="24"/>
          <w:lang w:val="en-GB"/>
        </w:rPr>
        <w:t xml:space="preserve"> </w:t>
      </w:r>
      <w:r w:rsidR="00F65646" w:rsidRPr="009D0437">
        <w:rPr>
          <w:rFonts w:ascii="Times New Roman" w:hAnsi="Times New Roman" w:cs="Times New Roman"/>
          <w:noProof/>
          <w:sz w:val="24"/>
          <w:lang w:val="en-GB"/>
        </w:rPr>
        <w:t>was elaborated with</w:t>
      </w:r>
      <w:r w:rsidR="00F00963" w:rsidRPr="009D0437">
        <w:rPr>
          <w:rFonts w:ascii="Times New Roman" w:hAnsi="Times New Roman" w:cs="Times New Roman"/>
          <w:noProof/>
          <w:sz w:val="24"/>
          <w:lang w:val="en-GB"/>
        </w:rPr>
        <w:t xml:space="preserve"> a targeted focus</w:t>
      </w:r>
      <w:r w:rsidR="00B34F0C" w:rsidRPr="009D0437">
        <w:rPr>
          <w:rFonts w:ascii="Times New Roman" w:hAnsi="Times New Roman" w:cs="Times New Roman"/>
          <w:noProof/>
          <w:sz w:val="24"/>
          <w:lang w:val="en-GB"/>
        </w:rPr>
        <w:t xml:space="preserve"> on</w:t>
      </w:r>
      <w:r w:rsidR="00F00963" w:rsidRPr="009D0437">
        <w:rPr>
          <w:rFonts w:ascii="Times New Roman" w:hAnsi="Times New Roman" w:cs="Times New Roman"/>
          <w:noProof/>
          <w:sz w:val="24"/>
          <w:lang w:val="en-GB"/>
        </w:rPr>
        <w:t xml:space="preserve"> </w:t>
      </w:r>
      <w:r w:rsidR="00B34F0C" w:rsidRPr="009D0437">
        <w:rPr>
          <w:rFonts w:ascii="Times New Roman" w:hAnsi="Times New Roman" w:cs="Times New Roman"/>
          <w:noProof/>
          <w:sz w:val="24"/>
          <w:lang w:val="en-GB"/>
        </w:rPr>
        <w:t>cooperation with</w:t>
      </w:r>
      <w:r w:rsidR="00FA6C4B" w:rsidRPr="009D0437">
        <w:rPr>
          <w:rFonts w:ascii="Times New Roman" w:hAnsi="Times New Roman" w:cs="Times New Roman"/>
          <w:noProof/>
          <w:sz w:val="24"/>
          <w:lang w:val="en-GB"/>
        </w:rPr>
        <w:t xml:space="preserve"> </w:t>
      </w:r>
      <w:r w:rsidR="00ED391F" w:rsidRPr="009D0437">
        <w:rPr>
          <w:rFonts w:ascii="Times New Roman" w:hAnsi="Times New Roman" w:cs="Times New Roman"/>
          <w:noProof/>
          <w:sz w:val="24"/>
          <w:lang w:val="en-GB"/>
        </w:rPr>
        <w:t>the neighbouring countries</w:t>
      </w:r>
      <w:r w:rsidR="00C57A33">
        <w:rPr>
          <w:rFonts w:ascii="Times New Roman" w:hAnsi="Times New Roman" w:cs="Times New Roman"/>
          <w:noProof/>
          <w:sz w:val="24"/>
          <w:lang w:val="en-GB"/>
        </w:rPr>
        <w:t>,</w:t>
      </w:r>
      <w:r w:rsidR="00ED391F" w:rsidRPr="009D0437">
        <w:rPr>
          <w:rFonts w:ascii="Times New Roman" w:hAnsi="Times New Roman" w:cs="Times New Roman"/>
          <w:noProof/>
          <w:sz w:val="24"/>
          <w:lang w:val="en-GB"/>
        </w:rPr>
        <w:t xml:space="preserve"> </w:t>
      </w:r>
      <w:r w:rsidR="00C05A1F" w:rsidRPr="009D0437">
        <w:rPr>
          <w:rFonts w:ascii="Times New Roman" w:hAnsi="Times New Roman" w:cs="Times New Roman"/>
          <w:noProof/>
          <w:sz w:val="24"/>
          <w:lang w:val="en-GB"/>
        </w:rPr>
        <w:t>which are</w:t>
      </w:r>
      <w:r w:rsidR="00FA6C4B" w:rsidRPr="009D0437">
        <w:rPr>
          <w:rFonts w:ascii="Times New Roman" w:hAnsi="Times New Roman" w:cs="Times New Roman"/>
          <w:noProof/>
          <w:sz w:val="24"/>
          <w:lang w:val="en-GB"/>
        </w:rPr>
        <w:t xml:space="preserve"> the</w:t>
      </w:r>
      <w:r w:rsidR="004517C6">
        <w:rPr>
          <w:rFonts w:ascii="Times New Roman" w:hAnsi="Times New Roman" w:cs="Times New Roman"/>
          <w:noProof/>
          <w:sz w:val="24"/>
          <w:lang w:val="en-GB"/>
        </w:rPr>
        <w:t xml:space="preserve"> subset of third</w:t>
      </w:r>
      <w:r w:rsidR="00C05A1F" w:rsidRPr="009D0437">
        <w:rPr>
          <w:rFonts w:ascii="Times New Roman" w:hAnsi="Times New Roman" w:cs="Times New Roman"/>
          <w:noProof/>
          <w:sz w:val="24"/>
          <w:lang w:val="en-GB"/>
        </w:rPr>
        <w:t xml:space="preserve"> countries falling under the scope of </w:t>
      </w:r>
      <w:r w:rsidR="00B93F93" w:rsidRPr="009D0437">
        <w:rPr>
          <w:rFonts w:ascii="Times New Roman" w:hAnsi="Times New Roman" w:cs="Times New Roman"/>
          <w:noProof/>
          <w:sz w:val="24"/>
          <w:lang w:val="en-GB"/>
        </w:rPr>
        <w:t>the Enlargement Policy</w:t>
      </w:r>
      <w:r w:rsidR="00B93F93">
        <w:rPr>
          <w:rFonts w:ascii="Times New Roman" w:hAnsi="Times New Roman" w:cs="Times New Roman"/>
          <w:noProof/>
          <w:sz w:val="24"/>
          <w:lang w:val="en-GB"/>
        </w:rPr>
        <w:t>,</w:t>
      </w:r>
      <w:r w:rsidR="00B93F93" w:rsidRPr="009D0437">
        <w:rPr>
          <w:rFonts w:ascii="Times New Roman" w:hAnsi="Times New Roman" w:cs="Times New Roman"/>
          <w:noProof/>
          <w:sz w:val="24"/>
          <w:lang w:val="en-GB"/>
        </w:rPr>
        <w:t xml:space="preserve"> </w:t>
      </w:r>
      <w:r w:rsidR="00C05A1F" w:rsidRPr="009D0437">
        <w:rPr>
          <w:rFonts w:ascii="Times New Roman" w:hAnsi="Times New Roman" w:cs="Times New Roman"/>
          <w:noProof/>
          <w:sz w:val="24"/>
          <w:lang w:val="en-GB"/>
        </w:rPr>
        <w:t>the European Neighbourhood Policy</w:t>
      </w:r>
      <w:r w:rsidR="007608E1">
        <w:rPr>
          <w:rFonts w:ascii="Times New Roman" w:hAnsi="Times New Roman" w:cs="Times New Roman"/>
          <w:noProof/>
          <w:sz w:val="24"/>
          <w:lang w:val="en-GB"/>
        </w:rPr>
        <w:t>,</w:t>
      </w:r>
      <w:r w:rsidR="00C05A1F" w:rsidRPr="009D0437">
        <w:rPr>
          <w:rFonts w:ascii="Times New Roman" w:hAnsi="Times New Roman" w:cs="Times New Roman"/>
          <w:noProof/>
          <w:sz w:val="24"/>
          <w:lang w:val="en-GB"/>
        </w:rPr>
        <w:t xml:space="preserve"> the European Economic Area and the European Free Trade Association</w:t>
      </w:r>
      <w:r w:rsidR="00B34F0C" w:rsidRPr="009D0437">
        <w:rPr>
          <w:rFonts w:ascii="Times New Roman" w:hAnsi="Times New Roman" w:cs="Times New Roman"/>
          <w:noProof/>
          <w:sz w:val="24"/>
          <w:lang w:val="en-GB"/>
        </w:rPr>
        <w:t>.</w:t>
      </w:r>
    </w:p>
    <w:p w:rsidR="003D5D20" w:rsidRPr="00AA1AFD" w:rsidRDefault="00D43E31" w:rsidP="00154C38">
      <w:pPr>
        <w:jc w:val="both"/>
        <w:rPr>
          <w:rFonts w:ascii="Times New Roman" w:hAnsi="Times New Roman" w:cs="Times New Roman"/>
          <w:noProof/>
          <w:sz w:val="24"/>
          <w:lang w:val="en-GB"/>
        </w:rPr>
      </w:pPr>
      <w:r>
        <w:rPr>
          <w:rFonts w:ascii="Times New Roman" w:hAnsi="Times New Roman" w:cs="Times New Roman"/>
          <w:noProof/>
          <w:sz w:val="24"/>
          <w:lang w:val="en-GB"/>
        </w:rPr>
        <w:t>In accordance with Article 8(4) of</w:t>
      </w:r>
      <w:r w:rsidR="00C05A1F" w:rsidRPr="00AA1AFD">
        <w:rPr>
          <w:rFonts w:ascii="Times New Roman" w:hAnsi="Times New Roman" w:cs="Times New Roman"/>
          <w:noProof/>
          <w:sz w:val="24"/>
          <w:lang w:val="en-GB"/>
        </w:rPr>
        <w:t xml:space="preserve"> the </w:t>
      </w:r>
      <w:r w:rsidR="005A55DC" w:rsidRPr="0041375D">
        <w:rPr>
          <w:rFonts w:ascii="Times New Roman" w:hAnsi="Times New Roman" w:cs="Times New Roman"/>
          <w:noProof/>
          <w:sz w:val="24"/>
          <w:szCs w:val="24"/>
          <w:lang w:val="en-GB"/>
        </w:rPr>
        <w:t xml:space="preserve">TEN-T </w:t>
      </w:r>
      <w:r w:rsidR="00C05A1F" w:rsidRPr="0041375D">
        <w:rPr>
          <w:rFonts w:ascii="Times New Roman" w:hAnsi="Times New Roman" w:cs="Times New Roman"/>
          <w:noProof/>
          <w:sz w:val="24"/>
          <w:szCs w:val="24"/>
          <w:lang w:val="en-GB"/>
        </w:rPr>
        <w:t>Regulation</w:t>
      </w:r>
      <w:r w:rsidR="007608E1">
        <w:rPr>
          <w:rFonts w:ascii="Times New Roman" w:hAnsi="Times New Roman" w:cs="Times New Roman"/>
          <w:noProof/>
          <w:sz w:val="24"/>
          <w:szCs w:val="24"/>
          <w:lang w:val="en-GB"/>
        </w:rPr>
        <w:t>,</w:t>
      </w:r>
      <w:r w:rsidR="008A502C" w:rsidRPr="0041375D">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Annex III includes</w:t>
      </w:r>
      <w:r w:rsidR="00C05A1F" w:rsidRPr="0041375D">
        <w:rPr>
          <w:rFonts w:ascii="Times New Roman" w:hAnsi="Times New Roman" w:cs="Times New Roman"/>
          <w:noProof/>
          <w:sz w:val="24"/>
          <w:szCs w:val="24"/>
          <w:lang w:val="en-GB"/>
        </w:rPr>
        <w:t xml:space="preserve"> indicative maps</w:t>
      </w:r>
      <w:r>
        <w:rPr>
          <w:rFonts w:ascii="Times New Roman" w:hAnsi="Times New Roman" w:cs="Times New Roman"/>
          <w:noProof/>
          <w:sz w:val="24"/>
          <w:szCs w:val="24"/>
          <w:lang w:val="en-GB"/>
        </w:rPr>
        <w:t xml:space="preserve"> of the TEN-T extended to specific neighbouring countries. </w:t>
      </w:r>
      <w:r w:rsidR="00C05A1F" w:rsidRPr="00AA1AFD">
        <w:rPr>
          <w:rFonts w:ascii="Times New Roman" w:hAnsi="Times New Roman" w:cs="Times New Roman"/>
          <w:noProof/>
          <w:sz w:val="24"/>
          <w:lang w:val="en-GB"/>
        </w:rPr>
        <w:t>Since the adoption</w:t>
      </w:r>
      <w:r w:rsidR="008A502C" w:rsidRPr="00AA1AFD">
        <w:rPr>
          <w:rFonts w:ascii="Times New Roman" w:hAnsi="Times New Roman" w:cs="Times New Roman"/>
          <w:noProof/>
          <w:sz w:val="24"/>
          <w:lang w:val="en-GB"/>
        </w:rPr>
        <w:t xml:space="preserve"> of the TEN-T Regulation</w:t>
      </w:r>
      <w:r w:rsidR="00C05A1F" w:rsidRPr="00AA1AFD">
        <w:rPr>
          <w:rFonts w:ascii="Times New Roman" w:hAnsi="Times New Roman" w:cs="Times New Roman"/>
          <w:noProof/>
          <w:sz w:val="24"/>
          <w:lang w:val="en-GB"/>
        </w:rPr>
        <w:t xml:space="preserve">, the Union has </w:t>
      </w:r>
      <w:r w:rsidR="00A1123E" w:rsidRPr="00AA1AFD">
        <w:rPr>
          <w:rFonts w:ascii="Times New Roman" w:hAnsi="Times New Roman" w:cs="Times New Roman"/>
          <w:noProof/>
          <w:sz w:val="24"/>
          <w:lang w:val="en-GB"/>
        </w:rPr>
        <w:t>extended the indicative TEN-T</w:t>
      </w:r>
      <w:r w:rsidR="00C05A1F" w:rsidRPr="00AA1AFD">
        <w:rPr>
          <w:rFonts w:ascii="Times New Roman" w:hAnsi="Times New Roman" w:cs="Times New Roman"/>
          <w:noProof/>
          <w:sz w:val="24"/>
          <w:lang w:val="en-GB"/>
        </w:rPr>
        <w:t xml:space="preserve"> </w:t>
      </w:r>
      <w:r w:rsidR="00A1123E" w:rsidRPr="00AA1AFD">
        <w:rPr>
          <w:rFonts w:ascii="Times New Roman" w:hAnsi="Times New Roman" w:cs="Times New Roman"/>
          <w:noProof/>
          <w:sz w:val="24"/>
          <w:lang w:val="en-GB"/>
        </w:rPr>
        <w:t>to</w:t>
      </w:r>
      <w:r w:rsidR="009E1F6B" w:rsidRPr="00AA1AFD">
        <w:rPr>
          <w:rFonts w:ascii="Times New Roman" w:hAnsi="Times New Roman" w:cs="Times New Roman"/>
          <w:noProof/>
          <w:sz w:val="24"/>
          <w:lang w:val="en-GB"/>
        </w:rPr>
        <w:t>:</w:t>
      </w:r>
    </w:p>
    <w:p w:rsidR="009E1F6B" w:rsidRPr="00AA1AFD" w:rsidRDefault="009E1F6B" w:rsidP="002B1D61">
      <w:pPr>
        <w:ind w:left="426" w:hanging="426"/>
        <w:jc w:val="both"/>
        <w:rPr>
          <w:rFonts w:ascii="Times New Roman" w:hAnsi="Times New Roman" w:cs="Times New Roman"/>
          <w:noProof/>
          <w:sz w:val="24"/>
          <w:lang w:val="en-GB"/>
        </w:rPr>
      </w:pPr>
      <w:r w:rsidRPr="00AA1AFD">
        <w:rPr>
          <w:rFonts w:ascii="Times New Roman" w:hAnsi="Times New Roman" w:cs="Times New Roman"/>
          <w:noProof/>
          <w:sz w:val="24"/>
          <w:lang w:val="en-GB"/>
        </w:rPr>
        <w:t>-</w:t>
      </w:r>
      <w:r w:rsidRPr="00AA1AFD">
        <w:rPr>
          <w:rFonts w:ascii="Times New Roman" w:hAnsi="Times New Roman" w:cs="Times New Roman"/>
          <w:noProof/>
          <w:sz w:val="24"/>
          <w:lang w:val="en-GB"/>
        </w:rPr>
        <w:tab/>
      </w:r>
      <w:r w:rsidR="00A25532" w:rsidRPr="00AA1AFD">
        <w:rPr>
          <w:rFonts w:ascii="Times New Roman" w:hAnsi="Times New Roman" w:cs="Times New Roman"/>
          <w:noProof/>
          <w:sz w:val="24"/>
          <w:lang w:val="en-GB"/>
        </w:rPr>
        <w:t xml:space="preserve">The </w:t>
      </w:r>
      <w:r w:rsidRPr="00AA1AFD">
        <w:rPr>
          <w:rFonts w:ascii="Times New Roman" w:hAnsi="Times New Roman" w:cs="Times New Roman"/>
          <w:noProof/>
          <w:sz w:val="24"/>
          <w:lang w:val="en-GB"/>
        </w:rPr>
        <w:t>European Economic Area and E</w:t>
      </w:r>
      <w:r w:rsidR="00B326C6">
        <w:rPr>
          <w:rFonts w:ascii="Times New Roman" w:hAnsi="Times New Roman" w:cs="Times New Roman"/>
          <w:noProof/>
          <w:sz w:val="24"/>
          <w:lang w:val="en-GB"/>
        </w:rPr>
        <w:t xml:space="preserve">uropean </w:t>
      </w:r>
      <w:r w:rsidRPr="00AA1AFD">
        <w:rPr>
          <w:rFonts w:ascii="Times New Roman" w:hAnsi="Times New Roman" w:cs="Times New Roman"/>
          <w:noProof/>
          <w:sz w:val="24"/>
          <w:lang w:val="en-GB"/>
        </w:rPr>
        <w:t>F</w:t>
      </w:r>
      <w:r w:rsidR="00B326C6">
        <w:rPr>
          <w:rFonts w:ascii="Times New Roman" w:hAnsi="Times New Roman" w:cs="Times New Roman"/>
          <w:noProof/>
          <w:sz w:val="24"/>
          <w:lang w:val="en-GB"/>
        </w:rPr>
        <w:t xml:space="preserve">ree </w:t>
      </w:r>
      <w:r w:rsidRPr="00AA1AFD">
        <w:rPr>
          <w:rFonts w:ascii="Times New Roman" w:hAnsi="Times New Roman" w:cs="Times New Roman"/>
          <w:noProof/>
          <w:sz w:val="24"/>
          <w:lang w:val="en-GB"/>
        </w:rPr>
        <w:t>T</w:t>
      </w:r>
      <w:r w:rsidR="00B326C6">
        <w:rPr>
          <w:rFonts w:ascii="Times New Roman" w:hAnsi="Times New Roman" w:cs="Times New Roman"/>
          <w:noProof/>
          <w:sz w:val="24"/>
          <w:lang w:val="en-GB"/>
        </w:rPr>
        <w:t xml:space="preserve">rade </w:t>
      </w:r>
      <w:r w:rsidRPr="00AA1AFD">
        <w:rPr>
          <w:rFonts w:ascii="Times New Roman" w:hAnsi="Times New Roman" w:cs="Times New Roman"/>
          <w:noProof/>
          <w:sz w:val="24"/>
          <w:lang w:val="en-GB"/>
        </w:rPr>
        <w:t>A</w:t>
      </w:r>
      <w:r w:rsidR="00B326C6">
        <w:rPr>
          <w:rFonts w:ascii="Times New Roman" w:hAnsi="Times New Roman" w:cs="Times New Roman"/>
          <w:noProof/>
          <w:sz w:val="24"/>
          <w:lang w:val="en-GB"/>
        </w:rPr>
        <w:t>ssociation</w:t>
      </w:r>
      <w:r w:rsidRPr="00AA1AFD">
        <w:rPr>
          <w:rStyle w:val="FootnoteReference"/>
          <w:rFonts w:ascii="Times New Roman" w:hAnsi="Times New Roman" w:cs="Times New Roman"/>
          <w:noProof/>
          <w:sz w:val="24"/>
          <w:lang w:val="en-GB"/>
        </w:rPr>
        <w:footnoteReference w:id="7"/>
      </w:r>
      <w:r w:rsidR="007A131D">
        <w:rPr>
          <w:rFonts w:ascii="Times New Roman" w:hAnsi="Times New Roman" w:cs="Times New Roman"/>
          <w:noProof/>
          <w:sz w:val="24"/>
          <w:lang w:val="en-GB"/>
        </w:rPr>
        <w:t>;</w:t>
      </w:r>
    </w:p>
    <w:p w:rsidR="009E1F6B" w:rsidRPr="00AA1AFD" w:rsidRDefault="009E1F6B" w:rsidP="002B1D61">
      <w:pPr>
        <w:ind w:left="426" w:hanging="426"/>
        <w:jc w:val="both"/>
        <w:rPr>
          <w:rFonts w:ascii="Times New Roman" w:hAnsi="Times New Roman" w:cs="Times New Roman"/>
          <w:noProof/>
          <w:sz w:val="24"/>
          <w:lang w:val="en-GB"/>
        </w:rPr>
      </w:pPr>
      <w:r w:rsidRPr="00AA1AFD">
        <w:rPr>
          <w:rFonts w:ascii="Times New Roman" w:hAnsi="Times New Roman" w:cs="Times New Roman"/>
          <w:noProof/>
          <w:sz w:val="24"/>
          <w:lang w:val="en-GB"/>
        </w:rPr>
        <w:t>-</w:t>
      </w:r>
      <w:r w:rsidRPr="00AA1AFD">
        <w:rPr>
          <w:rFonts w:ascii="Times New Roman" w:hAnsi="Times New Roman" w:cs="Times New Roman"/>
          <w:noProof/>
          <w:sz w:val="24"/>
          <w:lang w:val="en-GB"/>
        </w:rPr>
        <w:tab/>
      </w:r>
      <w:r w:rsidR="00A25532" w:rsidRPr="00AA1AFD">
        <w:rPr>
          <w:rFonts w:ascii="Times New Roman" w:hAnsi="Times New Roman" w:cs="Times New Roman"/>
          <w:noProof/>
          <w:sz w:val="24"/>
          <w:lang w:val="en-GB"/>
        </w:rPr>
        <w:t xml:space="preserve">The </w:t>
      </w:r>
      <w:r w:rsidRPr="00AA1AFD">
        <w:rPr>
          <w:rFonts w:ascii="Times New Roman" w:hAnsi="Times New Roman" w:cs="Times New Roman"/>
          <w:noProof/>
          <w:sz w:val="24"/>
          <w:lang w:val="en-GB"/>
        </w:rPr>
        <w:t>Western Balkans</w:t>
      </w:r>
      <w:r w:rsidR="004F0B9B">
        <w:rPr>
          <w:rFonts w:ascii="Times New Roman" w:hAnsi="Times New Roman" w:cs="Times New Roman"/>
          <w:noProof/>
          <w:sz w:val="24"/>
          <w:lang w:val="en-GB"/>
        </w:rPr>
        <w:t xml:space="preserve"> (Albania, Bosnia and Herzegovina, Kosovo</w:t>
      </w:r>
      <w:r w:rsidR="004A75EE">
        <w:rPr>
          <w:rFonts w:ascii="Times New Roman" w:hAnsi="Times New Roman" w:cs="Times New Roman"/>
          <w:noProof/>
          <w:sz w:val="24"/>
          <w:lang w:val="en-GB"/>
        </w:rPr>
        <w:t>*</w:t>
      </w:r>
      <w:r w:rsidR="00D10775">
        <w:rPr>
          <w:rFonts w:ascii="Times New Roman" w:hAnsi="Times New Roman" w:cs="Times New Roman"/>
          <w:noProof/>
          <w:sz w:val="24"/>
          <w:lang w:val="en-GB"/>
        </w:rPr>
        <w:t>,</w:t>
      </w:r>
      <w:r w:rsidR="008B1148">
        <w:rPr>
          <w:rFonts w:ascii="Times New Roman" w:hAnsi="Times New Roman" w:cs="Times New Roman"/>
          <w:noProof/>
          <w:sz w:val="24"/>
          <w:lang w:val="en-GB"/>
        </w:rPr>
        <w:t xml:space="preserve"> The Republic of</w:t>
      </w:r>
      <w:r w:rsidR="004F0B9B">
        <w:rPr>
          <w:rFonts w:ascii="Times New Roman" w:hAnsi="Times New Roman" w:cs="Times New Roman"/>
          <w:noProof/>
          <w:sz w:val="24"/>
          <w:lang w:val="en-GB"/>
        </w:rPr>
        <w:t xml:space="preserve"> North Macedonia, Montenegro and Serbia</w:t>
      </w:r>
      <w:r w:rsidR="007A131D">
        <w:rPr>
          <w:rFonts w:ascii="Times New Roman" w:hAnsi="Times New Roman" w:cs="Times New Roman"/>
          <w:noProof/>
          <w:sz w:val="24"/>
          <w:lang w:val="en-GB"/>
        </w:rPr>
        <w:t>)</w:t>
      </w:r>
      <w:r w:rsidRPr="00AA1AFD">
        <w:rPr>
          <w:rStyle w:val="FootnoteReference"/>
          <w:rFonts w:ascii="Times New Roman" w:hAnsi="Times New Roman" w:cs="Times New Roman"/>
          <w:noProof/>
          <w:sz w:val="24"/>
          <w:lang w:val="en-GB"/>
        </w:rPr>
        <w:footnoteReference w:id="8"/>
      </w:r>
      <w:r w:rsidR="007A131D">
        <w:rPr>
          <w:rFonts w:ascii="Times New Roman" w:hAnsi="Times New Roman" w:cs="Times New Roman"/>
          <w:noProof/>
          <w:sz w:val="24"/>
          <w:lang w:val="en-GB"/>
        </w:rPr>
        <w:t>;</w:t>
      </w:r>
    </w:p>
    <w:p w:rsidR="009E1F6B" w:rsidRPr="00AA1AFD" w:rsidRDefault="009E1F6B" w:rsidP="002B1D61">
      <w:pPr>
        <w:ind w:left="426" w:hanging="426"/>
        <w:jc w:val="both"/>
        <w:rPr>
          <w:rFonts w:ascii="Times New Roman" w:hAnsi="Times New Roman" w:cs="Times New Roman"/>
          <w:noProof/>
          <w:sz w:val="24"/>
          <w:lang w:val="en-GB"/>
        </w:rPr>
      </w:pPr>
      <w:r w:rsidRPr="00AA1AFD">
        <w:rPr>
          <w:rFonts w:ascii="Times New Roman" w:hAnsi="Times New Roman" w:cs="Times New Roman"/>
          <w:noProof/>
          <w:sz w:val="24"/>
          <w:lang w:val="en-GB"/>
        </w:rPr>
        <w:t>-</w:t>
      </w:r>
      <w:r w:rsidRPr="00AA1AFD">
        <w:rPr>
          <w:rFonts w:ascii="Times New Roman" w:hAnsi="Times New Roman" w:cs="Times New Roman"/>
          <w:noProof/>
          <w:sz w:val="24"/>
          <w:lang w:val="en-GB"/>
        </w:rPr>
        <w:tab/>
      </w:r>
      <w:r w:rsidR="00A25532" w:rsidRPr="00AA1AFD">
        <w:rPr>
          <w:rFonts w:ascii="Times New Roman" w:hAnsi="Times New Roman" w:cs="Times New Roman"/>
          <w:noProof/>
          <w:sz w:val="24"/>
          <w:lang w:val="en-GB"/>
        </w:rPr>
        <w:t xml:space="preserve">The </w:t>
      </w:r>
      <w:r w:rsidRPr="00AA1AFD">
        <w:rPr>
          <w:rFonts w:ascii="Times New Roman" w:hAnsi="Times New Roman" w:cs="Times New Roman"/>
          <w:noProof/>
          <w:sz w:val="24"/>
          <w:lang w:val="en-GB"/>
        </w:rPr>
        <w:t>Eastern Partnership</w:t>
      </w:r>
      <w:r w:rsidR="002B1D61">
        <w:rPr>
          <w:rFonts w:ascii="Times New Roman" w:hAnsi="Times New Roman" w:cs="Times New Roman"/>
          <w:noProof/>
          <w:sz w:val="24"/>
          <w:lang w:val="en-GB"/>
        </w:rPr>
        <w:t xml:space="preserve"> (EaP)</w:t>
      </w:r>
      <w:r w:rsidR="007A131D">
        <w:rPr>
          <w:rFonts w:ascii="Times New Roman" w:hAnsi="Times New Roman" w:cs="Times New Roman"/>
          <w:noProof/>
          <w:lang w:val="en-GB"/>
        </w:rPr>
        <w:t xml:space="preserve"> (</w:t>
      </w:r>
      <w:r w:rsidR="007A131D" w:rsidRPr="003C3A96">
        <w:rPr>
          <w:rFonts w:ascii="Times New Roman" w:hAnsi="Times New Roman" w:cs="Times New Roman"/>
          <w:noProof/>
          <w:lang w:val="en-GB"/>
        </w:rPr>
        <w:t>Armenia, Azerbaijan, Belarus</w:t>
      </w:r>
      <w:r w:rsidR="007A131D">
        <w:rPr>
          <w:rStyle w:val="FootnoteReference"/>
          <w:rFonts w:ascii="Times New Roman" w:hAnsi="Times New Roman" w:cs="Times New Roman"/>
          <w:noProof/>
          <w:lang w:val="en-GB"/>
        </w:rPr>
        <w:footnoteReference w:id="9"/>
      </w:r>
      <w:r w:rsidR="007A131D" w:rsidRPr="003C3A96">
        <w:rPr>
          <w:rFonts w:ascii="Times New Roman" w:hAnsi="Times New Roman" w:cs="Times New Roman"/>
          <w:noProof/>
          <w:lang w:val="en-GB"/>
        </w:rPr>
        <w:t>, Georgia, Moldova and Ukraine</w:t>
      </w:r>
      <w:r w:rsidR="007A131D">
        <w:rPr>
          <w:rFonts w:ascii="Times New Roman" w:hAnsi="Times New Roman" w:cs="Times New Roman"/>
          <w:noProof/>
          <w:lang w:val="en-GB"/>
        </w:rPr>
        <w:t>)</w:t>
      </w:r>
      <w:r w:rsidRPr="00AA1AFD">
        <w:rPr>
          <w:rStyle w:val="FootnoteReference"/>
          <w:rFonts w:ascii="Times New Roman" w:hAnsi="Times New Roman" w:cs="Times New Roman"/>
          <w:noProof/>
          <w:sz w:val="24"/>
          <w:lang w:val="en-GB"/>
        </w:rPr>
        <w:footnoteReference w:id="10"/>
      </w:r>
      <w:r w:rsidR="004A75EE">
        <w:rPr>
          <w:rFonts w:ascii="Times New Roman" w:hAnsi="Times New Roman" w:cs="Times New Roman"/>
          <w:noProof/>
          <w:lang w:val="en-GB"/>
        </w:rPr>
        <w:t>;</w:t>
      </w:r>
    </w:p>
    <w:p w:rsidR="009E1F6B" w:rsidRPr="00AA1AFD" w:rsidRDefault="009E1F6B" w:rsidP="002B1D61">
      <w:pPr>
        <w:ind w:left="426" w:hanging="426"/>
        <w:jc w:val="both"/>
        <w:rPr>
          <w:rFonts w:ascii="Times New Roman" w:hAnsi="Times New Roman" w:cs="Times New Roman"/>
          <w:noProof/>
          <w:sz w:val="24"/>
          <w:lang w:val="en-GB"/>
        </w:rPr>
      </w:pPr>
      <w:r w:rsidRPr="00AA1AFD">
        <w:rPr>
          <w:rFonts w:ascii="Times New Roman" w:hAnsi="Times New Roman" w:cs="Times New Roman"/>
          <w:noProof/>
          <w:sz w:val="24"/>
          <w:lang w:val="en-GB"/>
        </w:rPr>
        <w:t>-</w:t>
      </w:r>
      <w:r w:rsidRPr="00AA1AFD">
        <w:rPr>
          <w:rFonts w:ascii="Times New Roman" w:hAnsi="Times New Roman" w:cs="Times New Roman"/>
          <w:noProof/>
          <w:sz w:val="24"/>
          <w:lang w:val="en-GB"/>
        </w:rPr>
        <w:tab/>
        <w:t>Turkey: the comprehensive network of Turkey</w:t>
      </w:r>
      <w:r w:rsidR="00076AFE" w:rsidRPr="00AA1AFD">
        <w:rPr>
          <w:rFonts w:ascii="Times New Roman" w:hAnsi="Times New Roman" w:cs="Times New Roman"/>
          <w:noProof/>
          <w:sz w:val="24"/>
          <w:lang w:val="en-GB"/>
        </w:rPr>
        <w:t xml:space="preserve"> as</w:t>
      </w:r>
      <w:r w:rsidR="006A66BE" w:rsidRPr="00AA1AFD">
        <w:rPr>
          <w:rFonts w:ascii="Times New Roman" w:hAnsi="Times New Roman" w:cs="Times New Roman"/>
          <w:noProof/>
          <w:sz w:val="24"/>
          <w:lang w:val="en-GB"/>
        </w:rPr>
        <w:t xml:space="preserve"> incorporated in the</w:t>
      </w:r>
      <w:r w:rsidR="00076AFE" w:rsidRPr="00AA1AFD">
        <w:rPr>
          <w:rFonts w:ascii="Times New Roman" w:hAnsi="Times New Roman" w:cs="Times New Roman"/>
          <w:noProof/>
          <w:sz w:val="24"/>
          <w:lang w:val="en-GB"/>
        </w:rPr>
        <w:t xml:space="preserve"> </w:t>
      </w:r>
      <w:r w:rsidR="000F03A5">
        <w:rPr>
          <w:rFonts w:ascii="Times New Roman" w:hAnsi="Times New Roman" w:cs="Times New Roman"/>
          <w:noProof/>
          <w:sz w:val="24"/>
          <w:lang w:val="en-GB"/>
        </w:rPr>
        <w:t xml:space="preserve">TEN-T </w:t>
      </w:r>
      <w:r w:rsidR="00076AFE" w:rsidRPr="00AA1AFD">
        <w:rPr>
          <w:rFonts w:ascii="Times New Roman" w:hAnsi="Times New Roman" w:cs="Times New Roman"/>
          <w:noProof/>
          <w:sz w:val="24"/>
          <w:lang w:val="en-GB"/>
        </w:rPr>
        <w:t>Regulation</w:t>
      </w:r>
      <w:r w:rsidR="001621FC">
        <w:rPr>
          <w:rFonts w:ascii="Times New Roman" w:hAnsi="Times New Roman" w:cs="Times New Roman"/>
          <w:noProof/>
          <w:sz w:val="24"/>
          <w:lang w:val="en-GB"/>
        </w:rPr>
        <w:t>.</w:t>
      </w:r>
    </w:p>
    <w:p w:rsidR="009E1F6B" w:rsidRPr="00AA1AFD" w:rsidRDefault="008421F0" w:rsidP="0041375D">
      <w:pPr>
        <w:jc w:val="both"/>
        <w:rPr>
          <w:rFonts w:ascii="Times New Roman" w:hAnsi="Times New Roman" w:cs="Times New Roman"/>
          <w:noProof/>
          <w:sz w:val="24"/>
          <w:lang w:val="en-GB"/>
        </w:rPr>
      </w:pPr>
      <w:r>
        <w:rPr>
          <w:rFonts w:ascii="Times New Roman" w:hAnsi="Times New Roman" w:cs="Times New Roman"/>
          <w:noProof/>
          <w:sz w:val="24"/>
          <w:lang w:val="en-GB"/>
        </w:rPr>
        <w:t>In addition, as regards t</w:t>
      </w:r>
      <w:r w:rsidR="009E1F6B" w:rsidRPr="00AA1AFD">
        <w:rPr>
          <w:rFonts w:ascii="Times New Roman" w:hAnsi="Times New Roman" w:cs="Times New Roman"/>
          <w:noProof/>
          <w:sz w:val="24"/>
          <w:lang w:val="en-GB"/>
        </w:rPr>
        <w:t xml:space="preserve">he Mediterranean </w:t>
      </w:r>
      <w:r w:rsidR="0020561A">
        <w:rPr>
          <w:rFonts w:ascii="Times New Roman" w:hAnsi="Times New Roman" w:cs="Times New Roman"/>
          <w:noProof/>
          <w:sz w:val="24"/>
          <w:lang w:val="en-GB"/>
        </w:rPr>
        <w:t>r</w:t>
      </w:r>
      <w:r w:rsidR="0020561A" w:rsidRPr="00AA1AFD">
        <w:rPr>
          <w:rFonts w:ascii="Times New Roman" w:hAnsi="Times New Roman" w:cs="Times New Roman"/>
          <w:noProof/>
          <w:sz w:val="24"/>
          <w:lang w:val="en-GB"/>
        </w:rPr>
        <w:t>egion</w:t>
      </w:r>
      <w:r w:rsidR="009E1F6B" w:rsidRPr="00AA1AFD">
        <w:rPr>
          <w:rFonts w:ascii="Times New Roman" w:hAnsi="Times New Roman" w:cs="Times New Roman"/>
          <w:noProof/>
          <w:sz w:val="24"/>
          <w:lang w:val="en-GB"/>
        </w:rPr>
        <w:t>,</w:t>
      </w:r>
      <w:r w:rsidR="006A66BE" w:rsidRPr="00AA1AFD">
        <w:rPr>
          <w:rFonts w:ascii="Times New Roman" w:hAnsi="Times New Roman" w:cs="Times New Roman"/>
          <w:noProof/>
          <w:sz w:val="24"/>
          <w:lang w:val="en-GB"/>
        </w:rPr>
        <w:t xml:space="preserve"> </w:t>
      </w:r>
      <w:r>
        <w:rPr>
          <w:rFonts w:ascii="Times New Roman" w:hAnsi="Times New Roman" w:cs="Times New Roman"/>
          <w:noProof/>
          <w:sz w:val="24"/>
          <w:lang w:val="en-GB"/>
        </w:rPr>
        <w:t>t</w:t>
      </w:r>
      <w:r w:rsidRPr="00AA1AFD">
        <w:rPr>
          <w:rFonts w:ascii="Times New Roman" w:hAnsi="Times New Roman" w:cs="Times New Roman"/>
          <w:noProof/>
          <w:sz w:val="24"/>
          <w:lang w:val="en-GB"/>
        </w:rPr>
        <w:t>he</w:t>
      </w:r>
      <w:r>
        <w:rPr>
          <w:rFonts w:ascii="Times New Roman" w:hAnsi="Times New Roman" w:cs="Times New Roman"/>
          <w:noProof/>
          <w:sz w:val="24"/>
          <w:lang w:val="en-GB"/>
        </w:rPr>
        <w:t xml:space="preserve"> identification </w:t>
      </w:r>
      <w:r w:rsidRPr="00AA1AFD">
        <w:rPr>
          <w:rFonts w:ascii="Times New Roman" w:hAnsi="Times New Roman" w:cs="Times New Roman"/>
          <w:noProof/>
          <w:sz w:val="24"/>
          <w:lang w:val="en-GB"/>
        </w:rPr>
        <w:t xml:space="preserve">of a comprehensive network that will define a </w:t>
      </w:r>
      <w:r>
        <w:rPr>
          <w:rFonts w:ascii="Times New Roman" w:hAnsi="Times New Roman" w:cs="Times New Roman"/>
          <w:noProof/>
          <w:sz w:val="24"/>
          <w:lang w:val="en-GB"/>
        </w:rPr>
        <w:t>t</w:t>
      </w:r>
      <w:r w:rsidRPr="00AA1AFD">
        <w:rPr>
          <w:rFonts w:ascii="Times New Roman" w:hAnsi="Times New Roman" w:cs="Times New Roman"/>
          <w:noProof/>
          <w:sz w:val="24"/>
          <w:lang w:val="en-GB"/>
        </w:rPr>
        <w:t xml:space="preserve">rans-Mediterranean </w:t>
      </w:r>
      <w:r>
        <w:rPr>
          <w:rFonts w:ascii="Times New Roman" w:hAnsi="Times New Roman" w:cs="Times New Roman"/>
          <w:noProof/>
          <w:sz w:val="24"/>
          <w:lang w:val="en-GB"/>
        </w:rPr>
        <w:t>network for t</w:t>
      </w:r>
      <w:r w:rsidRPr="00AA1AFD">
        <w:rPr>
          <w:rFonts w:ascii="Times New Roman" w:hAnsi="Times New Roman" w:cs="Times New Roman"/>
          <w:noProof/>
          <w:sz w:val="24"/>
          <w:lang w:val="en-GB"/>
        </w:rPr>
        <w:t xml:space="preserve">ransport (TMN-T) is </w:t>
      </w:r>
      <w:r>
        <w:rPr>
          <w:rFonts w:ascii="Times New Roman" w:hAnsi="Times New Roman" w:cs="Times New Roman"/>
          <w:noProof/>
          <w:sz w:val="24"/>
          <w:lang w:val="en-GB"/>
        </w:rPr>
        <w:t xml:space="preserve">still </w:t>
      </w:r>
      <w:r w:rsidRPr="00AA1AFD">
        <w:rPr>
          <w:rFonts w:ascii="Times New Roman" w:hAnsi="Times New Roman" w:cs="Times New Roman"/>
          <w:noProof/>
          <w:sz w:val="24"/>
          <w:lang w:val="en-GB"/>
        </w:rPr>
        <w:t>ongoing</w:t>
      </w:r>
      <w:r w:rsidR="00076AFE" w:rsidRPr="00AA1AFD">
        <w:rPr>
          <w:rFonts w:ascii="Times New Roman" w:hAnsi="Times New Roman" w:cs="Times New Roman"/>
          <w:noProof/>
          <w:sz w:val="24"/>
          <w:lang w:val="en-GB"/>
        </w:rPr>
        <w:t>.</w:t>
      </w:r>
      <w:r w:rsidR="003306B6">
        <w:rPr>
          <w:rFonts w:ascii="Times New Roman" w:hAnsi="Times New Roman" w:cs="Times New Roman"/>
          <w:noProof/>
          <w:sz w:val="24"/>
          <w:lang w:val="en-GB"/>
        </w:rPr>
        <w:t xml:space="preserve"> The process is carried out with the</w:t>
      </w:r>
      <w:r w:rsidR="003306B6" w:rsidRPr="00AA1AFD">
        <w:rPr>
          <w:rFonts w:ascii="Times New Roman" w:hAnsi="Times New Roman" w:cs="Times New Roman"/>
          <w:noProof/>
          <w:sz w:val="24"/>
          <w:lang w:val="en-GB"/>
        </w:rPr>
        <w:t xml:space="preserve"> Southern Mediterranean Partners</w:t>
      </w:r>
      <w:r w:rsidR="003306B6">
        <w:rPr>
          <w:rStyle w:val="FootnoteReference"/>
          <w:rFonts w:ascii="Times New Roman" w:hAnsi="Times New Roman" w:cs="Times New Roman"/>
          <w:noProof/>
          <w:sz w:val="24"/>
          <w:lang w:val="en-GB"/>
        </w:rPr>
        <w:footnoteReference w:id="11"/>
      </w:r>
      <w:r w:rsidR="003306B6">
        <w:rPr>
          <w:rFonts w:ascii="Times New Roman" w:hAnsi="Times New Roman" w:cs="Times New Roman"/>
          <w:noProof/>
          <w:sz w:val="24"/>
          <w:lang w:val="en-GB"/>
        </w:rPr>
        <w:t>.</w:t>
      </w:r>
    </w:p>
    <w:p w:rsidR="000F03A5" w:rsidRPr="006910F4" w:rsidRDefault="00472FEA" w:rsidP="00154C38">
      <w:pPr>
        <w:jc w:val="both"/>
        <w:rPr>
          <w:rFonts w:ascii="Times New Roman" w:hAnsi="Times New Roman" w:cs="Times New Roman"/>
          <w:noProof/>
          <w:sz w:val="24"/>
          <w:szCs w:val="24"/>
          <w:lang w:val="en-GB"/>
        </w:rPr>
      </w:pPr>
      <w:r w:rsidRPr="006910F4">
        <w:rPr>
          <w:rFonts w:ascii="Times New Roman" w:hAnsi="Times New Roman" w:cs="Times New Roman"/>
          <w:noProof/>
          <w:sz w:val="24"/>
          <w:szCs w:val="24"/>
          <w:lang w:val="en-GB"/>
        </w:rPr>
        <w:t>T</w:t>
      </w:r>
      <w:r w:rsidR="008421F0" w:rsidRPr="006910F4">
        <w:rPr>
          <w:rFonts w:ascii="Times New Roman" w:hAnsi="Times New Roman" w:cs="Times New Roman"/>
          <w:noProof/>
          <w:sz w:val="24"/>
          <w:szCs w:val="24"/>
          <w:shd w:val="clear" w:color="auto" w:fill="FFFFFF"/>
          <w:lang w:val="en-GB"/>
        </w:rPr>
        <w:t>he indicative network allow</w:t>
      </w:r>
      <w:r w:rsidR="001D1372" w:rsidRPr="006910F4">
        <w:rPr>
          <w:rFonts w:ascii="Times New Roman" w:hAnsi="Times New Roman" w:cs="Times New Roman"/>
          <w:noProof/>
          <w:sz w:val="24"/>
          <w:szCs w:val="24"/>
          <w:shd w:val="clear" w:color="auto" w:fill="FFFFFF"/>
          <w:lang w:val="en-GB"/>
        </w:rPr>
        <w:t xml:space="preserve">s </w:t>
      </w:r>
      <w:r w:rsidR="008421F0" w:rsidRPr="006910F4">
        <w:rPr>
          <w:rFonts w:ascii="Times New Roman" w:hAnsi="Times New Roman" w:cs="Times New Roman"/>
          <w:noProof/>
          <w:sz w:val="24"/>
          <w:szCs w:val="24"/>
          <w:shd w:val="clear" w:color="auto" w:fill="FFFFFF"/>
          <w:lang w:val="en-GB"/>
        </w:rPr>
        <w:t xml:space="preserve">the Union to better target </w:t>
      </w:r>
      <w:r w:rsidR="00C57A33">
        <w:rPr>
          <w:rFonts w:ascii="Times New Roman" w:hAnsi="Times New Roman" w:cs="Times New Roman"/>
          <w:noProof/>
          <w:sz w:val="24"/>
          <w:szCs w:val="24"/>
          <w:shd w:val="clear" w:color="auto" w:fill="FFFFFF"/>
          <w:lang w:val="en-GB"/>
        </w:rPr>
        <w:t>EU engagement</w:t>
      </w:r>
      <w:r w:rsidR="008421F0" w:rsidRPr="006910F4">
        <w:rPr>
          <w:rFonts w:ascii="Times New Roman" w:hAnsi="Times New Roman" w:cs="Times New Roman"/>
          <w:noProof/>
          <w:sz w:val="24"/>
          <w:szCs w:val="24"/>
          <w:shd w:val="clear" w:color="auto" w:fill="FFFFFF"/>
          <w:lang w:val="en-GB"/>
        </w:rPr>
        <w:t>, including financial support</w:t>
      </w:r>
      <w:r w:rsidR="00C57A33">
        <w:rPr>
          <w:rFonts w:ascii="Times New Roman" w:hAnsi="Times New Roman" w:cs="Times New Roman"/>
          <w:noProof/>
          <w:sz w:val="24"/>
          <w:szCs w:val="24"/>
          <w:shd w:val="clear" w:color="auto" w:fill="FFFFFF"/>
          <w:lang w:val="en-GB"/>
        </w:rPr>
        <w:t>.</w:t>
      </w:r>
      <w:r w:rsidR="008421F0" w:rsidRPr="006910F4">
        <w:rPr>
          <w:rFonts w:ascii="Times New Roman" w:hAnsi="Times New Roman" w:cs="Times New Roman"/>
          <w:noProof/>
          <w:sz w:val="24"/>
          <w:szCs w:val="24"/>
          <w:lang w:val="en-GB"/>
        </w:rPr>
        <w:t xml:space="preserve"> </w:t>
      </w:r>
      <w:r w:rsidR="00E810E6" w:rsidRPr="00206FF8">
        <w:rPr>
          <w:rFonts w:ascii="Times New Roman" w:hAnsi="Times New Roman" w:cs="Times New Roman"/>
          <w:noProof/>
          <w:sz w:val="24"/>
          <w:szCs w:val="24"/>
          <w:lang w:val="en-GB"/>
        </w:rPr>
        <w:t>The Neighbourhood, Development and International Cooperation Instrument (NDICI)-Global Europe</w:t>
      </w:r>
      <w:r w:rsidR="00C57A33">
        <w:rPr>
          <w:rFonts w:ascii="Times New Roman" w:hAnsi="Times New Roman" w:cs="Times New Roman"/>
          <w:noProof/>
          <w:sz w:val="24"/>
          <w:szCs w:val="24"/>
          <w:lang w:val="en-GB"/>
        </w:rPr>
        <w:t xml:space="preserve"> and</w:t>
      </w:r>
      <w:r w:rsidR="00E810E6" w:rsidRPr="00206FF8">
        <w:rPr>
          <w:rFonts w:ascii="Times New Roman" w:hAnsi="Times New Roman" w:cs="Times New Roman"/>
          <w:noProof/>
          <w:sz w:val="24"/>
          <w:szCs w:val="24"/>
          <w:lang w:val="en-GB"/>
        </w:rPr>
        <w:t xml:space="preserve"> the Instrument for Pre-Accession Assistance (IPA) III </w:t>
      </w:r>
      <w:r w:rsidR="00E810E6">
        <w:rPr>
          <w:rFonts w:ascii="Times New Roman" w:hAnsi="Times New Roman" w:cs="Times New Roman"/>
          <w:noProof/>
          <w:sz w:val="24"/>
          <w:szCs w:val="24"/>
          <w:lang w:val="en-GB"/>
        </w:rPr>
        <w:t xml:space="preserve">support an enabling environment to facilitate sustainable infrastructure investment, and </w:t>
      </w:r>
      <w:r w:rsidR="00E810E6" w:rsidRPr="00206FF8">
        <w:rPr>
          <w:rFonts w:ascii="Times New Roman" w:hAnsi="Times New Roman" w:cs="Times New Roman"/>
          <w:noProof/>
          <w:sz w:val="24"/>
          <w:szCs w:val="24"/>
          <w:lang w:val="en-GB"/>
        </w:rPr>
        <w:t>allow the EU to leverage public and private investments</w:t>
      </w:r>
      <w:r w:rsidR="00E810E6">
        <w:rPr>
          <w:rFonts w:ascii="Times New Roman" w:hAnsi="Times New Roman" w:cs="Times New Roman"/>
          <w:noProof/>
          <w:sz w:val="24"/>
          <w:szCs w:val="24"/>
          <w:lang w:val="en-GB"/>
        </w:rPr>
        <w:t xml:space="preserve"> through International Financial Institution</w:t>
      </w:r>
      <w:r w:rsidR="001B317C">
        <w:rPr>
          <w:rFonts w:ascii="Times New Roman" w:hAnsi="Times New Roman" w:cs="Times New Roman"/>
          <w:noProof/>
          <w:sz w:val="24"/>
          <w:szCs w:val="24"/>
          <w:lang w:val="en-GB"/>
        </w:rPr>
        <w:t>s</w:t>
      </w:r>
      <w:r w:rsidR="00E810E6">
        <w:rPr>
          <w:rFonts w:ascii="Times New Roman" w:hAnsi="Times New Roman" w:cs="Times New Roman"/>
          <w:noProof/>
          <w:sz w:val="24"/>
          <w:szCs w:val="24"/>
          <w:lang w:val="en-GB"/>
        </w:rPr>
        <w:t xml:space="preserve"> to support </w:t>
      </w:r>
      <w:r w:rsidR="00E810E6" w:rsidRPr="00206FF8">
        <w:rPr>
          <w:rFonts w:ascii="Times New Roman" w:hAnsi="Times New Roman" w:cs="Times New Roman"/>
          <w:noProof/>
          <w:sz w:val="24"/>
          <w:szCs w:val="24"/>
          <w:lang w:val="en-GB"/>
        </w:rPr>
        <w:t>connectivity</w:t>
      </w:r>
      <w:r w:rsidR="00E810E6">
        <w:rPr>
          <w:rFonts w:ascii="Times New Roman" w:hAnsi="Times New Roman" w:cs="Times New Roman"/>
          <w:noProof/>
          <w:sz w:val="24"/>
          <w:szCs w:val="24"/>
          <w:lang w:val="en-GB"/>
        </w:rPr>
        <w:t xml:space="preserve"> objectives</w:t>
      </w:r>
      <w:r w:rsidR="00E810E6" w:rsidRPr="00206FF8">
        <w:rPr>
          <w:rFonts w:ascii="Times New Roman" w:hAnsi="Times New Roman" w:cs="Times New Roman"/>
          <w:noProof/>
          <w:sz w:val="24"/>
          <w:szCs w:val="24"/>
          <w:lang w:val="en-GB"/>
        </w:rPr>
        <w:t>.</w:t>
      </w:r>
      <w:r w:rsidR="00E810E6">
        <w:rPr>
          <w:rFonts w:ascii="Times New Roman" w:hAnsi="Times New Roman" w:cs="Times New Roman"/>
          <w:noProof/>
          <w:sz w:val="24"/>
          <w:szCs w:val="24"/>
          <w:lang w:val="en-GB"/>
        </w:rPr>
        <w:t xml:space="preserve"> Such support </w:t>
      </w:r>
      <w:r w:rsidR="00301875">
        <w:rPr>
          <w:rFonts w:ascii="Times New Roman" w:hAnsi="Times New Roman" w:cs="Times New Roman"/>
          <w:noProof/>
          <w:sz w:val="24"/>
          <w:szCs w:val="24"/>
          <w:lang w:val="en-GB"/>
        </w:rPr>
        <w:t xml:space="preserve">is </w:t>
      </w:r>
      <w:r w:rsidR="00E810E6">
        <w:rPr>
          <w:rFonts w:ascii="Times New Roman" w:hAnsi="Times New Roman" w:cs="Times New Roman"/>
          <w:noProof/>
          <w:sz w:val="24"/>
          <w:szCs w:val="24"/>
          <w:lang w:val="en-GB"/>
        </w:rPr>
        <w:t xml:space="preserve">framed </w:t>
      </w:r>
      <w:r w:rsidR="001B317C">
        <w:rPr>
          <w:rFonts w:ascii="Times New Roman" w:hAnsi="Times New Roman" w:cs="Times New Roman"/>
          <w:noProof/>
          <w:sz w:val="24"/>
          <w:szCs w:val="24"/>
          <w:lang w:val="en-GB"/>
        </w:rPr>
        <w:t>with</w:t>
      </w:r>
      <w:r w:rsidR="00E810E6">
        <w:rPr>
          <w:rFonts w:ascii="Times New Roman" w:hAnsi="Times New Roman" w:cs="Times New Roman"/>
          <w:noProof/>
          <w:sz w:val="24"/>
          <w:szCs w:val="24"/>
          <w:lang w:val="en-GB"/>
        </w:rPr>
        <w:t>in the Economic and Investment Plans for the Western Balkans</w:t>
      </w:r>
      <w:r w:rsidR="00E810E6">
        <w:rPr>
          <w:noProof/>
          <w:vertAlign w:val="superscript"/>
        </w:rPr>
        <w:footnoteReference w:id="12"/>
      </w:r>
      <w:r w:rsidR="00E810E6">
        <w:rPr>
          <w:rFonts w:ascii="Times New Roman" w:hAnsi="Times New Roman" w:cs="Times New Roman"/>
          <w:noProof/>
          <w:sz w:val="24"/>
          <w:szCs w:val="24"/>
          <w:lang w:val="en-GB"/>
        </w:rPr>
        <w:t>, the Eastern Partnership</w:t>
      </w:r>
      <w:r w:rsidR="00E810E6">
        <w:rPr>
          <w:noProof/>
          <w:vertAlign w:val="superscript"/>
        </w:rPr>
        <w:footnoteReference w:id="13"/>
      </w:r>
      <w:r w:rsidR="00E810E6">
        <w:rPr>
          <w:rFonts w:ascii="Times New Roman" w:hAnsi="Times New Roman" w:cs="Times New Roman"/>
          <w:noProof/>
          <w:sz w:val="24"/>
          <w:szCs w:val="24"/>
          <w:lang w:val="en-GB"/>
        </w:rPr>
        <w:t xml:space="preserve"> and the Southern Neighbourhood</w:t>
      </w:r>
      <w:r w:rsidR="00E810E6">
        <w:rPr>
          <w:rStyle w:val="FootnoteReference"/>
          <w:rFonts w:ascii="Times New Roman" w:eastAsia="Calibri" w:hAnsi="Times New Roman" w:cs="Times New Roman"/>
          <w:noProof/>
          <w:sz w:val="24"/>
          <w:szCs w:val="24"/>
        </w:rPr>
        <w:footnoteReference w:id="14"/>
      </w:r>
      <w:r w:rsidR="00E810E6">
        <w:rPr>
          <w:rFonts w:ascii="Times New Roman" w:hAnsi="Times New Roman" w:cs="Times New Roman"/>
          <w:noProof/>
          <w:sz w:val="24"/>
          <w:szCs w:val="24"/>
          <w:lang w:val="en-GB"/>
        </w:rPr>
        <w:t xml:space="preserve">. </w:t>
      </w:r>
      <w:r w:rsidR="00563A1F" w:rsidRPr="006910F4">
        <w:rPr>
          <w:rFonts w:ascii="Times New Roman" w:hAnsi="Times New Roman" w:cs="Times New Roman"/>
          <w:noProof/>
          <w:sz w:val="24"/>
          <w:szCs w:val="24"/>
          <w:lang w:val="en-GB"/>
        </w:rPr>
        <w:t xml:space="preserve"> </w:t>
      </w:r>
      <w:r w:rsidR="001D1372" w:rsidRPr="006910F4">
        <w:rPr>
          <w:rFonts w:ascii="Times New Roman" w:hAnsi="Times New Roman" w:cs="Times New Roman"/>
          <w:noProof/>
          <w:sz w:val="24"/>
          <w:szCs w:val="24"/>
          <w:lang w:val="en-GB"/>
        </w:rPr>
        <w:t>In addition, t</w:t>
      </w:r>
      <w:r w:rsidR="0024374F" w:rsidRPr="006910F4">
        <w:rPr>
          <w:rFonts w:ascii="Times New Roman" w:hAnsi="Times New Roman" w:cs="Times New Roman"/>
          <w:noProof/>
          <w:sz w:val="24"/>
          <w:szCs w:val="24"/>
          <w:lang w:val="en-GB"/>
        </w:rPr>
        <w:t>he Connecting Europe Facility</w:t>
      </w:r>
      <w:r w:rsidR="00AD2929" w:rsidRPr="006910F4">
        <w:rPr>
          <w:rStyle w:val="FootnoteReference"/>
          <w:rFonts w:ascii="Times New Roman" w:hAnsi="Times New Roman" w:cs="Times New Roman"/>
          <w:noProof/>
          <w:sz w:val="24"/>
          <w:szCs w:val="24"/>
          <w:lang w:val="en-GB"/>
        </w:rPr>
        <w:footnoteReference w:id="15"/>
      </w:r>
      <w:r w:rsidR="00D81F11" w:rsidRPr="006910F4">
        <w:rPr>
          <w:rFonts w:ascii="Times New Roman" w:hAnsi="Times New Roman" w:cs="Times New Roman"/>
          <w:noProof/>
          <w:sz w:val="24"/>
          <w:szCs w:val="24"/>
          <w:lang w:val="en-GB"/>
        </w:rPr>
        <w:t xml:space="preserve"> (CEF</w:t>
      </w:r>
      <w:r w:rsidR="00BD7E22" w:rsidRPr="006910F4">
        <w:rPr>
          <w:rFonts w:ascii="Times New Roman" w:hAnsi="Times New Roman" w:cs="Times New Roman"/>
          <w:noProof/>
          <w:sz w:val="24"/>
          <w:szCs w:val="24"/>
          <w:lang w:val="en-GB"/>
        </w:rPr>
        <w:t xml:space="preserve"> II</w:t>
      </w:r>
      <w:r w:rsidR="00D81F11" w:rsidRPr="006910F4">
        <w:rPr>
          <w:rFonts w:ascii="Times New Roman" w:hAnsi="Times New Roman" w:cs="Times New Roman"/>
          <w:noProof/>
          <w:sz w:val="24"/>
          <w:szCs w:val="24"/>
          <w:lang w:val="en-GB"/>
        </w:rPr>
        <w:t>)</w:t>
      </w:r>
      <w:r w:rsidR="00563A1F" w:rsidRPr="006910F4">
        <w:rPr>
          <w:rFonts w:ascii="Times New Roman" w:hAnsi="Times New Roman" w:cs="Times New Roman"/>
          <w:noProof/>
          <w:sz w:val="24"/>
          <w:szCs w:val="24"/>
          <w:lang w:val="en-GB"/>
        </w:rPr>
        <w:t xml:space="preserve"> may also be used for </w:t>
      </w:r>
      <w:r w:rsidR="00D81F11" w:rsidRPr="006910F4">
        <w:rPr>
          <w:rFonts w:ascii="Times New Roman" w:hAnsi="Times New Roman" w:cs="Times New Roman"/>
          <w:noProof/>
          <w:sz w:val="24"/>
          <w:szCs w:val="24"/>
          <w:lang w:val="en-GB"/>
        </w:rPr>
        <w:t>co-funding projects</w:t>
      </w:r>
      <w:r w:rsidR="0024374F" w:rsidRPr="006910F4">
        <w:rPr>
          <w:rFonts w:ascii="Times New Roman" w:hAnsi="Times New Roman" w:cs="Times New Roman"/>
          <w:noProof/>
          <w:sz w:val="24"/>
          <w:szCs w:val="24"/>
          <w:lang w:val="en-GB"/>
        </w:rPr>
        <w:t xml:space="preserve"> mainly located in the cross-border regions of the Union and the neighbouring countries</w:t>
      </w:r>
      <w:r w:rsidR="00EC70C3" w:rsidRPr="006910F4">
        <w:rPr>
          <w:rFonts w:ascii="Times New Roman" w:hAnsi="Times New Roman" w:cs="Times New Roman"/>
          <w:noProof/>
          <w:sz w:val="24"/>
          <w:szCs w:val="24"/>
          <w:lang w:val="en-GB"/>
        </w:rPr>
        <w:t>.</w:t>
      </w:r>
    </w:p>
    <w:p w:rsidR="003D54EB" w:rsidRPr="00AA1AFD" w:rsidRDefault="00F65646" w:rsidP="00154C38">
      <w:pPr>
        <w:jc w:val="both"/>
        <w:rPr>
          <w:rFonts w:ascii="Times New Roman" w:hAnsi="Times New Roman" w:cs="Times New Roman"/>
          <w:noProof/>
          <w:sz w:val="24"/>
          <w:lang w:val="en-GB"/>
        </w:rPr>
      </w:pPr>
      <w:r w:rsidRPr="00AA1AFD">
        <w:rPr>
          <w:rFonts w:ascii="Times New Roman" w:hAnsi="Times New Roman" w:cs="Times New Roman"/>
          <w:noProof/>
          <w:sz w:val="24"/>
          <w:lang w:val="en-GB"/>
        </w:rPr>
        <w:t xml:space="preserve">This </w:t>
      </w:r>
      <w:r w:rsidR="009E1F6B" w:rsidRPr="00AA1AFD">
        <w:rPr>
          <w:rFonts w:ascii="Times New Roman" w:hAnsi="Times New Roman" w:cs="Times New Roman"/>
          <w:noProof/>
          <w:sz w:val="24"/>
          <w:lang w:val="en-GB"/>
        </w:rPr>
        <w:t>C</w:t>
      </w:r>
      <w:r w:rsidRPr="00AA1AFD">
        <w:rPr>
          <w:rFonts w:ascii="Times New Roman" w:hAnsi="Times New Roman" w:cs="Times New Roman"/>
          <w:noProof/>
          <w:sz w:val="24"/>
          <w:lang w:val="en-GB"/>
        </w:rPr>
        <w:t>omm</w:t>
      </w:r>
      <w:r w:rsidR="00C52C8C" w:rsidRPr="00AA1AFD">
        <w:rPr>
          <w:rFonts w:ascii="Times New Roman" w:hAnsi="Times New Roman" w:cs="Times New Roman"/>
          <w:noProof/>
          <w:sz w:val="24"/>
          <w:lang w:val="en-GB"/>
        </w:rPr>
        <w:t>unication sustains the</w:t>
      </w:r>
      <w:r w:rsidRPr="00AA1AFD">
        <w:rPr>
          <w:rFonts w:ascii="Times New Roman" w:hAnsi="Times New Roman" w:cs="Times New Roman"/>
          <w:noProof/>
          <w:sz w:val="24"/>
          <w:lang w:val="en-GB"/>
        </w:rPr>
        <w:t xml:space="preserve"> focus</w:t>
      </w:r>
      <w:r w:rsidR="00C52C8C" w:rsidRPr="00AA1AFD">
        <w:rPr>
          <w:rFonts w:ascii="Times New Roman" w:hAnsi="Times New Roman" w:cs="Times New Roman"/>
          <w:noProof/>
          <w:sz w:val="24"/>
          <w:lang w:val="en-GB"/>
        </w:rPr>
        <w:t xml:space="preserve"> of the</w:t>
      </w:r>
      <w:r w:rsidR="00080936" w:rsidRPr="00AA1AFD">
        <w:rPr>
          <w:rFonts w:ascii="Times New Roman" w:hAnsi="Times New Roman" w:cs="Times New Roman"/>
          <w:noProof/>
          <w:sz w:val="24"/>
          <w:lang w:val="en-GB"/>
        </w:rPr>
        <w:t xml:space="preserve"> TEN-T policy</w:t>
      </w:r>
      <w:r w:rsidR="00C52C8C" w:rsidRPr="00AA1AFD">
        <w:rPr>
          <w:rFonts w:ascii="Times New Roman" w:hAnsi="Times New Roman" w:cs="Times New Roman"/>
          <w:noProof/>
          <w:sz w:val="24"/>
          <w:lang w:val="en-GB"/>
        </w:rPr>
        <w:t xml:space="preserve"> </w:t>
      </w:r>
      <w:r w:rsidR="00341728" w:rsidRPr="00AA1AFD">
        <w:rPr>
          <w:rFonts w:ascii="Times New Roman" w:hAnsi="Times New Roman" w:cs="Times New Roman"/>
          <w:noProof/>
          <w:sz w:val="24"/>
          <w:lang w:val="en-GB"/>
        </w:rPr>
        <w:t>that gives priority to cooperation with</w:t>
      </w:r>
      <w:r w:rsidRPr="00AA1AFD">
        <w:rPr>
          <w:rFonts w:ascii="Times New Roman" w:hAnsi="Times New Roman" w:cs="Times New Roman"/>
          <w:noProof/>
          <w:sz w:val="24"/>
          <w:lang w:val="en-GB"/>
        </w:rPr>
        <w:t xml:space="preserve"> neighbouring countries</w:t>
      </w:r>
      <w:r w:rsidR="001D1372">
        <w:rPr>
          <w:rFonts w:ascii="Times New Roman" w:hAnsi="Times New Roman" w:cs="Times New Roman"/>
          <w:noProof/>
          <w:sz w:val="24"/>
          <w:lang w:val="en-GB"/>
        </w:rPr>
        <w:t xml:space="preserve">. </w:t>
      </w:r>
      <w:r w:rsidR="006910F4">
        <w:rPr>
          <w:rFonts w:ascii="Times New Roman" w:hAnsi="Times New Roman" w:cs="Times New Roman"/>
          <w:noProof/>
          <w:sz w:val="24"/>
          <w:lang w:val="en-GB"/>
        </w:rPr>
        <w:t>First</w:t>
      </w:r>
      <w:r w:rsidR="001D1372">
        <w:rPr>
          <w:rFonts w:ascii="Times New Roman" w:hAnsi="Times New Roman" w:cs="Times New Roman"/>
          <w:noProof/>
          <w:sz w:val="24"/>
          <w:lang w:val="en-GB"/>
        </w:rPr>
        <w:t>, it</w:t>
      </w:r>
      <w:r w:rsidR="00C77398" w:rsidRPr="00AA1AFD">
        <w:rPr>
          <w:rFonts w:ascii="Times New Roman" w:hAnsi="Times New Roman" w:cs="Times New Roman"/>
          <w:noProof/>
          <w:sz w:val="24"/>
          <w:lang w:val="en-GB"/>
        </w:rPr>
        <w:t xml:space="preserve"> outlines how to address common challenges</w:t>
      </w:r>
      <w:r w:rsidR="00341728" w:rsidRPr="00AA1AFD">
        <w:rPr>
          <w:rFonts w:ascii="Times New Roman" w:hAnsi="Times New Roman" w:cs="Times New Roman"/>
          <w:noProof/>
          <w:sz w:val="24"/>
          <w:lang w:val="en-GB"/>
        </w:rPr>
        <w:t xml:space="preserve"> with </w:t>
      </w:r>
      <w:r w:rsidR="00B93F93">
        <w:rPr>
          <w:rFonts w:ascii="Times New Roman" w:hAnsi="Times New Roman" w:cs="Times New Roman"/>
          <w:noProof/>
          <w:sz w:val="24"/>
          <w:lang w:val="en-GB"/>
        </w:rPr>
        <w:t xml:space="preserve">enlargement </w:t>
      </w:r>
      <w:r w:rsidR="00341728" w:rsidRPr="00AA1AFD">
        <w:rPr>
          <w:rFonts w:ascii="Times New Roman" w:hAnsi="Times New Roman" w:cs="Times New Roman"/>
          <w:noProof/>
          <w:sz w:val="24"/>
          <w:lang w:val="en-GB"/>
        </w:rPr>
        <w:t xml:space="preserve">countries </w:t>
      </w:r>
      <w:r w:rsidR="00B93F93">
        <w:rPr>
          <w:rFonts w:ascii="Times New Roman" w:hAnsi="Times New Roman" w:cs="Times New Roman"/>
          <w:noProof/>
          <w:sz w:val="24"/>
          <w:lang w:val="en-GB"/>
        </w:rPr>
        <w:t xml:space="preserve">and countries </w:t>
      </w:r>
      <w:r w:rsidR="00341728" w:rsidRPr="00AA1AFD">
        <w:rPr>
          <w:rFonts w:ascii="Times New Roman" w:hAnsi="Times New Roman" w:cs="Times New Roman"/>
          <w:noProof/>
          <w:sz w:val="24"/>
          <w:lang w:val="en-GB"/>
        </w:rPr>
        <w:t>in the European Neighbourhood</w:t>
      </w:r>
      <w:r w:rsidR="00C77398" w:rsidRPr="00AA1AFD">
        <w:rPr>
          <w:rFonts w:ascii="Times New Roman" w:hAnsi="Times New Roman" w:cs="Times New Roman"/>
          <w:noProof/>
          <w:sz w:val="24"/>
          <w:lang w:val="en-GB"/>
        </w:rPr>
        <w:t xml:space="preserve"> and how the </w:t>
      </w:r>
      <w:r w:rsidR="00472FEA">
        <w:rPr>
          <w:rFonts w:ascii="Times New Roman" w:hAnsi="Times New Roman" w:cs="Times New Roman"/>
          <w:noProof/>
          <w:sz w:val="24"/>
          <w:lang w:val="en-GB"/>
        </w:rPr>
        <w:t>Union</w:t>
      </w:r>
      <w:r w:rsidR="00616C63" w:rsidRPr="00AA1AFD">
        <w:rPr>
          <w:rFonts w:ascii="Times New Roman" w:hAnsi="Times New Roman" w:cs="Times New Roman"/>
          <w:noProof/>
          <w:sz w:val="24"/>
          <w:lang w:val="en-GB"/>
        </w:rPr>
        <w:t xml:space="preserve"> in the future</w:t>
      </w:r>
      <w:r w:rsidR="00C77398" w:rsidRPr="00AA1AFD">
        <w:rPr>
          <w:rFonts w:ascii="Times New Roman" w:hAnsi="Times New Roman" w:cs="Times New Roman"/>
          <w:noProof/>
          <w:sz w:val="24"/>
          <w:lang w:val="en-GB"/>
        </w:rPr>
        <w:t xml:space="preserve"> will work together with the</w:t>
      </w:r>
      <w:r w:rsidR="00341728" w:rsidRPr="00AA1AFD">
        <w:rPr>
          <w:rFonts w:ascii="Times New Roman" w:hAnsi="Times New Roman" w:cs="Times New Roman"/>
          <w:noProof/>
          <w:sz w:val="24"/>
          <w:lang w:val="en-GB"/>
        </w:rPr>
        <w:t>se</w:t>
      </w:r>
      <w:r w:rsidR="00C77398" w:rsidRPr="00AA1AFD">
        <w:rPr>
          <w:rFonts w:ascii="Times New Roman" w:hAnsi="Times New Roman" w:cs="Times New Roman"/>
          <w:noProof/>
          <w:sz w:val="24"/>
          <w:lang w:val="en-GB"/>
        </w:rPr>
        <w:t xml:space="preserve"> partner</w:t>
      </w:r>
      <w:r w:rsidR="001B317C">
        <w:rPr>
          <w:rFonts w:ascii="Times New Roman" w:hAnsi="Times New Roman" w:cs="Times New Roman"/>
          <w:noProof/>
          <w:sz w:val="24"/>
          <w:lang w:val="en-GB"/>
        </w:rPr>
        <w:t>s</w:t>
      </w:r>
      <w:r w:rsidR="00C77398" w:rsidRPr="00AA1AFD">
        <w:rPr>
          <w:rFonts w:ascii="Times New Roman" w:hAnsi="Times New Roman" w:cs="Times New Roman"/>
          <w:noProof/>
          <w:sz w:val="24"/>
          <w:lang w:val="en-GB"/>
        </w:rPr>
        <w:t xml:space="preserve"> in </w:t>
      </w:r>
      <w:r w:rsidR="00150DC1" w:rsidRPr="00AA1AFD">
        <w:rPr>
          <w:rFonts w:ascii="Times New Roman" w:hAnsi="Times New Roman" w:cs="Times New Roman"/>
          <w:noProof/>
          <w:sz w:val="24"/>
          <w:lang w:val="en-GB"/>
        </w:rPr>
        <w:t>the TEN-T policy area</w:t>
      </w:r>
      <w:r w:rsidR="004551E6">
        <w:rPr>
          <w:rFonts w:ascii="Times New Roman" w:hAnsi="Times New Roman" w:cs="Times New Roman"/>
          <w:noProof/>
          <w:sz w:val="24"/>
          <w:lang w:val="en-GB"/>
        </w:rPr>
        <w:t xml:space="preserve">, in particular, as concerns the </w:t>
      </w:r>
      <w:r w:rsidR="004551E6" w:rsidRPr="00AA1AFD">
        <w:rPr>
          <w:rFonts w:ascii="Times New Roman" w:hAnsi="Times New Roman" w:cs="Times New Roman"/>
          <w:noProof/>
          <w:sz w:val="24"/>
          <w:lang w:val="en-GB"/>
        </w:rPr>
        <w:t xml:space="preserve">further development of the interoperability of the networks of </w:t>
      </w:r>
      <w:r w:rsidR="004551E6">
        <w:rPr>
          <w:rFonts w:ascii="Times New Roman" w:hAnsi="Times New Roman" w:cs="Times New Roman"/>
          <w:noProof/>
          <w:sz w:val="24"/>
          <w:lang w:val="en-GB"/>
        </w:rPr>
        <w:t xml:space="preserve">enlargement and other </w:t>
      </w:r>
      <w:r w:rsidR="004551E6" w:rsidRPr="00AA1AFD">
        <w:rPr>
          <w:rFonts w:ascii="Times New Roman" w:hAnsi="Times New Roman" w:cs="Times New Roman"/>
          <w:noProof/>
          <w:sz w:val="24"/>
          <w:lang w:val="en-GB"/>
        </w:rPr>
        <w:t>neighbouring countries with the Union network</w:t>
      </w:r>
      <w:r w:rsidR="00C77398" w:rsidRPr="00AA1AFD">
        <w:rPr>
          <w:rFonts w:ascii="Times New Roman" w:hAnsi="Times New Roman" w:cs="Times New Roman"/>
          <w:noProof/>
          <w:sz w:val="24"/>
          <w:lang w:val="en-GB"/>
        </w:rPr>
        <w:t>.</w:t>
      </w:r>
      <w:r w:rsidR="003D54EB" w:rsidRPr="00AA1AFD">
        <w:rPr>
          <w:rFonts w:ascii="Times New Roman" w:hAnsi="Times New Roman" w:cs="Times New Roman"/>
          <w:noProof/>
          <w:sz w:val="24"/>
          <w:lang w:val="en-GB"/>
        </w:rPr>
        <w:t xml:space="preserve"> </w:t>
      </w:r>
      <w:r w:rsidR="006910F4">
        <w:rPr>
          <w:rFonts w:ascii="Times New Roman" w:hAnsi="Times New Roman" w:cs="Times New Roman"/>
          <w:noProof/>
          <w:sz w:val="24"/>
          <w:lang w:val="en-GB"/>
        </w:rPr>
        <w:t>Second</w:t>
      </w:r>
      <w:r w:rsidR="001D1372">
        <w:rPr>
          <w:rFonts w:ascii="Times New Roman" w:hAnsi="Times New Roman" w:cs="Times New Roman"/>
          <w:noProof/>
          <w:sz w:val="24"/>
          <w:lang w:val="en-GB"/>
        </w:rPr>
        <w:t xml:space="preserve">, it </w:t>
      </w:r>
      <w:r w:rsidR="003D54EB" w:rsidRPr="00AA1AFD">
        <w:rPr>
          <w:rFonts w:ascii="Times New Roman" w:hAnsi="Times New Roman" w:cs="Times New Roman"/>
          <w:noProof/>
          <w:sz w:val="24"/>
          <w:lang w:val="en-GB"/>
        </w:rPr>
        <w:t>sets out the measures that aim at completing the extended TEN-T in these countries</w:t>
      </w:r>
      <w:r w:rsidR="004551E6">
        <w:rPr>
          <w:rFonts w:ascii="Times New Roman" w:hAnsi="Times New Roman" w:cs="Times New Roman"/>
          <w:noProof/>
          <w:sz w:val="24"/>
          <w:lang w:val="en-GB"/>
        </w:rPr>
        <w:t>.</w:t>
      </w:r>
    </w:p>
    <w:p w:rsidR="00984409" w:rsidRDefault="008A6AF7" w:rsidP="00154C38">
      <w:pPr>
        <w:jc w:val="both"/>
        <w:rPr>
          <w:rFonts w:ascii="Times New Roman" w:hAnsi="Times New Roman" w:cs="Times New Roman"/>
          <w:noProof/>
          <w:sz w:val="24"/>
          <w:lang w:val="en-GB"/>
        </w:rPr>
      </w:pPr>
      <w:r w:rsidRPr="00AA1AFD">
        <w:rPr>
          <w:rFonts w:ascii="Times New Roman" w:hAnsi="Times New Roman" w:cs="Times New Roman"/>
          <w:noProof/>
          <w:sz w:val="24"/>
          <w:lang w:val="en-GB"/>
        </w:rPr>
        <w:t>Th</w:t>
      </w:r>
      <w:r w:rsidR="001B317C">
        <w:rPr>
          <w:rFonts w:ascii="Times New Roman" w:hAnsi="Times New Roman" w:cs="Times New Roman"/>
          <w:noProof/>
          <w:sz w:val="24"/>
          <w:lang w:val="en-GB"/>
        </w:rPr>
        <w:t>e</w:t>
      </w:r>
      <w:r w:rsidRPr="00AA1AFD">
        <w:rPr>
          <w:rFonts w:ascii="Times New Roman" w:hAnsi="Times New Roman" w:cs="Times New Roman"/>
          <w:noProof/>
          <w:sz w:val="24"/>
          <w:lang w:val="en-GB"/>
        </w:rPr>
        <w:t xml:space="preserve"> </w:t>
      </w:r>
      <w:r w:rsidR="00080936" w:rsidRPr="00AA1AFD">
        <w:rPr>
          <w:rFonts w:ascii="Times New Roman" w:hAnsi="Times New Roman" w:cs="Times New Roman"/>
          <w:noProof/>
          <w:sz w:val="24"/>
          <w:lang w:val="en-GB"/>
        </w:rPr>
        <w:t>C</w:t>
      </w:r>
      <w:r w:rsidR="00341728" w:rsidRPr="00AA1AFD">
        <w:rPr>
          <w:rFonts w:ascii="Times New Roman" w:hAnsi="Times New Roman" w:cs="Times New Roman"/>
          <w:noProof/>
          <w:sz w:val="24"/>
          <w:lang w:val="en-GB"/>
        </w:rPr>
        <w:t>ommunication</w:t>
      </w:r>
      <w:r w:rsidR="00472FEA">
        <w:rPr>
          <w:rFonts w:ascii="Times New Roman" w:hAnsi="Times New Roman" w:cs="Times New Roman"/>
          <w:noProof/>
          <w:sz w:val="24"/>
          <w:lang w:val="en-GB"/>
        </w:rPr>
        <w:t xml:space="preserve"> </w:t>
      </w:r>
      <w:r w:rsidR="001E7C41" w:rsidRPr="00AA1AFD">
        <w:rPr>
          <w:rFonts w:ascii="Times New Roman" w:hAnsi="Times New Roman" w:cs="Times New Roman"/>
          <w:noProof/>
          <w:sz w:val="24"/>
          <w:lang w:val="en-GB"/>
        </w:rPr>
        <w:t>builds on</w:t>
      </w:r>
      <w:r w:rsidRPr="00AA1AFD">
        <w:rPr>
          <w:rFonts w:ascii="Times New Roman" w:hAnsi="Times New Roman" w:cs="Times New Roman"/>
          <w:noProof/>
          <w:sz w:val="24"/>
          <w:lang w:val="en-GB"/>
        </w:rPr>
        <w:t xml:space="preserve"> the</w:t>
      </w:r>
      <w:r w:rsidR="00E97059" w:rsidRPr="00AA1AFD">
        <w:rPr>
          <w:rFonts w:ascii="Times New Roman" w:hAnsi="Times New Roman" w:cs="Times New Roman"/>
          <w:noProof/>
          <w:sz w:val="24"/>
          <w:lang w:val="en-GB"/>
        </w:rPr>
        <w:t xml:space="preserve"> Smart and Sustainable Mobility Strategy and</w:t>
      </w:r>
      <w:r w:rsidR="001E7C41" w:rsidRPr="00AA1AFD">
        <w:rPr>
          <w:rFonts w:ascii="Times New Roman" w:hAnsi="Times New Roman" w:cs="Times New Roman"/>
          <w:noProof/>
          <w:sz w:val="24"/>
          <w:lang w:val="en-GB"/>
        </w:rPr>
        <w:t xml:space="preserve"> is closely linked with</w:t>
      </w:r>
      <w:r w:rsidR="00E97059" w:rsidRPr="00AA1AFD">
        <w:rPr>
          <w:rFonts w:ascii="Times New Roman" w:hAnsi="Times New Roman" w:cs="Times New Roman"/>
          <w:noProof/>
          <w:sz w:val="24"/>
          <w:lang w:val="en-GB"/>
        </w:rPr>
        <w:t xml:space="preserve"> the</w:t>
      </w:r>
      <w:r w:rsidRPr="00AA1AFD">
        <w:rPr>
          <w:rFonts w:ascii="Times New Roman" w:hAnsi="Times New Roman" w:cs="Times New Roman"/>
          <w:noProof/>
          <w:sz w:val="24"/>
          <w:lang w:val="en-GB"/>
        </w:rPr>
        <w:t xml:space="preserve"> </w:t>
      </w:r>
      <w:r w:rsidR="00346468">
        <w:rPr>
          <w:rFonts w:ascii="Times New Roman" w:hAnsi="Times New Roman" w:cs="Times New Roman"/>
          <w:noProof/>
          <w:sz w:val="24"/>
          <w:lang w:val="en-GB"/>
        </w:rPr>
        <w:t>Global Gateway Joint</w:t>
      </w:r>
      <w:r w:rsidRPr="00AA1AFD">
        <w:rPr>
          <w:rFonts w:ascii="Times New Roman" w:hAnsi="Times New Roman" w:cs="Times New Roman"/>
          <w:noProof/>
          <w:sz w:val="24"/>
          <w:lang w:val="en-GB"/>
        </w:rPr>
        <w:t xml:space="preserve"> Communication</w:t>
      </w:r>
      <w:r w:rsidR="00843990">
        <w:rPr>
          <w:rFonts w:ascii="Times New Roman" w:hAnsi="Times New Roman" w:cs="Times New Roman"/>
          <w:noProof/>
          <w:sz w:val="24"/>
          <w:lang w:val="en-GB"/>
        </w:rPr>
        <w:t>.</w:t>
      </w:r>
      <w:r w:rsidR="001D1372">
        <w:rPr>
          <w:rFonts w:ascii="Times New Roman" w:hAnsi="Times New Roman" w:cs="Times New Roman"/>
          <w:noProof/>
          <w:sz w:val="24"/>
          <w:lang w:val="en-GB"/>
        </w:rPr>
        <w:t xml:space="preserve"> </w:t>
      </w:r>
      <w:r w:rsidR="00080936" w:rsidRPr="00AA1AFD">
        <w:rPr>
          <w:rFonts w:ascii="Times New Roman" w:hAnsi="Times New Roman" w:cs="Times New Roman"/>
          <w:noProof/>
          <w:sz w:val="24"/>
          <w:lang w:val="en-GB"/>
        </w:rPr>
        <w:t xml:space="preserve"> </w:t>
      </w:r>
      <w:r w:rsidR="00843990">
        <w:rPr>
          <w:rFonts w:ascii="Times New Roman" w:hAnsi="Times New Roman" w:cs="Times New Roman"/>
          <w:noProof/>
          <w:sz w:val="24"/>
          <w:lang w:val="en-GB"/>
        </w:rPr>
        <w:t>It also</w:t>
      </w:r>
      <w:r w:rsidR="00080936" w:rsidRPr="00AA1AFD">
        <w:rPr>
          <w:rFonts w:ascii="Times New Roman" w:hAnsi="Times New Roman" w:cs="Times New Roman"/>
          <w:noProof/>
          <w:sz w:val="24"/>
          <w:lang w:val="en-GB"/>
        </w:rPr>
        <w:t xml:space="preserve"> </w:t>
      </w:r>
      <w:r w:rsidR="00843990">
        <w:rPr>
          <w:rFonts w:ascii="Times New Roman" w:hAnsi="Times New Roman" w:cs="Times New Roman"/>
          <w:noProof/>
          <w:sz w:val="24"/>
          <w:lang w:val="en-GB"/>
        </w:rPr>
        <w:t>contributes to</w:t>
      </w:r>
      <w:r w:rsidR="00080936" w:rsidRPr="00AA1AFD">
        <w:rPr>
          <w:rFonts w:ascii="Times New Roman" w:hAnsi="Times New Roman" w:cs="Times New Roman"/>
          <w:noProof/>
          <w:sz w:val="24"/>
          <w:lang w:val="en-GB"/>
        </w:rPr>
        <w:t xml:space="preserve"> the aim</w:t>
      </w:r>
      <w:r w:rsidR="00341728" w:rsidRPr="00AA1AFD">
        <w:rPr>
          <w:rFonts w:ascii="Times New Roman" w:hAnsi="Times New Roman" w:cs="Times New Roman"/>
          <w:noProof/>
          <w:sz w:val="24"/>
          <w:lang w:val="en-GB"/>
        </w:rPr>
        <w:t xml:space="preserve"> set out in the European Green Deal</w:t>
      </w:r>
      <w:r w:rsidR="00080936" w:rsidRPr="00AA1AFD">
        <w:rPr>
          <w:rFonts w:ascii="Times New Roman" w:hAnsi="Times New Roman" w:cs="Times New Roman"/>
          <w:noProof/>
          <w:sz w:val="24"/>
          <w:lang w:val="en-GB"/>
        </w:rPr>
        <w:t xml:space="preserve"> of developing a clean, sustainable and smart transport network</w:t>
      </w:r>
      <w:r w:rsidR="00184BB0" w:rsidRPr="00AA1AFD">
        <w:rPr>
          <w:rFonts w:ascii="Times New Roman" w:hAnsi="Times New Roman" w:cs="Times New Roman"/>
          <w:noProof/>
          <w:sz w:val="24"/>
          <w:lang w:val="en-GB"/>
        </w:rPr>
        <w:t xml:space="preserve"> that</w:t>
      </w:r>
      <w:r w:rsidR="00ED391F" w:rsidRPr="00AA1AFD">
        <w:rPr>
          <w:rFonts w:ascii="Times New Roman" w:hAnsi="Times New Roman" w:cs="Times New Roman"/>
          <w:noProof/>
          <w:sz w:val="24"/>
          <w:lang w:val="en-GB"/>
        </w:rPr>
        <w:t xml:space="preserve"> </w:t>
      </w:r>
      <w:r w:rsidR="00080936" w:rsidRPr="00AA1AFD">
        <w:rPr>
          <w:rFonts w:ascii="Times New Roman" w:hAnsi="Times New Roman" w:cs="Times New Roman"/>
          <w:noProof/>
          <w:sz w:val="24"/>
          <w:lang w:val="en-GB"/>
        </w:rPr>
        <w:t>p</w:t>
      </w:r>
      <w:r w:rsidR="00184BB0" w:rsidRPr="00AA1AFD">
        <w:rPr>
          <w:rFonts w:ascii="Times New Roman" w:hAnsi="Times New Roman" w:cs="Times New Roman"/>
          <w:noProof/>
          <w:sz w:val="24"/>
          <w:lang w:val="en-GB"/>
        </w:rPr>
        <w:t>laces</w:t>
      </w:r>
      <w:r w:rsidR="00ED391F" w:rsidRPr="00AA1AFD">
        <w:rPr>
          <w:rFonts w:ascii="Times New Roman" w:hAnsi="Times New Roman" w:cs="Times New Roman"/>
          <w:noProof/>
          <w:sz w:val="24"/>
          <w:lang w:val="en-GB"/>
        </w:rPr>
        <w:t xml:space="preserve"> the</w:t>
      </w:r>
      <w:r w:rsidR="00934921" w:rsidRPr="00AA1AFD">
        <w:rPr>
          <w:rFonts w:ascii="Times New Roman" w:hAnsi="Times New Roman" w:cs="Times New Roman"/>
          <w:noProof/>
          <w:sz w:val="24"/>
          <w:lang w:val="en-GB"/>
        </w:rPr>
        <w:t xml:space="preserve"> Union and </w:t>
      </w:r>
      <w:r w:rsidR="001621FC">
        <w:rPr>
          <w:rFonts w:ascii="Times New Roman" w:hAnsi="Times New Roman" w:cs="Times New Roman"/>
          <w:noProof/>
          <w:sz w:val="24"/>
          <w:lang w:val="en-GB"/>
        </w:rPr>
        <w:t>the</w:t>
      </w:r>
      <w:r w:rsidR="001F549E">
        <w:rPr>
          <w:rFonts w:ascii="Times New Roman" w:hAnsi="Times New Roman" w:cs="Times New Roman"/>
          <w:noProof/>
          <w:sz w:val="24"/>
          <w:lang w:val="en-GB"/>
        </w:rPr>
        <w:t xml:space="preserve"> </w:t>
      </w:r>
      <w:r w:rsidR="00934921" w:rsidRPr="00AA1AFD">
        <w:rPr>
          <w:rFonts w:ascii="Times New Roman" w:hAnsi="Times New Roman" w:cs="Times New Roman"/>
          <w:noProof/>
          <w:sz w:val="24"/>
          <w:lang w:val="en-GB"/>
        </w:rPr>
        <w:t>European Neighbourhood</w:t>
      </w:r>
      <w:r w:rsidR="00ED391F" w:rsidRPr="00AA1AFD">
        <w:rPr>
          <w:rFonts w:ascii="Times New Roman" w:hAnsi="Times New Roman" w:cs="Times New Roman"/>
          <w:noProof/>
          <w:sz w:val="24"/>
          <w:lang w:val="en-GB"/>
        </w:rPr>
        <w:t xml:space="preserve"> on a sustainable pat</w:t>
      </w:r>
      <w:r w:rsidR="00080936" w:rsidRPr="00AA1AFD">
        <w:rPr>
          <w:rFonts w:ascii="Times New Roman" w:hAnsi="Times New Roman" w:cs="Times New Roman"/>
          <w:noProof/>
          <w:sz w:val="24"/>
          <w:lang w:val="en-GB"/>
        </w:rPr>
        <w:t>h while achieving socio-economic recovery</w:t>
      </w:r>
      <w:r w:rsidR="00ED391F" w:rsidRPr="00AA1AFD">
        <w:rPr>
          <w:rFonts w:ascii="Times New Roman" w:hAnsi="Times New Roman" w:cs="Times New Roman"/>
          <w:noProof/>
          <w:sz w:val="24"/>
          <w:lang w:val="en-GB"/>
        </w:rPr>
        <w:t xml:space="preserve"> </w:t>
      </w:r>
      <w:r w:rsidR="00080936" w:rsidRPr="00AA1AFD">
        <w:rPr>
          <w:rFonts w:ascii="Times New Roman" w:hAnsi="Times New Roman" w:cs="Times New Roman"/>
          <w:noProof/>
          <w:sz w:val="24"/>
          <w:lang w:val="en-GB"/>
        </w:rPr>
        <w:t>from the</w:t>
      </w:r>
      <w:r w:rsidR="00ED391F" w:rsidRPr="00AA1AFD">
        <w:rPr>
          <w:rFonts w:ascii="Times New Roman" w:hAnsi="Times New Roman" w:cs="Times New Roman"/>
          <w:noProof/>
          <w:sz w:val="24"/>
          <w:lang w:val="en-GB"/>
        </w:rPr>
        <w:t xml:space="preserve"> COVID</w:t>
      </w:r>
      <w:r w:rsidR="00472FEA">
        <w:rPr>
          <w:rFonts w:ascii="Times New Roman" w:hAnsi="Times New Roman" w:cs="Times New Roman"/>
          <w:noProof/>
          <w:sz w:val="24"/>
          <w:lang w:val="en-GB"/>
        </w:rPr>
        <w:t>-</w:t>
      </w:r>
      <w:r w:rsidR="00ED391F" w:rsidRPr="00AA1AFD">
        <w:rPr>
          <w:rFonts w:ascii="Times New Roman" w:hAnsi="Times New Roman" w:cs="Times New Roman"/>
          <w:noProof/>
          <w:sz w:val="24"/>
          <w:lang w:val="en-GB"/>
        </w:rPr>
        <w:t>19</w:t>
      </w:r>
      <w:r w:rsidR="00080936" w:rsidRPr="00AA1AFD">
        <w:rPr>
          <w:rFonts w:ascii="Times New Roman" w:hAnsi="Times New Roman" w:cs="Times New Roman"/>
          <w:noProof/>
          <w:sz w:val="24"/>
          <w:lang w:val="en-GB"/>
        </w:rPr>
        <w:t xml:space="preserve"> crisis</w:t>
      </w:r>
      <w:r w:rsidR="00184BB0" w:rsidRPr="00AA1AFD">
        <w:rPr>
          <w:rFonts w:ascii="Times New Roman" w:hAnsi="Times New Roman" w:cs="Times New Roman"/>
          <w:noProof/>
          <w:sz w:val="24"/>
          <w:lang w:val="en-GB"/>
        </w:rPr>
        <w:t>.</w:t>
      </w:r>
      <w:r w:rsidR="00ED391F" w:rsidRPr="00AA1AFD">
        <w:rPr>
          <w:rFonts w:ascii="Times New Roman" w:hAnsi="Times New Roman" w:cs="Times New Roman"/>
          <w:noProof/>
          <w:sz w:val="24"/>
          <w:lang w:val="en-GB"/>
        </w:rPr>
        <w:t xml:space="preserve"> </w:t>
      </w:r>
      <w:r w:rsidR="00344256" w:rsidRPr="00AA1AFD">
        <w:rPr>
          <w:rFonts w:ascii="Times New Roman" w:hAnsi="Times New Roman" w:cs="Times New Roman"/>
          <w:noProof/>
          <w:sz w:val="24"/>
          <w:lang w:val="en-GB"/>
        </w:rPr>
        <w:t>Th</w:t>
      </w:r>
      <w:r w:rsidR="00472FEA">
        <w:rPr>
          <w:rFonts w:ascii="Times New Roman" w:hAnsi="Times New Roman" w:cs="Times New Roman"/>
          <w:noProof/>
          <w:sz w:val="24"/>
          <w:lang w:val="en-GB"/>
        </w:rPr>
        <w:t>is</w:t>
      </w:r>
      <w:r w:rsidR="00344256" w:rsidRPr="00AA1AFD">
        <w:rPr>
          <w:rFonts w:ascii="Times New Roman" w:hAnsi="Times New Roman" w:cs="Times New Roman"/>
          <w:noProof/>
          <w:sz w:val="24"/>
          <w:lang w:val="en-GB"/>
        </w:rPr>
        <w:t xml:space="preserve"> Communication</w:t>
      </w:r>
      <w:r w:rsidR="009F45D6" w:rsidRPr="00AA1AFD">
        <w:rPr>
          <w:rFonts w:ascii="Times New Roman" w:hAnsi="Times New Roman" w:cs="Times New Roman"/>
          <w:noProof/>
          <w:sz w:val="24"/>
          <w:lang w:val="en-GB"/>
        </w:rPr>
        <w:t xml:space="preserve"> is presented </w:t>
      </w:r>
      <w:r w:rsidR="000F03A5">
        <w:rPr>
          <w:rFonts w:ascii="Times New Roman" w:hAnsi="Times New Roman" w:cs="Times New Roman"/>
          <w:noProof/>
          <w:sz w:val="24"/>
          <w:lang w:val="en-GB"/>
        </w:rPr>
        <w:t xml:space="preserve">together </w:t>
      </w:r>
      <w:r w:rsidR="009F45D6" w:rsidRPr="00AA1AFD">
        <w:rPr>
          <w:rFonts w:ascii="Times New Roman" w:hAnsi="Times New Roman" w:cs="Times New Roman"/>
          <w:noProof/>
          <w:sz w:val="24"/>
          <w:lang w:val="en-GB"/>
        </w:rPr>
        <w:t>with</w:t>
      </w:r>
      <w:r w:rsidR="00416DBD" w:rsidRPr="00AA1AFD">
        <w:rPr>
          <w:rFonts w:ascii="Times New Roman" w:hAnsi="Times New Roman" w:cs="Times New Roman"/>
          <w:noProof/>
          <w:sz w:val="24"/>
          <w:lang w:val="en-GB"/>
        </w:rPr>
        <w:t xml:space="preserve"> the Commission proposal for a revised TEN-T Regulation. The </w:t>
      </w:r>
      <w:r w:rsidR="001D1372">
        <w:rPr>
          <w:rFonts w:ascii="Times New Roman" w:hAnsi="Times New Roman" w:cs="Times New Roman"/>
          <w:noProof/>
          <w:sz w:val="24"/>
          <w:lang w:val="en-GB"/>
        </w:rPr>
        <w:t>Commission proposal</w:t>
      </w:r>
      <w:r w:rsidR="00416DBD" w:rsidRPr="00AA1AFD">
        <w:rPr>
          <w:rFonts w:ascii="Times New Roman" w:hAnsi="Times New Roman" w:cs="Times New Roman"/>
          <w:noProof/>
          <w:sz w:val="24"/>
          <w:lang w:val="en-GB"/>
        </w:rPr>
        <w:t xml:space="preserve"> includes </w:t>
      </w:r>
      <w:r w:rsidR="002E1DBD" w:rsidRPr="00AA1AFD">
        <w:rPr>
          <w:rFonts w:ascii="Times New Roman" w:hAnsi="Times New Roman" w:cs="Times New Roman"/>
          <w:noProof/>
          <w:sz w:val="24"/>
          <w:lang w:val="en-GB"/>
        </w:rPr>
        <w:t xml:space="preserve">a slightly amended </w:t>
      </w:r>
      <w:r w:rsidR="00344256" w:rsidRPr="00AA1AFD">
        <w:rPr>
          <w:rFonts w:ascii="Times New Roman" w:hAnsi="Times New Roman" w:cs="Times New Roman"/>
          <w:noProof/>
          <w:sz w:val="24"/>
          <w:lang w:val="en-GB"/>
        </w:rPr>
        <w:t xml:space="preserve">legal framework </w:t>
      </w:r>
      <w:r w:rsidR="00416DBD" w:rsidRPr="00AA1AFD">
        <w:rPr>
          <w:rFonts w:ascii="Times New Roman" w:hAnsi="Times New Roman" w:cs="Times New Roman"/>
          <w:noProof/>
          <w:sz w:val="24"/>
          <w:lang w:val="en-GB"/>
        </w:rPr>
        <w:t>for</w:t>
      </w:r>
      <w:r w:rsidR="00344256" w:rsidRPr="00AA1AFD">
        <w:rPr>
          <w:rFonts w:ascii="Times New Roman" w:hAnsi="Times New Roman" w:cs="Times New Roman"/>
          <w:noProof/>
          <w:sz w:val="24"/>
          <w:lang w:val="en-GB"/>
        </w:rPr>
        <w:t xml:space="preserve"> cooperation with third countries</w:t>
      </w:r>
      <w:r w:rsidR="00A36821">
        <w:rPr>
          <w:rFonts w:ascii="Times New Roman" w:hAnsi="Times New Roman" w:cs="Times New Roman"/>
          <w:noProof/>
          <w:sz w:val="24"/>
          <w:lang w:val="en-GB"/>
        </w:rPr>
        <w:t>.</w:t>
      </w:r>
      <w:r w:rsidR="0020561A">
        <w:rPr>
          <w:rFonts w:ascii="Times New Roman" w:hAnsi="Times New Roman" w:cs="Times New Roman"/>
          <w:noProof/>
          <w:sz w:val="24"/>
          <w:lang w:val="en-GB"/>
        </w:rPr>
        <w:t xml:space="preserve"> It </w:t>
      </w:r>
      <w:r w:rsidR="00984409">
        <w:rPr>
          <w:rFonts w:ascii="Times New Roman" w:hAnsi="Times New Roman" w:cs="Times New Roman"/>
          <w:noProof/>
          <w:sz w:val="24"/>
          <w:lang w:val="en-GB"/>
        </w:rPr>
        <w:t>removes the provisions</w:t>
      </w:r>
      <w:r w:rsidR="00AC267C">
        <w:rPr>
          <w:rFonts w:ascii="Times New Roman" w:hAnsi="Times New Roman" w:cs="Times New Roman"/>
          <w:noProof/>
          <w:sz w:val="24"/>
          <w:lang w:val="en-GB"/>
        </w:rPr>
        <w:t xml:space="preserve"> on the</w:t>
      </w:r>
      <w:r w:rsidR="0044442C">
        <w:rPr>
          <w:rFonts w:ascii="Times New Roman" w:hAnsi="Times New Roman" w:cs="Times New Roman"/>
          <w:noProof/>
          <w:sz w:val="24"/>
          <w:lang w:val="en-GB"/>
        </w:rPr>
        <w:t xml:space="preserve"> financing </w:t>
      </w:r>
      <w:r w:rsidR="009B41EA">
        <w:rPr>
          <w:rFonts w:ascii="Times New Roman" w:hAnsi="Times New Roman" w:cs="Times New Roman"/>
          <w:noProof/>
          <w:sz w:val="24"/>
          <w:lang w:val="en-GB"/>
        </w:rPr>
        <w:t>of projects</w:t>
      </w:r>
      <w:r w:rsidR="0044442C">
        <w:rPr>
          <w:rFonts w:ascii="Times New Roman" w:hAnsi="Times New Roman" w:cs="Times New Roman"/>
          <w:noProof/>
          <w:sz w:val="24"/>
          <w:lang w:val="en-GB"/>
        </w:rPr>
        <w:t xml:space="preserve"> from Article 8</w:t>
      </w:r>
      <w:r w:rsidR="00984409">
        <w:rPr>
          <w:rFonts w:ascii="Times New Roman" w:hAnsi="Times New Roman" w:cs="Times New Roman"/>
          <w:noProof/>
          <w:sz w:val="24"/>
          <w:lang w:val="en-GB"/>
        </w:rPr>
        <w:t xml:space="preserve"> of the </w:t>
      </w:r>
      <w:r w:rsidR="00984409" w:rsidRPr="00AA1AFD">
        <w:rPr>
          <w:rFonts w:ascii="Times New Roman" w:hAnsi="Times New Roman" w:cs="Times New Roman"/>
          <w:noProof/>
          <w:sz w:val="24"/>
          <w:lang w:val="en-GB"/>
        </w:rPr>
        <w:t>TEN-T Regulation</w:t>
      </w:r>
      <w:r w:rsidR="00AC267C">
        <w:rPr>
          <w:rFonts w:ascii="Times New Roman" w:hAnsi="Times New Roman" w:cs="Times New Roman"/>
          <w:noProof/>
          <w:sz w:val="24"/>
          <w:lang w:val="en-GB"/>
        </w:rPr>
        <w:t xml:space="preserve"> to avoid</w:t>
      </w:r>
      <w:r w:rsidR="0044442C">
        <w:rPr>
          <w:rFonts w:ascii="Times New Roman" w:hAnsi="Times New Roman" w:cs="Times New Roman"/>
          <w:noProof/>
          <w:sz w:val="24"/>
          <w:lang w:val="en-GB"/>
        </w:rPr>
        <w:t xml:space="preserve"> duplicat</w:t>
      </w:r>
      <w:r w:rsidR="00AC267C">
        <w:rPr>
          <w:rFonts w:ascii="Times New Roman" w:hAnsi="Times New Roman" w:cs="Times New Roman"/>
          <w:noProof/>
          <w:sz w:val="24"/>
          <w:lang w:val="en-GB"/>
        </w:rPr>
        <w:t>ing</w:t>
      </w:r>
      <w:r w:rsidR="0044442C">
        <w:rPr>
          <w:rFonts w:ascii="Times New Roman" w:hAnsi="Times New Roman" w:cs="Times New Roman"/>
          <w:noProof/>
          <w:sz w:val="24"/>
          <w:lang w:val="en-GB"/>
        </w:rPr>
        <w:t xml:space="preserve"> </w:t>
      </w:r>
      <w:r w:rsidR="008C0BFD">
        <w:rPr>
          <w:rFonts w:ascii="Times New Roman" w:hAnsi="Times New Roman" w:cs="Times New Roman"/>
          <w:noProof/>
          <w:sz w:val="24"/>
          <w:lang w:val="en-GB"/>
        </w:rPr>
        <w:t>the</w:t>
      </w:r>
      <w:r w:rsidR="0044442C">
        <w:rPr>
          <w:rFonts w:ascii="Times New Roman" w:hAnsi="Times New Roman" w:cs="Times New Roman"/>
          <w:noProof/>
          <w:sz w:val="24"/>
          <w:lang w:val="en-GB"/>
        </w:rPr>
        <w:t xml:space="preserve"> legislation on </w:t>
      </w:r>
      <w:r w:rsidR="00984409">
        <w:rPr>
          <w:rFonts w:ascii="Times New Roman" w:hAnsi="Times New Roman" w:cs="Times New Roman"/>
          <w:noProof/>
          <w:sz w:val="24"/>
          <w:lang w:val="en-GB"/>
        </w:rPr>
        <w:t>Union</w:t>
      </w:r>
      <w:r w:rsidR="0044442C">
        <w:rPr>
          <w:rFonts w:ascii="Times New Roman" w:hAnsi="Times New Roman" w:cs="Times New Roman"/>
          <w:noProof/>
          <w:sz w:val="24"/>
          <w:lang w:val="en-GB"/>
        </w:rPr>
        <w:t xml:space="preserve"> financial support. </w:t>
      </w:r>
      <w:r w:rsidR="00A36821">
        <w:rPr>
          <w:rFonts w:ascii="Times New Roman" w:hAnsi="Times New Roman" w:cs="Times New Roman"/>
          <w:noProof/>
          <w:sz w:val="24"/>
          <w:lang w:val="en-GB"/>
        </w:rPr>
        <w:t>It introduces</w:t>
      </w:r>
      <w:r w:rsidR="005571CA" w:rsidRPr="00AA1AFD">
        <w:rPr>
          <w:rFonts w:ascii="Times New Roman" w:hAnsi="Times New Roman" w:cs="Times New Roman"/>
          <w:noProof/>
          <w:sz w:val="24"/>
          <w:lang w:val="en-GB"/>
        </w:rPr>
        <w:t xml:space="preserve"> new provisions that</w:t>
      </w:r>
      <w:r w:rsidR="002A7FDE" w:rsidRPr="00AA1AFD">
        <w:rPr>
          <w:rFonts w:ascii="Times New Roman" w:hAnsi="Times New Roman" w:cs="Times New Roman"/>
          <w:noProof/>
          <w:sz w:val="24"/>
          <w:lang w:val="en-GB"/>
        </w:rPr>
        <w:t xml:space="preserve"> strengthen </w:t>
      </w:r>
      <w:r w:rsidR="00B0529F" w:rsidRPr="00AA1AFD">
        <w:rPr>
          <w:rFonts w:ascii="Times New Roman" w:hAnsi="Times New Roman" w:cs="Times New Roman"/>
          <w:noProof/>
          <w:sz w:val="24"/>
          <w:lang w:val="en-GB"/>
        </w:rPr>
        <w:t>the</w:t>
      </w:r>
      <w:r w:rsidR="001B698E" w:rsidRPr="00AA1AFD">
        <w:rPr>
          <w:rFonts w:ascii="Times New Roman" w:hAnsi="Times New Roman" w:cs="Times New Roman"/>
          <w:noProof/>
          <w:sz w:val="24"/>
          <w:lang w:val="en-GB"/>
        </w:rPr>
        <w:t xml:space="preserve"> two</w:t>
      </w:r>
      <w:r w:rsidR="00B0529F" w:rsidRPr="00AA1AFD">
        <w:rPr>
          <w:rFonts w:ascii="Times New Roman" w:hAnsi="Times New Roman" w:cs="Times New Roman"/>
          <w:noProof/>
          <w:sz w:val="24"/>
          <w:lang w:val="en-GB"/>
        </w:rPr>
        <w:t xml:space="preserve"> Commission coordinating instruments</w:t>
      </w:r>
      <w:r w:rsidR="005571CA" w:rsidRPr="00AA1AFD">
        <w:rPr>
          <w:rFonts w:ascii="Times New Roman" w:hAnsi="Times New Roman" w:cs="Times New Roman"/>
          <w:noProof/>
          <w:sz w:val="24"/>
          <w:lang w:val="en-GB"/>
        </w:rPr>
        <w:t>;</w:t>
      </w:r>
      <w:r w:rsidR="00B0529F" w:rsidRPr="00AA1AFD">
        <w:rPr>
          <w:rFonts w:ascii="Times New Roman" w:hAnsi="Times New Roman" w:cs="Times New Roman"/>
          <w:noProof/>
          <w:sz w:val="24"/>
          <w:lang w:val="en-GB"/>
        </w:rPr>
        <w:t xml:space="preserve"> the core network corridors and the European Coordinators.</w:t>
      </w:r>
      <w:r w:rsidR="0039456E" w:rsidRPr="00AA1AFD">
        <w:rPr>
          <w:rFonts w:ascii="Times New Roman" w:hAnsi="Times New Roman" w:cs="Times New Roman"/>
          <w:noProof/>
          <w:sz w:val="24"/>
          <w:lang w:val="en-GB"/>
        </w:rPr>
        <w:t xml:space="preserve"> </w:t>
      </w:r>
      <w:r w:rsidR="00984409">
        <w:rPr>
          <w:rFonts w:ascii="Times New Roman" w:hAnsi="Times New Roman" w:cs="Times New Roman"/>
          <w:noProof/>
          <w:sz w:val="24"/>
          <w:lang w:val="en-GB"/>
        </w:rPr>
        <w:t>In the Commission proposal</w:t>
      </w:r>
      <w:r w:rsidR="005571CA" w:rsidRPr="00AA1AFD">
        <w:rPr>
          <w:rFonts w:ascii="Times New Roman" w:hAnsi="Times New Roman" w:cs="Times New Roman"/>
          <w:noProof/>
          <w:sz w:val="24"/>
          <w:lang w:val="en-GB"/>
        </w:rPr>
        <w:t>,</w:t>
      </w:r>
      <w:r w:rsidR="00B0529F" w:rsidRPr="00AA1AFD">
        <w:rPr>
          <w:rFonts w:ascii="Times New Roman" w:hAnsi="Times New Roman" w:cs="Times New Roman"/>
          <w:noProof/>
          <w:sz w:val="24"/>
          <w:lang w:val="en-GB"/>
        </w:rPr>
        <w:t xml:space="preserve"> </w:t>
      </w:r>
      <w:r w:rsidR="009F45D6" w:rsidRPr="00AA1AFD">
        <w:rPr>
          <w:rFonts w:ascii="Times New Roman" w:hAnsi="Times New Roman" w:cs="Times New Roman"/>
          <w:noProof/>
          <w:sz w:val="24"/>
          <w:lang w:val="en-GB"/>
        </w:rPr>
        <w:t>a core network corridor</w:t>
      </w:r>
      <w:r w:rsidR="005571CA" w:rsidRPr="00AA1AFD">
        <w:rPr>
          <w:rFonts w:ascii="Times New Roman" w:hAnsi="Times New Roman" w:cs="Times New Roman"/>
          <w:noProof/>
          <w:sz w:val="24"/>
          <w:lang w:val="en-GB"/>
        </w:rPr>
        <w:t xml:space="preserve"> is</w:t>
      </w:r>
      <w:r w:rsidR="00E97059" w:rsidRPr="00AA1AFD">
        <w:rPr>
          <w:rFonts w:ascii="Times New Roman" w:hAnsi="Times New Roman" w:cs="Times New Roman"/>
          <w:noProof/>
          <w:sz w:val="24"/>
          <w:lang w:val="en-GB"/>
        </w:rPr>
        <w:t xml:space="preserve"> foreseen to be</w:t>
      </w:r>
      <w:r w:rsidR="005571CA" w:rsidRPr="00AA1AFD">
        <w:rPr>
          <w:rFonts w:ascii="Times New Roman" w:hAnsi="Times New Roman" w:cs="Times New Roman"/>
          <w:noProof/>
          <w:sz w:val="24"/>
          <w:lang w:val="en-GB"/>
        </w:rPr>
        <w:t xml:space="preserve"> extended</w:t>
      </w:r>
      <w:r w:rsidR="009F45D6" w:rsidRPr="00AA1AFD">
        <w:rPr>
          <w:rFonts w:ascii="Times New Roman" w:hAnsi="Times New Roman" w:cs="Times New Roman"/>
          <w:noProof/>
          <w:sz w:val="24"/>
          <w:lang w:val="en-GB"/>
        </w:rPr>
        <w:t xml:space="preserve"> to the</w:t>
      </w:r>
      <w:r w:rsidR="00B0529F" w:rsidRPr="00AA1AFD">
        <w:rPr>
          <w:rFonts w:ascii="Times New Roman" w:hAnsi="Times New Roman" w:cs="Times New Roman"/>
          <w:noProof/>
          <w:sz w:val="24"/>
          <w:lang w:val="en-GB"/>
        </w:rPr>
        <w:t xml:space="preserve"> Western Balkans</w:t>
      </w:r>
      <w:r w:rsidR="003B1AC9">
        <w:rPr>
          <w:rFonts w:ascii="Times New Roman" w:hAnsi="Times New Roman" w:cs="Times New Roman"/>
          <w:noProof/>
          <w:sz w:val="24"/>
          <w:lang w:val="en-GB"/>
        </w:rPr>
        <w:t xml:space="preserve">. </w:t>
      </w:r>
    </w:p>
    <w:p w:rsidR="00A32774" w:rsidRPr="00AA1AFD" w:rsidRDefault="00A01EF6" w:rsidP="00F52339">
      <w:pPr>
        <w:spacing w:after="120"/>
        <w:jc w:val="both"/>
        <w:rPr>
          <w:rFonts w:ascii="Times New Roman" w:hAnsi="Times New Roman" w:cs="Times New Roman"/>
          <w:b/>
          <w:noProof/>
          <w:sz w:val="24"/>
          <w:lang w:val="en-GB"/>
        </w:rPr>
      </w:pPr>
      <w:r w:rsidRPr="00AA1AFD">
        <w:rPr>
          <w:rFonts w:ascii="Times New Roman" w:hAnsi="Times New Roman" w:cs="Times New Roman"/>
          <w:b/>
          <w:noProof/>
          <w:sz w:val="24"/>
          <w:u w:val="single"/>
          <w:lang w:val="en-GB"/>
        </w:rPr>
        <w:t>II. G</w:t>
      </w:r>
      <w:r w:rsidR="00A32774" w:rsidRPr="00AA1AFD">
        <w:rPr>
          <w:rFonts w:ascii="Times New Roman" w:hAnsi="Times New Roman" w:cs="Times New Roman"/>
          <w:b/>
          <w:noProof/>
          <w:sz w:val="24"/>
          <w:u w:val="single"/>
          <w:lang w:val="en-GB"/>
        </w:rPr>
        <w:t>eneral ob</w:t>
      </w:r>
      <w:r w:rsidR="00C55712" w:rsidRPr="00AA1AFD">
        <w:rPr>
          <w:rFonts w:ascii="Times New Roman" w:hAnsi="Times New Roman" w:cs="Times New Roman"/>
          <w:b/>
          <w:noProof/>
          <w:sz w:val="24"/>
          <w:u w:val="single"/>
          <w:lang w:val="en-GB"/>
        </w:rPr>
        <w:t>jectives of the TEN-T policy on neighbouring</w:t>
      </w:r>
      <w:r w:rsidR="00A32774" w:rsidRPr="00AA1AFD">
        <w:rPr>
          <w:rFonts w:ascii="Times New Roman" w:hAnsi="Times New Roman" w:cs="Times New Roman"/>
          <w:b/>
          <w:noProof/>
          <w:sz w:val="24"/>
          <w:u w:val="single"/>
          <w:lang w:val="en-GB"/>
        </w:rPr>
        <w:t xml:space="preserve"> countries </w:t>
      </w:r>
    </w:p>
    <w:p w:rsidR="00154A4B" w:rsidRPr="00AA1AFD" w:rsidRDefault="00154A4B" w:rsidP="00154A4B">
      <w:pPr>
        <w:pStyle w:val="wordcount"/>
        <w:spacing w:after="60"/>
        <w:jc w:val="both"/>
        <w:rPr>
          <w:rFonts w:eastAsiaTheme="minorHAnsi" w:cs="Times New Roman"/>
          <w:noProof/>
          <w:color w:val="auto"/>
          <w:szCs w:val="22"/>
          <w:lang w:val="en-GB" w:eastAsia="en-US"/>
        </w:rPr>
      </w:pPr>
      <w:r w:rsidRPr="00AA1AFD">
        <w:rPr>
          <w:rFonts w:eastAsiaTheme="minorHAnsi" w:cs="Times New Roman"/>
          <w:noProof/>
          <w:color w:val="auto"/>
          <w:szCs w:val="22"/>
          <w:lang w:val="en-GB" w:eastAsia="en-US"/>
        </w:rPr>
        <w:t>The extension of the TEN-T policy beyond Union borders articulate</w:t>
      </w:r>
      <w:r w:rsidR="000F03A5">
        <w:rPr>
          <w:rFonts w:eastAsiaTheme="minorHAnsi" w:cs="Times New Roman"/>
          <w:noProof/>
          <w:color w:val="auto"/>
          <w:szCs w:val="22"/>
          <w:lang w:val="en-GB" w:eastAsia="en-US"/>
        </w:rPr>
        <w:t>s</w:t>
      </w:r>
      <w:r w:rsidRPr="00AA1AFD">
        <w:rPr>
          <w:rFonts w:eastAsiaTheme="minorHAnsi" w:cs="Times New Roman"/>
          <w:noProof/>
          <w:color w:val="auto"/>
          <w:szCs w:val="22"/>
          <w:lang w:val="en-GB" w:eastAsia="en-US"/>
        </w:rPr>
        <w:t xml:space="preserve"> two overarching objectives: (i)</w:t>
      </w:r>
      <w:r w:rsidR="00C403EF" w:rsidRPr="00AA1AFD">
        <w:rPr>
          <w:rFonts w:eastAsiaTheme="minorHAnsi" w:cs="Times New Roman"/>
          <w:noProof/>
          <w:color w:val="auto"/>
          <w:szCs w:val="22"/>
          <w:lang w:val="en-GB" w:eastAsia="en-US"/>
        </w:rPr>
        <w:t xml:space="preserve"> </w:t>
      </w:r>
      <w:r w:rsidR="00D261A6">
        <w:rPr>
          <w:rFonts w:eastAsiaTheme="minorHAnsi" w:cs="Times New Roman"/>
          <w:noProof/>
          <w:color w:val="auto"/>
          <w:szCs w:val="22"/>
          <w:lang w:val="en-GB" w:eastAsia="en-US"/>
        </w:rPr>
        <w:t>t</w:t>
      </w:r>
      <w:r w:rsidR="00D261A6" w:rsidRPr="00AA1AFD">
        <w:rPr>
          <w:rFonts w:eastAsiaTheme="minorHAnsi" w:cs="Times New Roman"/>
          <w:noProof/>
          <w:color w:val="auto"/>
          <w:szCs w:val="22"/>
          <w:lang w:val="en-GB" w:eastAsia="en-US"/>
        </w:rPr>
        <w:t xml:space="preserve">o </w:t>
      </w:r>
      <w:r w:rsidR="00C403EF" w:rsidRPr="00AA1AFD">
        <w:rPr>
          <w:rFonts w:eastAsiaTheme="minorHAnsi" w:cs="Times New Roman"/>
          <w:noProof/>
          <w:color w:val="auto"/>
          <w:szCs w:val="22"/>
          <w:lang w:val="en-GB" w:eastAsia="en-US"/>
        </w:rPr>
        <w:t>e</w:t>
      </w:r>
      <w:r w:rsidRPr="00AA1AFD">
        <w:rPr>
          <w:rFonts w:eastAsiaTheme="minorHAnsi" w:cs="Times New Roman"/>
          <w:noProof/>
          <w:color w:val="auto"/>
          <w:szCs w:val="22"/>
          <w:lang w:val="en-GB" w:eastAsia="en-US"/>
        </w:rPr>
        <w:t>nsur</w:t>
      </w:r>
      <w:r w:rsidR="00C403EF" w:rsidRPr="00AA1AFD">
        <w:rPr>
          <w:rFonts w:eastAsiaTheme="minorHAnsi" w:cs="Times New Roman"/>
          <w:noProof/>
          <w:color w:val="auto"/>
          <w:szCs w:val="22"/>
          <w:lang w:val="en-GB" w:eastAsia="en-US"/>
        </w:rPr>
        <w:t>e</w:t>
      </w:r>
      <w:r w:rsidR="003241AA" w:rsidRPr="00AA1AFD">
        <w:rPr>
          <w:rFonts w:eastAsiaTheme="minorHAnsi" w:cs="Times New Roman"/>
          <w:noProof/>
          <w:color w:val="auto"/>
          <w:szCs w:val="22"/>
          <w:lang w:val="en-GB" w:eastAsia="en-US"/>
        </w:rPr>
        <w:t xml:space="preserve"> the</w:t>
      </w:r>
      <w:r w:rsidRPr="00AA1AFD">
        <w:rPr>
          <w:rFonts w:eastAsiaTheme="minorHAnsi" w:cs="Times New Roman"/>
          <w:noProof/>
          <w:color w:val="auto"/>
          <w:szCs w:val="22"/>
          <w:lang w:val="en-GB" w:eastAsia="en-US"/>
        </w:rPr>
        <w:t xml:space="preserve"> consistency an</w:t>
      </w:r>
      <w:r w:rsidR="003241AA" w:rsidRPr="00AA1AFD">
        <w:rPr>
          <w:rFonts w:eastAsiaTheme="minorHAnsi" w:cs="Times New Roman"/>
          <w:noProof/>
          <w:color w:val="auto"/>
          <w:szCs w:val="22"/>
          <w:lang w:val="en-GB" w:eastAsia="en-US"/>
        </w:rPr>
        <w:t>d effectiveness of an interoperable and</w:t>
      </w:r>
      <w:r w:rsidRPr="00AA1AFD">
        <w:rPr>
          <w:rFonts w:eastAsiaTheme="minorHAnsi" w:cs="Times New Roman"/>
          <w:noProof/>
          <w:color w:val="auto"/>
          <w:szCs w:val="22"/>
          <w:lang w:val="en-GB" w:eastAsia="en-US"/>
        </w:rPr>
        <w:t xml:space="preserve"> multimodal </w:t>
      </w:r>
      <w:r w:rsidR="003241AA" w:rsidRPr="00AA1AFD">
        <w:rPr>
          <w:rFonts w:eastAsiaTheme="minorHAnsi" w:cs="Times New Roman"/>
          <w:noProof/>
          <w:color w:val="auto"/>
          <w:szCs w:val="22"/>
          <w:lang w:val="en-GB" w:eastAsia="en-US"/>
        </w:rPr>
        <w:t>network</w:t>
      </w:r>
      <w:r w:rsidRPr="00AA1AFD">
        <w:rPr>
          <w:rFonts w:eastAsiaTheme="minorHAnsi" w:cs="Times New Roman"/>
          <w:noProof/>
          <w:color w:val="auto"/>
          <w:szCs w:val="22"/>
          <w:lang w:val="en-GB" w:eastAsia="en-US"/>
        </w:rPr>
        <w:t xml:space="preserve"> </w:t>
      </w:r>
      <w:r w:rsidR="003241AA" w:rsidRPr="00AA1AFD">
        <w:rPr>
          <w:rFonts w:eastAsiaTheme="minorHAnsi" w:cs="Times New Roman"/>
          <w:noProof/>
          <w:color w:val="auto"/>
          <w:szCs w:val="22"/>
          <w:lang w:val="en-GB" w:eastAsia="en-US"/>
        </w:rPr>
        <w:t xml:space="preserve">between the Member States and </w:t>
      </w:r>
      <w:r w:rsidR="00C403EF" w:rsidRPr="00AA1AFD">
        <w:rPr>
          <w:rFonts w:eastAsiaTheme="minorHAnsi" w:cs="Times New Roman"/>
          <w:noProof/>
          <w:color w:val="auto"/>
          <w:szCs w:val="22"/>
          <w:lang w:val="en-GB" w:eastAsia="en-US"/>
        </w:rPr>
        <w:t>their</w:t>
      </w:r>
      <w:r w:rsidRPr="00AA1AFD">
        <w:rPr>
          <w:rFonts w:eastAsiaTheme="minorHAnsi" w:cs="Times New Roman"/>
          <w:noProof/>
          <w:color w:val="auto"/>
          <w:szCs w:val="22"/>
          <w:lang w:val="en-GB" w:eastAsia="en-US"/>
        </w:rPr>
        <w:t xml:space="preserve"> immediate neighbours and partner countries</w:t>
      </w:r>
      <w:r w:rsidR="00592F40">
        <w:rPr>
          <w:rFonts w:eastAsiaTheme="minorHAnsi" w:cs="Times New Roman"/>
          <w:noProof/>
          <w:color w:val="auto"/>
          <w:szCs w:val="22"/>
          <w:lang w:val="en-GB" w:eastAsia="en-US"/>
        </w:rPr>
        <w:t>;</w:t>
      </w:r>
      <w:r w:rsidRPr="00AA1AFD">
        <w:rPr>
          <w:rFonts w:eastAsiaTheme="minorHAnsi" w:cs="Times New Roman"/>
          <w:noProof/>
          <w:color w:val="auto"/>
          <w:szCs w:val="22"/>
          <w:lang w:val="en-GB" w:eastAsia="en-US"/>
        </w:rPr>
        <w:t xml:space="preserve"> (ii)</w:t>
      </w:r>
      <w:r w:rsidR="00614F11" w:rsidRPr="00AA1AFD">
        <w:rPr>
          <w:rFonts w:eastAsiaTheme="minorHAnsi" w:cs="Times New Roman"/>
          <w:noProof/>
          <w:color w:val="auto"/>
          <w:szCs w:val="22"/>
          <w:lang w:val="en-GB" w:eastAsia="en-US"/>
        </w:rPr>
        <w:t xml:space="preserve"> </w:t>
      </w:r>
      <w:r w:rsidR="00D261A6">
        <w:rPr>
          <w:rFonts w:eastAsiaTheme="minorHAnsi" w:cs="Times New Roman"/>
          <w:noProof/>
          <w:color w:val="auto"/>
          <w:szCs w:val="22"/>
          <w:lang w:val="en-GB" w:eastAsia="en-US"/>
        </w:rPr>
        <w:t>t</w:t>
      </w:r>
      <w:r w:rsidR="00D261A6" w:rsidRPr="00AA1AFD">
        <w:rPr>
          <w:rFonts w:eastAsiaTheme="minorHAnsi" w:cs="Times New Roman"/>
          <w:noProof/>
          <w:color w:val="auto"/>
          <w:szCs w:val="22"/>
          <w:lang w:val="en-GB" w:eastAsia="en-US"/>
        </w:rPr>
        <w:t xml:space="preserve">o </w:t>
      </w:r>
      <w:r w:rsidR="00334D1F">
        <w:rPr>
          <w:rFonts w:eastAsiaTheme="minorHAnsi" w:cs="Times New Roman"/>
          <w:noProof/>
          <w:color w:val="auto"/>
          <w:szCs w:val="22"/>
          <w:lang w:val="en-GB" w:eastAsia="en-US"/>
        </w:rPr>
        <w:t>focus</w:t>
      </w:r>
      <w:r w:rsidR="00334D1F" w:rsidRPr="00AA1AFD">
        <w:rPr>
          <w:rFonts w:eastAsiaTheme="minorHAnsi" w:cs="Times New Roman"/>
          <w:noProof/>
          <w:color w:val="auto"/>
          <w:szCs w:val="22"/>
          <w:lang w:val="en-GB" w:eastAsia="en-US"/>
        </w:rPr>
        <w:t xml:space="preserve"> </w:t>
      </w:r>
      <w:r w:rsidR="001D1372">
        <w:rPr>
          <w:rFonts w:eastAsiaTheme="minorHAnsi" w:cs="Times New Roman"/>
          <w:noProof/>
          <w:color w:val="auto"/>
          <w:szCs w:val="22"/>
          <w:lang w:val="en-GB" w:eastAsia="en-US"/>
        </w:rPr>
        <w:t>the Union</w:t>
      </w:r>
      <w:r w:rsidRPr="00AA1AFD">
        <w:rPr>
          <w:rFonts w:eastAsiaTheme="minorHAnsi" w:cs="Times New Roman"/>
          <w:noProof/>
          <w:color w:val="auto"/>
          <w:szCs w:val="22"/>
          <w:lang w:val="en-GB" w:eastAsia="en-US"/>
        </w:rPr>
        <w:t xml:space="preserve"> </w:t>
      </w:r>
      <w:r w:rsidR="003241AA" w:rsidRPr="00AA1AFD">
        <w:rPr>
          <w:rFonts w:eastAsiaTheme="minorHAnsi" w:cs="Times New Roman"/>
          <w:noProof/>
          <w:color w:val="auto"/>
          <w:szCs w:val="22"/>
          <w:lang w:val="en-GB" w:eastAsia="en-US"/>
        </w:rPr>
        <w:t>engagement</w:t>
      </w:r>
      <w:r w:rsidRPr="00AA1AFD">
        <w:rPr>
          <w:rFonts w:eastAsiaTheme="minorHAnsi" w:cs="Times New Roman"/>
          <w:noProof/>
          <w:color w:val="auto"/>
          <w:szCs w:val="22"/>
          <w:lang w:val="en-GB" w:eastAsia="en-US"/>
        </w:rPr>
        <w:t xml:space="preserve"> (including financial support) in these regions</w:t>
      </w:r>
      <w:r w:rsidR="00C91653" w:rsidRPr="00C91653">
        <w:rPr>
          <w:rFonts w:eastAsiaTheme="minorHAnsi" w:cs="Times New Roman"/>
          <w:noProof/>
          <w:color w:val="auto"/>
          <w:szCs w:val="22"/>
          <w:lang w:val="en-GB" w:eastAsia="en-US"/>
        </w:rPr>
        <w:t xml:space="preserve"> </w:t>
      </w:r>
      <w:r w:rsidR="00C91653" w:rsidRPr="00AA1AFD">
        <w:rPr>
          <w:rFonts w:eastAsiaTheme="minorHAnsi" w:cs="Times New Roman"/>
          <w:noProof/>
          <w:color w:val="auto"/>
          <w:szCs w:val="22"/>
          <w:lang w:val="en-GB" w:eastAsia="en-US"/>
        </w:rPr>
        <w:t>Moreover, in the broader perspective of the</w:t>
      </w:r>
      <w:r w:rsidR="00C91653">
        <w:rPr>
          <w:rFonts w:eastAsiaTheme="minorHAnsi" w:cs="Times New Roman"/>
          <w:noProof/>
          <w:color w:val="auto"/>
          <w:szCs w:val="22"/>
          <w:lang w:val="en-GB" w:eastAsia="en-US"/>
        </w:rPr>
        <w:t xml:space="preserve"> </w:t>
      </w:r>
      <w:r w:rsidR="00C91653" w:rsidRPr="00AA1AFD">
        <w:rPr>
          <w:rFonts w:eastAsiaTheme="minorHAnsi" w:cs="Times New Roman"/>
          <w:noProof/>
          <w:color w:val="auto"/>
          <w:szCs w:val="22"/>
          <w:lang w:val="en-GB" w:eastAsia="en-US"/>
        </w:rPr>
        <w:t>European Neighbourhood Policy</w:t>
      </w:r>
      <w:r w:rsidR="00C91653">
        <w:rPr>
          <w:rFonts w:eastAsiaTheme="minorHAnsi" w:cs="Times New Roman"/>
          <w:noProof/>
          <w:color w:val="auto"/>
          <w:szCs w:val="22"/>
          <w:lang w:val="en-GB" w:eastAsia="en-US"/>
        </w:rPr>
        <w:t xml:space="preserve"> and the</w:t>
      </w:r>
      <w:r w:rsidR="00C91653" w:rsidRPr="00AA1AFD">
        <w:rPr>
          <w:rFonts w:eastAsiaTheme="minorHAnsi" w:cs="Times New Roman"/>
          <w:noProof/>
          <w:color w:val="auto"/>
          <w:szCs w:val="22"/>
          <w:lang w:val="en-GB" w:eastAsia="en-US"/>
        </w:rPr>
        <w:t xml:space="preserve"> </w:t>
      </w:r>
      <w:r w:rsidR="00C91653">
        <w:rPr>
          <w:rFonts w:eastAsiaTheme="minorHAnsi" w:cs="Times New Roman"/>
          <w:noProof/>
          <w:color w:val="auto"/>
          <w:szCs w:val="22"/>
          <w:lang w:val="en-GB" w:eastAsia="en-US"/>
        </w:rPr>
        <w:t>EU Enlargement Policy</w:t>
      </w:r>
      <w:r w:rsidR="00C91653" w:rsidRPr="00AA1AFD">
        <w:rPr>
          <w:rFonts w:eastAsiaTheme="minorHAnsi" w:cs="Times New Roman"/>
          <w:noProof/>
          <w:color w:val="auto"/>
          <w:szCs w:val="22"/>
          <w:lang w:val="en-GB" w:eastAsia="en-US"/>
        </w:rPr>
        <w:t xml:space="preserve">, the extension </w:t>
      </w:r>
      <w:r w:rsidR="00C91653" w:rsidRPr="003C3A96">
        <w:rPr>
          <w:rFonts w:eastAsiaTheme="minorHAnsi" w:cs="Times New Roman"/>
          <w:noProof/>
          <w:color w:val="auto"/>
          <w:szCs w:val="22"/>
          <w:lang w:val="en-GB" w:eastAsia="en-US"/>
        </w:rPr>
        <w:t xml:space="preserve">of the TEN-T </w:t>
      </w:r>
      <w:r w:rsidR="00C91653">
        <w:rPr>
          <w:rFonts w:eastAsiaTheme="minorHAnsi" w:cs="Times New Roman"/>
          <w:noProof/>
          <w:color w:val="auto"/>
          <w:szCs w:val="22"/>
          <w:lang w:val="en-GB" w:eastAsia="en-US"/>
        </w:rPr>
        <w:t xml:space="preserve">is </w:t>
      </w:r>
      <w:r w:rsidR="00C91653" w:rsidRPr="003C3A96">
        <w:rPr>
          <w:rFonts w:eastAsiaTheme="minorHAnsi" w:cs="Times New Roman"/>
          <w:noProof/>
          <w:color w:val="auto"/>
          <w:szCs w:val="22"/>
          <w:lang w:val="en-GB" w:eastAsia="en-US"/>
        </w:rPr>
        <w:t xml:space="preserve">a vehicle </w:t>
      </w:r>
      <w:r w:rsidR="00C91653">
        <w:rPr>
          <w:rFonts w:eastAsiaTheme="minorHAnsi" w:cs="Times New Roman"/>
          <w:noProof/>
          <w:color w:val="auto"/>
          <w:szCs w:val="22"/>
          <w:lang w:val="en-GB" w:eastAsia="en-US"/>
        </w:rPr>
        <w:t xml:space="preserve">of closer </w:t>
      </w:r>
      <w:r w:rsidR="00C91653" w:rsidRPr="003C3A96">
        <w:rPr>
          <w:rFonts w:eastAsiaTheme="minorHAnsi" w:cs="Times New Roman"/>
          <w:noProof/>
          <w:color w:val="auto"/>
          <w:szCs w:val="22"/>
          <w:lang w:val="en-GB" w:eastAsia="en-US"/>
        </w:rPr>
        <w:t>integrati</w:t>
      </w:r>
      <w:r w:rsidR="00C91653">
        <w:rPr>
          <w:rFonts w:eastAsiaTheme="minorHAnsi" w:cs="Times New Roman"/>
          <w:noProof/>
          <w:color w:val="auto"/>
          <w:szCs w:val="22"/>
          <w:lang w:val="en-GB" w:eastAsia="en-US"/>
        </w:rPr>
        <w:t xml:space="preserve">ng  and, respectively, </w:t>
      </w:r>
      <w:r w:rsidR="00C91653" w:rsidRPr="003C3A96">
        <w:rPr>
          <w:rFonts w:eastAsiaTheme="minorHAnsi" w:cs="Times New Roman"/>
          <w:noProof/>
          <w:color w:val="auto"/>
          <w:szCs w:val="22"/>
          <w:lang w:val="en-GB" w:eastAsia="en-US"/>
        </w:rPr>
        <w:t xml:space="preserve">preparing </w:t>
      </w:r>
      <w:r w:rsidR="00C91653">
        <w:rPr>
          <w:rFonts w:eastAsiaTheme="minorHAnsi" w:cs="Times New Roman"/>
          <w:noProof/>
          <w:color w:val="auto"/>
          <w:szCs w:val="22"/>
          <w:lang w:val="en-GB" w:eastAsia="en-US"/>
        </w:rPr>
        <w:t>candidate</w:t>
      </w:r>
      <w:r w:rsidR="00C91653" w:rsidRPr="003C3A96">
        <w:rPr>
          <w:rFonts w:eastAsiaTheme="minorHAnsi" w:cs="Times New Roman"/>
          <w:noProof/>
          <w:color w:val="auto"/>
          <w:szCs w:val="22"/>
          <w:lang w:val="en-GB" w:eastAsia="en-US"/>
        </w:rPr>
        <w:t xml:space="preserve"> </w:t>
      </w:r>
      <w:r w:rsidR="00C91653">
        <w:rPr>
          <w:rFonts w:eastAsiaTheme="minorHAnsi" w:cs="Times New Roman"/>
          <w:noProof/>
          <w:color w:val="auto"/>
          <w:szCs w:val="22"/>
          <w:lang w:val="en-GB" w:eastAsia="en-US"/>
        </w:rPr>
        <w:t xml:space="preserve">countries and potential candidates </w:t>
      </w:r>
      <w:r w:rsidR="00C91653" w:rsidRPr="003C3A96">
        <w:rPr>
          <w:rFonts w:eastAsiaTheme="minorHAnsi" w:cs="Times New Roman"/>
          <w:noProof/>
          <w:color w:val="auto"/>
          <w:szCs w:val="22"/>
          <w:lang w:val="en-GB" w:eastAsia="en-US"/>
        </w:rPr>
        <w:t xml:space="preserve">for </w:t>
      </w:r>
      <w:r w:rsidR="00C91653">
        <w:rPr>
          <w:rFonts w:eastAsiaTheme="minorHAnsi" w:cs="Times New Roman"/>
          <w:noProof/>
          <w:color w:val="auto"/>
          <w:szCs w:val="22"/>
          <w:lang w:val="en-GB" w:eastAsia="en-US"/>
        </w:rPr>
        <w:t>possible</w:t>
      </w:r>
      <w:r w:rsidR="00C91653" w:rsidRPr="003C3A96">
        <w:rPr>
          <w:rFonts w:eastAsiaTheme="minorHAnsi" w:cs="Times New Roman"/>
          <w:noProof/>
          <w:color w:val="auto"/>
          <w:szCs w:val="22"/>
          <w:lang w:val="en-GB" w:eastAsia="en-US"/>
        </w:rPr>
        <w:t xml:space="preserve"> </w:t>
      </w:r>
      <w:r w:rsidR="00C91653">
        <w:rPr>
          <w:rFonts w:eastAsiaTheme="minorHAnsi" w:cs="Times New Roman"/>
          <w:noProof/>
          <w:color w:val="auto"/>
          <w:szCs w:val="22"/>
          <w:lang w:val="en-GB" w:eastAsia="en-US"/>
        </w:rPr>
        <w:t xml:space="preserve">EU </w:t>
      </w:r>
      <w:r w:rsidR="00C91653" w:rsidRPr="003C3A96">
        <w:rPr>
          <w:rFonts w:eastAsiaTheme="minorHAnsi" w:cs="Times New Roman"/>
          <w:noProof/>
          <w:color w:val="auto"/>
          <w:szCs w:val="22"/>
          <w:lang w:val="en-GB" w:eastAsia="en-US"/>
        </w:rPr>
        <w:t>accession.</w:t>
      </w:r>
      <w:r w:rsidR="005B6F36" w:rsidRPr="003C3A96">
        <w:rPr>
          <w:rFonts w:eastAsiaTheme="minorHAnsi" w:cs="Times New Roman"/>
          <w:noProof/>
          <w:color w:val="auto"/>
          <w:szCs w:val="22"/>
          <w:lang w:val="en-GB" w:eastAsia="en-US"/>
        </w:rPr>
        <w:t xml:space="preserve"> Finally</w:t>
      </w:r>
      <w:r w:rsidR="005B6F36" w:rsidRPr="00AA1AFD">
        <w:rPr>
          <w:rFonts w:eastAsiaTheme="minorHAnsi" w:cs="Times New Roman"/>
          <w:noProof/>
          <w:color w:val="auto"/>
          <w:szCs w:val="22"/>
          <w:lang w:val="en-GB" w:eastAsia="en-US"/>
        </w:rPr>
        <w:t xml:space="preserve">, the integration of the transport networks in </w:t>
      </w:r>
      <w:r w:rsidR="001F549E">
        <w:rPr>
          <w:rFonts w:eastAsiaTheme="minorHAnsi" w:cs="Times New Roman"/>
          <w:noProof/>
          <w:color w:val="auto"/>
          <w:szCs w:val="22"/>
          <w:lang w:val="en-GB" w:eastAsia="en-US"/>
        </w:rPr>
        <w:t>enlargement and</w:t>
      </w:r>
      <w:r w:rsidR="00EE35BC">
        <w:rPr>
          <w:rFonts w:eastAsiaTheme="minorHAnsi" w:cs="Times New Roman"/>
          <w:noProof/>
          <w:color w:val="auto"/>
          <w:szCs w:val="22"/>
          <w:lang w:val="en-GB" w:eastAsia="en-US"/>
        </w:rPr>
        <w:t xml:space="preserve"> other</w:t>
      </w:r>
      <w:r w:rsidR="001F549E">
        <w:rPr>
          <w:rFonts w:eastAsiaTheme="minorHAnsi" w:cs="Times New Roman"/>
          <w:noProof/>
          <w:color w:val="auto"/>
          <w:szCs w:val="22"/>
          <w:lang w:val="en-GB" w:eastAsia="en-US"/>
        </w:rPr>
        <w:t xml:space="preserve"> </w:t>
      </w:r>
      <w:r w:rsidR="005B6F36" w:rsidRPr="00AA1AFD">
        <w:rPr>
          <w:rFonts w:eastAsiaTheme="minorHAnsi" w:cs="Times New Roman"/>
          <w:noProof/>
          <w:color w:val="auto"/>
          <w:szCs w:val="22"/>
          <w:lang w:val="en-GB" w:eastAsia="en-US"/>
        </w:rPr>
        <w:t>neighbouring countries with the TEN-T is an enabler of</w:t>
      </w:r>
      <w:r w:rsidR="00513435" w:rsidRPr="00AA1AFD">
        <w:rPr>
          <w:rFonts w:eastAsiaTheme="minorHAnsi" w:cs="Times New Roman"/>
          <w:noProof/>
          <w:color w:val="auto"/>
          <w:szCs w:val="22"/>
          <w:lang w:val="en-GB" w:eastAsia="en-US"/>
        </w:rPr>
        <w:t xml:space="preserve"> </w:t>
      </w:r>
      <w:r w:rsidR="00AE03C2" w:rsidRPr="00AA1AFD">
        <w:rPr>
          <w:rFonts w:eastAsiaTheme="minorHAnsi" w:cs="Times New Roman"/>
          <w:noProof/>
          <w:color w:val="auto"/>
          <w:szCs w:val="22"/>
          <w:lang w:val="en-GB" w:eastAsia="en-US"/>
        </w:rPr>
        <w:t>trade facilitation and hence</w:t>
      </w:r>
      <w:r w:rsidR="00C04E52" w:rsidRPr="00AA1AFD">
        <w:rPr>
          <w:rFonts w:eastAsiaTheme="minorHAnsi" w:cs="Times New Roman"/>
          <w:noProof/>
          <w:color w:val="auto"/>
          <w:szCs w:val="22"/>
          <w:lang w:val="en-GB" w:eastAsia="en-US"/>
        </w:rPr>
        <w:t xml:space="preserve"> of</w:t>
      </w:r>
      <w:r w:rsidR="00AE03C2" w:rsidRPr="00AA1AFD">
        <w:rPr>
          <w:rFonts w:eastAsiaTheme="minorHAnsi" w:cs="Times New Roman"/>
          <w:noProof/>
          <w:color w:val="auto"/>
          <w:szCs w:val="22"/>
          <w:lang w:val="en-GB" w:eastAsia="en-US"/>
        </w:rPr>
        <w:t xml:space="preserve"> </w:t>
      </w:r>
      <w:r w:rsidR="00C04E52" w:rsidRPr="00AA1AFD">
        <w:rPr>
          <w:rFonts w:eastAsiaTheme="minorHAnsi" w:cs="Times New Roman"/>
          <w:noProof/>
          <w:color w:val="auto"/>
          <w:szCs w:val="22"/>
          <w:lang w:val="en-GB" w:eastAsia="en-US"/>
        </w:rPr>
        <w:t xml:space="preserve">economic integration, accelerating </w:t>
      </w:r>
      <w:r w:rsidR="00AE03C2" w:rsidRPr="00AA1AFD">
        <w:rPr>
          <w:rFonts w:eastAsiaTheme="minorHAnsi" w:cs="Times New Roman"/>
          <w:noProof/>
          <w:color w:val="auto"/>
          <w:szCs w:val="22"/>
          <w:lang w:val="en-GB" w:eastAsia="en-US"/>
        </w:rPr>
        <w:t xml:space="preserve">the convergence with the </w:t>
      </w:r>
      <w:r w:rsidR="001D1372">
        <w:rPr>
          <w:rFonts w:eastAsiaTheme="minorHAnsi" w:cs="Times New Roman"/>
          <w:noProof/>
          <w:color w:val="auto"/>
          <w:szCs w:val="22"/>
          <w:lang w:val="en-GB" w:eastAsia="en-US"/>
        </w:rPr>
        <w:t>Union</w:t>
      </w:r>
      <w:r w:rsidR="00AE03C2" w:rsidRPr="00AA1AFD">
        <w:rPr>
          <w:rFonts w:eastAsiaTheme="minorHAnsi" w:cs="Times New Roman"/>
          <w:noProof/>
          <w:color w:val="auto"/>
          <w:szCs w:val="22"/>
          <w:lang w:val="en-GB" w:eastAsia="en-US"/>
        </w:rPr>
        <w:t>.</w:t>
      </w:r>
    </w:p>
    <w:p w:rsidR="00E172E9" w:rsidRPr="00AA1AFD" w:rsidRDefault="00E172E9" w:rsidP="00154A4B">
      <w:pPr>
        <w:pStyle w:val="wordcount"/>
        <w:spacing w:after="60"/>
        <w:jc w:val="both"/>
        <w:rPr>
          <w:rFonts w:eastAsiaTheme="minorHAnsi" w:cs="Times New Roman"/>
          <w:noProof/>
          <w:color w:val="auto"/>
          <w:szCs w:val="22"/>
          <w:lang w:val="en-GB" w:eastAsia="en-US"/>
        </w:rPr>
      </w:pPr>
    </w:p>
    <w:p w:rsidR="004C5AE3" w:rsidRDefault="00060294" w:rsidP="004C5AE3">
      <w:pPr>
        <w:pStyle w:val="wordcount"/>
        <w:spacing w:after="60"/>
        <w:jc w:val="both"/>
        <w:rPr>
          <w:rFonts w:eastAsiaTheme="minorHAnsi" w:cs="Times New Roman"/>
          <w:noProof/>
          <w:color w:val="auto"/>
          <w:szCs w:val="22"/>
          <w:lang w:val="en-GB" w:eastAsia="en-US"/>
        </w:rPr>
      </w:pPr>
      <w:r w:rsidRPr="00060294">
        <w:rPr>
          <w:rFonts w:eastAsiaTheme="minorHAnsi" w:cs="Times New Roman"/>
          <w:noProof/>
          <w:color w:val="auto"/>
          <w:szCs w:val="22"/>
          <w:lang w:val="en-GB" w:eastAsia="en-US"/>
        </w:rPr>
        <w:t xml:space="preserve">The Union engagement takes both the form of hard infrastructure development and soft measures aimed at improving transport connectivity. </w:t>
      </w:r>
      <w:r w:rsidR="004C5AE3" w:rsidRPr="00AA1AFD">
        <w:rPr>
          <w:rFonts w:eastAsiaTheme="minorHAnsi" w:cs="Times New Roman"/>
          <w:noProof/>
          <w:color w:val="auto"/>
          <w:szCs w:val="22"/>
          <w:lang w:val="en-GB" w:eastAsia="en-US"/>
        </w:rPr>
        <w:t>With regard to hard infrastructure, the extension of the TEN-T to neighbouring countries aims at identifying infrastructure projects and consolidating a network</w:t>
      </w:r>
      <w:r w:rsidR="004C5AE3">
        <w:rPr>
          <w:rFonts w:eastAsiaTheme="minorHAnsi" w:cs="Times New Roman"/>
          <w:noProof/>
          <w:color w:val="auto"/>
          <w:szCs w:val="22"/>
          <w:lang w:val="en-GB" w:eastAsia="en-US"/>
        </w:rPr>
        <w:t xml:space="preserve"> consistent with the TEN-T parameters and objectives, thereby contributing inter alia to the decarbonisation of transport</w:t>
      </w:r>
      <w:r w:rsidR="004C5AE3" w:rsidRPr="00AA1AFD">
        <w:rPr>
          <w:rFonts w:eastAsiaTheme="minorHAnsi" w:cs="Times New Roman"/>
          <w:noProof/>
          <w:color w:val="auto"/>
          <w:szCs w:val="22"/>
          <w:lang w:val="en-GB" w:eastAsia="en-US"/>
        </w:rPr>
        <w:t>. Having an agreed and stable networ</w:t>
      </w:r>
      <w:r w:rsidR="004C5AE3">
        <w:rPr>
          <w:rFonts w:eastAsiaTheme="minorHAnsi" w:cs="Times New Roman"/>
          <w:noProof/>
          <w:color w:val="auto"/>
          <w:szCs w:val="22"/>
          <w:lang w:val="en-GB" w:eastAsia="en-US"/>
        </w:rPr>
        <w:t>k in the neighbouring countries</w:t>
      </w:r>
      <w:r w:rsidR="004C5AE3" w:rsidRPr="00AA1AFD">
        <w:rPr>
          <w:rFonts w:eastAsiaTheme="minorHAnsi" w:cs="Times New Roman"/>
          <w:noProof/>
          <w:color w:val="auto"/>
          <w:szCs w:val="22"/>
          <w:lang w:val="en-GB" w:eastAsia="en-US"/>
        </w:rPr>
        <w:t xml:space="preserve"> </w:t>
      </w:r>
      <w:r w:rsidR="004C5AE3">
        <w:rPr>
          <w:rFonts w:eastAsiaTheme="minorHAnsi" w:cs="Times New Roman"/>
          <w:noProof/>
          <w:color w:val="auto"/>
          <w:szCs w:val="22"/>
          <w:lang w:val="en-GB" w:eastAsia="en-US"/>
        </w:rPr>
        <w:t>translate</w:t>
      </w:r>
      <w:r w:rsidR="00EF7967">
        <w:rPr>
          <w:rFonts w:eastAsiaTheme="minorHAnsi" w:cs="Times New Roman"/>
          <w:noProof/>
          <w:color w:val="auto"/>
          <w:szCs w:val="22"/>
          <w:lang w:val="en-GB" w:eastAsia="en-US"/>
        </w:rPr>
        <w:t>s</w:t>
      </w:r>
      <w:r w:rsidR="004C5AE3">
        <w:rPr>
          <w:rFonts w:eastAsiaTheme="minorHAnsi" w:cs="Times New Roman"/>
          <w:noProof/>
          <w:color w:val="auto"/>
          <w:szCs w:val="22"/>
          <w:lang w:val="en-GB" w:eastAsia="en-US"/>
        </w:rPr>
        <w:t xml:space="preserve"> into more robust connections with better transport services for citizens and business. In view of the strong political commitment of the Union to its neighbourhood, it also </w:t>
      </w:r>
      <w:r w:rsidR="004C5AE3" w:rsidRPr="00AA1AFD">
        <w:rPr>
          <w:rFonts w:eastAsiaTheme="minorHAnsi" w:cs="Times New Roman"/>
          <w:noProof/>
          <w:color w:val="auto"/>
          <w:szCs w:val="22"/>
          <w:lang w:val="en-GB" w:eastAsia="en-US"/>
        </w:rPr>
        <w:t>allow</w:t>
      </w:r>
      <w:r w:rsidR="004C5AE3">
        <w:rPr>
          <w:rFonts w:eastAsiaTheme="minorHAnsi" w:cs="Times New Roman"/>
          <w:noProof/>
          <w:color w:val="auto"/>
          <w:szCs w:val="22"/>
          <w:lang w:val="en-GB" w:eastAsia="en-US"/>
        </w:rPr>
        <w:t>s it</w:t>
      </w:r>
      <w:r w:rsidR="004C5AE3" w:rsidRPr="00AA1AFD">
        <w:rPr>
          <w:rFonts w:eastAsiaTheme="minorHAnsi" w:cs="Times New Roman"/>
          <w:noProof/>
          <w:color w:val="auto"/>
          <w:szCs w:val="22"/>
          <w:lang w:val="en-GB" w:eastAsia="en-US"/>
        </w:rPr>
        <w:t xml:space="preserve"> to better target EU funding and financing and to provide the certainty needed to unlock investments in infrastructure projects</w:t>
      </w:r>
      <w:r w:rsidR="004C5AE3">
        <w:rPr>
          <w:rFonts w:eastAsiaTheme="minorHAnsi" w:cs="Times New Roman"/>
          <w:noProof/>
          <w:color w:val="auto"/>
          <w:szCs w:val="22"/>
          <w:lang w:val="en-GB" w:eastAsia="en-US"/>
        </w:rPr>
        <w:t>.</w:t>
      </w:r>
      <w:r w:rsidR="004C5AE3" w:rsidRPr="00AA1AFD">
        <w:rPr>
          <w:rFonts w:eastAsiaTheme="minorHAnsi" w:cs="Times New Roman"/>
          <w:noProof/>
          <w:color w:val="auto"/>
          <w:szCs w:val="22"/>
          <w:lang w:val="en-GB" w:eastAsia="en-US"/>
        </w:rPr>
        <w:t xml:space="preserve"> </w:t>
      </w:r>
      <w:r w:rsidR="004C5AE3">
        <w:rPr>
          <w:rFonts w:eastAsiaTheme="minorHAnsi" w:cs="Times New Roman"/>
          <w:noProof/>
          <w:color w:val="auto"/>
          <w:szCs w:val="22"/>
          <w:lang w:val="en-GB" w:eastAsia="en-US"/>
        </w:rPr>
        <w:t>Moreover, a</w:t>
      </w:r>
      <w:r w:rsidR="004C5AE3" w:rsidRPr="006947A4">
        <w:rPr>
          <w:rFonts w:eastAsiaTheme="minorHAnsi" w:cs="Times New Roman"/>
          <w:noProof/>
          <w:color w:val="auto"/>
          <w:szCs w:val="22"/>
          <w:lang w:val="en-GB" w:eastAsia="en-US"/>
        </w:rPr>
        <w:t xml:space="preserve"> stable planning and strategic development of infrastructure</w:t>
      </w:r>
      <w:r w:rsidR="004C5AE3">
        <w:rPr>
          <w:rFonts w:eastAsiaTheme="minorHAnsi" w:cs="Times New Roman"/>
          <w:noProof/>
          <w:color w:val="auto"/>
          <w:szCs w:val="22"/>
          <w:lang w:val="en-GB" w:eastAsia="en-US"/>
        </w:rPr>
        <w:t xml:space="preserve"> will help to </w:t>
      </w:r>
      <w:r w:rsidR="004C5AE3" w:rsidRPr="00AA1AFD">
        <w:rPr>
          <w:rFonts w:eastAsiaTheme="minorHAnsi" w:cs="Times New Roman"/>
          <w:noProof/>
          <w:color w:val="auto"/>
          <w:szCs w:val="22"/>
          <w:lang w:val="en-GB" w:eastAsia="en-US"/>
        </w:rPr>
        <w:t>attract support from international financial institutions</w:t>
      </w:r>
      <w:r w:rsidR="004C5AE3">
        <w:rPr>
          <w:rFonts w:eastAsiaTheme="minorHAnsi" w:cs="Times New Roman"/>
          <w:noProof/>
          <w:color w:val="auto"/>
          <w:szCs w:val="22"/>
          <w:lang w:val="en-GB" w:eastAsia="en-US"/>
        </w:rPr>
        <w:t xml:space="preserve">. </w:t>
      </w:r>
      <w:r w:rsidR="00872857">
        <w:rPr>
          <w:rFonts w:eastAsiaTheme="minorHAnsi" w:cs="Times New Roman"/>
          <w:noProof/>
          <w:color w:val="auto"/>
          <w:szCs w:val="22"/>
          <w:lang w:val="en-GB" w:eastAsia="en-US"/>
        </w:rPr>
        <w:t>Regarding</w:t>
      </w:r>
      <w:r w:rsidR="004C5AE3">
        <w:rPr>
          <w:rFonts w:eastAsiaTheme="minorHAnsi" w:cs="Times New Roman"/>
          <w:noProof/>
          <w:color w:val="auto"/>
          <w:szCs w:val="22"/>
          <w:lang w:val="en-GB" w:eastAsia="en-US"/>
        </w:rPr>
        <w:t xml:space="preserve"> the investment in new infrastructure,</w:t>
      </w:r>
      <w:r w:rsidR="004C5AE3" w:rsidRPr="00060294">
        <w:rPr>
          <w:rFonts w:eastAsiaTheme="minorHAnsi" w:cs="Times New Roman"/>
          <w:noProof/>
          <w:color w:val="auto"/>
          <w:szCs w:val="22"/>
          <w:lang w:val="en-GB" w:eastAsia="en-US"/>
        </w:rPr>
        <w:t xml:space="preserve"> special attention should be paid to</w:t>
      </w:r>
      <w:r w:rsidR="004C5AE3">
        <w:rPr>
          <w:rFonts w:eastAsiaTheme="minorHAnsi" w:cs="Times New Roman"/>
          <w:noProof/>
          <w:color w:val="auto"/>
          <w:szCs w:val="22"/>
          <w:lang w:val="en-GB" w:eastAsia="en-US"/>
        </w:rPr>
        <w:t xml:space="preserve"> achieving</w:t>
      </w:r>
      <w:r w:rsidR="004C5AE3" w:rsidRPr="00060294">
        <w:rPr>
          <w:rFonts w:eastAsiaTheme="minorHAnsi" w:cs="Times New Roman"/>
          <w:noProof/>
          <w:color w:val="auto"/>
          <w:szCs w:val="22"/>
          <w:lang w:val="en-GB" w:eastAsia="en-US"/>
        </w:rPr>
        <w:t xml:space="preserve"> the highest standards and requirements on the TEN-T</w:t>
      </w:r>
      <w:r w:rsidR="004C5AE3">
        <w:rPr>
          <w:rFonts w:eastAsiaTheme="minorHAnsi" w:cs="Times New Roman"/>
          <w:noProof/>
          <w:color w:val="auto"/>
          <w:szCs w:val="22"/>
          <w:lang w:val="en-GB" w:eastAsia="en-US"/>
        </w:rPr>
        <w:t xml:space="preserve"> while protecting the assets</w:t>
      </w:r>
      <w:r w:rsidR="004C5AE3" w:rsidRPr="00060294">
        <w:rPr>
          <w:rFonts w:eastAsiaTheme="minorHAnsi" w:cs="Times New Roman"/>
          <w:noProof/>
          <w:color w:val="auto"/>
          <w:szCs w:val="22"/>
          <w:lang w:val="en-GB" w:eastAsia="en-US"/>
        </w:rPr>
        <w:t xml:space="preserve"> </w:t>
      </w:r>
      <w:r w:rsidR="004C5AE3">
        <w:rPr>
          <w:rFonts w:eastAsiaTheme="minorHAnsi" w:cs="Times New Roman"/>
          <w:noProof/>
          <w:color w:val="auto"/>
          <w:szCs w:val="22"/>
          <w:lang w:val="en-GB" w:eastAsia="en-US"/>
        </w:rPr>
        <w:t>of</w:t>
      </w:r>
      <w:r w:rsidR="004C5AE3" w:rsidRPr="00060294">
        <w:rPr>
          <w:rFonts w:eastAsiaTheme="minorHAnsi" w:cs="Times New Roman"/>
          <w:noProof/>
          <w:color w:val="auto"/>
          <w:szCs w:val="22"/>
          <w:lang w:val="en-GB" w:eastAsia="en-US"/>
        </w:rPr>
        <w:t xml:space="preserve"> a </w:t>
      </w:r>
      <w:r w:rsidR="004C5AE3">
        <w:rPr>
          <w:rFonts w:eastAsiaTheme="minorHAnsi" w:cs="Times New Roman"/>
          <w:noProof/>
          <w:color w:val="auto"/>
          <w:szCs w:val="22"/>
          <w:lang w:val="en-GB" w:eastAsia="en-US"/>
        </w:rPr>
        <w:t>quality</w:t>
      </w:r>
      <w:r w:rsidR="004C5AE3" w:rsidRPr="00060294">
        <w:rPr>
          <w:rFonts w:eastAsiaTheme="minorHAnsi" w:cs="Times New Roman"/>
          <w:noProof/>
          <w:color w:val="auto"/>
          <w:szCs w:val="22"/>
          <w:lang w:val="en-GB" w:eastAsia="en-US"/>
        </w:rPr>
        <w:t xml:space="preserve"> infrastructure over time through regular maintenance.</w:t>
      </w:r>
    </w:p>
    <w:p w:rsidR="004C5AE3" w:rsidRDefault="004C5AE3" w:rsidP="004C5AE3">
      <w:pPr>
        <w:pStyle w:val="wordcount"/>
        <w:spacing w:after="60"/>
        <w:jc w:val="both"/>
        <w:rPr>
          <w:rFonts w:eastAsiaTheme="minorHAnsi" w:cs="Times New Roman"/>
          <w:noProof/>
          <w:color w:val="auto"/>
          <w:szCs w:val="22"/>
          <w:lang w:val="en-GB" w:eastAsia="en-US"/>
        </w:rPr>
      </w:pPr>
    </w:p>
    <w:p w:rsidR="00C705C8" w:rsidRPr="00AA1AFD" w:rsidRDefault="00060294" w:rsidP="00060294">
      <w:pPr>
        <w:pStyle w:val="wordcount"/>
        <w:spacing w:after="60"/>
        <w:jc w:val="both"/>
        <w:rPr>
          <w:rFonts w:eastAsiaTheme="minorHAnsi" w:cs="Times New Roman"/>
          <w:noProof/>
          <w:color w:val="auto"/>
          <w:szCs w:val="22"/>
          <w:lang w:val="en-GB" w:eastAsia="en-US"/>
        </w:rPr>
      </w:pPr>
      <w:r>
        <w:rPr>
          <w:rFonts w:eastAsiaTheme="minorHAnsi" w:cs="Times New Roman"/>
          <w:noProof/>
          <w:color w:val="auto"/>
          <w:szCs w:val="22"/>
          <w:lang w:val="en-GB" w:eastAsia="en-US"/>
        </w:rPr>
        <w:t>S</w:t>
      </w:r>
      <w:r w:rsidRPr="00060294">
        <w:rPr>
          <w:rFonts w:eastAsiaTheme="minorHAnsi" w:cs="Times New Roman"/>
          <w:noProof/>
          <w:color w:val="auto"/>
          <w:szCs w:val="22"/>
          <w:lang w:val="en-GB" w:eastAsia="en-US"/>
        </w:rPr>
        <w:t>oft measures</w:t>
      </w:r>
      <w:r>
        <w:rPr>
          <w:rFonts w:eastAsiaTheme="minorHAnsi" w:cs="Times New Roman"/>
          <w:noProof/>
          <w:color w:val="auto"/>
          <w:szCs w:val="22"/>
          <w:lang w:val="en-GB" w:eastAsia="en-US"/>
        </w:rPr>
        <w:t xml:space="preserve"> </w:t>
      </w:r>
      <w:r w:rsidRPr="00060294">
        <w:rPr>
          <w:rFonts w:eastAsiaTheme="minorHAnsi" w:cs="Times New Roman"/>
          <w:noProof/>
          <w:color w:val="auto"/>
          <w:szCs w:val="22"/>
          <w:lang w:val="en-GB" w:eastAsia="en-US"/>
        </w:rPr>
        <w:t>aim at the development of</w:t>
      </w:r>
      <w:r w:rsidR="00965C72">
        <w:rPr>
          <w:rFonts w:eastAsiaTheme="minorHAnsi" w:cs="Times New Roman"/>
          <w:noProof/>
          <w:color w:val="auto"/>
          <w:szCs w:val="22"/>
          <w:lang w:val="en-GB" w:eastAsia="en-US"/>
        </w:rPr>
        <w:t xml:space="preserve"> Intelligent Transport Systems</w:t>
      </w:r>
      <w:r w:rsidRPr="00060294">
        <w:rPr>
          <w:rFonts w:eastAsiaTheme="minorHAnsi" w:cs="Times New Roman"/>
          <w:noProof/>
          <w:color w:val="auto"/>
          <w:szCs w:val="22"/>
          <w:lang w:val="en-GB" w:eastAsia="en-US"/>
        </w:rPr>
        <w:t xml:space="preserve"> </w:t>
      </w:r>
      <w:r w:rsidR="00965C72">
        <w:rPr>
          <w:rFonts w:eastAsiaTheme="minorHAnsi" w:cs="Times New Roman"/>
          <w:noProof/>
          <w:color w:val="auto"/>
          <w:szCs w:val="22"/>
          <w:lang w:val="en-GB" w:eastAsia="en-US"/>
        </w:rPr>
        <w:t>(</w:t>
      </w:r>
      <w:r w:rsidRPr="00060294">
        <w:rPr>
          <w:rFonts w:eastAsiaTheme="minorHAnsi" w:cs="Times New Roman"/>
          <w:noProof/>
          <w:color w:val="auto"/>
          <w:szCs w:val="22"/>
          <w:lang w:val="en-GB" w:eastAsia="en-US"/>
        </w:rPr>
        <w:t>ITS</w:t>
      </w:r>
      <w:r w:rsidR="00965C72">
        <w:rPr>
          <w:rFonts w:eastAsiaTheme="minorHAnsi" w:cs="Times New Roman"/>
          <w:noProof/>
          <w:color w:val="auto"/>
          <w:szCs w:val="22"/>
          <w:lang w:val="en-GB" w:eastAsia="en-US"/>
        </w:rPr>
        <w:t>)</w:t>
      </w:r>
      <w:r w:rsidRPr="00060294">
        <w:rPr>
          <w:rFonts w:eastAsiaTheme="minorHAnsi" w:cs="Times New Roman"/>
          <w:noProof/>
          <w:color w:val="auto"/>
          <w:szCs w:val="22"/>
          <w:lang w:val="en-GB" w:eastAsia="en-US"/>
        </w:rPr>
        <w:t xml:space="preserve"> for all modes</w:t>
      </w:r>
      <w:r w:rsidR="00385AA3">
        <w:rPr>
          <w:rFonts w:eastAsiaTheme="minorHAnsi" w:cs="Times New Roman"/>
          <w:noProof/>
          <w:color w:val="auto"/>
          <w:szCs w:val="22"/>
          <w:lang w:val="en-GB" w:eastAsia="en-US"/>
        </w:rPr>
        <w:t xml:space="preserve"> which</w:t>
      </w:r>
      <w:r w:rsidRPr="00060294">
        <w:rPr>
          <w:rFonts w:eastAsiaTheme="minorHAnsi" w:cs="Times New Roman"/>
          <w:noProof/>
          <w:color w:val="auto"/>
          <w:szCs w:val="22"/>
          <w:lang w:val="en-GB" w:eastAsia="en-US"/>
        </w:rPr>
        <w:t xml:space="preserve"> </w:t>
      </w:r>
      <w:r w:rsidR="00301875">
        <w:rPr>
          <w:rFonts w:eastAsiaTheme="minorHAnsi" w:cs="Times New Roman"/>
          <w:noProof/>
          <w:color w:val="auto"/>
          <w:szCs w:val="22"/>
          <w:lang w:val="en-GB" w:eastAsia="en-US"/>
        </w:rPr>
        <w:t>will</w:t>
      </w:r>
      <w:r w:rsidRPr="00060294">
        <w:rPr>
          <w:rFonts w:eastAsiaTheme="minorHAnsi" w:cs="Times New Roman"/>
          <w:noProof/>
          <w:color w:val="auto"/>
          <w:szCs w:val="22"/>
          <w:lang w:val="en-GB" w:eastAsia="en-US"/>
        </w:rPr>
        <w:t xml:space="preserve"> help</w:t>
      </w:r>
      <w:r>
        <w:rPr>
          <w:rFonts w:eastAsiaTheme="minorHAnsi" w:cs="Times New Roman"/>
          <w:noProof/>
          <w:color w:val="auto"/>
          <w:szCs w:val="22"/>
          <w:lang w:val="en-GB" w:eastAsia="en-US"/>
        </w:rPr>
        <w:t xml:space="preserve"> to</w:t>
      </w:r>
      <w:r w:rsidRPr="00060294">
        <w:rPr>
          <w:rFonts w:eastAsiaTheme="minorHAnsi" w:cs="Times New Roman"/>
          <w:noProof/>
          <w:color w:val="auto"/>
          <w:szCs w:val="22"/>
          <w:lang w:val="en-GB" w:eastAsia="en-US"/>
        </w:rPr>
        <w:t xml:space="preserve"> address</w:t>
      </w:r>
      <w:r>
        <w:rPr>
          <w:rFonts w:eastAsiaTheme="minorHAnsi" w:cs="Times New Roman"/>
          <w:noProof/>
          <w:color w:val="auto"/>
          <w:szCs w:val="22"/>
          <w:lang w:val="en-GB" w:eastAsia="en-US"/>
        </w:rPr>
        <w:t xml:space="preserve"> safety issues and support</w:t>
      </w:r>
      <w:r w:rsidRPr="00060294">
        <w:rPr>
          <w:rFonts w:eastAsiaTheme="minorHAnsi" w:cs="Times New Roman"/>
          <w:noProof/>
          <w:color w:val="auto"/>
          <w:szCs w:val="22"/>
          <w:lang w:val="en-GB" w:eastAsia="en-US"/>
        </w:rPr>
        <w:t xml:space="preserve"> transport sustainability</w:t>
      </w:r>
      <w:r w:rsidR="00B7569B">
        <w:rPr>
          <w:rFonts w:eastAsiaTheme="minorHAnsi" w:cs="Times New Roman"/>
          <w:noProof/>
          <w:color w:val="auto"/>
          <w:szCs w:val="22"/>
          <w:lang w:val="en-GB" w:eastAsia="en-US"/>
        </w:rPr>
        <w:t>.</w:t>
      </w:r>
      <w:r w:rsidRPr="00060294">
        <w:rPr>
          <w:rFonts w:eastAsiaTheme="minorHAnsi" w:cs="Times New Roman"/>
          <w:noProof/>
          <w:color w:val="auto"/>
          <w:szCs w:val="22"/>
          <w:lang w:val="en-GB" w:eastAsia="en-US"/>
        </w:rPr>
        <w:t xml:space="preserve"> They</w:t>
      </w:r>
      <w:r>
        <w:rPr>
          <w:rFonts w:eastAsiaTheme="minorHAnsi" w:cs="Times New Roman"/>
          <w:noProof/>
          <w:color w:val="auto"/>
          <w:szCs w:val="22"/>
          <w:lang w:val="en-GB" w:eastAsia="en-US"/>
        </w:rPr>
        <w:t xml:space="preserve"> </w:t>
      </w:r>
      <w:r w:rsidRPr="00060294">
        <w:rPr>
          <w:rFonts w:eastAsiaTheme="minorHAnsi" w:cs="Times New Roman"/>
          <w:noProof/>
          <w:color w:val="auto"/>
          <w:szCs w:val="22"/>
          <w:lang w:val="en-GB" w:eastAsia="en-US"/>
        </w:rPr>
        <w:t>also include measures for the exchange of multimodal transport data</w:t>
      </w:r>
      <w:r w:rsidR="00385AA3">
        <w:rPr>
          <w:rFonts w:eastAsiaTheme="minorHAnsi" w:cs="Times New Roman"/>
          <w:noProof/>
          <w:color w:val="auto"/>
          <w:szCs w:val="22"/>
          <w:lang w:val="en-GB" w:eastAsia="en-US"/>
        </w:rPr>
        <w:t xml:space="preserve"> based on EU standards to</w:t>
      </w:r>
      <w:r w:rsidRPr="00060294">
        <w:rPr>
          <w:rFonts w:eastAsiaTheme="minorHAnsi" w:cs="Times New Roman"/>
          <w:noProof/>
          <w:color w:val="auto"/>
          <w:szCs w:val="22"/>
          <w:lang w:val="en-GB" w:eastAsia="en-US"/>
        </w:rPr>
        <w:t xml:space="preserve"> </w:t>
      </w:r>
      <w:r w:rsidR="00385AA3" w:rsidRPr="00060294">
        <w:rPr>
          <w:rFonts w:eastAsiaTheme="minorHAnsi" w:cs="Times New Roman"/>
          <w:noProof/>
          <w:color w:val="auto"/>
          <w:szCs w:val="22"/>
          <w:lang w:val="en-GB" w:eastAsia="en-US"/>
        </w:rPr>
        <w:t>support</w:t>
      </w:r>
      <w:r w:rsidR="00385AA3">
        <w:rPr>
          <w:rFonts w:eastAsiaTheme="minorHAnsi" w:cs="Times New Roman"/>
          <w:noProof/>
          <w:color w:val="auto"/>
          <w:szCs w:val="22"/>
          <w:lang w:val="en-GB" w:eastAsia="en-US"/>
        </w:rPr>
        <w:t xml:space="preserve"> </w:t>
      </w:r>
      <w:r w:rsidRPr="00060294">
        <w:rPr>
          <w:rFonts w:eastAsiaTheme="minorHAnsi" w:cs="Times New Roman"/>
          <w:noProof/>
          <w:color w:val="auto"/>
          <w:szCs w:val="22"/>
          <w:lang w:val="en-GB" w:eastAsia="en-US"/>
        </w:rPr>
        <w:t>efficient cargo flows</w:t>
      </w:r>
      <w:r w:rsidR="004C5AE3">
        <w:rPr>
          <w:rFonts w:eastAsiaTheme="minorHAnsi" w:cs="Times New Roman"/>
          <w:noProof/>
          <w:color w:val="auto"/>
          <w:szCs w:val="22"/>
          <w:lang w:val="en-GB" w:eastAsia="en-US"/>
        </w:rPr>
        <w:t>.</w:t>
      </w:r>
      <w:r w:rsidR="00385AA3">
        <w:rPr>
          <w:rFonts w:eastAsiaTheme="minorHAnsi" w:cs="Times New Roman"/>
          <w:noProof/>
          <w:color w:val="auto"/>
          <w:szCs w:val="22"/>
          <w:lang w:val="en-GB" w:eastAsia="en-US"/>
        </w:rPr>
        <w:t xml:space="preserve"> </w:t>
      </w:r>
      <w:r w:rsidR="00AE3798">
        <w:rPr>
          <w:rFonts w:eastAsiaTheme="minorHAnsi" w:cs="Times New Roman"/>
          <w:noProof/>
          <w:color w:val="auto"/>
          <w:szCs w:val="22"/>
          <w:lang w:val="en-GB" w:eastAsia="en-US"/>
        </w:rPr>
        <w:t xml:space="preserve">5G infrastructure should also be promoted. </w:t>
      </w:r>
      <w:r w:rsidR="00BE4DCC">
        <w:rPr>
          <w:rFonts w:eastAsiaTheme="minorHAnsi" w:cs="Times New Roman"/>
          <w:noProof/>
          <w:color w:val="auto"/>
          <w:szCs w:val="22"/>
          <w:lang w:val="en-GB" w:eastAsia="en-US"/>
        </w:rPr>
        <w:t>In addition,</w:t>
      </w:r>
      <w:r w:rsidR="00C705C8" w:rsidRPr="00AA1AFD">
        <w:rPr>
          <w:rFonts w:eastAsiaTheme="minorHAnsi" w:cs="Times New Roman"/>
          <w:noProof/>
          <w:color w:val="auto"/>
          <w:szCs w:val="22"/>
          <w:lang w:val="en-GB" w:eastAsia="en-US"/>
        </w:rPr>
        <w:t xml:space="preserve"> </w:t>
      </w:r>
      <w:r w:rsidR="00BE4DCC">
        <w:rPr>
          <w:rFonts w:eastAsiaTheme="minorHAnsi" w:cs="Times New Roman"/>
          <w:noProof/>
          <w:color w:val="auto"/>
          <w:szCs w:val="22"/>
          <w:lang w:val="en-GB" w:eastAsia="en-US"/>
        </w:rPr>
        <w:t>t</w:t>
      </w:r>
      <w:r w:rsidR="00BE4DCC" w:rsidRPr="00AA1AFD">
        <w:rPr>
          <w:rFonts w:eastAsiaTheme="minorHAnsi" w:cs="Times New Roman"/>
          <w:noProof/>
          <w:color w:val="auto"/>
          <w:szCs w:val="22"/>
          <w:lang w:val="en-GB" w:eastAsia="en-US"/>
        </w:rPr>
        <w:t xml:space="preserve">he </w:t>
      </w:r>
      <w:r w:rsidR="00C705C8" w:rsidRPr="00AA1AFD">
        <w:rPr>
          <w:rFonts w:eastAsiaTheme="minorHAnsi" w:cs="Times New Roman"/>
          <w:noProof/>
          <w:color w:val="auto"/>
          <w:szCs w:val="22"/>
          <w:lang w:val="en-GB" w:eastAsia="en-US"/>
        </w:rPr>
        <w:t>Union supports regulatory reform</w:t>
      </w:r>
      <w:r w:rsidR="00154A4B" w:rsidRPr="00AA1AFD">
        <w:rPr>
          <w:rFonts w:eastAsiaTheme="minorHAnsi" w:cs="Times New Roman"/>
          <w:noProof/>
          <w:color w:val="auto"/>
          <w:szCs w:val="22"/>
          <w:lang w:val="en-GB" w:eastAsia="en-US"/>
        </w:rPr>
        <w:t xml:space="preserve"> </w:t>
      </w:r>
      <w:r w:rsidR="003241AA" w:rsidRPr="00AA1AFD">
        <w:rPr>
          <w:rFonts w:eastAsiaTheme="minorHAnsi" w:cs="Times New Roman"/>
          <w:noProof/>
          <w:color w:val="auto"/>
          <w:szCs w:val="22"/>
          <w:lang w:val="en-GB" w:eastAsia="en-US"/>
        </w:rPr>
        <w:t xml:space="preserve">and strengthened </w:t>
      </w:r>
      <w:r w:rsidR="00154A4B" w:rsidRPr="00AA1AFD">
        <w:rPr>
          <w:rFonts w:eastAsiaTheme="minorHAnsi" w:cs="Times New Roman"/>
          <w:noProof/>
          <w:color w:val="auto"/>
          <w:szCs w:val="22"/>
          <w:lang w:val="en-GB" w:eastAsia="en-US"/>
        </w:rPr>
        <w:t>dialogue</w:t>
      </w:r>
      <w:r w:rsidR="003241AA" w:rsidRPr="00AA1AFD">
        <w:rPr>
          <w:rFonts w:eastAsiaTheme="minorHAnsi" w:cs="Times New Roman"/>
          <w:noProof/>
          <w:color w:val="auto"/>
          <w:szCs w:val="22"/>
          <w:lang w:val="en-GB" w:eastAsia="en-US"/>
        </w:rPr>
        <w:t xml:space="preserve"> at a technical level</w:t>
      </w:r>
      <w:r w:rsidR="004C5AE3">
        <w:rPr>
          <w:rFonts w:eastAsiaTheme="minorHAnsi" w:cs="Times New Roman"/>
          <w:noProof/>
          <w:color w:val="auto"/>
          <w:szCs w:val="22"/>
          <w:lang w:val="en-GB" w:eastAsia="en-US"/>
        </w:rPr>
        <w:t>,</w:t>
      </w:r>
      <w:r w:rsidR="00154A4B" w:rsidRPr="00AA1AFD">
        <w:rPr>
          <w:rFonts w:eastAsiaTheme="minorHAnsi" w:cs="Times New Roman"/>
          <w:noProof/>
          <w:color w:val="auto"/>
          <w:szCs w:val="22"/>
          <w:lang w:val="en-GB" w:eastAsia="en-US"/>
        </w:rPr>
        <w:t xml:space="preserve"> build</w:t>
      </w:r>
      <w:r w:rsidR="00C705C8" w:rsidRPr="00AA1AFD">
        <w:rPr>
          <w:rFonts w:eastAsiaTheme="minorHAnsi" w:cs="Times New Roman"/>
          <w:noProof/>
          <w:color w:val="auto"/>
          <w:szCs w:val="22"/>
          <w:lang w:val="en-GB" w:eastAsia="en-US"/>
        </w:rPr>
        <w:t>ing</w:t>
      </w:r>
      <w:r w:rsidR="00154A4B" w:rsidRPr="00AA1AFD">
        <w:rPr>
          <w:rFonts w:eastAsiaTheme="minorHAnsi" w:cs="Times New Roman"/>
          <w:noProof/>
          <w:color w:val="auto"/>
          <w:szCs w:val="22"/>
          <w:lang w:val="en-GB" w:eastAsia="en-US"/>
        </w:rPr>
        <w:t xml:space="preserve"> on relevant </w:t>
      </w:r>
      <w:r w:rsidR="00462DF8">
        <w:rPr>
          <w:rFonts w:eastAsiaTheme="minorHAnsi" w:cs="Times New Roman"/>
          <w:noProof/>
          <w:color w:val="auto"/>
          <w:szCs w:val="22"/>
          <w:lang w:val="en-GB" w:eastAsia="en-US"/>
        </w:rPr>
        <w:t>Union</w:t>
      </w:r>
      <w:r w:rsidR="00462DF8" w:rsidRPr="00AA1AFD">
        <w:rPr>
          <w:rFonts w:eastAsiaTheme="minorHAnsi" w:cs="Times New Roman"/>
          <w:noProof/>
          <w:color w:val="auto"/>
          <w:szCs w:val="22"/>
          <w:lang w:val="en-GB" w:eastAsia="en-US"/>
        </w:rPr>
        <w:t xml:space="preserve"> </w:t>
      </w:r>
      <w:r w:rsidR="00154A4B" w:rsidRPr="00AA1AFD">
        <w:rPr>
          <w:rFonts w:eastAsiaTheme="minorHAnsi" w:cs="Times New Roman"/>
          <w:noProof/>
          <w:color w:val="auto"/>
          <w:szCs w:val="22"/>
          <w:lang w:val="en-GB" w:eastAsia="en-US"/>
        </w:rPr>
        <w:t>instruments and</w:t>
      </w:r>
      <w:r w:rsidR="00C705C8" w:rsidRPr="00AA1AFD">
        <w:rPr>
          <w:rFonts w:eastAsiaTheme="minorHAnsi" w:cs="Times New Roman"/>
          <w:noProof/>
          <w:color w:val="auto"/>
          <w:szCs w:val="22"/>
          <w:lang w:val="en-GB" w:eastAsia="en-US"/>
        </w:rPr>
        <w:t xml:space="preserve"> drawing on</w:t>
      </w:r>
      <w:r w:rsidR="00154A4B" w:rsidRPr="00AA1AFD">
        <w:rPr>
          <w:rFonts w:eastAsiaTheme="minorHAnsi" w:cs="Times New Roman"/>
          <w:noProof/>
          <w:color w:val="auto"/>
          <w:szCs w:val="22"/>
          <w:lang w:val="en-GB" w:eastAsia="en-US"/>
        </w:rPr>
        <w:t xml:space="preserve"> the active involvement of the European </w:t>
      </w:r>
      <w:r w:rsidR="00592F40">
        <w:rPr>
          <w:rFonts w:eastAsiaTheme="minorHAnsi" w:cs="Times New Roman"/>
          <w:noProof/>
          <w:color w:val="auto"/>
          <w:szCs w:val="22"/>
          <w:lang w:val="en-GB" w:eastAsia="en-US"/>
        </w:rPr>
        <w:t>a</w:t>
      </w:r>
      <w:r w:rsidR="00592F40" w:rsidRPr="00AA1AFD">
        <w:rPr>
          <w:rFonts w:eastAsiaTheme="minorHAnsi" w:cs="Times New Roman"/>
          <w:noProof/>
          <w:color w:val="auto"/>
          <w:szCs w:val="22"/>
          <w:lang w:val="en-GB" w:eastAsia="en-US"/>
        </w:rPr>
        <w:t>gencies</w:t>
      </w:r>
      <w:r w:rsidR="006E69EE">
        <w:rPr>
          <w:rFonts w:eastAsiaTheme="minorHAnsi" w:cs="Times New Roman"/>
          <w:noProof/>
          <w:color w:val="auto"/>
          <w:szCs w:val="22"/>
          <w:lang w:val="en-GB" w:eastAsia="en-US"/>
        </w:rPr>
        <w:t xml:space="preserve"> in the field of transport</w:t>
      </w:r>
      <w:r w:rsidR="00154A4B" w:rsidRPr="00AA1AFD">
        <w:rPr>
          <w:rFonts w:eastAsiaTheme="minorHAnsi" w:cs="Times New Roman"/>
          <w:noProof/>
          <w:color w:val="auto"/>
          <w:szCs w:val="22"/>
          <w:lang w:val="en-GB" w:eastAsia="en-US"/>
        </w:rPr>
        <w:t>.</w:t>
      </w:r>
      <w:r w:rsidR="00417E59" w:rsidRPr="00AA1AFD">
        <w:rPr>
          <w:rFonts w:eastAsiaTheme="minorHAnsi" w:cs="Times New Roman"/>
          <w:noProof/>
          <w:color w:val="auto"/>
          <w:szCs w:val="22"/>
          <w:lang w:val="en-GB" w:eastAsia="en-US"/>
        </w:rPr>
        <w:t xml:space="preserve"> In recent years, the </w:t>
      </w:r>
      <w:r w:rsidR="00F814F0">
        <w:rPr>
          <w:rFonts w:eastAsiaTheme="minorHAnsi" w:cs="Times New Roman"/>
          <w:noProof/>
          <w:color w:val="auto"/>
          <w:szCs w:val="22"/>
          <w:lang w:val="en-GB" w:eastAsia="en-US"/>
        </w:rPr>
        <w:t>Union</w:t>
      </w:r>
      <w:r w:rsidR="00417E59" w:rsidRPr="00AA1AFD">
        <w:rPr>
          <w:rFonts w:eastAsiaTheme="minorHAnsi" w:cs="Times New Roman"/>
          <w:noProof/>
          <w:color w:val="auto"/>
          <w:szCs w:val="22"/>
          <w:lang w:val="en-GB" w:eastAsia="en-US"/>
        </w:rPr>
        <w:t xml:space="preserve"> and</w:t>
      </w:r>
      <w:r w:rsidR="00334D1F" w:rsidRPr="00334D1F">
        <w:rPr>
          <w:rFonts w:eastAsiaTheme="minorHAnsi" w:cs="Times New Roman"/>
          <w:noProof/>
          <w:color w:val="auto"/>
          <w:szCs w:val="22"/>
          <w:lang w:val="en-GB" w:eastAsia="en-US"/>
        </w:rPr>
        <w:t xml:space="preserve"> </w:t>
      </w:r>
      <w:r w:rsidR="00334D1F">
        <w:rPr>
          <w:rFonts w:eastAsiaTheme="minorHAnsi" w:cs="Times New Roman"/>
          <w:noProof/>
          <w:color w:val="auto"/>
          <w:szCs w:val="22"/>
          <w:lang w:val="en-GB" w:eastAsia="en-US"/>
        </w:rPr>
        <w:t>a number of partner</w:t>
      </w:r>
      <w:r w:rsidR="00417E59" w:rsidRPr="00AA1AFD">
        <w:rPr>
          <w:rFonts w:eastAsiaTheme="minorHAnsi" w:cs="Times New Roman"/>
          <w:noProof/>
          <w:color w:val="auto"/>
          <w:szCs w:val="22"/>
          <w:lang w:val="en-GB" w:eastAsia="en-US"/>
        </w:rPr>
        <w:t xml:space="preserve"> countries have </w:t>
      </w:r>
      <w:r w:rsidR="00F814F0">
        <w:rPr>
          <w:rFonts w:eastAsiaTheme="minorHAnsi" w:cs="Times New Roman"/>
          <w:noProof/>
          <w:color w:val="auto"/>
          <w:szCs w:val="22"/>
          <w:lang w:val="en-GB" w:eastAsia="en-US"/>
        </w:rPr>
        <w:t>concluded</w:t>
      </w:r>
      <w:r w:rsidR="00417E59" w:rsidRPr="00AA1AFD">
        <w:rPr>
          <w:rFonts w:eastAsiaTheme="minorHAnsi" w:cs="Times New Roman"/>
          <w:noProof/>
          <w:color w:val="auto"/>
          <w:szCs w:val="22"/>
          <w:lang w:val="en-GB" w:eastAsia="en-US"/>
        </w:rPr>
        <w:t xml:space="preserve"> Association Agreements that aim at </w:t>
      </w:r>
      <w:r w:rsidR="00334D1F">
        <w:rPr>
          <w:rFonts w:eastAsiaTheme="minorHAnsi" w:cs="Times New Roman"/>
          <w:noProof/>
          <w:color w:val="auto"/>
          <w:szCs w:val="22"/>
          <w:lang w:val="en-GB" w:eastAsia="en-US"/>
        </w:rPr>
        <w:t>approximating</w:t>
      </w:r>
      <w:r w:rsidR="00334D1F" w:rsidRPr="00AA1AFD">
        <w:rPr>
          <w:rFonts w:eastAsiaTheme="minorHAnsi" w:cs="Times New Roman"/>
          <w:noProof/>
          <w:color w:val="auto"/>
          <w:szCs w:val="22"/>
          <w:lang w:val="en-GB" w:eastAsia="en-US"/>
        </w:rPr>
        <w:t xml:space="preserve"> </w:t>
      </w:r>
      <w:r w:rsidR="00417E59" w:rsidRPr="00AA1AFD">
        <w:rPr>
          <w:rFonts w:eastAsiaTheme="minorHAnsi" w:cs="Times New Roman"/>
          <w:noProof/>
          <w:color w:val="auto"/>
          <w:szCs w:val="22"/>
          <w:lang w:val="en-GB" w:eastAsia="en-US"/>
        </w:rPr>
        <w:t xml:space="preserve">the </w:t>
      </w:r>
      <w:r w:rsidR="00462DF8">
        <w:rPr>
          <w:rFonts w:eastAsiaTheme="minorHAnsi" w:cs="Times New Roman"/>
          <w:noProof/>
          <w:color w:val="auto"/>
          <w:szCs w:val="22"/>
          <w:lang w:val="en-GB" w:eastAsia="en-US"/>
        </w:rPr>
        <w:t>Union</w:t>
      </w:r>
      <w:r w:rsidR="00462DF8" w:rsidRPr="00AA1AFD">
        <w:rPr>
          <w:rFonts w:eastAsiaTheme="minorHAnsi" w:cs="Times New Roman"/>
          <w:noProof/>
          <w:color w:val="auto"/>
          <w:szCs w:val="22"/>
          <w:lang w:val="en-GB" w:eastAsia="en-US"/>
        </w:rPr>
        <w:t xml:space="preserve"> </w:t>
      </w:r>
      <w:r w:rsidR="00592F40">
        <w:rPr>
          <w:rFonts w:eastAsiaTheme="minorHAnsi" w:cs="Times New Roman"/>
          <w:noProof/>
          <w:color w:val="auto"/>
          <w:szCs w:val="22"/>
          <w:lang w:val="en-GB" w:eastAsia="en-US"/>
        </w:rPr>
        <w:t>t</w:t>
      </w:r>
      <w:r w:rsidR="00592F40" w:rsidRPr="00AA1AFD">
        <w:rPr>
          <w:rFonts w:eastAsiaTheme="minorHAnsi" w:cs="Times New Roman"/>
          <w:noProof/>
          <w:color w:val="auto"/>
          <w:szCs w:val="22"/>
          <w:lang w:val="en-GB" w:eastAsia="en-US"/>
        </w:rPr>
        <w:t xml:space="preserve">ransport </w:t>
      </w:r>
      <w:r w:rsidR="00592F40">
        <w:rPr>
          <w:rFonts w:eastAsiaTheme="minorHAnsi" w:cs="Times New Roman"/>
          <w:noProof/>
          <w:color w:val="auto"/>
          <w:szCs w:val="22"/>
          <w:lang w:val="en-GB" w:eastAsia="en-US"/>
        </w:rPr>
        <w:t>l</w:t>
      </w:r>
      <w:r w:rsidR="00592F40" w:rsidRPr="00AA1AFD">
        <w:rPr>
          <w:rFonts w:eastAsiaTheme="minorHAnsi" w:cs="Times New Roman"/>
          <w:noProof/>
          <w:color w:val="auto"/>
          <w:szCs w:val="22"/>
          <w:lang w:val="en-GB" w:eastAsia="en-US"/>
        </w:rPr>
        <w:t xml:space="preserve">egislation </w:t>
      </w:r>
      <w:r w:rsidR="00417E59" w:rsidRPr="00AA1AFD">
        <w:rPr>
          <w:rFonts w:eastAsiaTheme="minorHAnsi" w:cs="Times New Roman"/>
          <w:noProof/>
          <w:color w:val="auto"/>
          <w:szCs w:val="22"/>
          <w:lang w:val="en-GB" w:eastAsia="en-US"/>
        </w:rPr>
        <w:t xml:space="preserve">and at </w:t>
      </w:r>
      <w:r w:rsidR="00B7569B">
        <w:rPr>
          <w:rFonts w:eastAsiaTheme="minorHAnsi" w:cs="Times New Roman"/>
          <w:noProof/>
          <w:color w:val="auto"/>
          <w:szCs w:val="22"/>
          <w:lang w:val="en-GB" w:eastAsia="en-US"/>
        </w:rPr>
        <w:t>adopting</w:t>
      </w:r>
      <w:r w:rsidR="00B7569B" w:rsidRPr="00AA1AFD">
        <w:rPr>
          <w:rFonts w:eastAsiaTheme="minorHAnsi" w:cs="Times New Roman"/>
          <w:noProof/>
          <w:color w:val="auto"/>
          <w:szCs w:val="22"/>
          <w:lang w:val="en-GB" w:eastAsia="en-US"/>
        </w:rPr>
        <w:t xml:space="preserve"> </w:t>
      </w:r>
      <w:r w:rsidR="0067611B" w:rsidRPr="00AA1AFD">
        <w:rPr>
          <w:rFonts w:eastAsiaTheme="minorHAnsi" w:cs="Times New Roman"/>
          <w:noProof/>
          <w:color w:val="auto"/>
          <w:szCs w:val="22"/>
          <w:lang w:val="en-GB" w:eastAsia="en-US"/>
        </w:rPr>
        <w:t>the</w:t>
      </w:r>
      <w:r w:rsidR="00417E59" w:rsidRPr="00AA1AFD">
        <w:rPr>
          <w:rFonts w:eastAsiaTheme="minorHAnsi" w:cs="Times New Roman"/>
          <w:noProof/>
          <w:color w:val="auto"/>
          <w:szCs w:val="22"/>
          <w:lang w:val="en-GB" w:eastAsia="en-US"/>
        </w:rPr>
        <w:t xml:space="preserve"> TEN-T requirements and standards o</w:t>
      </w:r>
      <w:r w:rsidR="0067611B" w:rsidRPr="00AA1AFD">
        <w:rPr>
          <w:rFonts w:eastAsiaTheme="minorHAnsi" w:cs="Times New Roman"/>
          <w:noProof/>
          <w:color w:val="auto"/>
          <w:szCs w:val="22"/>
          <w:lang w:val="en-GB" w:eastAsia="en-US"/>
        </w:rPr>
        <w:t>n</w:t>
      </w:r>
      <w:r w:rsidR="00417E59" w:rsidRPr="00AA1AFD">
        <w:rPr>
          <w:rFonts w:eastAsiaTheme="minorHAnsi" w:cs="Times New Roman"/>
          <w:noProof/>
          <w:color w:val="auto"/>
          <w:szCs w:val="22"/>
          <w:lang w:val="en-GB" w:eastAsia="en-US"/>
        </w:rPr>
        <w:t xml:space="preserve"> interoperability.</w:t>
      </w:r>
    </w:p>
    <w:p w:rsidR="00154A4B" w:rsidRPr="00AA1AFD" w:rsidRDefault="00154A4B" w:rsidP="00154A4B">
      <w:pPr>
        <w:pStyle w:val="wordcount"/>
        <w:spacing w:after="60"/>
        <w:jc w:val="both"/>
        <w:rPr>
          <w:rFonts w:eastAsiaTheme="minorHAnsi" w:cs="Times New Roman"/>
          <w:noProof/>
          <w:color w:val="auto"/>
          <w:szCs w:val="22"/>
          <w:lang w:val="en-GB" w:eastAsia="en-US"/>
        </w:rPr>
      </w:pPr>
      <w:r w:rsidRPr="00AA1AFD">
        <w:rPr>
          <w:rFonts w:eastAsiaTheme="minorHAnsi" w:cs="Times New Roman"/>
          <w:noProof/>
          <w:color w:val="auto"/>
          <w:szCs w:val="22"/>
          <w:lang w:val="en-GB" w:eastAsia="en-US"/>
        </w:rPr>
        <w:t xml:space="preserve"> </w:t>
      </w:r>
    </w:p>
    <w:p w:rsidR="000D272E" w:rsidRDefault="00507E77" w:rsidP="00154A4B">
      <w:pPr>
        <w:pStyle w:val="wordcount"/>
        <w:spacing w:after="60"/>
        <w:jc w:val="both"/>
        <w:rPr>
          <w:rFonts w:eastAsiaTheme="minorHAnsi" w:cs="Times New Roman"/>
          <w:noProof/>
          <w:color w:val="auto"/>
          <w:szCs w:val="22"/>
          <w:lang w:val="en-GB" w:eastAsia="en-US"/>
        </w:rPr>
      </w:pPr>
      <w:r>
        <w:rPr>
          <w:rFonts w:cs="Times New Roman"/>
          <w:noProof/>
          <w:lang w:val="en-GB"/>
        </w:rPr>
        <w:t xml:space="preserve">Also among the important Union priorities is </w:t>
      </w:r>
      <w:r w:rsidR="003A4C8F">
        <w:rPr>
          <w:rFonts w:cs="Times New Roman"/>
          <w:noProof/>
          <w:lang w:val="en-GB"/>
        </w:rPr>
        <w:t>the aim</w:t>
      </w:r>
      <w:r w:rsidR="008211FD">
        <w:rPr>
          <w:rFonts w:eastAsiaTheme="minorHAnsi" w:cs="Times New Roman"/>
          <w:noProof/>
          <w:color w:val="auto"/>
          <w:szCs w:val="22"/>
          <w:lang w:val="en-GB" w:eastAsia="en-US"/>
        </w:rPr>
        <w:t xml:space="preserve"> </w:t>
      </w:r>
      <w:r w:rsidR="00C47607">
        <w:rPr>
          <w:rFonts w:eastAsiaTheme="minorHAnsi" w:cs="Times New Roman"/>
          <w:noProof/>
          <w:color w:val="auto"/>
          <w:szCs w:val="22"/>
          <w:lang w:val="en-GB" w:eastAsia="en-US"/>
        </w:rPr>
        <w:t xml:space="preserve">to decarbonise </w:t>
      </w:r>
      <w:r w:rsidR="00D76131">
        <w:rPr>
          <w:rFonts w:eastAsiaTheme="minorHAnsi" w:cs="Times New Roman"/>
          <w:noProof/>
          <w:color w:val="auto"/>
          <w:szCs w:val="22"/>
          <w:lang w:val="en-GB" w:eastAsia="en-US"/>
        </w:rPr>
        <w:t>transport</w:t>
      </w:r>
      <w:r w:rsidR="00334D1F">
        <w:rPr>
          <w:rFonts w:eastAsiaTheme="minorHAnsi" w:cs="Times New Roman"/>
          <w:noProof/>
          <w:color w:val="auto"/>
          <w:szCs w:val="22"/>
          <w:lang w:val="en-GB" w:eastAsia="en-US"/>
        </w:rPr>
        <w:t xml:space="preserve"> and limit the impact of climate change on </w:t>
      </w:r>
      <w:r w:rsidR="00334D1F">
        <w:rPr>
          <w:rFonts w:cs="Times New Roman"/>
          <w:noProof/>
          <w:lang w:val="en-GB"/>
        </w:rPr>
        <w:t>t</w:t>
      </w:r>
      <w:r w:rsidR="00F2779B" w:rsidRPr="0072055A">
        <w:rPr>
          <w:rFonts w:cs="Times New Roman"/>
          <w:noProof/>
          <w:lang w:val="en-GB"/>
        </w:rPr>
        <w:t xml:space="preserve">he </w:t>
      </w:r>
      <w:r w:rsidR="00F814F0">
        <w:rPr>
          <w:rFonts w:cs="Times New Roman"/>
          <w:noProof/>
          <w:lang w:val="en-GB"/>
        </w:rPr>
        <w:t>Union</w:t>
      </w:r>
      <w:r w:rsidR="00F2779B" w:rsidRPr="0072055A">
        <w:rPr>
          <w:rFonts w:cs="Times New Roman"/>
          <w:noProof/>
          <w:lang w:val="en-GB"/>
        </w:rPr>
        <w:t xml:space="preserve"> and its neighbours</w:t>
      </w:r>
      <w:r w:rsidR="00334D1F">
        <w:rPr>
          <w:rFonts w:cs="Times New Roman"/>
          <w:noProof/>
          <w:lang w:val="en-GB"/>
        </w:rPr>
        <w:t>.</w:t>
      </w:r>
      <w:r w:rsidR="00F2779B" w:rsidRPr="0072055A">
        <w:rPr>
          <w:rFonts w:cs="Times New Roman"/>
          <w:noProof/>
          <w:lang w:val="en-GB"/>
        </w:rPr>
        <w:t xml:space="preserve"> </w:t>
      </w:r>
      <w:r w:rsidR="003A4C8F">
        <w:rPr>
          <w:rFonts w:eastAsiaTheme="minorHAnsi" w:cs="Times New Roman"/>
          <w:noProof/>
          <w:color w:val="auto"/>
          <w:szCs w:val="22"/>
          <w:lang w:val="en-GB" w:eastAsia="en-US"/>
        </w:rPr>
        <w:t>T</w:t>
      </w:r>
      <w:r w:rsidR="00F2779B" w:rsidRPr="00C47607">
        <w:rPr>
          <w:rFonts w:eastAsiaTheme="minorHAnsi" w:cs="Times New Roman"/>
          <w:noProof/>
          <w:color w:val="auto"/>
          <w:szCs w:val="22"/>
          <w:lang w:val="en-GB" w:eastAsia="en-US"/>
        </w:rPr>
        <w:t xml:space="preserve">he TEN-T policy </w:t>
      </w:r>
      <w:r w:rsidR="00334D1F">
        <w:rPr>
          <w:rFonts w:eastAsiaTheme="minorHAnsi" w:cs="Times New Roman"/>
          <w:noProof/>
          <w:color w:val="auto"/>
          <w:szCs w:val="22"/>
          <w:lang w:val="en-GB" w:eastAsia="en-US"/>
        </w:rPr>
        <w:t xml:space="preserve">will </w:t>
      </w:r>
      <w:r w:rsidR="00F2779B" w:rsidRPr="00C47607">
        <w:rPr>
          <w:rFonts w:eastAsiaTheme="minorHAnsi" w:cs="Times New Roman"/>
          <w:noProof/>
          <w:color w:val="auto"/>
          <w:szCs w:val="22"/>
          <w:lang w:val="en-GB" w:eastAsia="en-US"/>
        </w:rPr>
        <w:t>contribute to the goals set out in the European Green Deal</w:t>
      </w:r>
      <w:r w:rsidR="000D272E" w:rsidRPr="0072055A">
        <w:rPr>
          <w:rFonts w:eastAsiaTheme="minorHAnsi" w:cs="Times New Roman"/>
          <w:noProof/>
          <w:color w:val="auto"/>
          <w:szCs w:val="22"/>
          <w:lang w:val="en-GB" w:eastAsia="en-US"/>
        </w:rPr>
        <w:t xml:space="preserve">. In view of this, all </w:t>
      </w:r>
      <w:r w:rsidR="001F549E">
        <w:rPr>
          <w:rFonts w:eastAsiaTheme="minorHAnsi" w:cs="Times New Roman"/>
          <w:noProof/>
          <w:color w:val="auto"/>
          <w:szCs w:val="22"/>
          <w:lang w:val="en-GB" w:eastAsia="en-US"/>
        </w:rPr>
        <w:t>enlargement and</w:t>
      </w:r>
      <w:r w:rsidR="00EE35BC">
        <w:rPr>
          <w:rFonts w:eastAsiaTheme="minorHAnsi" w:cs="Times New Roman"/>
          <w:noProof/>
          <w:color w:val="auto"/>
          <w:szCs w:val="22"/>
          <w:lang w:val="en-GB" w:eastAsia="en-US"/>
        </w:rPr>
        <w:t xml:space="preserve"> other</w:t>
      </w:r>
      <w:r w:rsidR="001F549E">
        <w:rPr>
          <w:rFonts w:eastAsiaTheme="minorHAnsi" w:cs="Times New Roman"/>
          <w:noProof/>
          <w:color w:val="auto"/>
          <w:szCs w:val="22"/>
          <w:lang w:val="en-GB" w:eastAsia="en-US"/>
        </w:rPr>
        <w:t xml:space="preserve"> </w:t>
      </w:r>
      <w:r w:rsidR="000D272E" w:rsidRPr="0072055A">
        <w:rPr>
          <w:rFonts w:eastAsiaTheme="minorHAnsi" w:cs="Times New Roman"/>
          <w:noProof/>
          <w:color w:val="auto"/>
          <w:szCs w:val="22"/>
          <w:lang w:val="en-GB" w:eastAsia="en-US"/>
        </w:rPr>
        <w:t>neighbouring</w:t>
      </w:r>
      <w:r w:rsidR="00864890">
        <w:rPr>
          <w:rFonts w:eastAsiaTheme="minorHAnsi" w:cs="Times New Roman"/>
          <w:noProof/>
          <w:color w:val="auto"/>
          <w:szCs w:val="22"/>
          <w:lang w:val="en-GB" w:eastAsia="en-US"/>
        </w:rPr>
        <w:t xml:space="preserve"> countries</w:t>
      </w:r>
      <w:r w:rsidR="000D272E" w:rsidRPr="0072055A">
        <w:rPr>
          <w:rFonts w:eastAsiaTheme="minorHAnsi" w:cs="Times New Roman"/>
          <w:noProof/>
          <w:color w:val="auto"/>
          <w:szCs w:val="22"/>
          <w:lang w:val="en-GB" w:eastAsia="en-US"/>
        </w:rPr>
        <w:t xml:space="preserve"> </w:t>
      </w:r>
      <w:r w:rsidR="00D261A6">
        <w:rPr>
          <w:rFonts w:eastAsiaTheme="minorHAnsi" w:cs="Times New Roman"/>
          <w:noProof/>
          <w:color w:val="auto"/>
          <w:szCs w:val="22"/>
          <w:lang w:val="en-GB" w:eastAsia="en-US"/>
        </w:rPr>
        <w:t>should</w:t>
      </w:r>
      <w:r w:rsidR="00F2779B" w:rsidRPr="0072055A">
        <w:rPr>
          <w:rFonts w:eastAsiaTheme="minorHAnsi" w:cs="Times New Roman"/>
          <w:noProof/>
          <w:color w:val="auto"/>
          <w:szCs w:val="22"/>
          <w:lang w:val="en-GB" w:eastAsia="en-US"/>
        </w:rPr>
        <w:t xml:space="preserve"> </w:t>
      </w:r>
      <w:r w:rsidR="000D272E" w:rsidRPr="0072055A">
        <w:rPr>
          <w:rFonts w:eastAsiaTheme="minorHAnsi" w:cs="Times New Roman"/>
          <w:noProof/>
          <w:color w:val="auto"/>
          <w:szCs w:val="22"/>
          <w:lang w:val="en-GB" w:eastAsia="en-US"/>
        </w:rPr>
        <w:t xml:space="preserve">pursue </w:t>
      </w:r>
      <w:r w:rsidR="00D261A6">
        <w:rPr>
          <w:rFonts w:eastAsiaTheme="minorHAnsi" w:cs="Times New Roman"/>
          <w:noProof/>
          <w:color w:val="auto"/>
          <w:szCs w:val="22"/>
          <w:lang w:val="en-GB" w:eastAsia="en-US"/>
        </w:rPr>
        <w:t xml:space="preserve">the objective of the European Green Deal </w:t>
      </w:r>
      <w:r w:rsidR="000D272E" w:rsidRPr="0072055A">
        <w:rPr>
          <w:rFonts w:eastAsiaTheme="minorHAnsi" w:cs="Times New Roman"/>
          <w:noProof/>
          <w:color w:val="auto"/>
          <w:szCs w:val="22"/>
          <w:lang w:val="en-GB" w:eastAsia="en-US"/>
        </w:rPr>
        <w:t>to provide for a 90% reduction in transport-related greenhouse gas emissions by 2050. Acting ambitiously</w:t>
      </w:r>
      <w:r w:rsidR="00F2779B" w:rsidRPr="0072055A">
        <w:rPr>
          <w:rFonts w:eastAsiaTheme="minorHAnsi" w:cs="Times New Roman"/>
          <w:noProof/>
          <w:color w:val="auto"/>
          <w:szCs w:val="22"/>
          <w:lang w:val="en-GB" w:eastAsia="en-US"/>
        </w:rPr>
        <w:t xml:space="preserve"> </w:t>
      </w:r>
      <w:r w:rsidR="000D272E" w:rsidRPr="0072055A">
        <w:rPr>
          <w:rFonts w:eastAsiaTheme="minorHAnsi" w:cs="Times New Roman"/>
          <w:noProof/>
          <w:color w:val="auto"/>
          <w:szCs w:val="22"/>
          <w:lang w:val="en-GB" w:eastAsia="en-US"/>
        </w:rPr>
        <w:t xml:space="preserve">and joining forces in pursuit of this agenda will provide the </w:t>
      </w:r>
      <w:r w:rsidR="005163AB">
        <w:rPr>
          <w:rFonts w:eastAsiaTheme="minorHAnsi" w:cs="Times New Roman"/>
          <w:noProof/>
          <w:color w:val="auto"/>
          <w:szCs w:val="22"/>
          <w:lang w:val="en-GB" w:eastAsia="en-US"/>
        </w:rPr>
        <w:t>Union</w:t>
      </w:r>
      <w:r w:rsidR="000D272E" w:rsidRPr="0072055A">
        <w:rPr>
          <w:rFonts w:eastAsiaTheme="minorHAnsi" w:cs="Times New Roman"/>
          <w:noProof/>
          <w:color w:val="auto"/>
          <w:szCs w:val="22"/>
          <w:lang w:val="en-GB" w:eastAsia="en-US"/>
        </w:rPr>
        <w:t xml:space="preserve"> and </w:t>
      </w:r>
      <w:r w:rsidR="00F2779B" w:rsidRPr="0072055A">
        <w:rPr>
          <w:rFonts w:eastAsiaTheme="minorHAnsi" w:cs="Times New Roman"/>
          <w:noProof/>
          <w:color w:val="auto"/>
          <w:szCs w:val="22"/>
          <w:lang w:val="en-GB" w:eastAsia="en-US"/>
        </w:rPr>
        <w:t>its neighbour</w:t>
      </w:r>
      <w:r w:rsidR="00AC267C">
        <w:rPr>
          <w:rFonts w:eastAsiaTheme="minorHAnsi" w:cs="Times New Roman"/>
          <w:noProof/>
          <w:color w:val="auto"/>
          <w:szCs w:val="22"/>
          <w:lang w:val="en-GB" w:eastAsia="en-US"/>
        </w:rPr>
        <w:t>s</w:t>
      </w:r>
      <w:r w:rsidR="00F2779B" w:rsidRPr="0072055A">
        <w:rPr>
          <w:rFonts w:eastAsiaTheme="minorHAnsi" w:cs="Times New Roman"/>
          <w:noProof/>
          <w:color w:val="auto"/>
          <w:szCs w:val="22"/>
          <w:lang w:val="en-GB" w:eastAsia="en-US"/>
        </w:rPr>
        <w:t xml:space="preserve"> </w:t>
      </w:r>
      <w:r w:rsidR="000D272E" w:rsidRPr="0072055A">
        <w:rPr>
          <w:rFonts w:eastAsiaTheme="minorHAnsi" w:cs="Times New Roman"/>
          <w:noProof/>
          <w:color w:val="auto"/>
          <w:szCs w:val="22"/>
          <w:lang w:val="en-GB" w:eastAsia="en-US"/>
        </w:rPr>
        <w:t>with a first-mover advantage in the global shift towards a sustainable and green transport sector.</w:t>
      </w:r>
    </w:p>
    <w:p w:rsidR="00462007" w:rsidRDefault="00462007" w:rsidP="00154A4B">
      <w:pPr>
        <w:pStyle w:val="wordcount"/>
        <w:spacing w:after="60"/>
        <w:jc w:val="both"/>
        <w:rPr>
          <w:rFonts w:eastAsiaTheme="minorHAnsi" w:cs="Times New Roman"/>
          <w:noProof/>
          <w:color w:val="auto"/>
          <w:szCs w:val="22"/>
          <w:lang w:val="en-GB" w:eastAsia="en-US"/>
        </w:rPr>
      </w:pPr>
    </w:p>
    <w:p w:rsidR="00C70BF0" w:rsidRPr="00C70BF0" w:rsidRDefault="00C70BF0" w:rsidP="00C70BF0">
      <w:pPr>
        <w:spacing w:before="120" w:after="120" w:line="240" w:lineRule="auto"/>
        <w:jc w:val="both"/>
        <w:rPr>
          <w:rFonts w:ascii="Times New Roman" w:hAnsi="Times New Roman" w:cs="Times New Roman"/>
          <w:noProof/>
          <w:sz w:val="24"/>
          <w:lang w:val="en-GB"/>
        </w:rPr>
      </w:pPr>
      <w:r w:rsidRPr="00C70BF0">
        <w:rPr>
          <w:rFonts w:ascii="Times New Roman" w:hAnsi="Times New Roman" w:cs="Times New Roman"/>
          <w:noProof/>
          <w:sz w:val="24"/>
          <w:lang w:val="en-GB"/>
        </w:rPr>
        <w:t xml:space="preserve">The participation of undertakings which are owned or controlled by a natural person or an undertaking of a non-EU country can contribute to the realisation of the TEN-T network </w:t>
      </w:r>
      <w:r>
        <w:rPr>
          <w:rFonts w:ascii="Times New Roman" w:hAnsi="Times New Roman" w:cs="Times New Roman"/>
          <w:noProof/>
          <w:sz w:val="24"/>
          <w:lang w:val="en-GB"/>
        </w:rPr>
        <w:t>in the EU</w:t>
      </w:r>
      <w:r w:rsidRPr="00C70BF0">
        <w:rPr>
          <w:rFonts w:ascii="Times New Roman" w:hAnsi="Times New Roman" w:cs="Times New Roman"/>
          <w:noProof/>
          <w:sz w:val="24"/>
          <w:lang w:val="en-GB"/>
        </w:rPr>
        <w:t xml:space="preserve">. However, under specific circumstances, such participation </w:t>
      </w:r>
      <w:r w:rsidR="00146267">
        <w:rPr>
          <w:rFonts w:ascii="Times New Roman" w:hAnsi="Times New Roman" w:cs="Times New Roman"/>
          <w:noProof/>
          <w:sz w:val="24"/>
          <w:lang w:val="en-GB"/>
        </w:rPr>
        <w:t>in</w:t>
      </w:r>
      <w:r w:rsidRPr="00C70BF0">
        <w:rPr>
          <w:rFonts w:ascii="Times New Roman" w:hAnsi="Times New Roman" w:cs="Times New Roman"/>
          <w:noProof/>
          <w:sz w:val="24"/>
          <w:lang w:val="en-GB"/>
        </w:rPr>
        <w:t xml:space="preserve"> projects of common interest might compromise security and public order</w:t>
      </w:r>
      <w:r>
        <w:rPr>
          <w:rFonts w:ascii="Times New Roman" w:hAnsi="Times New Roman" w:cs="Times New Roman"/>
          <w:noProof/>
          <w:sz w:val="24"/>
          <w:lang w:val="en-GB"/>
        </w:rPr>
        <w:t xml:space="preserve"> in the EU</w:t>
      </w:r>
      <w:r w:rsidRPr="00C70BF0">
        <w:rPr>
          <w:rFonts w:ascii="Times New Roman" w:hAnsi="Times New Roman" w:cs="Times New Roman"/>
          <w:noProof/>
          <w:sz w:val="24"/>
          <w:lang w:val="en-GB"/>
        </w:rPr>
        <w:t>. Without prejudice and in addition to the cooperation mechanism pursuant to Regulation (EU) 2019/452</w:t>
      </w:r>
      <w:r w:rsidRPr="00C70BF0">
        <w:rPr>
          <w:rFonts w:ascii="Times New Roman" w:hAnsi="Times New Roman" w:cs="Times New Roman"/>
          <w:noProof/>
          <w:sz w:val="24"/>
          <w:vertAlign w:val="superscript"/>
          <w:lang w:val="en-GB"/>
        </w:rPr>
        <w:footnoteReference w:id="16"/>
      </w:r>
      <w:r w:rsidRPr="00C70BF0">
        <w:rPr>
          <w:rFonts w:ascii="Times New Roman" w:hAnsi="Times New Roman" w:cs="Times New Roman"/>
          <w:noProof/>
          <w:sz w:val="24"/>
          <w:lang w:val="en-GB"/>
        </w:rPr>
        <w:t xml:space="preserve">, greater awareness of such participation is necessary to allow intervention of public authorities if it appears that they are likely to affect security or public order. The Commission proposal revising the TEN-T regulation therefore provides that Member States shall notify the Commission of any project of common interest in their territory with the participation of a natural person or an undertaking of a non-EU country with a view to allow assessment of its impact on security or public order in the EU. </w:t>
      </w:r>
      <w:r>
        <w:rPr>
          <w:rFonts w:ascii="Times New Roman" w:hAnsi="Times New Roman" w:cs="Times New Roman"/>
          <w:noProof/>
          <w:sz w:val="24"/>
          <w:lang w:val="en-GB"/>
        </w:rPr>
        <w:t>Neighbouring countries should set up a similar mechanism concerning projects implemented on the indicative TEN-T network.</w:t>
      </w:r>
    </w:p>
    <w:p w:rsidR="00154A4B" w:rsidRPr="00AA1AFD" w:rsidRDefault="00154A4B" w:rsidP="00C70BF0">
      <w:pPr>
        <w:pStyle w:val="Considrant"/>
        <w:numPr>
          <w:ilvl w:val="0"/>
          <w:numId w:val="0"/>
        </w:numPr>
        <w:rPr>
          <w:noProof/>
        </w:rPr>
      </w:pPr>
    </w:p>
    <w:p w:rsidR="0000338D" w:rsidRPr="00AA1AFD" w:rsidRDefault="00A01EF6" w:rsidP="00F52339">
      <w:pPr>
        <w:spacing w:after="120"/>
        <w:jc w:val="both"/>
        <w:rPr>
          <w:rFonts w:ascii="Times New Roman" w:hAnsi="Times New Roman" w:cs="Times New Roman"/>
          <w:i/>
          <w:noProof/>
          <w:sz w:val="24"/>
          <w:lang w:val="en-GB"/>
        </w:rPr>
      </w:pPr>
      <w:r w:rsidRPr="00AA1AFD">
        <w:rPr>
          <w:rFonts w:ascii="Times New Roman" w:hAnsi="Times New Roman" w:cs="Times New Roman"/>
          <w:b/>
          <w:noProof/>
          <w:sz w:val="24"/>
          <w:u w:val="single"/>
          <w:lang w:val="en-GB"/>
        </w:rPr>
        <w:t xml:space="preserve">III. </w:t>
      </w:r>
      <w:r w:rsidR="00E73A26" w:rsidRPr="00AA1AFD">
        <w:rPr>
          <w:rFonts w:ascii="Times New Roman" w:hAnsi="Times New Roman" w:cs="Times New Roman"/>
          <w:b/>
          <w:noProof/>
          <w:sz w:val="24"/>
          <w:u w:val="single"/>
          <w:lang w:val="en-GB"/>
        </w:rPr>
        <w:t>Main achievements and prospects of cooperation</w:t>
      </w:r>
      <w:r w:rsidR="0000338D" w:rsidRPr="00AA1AFD">
        <w:rPr>
          <w:rFonts w:ascii="Times New Roman" w:hAnsi="Times New Roman" w:cs="Times New Roman"/>
          <w:b/>
          <w:noProof/>
          <w:sz w:val="24"/>
          <w:u w:val="single"/>
          <w:lang w:val="en-GB"/>
        </w:rPr>
        <w:t xml:space="preserve"> with </w:t>
      </w:r>
      <w:r w:rsidR="00104DEE" w:rsidRPr="00AA1AFD">
        <w:rPr>
          <w:rFonts w:ascii="Times New Roman" w:hAnsi="Times New Roman" w:cs="Times New Roman"/>
          <w:b/>
          <w:noProof/>
          <w:sz w:val="24"/>
          <w:u w:val="single"/>
          <w:lang w:val="en-GB"/>
        </w:rPr>
        <w:t>neighbouring</w:t>
      </w:r>
      <w:r w:rsidR="0000338D" w:rsidRPr="00AA1AFD">
        <w:rPr>
          <w:rFonts w:ascii="Times New Roman" w:hAnsi="Times New Roman" w:cs="Times New Roman"/>
          <w:b/>
          <w:noProof/>
          <w:sz w:val="24"/>
          <w:u w:val="single"/>
          <w:lang w:val="en-GB"/>
        </w:rPr>
        <w:t xml:space="preserve"> countries </w:t>
      </w:r>
    </w:p>
    <w:p w:rsidR="002C1A3C" w:rsidRPr="002C1A3C" w:rsidRDefault="002C1A3C" w:rsidP="002C1A3C">
      <w:pPr>
        <w:spacing w:after="120"/>
        <w:jc w:val="both"/>
        <w:rPr>
          <w:rFonts w:ascii="Times New Roman" w:hAnsi="Times New Roman" w:cs="Times New Roman"/>
          <w:b/>
          <w:i/>
          <w:noProof/>
          <w:sz w:val="24"/>
          <w:lang w:val="en-GB"/>
        </w:rPr>
      </w:pPr>
      <w:r w:rsidRPr="0072055A">
        <w:rPr>
          <w:rFonts w:ascii="Times New Roman" w:hAnsi="Times New Roman" w:cs="Times New Roman"/>
          <w:b/>
          <w:noProof/>
          <w:sz w:val="24"/>
          <w:lang w:val="en-GB"/>
        </w:rPr>
        <w:t xml:space="preserve">The European Economic Area and </w:t>
      </w:r>
      <w:r w:rsidR="00E503E4">
        <w:rPr>
          <w:rFonts w:ascii="Times New Roman" w:hAnsi="Times New Roman" w:cs="Times New Roman"/>
          <w:b/>
          <w:noProof/>
          <w:sz w:val="24"/>
          <w:lang w:val="en-GB"/>
        </w:rPr>
        <w:t>Switzerland</w:t>
      </w:r>
    </w:p>
    <w:p w:rsidR="002C1A3C" w:rsidRDefault="00476692" w:rsidP="002C1A3C">
      <w:pPr>
        <w:spacing w:after="60"/>
        <w:jc w:val="both"/>
        <w:rPr>
          <w:rFonts w:ascii="Times New Roman" w:hAnsi="Times New Roman" w:cs="Times New Roman"/>
          <w:noProof/>
          <w:sz w:val="24"/>
          <w:lang w:val="en-GB"/>
        </w:rPr>
      </w:pPr>
      <w:r>
        <w:rPr>
          <w:rFonts w:ascii="Times New Roman" w:hAnsi="Times New Roman" w:cs="Times New Roman"/>
          <w:noProof/>
          <w:sz w:val="24"/>
          <w:lang w:val="en-GB"/>
        </w:rPr>
        <w:t xml:space="preserve">The </w:t>
      </w:r>
      <w:r w:rsidRPr="00AA1AFD">
        <w:rPr>
          <w:rFonts w:ascii="Times New Roman" w:hAnsi="Times New Roman" w:cs="Times New Roman"/>
          <w:noProof/>
          <w:sz w:val="24"/>
          <w:lang w:val="en-GB"/>
        </w:rPr>
        <w:t>European Economic Area</w:t>
      </w:r>
      <w:r>
        <w:rPr>
          <w:rFonts w:ascii="Times New Roman" w:hAnsi="Times New Roman" w:cs="Times New Roman"/>
          <w:noProof/>
          <w:sz w:val="24"/>
          <w:lang w:val="en-GB"/>
        </w:rPr>
        <w:t xml:space="preserve"> (EEA)</w:t>
      </w:r>
      <w:r w:rsidRPr="00AA1AFD">
        <w:rPr>
          <w:rFonts w:ascii="Times New Roman" w:hAnsi="Times New Roman" w:cs="Times New Roman"/>
          <w:noProof/>
          <w:sz w:val="24"/>
          <w:lang w:val="en-GB"/>
        </w:rPr>
        <w:t xml:space="preserve"> and</w:t>
      </w:r>
      <w:r>
        <w:rPr>
          <w:rFonts w:ascii="Times New Roman" w:hAnsi="Times New Roman" w:cs="Times New Roman"/>
          <w:noProof/>
          <w:sz w:val="24"/>
          <w:lang w:val="en-GB"/>
        </w:rPr>
        <w:t xml:space="preserve"> the European Free Trade Association</w:t>
      </w:r>
      <w:r w:rsidRPr="00AA1AFD">
        <w:rPr>
          <w:rFonts w:ascii="Times New Roman" w:hAnsi="Times New Roman" w:cs="Times New Roman"/>
          <w:noProof/>
          <w:sz w:val="24"/>
          <w:lang w:val="en-GB"/>
        </w:rPr>
        <w:t xml:space="preserve"> </w:t>
      </w:r>
      <w:r>
        <w:rPr>
          <w:rFonts w:ascii="Times New Roman" w:hAnsi="Times New Roman" w:cs="Times New Roman"/>
          <w:noProof/>
          <w:sz w:val="24"/>
          <w:lang w:val="en-US"/>
        </w:rPr>
        <w:t>(</w:t>
      </w:r>
      <w:r w:rsidRPr="00AA1AFD">
        <w:rPr>
          <w:rFonts w:ascii="Times New Roman" w:hAnsi="Times New Roman" w:cs="Times New Roman"/>
          <w:noProof/>
          <w:sz w:val="24"/>
          <w:lang w:val="en-GB"/>
        </w:rPr>
        <w:t>EFTA</w:t>
      </w:r>
      <w:r>
        <w:rPr>
          <w:rFonts w:ascii="Times New Roman" w:hAnsi="Times New Roman" w:cs="Times New Roman"/>
          <w:noProof/>
          <w:sz w:val="24"/>
          <w:lang w:val="en-GB"/>
        </w:rPr>
        <w:t>) form an integral part of the TEN-T policy on neighbouring countries.</w:t>
      </w:r>
      <w:r w:rsidR="002C1A3C">
        <w:rPr>
          <w:rFonts w:ascii="Times New Roman" w:hAnsi="Times New Roman" w:cs="Times New Roman"/>
          <w:noProof/>
          <w:sz w:val="24"/>
          <w:lang w:val="en-GB"/>
        </w:rPr>
        <w:t xml:space="preserve"> For decades, EEA and EFTA States have been closely tied to the development of the </w:t>
      </w:r>
      <w:r w:rsidR="002253DA">
        <w:rPr>
          <w:rFonts w:ascii="Times New Roman" w:hAnsi="Times New Roman" w:cs="Times New Roman"/>
          <w:noProof/>
          <w:sz w:val="24"/>
          <w:lang w:val="en-GB"/>
        </w:rPr>
        <w:t>Union</w:t>
      </w:r>
      <w:r w:rsidR="002C1A3C">
        <w:rPr>
          <w:rFonts w:ascii="Times New Roman" w:hAnsi="Times New Roman" w:cs="Times New Roman"/>
          <w:noProof/>
          <w:sz w:val="24"/>
          <w:lang w:val="en-GB"/>
        </w:rPr>
        <w:t xml:space="preserve"> market as seamlessly integrated trading partners for the EU. With 13.6 million people living</w:t>
      </w:r>
      <w:r w:rsidR="002C1A3C" w:rsidRPr="00142868">
        <w:rPr>
          <w:rFonts w:ascii="Times New Roman" w:hAnsi="Times New Roman" w:cs="Times New Roman"/>
          <w:noProof/>
          <w:sz w:val="24"/>
          <w:lang w:val="en-GB"/>
        </w:rPr>
        <w:t xml:space="preserve"> in the four EFTA </w:t>
      </w:r>
      <w:r w:rsidR="00E503E4">
        <w:rPr>
          <w:rFonts w:ascii="Times New Roman" w:hAnsi="Times New Roman" w:cs="Times New Roman"/>
          <w:noProof/>
          <w:sz w:val="24"/>
          <w:lang w:val="en-GB"/>
        </w:rPr>
        <w:t>S</w:t>
      </w:r>
      <w:r w:rsidR="002C1A3C">
        <w:rPr>
          <w:rFonts w:ascii="Times New Roman" w:hAnsi="Times New Roman" w:cs="Times New Roman"/>
          <w:noProof/>
          <w:sz w:val="24"/>
          <w:lang w:val="en-GB"/>
        </w:rPr>
        <w:t xml:space="preserve">tates, </w:t>
      </w:r>
      <w:r w:rsidR="002C1A3C" w:rsidRPr="00AA1AFD">
        <w:rPr>
          <w:rFonts w:ascii="Times New Roman" w:hAnsi="Times New Roman" w:cs="Times New Roman"/>
          <w:noProof/>
          <w:sz w:val="24"/>
          <w:lang w:val="en-GB"/>
        </w:rPr>
        <w:t>Norway, Iceland, Liechtenstein and Switzerland</w:t>
      </w:r>
      <w:r w:rsidR="002C1A3C">
        <w:rPr>
          <w:rFonts w:ascii="Times New Roman" w:hAnsi="Times New Roman" w:cs="Times New Roman"/>
          <w:noProof/>
          <w:sz w:val="24"/>
          <w:lang w:val="en-GB"/>
        </w:rPr>
        <w:t>, they comprise the</w:t>
      </w:r>
      <w:r w:rsidR="002C1A3C" w:rsidRPr="00142868">
        <w:rPr>
          <w:rFonts w:ascii="Times New Roman" w:hAnsi="Times New Roman" w:cs="Times New Roman"/>
          <w:noProof/>
          <w:sz w:val="24"/>
          <w:lang w:val="en-GB"/>
        </w:rPr>
        <w:t xml:space="preserve"> third largest trading partner</w:t>
      </w:r>
      <w:r w:rsidR="002C1A3C">
        <w:rPr>
          <w:rFonts w:ascii="Times New Roman" w:hAnsi="Times New Roman" w:cs="Times New Roman"/>
          <w:noProof/>
          <w:sz w:val="24"/>
          <w:lang w:val="en-GB"/>
        </w:rPr>
        <w:t xml:space="preserve"> of the </w:t>
      </w:r>
      <w:r w:rsidR="00E503E4">
        <w:rPr>
          <w:rFonts w:ascii="Times New Roman" w:hAnsi="Times New Roman" w:cs="Times New Roman"/>
          <w:noProof/>
          <w:sz w:val="24"/>
          <w:lang w:val="en-GB"/>
        </w:rPr>
        <w:t>Union</w:t>
      </w:r>
      <w:r w:rsidR="002C1A3C">
        <w:rPr>
          <w:rFonts w:ascii="Times New Roman" w:hAnsi="Times New Roman" w:cs="Times New Roman"/>
          <w:noProof/>
          <w:sz w:val="24"/>
          <w:lang w:val="en-GB"/>
        </w:rPr>
        <w:t xml:space="preserve"> in merchandise</w:t>
      </w:r>
      <w:r w:rsidR="002C1A3C" w:rsidRPr="00142868">
        <w:rPr>
          <w:rFonts w:ascii="Times New Roman" w:hAnsi="Times New Roman" w:cs="Times New Roman"/>
          <w:noProof/>
          <w:sz w:val="24"/>
          <w:lang w:val="en-GB"/>
        </w:rPr>
        <w:t xml:space="preserve"> and </w:t>
      </w:r>
      <w:r w:rsidR="002C1A3C">
        <w:rPr>
          <w:rFonts w:ascii="Times New Roman" w:hAnsi="Times New Roman" w:cs="Times New Roman"/>
          <w:noProof/>
          <w:sz w:val="24"/>
          <w:lang w:val="en-GB"/>
        </w:rPr>
        <w:t>the second largest in services.</w:t>
      </w:r>
    </w:p>
    <w:p w:rsidR="002C1A3C" w:rsidRDefault="002C1A3C" w:rsidP="002C1A3C">
      <w:pPr>
        <w:spacing w:after="60"/>
        <w:jc w:val="both"/>
        <w:rPr>
          <w:rFonts w:ascii="Times New Roman" w:hAnsi="Times New Roman" w:cs="Times New Roman"/>
          <w:noProof/>
          <w:sz w:val="24"/>
          <w:lang w:val="en-GB"/>
        </w:rPr>
      </w:pPr>
    </w:p>
    <w:p w:rsidR="002C1A3C" w:rsidRDefault="002C1A3C" w:rsidP="002C1A3C">
      <w:pPr>
        <w:spacing w:after="60"/>
        <w:jc w:val="both"/>
        <w:rPr>
          <w:rFonts w:ascii="Times New Roman" w:hAnsi="Times New Roman" w:cs="Times New Roman"/>
          <w:noProof/>
          <w:sz w:val="24"/>
          <w:lang w:val="en-GB"/>
        </w:rPr>
      </w:pPr>
      <w:r>
        <w:rPr>
          <w:rFonts w:ascii="Times New Roman" w:hAnsi="Times New Roman" w:cs="Times New Roman"/>
          <w:noProof/>
          <w:sz w:val="24"/>
          <w:lang w:val="en-GB"/>
        </w:rPr>
        <w:t xml:space="preserve">The extended indicative TEN-T in these States is well developed and on par with the network of the Union. For all modes of transport, the network of EEA/EFTA States is well integrated with the TEN-T even to the extent that two EEA/EFTA States are part </w:t>
      </w:r>
      <w:r w:rsidR="00B43A5C">
        <w:rPr>
          <w:rFonts w:ascii="Times New Roman" w:hAnsi="Times New Roman" w:cs="Times New Roman"/>
          <w:noProof/>
          <w:sz w:val="24"/>
          <w:lang w:val="en-GB"/>
        </w:rPr>
        <w:t xml:space="preserve">of </w:t>
      </w:r>
      <w:r>
        <w:rPr>
          <w:rFonts w:ascii="Times New Roman" w:hAnsi="Times New Roman" w:cs="Times New Roman"/>
          <w:noProof/>
          <w:sz w:val="24"/>
          <w:lang w:val="en-GB"/>
        </w:rPr>
        <w:t>a TEN-T core network corridor. The Scandinavian-Mediterranean Core Network Corridor includes Norway while the Rhine-Alpine Core Network Corridor crosses Switzerland. Accordingly, the European Coordinators are liaising closely with the countries in view of completing the indicative core TEN-T by 2030.</w:t>
      </w:r>
    </w:p>
    <w:p w:rsidR="002C1A3C" w:rsidRDefault="002C1A3C" w:rsidP="002C1A3C">
      <w:pPr>
        <w:spacing w:after="60"/>
        <w:jc w:val="both"/>
        <w:rPr>
          <w:rFonts w:ascii="Times New Roman" w:hAnsi="Times New Roman" w:cs="Times New Roman"/>
          <w:noProof/>
          <w:sz w:val="24"/>
          <w:lang w:val="en-GB"/>
        </w:rPr>
      </w:pPr>
    </w:p>
    <w:p w:rsidR="002C1A3C" w:rsidRDefault="002C1A3C" w:rsidP="002C1A3C">
      <w:pPr>
        <w:spacing w:after="60"/>
        <w:jc w:val="both"/>
        <w:rPr>
          <w:rFonts w:ascii="Times New Roman" w:hAnsi="Times New Roman" w:cs="Times New Roman"/>
          <w:noProof/>
          <w:sz w:val="24"/>
          <w:lang w:val="en-GB"/>
        </w:rPr>
      </w:pPr>
      <w:r w:rsidRPr="006F4C6C">
        <w:rPr>
          <w:rFonts w:ascii="Times New Roman" w:hAnsi="Times New Roman" w:cs="Times New Roman"/>
          <w:noProof/>
          <w:sz w:val="24"/>
          <w:lang w:val="en-GB"/>
        </w:rPr>
        <w:t>The Rhine-Alpine Corridor</w:t>
      </w:r>
      <w:r>
        <w:rPr>
          <w:rFonts w:ascii="Times New Roman" w:hAnsi="Times New Roman" w:cs="Times New Roman"/>
          <w:noProof/>
          <w:sz w:val="24"/>
          <w:lang w:val="en-GB"/>
        </w:rPr>
        <w:t xml:space="preserve"> is</w:t>
      </w:r>
      <w:r w:rsidRPr="006F4C6C">
        <w:rPr>
          <w:rFonts w:ascii="Times New Roman" w:hAnsi="Times New Roman" w:cs="Times New Roman"/>
          <w:noProof/>
          <w:sz w:val="24"/>
          <w:lang w:val="en-GB"/>
        </w:rPr>
        <w:t xml:space="preserve"> one of the busiest freight routes in Europe. It connects </w:t>
      </w:r>
      <w:r>
        <w:rPr>
          <w:rFonts w:ascii="Times New Roman" w:hAnsi="Times New Roman" w:cs="Times New Roman"/>
          <w:noProof/>
          <w:sz w:val="24"/>
          <w:lang w:val="en-GB"/>
        </w:rPr>
        <w:t>the</w:t>
      </w:r>
      <w:r w:rsidRPr="006F4C6C">
        <w:rPr>
          <w:rFonts w:ascii="Times New Roman" w:hAnsi="Times New Roman" w:cs="Times New Roman"/>
          <w:noProof/>
          <w:sz w:val="24"/>
          <w:lang w:val="en-GB"/>
        </w:rPr>
        <w:t xml:space="preserve"> North Sea ports of Belgium and </w:t>
      </w:r>
      <w:r w:rsidR="00B43A5C">
        <w:rPr>
          <w:rFonts w:ascii="Times New Roman" w:hAnsi="Times New Roman" w:cs="Times New Roman"/>
          <w:noProof/>
          <w:sz w:val="24"/>
          <w:lang w:val="en-GB"/>
        </w:rPr>
        <w:t>T</w:t>
      </w:r>
      <w:r w:rsidRPr="006F4C6C">
        <w:rPr>
          <w:rFonts w:ascii="Times New Roman" w:hAnsi="Times New Roman" w:cs="Times New Roman"/>
          <w:noProof/>
          <w:sz w:val="24"/>
          <w:lang w:val="en-GB"/>
        </w:rPr>
        <w:t xml:space="preserve">he Netherlands with the Mediterranean port of Genoa. The </w:t>
      </w:r>
      <w:r>
        <w:rPr>
          <w:rFonts w:ascii="Times New Roman" w:hAnsi="Times New Roman" w:cs="Times New Roman"/>
          <w:noProof/>
          <w:sz w:val="24"/>
          <w:lang w:val="en-GB"/>
        </w:rPr>
        <w:t>C</w:t>
      </w:r>
      <w:r w:rsidRPr="006F4C6C">
        <w:rPr>
          <w:rFonts w:ascii="Times New Roman" w:hAnsi="Times New Roman" w:cs="Times New Roman"/>
          <w:noProof/>
          <w:sz w:val="24"/>
          <w:lang w:val="en-GB"/>
        </w:rPr>
        <w:t xml:space="preserve">orridor runs through </w:t>
      </w:r>
      <w:r>
        <w:rPr>
          <w:rFonts w:ascii="Times New Roman" w:hAnsi="Times New Roman" w:cs="Times New Roman"/>
          <w:noProof/>
          <w:sz w:val="24"/>
          <w:lang w:val="en-GB"/>
        </w:rPr>
        <w:t>important</w:t>
      </w:r>
      <w:r w:rsidRPr="006F4C6C">
        <w:rPr>
          <w:rFonts w:ascii="Times New Roman" w:hAnsi="Times New Roman" w:cs="Times New Roman"/>
          <w:noProof/>
          <w:sz w:val="24"/>
          <w:lang w:val="en-GB"/>
        </w:rPr>
        <w:t xml:space="preserve"> economic centres such as Brussels and Antwerp in Belgium, the Randstad region in the Netherlands, the German Rhine-Ruhr and Rhine-Neckar regions, the Basel and Zürich regions in Switzerland and the Milano and Genoa</w:t>
      </w:r>
      <w:r>
        <w:rPr>
          <w:rFonts w:ascii="Times New Roman" w:hAnsi="Times New Roman" w:cs="Times New Roman"/>
          <w:noProof/>
          <w:sz w:val="24"/>
          <w:lang w:val="en-GB"/>
        </w:rPr>
        <w:t xml:space="preserve"> regions in Italy. The Corridor alignment includes </w:t>
      </w:r>
      <w:r w:rsidRPr="006F4C6C">
        <w:rPr>
          <w:rFonts w:ascii="Times New Roman" w:hAnsi="Times New Roman" w:cs="Times New Roman"/>
          <w:noProof/>
          <w:sz w:val="24"/>
          <w:lang w:val="en-GB"/>
        </w:rPr>
        <w:t>important projects in Switzerland, including</w:t>
      </w:r>
      <w:r>
        <w:rPr>
          <w:rFonts w:ascii="Times New Roman" w:hAnsi="Times New Roman" w:cs="Times New Roman"/>
          <w:noProof/>
          <w:sz w:val="24"/>
          <w:lang w:val="en-GB"/>
        </w:rPr>
        <w:t xml:space="preserve"> the world’s longest</w:t>
      </w:r>
      <w:r w:rsidRPr="006F4C6C">
        <w:rPr>
          <w:rFonts w:ascii="Times New Roman" w:hAnsi="Times New Roman" w:cs="Times New Roman"/>
          <w:noProof/>
          <w:sz w:val="24"/>
          <w:lang w:val="en-GB"/>
        </w:rPr>
        <w:t xml:space="preserve"> rail</w:t>
      </w:r>
      <w:r>
        <w:rPr>
          <w:rFonts w:ascii="Times New Roman" w:hAnsi="Times New Roman" w:cs="Times New Roman"/>
          <w:noProof/>
          <w:sz w:val="24"/>
          <w:lang w:val="en-GB"/>
        </w:rPr>
        <w:t>way</w:t>
      </w:r>
      <w:r w:rsidRPr="006F4C6C">
        <w:rPr>
          <w:rFonts w:ascii="Times New Roman" w:hAnsi="Times New Roman" w:cs="Times New Roman"/>
          <w:noProof/>
          <w:sz w:val="24"/>
          <w:lang w:val="en-GB"/>
        </w:rPr>
        <w:t xml:space="preserve"> tunnel, the Gotthard Base </w:t>
      </w:r>
      <w:r>
        <w:rPr>
          <w:rFonts w:ascii="Times New Roman" w:hAnsi="Times New Roman" w:cs="Times New Roman"/>
          <w:noProof/>
          <w:sz w:val="24"/>
          <w:lang w:val="en-GB"/>
        </w:rPr>
        <w:t>Tunnel. S</w:t>
      </w:r>
      <w:r w:rsidRPr="006F4C6C">
        <w:rPr>
          <w:rFonts w:ascii="Times New Roman" w:hAnsi="Times New Roman" w:cs="Times New Roman"/>
          <w:noProof/>
          <w:sz w:val="24"/>
          <w:lang w:val="en-GB"/>
        </w:rPr>
        <w:t xml:space="preserve">ituated beneath the Swiss Alps, </w:t>
      </w:r>
      <w:r>
        <w:rPr>
          <w:rFonts w:ascii="Times New Roman" w:hAnsi="Times New Roman" w:cs="Times New Roman"/>
          <w:noProof/>
          <w:sz w:val="24"/>
          <w:lang w:val="en-GB"/>
        </w:rPr>
        <w:t>the 57 km Gotthard Base Tunnel</w:t>
      </w:r>
      <w:r w:rsidRPr="006F4C6C">
        <w:rPr>
          <w:rFonts w:ascii="Times New Roman" w:hAnsi="Times New Roman" w:cs="Times New Roman"/>
          <w:noProof/>
          <w:sz w:val="24"/>
          <w:lang w:val="en-GB"/>
        </w:rPr>
        <w:t xml:space="preserve"> </w:t>
      </w:r>
      <w:r>
        <w:rPr>
          <w:rFonts w:ascii="Times New Roman" w:hAnsi="Times New Roman" w:cs="Times New Roman"/>
          <w:noProof/>
          <w:sz w:val="24"/>
          <w:lang w:val="en-GB"/>
        </w:rPr>
        <w:t>opened on 1 June 2016. W</w:t>
      </w:r>
      <w:r w:rsidRPr="006F4C6C">
        <w:rPr>
          <w:rFonts w:ascii="Times New Roman" w:hAnsi="Times New Roman" w:cs="Times New Roman"/>
          <w:noProof/>
          <w:sz w:val="24"/>
          <w:lang w:val="en-GB"/>
        </w:rPr>
        <w:t>ith</w:t>
      </w:r>
      <w:r>
        <w:rPr>
          <w:rFonts w:ascii="Times New Roman" w:hAnsi="Times New Roman" w:cs="Times New Roman"/>
          <w:noProof/>
          <w:sz w:val="24"/>
          <w:lang w:val="en-GB"/>
        </w:rPr>
        <w:t xml:space="preserve"> the</w:t>
      </w:r>
      <w:r w:rsidRPr="006F4C6C">
        <w:rPr>
          <w:rFonts w:ascii="Times New Roman" w:hAnsi="Times New Roman" w:cs="Times New Roman"/>
          <w:noProof/>
          <w:sz w:val="24"/>
          <w:lang w:val="en-GB"/>
        </w:rPr>
        <w:t xml:space="preserve"> Lötschberg and Ceneri Base tunnels</w:t>
      </w:r>
      <w:r>
        <w:rPr>
          <w:rFonts w:ascii="Times New Roman" w:hAnsi="Times New Roman" w:cs="Times New Roman"/>
          <w:noProof/>
          <w:sz w:val="24"/>
          <w:lang w:val="en-GB"/>
        </w:rPr>
        <w:t>, it</w:t>
      </w:r>
      <w:r w:rsidRPr="006F4C6C">
        <w:rPr>
          <w:rFonts w:ascii="Times New Roman" w:hAnsi="Times New Roman" w:cs="Times New Roman"/>
          <w:noProof/>
          <w:sz w:val="24"/>
          <w:lang w:val="en-GB"/>
        </w:rPr>
        <w:t xml:space="preserve"> </w:t>
      </w:r>
      <w:r>
        <w:rPr>
          <w:rFonts w:ascii="Times New Roman" w:hAnsi="Times New Roman" w:cs="Times New Roman"/>
          <w:noProof/>
          <w:sz w:val="24"/>
          <w:lang w:val="en-GB"/>
        </w:rPr>
        <w:t>will</w:t>
      </w:r>
      <w:r w:rsidRPr="006F4C6C">
        <w:rPr>
          <w:rFonts w:ascii="Times New Roman" w:hAnsi="Times New Roman" w:cs="Times New Roman"/>
          <w:noProof/>
          <w:sz w:val="24"/>
          <w:lang w:val="en-GB"/>
        </w:rPr>
        <w:t xml:space="preserve"> increas</w:t>
      </w:r>
      <w:r>
        <w:rPr>
          <w:rFonts w:ascii="Times New Roman" w:hAnsi="Times New Roman" w:cs="Times New Roman"/>
          <w:noProof/>
          <w:sz w:val="24"/>
          <w:lang w:val="en-GB"/>
        </w:rPr>
        <w:t>e</w:t>
      </w:r>
      <w:r w:rsidRPr="006F4C6C">
        <w:rPr>
          <w:rFonts w:ascii="Times New Roman" w:hAnsi="Times New Roman" w:cs="Times New Roman"/>
          <w:noProof/>
          <w:sz w:val="24"/>
          <w:lang w:val="en-GB"/>
        </w:rPr>
        <w:t xml:space="preserve"> the competitiveness of rail </w:t>
      </w:r>
      <w:r>
        <w:rPr>
          <w:rFonts w:ascii="Times New Roman" w:hAnsi="Times New Roman" w:cs="Times New Roman"/>
          <w:noProof/>
          <w:sz w:val="24"/>
          <w:lang w:val="en-GB"/>
        </w:rPr>
        <w:t>directly benefit</w:t>
      </w:r>
      <w:r w:rsidR="00AD7C06">
        <w:rPr>
          <w:rFonts w:ascii="Times New Roman" w:hAnsi="Times New Roman" w:cs="Times New Roman"/>
          <w:noProof/>
          <w:sz w:val="24"/>
          <w:lang w:val="en-GB"/>
        </w:rPr>
        <w:t>ing</w:t>
      </w:r>
      <w:r>
        <w:rPr>
          <w:rFonts w:ascii="Times New Roman" w:hAnsi="Times New Roman" w:cs="Times New Roman"/>
          <w:noProof/>
          <w:sz w:val="24"/>
          <w:lang w:val="en-GB"/>
        </w:rPr>
        <w:t xml:space="preserve"> EU citizens and businesses</w:t>
      </w:r>
      <w:r w:rsidRPr="006F4C6C">
        <w:rPr>
          <w:rFonts w:ascii="Times New Roman" w:hAnsi="Times New Roman" w:cs="Times New Roman"/>
          <w:noProof/>
          <w:sz w:val="24"/>
          <w:lang w:val="en-GB"/>
        </w:rPr>
        <w:t>.</w:t>
      </w:r>
      <w:r>
        <w:rPr>
          <w:rFonts w:ascii="Times New Roman" w:hAnsi="Times New Roman" w:cs="Times New Roman"/>
          <w:noProof/>
          <w:sz w:val="24"/>
          <w:lang w:val="en-GB"/>
        </w:rPr>
        <w:t xml:space="preserve"> Currently a bottleneck on the Union side, the EU </w:t>
      </w:r>
      <w:r w:rsidR="00BD7E22">
        <w:rPr>
          <w:rFonts w:ascii="Times New Roman" w:hAnsi="Times New Roman" w:cs="Times New Roman"/>
          <w:noProof/>
          <w:sz w:val="24"/>
          <w:lang w:val="en-GB"/>
        </w:rPr>
        <w:t xml:space="preserve">should </w:t>
      </w:r>
      <w:r>
        <w:rPr>
          <w:rFonts w:ascii="Times New Roman" w:hAnsi="Times New Roman" w:cs="Times New Roman"/>
          <w:noProof/>
          <w:sz w:val="24"/>
          <w:lang w:val="en-GB"/>
        </w:rPr>
        <w:t>seek to improve the access routes to the Gotthard Tunnel.</w:t>
      </w:r>
    </w:p>
    <w:p w:rsidR="002C1A3C" w:rsidRDefault="002C1A3C" w:rsidP="002C1A3C">
      <w:pPr>
        <w:spacing w:after="60"/>
        <w:jc w:val="both"/>
        <w:rPr>
          <w:rFonts w:ascii="Times New Roman" w:hAnsi="Times New Roman" w:cs="Times New Roman"/>
          <w:noProof/>
          <w:sz w:val="24"/>
          <w:lang w:val="en-GB"/>
        </w:rPr>
      </w:pPr>
    </w:p>
    <w:p w:rsidR="002C1A3C" w:rsidRDefault="002C1A3C" w:rsidP="002C1A3C">
      <w:pPr>
        <w:spacing w:after="60"/>
        <w:jc w:val="both"/>
        <w:rPr>
          <w:rFonts w:ascii="Times New Roman" w:hAnsi="Times New Roman" w:cs="Times New Roman"/>
          <w:noProof/>
          <w:sz w:val="24"/>
          <w:lang w:val="en-GB"/>
        </w:rPr>
      </w:pPr>
      <w:r w:rsidRPr="00875721">
        <w:rPr>
          <w:rFonts w:ascii="Times New Roman" w:hAnsi="Times New Roman" w:cs="Times New Roman"/>
          <w:noProof/>
          <w:sz w:val="24"/>
          <w:lang w:val="en-GB"/>
        </w:rPr>
        <w:t>The Scandinavian-Mediterranean Corridor represents a cr</w:t>
      </w:r>
      <w:r>
        <w:rPr>
          <w:rFonts w:ascii="Times New Roman" w:hAnsi="Times New Roman" w:cs="Times New Roman"/>
          <w:noProof/>
          <w:sz w:val="24"/>
          <w:lang w:val="en-GB"/>
        </w:rPr>
        <w:t>itical</w:t>
      </w:r>
      <w:r w:rsidRPr="00875721">
        <w:rPr>
          <w:rFonts w:ascii="Times New Roman" w:hAnsi="Times New Roman" w:cs="Times New Roman"/>
          <w:noProof/>
          <w:sz w:val="24"/>
          <w:lang w:val="en-GB"/>
        </w:rPr>
        <w:t xml:space="preserve"> north-south axis for the European economy.</w:t>
      </w:r>
      <w:r>
        <w:rPr>
          <w:rFonts w:ascii="Times New Roman" w:hAnsi="Times New Roman" w:cs="Times New Roman"/>
          <w:noProof/>
          <w:sz w:val="24"/>
          <w:lang w:val="en-GB"/>
        </w:rPr>
        <w:t xml:space="preserve"> Within Union borders,</w:t>
      </w:r>
      <w:r w:rsidRPr="00875721">
        <w:rPr>
          <w:rFonts w:ascii="Times New Roman" w:hAnsi="Times New Roman" w:cs="Times New Roman"/>
          <w:noProof/>
          <w:sz w:val="24"/>
          <w:lang w:val="en-GB"/>
        </w:rPr>
        <w:t xml:space="preserve"> </w:t>
      </w:r>
      <w:r>
        <w:rPr>
          <w:rFonts w:ascii="Times New Roman" w:hAnsi="Times New Roman" w:cs="Times New Roman"/>
          <w:noProof/>
          <w:sz w:val="24"/>
          <w:lang w:val="en-GB"/>
        </w:rPr>
        <w:t>t</w:t>
      </w:r>
      <w:r w:rsidRPr="00875721">
        <w:rPr>
          <w:rFonts w:ascii="Times New Roman" w:hAnsi="Times New Roman" w:cs="Times New Roman"/>
          <w:noProof/>
          <w:sz w:val="24"/>
          <w:lang w:val="en-GB"/>
        </w:rPr>
        <w:t xml:space="preserve">he </w:t>
      </w:r>
      <w:r>
        <w:rPr>
          <w:rFonts w:ascii="Times New Roman" w:hAnsi="Times New Roman" w:cs="Times New Roman"/>
          <w:noProof/>
          <w:sz w:val="24"/>
          <w:lang w:val="en-GB"/>
        </w:rPr>
        <w:t>C</w:t>
      </w:r>
      <w:r w:rsidRPr="00875721">
        <w:rPr>
          <w:rFonts w:ascii="Times New Roman" w:hAnsi="Times New Roman" w:cs="Times New Roman"/>
          <w:noProof/>
          <w:sz w:val="24"/>
          <w:lang w:val="en-GB"/>
        </w:rPr>
        <w:t>orridor stretches from Finland and Sweden in the North, to the island of Malta in the South,</w:t>
      </w:r>
      <w:r w:rsidR="00F339E3">
        <w:rPr>
          <w:rFonts w:ascii="Times New Roman" w:hAnsi="Times New Roman" w:cs="Times New Roman"/>
          <w:noProof/>
          <w:sz w:val="24"/>
          <w:lang w:val="en-GB"/>
        </w:rPr>
        <w:t xml:space="preserve"> taking in</w:t>
      </w:r>
      <w:r w:rsidRPr="00875721">
        <w:rPr>
          <w:rFonts w:ascii="Times New Roman" w:hAnsi="Times New Roman" w:cs="Times New Roman"/>
          <w:noProof/>
          <w:sz w:val="24"/>
          <w:lang w:val="en-GB"/>
        </w:rPr>
        <w:t xml:space="preserve"> Denmark, Northern, Central and Southern Germany, </w:t>
      </w:r>
      <w:r w:rsidR="00B43A5C">
        <w:rPr>
          <w:rFonts w:ascii="Times New Roman" w:hAnsi="Times New Roman" w:cs="Times New Roman"/>
          <w:noProof/>
          <w:sz w:val="24"/>
          <w:lang w:val="en-GB"/>
        </w:rPr>
        <w:t xml:space="preserve">Austria, </w:t>
      </w:r>
      <w:r w:rsidRPr="00875721">
        <w:rPr>
          <w:rFonts w:ascii="Times New Roman" w:hAnsi="Times New Roman" w:cs="Times New Roman"/>
          <w:noProof/>
          <w:sz w:val="24"/>
          <w:lang w:val="en-GB"/>
        </w:rPr>
        <w:t xml:space="preserve">the industrial heartlands of Northern Italy and the </w:t>
      </w:r>
      <w:r>
        <w:rPr>
          <w:rFonts w:ascii="Times New Roman" w:hAnsi="Times New Roman" w:cs="Times New Roman"/>
          <w:noProof/>
          <w:sz w:val="24"/>
          <w:lang w:val="en-GB"/>
        </w:rPr>
        <w:t>S</w:t>
      </w:r>
      <w:r w:rsidRPr="00875721">
        <w:rPr>
          <w:rFonts w:ascii="Times New Roman" w:hAnsi="Times New Roman" w:cs="Times New Roman"/>
          <w:noProof/>
          <w:sz w:val="24"/>
          <w:lang w:val="en-GB"/>
        </w:rPr>
        <w:t>outhern Italian ports.</w:t>
      </w:r>
      <w:r>
        <w:rPr>
          <w:rFonts w:ascii="Times New Roman" w:hAnsi="Times New Roman" w:cs="Times New Roman"/>
          <w:noProof/>
          <w:sz w:val="24"/>
          <w:lang w:val="en-GB"/>
        </w:rPr>
        <w:t xml:space="preserve"> With the adoption of the </w:t>
      </w:r>
      <w:r w:rsidR="00DD30D9">
        <w:rPr>
          <w:rFonts w:ascii="Times New Roman" w:hAnsi="Times New Roman" w:cs="Times New Roman"/>
          <w:noProof/>
          <w:sz w:val="24"/>
          <w:lang w:val="en-GB"/>
        </w:rPr>
        <w:t xml:space="preserve">CEF </w:t>
      </w:r>
      <w:r>
        <w:rPr>
          <w:rFonts w:ascii="Times New Roman" w:hAnsi="Times New Roman" w:cs="Times New Roman"/>
          <w:noProof/>
          <w:sz w:val="24"/>
          <w:lang w:val="en-GB"/>
        </w:rPr>
        <w:t>II</w:t>
      </w:r>
      <w:r w:rsidR="00DD30D9">
        <w:rPr>
          <w:rFonts w:ascii="Times New Roman" w:hAnsi="Times New Roman" w:cs="Times New Roman"/>
          <w:noProof/>
          <w:sz w:val="24"/>
          <w:lang w:val="en-GB"/>
        </w:rPr>
        <w:t xml:space="preserve"> Regulation</w:t>
      </w:r>
      <w:r>
        <w:rPr>
          <w:rFonts w:ascii="Times New Roman" w:hAnsi="Times New Roman" w:cs="Times New Roman"/>
          <w:noProof/>
          <w:sz w:val="24"/>
          <w:lang w:val="en-GB"/>
        </w:rPr>
        <w:t xml:space="preserve">, the Corridor was extended to </w:t>
      </w:r>
      <w:r w:rsidR="00F339E3">
        <w:rPr>
          <w:rFonts w:ascii="Times New Roman" w:hAnsi="Times New Roman" w:cs="Times New Roman"/>
          <w:noProof/>
          <w:sz w:val="24"/>
          <w:lang w:val="en-GB"/>
        </w:rPr>
        <w:t xml:space="preserve">Narvik in </w:t>
      </w:r>
      <w:r>
        <w:rPr>
          <w:rFonts w:ascii="Times New Roman" w:hAnsi="Times New Roman" w:cs="Times New Roman"/>
          <w:noProof/>
          <w:sz w:val="24"/>
          <w:lang w:val="en-GB"/>
        </w:rPr>
        <w:t>Norway. In line with the Commission Communication on a Stronger Arctic engagement of the European Union</w:t>
      </w:r>
      <w:r w:rsidR="0079697C">
        <w:rPr>
          <w:rStyle w:val="FootnoteReference"/>
          <w:rFonts w:ascii="Times New Roman" w:hAnsi="Times New Roman" w:cs="Times New Roman"/>
          <w:noProof/>
          <w:sz w:val="24"/>
          <w:lang w:val="en-GB"/>
        </w:rPr>
        <w:footnoteReference w:id="17"/>
      </w:r>
      <w:r>
        <w:rPr>
          <w:rFonts w:ascii="Times New Roman" w:hAnsi="Times New Roman" w:cs="Times New Roman"/>
          <w:noProof/>
          <w:sz w:val="24"/>
          <w:lang w:val="en-GB"/>
        </w:rPr>
        <w:t>, the Corridor was extended to build a presence in the North aimed at</w:t>
      </w:r>
      <w:r w:rsidRPr="001D1874">
        <w:rPr>
          <w:rFonts w:ascii="Times New Roman" w:hAnsi="Times New Roman" w:cs="Times New Roman"/>
          <w:noProof/>
          <w:sz w:val="24"/>
          <w:lang w:val="en-GB"/>
        </w:rPr>
        <w:t xml:space="preserve"> facilitating freight</w:t>
      </w:r>
      <w:r>
        <w:rPr>
          <w:rFonts w:ascii="Times New Roman" w:hAnsi="Times New Roman" w:cs="Times New Roman"/>
          <w:noProof/>
          <w:sz w:val="24"/>
          <w:lang w:val="en-GB"/>
        </w:rPr>
        <w:t xml:space="preserve"> transport</w:t>
      </w:r>
      <w:r w:rsidRPr="001D1874">
        <w:rPr>
          <w:rFonts w:ascii="Times New Roman" w:hAnsi="Times New Roman" w:cs="Times New Roman"/>
          <w:noProof/>
          <w:sz w:val="24"/>
          <w:lang w:val="en-GB"/>
        </w:rPr>
        <w:t xml:space="preserve"> on land </w:t>
      </w:r>
      <w:r>
        <w:rPr>
          <w:rFonts w:ascii="Times New Roman" w:hAnsi="Times New Roman" w:cs="Times New Roman"/>
          <w:noProof/>
          <w:sz w:val="24"/>
          <w:lang w:val="en-GB"/>
        </w:rPr>
        <w:t>originating from the Arctic</w:t>
      </w:r>
      <w:r w:rsidRPr="001D1874">
        <w:rPr>
          <w:rFonts w:ascii="Times New Roman" w:hAnsi="Times New Roman" w:cs="Times New Roman"/>
          <w:noProof/>
          <w:sz w:val="24"/>
          <w:lang w:val="en-GB"/>
        </w:rPr>
        <w:t xml:space="preserve"> and the possible</w:t>
      </w:r>
      <w:r>
        <w:rPr>
          <w:rFonts w:ascii="Times New Roman" w:hAnsi="Times New Roman" w:cs="Times New Roman"/>
          <w:noProof/>
          <w:sz w:val="24"/>
          <w:lang w:val="en-GB"/>
        </w:rPr>
        <w:t xml:space="preserve"> future</w:t>
      </w:r>
      <w:r w:rsidRPr="001D1874">
        <w:rPr>
          <w:rFonts w:ascii="Times New Roman" w:hAnsi="Times New Roman" w:cs="Times New Roman"/>
          <w:noProof/>
          <w:sz w:val="24"/>
          <w:lang w:val="en-GB"/>
        </w:rPr>
        <w:t xml:space="preserve"> Northern Sea Route.</w:t>
      </w:r>
    </w:p>
    <w:p w:rsidR="000B0E04" w:rsidRPr="00AA1AFD" w:rsidRDefault="000B0E04" w:rsidP="00CC7E8A">
      <w:pPr>
        <w:pStyle w:val="wordcount"/>
        <w:spacing w:before="240" w:after="60"/>
        <w:jc w:val="both"/>
        <w:rPr>
          <w:rFonts w:eastAsiaTheme="minorHAnsi" w:cs="Times New Roman"/>
          <w:noProof/>
          <w:color w:val="auto"/>
          <w:szCs w:val="22"/>
          <w:lang w:val="en-GB" w:eastAsia="en-US"/>
        </w:rPr>
      </w:pPr>
      <w:r w:rsidRPr="00AA1AFD">
        <w:rPr>
          <w:rFonts w:cs="Times New Roman"/>
          <w:b/>
          <w:i/>
          <w:noProof/>
          <w:lang w:val="en-GB"/>
        </w:rPr>
        <w:t>Western Balkans</w:t>
      </w:r>
    </w:p>
    <w:p w:rsidR="00803464" w:rsidRPr="00AA1AFD" w:rsidRDefault="00803464" w:rsidP="00803464">
      <w:pPr>
        <w:pStyle w:val="wordcount"/>
        <w:spacing w:before="240" w:after="60"/>
        <w:jc w:val="both"/>
        <w:rPr>
          <w:rFonts w:eastAsiaTheme="minorHAnsi" w:cs="Times New Roman"/>
          <w:noProof/>
          <w:color w:val="auto"/>
          <w:szCs w:val="22"/>
          <w:lang w:val="en-GB" w:eastAsia="en-US"/>
        </w:rPr>
      </w:pPr>
      <w:r w:rsidRPr="00AA1AFD">
        <w:rPr>
          <w:rFonts w:eastAsiaTheme="minorHAnsi" w:cs="Times New Roman"/>
          <w:noProof/>
          <w:color w:val="auto"/>
          <w:szCs w:val="22"/>
          <w:lang w:val="en-GB" w:eastAsia="en-US"/>
        </w:rPr>
        <w:t>The Western Balkans ha</w:t>
      </w:r>
      <w:r w:rsidR="00720E34">
        <w:rPr>
          <w:rFonts w:eastAsiaTheme="minorHAnsi" w:cs="Times New Roman"/>
          <w:noProof/>
          <w:color w:val="auto"/>
          <w:szCs w:val="22"/>
          <w:lang w:val="en-GB" w:eastAsia="en-US"/>
        </w:rPr>
        <w:t>ve</w:t>
      </w:r>
      <w:r w:rsidRPr="00AA1AFD">
        <w:rPr>
          <w:rFonts w:eastAsiaTheme="minorHAnsi" w:cs="Times New Roman"/>
          <w:noProof/>
          <w:color w:val="auto"/>
          <w:szCs w:val="22"/>
          <w:lang w:val="en-GB" w:eastAsia="en-US"/>
        </w:rPr>
        <w:t xml:space="preserve"> long been a priority region for the Union</w:t>
      </w:r>
      <w:r w:rsidR="006947A4">
        <w:rPr>
          <w:rStyle w:val="FootnoteReference"/>
          <w:rFonts w:eastAsiaTheme="minorHAnsi" w:cs="Times New Roman"/>
          <w:noProof/>
          <w:color w:val="auto"/>
          <w:szCs w:val="22"/>
          <w:lang w:val="en-GB" w:eastAsia="en-US"/>
        </w:rPr>
        <w:footnoteReference w:id="18"/>
      </w:r>
      <w:r w:rsidRPr="00AA1AFD">
        <w:rPr>
          <w:rFonts w:eastAsiaTheme="minorHAnsi" w:cs="Times New Roman"/>
          <w:noProof/>
          <w:color w:val="auto"/>
          <w:szCs w:val="22"/>
          <w:lang w:val="en-GB" w:eastAsia="en-US"/>
        </w:rPr>
        <w:t>. As set out by President von der Leyen in her State of the Union speech of 14 September 202</w:t>
      </w:r>
      <w:r w:rsidR="00A3512D">
        <w:rPr>
          <w:rFonts w:eastAsiaTheme="minorHAnsi" w:cs="Times New Roman"/>
          <w:noProof/>
          <w:color w:val="auto"/>
          <w:szCs w:val="22"/>
          <w:lang w:val="en-GB" w:eastAsia="en-US"/>
        </w:rPr>
        <w:t>1</w:t>
      </w:r>
      <w:r w:rsidRPr="00AA1AFD">
        <w:rPr>
          <w:rFonts w:eastAsiaTheme="minorHAnsi" w:cs="Times New Roman"/>
          <w:noProof/>
          <w:color w:val="auto"/>
          <w:szCs w:val="22"/>
          <w:lang w:val="en-GB" w:eastAsia="en-US"/>
        </w:rPr>
        <w:t>, “</w:t>
      </w:r>
      <w:r w:rsidRPr="0072055A">
        <w:rPr>
          <w:rFonts w:eastAsiaTheme="minorHAnsi" w:cs="Times New Roman"/>
          <w:i/>
          <w:noProof/>
          <w:color w:val="auto"/>
          <w:szCs w:val="22"/>
          <w:lang w:val="en-GB" w:eastAsia="en-US"/>
        </w:rPr>
        <w:t>the future of the whole region lies in the EU</w:t>
      </w:r>
      <w:r w:rsidRPr="00AA1AFD">
        <w:rPr>
          <w:rFonts w:eastAsiaTheme="minorHAnsi" w:cs="Times New Roman"/>
          <w:noProof/>
          <w:color w:val="auto"/>
          <w:szCs w:val="22"/>
          <w:lang w:val="en-GB" w:eastAsia="en-US"/>
        </w:rPr>
        <w:t xml:space="preserve">”. With a population of nearly 18 million people, the region is an important market for the </w:t>
      </w:r>
      <w:r w:rsidR="00864890">
        <w:rPr>
          <w:rFonts w:eastAsiaTheme="minorHAnsi" w:cs="Times New Roman"/>
          <w:noProof/>
          <w:color w:val="auto"/>
          <w:szCs w:val="22"/>
          <w:lang w:val="en-GB" w:eastAsia="en-US"/>
        </w:rPr>
        <w:t>Union</w:t>
      </w:r>
      <w:r w:rsidR="00864890" w:rsidRPr="00AA1AFD">
        <w:rPr>
          <w:rFonts w:eastAsiaTheme="minorHAnsi" w:cs="Times New Roman"/>
          <w:noProof/>
          <w:color w:val="auto"/>
          <w:szCs w:val="22"/>
          <w:lang w:val="en-GB" w:eastAsia="en-US"/>
        </w:rPr>
        <w:t xml:space="preserve"> </w:t>
      </w:r>
      <w:r w:rsidRPr="00AA1AFD">
        <w:rPr>
          <w:rFonts w:eastAsiaTheme="minorHAnsi" w:cs="Times New Roman"/>
          <w:noProof/>
          <w:color w:val="auto"/>
          <w:szCs w:val="22"/>
          <w:lang w:val="en-GB" w:eastAsia="en-US"/>
        </w:rPr>
        <w:t>as well as a</w:t>
      </w:r>
      <w:r w:rsidR="00371E46" w:rsidRPr="00AA1AFD">
        <w:rPr>
          <w:rFonts w:eastAsiaTheme="minorHAnsi" w:cs="Times New Roman"/>
          <w:noProof/>
          <w:color w:val="auto"/>
          <w:szCs w:val="22"/>
          <w:lang w:val="en-GB" w:eastAsia="en-US"/>
        </w:rPr>
        <w:t xml:space="preserve"> significant</w:t>
      </w:r>
      <w:r w:rsidRPr="00AA1AFD">
        <w:rPr>
          <w:rFonts w:eastAsiaTheme="minorHAnsi" w:cs="Times New Roman"/>
          <w:noProof/>
          <w:color w:val="auto"/>
          <w:szCs w:val="22"/>
          <w:lang w:val="en-GB" w:eastAsia="en-US"/>
        </w:rPr>
        <w:t xml:space="preserve"> transit area for the transport of European goods. In 2020, the total trade between the EU and the Western Balkans stood at</w:t>
      </w:r>
      <w:r w:rsidR="00864890">
        <w:rPr>
          <w:rFonts w:eastAsiaTheme="minorHAnsi" w:cs="Times New Roman"/>
          <w:noProof/>
          <w:color w:val="auto"/>
          <w:szCs w:val="22"/>
          <w:lang w:val="en-GB" w:eastAsia="en-US"/>
        </w:rPr>
        <w:t xml:space="preserve"> EUR</w:t>
      </w:r>
      <w:r w:rsidRPr="00AA1AFD">
        <w:rPr>
          <w:rFonts w:eastAsiaTheme="minorHAnsi" w:cs="Times New Roman"/>
          <w:noProof/>
          <w:color w:val="auto"/>
          <w:szCs w:val="22"/>
          <w:lang w:val="en-GB" w:eastAsia="en-US"/>
        </w:rPr>
        <w:t xml:space="preserve"> 50.5 billion. The Western Balkans have a key role to play in the global value chains that supply the EU, and this role could be further reinforced by providing for better</w:t>
      </w:r>
      <w:r w:rsidR="00326D2E">
        <w:rPr>
          <w:rFonts w:eastAsiaTheme="minorHAnsi" w:cs="Times New Roman"/>
          <w:noProof/>
          <w:color w:val="auto"/>
          <w:szCs w:val="22"/>
          <w:lang w:val="en-GB" w:eastAsia="en-US"/>
        </w:rPr>
        <w:t xml:space="preserve"> transport</w:t>
      </w:r>
      <w:r w:rsidRPr="00AA1AFD">
        <w:rPr>
          <w:rFonts w:eastAsiaTheme="minorHAnsi" w:cs="Times New Roman"/>
          <w:noProof/>
          <w:color w:val="auto"/>
          <w:szCs w:val="22"/>
          <w:lang w:val="en-GB" w:eastAsia="en-US"/>
        </w:rPr>
        <w:t xml:space="preserve"> connectivity with</w:t>
      </w:r>
      <w:r w:rsidR="009951DE" w:rsidRPr="00AA1AFD">
        <w:rPr>
          <w:rFonts w:eastAsiaTheme="minorHAnsi" w:cs="Times New Roman"/>
          <w:noProof/>
          <w:color w:val="auto"/>
          <w:szCs w:val="22"/>
          <w:lang w:val="en-GB" w:eastAsia="en-US"/>
        </w:rPr>
        <w:t xml:space="preserve"> the Union</w:t>
      </w:r>
      <w:r w:rsidRPr="00AA1AFD">
        <w:rPr>
          <w:rFonts w:eastAsiaTheme="minorHAnsi" w:cs="Times New Roman"/>
          <w:noProof/>
          <w:color w:val="auto"/>
          <w:szCs w:val="22"/>
          <w:lang w:val="en-GB" w:eastAsia="en-US"/>
        </w:rPr>
        <w:t xml:space="preserve"> and within the region.</w:t>
      </w:r>
    </w:p>
    <w:p w:rsidR="00DC09CB" w:rsidRDefault="00CC7E8A" w:rsidP="00CC1760">
      <w:pPr>
        <w:pStyle w:val="wordcount"/>
        <w:spacing w:before="240" w:after="60"/>
        <w:jc w:val="both"/>
        <w:rPr>
          <w:rFonts w:eastAsiaTheme="minorHAnsi" w:cs="Times New Roman"/>
          <w:noProof/>
          <w:color w:val="auto"/>
          <w:szCs w:val="22"/>
          <w:lang w:val="en-GB" w:eastAsia="en-US"/>
        </w:rPr>
      </w:pPr>
      <w:r w:rsidRPr="00AA1AFD">
        <w:rPr>
          <w:rFonts w:eastAsiaTheme="minorHAnsi" w:cs="Times New Roman"/>
          <w:noProof/>
          <w:color w:val="auto"/>
          <w:szCs w:val="22"/>
          <w:lang w:val="en-GB" w:eastAsia="en-US"/>
        </w:rPr>
        <w:t xml:space="preserve">A main achievement </w:t>
      </w:r>
      <w:r w:rsidR="009951DE" w:rsidRPr="00AA1AFD">
        <w:rPr>
          <w:rFonts w:eastAsiaTheme="minorHAnsi" w:cs="Times New Roman"/>
          <w:noProof/>
          <w:color w:val="auto"/>
          <w:szCs w:val="22"/>
          <w:lang w:val="en-GB" w:eastAsia="en-US"/>
        </w:rPr>
        <w:t>has been</w:t>
      </w:r>
      <w:r w:rsidR="00C403B7" w:rsidRPr="00AA1AFD">
        <w:rPr>
          <w:rFonts w:eastAsiaTheme="minorHAnsi" w:cs="Times New Roman"/>
          <w:noProof/>
          <w:color w:val="auto"/>
          <w:szCs w:val="22"/>
          <w:lang w:val="en-GB" w:eastAsia="en-US"/>
        </w:rPr>
        <w:t xml:space="preserve"> the adoption of the Treaty </w:t>
      </w:r>
      <w:r w:rsidR="00CD5996">
        <w:rPr>
          <w:rFonts w:eastAsiaTheme="minorHAnsi" w:cs="Times New Roman"/>
          <w:noProof/>
          <w:color w:val="auto"/>
          <w:szCs w:val="22"/>
          <w:lang w:val="en-GB" w:eastAsia="en-US"/>
        </w:rPr>
        <w:t>e</w:t>
      </w:r>
      <w:r w:rsidR="00C403B7" w:rsidRPr="00AA1AFD">
        <w:rPr>
          <w:rFonts w:eastAsiaTheme="minorHAnsi" w:cs="Times New Roman"/>
          <w:noProof/>
          <w:color w:val="auto"/>
          <w:szCs w:val="22"/>
          <w:lang w:val="en-GB" w:eastAsia="en-US"/>
        </w:rPr>
        <w:t>stablishing the Transport Community</w:t>
      </w:r>
      <w:r w:rsidR="00CC1760" w:rsidRPr="00AA1AFD">
        <w:rPr>
          <w:rFonts w:eastAsiaTheme="minorHAnsi" w:cs="Times New Roman"/>
          <w:noProof/>
          <w:color w:val="auto"/>
          <w:szCs w:val="22"/>
          <w:lang w:val="en-GB" w:eastAsia="en-US"/>
        </w:rPr>
        <w:t xml:space="preserve"> (TCT)</w:t>
      </w:r>
      <w:r w:rsidR="00C403B7" w:rsidRPr="00AA1AFD">
        <w:rPr>
          <w:rFonts w:eastAsiaTheme="minorHAnsi" w:cs="Times New Roman"/>
          <w:noProof/>
          <w:color w:val="auto"/>
          <w:szCs w:val="22"/>
          <w:lang w:val="en-GB" w:eastAsia="en-US"/>
        </w:rPr>
        <w:t xml:space="preserve"> in 2017</w:t>
      </w:r>
      <w:r w:rsidR="000B3EEB">
        <w:rPr>
          <w:rStyle w:val="FootnoteReference"/>
          <w:rFonts w:eastAsiaTheme="minorHAnsi" w:cs="Times New Roman"/>
          <w:noProof/>
          <w:color w:val="auto"/>
          <w:szCs w:val="22"/>
          <w:lang w:val="en-GB" w:eastAsia="en-US"/>
        </w:rPr>
        <w:footnoteReference w:id="19"/>
      </w:r>
      <w:r w:rsidRPr="00AA1AFD">
        <w:rPr>
          <w:rFonts w:eastAsiaTheme="minorHAnsi" w:cs="Times New Roman"/>
          <w:noProof/>
          <w:color w:val="auto"/>
          <w:szCs w:val="22"/>
          <w:lang w:val="en-GB" w:eastAsia="en-US"/>
        </w:rPr>
        <w:t xml:space="preserve">. The </w:t>
      </w:r>
      <w:r w:rsidR="00276DBC">
        <w:rPr>
          <w:rFonts w:eastAsiaTheme="minorHAnsi" w:cs="Times New Roman"/>
          <w:noProof/>
          <w:color w:val="auto"/>
          <w:szCs w:val="22"/>
          <w:lang w:val="en-GB" w:eastAsia="en-US"/>
        </w:rPr>
        <w:t>TCT</w:t>
      </w:r>
      <w:r w:rsidR="00C04D89">
        <w:rPr>
          <w:rFonts w:eastAsiaTheme="minorHAnsi" w:cs="Times New Roman"/>
          <w:noProof/>
          <w:color w:val="auto"/>
          <w:szCs w:val="22"/>
          <w:lang w:val="en-GB" w:eastAsia="en-US"/>
        </w:rPr>
        <w:t xml:space="preserve"> </w:t>
      </w:r>
      <w:r w:rsidR="00C04D89" w:rsidRPr="00AA1AFD">
        <w:rPr>
          <w:rFonts w:eastAsiaTheme="minorHAnsi" w:cs="Times New Roman"/>
          <w:noProof/>
          <w:color w:val="auto"/>
          <w:szCs w:val="22"/>
          <w:lang w:val="en-GB" w:eastAsia="en-US"/>
        </w:rPr>
        <w:t>requires the Western Balkans to transpose the EU transport acquis into national legislation, allowing for</w:t>
      </w:r>
      <w:r w:rsidR="00C04D89">
        <w:rPr>
          <w:rFonts w:eastAsiaTheme="minorHAnsi" w:cs="Times New Roman"/>
          <w:noProof/>
          <w:color w:val="auto"/>
          <w:szCs w:val="22"/>
          <w:lang w:val="en-GB" w:eastAsia="en-US"/>
        </w:rPr>
        <w:t xml:space="preserve"> the</w:t>
      </w:r>
      <w:r w:rsidR="00C04D89" w:rsidRPr="00AA1AFD">
        <w:rPr>
          <w:rFonts w:eastAsiaTheme="minorHAnsi" w:cs="Times New Roman"/>
          <w:noProof/>
          <w:color w:val="auto"/>
          <w:szCs w:val="22"/>
          <w:lang w:val="en-GB" w:eastAsia="en-US"/>
        </w:rPr>
        <w:t xml:space="preserve"> integration</w:t>
      </w:r>
      <w:r w:rsidR="009E7F67">
        <w:rPr>
          <w:rFonts w:eastAsiaTheme="minorHAnsi" w:cs="Times New Roman"/>
          <w:noProof/>
          <w:color w:val="auto"/>
          <w:szCs w:val="22"/>
          <w:lang w:val="en-GB" w:eastAsia="en-US"/>
        </w:rPr>
        <w:t xml:space="preserve"> of the </w:t>
      </w:r>
      <w:r w:rsidR="009E7F67" w:rsidRPr="00AA1AFD">
        <w:rPr>
          <w:rFonts w:eastAsiaTheme="minorHAnsi" w:cs="Times New Roman"/>
          <w:noProof/>
          <w:color w:val="auto"/>
          <w:szCs w:val="22"/>
          <w:lang w:val="en-GB" w:eastAsia="en-US"/>
        </w:rPr>
        <w:t>Western Balkan</w:t>
      </w:r>
      <w:r w:rsidR="009E7F67">
        <w:rPr>
          <w:rFonts w:eastAsiaTheme="minorHAnsi" w:cs="Times New Roman"/>
          <w:noProof/>
          <w:color w:val="auto"/>
          <w:szCs w:val="22"/>
          <w:lang w:val="en-GB" w:eastAsia="en-US"/>
        </w:rPr>
        <w:t xml:space="preserve">s into the EU </w:t>
      </w:r>
      <w:r w:rsidR="009E7F67" w:rsidRPr="00AA1AFD">
        <w:rPr>
          <w:rFonts w:eastAsiaTheme="minorHAnsi" w:cs="Times New Roman"/>
          <w:noProof/>
          <w:color w:val="auto"/>
          <w:szCs w:val="22"/>
          <w:lang w:val="en-GB" w:eastAsia="en-US"/>
        </w:rPr>
        <w:t>transport market</w:t>
      </w:r>
      <w:r w:rsidR="00C04D89" w:rsidRPr="00AA1AFD">
        <w:rPr>
          <w:rFonts w:eastAsiaTheme="minorHAnsi" w:cs="Times New Roman"/>
          <w:noProof/>
          <w:color w:val="auto"/>
          <w:szCs w:val="22"/>
          <w:lang w:val="en-GB" w:eastAsia="en-US"/>
        </w:rPr>
        <w:t xml:space="preserve"> before their possible accession to the EU</w:t>
      </w:r>
      <w:r w:rsidR="00C04D89">
        <w:rPr>
          <w:rFonts w:eastAsiaTheme="minorHAnsi" w:cs="Times New Roman"/>
          <w:noProof/>
          <w:color w:val="auto"/>
          <w:szCs w:val="22"/>
          <w:lang w:val="en-GB" w:eastAsia="en-US"/>
        </w:rPr>
        <w:t xml:space="preserve">. </w:t>
      </w:r>
      <w:r w:rsidR="009E7F67">
        <w:rPr>
          <w:rFonts w:eastAsiaTheme="minorHAnsi" w:cs="Times New Roman"/>
          <w:noProof/>
          <w:color w:val="auto"/>
          <w:szCs w:val="22"/>
          <w:lang w:val="en-GB" w:eastAsia="en-US"/>
        </w:rPr>
        <w:t>This includes</w:t>
      </w:r>
      <w:r w:rsidRPr="00AA1AFD">
        <w:rPr>
          <w:rFonts w:eastAsiaTheme="minorHAnsi" w:cs="Times New Roman"/>
          <w:noProof/>
          <w:color w:val="auto"/>
          <w:szCs w:val="22"/>
          <w:lang w:val="en-GB" w:eastAsia="en-US"/>
        </w:rPr>
        <w:t xml:space="preserve"> the areas of technical standards, interoperability, safety, security, traffic management, social policy, public procurement and</w:t>
      </w:r>
      <w:r w:rsidR="00AA4D43" w:rsidRPr="00AA1AFD">
        <w:rPr>
          <w:rFonts w:eastAsiaTheme="minorHAnsi" w:cs="Times New Roman"/>
          <w:noProof/>
          <w:color w:val="auto"/>
          <w:szCs w:val="22"/>
          <w:lang w:val="en-GB" w:eastAsia="en-US"/>
        </w:rPr>
        <w:t xml:space="preserve"> the</w:t>
      </w:r>
      <w:r w:rsidRPr="00AA1AFD">
        <w:rPr>
          <w:rFonts w:eastAsiaTheme="minorHAnsi" w:cs="Times New Roman"/>
          <w:noProof/>
          <w:color w:val="auto"/>
          <w:szCs w:val="22"/>
          <w:lang w:val="en-GB" w:eastAsia="en-US"/>
        </w:rPr>
        <w:t xml:space="preserve"> environment</w:t>
      </w:r>
      <w:r w:rsidR="009E7F67">
        <w:rPr>
          <w:rFonts w:eastAsiaTheme="minorHAnsi" w:cs="Times New Roman"/>
          <w:noProof/>
          <w:color w:val="auto"/>
          <w:szCs w:val="22"/>
          <w:lang w:val="en-GB" w:eastAsia="en-US"/>
        </w:rPr>
        <w:t xml:space="preserve"> thus supporting the region in its effort to close the gap to Member States</w:t>
      </w:r>
      <w:r w:rsidRPr="00AA1AFD">
        <w:rPr>
          <w:rFonts w:eastAsiaTheme="minorHAnsi" w:cs="Times New Roman"/>
          <w:noProof/>
          <w:color w:val="auto"/>
          <w:szCs w:val="22"/>
          <w:lang w:val="en-GB" w:eastAsia="en-US"/>
        </w:rPr>
        <w:t>.</w:t>
      </w:r>
      <w:r w:rsidR="00856435" w:rsidRPr="00856435">
        <w:rPr>
          <w:rFonts w:eastAsiaTheme="minorHAnsi" w:cs="Times New Roman"/>
          <w:noProof/>
          <w:color w:val="auto"/>
          <w:szCs w:val="22"/>
          <w:lang w:val="en-GB" w:eastAsia="en-US"/>
        </w:rPr>
        <w:t xml:space="preserve"> </w:t>
      </w:r>
      <w:r w:rsidRPr="00AA1AFD">
        <w:rPr>
          <w:rFonts w:eastAsiaTheme="minorHAnsi" w:cs="Times New Roman"/>
          <w:noProof/>
          <w:color w:val="auto"/>
          <w:szCs w:val="22"/>
          <w:lang w:val="en-GB" w:eastAsia="en-US"/>
        </w:rPr>
        <w:t xml:space="preserve">The Transport Community is developing a rolling work plan for the development of the indicative TEN-T core and comprehensive networks </w:t>
      </w:r>
      <w:r w:rsidR="009E7F67">
        <w:rPr>
          <w:rFonts w:eastAsiaTheme="minorHAnsi" w:cs="Times New Roman"/>
          <w:noProof/>
          <w:color w:val="auto"/>
          <w:szCs w:val="22"/>
          <w:lang w:val="en-GB" w:eastAsia="en-US"/>
        </w:rPr>
        <w:t>while</w:t>
      </w:r>
      <w:r w:rsidR="006570E7">
        <w:rPr>
          <w:rFonts w:eastAsiaTheme="minorHAnsi" w:cs="Times New Roman"/>
          <w:noProof/>
          <w:color w:val="auto"/>
          <w:szCs w:val="22"/>
          <w:lang w:val="en-GB" w:eastAsia="en-US"/>
        </w:rPr>
        <w:t xml:space="preserve"> </w:t>
      </w:r>
      <w:r w:rsidR="009E7F67">
        <w:rPr>
          <w:rFonts w:eastAsiaTheme="minorHAnsi" w:cs="Times New Roman"/>
          <w:noProof/>
          <w:color w:val="auto"/>
          <w:szCs w:val="22"/>
          <w:lang w:val="en-GB" w:eastAsia="en-US"/>
        </w:rPr>
        <w:t xml:space="preserve">a </w:t>
      </w:r>
      <w:r w:rsidR="006570E7">
        <w:rPr>
          <w:rFonts w:eastAsiaTheme="minorHAnsi" w:cs="Times New Roman"/>
          <w:noProof/>
          <w:color w:val="auto"/>
          <w:szCs w:val="22"/>
          <w:lang w:val="en-GB" w:eastAsia="en-US"/>
        </w:rPr>
        <w:t>Permanent Secretariat</w:t>
      </w:r>
      <w:r w:rsidR="000B3EEB">
        <w:rPr>
          <w:rFonts w:eastAsiaTheme="minorHAnsi" w:cs="Times New Roman"/>
          <w:noProof/>
          <w:color w:val="auto"/>
          <w:szCs w:val="22"/>
          <w:lang w:val="en-GB" w:eastAsia="en-US"/>
        </w:rPr>
        <w:t xml:space="preserve"> </w:t>
      </w:r>
      <w:r w:rsidR="006570E7">
        <w:rPr>
          <w:rFonts w:eastAsiaTheme="minorHAnsi" w:cs="Times New Roman"/>
          <w:noProof/>
          <w:color w:val="auto"/>
          <w:szCs w:val="22"/>
          <w:lang w:val="en-GB" w:eastAsia="en-US"/>
        </w:rPr>
        <w:t xml:space="preserve">assists the Western Balkan partners in the transposition of  </w:t>
      </w:r>
      <w:r w:rsidR="00864890">
        <w:rPr>
          <w:rFonts w:eastAsiaTheme="minorHAnsi" w:cs="Times New Roman"/>
          <w:noProof/>
          <w:color w:val="auto"/>
          <w:szCs w:val="22"/>
          <w:lang w:val="en-GB" w:eastAsia="en-US"/>
        </w:rPr>
        <w:t xml:space="preserve">Union </w:t>
      </w:r>
      <w:r w:rsidR="006570E7">
        <w:rPr>
          <w:rFonts w:eastAsiaTheme="minorHAnsi" w:cs="Times New Roman"/>
          <w:noProof/>
          <w:color w:val="auto"/>
          <w:szCs w:val="22"/>
          <w:lang w:val="en-GB" w:eastAsia="en-US"/>
        </w:rPr>
        <w:t>transport polic</w:t>
      </w:r>
      <w:r w:rsidR="009E7F67">
        <w:rPr>
          <w:rFonts w:eastAsiaTheme="minorHAnsi" w:cs="Times New Roman"/>
          <w:noProof/>
          <w:color w:val="auto"/>
          <w:szCs w:val="22"/>
          <w:lang w:val="en-GB" w:eastAsia="en-US"/>
        </w:rPr>
        <w:t>y</w:t>
      </w:r>
      <w:r w:rsidR="006570E7">
        <w:rPr>
          <w:rFonts w:eastAsiaTheme="minorHAnsi" w:cs="Times New Roman"/>
          <w:noProof/>
          <w:color w:val="auto"/>
          <w:szCs w:val="22"/>
          <w:lang w:val="en-GB" w:eastAsia="en-US"/>
        </w:rPr>
        <w:t xml:space="preserve"> and</w:t>
      </w:r>
      <w:r w:rsidR="009E7F67">
        <w:rPr>
          <w:rFonts w:eastAsiaTheme="minorHAnsi" w:cs="Times New Roman"/>
          <w:noProof/>
          <w:color w:val="auto"/>
          <w:szCs w:val="22"/>
          <w:lang w:val="en-GB" w:eastAsia="en-US"/>
        </w:rPr>
        <w:t xml:space="preserve"> the implementation of</w:t>
      </w:r>
      <w:r w:rsidR="006570E7">
        <w:rPr>
          <w:rFonts w:eastAsiaTheme="minorHAnsi" w:cs="Times New Roman"/>
          <w:noProof/>
          <w:color w:val="auto"/>
          <w:szCs w:val="22"/>
          <w:lang w:val="en-GB" w:eastAsia="en-US"/>
        </w:rPr>
        <w:t xml:space="preserve"> TEN-T projects.</w:t>
      </w:r>
      <w:r w:rsidR="00AD7C06">
        <w:rPr>
          <w:rFonts w:eastAsiaTheme="minorHAnsi" w:cs="Times New Roman"/>
          <w:noProof/>
          <w:color w:val="auto"/>
          <w:szCs w:val="22"/>
          <w:lang w:val="en-GB" w:eastAsia="en-US"/>
        </w:rPr>
        <w:t xml:space="preserve"> </w:t>
      </w:r>
    </w:p>
    <w:p w:rsidR="00DC09CB" w:rsidRPr="004E482A" w:rsidRDefault="00BD7E22" w:rsidP="00DC09CB">
      <w:pPr>
        <w:pStyle w:val="wordcount"/>
        <w:spacing w:before="240" w:after="60"/>
        <w:jc w:val="both"/>
        <w:rPr>
          <w:rFonts w:eastAsiaTheme="minorHAnsi" w:cs="Times New Roman"/>
          <w:noProof/>
          <w:color w:val="auto"/>
          <w:szCs w:val="22"/>
          <w:lang w:val="en-GB" w:eastAsia="en-US"/>
        </w:rPr>
      </w:pPr>
      <w:r>
        <w:rPr>
          <w:rFonts w:eastAsiaTheme="minorHAnsi" w:cs="Times New Roman"/>
          <w:noProof/>
          <w:color w:val="auto"/>
          <w:szCs w:val="22"/>
          <w:lang w:val="en-GB" w:eastAsia="en-US"/>
        </w:rPr>
        <w:t xml:space="preserve">The </w:t>
      </w:r>
      <w:r w:rsidR="00DC09CB">
        <w:rPr>
          <w:rFonts w:eastAsiaTheme="minorHAnsi" w:cs="Times New Roman"/>
          <w:noProof/>
          <w:color w:val="auto"/>
          <w:szCs w:val="22"/>
          <w:lang w:val="en-GB" w:eastAsia="en-US"/>
        </w:rPr>
        <w:t xml:space="preserve">Western Balkan partners have made </w:t>
      </w:r>
      <w:r w:rsidR="000A75D7">
        <w:rPr>
          <w:rFonts w:eastAsiaTheme="minorHAnsi" w:cs="Times New Roman"/>
          <w:noProof/>
          <w:color w:val="auto"/>
          <w:szCs w:val="22"/>
          <w:lang w:val="en-GB" w:eastAsia="en-US"/>
        </w:rPr>
        <w:t xml:space="preserve">significant </w:t>
      </w:r>
      <w:r w:rsidR="00DC09CB">
        <w:rPr>
          <w:rFonts w:eastAsiaTheme="minorHAnsi" w:cs="Times New Roman"/>
          <w:noProof/>
          <w:color w:val="auto"/>
          <w:szCs w:val="22"/>
          <w:lang w:val="en-GB" w:eastAsia="en-US"/>
        </w:rPr>
        <w:t xml:space="preserve">progress </w:t>
      </w:r>
      <w:r w:rsidR="00C1039C">
        <w:rPr>
          <w:rFonts w:eastAsiaTheme="minorHAnsi" w:cs="Times New Roman"/>
          <w:noProof/>
          <w:color w:val="auto"/>
          <w:szCs w:val="22"/>
          <w:lang w:val="en-GB" w:eastAsia="en-US"/>
        </w:rPr>
        <w:t xml:space="preserve">in </w:t>
      </w:r>
      <w:r w:rsidR="00DC09CB">
        <w:rPr>
          <w:rFonts w:eastAsiaTheme="minorHAnsi" w:cs="Times New Roman"/>
          <w:noProof/>
          <w:color w:val="auto"/>
          <w:szCs w:val="22"/>
          <w:lang w:val="en-GB" w:eastAsia="en-US"/>
        </w:rPr>
        <w:t>realis</w:t>
      </w:r>
      <w:r w:rsidR="00C1039C">
        <w:rPr>
          <w:rFonts w:eastAsiaTheme="minorHAnsi" w:cs="Times New Roman"/>
          <w:noProof/>
          <w:color w:val="auto"/>
          <w:szCs w:val="22"/>
          <w:lang w:val="en-GB" w:eastAsia="en-US"/>
        </w:rPr>
        <w:t>ing</w:t>
      </w:r>
      <w:r w:rsidR="00DC09CB">
        <w:rPr>
          <w:rFonts w:eastAsiaTheme="minorHAnsi" w:cs="Times New Roman"/>
          <w:noProof/>
          <w:color w:val="auto"/>
          <w:szCs w:val="22"/>
          <w:lang w:val="en-GB" w:eastAsia="en-US"/>
        </w:rPr>
        <w:t xml:space="preserve"> the</w:t>
      </w:r>
      <w:r w:rsidR="00C1039C">
        <w:rPr>
          <w:rFonts w:eastAsiaTheme="minorHAnsi" w:cs="Times New Roman"/>
          <w:noProof/>
          <w:color w:val="auto"/>
          <w:szCs w:val="22"/>
          <w:lang w:val="en-GB" w:eastAsia="en-US"/>
        </w:rPr>
        <w:t xml:space="preserve"> indicative</w:t>
      </w:r>
      <w:r w:rsidR="00DC09CB">
        <w:rPr>
          <w:rFonts w:eastAsiaTheme="minorHAnsi" w:cs="Times New Roman"/>
          <w:noProof/>
          <w:color w:val="auto"/>
          <w:szCs w:val="22"/>
          <w:lang w:val="en-GB" w:eastAsia="en-US"/>
        </w:rPr>
        <w:t xml:space="preserve"> TEN-T</w:t>
      </w:r>
      <w:r w:rsidR="00C513ED">
        <w:rPr>
          <w:rFonts w:eastAsiaTheme="minorHAnsi" w:cs="Times New Roman"/>
          <w:noProof/>
          <w:color w:val="auto"/>
          <w:szCs w:val="22"/>
          <w:lang w:val="en-GB" w:eastAsia="en-US"/>
        </w:rPr>
        <w:t xml:space="preserve"> core network</w:t>
      </w:r>
      <w:r w:rsidR="00DC09CB">
        <w:rPr>
          <w:rFonts w:eastAsiaTheme="minorHAnsi" w:cs="Times New Roman"/>
          <w:noProof/>
          <w:color w:val="auto"/>
          <w:szCs w:val="22"/>
          <w:lang w:val="en-GB" w:eastAsia="en-US"/>
        </w:rPr>
        <w:t>. However,</w:t>
      </w:r>
      <w:r w:rsidR="00C1039C">
        <w:rPr>
          <w:rFonts w:eastAsiaTheme="minorHAnsi" w:cs="Times New Roman"/>
          <w:noProof/>
          <w:color w:val="auto"/>
          <w:szCs w:val="22"/>
          <w:lang w:val="en-GB" w:eastAsia="en-US"/>
        </w:rPr>
        <w:t xml:space="preserve"> the development of</w:t>
      </w:r>
      <w:r w:rsidR="00CF172C">
        <w:rPr>
          <w:rFonts w:eastAsiaTheme="minorHAnsi" w:cs="Times New Roman"/>
          <w:noProof/>
          <w:color w:val="auto"/>
          <w:szCs w:val="22"/>
          <w:lang w:val="en-GB" w:eastAsia="en-US"/>
        </w:rPr>
        <w:t xml:space="preserve"> </w:t>
      </w:r>
      <w:r w:rsidR="00DC09CB">
        <w:rPr>
          <w:rFonts w:eastAsiaTheme="minorHAnsi" w:cs="Times New Roman"/>
          <w:noProof/>
          <w:color w:val="auto"/>
          <w:szCs w:val="22"/>
          <w:lang w:val="en-GB" w:eastAsia="en-US"/>
        </w:rPr>
        <w:t>a</w:t>
      </w:r>
      <w:r w:rsidR="000B3EEB" w:rsidRPr="000B3EEB">
        <w:rPr>
          <w:rFonts w:eastAsiaTheme="minorHAnsi" w:cs="Times New Roman"/>
          <w:noProof/>
          <w:color w:val="auto"/>
          <w:szCs w:val="22"/>
          <w:lang w:val="en-GB" w:eastAsia="en-US"/>
        </w:rPr>
        <w:t xml:space="preserve"> number of key projects on the </w:t>
      </w:r>
      <w:r w:rsidR="009E7F67">
        <w:rPr>
          <w:rFonts w:eastAsiaTheme="minorHAnsi" w:cs="Times New Roman"/>
          <w:noProof/>
          <w:color w:val="auto"/>
          <w:szCs w:val="22"/>
          <w:lang w:val="en-GB" w:eastAsia="en-US"/>
        </w:rPr>
        <w:t>indicative</w:t>
      </w:r>
      <w:r w:rsidR="000B3EEB" w:rsidRPr="000B3EEB">
        <w:rPr>
          <w:rFonts w:eastAsiaTheme="minorHAnsi" w:cs="Times New Roman"/>
          <w:noProof/>
          <w:color w:val="auto"/>
          <w:szCs w:val="22"/>
          <w:lang w:val="en-GB" w:eastAsia="en-US"/>
        </w:rPr>
        <w:t xml:space="preserve"> </w:t>
      </w:r>
      <w:r w:rsidR="00C1039C">
        <w:rPr>
          <w:rFonts w:eastAsiaTheme="minorHAnsi" w:cs="Times New Roman"/>
          <w:noProof/>
          <w:color w:val="auto"/>
          <w:szCs w:val="22"/>
          <w:lang w:val="en-GB" w:eastAsia="en-US"/>
        </w:rPr>
        <w:t>c</w:t>
      </w:r>
      <w:r w:rsidR="000B3EEB" w:rsidRPr="000B3EEB">
        <w:rPr>
          <w:rFonts w:eastAsiaTheme="minorHAnsi" w:cs="Times New Roman"/>
          <w:noProof/>
          <w:color w:val="auto"/>
          <w:szCs w:val="22"/>
          <w:lang w:val="en-GB" w:eastAsia="en-US"/>
        </w:rPr>
        <w:t xml:space="preserve">ore network is still lagging behind. </w:t>
      </w:r>
      <w:r w:rsidR="001F1DFC">
        <w:rPr>
          <w:rFonts w:eastAsiaTheme="minorHAnsi" w:cs="Times New Roman"/>
          <w:noProof/>
          <w:color w:val="auto"/>
          <w:szCs w:val="22"/>
          <w:lang w:val="en-GB" w:eastAsia="en-US"/>
        </w:rPr>
        <w:t>While</w:t>
      </w:r>
      <w:r w:rsidR="00A129F0">
        <w:rPr>
          <w:rFonts w:eastAsiaTheme="minorHAnsi" w:cs="Times New Roman"/>
          <w:noProof/>
          <w:color w:val="auto"/>
          <w:szCs w:val="22"/>
          <w:lang w:val="en-GB" w:eastAsia="en-US"/>
        </w:rPr>
        <w:t xml:space="preserve"> </w:t>
      </w:r>
      <w:r>
        <w:rPr>
          <w:rFonts w:eastAsiaTheme="minorHAnsi" w:cs="Times New Roman"/>
          <w:noProof/>
          <w:color w:val="auto"/>
          <w:szCs w:val="22"/>
          <w:lang w:val="en-GB" w:eastAsia="en-US"/>
        </w:rPr>
        <w:t xml:space="preserve">there </w:t>
      </w:r>
      <w:r w:rsidR="00C1039C">
        <w:rPr>
          <w:rFonts w:eastAsiaTheme="minorHAnsi" w:cs="Times New Roman"/>
          <w:noProof/>
          <w:color w:val="auto"/>
          <w:szCs w:val="22"/>
          <w:lang w:val="en-GB" w:eastAsia="en-US"/>
        </w:rPr>
        <w:t>ha</w:t>
      </w:r>
      <w:r w:rsidR="00BC483F">
        <w:rPr>
          <w:rFonts w:eastAsiaTheme="minorHAnsi" w:cs="Times New Roman"/>
          <w:noProof/>
          <w:color w:val="auto"/>
          <w:szCs w:val="22"/>
          <w:lang w:val="en-GB" w:eastAsia="en-US"/>
        </w:rPr>
        <w:t>ve</w:t>
      </w:r>
      <w:r w:rsidR="00C1039C">
        <w:rPr>
          <w:rFonts w:eastAsiaTheme="minorHAnsi" w:cs="Times New Roman"/>
          <w:noProof/>
          <w:color w:val="auto"/>
          <w:szCs w:val="22"/>
          <w:lang w:val="en-GB" w:eastAsia="en-US"/>
        </w:rPr>
        <w:t xml:space="preserve"> </w:t>
      </w:r>
      <w:r>
        <w:rPr>
          <w:rFonts w:eastAsiaTheme="minorHAnsi" w:cs="Times New Roman"/>
          <w:noProof/>
          <w:color w:val="auto"/>
          <w:szCs w:val="22"/>
          <w:lang w:val="en-GB" w:eastAsia="en-US"/>
        </w:rPr>
        <w:t xml:space="preserve">been </w:t>
      </w:r>
      <w:r w:rsidR="00A129F0">
        <w:rPr>
          <w:rFonts w:eastAsiaTheme="minorHAnsi" w:cs="Times New Roman"/>
          <w:noProof/>
          <w:color w:val="auto"/>
          <w:szCs w:val="22"/>
          <w:lang w:val="en-GB" w:eastAsia="en-US"/>
        </w:rPr>
        <w:t>improvement</w:t>
      </w:r>
      <w:r w:rsidR="001F1DFC">
        <w:rPr>
          <w:rFonts w:eastAsiaTheme="minorHAnsi" w:cs="Times New Roman"/>
          <w:noProof/>
          <w:color w:val="auto"/>
          <w:szCs w:val="22"/>
          <w:lang w:val="en-GB" w:eastAsia="en-US"/>
        </w:rPr>
        <w:t>s</w:t>
      </w:r>
      <w:r w:rsidR="00A129F0">
        <w:rPr>
          <w:rFonts w:eastAsiaTheme="minorHAnsi" w:cs="Times New Roman"/>
          <w:noProof/>
          <w:color w:val="auto"/>
          <w:szCs w:val="22"/>
          <w:lang w:val="en-GB" w:eastAsia="en-US"/>
        </w:rPr>
        <w:t xml:space="preserve"> </w:t>
      </w:r>
      <w:r w:rsidR="001F1DFC">
        <w:rPr>
          <w:rFonts w:eastAsiaTheme="minorHAnsi" w:cs="Times New Roman"/>
          <w:noProof/>
          <w:color w:val="auto"/>
          <w:szCs w:val="22"/>
          <w:lang w:val="en-GB" w:eastAsia="en-US"/>
        </w:rPr>
        <w:t>on</w:t>
      </w:r>
      <w:r w:rsidR="00C1039C">
        <w:rPr>
          <w:rFonts w:eastAsiaTheme="minorHAnsi" w:cs="Times New Roman"/>
          <w:noProof/>
          <w:color w:val="auto"/>
          <w:szCs w:val="22"/>
          <w:lang w:val="en-GB" w:eastAsia="en-US"/>
        </w:rPr>
        <w:t xml:space="preserve"> the building of</w:t>
      </w:r>
      <w:r w:rsidR="00A129F0">
        <w:rPr>
          <w:rFonts w:eastAsiaTheme="minorHAnsi" w:cs="Times New Roman"/>
          <w:noProof/>
          <w:color w:val="auto"/>
          <w:szCs w:val="22"/>
          <w:lang w:val="en-GB" w:eastAsia="en-US"/>
        </w:rPr>
        <w:t xml:space="preserve"> cross-border infrastructure</w:t>
      </w:r>
      <w:r w:rsidR="001F1DFC">
        <w:rPr>
          <w:rFonts w:eastAsiaTheme="minorHAnsi" w:cs="Times New Roman"/>
          <w:noProof/>
          <w:color w:val="auto"/>
          <w:szCs w:val="22"/>
          <w:lang w:val="en-GB" w:eastAsia="en-US"/>
        </w:rPr>
        <w:t>,</w:t>
      </w:r>
      <w:r w:rsidR="00A129F0">
        <w:rPr>
          <w:rFonts w:eastAsiaTheme="minorHAnsi" w:cs="Times New Roman"/>
          <w:noProof/>
          <w:color w:val="auto"/>
          <w:szCs w:val="22"/>
          <w:lang w:val="en-GB" w:eastAsia="en-US"/>
        </w:rPr>
        <w:t xml:space="preserve"> such as the </w:t>
      </w:r>
      <w:r w:rsidR="00A129F0" w:rsidRPr="0072055A">
        <w:rPr>
          <w:rFonts w:eastAsiaTheme="minorHAnsi" w:cs="Times New Roman"/>
          <w:noProof/>
          <w:color w:val="auto"/>
          <w:szCs w:val="22"/>
          <w:lang w:val="en-GB" w:eastAsia="en-US"/>
        </w:rPr>
        <w:t>Svilaj bridge</w:t>
      </w:r>
      <w:r w:rsidR="00A129F0" w:rsidRPr="00BD7E22">
        <w:rPr>
          <w:rFonts w:eastAsiaTheme="minorHAnsi" w:cs="Times New Roman"/>
          <w:noProof/>
          <w:color w:val="auto"/>
          <w:szCs w:val="22"/>
          <w:lang w:val="en-GB" w:eastAsia="en-US"/>
        </w:rPr>
        <w:t xml:space="preserve"> </w:t>
      </w:r>
      <w:r w:rsidR="00A129F0">
        <w:rPr>
          <w:rFonts w:eastAsiaTheme="minorHAnsi" w:cs="Times New Roman"/>
          <w:noProof/>
          <w:color w:val="auto"/>
          <w:szCs w:val="22"/>
          <w:lang w:val="en-GB" w:eastAsia="en-US"/>
        </w:rPr>
        <w:t>between Croa</w:t>
      </w:r>
      <w:r>
        <w:rPr>
          <w:rFonts w:eastAsiaTheme="minorHAnsi" w:cs="Times New Roman"/>
          <w:noProof/>
          <w:color w:val="auto"/>
          <w:szCs w:val="22"/>
          <w:lang w:val="en-GB" w:eastAsia="en-US"/>
        </w:rPr>
        <w:t xml:space="preserve">tia and Bosnia and Herzegovina </w:t>
      </w:r>
      <w:r w:rsidR="001F1DFC">
        <w:rPr>
          <w:rFonts w:eastAsiaTheme="minorHAnsi" w:cs="Times New Roman"/>
          <w:noProof/>
          <w:color w:val="auto"/>
          <w:szCs w:val="22"/>
          <w:lang w:val="en-GB" w:eastAsia="en-US"/>
        </w:rPr>
        <w:t xml:space="preserve">which was </w:t>
      </w:r>
      <w:r w:rsidR="00A129F0">
        <w:rPr>
          <w:rFonts w:eastAsiaTheme="minorHAnsi" w:cs="Times New Roman"/>
          <w:noProof/>
          <w:color w:val="auto"/>
          <w:szCs w:val="22"/>
          <w:lang w:val="en-GB" w:eastAsia="en-US"/>
        </w:rPr>
        <w:t xml:space="preserve">opened </w:t>
      </w:r>
      <w:r w:rsidR="00C1039C">
        <w:rPr>
          <w:rFonts w:eastAsiaTheme="minorHAnsi" w:cs="Times New Roman"/>
          <w:noProof/>
          <w:color w:val="auto"/>
          <w:szCs w:val="22"/>
          <w:lang w:val="en-GB" w:eastAsia="en-US"/>
        </w:rPr>
        <w:t xml:space="preserve">for </w:t>
      </w:r>
      <w:r w:rsidR="00A129F0">
        <w:rPr>
          <w:rFonts w:eastAsiaTheme="minorHAnsi" w:cs="Times New Roman"/>
          <w:noProof/>
          <w:color w:val="auto"/>
          <w:szCs w:val="22"/>
          <w:lang w:val="en-GB" w:eastAsia="en-US"/>
        </w:rPr>
        <w:t xml:space="preserve">traffic </w:t>
      </w:r>
      <w:r w:rsidR="001F1DFC">
        <w:rPr>
          <w:rFonts w:eastAsiaTheme="minorHAnsi" w:cs="Times New Roman"/>
          <w:noProof/>
          <w:color w:val="auto"/>
          <w:szCs w:val="22"/>
          <w:lang w:val="en-GB" w:eastAsia="en-US"/>
        </w:rPr>
        <w:t>in</w:t>
      </w:r>
      <w:r w:rsidR="00A129F0">
        <w:rPr>
          <w:rFonts w:eastAsiaTheme="minorHAnsi" w:cs="Times New Roman"/>
          <w:noProof/>
          <w:color w:val="auto"/>
          <w:szCs w:val="22"/>
          <w:lang w:val="en-GB" w:eastAsia="en-US"/>
        </w:rPr>
        <w:t xml:space="preserve"> September 202</w:t>
      </w:r>
      <w:r w:rsidR="00BC483F">
        <w:rPr>
          <w:rFonts w:eastAsiaTheme="minorHAnsi" w:cs="Times New Roman"/>
          <w:noProof/>
          <w:color w:val="auto"/>
          <w:szCs w:val="22"/>
          <w:lang w:val="en-GB" w:eastAsia="en-US"/>
        </w:rPr>
        <w:t>1</w:t>
      </w:r>
      <w:r w:rsidR="001F1DFC">
        <w:rPr>
          <w:rFonts w:eastAsiaTheme="minorHAnsi" w:cs="Times New Roman"/>
          <w:noProof/>
          <w:color w:val="auto"/>
          <w:szCs w:val="22"/>
          <w:lang w:val="en-GB" w:eastAsia="en-US"/>
        </w:rPr>
        <w:t>,</w:t>
      </w:r>
      <w:r w:rsidR="00A129F0">
        <w:rPr>
          <w:rFonts w:eastAsiaTheme="minorHAnsi" w:cs="Times New Roman"/>
          <w:noProof/>
          <w:color w:val="auto"/>
          <w:szCs w:val="22"/>
          <w:lang w:val="en-GB" w:eastAsia="en-US"/>
        </w:rPr>
        <w:t xml:space="preserve"> </w:t>
      </w:r>
      <w:r w:rsidR="001F1DFC">
        <w:rPr>
          <w:rFonts w:eastAsiaTheme="minorHAnsi" w:cs="Times New Roman"/>
          <w:noProof/>
          <w:color w:val="auto"/>
          <w:szCs w:val="22"/>
          <w:lang w:val="en-GB" w:eastAsia="en-US"/>
        </w:rPr>
        <w:t xml:space="preserve">substantial </w:t>
      </w:r>
      <w:r w:rsidR="00A129F0">
        <w:rPr>
          <w:rFonts w:eastAsiaTheme="minorHAnsi" w:cs="Times New Roman"/>
          <w:noProof/>
          <w:color w:val="auto"/>
          <w:szCs w:val="22"/>
          <w:lang w:val="en-GB" w:eastAsia="en-US"/>
        </w:rPr>
        <w:t xml:space="preserve">progress </w:t>
      </w:r>
      <w:r w:rsidR="001F1DFC">
        <w:rPr>
          <w:rFonts w:eastAsiaTheme="minorHAnsi" w:cs="Times New Roman"/>
          <w:noProof/>
          <w:color w:val="auto"/>
          <w:szCs w:val="22"/>
          <w:lang w:val="en-GB" w:eastAsia="en-US"/>
        </w:rPr>
        <w:t>is needed</w:t>
      </w:r>
      <w:r w:rsidR="00A129F0">
        <w:rPr>
          <w:rFonts w:eastAsiaTheme="minorHAnsi" w:cs="Times New Roman"/>
          <w:noProof/>
          <w:color w:val="auto"/>
          <w:szCs w:val="22"/>
          <w:lang w:val="en-GB" w:eastAsia="en-US"/>
        </w:rPr>
        <w:t xml:space="preserve"> to ensure </w:t>
      </w:r>
      <w:r w:rsidR="00A129F0" w:rsidRPr="004E482A">
        <w:rPr>
          <w:rFonts w:eastAsiaTheme="minorHAnsi" w:cs="Times New Roman"/>
          <w:noProof/>
          <w:color w:val="auto"/>
          <w:szCs w:val="22"/>
          <w:lang w:val="en-GB" w:eastAsia="en-US"/>
        </w:rPr>
        <w:t>seamless transport operations between</w:t>
      </w:r>
      <w:r w:rsidR="0050129F">
        <w:rPr>
          <w:rFonts w:eastAsiaTheme="minorHAnsi" w:cs="Times New Roman"/>
          <w:noProof/>
          <w:color w:val="auto"/>
          <w:szCs w:val="22"/>
          <w:lang w:val="en-GB" w:eastAsia="en-US"/>
        </w:rPr>
        <w:t xml:space="preserve"> the</w:t>
      </w:r>
      <w:r w:rsidR="00A129F0" w:rsidRPr="004E482A">
        <w:rPr>
          <w:rFonts w:eastAsiaTheme="minorHAnsi" w:cs="Times New Roman"/>
          <w:noProof/>
          <w:color w:val="auto"/>
          <w:szCs w:val="22"/>
          <w:lang w:val="en-GB" w:eastAsia="en-US"/>
        </w:rPr>
        <w:t xml:space="preserve"> </w:t>
      </w:r>
      <w:r w:rsidR="006F4BC7">
        <w:rPr>
          <w:rFonts w:eastAsiaTheme="minorHAnsi" w:cs="Times New Roman"/>
          <w:noProof/>
          <w:color w:val="auto"/>
          <w:szCs w:val="22"/>
          <w:lang w:val="en-GB" w:eastAsia="en-US"/>
        </w:rPr>
        <w:t>Union</w:t>
      </w:r>
      <w:r w:rsidR="006F4BC7" w:rsidRPr="004E482A">
        <w:rPr>
          <w:rFonts w:eastAsiaTheme="minorHAnsi" w:cs="Times New Roman"/>
          <w:noProof/>
          <w:color w:val="auto"/>
          <w:szCs w:val="22"/>
          <w:lang w:val="en-GB" w:eastAsia="en-US"/>
        </w:rPr>
        <w:t xml:space="preserve"> </w:t>
      </w:r>
      <w:r w:rsidR="00A129F0" w:rsidRPr="004E482A">
        <w:rPr>
          <w:rFonts w:eastAsiaTheme="minorHAnsi" w:cs="Times New Roman"/>
          <w:noProof/>
          <w:color w:val="auto"/>
          <w:szCs w:val="22"/>
          <w:lang w:val="en-GB" w:eastAsia="en-US"/>
        </w:rPr>
        <w:t>and</w:t>
      </w:r>
      <w:r w:rsidR="0050129F">
        <w:rPr>
          <w:rFonts w:eastAsiaTheme="minorHAnsi" w:cs="Times New Roman"/>
          <w:noProof/>
          <w:color w:val="auto"/>
          <w:szCs w:val="22"/>
          <w:lang w:val="en-GB" w:eastAsia="en-US"/>
        </w:rPr>
        <w:t xml:space="preserve"> the</w:t>
      </w:r>
      <w:r w:rsidR="00A129F0" w:rsidRPr="004E482A">
        <w:rPr>
          <w:rFonts w:eastAsiaTheme="minorHAnsi" w:cs="Times New Roman"/>
          <w:noProof/>
          <w:color w:val="auto"/>
          <w:szCs w:val="22"/>
          <w:lang w:val="en-GB" w:eastAsia="en-US"/>
        </w:rPr>
        <w:t xml:space="preserve"> Western Balkans</w:t>
      </w:r>
      <w:r w:rsidR="00A129F0">
        <w:rPr>
          <w:rFonts w:eastAsiaTheme="minorHAnsi" w:cs="Times New Roman"/>
          <w:noProof/>
          <w:color w:val="auto"/>
          <w:szCs w:val="22"/>
          <w:lang w:val="en-GB" w:eastAsia="en-US"/>
        </w:rPr>
        <w:t>.</w:t>
      </w:r>
      <w:r w:rsidR="000A75D7">
        <w:rPr>
          <w:rFonts w:eastAsiaTheme="minorHAnsi" w:cs="Times New Roman"/>
          <w:noProof/>
          <w:color w:val="auto"/>
          <w:szCs w:val="22"/>
          <w:lang w:val="en-GB" w:eastAsia="en-US"/>
        </w:rPr>
        <w:t xml:space="preserve"> </w:t>
      </w:r>
      <w:r w:rsidR="00CF172C" w:rsidRPr="00AA1AFD">
        <w:rPr>
          <w:rFonts w:eastAsiaTheme="minorHAnsi" w:cs="Times New Roman"/>
          <w:noProof/>
          <w:color w:val="auto"/>
          <w:szCs w:val="22"/>
          <w:lang w:val="en-GB" w:eastAsia="en-US"/>
        </w:rPr>
        <w:t>This concerns all modes of transport, with the rail network being particularly in need of moder</w:t>
      </w:r>
      <w:r w:rsidR="00CF172C">
        <w:rPr>
          <w:rFonts w:eastAsiaTheme="minorHAnsi" w:cs="Times New Roman"/>
          <w:noProof/>
          <w:color w:val="auto"/>
          <w:szCs w:val="22"/>
          <w:lang w:val="en-GB" w:eastAsia="en-US"/>
        </w:rPr>
        <w:t>n</w:t>
      </w:r>
      <w:r w:rsidR="00CF172C" w:rsidRPr="00AA1AFD">
        <w:rPr>
          <w:rFonts w:eastAsiaTheme="minorHAnsi" w:cs="Times New Roman"/>
          <w:noProof/>
          <w:color w:val="auto"/>
          <w:szCs w:val="22"/>
          <w:lang w:val="en-GB" w:eastAsia="en-US"/>
        </w:rPr>
        <w:t>isation.</w:t>
      </w:r>
      <w:r w:rsidR="00DC09CB">
        <w:rPr>
          <w:rFonts w:eastAsiaTheme="minorHAnsi" w:cs="Times New Roman"/>
          <w:noProof/>
          <w:color w:val="auto"/>
          <w:szCs w:val="22"/>
          <w:lang w:val="en-GB" w:eastAsia="en-US"/>
        </w:rPr>
        <w:t xml:space="preserve"> </w:t>
      </w:r>
    </w:p>
    <w:p w:rsidR="004D4D82" w:rsidRDefault="00CC1760" w:rsidP="00BA336C">
      <w:pPr>
        <w:pStyle w:val="wordcount"/>
        <w:spacing w:before="240" w:after="240"/>
        <w:jc w:val="both"/>
        <w:rPr>
          <w:rFonts w:eastAsiaTheme="minorHAnsi" w:cs="Times New Roman"/>
          <w:noProof/>
          <w:color w:val="auto"/>
          <w:szCs w:val="22"/>
          <w:lang w:val="en-GB" w:eastAsia="en-US"/>
        </w:rPr>
      </w:pPr>
      <w:r w:rsidRPr="00AA1AFD">
        <w:rPr>
          <w:rFonts w:eastAsiaTheme="minorHAnsi" w:cs="Times New Roman"/>
          <w:noProof/>
          <w:color w:val="auto"/>
          <w:szCs w:val="22"/>
          <w:lang w:val="en-GB" w:eastAsia="en-US"/>
        </w:rPr>
        <w:t>In addition, the modal share of</w:t>
      </w:r>
      <w:r w:rsidR="008747F1" w:rsidRPr="00AA1AFD">
        <w:rPr>
          <w:rFonts w:eastAsiaTheme="minorHAnsi" w:cs="Times New Roman"/>
          <w:noProof/>
          <w:color w:val="auto"/>
          <w:szCs w:val="22"/>
          <w:lang w:val="en-GB" w:eastAsia="en-US"/>
        </w:rPr>
        <w:t xml:space="preserve"> sustainable transport</w:t>
      </w:r>
      <w:r w:rsidRPr="00AA1AFD">
        <w:rPr>
          <w:rFonts w:eastAsiaTheme="minorHAnsi" w:cs="Times New Roman"/>
          <w:noProof/>
          <w:color w:val="auto"/>
          <w:szCs w:val="22"/>
          <w:lang w:val="en-GB" w:eastAsia="en-US"/>
        </w:rPr>
        <w:t xml:space="preserve"> remains at a low level. While the Western Balkan partners carry out approximately 70% of their</w:t>
      </w:r>
      <w:r w:rsidR="00CC3C64">
        <w:rPr>
          <w:rFonts w:eastAsiaTheme="minorHAnsi" w:cs="Times New Roman"/>
          <w:noProof/>
          <w:color w:val="auto"/>
          <w:szCs w:val="22"/>
          <w:lang w:val="en-GB" w:eastAsia="en-US"/>
        </w:rPr>
        <w:t xml:space="preserve"> global</w:t>
      </w:r>
      <w:r w:rsidRPr="00AA1AFD">
        <w:rPr>
          <w:rFonts w:eastAsiaTheme="minorHAnsi" w:cs="Times New Roman"/>
          <w:noProof/>
          <w:color w:val="auto"/>
          <w:szCs w:val="22"/>
          <w:lang w:val="en-GB" w:eastAsia="en-US"/>
        </w:rPr>
        <w:t xml:space="preserve"> trade with</w:t>
      </w:r>
      <w:r w:rsidR="0085751F" w:rsidRPr="00AA1AFD">
        <w:rPr>
          <w:rFonts w:eastAsiaTheme="minorHAnsi" w:cs="Times New Roman"/>
          <w:noProof/>
          <w:color w:val="auto"/>
          <w:szCs w:val="22"/>
          <w:lang w:val="en-GB" w:eastAsia="en-US"/>
        </w:rPr>
        <w:t xml:space="preserve"> the</w:t>
      </w:r>
      <w:r w:rsidRPr="00AA1AFD">
        <w:rPr>
          <w:rFonts w:eastAsiaTheme="minorHAnsi" w:cs="Times New Roman"/>
          <w:noProof/>
          <w:color w:val="auto"/>
          <w:szCs w:val="22"/>
          <w:lang w:val="en-GB" w:eastAsia="en-US"/>
        </w:rPr>
        <w:t xml:space="preserve"> </w:t>
      </w:r>
      <w:r w:rsidR="006F4BC7">
        <w:rPr>
          <w:rFonts w:eastAsiaTheme="minorHAnsi" w:cs="Times New Roman"/>
          <w:noProof/>
          <w:color w:val="auto"/>
          <w:szCs w:val="22"/>
          <w:lang w:val="en-GB" w:eastAsia="en-US"/>
        </w:rPr>
        <w:t>Union</w:t>
      </w:r>
      <w:r w:rsidR="00FE573A" w:rsidRPr="00AA1AFD">
        <w:rPr>
          <w:rFonts w:eastAsiaTheme="minorHAnsi" w:cs="Times New Roman"/>
          <w:noProof/>
          <w:color w:val="auto"/>
          <w:szCs w:val="22"/>
          <w:lang w:val="en-GB" w:eastAsia="en-US"/>
        </w:rPr>
        <w:t xml:space="preserve">, </w:t>
      </w:r>
      <w:r w:rsidRPr="00AA1AFD">
        <w:rPr>
          <w:rFonts w:eastAsiaTheme="minorHAnsi" w:cs="Times New Roman"/>
          <w:noProof/>
          <w:color w:val="auto"/>
          <w:szCs w:val="22"/>
          <w:lang w:val="en-GB" w:eastAsia="en-US"/>
        </w:rPr>
        <w:t>only 5%</w:t>
      </w:r>
      <w:r w:rsidR="00690750" w:rsidRPr="00AA1AFD">
        <w:rPr>
          <w:rFonts w:eastAsiaTheme="minorHAnsi" w:cs="Times New Roman"/>
          <w:noProof/>
          <w:color w:val="auto"/>
          <w:szCs w:val="22"/>
          <w:lang w:val="en-GB" w:eastAsia="en-US"/>
        </w:rPr>
        <w:t xml:space="preserve"> of the total freight volume</w:t>
      </w:r>
      <w:r w:rsidRPr="00AA1AFD">
        <w:rPr>
          <w:rFonts w:eastAsiaTheme="minorHAnsi" w:cs="Times New Roman"/>
          <w:noProof/>
          <w:color w:val="auto"/>
          <w:szCs w:val="22"/>
          <w:lang w:val="en-GB" w:eastAsia="en-US"/>
        </w:rPr>
        <w:t xml:space="preserve"> </w:t>
      </w:r>
      <w:r w:rsidR="0085751F" w:rsidRPr="00AA1AFD">
        <w:rPr>
          <w:rFonts w:eastAsiaTheme="minorHAnsi" w:cs="Times New Roman"/>
          <w:noProof/>
          <w:color w:val="auto"/>
          <w:szCs w:val="22"/>
          <w:lang w:val="en-GB" w:eastAsia="en-US"/>
        </w:rPr>
        <w:t>is transport</w:t>
      </w:r>
      <w:r w:rsidR="008747F1" w:rsidRPr="00AA1AFD">
        <w:rPr>
          <w:rFonts w:eastAsiaTheme="minorHAnsi" w:cs="Times New Roman"/>
          <w:noProof/>
          <w:color w:val="auto"/>
          <w:szCs w:val="22"/>
          <w:lang w:val="en-GB" w:eastAsia="en-US"/>
        </w:rPr>
        <w:t>ed</w:t>
      </w:r>
      <w:r w:rsidR="0085751F" w:rsidRPr="00AA1AFD">
        <w:rPr>
          <w:rFonts w:eastAsiaTheme="minorHAnsi" w:cs="Times New Roman"/>
          <w:noProof/>
          <w:color w:val="auto"/>
          <w:szCs w:val="22"/>
          <w:lang w:val="en-GB" w:eastAsia="en-US"/>
        </w:rPr>
        <w:t xml:space="preserve"> by </w:t>
      </w:r>
      <w:r w:rsidRPr="00AA1AFD">
        <w:rPr>
          <w:rFonts w:eastAsiaTheme="minorHAnsi" w:cs="Times New Roman"/>
          <w:noProof/>
          <w:color w:val="auto"/>
          <w:szCs w:val="22"/>
          <w:lang w:val="en-GB" w:eastAsia="en-US"/>
        </w:rPr>
        <w:t xml:space="preserve">rail </w:t>
      </w:r>
      <w:r w:rsidR="00BD7E22">
        <w:rPr>
          <w:rFonts w:eastAsiaTheme="minorHAnsi" w:cs="Times New Roman"/>
          <w:noProof/>
          <w:color w:val="auto"/>
          <w:szCs w:val="22"/>
          <w:lang w:val="en-GB" w:eastAsia="en-US"/>
        </w:rPr>
        <w:t>and</w:t>
      </w:r>
      <w:r w:rsidR="0085751F" w:rsidRPr="00AA1AFD">
        <w:rPr>
          <w:rFonts w:eastAsiaTheme="minorHAnsi" w:cs="Times New Roman"/>
          <w:noProof/>
          <w:color w:val="auto"/>
          <w:szCs w:val="22"/>
          <w:lang w:val="en-GB" w:eastAsia="en-US"/>
        </w:rPr>
        <w:t xml:space="preserve"> the remaining</w:t>
      </w:r>
      <w:r w:rsidRPr="00AA1AFD">
        <w:rPr>
          <w:rFonts w:eastAsiaTheme="minorHAnsi" w:cs="Times New Roman"/>
          <w:noProof/>
          <w:color w:val="auto"/>
          <w:szCs w:val="22"/>
          <w:lang w:val="en-GB" w:eastAsia="en-US"/>
        </w:rPr>
        <w:t xml:space="preserve"> 95%</w:t>
      </w:r>
      <w:r w:rsidR="0085751F" w:rsidRPr="00AA1AFD">
        <w:rPr>
          <w:rFonts w:eastAsiaTheme="minorHAnsi" w:cs="Times New Roman"/>
          <w:noProof/>
          <w:color w:val="auto"/>
          <w:szCs w:val="22"/>
          <w:lang w:val="en-GB" w:eastAsia="en-US"/>
        </w:rPr>
        <w:t xml:space="preserve"> is transport</w:t>
      </w:r>
      <w:r w:rsidR="00FE573A" w:rsidRPr="00AA1AFD">
        <w:rPr>
          <w:rFonts w:eastAsiaTheme="minorHAnsi" w:cs="Times New Roman"/>
          <w:noProof/>
          <w:color w:val="auto"/>
          <w:szCs w:val="22"/>
          <w:lang w:val="en-GB" w:eastAsia="en-US"/>
        </w:rPr>
        <w:t>ed</w:t>
      </w:r>
      <w:r w:rsidR="0085751F" w:rsidRPr="00AA1AFD">
        <w:rPr>
          <w:rFonts w:eastAsiaTheme="minorHAnsi" w:cs="Times New Roman"/>
          <w:noProof/>
          <w:color w:val="auto"/>
          <w:szCs w:val="22"/>
          <w:lang w:val="en-GB" w:eastAsia="en-US"/>
        </w:rPr>
        <w:t xml:space="preserve"> by</w:t>
      </w:r>
      <w:r w:rsidRPr="00AA1AFD">
        <w:rPr>
          <w:rFonts w:eastAsiaTheme="minorHAnsi" w:cs="Times New Roman"/>
          <w:noProof/>
          <w:color w:val="auto"/>
          <w:szCs w:val="22"/>
          <w:lang w:val="en-GB" w:eastAsia="en-US"/>
        </w:rPr>
        <w:t xml:space="preserve"> road.</w:t>
      </w:r>
      <w:r w:rsidR="0085751F" w:rsidRPr="00AA1AFD">
        <w:rPr>
          <w:rFonts w:eastAsiaTheme="minorHAnsi" w:cs="Times New Roman"/>
          <w:noProof/>
          <w:color w:val="auto"/>
          <w:szCs w:val="22"/>
          <w:lang w:val="en-GB" w:eastAsia="en-US"/>
        </w:rPr>
        <w:t xml:space="preserve"> Moreover,</w:t>
      </w:r>
      <w:r w:rsidRPr="00AA1AFD">
        <w:rPr>
          <w:rFonts w:eastAsiaTheme="minorHAnsi" w:cs="Times New Roman"/>
          <w:noProof/>
          <w:color w:val="auto"/>
          <w:szCs w:val="22"/>
          <w:lang w:val="en-GB" w:eastAsia="en-US"/>
        </w:rPr>
        <w:t xml:space="preserve"> rail freig</w:t>
      </w:r>
      <w:r w:rsidR="007B52EE" w:rsidRPr="00AA1AFD">
        <w:rPr>
          <w:rFonts w:eastAsiaTheme="minorHAnsi" w:cs="Times New Roman"/>
          <w:noProof/>
          <w:color w:val="auto"/>
          <w:szCs w:val="22"/>
          <w:lang w:val="en-GB" w:eastAsia="en-US"/>
        </w:rPr>
        <w:t>ht transport</w:t>
      </w:r>
      <w:r w:rsidR="00FE573A" w:rsidRPr="00AA1AFD">
        <w:rPr>
          <w:rFonts w:eastAsiaTheme="minorHAnsi" w:cs="Times New Roman"/>
          <w:noProof/>
          <w:color w:val="auto"/>
          <w:szCs w:val="22"/>
          <w:lang w:val="en-GB" w:eastAsia="en-US"/>
        </w:rPr>
        <w:t xml:space="preserve"> has dropped by 40%</w:t>
      </w:r>
      <w:r w:rsidR="00690750" w:rsidRPr="00AA1AFD">
        <w:rPr>
          <w:rFonts w:eastAsiaTheme="minorHAnsi" w:cs="Times New Roman"/>
          <w:noProof/>
          <w:color w:val="auto"/>
          <w:szCs w:val="22"/>
          <w:lang w:val="en-GB" w:eastAsia="en-US"/>
        </w:rPr>
        <w:t xml:space="preserve"> since 2009</w:t>
      </w:r>
      <w:r w:rsidR="00FE573A" w:rsidRPr="00AA1AFD">
        <w:rPr>
          <w:rFonts w:eastAsiaTheme="minorHAnsi" w:cs="Times New Roman"/>
          <w:noProof/>
          <w:color w:val="auto"/>
          <w:szCs w:val="22"/>
          <w:lang w:val="en-GB" w:eastAsia="en-US"/>
        </w:rPr>
        <w:t xml:space="preserve"> </w:t>
      </w:r>
      <w:r w:rsidR="0085751F" w:rsidRPr="00AA1AFD">
        <w:rPr>
          <w:rFonts w:eastAsiaTheme="minorHAnsi" w:cs="Times New Roman"/>
          <w:noProof/>
          <w:color w:val="auto"/>
          <w:szCs w:val="22"/>
          <w:lang w:val="en-GB" w:eastAsia="en-US"/>
        </w:rPr>
        <w:t>while</w:t>
      </w:r>
      <w:r w:rsidR="00690750" w:rsidRPr="00AA1AFD">
        <w:rPr>
          <w:rFonts w:eastAsiaTheme="minorHAnsi" w:cs="Times New Roman"/>
          <w:noProof/>
          <w:color w:val="auto"/>
          <w:szCs w:val="22"/>
          <w:lang w:val="en-GB" w:eastAsia="en-US"/>
        </w:rPr>
        <w:t xml:space="preserve"> </w:t>
      </w:r>
      <w:r w:rsidR="006F4BC7">
        <w:rPr>
          <w:rFonts w:eastAsiaTheme="minorHAnsi" w:cs="Times New Roman"/>
          <w:noProof/>
          <w:color w:val="auto"/>
          <w:szCs w:val="22"/>
          <w:lang w:val="en-GB" w:eastAsia="en-US"/>
        </w:rPr>
        <w:t xml:space="preserve">the share of </w:t>
      </w:r>
      <w:r w:rsidR="00690750" w:rsidRPr="00AA1AFD">
        <w:rPr>
          <w:rFonts w:eastAsiaTheme="minorHAnsi" w:cs="Times New Roman"/>
          <w:noProof/>
          <w:color w:val="auto"/>
          <w:szCs w:val="22"/>
          <w:lang w:val="en-GB" w:eastAsia="en-US"/>
        </w:rPr>
        <w:t>rail</w:t>
      </w:r>
      <w:r w:rsidR="00FE573A" w:rsidRPr="00AA1AFD">
        <w:rPr>
          <w:rFonts w:eastAsiaTheme="minorHAnsi" w:cs="Times New Roman"/>
          <w:noProof/>
          <w:color w:val="auto"/>
          <w:szCs w:val="22"/>
          <w:lang w:val="en-GB" w:eastAsia="en-US"/>
        </w:rPr>
        <w:t xml:space="preserve"> passenger tra</w:t>
      </w:r>
      <w:r w:rsidR="007B52EE" w:rsidRPr="00AA1AFD">
        <w:rPr>
          <w:rFonts w:eastAsiaTheme="minorHAnsi" w:cs="Times New Roman"/>
          <w:noProof/>
          <w:color w:val="auto"/>
          <w:szCs w:val="22"/>
          <w:lang w:val="en-GB" w:eastAsia="en-US"/>
        </w:rPr>
        <w:t>nsport</w:t>
      </w:r>
      <w:r w:rsidR="006F4BC7">
        <w:rPr>
          <w:rFonts w:eastAsiaTheme="minorHAnsi" w:cs="Times New Roman"/>
          <w:noProof/>
          <w:color w:val="auto"/>
          <w:szCs w:val="22"/>
          <w:lang w:val="en-GB" w:eastAsia="en-US"/>
        </w:rPr>
        <w:t xml:space="preserve"> of total passenger transport</w:t>
      </w:r>
      <w:r w:rsidRPr="00AA1AFD">
        <w:rPr>
          <w:rFonts w:eastAsiaTheme="minorHAnsi" w:cs="Times New Roman"/>
          <w:noProof/>
          <w:color w:val="auto"/>
          <w:szCs w:val="22"/>
          <w:lang w:val="en-GB" w:eastAsia="en-US"/>
        </w:rPr>
        <w:t xml:space="preserve"> </w:t>
      </w:r>
      <w:r w:rsidR="0085751F" w:rsidRPr="00AA1AFD">
        <w:rPr>
          <w:rFonts w:eastAsiaTheme="minorHAnsi" w:cs="Times New Roman"/>
          <w:noProof/>
          <w:color w:val="auto"/>
          <w:szCs w:val="22"/>
          <w:lang w:val="en-GB" w:eastAsia="en-US"/>
        </w:rPr>
        <w:t>remains in the single digits</w:t>
      </w:r>
      <w:r w:rsidR="00FE573A" w:rsidRPr="00AA1AFD">
        <w:rPr>
          <w:rFonts w:eastAsiaTheme="minorHAnsi" w:cs="Times New Roman"/>
          <w:noProof/>
          <w:color w:val="auto"/>
          <w:szCs w:val="22"/>
          <w:lang w:val="en-GB" w:eastAsia="en-US"/>
        </w:rPr>
        <w:t>, with the exception of sub-urban transport in</w:t>
      </w:r>
      <w:r w:rsidR="00AA4D43" w:rsidRPr="00AA1AFD">
        <w:rPr>
          <w:rFonts w:eastAsiaTheme="minorHAnsi" w:cs="Times New Roman"/>
          <w:noProof/>
          <w:color w:val="auto"/>
          <w:szCs w:val="22"/>
          <w:lang w:val="en-GB" w:eastAsia="en-US"/>
        </w:rPr>
        <w:t xml:space="preserve"> a</w:t>
      </w:r>
      <w:r w:rsidR="00FE573A" w:rsidRPr="00AA1AFD">
        <w:rPr>
          <w:rFonts w:eastAsiaTheme="minorHAnsi" w:cs="Times New Roman"/>
          <w:noProof/>
          <w:color w:val="auto"/>
          <w:szCs w:val="22"/>
          <w:lang w:val="en-GB" w:eastAsia="en-US"/>
        </w:rPr>
        <w:t xml:space="preserve"> few major cities</w:t>
      </w:r>
      <w:r w:rsidRPr="00AA1AFD">
        <w:rPr>
          <w:rFonts w:eastAsiaTheme="minorHAnsi" w:cs="Times New Roman"/>
          <w:noProof/>
          <w:color w:val="auto"/>
          <w:szCs w:val="22"/>
          <w:lang w:val="en-GB" w:eastAsia="en-US"/>
        </w:rPr>
        <w:t>.</w:t>
      </w:r>
      <w:r w:rsidR="004D4D82" w:rsidRPr="00AA1AFD">
        <w:rPr>
          <w:rFonts w:eastAsiaTheme="minorHAnsi" w:cs="Times New Roman"/>
          <w:noProof/>
          <w:color w:val="auto"/>
          <w:szCs w:val="22"/>
          <w:lang w:val="en-GB" w:eastAsia="en-US"/>
        </w:rPr>
        <w:t xml:space="preserve"> </w:t>
      </w:r>
      <w:r w:rsidR="00AA4D43" w:rsidRPr="00AA1AFD">
        <w:rPr>
          <w:rFonts w:eastAsiaTheme="minorHAnsi" w:cs="Times New Roman"/>
          <w:noProof/>
          <w:color w:val="auto"/>
          <w:szCs w:val="22"/>
          <w:lang w:val="en-GB" w:eastAsia="en-US"/>
        </w:rPr>
        <w:t>The inland waterway network in the Western Balkans remains underused for freight transport to</w:t>
      </w:r>
      <w:r w:rsidR="00D363FD" w:rsidRPr="00AA1AFD">
        <w:rPr>
          <w:rFonts w:eastAsiaTheme="minorHAnsi" w:cs="Times New Roman"/>
          <w:noProof/>
          <w:color w:val="auto"/>
          <w:szCs w:val="22"/>
          <w:lang w:val="en-GB" w:eastAsia="en-US"/>
        </w:rPr>
        <w:t xml:space="preserve"> and from</w:t>
      </w:r>
      <w:r w:rsidR="00AA4D43" w:rsidRPr="00AA1AFD">
        <w:rPr>
          <w:rFonts w:eastAsiaTheme="minorHAnsi" w:cs="Times New Roman"/>
          <w:noProof/>
          <w:color w:val="auto"/>
          <w:szCs w:val="22"/>
          <w:lang w:val="en-GB" w:eastAsia="en-US"/>
        </w:rPr>
        <w:t xml:space="preserve"> the </w:t>
      </w:r>
      <w:r w:rsidR="00003BFE">
        <w:rPr>
          <w:rFonts w:eastAsiaTheme="minorHAnsi" w:cs="Times New Roman"/>
          <w:noProof/>
          <w:color w:val="auto"/>
          <w:szCs w:val="22"/>
          <w:lang w:val="en-GB" w:eastAsia="en-US"/>
        </w:rPr>
        <w:t>Unio</w:t>
      </w:r>
      <w:r w:rsidR="00AE4E82">
        <w:rPr>
          <w:rFonts w:eastAsiaTheme="minorHAnsi" w:cs="Times New Roman"/>
          <w:noProof/>
          <w:color w:val="auto"/>
          <w:szCs w:val="22"/>
          <w:lang w:val="en-GB" w:eastAsia="en-US"/>
        </w:rPr>
        <w:t>n</w:t>
      </w:r>
      <w:r w:rsidR="00AA4D43" w:rsidRPr="00AA1AFD">
        <w:rPr>
          <w:rFonts w:eastAsiaTheme="minorHAnsi" w:cs="Times New Roman"/>
          <w:noProof/>
          <w:color w:val="auto"/>
          <w:szCs w:val="22"/>
          <w:lang w:val="en-GB" w:eastAsia="en-US"/>
        </w:rPr>
        <w:t>. The Danube and Sava rivers cross several countries in the region</w:t>
      </w:r>
      <w:r w:rsidR="008747F1" w:rsidRPr="00AA1AFD">
        <w:rPr>
          <w:rFonts w:eastAsiaTheme="minorHAnsi" w:cs="Times New Roman"/>
          <w:noProof/>
          <w:color w:val="auto"/>
          <w:szCs w:val="22"/>
          <w:lang w:val="en-GB" w:eastAsia="en-US"/>
        </w:rPr>
        <w:t>,</w:t>
      </w:r>
      <w:r w:rsidR="003327A7" w:rsidRPr="00AA1AFD">
        <w:rPr>
          <w:rFonts w:eastAsiaTheme="minorHAnsi" w:cs="Times New Roman"/>
          <w:noProof/>
          <w:color w:val="auto"/>
          <w:szCs w:val="22"/>
          <w:lang w:val="en-GB" w:eastAsia="en-US"/>
        </w:rPr>
        <w:t xml:space="preserve"> comprising inland waterways</w:t>
      </w:r>
      <w:r w:rsidR="008747F1" w:rsidRPr="00AA1AFD">
        <w:rPr>
          <w:rFonts w:eastAsiaTheme="minorHAnsi" w:cs="Times New Roman"/>
          <w:noProof/>
          <w:color w:val="auto"/>
          <w:szCs w:val="22"/>
          <w:lang w:val="en-GB" w:eastAsia="en-US"/>
        </w:rPr>
        <w:t xml:space="preserve"> that</w:t>
      </w:r>
      <w:r w:rsidR="00AA4D43" w:rsidRPr="00AA1AFD">
        <w:rPr>
          <w:rFonts w:eastAsiaTheme="minorHAnsi" w:cs="Times New Roman"/>
          <w:noProof/>
          <w:color w:val="auto"/>
          <w:szCs w:val="22"/>
          <w:lang w:val="en-GB" w:eastAsia="en-US"/>
        </w:rPr>
        <w:t xml:space="preserve"> could </w:t>
      </w:r>
      <w:r w:rsidR="00B51334">
        <w:rPr>
          <w:rFonts w:eastAsiaTheme="minorHAnsi" w:cs="Times New Roman"/>
          <w:noProof/>
          <w:color w:val="auto"/>
          <w:szCs w:val="22"/>
          <w:lang w:val="en-GB" w:eastAsia="en-US"/>
        </w:rPr>
        <w:t xml:space="preserve">be further exploited </w:t>
      </w:r>
      <w:r w:rsidR="00794A3F">
        <w:rPr>
          <w:rFonts w:eastAsiaTheme="minorHAnsi" w:cs="Times New Roman"/>
          <w:noProof/>
          <w:color w:val="auto"/>
          <w:szCs w:val="22"/>
          <w:lang w:val="en-GB" w:eastAsia="en-US"/>
        </w:rPr>
        <w:t xml:space="preserve">in order </w:t>
      </w:r>
      <w:r w:rsidR="00B51334">
        <w:rPr>
          <w:rFonts w:eastAsiaTheme="minorHAnsi" w:cs="Times New Roman"/>
          <w:noProof/>
          <w:color w:val="auto"/>
          <w:szCs w:val="22"/>
          <w:lang w:val="en-GB" w:eastAsia="en-US"/>
        </w:rPr>
        <w:t>to shift traffic from road</w:t>
      </w:r>
      <w:r w:rsidR="0064228F">
        <w:rPr>
          <w:rFonts w:eastAsiaTheme="minorHAnsi" w:cs="Times New Roman"/>
          <w:noProof/>
          <w:color w:val="auto"/>
          <w:szCs w:val="22"/>
          <w:lang w:val="en-GB" w:eastAsia="en-US"/>
        </w:rPr>
        <w:t xml:space="preserve"> to more sustainable modes of transport</w:t>
      </w:r>
      <w:r w:rsidR="00AA4D43" w:rsidRPr="00AA1AFD">
        <w:rPr>
          <w:rFonts w:eastAsiaTheme="minorHAnsi" w:cs="Times New Roman"/>
          <w:noProof/>
          <w:color w:val="auto"/>
          <w:szCs w:val="22"/>
          <w:lang w:val="en-GB" w:eastAsia="en-US"/>
        </w:rPr>
        <w:t>.</w:t>
      </w:r>
      <w:r w:rsidR="00863464">
        <w:rPr>
          <w:rFonts w:eastAsiaTheme="minorHAnsi" w:cs="Times New Roman"/>
          <w:noProof/>
          <w:color w:val="auto"/>
          <w:szCs w:val="22"/>
          <w:lang w:val="en-GB" w:eastAsia="en-US"/>
        </w:rPr>
        <w:t xml:space="preserve"> </w:t>
      </w:r>
      <w:r w:rsidR="00C513ED">
        <w:rPr>
          <w:rFonts w:eastAsiaTheme="minorHAnsi" w:cs="Times New Roman"/>
          <w:noProof/>
          <w:color w:val="auto"/>
          <w:szCs w:val="22"/>
          <w:lang w:val="en-GB" w:eastAsia="en-US"/>
        </w:rPr>
        <w:t>In</w:t>
      </w:r>
      <w:r w:rsidR="00863464">
        <w:rPr>
          <w:rFonts w:eastAsiaTheme="minorHAnsi" w:cs="Times New Roman"/>
          <w:noProof/>
          <w:color w:val="auto"/>
          <w:szCs w:val="22"/>
          <w:lang w:val="en-GB" w:eastAsia="en-US"/>
        </w:rPr>
        <w:t xml:space="preserve"> the Adriatic Ioanian area, there is a need to ensure coordination between national and regional bodies active in the development of the TEN-T. </w:t>
      </w:r>
    </w:p>
    <w:p w:rsidR="005847DA" w:rsidRDefault="005847DA" w:rsidP="00BA336C">
      <w:pPr>
        <w:pStyle w:val="Text1"/>
        <w:spacing w:after="240"/>
        <w:ind w:left="0"/>
        <w:rPr>
          <w:noProof/>
        </w:rPr>
      </w:pPr>
      <w:r w:rsidRPr="00AA1AFD">
        <w:rPr>
          <w:noProof/>
        </w:rPr>
        <w:t xml:space="preserve">In consequence, transport connectivity within the region and with the </w:t>
      </w:r>
      <w:r w:rsidR="006F4BC7">
        <w:rPr>
          <w:noProof/>
        </w:rPr>
        <w:t>Union</w:t>
      </w:r>
      <w:r w:rsidR="006F4BC7" w:rsidRPr="00AA1AFD">
        <w:rPr>
          <w:noProof/>
        </w:rPr>
        <w:t xml:space="preserve"> </w:t>
      </w:r>
      <w:r w:rsidRPr="00AA1AFD">
        <w:rPr>
          <w:noProof/>
        </w:rPr>
        <w:t>suffers</w:t>
      </w:r>
      <w:r>
        <w:rPr>
          <w:noProof/>
        </w:rPr>
        <w:t>, with negative consequences on the economic development and the attractiveness of the region for investors</w:t>
      </w:r>
      <w:r w:rsidRPr="00AA1AFD">
        <w:rPr>
          <w:noProof/>
        </w:rPr>
        <w:t xml:space="preserve">. The effect </w:t>
      </w:r>
      <w:r>
        <w:rPr>
          <w:noProof/>
        </w:rPr>
        <w:t>of such</w:t>
      </w:r>
      <w:r w:rsidR="004D1700">
        <w:rPr>
          <w:noProof/>
        </w:rPr>
        <w:t xml:space="preserve"> a</w:t>
      </w:r>
      <w:r>
        <w:rPr>
          <w:noProof/>
        </w:rPr>
        <w:t xml:space="preserve"> situation </w:t>
      </w:r>
      <w:r w:rsidRPr="00AA1AFD">
        <w:rPr>
          <w:noProof/>
        </w:rPr>
        <w:t xml:space="preserve">is often seen at the borders with the Union, where the capacity of the infrastructure does not </w:t>
      </w:r>
      <w:r>
        <w:rPr>
          <w:noProof/>
        </w:rPr>
        <w:t xml:space="preserve">always </w:t>
      </w:r>
      <w:r w:rsidRPr="00AA1AFD">
        <w:rPr>
          <w:noProof/>
        </w:rPr>
        <w:t xml:space="preserve">match the traffic volumes registered, with significant negative knock-on effects not only for the trade between the </w:t>
      </w:r>
      <w:r w:rsidR="00003BFE">
        <w:rPr>
          <w:noProof/>
        </w:rPr>
        <w:t>Union</w:t>
      </w:r>
      <w:r w:rsidR="00003BFE" w:rsidRPr="00AA1AFD">
        <w:rPr>
          <w:noProof/>
        </w:rPr>
        <w:t xml:space="preserve"> </w:t>
      </w:r>
      <w:r w:rsidRPr="00AA1AFD">
        <w:rPr>
          <w:noProof/>
        </w:rPr>
        <w:t>and</w:t>
      </w:r>
      <w:r>
        <w:rPr>
          <w:noProof/>
        </w:rPr>
        <w:t xml:space="preserve"> the</w:t>
      </w:r>
      <w:r w:rsidRPr="00AA1AFD">
        <w:rPr>
          <w:noProof/>
        </w:rPr>
        <w:t xml:space="preserve"> Western Balkans, but also affecting the trade between Member States that cross</w:t>
      </w:r>
      <w:r>
        <w:rPr>
          <w:noProof/>
        </w:rPr>
        <w:t>es</w:t>
      </w:r>
      <w:r w:rsidRPr="00AA1AFD">
        <w:rPr>
          <w:noProof/>
        </w:rPr>
        <w:t xml:space="preserve"> the </w:t>
      </w:r>
      <w:r>
        <w:rPr>
          <w:noProof/>
        </w:rPr>
        <w:t>region</w:t>
      </w:r>
      <w:r w:rsidRPr="00AA1AFD">
        <w:rPr>
          <w:noProof/>
        </w:rPr>
        <w:t xml:space="preserve"> in transit.</w:t>
      </w:r>
    </w:p>
    <w:p w:rsidR="009F433B" w:rsidRDefault="009F433B" w:rsidP="00BA336C">
      <w:pPr>
        <w:pStyle w:val="Text1"/>
        <w:spacing w:after="240"/>
        <w:ind w:left="0"/>
        <w:rPr>
          <w:noProof/>
        </w:rPr>
      </w:pPr>
      <w:r>
        <w:rPr>
          <w:noProof/>
        </w:rPr>
        <w:t>Eight years after having extended the TEN-T to the Western Balkans and four years after the entry into force of the TCT, time has come to accelerate the development of the TEN-T. In view of this, i</w:t>
      </w:r>
      <w:r w:rsidRPr="004C305A">
        <w:rPr>
          <w:noProof/>
        </w:rPr>
        <w:t>t is</w:t>
      </w:r>
      <w:r>
        <w:rPr>
          <w:noProof/>
        </w:rPr>
        <w:t xml:space="preserve"> vital</w:t>
      </w:r>
      <w:r w:rsidRPr="004C305A">
        <w:rPr>
          <w:noProof/>
        </w:rPr>
        <w:t xml:space="preserve"> that the </w:t>
      </w:r>
      <w:r>
        <w:rPr>
          <w:noProof/>
        </w:rPr>
        <w:t>Union</w:t>
      </w:r>
      <w:r w:rsidRPr="004C305A">
        <w:rPr>
          <w:noProof/>
        </w:rPr>
        <w:t xml:space="preserve"> and </w:t>
      </w:r>
      <w:r>
        <w:rPr>
          <w:noProof/>
        </w:rPr>
        <w:t>the</w:t>
      </w:r>
      <w:r w:rsidRPr="004C305A">
        <w:rPr>
          <w:noProof/>
        </w:rPr>
        <w:t xml:space="preserve"> Western Balkan partners </w:t>
      </w:r>
      <w:r>
        <w:rPr>
          <w:noProof/>
        </w:rPr>
        <w:t>carry out</w:t>
      </w:r>
      <w:r w:rsidRPr="004C305A">
        <w:rPr>
          <w:noProof/>
        </w:rPr>
        <w:t xml:space="preserve"> a</w:t>
      </w:r>
      <w:r>
        <w:rPr>
          <w:noProof/>
        </w:rPr>
        <w:t xml:space="preserve"> more coherent</w:t>
      </w:r>
      <w:r w:rsidRPr="004C305A">
        <w:rPr>
          <w:noProof/>
        </w:rPr>
        <w:t xml:space="preserve"> TEN-T</w:t>
      </w:r>
      <w:r>
        <w:rPr>
          <w:noProof/>
        </w:rPr>
        <w:t xml:space="preserve"> policy</w:t>
      </w:r>
      <w:r w:rsidRPr="004C305A">
        <w:rPr>
          <w:noProof/>
        </w:rPr>
        <w:t>. This would help bridging the connectivity gap and improving the overall quality of transport</w:t>
      </w:r>
      <w:r w:rsidR="00D53797">
        <w:rPr>
          <w:noProof/>
        </w:rPr>
        <w:t>.</w:t>
      </w:r>
    </w:p>
    <w:p w:rsidR="00863464" w:rsidRDefault="00D05185" w:rsidP="00D50A73">
      <w:pPr>
        <w:pStyle w:val="Text1"/>
        <w:ind w:left="0"/>
        <w:rPr>
          <w:noProof/>
        </w:rPr>
      </w:pPr>
      <w:r>
        <w:rPr>
          <w:noProof/>
        </w:rPr>
        <w:t>To pursue the</w:t>
      </w:r>
      <w:r w:rsidR="0044442C" w:rsidRPr="00067485">
        <w:rPr>
          <w:noProof/>
        </w:rPr>
        <w:t xml:space="preserve"> objectives</w:t>
      </w:r>
      <w:r>
        <w:rPr>
          <w:noProof/>
        </w:rPr>
        <w:t xml:space="preserve"> of the TEN-T policy</w:t>
      </w:r>
      <w:r w:rsidR="0044442C" w:rsidRPr="00067485">
        <w:rPr>
          <w:noProof/>
        </w:rPr>
        <w:t>,</w:t>
      </w:r>
      <w:r w:rsidR="0064228F" w:rsidRPr="00067485">
        <w:rPr>
          <w:noProof/>
        </w:rPr>
        <w:t xml:space="preserve"> the</w:t>
      </w:r>
      <w:r w:rsidR="0044442C" w:rsidRPr="00067485">
        <w:rPr>
          <w:noProof/>
        </w:rPr>
        <w:t xml:space="preserve"> Western Balkan partners</w:t>
      </w:r>
      <w:r w:rsidR="0064228F" w:rsidRPr="00067485">
        <w:rPr>
          <w:noProof/>
        </w:rPr>
        <w:t xml:space="preserve"> can</w:t>
      </w:r>
      <w:r w:rsidR="0044442C" w:rsidRPr="00067485">
        <w:rPr>
          <w:noProof/>
        </w:rPr>
        <w:t xml:space="preserve"> benefit from several </w:t>
      </w:r>
      <w:r w:rsidR="00F7147A">
        <w:rPr>
          <w:noProof/>
        </w:rPr>
        <w:t xml:space="preserve">EU </w:t>
      </w:r>
      <w:r w:rsidR="0044442C" w:rsidRPr="00067485">
        <w:rPr>
          <w:noProof/>
        </w:rPr>
        <w:t>funding sources</w:t>
      </w:r>
      <w:r w:rsidR="0064228F" w:rsidRPr="00067485">
        <w:rPr>
          <w:noProof/>
        </w:rPr>
        <w:t>,</w:t>
      </w:r>
      <w:r w:rsidR="0044442C" w:rsidRPr="00067485">
        <w:rPr>
          <w:noProof/>
        </w:rPr>
        <w:t xml:space="preserve"> such as</w:t>
      </w:r>
      <w:r w:rsidR="0064228F" w:rsidRPr="00067485">
        <w:rPr>
          <w:noProof/>
        </w:rPr>
        <w:t xml:space="preserve"> the</w:t>
      </w:r>
      <w:r w:rsidR="0044442C" w:rsidRPr="00067485">
        <w:rPr>
          <w:noProof/>
        </w:rPr>
        <w:t xml:space="preserve"> </w:t>
      </w:r>
      <w:r w:rsidR="008C3081">
        <w:rPr>
          <w:noProof/>
        </w:rPr>
        <w:t>Instrument for Pre-Accession</w:t>
      </w:r>
      <w:r w:rsidR="0044442C" w:rsidRPr="00067485">
        <w:rPr>
          <w:noProof/>
        </w:rPr>
        <w:t xml:space="preserve"> through the Western Balkan Investment Framework. Furthermore,</w:t>
      </w:r>
      <w:r w:rsidR="005847DA" w:rsidRPr="00067485">
        <w:rPr>
          <w:noProof/>
        </w:rPr>
        <w:t xml:space="preserve"> in 2020,</w:t>
      </w:r>
      <w:r w:rsidR="0044442C" w:rsidRPr="00067485">
        <w:rPr>
          <w:noProof/>
        </w:rPr>
        <w:t xml:space="preserve"> the Commission adopted a comprehensive Economic and Investment Plan for the Western Balkans</w:t>
      </w:r>
      <w:r w:rsidR="00F7147A">
        <w:rPr>
          <w:noProof/>
        </w:rPr>
        <w:t xml:space="preserve"> </w:t>
      </w:r>
      <w:r w:rsidR="00F7147A" w:rsidRPr="00EF4CC2">
        <w:rPr>
          <w:rFonts w:eastAsiaTheme="minorEastAsia"/>
          <w:noProof/>
        </w:rPr>
        <w:t>(EIP)</w:t>
      </w:r>
      <w:r w:rsidR="00F7147A" w:rsidRPr="00EF4CC2">
        <w:rPr>
          <w:rFonts w:eastAsiaTheme="minorEastAsia"/>
          <w:noProof/>
          <w:vertAlign w:val="superscript"/>
        </w:rPr>
        <w:footnoteReference w:id="20"/>
      </w:r>
      <w:r w:rsidR="0044442C" w:rsidRPr="00067485">
        <w:rPr>
          <w:noProof/>
        </w:rPr>
        <w:t xml:space="preserve">, which aims to spur the long-term economic recovery of the region, support a green and digital transition, foster regional integration and convergence with the Union. </w:t>
      </w:r>
      <w:r w:rsidR="00F7147A" w:rsidRPr="00EF4CC2">
        <w:rPr>
          <w:rFonts w:eastAsiaTheme="minorEastAsia"/>
          <w:noProof/>
        </w:rPr>
        <w:t>The Plan identifies flagship projects in all aspects of connectivity and sets out an investment package that mobilises up to EUR 9 billion of grants over the next seven years</w:t>
      </w:r>
      <w:r w:rsidR="00F7147A">
        <w:rPr>
          <w:rFonts w:eastAsiaTheme="minorEastAsia"/>
          <w:noProof/>
        </w:rPr>
        <w:t xml:space="preserve">, leveraging up to </w:t>
      </w:r>
      <w:r w:rsidR="00F7147A" w:rsidRPr="00EF4CC2">
        <w:rPr>
          <w:rFonts w:eastAsiaTheme="minorEastAsia"/>
          <w:noProof/>
        </w:rPr>
        <w:t>EUR 20 billion of investments through the new Western Balkans Guarantee Facility.</w:t>
      </w:r>
      <w:r w:rsidR="00F7147A">
        <w:rPr>
          <w:rFonts w:eastAsiaTheme="minorEastAsia"/>
          <w:noProof/>
        </w:rPr>
        <w:t xml:space="preserve"> </w:t>
      </w:r>
      <w:r w:rsidR="0044442C" w:rsidRPr="00067485">
        <w:rPr>
          <w:noProof/>
        </w:rPr>
        <w:t xml:space="preserve">All key transport </w:t>
      </w:r>
      <w:r w:rsidR="006359D1">
        <w:rPr>
          <w:noProof/>
        </w:rPr>
        <w:t xml:space="preserve">projects included in the Plan – amounting to EUR 1.1 billion with a leverage of up to EUR 4 billion investments – are located on the extended TEN-T. </w:t>
      </w:r>
    </w:p>
    <w:p w:rsidR="00F7147A" w:rsidRDefault="00462007" w:rsidP="00E20AB9">
      <w:pPr>
        <w:pStyle w:val="Text1"/>
        <w:spacing w:after="0"/>
        <w:ind w:left="0"/>
        <w:rPr>
          <w:noProof/>
        </w:rPr>
      </w:pPr>
      <w:r>
        <w:rPr>
          <w:noProof/>
        </w:rPr>
        <w:t>The EU also supports</w:t>
      </w:r>
      <w:r w:rsidR="009F433B">
        <w:rPr>
          <w:noProof/>
        </w:rPr>
        <w:t xml:space="preserve"> </w:t>
      </w:r>
      <w:r w:rsidR="00863464">
        <w:rPr>
          <w:noProof/>
        </w:rPr>
        <w:t>m</w:t>
      </w:r>
      <w:r>
        <w:rPr>
          <w:noProof/>
        </w:rPr>
        <w:t>acro-regional strategies in the region, such as the EUSAIR and EUSDR</w:t>
      </w:r>
      <w:r w:rsidR="00863464">
        <w:rPr>
          <w:rStyle w:val="FootnoteReference"/>
          <w:noProof/>
        </w:rPr>
        <w:footnoteReference w:id="21"/>
      </w:r>
      <w:r>
        <w:rPr>
          <w:noProof/>
        </w:rPr>
        <w:t xml:space="preserve"> </w:t>
      </w:r>
      <w:r w:rsidR="009F433B">
        <w:rPr>
          <w:noProof/>
        </w:rPr>
        <w:t>in order</w:t>
      </w:r>
      <w:r>
        <w:rPr>
          <w:noProof/>
        </w:rPr>
        <w:t xml:space="preserve"> to strengthen</w:t>
      </w:r>
      <w:r w:rsidR="009F433B">
        <w:rPr>
          <w:noProof/>
        </w:rPr>
        <w:t xml:space="preserve"> the</w:t>
      </w:r>
      <w:r>
        <w:rPr>
          <w:noProof/>
        </w:rPr>
        <w:t xml:space="preserve"> coherence of investments in the Western Balkans. Coo</w:t>
      </w:r>
      <w:r w:rsidR="009F433B">
        <w:rPr>
          <w:noProof/>
        </w:rPr>
        <w:t>rdination</w:t>
      </w:r>
      <w:r>
        <w:rPr>
          <w:noProof/>
        </w:rPr>
        <w:t xml:space="preserve"> between Interreg, IPA III and other funding instruments in the framework of EU </w:t>
      </w:r>
      <w:r w:rsidR="00E20AB9">
        <w:rPr>
          <w:noProof/>
        </w:rPr>
        <w:t>m</w:t>
      </w:r>
      <w:r>
        <w:rPr>
          <w:noProof/>
        </w:rPr>
        <w:t xml:space="preserve">acro-regional strategies </w:t>
      </w:r>
      <w:r w:rsidR="009F433B">
        <w:rPr>
          <w:noProof/>
        </w:rPr>
        <w:t>improves</w:t>
      </w:r>
      <w:r>
        <w:rPr>
          <w:noProof/>
        </w:rPr>
        <w:t xml:space="preserve"> the </w:t>
      </w:r>
      <w:r w:rsidR="009F433B">
        <w:rPr>
          <w:noProof/>
        </w:rPr>
        <w:t xml:space="preserve">effect </w:t>
      </w:r>
      <w:r>
        <w:rPr>
          <w:noProof/>
        </w:rPr>
        <w:t>of i</w:t>
      </w:r>
      <w:r w:rsidR="00A62056">
        <w:rPr>
          <w:noProof/>
        </w:rPr>
        <w:t>mplemented projects and multiplies</w:t>
      </w:r>
      <w:r>
        <w:rPr>
          <w:noProof/>
        </w:rPr>
        <w:t xml:space="preserve"> the impact of new ones.</w:t>
      </w:r>
    </w:p>
    <w:p w:rsidR="004C305A" w:rsidRDefault="004C305A" w:rsidP="00E20AB9">
      <w:pPr>
        <w:pStyle w:val="Text1"/>
        <w:spacing w:before="0" w:after="0"/>
        <w:ind w:left="0"/>
        <w:rPr>
          <w:noProof/>
        </w:rPr>
      </w:pPr>
    </w:p>
    <w:p w:rsidR="001F1DFC" w:rsidRDefault="00906B1D" w:rsidP="00E20AB9">
      <w:pPr>
        <w:pStyle w:val="wordcount"/>
        <w:spacing w:after="60"/>
        <w:jc w:val="both"/>
        <w:rPr>
          <w:rFonts w:eastAsiaTheme="minorHAnsi" w:cs="Times New Roman"/>
          <w:noProof/>
          <w:color w:val="auto"/>
          <w:szCs w:val="22"/>
          <w:lang w:val="en-GB" w:eastAsia="en-US"/>
        </w:rPr>
      </w:pPr>
      <w:r w:rsidRPr="00AA1AFD">
        <w:rPr>
          <w:rFonts w:eastAsiaTheme="minorHAnsi" w:cs="Times New Roman"/>
          <w:noProof/>
          <w:color w:val="auto"/>
          <w:szCs w:val="22"/>
          <w:lang w:val="en-GB" w:eastAsia="en-US"/>
        </w:rPr>
        <w:t xml:space="preserve">The </w:t>
      </w:r>
      <w:r w:rsidR="0046099D">
        <w:rPr>
          <w:rFonts w:eastAsiaTheme="minorHAnsi" w:cs="Times New Roman"/>
          <w:noProof/>
          <w:color w:val="auto"/>
          <w:szCs w:val="22"/>
          <w:lang w:val="en-GB" w:eastAsia="en-US"/>
        </w:rPr>
        <w:t>Union</w:t>
      </w:r>
      <w:r w:rsidR="0046099D" w:rsidRPr="00AA1AFD">
        <w:rPr>
          <w:rFonts w:eastAsiaTheme="minorHAnsi" w:cs="Times New Roman"/>
          <w:noProof/>
          <w:color w:val="auto"/>
          <w:szCs w:val="22"/>
          <w:lang w:val="en-GB" w:eastAsia="en-US"/>
        </w:rPr>
        <w:t xml:space="preserve"> </w:t>
      </w:r>
      <w:r w:rsidR="00016692">
        <w:rPr>
          <w:rFonts w:eastAsiaTheme="minorHAnsi" w:cs="Times New Roman"/>
          <w:noProof/>
          <w:color w:val="auto"/>
          <w:szCs w:val="22"/>
          <w:lang w:val="en-GB" w:eastAsia="en-US"/>
        </w:rPr>
        <w:t>should</w:t>
      </w:r>
      <w:r w:rsidRPr="00AA1AFD">
        <w:rPr>
          <w:rFonts w:eastAsiaTheme="minorHAnsi" w:cs="Times New Roman"/>
          <w:noProof/>
          <w:color w:val="auto"/>
          <w:szCs w:val="22"/>
          <w:lang w:val="en-GB" w:eastAsia="en-US"/>
        </w:rPr>
        <w:t xml:space="preserve"> give priority to TEN-T projects</w:t>
      </w:r>
      <w:r w:rsidR="00003BFE">
        <w:rPr>
          <w:rFonts w:eastAsiaTheme="minorHAnsi" w:cs="Times New Roman"/>
          <w:noProof/>
          <w:color w:val="auto"/>
          <w:szCs w:val="22"/>
          <w:lang w:val="en-GB" w:eastAsia="en-US"/>
        </w:rPr>
        <w:t xml:space="preserve"> that</w:t>
      </w:r>
      <w:r w:rsidRPr="00AA1AFD">
        <w:rPr>
          <w:rFonts w:eastAsiaTheme="minorHAnsi" w:cs="Times New Roman"/>
          <w:noProof/>
          <w:color w:val="auto"/>
          <w:szCs w:val="22"/>
          <w:lang w:val="en-GB" w:eastAsia="en-US"/>
        </w:rPr>
        <w:t xml:space="preserve"> are of strategic interest to the region and to the Union</w:t>
      </w:r>
      <w:r w:rsidR="00973124">
        <w:rPr>
          <w:rFonts w:eastAsiaTheme="minorHAnsi" w:cs="Times New Roman"/>
          <w:noProof/>
          <w:color w:val="auto"/>
          <w:szCs w:val="22"/>
          <w:lang w:val="en-GB" w:eastAsia="en-US"/>
        </w:rPr>
        <w:t>,</w:t>
      </w:r>
      <w:r w:rsidR="00BA336C">
        <w:rPr>
          <w:rFonts w:eastAsiaTheme="minorHAnsi" w:cs="Times New Roman"/>
          <w:noProof/>
          <w:color w:val="auto"/>
          <w:szCs w:val="22"/>
          <w:lang w:val="en-GB" w:eastAsia="en-US"/>
        </w:rPr>
        <w:t xml:space="preserve"> </w:t>
      </w:r>
      <w:r w:rsidR="000D272E">
        <w:rPr>
          <w:rFonts w:eastAsiaTheme="minorHAnsi" w:cs="Times New Roman"/>
          <w:noProof/>
          <w:color w:val="auto"/>
          <w:szCs w:val="22"/>
          <w:lang w:val="en-GB" w:eastAsia="en-US"/>
        </w:rPr>
        <w:t>w</w:t>
      </w:r>
      <w:r w:rsidRPr="00AA1AFD">
        <w:rPr>
          <w:rFonts w:eastAsiaTheme="minorHAnsi" w:cs="Times New Roman"/>
          <w:noProof/>
          <w:color w:val="auto"/>
          <w:szCs w:val="22"/>
          <w:lang w:val="en-GB" w:eastAsia="en-US"/>
        </w:rPr>
        <w:t>ith the objective of realising a complete</w:t>
      </w:r>
      <w:r w:rsidR="004E1F92">
        <w:rPr>
          <w:rFonts w:eastAsiaTheme="minorHAnsi" w:cs="Times New Roman"/>
          <w:noProof/>
          <w:color w:val="auto"/>
          <w:szCs w:val="22"/>
          <w:lang w:val="en-GB" w:eastAsia="en-US"/>
        </w:rPr>
        <w:t>,</w:t>
      </w:r>
      <w:r w:rsidRPr="00AA1AFD">
        <w:rPr>
          <w:rFonts w:eastAsiaTheme="minorHAnsi" w:cs="Times New Roman"/>
          <w:noProof/>
          <w:color w:val="auto"/>
          <w:szCs w:val="22"/>
          <w:lang w:val="en-GB" w:eastAsia="en-US"/>
        </w:rPr>
        <w:t xml:space="preserve"> compliant</w:t>
      </w:r>
      <w:r w:rsidR="004E1F92">
        <w:rPr>
          <w:rFonts w:eastAsiaTheme="minorHAnsi" w:cs="Times New Roman"/>
          <w:noProof/>
          <w:color w:val="auto"/>
          <w:szCs w:val="22"/>
          <w:lang w:val="en-GB" w:eastAsia="en-US"/>
        </w:rPr>
        <w:t xml:space="preserve"> and sustainable</w:t>
      </w:r>
      <w:r w:rsidRPr="00AA1AFD">
        <w:rPr>
          <w:rFonts w:eastAsiaTheme="minorHAnsi" w:cs="Times New Roman"/>
          <w:noProof/>
          <w:color w:val="auto"/>
          <w:szCs w:val="22"/>
          <w:lang w:val="en-GB" w:eastAsia="en-US"/>
        </w:rPr>
        <w:t xml:space="preserve"> indicative core network that connects capitals within the region and with the </w:t>
      </w:r>
      <w:r w:rsidR="00AE4E82">
        <w:rPr>
          <w:rFonts w:eastAsiaTheme="minorHAnsi" w:cs="Times New Roman"/>
          <w:noProof/>
          <w:color w:val="auto"/>
          <w:szCs w:val="22"/>
          <w:lang w:val="en-GB" w:eastAsia="en-US"/>
        </w:rPr>
        <w:t>Union</w:t>
      </w:r>
      <w:r w:rsidR="000D272E">
        <w:rPr>
          <w:rFonts w:eastAsiaTheme="minorHAnsi" w:cs="Times New Roman"/>
          <w:noProof/>
          <w:color w:val="auto"/>
          <w:szCs w:val="22"/>
          <w:lang w:val="en-GB" w:eastAsia="en-US"/>
        </w:rPr>
        <w:t>. T</w:t>
      </w:r>
      <w:r w:rsidRPr="00AA1AFD">
        <w:rPr>
          <w:rFonts w:eastAsiaTheme="minorHAnsi" w:cs="Times New Roman"/>
          <w:noProof/>
          <w:color w:val="auto"/>
          <w:szCs w:val="22"/>
          <w:lang w:val="en-GB" w:eastAsia="en-US"/>
        </w:rPr>
        <w:t xml:space="preserve">he Union </w:t>
      </w:r>
      <w:r w:rsidR="00016692">
        <w:rPr>
          <w:rFonts w:eastAsiaTheme="minorHAnsi" w:cs="Times New Roman"/>
          <w:noProof/>
          <w:color w:val="auto"/>
          <w:szCs w:val="22"/>
          <w:lang w:val="en-GB" w:eastAsia="en-US"/>
        </w:rPr>
        <w:t>should</w:t>
      </w:r>
      <w:r w:rsidRPr="00AA1AFD">
        <w:rPr>
          <w:rFonts w:eastAsiaTheme="minorHAnsi" w:cs="Times New Roman"/>
          <w:noProof/>
          <w:color w:val="auto"/>
          <w:szCs w:val="22"/>
          <w:lang w:val="en-GB" w:eastAsia="en-US"/>
        </w:rPr>
        <w:t xml:space="preserve"> seek to speed up the construction of new transport infrastructure, bridging missing links, in particular </w:t>
      </w:r>
      <w:r>
        <w:rPr>
          <w:rFonts w:eastAsiaTheme="minorHAnsi" w:cs="Times New Roman"/>
          <w:noProof/>
          <w:color w:val="auto"/>
          <w:szCs w:val="22"/>
          <w:lang w:val="en-GB" w:eastAsia="en-US"/>
        </w:rPr>
        <w:t>cross-</w:t>
      </w:r>
      <w:r w:rsidRPr="00AA1AFD">
        <w:rPr>
          <w:rFonts w:eastAsiaTheme="minorHAnsi" w:cs="Times New Roman"/>
          <w:noProof/>
          <w:color w:val="auto"/>
          <w:szCs w:val="22"/>
          <w:lang w:val="en-GB" w:eastAsia="en-US"/>
        </w:rPr>
        <w:t xml:space="preserve">border </w:t>
      </w:r>
      <w:r>
        <w:rPr>
          <w:rFonts w:eastAsiaTheme="minorHAnsi" w:cs="Times New Roman"/>
          <w:noProof/>
          <w:color w:val="auto"/>
          <w:szCs w:val="22"/>
          <w:lang w:val="en-GB" w:eastAsia="en-US"/>
        </w:rPr>
        <w:t>project</w:t>
      </w:r>
      <w:r w:rsidRPr="00AA1AFD">
        <w:rPr>
          <w:rFonts w:eastAsiaTheme="minorHAnsi" w:cs="Times New Roman"/>
          <w:noProof/>
          <w:color w:val="auto"/>
          <w:szCs w:val="22"/>
          <w:lang w:val="en-GB" w:eastAsia="en-US"/>
        </w:rPr>
        <w:t>s, and, where appropriate,</w:t>
      </w:r>
      <w:r>
        <w:rPr>
          <w:rFonts w:eastAsiaTheme="minorHAnsi" w:cs="Times New Roman"/>
          <w:noProof/>
          <w:color w:val="auto"/>
          <w:szCs w:val="22"/>
          <w:lang w:val="en-GB" w:eastAsia="en-US"/>
        </w:rPr>
        <w:t xml:space="preserve"> to</w:t>
      </w:r>
      <w:r w:rsidRPr="00AA1AFD">
        <w:rPr>
          <w:rFonts w:eastAsiaTheme="minorHAnsi" w:cs="Times New Roman"/>
          <w:noProof/>
          <w:color w:val="auto"/>
          <w:szCs w:val="22"/>
          <w:lang w:val="en-GB" w:eastAsia="en-US"/>
        </w:rPr>
        <w:t xml:space="preserve"> upgrade the existing infrastructure bring</w:t>
      </w:r>
      <w:r>
        <w:rPr>
          <w:rFonts w:eastAsiaTheme="minorHAnsi" w:cs="Times New Roman"/>
          <w:noProof/>
          <w:color w:val="auto"/>
          <w:szCs w:val="22"/>
          <w:lang w:val="en-GB" w:eastAsia="en-US"/>
        </w:rPr>
        <w:t>ing</w:t>
      </w:r>
      <w:r w:rsidRPr="00AA1AFD">
        <w:rPr>
          <w:rFonts w:eastAsiaTheme="minorHAnsi" w:cs="Times New Roman"/>
          <w:noProof/>
          <w:color w:val="auto"/>
          <w:szCs w:val="22"/>
          <w:lang w:val="en-GB" w:eastAsia="en-US"/>
        </w:rPr>
        <w:t xml:space="preserve"> it up to</w:t>
      </w:r>
      <w:r w:rsidR="00DA3C70">
        <w:rPr>
          <w:rFonts w:eastAsiaTheme="minorHAnsi" w:cs="Times New Roman"/>
          <w:noProof/>
          <w:color w:val="auto"/>
          <w:szCs w:val="22"/>
          <w:lang w:val="en-GB" w:eastAsia="en-US"/>
        </w:rPr>
        <w:t xml:space="preserve"> the</w:t>
      </w:r>
      <w:r w:rsidRPr="00AA1AFD">
        <w:rPr>
          <w:rFonts w:eastAsiaTheme="minorHAnsi" w:cs="Times New Roman"/>
          <w:noProof/>
          <w:color w:val="auto"/>
          <w:szCs w:val="22"/>
          <w:lang w:val="en-GB" w:eastAsia="en-US"/>
        </w:rPr>
        <w:t xml:space="preserve"> standard</w:t>
      </w:r>
      <w:r w:rsidR="002C0229">
        <w:rPr>
          <w:rFonts w:eastAsiaTheme="minorHAnsi" w:cs="Times New Roman"/>
          <w:noProof/>
          <w:color w:val="auto"/>
          <w:szCs w:val="22"/>
          <w:lang w:val="en-GB" w:eastAsia="en-US"/>
        </w:rPr>
        <w:t xml:space="preserve">s </w:t>
      </w:r>
      <w:r w:rsidR="00DA3C70">
        <w:rPr>
          <w:rFonts w:eastAsiaTheme="minorHAnsi" w:cs="Times New Roman"/>
          <w:noProof/>
          <w:color w:val="auto"/>
          <w:szCs w:val="22"/>
          <w:lang w:val="en-GB" w:eastAsia="en-US"/>
        </w:rPr>
        <w:t xml:space="preserve">of </w:t>
      </w:r>
      <w:r w:rsidRPr="00AA1AFD">
        <w:rPr>
          <w:rFonts w:eastAsiaTheme="minorHAnsi" w:cs="Times New Roman"/>
          <w:noProof/>
          <w:color w:val="auto"/>
          <w:szCs w:val="22"/>
          <w:lang w:val="en-GB" w:eastAsia="en-US"/>
        </w:rPr>
        <w:t>the TEN-T requirements.</w:t>
      </w:r>
      <w:r>
        <w:rPr>
          <w:rFonts w:eastAsiaTheme="minorHAnsi" w:cs="Times New Roman"/>
          <w:noProof/>
          <w:color w:val="auto"/>
          <w:szCs w:val="22"/>
          <w:lang w:val="en-GB" w:eastAsia="en-US"/>
        </w:rPr>
        <w:t xml:space="preserve"> Digital technology</w:t>
      </w:r>
      <w:r w:rsidR="00EF5780">
        <w:rPr>
          <w:rFonts w:eastAsiaTheme="minorHAnsi" w:cs="Times New Roman"/>
          <w:noProof/>
          <w:color w:val="auto"/>
          <w:szCs w:val="22"/>
          <w:lang w:val="en-GB" w:eastAsia="en-US"/>
        </w:rPr>
        <w:t xml:space="preserve">, </w:t>
      </w:r>
      <w:r w:rsidR="00EF5780" w:rsidRPr="00130521">
        <w:rPr>
          <w:rFonts w:eastAsiaTheme="minorHAnsi" w:cs="Times New Roman"/>
          <w:noProof/>
          <w:color w:val="auto"/>
          <w:lang w:val="en-GB" w:eastAsia="en-US"/>
        </w:rPr>
        <w:t>su</w:t>
      </w:r>
      <w:r w:rsidR="00EF5780">
        <w:rPr>
          <w:rFonts w:eastAsiaTheme="minorHAnsi" w:cs="Times New Roman"/>
          <w:noProof/>
          <w:color w:val="auto"/>
          <w:lang w:val="en-GB" w:eastAsia="en-US"/>
        </w:rPr>
        <w:t>pported by the development of</w:t>
      </w:r>
      <w:r w:rsidR="00EF5780" w:rsidRPr="00130521">
        <w:rPr>
          <w:rFonts w:eastAsiaTheme="minorHAnsi" w:cs="Times New Roman"/>
          <w:noProof/>
          <w:color w:val="auto"/>
          <w:lang w:val="en-GB" w:eastAsia="en-US"/>
        </w:rPr>
        <w:t xml:space="preserve"> </w:t>
      </w:r>
      <w:r w:rsidR="00EF5780">
        <w:rPr>
          <w:rFonts w:eastAsiaTheme="minorHAnsi" w:cs="Times New Roman"/>
          <w:noProof/>
          <w:color w:val="auto"/>
          <w:lang w:val="en-GB" w:eastAsia="en-US"/>
        </w:rPr>
        <w:t>telecom</w:t>
      </w:r>
      <w:r w:rsidR="00EF5780" w:rsidRPr="00130521">
        <w:rPr>
          <w:rFonts w:eastAsiaTheme="minorHAnsi" w:cs="Times New Roman"/>
          <w:noProof/>
          <w:color w:val="auto"/>
          <w:lang w:val="en-GB" w:eastAsia="en-US"/>
        </w:rPr>
        <w:t xml:space="preserve"> </w:t>
      </w:r>
      <w:r w:rsidR="00EF5780">
        <w:rPr>
          <w:rFonts w:eastAsiaTheme="minorHAnsi" w:cs="Times New Roman"/>
          <w:noProof/>
          <w:color w:val="auto"/>
          <w:lang w:val="en-GB" w:eastAsia="en-US"/>
        </w:rPr>
        <w:t>infrastructure</w:t>
      </w:r>
      <w:r w:rsidR="007E62FC" w:rsidRPr="007E62FC">
        <w:rPr>
          <w:rFonts w:eastAsiaTheme="minorHAnsi" w:cs="Times New Roman"/>
          <w:noProof/>
          <w:color w:val="auto"/>
          <w:szCs w:val="22"/>
          <w:lang w:val="en-GB" w:eastAsia="en-US"/>
        </w:rPr>
        <w:t xml:space="preserve"> </w:t>
      </w:r>
      <w:r w:rsidR="007E62FC">
        <w:rPr>
          <w:rFonts w:eastAsiaTheme="minorHAnsi" w:cs="Times New Roman"/>
          <w:noProof/>
          <w:color w:val="auto"/>
          <w:szCs w:val="22"/>
          <w:lang w:val="en-GB" w:eastAsia="en-US"/>
        </w:rPr>
        <w:t xml:space="preserve">and the </w:t>
      </w:r>
      <w:r w:rsidR="007E62FC" w:rsidRPr="00060294">
        <w:rPr>
          <w:rFonts w:eastAsiaTheme="minorHAnsi" w:cs="Times New Roman"/>
          <w:noProof/>
          <w:color w:val="auto"/>
          <w:szCs w:val="22"/>
          <w:lang w:val="en-GB" w:eastAsia="en-US"/>
        </w:rPr>
        <w:t>exchange of multimodal transport data</w:t>
      </w:r>
      <w:r w:rsidR="00EF5780">
        <w:rPr>
          <w:rFonts w:eastAsiaTheme="minorHAnsi" w:cs="Times New Roman"/>
          <w:noProof/>
          <w:color w:val="auto"/>
          <w:lang w:val="en-GB" w:eastAsia="en-US"/>
        </w:rPr>
        <w:t>,</w:t>
      </w:r>
      <w:r>
        <w:rPr>
          <w:rFonts w:eastAsiaTheme="minorHAnsi" w:cs="Times New Roman"/>
          <w:noProof/>
          <w:color w:val="auto"/>
          <w:szCs w:val="22"/>
          <w:lang w:val="en-GB" w:eastAsia="en-US"/>
        </w:rPr>
        <w:t xml:space="preserve"> should be deployed to enable the interoperability of networks</w:t>
      </w:r>
      <w:r w:rsidR="00683447">
        <w:rPr>
          <w:rFonts w:eastAsiaTheme="minorHAnsi" w:cs="Times New Roman"/>
          <w:noProof/>
          <w:color w:val="auto"/>
          <w:szCs w:val="22"/>
          <w:lang w:val="en-GB" w:eastAsia="en-US"/>
        </w:rPr>
        <w:t xml:space="preserve"> and support</w:t>
      </w:r>
      <w:r w:rsidR="00683447" w:rsidRPr="00060294">
        <w:rPr>
          <w:rFonts w:eastAsiaTheme="minorHAnsi" w:cs="Times New Roman"/>
          <w:noProof/>
          <w:color w:val="auto"/>
          <w:szCs w:val="22"/>
          <w:lang w:val="en-GB" w:eastAsia="en-US"/>
        </w:rPr>
        <w:t xml:space="preserve"> more efficient cargo flows</w:t>
      </w:r>
      <w:r>
        <w:rPr>
          <w:rFonts w:eastAsiaTheme="minorHAnsi" w:cs="Times New Roman"/>
          <w:noProof/>
          <w:color w:val="auto"/>
          <w:szCs w:val="22"/>
          <w:lang w:val="en-GB" w:eastAsia="en-US"/>
        </w:rPr>
        <w:t>. The European Rail Traffic Management System (ERTMS) should replace legacy systems that create fragmented sections on the network. The deployment of ITS solutions as well should be a priority for the improvement of road safety.</w:t>
      </w:r>
      <w:r w:rsidRPr="00AA1AFD">
        <w:rPr>
          <w:rFonts w:eastAsiaTheme="minorHAnsi" w:cs="Times New Roman"/>
          <w:noProof/>
          <w:color w:val="auto"/>
          <w:szCs w:val="22"/>
          <w:lang w:val="en-GB" w:eastAsia="en-US"/>
        </w:rPr>
        <w:t xml:space="preserve"> </w:t>
      </w:r>
    </w:p>
    <w:p w:rsidR="00906B1D" w:rsidRDefault="00906B1D" w:rsidP="001F1DFC">
      <w:pPr>
        <w:pStyle w:val="wordcount"/>
        <w:spacing w:before="240" w:after="60"/>
        <w:jc w:val="both"/>
        <w:rPr>
          <w:rFonts w:eastAsiaTheme="minorHAnsi" w:cs="Times New Roman"/>
          <w:noProof/>
          <w:color w:val="auto"/>
          <w:szCs w:val="22"/>
          <w:lang w:val="en-GB" w:eastAsia="en-US"/>
        </w:rPr>
      </w:pPr>
      <w:r w:rsidRPr="00AA1AFD">
        <w:rPr>
          <w:rFonts w:eastAsiaTheme="minorHAnsi" w:cs="Times New Roman"/>
          <w:noProof/>
          <w:color w:val="auto"/>
          <w:szCs w:val="22"/>
          <w:lang w:val="en-GB" w:eastAsia="en-US"/>
        </w:rPr>
        <w:t xml:space="preserve">It will </w:t>
      </w:r>
      <w:r w:rsidR="002C0229">
        <w:rPr>
          <w:rFonts w:eastAsiaTheme="minorHAnsi" w:cs="Times New Roman"/>
          <w:noProof/>
          <w:color w:val="auto"/>
          <w:szCs w:val="22"/>
          <w:lang w:val="en-GB" w:eastAsia="en-US"/>
        </w:rPr>
        <w:t>b</w:t>
      </w:r>
      <w:r w:rsidRPr="00AA1AFD">
        <w:rPr>
          <w:rFonts w:eastAsiaTheme="minorHAnsi" w:cs="Times New Roman"/>
          <w:noProof/>
          <w:color w:val="auto"/>
          <w:szCs w:val="22"/>
          <w:lang w:val="en-GB" w:eastAsia="en-US"/>
        </w:rPr>
        <w:t>e an important priority as well to promote multimodal transport solutions and accelerate the modal shift to sustainable transport, reducing CO</w:t>
      </w:r>
      <w:r w:rsidRPr="00540C85">
        <w:rPr>
          <w:rFonts w:eastAsiaTheme="minorHAnsi" w:cs="Times New Roman"/>
          <w:noProof/>
          <w:color w:val="auto"/>
          <w:szCs w:val="22"/>
          <w:vertAlign w:val="superscript"/>
          <w:lang w:val="en-GB" w:eastAsia="en-US"/>
        </w:rPr>
        <w:t>2</w:t>
      </w:r>
      <w:r w:rsidRPr="00AA1AFD">
        <w:rPr>
          <w:rFonts w:eastAsiaTheme="minorHAnsi" w:cs="Times New Roman"/>
          <w:noProof/>
          <w:color w:val="auto"/>
          <w:szCs w:val="22"/>
          <w:lang w:val="en-GB" w:eastAsia="en-US"/>
        </w:rPr>
        <w:t xml:space="preserve"> emissions from transport.</w:t>
      </w:r>
      <w:r w:rsidR="001F1DFC">
        <w:rPr>
          <w:rFonts w:eastAsiaTheme="minorHAnsi" w:cs="Times New Roman"/>
          <w:noProof/>
          <w:color w:val="auto"/>
          <w:szCs w:val="22"/>
          <w:lang w:val="en-GB" w:eastAsia="en-US"/>
        </w:rPr>
        <w:t xml:space="preserve"> G</w:t>
      </w:r>
      <w:r w:rsidRPr="00906B1D">
        <w:rPr>
          <w:rFonts w:eastAsiaTheme="minorHAnsi" w:cs="Times New Roman"/>
          <w:noProof/>
          <w:color w:val="auto"/>
          <w:szCs w:val="22"/>
          <w:lang w:val="en-GB" w:eastAsia="en-US"/>
        </w:rPr>
        <w:t>reen multimodal solutions</w:t>
      </w:r>
      <w:r w:rsidR="001F1DFC">
        <w:rPr>
          <w:rFonts w:eastAsiaTheme="minorHAnsi" w:cs="Times New Roman"/>
          <w:noProof/>
          <w:color w:val="auto"/>
          <w:szCs w:val="22"/>
          <w:lang w:val="en-GB" w:eastAsia="en-US"/>
        </w:rPr>
        <w:t xml:space="preserve">, </w:t>
      </w:r>
      <w:r w:rsidRPr="00906B1D">
        <w:rPr>
          <w:rFonts w:eastAsiaTheme="minorHAnsi" w:cs="Times New Roman"/>
          <w:noProof/>
          <w:color w:val="auto"/>
          <w:szCs w:val="22"/>
          <w:lang w:val="en-GB" w:eastAsia="en-US"/>
        </w:rPr>
        <w:t>such as electric charging stations and multimodal hubs</w:t>
      </w:r>
      <w:r w:rsidR="001F1DFC">
        <w:rPr>
          <w:rFonts w:eastAsiaTheme="minorHAnsi" w:cs="Times New Roman"/>
          <w:noProof/>
          <w:color w:val="auto"/>
          <w:szCs w:val="22"/>
          <w:lang w:val="en-GB" w:eastAsia="en-US"/>
        </w:rPr>
        <w:t xml:space="preserve"> should be developed. Traffic in and </w:t>
      </w:r>
      <w:r w:rsidR="003F212F">
        <w:rPr>
          <w:rFonts w:eastAsiaTheme="minorHAnsi" w:cs="Times New Roman"/>
          <w:noProof/>
          <w:color w:val="auto"/>
          <w:szCs w:val="22"/>
          <w:lang w:val="en-GB" w:eastAsia="en-US"/>
        </w:rPr>
        <w:t>a</w:t>
      </w:r>
      <w:r w:rsidR="001F1DFC">
        <w:rPr>
          <w:rFonts w:eastAsiaTheme="minorHAnsi" w:cs="Times New Roman"/>
          <w:noProof/>
          <w:color w:val="auto"/>
          <w:szCs w:val="22"/>
          <w:lang w:val="en-GB" w:eastAsia="en-US"/>
        </w:rPr>
        <w:t xml:space="preserve">round cities should also be improved </w:t>
      </w:r>
      <w:r w:rsidR="007C06F9">
        <w:rPr>
          <w:rFonts w:eastAsiaTheme="minorHAnsi" w:cs="Times New Roman"/>
          <w:noProof/>
          <w:color w:val="auto"/>
          <w:szCs w:val="22"/>
          <w:lang w:val="en-GB" w:eastAsia="en-US"/>
        </w:rPr>
        <w:t>providing sustainable alternatives to road traffic and avoiding bottlenecks</w:t>
      </w:r>
      <w:r w:rsidR="00683447">
        <w:rPr>
          <w:rFonts w:eastAsiaTheme="minorHAnsi" w:cs="Times New Roman"/>
          <w:noProof/>
          <w:color w:val="auto"/>
          <w:szCs w:val="22"/>
          <w:lang w:val="en-GB" w:eastAsia="en-US"/>
        </w:rPr>
        <w:t xml:space="preserve"> that also lead to</w:t>
      </w:r>
      <w:r w:rsidR="007C06F9">
        <w:rPr>
          <w:rFonts w:eastAsiaTheme="minorHAnsi" w:cs="Times New Roman"/>
          <w:noProof/>
          <w:color w:val="auto"/>
          <w:szCs w:val="22"/>
          <w:lang w:val="en-GB" w:eastAsia="en-US"/>
        </w:rPr>
        <w:t xml:space="preserve"> higher CO2 emissions</w:t>
      </w:r>
      <w:r w:rsidR="001F1DFC">
        <w:rPr>
          <w:rFonts w:eastAsiaTheme="minorHAnsi" w:cs="Times New Roman"/>
          <w:noProof/>
          <w:color w:val="auto"/>
          <w:szCs w:val="22"/>
          <w:lang w:val="en-GB" w:eastAsia="en-US"/>
        </w:rPr>
        <w:t xml:space="preserve">. </w:t>
      </w:r>
    </w:p>
    <w:p w:rsidR="008B23C7" w:rsidRPr="00AA1AFD" w:rsidRDefault="00973124" w:rsidP="00266BF7">
      <w:pPr>
        <w:pStyle w:val="wordcount"/>
        <w:spacing w:before="240" w:after="60"/>
        <w:jc w:val="both"/>
        <w:rPr>
          <w:rFonts w:eastAsiaTheme="minorHAnsi" w:cs="Times New Roman"/>
          <w:noProof/>
          <w:color w:val="auto"/>
          <w:szCs w:val="22"/>
          <w:lang w:val="en-GB" w:eastAsia="en-US"/>
        </w:rPr>
      </w:pPr>
      <w:r>
        <w:rPr>
          <w:rFonts w:eastAsiaTheme="minorHAnsi" w:cs="Times New Roman"/>
          <w:noProof/>
          <w:color w:val="auto"/>
          <w:szCs w:val="22"/>
          <w:lang w:val="en-GB" w:eastAsia="en-US"/>
        </w:rPr>
        <w:t>The TEN-T policy should also better reflect the geographical situation of the Western Balkans in Europe through a</w:t>
      </w:r>
      <w:r w:rsidRPr="004E482A">
        <w:rPr>
          <w:rFonts w:eastAsiaTheme="minorHAnsi" w:cs="Times New Roman"/>
          <w:noProof/>
          <w:color w:val="auto"/>
          <w:szCs w:val="22"/>
          <w:lang w:val="en-GB" w:eastAsia="en-US"/>
        </w:rPr>
        <w:t xml:space="preserve"> more inclusive approach</w:t>
      </w:r>
      <w:r>
        <w:rPr>
          <w:rFonts w:eastAsiaTheme="minorHAnsi" w:cs="Times New Roman"/>
          <w:noProof/>
          <w:color w:val="auto"/>
          <w:szCs w:val="22"/>
          <w:lang w:val="en-GB" w:eastAsia="en-US"/>
        </w:rPr>
        <w:t>.</w:t>
      </w:r>
      <w:r w:rsidRPr="004E482A">
        <w:rPr>
          <w:rFonts w:eastAsiaTheme="minorHAnsi" w:cs="Times New Roman"/>
          <w:noProof/>
          <w:color w:val="auto"/>
          <w:szCs w:val="22"/>
          <w:lang w:val="en-GB" w:eastAsia="en-US"/>
        </w:rPr>
        <w:t xml:space="preserve"> Several M</w:t>
      </w:r>
      <w:r>
        <w:rPr>
          <w:rFonts w:eastAsiaTheme="minorHAnsi" w:cs="Times New Roman"/>
          <w:noProof/>
          <w:color w:val="auto"/>
          <w:szCs w:val="22"/>
          <w:lang w:val="en-GB" w:eastAsia="en-US"/>
        </w:rPr>
        <w:t xml:space="preserve">ember States - </w:t>
      </w:r>
      <w:r w:rsidRPr="004E482A">
        <w:rPr>
          <w:rFonts w:eastAsiaTheme="minorHAnsi" w:cs="Times New Roman"/>
          <w:noProof/>
          <w:color w:val="auto"/>
          <w:szCs w:val="22"/>
          <w:lang w:val="en-GB" w:eastAsia="en-US"/>
        </w:rPr>
        <w:t>Croatia, Hungary, Romania, Bulgaria and Greece</w:t>
      </w:r>
      <w:r>
        <w:rPr>
          <w:rFonts w:eastAsiaTheme="minorHAnsi" w:cs="Times New Roman"/>
          <w:noProof/>
          <w:color w:val="auto"/>
          <w:szCs w:val="22"/>
          <w:lang w:val="en-GB" w:eastAsia="en-US"/>
        </w:rPr>
        <w:t xml:space="preserve"> -</w:t>
      </w:r>
      <w:r w:rsidRPr="004E482A">
        <w:rPr>
          <w:rFonts w:eastAsiaTheme="minorHAnsi" w:cs="Times New Roman"/>
          <w:noProof/>
          <w:color w:val="auto"/>
          <w:szCs w:val="22"/>
          <w:lang w:val="en-GB" w:eastAsia="en-US"/>
        </w:rPr>
        <w:t xml:space="preserve"> </w:t>
      </w:r>
      <w:r>
        <w:rPr>
          <w:rFonts w:eastAsiaTheme="minorHAnsi" w:cs="Times New Roman"/>
          <w:noProof/>
          <w:color w:val="auto"/>
          <w:szCs w:val="22"/>
          <w:lang w:val="en-GB" w:eastAsia="en-US"/>
        </w:rPr>
        <w:t xml:space="preserve">share common borders and </w:t>
      </w:r>
      <w:r w:rsidRPr="004E482A">
        <w:rPr>
          <w:rFonts w:eastAsiaTheme="minorHAnsi" w:cs="Times New Roman"/>
          <w:noProof/>
          <w:color w:val="auto"/>
          <w:szCs w:val="22"/>
          <w:lang w:val="en-GB" w:eastAsia="en-US"/>
        </w:rPr>
        <w:t>rely heavily on th</w:t>
      </w:r>
      <w:r>
        <w:rPr>
          <w:rFonts w:eastAsiaTheme="minorHAnsi" w:cs="Times New Roman"/>
          <w:noProof/>
          <w:color w:val="auto"/>
          <w:szCs w:val="22"/>
          <w:lang w:val="en-GB" w:eastAsia="en-US"/>
        </w:rPr>
        <w:t>e</w:t>
      </w:r>
      <w:r w:rsidRPr="004E482A">
        <w:rPr>
          <w:rFonts w:eastAsiaTheme="minorHAnsi" w:cs="Times New Roman"/>
          <w:noProof/>
          <w:color w:val="auto"/>
          <w:szCs w:val="22"/>
          <w:lang w:val="en-GB" w:eastAsia="en-US"/>
        </w:rPr>
        <w:t xml:space="preserve"> </w:t>
      </w:r>
      <w:r>
        <w:rPr>
          <w:rFonts w:eastAsiaTheme="minorHAnsi" w:cs="Times New Roman"/>
          <w:noProof/>
          <w:color w:val="auto"/>
          <w:szCs w:val="22"/>
          <w:lang w:val="en-GB" w:eastAsia="en-US"/>
        </w:rPr>
        <w:t>infrastructure in the Western Balkan</w:t>
      </w:r>
      <w:r w:rsidR="00026DC3">
        <w:rPr>
          <w:rFonts w:eastAsiaTheme="minorHAnsi" w:cs="Times New Roman"/>
          <w:noProof/>
          <w:color w:val="auto"/>
          <w:szCs w:val="22"/>
          <w:lang w:val="en-GB" w:eastAsia="en-US"/>
        </w:rPr>
        <w:t>s</w:t>
      </w:r>
      <w:r w:rsidRPr="004E482A">
        <w:rPr>
          <w:rFonts w:eastAsiaTheme="minorHAnsi" w:cs="Times New Roman"/>
          <w:noProof/>
          <w:color w:val="auto"/>
          <w:szCs w:val="22"/>
          <w:lang w:val="en-GB" w:eastAsia="en-US"/>
        </w:rPr>
        <w:t xml:space="preserve"> for </w:t>
      </w:r>
      <w:r w:rsidR="00A07918">
        <w:rPr>
          <w:rFonts w:eastAsiaTheme="minorHAnsi" w:cs="Times New Roman"/>
          <w:noProof/>
          <w:color w:val="auto"/>
          <w:szCs w:val="22"/>
          <w:lang w:val="en-GB" w:eastAsia="en-US"/>
        </w:rPr>
        <w:t>providing</w:t>
      </w:r>
      <w:r w:rsidR="00A07918" w:rsidRPr="004E482A">
        <w:rPr>
          <w:rFonts w:eastAsiaTheme="minorHAnsi" w:cs="Times New Roman"/>
          <w:noProof/>
          <w:color w:val="auto"/>
          <w:szCs w:val="22"/>
          <w:lang w:val="en-GB" w:eastAsia="en-US"/>
        </w:rPr>
        <w:t xml:space="preserve"> </w:t>
      </w:r>
      <w:r w:rsidRPr="004E482A">
        <w:rPr>
          <w:rFonts w:eastAsiaTheme="minorHAnsi" w:cs="Times New Roman"/>
          <w:noProof/>
          <w:color w:val="auto"/>
          <w:szCs w:val="22"/>
          <w:lang w:val="en-GB" w:eastAsia="en-US"/>
        </w:rPr>
        <w:t xml:space="preserve">connectivity with the </w:t>
      </w:r>
      <w:r>
        <w:rPr>
          <w:rFonts w:eastAsiaTheme="minorHAnsi" w:cs="Times New Roman"/>
          <w:noProof/>
          <w:color w:val="auto"/>
          <w:szCs w:val="22"/>
          <w:lang w:val="en-GB" w:eastAsia="en-US"/>
        </w:rPr>
        <w:t>other Member States</w:t>
      </w:r>
      <w:r w:rsidRPr="004E482A">
        <w:rPr>
          <w:rFonts w:eastAsiaTheme="minorHAnsi" w:cs="Times New Roman"/>
          <w:noProof/>
          <w:color w:val="auto"/>
          <w:szCs w:val="22"/>
          <w:lang w:val="en-GB" w:eastAsia="en-US"/>
        </w:rPr>
        <w:t>.</w:t>
      </w:r>
      <w:r>
        <w:rPr>
          <w:rFonts w:eastAsiaTheme="minorHAnsi" w:cs="Times New Roman"/>
          <w:noProof/>
          <w:color w:val="auto"/>
          <w:szCs w:val="22"/>
          <w:lang w:val="en-GB" w:eastAsia="en-US"/>
        </w:rPr>
        <w:t xml:space="preserve"> </w:t>
      </w:r>
      <w:r w:rsidR="002C0229">
        <w:rPr>
          <w:rFonts w:eastAsiaTheme="minorHAnsi" w:cs="Times New Roman"/>
          <w:noProof/>
          <w:color w:val="auto"/>
          <w:szCs w:val="22"/>
          <w:lang w:val="en-GB" w:eastAsia="en-US"/>
        </w:rPr>
        <w:t>The proposed creation</w:t>
      </w:r>
      <w:r>
        <w:rPr>
          <w:rFonts w:eastAsiaTheme="minorHAnsi" w:cs="Times New Roman"/>
          <w:noProof/>
          <w:color w:val="auto"/>
          <w:szCs w:val="22"/>
          <w:lang w:val="en-GB" w:eastAsia="en-US"/>
        </w:rPr>
        <w:t xml:space="preserve"> of a</w:t>
      </w:r>
      <w:r w:rsidRPr="00AA1AFD">
        <w:rPr>
          <w:rFonts w:eastAsiaTheme="minorHAnsi" w:cs="Times New Roman"/>
          <w:noProof/>
          <w:color w:val="auto"/>
          <w:szCs w:val="22"/>
          <w:lang w:val="en-GB" w:eastAsia="en-US"/>
        </w:rPr>
        <w:t xml:space="preserve"> European Transport Corridor </w:t>
      </w:r>
      <w:r w:rsidR="002C0229">
        <w:rPr>
          <w:rFonts w:eastAsiaTheme="minorHAnsi" w:cs="Times New Roman"/>
          <w:noProof/>
          <w:color w:val="auto"/>
          <w:szCs w:val="22"/>
          <w:lang w:val="en-GB" w:eastAsia="en-US"/>
        </w:rPr>
        <w:t>linking</w:t>
      </w:r>
      <w:r>
        <w:rPr>
          <w:rFonts w:eastAsiaTheme="minorHAnsi" w:cs="Times New Roman"/>
          <w:noProof/>
          <w:color w:val="auto"/>
          <w:szCs w:val="22"/>
          <w:lang w:val="en-GB" w:eastAsia="en-US"/>
        </w:rPr>
        <w:t xml:space="preserve"> the region </w:t>
      </w:r>
      <w:r w:rsidR="002C0229">
        <w:rPr>
          <w:rFonts w:eastAsiaTheme="minorHAnsi" w:cs="Times New Roman"/>
          <w:noProof/>
          <w:color w:val="auto"/>
          <w:szCs w:val="22"/>
          <w:lang w:val="en-GB" w:eastAsia="en-US"/>
        </w:rPr>
        <w:t xml:space="preserve">with the </w:t>
      </w:r>
      <w:r w:rsidR="00003BFE">
        <w:rPr>
          <w:rFonts w:eastAsiaTheme="minorHAnsi" w:cs="Times New Roman"/>
          <w:noProof/>
          <w:color w:val="auto"/>
          <w:szCs w:val="22"/>
          <w:lang w:val="en-GB" w:eastAsia="en-US"/>
        </w:rPr>
        <w:t>Union</w:t>
      </w:r>
      <w:r w:rsidR="002C0229">
        <w:rPr>
          <w:rFonts w:eastAsiaTheme="minorHAnsi" w:cs="Times New Roman"/>
          <w:noProof/>
          <w:color w:val="auto"/>
          <w:szCs w:val="22"/>
          <w:lang w:val="en-GB" w:eastAsia="en-US"/>
        </w:rPr>
        <w:t xml:space="preserve">, </w:t>
      </w:r>
      <w:r w:rsidR="00A07918">
        <w:rPr>
          <w:rFonts w:eastAsiaTheme="minorHAnsi" w:cs="Times New Roman"/>
          <w:noProof/>
          <w:color w:val="auto"/>
          <w:szCs w:val="22"/>
          <w:lang w:val="en-GB" w:eastAsia="en-US"/>
        </w:rPr>
        <w:t xml:space="preserve">as set out in </w:t>
      </w:r>
      <w:r>
        <w:rPr>
          <w:rFonts w:eastAsiaTheme="minorHAnsi" w:cs="Times New Roman"/>
          <w:noProof/>
          <w:color w:val="auto"/>
          <w:szCs w:val="22"/>
          <w:lang w:val="en-GB" w:eastAsia="en-US"/>
        </w:rPr>
        <w:t xml:space="preserve">the proposal </w:t>
      </w:r>
      <w:r w:rsidR="00A07918">
        <w:rPr>
          <w:rFonts w:eastAsiaTheme="minorHAnsi" w:cs="Times New Roman"/>
          <w:noProof/>
          <w:color w:val="auto"/>
          <w:szCs w:val="22"/>
          <w:lang w:val="en-GB" w:eastAsia="en-US"/>
        </w:rPr>
        <w:t xml:space="preserve">for a </w:t>
      </w:r>
      <w:r>
        <w:rPr>
          <w:rFonts w:eastAsiaTheme="minorHAnsi" w:cs="Times New Roman"/>
          <w:noProof/>
          <w:color w:val="auto"/>
          <w:szCs w:val="22"/>
          <w:lang w:val="en-GB" w:eastAsia="en-US"/>
        </w:rPr>
        <w:t>revise</w:t>
      </w:r>
      <w:r w:rsidR="00A07918">
        <w:rPr>
          <w:rFonts w:eastAsiaTheme="minorHAnsi" w:cs="Times New Roman"/>
          <w:noProof/>
          <w:color w:val="auto"/>
          <w:szCs w:val="22"/>
          <w:lang w:val="en-GB" w:eastAsia="en-US"/>
        </w:rPr>
        <w:t>d</w:t>
      </w:r>
      <w:r>
        <w:rPr>
          <w:rFonts w:eastAsiaTheme="minorHAnsi" w:cs="Times New Roman"/>
          <w:noProof/>
          <w:color w:val="auto"/>
          <w:szCs w:val="22"/>
          <w:lang w:val="en-GB" w:eastAsia="en-US"/>
        </w:rPr>
        <w:t xml:space="preserve"> TEN-T Regulation</w:t>
      </w:r>
      <w:r w:rsidR="002C0229">
        <w:rPr>
          <w:rFonts w:eastAsiaTheme="minorHAnsi" w:cs="Times New Roman"/>
          <w:noProof/>
          <w:color w:val="auto"/>
          <w:szCs w:val="22"/>
          <w:lang w:val="en-GB" w:eastAsia="en-US"/>
        </w:rPr>
        <w:t>,</w:t>
      </w:r>
      <w:r>
        <w:rPr>
          <w:rFonts w:eastAsiaTheme="minorHAnsi" w:cs="Times New Roman"/>
          <w:noProof/>
          <w:color w:val="auto"/>
          <w:szCs w:val="22"/>
          <w:lang w:val="en-GB" w:eastAsia="en-US"/>
        </w:rPr>
        <w:t xml:space="preserve"> is a tangible example of what the </w:t>
      </w:r>
      <w:r w:rsidR="00003BFE">
        <w:rPr>
          <w:rFonts w:eastAsiaTheme="minorHAnsi" w:cs="Times New Roman"/>
          <w:noProof/>
          <w:color w:val="auto"/>
          <w:szCs w:val="22"/>
          <w:lang w:val="en-GB" w:eastAsia="en-US"/>
        </w:rPr>
        <w:t xml:space="preserve">Union </w:t>
      </w:r>
      <w:r>
        <w:rPr>
          <w:rFonts w:eastAsiaTheme="minorHAnsi" w:cs="Times New Roman"/>
          <w:noProof/>
          <w:color w:val="auto"/>
          <w:szCs w:val="22"/>
          <w:lang w:val="en-GB" w:eastAsia="en-US"/>
        </w:rPr>
        <w:t xml:space="preserve">can </w:t>
      </w:r>
      <w:r w:rsidR="002C0229">
        <w:rPr>
          <w:rFonts w:eastAsiaTheme="minorHAnsi" w:cs="Times New Roman"/>
          <w:noProof/>
          <w:color w:val="auto"/>
          <w:szCs w:val="22"/>
          <w:lang w:val="en-GB" w:eastAsia="en-US"/>
        </w:rPr>
        <w:t>offer to the region</w:t>
      </w:r>
      <w:r>
        <w:rPr>
          <w:rFonts w:eastAsiaTheme="minorHAnsi" w:cs="Times New Roman"/>
          <w:noProof/>
          <w:color w:val="auto"/>
          <w:szCs w:val="22"/>
          <w:lang w:val="en-GB" w:eastAsia="en-US"/>
        </w:rPr>
        <w:t xml:space="preserve"> to enhance the implementation of TEN-T projects. </w:t>
      </w:r>
    </w:p>
    <w:p w:rsidR="000B0E04" w:rsidRDefault="000B0E04" w:rsidP="006A0007">
      <w:pPr>
        <w:pStyle w:val="wordcount"/>
        <w:spacing w:before="240" w:after="240"/>
        <w:jc w:val="both"/>
        <w:rPr>
          <w:rFonts w:cs="Times New Roman"/>
          <w:b/>
          <w:i/>
          <w:noProof/>
          <w:lang w:val="en-GB"/>
        </w:rPr>
      </w:pPr>
      <w:r w:rsidRPr="00AA1AFD">
        <w:rPr>
          <w:rFonts w:cs="Times New Roman"/>
          <w:b/>
          <w:i/>
          <w:noProof/>
          <w:lang w:val="en-GB"/>
        </w:rPr>
        <w:t>The Eastern Partnership</w:t>
      </w:r>
    </w:p>
    <w:p w:rsidR="00ED5AB2" w:rsidRDefault="005579AF" w:rsidP="005B6F36">
      <w:pPr>
        <w:pStyle w:val="wordcount"/>
        <w:spacing w:after="60"/>
        <w:jc w:val="both"/>
        <w:rPr>
          <w:rFonts w:eastAsiaTheme="minorHAnsi" w:cs="Times New Roman"/>
          <w:noProof/>
          <w:color w:val="auto"/>
          <w:szCs w:val="22"/>
          <w:lang w:val="en-GB" w:eastAsia="en-US"/>
        </w:rPr>
      </w:pPr>
      <w:r>
        <w:rPr>
          <w:rFonts w:eastAsiaTheme="minorHAnsi" w:cs="Times New Roman"/>
          <w:noProof/>
          <w:color w:val="auto"/>
          <w:szCs w:val="22"/>
          <w:lang w:val="en-GB" w:eastAsia="en-US"/>
        </w:rPr>
        <w:t>T</w:t>
      </w:r>
      <w:r w:rsidR="00F3543E" w:rsidRPr="00F3543E">
        <w:rPr>
          <w:rFonts w:eastAsiaTheme="minorHAnsi" w:cs="Times New Roman"/>
          <w:noProof/>
          <w:color w:val="auto"/>
          <w:szCs w:val="22"/>
          <w:lang w:val="en-GB" w:eastAsia="en-US"/>
        </w:rPr>
        <w:t>he Ea</w:t>
      </w:r>
      <w:r w:rsidR="006620F5">
        <w:rPr>
          <w:rFonts w:eastAsiaTheme="minorHAnsi" w:cs="Times New Roman"/>
          <w:noProof/>
          <w:color w:val="auto"/>
          <w:szCs w:val="22"/>
          <w:lang w:val="en-GB" w:eastAsia="en-US"/>
        </w:rPr>
        <w:t xml:space="preserve">stern </w:t>
      </w:r>
      <w:r w:rsidR="00F3543E" w:rsidRPr="00F3543E">
        <w:rPr>
          <w:rFonts w:eastAsiaTheme="minorHAnsi" w:cs="Times New Roman"/>
          <w:noProof/>
          <w:color w:val="auto"/>
          <w:szCs w:val="22"/>
          <w:lang w:val="en-GB" w:eastAsia="en-US"/>
        </w:rPr>
        <w:t>P</w:t>
      </w:r>
      <w:r w:rsidR="006620F5">
        <w:rPr>
          <w:rFonts w:eastAsiaTheme="minorHAnsi" w:cs="Times New Roman"/>
          <w:noProof/>
          <w:color w:val="auto"/>
          <w:szCs w:val="22"/>
          <w:lang w:val="en-GB" w:eastAsia="en-US"/>
        </w:rPr>
        <w:t>artnership (EaP)</w:t>
      </w:r>
      <w:r w:rsidR="00F3543E" w:rsidRPr="00F3543E">
        <w:rPr>
          <w:rFonts w:eastAsiaTheme="minorHAnsi" w:cs="Times New Roman"/>
          <w:noProof/>
          <w:color w:val="auto"/>
          <w:szCs w:val="22"/>
          <w:lang w:val="en-GB" w:eastAsia="en-US"/>
        </w:rPr>
        <w:t xml:space="preserve"> has been instrumental in bringing the </w:t>
      </w:r>
      <w:r w:rsidR="0046099D">
        <w:rPr>
          <w:rFonts w:eastAsiaTheme="minorHAnsi" w:cs="Times New Roman"/>
          <w:noProof/>
          <w:color w:val="auto"/>
          <w:szCs w:val="22"/>
          <w:lang w:val="en-GB" w:eastAsia="en-US"/>
        </w:rPr>
        <w:t>Union</w:t>
      </w:r>
      <w:r w:rsidR="0046099D" w:rsidRPr="00F3543E">
        <w:rPr>
          <w:rFonts w:eastAsiaTheme="minorHAnsi" w:cs="Times New Roman"/>
          <w:noProof/>
          <w:color w:val="auto"/>
          <w:szCs w:val="22"/>
          <w:lang w:val="en-GB" w:eastAsia="en-US"/>
        </w:rPr>
        <w:t xml:space="preserve"> </w:t>
      </w:r>
      <w:r w:rsidR="00F3543E" w:rsidRPr="00F3543E">
        <w:rPr>
          <w:rFonts w:eastAsiaTheme="minorHAnsi" w:cs="Times New Roman"/>
          <w:noProof/>
          <w:color w:val="auto"/>
          <w:szCs w:val="22"/>
          <w:lang w:val="en-GB" w:eastAsia="en-US"/>
        </w:rPr>
        <w:t xml:space="preserve">and the </w:t>
      </w:r>
      <w:r w:rsidR="00334D1F">
        <w:rPr>
          <w:rFonts w:eastAsiaTheme="minorHAnsi" w:cs="Times New Roman"/>
          <w:noProof/>
          <w:color w:val="auto"/>
          <w:szCs w:val="22"/>
          <w:lang w:val="en-GB" w:eastAsia="en-US"/>
        </w:rPr>
        <w:t xml:space="preserve">Eastern </w:t>
      </w:r>
      <w:r w:rsidR="00F3543E" w:rsidRPr="00F3543E">
        <w:rPr>
          <w:rFonts w:eastAsiaTheme="minorHAnsi" w:cs="Times New Roman"/>
          <w:noProof/>
          <w:color w:val="auto"/>
          <w:szCs w:val="22"/>
          <w:lang w:val="en-GB" w:eastAsia="en-US"/>
        </w:rPr>
        <w:t>partner</w:t>
      </w:r>
      <w:r>
        <w:rPr>
          <w:rFonts w:eastAsiaTheme="minorHAnsi" w:cs="Times New Roman"/>
          <w:noProof/>
          <w:color w:val="auto"/>
          <w:szCs w:val="22"/>
          <w:lang w:val="en-GB" w:eastAsia="en-US"/>
        </w:rPr>
        <w:t>s</w:t>
      </w:r>
      <w:r w:rsidR="00F3543E" w:rsidRPr="00F3543E">
        <w:rPr>
          <w:rFonts w:eastAsiaTheme="minorHAnsi" w:cs="Times New Roman"/>
          <w:noProof/>
          <w:color w:val="auto"/>
          <w:szCs w:val="22"/>
          <w:lang w:val="en-GB" w:eastAsia="en-US"/>
        </w:rPr>
        <w:t xml:space="preserve"> closer together.</w:t>
      </w:r>
      <w:r>
        <w:rPr>
          <w:rFonts w:eastAsiaTheme="minorHAnsi" w:cs="Times New Roman"/>
          <w:noProof/>
          <w:color w:val="auto"/>
          <w:szCs w:val="22"/>
          <w:lang w:val="en-GB" w:eastAsia="en-US"/>
        </w:rPr>
        <w:t xml:space="preserve"> The</w:t>
      </w:r>
      <w:r w:rsidR="00F3543E" w:rsidRPr="00F3543E">
        <w:rPr>
          <w:rFonts w:eastAsiaTheme="minorHAnsi" w:cs="Times New Roman"/>
          <w:noProof/>
          <w:color w:val="auto"/>
          <w:szCs w:val="22"/>
          <w:lang w:val="en-GB" w:eastAsia="en-US"/>
        </w:rPr>
        <w:t xml:space="preserve"> </w:t>
      </w:r>
      <w:r>
        <w:rPr>
          <w:rFonts w:eastAsiaTheme="minorHAnsi" w:cs="Times New Roman"/>
          <w:noProof/>
          <w:color w:val="auto"/>
          <w:szCs w:val="22"/>
          <w:lang w:val="en-GB" w:eastAsia="en-US"/>
        </w:rPr>
        <w:t xml:space="preserve">economic </w:t>
      </w:r>
      <w:r w:rsidR="00334D1F">
        <w:rPr>
          <w:rFonts w:eastAsiaTheme="minorHAnsi" w:cs="Times New Roman"/>
          <w:noProof/>
          <w:color w:val="auto"/>
          <w:szCs w:val="22"/>
          <w:lang w:val="en-GB" w:eastAsia="en-US"/>
        </w:rPr>
        <w:t xml:space="preserve">ties between the </w:t>
      </w:r>
      <w:r w:rsidR="0046099D">
        <w:rPr>
          <w:rFonts w:eastAsiaTheme="minorHAnsi" w:cs="Times New Roman"/>
          <w:noProof/>
          <w:color w:val="auto"/>
          <w:szCs w:val="22"/>
          <w:lang w:val="en-GB" w:eastAsia="en-US"/>
        </w:rPr>
        <w:t xml:space="preserve">Union </w:t>
      </w:r>
      <w:r w:rsidR="00334D1F">
        <w:rPr>
          <w:rFonts w:eastAsiaTheme="minorHAnsi" w:cs="Times New Roman"/>
          <w:noProof/>
          <w:color w:val="auto"/>
          <w:szCs w:val="22"/>
          <w:lang w:val="en-GB" w:eastAsia="en-US"/>
        </w:rPr>
        <w:t>and th</w:t>
      </w:r>
      <w:r>
        <w:rPr>
          <w:rFonts w:eastAsiaTheme="minorHAnsi" w:cs="Times New Roman"/>
          <w:noProof/>
          <w:color w:val="auto"/>
          <w:szCs w:val="22"/>
          <w:lang w:val="en-GB" w:eastAsia="en-US"/>
        </w:rPr>
        <w:t>e</w:t>
      </w:r>
      <w:r w:rsidR="00334D1F">
        <w:rPr>
          <w:rFonts w:eastAsiaTheme="minorHAnsi" w:cs="Times New Roman"/>
          <w:noProof/>
          <w:color w:val="auto"/>
          <w:szCs w:val="22"/>
          <w:lang w:val="en-GB" w:eastAsia="en-US"/>
        </w:rPr>
        <w:t xml:space="preserve"> region are strong, and the Eastern neighbourhood is</w:t>
      </w:r>
      <w:r w:rsidR="009321A0">
        <w:rPr>
          <w:rFonts w:eastAsiaTheme="minorHAnsi" w:cs="Times New Roman"/>
          <w:noProof/>
          <w:color w:val="auto"/>
          <w:szCs w:val="22"/>
          <w:lang w:val="en-GB" w:eastAsia="en-US"/>
        </w:rPr>
        <w:t xml:space="preserve"> an important</w:t>
      </w:r>
      <w:r w:rsidR="00ED5AB2" w:rsidRPr="00ED5AB2">
        <w:rPr>
          <w:rFonts w:eastAsiaTheme="minorHAnsi" w:cs="Times New Roman"/>
          <w:noProof/>
          <w:color w:val="auto"/>
          <w:szCs w:val="22"/>
          <w:lang w:val="en-GB" w:eastAsia="en-US"/>
        </w:rPr>
        <w:t xml:space="preserve"> transit area for the transport of European goods</w:t>
      </w:r>
      <w:r w:rsidR="00442449">
        <w:rPr>
          <w:rFonts w:eastAsiaTheme="minorHAnsi" w:cs="Times New Roman"/>
          <w:noProof/>
          <w:color w:val="auto"/>
          <w:szCs w:val="22"/>
          <w:lang w:val="en-GB" w:eastAsia="en-US"/>
        </w:rPr>
        <w:t xml:space="preserve"> to the East</w:t>
      </w:r>
      <w:r w:rsidR="00ED5AB2" w:rsidRPr="00ED5AB2">
        <w:rPr>
          <w:rFonts w:eastAsiaTheme="minorHAnsi" w:cs="Times New Roman"/>
          <w:noProof/>
          <w:color w:val="auto"/>
          <w:szCs w:val="22"/>
          <w:lang w:val="en-GB" w:eastAsia="en-US"/>
        </w:rPr>
        <w:t>.</w:t>
      </w:r>
      <w:r w:rsidR="00ED5AB2">
        <w:rPr>
          <w:rFonts w:eastAsiaTheme="minorHAnsi" w:cs="Times New Roman"/>
          <w:noProof/>
          <w:color w:val="auto"/>
          <w:szCs w:val="22"/>
          <w:lang w:val="en-GB" w:eastAsia="en-US"/>
        </w:rPr>
        <w:t xml:space="preserve"> </w:t>
      </w:r>
      <w:r w:rsidR="00ED5AB2" w:rsidRPr="00155AAF">
        <w:rPr>
          <w:rFonts w:eastAsiaTheme="minorHAnsi" w:cs="Times New Roman"/>
          <w:noProof/>
          <w:color w:val="auto"/>
          <w:szCs w:val="22"/>
          <w:lang w:val="en-GB" w:eastAsia="en-US"/>
        </w:rPr>
        <w:t xml:space="preserve">During the last decade, EU-EaP trade has nearly doubled </w:t>
      </w:r>
      <w:r w:rsidR="00BD1FB4">
        <w:rPr>
          <w:rFonts w:eastAsiaTheme="minorHAnsi" w:cs="Times New Roman"/>
          <w:noProof/>
          <w:color w:val="auto"/>
          <w:szCs w:val="22"/>
          <w:lang w:val="en-GB" w:eastAsia="en-US"/>
        </w:rPr>
        <w:t>making</w:t>
      </w:r>
      <w:r w:rsidR="006A76FE">
        <w:rPr>
          <w:rFonts w:eastAsiaTheme="minorHAnsi" w:cs="Times New Roman"/>
          <w:noProof/>
          <w:color w:val="auto"/>
          <w:szCs w:val="22"/>
          <w:lang w:val="en-GB" w:eastAsia="en-US"/>
        </w:rPr>
        <w:t xml:space="preserve"> the region the tenth</w:t>
      </w:r>
      <w:r w:rsidR="00ED5AB2" w:rsidRPr="00155AAF">
        <w:rPr>
          <w:rFonts w:eastAsiaTheme="minorHAnsi" w:cs="Times New Roman"/>
          <w:noProof/>
          <w:color w:val="auto"/>
          <w:szCs w:val="22"/>
          <w:lang w:val="en-GB" w:eastAsia="en-US"/>
        </w:rPr>
        <w:t xml:space="preserve"> largest trading partner</w:t>
      </w:r>
      <w:r w:rsidR="006A76FE">
        <w:rPr>
          <w:rFonts w:eastAsiaTheme="minorHAnsi" w:cs="Times New Roman"/>
          <w:noProof/>
          <w:color w:val="auto"/>
          <w:szCs w:val="22"/>
          <w:lang w:val="en-GB" w:eastAsia="en-US"/>
        </w:rPr>
        <w:t xml:space="preserve"> of the </w:t>
      </w:r>
      <w:r w:rsidR="0046099D">
        <w:rPr>
          <w:rFonts w:eastAsiaTheme="minorHAnsi" w:cs="Times New Roman"/>
          <w:noProof/>
          <w:color w:val="auto"/>
          <w:szCs w:val="22"/>
          <w:lang w:val="en-GB" w:eastAsia="en-US"/>
        </w:rPr>
        <w:t>Union</w:t>
      </w:r>
      <w:r w:rsidR="00ED5AB2" w:rsidRPr="00155AAF">
        <w:rPr>
          <w:rFonts w:eastAsiaTheme="minorHAnsi" w:cs="Times New Roman"/>
          <w:noProof/>
          <w:color w:val="auto"/>
          <w:szCs w:val="22"/>
          <w:lang w:val="en-GB" w:eastAsia="en-US"/>
        </w:rPr>
        <w:t xml:space="preserve">. </w:t>
      </w:r>
      <w:r w:rsidR="006A76FE">
        <w:rPr>
          <w:rFonts w:eastAsiaTheme="minorHAnsi" w:cs="Times New Roman"/>
          <w:noProof/>
          <w:color w:val="auto"/>
          <w:szCs w:val="22"/>
          <w:lang w:val="en-GB" w:eastAsia="en-US"/>
        </w:rPr>
        <w:t xml:space="preserve">For </w:t>
      </w:r>
      <w:r w:rsidR="006A76FE" w:rsidRPr="00155AAF">
        <w:rPr>
          <w:rFonts w:eastAsiaTheme="minorHAnsi" w:cs="Times New Roman"/>
          <w:noProof/>
          <w:color w:val="auto"/>
          <w:szCs w:val="22"/>
          <w:lang w:val="en-GB" w:eastAsia="en-US"/>
        </w:rPr>
        <w:t>Azerbaijan, Georgia, Moldova and Ukraine</w:t>
      </w:r>
      <w:r w:rsidR="006A76FE">
        <w:rPr>
          <w:rFonts w:eastAsiaTheme="minorHAnsi" w:cs="Times New Roman"/>
          <w:noProof/>
          <w:color w:val="auto"/>
          <w:szCs w:val="22"/>
          <w:lang w:val="en-GB" w:eastAsia="en-US"/>
        </w:rPr>
        <w:t>, t</w:t>
      </w:r>
      <w:r w:rsidR="00ED5AB2" w:rsidRPr="00155AAF">
        <w:rPr>
          <w:rFonts w:eastAsiaTheme="minorHAnsi" w:cs="Times New Roman"/>
          <w:noProof/>
          <w:color w:val="auto"/>
          <w:szCs w:val="22"/>
          <w:lang w:val="en-GB" w:eastAsia="en-US"/>
        </w:rPr>
        <w:t xml:space="preserve">he </w:t>
      </w:r>
      <w:r w:rsidR="0046099D">
        <w:rPr>
          <w:rFonts w:eastAsiaTheme="minorHAnsi" w:cs="Times New Roman"/>
          <w:noProof/>
          <w:color w:val="auto"/>
          <w:szCs w:val="22"/>
          <w:lang w:val="en-GB" w:eastAsia="en-US"/>
        </w:rPr>
        <w:t>Union</w:t>
      </w:r>
      <w:r w:rsidR="0046099D" w:rsidRPr="00155AAF">
        <w:rPr>
          <w:rFonts w:eastAsiaTheme="minorHAnsi" w:cs="Times New Roman"/>
          <w:noProof/>
          <w:color w:val="auto"/>
          <w:szCs w:val="22"/>
          <w:lang w:val="en-GB" w:eastAsia="en-US"/>
        </w:rPr>
        <w:t xml:space="preserve"> </w:t>
      </w:r>
      <w:r w:rsidR="00ED5AB2" w:rsidRPr="00155AAF">
        <w:rPr>
          <w:rFonts w:eastAsiaTheme="minorHAnsi" w:cs="Times New Roman"/>
          <w:noProof/>
          <w:color w:val="auto"/>
          <w:szCs w:val="22"/>
          <w:lang w:val="en-GB" w:eastAsia="en-US"/>
        </w:rPr>
        <w:t xml:space="preserve">is the </w:t>
      </w:r>
      <w:r w:rsidR="006A76FE">
        <w:rPr>
          <w:rFonts w:eastAsiaTheme="minorHAnsi" w:cs="Times New Roman"/>
          <w:noProof/>
          <w:color w:val="auto"/>
          <w:szCs w:val="22"/>
          <w:lang w:val="en-GB" w:eastAsia="en-US"/>
        </w:rPr>
        <w:t>largest</w:t>
      </w:r>
      <w:r w:rsidR="00ED5AB2" w:rsidRPr="00155AAF">
        <w:rPr>
          <w:rFonts w:eastAsiaTheme="minorHAnsi" w:cs="Times New Roman"/>
          <w:noProof/>
          <w:color w:val="auto"/>
          <w:szCs w:val="22"/>
          <w:lang w:val="en-GB" w:eastAsia="en-US"/>
        </w:rPr>
        <w:t xml:space="preserve"> trading block, while for Armenia and Belarus the </w:t>
      </w:r>
      <w:r w:rsidR="0046099D">
        <w:rPr>
          <w:rFonts w:eastAsiaTheme="minorHAnsi" w:cs="Times New Roman"/>
          <w:noProof/>
          <w:color w:val="auto"/>
          <w:szCs w:val="22"/>
          <w:lang w:val="en-GB" w:eastAsia="en-US"/>
        </w:rPr>
        <w:t>Union</w:t>
      </w:r>
      <w:r w:rsidR="0046099D" w:rsidRPr="00155AAF">
        <w:rPr>
          <w:rFonts w:eastAsiaTheme="minorHAnsi" w:cs="Times New Roman"/>
          <w:noProof/>
          <w:color w:val="auto"/>
          <w:szCs w:val="22"/>
          <w:lang w:val="en-GB" w:eastAsia="en-US"/>
        </w:rPr>
        <w:t xml:space="preserve"> </w:t>
      </w:r>
      <w:r w:rsidR="00ED5AB2" w:rsidRPr="00155AAF">
        <w:rPr>
          <w:rFonts w:eastAsiaTheme="minorHAnsi" w:cs="Times New Roman"/>
          <w:noProof/>
          <w:color w:val="auto"/>
          <w:szCs w:val="22"/>
          <w:lang w:val="en-GB" w:eastAsia="en-US"/>
        </w:rPr>
        <w:t xml:space="preserve">is the second </w:t>
      </w:r>
      <w:r w:rsidR="00ED5AB2">
        <w:rPr>
          <w:rFonts w:eastAsiaTheme="minorHAnsi" w:cs="Times New Roman"/>
          <w:noProof/>
          <w:color w:val="auto"/>
          <w:szCs w:val="22"/>
          <w:lang w:val="en-GB" w:eastAsia="en-US"/>
        </w:rPr>
        <w:t xml:space="preserve">largest trading partner. </w:t>
      </w:r>
      <w:r w:rsidR="0046099D">
        <w:rPr>
          <w:rFonts w:eastAsiaTheme="minorHAnsi" w:cs="Times New Roman"/>
          <w:noProof/>
          <w:color w:val="auto"/>
          <w:szCs w:val="22"/>
          <w:lang w:val="en-GB" w:eastAsia="en-US"/>
        </w:rPr>
        <w:t>Union</w:t>
      </w:r>
      <w:r w:rsidR="0046099D" w:rsidRPr="00AA1AFD">
        <w:rPr>
          <w:rFonts w:eastAsiaTheme="minorHAnsi" w:cs="Times New Roman"/>
          <w:noProof/>
          <w:color w:val="auto"/>
          <w:szCs w:val="22"/>
          <w:lang w:val="en-GB" w:eastAsia="en-US"/>
        </w:rPr>
        <w:t xml:space="preserve"> </w:t>
      </w:r>
      <w:r w:rsidR="00ED5AB2" w:rsidRPr="00AA1AFD">
        <w:rPr>
          <w:rFonts w:eastAsiaTheme="minorHAnsi" w:cs="Times New Roman"/>
          <w:noProof/>
          <w:color w:val="auto"/>
          <w:szCs w:val="22"/>
          <w:lang w:val="en-GB" w:eastAsia="en-US"/>
        </w:rPr>
        <w:t>trade with the Ea</w:t>
      </w:r>
      <w:r w:rsidR="00ED5AB2">
        <w:rPr>
          <w:rFonts w:eastAsiaTheme="minorHAnsi" w:cs="Times New Roman"/>
          <w:noProof/>
          <w:color w:val="auto"/>
          <w:szCs w:val="22"/>
          <w:lang w:val="en-GB" w:eastAsia="en-US"/>
        </w:rPr>
        <w:t>P</w:t>
      </w:r>
      <w:r w:rsidR="00ED5AB2" w:rsidRPr="00AA1AFD">
        <w:rPr>
          <w:rFonts w:eastAsiaTheme="minorHAnsi" w:cs="Times New Roman"/>
          <w:noProof/>
          <w:color w:val="auto"/>
          <w:szCs w:val="22"/>
          <w:lang w:val="en-GB" w:eastAsia="en-US"/>
        </w:rPr>
        <w:t xml:space="preserve"> totalled </w:t>
      </w:r>
      <w:r w:rsidR="00334D1F">
        <w:rPr>
          <w:rFonts w:eastAsiaTheme="minorHAnsi" w:cs="Times New Roman"/>
          <w:noProof/>
          <w:color w:val="auto"/>
          <w:szCs w:val="22"/>
          <w:lang w:val="en-GB" w:eastAsia="en-US"/>
        </w:rPr>
        <w:t xml:space="preserve">EUR </w:t>
      </w:r>
      <w:r w:rsidR="00ED5AB2" w:rsidRPr="00AA1AFD">
        <w:rPr>
          <w:rFonts w:eastAsiaTheme="minorHAnsi" w:cs="Times New Roman"/>
          <w:noProof/>
          <w:color w:val="auto"/>
          <w:szCs w:val="22"/>
          <w:lang w:val="en-GB" w:eastAsia="en-US"/>
        </w:rPr>
        <w:t xml:space="preserve">82.8 billion </w:t>
      </w:r>
      <w:r w:rsidR="00ED5AB2">
        <w:rPr>
          <w:rFonts w:eastAsiaTheme="minorHAnsi" w:cs="Times New Roman"/>
          <w:noProof/>
          <w:color w:val="auto"/>
          <w:szCs w:val="22"/>
          <w:lang w:val="en-GB" w:eastAsia="en-US"/>
        </w:rPr>
        <w:t>in 2020</w:t>
      </w:r>
      <w:r w:rsidR="00ED5AB2" w:rsidRPr="00AA1AFD">
        <w:rPr>
          <w:rFonts w:eastAsiaTheme="minorHAnsi" w:cs="Times New Roman"/>
          <w:noProof/>
          <w:color w:val="auto"/>
          <w:szCs w:val="22"/>
          <w:lang w:val="en-GB" w:eastAsia="en-US"/>
        </w:rPr>
        <w:t>.</w:t>
      </w:r>
      <w:r w:rsidR="002F132D">
        <w:rPr>
          <w:rFonts w:eastAsiaTheme="minorHAnsi" w:cs="Times New Roman"/>
          <w:noProof/>
          <w:color w:val="auto"/>
          <w:szCs w:val="22"/>
          <w:lang w:val="en-GB" w:eastAsia="en-US"/>
        </w:rPr>
        <w:t xml:space="preserve"> </w:t>
      </w:r>
      <w:r w:rsidR="00A13700">
        <w:rPr>
          <w:rFonts w:eastAsiaTheme="minorHAnsi" w:cs="Times New Roman"/>
          <w:noProof/>
          <w:color w:val="auto"/>
          <w:szCs w:val="22"/>
          <w:lang w:val="en-GB" w:eastAsia="en-US"/>
        </w:rPr>
        <w:t>EU-</w:t>
      </w:r>
      <w:r w:rsidR="002F132D">
        <w:rPr>
          <w:rFonts w:eastAsiaTheme="minorHAnsi" w:cs="Times New Roman"/>
          <w:noProof/>
          <w:color w:val="auto"/>
          <w:szCs w:val="22"/>
          <w:lang w:val="en-GB" w:eastAsia="en-US"/>
        </w:rPr>
        <w:t>Ukraine</w:t>
      </w:r>
      <w:r w:rsidR="00A13700">
        <w:rPr>
          <w:rFonts w:eastAsiaTheme="minorHAnsi" w:cs="Times New Roman"/>
          <w:noProof/>
          <w:color w:val="auto"/>
          <w:szCs w:val="22"/>
          <w:lang w:val="en-GB" w:eastAsia="en-US"/>
        </w:rPr>
        <w:t xml:space="preserve"> trade, in particular, is account</w:t>
      </w:r>
      <w:r w:rsidR="002F132D">
        <w:rPr>
          <w:rFonts w:eastAsiaTheme="minorHAnsi" w:cs="Times New Roman"/>
          <w:noProof/>
          <w:color w:val="auto"/>
          <w:szCs w:val="22"/>
          <w:lang w:val="en-GB" w:eastAsia="en-US"/>
        </w:rPr>
        <w:t>ing for</w:t>
      </w:r>
      <w:r w:rsidR="00A13700">
        <w:rPr>
          <w:rFonts w:eastAsiaTheme="minorHAnsi" w:cs="Times New Roman"/>
          <w:noProof/>
          <w:color w:val="auto"/>
          <w:szCs w:val="22"/>
          <w:lang w:val="en-GB" w:eastAsia="en-US"/>
        </w:rPr>
        <w:t xml:space="preserve"> almost 50 % of the total trade between the EaP </w:t>
      </w:r>
      <w:r w:rsidR="00334D1F">
        <w:rPr>
          <w:rFonts w:eastAsiaTheme="minorHAnsi" w:cs="Times New Roman"/>
          <w:noProof/>
          <w:color w:val="auto"/>
          <w:szCs w:val="22"/>
          <w:lang w:val="en-GB" w:eastAsia="en-US"/>
        </w:rPr>
        <w:t xml:space="preserve">countries </w:t>
      </w:r>
      <w:r w:rsidR="00A13700">
        <w:rPr>
          <w:rFonts w:eastAsiaTheme="minorHAnsi" w:cs="Times New Roman"/>
          <w:noProof/>
          <w:color w:val="auto"/>
          <w:szCs w:val="22"/>
          <w:lang w:val="en-GB" w:eastAsia="en-US"/>
        </w:rPr>
        <w:t xml:space="preserve">and the </w:t>
      </w:r>
      <w:r w:rsidR="00F44742">
        <w:rPr>
          <w:rFonts w:eastAsiaTheme="minorHAnsi" w:cs="Times New Roman"/>
          <w:noProof/>
          <w:color w:val="auto"/>
          <w:szCs w:val="22"/>
          <w:lang w:val="en-GB" w:eastAsia="en-US"/>
        </w:rPr>
        <w:t>Union</w:t>
      </w:r>
      <w:r w:rsidR="00A13700">
        <w:rPr>
          <w:rFonts w:eastAsiaTheme="minorHAnsi" w:cs="Times New Roman"/>
          <w:noProof/>
          <w:color w:val="auto"/>
          <w:szCs w:val="22"/>
          <w:lang w:val="en-GB" w:eastAsia="en-US"/>
        </w:rPr>
        <w:t>.</w:t>
      </w:r>
      <w:r w:rsidR="00CE3246">
        <w:rPr>
          <w:rFonts w:eastAsiaTheme="minorHAnsi" w:cs="Times New Roman"/>
          <w:noProof/>
          <w:color w:val="auto"/>
          <w:szCs w:val="22"/>
          <w:lang w:val="en-GB" w:eastAsia="en-US"/>
        </w:rPr>
        <w:t xml:space="preserve"> </w:t>
      </w:r>
      <w:r w:rsidR="007A097D">
        <w:rPr>
          <w:rFonts w:eastAsiaTheme="minorHAnsi" w:cs="Times New Roman"/>
          <w:noProof/>
          <w:color w:val="auto"/>
          <w:szCs w:val="22"/>
          <w:lang w:val="en-GB" w:eastAsia="en-US"/>
        </w:rPr>
        <w:t xml:space="preserve">To </w:t>
      </w:r>
      <w:r w:rsidR="009907A6">
        <w:rPr>
          <w:rFonts w:eastAsiaTheme="minorHAnsi" w:cs="Times New Roman"/>
          <w:noProof/>
          <w:color w:val="auto"/>
          <w:szCs w:val="22"/>
          <w:lang w:val="en-GB" w:eastAsia="en-US"/>
        </w:rPr>
        <w:t>support</w:t>
      </w:r>
      <w:r w:rsidR="007A097D">
        <w:rPr>
          <w:rFonts w:eastAsiaTheme="minorHAnsi" w:cs="Times New Roman"/>
          <w:noProof/>
          <w:color w:val="auto"/>
          <w:szCs w:val="22"/>
          <w:lang w:val="en-GB" w:eastAsia="en-US"/>
        </w:rPr>
        <w:t xml:space="preserve"> this development, the provision of</w:t>
      </w:r>
      <w:r w:rsidR="007A097D" w:rsidRPr="00AA1AFD">
        <w:rPr>
          <w:rFonts w:eastAsiaTheme="minorHAnsi" w:cs="Times New Roman"/>
          <w:noProof/>
          <w:color w:val="auto"/>
          <w:szCs w:val="22"/>
          <w:lang w:val="en-GB" w:eastAsia="en-US"/>
        </w:rPr>
        <w:t xml:space="preserve"> better</w:t>
      </w:r>
      <w:r w:rsidR="007A097D">
        <w:rPr>
          <w:rFonts w:eastAsiaTheme="minorHAnsi" w:cs="Times New Roman"/>
          <w:noProof/>
          <w:color w:val="auto"/>
          <w:szCs w:val="22"/>
          <w:lang w:val="en-GB" w:eastAsia="en-US"/>
        </w:rPr>
        <w:t xml:space="preserve"> transport</w:t>
      </w:r>
      <w:r w:rsidR="007A097D" w:rsidRPr="00AA1AFD">
        <w:rPr>
          <w:rFonts w:eastAsiaTheme="minorHAnsi" w:cs="Times New Roman"/>
          <w:noProof/>
          <w:color w:val="auto"/>
          <w:szCs w:val="22"/>
          <w:lang w:val="en-GB" w:eastAsia="en-US"/>
        </w:rPr>
        <w:t xml:space="preserve"> connectivity with the </w:t>
      </w:r>
      <w:r w:rsidR="00F44742">
        <w:rPr>
          <w:rFonts w:eastAsiaTheme="minorHAnsi" w:cs="Times New Roman"/>
          <w:noProof/>
          <w:color w:val="auto"/>
          <w:szCs w:val="22"/>
          <w:lang w:val="en-GB" w:eastAsia="en-US"/>
        </w:rPr>
        <w:t>Union</w:t>
      </w:r>
      <w:r w:rsidR="007A097D" w:rsidRPr="00AA1AFD">
        <w:rPr>
          <w:rFonts w:eastAsiaTheme="minorHAnsi" w:cs="Times New Roman"/>
          <w:noProof/>
          <w:color w:val="auto"/>
          <w:szCs w:val="22"/>
          <w:lang w:val="en-GB" w:eastAsia="en-US"/>
        </w:rPr>
        <w:t xml:space="preserve"> and within the region</w:t>
      </w:r>
      <w:r w:rsidR="007A097D">
        <w:rPr>
          <w:rFonts w:eastAsiaTheme="minorHAnsi" w:cs="Times New Roman"/>
          <w:noProof/>
          <w:color w:val="auto"/>
          <w:szCs w:val="22"/>
          <w:lang w:val="en-GB" w:eastAsia="en-US"/>
        </w:rPr>
        <w:t xml:space="preserve"> will be of </w:t>
      </w:r>
      <w:r w:rsidR="00794A3F">
        <w:rPr>
          <w:rFonts w:eastAsiaTheme="minorHAnsi" w:cs="Times New Roman"/>
          <w:noProof/>
          <w:color w:val="auto"/>
          <w:szCs w:val="22"/>
          <w:lang w:val="en-GB" w:eastAsia="en-US"/>
        </w:rPr>
        <w:t xml:space="preserve">importance </w:t>
      </w:r>
      <w:r w:rsidR="007A097D">
        <w:rPr>
          <w:rFonts w:eastAsiaTheme="minorHAnsi" w:cs="Times New Roman"/>
          <w:noProof/>
          <w:color w:val="auto"/>
          <w:szCs w:val="22"/>
          <w:lang w:val="en-GB" w:eastAsia="en-US"/>
        </w:rPr>
        <w:t>to the Union</w:t>
      </w:r>
      <w:r w:rsidR="007A097D" w:rsidRPr="00AA1AFD">
        <w:rPr>
          <w:rFonts w:eastAsiaTheme="minorHAnsi" w:cs="Times New Roman"/>
          <w:noProof/>
          <w:color w:val="auto"/>
          <w:szCs w:val="22"/>
          <w:lang w:val="en-GB" w:eastAsia="en-US"/>
        </w:rPr>
        <w:t>.</w:t>
      </w:r>
    </w:p>
    <w:p w:rsidR="00ED5AB2" w:rsidRDefault="005579AF" w:rsidP="00ED5AB2">
      <w:pPr>
        <w:pStyle w:val="wordcount"/>
        <w:spacing w:before="240"/>
        <w:jc w:val="both"/>
        <w:rPr>
          <w:rFonts w:cs="Times New Roman"/>
          <w:noProof/>
          <w:lang w:val="en-GB"/>
        </w:rPr>
      </w:pPr>
      <w:r>
        <w:rPr>
          <w:rFonts w:cs="Times New Roman"/>
          <w:noProof/>
          <w:lang w:val="en-GB"/>
        </w:rPr>
        <w:t>Following the extension of the indicative TEN-T to the region in 2018, a</w:t>
      </w:r>
      <w:r w:rsidRPr="00AA1AFD">
        <w:rPr>
          <w:rFonts w:cs="Times New Roman"/>
          <w:noProof/>
          <w:lang w:val="en-GB"/>
        </w:rPr>
        <w:t xml:space="preserve"> </w:t>
      </w:r>
      <w:r w:rsidR="00ED5AB2" w:rsidRPr="00AA1AFD">
        <w:rPr>
          <w:rFonts w:cs="Times New Roman"/>
          <w:noProof/>
          <w:lang w:val="en-GB"/>
        </w:rPr>
        <w:t>significant result of the TEN-T policy is the development of the Indicative TEN-T Investment Action Plan for the Eastern Partnership</w:t>
      </w:r>
      <w:r w:rsidR="00ED5AB2" w:rsidRPr="000451E5">
        <w:rPr>
          <w:rFonts w:cs="Times New Roman"/>
          <w:noProof/>
          <w:lang w:val="en-GB"/>
        </w:rPr>
        <w:t xml:space="preserve">. </w:t>
      </w:r>
      <w:r w:rsidR="00C119B3">
        <w:rPr>
          <w:rFonts w:cs="Times New Roman"/>
          <w:noProof/>
          <w:lang w:val="en-GB"/>
        </w:rPr>
        <w:t xml:space="preserve">Jointly </w:t>
      </w:r>
      <w:r w:rsidR="00C119B3" w:rsidRPr="00AA1AFD">
        <w:rPr>
          <w:rFonts w:cs="Times New Roman"/>
          <w:noProof/>
          <w:lang w:val="en-GB"/>
        </w:rPr>
        <w:t>prepared by the World Bank and the Commissio</w:t>
      </w:r>
      <w:r w:rsidR="00C119B3">
        <w:rPr>
          <w:rFonts w:cs="Times New Roman"/>
          <w:noProof/>
          <w:lang w:val="en-GB"/>
        </w:rPr>
        <w:t xml:space="preserve">n, the Plan </w:t>
      </w:r>
      <w:r w:rsidR="00C119B3" w:rsidRPr="00AA1AFD">
        <w:rPr>
          <w:rFonts w:cs="Times New Roman"/>
          <w:noProof/>
          <w:lang w:val="en-GB"/>
        </w:rPr>
        <w:t xml:space="preserve">identifies key </w:t>
      </w:r>
      <w:r w:rsidR="00C119B3" w:rsidRPr="00626261">
        <w:rPr>
          <w:rFonts w:eastAsia="Times New Roman" w:cs="Arial"/>
          <w:noProof/>
          <w:lang w:val="en-US"/>
        </w:rPr>
        <w:t xml:space="preserve">priority investments </w:t>
      </w:r>
      <w:r w:rsidR="00C119B3">
        <w:rPr>
          <w:rFonts w:eastAsia="Times New Roman" w:cs="Arial"/>
          <w:noProof/>
          <w:lang w:val="en-US"/>
        </w:rPr>
        <w:t>with a</w:t>
      </w:r>
      <w:r w:rsidR="00C119B3" w:rsidRPr="00626261">
        <w:rPr>
          <w:rFonts w:eastAsia="Times New Roman" w:cs="Arial"/>
          <w:noProof/>
          <w:lang w:val="en-US"/>
        </w:rPr>
        <w:t xml:space="preserve"> total value of</w:t>
      </w:r>
      <w:r w:rsidR="00C119B3">
        <w:rPr>
          <w:rFonts w:eastAsia="Times New Roman" w:cs="Arial"/>
          <w:noProof/>
          <w:lang w:val="en-US"/>
        </w:rPr>
        <w:t xml:space="preserve"> EUR</w:t>
      </w:r>
      <w:r w:rsidR="00C119B3" w:rsidRPr="00626261">
        <w:rPr>
          <w:rFonts w:eastAsia="Times New Roman" w:cs="Arial"/>
          <w:noProof/>
          <w:lang w:val="en-US"/>
        </w:rPr>
        <w:t xml:space="preserve"> 12.8 billion </w:t>
      </w:r>
      <w:r w:rsidR="00C119B3">
        <w:rPr>
          <w:rFonts w:eastAsia="Times New Roman" w:cs="Arial"/>
          <w:noProof/>
          <w:lang w:val="en-US"/>
        </w:rPr>
        <w:t>for</w:t>
      </w:r>
      <w:r w:rsidR="00C119B3" w:rsidRPr="00626261">
        <w:rPr>
          <w:rFonts w:eastAsia="Times New Roman" w:cs="Arial"/>
          <w:noProof/>
          <w:lang w:val="en-US"/>
        </w:rPr>
        <w:t xml:space="preserve"> all transport modes </w:t>
      </w:r>
      <w:r w:rsidR="00C119B3">
        <w:rPr>
          <w:rFonts w:cs="Times New Roman"/>
          <w:noProof/>
          <w:lang w:val="en-GB"/>
        </w:rPr>
        <w:t>on the extended core network. The</w:t>
      </w:r>
      <w:r w:rsidR="00C119B3" w:rsidRPr="00AA1AFD">
        <w:rPr>
          <w:rFonts w:cs="Times New Roman"/>
          <w:noProof/>
          <w:lang w:val="en-GB"/>
        </w:rPr>
        <w:t xml:space="preserve"> </w:t>
      </w:r>
      <w:r w:rsidR="00C119B3">
        <w:rPr>
          <w:rFonts w:cs="Times New Roman"/>
          <w:noProof/>
          <w:lang w:val="en-GB"/>
        </w:rPr>
        <w:t xml:space="preserve">deadline for </w:t>
      </w:r>
      <w:r w:rsidR="00C119B3" w:rsidRPr="00AA1AFD">
        <w:rPr>
          <w:rFonts w:cs="Times New Roman"/>
          <w:noProof/>
          <w:lang w:val="en-GB"/>
        </w:rPr>
        <w:t xml:space="preserve">completion </w:t>
      </w:r>
      <w:r w:rsidR="00C119B3">
        <w:rPr>
          <w:rFonts w:cs="Times New Roman"/>
          <w:noProof/>
          <w:lang w:val="en-GB"/>
        </w:rPr>
        <w:t>is set at</w:t>
      </w:r>
      <w:r w:rsidR="00C119B3" w:rsidRPr="00AA1AFD">
        <w:rPr>
          <w:rFonts w:cs="Times New Roman"/>
          <w:noProof/>
          <w:lang w:val="en-GB"/>
        </w:rPr>
        <w:t xml:space="preserve"> 2030. </w:t>
      </w:r>
      <w:r w:rsidR="00817512">
        <w:rPr>
          <w:rFonts w:cs="Times New Roman"/>
          <w:noProof/>
          <w:lang w:val="en-GB"/>
        </w:rPr>
        <w:t>The Plan</w:t>
      </w:r>
      <w:r w:rsidR="00817512" w:rsidRPr="00817512">
        <w:rPr>
          <w:rFonts w:cs="Times New Roman"/>
          <w:noProof/>
          <w:lang w:val="en-GB"/>
        </w:rPr>
        <w:t xml:space="preserve"> is intended to assist decision-makers in prioritising strategic investments in transport infrastructure, with the aim of completing the</w:t>
      </w:r>
      <w:r w:rsidR="00817512">
        <w:rPr>
          <w:rFonts w:cs="Times New Roman"/>
          <w:noProof/>
          <w:lang w:val="en-GB"/>
        </w:rPr>
        <w:t xml:space="preserve"> indicative</w:t>
      </w:r>
      <w:r w:rsidR="00817512" w:rsidRPr="00817512">
        <w:rPr>
          <w:rFonts w:cs="Times New Roman"/>
          <w:noProof/>
          <w:lang w:val="en-GB"/>
        </w:rPr>
        <w:t xml:space="preserve"> TEN-T network</w:t>
      </w:r>
      <w:r w:rsidR="008C1208">
        <w:rPr>
          <w:rFonts w:cs="Times New Roman"/>
          <w:noProof/>
          <w:lang w:val="en-GB"/>
        </w:rPr>
        <w:t>.</w:t>
      </w:r>
      <w:r w:rsidR="00817512" w:rsidRPr="00817512">
        <w:rPr>
          <w:rFonts w:cs="Times New Roman"/>
          <w:noProof/>
          <w:lang w:val="en-GB"/>
        </w:rPr>
        <w:t xml:space="preserve"> The </w:t>
      </w:r>
      <w:r w:rsidR="00817512">
        <w:rPr>
          <w:rFonts w:cs="Times New Roman"/>
          <w:noProof/>
          <w:lang w:val="en-GB"/>
        </w:rPr>
        <w:t>elaboration</w:t>
      </w:r>
      <w:r w:rsidR="00817512" w:rsidRPr="00817512">
        <w:rPr>
          <w:rFonts w:cs="Times New Roman"/>
          <w:noProof/>
          <w:lang w:val="en-GB"/>
        </w:rPr>
        <w:t xml:space="preserve"> of a single coor</w:t>
      </w:r>
      <w:r w:rsidR="00817512">
        <w:rPr>
          <w:rFonts w:cs="Times New Roman"/>
          <w:noProof/>
          <w:lang w:val="en-GB"/>
        </w:rPr>
        <w:t xml:space="preserve">dinated pipeline of projects </w:t>
      </w:r>
      <w:r w:rsidR="006C3E58">
        <w:rPr>
          <w:rFonts w:cs="Times New Roman"/>
          <w:noProof/>
          <w:lang w:val="en-GB"/>
        </w:rPr>
        <w:t>for</w:t>
      </w:r>
      <w:r w:rsidR="00817512">
        <w:rPr>
          <w:rFonts w:cs="Times New Roman"/>
          <w:noProof/>
          <w:lang w:val="en-GB"/>
        </w:rPr>
        <w:t xml:space="preserve"> the region </w:t>
      </w:r>
      <w:r w:rsidR="006C3E58">
        <w:rPr>
          <w:rFonts w:cs="Times New Roman"/>
          <w:noProof/>
          <w:lang w:val="en-GB"/>
        </w:rPr>
        <w:t>will be</w:t>
      </w:r>
      <w:r w:rsidR="00817512" w:rsidRPr="00817512">
        <w:rPr>
          <w:rFonts w:cs="Times New Roman"/>
          <w:noProof/>
          <w:lang w:val="en-GB"/>
        </w:rPr>
        <w:t xml:space="preserve"> a key element of success </w:t>
      </w:r>
      <w:r w:rsidR="00817512">
        <w:rPr>
          <w:rFonts w:cs="Times New Roman"/>
          <w:noProof/>
          <w:lang w:val="en-GB"/>
        </w:rPr>
        <w:t>for</w:t>
      </w:r>
      <w:r w:rsidR="00817512" w:rsidRPr="00817512">
        <w:rPr>
          <w:rFonts w:cs="Times New Roman"/>
          <w:noProof/>
          <w:lang w:val="en-GB"/>
        </w:rPr>
        <w:t xml:space="preserve"> </w:t>
      </w:r>
      <w:r w:rsidR="00817512">
        <w:rPr>
          <w:rFonts w:cs="Times New Roman"/>
          <w:noProof/>
          <w:lang w:val="en-GB"/>
        </w:rPr>
        <w:t>the implementation of the TEN-T</w:t>
      </w:r>
      <w:r w:rsidR="00817512" w:rsidRPr="00817512">
        <w:rPr>
          <w:rFonts w:cs="Times New Roman"/>
          <w:noProof/>
          <w:lang w:val="en-GB"/>
        </w:rPr>
        <w:t xml:space="preserve"> policy</w:t>
      </w:r>
      <w:r w:rsidR="0099425F">
        <w:rPr>
          <w:rFonts w:cs="Times New Roman"/>
          <w:noProof/>
          <w:lang w:val="en-GB"/>
        </w:rPr>
        <w:t>.</w:t>
      </w:r>
      <w:r w:rsidR="00127D9D">
        <w:rPr>
          <w:rFonts w:cs="Times New Roman"/>
          <w:noProof/>
          <w:lang w:val="en-GB"/>
        </w:rPr>
        <w:t xml:space="preserve"> So will the further development of the network, including inland waterways</w:t>
      </w:r>
      <w:r w:rsidR="00EF6FB9">
        <w:rPr>
          <w:rFonts w:cs="Times New Roman"/>
          <w:noProof/>
          <w:lang w:val="en-GB"/>
        </w:rPr>
        <w:t>, which were not included with the extension in 2018</w:t>
      </w:r>
      <w:r w:rsidR="00127D9D">
        <w:rPr>
          <w:rFonts w:cs="Times New Roman"/>
          <w:noProof/>
          <w:lang w:val="en-GB"/>
        </w:rPr>
        <w:t xml:space="preserve">. </w:t>
      </w:r>
    </w:p>
    <w:p w:rsidR="00F3543E" w:rsidRDefault="00F3543E" w:rsidP="005B6F36">
      <w:pPr>
        <w:pStyle w:val="wordcount"/>
        <w:spacing w:after="60"/>
        <w:jc w:val="both"/>
        <w:rPr>
          <w:rFonts w:eastAsiaTheme="minorHAnsi" w:cs="Times New Roman"/>
          <w:noProof/>
          <w:color w:val="auto"/>
          <w:szCs w:val="22"/>
          <w:lang w:val="en-GB" w:eastAsia="en-US"/>
        </w:rPr>
      </w:pPr>
    </w:p>
    <w:p w:rsidR="008C1208" w:rsidRPr="006A0007" w:rsidRDefault="005579AF" w:rsidP="006A0007">
      <w:pPr>
        <w:pStyle w:val="wordcount"/>
        <w:spacing w:after="240"/>
        <w:jc w:val="both"/>
        <w:rPr>
          <w:rFonts w:eastAsiaTheme="minorHAnsi" w:cs="Times New Roman"/>
          <w:noProof/>
          <w:color w:val="auto"/>
          <w:szCs w:val="22"/>
          <w:lang w:val="en-US" w:eastAsia="en-US"/>
        </w:rPr>
      </w:pPr>
      <w:r>
        <w:rPr>
          <w:rFonts w:cs="Times New Roman"/>
          <w:noProof/>
          <w:lang w:val="en-GB"/>
        </w:rPr>
        <w:t>Underpinned by</w:t>
      </w:r>
      <w:r w:rsidRPr="007B08ED">
        <w:rPr>
          <w:rFonts w:cs="Times New Roman"/>
          <w:noProof/>
          <w:lang w:val="en-GB"/>
        </w:rPr>
        <w:t xml:space="preserve"> rule</w:t>
      </w:r>
      <w:r>
        <w:rPr>
          <w:rFonts w:cs="Times New Roman"/>
          <w:noProof/>
          <w:lang w:val="en-GB"/>
        </w:rPr>
        <w:t>s</w:t>
      </w:r>
      <w:r w:rsidRPr="007B08ED">
        <w:rPr>
          <w:rFonts w:cs="Times New Roman"/>
          <w:noProof/>
          <w:lang w:val="en-GB"/>
        </w:rPr>
        <w:t>-based</w:t>
      </w:r>
      <w:r w:rsidRPr="00E550E1">
        <w:rPr>
          <w:rFonts w:cs="Times New Roman"/>
          <w:noProof/>
          <w:lang w:val="en-IE"/>
        </w:rPr>
        <w:t xml:space="preserve"> </w:t>
      </w:r>
      <w:r>
        <w:rPr>
          <w:rFonts w:cs="Times New Roman"/>
          <w:noProof/>
          <w:lang w:val="en-IE"/>
        </w:rPr>
        <w:t>policy,</w:t>
      </w:r>
      <w:r>
        <w:rPr>
          <w:rFonts w:cs="Times New Roman"/>
          <w:noProof/>
          <w:lang w:val="en-GB"/>
        </w:rPr>
        <w:t xml:space="preserve"> the</w:t>
      </w:r>
      <w:r>
        <w:rPr>
          <w:rFonts w:cs="Times New Roman"/>
          <w:noProof/>
          <w:lang w:val="en-IE"/>
        </w:rPr>
        <w:t xml:space="preserve"> </w:t>
      </w:r>
      <w:r w:rsidR="00D317EB">
        <w:rPr>
          <w:rFonts w:cs="Times New Roman"/>
          <w:noProof/>
          <w:lang w:val="en-IE"/>
        </w:rPr>
        <w:t>i</w:t>
      </w:r>
      <w:r w:rsidR="008C1208" w:rsidRPr="00E550E1">
        <w:rPr>
          <w:rFonts w:cs="Times New Roman"/>
          <w:noProof/>
          <w:lang w:val="en-IE"/>
        </w:rPr>
        <w:t>nvest</w:t>
      </w:r>
      <w:r w:rsidR="00D317EB">
        <w:rPr>
          <w:rFonts w:cs="Times New Roman"/>
          <w:noProof/>
          <w:lang w:val="en-IE"/>
        </w:rPr>
        <w:t>ment</w:t>
      </w:r>
      <w:r w:rsidR="008C1208" w:rsidRPr="00E550E1">
        <w:rPr>
          <w:rFonts w:cs="Times New Roman"/>
          <w:noProof/>
          <w:lang w:val="en-IE"/>
        </w:rPr>
        <w:t xml:space="preserve"> in sustainable</w:t>
      </w:r>
      <w:r w:rsidR="008C1208">
        <w:rPr>
          <w:rFonts w:cs="Times New Roman"/>
          <w:noProof/>
          <w:lang w:val="en-IE"/>
        </w:rPr>
        <w:t xml:space="preserve"> </w:t>
      </w:r>
      <w:r>
        <w:rPr>
          <w:rFonts w:cs="Times New Roman"/>
          <w:noProof/>
          <w:lang w:val="en-IE"/>
        </w:rPr>
        <w:t xml:space="preserve"> solutions on the indicative</w:t>
      </w:r>
      <w:r w:rsidR="008C1208" w:rsidRPr="00E550E1">
        <w:rPr>
          <w:rFonts w:cs="Times New Roman"/>
          <w:noProof/>
          <w:lang w:val="en-IE"/>
        </w:rPr>
        <w:t xml:space="preserve"> </w:t>
      </w:r>
      <w:r w:rsidR="008C1208">
        <w:rPr>
          <w:rFonts w:cs="Times New Roman"/>
          <w:noProof/>
          <w:lang w:val="en-IE"/>
        </w:rPr>
        <w:t xml:space="preserve">core TEN-T network </w:t>
      </w:r>
      <w:r w:rsidR="008C1208">
        <w:rPr>
          <w:rFonts w:cs="Times New Roman"/>
          <w:noProof/>
          <w:lang w:val="en-GB"/>
        </w:rPr>
        <w:t>is</w:t>
      </w:r>
      <w:r w:rsidR="008C1208" w:rsidRPr="007B08ED">
        <w:rPr>
          <w:rFonts w:cs="Times New Roman"/>
          <w:noProof/>
          <w:lang w:val="en-GB"/>
        </w:rPr>
        <w:t xml:space="preserve"> among </w:t>
      </w:r>
      <w:r w:rsidR="008C1208">
        <w:rPr>
          <w:rFonts w:cs="Times New Roman"/>
          <w:noProof/>
          <w:lang w:val="en-GB"/>
        </w:rPr>
        <w:t xml:space="preserve">the </w:t>
      </w:r>
      <w:r w:rsidR="008C1208" w:rsidRPr="007B08ED">
        <w:rPr>
          <w:rFonts w:cs="Times New Roman"/>
          <w:noProof/>
          <w:lang w:val="en-GB"/>
        </w:rPr>
        <w:t xml:space="preserve">long-term </w:t>
      </w:r>
      <w:r w:rsidR="008C1208" w:rsidRPr="00626261">
        <w:rPr>
          <w:rFonts w:cs="Times New Roman"/>
          <w:bCs/>
          <w:noProof/>
          <w:lang w:val="en-GB"/>
        </w:rPr>
        <w:t>policy objectives</w:t>
      </w:r>
      <w:r w:rsidR="008C1208" w:rsidRPr="007B08ED">
        <w:rPr>
          <w:rFonts w:cs="Times New Roman"/>
          <w:b/>
          <w:bCs/>
          <w:noProof/>
          <w:lang w:val="en-GB"/>
        </w:rPr>
        <w:t xml:space="preserve"> </w:t>
      </w:r>
      <w:r w:rsidR="008C1208" w:rsidRPr="007B08ED">
        <w:rPr>
          <w:rFonts w:cs="Times New Roman"/>
          <w:noProof/>
          <w:lang w:val="en-GB"/>
        </w:rPr>
        <w:t xml:space="preserve">of the </w:t>
      </w:r>
      <w:r w:rsidR="008C1208" w:rsidRPr="00626261">
        <w:rPr>
          <w:rFonts w:cs="Times New Roman"/>
          <w:iCs/>
          <w:noProof/>
          <w:lang w:val="en-GB"/>
        </w:rPr>
        <w:t>Eastern Partnership Policy beyond 2020</w:t>
      </w:r>
      <w:r>
        <w:rPr>
          <w:rFonts w:cs="Times New Roman"/>
          <w:iCs/>
          <w:noProof/>
          <w:lang w:val="en-GB"/>
        </w:rPr>
        <w:t>,</w:t>
      </w:r>
      <w:r w:rsidR="008C1208">
        <w:rPr>
          <w:rFonts w:cs="Times New Roman"/>
          <w:iCs/>
          <w:noProof/>
          <w:lang w:val="en-GB"/>
        </w:rPr>
        <w:t xml:space="preserve"> </w:t>
      </w:r>
      <w:r w:rsidR="008C1208" w:rsidRPr="008D2A8F">
        <w:rPr>
          <w:rFonts w:cs="Times New Roman"/>
          <w:iCs/>
          <w:noProof/>
          <w:lang w:val="en-GB"/>
        </w:rPr>
        <w:t>as outlined in the Joint Communication “Eastern</w:t>
      </w:r>
      <w:r w:rsidR="008C1208">
        <w:rPr>
          <w:rFonts w:cs="Times New Roman"/>
          <w:iCs/>
          <w:noProof/>
          <w:lang w:val="en-GB"/>
        </w:rPr>
        <w:t xml:space="preserve"> Partnership Policy beyond 2020</w:t>
      </w:r>
      <w:r w:rsidR="008C1208" w:rsidRPr="008D2A8F">
        <w:rPr>
          <w:rFonts w:cs="Times New Roman"/>
          <w:iCs/>
          <w:noProof/>
          <w:lang w:val="en-GB"/>
        </w:rPr>
        <w:t>: Reinforcing Resilience – an Eastern Par</w:t>
      </w:r>
      <w:r w:rsidR="008C1208">
        <w:rPr>
          <w:rFonts w:cs="Times New Roman"/>
          <w:iCs/>
          <w:noProof/>
          <w:lang w:val="en-GB"/>
        </w:rPr>
        <w:t>tnership that delivers for all”.</w:t>
      </w:r>
      <w:r w:rsidR="008C1208">
        <w:rPr>
          <w:rFonts w:cs="Times New Roman"/>
          <w:noProof/>
          <w:lang w:val="en-GB"/>
        </w:rPr>
        <w:t xml:space="preserve"> </w:t>
      </w:r>
      <w:r w:rsidR="0004192A" w:rsidRPr="007B08ED">
        <w:rPr>
          <w:rFonts w:cs="Times New Roman"/>
          <w:noProof/>
          <w:lang w:val="en-GB"/>
        </w:rPr>
        <w:t>This</w:t>
      </w:r>
      <w:r w:rsidR="0004192A">
        <w:rPr>
          <w:rFonts w:cs="Times New Roman"/>
          <w:noProof/>
          <w:lang w:val="en-GB"/>
        </w:rPr>
        <w:t xml:space="preserve"> post 2020</w:t>
      </w:r>
      <w:r w:rsidR="0004192A" w:rsidRPr="007B08ED">
        <w:rPr>
          <w:rFonts w:cs="Times New Roman"/>
          <w:noProof/>
          <w:lang w:val="en-GB"/>
        </w:rPr>
        <w:t xml:space="preserve"> agenda is structured under two pillars</w:t>
      </w:r>
      <w:r w:rsidR="0004192A">
        <w:rPr>
          <w:rFonts w:cs="Times New Roman"/>
          <w:noProof/>
          <w:lang w:val="en-GB"/>
        </w:rPr>
        <w:t>,</w:t>
      </w:r>
      <w:r w:rsidR="0004192A" w:rsidRPr="007B08ED">
        <w:rPr>
          <w:rFonts w:cs="Times New Roman"/>
          <w:noProof/>
          <w:lang w:val="en-GB"/>
        </w:rPr>
        <w:t xml:space="preserve"> Investment and Governance, </w:t>
      </w:r>
      <w:r w:rsidR="0004192A" w:rsidRPr="00146417">
        <w:rPr>
          <w:rFonts w:cs="Times New Roman"/>
          <w:noProof/>
          <w:lang w:val="en-GB"/>
        </w:rPr>
        <w:t xml:space="preserve">and proposes an </w:t>
      </w:r>
      <w:r w:rsidR="0004192A">
        <w:rPr>
          <w:rFonts w:cs="Times New Roman"/>
          <w:noProof/>
          <w:lang w:val="en-GB"/>
        </w:rPr>
        <w:t>E</w:t>
      </w:r>
      <w:r w:rsidR="0004192A" w:rsidRPr="00146417">
        <w:rPr>
          <w:rFonts w:cs="Times New Roman"/>
          <w:noProof/>
          <w:lang w:val="en-GB"/>
        </w:rPr>
        <w:t xml:space="preserve">conomic and </w:t>
      </w:r>
      <w:r w:rsidR="0004192A">
        <w:rPr>
          <w:rFonts w:cs="Times New Roman"/>
          <w:noProof/>
          <w:lang w:val="en-GB"/>
        </w:rPr>
        <w:t>I</w:t>
      </w:r>
      <w:r w:rsidR="0004192A" w:rsidRPr="00146417">
        <w:rPr>
          <w:rFonts w:cs="Times New Roman"/>
          <w:noProof/>
          <w:lang w:val="en-GB"/>
        </w:rPr>
        <w:t xml:space="preserve">nvestment </w:t>
      </w:r>
      <w:r w:rsidR="0004192A">
        <w:rPr>
          <w:rFonts w:cs="Times New Roman"/>
          <w:noProof/>
          <w:lang w:val="en-GB"/>
        </w:rPr>
        <w:t>P</w:t>
      </w:r>
      <w:r w:rsidR="0004192A" w:rsidRPr="00146417">
        <w:rPr>
          <w:rFonts w:cs="Times New Roman"/>
          <w:noProof/>
          <w:lang w:val="en-GB"/>
        </w:rPr>
        <w:t>lan to support the</w:t>
      </w:r>
      <w:r w:rsidR="0004192A">
        <w:rPr>
          <w:rFonts w:cs="Times New Roman"/>
          <w:noProof/>
          <w:lang w:val="en-GB"/>
        </w:rPr>
        <w:t xml:space="preserve"> socio-economic recovery of</w:t>
      </w:r>
      <w:r w:rsidR="0004192A" w:rsidRPr="00146417">
        <w:rPr>
          <w:rFonts w:cs="Times New Roman"/>
          <w:noProof/>
          <w:lang w:val="en-GB"/>
        </w:rPr>
        <w:t xml:space="preserve"> partner countries ‘building back better’ </w:t>
      </w:r>
      <w:r w:rsidR="0004192A">
        <w:rPr>
          <w:rFonts w:cs="Times New Roman"/>
          <w:noProof/>
          <w:lang w:val="en-GB"/>
        </w:rPr>
        <w:t>in</w:t>
      </w:r>
      <w:r w:rsidR="0004192A" w:rsidRPr="00146417">
        <w:rPr>
          <w:rFonts w:cs="Times New Roman"/>
          <w:noProof/>
          <w:lang w:val="en-GB"/>
        </w:rPr>
        <w:t xml:space="preserve"> pursui</w:t>
      </w:r>
      <w:r w:rsidR="0004192A">
        <w:rPr>
          <w:rFonts w:cs="Times New Roman"/>
          <w:noProof/>
          <w:lang w:val="en-GB"/>
        </w:rPr>
        <w:t>t of</w:t>
      </w:r>
      <w:r>
        <w:rPr>
          <w:rFonts w:cs="Times New Roman"/>
          <w:noProof/>
          <w:lang w:val="en-GB"/>
        </w:rPr>
        <w:t xml:space="preserve"> the</w:t>
      </w:r>
      <w:r w:rsidR="0004192A">
        <w:rPr>
          <w:rFonts w:cs="Times New Roman"/>
          <w:noProof/>
          <w:lang w:val="en-GB"/>
        </w:rPr>
        <w:t xml:space="preserve"> green and digital transition</w:t>
      </w:r>
      <w:r w:rsidR="0004192A" w:rsidRPr="00146417">
        <w:rPr>
          <w:rFonts w:cs="Times New Roman"/>
          <w:noProof/>
          <w:lang w:val="en-GB"/>
        </w:rPr>
        <w:t>.</w:t>
      </w:r>
      <w:r w:rsidR="0004192A">
        <w:rPr>
          <w:rFonts w:cs="Times New Roman"/>
          <w:noProof/>
          <w:lang w:val="en-GB"/>
        </w:rPr>
        <w:t xml:space="preserve"> </w:t>
      </w:r>
      <w:r w:rsidR="0004192A">
        <w:rPr>
          <w:rFonts w:cs="Times New Roman"/>
          <w:noProof/>
          <w:lang w:val="en-US"/>
        </w:rPr>
        <w:t xml:space="preserve">The </w:t>
      </w:r>
      <w:r w:rsidR="0004192A">
        <w:rPr>
          <w:rFonts w:cs="Times New Roman"/>
          <w:bCs/>
          <w:noProof/>
          <w:lang w:val="en-US"/>
        </w:rPr>
        <w:t>P</w:t>
      </w:r>
      <w:r w:rsidR="0004192A" w:rsidRPr="00145E6F">
        <w:rPr>
          <w:rFonts w:cs="Times New Roman"/>
          <w:bCs/>
          <w:noProof/>
          <w:lang w:val="en-US"/>
        </w:rPr>
        <w:t>lan</w:t>
      </w:r>
      <w:r w:rsidR="0004192A" w:rsidRPr="007B08ED">
        <w:rPr>
          <w:rFonts w:cs="Times New Roman"/>
          <w:noProof/>
          <w:lang w:val="en-US"/>
        </w:rPr>
        <w:t xml:space="preserve"> will include significant investments in transport</w:t>
      </w:r>
      <w:r w:rsidR="0004192A">
        <w:rPr>
          <w:rFonts w:cs="Times New Roman"/>
          <w:noProof/>
          <w:lang w:val="en-US"/>
        </w:rPr>
        <w:t xml:space="preserve"> (</w:t>
      </w:r>
      <w:r w:rsidR="0004192A" w:rsidRPr="00146417">
        <w:rPr>
          <w:rFonts w:cs="Times New Roman"/>
          <w:noProof/>
          <w:lang w:val="en-US"/>
        </w:rPr>
        <w:t>up to</w:t>
      </w:r>
      <w:r w:rsidR="0004192A">
        <w:rPr>
          <w:rFonts w:cs="Times New Roman"/>
          <w:noProof/>
          <w:lang w:val="en-US"/>
        </w:rPr>
        <w:t xml:space="preserve"> EUR</w:t>
      </w:r>
      <w:r w:rsidR="0004192A" w:rsidRPr="00146417">
        <w:rPr>
          <w:rFonts w:cs="Times New Roman"/>
          <w:noProof/>
          <w:lang w:val="en-US"/>
        </w:rPr>
        <w:t xml:space="preserve"> 4.5 billion</w:t>
      </w:r>
      <w:r w:rsidR="0004192A">
        <w:rPr>
          <w:rFonts w:cs="Times New Roman"/>
          <w:noProof/>
          <w:lang w:val="en-US"/>
        </w:rPr>
        <w:t>), including projects located on the extended TEN-T.</w:t>
      </w:r>
    </w:p>
    <w:p w:rsidR="00CE79E1" w:rsidRDefault="004F0CDD" w:rsidP="00CE79E1">
      <w:pPr>
        <w:pStyle w:val="wordcount"/>
        <w:spacing w:after="60"/>
        <w:jc w:val="both"/>
        <w:rPr>
          <w:rFonts w:cs="Times New Roman"/>
          <w:noProof/>
          <w:lang w:val="en-GB"/>
        </w:rPr>
      </w:pPr>
      <w:r>
        <w:rPr>
          <w:rFonts w:eastAsiaTheme="minorHAnsi" w:cs="Times New Roman"/>
          <w:noProof/>
          <w:color w:val="auto"/>
          <w:szCs w:val="22"/>
          <w:lang w:val="en-GB" w:eastAsia="en-US"/>
        </w:rPr>
        <w:t xml:space="preserve">The </w:t>
      </w:r>
      <w:r>
        <w:rPr>
          <w:rFonts w:cs="Times New Roman"/>
          <w:noProof/>
          <w:lang w:val="en-GB"/>
        </w:rPr>
        <w:t>E</w:t>
      </w:r>
      <w:r w:rsidRPr="00146417">
        <w:rPr>
          <w:rFonts w:cs="Times New Roman"/>
          <w:noProof/>
          <w:lang w:val="en-GB"/>
        </w:rPr>
        <w:t xml:space="preserve">conomic and </w:t>
      </w:r>
      <w:r>
        <w:rPr>
          <w:rFonts w:cs="Times New Roman"/>
          <w:noProof/>
          <w:lang w:val="en-GB"/>
        </w:rPr>
        <w:t>I</w:t>
      </w:r>
      <w:r w:rsidRPr="00146417">
        <w:rPr>
          <w:rFonts w:cs="Times New Roman"/>
          <w:noProof/>
          <w:lang w:val="en-GB"/>
        </w:rPr>
        <w:t xml:space="preserve">nvestment </w:t>
      </w:r>
      <w:r>
        <w:rPr>
          <w:rFonts w:cs="Times New Roman"/>
          <w:noProof/>
          <w:lang w:val="en-GB"/>
        </w:rPr>
        <w:t>P</w:t>
      </w:r>
      <w:r w:rsidRPr="00146417">
        <w:rPr>
          <w:rFonts w:cs="Times New Roman"/>
          <w:noProof/>
          <w:lang w:val="en-GB"/>
        </w:rPr>
        <w:t>lan</w:t>
      </w:r>
      <w:r>
        <w:rPr>
          <w:rFonts w:cs="Times New Roman"/>
          <w:noProof/>
          <w:lang w:val="en-GB"/>
        </w:rPr>
        <w:t xml:space="preserve"> and</w:t>
      </w:r>
      <w:r>
        <w:rPr>
          <w:rFonts w:eastAsiaTheme="minorHAnsi" w:cs="Times New Roman"/>
          <w:noProof/>
          <w:color w:val="auto"/>
          <w:szCs w:val="22"/>
          <w:lang w:val="en-GB" w:eastAsia="en-US"/>
        </w:rPr>
        <w:t xml:space="preserve"> the </w:t>
      </w:r>
      <w:r w:rsidR="00D82C3C" w:rsidRPr="00AA1AFD">
        <w:rPr>
          <w:rFonts w:cs="Times New Roman"/>
          <w:noProof/>
          <w:lang w:val="en-GB"/>
        </w:rPr>
        <w:t>Indicative T</w:t>
      </w:r>
      <w:r w:rsidR="00D82C3C" w:rsidRPr="00D238DA">
        <w:rPr>
          <w:rFonts w:cs="Times New Roman"/>
          <w:noProof/>
          <w:lang w:val="en-GB"/>
        </w:rPr>
        <w:t xml:space="preserve">EN-T Investment Action Plan for the EaP </w:t>
      </w:r>
      <w:r w:rsidR="00D82C3C">
        <w:rPr>
          <w:rFonts w:cs="Times New Roman"/>
          <w:noProof/>
          <w:lang w:val="en-GB"/>
        </w:rPr>
        <w:t xml:space="preserve">will be instrumental in tackling the numerous challenges </w:t>
      </w:r>
      <w:r w:rsidR="004E3952">
        <w:rPr>
          <w:rFonts w:cs="Times New Roman"/>
          <w:noProof/>
          <w:lang w:val="en-GB"/>
        </w:rPr>
        <w:t>of</w:t>
      </w:r>
      <w:r w:rsidR="00D82C3C">
        <w:rPr>
          <w:rFonts w:cs="Times New Roman"/>
          <w:noProof/>
          <w:lang w:val="en-GB"/>
        </w:rPr>
        <w:t xml:space="preserve"> realising an interoperable network at standard with the TEN-T requirements. </w:t>
      </w:r>
      <w:r w:rsidR="004E3952">
        <w:rPr>
          <w:rFonts w:cs="Times New Roman"/>
          <w:noProof/>
          <w:lang w:val="en-GB"/>
        </w:rPr>
        <w:t>Both</w:t>
      </w:r>
      <w:r w:rsidR="00D82C3C">
        <w:rPr>
          <w:rFonts w:cs="Times New Roman"/>
          <w:noProof/>
          <w:lang w:val="en-GB"/>
        </w:rPr>
        <w:t xml:space="preserve"> the road and rail </w:t>
      </w:r>
      <w:r w:rsidR="00D82C3C" w:rsidRPr="00D82C3C">
        <w:rPr>
          <w:rFonts w:cs="Times New Roman"/>
          <w:noProof/>
          <w:lang w:val="en-GB"/>
        </w:rPr>
        <w:t xml:space="preserve">connections between the </w:t>
      </w:r>
      <w:r w:rsidR="00F44742">
        <w:rPr>
          <w:rFonts w:cs="Times New Roman"/>
          <w:noProof/>
          <w:lang w:val="en-GB"/>
        </w:rPr>
        <w:t>Union</w:t>
      </w:r>
      <w:r w:rsidR="00AE4E82">
        <w:rPr>
          <w:rFonts w:cs="Times New Roman"/>
          <w:noProof/>
          <w:lang w:val="en-GB"/>
        </w:rPr>
        <w:t xml:space="preserve"> </w:t>
      </w:r>
      <w:r w:rsidR="00D82C3C" w:rsidRPr="00D82C3C">
        <w:rPr>
          <w:rFonts w:cs="Times New Roman"/>
          <w:noProof/>
          <w:lang w:val="en-GB"/>
        </w:rPr>
        <w:t xml:space="preserve">and EaP partners remain </w:t>
      </w:r>
      <w:r w:rsidR="00334D1F">
        <w:rPr>
          <w:rFonts w:cs="Times New Roman"/>
          <w:noProof/>
          <w:lang w:val="en-GB"/>
        </w:rPr>
        <w:t>insufficient</w:t>
      </w:r>
      <w:r w:rsidR="009321A0">
        <w:rPr>
          <w:rFonts w:cs="Times New Roman"/>
          <w:noProof/>
          <w:lang w:val="en-GB"/>
        </w:rPr>
        <w:t xml:space="preserve"> and under-developed</w:t>
      </w:r>
      <w:r w:rsidR="00D82C3C">
        <w:rPr>
          <w:rFonts w:cs="Times New Roman"/>
          <w:noProof/>
          <w:lang w:val="en-GB"/>
        </w:rPr>
        <w:t>, with several missing links at border crossings</w:t>
      </w:r>
      <w:r w:rsidR="00D82C3C" w:rsidRPr="00D82C3C">
        <w:rPr>
          <w:rFonts w:cs="Times New Roman"/>
          <w:noProof/>
          <w:lang w:val="en-GB"/>
        </w:rPr>
        <w:t xml:space="preserve">. </w:t>
      </w:r>
      <w:r w:rsidR="00D82C3C">
        <w:rPr>
          <w:rFonts w:cs="Times New Roman"/>
          <w:noProof/>
          <w:lang w:val="en-GB"/>
        </w:rPr>
        <w:t>The road infrastructure is of poor standard</w:t>
      </w:r>
      <w:r w:rsidR="00326A7E">
        <w:rPr>
          <w:rFonts w:cs="Times New Roman"/>
          <w:noProof/>
          <w:lang w:val="en-GB"/>
        </w:rPr>
        <w:t>,</w:t>
      </w:r>
      <w:r w:rsidR="00D82C3C">
        <w:rPr>
          <w:rFonts w:cs="Times New Roman"/>
          <w:noProof/>
          <w:lang w:val="en-GB"/>
        </w:rPr>
        <w:t xml:space="preserve"> both in terms of</w:t>
      </w:r>
      <w:r w:rsidR="004E3952">
        <w:rPr>
          <w:rFonts w:cs="Times New Roman"/>
          <w:noProof/>
          <w:lang w:val="en-GB"/>
        </w:rPr>
        <w:t xml:space="preserve"> quality,</w:t>
      </w:r>
      <w:r w:rsidR="00D82C3C">
        <w:rPr>
          <w:rFonts w:cs="Times New Roman"/>
          <w:noProof/>
          <w:lang w:val="en-GB"/>
        </w:rPr>
        <w:t xml:space="preserve"> capacity and safety. The rail network infrastructure and rolling stock are in several cases obsolete </w:t>
      </w:r>
      <w:r w:rsidR="00D82C3C" w:rsidRPr="00D82C3C">
        <w:rPr>
          <w:rFonts w:cs="Times New Roman"/>
          <w:noProof/>
          <w:lang w:val="en-GB"/>
        </w:rPr>
        <w:t>with respect to</w:t>
      </w:r>
      <w:r w:rsidR="00D82C3C">
        <w:rPr>
          <w:rFonts w:cs="Times New Roman"/>
          <w:noProof/>
          <w:lang w:val="en-GB"/>
        </w:rPr>
        <w:t xml:space="preserve"> quality,</w:t>
      </w:r>
      <w:r w:rsidR="00D82C3C" w:rsidRPr="00D82C3C">
        <w:rPr>
          <w:rFonts w:cs="Times New Roman"/>
          <w:noProof/>
          <w:lang w:val="en-GB"/>
        </w:rPr>
        <w:t xml:space="preserve"> capacity and safety standards.</w:t>
      </w:r>
      <w:r w:rsidR="00D82C3C">
        <w:rPr>
          <w:rFonts w:cs="Times New Roman"/>
          <w:noProof/>
          <w:lang w:val="en-GB"/>
        </w:rPr>
        <w:t xml:space="preserve"> Moreover, </w:t>
      </w:r>
      <w:r w:rsidR="00D82C3C" w:rsidRPr="00D82C3C">
        <w:rPr>
          <w:rFonts w:cs="Times New Roman"/>
          <w:noProof/>
          <w:lang w:val="en-GB"/>
        </w:rPr>
        <w:t>the</w:t>
      </w:r>
      <w:r w:rsidR="00D82C3C">
        <w:rPr>
          <w:rFonts w:cs="Times New Roman"/>
          <w:noProof/>
          <w:lang w:val="en-GB"/>
        </w:rPr>
        <w:t xml:space="preserve"> integration of </w:t>
      </w:r>
      <w:r w:rsidR="00D66BEC">
        <w:rPr>
          <w:rFonts w:cs="Times New Roman"/>
          <w:noProof/>
          <w:lang w:val="en-GB"/>
        </w:rPr>
        <w:t>the EaP rail</w:t>
      </w:r>
      <w:r w:rsidR="0032327E">
        <w:rPr>
          <w:rFonts w:cs="Times New Roman"/>
          <w:noProof/>
          <w:lang w:val="en-GB"/>
        </w:rPr>
        <w:t xml:space="preserve"> </w:t>
      </w:r>
      <w:r w:rsidR="00D66BEC">
        <w:rPr>
          <w:rFonts w:cs="Times New Roman"/>
          <w:noProof/>
          <w:lang w:val="en-GB"/>
        </w:rPr>
        <w:t>network with that of the Union faces the challenge that the</w:t>
      </w:r>
      <w:r w:rsidR="00D82C3C" w:rsidRPr="00D82C3C">
        <w:rPr>
          <w:rFonts w:cs="Times New Roman"/>
          <w:noProof/>
          <w:lang w:val="en-GB"/>
        </w:rPr>
        <w:t xml:space="preserve"> network </w:t>
      </w:r>
      <w:r w:rsidR="00D66BEC">
        <w:rPr>
          <w:rFonts w:cs="Times New Roman"/>
          <w:noProof/>
          <w:lang w:val="en-GB"/>
        </w:rPr>
        <w:t xml:space="preserve">in the EaP </w:t>
      </w:r>
      <w:r w:rsidR="003C3A96">
        <w:rPr>
          <w:rFonts w:cs="Times New Roman"/>
          <w:noProof/>
          <w:lang w:val="en-GB"/>
        </w:rPr>
        <w:t>i</w:t>
      </w:r>
      <w:r w:rsidR="00D66BEC">
        <w:rPr>
          <w:rFonts w:cs="Times New Roman"/>
          <w:noProof/>
          <w:lang w:val="en-GB"/>
        </w:rPr>
        <w:t>s</w:t>
      </w:r>
      <w:r w:rsidR="003C3A96">
        <w:rPr>
          <w:rFonts w:cs="Times New Roman"/>
          <w:noProof/>
          <w:lang w:val="en-GB"/>
        </w:rPr>
        <w:t xml:space="preserve"> equipped with</w:t>
      </w:r>
      <w:r w:rsidR="00D82C3C" w:rsidRPr="00D82C3C">
        <w:rPr>
          <w:rFonts w:cs="Times New Roman"/>
          <w:noProof/>
          <w:lang w:val="en-GB"/>
        </w:rPr>
        <w:t xml:space="preserve"> </w:t>
      </w:r>
      <w:r w:rsidR="00D66BEC">
        <w:rPr>
          <w:rFonts w:cs="Times New Roman"/>
          <w:noProof/>
          <w:lang w:val="en-GB"/>
        </w:rPr>
        <w:t>the 1520 mm</w:t>
      </w:r>
      <w:r w:rsidR="00D82C3C" w:rsidRPr="00D82C3C">
        <w:rPr>
          <w:rFonts w:cs="Times New Roman"/>
          <w:noProof/>
          <w:lang w:val="en-GB"/>
        </w:rPr>
        <w:t xml:space="preserve"> </w:t>
      </w:r>
      <w:r w:rsidR="00D66BEC">
        <w:rPr>
          <w:rFonts w:cs="Times New Roman"/>
          <w:noProof/>
          <w:lang w:val="en-GB"/>
        </w:rPr>
        <w:t xml:space="preserve">rail track </w:t>
      </w:r>
      <w:r w:rsidR="00D82C3C" w:rsidRPr="00D82C3C">
        <w:rPr>
          <w:rFonts w:cs="Times New Roman"/>
          <w:noProof/>
          <w:lang w:val="en-GB"/>
        </w:rPr>
        <w:t>gau</w:t>
      </w:r>
      <w:r w:rsidR="00D66BEC">
        <w:rPr>
          <w:rFonts w:cs="Times New Roman"/>
          <w:noProof/>
          <w:lang w:val="en-GB"/>
        </w:rPr>
        <w:t>ge</w:t>
      </w:r>
      <w:r w:rsidR="00D82C3C" w:rsidRPr="00D82C3C">
        <w:rPr>
          <w:rFonts w:cs="Times New Roman"/>
          <w:noProof/>
          <w:lang w:val="en-GB"/>
        </w:rPr>
        <w:t>,</w:t>
      </w:r>
      <w:r w:rsidR="00D66BEC">
        <w:rPr>
          <w:rFonts w:cs="Times New Roman"/>
          <w:noProof/>
          <w:lang w:val="en-GB"/>
        </w:rPr>
        <w:t xml:space="preserve"> whereas the Union standard gauge is 1435 mm</w:t>
      </w:r>
      <w:r w:rsidR="00D82C3C" w:rsidRPr="00D82C3C">
        <w:rPr>
          <w:rFonts w:cs="Times New Roman"/>
          <w:noProof/>
          <w:lang w:val="en-GB"/>
        </w:rPr>
        <w:t>. This increases the complexity of</w:t>
      </w:r>
      <w:r w:rsidR="00326A7E">
        <w:rPr>
          <w:rFonts w:cs="Times New Roman"/>
          <w:noProof/>
          <w:lang w:val="en-GB"/>
        </w:rPr>
        <w:t xml:space="preserve"> </w:t>
      </w:r>
      <w:r w:rsidR="00D66BEC">
        <w:rPr>
          <w:rFonts w:cs="Times New Roman"/>
          <w:noProof/>
          <w:lang w:val="en-GB"/>
        </w:rPr>
        <w:t>realising an interoperable cross-border network and</w:t>
      </w:r>
      <w:r w:rsidR="00D82C3C" w:rsidRPr="00D82C3C">
        <w:rPr>
          <w:rFonts w:cs="Times New Roman"/>
          <w:noProof/>
          <w:lang w:val="en-GB"/>
        </w:rPr>
        <w:t xml:space="preserve"> w</w:t>
      </w:r>
      <w:r w:rsidR="00D66BEC">
        <w:rPr>
          <w:rFonts w:cs="Times New Roman"/>
          <w:noProof/>
          <w:lang w:val="en-GB"/>
        </w:rPr>
        <w:t>ill</w:t>
      </w:r>
      <w:r w:rsidR="00D82C3C" w:rsidRPr="00D82C3C">
        <w:rPr>
          <w:rFonts w:cs="Times New Roman"/>
          <w:noProof/>
          <w:lang w:val="en-GB"/>
        </w:rPr>
        <w:t xml:space="preserve"> require the development of advanced technical solutions.</w:t>
      </w:r>
    </w:p>
    <w:p w:rsidR="00CE79E1" w:rsidRDefault="00CE79E1" w:rsidP="00CE79E1">
      <w:pPr>
        <w:pStyle w:val="wordcount"/>
        <w:spacing w:after="60"/>
        <w:jc w:val="both"/>
        <w:rPr>
          <w:rFonts w:cs="Times New Roman"/>
          <w:noProof/>
          <w:lang w:val="en-GB"/>
        </w:rPr>
      </w:pPr>
    </w:p>
    <w:p w:rsidR="00CE79E1" w:rsidRPr="00CE79E1" w:rsidRDefault="00CE79E1" w:rsidP="00CE79E1">
      <w:pPr>
        <w:pStyle w:val="wordcount"/>
        <w:spacing w:after="60"/>
        <w:jc w:val="both"/>
        <w:rPr>
          <w:rFonts w:cs="Times New Roman"/>
          <w:noProof/>
          <w:lang w:val="en-GB"/>
        </w:rPr>
      </w:pPr>
      <w:r>
        <w:rPr>
          <w:rFonts w:eastAsiaTheme="minorHAnsi" w:cs="Times New Roman"/>
          <w:noProof/>
          <w:color w:val="auto"/>
          <w:szCs w:val="22"/>
          <w:lang w:val="en-GB" w:eastAsia="en-US"/>
        </w:rPr>
        <w:t>To address these challenges, the EaP</w:t>
      </w:r>
      <w:r w:rsidRPr="00AA1AFD">
        <w:rPr>
          <w:rFonts w:eastAsiaTheme="minorHAnsi" w:cs="Times New Roman"/>
          <w:noProof/>
          <w:color w:val="auto"/>
          <w:szCs w:val="22"/>
          <w:lang w:val="en-GB" w:eastAsia="en-US"/>
        </w:rPr>
        <w:t xml:space="preserve"> should continue building a pipeline of TEN-T projects and bring the projects to maturity in view of </w:t>
      </w:r>
      <w:r w:rsidR="00334D1F">
        <w:rPr>
          <w:rFonts w:eastAsiaTheme="minorHAnsi" w:cs="Times New Roman"/>
          <w:noProof/>
          <w:color w:val="auto"/>
          <w:szCs w:val="22"/>
          <w:lang w:val="en-GB" w:eastAsia="en-US"/>
        </w:rPr>
        <w:t>meeting</w:t>
      </w:r>
      <w:r w:rsidR="00334D1F" w:rsidRPr="00AA1AFD">
        <w:rPr>
          <w:rFonts w:eastAsiaTheme="minorHAnsi" w:cs="Times New Roman"/>
          <w:noProof/>
          <w:color w:val="auto"/>
          <w:szCs w:val="22"/>
          <w:lang w:val="en-GB" w:eastAsia="en-US"/>
        </w:rPr>
        <w:t xml:space="preserve"> </w:t>
      </w:r>
      <w:r w:rsidRPr="00AA1AFD">
        <w:rPr>
          <w:rFonts w:eastAsiaTheme="minorHAnsi" w:cs="Times New Roman"/>
          <w:noProof/>
          <w:color w:val="auto"/>
          <w:szCs w:val="22"/>
          <w:lang w:val="en-GB" w:eastAsia="en-US"/>
        </w:rPr>
        <w:t xml:space="preserve">the conditions for funding and financing. The </w:t>
      </w:r>
      <w:r>
        <w:rPr>
          <w:rFonts w:eastAsiaTheme="minorHAnsi" w:cs="Times New Roman"/>
          <w:noProof/>
          <w:color w:val="auto"/>
          <w:szCs w:val="22"/>
          <w:lang w:val="en-GB" w:eastAsia="en-US"/>
        </w:rPr>
        <w:t>EaP</w:t>
      </w:r>
      <w:r w:rsidRPr="00AA1AFD">
        <w:rPr>
          <w:rFonts w:eastAsiaTheme="minorHAnsi" w:cs="Times New Roman"/>
          <w:noProof/>
          <w:color w:val="auto"/>
          <w:szCs w:val="22"/>
          <w:lang w:val="en-GB" w:eastAsia="en-US"/>
        </w:rPr>
        <w:t xml:space="preserve"> should focus on projects located on the indicative TEN-T core network</w:t>
      </w:r>
      <w:r>
        <w:rPr>
          <w:rFonts w:eastAsiaTheme="minorHAnsi" w:cs="Times New Roman"/>
          <w:noProof/>
          <w:color w:val="auto"/>
          <w:szCs w:val="22"/>
          <w:lang w:val="en-GB" w:eastAsia="en-US"/>
        </w:rPr>
        <w:t xml:space="preserve"> and</w:t>
      </w:r>
      <w:r w:rsidRPr="00AA1AFD">
        <w:rPr>
          <w:rFonts w:eastAsiaTheme="minorHAnsi" w:cs="Times New Roman"/>
          <w:noProof/>
          <w:color w:val="auto"/>
          <w:szCs w:val="22"/>
          <w:lang w:val="en-GB" w:eastAsia="en-US"/>
        </w:rPr>
        <w:t xml:space="preserve">, in particular, </w:t>
      </w:r>
      <w:r>
        <w:rPr>
          <w:rFonts w:eastAsiaTheme="minorHAnsi" w:cs="Times New Roman"/>
          <w:noProof/>
          <w:color w:val="auto"/>
          <w:szCs w:val="22"/>
          <w:lang w:val="en-GB" w:eastAsia="en-US"/>
        </w:rPr>
        <w:t xml:space="preserve">cross-border </w:t>
      </w:r>
      <w:r w:rsidRPr="00AA1AFD">
        <w:rPr>
          <w:rFonts w:eastAsiaTheme="minorHAnsi" w:cs="Times New Roman"/>
          <w:noProof/>
          <w:color w:val="auto"/>
          <w:szCs w:val="22"/>
          <w:lang w:val="en-GB" w:eastAsia="en-US"/>
        </w:rPr>
        <w:t>projects</w:t>
      </w:r>
      <w:r>
        <w:rPr>
          <w:rFonts w:eastAsiaTheme="minorHAnsi" w:cs="Times New Roman"/>
          <w:noProof/>
          <w:color w:val="auto"/>
          <w:szCs w:val="22"/>
          <w:lang w:val="en-GB" w:eastAsia="en-US"/>
        </w:rPr>
        <w:t xml:space="preserve"> with the Union.</w:t>
      </w:r>
      <w:r w:rsidRPr="00AA1AFD">
        <w:rPr>
          <w:rFonts w:eastAsiaTheme="minorHAnsi" w:cs="Times New Roman"/>
          <w:noProof/>
          <w:color w:val="auto"/>
          <w:szCs w:val="22"/>
          <w:lang w:val="en-GB" w:eastAsia="en-US"/>
        </w:rPr>
        <w:t xml:space="preserve"> </w:t>
      </w:r>
    </w:p>
    <w:p w:rsidR="00CE79E1" w:rsidRDefault="009958F8" w:rsidP="00CE79E1">
      <w:pPr>
        <w:pStyle w:val="wordcount"/>
        <w:spacing w:before="240" w:after="60"/>
        <w:jc w:val="both"/>
        <w:rPr>
          <w:rFonts w:eastAsiaTheme="minorHAnsi" w:cs="Times New Roman"/>
          <w:noProof/>
          <w:color w:val="auto"/>
          <w:szCs w:val="22"/>
          <w:lang w:val="en-GB" w:eastAsia="en-US"/>
        </w:rPr>
      </w:pPr>
      <w:r>
        <w:rPr>
          <w:rFonts w:eastAsiaTheme="minorHAnsi" w:cs="Times New Roman"/>
          <w:noProof/>
          <w:color w:val="auto"/>
          <w:szCs w:val="22"/>
          <w:lang w:val="en-GB" w:eastAsia="en-US"/>
        </w:rPr>
        <w:t>T</w:t>
      </w:r>
      <w:r w:rsidR="00CE79E1" w:rsidRPr="00AA1AFD">
        <w:rPr>
          <w:rFonts w:eastAsiaTheme="minorHAnsi" w:cs="Times New Roman"/>
          <w:noProof/>
          <w:color w:val="auto"/>
          <w:szCs w:val="22"/>
          <w:lang w:val="en-GB" w:eastAsia="en-US"/>
        </w:rPr>
        <w:t xml:space="preserve">he Union </w:t>
      </w:r>
      <w:r w:rsidR="00F44742">
        <w:rPr>
          <w:rFonts w:eastAsiaTheme="minorHAnsi" w:cs="Times New Roman"/>
          <w:noProof/>
          <w:color w:val="auto"/>
          <w:szCs w:val="22"/>
          <w:lang w:val="en-GB" w:eastAsia="en-US"/>
        </w:rPr>
        <w:t>should</w:t>
      </w:r>
      <w:r w:rsidR="00F44742" w:rsidRPr="00AA1AFD">
        <w:rPr>
          <w:rFonts w:eastAsiaTheme="minorHAnsi" w:cs="Times New Roman"/>
          <w:noProof/>
          <w:color w:val="auto"/>
          <w:szCs w:val="22"/>
          <w:lang w:val="en-GB" w:eastAsia="en-US"/>
        </w:rPr>
        <w:t xml:space="preserve"> </w:t>
      </w:r>
      <w:r w:rsidR="00CE79E1" w:rsidRPr="00AA1AFD">
        <w:rPr>
          <w:rFonts w:eastAsiaTheme="minorHAnsi" w:cs="Times New Roman"/>
          <w:noProof/>
          <w:color w:val="auto"/>
          <w:szCs w:val="22"/>
          <w:lang w:val="en-GB" w:eastAsia="en-US"/>
        </w:rPr>
        <w:t xml:space="preserve">seek to </w:t>
      </w:r>
      <w:r w:rsidR="000D34DB">
        <w:rPr>
          <w:rFonts w:eastAsiaTheme="minorHAnsi" w:cs="Times New Roman"/>
          <w:noProof/>
          <w:color w:val="auto"/>
          <w:szCs w:val="22"/>
          <w:lang w:val="en-GB" w:eastAsia="en-US"/>
        </w:rPr>
        <w:t>accelerate</w:t>
      </w:r>
      <w:r w:rsidR="00CE79E1" w:rsidRPr="00AA1AFD">
        <w:rPr>
          <w:rFonts w:eastAsiaTheme="minorHAnsi" w:cs="Times New Roman"/>
          <w:noProof/>
          <w:color w:val="auto"/>
          <w:szCs w:val="22"/>
          <w:lang w:val="en-GB" w:eastAsia="en-US"/>
        </w:rPr>
        <w:t xml:space="preserve"> the construction of new transport infrastructure, bridging missing links, in particular </w:t>
      </w:r>
      <w:r w:rsidR="00CE79E1">
        <w:rPr>
          <w:rFonts w:eastAsiaTheme="minorHAnsi" w:cs="Times New Roman"/>
          <w:noProof/>
          <w:color w:val="auto"/>
          <w:szCs w:val="22"/>
          <w:lang w:val="en-GB" w:eastAsia="en-US"/>
        </w:rPr>
        <w:t>cross-</w:t>
      </w:r>
      <w:r w:rsidR="00CE79E1" w:rsidRPr="00AA1AFD">
        <w:rPr>
          <w:rFonts w:eastAsiaTheme="minorHAnsi" w:cs="Times New Roman"/>
          <w:noProof/>
          <w:color w:val="auto"/>
          <w:szCs w:val="22"/>
          <w:lang w:val="en-GB" w:eastAsia="en-US"/>
        </w:rPr>
        <w:t xml:space="preserve">border </w:t>
      </w:r>
      <w:r w:rsidR="00CE79E1">
        <w:rPr>
          <w:rFonts w:eastAsiaTheme="minorHAnsi" w:cs="Times New Roman"/>
          <w:noProof/>
          <w:color w:val="auto"/>
          <w:szCs w:val="22"/>
          <w:lang w:val="en-GB" w:eastAsia="en-US"/>
        </w:rPr>
        <w:t>project</w:t>
      </w:r>
      <w:r w:rsidR="00CE79E1" w:rsidRPr="00AA1AFD">
        <w:rPr>
          <w:rFonts w:eastAsiaTheme="minorHAnsi" w:cs="Times New Roman"/>
          <w:noProof/>
          <w:color w:val="auto"/>
          <w:szCs w:val="22"/>
          <w:lang w:val="en-GB" w:eastAsia="en-US"/>
        </w:rPr>
        <w:t>s</w:t>
      </w:r>
      <w:r w:rsidR="009908E9">
        <w:rPr>
          <w:rFonts w:eastAsiaTheme="minorHAnsi" w:cs="Times New Roman"/>
          <w:noProof/>
          <w:color w:val="auto"/>
          <w:szCs w:val="22"/>
          <w:lang w:val="en-GB" w:eastAsia="en-US"/>
        </w:rPr>
        <w:t xml:space="preserve"> and multimodal connections that include also maritime transport</w:t>
      </w:r>
      <w:r w:rsidR="00CE79E1" w:rsidRPr="00AA1AFD">
        <w:rPr>
          <w:rFonts w:eastAsiaTheme="minorHAnsi" w:cs="Times New Roman"/>
          <w:noProof/>
          <w:color w:val="auto"/>
          <w:szCs w:val="22"/>
          <w:lang w:val="en-GB" w:eastAsia="en-US"/>
        </w:rPr>
        <w:t>, and, where appropriate,</w:t>
      </w:r>
      <w:r w:rsidR="00CE79E1">
        <w:rPr>
          <w:rFonts w:eastAsiaTheme="minorHAnsi" w:cs="Times New Roman"/>
          <w:noProof/>
          <w:color w:val="auto"/>
          <w:szCs w:val="22"/>
          <w:lang w:val="en-GB" w:eastAsia="en-US"/>
        </w:rPr>
        <w:t xml:space="preserve"> to</w:t>
      </w:r>
      <w:r w:rsidR="00CE79E1" w:rsidRPr="00AA1AFD">
        <w:rPr>
          <w:rFonts w:eastAsiaTheme="minorHAnsi" w:cs="Times New Roman"/>
          <w:noProof/>
          <w:color w:val="auto"/>
          <w:szCs w:val="22"/>
          <w:lang w:val="en-GB" w:eastAsia="en-US"/>
        </w:rPr>
        <w:t xml:space="preserve"> upgrade the existing infrastructure </w:t>
      </w:r>
      <w:r w:rsidR="000D34DB">
        <w:rPr>
          <w:rFonts w:eastAsiaTheme="minorHAnsi" w:cs="Times New Roman"/>
          <w:noProof/>
          <w:color w:val="auto"/>
          <w:szCs w:val="22"/>
          <w:lang w:val="en-GB" w:eastAsia="en-US"/>
        </w:rPr>
        <w:t xml:space="preserve">and </w:t>
      </w:r>
      <w:r w:rsidR="00CE79E1" w:rsidRPr="00AA1AFD">
        <w:rPr>
          <w:rFonts w:eastAsiaTheme="minorHAnsi" w:cs="Times New Roman"/>
          <w:noProof/>
          <w:color w:val="auto"/>
          <w:szCs w:val="22"/>
          <w:lang w:val="en-GB" w:eastAsia="en-US"/>
        </w:rPr>
        <w:t>bring it up to standard with the TEN-T requirements.</w:t>
      </w:r>
      <w:r w:rsidR="005231AF">
        <w:rPr>
          <w:rFonts w:eastAsiaTheme="minorHAnsi" w:cs="Times New Roman"/>
          <w:noProof/>
          <w:color w:val="auto"/>
          <w:szCs w:val="22"/>
          <w:lang w:val="en-GB" w:eastAsia="en-US"/>
        </w:rPr>
        <w:t xml:space="preserve"> The Union </w:t>
      </w:r>
      <w:r w:rsidR="00F44742">
        <w:rPr>
          <w:rFonts w:eastAsiaTheme="minorHAnsi" w:cs="Times New Roman"/>
          <w:noProof/>
          <w:color w:val="auto"/>
          <w:szCs w:val="22"/>
          <w:lang w:val="en-GB" w:eastAsia="en-US"/>
        </w:rPr>
        <w:t xml:space="preserve">should </w:t>
      </w:r>
      <w:r w:rsidR="005231AF">
        <w:rPr>
          <w:rFonts w:eastAsiaTheme="minorHAnsi" w:cs="Times New Roman"/>
          <w:noProof/>
          <w:color w:val="auto"/>
          <w:szCs w:val="22"/>
          <w:lang w:val="en-GB" w:eastAsia="en-US"/>
        </w:rPr>
        <w:t>support</w:t>
      </w:r>
      <w:r w:rsidR="00CE79E1">
        <w:rPr>
          <w:rFonts w:eastAsiaTheme="minorHAnsi" w:cs="Times New Roman"/>
          <w:noProof/>
          <w:color w:val="auto"/>
          <w:szCs w:val="22"/>
          <w:lang w:val="en-GB" w:eastAsia="en-US"/>
        </w:rPr>
        <w:t xml:space="preserve"> </w:t>
      </w:r>
      <w:r w:rsidR="005231AF" w:rsidRPr="005231AF">
        <w:rPr>
          <w:rFonts w:eastAsiaTheme="minorHAnsi" w:cs="Times New Roman"/>
          <w:noProof/>
          <w:color w:val="auto"/>
          <w:szCs w:val="22"/>
          <w:lang w:val="en-GB" w:eastAsia="en-US"/>
        </w:rPr>
        <w:t>the development of innovative infrastructure solutions</w:t>
      </w:r>
      <w:r w:rsidR="000D34DB">
        <w:rPr>
          <w:rFonts w:eastAsiaTheme="minorHAnsi" w:cs="Times New Roman"/>
          <w:noProof/>
          <w:color w:val="auto"/>
          <w:szCs w:val="22"/>
          <w:lang w:val="en-GB" w:eastAsia="en-US"/>
        </w:rPr>
        <w:t xml:space="preserve"> to resolve</w:t>
      </w:r>
      <w:r w:rsidR="005231AF">
        <w:rPr>
          <w:rFonts w:eastAsiaTheme="minorHAnsi" w:cs="Times New Roman"/>
          <w:noProof/>
          <w:color w:val="auto"/>
          <w:szCs w:val="22"/>
          <w:lang w:val="en-GB" w:eastAsia="en-US"/>
        </w:rPr>
        <w:t xml:space="preserve"> </w:t>
      </w:r>
      <w:r w:rsidR="005231AF" w:rsidRPr="005231AF">
        <w:rPr>
          <w:rFonts w:eastAsiaTheme="minorHAnsi" w:cs="Times New Roman"/>
          <w:noProof/>
          <w:color w:val="auto"/>
          <w:szCs w:val="22"/>
          <w:lang w:val="en-GB" w:eastAsia="en-US"/>
        </w:rPr>
        <w:t>the</w:t>
      </w:r>
      <w:r w:rsidR="005231AF">
        <w:rPr>
          <w:rFonts w:eastAsiaTheme="minorHAnsi" w:cs="Times New Roman"/>
          <w:noProof/>
          <w:color w:val="auto"/>
          <w:szCs w:val="22"/>
          <w:lang w:val="en-GB" w:eastAsia="en-US"/>
        </w:rPr>
        <w:t xml:space="preserve"> issue of</w:t>
      </w:r>
      <w:r w:rsidR="005231AF" w:rsidRPr="005231AF">
        <w:rPr>
          <w:rFonts w:eastAsiaTheme="minorHAnsi" w:cs="Times New Roman"/>
          <w:noProof/>
          <w:color w:val="auto"/>
          <w:szCs w:val="22"/>
          <w:lang w:val="en-GB" w:eastAsia="en-US"/>
        </w:rPr>
        <w:t xml:space="preserve"> differ</w:t>
      </w:r>
      <w:r w:rsidR="000D34DB">
        <w:rPr>
          <w:rFonts w:eastAsiaTheme="minorHAnsi" w:cs="Times New Roman"/>
          <w:noProof/>
          <w:color w:val="auto"/>
          <w:szCs w:val="22"/>
          <w:lang w:val="en-GB" w:eastAsia="en-US"/>
        </w:rPr>
        <w:t>ent</w:t>
      </w:r>
      <w:r w:rsidR="005231AF" w:rsidRPr="005231AF">
        <w:rPr>
          <w:rFonts w:eastAsiaTheme="minorHAnsi" w:cs="Times New Roman"/>
          <w:noProof/>
          <w:color w:val="auto"/>
          <w:szCs w:val="22"/>
          <w:lang w:val="en-GB" w:eastAsia="en-US"/>
        </w:rPr>
        <w:t xml:space="preserve"> rail gauge</w:t>
      </w:r>
      <w:r w:rsidR="005231AF">
        <w:rPr>
          <w:rFonts w:eastAsiaTheme="minorHAnsi" w:cs="Times New Roman"/>
          <w:noProof/>
          <w:color w:val="auto"/>
          <w:szCs w:val="22"/>
          <w:lang w:val="en-GB" w:eastAsia="en-US"/>
        </w:rPr>
        <w:t xml:space="preserve"> standards</w:t>
      </w:r>
      <w:r w:rsidR="005231AF" w:rsidRPr="005231AF">
        <w:rPr>
          <w:rFonts w:eastAsiaTheme="minorHAnsi" w:cs="Times New Roman"/>
          <w:noProof/>
          <w:color w:val="auto"/>
          <w:szCs w:val="22"/>
          <w:lang w:val="en-GB" w:eastAsia="en-US"/>
        </w:rPr>
        <w:t>.</w:t>
      </w:r>
      <w:r w:rsidR="00CE79E1">
        <w:rPr>
          <w:rFonts w:eastAsiaTheme="minorHAnsi" w:cs="Times New Roman"/>
          <w:noProof/>
          <w:color w:val="auto"/>
          <w:szCs w:val="22"/>
          <w:lang w:val="en-GB" w:eastAsia="en-US"/>
        </w:rPr>
        <w:t xml:space="preserve"> Digital </w:t>
      </w:r>
      <w:r w:rsidR="00334D1F">
        <w:rPr>
          <w:rFonts w:eastAsiaTheme="minorHAnsi" w:cs="Times New Roman"/>
          <w:noProof/>
          <w:color w:val="auto"/>
          <w:szCs w:val="22"/>
          <w:lang w:val="en-GB" w:eastAsia="en-US"/>
        </w:rPr>
        <w:t xml:space="preserve">solutions </w:t>
      </w:r>
      <w:r w:rsidR="00CE79E1">
        <w:rPr>
          <w:rFonts w:eastAsiaTheme="minorHAnsi" w:cs="Times New Roman"/>
          <w:noProof/>
          <w:color w:val="auto"/>
          <w:szCs w:val="22"/>
          <w:lang w:val="en-GB" w:eastAsia="en-US"/>
        </w:rPr>
        <w:t>should be deployed to enable the interoperability of networks</w:t>
      </w:r>
      <w:r w:rsidR="00334D1F" w:rsidRPr="00334D1F">
        <w:rPr>
          <w:rFonts w:eastAsiaTheme="minorHAnsi" w:cs="Times New Roman"/>
          <w:noProof/>
          <w:color w:val="auto"/>
          <w:szCs w:val="22"/>
          <w:lang w:val="en-GB" w:eastAsia="en-US"/>
        </w:rPr>
        <w:t xml:space="preserve"> </w:t>
      </w:r>
      <w:r w:rsidR="00334D1F">
        <w:rPr>
          <w:rFonts w:eastAsiaTheme="minorHAnsi" w:cs="Times New Roman"/>
          <w:noProof/>
          <w:color w:val="auto"/>
          <w:szCs w:val="22"/>
          <w:lang w:val="en-GB" w:eastAsia="en-US"/>
        </w:rPr>
        <w:t>and multimodality, increase safety and sustainability, facilitate trade and border crossing</w:t>
      </w:r>
      <w:r w:rsidR="00CE79E1">
        <w:rPr>
          <w:rFonts w:eastAsiaTheme="minorHAnsi" w:cs="Times New Roman"/>
          <w:noProof/>
          <w:color w:val="auto"/>
          <w:szCs w:val="22"/>
          <w:lang w:val="en-GB" w:eastAsia="en-US"/>
        </w:rPr>
        <w:t xml:space="preserve">. The </w:t>
      </w:r>
      <w:r w:rsidR="00B0222F">
        <w:rPr>
          <w:rFonts w:eastAsiaTheme="minorHAnsi" w:cs="Times New Roman"/>
          <w:noProof/>
          <w:color w:val="auto"/>
          <w:szCs w:val="22"/>
          <w:lang w:val="en-GB" w:eastAsia="en-US"/>
        </w:rPr>
        <w:t>European Rail Traffic Management System (</w:t>
      </w:r>
      <w:r w:rsidR="00CE79E1">
        <w:rPr>
          <w:rFonts w:eastAsiaTheme="minorHAnsi" w:cs="Times New Roman"/>
          <w:noProof/>
          <w:color w:val="auto"/>
          <w:szCs w:val="22"/>
          <w:lang w:val="en-GB" w:eastAsia="en-US"/>
        </w:rPr>
        <w:t>ERTMS</w:t>
      </w:r>
      <w:r w:rsidR="00B0222F">
        <w:rPr>
          <w:rFonts w:eastAsiaTheme="minorHAnsi" w:cs="Times New Roman"/>
          <w:noProof/>
          <w:color w:val="auto"/>
          <w:szCs w:val="22"/>
          <w:lang w:val="en-GB" w:eastAsia="en-US"/>
        </w:rPr>
        <w:t>)</w:t>
      </w:r>
      <w:r w:rsidR="00CE79E1">
        <w:rPr>
          <w:rFonts w:eastAsiaTheme="minorHAnsi" w:cs="Times New Roman"/>
          <w:noProof/>
          <w:color w:val="auto"/>
          <w:szCs w:val="22"/>
          <w:lang w:val="en-GB" w:eastAsia="en-US"/>
        </w:rPr>
        <w:t xml:space="preserve"> should replace legacy systems </w:t>
      </w:r>
      <w:r w:rsidR="009321A0">
        <w:rPr>
          <w:rFonts w:eastAsiaTheme="minorHAnsi" w:cs="Times New Roman"/>
          <w:noProof/>
          <w:color w:val="auto"/>
          <w:szCs w:val="22"/>
          <w:lang w:val="en-GB" w:eastAsia="en-US"/>
        </w:rPr>
        <w:t>that make up</w:t>
      </w:r>
      <w:r w:rsidR="00CE79E1">
        <w:rPr>
          <w:rFonts w:eastAsiaTheme="minorHAnsi" w:cs="Times New Roman"/>
          <w:noProof/>
          <w:color w:val="auto"/>
          <w:szCs w:val="22"/>
          <w:lang w:val="en-GB" w:eastAsia="en-US"/>
        </w:rPr>
        <w:t xml:space="preserve"> fragment</w:t>
      </w:r>
      <w:r w:rsidR="009321A0">
        <w:rPr>
          <w:rFonts w:eastAsiaTheme="minorHAnsi" w:cs="Times New Roman"/>
          <w:noProof/>
          <w:color w:val="auto"/>
          <w:szCs w:val="22"/>
          <w:lang w:val="en-GB" w:eastAsia="en-US"/>
        </w:rPr>
        <w:t>ed</w:t>
      </w:r>
      <w:r w:rsidR="00CE79E1">
        <w:rPr>
          <w:rFonts w:eastAsiaTheme="minorHAnsi" w:cs="Times New Roman"/>
          <w:noProof/>
          <w:color w:val="auto"/>
          <w:szCs w:val="22"/>
          <w:lang w:val="en-GB" w:eastAsia="en-US"/>
        </w:rPr>
        <w:t xml:space="preserve"> sections on the network. The deployment of ITS solutions as well should be a priority for the improvement of road safety.</w:t>
      </w:r>
      <w:r w:rsidR="00CE79E1" w:rsidRPr="00AA1AFD">
        <w:rPr>
          <w:rFonts w:eastAsiaTheme="minorHAnsi" w:cs="Times New Roman"/>
          <w:noProof/>
          <w:color w:val="auto"/>
          <w:szCs w:val="22"/>
          <w:lang w:val="en-GB" w:eastAsia="en-US"/>
        </w:rPr>
        <w:t xml:space="preserve"> </w:t>
      </w:r>
      <w:r w:rsidR="002D6E4C">
        <w:rPr>
          <w:rFonts w:eastAsiaTheme="minorHAnsi" w:cs="Times New Roman"/>
          <w:noProof/>
          <w:color w:val="auto"/>
          <w:szCs w:val="22"/>
          <w:lang w:val="en-GB" w:eastAsia="en-US"/>
        </w:rPr>
        <w:t>M</w:t>
      </w:r>
      <w:r w:rsidR="00CE79E1" w:rsidRPr="00AA1AFD">
        <w:rPr>
          <w:rFonts w:eastAsiaTheme="minorHAnsi" w:cs="Times New Roman"/>
          <w:noProof/>
          <w:color w:val="auto"/>
          <w:szCs w:val="22"/>
          <w:lang w:val="en-GB" w:eastAsia="en-US"/>
        </w:rPr>
        <w:t xml:space="preserve">ultimodal transport solutions and </w:t>
      </w:r>
      <w:r w:rsidR="002D6E4C">
        <w:rPr>
          <w:rFonts w:eastAsiaTheme="minorHAnsi" w:cs="Times New Roman"/>
          <w:noProof/>
          <w:color w:val="auto"/>
          <w:szCs w:val="22"/>
          <w:lang w:val="en-GB" w:eastAsia="en-US"/>
        </w:rPr>
        <w:t xml:space="preserve">an </w:t>
      </w:r>
      <w:r w:rsidR="00CE79E1" w:rsidRPr="00AA1AFD">
        <w:rPr>
          <w:rFonts w:eastAsiaTheme="minorHAnsi" w:cs="Times New Roman"/>
          <w:noProof/>
          <w:color w:val="auto"/>
          <w:szCs w:val="22"/>
          <w:lang w:val="en-GB" w:eastAsia="en-US"/>
        </w:rPr>
        <w:t>accelerate</w:t>
      </w:r>
      <w:r w:rsidR="002D6E4C">
        <w:rPr>
          <w:rFonts w:eastAsiaTheme="minorHAnsi" w:cs="Times New Roman"/>
          <w:noProof/>
          <w:color w:val="auto"/>
          <w:szCs w:val="22"/>
          <w:lang w:val="en-GB" w:eastAsia="en-US"/>
        </w:rPr>
        <w:t>d</w:t>
      </w:r>
      <w:r w:rsidR="00CE79E1" w:rsidRPr="00AA1AFD">
        <w:rPr>
          <w:rFonts w:eastAsiaTheme="minorHAnsi" w:cs="Times New Roman"/>
          <w:noProof/>
          <w:color w:val="auto"/>
          <w:szCs w:val="22"/>
          <w:lang w:val="en-GB" w:eastAsia="en-US"/>
        </w:rPr>
        <w:t xml:space="preserve"> modal shift to sustainable transport</w:t>
      </w:r>
      <w:r w:rsidR="002D6E4C" w:rsidRPr="002D6E4C">
        <w:rPr>
          <w:rFonts w:eastAsiaTheme="minorHAnsi" w:cs="Times New Roman"/>
          <w:noProof/>
          <w:color w:val="auto"/>
          <w:szCs w:val="22"/>
          <w:lang w:val="en-GB" w:eastAsia="en-US"/>
        </w:rPr>
        <w:t xml:space="preserve"> </w:t>
      </w:r>
      <w:r w:rsidR="00F44742">
        <w:rPr>
          <w:rFonts w:eastAsiaTheme="minorHAnsi" w:cs="Times New Roman"/>
          <w:noProof/>
          <w:color w:val="auto"/>
          <w:szCs w:val="22"/>
          <w:lang w:val="en-GB" w:eastAsia="en-US"/>
        </w:rPr>
        <w:t xml:space="preserve">should </w:t>
      </w:r>
      <w:r w:rsidR="002D6E4C">
        <w:rPr>
          <w:rFonts w:eastAsiaTheme="minorHAnsi" w:cs="Times New Roman"/>
          <w:noProof/>
          <w:color w:val="auto"/>
          <w:szCs w:val="22"/>
          <w:lang w:val="en-GB" w:eastAsia="en-US"/>
        </w:rPr>
        <w:t xml:space="preserve">also be a priority </w:t>
      </w:r>
      <w:r w:rsidR="009321A0">
        <w:rPr>
          <w:rFonts w:eastAsiaTheme="minorHAnsi" w:cs="Times New Roman"/>
          <w:noProof/>
          <w:color w:val="auto"/>
          <w:szCs w:val="22"/>
          <w:lang w:val="en-GB" w:eastAsia="en-US"/>
        </w:rPr>
        <w:t>in order</w:t>
      </w:r>
      <w:r w:rsidR="002D6E4C">
        <w:rPr>
          <w:rFonts w:eastAsiaTheme="minorHAnsi" w:cs="Times New Roman"/>
          <w:noProof/>
          <w:color w:val="auto"/>
          <w:szCs w:val="22"/>
          <w:lang w:val="en-GB" w:eastAsia="en-US"/>
        </w:rPr>
        <w:t xml:space="preserve"> to</w:t>
      </w:r>
      <w:r w:rsidR="00CE79E1" w:rsidRPr="00AA1AFD">
        <w:rPr>
          <w:rFonts w:eastAsiaTheme="minorHAnsi" w:cs="Times New Roman"/>
          <w:noProof/>
          <w:color w:val="auto"/>
          <w:szCs w:val="22"/>
          <w:lang w:val="en-GB" w:eastAsia="en-US"/>
        </w:rPr>
        <w:t xml:space="preserve"> reduc</w:t>
      </w:r>
      <w:r w:rsidR="002D6E4C">
        <w:rPr>
          <w:rFonts w:eastAsiaTheme="minorHAnsi" w:cs="Times New Roman"/>
          <w:noProof/>
          <w:color w:val="auto"/>
          <w:szCs w:val="22"/>
          <w:lang w:val="en-GB" w:eastAsia="en-US"/>
        </w:rPr>
        <w:t>e</w:t>
      </w:r>
      <w:r w:rsidR="00CE79E1" w:rsidRPr="00AA1AFD">
        <w:rPr>
          <w:rFonts w:eastAsiaTheme="minorHAnsi" w:cs="Times New Roman"/>
          <w:noProof/>
          <w:color w:val="auto"/>
          <w:szCs w:val="22"/>
          <w:lang w:val="en-GB" w:eastAsia="en-US"/>
        </w:rPr>
        <w:t xml:space="preserve"> CO2 emissions from transport.</w:t>
      </w:r>
      <w:r w:rsidR="00705746">
        <w:rPr>
          <w:rFonts w:eastAsiaTheme="minorHAnsi" w:cs="Times New Roman"/>
          <w:noProof/>
          <w:color w:val="auto"/>
          <w:szCs w:val="22"/>
          <w:lang w:val="en-GB" w:eastAsia="en-US"/>
        </w:rPr>
        <w:t xml:space="preserve"> </w:t>
      </w:r>
      <w:r w:rsidR="00CE79E1">
        <w:rPr>
          <w:rFonts w:eastAsiaTheme="minorHAnsi" w:cs="Times New Roman"/>
          <w:noProof/>
          <w:color w:val="auto"/>
          <w:szCs w:val="22"/>
          <w:lang w:val="en-GB" w:eastAsia="en-US"/>
        </w:rPr>
        <w:t>F</w:t>
      </w:r>
      <w:r w:rsidR="00CE79E1" w:rsidRPr="00AA1AFD">
        <w:rPr>
          <w:rFonts w:eastAsiaTheme="minorHAnsi" w:cs="Times New Roman"/>
          <w:noProof/>
          <w:color w:val="auto"/>
          <w:szCs w:val="22"/>
          <w:lang w:val="en-GB" w:eastAsia="en-US"/>
        </w:rPr>
        <w:t>or road infrastructure project</w:t>
      </w:r>
      <w:r w:rsidR="00CE79E1">
        <w:rPr>
          <w:rFonts w:eastAsiaTheme="minorHAnsi" w:cs="Times New Roman"/>
          <w:noProof/>
          <w:color w:val="auto"/>
          <w:szCs w:val="22"/>
          <w:lang w:val="en-GB" w:eastAsia="en-US"/>
        </w:rPr>
        <w:t>s,</w:t>
      </w:r>
      <w:r w:rsidR="00CE79E1" w:rsidRPr="00AA1AFD">
        <w:rPr>
          <w:rFonts w:eastAsiaTheme="minorHAnsi" w:cs="Times New Roman"/>
          <w:noProof/>
          <w:color w:val="auto"/>
          <w:szCs w:val="22"/>
          <w:lang w:val="en-GB" w:eastAsia="en-US"/>
        </w:rPr>
        <w:t xml:space="preserve"> the </w:t>
      </w:r>
      <w:r w:rsidR="00C17A16">
        <w:rPr>
          <w:rFonts w:eastAsiaTheme="minorHAnsi" w:cs="Times New Roman"/>
          <w:noProof/>
          <w:color w:val="auto"/>
          <w:szCs w:val="22"/>
          <w:lang w:val="en-GB" w:eastAsia="en-US"/>
        </w:rPr>
        <w:t>Union should</w:t>
      </w:r>
      <w:r w:rsidR="00CE79E1" w:rsidRPr="00AA1AFD">
        <w:rPr>
          <w:rFonts w:eastAsiaTheme="minorHAnsi" w:cs="Times New Roman"/>
          <w:noProof/>
          <w:color w:val="auto"/>
          <w:szCs w:val="22"/>
          <w:lang w:val="en-GB" w:eastAsia="en-US"/>
        </w:rPr>
        <w:t xml:space="preserve"> promote</w:t>
      </w:r>
      <w:r w:rsidR="00CE79E1">
        <w:rPr>
          <w:rFonts w:eastAsiaTheme="minorHAnsi" w:cs="Times New Roman"/>
          <w:noProof/>
          <w:color w:val="auto"/>
          <w:szCs w:val="22"/>
          <w:lang w:val="en-GB" w:eastAsia="en-US"/>
        </w:rPr>
        <w:t xml:space="preserve"> the</w:t>
      </w:r>
      <w:r w:rsidR="00CE79E1" w:rsidRPr="00AA1AFD">
        <w:rPr>
          <w:rFonts w:eastAsiaTheme="minorHAnsi" w:cs="Times New Roman"/>
          <w:noProof/>
          <w:color w:val="auto"/>
          <w:szCs w:val="22"/>
          <w:lang w:val="en-GB" w:eastAsia="en-US"/>
        </w:rPr>
        <w:t xml:space="preserve"> develop</w:t>
      </w:r>
      <w:r w:rsidR="00CE79E1">
        <w:rPr>
          <w:rFonts w:eastAsiaTheme="minorHAnsi" w:cs="Times New Roman"/>
          <w:noProof/>
          <w:color w:val="auto"/>
          <w:szCs w:val="22"/>
          <w:lang w:val="en-GB" w:eastAsia="en-US"/>
        </w:rPr>
        <w:t>ment of green multimodal</w:t>
      </w:r>
      <w:r w:rsidR="00CE79E1" w:rsidRPr="00AA1AFD">
        <w:rPr>
          <w:rFonts w:eastAsiaTheme="minorHAnsi" w:cs="Times New Roman"/>
          <w:noProof/>
          <w:color w:val="auto"/>
          <w:szCs w:val="22"/>
          <w:lang w:val="en-GB" w:eastAsia="en-US"/>
        </w:rPr>
        <w:t xml:space="preserve"> solutions (such as electric charging stations and multimodal </w:t>
      </w:r>
      <w:r w:rsidR="00CE79E1">
        <w:rPr>
          <w:rFonts w:eastAsiaTheme="minorHAnsi" w:cs="Times New Roman"/>
          <w:noProof/>
          <w:color w:val="auto"/>
          <w:szCs w:val="22"/>
          <w:lang w:val="en-GB" w:eastAsia="en-US"/>
        </w:rPr>
        <w:t>hubs</w:t>
      </w:r>
      <w:r w:rsidR="00CE79E1" w:rsidRPr="00AA1AFD">
        <w:rPr>
          <w:rFonts w:eastAsiaTheme="minorHAnsi" w:cs="Times New Roman"/>
          <w:noProof/>
          <w:color w:val="auto"/>
          <w:szCs w:val="22"/>
          <w:lang w:val="en-GB" w:eastAsia="en-US"/>
        </w:rPr>
        <w:t>).</w:t>
      </w:r>
      <w:r w:rsidR="00705746">
        <w:rPr>
          <w:rFonts w:eastAsiaTheme="minorHAnsi" w:cs="Times New Roman"/>
          <w:noProof/>
          <w:color w:val="auto"/>
          <w:szCs w:val="22"/>
          <w:lang w:val="en-GB" w:eastAsia="en-US"/>
        </w:rPr>
        <w:t xml:space="preserve"> </w:t>
      </w:r>
      <w:r w:rsidR="007E62FC">
        <w:rPr>
          <w:rFonts w:eastAsiaTheme="minorHAnsi" w:cs="Times New Roman"/>
          <w:noProof/>
          <w:color w:val="auto"/>
          <w:szCs w:val="22"/>
          <w:lang w:val="en-GB" w:eastAsia="en-US"/>
        </w:rPr>
        <w:t>U</w:t>
      </w:r>
      <w:r w:rsidR="00CB6510">
        <w:rPr>
          <w:rFonts w:eastAsiaTheme="minorHAnsi" w:cs="Times New Roman"/>
          <w:noProof/>
          <w:color w:val="auto"/>
          <w:szCs w:val="22"/>
          <w:lang w:val="en-GB" w:eastAsia="en-US"/>
        </w:rPr>
        <w:t>pgrading the inland waterway</w:t>
      </w:r>
      <w:r w:rsidR="000D272E">
        <w:rPr>
          <w:rFonts w:eastAsiaTheme="minorHAnsi" w:cs="Times New Roman"/>
          <w:noProof/>
          <w:color w:val="auto"/>
          <w:szCs w:val="22"/>
          <w:lang w:val="en-GB" w:eastAsia="en-US"/>
        </w:rPr>
        <w:t xml:space="preserve"> network </w:t>
      </w:r>
      <w:r w:rsidR="00CB6510">
        <w:rPr>
          <w:rFonts w:eastAsiaTheme="minorHAnsi" w:cs="Times New Roman"/>
          <w:noProof/>
          <w:color w:val="auto"/>
          <w:szCs w:val="22"/>
          <w:lang w:val="en-GB" w:eastAsia="en-US"/>
        </w:rPr>
        <w:t>will</w:t>
      </w:r>
      <w:r w:rsidR="00A147D8">
        <w:rPr>
          <w:rFonts w:eastAsiaTheme="minorHAnsi" w:cs="Times New Roman"/>
          <w:noProof/>
          <w:color w:val="auto"/>
          <w:szCs w:val="22"/>
          <w:lang w:val="en-GB" w:eastAsia="en-US"/>
        </w:rPr>
        <w:t xml:space="preserve"> also</w:t>
      </w:r>
      <w:r w:rsidR="00CB6510">
        <w:rPr>
          <w:rFonts w:eastAsiaTheme="minorHAnsi" w:cs="Times New Roman"/>
          <w:noProof/>
          <w:color w:val="auto"/>
          <w:szCs w:val="22"/>
          <w:lang w:val="en-GB" w:eastAsia="en-US"/>
        </w:rPr>
        <w:t xml:space="preserve"> be a priority</w:t>
      </w:r>
      <w:r w:rsidR="000D272E">
        <w:rPr>
          <w:rFonts w:eastAsiaTheme="minorHAnsi" w:cs="Times New Roman"/>
          <w:noProof/>
          <w:color w:val="auto"/>
          <w:szCs w:val="22"/>
          <w:lang w:val="en-GB" w:eastAsia="en-US"/>
        </w:rPr>
        <w:t>.</w:t>
      </w:r>
      <w:r w:rsidR="007E62FC">
        <w:rPr>
          <w:rFonts w:eastAsiaTheme="minorHAnsi" w:cs="Times New Roman"/>
          <w:noProof/>
          <w:color w:val="auto"/>
          <w:szCs w:val="22"/>
          <w:lang w:val="en-GB" w:eastAsia="en-US"/>
        </w:rPr>
        <w:t xml:space="preserve"> Finally it will be important to ensure that these countries maintain</w:t>
      </w:r>
      <w:r w:rsidR="00EE35BC">
        <w:rPr>
          <w:rFonts w:eastAsiaTheme="minorHAnsi" w:cs="Times New Roman"/>
          <w:noProof/>
          <w:color w:val="auto"/>
          <w:szCs w:val="22"/>
          <w:lang w:val="en-GB" w:eastAsia="en-US"/>
        </w:rPr>
        <w:t xml:space="preserve"> the</w:t>
      </w:r>
      <w:r w:rsidR="007E62FC">
        <w:rPr>
          <w:rFonts w:eastAsiaTheme="minorHAnsi" w:cs="Times New Roman"/>
          <w:noProof/>
          <w:color w:val="auto"/>
          <w:szCs w:val="22"/>
          <w:lang w:val="en-GB" w:eastAsia="en-US"/>
        </w:rPr>
        <w:t xml:space="preserve"> infrastructure, in particular</w:t>
      </w:r>
      <w:r w:rsidR="00EE35BC">
        <w:rPr>
          <w:rFonts w:eastAsiaTheme="minorHAnsi" w:cs="Times New Roman"/>
          <w:noProof/>
          <w:color w:val="auto"/>
          <w:szCs w:val="22"/>
          <w:lang w:val="en-GB" w:eastAsia="en-US"/>
        </w:rPr>
        <w:t>, with regard to</w:t>
      </w:r>
      <w:r w:rsidR="007E62FC">
        <w:rPr>
          <w:rFonts w:eastAsiaTheme="minorHAnsi" w:cs="Times New Roman"/>
          <w:noProof/>
          <w:color w:val="auto"/>
          <w:szCs w:val="22"/>
          <w:lang w:val="en-GB" w:eastAsia="en-US"/>
        </w:rPr>
        <w:t xml:space="preserve"> key projects developed with EU funds. </w:t>
      </w:r>
    </w:p>
    <w:p w:rsidR="007B4344" w:rsidRDefault="007B4344" w:rsidP="00CE79E1">
      <w:pPr>
        <w:pStyle w:val="wordcount"/>
        <w:spacing w:after="60"/>
        <w:jc w:val="both"/>
        <w:rPr>
          <w:rFonts w:eastAsiaTheme="minorHAnsi" w:cs="Times New Roman"/>
          <w:noProof/>
          <w:color w:val="auto"/>
          <w:szCs w:val="22"/>
          <w:lang w:val="en-GB" w:eastAsia="en-US"/>
        </w:rPr>
      </w:pPr>
    </w:p>
    <w:p w:rsidR="00794A3F" w:rsidRPr="00AA1AFD" w:rsidRDefault="00794A3F" w:rsidP="00794A3F">
      <w:pPr>
        <w:spacing w:after="60"/>
        <w:jc w:val="both"/>
        <w:rPr>
          <w:rFonts w:ascii="Times New Roman" w:hAnsi="Times New Roman" w:cs="Times New Roman"/>
          <w:b/>
          <w:i/>
          <w:noProof/>
          <w:sz w:val="24"/>
          <w:lang w:val="en-GB"/>
        </w:rPr>
      </w:pPr>
      <w:r w:rsidRPr="00AA1AFD">
        <w:rPr>
          <w:rFonts w:ascii="Times New Roman" w:hAnsi="Times New Roman" w:cs="Times New Roman"/>
          <w:b/>
          <w:i/>
          <w:noProof/>
          <w:sz w:val="24"/>
          <w:lang w:val="en-GB"/>
        </w:rPr>
        <w:t xml:space="preserve">South Mediterranean </w:t>
      </w:r>
    </w:p>
    <w:p w:rsidR="00794A3F" w:rsidRDefault="00794A3F" w:rsidP="00794A3F">
      <w:pPr>
        <w:spacing w:after="60"/>
        <w:jc w:val="both"/>
        <w:rPr>
          <w:rFonts w:ascii="Times New Roman" w:hAnsi="Times New Roman" w:cs="Times New Roman"/>
          <w:noProof/>
          <w:sz w:val="24"/>
          <w:lang w:val="en-GB"/>
        </w:rPr>
      </w:pPr>
      <w:r>
        <w:rPr>
          <w:rFonts w:ascii="Times New Roman" w:hAnsi="Times New Roman" w:cs="Times New Roman"/>
          <w:noProof/>
          <w:sz w:val="24"/>
          <w:lang w:val="en-GB"/>
        </w:rPr>
        <w:t xml:space="preserve">The South Mediterranean Region is of special political importance to the </w:t>
      </w:r>
      <w:r w:rsidR="00F44742">
        <w:rPr>
          <w:rFonts w:ascii="Times New Roman" w:hAnsi="Times New Roman" w:cs="Times New Roman"/>
          <w:noProof/>
          <w:sz w:val="24"/>
          <w:lang w:val="en-GB"/>
        </w:rPr>
        <w:t>Union</w:t>
      </w:r>
      <w:r>
        <w:rPr>
          <w:rFonts w:ascii="Times New Roman" w:hAnsi="Times New Roman" w:cs="Times New Roman"/>
          <w:noProof/>
          <w:sz w:val="24"/>
          <w:lang w:val="en-GB"/>
        </w:rPr>
        <w:t xml:space="preserve">. The region is also a close trading partner. </w:t>
      </w:r>
      <w:r w:rsidRPr="0094271C">
        <w:rPr>
          <w:rFonts w:ascii="Times New Roman" w:hAnsi="Times New Roman" w:cs="Times New Roman"/>
          <w:noProof/>
          <w:sz w:val="24"/>
          <w:lang w:val="en-GB"/>
        </w:rPr>
        <w:t xml:space="preserve">In 2020, </w:t>
      </w:r>
      <w:r>
        <w:rPr>
          <w:rFonts w:ascii="Times New Roman" w:hAnsi="Times New Roman" w:cs="Times New Roman"/>
          <w:noProof/>
          <w:sz w:val="24"/>
          <w:lang w:val="en-GB"/>
        </w:rPr>
        <w:t>t</w:t>
      </w:r>
      <w:r w:rsidRPr="0094271C">
        <w:rPr>
          <w:rFonts w:ascii="Times New Roman" w:hAnsi="Times New Roman" w:cs="Times New Roman"/>
          <w:noProof/>
          <w:sz w:val="24"/>
          <w:lang w:val="en-GB"/>
        </w:rPr>
        <w:t xml:space="preserve">otal trade in goods between the </w:t>
      </w:r>
      <w:r w:rsidR="00F44742">
        <w:rPr>
          <w:rFonts w:ascii="Times New Roman" w:hAnsi="Times New Roman" w:cs="Times New Roman"/>
          <w:noProof/>
          <w:sz w:val="24"/>
          <w:lang w:val="en-GB"/>
        </w:rPr>
        <w:t>Union</w:t>
      </w:r>
      <w:r w:rsidRPr="0094271C">
        <w:rPr>
          <w:rFonts w:ascii="Times New Roman" w:hAnsi="Times New Roman" w:cs="Times New Roman"/>
          <w:noProof/>
          <w:sz w:val="24"/>
          <w:lang w:val="en-GB"/>
        </w:rPr>
        <w:t xml:space="preserve"> and the Southern Neigh</w:t>
      </w:r>
      <w:r>
        <w:rPr>
          <w:rFonts w:ascii="Times New Roman" w:hAnsi="Times New Roman" w:cs="Times New Roman"/>
          <w:noProof/>
          <w:sz w:val="24"/>
          <w:lang w:val="en-GB"/>
        </w:rPr>
        <w:t xml:space="preserve">bourhood countries amounted to </w:t>
      </w:r>
      <w:r w:rsidRPr="00C56847">
        <w:rPr>
          <w:rFonts w:ascii="Times New Roman" w:hAnsi="Times New Roman" w:cs="Times New Roman"/>
          <w:noProof/>
          <w:sz w:val="24"/>
          <w:lang w:val="en-GB"/>
        </w:rPr>
        <w:t>EUR 149.4 billion.</w:t>
      </w:r>
      <w:r>
        <w:rPr>
          <w:rFonts w:ascii="Times New Roman" w:hAnsi="Times New Roman" w:cs="Times New Roman"/>
          <w:noProof/>
          <w:sz w:val="24"/>
          <w:lang w:val="en-GB"/>
        </w:rPr>
        <w:t xml:space="preserve"> There is potential for the further development of trade, which should be supported by improved sustainable transport connections.</w:t>
      </w:r>
    </w:p>
    <w:p w:rsidR="00794A3F" w:rsidRDefault="00794A3F" w:rsidP="00794A3F">
      <w:pPr>
        <w:spacing w:after="60"/>
        <w:jc w:val="both"/>
        <w:rPr>
          <w:rFonts w:ascii="Times New Roman" w:hAnsi="Times New Roman" w:cs="Times New Roman"/>
          <w:noProof/>
          <w:sz w:val="24"/>
          <w:lang w:val="en-GB"/>
        </w:rPr>
      </w:pPr>
    </w:p>
    <w:p w:rsidR="007F083D" w:rsidRDefault="007F083D" w:rsidP="00794A3F">
      <w:pPr>
        <w:spacing w:after="60"/>
        <w:jc w:val="both"/>
        <w:rPr>
          <w:rFonts w:ascii="Times New Roman" w:hAnsi="Times New Roman" w:cs="Times New Roman"/>
          <w:noProof/>
          <w:sz w:val="24"/>
          <w:lang w:val="en-GB"/>
        </w:rPr>
      </w:pPr>
      <w:r>
        <w:rPr>
          <w:rFonts w:ascii="Times New Roman" w:hAnsi="Times New Roman" w:cs="Times New Roman"/>
          <w:noProof/>
          <w:sz w:val="24"/>
          <w:lang w:val="en-GB"/>
        </w:rPr>
        <w:t>On the basis</w:t>
      </w:r>
      <w:r w:rsidRPr="00075B00">
        <w:rPr>
          <w:rFonts w:ascii="Times New Roman" w:hAnsi="Times New Roman" w:cs="Times New Roman"/>
          <w:noProof/>
          <w:sz w:val="24"/>
          <w:lang w:val="en-GB"/>
        </w:rPr>
        <w:t xml:space="preserve"> of the mandate received by the Ministers of the EuroMediterranean region in 2013</w:t>
      </w:r>
      <w:r>
        <w:rPr>
          <w:rFonts w:ascii="Times New Roman" w:hAnsi="Times New Roman" w:cs="Times New Roman"/>
          <w:noProof/>
          <w:sz w:val="24"/>
          <w:lang w:val="en-GB"/>
        </w:rPr>
        <w:t xml:space="preserve">, the Union and </w:t>
      </w:r>
      <w:r w:rsidRPr="00075B00">
        <w:rPr>
          <w:rFonts w:ascii="Times New Roman" w:hAnsi="Times New Roman" w:cs="Times New Roman"/>
          <w:noProof/>
          <w:sz w:val="24"/>
          <w:lang w:val="en-GB"/>
        </w:rPr>
        <w:t>the Southern Mediterranean Partners</w:t>
      </w:r>
      <w:r>
        <w:rPr>
          <w:rFonts w:ascii="Times New Roman" w:hAnsi="Times New Roman" w:cs="Times New Roman"/>
          <w:noProof/>
          <w:sz w:val="24"/>
          <w:lang w:val="en-GB"/>
        </w:rPr>
        <w:t xml:space="preserve"> aim</w:t>
      </w:r>
      <w:r w:rsidRPr="00075B00">
        <w:rPr>
          <w:rFonts w:ascii="Times New Roman" w:hAnsi="Times New Roman" w:cs="Times New Roman"/>
          <w:noProof/>
          <w:sz w:val="24"/>
          <w:lang w:val="en-GB"/>
        </w:rPr>
        <w:t xml:space="preserve"> at identifying a Trans-Mediterranean </w:t>
      </w:r>
      <w:r>
        <w:rPr>
          <w:rFonts w:ascii="Times New Roman" w:hAnsi="Times New Roman" w:cs="Times New Roman"/>
          <w:noProof/>
          <w:sz w:val="24"/>
          <w:lang w:val="en-GB"/>
        </w:rPr>
        <w:t xml:space="preserve">Network for </w:t>
      </w:r>
      <w:r w:rsidRPr="00075B00">
        <w:rPr>
          <w:rFonts w:ascii="Times New Roman" w:hAnsi="Times New Roman" w:cs="Times New Roman"/>
          <w:noProof/>
          <w:sz w:val="24"/>
          <w:lang w:val="en-GB"/>
        </w:rPr>
        <w:t>Transport (TMN-T)</w:t>
      </w:r>
      <w:r>
        <w:rPr>
          <w:rFonts w:ascii="Times New Roman" w:hAnsi="Times New Roman" w:cs="Times New Roman"/>
          <w:noProof/>
          <w:sz w:val="24"/>
          <w:lang w:val="en-GB"/>
        </w:rPr>
        <w:t>. The TMN-T will be</w:t>
      </w:r>
      <w:r w:rsidRPr="00075B00">
        <w:rPr>
          <w:rFonts w:ascii="Times New Roman" w:hAnsi="Times New Roman" w:cs="Times New Roman"/>
          <w:noProof/>
          <w:sz w:val="24"/>
          <w:lang w:val="en-GB"/>
        </w:rPr>
        <w:t xml:space="preserve"> prepared </w:t>
      </w:r>
      <w:r>
        <w:rPr>
          <w:rFonts w:ascii="Times New Roman" w:hAnsi="Times New Roman" w:cs="Times New Roman"/>
          <w:noProof/>
          <w:sz w:val="24"/>
          <w:lang w:val="en-GB"/>
        </w:rPr>
        <w:t>as</w:t>
      </w:r>
      <w:r w:rsidRPr="00075B00">
        <w:rPr>
          <w:rFonts w:ascii="Times New Roman" w:hAnsi="Times New Roman" w:cs="Times New Roman"/>
          <w:noProof/>
          <w:sz w:val="24"/>
          <w:lang w:val="en-GB"/>
        </w:rPr>
        <w:t xml:space="preserve"> a comprehensive network.</w:t>
      </w:r>
      <w:r>
        <w:rPr>
          <w:rFonts w:ascii="Times New Roman" w:hAnsi="Times New Roman" w:cs="Times New Roman"/>
          <w:noProof/>
          <w:sz w:val="24"/>
          <w:lang w:val="en-GB"/>
        </w:rPr>
        <w:t xml:space="preserve"> </w:t>
      </w:r>
      <w:r w:rsidR="00C85A9D">
        <w:rPr>
          <w:rFonts w:ascii="Times New Roman" w:hAnsi="Times New Roman" w:cs="Times New Roman"/>
          <w:noProof/>
          <w:sz w:val="24"/>
          <w:lang w:val="en-GB"/>
        </w:rPr>
        <w:t>I</w:t>
      </w:r>
      <w:r>
        <w:rPr>
          <w:rFonts w:ascii="Times New Roman" w:hAnsi="Times New Roman" w:cs="Times New Roman"/>
          <w:noProof/>
          <w:sz w:val="24"/>
          <w:lang w:val="en-GB"/>
        </w:rPr>
        <w:t>n order to provide better transport connectivity between the Union and the region, it will be particularly important to identify seaports on the indicative TMT-T.</w:t>
      </w:r>
    </w:p>
    <w:p w:rsidR="007F083D" w:rsidRDefault="007F083D" w:rsidP="00794A3F">
      <w:pPr>
        <w:spacing w:after="60"/>
        <w:jc w:val="both"/>
        <w:rPr>
          <w:rFonts w:ascii="Times New Roman" w:hAnsi="Times New Roman" w:cs="Times New Roman"/>
          <w:noProof/>
          <w:sz w:val="24"/>
          <w:lang w:val="en-GB"/>
        </w:rPr>
      </w:pPr>
    </w:p>
    <w:p w:rsidR="007F3763" w:rsidRDefault="007F3763" w:rsidP="00794A3F">
      <w:pPr>
        <w:spacing w:after="60"/>
        <w:jc w:val="both"/>
        <w:rPr>
          <w:rFonts w:ascii="Times New Roman" w:hAnsi="Times New Roman" w:cs="Times New Roman"/>
          <w:noProof/>
          <w:sz w:val="24"/>
          <w:lang w:val="en-GB"/>
        </w:rPr>
      </w:pPr>
      <w:r>
        <w:rPr>
          <w:rFonts w:ascii="Times New Roman" w:hAnsi="Times New Roman" w:cs="Times New Roman"/>
          <w:noProof/>
          <w:sz w:val="24"/>
          <w:lang w:val="en-IE"/>
        </w:rPr>
        <w:t xml:space="preserve">Upon the identification of the TMN-T, the </w:t>
      </w:r>
      <w:r w:rsidRPr="00075B00">
        <w:rPr>
          <w:rFonts w:ascii="Times New Roman" w:hAnsi="Times New Roman" w:cs="Times New Roman"/>
          <w:noProof/>
          <w:sz w:val="24"/>
          <w:lang w:val="en-GB"/>
        </w:rPr>
        <w:t>Southern Mediterranean Partners</w:t>
      </w:r>
      <w:r>
        <w:rPr>
          <w:rFonts w:ascii="Times New Roman" w:hAnsi="Times New Roman" w:cs="Times New Roman"/>
          <w:noProof/>
          <w:sz w:val="24"/>
          <w:lang w:val="en-GB"/>
        </w:rPr>
        <w:t xml:space="preserve"> should swiftly </w:t>
      </w:r>
      <w:r w:rsidR="00C85A9D">
        <w:rPr>
          <w:rFonts w:ascii="Times New Roman" w:hAnsi="Times New Roman" w:cs="Times New Roman"/>
          <w:noProof/>
          <w:sz w:val="24"/>
          <w:lang w:val="en-GB"/>
        </w:rPr>
        <w:t>develop a</w:t>
      </w:r>
      <w:r>
        <w:rPr>
          <w:rFonts w:ascii="Times New Roman" w:hAnsi="Times New Roman" w:cs="Times New Roman"/>
          <w:noProof/>
          <w:sz w:val="24"/>
          <w:lang w:val="en-GB"/>
        </w:rPr>
        <w:t xml:space="preserve"> TMN-T implementation plan that identifies high-priority projects, with a view to producing a project pipeline. </w:t>
      </w:r>
      <w:r w:rsidR="00C85A9D">
        <w:rPr>
          <w:rFonts w:ascii="Times New Roman" w:hAnsi="Times New Roman" w:cs="Times New Roman"/>
          <w:noProof/>
          <w:sz w:val="24"/>
          <w:lang w:val="en-GB"/>
        </w:rPr>
        <w:t>P</w:t>
      </w:r>
      <w:r>
        <w:rPr>
          <w:rFonts w:ascii="Times New Roman" w:hAnsi="Times New Roman" w:cs="Times New Roman"/>
          <w:noProof/>
          <w:sz w:val="24"/>
          <w:lang w:val="en-GB"/>
        </w:rPr>
        <w:t>riority should be given to projects in ports, including last-mile, multimodal connections in view of reinforcing the development of short sea shipping.</w:t>
      </w:r>
    </w:p>
    <w:p w:rsidR="007F3763" w:rsidRDefault="007F3763" w:rsidP="00794A3F">
      <w:pPr>
        <w:spacing w:after="60"/>
        <w:jc w:val="both"/>
        <w:rPr>
          <w:rFonts w:ascii="Times New Roman" w:hAnsi="Times New Roman" w:cs="Times New Roman"/>
          <w:noProof/>
          <w:sz w:val="24"/>
          <w:lang w:val="en-GB"/>
        </w:rPr>
      </w:pPr>
    </w:p>
    <w:p w:rsidR="007E62FC" w:rsidRPr="00EF4CC2" w:rsidRDefault="007E62FC" w:rsidP="007E62FC">
      <w:pPr>
        <w:spacing w:after="60"/>
        <w:jc w:val="both"/>
        <w:rPr>
          <w:rFonts w:ascii="Times New Roman" w:hAnsi="Times New Roman" w:cs="Times New Roman"/>
          <w:noProof/>
          <w:sz w:val="24"/>
          <w:lang w:val="en-GB"/>
        </w:rPr>
      </w:pPr>
      <w:r w:rsidRPr="00EF4CC2">
        <w:rPr>
          <w:rFonts w:ascii="Times New Roman" w:hAnsi="Times New Roman" w:cs="Times New Roman"/>
          <w:noProof/>
          <w:sz w:val="24"/>
          <w:lang w:val="en-GB"/>
        </w:rPr>
        <w:t xml:space="preserve">The 2021 Joint Communication on a Renewed Partnership with the Southern Neighbourhood and </w:t>
      </w:r>
      <w:r>
        <w:rPr>
          <w:rFonts w:ascii="Times New Roman" w:hAnsi="Times New Roman" w:cs="Times New Roman"/>
          <w:noProof/>
          <w:sz w:val="24"/>
          <w:lang w:val="en-GB"/>
        </w:rPr>
        <w:t xml:space="preserve">the </w:t>
      </w:r>
      <w:r w:rsidRPr="00EF4CC2">
        <w:rPr>
          <w:rFonts w:ascii="Times New Roman" w:hAnsi="Times New Roman" w:cs="Times New Roman"/>
          <w:noProof/>
          <w:sz w:val="24"/>
          <w:lang w:val="en-GB"/>
        </w:rPr>
        <w:t xml:space="preserve">accompanying Economic and Investment Plan for the region recognise </w:t>
      </w:r>
      <w:r>
        <w:rPr>
          <w:rFonts w:ascii="Times New Roman" w:hAnsi="Times New Roman" w:cs="Times New Roman"/>
          <w:noProof/>
          <w:sz w:val="24"/>
          <w:lang w:val="en-GB"/>
        </w:rPr>
        <w:t>t</w:t>
      </w:r>
      <w:r w:rsidRPr="00EF4CC2">
        <w:rPr>
          <w:rFonts w:ascii="Times New Roman" w:hAnsi="Times New Roman" w:cs="Times New Roman"/>
          <w:noProof/>
          <w:sz w:val="24"/>
          <w:lang w:val="en-GB"/>
        </w:rPr>
        <w:t xml:space="preserve">ransport connectivity as a key component </w:t>
      </w:r>
      <w:r w:rsidR="009958F8">
        <w:rPr>
          <w:rFonts w:ascii="Times New Roman" w:hAnsi="Times New Roman" w:cs="Times New Roman"/>
          <w:noProof/>
          <w:sz w:val="24"/>
          <w:lang w:val="en-GB"/>
        </w:rPr>
        <w:t>for</w:t>
      </w:r>
      <w:r w:rsidRPr="00EF4CC2">
        <w:rPr>
          <w:rFonts w:ascii="Times New Roman" w:hAnsi="Times New Roman" w:cs="Times New Roman"/>
          <w:noProof/>
          <w:sz w:val="24"/>
          <w:lang w:val="en-GB"/>
        </w:rPr>
        <w:t xml:space="preserve"> the development of the Southern Mediterranean. They give priority to the development of the Trans-Mediterranean Transport Network and to transport policy reforms identified jointly under the Regional Transport Action Plan (RTAP)</w:t>
      </w:r>
      <w:r w:rsidR="006750EC">
        <w:rPr>
          <w:rStyle w:val="FootnoteReference"/>
          <w:rFonts w:ascii="Times New Roman" w:hAnsi="Times New Roman" w:cs="Times New Roman"/>
          <w:noProof/>
          <w:sz w:val="24"/>
          <w:lang w:val="en-GB"/>
        </w:rPr>
        <w:footnoteReference w:id="22"/>
      </w:r>
      <w:r w:rsidRPr="00EF4CC2">
        <w:rPr>
          <w:rFonts w:ascii="Times New Roman" w:hAnsi="Times New Roman" w:cs="Times New Roman"/>
          <w:noProof/>
          <w:sz w:val="24"/>
          <w:lang w:val="en-GB"/>
        </w:rPr>
        <w:t>.</w:t>
      </w:r>
      <w:r w:rsidR="009908E9">
        <w:rPr>
          <w:rFonts w:ascii="Times New Roman" w:hAnsi="Times New Roman" w:cs="Times New Roman"/>
          <w:noProof/>
          <w:sz w:val="24"/>
          <w:lang w:val="en-GB"/>
        </w:rPr>
        <w:t xml:space="preserve"> </w:t>
      </w:r>
      <w:r w:rsidR="009958F8">
        <w:rPr>
          <w:rFonts w:ascii="Times New Roman" w:hAnsi="Times New Roman" w:cs="Times New Roman"/>
          <w:noProof/>
          <w:sz w:val="24"/>
          <w:lang w:val="en-GB"/>
        </w:rPr>
        <w:t>T</w:t>
      </w:r>
      <w:r w:rsidR="009908E9">
        <w:rPr>
          <w:rFonts w:ascii="Times New Roman" w:hAnsi="Times New Roman" w:cs="Times New Roman"/>
          <w:noProof/>
          <w:sz w:val="24"/>
          <w:lang w:val="en-GB"/>
        </w:rPr>
        <w:t>he WestMed Initiative</w:t>
      </w:r>
      <w:r w:rsidR="005877E8">
        <w:rPr>
          <w:rStyle w:val="FootnoteReference"/>
          <w:rFonts w:ascii="Times New Roman" w:hAnsi="Times New Roman" w:cs="Times New Roman"/>
          <w:noProof/>
          <w:sz w:val="24"/>
          <w:lang w:val="en-GB"/>
        </w:rPr>
        <w:footnoteReference w:id="23"/>
      </w:r>
      <w:r w:rsidR="009908E9">
        <w:rPr>
          <w:rFonts w:ascii="Times New Roman" w:hAnsi="Times New Roman" w:cs="Times New Roman"/>
          <w:noProof/>
          <w:sz w:val="24"/>
          <w:lang w:val="en-GB"/>
        </w:rPr>
        <w:t xml:space="preserve">, </w:t>
      </w:r>
      <w:r w:rsidR="009958F8">
        <w:rPr>
          <w:rFonts w:ascii="Times New Roman" w:hAnsi="Times New Roman" w:cs="Times New Roman"/>
          <w:noProof/>
          <w:sz w:val="24"/>
          <w:lang w:val="en-GB"/>
        </w:rPr>
        <w:t xml:space="preserve">promoting the </w:t>
      </w:r>
      <w:r w:rsidR="009908E9">
        <w:rPr>
          <w:rFonts w:ascii="Times New Roman" w:hAnsi="Times New Roman" w:cs="Times New Roman"/>
          <w:noProof/>
          <w:sz w:val="24"/>
          <w:lang w:val="en-GB"/>
        </w:rPr>
        <w:t>sustainable development of</w:t>
      </w:r>
      <w:r w:rsidR="009958F8">
        <w:rPr>
          <w:rFonts w:ascii="Times New Roman" w:hAnsi="Times New Roman" w:cs="Times New Roman"/>
          <w:noProof/>
          <w:sz w:val="24"/>
          <w:lang w:val="en-GB"/>
        </w:rPr>
        <w:t xml:space="preserve"> the</w:t>
      </w:r>
      <w:r w:rsidR="009908E9">
        <w:rPr>
          <w:rFonts w:ascii="Times New Roman" w:hAnsi="Times New Roman" w:cs="Times New Roman"/>
          <w:noProof/>
          <w:sz w:val="24"/>
          <w:lang w:val="en-GB"/>
        </w:rPr>
        <w:t xml:space="preserve"> blue economy in the Western Mediterranean</w:t>
      </w:r>
      <w:r w:rsidR="005D5E44">
        <w:rPr>
          <w:rFonts w:ascii="Times New Roman" w:hAnsi="Times New Roman" w:cs="Times New Roman"/>
          <w:noProof/>
          <w:sz w:val="24"/>
          <w:lang w:val="en-GB"/>
        </w:rPr>
        <w:t xml:space="preserve">, </w:t>
      </w:r>
      <w:r w:rsidR="009958F8">
        <w:rPr>
          <w:rFonts w:ascii="Times New Roman" w:hAnsi="Times New Roman" w:cs="Times New Roman"/>
          <w:noProof/>
          <w:sz w:val="24"/>
          <w:lang w:val="en-GB"/>
        </w:rPr>
        <w:t xml:space="preserve">addresses </w:t>
      </w:r>
      <w:r w:rsidR="005D5E44">
        <w:rPr>
          <w:rFonts w:ascii="Times New Roman" w:hAnsi="Times New Roman" w:cs="Times New Roman"/>
          <w:noProof/>
          <w:sz w:val="24"/>
          <w:lang w:val="en-GB"/>
        </w:rPr>
        <w:t>maritime transport.</w:t>
      </w:r>
    </w:p>
    <w:p w:rsidR="00794A3F" w:rsidRDefault="00794A3F" w:rsidP="00794A3F">
      <w:pPr>
        <w:spacing w:after="60"/>
        <w:jc w:val="both"/>
        <w:rPr>
          <w:rFonts w:ascii="Times New Roman" w:hAnsi="Times New Roman" w:cs="Times New Roman"/>
          <w:noProof/>
          <w:sz w:val="24"/>
          <w:lang w:val="en-GB"/>
        </w:rPr>
      </w:pPr>
    </w:p>
    <w:p w:rsidR="00794A3F" w:rsidRDefault="00F653A2" w:rsidP="00794A3F">
      <w:pPr>
        <w:spacing w:after="60"/>
        <w:jc w:val="both"/>
        <w:rPr>
          <w:rFonts w:ascii="Times New Roman" w:hAnsi="Times New Roman" w:cs="Times New Roman"/>
          <w:noProof/>
          <w:sz w:val="24"/>
          <w:lang w:val="en-GB"/>
        </w:rPr>
      </w:pPr>
      <w:r>
        <w:rPr>
          <w:rFonts w:ascii="Times New Roman" w:hAnsi="Times New Roman" w:cs="Times New Roman"/>
          <w:noProof/>
          <w:sz w:val="24"/>
          <w:lang w:val="en-GB"/>
        </w:rPr>
        <w:t>In line with the Renewed Partnership with the Southern Neighbourhood and the Economic and Investment Plan for the region, the Union should s</w:t>
      </w:r>
      <w:r w:rsidRPr="00EF4CC2">
        <w:rPr>
          <w:rFonts w:ascii="Times New Roman" w:hAnsi="Times New Roman" w:cs="Times New Roman"/>
          <w:noProof/>
          <w:sz w:val="24"/>
          <w:lang w:val="en-GB"/>
        </w:rPr>
        <w:t xml:space="preserve">tep up efforts to adopt the indicative maps of the future trans-Mediterranean transport network (TMN-T) and give </w:t>
      </w:r>
      <w:r>
        <w:rPr>
          <w:rFonts w:ascii="Times New Roman" w:hAnsi="Times New Roman" w:cs="Times New Roman"/>
          <w:noProof/>
          <w:sz w:val="24"/>
          <w:lang w:val="en-GB"/>
        </w:rPr>
        <w:t xml:space="preserve">priority to </w:t>
      </w:r>
      <w:r w:rsidRPr="00EF4CC2">
        <w:rPr>
          <w:rFonts w:ascii="Times New Roman" w:hAnsi="Times New Roman" w:cs="Times New Roman"/>
          <w:noProof/>
          <w:sz w:val="24"/>
          <w:lang w:val="en-GB"/>
        </w:rPr>
        <w:t xml:space="preserve">projects on this network </w:t>
      </w:r>
      <w:r w:rsidR="00794A3F">
        <w:rPr>
          <w:rFonts w:ascii="Times New Roman" w:hAnsi="Times New Roman" w:cs="Times New Roman"/>
          <w:noProof/>
          <w:sz w:val="24"/>
          <w:lang w:val="en-GB"/>
        </w:rPr>
        <w:t xml:space="preserve">of particular importance for the Union. Moreover, </w:t>
      </w:r>
      <w:r w:rsidR="00466A9C">
        <w:rPr>
          <w:rFonts w:ascii="Times New Roman" w:hAnsi="Times New Roman" w:cs="Times New Roman"/>
          <w:noProof/>
          <w:sz w:val="24"/>
          <w:lang w:val="en-GB"/>
        </w:rPr>
        <w:t>it should</w:t>
      </w:r>
      <w:r w:rsidR="00794A3F">
        <w:rPr>
          <w:rFonts w:ascii="Times New Roman" w:hAnsi="Times New Roman" w:cs="Times New Roman"/>
          <w:noProof/>
          <w:sz w:val="24"/>
          <w:lang w:val="en-GB"/>
        </w:rPr>
        <w:t xml:space="preserve"> support</w:t>
      </w:r>
      <w:r w:rsidR="00794A3F" w:rsidRPr="00075B00">
        <w:rPr>
          <w:rFonts w:ascii="Times New Roman" w:hAnsi="Times New Roman" w:cs="Times New Roman"/>
          <w:noProof/>
          <w:sz w:val="24"/>
          <w:lang w:val="en-GB"/>
        </w:rPr>
        <w:t xml:space="preserve"> the implementation of the </w:t>
      </w:r>
      <w:r w:rsidR="00794A3F">
        <w:rPr>
          <w:rFonts w:ascii="Times New Roman" w:hAnsi="Times New Roman" w:cs="Times New Roman"/>
          <w:noProof/>
          <w:sz w:val="24"/>
          <w:lang w:val="en-GB"/>
        </w:rPr>
        <w:t>R</w:t>
      </w:r>
      <w:r w:rsidR="00677521">
        <w:rPr>
          <w:rFonts w:ascii="Times New Roman" w:hAnsi="Times New Roman" w:cs="Times New Roman"/>
          <w:noProof/>
          <w:sz w:val="24"/>
          <w:lang w:val="en-GB"/>
        </w:rPr>
        <w:t>TAP</w:t>
      </w:r>
      <w:r w:rsidR="00794A3F" w:rsidRPr="00075B00">
        <w:rPr>
          <w:rFonts w:ascii="Times New Roman" w:hAnsi="Times New Roman" w:cs="Times New Roman"/>
          <w:noProof/>
          <w:sz w:val="24"/>
          <w:lang w:val="en-GB"/>
        </w:rPr>
        <w:t>, which</w:t>
      </w:r>
      <w:r w:rsidR="00794A3F">
        <w:rPr>
          <w:rFonts w:ascii="Times New Roman" w:hAnsi="Times New Roman" w:cs="Times New Roman"/>
          <w:noProof/>
          <w:sz w:val="24"/>
          <w:lang w:val="en-GB"/>
        </w:rPr>
        <w:t xml:space="preserve"> lays down</w:t>
      </w:r>
      <w:r w:rsidR="00794A3F" w:rsidRPr="00075B00">
        <w:rPr>
          <w:rFonts w:ascii="Times New Roman" w:hAnsi="Times New Roman" w:cs="Times New Roman"/>
          <w:noProof/>
          <w:sz w:val="24"/>
          <w:lang w:val="en-GB"/>
        </w:rPr>
        <w:t xml:space="preserve"> agreed principles </w:t>
      </w:r>
      <w:r w:rsidR="00794A3F">
        <w:rPr>
          <w:rFonts w:ascii="Times New Roman" w:hAnsi="Times New Roman" w:cs="Times New Roman"/>
          <w:noProof/>
          <w:sz w:val="24"/>
          <w:lang w:val="en-GB"/>
        </w:rPr>
        <w:t>for the development of</w:t>
      </w:r>
      <w:r w:rsidR="00794A3F" w:rsidRPr="00075B00">
        <w:rPr>
          <w:rFonts w:ascii="Times New Roman" w:hAnsi="Times New Roman" w:cs="Times New Roman"/>
          <w:noProof/>
          <w:sz w:val="24"/>
          <w:lang w:val="en-GB"/>
        </w:rPr>
        <w:t xml:space="preserve"> a multimodal, sustainable and integrated transport system, inclu</w:t>
      </w:r>
      <w:r w:rsidR="00794A3F">
        <w:rPr>
          <w:rFonts w:ascii="Times New Roman" w:hAnsi="Times New Roman" w:cs="Times New Roman"/>
          <w:noProof/>
          <w:sz w:val="24"/>
          <w:lang w:val="en-GB"/>
        </w:rPr>
        <w:t>ding the pursuit of regulatory convergence</w:t>
      </w:r>
      <w:r w:rsidR="00794A3F" w:rsidRPr="00075B00">
        <w:rPr>
          <w:rFonts w:ascii="Times New Roman" w:hAnsi="Times New Roman" w:cs="Times New Roman"/>
          <w:noProof/>
          <w:sz w:val="24"/>
          <w:lang w:val="en-GB"/>
        </w:rPr>
        <w:t>.</w:t>
      </w:r>
      <w:r w:rsidR="009908E9">
        <w:rPr>
          <w:rFonts w:ascii="Times New Roman" w:hAnsi="Times New Roman" w:cs="Times New Roman"/>
          <w:noProof/>
          <w:sz w:val="24"/>
          <w:lang w:val="en-GB"/>
        </w:rPr>
        <w:t xml:space="preserve"> This approach aligns with the Union for the Mediterranean (UfM) cooperation framework on sustainable Transport and Blue Economy. </w:t>
      </w:r>
    </w:p>
    <w:p w:rsidR="00794A3F" w:rsidRPr="001D5DE4" w:rsidRDefault="00794A3F" w:rsidP="00794A3F">
      <w:pPr>
        <w:spacing w:after="60"/>
        <w:jc w:val="both"/>
        <w:rPr>
          <w:rFonts w:ascii="Times New Roman" w:hAnsi="Times New Roman" w:cs="Times New Roman"/>
          <w:noProof/>
          <w:sz w:val="24"/>
          <w:lang w:val="en-GB"/>
        </w:rPr>
      </w:pPr>
    </w:p>
    <w:p w:rsidR="00794A3F" w:rsidRPr="001D5DE4" w:rsidRDefault="00794A3F" w:rsidP="00794A3F">
      <w:pPr>
        <w:spacing w:after="60"/>
        <w:jc w:val="both"/>
        <w:rPr>
          <w:rFonts w:ascii="Times New Roman" w:hAnsi="Times New Roman" w:cs="Times New Roman"/>
          <w:b/>
          <w:i/>
          <w:noProof/>
          <w:sz w:val="24"/>
          <w:lang w:val="en-GB"/>
        </w:rPr>
      </w:pPr>
      <w:r w:rsidRPr="001D5DE4">
        <w:rPr>
          <w:rFonts w:ascii="Times New Roman" w:hAnsi="Times New Roman" w:cs="Times New Roman"/>
          <w:b/>
          <w:i/>
          <w:noProof/>
          <w:sz w:val="24"/>
          <w:lang w:val="en-GB"/>
        </w:rPr>
        <w:t>Turkey</w:t>
      </w:r>
    </w:p>
    <w:p w:rsidR="00F725AA" w:rsidRPr="0072055A" w:rsidRDefault="002D6E4C" w:rsidP="00F725AA">
      <w:pPr>
        <w:spacing w:after="60"/>
        <w:jc w:val="both"/>
        <w:rPr>
          <w:rFonts w:ascii="Times New Roman" w:hAnsi="Times New Roman" w:cs="Times New Roman"/>
          <w:noProof/>
          <w:sz w:val="24"/>
          <w:lang w:val="en-GB"/>
        </w:rPr>
      </w:pPr>
      <w:r>
        <w:rPr>
          <w:rFonts w:ascii="Times New Roman" w:hAnsi="Times New Roman" w:cs="Times New Roman"/>
          <w:noProof/>
          <w:sz w:val="24"/>
          <w:lang w:val="en-GB"/>
        </w:rPr>
        <w:t xml:space="preserve">The </w:t>
      </w:r>
      <w:r w:rsidR="00466A9C">
        <w:rPr>
          <w:rFonts w:ascii="Times New Roman" w:hAnsi="Times New Roman" w:cs="Times New Roman"/>
          <w:noProof/>
          <w:sz w:val="24"/>
          <w:lang w:val="en-GB"/>
        </w:rPr>
        <w:t xml:space="preserve">Union </w:t>
      </w:r>
      <w:r>
        <w:rPr>
          <w:rFonts w:ascii="Times New Roman" w:hAnsi="Times New Roman" w:cs="Times New Roman"/>
          <w:noProof/>
          <w:sz w:val="24"/>
          <w:lang w:val="en-GB"/>
        </w:rPr>
        <w:t xml:space="preserve">and </w:t>
      </w:r>
      <w:r w:rsidR="00794A3F" w:rsidRPr="00B41CA4">
        <w:rPr>
          <w:rFonts w:ascii="Times New Roman" w:hAnsi="Times New Roman" w:cs="Times New Roman"/>
          <w:noProof/>
          <w:sz w:val="24"/>
          <w:lang w:val="en-GB"/>
        </w:rPr>
        <w:t xml:space="preserve">Turkey </w:t>
      </w:r>
      <w:r>
        <w:rPr>
          <w:rFonts w:ascii="Times New Roman" w:hAnsi="Times New Roman" w:cs="Times New Roman"/>
          <w:noProof/>
          <w:sz w:val="24"/>
          <w:lang w:val="en-GB"/>
        </w:rPr>
        <w:t xml:space="preserve">are </w:t>
      </w:r>
      <w:r w:rsidR="00794A3F" w:rsidRPr="00B41CA4">
        <w:rPr>
          <w:rFonts w:ascii="Times New Roman" w:hAnsi="Times New Roman" w:cs="Times New Roman"/>
          <w:noProof/>
          <w:sz w:val="24"/>
          <w:lang w:val="en-GB"/>
        </w:rPr>
        <w:t xml:space="preserve">important </w:t>
      </w:r>
      <w:r>
        <w:rPr>
          <w:rFonts w:ascii="Times New Roman" w:hAnsi="Times New Roman" w:cs="Times New Roman"/>
          <w:noProof/>
          <w:sz w:val="24"/>
          <w:lang w:val="en-GB"/>
        </w:rPr>
        <w:t>trading partners</w:t>
      </w:r>
      <w:r w:rsidRPr="00B41CA4">
        <w:rPr>
          <w:rFonts w:ascii="Times New Roman" w:hAnsi="Times New Roman" w:cs="Times New Roman"/>
          <w:noProof/>
          <w:sz w:val="24"/>
          <w:lang w:val="en-GB"/>
        </w:rPr>
        <w:t xml:space="preserve"> </w:t>
      </w:r>
      <w:r w:rsidR="00794A3F" w:rsidRPr="00B41CA4">
        <w:rPr>
          <w:rFonts w:ascii="Times New Roman" w:hAnsi="Times New Roman" w:cs="Times New Roman"/>
          <w:noProof/>
          <w:sz w:val="24"/>
          <w:lang w:val="en-GB"/>
        </w:rPr>
        <w:t xml:space="preserve">and </w:t>
      </w:r>
      <w:r>
        <w:rPr>
          <w:rFonts w:ascii="Times New Roman" w:hAnsi="Times New Roman" w:cs="Times New Roman"/>
          <w:noProof/>
          <w:sz w:val="24"/>
          <w:lang w:val="en-GB"/>
        </w:rPr>
        <w:t>Turkey is</w:t>
      </w:r>
      <w:r w:rsidRPr="00B41CA4">
        <w:rPr>
          <w:rFonts w:ascii="Times New Roman" w:hAnsi="Times New Roman" w:cs="Times New Roman"/>
          <w:noProof/>
          <w:sz w:val="24"/>
          <w:lang w:val="en-GB"/>
        </w:rPr>
        <w:t xml:space="preserve"> </w:t>
      </w:r>
      <w:r w:rsidR="00794A3F" w:rsidRPr="00B41CA4">
        <w:rPr>
          <w:rFonts w:ascii="Times New Roman" w:hAnsi="Times New Roman" w:cs="Times New Roman"/>
          <w:noProof/>
          <w:sz w:val="24"/>
          <w:lang w:val="en-GB"/>
        </w:rPr>
        <w:t xml:space="preserve">a key transit country for </w:t>
      </w:r>
      <w:r w:rsidR="00466A9C">
        <w:rPr>
          <w:rFonts w:ascii="Times New Roman" w:hAnsi="Times New Roman" w:cs="Times New Roman"/>
          <w:noProof/>
          <w:sz w:val="24"/>
          <w:lang w:val="en-GB"/>
        </w:rPr>
        <w:t>Union</w:t>
      </w:r>
      <w:r w:rsidR="00466A9C" w:rsidRPr="00B41CA4">
        <w:rPr>
          <w:rFonts w:ascii="Times New Roman" w:hAnsi="Times New Roman" w:cs="Times New Roman"/>
          <w:noProof/>
          <w:sz w:val="24"/>
          <w:lang w:val="en-GB"/>
        </w:rPr>
        <w:t xml:space="preserve"> </w:t>
      </w:r>
      <w:r w:rsidR="00794A3F" w:rsidRPr="00B41CA4">
        <w:rPr>
          <w:rFonts w:ascii="Times New Roman" w:hAnsi="Times New Roman" w:cs="Times New Roman"/>
          <w:noProof/>
          <w:sz w:val="24"/>
          <w:lang w:val="en-GB"/>
        </w:rPr>
        <w:t xml:space="preserve">trade </w:t>
      </w:r>
      <w:r w:rsidR="00794A3F" w:rsidRPr="0050651E">
        <w:rPr>
          <w:rFonts w:ascii="Times New Roman" w:hAnsi="Times New Roman" w:cs="Times New Roman"/>
          <w:noProof/>
          <w:sz w:val="24"/>
          <w:lang w:val="en-GB"/>
        </w:rPr>
        <w:t>with the Middle and</w:t>
      </w:r>
      <w:r w:rsidR="00794A3F" w:rsidRPr="002B1D61">
        <w:rPr>
          <w:rFonts w:ascii="Times New Roman" w:hAnsi="Times New Roman" w:cs="Times New Roman"/>
          <w:noProof/>
          <w:sz w:val="24"/>
          <w:lang w:val="en-GB"/>
        </w:rPr>
        <w:t xml:space="preserve"> Far East. </w:t>
      </w:r>
      <w:r>
        <w:rPr>
          <w:rFonts w:ascii="Times New Roman" w:hAnsi="Times New Roman" w:cs="Times New Roman"/>
          <w:noProof/>
          <w:sz w:val="24"/>
          <w:lang w:val="en-GB"/>
        </w:rPr>
        <w:t>T</w:t>
      </w:r>
      <w:r w:rsidR="00794A3F" w:rsidRPr="00B41CA4">
        <w:rPr>
          <w:rFonts w:ascii="Times New Roman" w:hAnsi="Times New Roman" w:cs="Times New Roman"/>
          <w:noProof/>
          <w:sz w:val="24"/>
          <w:lang w:val="en-GB"/>
        </w:rPr>
        <w:t xml:space="preserve">he </w:t>
      </w:r>
      <w:r w:rsidR="00466A9C">
        <w:rPr>
          <w:rFonts w:ascii="Times New Roman" w:hAnsi="Times New Roman" w:cs="Times New Roman"/>
          <w:noProof/>
          <w:sz w:val="24"/>
          <w:lang w:val="en-GB"/>
        </w:rPr>
        <w:t>Union</w:t>
      </w:r>
      <w:r w:rsidR="00466A9C" w:rsidRPr="00B41CA4">
        <w:rPr>
          <w:rFonts w:ascii="Times New Roman" w:hAnsi="Times New Roman" w:cs="Times New Roman"/>
          <w:noProof/>
          <w:sz w:val="24"/>
          <w:lang w:val="en-GB"/>
        </w:rPr>
        <w:t xml:space="preserve"> </w:t>
      </w:r>
      <w:r w:rsidR="00794A3F" w:rsidRPr="00B41CA4">
        <w:rPr>
          <w:rFonts w:ascii="Times New Roman" w:hAnsi="Times New Roman" w:cs="Times New Roman"/>
          <w:noProof/>
          <w:sz w:val="24"/>
          <w:lang w:val="en-GB"/>
        </w:rPr>
        <w:t xml:space="preserve">and Turkey </w:t>
      </w:r>
      <w:r w:rsidR="00F725AA" w:rsidRPr="00B41CA4">
        <w:rPr>
          <w:rFonts w:ascii="Times New Roman" w:hAnsi="Times New Roman" w:cs="Times New Roman"/>
          <w:noProof/>
          <w:sz w:val="24"/>
          <w:lang w:val="en-GB"/>
        </w:rPr>
        <w:t xml:space="preserve">therefore </w:t>
      </w:r>
      <w:r w:rsidR="00794A3F" w:rsidRPr="00B41CA4">
        <w:rPr>
          <w:rFonts w:ascii="Times New Roman" w:hAnsi="Times New Roman" w:cs="Times New Roman"/>
          <w:noProof/>
          <w:sz w:val="24"/>
          <w:lang w:val="en-GB"/>
        </w:rPr>
        <w:t xml:space="preserve">share an interest in </w:t>
      </w:r>
      <w:r>
        <w:rPr>
          <w:rFonts w:ascii="Times New Roman" w:hAnsi="Times New Roman" w:cs="Times New Roman"/>
          <w:noProof/>
          <w:sz w:val="24"/>
          <w:lang w:val="en-GB"/>
        </w:rPr>
        <w:t>developing and upgrading</w:t>
      </w:r>
      <w:r w:rsidR="00794A3F" w:rsidRPr="00B41CA4">
        <w:rPr>
          <w:rFonts w:ascii="Times New Roman" w:hAnsi="Times New Roman" w:cs="Times New Roman"/>
          <w:noProof/>
          <w:sz w:val="24"/>
          <w:lang w:val="en-GB"/>
        </w:rPr>
        <w:t xml:space="preserve"> </w:t>
      </w:r>
      <w:r w:rsidR="002E3A8F">
        <w:rPr>
          <w:rFonts w:ascii="Times New Roman" w:hAnsi="Times New Roman" w:cs="Times New Roman"/>
          <w:noProof/>
          <w:sz w:val="24"/>
          <w:lang w:val="en-GB"/>
        </w:rPr>
        <w:t xml:space="preserve">the </w:t>
      </w:r>
      <w:r w:rsidR="00794A3F" w:rsidRPr="00B41CA4">
        <w:rPr>
          <w:rFonts w:ascii="Times New Roman" w:hAnsi="Times New Roman" w:cs="Times New Roman"/>
          <w:noProof/>
          <w:sz w:val="24"/>
          <w:lang w:val="en-GB"/>
        </w:rPr>
        <w:t>infrastructure</w:t>
      </w:r>
      <w:r w:rsidRPr="00B41CA4">
        <w:rPr>
          <w:rFonts w:ascii="Times New Roman" w:hAnsi="Times New Roman" w:cs="Times New Roman"/>
          <w:noProof/>
          <w:sz w:val="24"/>
          <w:lang w:val="en-GB"/>
        </w:rPr>
        <w:t xml:space="preserve">. </w:t>
      </w:r>
      <w:r>
        <w:rPr>
          <w:rFonts w:ascii="Times New Roman" w:hAnsi="Times New Roman" w:cs="Times New Roman"/>
          <w:noProof/>
          <w:sz w:val="24"/>
          <w:lang w:val="en-GB"/>
        </w:rPr>
        <w:t>P</w:t>
      </w:r>
      <w:r w:rsidRPr="00B41CA4">
        <w:rPr>
          <w:rFonts w:ascii="Times New Roman" w:hAnsi="Times New Roman" w:cs="Times New Roman"/>
          <w:noProof/>
          <w:sz w:val="24"/>
          <w:lang w:val="en-GB"/>
        </w:rPr>
        <w:t xml:space="preserve">rogress on project implementation </w:t>
      </w:r>
      <w:r>
        <w:rPr>
          <w:rFonts w:ascii="Times New Roman" w:hAnsi="Times New Roman" w:cs="Times New Roman"/>
          <w:noProof/>
          <w:sz w:val="24"/>
          <w:lang w:val="en-GB"/>
        </w:rPr>
        <w:t xml:space="preserve">is </w:t>
      </w:r>
      <w:r w:rsidR="006B4B79">
        <w:rPr>
          <w:rFonts w:ascii="Times New Roman" w:hAnsi="Times New Roman" w:cs="Times New Roman"/>
          <w:noProof/>
          <w:sz w:val="24"/>
          <w:lang w:val="en-GB"/>
        </w:rPr>
        <w:t xml:space="preserve">critical </w:t>
      </w:r>
      <w:r>
        <w:rPr>
          <w:rFonts w:ascii="Times New Roman" w:hAnsi="Times New Roman" w:cs="Times New Roman"/>
          <w:noProof/>
          <w:sz w:val="24"/>
          <w:lang w:val="en-GB"/>
        </w:rPr>
        <w:t xml:space="preserve">to fully </w:t>
      </w:r>
      <w:r w:rsidR="006B4B79">
        <w:rPr>
          <w:rFonts w:ascii="Times New Roman" w:hAnsi="Times New Roman" w:cs="Times New Roman"/>
          <w:noProof/>
          <w:sz w:val="24"/>
          <w:lang w:val="en-GB"/>
        </w:rPr>
        <w:t xml:space="preserve">realise </w:t>
      </w:r>
      <w:r>
        <w:rPr>
          <w:rFonts w:ascii="Times New Roman" w:hAnsi="Times New Roman" w:cs="Times New Roman"/>
          <w:noProof/>
          <w:sz w:val="24"/>
          <w:lang w:val="en-GB"/>
        </w:rPr>
        <w:t>the potential of</w:t>
      </w:r>
      <w:r w:rsidRPr="00B41CA4">
        <w:rPr>
          <w:rFonts w:ascii="Times New Roman" w:hAnsi="Times New Roman" w:cs="Times New Roman"/>
          <w:noProof/>
          <w:sz w:val="24"/>
          <w:lang w:val="en-GB"/>
        </w:rPr>
        <w:t xml:space="preserve"> </w:t>
      </w:r>
      <w:r w:rsidR="003C3A96">
        <w:rPr>
          <w:rFonts w:ascii="Times New Roman" w:hAnsi="Times New Roman" w:cs="Times New Roman"/>
          <w:noProof/>
          <w:sz w:val="24"/>
          <w:lang w:val="en-GB"/>
        </w:rPr>
        <w:t>the indicative TEN-T in Turkey.</w:t>
      </w:r>
      <w:r w:rsidR="00794A3F" w:rsidRPr="00B41CA4">
        <w:rPr>
          <w:rFonts w:ascii="Times New Roman" w:hAnsi="Times New Roman" w:cs="Times New Roman"/>
          <w:noProof/>
          <w:sz w:val="24"/>
          <w:lang w:val="en-GB"/>
        </w:rPr>
        <w:t xml:space="preserve"> </w:t>
      </w:r>
      <w:r>
        <w:rPr>
          <w:rFonts w:ascii="Times New Roman" w:hAnsi="Times New Roman" w:cs="Times New Roman"/>
          <w:noProof/>
          <w:sz w:val="24"/>
          <w:lang w:val="en-GB"/>
        </w:rPr>
        <w:t>T</w:t>
      </w:r>
      <w:r w:rsidRPr="0072055A">
        <w:rPr>
          <w:rFonts w:ascii="Times New Roman" w:hAnsi="Times New Roman" w:cs="Times New Roman"/>
          <w:noProof/>
          <w:sz w:val="24"/>
          <w:lang w:val="en-IE"/>
        </w:rPr>
        <w:t>o maximise th</w:t>
      </w:r>
      <w:r>
        <w:rPr>
          <w:rFonts w:ascii="Times New Roman" w:hAnsi="Times New Roman" w:cs="Times New Roman"/>
          <w:noProof/>
          <w:sz w:val="24"/>
          <w:lang w:val="en-IE"/>
        </w:rPr>
        <w:t>ose</w:t>
      </w:r>
      <w:r w:rsidRPr="0072055A">
        <w:rPr>
          <w:rFonts w:ascii="Times New Roman" w:hAnsi="Times New Roman" w:cs="Times New Roman"/>
          <w:noProof/>
          <w:sz w:val="24"/>
          <w:lang w:val="en-IE"/>
        </w:rPr>
        <w:t xml:space="preserve"> benefits for </w:t>
      </w:r>
      <w:r>
        <w:rPr>
          <w:rFonts w:ascii="Times New Roman" w:hAnsi="Times New Roman" w:cs="Times New Roman"/>
          <w:noProof/>
          <w:sz w:val="24"/>
          <w:lang w:val="en-IE"/>
        </w:rPr>
        <w:t xml:space="preserve">both </w:t>
      </w:r>
      <w:r w:rsidRPr="0072055A">
        <w:rPr>
          <w:rFonts w:ascii="Times New Roman" w:hAnsi="Times New Roman" w:cs="Times New Roman"/>
          <w:noProof/>
          <w:sz w:val="24"/>
          <w:lang w:val="en-IE"/>
        </w:rPr>
        <w:t xml:space="preserve">Turkey and the </w:t>
      </w:r>
      <w:r w:rsidR="00466A9C">
        <w:rPr>
          <w:rFonts w:ascii="Times New Roman" w:hAnsi="Times New Roman" w:cs="Times New Roman"/>
          <w:noProof/>
          <w:sz w:val="24"/>
          <w:lang w:val="en-IE"/>
        </w:rPr>
        <w:t>Union</w:t>
      </w:r>
      <w:r>
        <w:rPr>
          <w:rFonts w:ascii="Times New Roman" w:hAnsi="Times New Roman" w:cs="Times New Roman"/>
          <w:noProof/>
          <w:sz w:val="24"/>
          <w:lang w:val="en-IE"/>
        </w:rPr>
        <w:t>, coordination of i</w:t>
      </w:r>
      <w:r w:rsidR="00F725AA" w:rsidRPr="0072055A">
        <w:rPr>
          <w:rFonts w:ascii="Times New Roman" w:hAnsi="Times New Roman" w:cs="Times New Roman"/>
          <w:noProof/>
          <w:sz w:val="24"/>
          <w:lang w:val="en-IE"/>
        </w:rPr>
        <w:t>nfrastructure</w:t>
      </w:r>
      <w:r w:rsidRPr="002D6E4C">
        <w:rPr>
          <w:rFonts w:ascii="Times New Roman" w:hAnsi="Times New Roman" w:cs="Times New Roman"/>
          <w:noProof/>
          <w:sz w:val="24"/>
          <w:lang w:val="en-IE"/>
        </w:rPr>
        <w:t xml:space="preserve"> </w:t>
      </w:r>
      <w:r>
        <w:rPr>
          <w:rFonts w:ascii="Times New Roman" w:hAnsi="Times New Roman" w:cs="Times New Roman"/>
          <w:noProof/>
          <w:sz w:val="24"/>
          <w:lang w:val="en-IE"/>
        </w:rPr>
        <w:t>development is essential</w:t>
      </w:r>
      <w:r w:rsidR="00F725AA" w:rsidRPr="0072055A">
        <w:rPr>
          <w:rFonts w:ascii="Times New Roman" w:hAnsi="Times New Roman" w:cs="Times New Roman"/>
          <w:noProof/>
          <w:sz w:val="24"/>
          <w:lang w:val="en-IE"/>
        </w:rPr>
        <w:t>, in particular</w:t>
      </w:r>
      <w:r w:rsidR="006B4B79">
        <w:rPr>
          <w:rFonts w:ascii="Times New Roman" w:hAnsi="Times New Roman" w:cs="Times New Roman"/>
          <w:noProof/>
          <w:sz w:val="24"/>
          <w:lang w:val="en-IE"/>
        </w:rPr>
        <w:t>,</w:t>
      </w:r>
      <w:r>
        <w:rPr>
          <w:rFonts w:ascii="Times New Roman" w:hAnsi="Times New Roman" w:cs="Times New Roman"/>
          <w:noProof/>
          <w:sz w:val="24"/>
          <w:lang w:val="en-IE"/>
        </w:rPr>
        <w:t xml:space="preserve"> for railway</w:t>
      </w:r>
      <w:r w:rsidR="00F725AA" w:rsidRPr="0072055A">
        <w:rPr>
          <w:rFonts w:ascii="Times New Roman" w:hAnsi="Times New Roman" w:cs="Times New Roman"/>
          <w:noProof/>
          <w:sz w:val="24"/>
          <w:lang w:val="en-IE"/>
        </w:rPr>
        <w:t>.</w:t>
      </w:r>
      <w:r w:rsidR="004915DD">
        <w:rPr>
          <w:rFonts w:ascii="Times New Roman" w:hAnsi="Times New Roman" w:cs="Times New Roman"/>
          <w:noProof/>
          <w:sz w:val="24"/>
          <w:lang w:val="en-IE"/>
        </w:rPr>
        <w:t xml:space="preserve"> A key project under the IPA, </w:t>
      </w:r>
      <w:r w:rsidR="004915DD" w:rsidRPr="345B5C66">
        <w:rPr>
          <w:rFonts w:ascii="Times New Roman" w:eastAsia="Times New Roman" w:hAnsi="Times New Roman" w:cs="Times New Roman"/>
          <w:noProof/>
          <w:sz w:val="24"/>
          <w:szCs w:val="24"/>
          <w:lang w:val="en-IE"/>
        </w:rPr>
        <w:t xml:space="preserve">Turkey will ensure a valuable access to the TEN-T through Bulgaria </w:t>
      </w:r>
      <w:r w:rsidR="004915DD">
        <w:rPr>
          <w:rFonts w:ascii="Times New Roman" w:eastAsia="Times New Roman" w:hAnsi="Times New Roman" w:cs="Times New Roman"/>
          <w:noProof/>
          <w:sz w:val="24"/>
          <w:szCs w:val="24"/>
          <w:lang w:val="en-IE"/>
        </w:rPr>
        <w:t>with</w:t>
      </w:r>
      <w:r w:rsidR="004915DD" w:rsidRPr="345B5C66">
        <w:rPr>
          <w:rFonts w:ascii="Times New Roman" w:eastAsia="Times New Roman" w:hAnsi="Times New Roman" w:cs="Times New Roman"/>
          <w:noProof/>
          <w:sz w:val="24"/>
          <w:szCs w:val="24"/>
          <w:lang w:val="en-IE"/>
        </w:rPr>
        <w:t xml:space="preserve"> the completion of</w:t>
      </w:r>
      <w:r w:rsidR="004915DD" w:rsidRPr="345B5C66">
        <w:rPr>
          <w:rFonts w:ascii="Calibri" w:eastAsia="Calibri" w:hAnsi="Calibri" w:cs="Calibri"/>
          <w:noProof/>
          <w:color w:val="000000" w:themeColor="text1"/>
          <w:sz w:val="24"/>
          <w:szCs w:val="24"/>
          <w:lang w:val="en-IE"/>
        </w:rPr>
        <w:t xml:space="preserve"> </w:t>
      </w:r>
      <w:r w:rsidR="004915DD">
        <w:rPr>
          <w:rFonts w:ascii="Times New Roman" w:eastAsia="Times New Roman" w:hAnsi="Times New Roman" w:cs="Times New Roman"/>
          <w:noProof/>
          <w:color w:val="000000" w:themeColor="text1"/>
          <w:sz w:val="24"/>
          <w:szCs w:val="24"/>
          <w:lang w:val="en-IE"/>
        </w:rPr>
        <w:t>the Halkali – Kapikule railway</w:t>
      </w:r>
      <w:r w:rsidR="004915DD" w:rsidRPr="345B5C66">
        <w:rPr>
          <w:rFonts w:ascii="Times New Roman" w:eastAsia="Times New Roman" w:hAnsi="Times New Roman" w:cs="Times New Roman"/>
          <w:noProof/>
          <w:color w:val="000000" w:themeColor="text1"/>
          <w:sz w:val="24"/>
          <w:szCs w:val="24"/>
          <w:lang w:val="en-IE"/>
        </w:rPr>
        <w:t>,</w:t>
      </w:r>
      <w:r w:rsidR="004915DD">
        <w:rPr>
          <w:rFonts w:ascii="Times New Roman" w:eastAsia="Times New Roman" w:hAnsi="Times New Roman" w:cs="Times New Roman"/>
          <w:noProof/>
          <w:color w:val="000000" w:themeColor="text1"/>
          <w:sz w:val="24"/>
          <w:szCs w:val="24"/>
          <w:lang w:val="en-IE"/>
        </w:rPr>
        <w:t xml:space="preserve"> which is</w:t>
      </w:r>
      <w:r w:rsidR="004915DD" w:rsidRPr="345B5C66">
        <w:rPr>
          <w:rFonts w:ascii="Times New Roman" w:eastAsia="Times New Roman" w:hAnsi="Times New Roman" w:cs="Times New Roman"/>
          <w:noProof/>
          <w:color w:val="000000" w:themeColor="text1"/>
          <w:sz w:val="24"/>
          <w:szCs w:val="24"/>
          <w:lang w:val="en-IE"/>
        </w:rPr>
        <w:t xml:space="preserve"> </w:t>
      </w:r>
      <w:r w:rsidR="004915DD">
        <w:rPr>
          <w:rFonts w:ascii="Times New Roman" w:eastAsia="Times New Roman" w:hAnsi="Times New Roman" w:cs="Times New Roman"/>
          <w:noProof/>
          <w:color w:val="000000" w:themeColor="text1"/>
          <w:sz w:val="24"/>
          <w:szCs w:val="24"/>
          <w:lang w:val="en-IE"/>
        </w:rPr>
        <w:t xml:space="preserve">co-funded </w:t>
      </w:r>
      <w:r w:rsidR="004915DD" w:rsidRPr="345B5C66">
        <w:rPr>
          <w:rFonts w:ascii="Times New Roman" w:eastAsia="Times New Roman" w:hAnsi="Times New Roman" w:cs="Times New Roman"/>
          <w:noProof/>
          <w:color w:val="000000" w:themeColor="text1"/>
          <w:sz w:val="24"/>
          <w:szCs w:val="24"/>
          <w:lang w:val="en-IE"/>
        </w:rPr>
        <w:t>from the IPA inst</w:t>
      </w:r>
      <w:r w:rsidR="004915DD">
        <w:rPr>
          <w:rFonts w:ascii="Times New Roman" w:eastAsia="Times New Roman" w:hAnsi="Times New Roman" w:cs="Times New Roman"/>
          <w:noProof/>
          <w:color w:val="000000" w:themeColor="text1"/>
          <w:sz w:val="24"/>
          <w:szCs w:val="24"/>
          <w:lang w:val="en-IE"/>
        </w:rPr>
        <w:t xml:space="preserve">rument </w:t>
      </w:r>
      <w:r w:rsidR="00832DDF">
        <w:rPr>
          <w:rFonts w:ascii="Times New Roman" w:eastAsia="Times New Roman" w:hAnsi="Times New Roman" w:cs="Times New Roman"/>
          <w:noProof/>
          <w:color w:val="000000" w:themeColor="text1"/>
          <w:sz w:val="24"/>
          <w:szCs w:val="24"/>
          <w:lang w:val="en-IE"/>
        </w:rPr>
        <w:t xml:space="preserve">with </w:t>
      </w:r>
      <w:r w:rsidR="004915DD">
        <w:rPr>
          <w:rFonts w:ascii="Times New Roman" w:eastAsia="Times New Roman" w:hAnsi="Times New Roman" w:cs="Times New Roman"/>
          <w:noProof/>
          <w:color w:val="000000" w:themeColor="text1"/>
          <w:sz w:val="24"/>
          <w:szCs w:val="24"/>
          <w:lang w:val="en-IE"/>
        </w:rPr>
        <w:t>EUR 275 million</w:t>
      </w:r>
      <w:r w:rsidR="004915DD" w:rsidRPr="345B5C66">
        <w:rPr>
          <w:rFonts w:ascii="Times New Roman" w:eastAsia="Times New Roman" w:hAnsi="Times New Roman" w:cs="Times New Roman"/>
          <w:noProof/>
          <w:color w:val="000000" w:themeColor="text1"/>
          <w:sz w:val="24"/>
          <w:szCs w:val="24"/>
          <w:lang w:val="en-IE"/>
        </w:rPr>
        <w:t xml:space="preserve"> and</w:t>
      </w:r>
      <w:r w:rsidR="004915DD">
        <w:rPr>
          <w:rFonts w:ascii="Times New Roman" w:eastAsia="Times New Roman" w:hAnsi="Times New Roman" w:cs="Times New Roman"/>
          <w:noProof/>
          <w:color w:val="000000" w:themeColor="text1"/>
          <w:sz w:val="24"/>
          <w:szCs w:val="24"/>
          <w:lang w:val="en-IE"/>
        </w:rPr>
        <w:t xml:space="preserve"> co-financed by the</w:t>
      </w:r>
      <w:r w:rsidR="004915DD" w:rsidRPr="345B5C66">
        <w:rPr>
          <w:rFonts w:ascii="Times New Roman" w:eastAsia="Times New Roman" w:hAnsi="Times New Roman" w:cs="Times New Roman"/>
          <w:noProof/>
          <w:color w:val="000000" w:themeColor="text1"/>
          <w:sz w:val="24"/>
          <w:szCs w:val="24"/>
          <w:lang w:val="en-IE"/>
        </w:rPr>
        <w:t xml:space="preserve"> European Financial Institutions (EIB and EBRD).</w:t>
      </w:r>
      <w:r w:rsidR="00AA072E">
        <w:rPr>
          <w:rFonts w:ascii="Times New Roman" w:eastAsia="Times New Roman" w:hAnsi="Times New Roman" w:cs="Times New Roman"/>
          <w:noProof/>
          <w:color w:val="000000" w:themeColor="text1"/>
          <w:sz w:val="24"/>
          <w:szCs w:val="24"/>
          <w:lang w:val="en-IE"/>
        </w:rPr>
        <w:t xml:space="preserve"> The alignment of Turkey with the </w:t>
      </w:r>
      <w:r w:rsidR="00AA072E" w:rsidRPr="003C3A96">
        <w:rPr>
          <w:rFonts w:ascii="Times New Roman" w:hAnsi="Times New Roman" w:cs="Times New Roman"/>
          <w:noProof/>
          <w:sz w:val="24"/>
          <w:lang w:val="en-GB"/>
        </w:rPr>
        <w:t xml:space="preserve">TEN-T </w:t>
      </w:r>
      <w:r w:rsidR="00AA072E" w:rsidRPr="003C3A96">
        <w:rPr>
          <w:rFonts w:ascii="Times New Roman" w:hAnsi="Times New Roman" w:cs="Times New Roman"/>
          <w:i/>
          <w:noProof/>
          <w:sz w:val="24"/>
          <w:lang w:val="en-GB"/>
        </w:rPr>
        <w:t>acquis</w:t>
      </w:r>
      <w:r w:rsidR="00AA072E">
        <w:rPr>
          <w:rFonts w:ascii="Times New Roman" w:hAnsi="Times New Roman" w:cs="Times New Roman"/>
          <w:i/>
          <w:noProof/>
          <w:sz w:val="24"/>
          <w:lang w:val="en-GB"/>
        </w:rPr>
        <w:t xml:space="preserve"> </w:t>
      </w:r>
      <w:r w:rsidR="00AA072E">
        <w:rPr>
          <w:rFonts w:ascii="Times New Roman" w:hAnsi="Times New Roman" w:cs="Times New Roman"/>
          <w:noProof/>
          <w:sz w:val="24"/>
          <w:lang w:val="en-GB"/>
        </w:rPr>
        <w:t>remains of key importance.</w:t>
      </w:r>
      <w:r w:rsidR="00AA072E">
        <w:rPr>
          <w:rStyle w:val="FootnoteReference"/>
          <w:rFonts w:ascii="Times New Roman" w:hAnsi="Times New Roman" w:cs="Times New Roman"/>
          <w:noProof/>
          <w:sz w:val="24"/>
          <w:lang w:val="en-GB"/>
        </w:rPr>
        <w:footnoteReference w:id="24"/>
      </w:r>
      <w:r w:rsidR="004915DD" w:rsidRPr="345B5C66">
        <w:rPr>
          <w:rFonts w:ascii="Times New Roman" w:eastAsia="Times New Roman" w:hAnsi="Times New Roman" w:cs="Times New Roman"/>
          <w:noProof/>
          <w:color w:val="000000" w:themeColor="text1"/>
          <w:sz w:val="24"/>
          <w:szCs w:val="24"/>
          <w:lang w:val="en-IE"/>
        </w:rPr>
        <w:t xml:space="preserve"> </w:t>
      </w:r>
      <w:r w:rsidR="00F725AA" w:rsidRPr="0072055A">
        <w:rPr>
          <w:rFonts w:ascii="Times New Roman" w:hAnsi="Times New Roman" w:cs="Times New Roman"/>
          <w:noProof/>
          <w:sz w:val="24"/>
          <w:lang w:val="en-IE"/>
        </w:rPr>
        <w:t xml:space="preserve">Similarly to what is foreseen for the Western Balkans and EaP region, it is of </w:t>
      </w:r>
      <w:r w:rsidR="006B4B79" w:rsidRPr="0072055A">
        <w:rPr>
          <w:rFonts w:ascii="Times New Roman" w:hAnsi="Times New Roman" w:cs="Times New Roman"/>
          <w:noProof/>
          <w:sz w:val="24"/>
          <w:lang w:val="en-IE"/>
        </w:rPr>
        <w:t>cr</w:t>
      </w:r>
      <w:r w:rsidR="006B4B79">
        <w:rPr>
          <w:rFonts w:ascii="Times New Roman" w:hAnsi="Times New Roman" w:cs="Times New Roman"/>
          <w:noProof/>
          <w:sz w:val="24"/>
          <w:lang w:val="en-IE"/>
        </w:rPr>
        <w:t>itical</w:t>
      </w:r>
      <w:r w:rsidR="006B4B79" w:rsidRPr="0072055A">
        <w:rPr>
          <w:rFonts w:ascii="Times New Roman" w:hAnsi="Times New Roman" w:cs="Times New Roman"/>
          <w:noProof/>
          <w:sz w:val="24"/>
          <w:lang w:val="en-IE"/>
        </w:rPr>
        <w:t xml:space="preserve"> </w:t>
      </w:r>
      <w:r w:rsidR="00F725AA" w:rsidRPr="0072055A">
        <w:rPr>
          <w:rFonts w:ascii="Times New Roman" w:hAnsi="Times New Roman" w:cs="Times New Roman"/>
          <w:noProof/>
          <w:sz w:val="24"/>
          <w:lang w:val="en-IE"/>
        </w:rPr>
        <w:t>importance to</w:t>
      </w:r>
      <w:r w:rsidR="00832DDF">
        <w:rPr>
          <w:rFonts w:ascii="Times New Roman" w:hAnsi="Times New Roman" w:cs="Times New Roman"/>
          <w:noProof/>
          <w:sz w:val="24"/>
          <w:lang w:val="en-IE"/>
        </w:rPr>
        <w:t xml:space="preserve"> take into account the provision of</w:t>
      </w:r>
      <w:r w:rsidR="00F725AA" w:rsidRPr="0072055A">
        <w:rPr>
          <w:rFonts w:ascii="Times New Roman" w:hAnsi="Times New Roman" w:cs="Times New Roman"/>
          <w:noProof/>
          <w:sz w:val="24"/>
          <w:lang w:val="en-IE"/>
        </w:rPr>
        <w:t xml:space="preserve"> </w:t>
      </w:r>
      <w:r w:rsidRPr="0072055A">
        <w:rPr>
          <w:rFonts w:ascii="Times New Roman" w:hAnsi="Times New Roman" w:cs="Times New Roman"/>
          <w:noProof/>
          <w:sz w:val="24"/>
          <w:lang w:val="en-IE"/>
        </w:rPr>
        <w:t>alternative fuel</w:t>
      </w:r>
      <w:r>
        <w:rPr>
          <w:rFonts w:ascii="Times New Roman" w:hAnsi="Times New Roman" w:cs="Times New Roman"/>
          <w:noProof/>
          <w:sz w:val="24"/>
          <w:lang w:val="en-IE"/>
        </w:rPr>
        <w:t>s</w:t>
      </w:r>
      <w:r w:rsidRPr="0072055A">
        <w:rPr>
          <w:rFonts w:ascii="Times New Roman" w:hAnsi="Times New Roman" w:cs="Times New Roman"/>
          <w:noProof/>
          <w:sz w:val="24"/>
          <w:lang w:val="en-IE"/>
        </w:rPr>
        <w:t xml:space="preserve"> </w:t>
      </w:r>
      <w:r w:rsidR="00F725AA" w:rsidRPr="0072055A">
        <w:rPr>
          <w:rFonts w:ascii="Times New Roman" w:hAnsi="Times New Roman" w:cs="Times New Roman"/>
          <w:noProof/>
          <w:sz w:val="24"/>
          <w:lang w:val="en-IE"/>
        </w:rPr>
        <w:t xml:space="preserve">in the planning </w:t>
      </w:r>
      <w:r w:rsidR="006B4B79">
        <w:rPr>
          <w:rFonts w:ascii="Times New Roman" w:hAnsi="Times New Roman" w:cs="Times New Roman"/>
          <w:noProof/>
          <w:sz w:val="24"/>
          <w:lang w:val="en-IE"/>
        </w:rPr>
        <w:t>of</w:t>
      </w:r>
      <w:r w:rsidR="006B4B79" w:rsidRPr="0072055A">
        <w:rPr>
          <w:rFonts w:ascii="Times New Roman" w:hAnsi="Times New Roman" w:cs="Times New Roman"/>
          <w:noProof/>
          <w:sz w:val="24"/>
          <w:lang w:val="en-IE"/>
        </w:rPr>
        <w:t xml:space="preserve"> </w:t>
      </w:r>
      <w:r w:rsidR="00F725AA" w:rsidRPr="0072055A">
        <w:rPr>
          <w:rFonts w:ascii="Times New Roman" w:hAnsi="Times New Roman" w:cs="Times New Roman"/>
          <w:noProof/>
          <w:sz w:val="24"/>
          <w:lang w:val="en-IE"/>
        </w:rPr>
        <w:t xml:space="preserve">road </w:t>
      </w:r>
      <w:r w:rsidR="00832DDF">
        <w:rPr>
          <w:rFonts w:ascii="Times New Roman" w:hAnsi="Times New Roman" w:cs="Times New Roman"/>
          <w:noProof/>
          <w:sz w:val="24"/>
          <w:lang w:val="en-IE"/>
        </w:rPr>
        <w:t>infrastructure</w:t>
      </w:r>
      <w:r w:rsidR="00832DDF" w:rsidRPr="0072055A">
        <w:rPr>
          <w:rFonts w:ascii="Times New Roman" w:hAnsi="Times New Roman" w:cs="Times New Roman"/>
          <w:noProof/>
          <w:sz w:val="24"/>
          <w:lang w:val="en-IE"/>
        </w:rPr>
        <w:t xml:space="preserve"> </w:t>
      </w:r>
      <w:r w:rsidR="00F725AA" w:rsidRPr="00C20418">
        <w:rPr>
          <w:rFonts w:ascii="Times New Roman" w:hAnsi="Times New Roman" w:cs="Times New Roman"/>
          <w:noProof/>
          <w:sz w:val="24"/>
          <w:lang w:val="en-IE"/>
        </w:rPr>
        <w:t xml:space="preserve">between the </w:t>
      </w:r>
      <w:r w:rsidR="00305266" w:rsidRPr="00C20418">
        <w:rPr>
          <w:rFonts w:ascii="Times New Roman" w:hAnsi="Times New Roman" w:cs="Times New Roman"/>
          <w:noProof/>
          <w:sz w:val="24"/>
          <w:lang w:val="en-IE"/>
        </w:rPr>
        <w:t>Union</w:t>
      </w:r>
      <w:r w:rsidR="00F725AA" w:rsidRPr="00C20418">
        <w:rPr>
          <w:rFonts w:ascii="Times New Roman" w:hAnsi="Times New Roman" w:cs="Times New Roman"/>
          <w:noProof/>
          <w:sz w:val="24"/>
          <w:lang w:val="en-IE"/>
        </w:rPr>
        <w:t xml:space="preserve"> and Tur</w:t>
      </w:r>
      <w:r w:rsidR="00F725AA" w:rsidRPr="00D238DA">
        <w:rPr>
          <w:rFonts w:ascii="Times New Roman" w:hAnsi="Times New Roman" w:cs="Times New Roman"/>
          <w:noProof/>
          <w:sz w:val="24"/>
          <w:lang w:val="en-IE"/>
        </w:rPr>
        <w:t>key</w:t>
      </w:r>
      <w:r w:rsidR="00B41CA4" w:rsidRPr="00D238DA">
        <w:rPr>
          <w:rFonts w:ascii="Times New Roman" w:hAnsi="Times New Roman" w:cs="Times New Roman"/>
          <w:noProof/>
          <w:sz w:val="24"/>
          <w:lang w:val="en-IE"/>
        </w:rPr>
        <w:t>. Finally</w:t>
      </w:r>
      <w:r w:rsidR="00F3256F" w:rsidRPr="00D238DA">
        <w:rPr>
          <w:rFonts w:ascii="Times New Roman" w:hAnsi="Times New Roman" w:cs="Times New Roman"/>
          <w:noProof/>
          <w:sz w:val="24"/>
          <w:lang w:val="en-IE"/>
        </w:rPr>
        <w:t>,</w:t>
      </w:r>
      <w:r w:rsidR="00B41CA4" w:rsidRPr="00D238DA">
        <w:rPr>
          <w:rFonts w:ascii="Times New Roman" w:hAnsi="Times New Roman" w:cs="Times New Roman"/>
          <w:noProof/>
          <w:sz w:val="24"/>
          <w:lang w:val="en-IE"/>
        </w:rPr>
        <w:t xml:space="preserve"> a better </w:t>
      </w:r>
      <w:r w:rsidR="00F725AA" w:rsidRPr="00D238DA">
        <w:rPr>
          <w:rFonts w:ascii="Times New Roman" w:hAnsi="Times New Roman" w:cs="Times New Roman"/>
          <w:noProof/>
          <w:sz w:val="24"/>
          <w:lang w:val="en-IE"/>
        </w:rPr>
        <w:t xml:space="preserve">coordination of the </w:t>
      </w:r>
      <w:r w:rsidR="00B41CA4" w:rsidRPr="00D238DA">
        <w:rPr>
          <w:rFonts w:ascii="Times New Roman" w:hAnsi="Times New Roman" w:cs="Times New Roman"/>
          <w:noProof/>
          <w:sz w:val="24"/>
          <w:lang w:val="en-IE"/>
        </w:rPr>
        <w:t xml:space="preserve">implementation of </w:t>
      </w:r>
      <w:r w:rsidR="00F725AA" w:rsidRPr="00D238DA">
        <w:rPr>
          <w:rFonts w:ascii="Times New Roman" w:hAnsi="Times New Roman" w:cs="Times New Roman"/>
          <w:noProof/>
          <w:sz w:val="24"/>
          <w:lang w:val="en-IE"/>
        </w:rPr>
        <w:t>border</w:t>
      </w:r>
      <w:r w:rsidR="00F725AA" w:rsidRPr="0072055A">
        <w:rPr>
          <w:rFonts w:ascii="Times New Roman" w:hAnsi="Times New Roman" w:cs="Times New Roman"/>
          <w:noProof/>
          <w:sz w:val="24"/>
          <w:lang w:val="en-IE"/>
        </w:rPr>
        <w:t xml:space="preserve"> infrastructure</w:t>
      </w:r>
      <w:r w:rsidR="00B41CA4" w:rsidRPr="0072055A">
        <w:rPr>
          <w:rFonts w:ascii="Times New Roman" w:hAnsi="Times New Roman" w:cs="Times New Roman"/>
          <w:noProof/>
          <w:sz w:val="24"/>
          <w:lang w:val="en-IE"/>
        </w:rPr>
        <w:t xml:space="preserve"> would contribute to </w:t>
      </w:r>
      <w:r w:rsidR="006B4B79">
        <w:rPr>
          <w:rFonts w:ascii="Times New Roman" w:hAnsi="Times New Roman" w:cs="Times New Roman"/>
          <w:noProof/>
          <w:sz w:val="24"/>
          <w:lang w:val="en-IE"/>
        </w:rPr>
        <w:t>closing</w:t>
      </w:r>
      <w:r w:rsidR="006B4B79" w:rsidRPr="0072055A">
        <w:rPr>
          <w:rFonts w:ascii="Times New Roman" w:hAnsi="Times New Roman" w:cs="Times New Roman"/>
          <w:noProof/>
          <w:sz w:val="24"/>
          <w:lang w:val="en-IE"/>
        </w:rPr>
        <w:t xml:space="preserve"> </w:t>
      </w:r>
      <w:r w:rsidR="00F725AA" w:rsidRPr="0072055A">
        <w:rPr>
          <w:rFonts w:ascii="Times New Roman" w:hAnsi="Times New Roman" w:cs="Times New Roman"/>
          <w:noProof/>
          <w:sz w:val="24"/>
          <w:lang w:val="en-IE"/>
        </w:rPr>
        <w:t>infrastructure gaps</w:t>
      </w:r>
      <w:r w:rsidR="00B41CA4" w:rsidRPr="0072055A">
        <w:rPr>
          <w:rFonts w:ascii="Times New Roman" w:hAnsi="Times New Roman" w:cs="Times New Roman"/>
          <w:noProof/>
          <w:sz w:val="24"/>
          <w:lang w:val="en-IE"/>
        </w:rPr>
        <w:t>, improving</w:t>
      </w:r>
      <w:r w:rsidR="00F725AA" w:rsidRPr="0072055A">
        <w:rPr>
          <w:rFonts w:ascii="Times New Roman" w:hAnsi="Times New Roman" w:cs="Times New Roman"/>
          <w:noProof/>
          <w:sz w:val="24"/>
          <w:lang w:val="en-IE"/>
        </w:rPr>
        <w:t xml:space="preserve"> traffic</w:t>
      </w:r>
      <w:r w:rsidR="00B41CA4" w:rsidRPr="0072055A">
        <w:rPr>
          <w:rFonts w:ascii="Times New Roman" w:hAnsi="Times New Roman" w:cs="Times New Roman"/>
          <w:noProof/>
          <w:sz w:val="24"/>
          <w:lang w:val="en-IE"/>
        </w:rPr>
        <w:t xml:space="preserve"> flows between the </w:t>
      </w:r>
      <w:r w:rsidR="00466A9C">
        <w:rPr>
          <w:rFonts w:ascii="Times New Roman" w:hAnsi="Times New Roman" w:cs="Times New Roman"/>
          <w:noProof/>
          <w:sz w:val="24"/>
          <w:lang w:val="en-IE"/>
        </w:rPr>
        <w:t>Union</w:t>
      </w:r>
      <w:r w:rsidR="00466A9C" w:rsidRPr="0072055A">
        <w:rPr>
          <w:rFonts w:ascii="Times New Roman" w:hAnsi="Times New Roman" w:cs="Times New Roman"/>
          <w:noProof/>
          <w:sz w:val="24"/>
          <w:lang w:val="en-IE"/>
        </w:rPr>
        <w:t xml:space="preserve"> </w:t>
      </w:r>
      <w:r w:rsidR="00B41CA4" w:rsidRPr="0072055A">
        <w:rPr>
          <w:rFonts w:ascii="Times New Roman" w:hAnsi="Times New Roman" w:cs="Times New Roman"/>
          <w:noProof/>
          <w:sz w:val="24"/>
          <w:lang w:val="en-IE"/>
        </w:rPr>
        <w:t xml:space="preserve">and Turkey and </w:t>
      </w:r>
      <w:r w:rsidR="006B4B79">
        <w:rPr>
          <w:rFonts w:ascii="Times New Roman" w:hAnsi="Times New Roman" w:cs="Times New Roman"/>
          <w:noProof/>
          <w:sz w:val="24"/>
          <w:lang w:val="en-IE"/>
        </w:rPr>
        <w:t>beyond</w:t>
      </w:r>
      <w:r w:rsidR="00F725AA" w:rsidRPr="0072055A">
        <w:rPr>
          <w:rFonts w:ascii="Times New Roman" w:hAnsi="Times New Roman" w:cs="Times New Roman"/>
          <w:noProof/>
          <w:sz w:val="24"/>
          <w:lang w:val="en-IE"/>
        </w:rPr>
        <w:t xml:space="preserve">.  </w:t>
      </w:r>
    </w:p>
    <w:p w:rsidR="00F725AA" w:rsidRPr="00AA1AFD" w:rsidRDefault="00F725AA" w:rsidP="00794A3F">
      <w:pPr>
        <w:spacing w:after="60"/>
        <w:jc w:val="both"/>
        <w:rPr>
          <w:rFonts w:ascii="Times New Roman" w:hAnsi="Times New Roman" w:cs="Times New Roman"/>
          <w:b/>
          <w:i/>
          <w:noProof/>
          <w:sz w:val="24"/>
          <w:lang w:val="en-GB"/>
        </w:rPr>
      </w:pPr>
    </w:p>
    <w:p w:rsidR="00794A3F" w:rsidRDefault="00794A3F" w:rsidP="00794A3F">
      <w:pPr>
        <w:spacing w:after="60"/>
        <w:jc w:val="both"/>
        <w:rPr>
          <w:rFonts w:ascii="Times New Roman" w:hAnsi="Times New Roman" w:cs="Times New Roman"/>
          <w:b/>
          <w:i/>
          <w:noProof/>
          <w:sz w:val="24"/>
          <w:lang w:val="en-GB"/>
        </w:rPr>
      </w:pPr>
      <w:r w:rsidRPr="002238E3">
        <w:rPr>
          <w:rFonts w:ascii="Times New Roman" w:hAnsi="Times New Roman" w:cs="Times New Roman"/>
          <w:b/>
          <w:i/>
          <w:noProof/>
          <w:sz w:val="24"/>
          <w:lang w:val="en-GB"/>
        </w:rPr>
        <w:t>U</w:t>
      </w:r>
      <w:r w:rsidR="00973124">
        <w:rPr>
          <w:rFonts w:ascii="Times New Roman" w:hAnsi="Times New Roman" w:cs="Times New Roman"/>
          <w:b/>
          <w:i/>
          <w:noProof/>
          <w:sz w:val="24"/>
          <w:lang w:val="en-GB"/>
        </w:rPr>
        <w:t>nited Kingdom</w:t>
      </w:r>
      <w:r w:rsidRPr="002238E3">
        <w:rPr>
          <w:rFonts w:ascii="Times New Roman" w:hAnsi="Times New Roman" w:cs="Times New Roman"/>
          <w:b/>
          <w:i/>
          <w:noProof/>
          <w:sz w:val="24"/>
          <w:lang w:val="en-GB"/>
        </w:rPr>
        <w:t xml:space="preserve"> </w:t>
      </w:r>
    </w:p>
    <w:p w:rsidR="00794A3F" w:rsidRDefault="00794A3F" w:rsidP="00794A3F">
      <w:pPr>
        <w:spacing w:after="60"/>
        <w:jc w:val="both"/>
        <w:rPr>
          <w:rFonts w:ascii="Times New Roman" w:hAnsi="Times New Roman" w:cs="Times New Roman"/>
          <w:noProof/>
          <w:sz w:val="24"/>
          <w:lang w:val="en-GB"/>
        </w:rPr>
      </w:pPr>
      <w:r>
        <w:rPr>
          <w:rFonts w:ascii="Times New Roman" w:hAnsi="Times New Roman" w:cs="Times New Roman"/>
          <w:noProof/>
          <w:sz w:val="24"/>
          <w:lang w:val="en-GB"/>
        </w:rPr>
        <w:t xml:space="preserve">The United Kingdom was an integral part of the TEN-T until </w:t>
      </w:r>
      <w:r w:rsidR="006B4B79">
        <w:rPr>
          <w:rFonts w:ascii="Times New Roman" w:hAnsi="Times New Roman" w:cs="Times New Roman"/>
          <w:noProof/>
          <w:sz w:val="24"/>
          <w:lang w:val="en-GB"/>
        </w:rPr>
        <w:t xml:space="preserve">the </w:t>
      </w:r>
      <w:r>
        <w:rPr>
          <w:rFonts w:ascii="Times New Roman" w:hAnsi="Times New Roman" w:cs="Times New Roman"/>
          <w:noProof/>
          <w:sz w:val="24"/>
          <w:lang w:val="en-GB"/>
        </w:rPr>
        <w:t xml:space="preserve">withdrawal </w:t>
      </w:r>
      <w:r w:rsidR="002D6E4C" w:rsidRPr="002D6E4C">
        <w:rPr>
          <w:rFonts w:ascii="Times New Roman" w:hAnsi="Times New Roman" w:cs="Times New Roman"/>
          <w:noProof/>
          <w:sz w:val="24"/>
          <w:lang w:val="en-GB"/>
        </w:rPr>
        <w:t xml:space="preserve">from the Union </w:t>
      </w:r>
      <w:r w:rsidR="00832DDF">
        <w:rPr>
          <w:rFonts w:ascii="Times New Roman" w:hAnsi="Times New Roman" w:cs="Times New Roman"/>
          <w:noProof/>
          <w:sz w:val="24"/>
          <w:lang w:val="en-GB"/>
        </w:rPr>
        <w:t xml:space="preserve">at </w:t>
      </w:r>
      <w:r w:rsidR="00466A9C">
        <w:rPr>
          <w:rFonts w:ascii="Times New Roman" w:hAnsi="Times New Roman" w:cs="Times New Roman"/>
          <w:noProof/>
          <w:sz w:val="24"/>
          <w:lang w:val="en-GB"/>
        </w:rPr>
        <w:t>the end of the transition period on 31 December</w:t>
      </w:r>
      <w:r>
        <w:rPr>
          <w:rFonts w:ascii="Times New Roman" w:hAnsi="Times New Roman" w:cs="Times New Roman"/>
          <w:noProof/>
          <w:sz w:val="24"/>
          <w:lang w:val="en-GB"/>
        </w:rPr>
        <w:t xml:space="preserve"> 2020. The UK was until then part of the North Sea-Mediterranean Core Network Corridor, with seamlessly integrated transport connections to Continental Europe and Ireland. </w:t>
      </w:r>
      <w:r w:rsidR="002D6E4C">
        <w:rPr>
          <w:rFonts w:ascii="Times New Roman" w:hAnsi="Times New Roman" w:cs="Times New Roman"/>
          <w:noProof/>
          <w:sz w:val="24"/>
          <w:lang w:val="en-GB"/>
        </w:rPr>
        <w:t>Following the UK withdrawal</w:t>
      </w:r>
      <w:r w:rsidRPr="00C401E8">
        <w:rPr>
          <w:rFonts w:ascii="Times New Roman" w:hAnsi="Times New Roman" w:cs="Times New Roman"/>
          <w:noProof/>
          <w:sz w:val="24"/>
          <w:lang w:val="en-GB"/>
        </w:rPr>
        <w:t>, the U</w:t>
      </w:r>
      <w:r>
        <w:rPr>
          <w:rFonts w:ascii="Times New Roman" w:hAnsi="Times New Roman" w:cs="Times New Roman"/>
          <w:noProof/>
          <w:sz w:val="24"/>
          <w:lang w:val="en-GB"/>
        </w:rPr>
        <w:t>K</w:t>
      </w:r>
      <w:r w:rsidRPr="00C401E8">
        <w:rPr>
          <w:rFonts w:ascii="Times New Roman" w:hAnsi="Times New Roman" w:cs="Times New Roman"/>
          <w:noProof/>
          <w:sz w:val="24"/>
          <w:lang w:val="en-GB"/>
        </w:rPr>
        <w:t xml:space="preserve"> </w:t>
      </w:r>
      <w:r w:rsidR="002D6E4C" w:rsidRPr="002D6E4C">
        <w:rPr>
          <w:rFonts w:ascii="Times New Roman" w:hAnsi="Times New Roman" w:cs="Times New Roman"/>
          <w:noProof/>
          <w:sz w:val="24"/>
          <w:lang w:val="en-GB"/>
        </w:rPr>
        <w:t xml:space="preserve">is no longer </w:t>
      </w:r>
      <w:r w:rsidR="002D6E4C" w:rsidRPr="003C3A96">
        <w:rPr>
          <w:rFonts w:ascii="Times New Roman" w:hAnsi="Times New Roman" w:cs="Times New Roman"/>
          <w:noProof/>
          <w:sz w:val="24"/>
          <w:lang w:val="en-GB"/>
        </w:rPr>
        <w:t>subject to the</w:t>
      </w:r>
      <w:r w:rsidR="002D6E4C" w:rsidRPr="003C3A96" w:rsidDel="002D6E4C">
        <w:rPr>
          <w:rFonts w:ascii="Times New Roman" w:hAnsi="Times New Roman" w:cs="Times New Roman"/>
          <w:noProof/>
          <w:sz w:val="24"/>
          <w:lang w:val="en-GB"/>
        </w:rPr>
        <w:t xml:space="preserve"> </w:t>
      </w:r>
      <w:r w:rsidRPr="003C3A96">
        <w:rPr>
          <w:rFonts w:ascii="Times New Roman" w:hAnsi="Times New Roman" w:cs="Times New Roman"/>
          <w:noProof/>
          <w:sz w:val="24"/>
          <w:lang w:val="en-GB"/>
        </w:rPr>
        <w:t xml:space="preserve">TEN-T </w:t>
      </w:r>
      <w:r w:rsidRPr="003C3A96">
        <w:rPr>
          <w:rFonts w:ascii="Times New Roman" w:hAnsi="Times New Roman" w:cs="Times New Roman"/>
          <w:i/>
          <w:noProof/>
          <w:sz w:val="24"/>
          <w:lang w:val="en-GB"/>
        </w:rPr>
        <w:t>acquis</w:t>
      </w:r>
      <w:r w:rsidRPr="003C3A96">
        <w:rPr>
          <w:rFonts w:ascii="Times New Roman" w:hAnsi="Times New Roman" w:cs="Times New Roman"/>
          <w:noProof/>
          <w:sz w:val="24"/>
          <w:lang w:val="en-GB"/>
        </w:rPr>
        <w:t>.</w:t>
      </w:r>
      <w:r w:rsidRPr="00C401E8">
        <w:rPr>
          <w:rFonts w:ascii="Times New Roman" w:hAnsi="Times New Roman" w:cs="Times New Roman"/>
          <w:noProof/>
          <w:sz w:val="24"/>
          <w:lang w:val="en-GB"/>
        </w:rPr>
        <w:t xml:space="preserve"> </w:t>
      </w:r>
    </w:p>
    <w:p w:rsidR="00794A3F" w:rsidRDefault="00794A3F" w:rsidP="00794A3F">
      <w:pPr>
        <w:spacing w:after="60"/>
        <w:jc w:val="both"/>
        <w:rPr>
          <w:rFonts w:ascii="Times New Roman" w:hAnsi="Times New Roman" w:cs="Times New Roman"/>
          <w:noProof/>
          <w:sz w:val="24"/>
          <w:lang w:val="en-GB"/>
        </w:rPr>
      </w:pPr>
    </w:p>
    <w:p w:rsidR="00794A3F" w:rsidRPr="00DE0876" w:rsidRDefault="00794A3F" w:rsidP="00794A3F">
      <w:pPr>
        <w:spacing w:after="60"/>
        <w:jc w:val="both"/>
        <w:rPr>
          <w:rFonts w:ascii="Times New Roman" w:hAnsi="Times New Roman" w:cs="Times New Roman"/>
          <w:noProof/>
          <w:sz w:val="24"/>
          <w:lang w:val="en-GB"/>
        </w:rPr>
      </w:pPr>
      <w:r>
        <w:rPr>
          <w:rFonts w:ascii="Times New Roman" w:hAnsi="Times New Roman" w:cs="Times New Roman"/>
          <w:noProof/>
          <w:sz w:val="24"/>
          <w:lang w:val="en-GB"/>
        </w:rPr>
        <w:t xml:space="preserve">Of special interest to the Union is the safeguarding of the </w:t>
      </w:r>
      <w:r w:rsidR="00B41CA4">
        <w:rPr>
          <w:rFonts w:ascii="Times New Roman" w:hAnsi="Times New Roman" w:cs="Times New Roman"/>
          <w:noProof/>
          <w:sz w:val="24"/>
          <w:lang w:val="en-GB"/>
        </w:rPr>
        <w:t xml:space="preserve">connectivity </w:t>
      </w:r>
      <w:r>
        <w:rPr>
          <w:rFonts w:ascii="Times New Roman" w:hAnsi="Times New Roman" w:cs="Times New Roman"/>
          <w:noProof/>
          <w:sz w:val="24"/>
          <w:lang w:val="en-GB"/>
        </w:rPr>
        <w:t>of Ireland</w:t>
      </w:r>
      <w:r w:rsidR="00B41CA4">
        <w:rPr>
          <w:rFonts w:ascii="Times New Roman" w:hAnsi="Times New Roman" w:cs="Times New Roman"/>
          <w:noProof/>
          <w:sz w:val="24"/>
          <w:lang w:val="en-GB"/>
        </w:rPr>
        <w:t xml:space="preserve"> with the </w:t>
      </w:r>
      <w:r w:rsidR="00466A9C">
        <w:rPr>
          <w:rFonts w:ascii="Times New Roman" w:hAnsi="Times New Roman" w:cs="Times New Roman"/>
          <w:noProof/>
          <w:sz w:val="24"/>
          <w:lang w:val="en-GB"/>
        </w:rPr>
        <w:t xml:space="preserve">Union </w:t>
      </w:r>
      <w:r w:rsidR="00B41CA4">
        <w:rPr>
          <w:rFonts w:ascii="Times New Roman" w:hAnsi="Times New Roman" w:cs="Times New Roman"/>
          <w:noProof/>
          <w:sz w:val="24"/>
          <w:lang w:val="en-GB"/>
        </w:rPr>
        <w:t>mainland</w:t>
      </w:r>
      <w:r>
        <w:rPr>
          <w:rFonts w:ascii="Times New Roman" w:hAnsi="Times New Roman" w:cs="Times New Roman"/>
          <w:noProof/>
          <w:sz w:val="24"/>
          <w:lang w:val="en-GB"/>
        </w:rPr>
        <w:t xml:space="preserve">. The Union is </w:t>
      </w:r>
      <w:r w:rsidR="00B41CA4">
        <w:rPr>
          <w:rFonts w:ascii="Times New Roman" w:hAnsi="Times New Roman" w:cs="Times New Roman"/>
          <w:noProof/>
          <w:sz w:val="24"/>
          <w:lang w:val="en-GB"/>
        </w:rPr>
        <w:t xml:space="preserve">therefore </w:t>
      </w:r>
      <w:r>
        <w:rPr>
          <w:rFonts w:ascii="Times New Roman" w:hAnsi="Times New Roman" w:cs="Times New Roman"/>
          <w:noProof/>
          <w:sz w:val="24"/>
          <w:lang w:val="en-GB"/>
        </w:rPr>
        <w:t xml:space="preserve">acting to ensure that </w:t>
      </w:r>
      <w:r w:rsidR="002D6E4C">
        <w:rPr>
          <w:rFonts w:ascii="Times New Roman" w:hAnsi="Times New Roman" w:cs="Times New Roman"/>
          <w:noProof/>
          <w:sz w:val="24"/>
          <w:lang w:val="en-GB"/>
        </w:rPr>
        <w:t xml:space="preserve">the UK withdrawal </w:t>
      </w:r>
      <w:r>
        <w:rPr>
          <w:rFonts w:ascii="Times New Roman" w:hAnsi="Times New Roman" w:cs="Times New Roman"/>
          <w:noProof/>
          <w:sz w:val="24"/>
          <w:lang w:val="en-GB"/>
        </w:rPr>
        <w:t xml:space="preserve">will not significantly disrupt the Irish transport network, in particular, </w:t>
      </w:r>
      <w:r w:rsidR="00832DDF">
        <w:rPr>
          <w:rFonts w:ascii="Times New Roman" w:hAnsi="Times New Roman" w:cs="Times New Roman"/>
          <w:noProof/>
          <w:sz w:val="24"/>
          <w:lang w:val="en-GB"/>
        </w:rPr>
        <w:t>the</w:t>
      </w:r>
      <w:r>
        <w:rPr>
          <w:rFonts w:ascii="Times New Roman" w:hAnsi="Times New Roman" w:cs="Times New Roman"/>
          <w:noProof/>
          <w:sz w:val="24"/>
          <w:lang w:val="en-GB"/>
        </w:rPr>
        <w:t xml:space="preserve"> connectivity with Continental Europe. With the UK </w:t>
      </w:r>
      <w:r w:rsidR="002D6E4C">
        <w:rPr>
          <w:rFonts w:ascii="Times New Roman" w:hAnsi="Times New Roman" w:cs="Times New Roman"/>
          <w:noProof/>
          <w:sz w:val="24"/>
          <w:lang w:val="en-GB"/>
        </w:rPr>
        <w:t>withdrawal</w:t>
      </w:r>
      <w:r>
        <w:rPr>
          <w:rFonts w:ascii="Times New Roman" w:hAnsi="Times New Roman" w:cs="Times New Roman"/>
          <w:noProof/>
          <w:sz w:val="24"/>
          <w:lang w:val="en-GB"/>
        </w:rPr>
        <w:t xml:space="preserve">, the Union initiated special measures aimed at protecting the interests of Ireland and hence the Union. With the adoption of the CEF II Regulation, </w:t>
      </w:r>
      <w:r w:rsidRPr="00DE0876">
        <w:rPr>
          <w:rFonts w:ascii="Times New Roman" w:hAnsi="Times New Roman" w:cs="Times New Roman"/>
          <w:noProof/>
          <w:sz w:val="24"/>
          <w:lang w:val="en-GB"/>
        </w:rPr>
        <w:t xml:space="preserve">Ireland </w:t>
      </w:r>
      <w:r>
        <w:rPr>
          <w:rFonts w:ascii="Times New Roman" w:hAnsi="Times New Roman" w:cs="Times New Roman"/>
          <w:noProof/>
          <w:sz w:val="24"/>
          <w:lang w:val="en-GB"/>
        </w:rPr>
        <w:t>became</w:t>
      </w:r>
      <w:r w:rsidRPr="00DE0876">
        <w:rPr>
          <w:rFonts w:ascii="Times New Roman" w:hAnsi="Times New Roman" w:cs="Times New Roman"/>
          <w:noProof/>
          <w:sz w:val="24"/>
          <w:lang w:val="en-GB"/>
        </w:rPr>
        <w:t xml:space="preserve"> located on two TEN-T Core Network Corridors for the first time. In addition to remaining on the North Sea-Mediterranean Corridor, Ireland </w:t>
      </w:r>
      <w:r>
        <w:rPr>
          <w:rFonts w:ascii="Times New Roman" w:hAnsi="Times New Roman" w:cs="Times New Roman"/>
          <w:noProof/>
          <w:sz w:val="24"/>
          <w:lang w:val="en-GB"/>
        </w:rPr>
        <w:t>was</w:t>
      </w:r>
      <w:r w:rsidRPr="00DE0876">
        <w:rPr>
          <w:rFonts w:ascii="Times New Roman" w:hAnsi="Times New Roman" w:cs="Times New Roman"/>
          <w:noProof/>
          <w:sz w:val="24"/>
          <w:lang w:val="en-GB"/>
        </w:rPr>
        <w:t xml:space="preserve"> included in the Atlantic corridor, with the three core ports</w:t>
      </w:r>
      <w:r>
        <w:rPr>
          <w:rFonts w:ascii="Times New Roman" w:hAnsi="Times New Roman" w:cs="Times New Roman"/>
          <w:noProof/>
          <w:sz w:val="24"/>
          <w:lang w:val="en-GB"/>
        </w:rPr>
        <w:t xml:space="preserve"> of</w:t>
      </w:r>
      <w:r w:rsidRPr="00DE0876">
        <w:rPr>
          <w:rFonts w:ascii="Times New Roman" w:hAnsi="Times New Roman" w:cs="Times New Roman"/>
          <w:noProof/>
          <w:sz w:val="24"/>
          <w:lang w:val="en-GB"/>
        </w:rPr>
        <w:t xml:space="preserve"> Dublin, Cork, and Shannon-Foynes</w:t>
      </w:r>
      <w:r>
        <w:rPr>
          <w:rFonts w:ascii="Times New Roman" w:hAnsi="Times New Roman" w:cs="Times New Roman"/>
          <w:noProof/>
          <w:sz w:val="24"/>
          <w:lang w:val="en-GB"/>
        </w:rPr>
        <w:t xml:space="preserve"> being</w:t>
      </w:r>
      <w:r w:rsidRPr="00DE0876">
        <w:rPr>
          <w:rFonts w:ascii="Times New Roman" w:hAnsi="Times New Roman" w:cs="Times New Roman"/>
          <w:noProof/>
          <w:sz w:val="24"/>
          <w:lang w:val="en-GB"/>
        </w:rPr>
        <w:t xml:space="preserve"> linked </w:t>
      </w:r>
      <w:r w:rsidR="006B4B79">
        <w:rPr>
          <w:rFonts w:ascii="Times New Roman" w:hAnsi="Times New Roman" w:cs="Times New Roman"/>
          <w:noProof/>
          <w:sz w:val="24"/>
          <w:lang w:val="en-GB"/>
        </w:rPr>
        <w:t>to</w:t>
      </w:r>
      <w:r w:rsidR="006B4B79" w:rsidRPr="00DE0876">
        <w:rPr>
          <w:rFonts w:ascii="Times New Roman" w:hAnsi="Times New Roman" w:cs="Times New Roman"/>
          <w:noProof/>
          <w:sz w:val="24"/>
          <w:lang w:val="en-GB"/>
        </w:rPr>
        <w:t xml:space="preserve"> </w:t>
      </w:r>
      <w:r w:rsidRPr="00DE0876">
        <w:rPr>
          <w:rFonts w:ascii="Times New Roman" w:hAnsi="Times New Roman" w:cs="Times New Roman"/>
          <w:noProof/>
          <w:sz w:val="24"/>
          <w:lang w:val="en-GB"/>
        </w:rPr>
        <w:t>two French ports, Le Havre and Nantes Saint-Nazaire.</w:t>
      </w:r>
    </w:p>
    <w:p w:rsidR="00794A3F" w:rsidRPr="00DE0876" w:rsidRDefault="00794A3F" w:rsidP="00794A3F">
      <w:pPr>
        <w:jc w:val="both"/>
        <w:rPr>
          <w:rFonts w:ascii="Times New Roman" w:hAnsi="Times New Roman" w:cs="Times New Roman"/>
          <w:noProof/>
          <w:sz w:val="24"/>
          <w:lang w:val="en-GB"/>
        </w:rPr>
      </w:pPr>
    </w:p>
    <w:p w:rsidR="00794A3F" w:rsidRPr="00DE0876" w:rsidRDefault="00794A3F" w:rsidP="00794A3F">
      <w:pPr>
        <w:jc w:val="both"/>
        <w:rPr>
          <w:rFonts w:ascii="Times New Roman" w:hAnsi="Times New Roman" w:cs="Times New Roman"/>
          <w:noProof/>
          <w:sz w:val="24"/>
          <w:lang w:val="en-GB"/>
        </w:rPr>
      </w:pPr>
      <w:r>
        <w:rPr>
          <w:rFonts w:ascii="Times New Roman" w:hAnsi="Times New Roman" w:cs="Times New Roman"/>
          <w:noProof/>
          <w:sz w:val="24"/>
          <w:lang w:val="en-GB"/>
        </w:rPr>
        <w:t>The Work Plan for the</w:t>
      </w:r>
      <w:r w:rsidRPr="00DE0876">
        <w:rPr>
          <w:rFonts w:ascii="Times New Roman" w:hAnsi="Times New Roman" w:cs="Times New Roman"/>
          <w:noProof/>
          <w:sz w:val="24"/>
          <w:lang w:val="en-GB"/>
        </w:rPr>
        <w:t xml:space="preserve"> North Sea-Mediterranean Corridor indicates </w:t>
      </w:r>
      <w:r>
        <w:rPr>
          <w:rFonts w:ascii="Times New Roman" w:hAnsi="Times New Roman" w:cs="Times New Roman"/>
          <w:noProof/>
          <w:sz w:val="24"/>
          <w:lang w:val="en-GB"/>
        </w:rPr>
        <w:t>the continuous</w:t>
      </w:r>
      <w:r w:rsidRPr="00DE0876">
        <w:rPr>
          <w:rFonts w:ascii="Times New Roman" w:hAnsi="Times New Roman" w:cs="Times New Roman"/>
          <w:noProof/>
          <w:sz w:val="24"/>
          <w:lang w:val="en-GB"/>
        </w:rPr>
        <w:t xml:space="preserve"> commitment</w:t>
      </w:r>
      <w:r>
        <w:rPr>
          <w:rFonts w:ascii="Times New Roman" w:hAnsi="Times New Roman" w:cs="Times New Roman"/>
          <w:noProof/>
          <w:sz w:val="24"/>
          <w:lang w:val="en-GB"/>
        </w:rPr>
        <w:t xml:space="preserve"> of the </w:t>
      </w:r>
      <w:r w:rsidR="00466A9C">
        <w:rPr>
          <w:rFonts w:ascii="Times New Roman" w:hAnsi="Times New Roman" w:cs="Times New Roman"/>
          <w:noProof/>
          <w:sz w:val="24"/>
          <w:lang w:val="en-GB"/>
        </w:rPr>
        <w:t>Union</w:t>
      </w:r>
      <w:r w:rsidR="00466A9C" w:rsidRPr="00DE0876">
        <w:rPr>
          <w:rFonts w:ascii="Times New Roman" w:hAnsi="Times New Roman" w:cs="Times New Roman"/>
          <w:noProof/>
          <w:sz w:val="24"/>
          <w:lang w:val="en-GB"/>
        </w:rPr>
        <w:t xml:space="preserve"> </w:t>
      </w:r>
      <w:r w:rsidRPr="00DE0876">
        <w:rPr>
          <w:rFonts w:ascii="Times New Roman" w:hAnsi="Times New Roman" w:cs="Times New Roman"/>
          <w:noProof/>
          <w:sz w:val="24"/>
          <w:lang w:val="en-GB"/>
        </w:rPr>
        <w:t>to protecting</w:t>
      </w:r>
      <w:r>
        <w:rPr>
          <w:rFonts w:ascii="Times New Roman" w:hAnsi="Times New Roman" w:cs="Times New Roman"/>
          <w:noProof/>
          <w:sz w:val="24"/>
          <w:lang w:val="en-GB"/>
        </w:rPr>
        <w:t xml:space="preserve"> the transport</w:t>
      </w:r>
      <w:r w:rsidRPr="00DE0876">
        <w:rPr>
          <w:rFonts w:ascii="Times New Roman" w:hAnsi="Times New Roman" w:cs="Times New Roman"/>
          <w:noProof/>
          <w:sz w:val="24"/>
          <w:lang w:val="en-GB"/>
        </w:rPr>
        <w:t xml:space="preserve"> connection</w:t>
      </w:r>
      <w:r>
        <w:rPr>
          <w:rFonts w:ascii="Times New Roman" w:hAnsi="Times New Roman" w:cs="Times New Roman"/>
          <w:noProof/>
          <w:sz w:val="24"/>
          <w:lang w:val="en-GB"/>
        </w:rPr>
        <w:t>s of Ireland</w:t>
      </w:r>
      <w:r w:rsidRPr="00DE0876">
        <w:rPr>
          <w:rFonts w:ascii="Times New Roman" w:hAnsi="Times New Roman" w:cs="Times New Roman"/>
          <w:noProof/>
          <w:sz w:val="24"/>
          <w:lang w:val="en-GB"/>
        </w:rPr>
        <w:t xml:space="preserve"> </w:t>
      </w:r>
      <w:r>
        <w:rPr>
          <w:rFonts w:ascii="Times New Roman" w:hAnsi="Times New Roman" w:cs="Times New Roman"/>
          <w:noProof/>
          <w:sz w:val="24"/>
          <w:lang w:val="en-GB"/>
        </w:rPr>
        <w:t>with</w:t>
      </w:r>
      <w:r w:rsidRPr="00DE0876">
        <w:rPr>
          <w:rFonts w:ascii="Times New Roman" w:hAnsi="Times New Roman" w:cs="Times New Roman"/>
          <w:noProof/>
          <w:sz w:val="24"/>
          <w:lang w:val="en-GB"/>
        </w:rPr>
        <w:t xml:space="preserve"> </w:t>
      </w:r>
      <w:r>
        <w:rPr>
          <w:rFonts w:ascii="Times New Roman" w:hAnsi="Times New Roman" w:cs="Times New Roman"/>
          <w:noProof/>
          <w:sz w:val="24"/>
          <w:lang w:val="en-GB"/>
        </w:rPr>
        <w:t>C</w:t>
      </w:r>
      <w:r w:rsidRPr="00DE0876">
        <w:rPr>
          <w:rFonts w:ascii="Times New Roman" w:hAnsi="Times New Roman" w:cs="Times New Roman"/>
          <w:noProof/>
          <w:sz w:val="24"/>
          <w:lang w:val="en-GB"/>
        </w:rPr>
        <w:t>ontinental Europe</w:t>
      </w:r>
      <w:r>
        <w:rPr>
          <w:rFonts w:ascii="Times New Roman" w:hAnsi="Times New Roman" w:cs="Times New Roman"/>
          <w:noProof/>
          <w:sz w:val="24"/>
          <w:lang w:val="en-GB"/>
        </w:rPr>
        <w:t xml:space="preserve">. </w:t>
      </w:r>
      <w:r w:rsidRPr="00DE0876">
        <w:rPr>
          <w:rFonts w:ascii="Times New Roman" w:hAnsi="Times New Roman" w:cs="Times New Roman"/>
          <w:noProof/>
          <w:sz w:val="24"/>
          <w:lang w:val="en-GB"/>
        </w:rPr>
        <w:t xml:space="preserve">Objectives </w:t>
      </w:r>
      <w:r>
        <w:rPr>
          <w:rFonts w:ascii="Times New Roman" w:hAnsi="Times New Roman" w:cs="Times New Roman"/>
          <w:noProof/>
          <w:sz w:val="24"/>
          <w:lang w:val="en-GB"/>
        </w:rPr>
        <w:t>for the development of the</w:t>
      </w:r>
      <w:r w:rsidRPr="00DE0876">
        <w:rPr>
          <w:rFonts w:ascii="Times New Roman" w:hAnsi="Times New Roman" w:cs="Times New Roman"/>
          <w:noProof/>
          <w:sz w:val="24"/>
          <w:lang w:val="en-GB"/>
        </w:rPr>
        <w:t xml:space="preserve"> </w:t>
      </w:r>
      <w:r>
        <w:rPr>
          <w:rFonts w:ascii="Times New Roman" w:hAnsi="Times New Roman" w:cs="Times New Roman"/>
          <w:noProof/>
          <w:sz w:val="24"/>
          <w:lang w:val="en-GB"/>
        </w:rPr>
        <w:t>C</w:t>
      </w:r>
      <w:r w:rsidRPr="00DE0876">
        <w:rPr>
          <w:rFonts w:ascii="Times New Roman" w:hAnsi="Times New Roman" w:cs="Times New Roman"/>
          <w:noProof/>
          <w:sz w:val="24"/>
          <w:lang w:val="en-GB"/>
        </w:rPr>
        <w:t xml:space="preserve">orridor include the further development of </w:t>
      </w:r>
      <w:r w:rsidR="00B41CA4">
        <w:rPr>
          <w:rFonts w:ascii="Times New Roman" w:hAnsi="Times New Roman" w:cs="Times New Roman"/>
          <w:noProof/>
          <w:sz w:val="24"/>
          <w:lang w:val="en-GB"/>
        </w:rPr>
        <w:t>maritime sea links</w:t>
      </w:r>
      <w:r w:rsidRPr="00DE0876">
        <w:rPr>
          <w:rFonts w:ascii="Times New Roman" w:hAnsi="Times New Roman" w:cs="Times New Roman"/>
          <w:noProof/>
          <w:sz w:val="24"/>
          <w:lang w:val="en-GB"/>
        </w:rPr>
        <w:t xml:space="preserve">, and the improvement of hinterland connections </w:t>
      </w:r>
      <w:r>
        <w:rPr>
          <w:rFonts w:ascii="Times New Roman" w:hAnsi="Times New Roman" w:cs="Times New Roman"/>
          <w:noProof/>
          <w:sz w:val="24"/>
          <w:lang w:val="en-GB"/>
        </w:rPr>
        <w:t>to</w:t>
      </w:r>
      <w:r w:rsidRPr="00DE0876">
        <w:rPr>
          <w:rFonts w:ascii="Times New Roman" w:hAnsi="Times New Roman" w:cs="Times New Roman"/>
          <w:noProof/>
          <w:sz w:val="24"/>
          <w:lang w:val="en-GB"/>
        </w:rPr>
        <w:t xml:space="preserve"> seaports. Specific reference is made to plans to encourage a range of projects including the Ringaskiddy road connection to Cork, and the Alexandra Basin in Dublin. </w:t>
      </w:r>
      <w:r w:rsidR="00832DDF">
        <w:rPr>
          <w:rFonts w:ascii="Times New Roman" w:hAnsi="Times New Roman" w:cs="Times New Roman"/>
          <w:noProof/>
          <w:sz w:val="24"/>
          <w:lang w:val="en-GB"/>
        </w:rPr>
        <w:t>T</w:t>
      </w:r>
      <w:r>
        <w:rPr>
          <w:rFonts w:ascii="Times New Roman" w:hAnsi="Times New Roman" w:cs="Times New Roman"/>
          <w:noProof/>
          <w:sz w:val="24"/>
          <w:lang w:val="en-GB"/>
        </w:rPr>
        <w:t xml:space="preserve">he </w:t>
      </w:r>
      <w:r w:rsidR="00832DDF">
        <w:rPr>
          <w:rFonts w:ascii="Times New Roman" w:hAnsi="Times New Roman" w:cs="Times New Roman"/>
          <w:noProof/>
          <w:sz w:val="24"/>
          <w:lang w:val="en-GB"/>
        </w:rPr>
        <w:t xml:space="preserve">Plan </w:t>
      </w:r>
      <w:r>
        <w:rPr>
          <w:rFonts w:ascii="Times New Roman" w:hAnsi="Times New Roman" w:cs="Times New Roman"/>
          <w:noProof/>
          <w:sz w:val="24"/>
          <w:lang w:val="en-GB"/>
        </w:rPr>
        <w:t>commits to ensuring</w:t>
      </w:r>
      <w:r w:rsidRPr="00DE0876">
        <w:rPr>
          <w:rFonts w:ascii="Times New Roman" w:hAnsi="Times New Roman" w:cs="Times New Roman"/>
          <w:noProof/>
          <w:sz w:val="24"/>
          <w:lang w:val="en-GB"/>
        </w:rPr>
        <w:t xml:space="preserve"> connectivity to mainland Europe by sea</w:t>
      </w:r>
      <w:r w:rsidR="00832DDF">
        <w:rPr>
          <w:rFonts w:ascii="Times New Roman" w:hAnsi="Times New Roman" w:cs="Times New Roman"/>
          <w:noProof/>
          <w:sz w:val="24"/>
          <w:lang w:val="en-GB"/>
        </w:rPr>
        <w:t>, recognised as the</w:t>
      </w:r>
      <w:r w:rsidR="00832DDF" w:rsidRPr="00DE0876">
        <w:rPr>
          <w:rFonts w:ascii="Times New Roman" w:hAnsi="Times New Roman" w:cs="Times New Roman"/>
          <w:noProof/>
          <w:sz w:val="24"/>
          <w:lang w:val="en-GB"/>
        </w:rPr>
        <w:t xml:space="preserve"> most significant border crossing</w:t>
      </w:r>
      <w:r w:rsidR="00832DDF">
        <w:rPr>
          <w:rFonts w:ascii="Times New Roman" w:hAnsi="Times New Roman" w:cs="Times New Roman"/>
          <w:noProof/>
          <w:sz w:val="24"/>
          <w:lang w:val="en-GB"/>
        </w:rPr>
        <w:t xml:space="preserve"> of </w:t>
      </w:r>
      <w:r w:rsidR="00832DDF" w:rsidRPr="00DE0876">
        <w:rPr>
          <w:rFonts w:ascii="Times New Roman" w:hAnsi="Times New Roman" w:cs="Times New Roman"/>
          <w:noProof/>
          <w:sz w:val="24"/>
          <w:lang w:val="en-GB"/>
        </w:rPr>
        <w:t>Ireland</w:t>
      </w:r>
      <w:r w:rsidRPr="00DE0876">
        <w:rPr>
          <w:rFonts w:ascii="Times New Roman" w:hAnsi="Times New Roman" w:cs="Times New Roman"/>
          <w:noProof/>
          <w:sz w:val="24"/>
          <w:lang w:val="en-GB"/>
        </w:rPr>
        <w:t>. Further investment in</w:t>
      </w:r>
      <w:r>
        <w:rPr>
          <w:rFonts w:ascii="Times New Roman" w:hAnsi="Times New Roman" w:cs="Times New Roman"/>
          <w:noProof/>
          <w:sz w:val="24"/>
          <w:lang w:val="en-GB"/>
        </w:rPr>
        <w:t xml:space="preserve"> the</w:t>
      </w:r>
      <w:r w:rsidRPr="00DE0876">
        <w:rPr>
          <w:rFonts w:ascii="Times New Roman" w:hAnsi="Times New Roman" w:cs="Times New Roman"/>
          <w:noProof/>
          <w:sz w:val="24"/>
          <w:lang w:val="en-GB"/>
        </w:rPr>
        <w:t xml:space="preserve"> port capacity</w:t>
      </w:r>
      <w:r>
        <w:rPr>
          <w:rFonts w:ascii="Times New Roman" w:hAnsi="Times New Roman" w:cs="Times New Roman"/>
          <w:noProof/>
          <w:sz w:val="24"/>
          <w:lang w:val="en-GB"/>
        </w:rPr>
        <w:t xml:space="preserve"> of Ireland</w:t>
      </w:r>
      <w:r w:rsidRPr="00DE0876">
        <w:rPr>
          <w:rFonts w:ascii="Times New Roman" w:hAnsi="Times New Roman" w:cs="Times New Roman"/>
          <w:noProof/>
          <w:sz w:val="24"/>
          <w:lang w:val="en-GB"/>
        </w:rPr>
        <w:t xml:space="preserve"> is identified as a potential means </w:t>
      </w:r>
      <w:r>
        <w:rPr>
          <w:rFonts w:ascii="Times New Roman" w:hAnsi="Times New Roman" w:cs="Times New Roman"/>
          <w:noProof/>
          <w:sz w:val="24"/>
          <w:lang w:val="en-GB"/>
        </w:rPr>
        <w:t>of reducing the</w:t>
      </w:r>
      <w:r w:rsidRPr="00DE0876">
        <w:rPr>
          <w:rFonts w:ascii="Times New Roman" w:hAnsi="Times New Roman" w:cs="Times New Roman"/>
          <w:noProof/>
          <w:sz w:val="24"/>
          <w:lang w:val="en-GB"/>
        </w:rPr>
        <w:t xml:space="preserve"> dependence</w:t>
      </w:r>
      <w:r>
        <w:rPr>
          <w:rFonts w:ascii="Times New Roman" w:hAnsi="Times New Roman" w:cs="Times New Roman"/>
          <w:noProof/>
          <w:sz w:val="24"/>
          <w:lang w:val="en-GB"/>
        </w:rPr>
        <w:t xml:space="preserve"> of Ireland</w:t>
      </w:r>
      <w:r w:rsidRPr="00DE0876">
        <w:rPr>
          <w:rFonts w:ascii="Times New Roman" w:hAnsi="Times New Roman" w:cs="Times New Roman"/>
          <w:noProof/>
          <w:sz w:val="24"/>
          <w:lang w:val="en-GB"/>
        </w:rPr>
        <w:t xml:space="preserve"> on the UK land</w:t>
      </w:r>
      <w:r>
        <w:rPr>
          <w:rFonts w:ascii="Times New Roman" w:hAnsi="Times New Roman" w:cs="Times New Roman"/>
          <w:noProof/>
          <w:sz w:val="24"/>
          <w:lang w:val="en-GB"/>
        </w:rPr>
        <w:t xml:space="preserve"> </w:t>
      </w:r>
      <w:r w:rsidRPr="00DE0876">
        <w:rPr>
          <w:rFonts w:ascii="Times New Roman" w:hAnsi="Times New Roman" w:cs="Times New Roman"/>
          <w:noProof/>
          <w:sz w:val="24"/>
          <w:lang w:val="en-GB"/>
        </w:rPr>
        <w:t>bridge.</w:t>
      </w:r>
    </w:p>
    <w:p w:rsidR="00794A3F" w:rsidRDefault="00794A3F" w:rsidP="00794A3F">
      <w:pPr>
        <w:spacing w:after="120"/>
        <w:jc w:val="both"/>
        <w:rPr>
          <w:rFonts w:ascii="Times New Roman" w:hAnsi="Times New Roman" w:cs="Times New Roman"/>
          <w:noProof/>
          <w:sz w:val="24"/>
          <w:lang w:val="en-GB"/>
        </w:rPr>
      </w:pPr>
    </w:p>
    <w:p w:rsidR="00794A3F" w:rsidRDefault="00794A3F" w:rsidP="00794A3F">
      <w:pPr>
        <w:spacing w:after="120"/>
        <w:jc w:val="both"/>
        <w:rPr>
          <w:rFonts w:ascii="Times New Roman" w:hAnsi="Times New Roman" w:cs="Times New Roman"/>
          <w:b/>
          <w:noProof/>
          <w:sz w:val="24"/>
          <w:u w:val="single"/>
          <w:lang w:val="en-GB"/>
        </w:rPr>
      </w:pPr>
      <w:r w:rsidRPr="00AA1AFD">
        <w:rPr>
          <w:rFonts w:ascii="Times New Roman" w:hAnsi="Times New Roman" w:cs="Times New Roman"/>
          <w:b/>
          <w:noProof/>
          <w:sz w:val="24"/>
          <w:lang w:val="en-GB"/>
        </w:rPr>
        <w:t xml:space="preserve">IV. </w:t>
      </w:r>
      <w:r w:rsidR="009C17C2">
        <w:rPr>
          <w:rFonts w:ascii="Times New Roman" w:hAnsi="Times New Roman" w:cs="Times New Roman"/>
          <w:b/>
          <w:noProof/>
          <w:sz w:val="24"/>
          <w:u w:val="single"/>
          <w:lang w:val="en-GB"/>
        </w:rPr>
        <w:t>Conclusion</w:t>
      </w:r>
    </w:p>
    <w:p w:rsidR="002B6126" w:rsidRPr="002B6126" w:rsidRDefault="009C17C2" w:rsidP="00F265B6">
      <w:pPr>
        <w:pStyle w:val="wordcount"/>
        <w:jc w:val="both"/>
        <w:rPr>
          <w:rFonts w:eastAsiaTheme="minorHAnsi" w:cs="Times New Roman"/>
          <w:noProof/>
          <w:color w:val="auto"/>
          <w:szCs w:val="22"/>
          <w:lang w:val="en-GB" w:eastAsia="en-US"/>
        </w:rPr>
      </w:pPr>
      <w:r w:rsidRPr="00AA1AFD">
        <w:rPr>
          <w:rFonts w:eastAsiaTheme="minorHAnsi" w:cs="Times New Roman"/>
          <w:noProof/>
          <w:color w:val="auto"/>
          <w:szCs w:val="22"/>
          <w:lang w:val="en-GB" w:eastAsia="en-US"/>
        </w:rPr>
        <w:t>The extension of the TEN-T policy</w:t>
      </w:r>
      <w:r>
        <w:rPr>
          <w:rFonts w:eastAsiaTheme="minorHAnsi" w:cs="Times New Roman"/>
          <w:noProof/>
          <w:color w:val="auto"/>
          <w:szCs w:val="22"/>
          <w:lang w:val="en-GB" w:eastAsia="en-US"/>
        </w:rPr>
        <w:t xml:space="preserve"> to neighbouring countries has been of critical importance</w:t>
      </w:r>
      <w:r w:rsidR="00E40A8E">
        <w:rPr>
          <w:rFonts w:eastAsiaTheme="minorHAnsi" w:cs="Times New Roman"/>
          <w:noProof/>
          <w:color w:val="auto"/>
          <w:szCs w:val="22"/>
          <w:lang w:val="en-GB" w:eastAsia="en-US"/>
        </w:rPr>
        <w:t xml:space="preserve"> to the </w:t>
      </w:r>
      <w:r w:rsidR="006D16EE">
        <w:rPr>
          <w:rFonts w:eastAsiaTheme="minorHAnsi" w:cs="Times New Roman"/>
          <w:noProof/>
          <w:color w:val="auto"/>
          <w:szCs w:val="22"/>
          <w:lang w:val="en-GB" w:eastAsia="en-US"/>
        </w:rPr>
        <w:t xml:space="preserve">Union </w:t>
      </w:r>
      <w:r w:rsidR="00E40A8E">
        <w:rPr>
          <w:rFonts w:eastAsiaTheme="minorHAnsi" w:cs="Times New Roman"/>
          <w:noProof/>
          <w:color w:val="auto"/>
          <w:szCs w:val="22"/>
          <w:lang w:val="en-GB" w:eastAsia="en-US"/>
        </w:rPr>
        <w:t>in</w:t>
      </w:r>
      <w:r w:rsidR="008642EF">
        <w:rPr>
          <w:rFonts w:eastAsiaTheme="minorHAnsi" w:cs="Times New Roman"/>
          <w:noProof/>
          <w:color w:val="auto"/>
          <w:szCs w:val="22"/>
          <w:lang w:val="en-GB" w:eastAsia="en-US"/>
        </w:rPr>
        <w:t xml:space="preserve"> the</w:t>
      </w:r>
      <w:r>
        <w:rPr>
          <w:rFonts w:eastAsiaTheme="minorHAnsi" w:cs="Times New Roman"/>
          <w:noProof/>
          <w:color w:val="auto"/>
          <w:szCs w:val="22"/>
          <w:lang w:val="en-GB" w:eastAsia="en-US"/>
        </w:rPr>
        <w:t xml:space="preserve"> </w:t>
      </w:r>
      <w:r w:rsidR="008642EF">
        <w:rPr>
          <w:rFonts w:eastAsiaTheme="minorHAnsi" w:cs="Times New Roman"/>
          <w:noProof/>
          <w:color w:val="auto"/>
          <w:szCs w:val="22"/>
          <w:lang w:val="en-GB" w:eastAsia="en-US"/>
        </w:rPr>
        <w:t xml:space="preserve">pursuit </w:t>
      </w:r>
      <w:r>
        <w:rPr>
          <w:rFonts w:eastAsiaTheme="minorHAnsi" w:cs="Times New Roman"/>
          <w:noProof/>
          <w:color w:val="auto"/>
          <w:szCs w:val="22"/>
          <w:lang w:val="en-GB" w:eastAsia="en-US"/>
        </w:rPr>
        <w:t xml:space="preserve">of developing </w:t>
      </w:r>
      <w:r w:rsidRPr="00AA1AFD">
        <w:rPr>
          <w:rFonts w:eastAsiaTheme="minorHAnsi" w:cs="Times New Roman"/>
          <w:noProof/>
          <w:color w:val="auto"/>
          <w:szCs w:val="22"/>
          <w:lang w:val="en-GB" w:eastAsia="en-US"/>
        </w:rPr>
        <w:t xml:space="preserve">an interoperable and multimodal </w:t>
      </w:r>
      <w:r w:rsidR="008211FD">
        <w:rPr>
          <w:rFonts w:eastAsiaTheme="minorHAnsi" w:cs="Times New Roman"/>
          <w:noProof/>
          <w:color w:val="auto"/>
          <w:szCs w:val="22"/>
          <w:lang w:val="en-GB" w:eastAsia="en-US"/>
        </w:rPr>
        <w:t xml:space="preserve">transport </w:t>
      </w:r>
      <w:r w:rsidRPr="00AA1AFD">
        <w:rPr>
          <w:rFonts w:eastAsiaTheme="minorHAnsi" w:cs="Times New Roman"/>
          <w:noProof/>
          <w:color w:val="auto"/>
          <w:szCs w:val="22"/>
          <w:lang w:val="en-GB" w:eastAsia="en-US"/>
        </w:rPr>
        <w:t>network</w:t>
      </w:r>
      <w:r>
        <w:rPr>
          <w:rFonts w:eastAsiaTheme="minorHAnsi" w:cs="Times New Roman"/>
          <w:noProof/>
          <w:color w:val="auto"/>
          <w:szCs w:val="22"/>
          <w:lang w:val="en-GB" w:eastAsia="en-US"/>
        </w:rPr>
        <w:t xml:space="preserve">. The TEN-T policy has been </w:t>
      </w:r>
      <w:r w:rsidRPr="00AA1AFD">
        <w:rPr>
          <w:rFonts w:eastAsiaTheme="minorHAnsi" w:cs="Times New Roman"/>
          <w:noProof/>
          <w:color w:val="auto"/>
          <w:szCs w:val="22"/>
          <w:lang w:val="en-GB" w:eastAsia="en-US"/>
        </w:rPr>
        <w:t>a</w:t>
      </w:r>
      <w:r>
        <w:rPr>
          <w:rFonts w:eastAsiaTheme="minorHAnsi" w:cs="Times New Roman"/>
          <w:noProof/>
          <w:color w:val="auto"/>
          <w:szCs w:val="22"/>
          <w:lang w:val="en-GB" w:eastAsia="en-US"/>
        </w:rPr>
        <w:t>n important</w:t>
      </w:r>
      <w:r w:rsidRPr="00AA1AFD">
        <w:rPr>
          <w:rFonts w:eastAsiaTheme="minorHAnsi" w:cs="Times New Roman"/>
          <w:noProof/>
          <w:color w:val="auto"/>
          <w:szCs w:val="22"/>
          <w:lang w:val="en-GB" w:eastAsia="en-US"/>
        </w:rPr>
        <w:t xml:space="preserve"> vehicle </w:t>
      </w:r>
      <w:r>
        <w:rPr>
          <w:rFonts w:eastAsiaTheme="minorHAnsi" w:cs="Times New Roman"/>
          <w:noProof/>
          <w:color w:val="auto"/>
          <w:szCs w:val="22"/>
          <w:lang w:val="en-GB" w:eastAsia="en-US"/>
        </w:rPr>
        <w:t>for the</w:t>
      </w:r>
      <w:r w:rsidRPr="00AA1AFD">
        <w:rPr>
          <w:rFonts w:eastAsiaTheme="minorHAnsi" w:cs="Times New Roman"/>
          <w:noProof/>
          <w:color w:val="auto"/>
          <w:szCs w:val="22"/>
          <w:lang w:val="en-GB" w:eastAsia="en-US"/>
        </w:rPr>
        <w:t xml:space="preserve"> integrati</w:t>
      </w:r>
      <w:r>
        <w:rPr>
          <w:rFonts w:eastAsiaTheme="minorHAnsi" w:cs="Times New Roman"/>
          <w:noProof/>
          <w:color w:val="auto"/>
          <w:szCs w:val="22"/>
          <w:lang w:val="en-GB" w:eastAsia="en-US"/>
        </w:rPr>
        <w:t>on of</w:t>
      </w:r>
      <w:r w:rsidRPr="00AA1AFD">
        <w:rPr>
          <w:rFonts w:eastAsiaTheme="minorHAnsi" w:cs="Times New Roman"/>
          <w:noProof/>
          <w:color w:val="auto"/>
          <w:szCs w:val="22"/>
          <w:lang w:val="en-GB" w:eastAsia="en-US"/>
        </w:rPr>
        <w:t xml:space="preserve"> </w:t>
      </w:r>
      <w:r w:rsidR="001F549E">
        <w:rPr>
          <w:rFonts w:eastAsiaTheme="minorHAnsi" w:cs="Times New Roman"/>
          <w:noProof/>
          <w:color w:val="auto"/>
          <w:szCs w:val="22"/>
          <w:lang w:val="en-GB" w:eastAsia="en-US"/>
        </w:rPr>
        <w:t xml:space="preserve">enlargement </w:t>
      </w:r>
      <w:r w:rsidRPr="00AA1AFD">
        <w:rPr>
          <w:rFonts w:eastAsiaTheme="minorHAnsi" w:cs="Times New Roman"/>
          <w:noProof/>
          <w:color w:val="auto"/>
          <w:szCs w:val="22"/>
          <w:lang w:val="en-GB" w:eastAsia="en-US"/>
        </w:rPr>
        <w:t>countries</w:t>
      </w:r>
      <w:r w:rsidR="00BD3141">
        <w:rPr>
          <w:rFonts w:eastAsiaTheme="minorHAnsi" w:cs="Times New Roman"/>
          <w:noProof/>
          <w:color w:val="auto"/>
          <w:szCs w:val="22"/>
          <w:lang w:val="en-GB" w:eastAsia="en-US"/>
        </w:rPr>
        <w:t>, providing better transport connectivity</w:t>
      </w:r>
      <w:r w:rsidRPr="00AA1AFD">
        <w:rPr>
          <w:rFonts w:eastAsiaTheme="minorHAnsi" w:cs="Times New Roman"/>
          <w:noProof/>
          <w:color w:val="auto"/>
          <w:szCs w:val="22"/>
          <w:lang w:val="en-GB" w:eastAsia="en-US"/>
        </w:rPr>
        <w:t xml:space="preserve"> and</w:t>
      </w:r>
      <w:r w:rsidR="00BD3141">
        <w:rPr>
          <w:rFonts w:eastAsiaTheme="minorHAnsi" w:cs="Times New Roman"/>
          <w:noProof/>
          <w:color w:val="auto"/>
          <w:szCs w:val="22"/>
          <w:lang w:val="en-GB" w:eastAsia="en-US"/>
        </w:rPr>
        <w:t xml:space="preserve"> acting as </w:t>
      </w:r>
      <w:r w:rsidRPr="00AA1AFD">
        <w:rPr>
          <w:rFonts w:eastAsiaTheme="minorHAnsi" w:cs="Times New Roman"/>
          <w:noProof/>
          <w:color w:val="auto"/>
          <w:szCs w:val="22"/>
          <w:lang w:val="en-GB" w:eastAsia="en-US"/>
        </w:rPr>
        <w:t xml:space="preserve">an enabler of trade facilitation, accelerating the convergence with the </w:t>
      </w:r>
      <w:r w:rsidR="006D16EE">
        <w:rPr>
          <w:rFonts w:eastAsiaTheme="minorHAnsi" w:cs="Times New Roman"/>
          <w:noProof/>
          <w:color w:val="auto"/>
          <w:szCs w:val="22"/>
          <w:lang w:val="en-GB" w:eastAsia="en-US"/>
        </w:rPr>
        <w:t>Union</w:t>
      </w:r>
      <w:r w:rsidRPr="00AA1AFD">
        <w:rPr>
          <w:rFonts w:eastAsiaTheme="minorHAnsi" w:cs="Times New Roman"/>
          <w:noProof/>
          <w:color w:val="auto"/>
          <w:szCs w:val="22"/>
          <w:lang w:val="en-GB" w:eastAsia="en-US"/>
        </w:rPr>
        <w:t>.</w:t>
      </w:r>
      <w:r w:rsidR="002B6126">
        <w:rPr>
          <w:rFonts w:eastAsiaTheme="minorHAnsi" w:cs="Times New Roman"/>
          <w:noProof/>
          <w:color w:val="auto"/>
          <w:szCs w:val="22"/>
          <w:lang w:val="en-GB" w:eastAsia="en-US"/>
        </w:rPr>
        <w:t xml:space="preserve"> Presented alongside the proposal for a revised TEN-T Regulation, this Communication aims at further deepening the external relations of the Union, taking in the</w:t>
      </w:r>
      <w:r w:rsidR="002B6126">
        <w:rPr>
          <w:rFonts w:cs="Times New Roman"/>
          <w:noProof/>
          <w:lang w:val="en-GB"/>
        </w:rPr>
        <w:t xml:space="preserve"> priorities of the European Green Deal and of the Sustainable and Smart Mobility Strategy of the Commission.</w:t>
      </w:r>
    </w:p>
    <w:p w:rsidR="002B6126" w:rsidRDefault="002B6126" w:rsidP="00F265B6">
      <w:pPr>
        <w:pStyle w:val="wordcount"/>
        <w:jc w:val="both"/>
        <w:rPr>
          <w:rFonts w:eastAsiaTheme="minorHAnsi" w:cs="Times New Roman"/>
          <w:noProof/>
          <w:color w:val="auto"/>
          <w:szCs w:val="22"/>
          <w:lang w:val="en-GB" w:eastAsia="en-US"/>
        </w:rPr>
      </w:pPr>
    </w:p>
    <w:p w:rsidR="005B4CC3" w:rsidRDefault="00CA0EB0" w:rsidP="00F265B6">
      <w:pPr>
        <w:pStyle w:val="wordcount"/>
        <w:jc w:val="both"/>
        <w:rPr>
          <w:rFonts w:eastAsiaTheme="minorHAnsi" w:cs="Times New Roman"/>
          <w:noProof/>
          <w:color w:val="auto"/>
          <w:szCs w:val="22"/>
          <w:lang w:val="en-GB" w:eastAsia="en-US"/>
        </w:rPr>
      </w:pPr>
      <w:r>
        <w:rPr>
          <w:rFonts w:eastAsiaTheme="minorHAnsi" w:cs="Times New Roman"/>
          <w:noProof/>
          <w:color w:val="auto"/>
          <w:szCs w:val="22"/>
          <w:lang w:val="en-GB" w:eastAsia="en-US"/>
        </w:rPr>
        <w:t>For the Western Balkans and the Eastern Partnership, in particular,</w:t>
      </w:r>
      <w:r w:rsidR="002B6126">
        <w:rPr>
          <w:rFonts w:eastAsiaTheme="minorHAnsi" w:cs="Times New Roman"/>
          <w:noProof/>
          <w:color w:val="auto"/>
          <w:szCs w:val="22"/>
          <w:lang w:val="en-GB" w:eastAsia="en-US"/>
        </w:rPr>
        <w:t xml:space="preserve"> there is</w:t>
      </w:r>
      <w:r w:rsidR="000D6001">
        <w:rPr>
          <w:rFonts w:eastAsiaTheme="minorHAnsi" w:cs="Times New Roman"/>
          <w:noProof/>
          <w:color w:val="auto"/>
          <w:szCs w:val="22"/>
          <w:lang w:val="en-GB" w:eastAsia="en-US"/>
        </w:rPr>
        <w:t xml:space="preserve"> </w:t>
      </w:r>
      <w:r w:rsidR="002B6126">
        <w:rPr>
          <w:rFonts w:eastAsiaTheme="minorHAnsi" w:cs="Times New Roman"/>
          <w:noProof/>
          <w:color w:val="auto"/>
          <w:szCs w:val="22"/>
          <w:lang w:val="en-GB" w:eastAsia="en-US"/>
        </w:rPr>
        <w:t>the</w:t>
      </w:r>
      <w:r>
        <w:rPr>
          <w:rFonts w:eastAsiaTheme="minorHAnsi" w:cs="Times New Roman"/>
          <w:noProof/>
          <w:color w:val="auto"/>
          <w:szCs w:val="22"/>
          <w:lang w:val="en-GB" w:eastAsia="en-US"/>
        </w:rPr>
        <w:t xml:space="preserve"> strong</w:t>
      </w:r>
      <w:r w:rsidR="000D6001">
        <w:rPr>
          <w:rFonts w:eastAsiaTheme="minorHAnsi" w:cs="Times New Roman"/>
          <w:noProof/>
          <w:color w:val="auto"/>
          <w:szCs w:val="22"/>
          <w:lang w:val="en-GB" w:eastAsia="en-US"/>
        </w:rPr>
        <w:t xml:space="preserve"> need to accelerate the development of the indicative TEN-T to further improve transport connectivity with the Union. In order to move from a patchwork to a network</w:t>
      </w:r>
      <w:r>
        <w:rPr>
          <w:rFonts w:eastAsiaTheme="minorHAnsi" w:cs="Times New Roman"/>
          <w:noProof/>
          <w:color w:val="auto"/>
          <w:szCs w:val="22"/>
          <w:lang w:val="en-GB" w:eastAsia="en-US"/>
        </w:rPr>
        <w:t xml:space="preserve"> in these regions</w:t>
      </w:r>
      <w:r w:rsidR="002F6FAB">
        <w:rPr>
          <w:rFonts w:eastAsiaTheme="minorHAnsi" w:cs="Times New Roman"/>
          <w:noProof/>
          <w:color w:val="auto"/>
          <w:szCs w:val="22"/>
          <w:lang w:val="en-GB" w:eastAsia="en-US"/>
        </w:rPr>
        <w:t>, coherence</w:t>
      </w:r>
      <w:r w:rsidR="000D6001">
        <w:rPr>
          <w:rFonts w:eastAsiaTheme="minorHAnsi" w:cs="Times New Roman"/>
          <w:noProof/>
          <w:color w:val="auto"/>
          <w:szCs w:val="22"/>
          <w:lang w:val="en-GB" w:eastAsia="en-US"/>
        </w:rPr>
        <w:t xml:space="preserve"> in project implementation</w:t>
      </w:r>
      <w:r>
        <w:rPr>
          <w:rFonts w:eastAsiaTheme="minorHAnsi" w:cs="Times New Roman"/>
          <w:noProof/>
          <w:color w:val="auto"/>
          <w:szCs w:val="22"/>
          <w:lang w:val="en-GB" w:eastAsia="en-US"/>
        </w:rPr>
        <w:t xml:space="preserve"> must be strengthened</w:t>
      </w:r>
      <w:r w:rsidR="000D6001">
        <w:rPr>
          <w:rFonts w:eastAsiaTheme="minorHAnsi" w:cs="Times New Roman"/>
          <w:noProof/>
          <w:color w:val="auto"/>
          <w:szCs w:val="22"/>
          <w:lang w:val="en-GB" w:eastAsia="en-US"/>
        </w:rPr>
        <w:t xml:space="preserve"> and </w:t>
      </w:r>
      <w:r>
        <w:rPr>
          <w:rFonts w:eastAsiaTheme="minorHAnsi" w:cs="Times New Roman"/>
          <w:noProof/>
          <w:color w:val="auto"/>
          <w:szCs w:val="22"/>
          <w:lang w:val="en-GB" w:eastAsia="en-US"/>
        </w:rPr>
        <w:t>the</w:t>
      </w:r>
      <w:r w:rsidR="000D6001">
        <w:rPr>
          <w:rFonts w:eastAsiaTheme="minorHAnsi" w:cs="Times New Roman"/>
          <w:noProof/>
          <w:color w:val="auto"/>
          <w:szCs w:val="22"/>
          <w:lang w:val="en-GB" w:eastAsia="en-US"/>
        </w:rPr>
        <w:t xml:space="preserve"> building</w:t>
      </w:r>
      <w:r>
        <w:rPr>
          <w:rFonts w:eastAsiaTheme="minorHAnsi" w:cs="Times New Roman"/>
          <w:noProof/>
          <w:color w:val="auto"/>
          <w:szCs w:val="22"/>
          <w:lang w:val="en-GB" w:eastAsia="en-US"/>
        </w:rPr>
        <w:t xml:space="preserve"> of</w:t>
      </w:r>
      <w:r w:rsidR="000D6001">
        <w:rPr>
          <w:rFonts w:eastAsiaTheme="minorHAnsi" w:cs="Times New Roman"/>
          <w:noProof/>
          <w:color w:val="auto"/>
          <w:szCs w:val="22"/>
          <w:lang w:val="en-GB" w:eastAsia="en-US"/>
        </w:rPr>
        <w:t xml:space="preserve"> sound proj</w:t>
      </w:r>
      <w:r>
        <w:rPr>
          <w:rFonts w:eastAsiaTheme="minorHAnsi" w:cs="Times New Roman"/>
          <w:noProof/>
          <w:color w:val="auto"/>
          <w:szCs w:val="22"/>
          <w:lang w:val="en-GB" w:eastAsia="en-US"/>
        </w:rPr>
        <w:t>ect pipelines</w:t>
      </w:r>
      <w:r w:rsidR="00F00100">
        <w:rPr>
          <w:rFonts w:eastAsiaTheme="minorHAnsi" w:cs="Times New Roman"/>
          <w:noProof/>
          <w:color w:val="auto"/>
          <w:szCs w:val="22"/>
          <w:lang w:val="en-GB" w:eastAsia="en-US"/>
        </w:rPr>
        <w:t xml:space="preserve"> must be sustained at a faster track</w:t>
      </w:r>
      <w:r w:rsidR="00535C54">
        <w:rPr>
          <w:rFonts w:eastAsiaTheme="minorHAnsi" w:cs="Times New Roman"/>
          <w:noProof/>
          <w:color w:val="auto"/>
          <w:szCs w:val="22"/>
          <w:lang w:val="en-GB" w:eastAsia="en-US"/>
        </w:rPr>
        <w:t>,</w:t>
      </w:r>
      <w:r>
        <w:rPr>
          <w:rFonts w:eastAsiaTheme="minorHAnsi" w:cs="Times New Roman"/>
          <w:noProof/>
          <w:color w:val="auto"/>
          <w:szCs w:val="22"/>
          <w:lang w:val="en-GB" w:eastAsia="en-US"/>
        </w:rPr>
        <w:t xml:space="preserve"> </w:t>
      </w:r>
      <w:r w:rsidR="00535C54">
        <w:rPr>
          <w:rFonts w:eastAsiaTheme="minorHAnsi" w:cs="Times New Roman"/>
          <w:noProof/>
          <w:color w:val="auto"/>
          <w:szCs w:val="22"/>
          <w:lang w:val="en-GB" w:eastAsia="en-US"/>
        </w:rPr>
        <w:t>articulating</w:t>
      </w:r>
      <w:r>
        <w:rPr>
          <w:rFonts w:eastAsiaTheme="minorHAnsi" w:cs="Times New Roman"/>
          <w:noProof/>
          <w:color w:val="auto"/>
          <w:szCs w:val="22"/>
          <w:lang w:val="en-GB" w:eastAsia="en-US"/>
        </w:rPr>
        <w:t xml:space="preserve"> c</w:t>
      </w:r>
      <w:r w:rsidR="000D6001">
        <w:rPr>
          <w:rFonts w:eastAsiaTheme="minorHAnsi" w:cs="Times New Roman"/>
          <w:noProof/>
          <w:color w:val="auto"/>
          <w:szCs w:val="22"/>
          <w:lang w:val="en-GB" w:eastAsia="en-US"/>
        </w:rPr>
        <w:t>lear priori</w:t>
      </w:r>
      <w:r w:rsidR="00827EC4">
        <w:rPr>
          <w:rFonts w:eastAsiaTheme="minorHAnsi" w:cs="Times New Roman"/>
          <w:noProof/>
          <w:color w:val="auto"/>
          <w:szCs w:val="22"/>
          <w:lang w:val="en-GB" w:eastAsia="en-US"/>
        </w:rPr>
        <w:t>ti</w:t>
      </w:r>
      <w:r w:rsidR="000D6001">
        <w:rPr>
          <w:rFonts w:eastAsiaTheme="minorHAnsi" w:cs="Times New Roman"/>
          <w:noProof/>
          <w:color w:val="auto"/>
          <w:szCs w:val="22"/>
          <w:lang w:val="en-GB" w:eastAsia="en-US"/>
        </w:rPr>
        <w:t>sation</w:t>
      </w:r>
      <w:r>
        <w:rPr>
          <w:rFonts w:eastAsiaTheme="minorHAnsi" w:cs="Times New Roman"/>
          <w:noProof/>
          <w:color w:val="auto"/>
          <w:szCs w:val="22"/>
          <w:lang w:val="en-GB" w:eastAsia="en-US"/>
        </w:rPr>
        <w:t>s</w:t>
      </w:r>
      <w:r w:rsidR="000D6001">
        <w:rPr>
          <w:rFonts w:eastAsiaTheme="minorHAnsi" w:cs="Times New Roman"/>
          <w:noProof/>
          <w:color w:val="auto"/>
          <w:szCs w:val="22"/>
          <w:lang w:val="en-GB" w:eastAsia="en-US"/>
        </w:rPr>
        <w:t xml:space="preserve"> of the most critical projects</w:t>
      </w:r>
      <w:r w:rsidR="00535C54">
        <w:rPr>
          <w:rFonts w:eastAsiaTheme="minorHAnsi" w:cs="Times New Roman"/>
          <w:noProof/>
          <w:color w:val="auto"/>
          <w:szCs w:val="22"/>
          <w:lang w:val="en-GB" w:eastAsia="en-US"/>
        </w:rPr>
        <w:t xml:space="preserve"> and</w:t>
      </w:r>
      <w:r>
        <w:rPr>
          <w:rFonts w:eastAsiaTheme="minorHAnsi" w:cs="Times New Roman"/>
          <w:noProof/>
          <w:color w:val="auto"/>
          <w:szCs w:val="22"/>
          <w:lang w:val="en-GB" w:eastAsia="en-US"/>
        </w:rPr>
        <w:t xml:space="preserve"> giv</w:t>
      </w:r>
      <w:r w:rsidR="00535C54">
        <w:rPr>
          <w:rFonts w:eastAsiaTheme="minorHAnsi" w:cs="Times New Roman"/>
          <w:noProof/>
          <w:color w:val="auto"/>
          <w:szCs w:val="22"/>
          <w:lang w:val="en-GB" w:eastAsia="en-US"/>
        </w:rPr>
        <w:t>ing priority</w:t>
      </w:r>
      <w:r>
        <w:rPr>
          <w:rFonts w:eastAsiaTheme="minorHAnsi" w:cs="Times New Roman"/>
          <w:noProof/>
          <w:color w:val="auto"/>
          <w:szCs w:val="22"/>
          <w:lang w:val="en-GB" w:eastAsia="en-US"/>
        </w:rPr>
        <w:t xml:space="preserve"> to</w:t>
      </w:r>
      <w:r w:rsidR="000D6001">
        <w:rPr>
          <w:rFonts w:eastAsiaTheme="minorHAnsi" w:cs="Times New Roman"/>
          <w:noProof/>
          <w:color w:val="auto"/>
          <w:szCs w:val="22"/>
          <w:lang w:val="en-GB" w:eastAsia="en-US"/>
        </w:rPr>
        <w:t xml:space="preserve"> projects located on the indicative core network.</w:t>
      </w:r>
    </w:p>
    <w:p w:rsidR="005B4CC3" w:rsidRDefault="005B4CC3" w:rsidP="00F265B6">
      <w:pPr>
        <w:pStyle w:val="wordcount"/>
        <w:jc w:val="both"/>
        <w:rPr>
          <w:rFonts w:eastAsiaTheme="minorHAnsi" w:cs="Times New Roman"/>
          <w:noProof/>
          <w:color w:val="auto"/>
          <w:szCs w:val="22"/>
          <w:lang w:val="en-GB" w:eastAsia="en-US"/>
        </w:rPr>
      </w:pPr>
    </w:p>
    <w:p w:rsidR="000D6001" w:rsidRPr="00AA1AFD" w:rsidRDefault="00827EC4" w:rsidP="00F265B6">
      <w:pPr>
        <w:pStyle w:val="wordcount"/>
        <w:jc w:val="both"/>
        <w:rPr>
          <w:rFonts w:eastAsiaTheme="minorHAnsi" w:cs="Times New Roman"/>
          <w:noProof/>
          <w:color w:val="auto"/>
          <w:szCs w:val="22"/>
          <w:lang w:val="en-GB" w:eastAsia="en-US"/>
        </w:rPr>
      </w:pPr>
      <w:r>
        <w:rPr>
          <w:rFonts w:eastAsiaTheme="minorHAnsi" w:cs="Times New Roman"/>
          <w:noProof/>
          <w:color w:val="auto"/>
          <w:szCs w:val="22"/>
          <w:lang w:val="en-GB" w:eastAsia="en-US"/>
        </w:rPr>
        <w:t xml:space="preserve">There is, in addition, the </w:t>
      </w:r>
      <w:r w:rsidR="00CA0EB0">
        <w:rPr>
          <w:rFonts w:eastAsiaTheme="minorHAnsi" w:cs="Times New Roman"/>
          <w:noProof/>
          <w:color w:val="auto"/>
          <w:szCs w:val="22"/>
          <w:lang w:val="en-GB" w:eastAsia="en-US"/>
        </w:rPr>
        <w:t>urgency of bringing the existing infrastructure up to standard</w:t>
      </w:r>
      <w:r w:rsidR="00B85892">
        <w:rPr>
          <w:rFonts w:eastAsiaTheme="minorHAnsi" w:cs="Times New Roman"/>
          <w:noProof/>
          <w:color w:val="auto"/>
          <w:szCs w:val="22"/>
          <w:lang w:val="en-GB" w:eastAsia="en-US"/>
        </w:rPr>
        <w:t xml:space="preserve"> and to ensure maintenance of existing assets</w:t>
      </w:r>
      <w:r w:rsidR="00CA0EB0">
        <w:rPr>
          <w:rFonts w:eastAsiaTheme="minorHAnsi" w:cs="Times New Roman"/>
          <w:noProof/>
          <w:color w:val="auto"/>
          <w:szCs w:val="22"/>
          <w:lang w:val="en-GB" w:eastAsia="en-US"/>
        </w:rPr>
        <w:t xml:space="preserve">. </w:t>
      </w:r>
      <w:r w:rsidR="002B6126">
        <w:rPr>
          <w:rFonts w:eastAsiaTheme="minorHAnsi" w:cs="Times New Roman"/>
          <w:noProof/>
          <w:color w:val="auto"/>
          <w:szCs w:val="22"/>
          <w:lang w:val="en-GB" w:eastAsia="en-US"/>
        </w:rPr>
        <w:t>The further development of the indicative TEN-T should aim at providing a network of high quality</w:t>
      </w:r>
      <w:r w:rsidR="00F00100">
        <w:rPr>
          <w:rFonts w:eastAsiaTheme="minorHAnsi" w:cs="Times New Roman"/>
          <w:noProof/>
          <w:color w:val="auto"/>
          <w:szCs w:val="22"/>
          <w:lang w:val="en-GB" w:eastAsia="en-US"/>
        </w:rPr>
        <w:t xml:space="preserve"> standard</w:t>
      </w:r>
      <w:r w:rsidR="00EC23C5">
        <w:rPr>
          <w:rFonts w:eastAsiaTheme="minorHAnsi" w:cs="Times New Roman"/>
          <w:noProof/>
          <w:color w:val="auto"/>
          <w:szCs w:val="22"/>
          <w:lang w:val="en-GB" w:eastAsia="en-US"/>
        </w:rPr>
        <w:t>.</w:t>
      </w:r>
      <w:r w:rsidR="00C2023F">
        <w:rPr>
          <w:rFonts w:eastAsiaTheme="minorHAnsi" w:cs="Times New Roman"/>
          <w:noProof/>
          <w:color w:val="auto"/>
          <w:szCs w:val="22"/>
          <w:lang w:val="en-GB" w:eastAsia="en-US"/>
        </w:rPr>
        <w:t xml:space="preserve"> Moreover, it should aim at providing for the development of a resilient infrastructure to withstand the challenges of climate change.</w:t>
      </w:r>
    </w:p>
    <w:p w:rsidR="00C2023F" w:rsidRDefault="00C2023F" w:rsidP="00794A3F">
      <w:pPr>
        <w:spacing w:after="120"/>
        <w:jc w:val="both"/>
        <w:rPr>
          <w:rFonts w:ascii="Times New Roman" w:hAnsi="Times New Roman" w:cs="Times New Roman"/>
          <w:noProof/>
          <w:sz w:val="24"/>
          <w:lang w:val="en-GB"/>
        </w:rPr>
      </w:pPr>
    </w:p>
    <w:p w:rsidR="00C2023F" w:rsidRDefault="00C2023F" w:rsidP="00794A3F">
      <w:pPr>
        <w:spacing w:after="120"/>
        <w:jc w:val="both"/>
        <w:rPr>
          <w:rFonts w:ascii="Times New Roman" w:hAnsi="Times New Roman" w:cs="Times New Roman"/>
          <w:noProof/>
          <w:sz w:val="24"/>
          <w:lang w:val="en-GB"/>
        </w:rPr>
      </w:pPr>
      <w:r>
        <w:rPr>
          <w:rFonts w:ascii="Times New Roman" w:hAnsi="Times New Roman" w:cs="Times New Roman"/>
          <w:noProof/>
          <w:sz w:val="24"/>
          <w:lang w:val="en-GB"/>
        </w:rPr>
        <w:t>In view of this, t</w:t>
      </w:r>
      <w:r w:rsidRPr="0072055A">
        <w:rPr>
          <w:rFonts w:ascii="Times New Roman" w:hAnsi="Times New Roman" w:cs="Times New Roman"/>
          <w:noProof/>
          <w:sz w:val="24"/>
          <w:lang w:val="en-GB"/>
        </w:rPr>
        <w:t xml:space="preserve">he Commission will </w:t>
      </w:r>
      <w:r>
        <w:rPr>
          <w:rFonts w:ascii="Times New Roman" w:hAnsi="Times New Roman" w:cs="Times New Roman"/>
          <w:noProof/>
          <w:sz w:val="24"/>
          <w:lang w:val="en-GB"/>
        </w:rPr>
        <w:t>undertake to:</w:t>
      </w:r>
    </w:p>
    <w:p w:rsidR="00F56D9D" w:rsidRDefault="00A068B3" w:rsidP="00531DE5">
      <w:pPr>
        <w:pStyle w:val="ListParagraph"/>
        <w:numPr>
          <w:ilvl w:val="0"/>
          <w:numId w:val="5"/>
        </w:numPr>
        <w:spacing w:after="120"/>
        <w:jc w:val="both"/>
        <w:rPr>
          <w:rFonts w:ascii="Times New Roman" w:hAnsi="Times New Roman" w:cs="Times New Roman"/>
          <w:noProof/>
          <w:sz w:val="24"/>
          <w:lang w:val="en-GB"/>
        </w:rPr>
      </w:pPr>
      <w:r>
        <w:rPr>
          <w:rFonts w:ascii="Times New Roman" w:hAnsi="Times New Roman" w:cs="Times New Roman"/>
          <w:noProof/>
          <w:sz w:val="24"/>
          <w:lang w:val="en-GB"/>
        </w:rPr>
        <w:t>Achieve</w:t>
      </w:r>
      <w:r w:rsidR="006A6EF8">
        <w:rPr>
          <w:rFonts w:ascii="Times New Roman" w:hAnsi="Times New Roman" w:cs="Times New Roman"/>
          <w:noProof/>
          <w:sz w:val="24"/>
          <w:lang w:val="en-GB"/>
        </w:rPr>
        <w:t xml:space="preserve"> a </w:t>
      </w:r>
      <w:r w:rsidR="006A6EF8" w:rsidRPr="00531DE5">
        <w:rPr>
          <w:rFonts w:ascii="Times New Roman" w:hAnsi="Times New Roman" w:cs="Times New Roman"/>
          <w:noProof/>
          <w:sz w:val="24"/>
          <w:lang w:val="en-GB"/>
        </w:rPr>
        <w:t>compliant indicative core network</w:t>
      </w:r>
      <w:r w:rsidR="006A6EF8">
        <w:rPr>
          <w:rFonts w:ascii="Times New Roman" w:hAnsi="Times New Roman" w:cs="Times New Roman"/>
          <w:noProof/>
          <w:sz w:val="24"/>
          <w:lang w:val="en-GB"/>
        </w:rPr>
        <w:t xml:space="preserve">, which is </w:t>
      </w:r>
      <w:r w:rsidR="00F56D9D">
        <w:rPr>
          <w:rFonts w:ascii="Times New Roman" w:hAnsi="Times New Roman" w:cs="Times New Roman"/>
          <w:noProof/>
          <w:sz w:val="24"/>
          <w:lang w:val="en-GB"/>
        </w:rPr>
        <w:t>multimodal, sustainable and resilient.</w:t>
      </w:r>
    </w:p>
    <w:p w:rsidR="00107B77" w:rsidRDefault="00107B77" w:rsidP="00531DE5">
      <w:pPr>
        <w:pStyle w:val="ListParagraph"/>
        <w:numPr>
          <w:ilvl w:val="0"/>
          <w:numId w:val="5"/>
        </w:numPr>
        <w:spacing w:after="120"/>
        <w:jc w:val="both"/>
        <w:rPr>
          <w:rFonts w:ascii="Times New Roman" w:hAnsi="Times New Roman" w:cs="Times New Roman"/>
          <w:noProof/>
          <w:sz w:val="24"/>
          <w:lang w:val="en-GB"/>
        </w:rPr>
      </w:pPr>
      <w:r>
        <w:rPr>
          <w:rFonts w:ascii="Times New Roman" w:hAnsi="Times New Roman" w:cs="Times New Roman"/>
          <w:noProof/>
          <w:sz w:val="24"/>
          <w:lang w:val="en-GB"/>
        </w:rPr>
        <w:t>S</w:t>
      </w:r>
      <w:r w:rsidR="00531DE5" w:rsidRPr="00531DE5">
        <w:rPr>
          <w:rFonts w:ascii="Times New Roman" w:hAnsi="Times New Roman" w:cs="Times New Roman"/>
          <w:noProof/>
          <w:sz w:val="24"/>
          <w:lang w:val="en-GB"/>
        </w:rPr>
        <w:t>peed up the construction of new transport infrastructure, bridging missing links</w:t>
      </w:r>
      <w:r w:rsidR="007E30C9">
        <w:rPr>
          <w:rFonts w:ascii="Times New Roman" w:hAnsi="Times New Roman" w:cs="Times New Roman"/>
          <w:noProof/>
          <w:sz w:val="24"/>
          <w:lang w:val="en-GB"/>
        </w:rPr>
        <w:t xml:space="preserve"> and remov</w:t>
      </w:r>
      <w:r w:rsidR="006B4B79">
        <w:rPr>
          <w:rFonts w:ascii="Times New Roman" w:hAnsi="Times New Roman" w:cs="Times New Roman"/>
          <w:noProof/>
          <w:sz w:val="24"/>
          <w:lang w:val="en-GB"/>
        </w:rPr>
        <w:t>ing</w:t>
      </w:r>
      <w:r w:rsidR="007E30C9">
        <w:rPr>
          <w:rFonts w:ascii="Times New Roman" w:hAnsi="Times New Roman" w:cs="Times New Roman"/>
          <w:noProof/>
          <w:sz w:val="24"/>
          <w:lang w:val="en-GB"/>
        </w:rPr>
        <w:t xml:space="preserve"> bottlenecks</w:t>
      </w:r>
      <w:r w:rsidR="00531DE5" w:rsidRPr="00531DE5">
        <w:rPr>
          <w:rFonts w:ascii="Times New Roman" w:hAnsi="Times New Roman" w:cs="Times New Roman"/>
          <w:noProof/>
          <w:sz w:val="24"/>
          <w:lang w:val="en-GB"/>
        </w:rPr>
        <w:t>, in particular</w:t>
      </w:r>
      <w:r w:rsidR="00934022">
        <w:rPr>
          <w:rFonts w:ascii="Times New Roman" w:hAnsi="Times New Roman" w:cs="Times New Roman"/>
          <w:noProof/>
          <w:sz w:val="24"/>
          <w:lang w:val="en-GB"/>
        </w:rPr>
        <w:t>, across borders, and upgrade</w:t>
      </w:r>
      <w:r w:rsidR="00531DE5" w:rsidRPr="00531DE5">
        <w:rPr>
          <w:rFonts w:ascii="Times New Roman" w:hAnsi="Times New Roman" w:cs="Times New Roman"/>
          <w:noProof/>
          <w:sz w:val="24"/>
          <w:lang w:val="en-GB"/>
        </w:rPr>
        <w:t xml:space="preserve"> existing infrastructure </w:t>
      </w:r>
      <w:r>
        <w:rPr>
          <w:rFonts w:ascii="Times New Roman" w:hAnsi="Times New Roman" w:cs="Times New Roman"/>
          <w:noProof/>
          <w:sz w:val="24"/>
          <w:lang w:val="en-GB"/>
        </w:rPr>
        <w:t>to</w:t>
      </w:r>
      <w:r w:rsidR="00934022">
        <w:rPr>
          <w:rFonts w:ascii="Times New Roman" w:hAnsi="Times New Roman" w:cs="Times New Roman"/>
          <w:noProof/>
          <w:sz w:val="24"/>
          <w:lang w:val="en-GB"/>
        </w:rPr>
        <w:t xml:space="preserve"> reach</w:t>
      </w:r>
      <w:r>
        <w:rPr>
          <w:rFonts w:ascii="Times New Roman" w:hAnsi="Times New Roman" w:cs="Times New Roman"/>
          <w:noProof/>
          <w:sz w:val="24"/>
          <w:lang w:val="en-GB"/>
        </w:rPr>
        <w:t xml:space="preserve"> </w:t>
      </w:r>
      <w:r w:rsidR="00934022">
        <w:rPr>
          <w:rFonts w:ascii="Times New Roman" w:hAnsi="Times New Roman" w:cs="Times New Roman"/>
          <w:noProof/>
          <w:sz w:val="24"/>
          <w:lang w:val="en-GB"/>
        </w:rPr>
        <w:t>compliance</w:t>
      </w:r>
      <w:r>
        <w:rPr>
          <w:rFonts w:ascii="Times New Roman" w:hAnsi="Times New Roman" w:cs="Times New Roman"/>
          <w:noProof/>
          <w:sz w:val="24"/>
          <w:lang w:val="en-GB"/>
        </w:rPr>
        <w:t xml:space="preserve"> with the TEN-T requirements</w:t>
      </w:r>
      <w:r w:rsidR="006A6EF8">
        <w:rPr>
          <w:rFonts w:ascii="Times New Roman" w:hAnsi="Times New Roman" w:cs="Times New Roman"/>
          <w:noProof/>
          <w:sz w:val="24"/>
          <w:lang w:val="en-GB"/>
        </w:rPr>
        <w:t xml:space="preserve"> and</w:t>
      </w:r>
      <w:r w:rsidR="00E932E3">
        <w:rPr>
          <w:rFonts w:ascii="Times New Roman" w:hAnsi="Times New Roman" w:cs="Times New Roman"/>
          <w:noProof/>
          <w:sz w:val="24"/>
          <w:lang w:val="en-GB"/>
        </w:rPr>
        <w:t xml:space="preserve"> </w:t>
      </w:r>
      <w:r w:rsidR="006A6EF8">
        <w:rPr>
          <w:rFonts w:ascii="Times New Roman" w:hAnsi="Times New Roman" w:cs="Times New Roman"/>
          <w:noProof/>
          <w:sz w:val="24"/>
          <w:lang w:val="en-GB"/>
        </w:rPr>
        <w:t xml:space="preserve">ensure </w:t>
      </w:r>
      <w:r w:rsidR="00E932E3">
        <w:rPr>
          <w:rFonts w:ascii="Times New Roman" w:hAnsi="Times New Roman" w:cs="Times New Roman"/>
          <w:noProof/>
          <w:sz w:val="24"/>
          <w:lang w:val="en-GB"/>
        </w:rPr>
        <w:t>alignment with the European Green Deal.</w:t>
      </w:r>
    </w:p>
    <w:p w:rsidR="00107B77" w:rsidRPr="00EE35BC" w:rsidRDefault="00107B77" w:rsidP="00EE35BC">
      <w:pPr>
        <w:pStyle w:val="ListParagraph"/>
        <w:numPr>
          <w:ilvl w:val="0"/>
          <w:numId w:val="5"/>
        </w:numPr>
        <w:spacing w:after="120"/>
        <w:jc w:val="both"/>
        <w:rPr>
          <w:rFonts w:ascii="Times New Roman" w:hAnsi="Times New Roman" w:cs="Times New Roman"/>
          <w:noProof/>
          <w:sz w:val="24"/>
          <w:lang w:val="en-GB"/>
        </w:rPr>
      </w:pPr>
      <w:r>
        <w:rPr>
          <w:rFonts w:ascii="Times New Roman" w:hAnsi="Times New Roman" w:cs="Times New Roman"/>
          <w:noProof/>
          <w:sz w:val="24"/>
          <w:lang w:val="en-GB"/>
        </w:rPr>
        <w:t>Support the promotion and deployment of d</w:t>
      </w:r>
      <w:r w:rsidR="00531DE5" w:rsidRPr="00531DE5">
        <w:rPr>
          <w:rFonts w:ascii="Times New Roman" w:hAnsi="Times New Roman" w:cs="Times New Roman"/>
          <w:noProof/>
          <w:sz w:val="24"/>
          <w:lang w:val="en-GB"/>
        </w:rPr>
        <w:t>igital technology to enable the interoperability of networks</w:t>
      </w:r>
      <w:r>
        <w:rPr>
          <w:rFonts w:ascii="Times New Roman" w:hAnsi="Times New Roman" w:cs="Times New Roman"/>
          <w:noProof/>
          <w:sz w:val="24"/>
          <w:lang w:val="en-GB"/>
        </w:rPr>
        <w:t>, in particular, ERTMS</w:t>
      </w:r>
      <w:r w:rsidR="00143C86">
        <w:rPr>
          <w:rFonts w:ascii="Times New Roman" w:hAnsi="Times New Roman" w:cs="Times New Roman"/>
          <w:noProof/>
          <w:sz w:val="24"/>
          <w:lang w:val="en-GB"/>
        </w:rPr>
        <w:t>,</w:t>
      </w:r>
      <w:r>
        <w:rPr>
          <w:rFonts w:ascii="Times New Roman" w:hAnsi="Times New Roman" w:cs="Times New Roman"/>
          <w:noProof/>
          <w:sz w:val="24"/>
          <w:lang w:val="en-GB"/>
        </w:rPr>
        <w:t xml:space="preserve"> ITS</w:t>
      </w:r>
      <w:r w:rsidR="00143C86">
        <w:rPr>
          <w:rFonts w:ascii="Times New Roman" w:hAnsi="Times New Roman" w:cs="Times New Roman"/>
          <w:noProof/>
          <w:sz w:val="24"/>
          <w:lang w:val="en-GB"/>
        </w:rPr>
        <w:t xml:space="preserve"> and</w:t>
      </w:r>
      <w:r w:rsidR="00143C86" w:rsidRPr="00143C86">
        <w:rPr>
          <w:rFonts w:ascii="Times New Roman" w:hAnsi="Times New Roman" w:cs="Times New Roman"/>
          <w:noProof/>
          <w:sz w:val="24"/>
          <w:lang w:val="en-GB"/>
        </w:rPr>
        <w:t xml:space="preserve"> </w:t>
      </w:r>
      <w:r w:rsidR="00143C86">
        <w:rPr>
          <w:rFonts w:ascii="Times New Roman" w:hAnsi="Times New Roman" w:cs="Times New Roman"/>
          <w:noProof/>
          <w:sz w:val="24"/>
          <w:lang w:val="en-GB"/>
        </w:rPr>
        <w:t>multimodal freight information systems</w:t>
      </w:r>
      <w:r w:rsidR="00AE3798">
        <w:rPr>
          <w:rFonts w:ascii="Times New Roman" w:hAnsi="Times New Roman" w:cs="Times New Roman"/>
          <w:noProof/>
          <w:sz w:val="24"/>
          <w:lang w:val="en-GB"/>
        </w:rPr>
        <w:t xml:space="preserve"> and 5G infrastructure</w:t>
      </w:r>
      <w:r w:rsidR="00143C86">
        <w:rPr>
          <w:rFonts w:ascii="Times New Roman" w:hAnsi="Times New Roman" w:cs="Times New Roman"/>
          <w:noProof/>
          <w:sz w:val="24"/>
          <w:lang w:val="en-GB"/>
        </w:rPr>
        <w:t xml:space="preserve">. The deployment of digital technology should </w:t>
      </w:r>
      <w:r w:rsidR="00A5405E" w:rsidRPr="00130521">
        <w:rPr>
          <w:rFonts w:ascii="Times New Roman" w:hAnsi="Times New Roman" w:cs="Times New Roman"/>
          <w:noProof/>
          <w:sz w:val="24"/>
          <w:szCs w:val="24"/>
          <w:lang w:val="en-GB"/>
        </w:rPr>
        <w:t xml:space="preserve">ensure </w:t>
      </w:r>
      <w:r w:rsidR="00A5405E">
        <w:rPr>
          <w:rFonts w:ascii="Times New Roman" w:hAnsi="Times New Roman" w:cs="Times New Roman"/>
          <w:noProof/>
          <w:sz w:val="24"/>
          <w:szCs w:val="24"/>
          <w:lang w:val="en-GB"/>
        </w:rPr>
        <w:t xml:space="preserve">high </w:t>
      </w:r>
      <w:r w:rsidR="00A5405E" w:rsidRPr="00130521">
        <w:rPr>
          <w:rFonts w:ascii="Times New Roman" w:hAnsi="Times New Roman" w:cs="Times New Roman"/>
          <w:noProof/>
          <w:sz w:val="24"/>
          <w:szCs w:val="24"/>
          <w:lang w:val="en-GB"/>
        </w:rPr>
        <w:t>performance</w:t>
      </w:r>
      <w:r w:rsidR="00143C86">
        <w:rPr>
          <w:rFonts w:ascii="Times New Roman" w:hAnsi="Times New Roman" w:cs="Times New Roman"/>
          <w:noProof/>
          <w:sz w:val="24"/>
          <w:szCs w:val="24"/>
          <w:lang w:val="en-GB"/>
        </w:rPr>
        <w:t xml:space="preserve"> across the network</w:t>
      </w:r>
      <w:r w:rsidR="00A5405E" w:rsidRPr="00130521">
        <w:rPr>
          <w:rFonts w:ascii="Times New Roman" w:hAnsi="Times New Roman" w:cs="Times New Roman"/>
          <w:noProof/>
          <w:sz w:val="24"/>
          <w:szCs w:val="24"/>
          <w:lang w:val="en-GB"/>
        </w:rPr>
        <w:t xml:space="preserve"> </w:t>
      </w:r>
      <w:r w:rsidR="00A5405E">
        <w:rPr>
          <w:rFonts w:ascii="Times New Roman" w:hAnsi="Times New Roman" w:cs="Times New Roman"/>
          <w:noProof/>
          <w:sz w:val="24"/>
          <w:szCs w:val="24"/>
          <w:lang w:val="en-GB"/>
        </w:rPr>
        <w:t>and</w:t>
      </w:r>
      <w:r w:rsidR="00A5405E" w:rsidRPr="00130521">
        <w:rPr>
          <w:rFonts w:ascii="Times New Roman" w:hAnsi="Times New Roman" w:cs="Times New Roman"/>
          <w:noProof/>
          <w:sz w:val="24"/>
          <w:szCs w:val="24"/>
          <w:lang w:val="en-GB"/>
        </w:rPr>
        <w:t xml:space="preserve"> reach higher levels of automation</w:t>
      </w:r>
      <w:r w:rsidR="00D1763B" w:rsidRPr="00EE35BC">
        <w:rPr>
          <w:rFonts w:ascii="Times New Roman" w:hAnsi="Times New Roman" w:cs="Times New Roman"/>
          <w:noProof/>
          <w:sz w:val="24"/>
          <w:lang w:val="en-GB"/>
        </w:rPr>
        <w:t xml:space="preserve">. </w:t>
      </w:r>
    </w:p>
    <w:p w:rsidR="00F653A2" w:rsidRDefault="00F653A2" w:rsidP="00531DE5">
      <w:pPr>
        <w:pStyle w:val="ListParagraph"/>
        <w:numPr>
          <w:ilvl w:val="0"/>
          <w:numId w:val="5"/>
        </w:numPr>
        <w:spacing w:after="120"/>
        <w:jc w:val="both"/>
        <w:rPr>
          <w:rFonts w:ascii="Times New Roman" w:hAnsi="Times New Roman" w:cs="Times New Roman"/>
          <w:noProof/>
          <w:sz w:val="24"/>
          <w:lang w:val="en-GB"/>
        </w:rPr>
      </w:pPr>
      <w:r>
        <w:rPr>
          <w:rFonts w:ascii="Times New Roman" w:hAnsi="Times New Roman" w:cs="Times New Roman"/>
          <w:noProof/>
          <w:sz w:val="24"/>
          <w:lang w:val="en-GB"/>
        </w:rPr>
        <w:t>Encourage partners to take in due consideration, and implement, optimal maintenance and operation of existing and new assets.</w:t>
      </w:r>
    </w:p>
    <w:p w:rsidR="00B22DE7" w:rsidRDefault="00B22DE7" w:rsidP="00531DE5">
      <w:pPr>
        <w:pStyle w:val="ListParagraph"/>
        <w:numPr>
          <w:ilvl w:val="0"/>
          <w:numId w:val="5"/>
        </w:numPr>
        <w:spacing w:after="120"/>
        <w:jc w:val="both"/>
        <w:rPr>
          <w:rFonts w:ascii="Times New Roman" w:hAnsi="Times New Roman" w:cs="Times New Roman"/>
          <w:noProof/>
          <w:sz w:val="24"/>
          <w:lang w:val="en-GB"/>
        </w:rPr>
      </w:pPr>
      <w:r>
        <w:rPr>
          <w:rFonts w:ascii="Times New Roman" w:hAnsi="Times New Roman" w:cs="Times New Roman"/>
          <w:noProof/>
          <w:sz w:val="24"/>
          <w:lang w:val="en-GB"/>
        </w:rPr>
        <w:t>G</w:t>
      </w:r>
      <w:r w:rsidRPr="00531DE5">
        <w:rPr>
          <w:rFonts w:ascii="Times New Roman" w:hAnsi="Times New Roman" w:cs="Times New Roman"/>
          <w:noProof/>
          <w:sz w:val="24"/>
          <w:lang w:val="en-GB"/>
        </w:rPr>
        <w:t xml:space="preserve">ive priority to </w:t>
      </w:r>
      <w:r>
        <w:rPr>
          <w:rFonts w:ascii="Times New Roman" w:hAnsi="Times New Roman" w:cs="Times New Roman"/>
          <w:noProof/>
          <w:sz w:val="24"/>
          <w:lang w:val="en-GB"/>
        </w:rPr>
        <w:t>TEN-T projects</w:t>
      </w:r>
      <w:r w:rsidRPr="00531DE5">
        <w:rPr>
          <w:rFonts w:ascii="Times New Roman" w:hAnsi="Times New Roman" w:cs="Times New Roman"/>
          <w:noProof/>
          <w:sz w:val="24"/>
          <w:lang w:val="en-GB"/>
        </w:rPr>
        <w:t xml:space="preserve"> of strategic interest to the</w:t>
      </w:r>
      <w:r>
        <w:rPr>
          <w:rFonts w:ascii="Times New Roman" w:hAnsi="Times New Roman" w:cs="Times New Roman"/>
          <w:noProof/>
          <w:sz w:val="24"/>
          <w:lang w:val="en-GB"/>
        </w:rPr>
        <w:t xml:space="preserve"> Western Balkans and the Eastern Partnership regions and to the Union,</w:t>
      </w:r>
      <w:r w:rsidRPr="00531DE5">
        <w:rPr>
          <w:rFonts w:ascii="Times New Roman" w:hAnsi="Times New Roman" w:cs="Times New Roman"/>
          <w:noProof/>
          <w:sz w:val="24"/>
          <w:lang w:val="en-GB"/>
        </w:rPr>
        <w:t xml:space="preserve"> </w:t>
      </w:r>
      <w:r w:rsidR="006A6EF8">
        <w:rPr>
          <w:rFonts w:ascii="Times New Roman" w:hAnsi="Times New Roman" w:cs="Times New Roman"/>
          <w:noProof/>
          <w:sz w:val="24"/>
          <w:lang w:val="en-GB"/>
        </w:rPr>
        <w:t xml:space="preserve">to </w:t>
      </w:r>
      <w:r>
        <w:rPr>
          <w:rFonts w:ascii="Times New Roman" w:hAnsi="Times New Roman" w:cs="Times New Roman"/>
          <w:noProof/>
          <w:sz w:val="24"/>
          <w:lang w:val="en-GB"/>
        </w:rPr>
        <w:t xml:space="preserve">better link </w:t>
      </w:r>
      <w:r w:rsidR="001F549E">
        <w:rPr>
          <w:rFonts w:ascii="Times New Roman" w:hAnsi="Times New Roman" w:cs="Times New Roman"/>
          <w:noProof/>
          <w:sz w:val="24"/>
          <w:lang w:val="en-GB"/>
        </w:rPr>
        <w:t xml:space="preserve">enlargement and </w:t>
      </w:r>
      <w:r w:rsidR="00EE35BC">
        <w:rPr>
          <w:rFonts w:ascii="Times New Roman" w:hAnsi="Times New Roman" w:cs="Times New Roman"/>
          <w:noProof/>
          <w:sz w:val="24"/>
          <w:lang w:val="en-GB"/>
        </w:rPr>
        <w:t xml:space="preserve">other </w:t>
      </w:r>
      <w:r>
        <w:rPr>
          <w:rFonts w:ascii="Times New Roman" w:hAnsi="Times New Roman" w:cs="Times New Roman"/>
          <w:noProof/>
          <w:sz w:val="24"/>
          <w:lang w:val="en-GB"/>
        </w:rPr>
        <w:t>neighbouring countries with the Union.</w:t>
      </w:r>
    </w:p>
    <w:p w:rsidR="0019712A" w:rsidRDefault="00A92A48" w:rsidP="00531DE5">
      <w:pPr>
        <w:pStyle w:val="ListParagraph"/>
        <w:numPr>
          <w:ilvl w:val="0"/>
          <w:numId w:val="5"/>
        </w:numPr>
        <w:spacing w:after="120"/>
        <w:jc w:val="both"/>
        <w:rPr>
          <w:rFonts w:ascii="Times New Roman" w:hAnsi="Times New Roman" w:cs="Times New Roman"/>
          <w:noProof/>
          <w:sz w:val="24"/>
          <w:lang w:val="en-GB"/>
        </w:rPr>
      </w:pPr>
      <w:r>
        <w:rPr>
          <w:rFonts w:ascii="Times New Roman" w:hAnsi="Times New Roman" w:cs="Times New Roman"/>
          <w:noProof/>
          <w:sz w:val="24"/>
          <w:lang w:val="en-GB"/>
        </w:rPr>
        <w:t>Assess the need to r</w:t>
      </w:r>
      <w:r w:rsidR="0019712A">
        <w:rPr>
          <w:rFonts w:ascii="Times New Roman" w:hAnsi="Times New Roman" w:cs="Times New Roman"/>
          <w:noProof/>
          <w:sz w:val="24"/>
          <w:lang w:val="en-GB"/>
        </w:rPr>
        <w:t xml:space="preserve">eview the existing indicative TEN-T network in the </w:t>
      </w:r>
      <w:r w:rsidR="001F549E">
        <w:rPr>
          <w:rFonts w:ascii="Times New Roman" w:hAnsi="Times New Roman" w:cs="Times New Roman"/>
          <w:noProof/>
          <w:sz w:val="24"/>
          <w:lang w:val="en-GB"/>
        </w:rPr>
        <w:t>enlargement and</w:t>
      </w:r>
      <w:r w:rsidR="00EE35BC">
        <w:rPr>
          <w:rFonts w:ascii="Times New Roman" w:hAnsi="Times New Roman" w:cs="Times New Roman"/>
          <w:noProof/>
          <w:sz w:val="24"/>
          <w:lang w:val="en-GB"/>
        </w:rPr>
        <w:t xml:space="preserve"> other</w:t>
      </w:r>
      <w:r w:rsidR="001F549E">
        <w:rPr>
          <w:rFonts w:ascii="Times New Roman" w:hAnsi="Times New Roman" w:cs="Times New Roman"/>
          <w:noProof/>
          <w:sz w:val="24"/>
          <w:lang w:val="en-GB"/>
        </w:rPr>
        <w:t xml:space="preserve"> </w:t>
      </w:r>
      <w:r w:rsidR="0019712A">
        <w:rPr>
          <w:rFonts w:ascii="Times New Roman" w:hAnsi="Times New Roman" w:cs="Times New Roman"/>
          <w:noProof/>
          <w:sz w:val="24"/>
          <w:lang w:val="en-GB"/>
        </w:rPr>
        <w:t xml:space="preserve">neighbouring countries and, where </w:t>
      </w:r>
      <w:r>
        <w:rPr>
          <w:rFonts w:ascii="Times New Roman" w:hAnsi="Times New Roman" w:cs="Times New Roman"/>
          <w:noProof/>
          <w:sz w:val="24"/>
          <w:lang w:val="en-GB"/>
        </w:rPr>
        <w:t>necessary</w:t>
      </w:r>
      <w:r w:rsidR="0019712A">
        <w:rPr>
          <w:rFonts w:ascii="Times New Roman" w:hAnsi="Times New Roman" w:cs="Times New Roman"/>
          <w:noProof/>
          <w:sz w:val="24"/>
          <w:lang w:val="en-GB"/>
        </w:rPr>
        <w:t>, initiate the process to update it.</w:t>
      </w:r>
    </w:p>
    <w:p w:rsidR="007E30C9" w:rsidRPr="00AA1AFD" w:rsidRDefault="00E40A8E" w:rsidP="00CD2C05">
      <w:pPr>
        <w:spacing w:after="120"/>
        <w:jc w:val="both"/>
        <w:rPr>
          <w:rFonts w:ascii="Times New Roman" w:hAnsi="Times New Roman" w:cs="Times New Roman"/>
          <w:noProof/>
          <w:sz w:val="24"/>
          <w:lang w:val="en-GB"/>
        </w:rPr>
      </w:pPr>
      <w:r>
        <w:rPr>
          <w:rFonts w:ascii="Times New Roman" w:hAnsi="Times New Roman" w:cs="Times New Roman"/>
          <w:noProof/>
          <w:sz w:val="24"/>
          <w:lang w:val="en-GB"/>
        </w:rPr>
        <w:t>T</w:t>
      </w:r>
      <w:r w:rsidRPr="00E40A8E">
        <w:rPr>
          <w:rFonts w:ascii="Times New Roman" w:hAnsi="Times New Roman" w:cs="Times New Roman"/>
          <w:noProof/>
          <w:sz w:val="24"/>
          <w:lang w:val="en-GB"/>
        </w:rPr>
        <w:t>he European Parliament and the Council a</w:t>
      </w:r>
      <w:r>
        <w:rPr>
          <w:rFonts w:ascii="Times New Roman" w:hAnsi="Times New Roman" w:cs="Times New Roman"/>
          <w:noProof/>
          <w:sz w:val="24"/>
          <w:lang w:val="en-GB"/>
        </w:rPr>
        <w:t>re invited to endorse this</w:t>
      </w:r>
      <w:r w:rsidRPr="00E40A8E">
        <w:rPr>
          <w:rFonts w:ascii="Times New Roman" w:hAnsi="Times New Roman" w:cs="Times New Roman"/>
          <w:noProof/>
          <w:sz w:val="24"/>
          <w:lang w:val="en-GB"/>
        </w:rPr>
        <w:t xml:space="preserve"> </w:t>
      </w:r>
      <w:r>
        <w:rPr>
          <w:rFonts w:ascii="Times New Roman" w:hAnsi="Times New Roman" w:cs="Times New Roman"/>
          <w:noProof/>
          <w:sz w:val="24"/>
          <w:lang w:val="en-GB"/>
        </w:rPr>
        <w:t>C</w:t>
      </w:r>
      <w:r w:rsidRPr="00E40A8E">
        <w:rPr>
          <w:rFonts w:ascii="Times New Roman" w:hAnsi="Times New Roman" w:cs="Times New Roman"/>
          <w:noProof/>
          <w:sz w:val="24"/>
          <w:lang w:val="en-GB"/>
        </w:rPr>
        <w:t>ommunication that will also be presented to the European Economic and Social Committee and the Committee of the Regions.</w:t>
      </w:r>
    </w:p>
    <w:sectPr w:rsidR="007E30C9" w:rsidRPr="00AA1AFD" w:rsidSect="00112B8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6E1" w:rsidRDefault="008E06E1" w:rsidP="009E1F6B">
      <w:pPr>
        <w:spacing w:after="0" w:line="240" w:lineRule="auto"/>
      </w:pPr>
      <w:r>
        <w:separator/>
      </w:r>
    </w:p>
  </w:endnote>
  <w:endnote w:type="continuationSeparator" w:id="0">
    <w:p w:rsidR="008E06E1" w:rsidRDefault="008E06E1" w:rsidP="009E1F6B">
      <w:pPr>
        <w:spacing w:after="0" w:line="240" w:lineRule="auto"/>
      </w:pPr>
      <w:r>
        <w:continuationSeparator/>
      </w:r>
    </w:p>
  </w:endnote>
  <w:endnote w:type="continuationNotice" w:id="1">
    <w:p w:rsidR="008E06E1" w:rsidRDefault="008E0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7B" w:rsidRPr="00A12F7B" w:rsidRDefault="00A12F7B" w:rsidP="00A12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FC" w:rsidRPr="00A12F7B" w:rsidRDefault="00A12F7B" w:rsidP="00A12F7B">
    <w:pPr>
      <w:pStyle w:val="FooterCoverPage"/>
      <w:rPr>
        <w:rFonts w:ascii="Arial" w:hAnsi="Arial" w:cs="Arial"/>
        <w:b/>
        <w:sz w:val="48"/>
      </w:rPr>
    </w:pPr>
    <w:r w:rsidRPr="00A12F7B">
      <w:rPr>
        <w:rFonts w:ascii="Arial" w:hAnsi="Arial" w:cs="Arial"/>
        <w:b/>
        <w:sz w:val="48"/>
      </w:rPr>
      <w:t>EN</w:t>
    </w:r>
    <w:r w:rsidRPr="00A12F7B">
      <w:rPr>
        <w:rFonts w:ascii="Arial" w:hAnsi="Arial" w:cs="Arial"/>
        <w:b/>
        <w:sz w:val="48"/>
      </w:rPr>
      <w:tab/>
    </w:r>
    <w:r w:rsidRPr="00A12F7B">
      <w:rPr>
        <w:rFonts w:ascii="Arial" w:hAnsi="Arial" w:cs="Arial"/>
        <w:b/>
        <w:sz w:val="48"/>
      </w:rPr>
      <w:tab/>
    </w:r>
    <w:r w:rsidRPr="00A12F7B">
      <w:tab/>
    </w:r>
    <w:r w:rsidRPr="00A12F7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7B" w:rsidRPr="00A12F7B" w:rsidRDefault="00A12F7B" w:rsidP="00A12F7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FC" w:rsidRDefault="001621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21372"/>
      <w:docPartObj>
        <w:docPartGallery w:val="Page Numbers (Bottom of Page)"/>
        <w:docPartUnique/>
      </w:docPartObj>
    </w:sdtPr>
    <w:sdtEndPr>
      <w:rPr>
        <w:noProof/>
      </w:rPr>
    </w:sdtEndPr>
    <w:sdtContent>
      <w:p w:rsidR="001621FC" w:rsidRDefault="001621FC">
        <w:pPr>
          <w:pStyle w:val="Footer"/>
          <w:jc w:val="center"/>
        </w:pPr>
        <w:r>
          <w:fldChar w:fldCharType="begin"/>
        </w:r>
        <w:r>
          <w:instrText xml:space="preserve"> PAGE   \* MERGEFORMAT </w:instrText>
        </w:r>
        <w:r>
          <w:fldChar w:fldCharType="separate"/>
        </w:r>
        <w:r w:rsidR="00A12F7B">
          <w:rPr>
            <w:noProof/>
          </w:rPr>
          <w:t>1</w:t>
        </w:r>
        <w:r>
          <w:rPr>
            <w:noProof/>
          </w:rPr>
          <w:fldChar w:fldCharType="end"/>
        </w:r>
      </w:p>
    </w:sdtContent>
  </w:sdt>
  <w:p w:rsidR="001621FC" w:rsidRDefault="001621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FC" w:rsidRDefault="00162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6E1" w:rsidRDefault="008E06E1" w:rsidP="009E1F6B">
      <w:pPr>
        <w:spacing w:after="0" w:line="240" w:lineRule="auto"/>
      </w:pPr>
      <w:r>
        <w:separator/>
      </w:r>
    </w:p>
  </w:footnote>
  <w:footnote w:type="continuationSeparator" w:id="0">
    <w:p w:rsidR="008E06E1" w:rsidRDefault="008E06E1" w:rsidP="009E1F6B">
      <w:pPr>
        <w:spacing w:after="0" w:line="240" w:lineRule="auto"/>
      </w:pPr>
      <w:r>
        <w:continuationSeparator/>
      </w:r>
    </w:p>
  </w:footnote>
  <w:footnote w:type="continuationNotice" w:id="1">
    <w:p w:rsidR="008E06E1" w:rsidRDefault="008E06E1">
      <w:pPr>
        <w:spacing w:after="0" w:line="240" w:lineRule="auto"/>
      </w:pPr>
    </w:p>
  </w:footnote>
  <w:footnote w:id="2">
    <w:p w:rsidR="001621FC" w:rsidRPr="0072055A" w:rsidRDefault="001621FC" w:rsidP="00B22DE7">
      <w:pPr>
        <w:pStyle w:val="FootnoteText"/>
        <w:jc w:val="both"/>
        <w:rPr>
          <w:rFonts w:ascii="Times New Roman" w:hAnsi="Times New Roman" w:cs="Times New Roman"/>
          <w:lang w:val="en-US"/>
        </w:rPr>
      </w:pPr>
      <w:r w:rsidRPr="0072055A">
        <w:rPr>
          <w:rStyle w:val="FootnoteReference"/>
          <w:rFonts w:ascii="Times New Roman" w:hAnsi="Times New Roman" w:cs="Times New Roman"/>
        </w:rPr>
        <w:footnoteRef/>
      </w:r>
      <w:r w:rsidRPr="0072055A">
        <w:rPr>
          <w:rFonts w:ascii="Times New Roman" w:hAnsi="Times New Roman" w:cs="Times New Roman"/>
          <w:lang w:val="en-US"/>
        </w:rPr>
        <w:t xml:space="preserve"> Regulation (EU) No 1315/2013 of the European Parliament and of the Council of 11 December 2013 on Union guidelines for the development of the trans-European transport ne</w:t>
      </w:r>
      <w:r w:rsidRPr="0050651E">
        <w:rPr>
          <w:rFonts w:ascii="Times New Roman" w:hAnsi="Times New Roman" w:cs="Times New Roman"/>
          <w:lang w:val="en-US"/>
        </w:rPr>
        <w:t xml:space="preserve">twork and repealing Decision No </w:t>
      </w:r>
      <w:r w:rsidRPr="0072055A">
        <w:rPr>
          <w:rFonts w:ascii="Times New Roman" w:hAnsi="Times New Roman" w:cs="Times New Roman"/>
          <w:lang w:val="en-US"/>
        </w:rPr>
        <w:t>661/2010/EU, OJ L 348, 20.12.2013, p. 1</w:t>
      </w:r>
      <w:r>
        <w:rPr>
          <w:rFonts w:ascii="Times New Roman" w:hAnsi="Times New Roman" w:cs="Times New Roman"/>
          <w:lang w:val="en-US"/>
        </w:rPr>
        <w:t>.</w:t>
      </w:r>
    </w:p>
  </w:footnote>
  <w:footnote w:id="3">
    <w:p w:rsidR="001621FC" w:rsidRPr="009C17C2" w:rsidRDefault="001621FC">
      <w:pPr>
        <w:pStyle w:val="FootnoteText"/>
        <w:rPr>
          <w:rFonts w:ascii="Times New Roman" w:hAnsi="Times New Roman" w:cs="Times New Roman"/>
          <w:lang w:val="en-GB"/>
        </w:rPr>
      </w:pPr>
      <w:r w:rsidRPr="0072055A">
        <w:rPr>
          <w:rStyle w:val="FootnoteReference"/>
          <w:rFonts w:ascii="Times New Roman" w:hAnsi="Times New Roman" w:cs="Times New Roman"/>
        </w:rPr>
        <w:footnoteRef/>
      </w:r>
      <w:r w:rsidRPr="009C17C2">
        <w:rPr>
          <w:rFonts w:ascii="Times New Roman" w:hAnsi="Times New Roman" w:cs="Times New Roman"/>
          <w:lang w:val="en-GB"/>
        </w:rPr>
        <w:t xml:space="preserve"> </w:t>
      </w:r>
      <w:r w:rsidR="00EE36E8" w:rsidRPr="00EE36E8">
        <w:rPr>
          <w:rFonts w:ascii="Times New Roman" w:hAnsi="Times New Roman" w:cs="Times New Roman"/>
          <w:lang w:val="en-GB"/>
        </w:rPr>
        <w:t>Commission Proposal of 14 December 2021 for a Regulation of the European Parliament and of the  Council on Union guidelines for the development of the trans-European transport network, amending Regulation (EU) 2021/1153 and Regulation (EU) No 913/2010 and repealing Regulation (EU) 1315/2013, COM(2021)812</w:t>
      </w:r>
    </w:p>
  </w:footnote>
  <w:footnote w:id="4">
    <w:p w:rsidR="001621FC" w:rsidRPr="0072055A" w:rsidRDefault="001621FC">
      <w:pPr>
        <w:pStyle w:val="FootnoteText"/>
        <w:rPr>
          <w:rFonts w:ascii="Times New Roman" w:hAnsi="Times New Roman" w:cs="Times New Roman"/>
          <w:lang w:val="en-US"/>
        </w:rPr>
      </w:pPr>
      <w:r w:rsidRPr="0072055A">
        <w:rPr>
          <w:rStyle w:val="FootnoteReference"/>
          <w:rFonts w:ascii="Times New Roman" w:hAnsi="Times New Roman" w:cs="Times New Roman"/>
        </w:rPr>
        <w:footnoteRef/>
      </w:r>
      <w:r w:rsidRPr="0072055A">
        <w:rPr>
          <w:rFonts w:ascii="Times New Roman" w:hAnsi="Times New Roman" w:cs="Times New Roman"/>
          <w:lang w:val="en-US"/>
        </w:rPr>
        <w:t xml:space="preserve"> COM(2019)</w:t>
      </w:r>
      <w:r>
        <w:rPr>
          <w:rFonts w:ascii="Times New Roman" w:hAnsi="Times New Roman" w:cs="Times New Roman"/>
          <w:lang w:val="en-US"/>
        </w:rPr>
        <w:t xml:space="preserve"> </w:t>
      </w:r>
      <w:r w:rsidRPr="0072055A">
        <w:rPr>
          <w:rFonts w:ascii="Times New Roman" w:hAnsi="Times New Roman" w:cs="Times New Roman"/>
          <w:lang w:val="en-US"/>
        </w:rPr>
        <w:t>640 final</w:t>
      </w:r>
      <w:r>
        <w:rPr>
          <w:rFonts w:ascii="Times New Roman" w:hAnsi="Times New Roman" w:cs="Times New Roman"/>
          <w:lang w:val="en-US"/>
        </w:rPr>
        <w:t>.</w:t>
      </w:r>
    </w:p>
  </w:footnote>
  <w:footnote w:id="5">
    <w:p w:rsidR="001621FC" w:rsidRPr="0072055A" w:rsidRDefault="001621FC">
      <w:pPr>
        <w:pStyle w:val="FootnoteText"/>
        <w:rPr>
          <w:rFonts w:ascii="Times New Roman" w:hAnsi="Times New Roman" w:cs="Times New Roman"/>
          <w:lang w:val="en-US"/>
        </w:rPr>
      </w:pPr>
      <w:r w:rsidRPr="0072055A">
        <w:rPr>
          <w:rStyle w:val="FootnoteReference"/>
          <w:rFonts w:ascii="Times New Roman" w:hAnsi="Times New Roman" w:cs="Times New Roman"/>
        </w:rPr>
        <w:footnoteRef/>
      </w:r>
      <w:r w:rsidRPr="0072055A">
        <w:rPr>
          <w:rFonts w:ascii="Times New Roman" w:hAnsi="Times New Roman" w:cs="Times New Roman"/>
          <w:lang w:val="en-US"/>
        </w:rPr>
        <w:t xml:space="preserve"> COM (2020)</w:t>
      </w:r>
      <w:r>
        <w:rPr>
          <w:rFonts w:ascii="Times New Roman" w:hAnsi="Times New Roman" w:cs="Times New Roman"/>
          <w:lang w:val="en-US"/>
        </w:rPr>
        <w:t xml:space="preserve"> </w:t>
      </w:r>
      <w:r w:rsidRPr="0072055A">
        <w:rPr>
          <w:rFonts w:ascii="Times New Roman" w:hAnsi="Times New Roman" w:cs="Times New Roman"/>
          <w:lang w:val="en-US"/>
        </w:rPr>
        <w:t>789 final</w:t>
      </w:r>
      <w:r>
        <w:rPr>
          <w:rFonts w:ascii="Times New Roman" w:hAnsi="Times New Roman" w:cs="Times New Roman"/>
          <w:lang w:val="en-US"/>
        </w:rPr>
        <w:t>.</w:t>
      </w:r>
    </w:p>
  </w:footnote>
  <w:footnote w:id="6">
    <w:p w:rsidR="001621FC" w:rsidRPr="00C56E68" w:rsidRDefault="001621FC" w:rsidP="0042116B">
      <w:pPr>
        <w:pStyle w:val="FootnoteText"/>
        <w:rPr>
          <w:lang w:val="en-GB"/>
        </w:rPr>
      </w:pPr>
      <w:r>
        <w:rPr>
          <w:rStyle w:val="FootnoteReference"/>
        </w:rPr>
        <w:footnoteRef/>
      </w:r>
      <w:r w:rsidRPr="00C56E68">
        <w:rPr>
          <w:lang w:val="en-GB"/>
        </w:rPr>
        <w:t xml:space="preserve"> </w:t>
      </w:r>
      <w:r w:rsidR="00827722">
        <w:rPr>
          <w:rFonts w:ascii="Times New Roman" w:hAnsi="Times New Roman" w:cs="Times New Roman"/>
          <w:lang w:val="en-US"/>
        </w:rPr>
        <w:t>JOIN (2021) 30 final</w:t>
      </w:r>
    </w:p>
  </w:footnote>
  <w:footnote w:id="7">
    <w:p w:rsidR="001621FC" w:rsidRPr="003C3A96" w:rsidRDefault="001621FC" w:rsidP="006910F4">
      <w:pPr>
        <w:pStyle w:val="FootnoteText"/>
        <w:jc w:val="both"/>
        <w:rPr>
          <w:rFonts w:ascii="Times New Roman" w:hAnsi="Times New Roman" w:cs="Times New Roman"/>
          <w:lang w:val="en-GB"/>
        </w:rPr>
      </w:pPr>
      <w:r w:rsidRPr="00F9613F">
        <w:rPr>
          <w:rStyle w:val="FootnoteReference"/>
          <w:rFonts w:ascii="Times New Roman" w:hAnsi="Times New Roman" w:cs="Times New Roman"/>
        </w:rPr>
        <w:footnoteRef/>
      </w:r>
      <w:r w:rsidRPr="00F9613F">
        <w:rPr>
          <w:rFonts w:ascii="Times New Roman" w:hAnsi="Times New Roman" w:cs="Times New Roman"/>
          <w:lang w:val="en-GB"/>
        </w:rPr>
        <w:t xml:space="preserve"> </w:t>
      </w:r>
      <w:r w:rsidRPr="003C3A96">
        <w:rPr>
          <w:rFonts w:ascii="Times New Roman" w:hAnsi="Times New Roman" w:cs="Times New Roman"/>
          <w:lang w:val="en-GB"/>
        </w:rPr>
        <w:t>Commiss</w:t>
      </w:r>
      <w:r>
        <w:rPr>
          <w:rFonts w:ascii="Times New Roman" w:hAnsi="Times New Roman" w:cs="Times New Roman"/>
          <w:lang w:val="en-GB"/>
        </w:rPr>
        <w:t>i</w:t>
      </w:r>
      <w:r w:rsidRPr="003C3A96">
        <w:rPr>
          <w:rFonts w:ascii="Times New Roman" w:hAnsi="Times New Roman" w:cs="Times New Roman"/>
          <w:lang w:val="en-GB"/>
        </w:rPr>
        <w:t>on Delegated Regulation 2016/758</w:t>
      </w:r>
      <w:r>
        <w:rPr>
          <w:rFonts w:ascii="Times New Roman" w:hAnsi="Times New Roman" w:cs="Times New Roman"/>
          <w:lang w:val="en-GB"/>
        </w:rPr>
        <w:t xml:space="preserve"> </w:t>
      </w:r>
      <w:r w:rsidRPr="003C3A96">
        <w:rPr>
          <w:rFonts w:ascii="Times New Roman" w:hAnsi="Times New Roman" w:cs="Times New Roman"/>
          <w:lang w:val="en-GB"/>
        </w:rPr>
        <w:t>of 4 February 2016 amending Regulation (EU) No 1315/2013 of the European Parliament and of the Council as regards adapting Annex III thereto</w:t>
      </w:r>
      <w:r>
        <w:rPr>
          <w:rFonts w:ascii="Times New Roman" w:hAnsi="Times New Roman" w:cs="Times New Roman"/>
          <w:lang w:val="en-GB"/>
        </w:rPr>
        <w:t>,</w:t>
      </w:r>
      <w:r w:rsidRPr="003C3A96">
        <w:rPr>
          <w:rFonts w:ascii="Times New Roman" w:hAnsi="Times New Roman" w:cs="Times New Roman"/>
          <w:lang w:val="en-GB"/>
        </w:rPr>
        <w:t xml:space="preserve"> OJ L 126, 14.5.2016, p. 3</w:t>
      </w:r>
      <w:r>
        <w:rPr>
          <w:rFonts w:ascii="Times New Roman" w:hAnsi="Times New Roman" w:cs="Times New Roman"/>
          <w:lang w:val="en-GB"/>
        </w:rPr>
        <w:t>.</w:t>
      </w:r>
      <w:r w:rsidRPr="003C3A96">
        <w:rPr>
          <w:rFonts w:ascii="Times New Roman" w:hAnsi="Times New Roman" w:cs="Times New Roman"/>
          <w:lang w:val="en-GB"/>
        </w:rPr>
        <w:t xml:space="preserve"> </w:t>
      </w:r>
    </w:p>
  </w:footnote>
  <w:footnote w:id="8">
    <w:p w:rsidR="001621FC" w:rsidRPr="003C3A96" w:rsidRDefault="001621FC" w:rsidP="006910F4">
      <w:pPr>
        <w:pStyle w:val="FootnoteText"/>
        <w:jc w:val="both"/>
        <w:rPr>
          <w:rFonts w:ascii="Times New Roman" w:hAnsi="Times New Roman" w:cs="Times New Roman"/>
          <w:lang w:val="en-GB"/>
        </w:rPr>
      </w:pPr>
      <w:r w:rsidRPr="003C3A96">
        <w:rPr>
          <w:rStyle w:val="FootnoteReference"/>
          <w:rFonts w:ascii="Times New Roman" w:hAnsi="Times New Roman" w:cs="Times New Roman"/>
        </w:rPr>
        <w:footnoteRef/>
      </w:r>
      <w:r w:rsidRPr="003C3A96">
        <w:rPr>
          <w:rFonts w:ascii="Times New Roman" w:hAnsi="Times New Roman" w:cs="Times New Roman"/>
          <w:lang w:val="en-GB"/>
        </w:rPr>
        <w:t xml:space="preserve"> Commission Delegated Regulation 2016/758</w:t>
      </w:r>
      <w:r>
        <w:rPr>
          <w:rFonts w:ascii="Times New Roman" w:hAnsi="Times New Roman" w:cs="Times New Roman"/>
          <w:lang w:val="en-GB"/>
        </w:rPr>
        <w:t xml:space="preserve"> </w:t>
      </w:r>
      <w:r w:rsidRPr="003C3A96">
        <w:rPr>
          <w:rFonts w:ascii="Times New Roman" w:hAnsi="Times New Roman" w:cs="Times New Roman"/>
          <w:lang w:val="en-GB"/>
        </w:rPr>
        <w:t>of 4 February 2016  amending Regulation (EU) No 1315/2013 of the European Parliament and of the Council as regards adapting Annex III thereto</w:t>
      </w:r>
      <w:r>
        <w:rPr>
          <w:rFonts w:ascii="Times New Roman" w:hAnsi="Times New Roman" w:cs="Times New Roman"/>
          <w:lang w:val="en-GB"/>
        </w:rPr>
        <w:t>,</w:t>
      </w:r>
      <w:r w:rsidRPr="003C3A96">
        <w:rPr>
          <w:rFonts w:ascii="Times New Roman" w:hAnsi="Times New Roman" w:cs="Times New Roman"/>
          <w:lang w:val="en-GB"/>
        </w:rPr>
        <w:t xml:space="preserve"> OJ L 126, 14.5.2016, p. 3</w:t>
      </w:r>
      <w:r>
        <w:rPr>
          <w:rFonts w:ascii="Times New Roman" w:hAnsi="Times New Roman" w:cs="Times New Roman"/>
          <w:lang w:val="en-GB"/>
        </w:rPr>
        <w:t>.  *</w:t>
      </w:r>
      <w:r w:rsidRPr="00BD536C">
        <w:rPr>
          <w:rFonts w:ascii="Times New Roman" w:hAnsi="Times New Roman" w:cs="Times New Roman"/>
          <w:lang w:val="en-US"/>
        </w:rPr>
        <w:t>This reference is without prejudice to the status of Kosovo and is in line with UNSCR 1244 and the ICJ Opinion on Kosovo declaration of independence.</w:t>
      </w:r>
    </w:p>
  </w:footnote>
  <w:footnote w:id="9">
    <w:p w:rsidR="001621FC" w:rsidRPr="006910F4" w:rsidRDefault="001621FC">
      <w:pPr>
        <w:pStyle w:val="FootnoteText"/>
        <w:rPr>
          <w:lang w:val="en-GB"/>
        </w:rPr>
      </w:pPr>
      <w:r>
        <w:rPr>
          <w:rStyle w:val="FootnoteReference"/>
        </w:rPr>
        <w:footnoteRef/>
      </w:r>
      <w:r w:rsidRPr="006910F4">
        <w:rPr>
          <w:lang w:val="en-GB"/>
        </w:rPr>
        <w:t xml:space="preserve"> </w:t>
      </w:r>
      <w:r>
        <w:rPr>
          <w:lang w:val="en-GB"/>
        </w:rPr>
        <w:t>P</w:t>
      </w:r>
      <w:r w:rsidRPr="003C3A96">
        <w:rPr>
          <w:rFonts w:ascii="Times New Roman" w:hAnsi="Times New Roman" w:cs="Times New Roman"/>
          <w:lang w:val="en-GB"/>
        </w:rPr>
        <w:t>articipation currently suspended by the Belarussian authorities</w:t>
      </w:r>
      <w:r>
        <w:rPr>
          <w:rFonts w:ascii="Times New Roman" w:hAnsi="Times New Roman" w:cs="Times New Roman"/>
          <w:lang w:val="en-GB"/>
        </w:rPr>
        <w:t>.</w:t>
      </w:r>
    </w:p>
  </w:footnote>
  <w:footnote w:id="10">
    <w:p w:rsidR="001621FC" w:rsidRPr="003C3A96" w:rsidRDefault="001621FC" w:rsidP="006910F4">
      <w:pPr>
        <w:pStyle w:val="FootnoteText"/>
        <w:jc w:val="both"/>
        <w:rPr>
          <w:rFonts w:ascii="Times New Roman" w:hAnsi="Times New Roman" w:cs="Times New Roman"/>
          <w:lang w:val="en-GB"/>
        </w:rPr>
      </w:pPr>
      <w:r w:rsidRPr="003C3A96">
        <w:rPr>
          <w:rStyle w:val="FootnoteReference"/>
          <w:rFonts w:ascii="Times New Roman" w:hAnsi="Times New Roman" w:cs="Times New Roman"/>
        </w:rPr>
        <w:footnoteRef/>
      </w:r>
      <w:r w:rsidRPr="003C3A96">
        <w:rPr>
          <w:rFonts w:ascii="Times New Roman" w:hAnsi="Times New Roman" w:cs="Times New Roman"/>
          <w:lang w:val="en-GB"/>
        </w:rPr>
        <w:t xml:space="preserve"> Commission Delegated Regulation 2019/254 of 9 November 2018 on the adaptation of Annex III to Regulation (EU) No 1315/2013 of the European Parliament and of the Council on Union guidelines for the development of the trans-European transport network, OJ L 43, 14.2.2019, p. 1</w:t>
      </w:r>
      <w:r>
        <w:rPr>
          <w:rFonts w:ascii="Times New Roman" w:hAnsi="Times New Roman" w:cs="Times New Roman"/>
          <w:lang w:val="en-GB"/>
        </w:rPr>
        <w:t>.</w:t>
      </w:r>
    </w:p>
  </w:footnote>
  <w:footnote w:id="11">
    <w:p w:rsidR="001621FC" w:rsidRPr="003C3A96" w:rsidRDefault="001621FC" w:rsidP="003306B6">
      <w:pPr>
        <w:pStyle w:val="FootnoteText"/>
        <w:jc w:val="both"/>
        <w:rPr>
          <w:rFonts w:ascii="Times New Roman" w:hAnsi="Times New Roman" w:cs="Times New Roman"/>
          <w:lang w:val="en-IE"/>
        </w:rPr>
      </w:pPr>
      <w:r w:rsidRPr="003C3A96">
        <w:rPr>
          <w:rStyle w:val="FootnoteReference"/>
          <w:rFonts w:ascii="Times New Roman" w:hAnsi="Times New Roman" w:cs="Times New Roman"/>
        </w:rPr>
        <w:footnoteRef/>
      </w:r>
      <w:r w:rsidRPr="003C3A96">
        <w:rPr>
          <w:rFonts w:ascii="Times New Roman" w:hAnsi="Times New Roman" w:cs="Times New Roman"/>
          <w:lang w:val="en-IE"/>
        </w:rPr>
        <w:t xml:space="preserve"> The Southern Neighbourhood Partners include Algeria, Egypt, Israel, Jordan, Lebanon, Libya (observer status in the Union for the Mediterranean),</w:t>
      </w:r>
      <w:r>
        <w:rPr>
          <w:rFonts w:ascii="Times New Roman" w:hAnsi="Times New Roman" w:cs="Times New Roman"/>
          <w:lang w:val="en-IE"/>
        </w:rPr>
        <w:t xml:space="preserve"> </w:t>
      </w:r>
      <w:r w:rsidRPr="003C3A96">
        <w:rPr>
          <w:rFonts w:ascii="Times New Roman" w:hAnsi="Times New Roman" w:cs="Times New Roman"/>
          <w:lang w:val="en-IE"/>
        </w:rPr>
        <w:t>Morocco, Palestine, Syria (Cooperation with Syria is suspended since 2011)</w:t>
      </w:r>
      <w:r>
        <w:rPr>
          <w:rFonts w:ascii="Times New Roman" w:hAnsi="Times New Roman" w:cs="Times New Roman"/>
          <w:lang w:val="en-IE"/>
        </w:rPr>
        <w:t xml:space="preserve"> and</w:t>
      </w:r>
      <w:r w:rsidRPr="003C3A96">
        <w:rPr>
          <w:rFonts w:ascii="Times New Roman" w:hAnsi="Times New Roman" w:cs="Times New Roman"/>
          <w:lang w:val="en-IE"/>
        </w:rPr>
        <w:t xml:space="preserve"> Tunisia</w:t>
      </w:r>
      <w:r>
        <w:rPr>
          <w:rFonts w:ascii="Times New Roman" w:hAnsi="Times New Roman" w:cs="Times New Roman"/>
          <w:lang w:val="en-IE"/>
        </w:rPr>
        <w:t xml:space="preserve">. </w:t>
      </w:r>
      <w:r w:rsidRPr="00CE54C8">
        <w:rPr>
          <w:rFonts w:ascii="Times New Roman" w:hAnsi="Times New Roman" w:cs="Times New Roman"/>
          <w:lang w:val="en-IE"/>
        </w:rPr>
        <w:t xml:space="preserve">The designation of Palestine shall not be construed as recognition of a State of Palestine and is without prejudice to the individual positions of </w:t>
      </w:r>
      <w:r>
        <w:rPr>
          <w:rFonts w:ascii="Times New Roman" w:hAnsi="Times New Roman" w:cs="Times New Roman"/>
          <w:lang w:val="en-IE"/>
        </w:rPr>
        <w:t>the Member States on this issue</w:t>
      </w:r>
      <w:r w:rsidRPr="003C3A96">
        <w:rPr>
          <w:rFonts w:ascii="Times New Roman" w:hAnsi="Times New Roman" w:cs="Times New Roman"/>
          <w:lang w:val="en-IE"/>
        </w:rPr>
        <w:t>.</w:t>
      </w:r>
    </w:p>
  </w:footnote>
  <w:footnote w:id="12">
    <w:p w:rsidR="001621FC" w:rsidRDefault="001621FC" w:rsidP="00E810E6">
      <w:pPr>
        <w:pStyle w:val="footnotedescription"/>
        <w:jc w:val="left"/>
      </w:pPr>
      <w:r>
        <w:rPr>
          <w:rStyle w:val="footnotemark"/>
          <w:rFonts w:eastAsiaTheme="majorEastAsia"/>
        </w:rPr>
        <w:footnoteRef/>
      </w:r>
      <w:r>
        <w:t xml:space="preserve"> Communication ‘An Economic and Investment Plan for the Western Balkans’</w:t>
      </w:r>
      <w:r w:rsidR="0020561A">
        <w:t>,</w:t>
      </w:r>
      <w:r>
        <w:t xml:space="preserve"> COM(2020) 641 final. </w:t>
      </w:r>
    </w:p>
  </w:footnote>
  <w:footnote w:id="13">
    <w:p w:rsidR="001621FC" w:rsidRDefault="001621FC" w:rsidP="00E810E6">
      <w:pPr>
        <w:pStyle w:val="footnotedescription"/>
        <w:spacing w:line="247" w:lineRule="auto"/>
        <w:ind w:right="6"/>
      </w:pPr>
      <w:r>
        <w:rPr>
          <w:rStyle w:val="footnotemark"/>
          <w:rFonts w:eastAsiaTheme="majorEastAsia"/>
        </w:rPr>
        <w:footnoteRef/>
      </w:r>
      <w:r>
        <w:t xml:space="preserve"> Joint Communication ‘Reinforcing Resilience: an Eastern Partnership that delivers for all’, JOIN(2020) 7 final  and</w:t>
      </w:r>
      <w:r>
        <w:rPr>
          <w:vertAlign w:val="superscript"/>
        </w:rPr>
        <w:t xml:space="preserve"> </w:t>
      </w:r>
      <w:r>
        <w:t xml:space="preserve">Joint Staff Working Document ‘Recovery, resilience and reform: post 2020 Eastern Partnership priorities,’ SWD(2021) 186 final.  </w:t>
      </w:r>
    </w:p>
  </w:footnote>
  <w:footnote w:id="14">
    <w:p w:rsidR="001621FC" w:rsidRPr="001621FC" w:rsidRDefault="001621FC" w:rsidP="00E810E6">
      <w:pPr>
        <w:pStyle w:val="FootnoteText"/>
        <w:rPr>
          <w:rFonts w:ascii="Times New Roman" w:hAnsi="Times New Roman" w:cs="Times New Roman"/>
          <w:lang w:val="en-US"/>
        </w:rPr>
      </w:pPr>
      <w:r w:rsidRPr="001621FC">
        <w:rPr>
          <w:rStyle w:val="FootnoteReference"/>
          <w:rFonts w:ascii="Times New Roman" w:hAnsi="Times New Roman" w:cs="Times New Roman"/>
        </w:rPr>
        <w:footnoteRef/>
      </w:r>
      <w:r w:rsidRPr="001621FC">
        <w:rPr>
          <w:rFonts w:ascii="Times New Roman" w:hAnsi="Times New Roman" w:cs="Times New Roman"/>
          <w:lang w:val="en-US"/>
        </w:rPr>
        <w:t xml:space="preserve"> Joint Communication ‘Renewed partnership with the Southern Neighbourhood: A new Agenda for the Mediterranean’, JOIN(2021) 2 final, and Joint Staff Working Document ‘Renewed Partnership with the Southern Neighbourhood Economic and Investment Plan for the Southern Neighbours’ SWD(2021) 23 final.</w:t>
      </w:r>
    </w:p>
  </w:footnote>
  <w:footnote w:id="15">
    <w:p w:rsidR="001621FC" w:rsidRPr="003C3A96" w:rsidRDefault="001621FC" w:rsidP="006910F4">
      <w:pPr>
        <w:pStyle w:val="FootnoteText"/>
        <w:jc w:val="both"/>
        <w:rPr>
          <w:rFonts w:ascii="Times New Roman" w:hAnsi="Times New Roman" w:cs="Times New Roman"/>
          <w:lang w:val="en-GB"/>
        </w:rPr>
      </w:pPr>
      <w:r w:rsidRPr="003C3A96">
        <w:rPr>
          <w:rStyle w:val="FootnoteReference"/>
          <w:rFonts w:ascii="Times New Roman" w:hAnsi="Times New Roman" w:cs="Times New Roman"/>
        </w:rPr>
        <w:footnoteRef/>
      </w:r>
      <w:r w:rsidRPr="003C3A96">
        <w:rPr>
          <w:rFonts w:ascii="Times New Roman" w:hAnsi="Times New Roman" w:cs="Times New Roman"/>
          <w:lang w:val="en-GB"/>
        </w:rPr>
        <w:t xml:space="preserve"> </w:t>
      </w:r>
      <w:r>
        <w:rPr>
          <w:rFonts w:ascii="Times New Roman" w:hAnsi="Times New Roman" w:cs="Times New Roman"/>
          <w:lang w:val="en-GB"/>
        </w:rPr>
        <w:t xml:space="preserve">Article 5 of </w:t>
      </w:r>
      <w:r w:rsidRPr="003C3A96">
        <w:rPr>
          <w:rFonts w:ascii="Times New Roman" w:hAnsi="Times New Roman" w:cs="Times New Roman"/>
          <w:lang w:val="en-GB"/>
        </w:rPr>
        <w:t>Regulation (EU) No 1316/2013 of the European Parliament and of the Council of 11 December 2013 establishing the Connecting Europe Facility, OJ L 348, 20.12.2013, p. 129</w:t>
      </w:r>
      <w:r>
        <w:rPr>
          <w:rFonts w:ascii="Times New Roman" w:hAnsi="Times New Roman" w:cs="Times New Roman"/>
          <w:lang w:val="en-GB"/>
        </w:rPr>
        <w:t>.</w:t>
      </w:r>
    </w:p>
  </w:footnote>
  <w:footnote w:id="16">
    <w:p w:rsidR="00C70BF0" w:rsidRPr="00575B24" w:rsidRDefault="00C70BF0" w:rsidP="00C70BF0">
      <w:pPr>
        <w:pStyle w:val="FootnoteText"/>
        <w:rPr>
          <w:rFonts w:ascii="Times New Roman" w:hAnsi="Times New Roman" w:cs="Times New Roman"/>
          <w:lang w:val="en-GB"/>
        </w:rPr>
      </w:pPr>
      <w:r w:rsidRPr="00575B24">
        <w:rPr>
          <w:rStyle w:val="FootnoteReference"/>
          <w:rFonts w:ascii="Times New Roman" w:hAnsi="Times New Roman" w:cs="Times New Roman"/>
        </w:rPr>
        <w:footnoteRef/>
      </w:r>
      <w:r w:rsidRPr="00575B24">
        <w:rPr>
          <w:rFonts w:ascii="Times New Roman" w:hAnsi="Times New Roman" w:cs="Times New Roman"/>
          <w:lang w:val="en-GB"/>
        </w:rPr>
        <w:t xml:space="preserve"> Regulation (EU) 2019/452 of the European Parliament and of the Council of 19 March 2019 establishing a framework for the screening of foreign direct investments into the Union (</w:t>
      </w:r>
      <w:r w:rsidRPr="00575B24">
        <w:rPr>
          <w:rStyle w:val="Emphasis"/>
          <w:rFonts w:ascii="Times New Roman" w:hAnsi="Times New Roman" w:cs="Times New Roman"/>
          <w:lang w:val="en-GB"/>
        </w:rPr>
        <w:t>OJ L 79I , 21.3.2019, p. 1)</w:t>
      </w:r>
    </w:p>
  </w:footnote>
  <w:footnote w:id="17">
    <w:p w:rsidR="001621FC" w:rsidRPr="009C17C2" w:rsidRDefault="001621FC">
      <w:pPr>
        <w:pStyle w:val="FootnoteText"/>
        <w:rPr>
          <w:rFonts w:ascii="Times New Roman" w:hAnsi="Times New Roman" w:cs="Times New Roman"/>
          <w:lang w:val="en-GB"/>
        </w:rPr>
      </w:pPr>
      <w:r w:rsidRPr="0072055A">
        <w:rPr>
          <w:rStyle w:val="FootnoteReference"/>
          <w:rFonts w:ascii="Times New Roman" w:hAnsi="Times New Roman" w:cs="Times New Roman"/>
        </w:rPr>
        <w:footnoteRef/>
      </w:r>
      <w:r w:rsidRPr="009C17C2">
        <w:rPr>
          <w:rFonts w:ascii="Times New Roman" w:hAnsi="Times New Roman" w:cs="Times New Roman"/>
          <w:lang w:val="en-GB"/>
        </w:rPr>
        <w:t xml:space="preserve"> </w:t>
      </w:r>
      <w:r w:rsidR="005B272E">
        <w:rPr>
          <w:rFonts w:ascii="Times New Roman" w:hAnsi="Times New Roman" w:cs="Times New Roman"/>
          <w:lang w:val="en-GB"/>
        </w:rPr>
        <w:t>Joint Communication to the European Parliament, The Council, The European Social and Economic Committee and the Committee of the Regions ‘</w:t>
      </w:r>
      <w:r w:rsidR="005B272E" w:rsidRPr="005B272E">
        <w:rPr>
          <w:rFonts w:ascii="Times New Roman" w:hAnsi="Times New Roman" w:cs="Times New Roman"/>
          <w:lang w:val="en-GB"/>
        </w:rPr>
        <w:t>A stronger EU engagement for a peaceful, sustainable and prosperous Arctic</w:t>
      </w:r>
      <w:r w:rsidR="005B272E">
        <w:rPr>
          <w:rFonts w:ascii="Times New Roman" w:hAnsi="Times New Roman" w:cs="Times New Roman"/>
          <w:lang w:val="en-GB"/>
        </w:rPr>
        <w:t>’ Join</w:t>
      </w:r>
      <w:r w:rsidR="005B272E" w:rsidRPr="005B272E">
        <w:rPr>
          <w:rFonts w:ascii="Times New Roman" w:hAnsi="Times New Roman" w:cs="Times New Roman"/>
          <w:lang w:val="en-GB"/>
        </w:rPr>
        <w:t>(2021) 27 final</w:t>
      </w:r>
      <w:r w:rsidR="005B272E">
        <w:rPr>
          <w:rFonts w:ascii="Times New Roman" w:hAnsi="Times New Roman" w:cs="Times New Roman"/>
          <w:lang w:val="en-GB"/>
        </w:rPr>
        <w:t>.</w:t>
      </w:r>
    </w:p>
  </w:footnote>
  <w:footnote w:id="18">
    <w:p w:rsidR="001621FC" w:rsidRPr="0072055A" w:rsidRDefault="001621FC">
      <w:pPr>
        <w:pStyle w:val="FootnoteText"/>
        <w:rPr>
          <w:rFonts w:ascii="Times New Roman" w:hAnsi="Times New Roman" w:cs="Times New Roman"/>
          <w:lang w:val="en-US"/>
        </w:rPr>
      </w:pPr>
      <w:r w:rsidRPr="0072055A">
        <w:rPr>
          <w:rStyle w:val="FootnoteReference"/>
          <w:rFonts w:ascii="Times New Roman" w:hAnsi="Times New Roman" w:cs="Times New Roman"/>
        </w:rPr>
        <w:footnoteRef/>
      </w:r>
      <w:r w:rsidRPr="0072055A">
        <w:rPr>
          <w:rFonts w:ascii="Times New Roman" w:hAnsi="Times New Roman" w:cs="Times New Roman"/>
          <w:lang w:val="en-US"/>
        </w:rPr>
        <w:t xml:space="preserve"> Accession negotiations </w:t>
      </w:r>
      <w:r>
        <w:rPr>
          <w:rFonts w:ascii="Times New Roman" w:hAnsi="Times New Roman" w:cs="Times New Roman"/>
          <w:lang w:val="en-US"/>
        </w:rPr>
        <w:t>are o</w:t>
      </w:r>
      <w:r w:rsidRPr="0072055A">
        <w:rPr>
          <w:rFonts w:ascii="Times New Roman" w:hAnsi="Times New Roman" w:cs="Times New Roman"/>
          <w:lang w:val="en-US"/>
        </w:rPr>
        <w:t xml:space="preserve">pen with Montenegro (2012) and Serbia (2014). Opening </w:t>
      </w:r>
      <w:r>
        <w:rPr>
          <w:rFonts w:ascii="Times New Roman" w:hAnsi="Times New Roman" w:cs="Times New Roman"/>
          <w:lang w:val="en-US"/>
        </w:rPr>
        <w:t xml:space="preserve">of </w:t>
      </w:r>
      <w:r w:rsidRPr="0072055A">
        <w:rPr>
          <w:rFonts w:ascii="Times New Roman" w:hAnsi="Times New Roman" w:cs="Times New Roman"/>
          <w:lang w:val="en-US"/>
        </w:rPr>
        <w:t>the negotiation with Albania and the Republic of North Macedonia, following the agreement of the Council reached in March 2020</w:t>
      </w:r>
      <w:r>
        <w:rPr>
          <w:rFonts w:ascii="Times New Roman" w:hAnsi="Times New Roman" w:cs="Times New Roman"/>
          <w:lang w:val="en-US"/>
        </w:rPr>
        <w:t>,</w:t>
      </w:r>
      <w:r w:rsidRPr="0072055A">
        <w:rPr>
          <w:rFonts w:ascii="Times New Roman" w:hAnsi="Times New Roman" w:cs="Times New Roman"/>
          <w:lang w:val="en-US"/>
        </w:rPr>
        <w:t xml:space="preserve"> is still pending. </w:t>
      </w:r>
    </w:p>
  </w:footnote>
  <w:footnote w:id="19">
    <w:p w:rsidR="001621FC" w:rsidRPr="00EE35BC" w:rsidRDefault="001621FC" w:rsidP="000B3EEB">
      <w:pPr>
        <w:pStyle w:val="FootnoteText"/>
        <w:rPr>
          <w:rFonts w:ascii="Times New Roman" w:hAnsi="Times New Roman" w:cs="Times New Roman"/>
          <w:lang w:val="en-GB"/>
        </w:rPr>
      </w:pPr>
      <w:r w:rsidRPr="0072055A">
        <w:rPr>
          <w:rStyle w:val="FootnoteReference"/>
          <w:rFonts w:ascii="Times New Roman" w:hAnsi="Times New Roman" w:cs="Times New Roman"/>
        </w:rPr>
        <w:footnoteRef/>
      </w:r>
      <w:r w:rsidRPr="00EE35BC">
        <w:rPr>
          <w:rFonts w:ascii="Times New Roman" w:hAnsi="Times New Roman" w:cs="Times New Roman"/>
          <w:lang w:val="en-GB"/>
        </w:rPr>
        <w:t>OJ L 278, 27.10.2017</w:t>
      </w:r>
    </w:p>
  </w:footnote>
  <w:footnote w:id="20">
    <w:p w:rsidR="001621FC" w:rsidRDefault="001621FC" w:rsidP="00F7147A">
      <w:pPr>
        <w:pStyle w:val="footnotedescription"/>
        <w:jc w:val="left"/>
      </w:pPr>
      <w:r>
        <w:rPr>
          <w:rStyle w:val="footnotemark"/>
        </w:rPr>
        <w:footnoteRef/>
      </w:r>
      <w:r>
        <w:t xml:space="preserve"> Communication ‘An Economic and Investment Plan for the Western Balkans’</w:t>
      </w:r>
      <w:r w:rsidR="00E20AB9">
        <w:t xml:space="preserve">, </w:t>
      </w:r>
      <w:r>
        <w:t xml:space="preserve">COM(2020) 641 final. </w:t>
      </w:r>
    </w:p>
  </w:footnote>
  <w:footnote w:id="21">
    <w:p w:rsidR="001621FC" w:rsidRPr="00EE35BC" w:rsidRDefault="001621FC">
      <w:pPr>
        <w:pStyle w:val="FootnoteText"/>
        <w:rPr>
          <w:rFonts w:ascii="Times New Roman" w:hAnsi="Times New Roman" w:cs="Times New Roman"/>
          <w:lang w:val="en-GB"/>
        </w:rPr>
      </w:pPr>
      <w:r>
        <w:rPr>
          <w:rStyle w:val="FootnoteReference"/>
        </w:rPr>
        <w:footnoteRef/>
      </w:r>
      <w:r w:rsidRPr="00EE35BC">
        <w:rPr>
          <w:lang w:val="en-GB"/>
        </w:rPr>
        <w:t xml:space="preserve"> </w:t>
      </w:r>
      <w:r w:rsidRPr="00EE35BC">
        <w:rPr>
          <w:rFonts w:ascii="Times New Roman" w:hAnsi="Times New Roman" w:cs="Times New Roman"/>
          <w:lang w:val="en-GB"/>
        </w:rPr>
        <w:t>The EU Strategy for the Adriatic and Ionian Region and the EU Strategy for the Danube Region</w:t>
      </w:r>
    </w:p>
  </w:footnote>
  <w:footnote w:id="22">
    <w:p w:rsidR="006750EC" w:rsidRPr="006750EC" w:rsidRDefault="006750EC">
      <w:pPr>
        <w:pStyle w:val="FootnoteText"/>
        <w:rPr>
          <w:lang w:val="en-GB"/>
        </w:rPr>
      </w:pPr>
      <w:r>
        <w:rPr>
          <w:rStyle w:val="FootnoteReference"/>
        </w:rPr>
        <w:footnoteRef/>
      </w:r>
      <w:r w:rsidRPr="006750EC">
        <w:rPr>
          <w:lang w:val="en-GB"/>
        </w:rPr>
        <w:t xml:space="preserve"> </w:t>
      </w:r>
      <w:r w:rsidRPr="006750EC">
        <w:rPr>
          <w:rFonts w:ascii="Times New Roman" w:hAnsi="Times New Roman" w:cs="Times New Roman"/>
          <w:lang w:val="en-GB"/>
        </w:rPr>
        <w:t xml:space="preserve">Regional Transport Action Plan for the </w:t>
      </w:r>
      <w:r>
        <w:rPr>
          <w:rFonts w:ascii="Times New Roman" w:hAnsi="Times New Roman" w:cs="Times New Roman"/>
          <w:lang w:val="en-GB"/>
        </w:rPr>
        <w:t>Mediterranean Region (2014-2020).</w:t>
      </w:r>
    </w:p>
  </w:footnote>
  <w:footnote w:id="23">
    <w:p w:rsidR="005877E8" w:rsidRPr="005877E8" w:rsidRDefault="005877E8">
      <w:pPr>
        <w:pStyle w:val="FootnoteText"/>
        <w:rPr>
          <w:lang w:val="en-GB"/>
        </w:rPr>
      </w:pPr>
      <w:r>
        <w:rPr>
          <w:rStyle w:val="FootnoteReference"/>
        </w:rPr>
        <w:footnoteRef/>
      </w:r>
      <w:r w:rsidRPr="005877E8">
        <w:rPr>
          <w:lang w:val="en-GB"/>
        </w:rPr>
        <w:t xml:space="preserve"> </w:t>
      </w:r>
      <w:r w:rsidRPr="005877E8">
        <w:rPr>
          <w:rFonts w:ascii="Times New Roman" w:hAnsi="Times New Roman" w:cs="Times New Roman"/>
          <w:lang w:val="en-GB"/>
        </w:rPr>
        <w:t xml:space="preserve">The WestMED </w:t>
      </w:r>
      <w:r>
        <w:rPr>
          <w:rFonts w:ascii="Times New Roman" w:hAnsi="Times New Roman" w:cs="Times New Roman"/>
          <w:lang w:val="en-GB"/>
        </w:rPr>
        <w:t>follows from the</w:t>
      </w:r>
      <w:r w:rsidRPr="005877E8">
        <w:rPr>
          <w:rFonts w:ascii="Times New Roman" w:hAnsi="Times New Roman" w:cs="Times New Roman"/>
          <w:lang w:val="en-GB"/>
        </w:rPr>
        <w:t xml:space="preserve"> </w:t>
      </w:r>
      <w:r w:rsidR="00EE656F">
        <w:rPr>
          <w:rFonts w:ascii="Times New Roman" w:hAnsi="Times New Roman" w:cs="Times New Roman"/>
          <w:lang w:val="en-GB"/>
        </w:rPr>
        <w:t>‘5+5 Dialogue’ involv</w:t>
      </w:r>
      <w:r>
        <w:rPr>
          <w:rFonts w:ascii="Times New Roman" w:hAnsi="Times New Roman" w:cs="Times New Roman"/>
          <w:lang w:val="en-GB"/>
        </w:rPr>
        <w:t>ing</w:t>
      </w:r>
      <w:r w:rsidRPr="005877E8">
        <w:rPr>
          <w:rFonts w:ascii="Times New Roman" w:hAnsi="Times New Roman" w:cs="Times New Roman"/>
          <w:lang w:val="en-GB"/>
        </w:rPr>
        <w:t xml:space="preserve"> five EU Member States (France, Italy, Portugal, Spain and Malta), and five Southern partner countries (Algeria, Libya, Mauritania, Morocco and Tunisia).</w:t>
      </w:r>
    </w:p>
  </w:footnote>
  <w:footnote w:id="24">
    <w:p w:rsidR="00AA072E" w:rsidRPr="00EE656F" w:rsidRDefault="00AA072E">
      <w:pPr>
        <w:pStyle w:val="FootnoteText"/>
        <w:rPr>
          <w:rFonts w:ascii="Times New Roman" w:hAnsi="Times New Roman" w:cs="Times New Roman"/>
          <w:lang w:val="en-US"/>
        </w:rPr>
      </w:pPr>
      <w:r>
        <w:rPr>
          <w:rStyle w:val="FootnoteReference"/>
        </w:rPr>
        <w:footnoteRef/>
      </w:r>
      <w:r w:rsidRPr="00AA072E">
        <w:rPr>
          <w:lang w:val="en-GB"/>
        </w:rPr>
        <w:t xml:space="preserve"> </w:t>
      </w:r>
      <w:r w:rsidR="00C50B36" w:rsidRPr="00EE656F">
        <w:rPr>
          <w:rFonts w:ascii="Times New Roman" w:hAnsi="Times New Roman" w:cs="Times New Roman"/>
          <w:lang w:val="en-GB"/>
        </w:rPr>
        <w:t>Commission Staff Working Document ‘</w:t>
      </w:r>
      <w:r w:rsidRPr="00EE656F">
        <w:rPr>
          <w:rFonts w:ascii="Times New Roman" w:hAnsi="Times New Roman" w:cs="Times New Roman"/>
          <w:lang w:val="en-US"/>
        </w:rPr>
        <w:t>Turkey</w:t>
      </w:r>
      <w:r w:rsidR="00C50B36" w:rsidRPr="00EE656F">
        <w:rPr>
          <w:rFonts w:ascii="Times New Roman" w:hAnsi="Times New Roman" w:cs="Times New Roman"/>
          <w:lang w:val="en-US"/>
        </w:rPr>
        <w:t xml:space="preserve"> 2021 Report’</w:t>
      </w:r>
      <w:r w:rsidRPr="00EE656F">
        <w:rPr>
          <w:rFonts w:ascii="Times New Roman" w:hAnsi="Times New Roman" w:cs="Times New Roman"/>
          <w:lang w:val="en-US"/>
        </w:rPr>
        <w:t xml:space="preserve"> SWD(2021) 290 Final/2.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7B" w:rsidRPr="00A12F7B" w:rsidRDefault="00A12F7B" w:rsidP="00A12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7B" w:rsidRPr="00A12F7B" w:rsidRDefault="00A12F7B" w:rsidP="00A12F7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7B" w:rsidRPr="00A12F7B" w:rsidRDefault="00A12F7B" w:rsidP="00A12F7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FC" w:rsidRDefault="001621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FC" w:rsidRDefault="001621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1FC" w:rsidRDefault="00162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A4F91"/>
    <w:multiLevelType w:val="hybridMultilevel"/>
    <w:tmpl w:val="523E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651C4"/>
    <w:multiLevelType w:val="hybridMultilevel"/>
    <w:tmpl w:val="3E1868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3F70B38"/>
    <w:multiLevelType w:val="hybridMultilevel"/>
    <w:tmpl w:val="112C3F8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F7D218A"/>
    <w:multiLevelType w:val="hybridMultilevel"/>
    <w:tmpl w:val="A0B4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054F05"/>
    <w:multiLevelType w:val="hybridMultilevel"/>
    <w:tmpl w:val="913671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CBE4812"/>
    <w:multiLevelType w:val="singleLevel"/>
    <w:tmpl w:val="23C821E4"/>
    <w:lvl w:ilvl="0">
      <w:start w:val="1"/>
      <w:numFmt w:val="decimal"/>
      <w:lvlRestart w:val="0"/>
      <w:pStyle w:val="Considrant"/>
      <w:lvlText w:val="(%1)"/>
      <w:lvlJc w:val="left"/>
      <w:pPr>
        <w:tabs>
          <w:tab w:val="num" w:pos="709"/>
        </w:tabs>
        <w:ind w:left="709" w:hanging="709"/>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revisionView w:markup="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D8D6B66-90C6-4779-91BB-C73752D46EAA"/>
    <w:docVar w:name="LW_COVERPAGE_TYPE" w:val="1"/>
    <w:docVar w:name="LW_CROSSREFERENCE" w:val="&lt;UNUSED&gt;"/>
    <w:docVar w:name="LW_DocType" w:val="NORMAL"/>
    <w:docVar w:name="LW_EMISSION" w:val="14.12.2021"/>
    <w:docVar w:name="LW_EMISSION_ISODATE" w:val="2021-12-14"/>
    <w:docVar w:name="LW_EMISSION_LOCATION" w:val="BRX"/>
    <w:docVar w:name="LW_EMISSION_PREFIX" w:val="Brussels, "/>
    <w:docVar w:name="LW_EMISSION_SUFFIX" w:val=" "/>
    <w:docVar w:name="LW_ID_DOCTYPE_NONLW" w:val="CP-012"/>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8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n the extension of the trans-European transport network (TEN-T) to neighbouring third countries&lt;/FMT&gt;_x000b__x000d__x000b_"/>
    <w:docVar w:name="LW_TYPE.DOC.CP" w:val="COMMUNICATION FROM THE COMMISSION TO THE EUROPEAN PARLIAMENT AND THE COUNCIL"/>
    <w:docVar w:name="LW_TYPE.DOC.CP.USERTEXT" w:val="&lt;EMPTY&gt;"/>
    <w:docVar w:name="LwApiVersions" w:val="LW4CoDe 1.23.2.0; LW 8.0, Build 20211117"/>
  </w:docVars>
  <w:rsids>
    <w:rsidRoot w:val="006353AD"/>
    <w:rsid w:val="0000298B"/>
    <w:rsid w:val="0000338D"/>
    <w:rsid w:val="00003BFE"/>
    <w:rsid w:val="000072CE"/>
    <w:rsid w:val="00016692"/>
    <w:rsid w:val="0002036D"/>
    <w:rsid w:val="00022CCE"/>
    <w:rsid w:val="0002480B"/>
    <w:rsid w:val="00026543"/>
    <w:rsid w:val="00026DC3"/>
    <w:rsid w:val="00031D0A"/>
    <w:rsid w:val="00034A34"/>
    <w:rsid w:val="000363B0"/>
    <w:rsid w:val="000413EC"/>
    <w:rsid w:val="0004192A"/>
    <w:rsid w:val="000451E5"/>
    <w:rsid w:val="00050144"/>
    <w:rsid w:val="00051AB2"/>
    <w:rsid w:val="00052BD9"/>
    <w:rsid w:val="00060294"/>
    <w:rsid w:val="00067281"/>
    <w:rsid w:val="00067485"/>
    <w:rsid w:val="00070855"/>
    <w:rsid w:val="00070F0B"/>
    <w:rsid w:val="00076AFE"/>
    <w:rsid w:val="0008057B"/>
    <w:rsid w:val="00080936"/>
    <w:rsid w:val="00091CDD"/>
    <w:rsid w:val="0009659E"/>
    <w:rsid w:val="000A75D7"/>
    <w:rsid w:val="000B0E04"/>
    <w:rsid w:val="000B3EEB"/>
    <w:rsid w:val="000B5725"/>
    <w:rsid w:val="000C0164"/>
    <w:rsid w:val="000C64A5"/>
    <w:rsid w:val="000C796D"/>
    <w:rsid w:val="000D272E"/>
    <w:rsid w:val="000D34DB"/>
    <w:rsid w:val="000D6001"/>
    <w:rsid w:val="000E0BDD"/>
    <w:rsid w:val="000E2DE4"/>
    <w:rsid w:val="000E40D2"/>
    <w:rsid w:val="000F03A5"/>
    <w:rsid w:val="000F1DD7"/>
    <w:rsid w:val="0010297D"/>
    <w:rsid w:val="00104078"/>
    <w:rsid w:val="00104DEE"/>
    <w:rsid w:val="00106A27"/>
    <w:rsid w:val="00107B77"/>
    <w:rsid w:val="00107ED2"/>
    <w:rsid w:val="00112B85"/>
    <w:rsid w:val="001265BC"/>
    <w:rsid w:val="00127D9D"/>
    <w:rsid w:val="001409A4"/>
    <w:rsid w:val="00143C86"/>
    <w:rsid w:val="00145482"/>
    <w:rsid w:val="00146267"/>
    <w:rsid w:val="00150DC1"/>
    <w:rsid w:val="00154A4B"/>
    <w:rsid w:val="00154C38"/>
    <w:rsid w:val="00155AAF"/>
    <w:rsid w:val="001621FC"/>
    <w:rsid w:val="00166668"/>
    <w:rsid w:val="00166793"/>
    <w:rsid w:val="00170A63"/>
    <w:rsid w:val="0017523C"/>
    <w:rsid w:val="00184BB0"/>
    <w:rsid w:val="00185808"/>
    <w:rsid w:val="0018648A"/>
    <w:rsid w:val="00186D99"/>
    <w:rsid w:val="00186EDE"/>
    <w:rsid w:val="0019712A"/>
    <w:rsid w:val="001A2769"/>
    <w:rsid w:val="001A716C"/>
    <w:rsid w:val="001B317C"/>
    <w:rsid w:val="001B698E"/>
    <w:rsid w:val="001C4878"/>
    <w:rsid w:val="001D1372"/>
    <w:rsid w:val="001D3197"/>
    <w:rsid w:val="001E7C41"/>
    <w:rsid w:val="001F01B6"/>
    <w:rsid w:val="001F1DFC"/>
    <w:rsid w:val="001F549E"/>
    <w:rsid w:val="00202581"/>
    <w:rsid w:val="0020561A"/>
    <w:rsid w:val="00217D94"/>
    <w:rsid w:val="002226A7"/>
    <w:rsid w:val="002253DA"/>
    <w:rsid w:val="00232B79"/>
    <w:rsid w:val="0024374F"/>
    <w:rsid w:val="002540B2"/>
    <w:rsid w:val="00262694"/>
    <w:rsid w:val="00265079"/>
    <w:rsid w:val="00266BF7"/>
    <w:rsid w:val="00267DEF"/>
    <w:rsid w:val="002701B6"/>
    <w:rsid w:val="002719B2"/>
    <w:rsid w:val="00276DBC"/>
    <w:rsid w:val="00282015"/>
    <w:rsid w:val="00282FF4"/>
    <w:rsid w:val="00293477"/>
    <w:rsid w:val="002A5D6F"/>
    <w:rsid w:val="002A7FDE"/>
    <w:rsid w:val="002B1D61"/>
    <w:rsid w:val="002B5086"/>
    <w:rsid w:val="002B6126"/>
    <w:rsid w:val="002C0229"/>
    <w:rsid w:val="002C1A3C"/>
    <w:rsid w:val="002C1C7E"/>
    <w:rsid w:val="002C6443"/>
    <w:rsid w:val="002C79EE"/>
    <w:rsid w:val="002D00B8"/>
    <w:rsid w:val="002D6E4C"/>
    <w:rsid w:val="002D7312"/>
    <w:rsid w:val="002E1DBD"/>
    <w:rsid w:val="002E3A8F"/>
    <w:rsid w:val="002E7C90"/>
    <w:rsid w:val="002F132D"/>
    <w:rsid w:val="002F5E13"/>
    <w:rsid w:val="002F6FAB"/>
    <w:rsid w:val="003003E3"/>
    <w:rsid w:val="00301875"/>
    <w:rsid w:val="00303CD0"/>
    <w:rsid w:val="00305266"/>
    <w:rsid w:val="003101A6"/>
    <w:rsid w:val="003160DB"/>
    <w:rsid w:val="00321F11"/>
    <w:rsid w:val="0032327E"/>
    <w:rsid w:val="003241AA"/>
    <w:rsid w:val="00326A7E"/>
    <w:rsid w:val="00326D2E"/>
    <w:rsid w:val="00327781"/>
    <w:rsid w:val="00327960"/>
    <w:rsid w:val="003306B6"/>
    <w:rsid w:val="00332592"/>
    <w:rsid w:val="003327A7"/>
    <w:rsid w:val="00334D1F"/>
    <w:rsid w:val="00334EE6"/>
    <w:rsid w:val="00335231"/>
    <w:rsid w:val="00341728"/>
    <w:rsid w:val="00344256"/>
    <w:rsid w:val="00346468"/>
    <w:rsid w:val="00354FFB"/>
    <w:rsid w:val="00363843"/>
    <w:rsid w:val="00363BD0"/>
    <w:rsid w:val="00371E46"/>
    <w:rsid w:val="00381361"/>
    <w:rsid w:val="003816AA"/>
    <w:rsid w:val="0038553A"/>
    <w:rsid w:val="00385AA3"/>
    <w:rsid w:val="0039214A"/>
    <w:rsid w:val="00393B06"/>
    <w:rsid w:val="0039456E"/>
    <w:rsid w:val="0039501D"/>
    <w:rsid w:val="003A23F3"/>
    <w:rsid w:val="003A4C8F"/>
    <w:rsid w:val="003A69C3"/>
    <w:rsid w:val="003B1AC9"/>
    <w:rsid w:val="003C12F6"/>
    <w:rsid w:val="003C3A96"/>
    <w:rsid w:val="003C5853"/>
    <w:rsid w:val="003C79FB"/>
    <w:rsid w:val="003D2B92"/>
    <w:rsid w:val="003D54EB"/>
    <w:rsid w:val="003D5D20"/>
    <w:rsid w:val="003D6A25"/>
    <w:rsid w:val="003D77E3"/>
    <w:rsid w:val="003F04BD"/>
    <w:rsid w:val="003F212F"/>
    <w:rsid w:val="003F2872"/>
    <w:rsid w:val="003F2DD5"/>
    <w:rsid w:val="003F3550"/>
    <w:rsid w:val="003F371F"/>
    <w:rsid w:val="00403086"/>
    <w:rsid w:val="00405CB2"/>
    <w:rsid w:val="00406554"/>
    <w:rsid w:val="0041375D"/>
    <w:rsid w:val="00415E17"/>
    <w:rsid w:val="004168C8"/>
    <w:rsid w:val="00416DBD"/>
    <w:rsid w:val="0041770A"/>
    <w:rsid w:val="00417E59"/>
    <w:rsid w:val="0042116B"/>
    <w:rsid w:val="00423E02"/>
    <w:rsid w:val="0042518B"/>
    <w:rsid w:val="00436007"/>
    <w:rsid w:val="00442449"/>
    <w:rsid w:val="0044442C"/>
    <w:rsid w:val="004517C6"/>
    <w:rsid w:val="004551E6"/>
    <w:rsid w:val="0046099D"/>
    <w:rsid w:val="00461B03"/>
    <w:rsid w:val="00461CE0"/>
    <w:rsid w:val="00462007"/>
    <w:rsid w:val="00462DF8"/>
    <w:rsid w:val="00466A9C"/>
    <w:rsid w:val="00472FEA"/>
    <w:rsid w:val="00473341"/>
    <w:rsid w:val="00476692"/>
    <w:rsid w:val="0048290F"/>
    <w:rsid w:val="00490DE9"/>
    <w:rsid w:val="004915DD"/>
    <w:rsid w:val="00495B5C"/>
    <w:rsid w:val="004970B6"/>
    <w:rsid w:val="004A28DC"/>
    <w:rsid w:val="004A75EE"/>
    <w:rsid w:val="004B466C"/>
    <w:rsid w:val="004B4845"/>
    <w:rsid w:val="004B5D09"/>
    <w:rsid w:val="004B5D5D"/>
    <w:rsid w:val="004C305A"/>
    <w:rsid w:val="004C5AE3"/>
    <w:rsid w:val="004D1700"/>
    <w:rsid w:val="004D336A"/>
    <w:rsid w:val="004D4D82"/>
    <w:rsid w:val="004D7A39"/>
    <w:rsid w:val="004E1F92"/>
    <w:rsid w:val="004E3952"/>
    <w:rsid w:val="004E482A"/>
    <w:rsid w:val="004F0B9B"/>
    <w:rsid w:val="004F0CDD"/>
    <w:rsid w:val="004F4696"/>
    <w:rsid w:val="005005CD"/>
    <w:rsid w:val="0050129F"/>
    <w:rsid w:val="005045D7"/>
    <w:rsid w:val="0050651E"/>
    <w:rsid w:val="00507E77"/>
    <w:rsid w:val="00513435"/>
    <w:rsid w:val="005163AB"/>
    <w:rsid w:val="005231AF"/>
    <w:rsid w:val="00531DE5"/>
    <w:rsid w:val="00535506"/>
    <w:rsid w:val="00535C54"/>
    <w:rsid w:val="00540C85"/>
    <w:rsid w:val="0054507C"/>
    <w:rsid w:val="005502A9"/>
    <w:rsid w:val="005571CA"/>
    <w:rsid w:val="005579AF"/>
    <w:rsid w:val="00563A1F"/>
    <w:rsid w:val="00567A6A"/>
    <w:rsid w:val="00573196"/>
    <w:rsid w:val="00573DB5"/>
    <w:rsid w:val="0057430D"/>
    <w:rsid w:val="00575B24"/>
    <w:rsid w:val="005847DA"/>
    <w:rsid w:val="005877E8"/>
    <w:rsid w:val="00592F40"/>
    <w:rsid w:val="005A55DC"/>
    <w:rsid w:val="005A5C89"/>
    <w:rsid w:val="005B272E"/>
    <w:rsid w:val="005B31D9"/>
    <w:rsid w:val="005B3DF5"/>
    <w:rsid w:val="005B4CC3"/>
    <w:rsid w:val="005B6F36"/>
    <w:rsid w:val="005D5E44"/>
    <w:rsid w:val="005E17E1"/>
    <w:rsid w:val="005E3DB6"/>
    <w:rsid w:val="006003C2"/>
    <w:rsid w:val="0060729B"/>
    <w:rsid w:val="006077CA"/>
    <w:rsid w:val="006149AC"/>
    <w:rsid w:val="00614C3D"/>
    <w:rsid w:val="00614D86"/>
    <w:rsid w:val="00614F11"/>
    <w:rsid w:val="00615C97"/>
    <w:rsid w:val="00616C63"/>
    <w:rsid w:val="00623A91"/>
    <w:rsid w:val="0062435C"/>
    <w:rsid w:val="00625B5C"/>
    <w:rsid w:val="00626F2B"/>
    <w:rsid w:val="0062700F"/>
    <w:rsid w:val="006305EF"/>
    <w:rsid w:val="006310BD"/>
    <w:rsid w:val="006353AD"/>
    <w:rsid w:val="006359D1"/>
    <w:rsid w:val="00635EC2"/>
    <w:rsid w:val="006401B7"/>
    <w:rsid w:val="0064228F"/>
    <w:rsid w:val="00647326"/>
    <w:rsid w:val="0065027E"/>
    <w:rsid w:val="00652005"/>
    <w:rsid w:val="0065420B"/>
    <w:rsid w:val="0065565B"/>
    <w:rsid w:val="006570E7"/>
    <w:rsid w:val="006620F5"/>
    <w:rsid w:val="00663B1E"/>
    <w:rsid w:val="00663EAE"/>
    <w:rsid w:val="00667752"/>
    <w:rsid w:val="00673B5E"/>
    <w:rsid w:val="006750EC"/>
    <w:rsid w:val="0067611B"/>
    <w:rsid w:val="00677521"/>
    <w:rsid w:val="00682FE2"/>
    <w:rsid w:val="00683447"/>
    <w:rsid w:val="00686774"/>
    <w:rsid w:val="00690750"/>
    <w:rsid w:val="00690CF9"/>
    <w:rsid w:val="006910F4"/>
    <w:rsid w:val="00692972"/>
    <w:rsid w:val="006947A4"/>
    <w:rsid w:val="0069504E"/>
    <w:rsid w:val="006A0007"/>
    <w:rsid w:val="006A66BE"/>
    <w:rsid w:val="006A6EF8"/>
    <w:rsid w:val="006A76FE"/>
    <w:rsid w:val="006B4B79"/>
    <w:rsid w:val="006B65EC"/>
    <w:rsid w:val="006B7E61"/>
    <w:rsid w:val="006C3E58"/>
    <w:rsid w:val="006C7D25"/>
    <w:rsid w:val="006D16EE"/>
    <w:rsid w:val="006D38C2"/>
    <w:rsid w:val="006E613A"/>
    <w:rsid w:val="006E69EE"/>
    <w:rsid w:val="006F4BC7"/>
    <w:rsid w:val="00701673"/>
    <w:rsid w:val="00705739"/>
    <w:rsid w:val="00705746"/>
    <w:rsid w:val="00705EE8"/>
    <w:rsid w:val="00707843"/>
    <w:rsid w:val="00713718"/>
    <w:rsid w:val="0072055A"/>
    <w:rsid w:val="00720E34"/>
    <w:rsid w:val="007234E7"/>
    <w:rsid w:val="007608E1"/>
    <w:rsid w:val="0076275C"/>
    <w:rsid w:val="00764013"/>
    <w:rsid w:val="0076417E"/>
    <w:rsid w:val="007746EA"/>
    <w:rsid w:val="00780F94"/>
    <w:rsid w:val="0078104C"/>
    <w:rsid w:val="00783BF0"/>
    <w:rsid w:val="00785CBA"/>
    <w:rsid w:val="00794A3F"/>
    <w:rsid w:val="007966EC"/>
    <w:rsid w:val="0079697C"/>
    <w:rsid w:val="007A097D"/>
    <w:rsid w:val="007A131D"/>
    <w:rsid w:val="007A50F0"/>
    <w:rsid w:val="007B3BE1"/>
    <w:rsid w:val="007B4344"/>
    <w:rsid w:val="007B52EE"/>
    <w:rsid w:val="007B5D72"/>
    <w:rsid w:val="007C0131"/>
    <w:rsid w:val="007C06F9"/>
    <w:rsid w:val="007C15DC"/>
    <w:rsid w:val="007C3C3C"/>
    <w:rsid w:val="007C47CB"/>
    <w:rsid w:val="007C5068"/>
    <w:rsid w:val="007D002D"/>
    <w:rsid w:val="007D319A"/>
    <w:rsid w:val="007D5B47"/>
    <w:rsid w:val="007E30C9"/>
    <w:rsid w:val="007E3C56"/>
    <w:rsid w:val="007E62FC"/>
    <w:rsid w:val="007F0751"/>
    <w:rsid w:val="007F083D"/>
    <w:rsid w:val="007F1C71"/>
    <w:rsid w:val="007F3763"/>
    <w:rsid w:val="00801FFD"/>
    <w:rsid w:val="00803464"/>
    <w:rsid w:val="00805620"/>
    <w:rsid w:val="0081128E"/>
    <w:rsid w:val="00817512"/>
    <w:rsid w:val="008211FD"/>
    <w:rsid w:val="00827722"/>
    <w:rsid w:val="00827EC4"/>
    <w:rsid w:val="00832DDF"/>
    <w:rsid w:val="0083588B"/>
    <w:rsid w:val="008421F0"/>
    <w:rsid w:val="008436F0"/>
    <w:rsid w:val="00843990"/>
    <w:rsid w:val="00845E56"/>
    <w:rsid w:val="00846C9E"/>
    <w:rsid w:val="00856435"/>
    <w:rsid w:val="0085751F"/>
    <w:rsid w:val="00863464"/>
    <w:rsid w:val="008642EF"/>
    <w:rsid w:val="00864890"/>
    <w:rsid w:val="0087089D"/>
    <w:rsid w:val="00870FF1"/>
    <w:rsid w:val="00872857"/>
    <w:rsid w:val="0087320C"/>
    <w:rsid w:val="008747F1"/>
    <w:rsid w:val="00877A0B"/>
    <w:rsid w:val="00886A9A"/>
    <w:rsid w:val="008A502C"/>
    <w:rsid w:val="008A6AF7"/>
    <w:rsid w:val="008B0505"/>
    <w:rsid w:val="008B1148"/>
    <w:rsid w:val="008B23C7"/>
    <w:rsid w:val="008B52A3"/>
    <w:rsid w:val="008B7259"/>
    <w:rsid w:val="008C0BFD"/>
    <w:rsid w:val="008C1208"/>
    <w:rsid w:val="008C20FF"/>
    <w:rsid w:val="008C3081"/>
    <w:rsid w:val="008C316A"/>
    <w:rsid w:val="008C4E38"/>
    <w:rsid w:val="008D3DBA"/>
    <w:rsid w:val="008D7A2D"/>
    <w:rsid w:val="008E06E1"/>
    <w:rsid w:val="008F248E"/>
    <w:rsid w:val="00906B1D"/>
    <w:rsid w:val="00912FD4"/>
    <w:rsid w:val="009207A0"/>
    <w:rsid w:val="009253B0"/>
    <w:rsid w:val="009321A0"/>
    <w:rsid w:val="0093263C"/>
    <w:rsid w:val="00934022"/>
    <w:rsid w:val="009348A7"/>
    <w:rsid w:val="00934921"/>
    <w:rsid w:val="009404B9"/>
    <w:rsid w:val="009474B4"/>
    <w:rsid w:val="00960A2C"/>
    <w:rsid w:val="009616F5"/>
    <w:rsid w:val="009657AC"/>
    <w:rsid w:val="00965C72"/>
    <w:rsid w:val="00973124"/>
    <w:rsid w:val="00980C1A"/>
    <w:rsid w:val="00984409"/>
    <w:rsid w:val="009907A6"/>
    <w:rsid w:val="009908E9"/>
    <w:rsid w:val="0099425F"/>
    <w:rsid w:val="009951DE"/>
    <w:rsid w:val="009958F8"/>
    <w:rsid w:val="009A0DBB"/>
    <w:rsid w:val="009B142C"/>
    <w:rsid w:val="009B28F9"/>
    <w:rsid w:val="009B41EA"/>
    <w:rsid w:val="009C17C2"/>
    <w:rsid w:val="009C70D7"/>
    <w:rsid w:val="009D0437"/>
    <w:rsid w:val="009D649B"/>
    <w:rsid w:val="009E1F6B"/>
    <w:rsid w:val="009E23FA"/>
    <w:rsid w:val="009E768C"/>
    <w:rsid w:val="009E7CBC"/>
    <w:rsid w:val="009E7F67"/>
    <w:rsid w:val="009F1A4D"/>
    <w:rsid w:val="009F1BDD"/>
    <w:rsid w:val="009F33CB"/>
    <w:rsid w:val="009F433B"/>
    <w:rsid w:val="009F45D6"/>
    <w:rsid w:val="00A0153C"/>
    <w:rsid w:val="00A01EF6"/>
    <w:rsid w:val="00A01FF9"/>
    <w:rsid w:val="00A05BCB"/>
    <w:rsid w:val="00A068B3"/>
    <w:rsid w:val="00A07918"/>
    <w:rsid w:val="00A1123E"/>
    <w:rsid w:val="00A129F0"/>
    <w:rsid w:val="00A12F7B"/>
    <w:rsid w:val="00A13700"/>
    <w:rsid w:val="00A147D8"/>
    <w:rsid w:val="00A23FCC"/>
    <w:rsid w:val="00A24ED6"/>
    <w:rsid w:val="00A25532"/>
    <w:rsid w:val="00A30DF9"/>
    <w:rsid w:val="00A32774"/>
    <w:rsid w:val="00A3512D"/>
    <w:rsid w:val="00A36821"/>
    <w:rsid w:val="00A41EB5"/>
    <w:rsid w:val="00A457B4"/>
    <w:rsid w:val="00A537E6"/>
    <w:rsid w:val="00A5405E"/>
    <w:rsid w:val="00A54D15"/>
    <w:rsid w:val="00A61155"/>
    <w:rsid w:val="00A62056"/>
    <w:rsid w:val="00A641C2"/>
    <w:rsid w:val="00A75A15"/>
    <w:rsid w:val="00A81160"/>
    <w:rsid w:val="00A81AC7"/>
    <w:rsid w:val="00A844F8"/>
    <w:rsid w:val="00A92A48"/>
    <w:rsid w:val="00A96772"/>
    <w:rsid w:val="00AA072E"/>
    <w:rsid w:val="00AA1AFD"/>
    <w:rsid w:val="00AA4D43"/>
    <w:rsid w:val="00AB562E"/>
    <w:rsid w:val="00AB7EBF"/>
    <w:rsid w:val="00AC267C"/>
    <w:rsid w:val="00AC3B63"/>
    <w:rsid w:val="00AC75ED"/>
    <w:rsid w:val="00AD2929"/>
    <w:rsid w:val="00AD7C06"/>
    <w:rsid w:val="00AE03C2"/>
    <w:rsid w:val="00AE1E88"/>
    <w:rsid w:val="00AE3798"/>
    <w:rsid w:val="00AE4E82"/>
    <w:rsid w:val="00AE59F1"/>
    <w:rsid w:val="00AF7093"/>
    <w:rsid w:val="00B020B3"/>
    <w:rsid w:val="00B0222F"/>
    <w:rsid w:val="00B02DC4"/>
    <w:rsid w:val="00B05217"/>
    <w:rsid w:val="00B0529F"/>
    <w:rsid w:val="00B1636B"/>
    <w:rsid w:val="00B22DE7"/>
    <w:rsid w:val="00B236AF"/>
    <w:rsid w:val="00B3116C"/>
    <w:rsid w:val="00B326C6"/>
    <w:rsid w:val="00B34F0C"/>
    <w:rsid w:val="00B37D1D"/>
    <w:rsid w:val="00B41CA4"/>
    <w:rsid w:val="00B43A5C"/>
    <w:rsid w:val="00B43D26"/>
    <w:rsid w:val="00B44093"/>
    <w:rsid w:val="00B51334"/>
    <w:rsid w:val="00B517F0"/>
    <w:rsid w:val="00B57D02"/>
    <w:rsid w:val="00B615F9"/>
    <w:rsid w:val="00B65D73"/>
    <w:rsid w:val="00B71405"/>
    <w:rsid w:val="00B7569B"/>
    <w:rsid w:val="00B85892"/>
    <w:rsid w:val="00B933B5"/>
    <w:rsid w:val="00B93F93"/>
    <w:rsid w:val="00B95890"/>
    <w:rsid w:val="00B97813"/>
    <w:rsid w:val="00BA00E1"/>
    <w:rsid w:val="00BA336C"/>
    <w:rsid w:val="00BB0B7E"/>
    <w:rsid w:val="00BB1B7B"/>
    <w:rsid w:val="00BC3B15"/>
    <w:rsid w:val="00BC483F"/>
    <w:rsid w:val="00BC676A"/>
    <w:rsid w:val="00BD1FB4"/>
    <w:rsid w:val="00BD3141"/>
    <w:rsid w:val="00BD536C"/>
    <w:rsid w:val="00BD7E22"/>
    <w:rsid w:val="00BE4DCC"/>
    <w:rsid w:val="00BE5F54"/>
    <w:rsid w:val="00BE6876"/>
    <w:rsid w:val="00BF7F7C"/>
    <w:rsid w:val="00C03425"/>
    <w:rsid w:val="00C04D89"/>
    <w:rsid w:val="00C04DE5"/>
    <w:rsid w:val="00C04E52"/>
    <w:rsid w:val="00C05A1F"/>
    <w:rsid w:val="00C1039C"/>
    <w:rsid w:val="00C119B3"/>
    <w:rsid w:val="00C17A16"/>
    <w:rsid w:val="00C2023F"/>
    <w:rsid w:val="00C20418"/>
    <w:rsid w:val="00C20568"/>
    <w:rsid w:val="00C23CF7"/>
    <w:rsid w:val="00C24C8C"/>
    <w:rsid w:val="00C24E38"/>
    <w:rsid w:val="00C303E4"/>
    <w:rsid w:val="00C403B7"/>
    <w:rsid w:val="00C403EF"/>
    <w:rsid w:val="00C45B66"/>
    <w:rsid w:val="00C47607"/>
    <w:rsid w:val="00C50B36"/>
    <w:rsid w:val="00C50C1D"/>
    <w:rsid w:val="00C5124B"/>
    <w:rsid w:val="00C513ED"/>
    <w:rsid w:val="00C52C8C"/>
    <w:rsid w:val="00C52CE9"/>
    <w:rsid w:val="00C55712"/>
    <w:rsid w:val="00C56847"/>
    <w:rsid w:val="00C57A33"/>
    <w:rsid w:val="00C705C8"/>
    <w:rsid w:val="00C70BF0"/>
    <w:rsid w:val="00C75A70"/>
    <w:rsid w:val="00C77398"/>
    <w:rsid w:val="00C82EB8"/>
    <w:rsid w:val="00C85A9D"/>
    <w:rsid w:val="00C91653"/>
    <w:rsid w:val="00C9569B"/>
    <w:rsid w:val="00C96125"/>
    <w:rsid w:val="00CA0E2E"/>
    <w:rsid w:val="00CA0EB0"/>
    <w:rsid w:val="00CB6510"/>
    <w:rsid w:val="00CC1760"/>
    <w:rsid w:val="00CC1B19"/>
    <w:rsid w:val="00CC3C64"/>
    <w:rsid w:val="00CC7E8A"/>
    <w:rsid w:val="00CD2C05"/>
    <w:rsid w:val="00CD5996"/>
    <w:rsid w:val="00CD7FC9"/>
    <w:rsid w:val="00CE3246"/>
    <w:rsid w:val="00CE79E1"/>
    <w:rsid w:val="00CF172C"/>
    <w:rsid w:val="00CF6C2D"/>
    <w:rsid w:val="00D05185"/>
    <w:rsid w:val="00D104C0"/>
    <w:rsid w:val="00D10775"/>
    <w:rsid w:val="00D10CB8"/>
    <w:rsid w:val="00D1763B"/>
    <w:rsid w:val="00D21826"/>
    <w:rsid w:val="00D238DA"/>
    <w:rsid w:val="00D23EF1"/>
    <w:rsid w:val="00D261A6"/>
    <w:rsid w:val="00D269FE"/>
    <w:rsid w:val="00D3098C"/>
    <w:rsid w:val="00D317EB"/>
    <w:rsid w:val="00D363FD"/>
    <w:rsid w:val="00D43E31"/>
    <w:rsid w:val="00D4430D"/>
    <w:rsid w:val="00D479E7"/>
    <w:rsid w:val="00D50A73"/>
    <w:rsid w:val="00D531F7"/>
    <w:rsid w:val="00D53797"/>
    <w:rsid w:val="00D547B3"/>
    <w:rsid w:val="00D57B61"/>
    <w:rsid w:val="00D622F9"/>
    <w:rsid w:val="00D66BEC"/>
    <w:rsid w:val="00D71C39"/>
    <w:rsid w:val="00D72973"/>
    <w:rsid w:val="00D75F44"/>
    <w:rsid w:val="00D76131"/>
    <w:rsid w:val="00D81F11"/>
    <w:rsid w:val="00D82C3C"/>
    <w:rsid w:val="00D85387"/>
    <w:rsid w:val="00D867FB"/>
    <w:rsid w:val="00D906ED"/>
    <w:rsid w:val="00D92144"/>
    <w:rsid w:val="00DA3C70"/>
    <w:rsid w:val="00DB14BE"/>
    <w:rsid w:val="00DB2C42"/>
    <w:rsid w:val="00DC09CB"/>
    <w:rsid w:val="00DD1D9B"/>
    <w:rsid w:val="00DD30D9"/>
    <w:rsid w:val="00DD79C7"/>
    <w:rsid w:val="00DE12D4"/>
    <w:rsid w:val="00DE77B2"/>
    <w:rsid w:val="00DE7DFB"/>
    <w:rsid w:val="00DF027B"/>
    <w:rsid w:val="00E0465F"/>
    <w:rsid w:val="00E125D7"/>
    <w:rsid w:val="00E15AAB"/>
    <w:rsid w:val="00E172E9"/>
    <w:rsid w:val="00E20AB9"/>
    <w:rsid w:val="00E24FC3"/>
    <w:rsid w:val="00E30618"/>
    <w:rsid w:val="00E40A8E"/>
    <w:rsid w:val="00E41B83"/>
    <w:rsid w:val="00E43A76"/>
    <w:rsid w:val="00E450A4"/>
    <w:rsid w:val="00E503E4"/>
    <w:rsid w:val="00E634E0"/>
    <w:rsid w:val="00E66CD4"/>
    <w:rsid w:val="00E7122E"/>
    <w:rsid w:val="00E73A26"/>
    <w:rsid w:val="00E810E6"/>
    <w:rsid w:val="00E81735"/>
    <w:rsid w:val="00E932E3"/>
    <w:rsid w:val="00E9561B"/>
    <w:rsid w:val="00E97059"/>
    <w:rsid w:val="00EA149F"/>
    <w:rsid w:val="00EA275C"/>
    <w:rsid w:val="00EC23C5"/>
    <w:rsid w:val="00EC24DF"/>
    <w:rsid w:val="00EC70C3"/>
    <w:rsid w:val="00ED391F"/>
    <w:rsid w:val="00ED5AB2"/>
    <w:rsid w:val="00ED658D"/>
    <w:rsid w:val="00EE17B0"/>
    <w:rsid w:val="00EE35BC"/>
    <w:rsid w:val="00EE36E8"/>
    <w:rsid w:val="00EE656F"/>
    <w:rsid w:val="00EF36E4"/>
    <w:rsid w:val="00EF5780"/>
    <w:rsid w:val="00EF67FC"/>
    <w:rsid w:val="00EF6D7E"/>
    <w:rsid w:val="00EF6FB9"/>
    <w:rsid w:val="00EF7967"/>
    <w:rsid w:val="00F00100"/>
    <w:rsid w:val="00F0057C"/>
    <w:rsid w:val="00F00963"/>
    <w:rsid w:val="00F0154F"/>
    <w:rsid w:val="00F01FB6"/>
    <w:rsid w:val="00F1139A"/>
    <w:rsid w:val="00F20381"/>
    <w:rsid w:val="00F265B6"/>
    <w:rsid w:val="00F2779B"/>
    <w:rsid w:val="00F27FFB"/>
    <w:rsid w:val="00F3256F"/>
    <w:rsid w:val="00F339E3"/>
    <w:rsid w:val="00F33DC9"/>
    <w:rsid w:val="00F33E04"/>
    <w:rsid w:val="00F3543E"/>
    <w:rsid w:val="00F37FD4"/>
    <w:rsid w:val="00F4238F"/>
    <w:rsid w:val="00F43285"/>
    <w:rsid w:val="00F44742"/>
    <w:rsid w:val="00F44CE1"/>
    <w:rsid w:val="00F52339"/>
    <w:rsid w:val="00F553A2"/>
    <w:rsid w:val="00F56D9D"/>
    <w:rsid w:val="00F653A2"/>
    <w:rsid w:val="00F65646"/>
    <w:rsid w:val="00F661B1"/>
    <w:rsid w:val="00F700D7"/>
    <w:rsid w:val="00F7147A"/>
    <w:rsid w:val="00F725AA"/>
    <w:rsid w:val="00F756D7"/>
    <w:rsid w:val="00F814F0"/>
    <w:rsid w:val="00F87C65"/>
    <w:rsid w:val="00F9613F"/>
    <w:rsid w:val="00F96FCE"/>
    <w:rsid w:val="00FA4112"/>
    <w:rsid w:val="00FA6C4B"/>
    <w:rsid w:val="00FB26F3"/>
    <w:rsid w:val="00FD186D"/>
    <w:rsid w:val="00FD3405"/>
    <w:rsid w:val="00FD5FA4"/>
    <w:rsid w:val="00FE204E"/>
    <w:rsid w:val="00FE3A10"/>
    <w:rsid w:val="00FE45CC"/>
    <w:rsid w:val="00FE573A"/>
    <w:rsid w:val="00FF196A"/>
    <w:rsid w:val="00FF6B83"/>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3AD"/>
    <w:pPr>
      <w:ind w:left="720"/>
      <w:contextualSpacing/>
    </w:pPr>
  </w:style>
  <w:style w:type="paragraph" w:styleId="BalloonText">
    <w:name w:val="Balloon Text"/>
    <w:basedOn w:val="Normal"/>
    <w:link w:val="BalloonTextChar"/>
    <w:uiPriority w:val="99"/>
    <w:semiHidden/>
    <w:unhideWhenUsed/>
    <w:rsid w:val="00271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B2"/>
    <w:rPr>
      <w:rFonts w:ascii="Segoe UI" w:hAnsi="Segoe UI" w:cs="Segoe UI"/>
      <w:sz w:val="18"/>
      <w:szCs w:val="18"/>
    </w:rPr>
  </w:style>
  <w:style w:type="character" w:styleId="CommentReference">
    <w:name w:val="annotation reference"/>
    <w:basedOn w:val="DefaultParagraphFont"/>
    <w:uiPriority w:val="99"/>
    <w:semiHidden/>
    <w:unhideWhenUsed/>
    <w:rsid w:val="00BE6876"/>
    <w:rPr>
      <w:sz w:val="16"/>
      <w:szCs w:val="16"/>
    </w:rPr>
  </w:style>
  <w:style w:type="paragraph" w:styleId="CommentText">
    <w:name w:val="annotation text"/>
    <w:basedOn w:val="Normal"/>
    <w:link w:val="CommentTextChar"/>
    <w:uiPriority w:val="99"/>
    <w:semiHidden/>
    <w:unhideWhenUsed/>
    <w:rsid w:val="00BE6876"/>
    <w:pPr>
      <w:spacing w:line="240" w:lineRule="auto"/>
    </w:pPr>
    <w:rPr>
      <w:sz w:val="20"/>
      <w:szCs w:val="20"/>
    </w:rPr>
  </w:style>
  <w:style w:type="character" w:customStyle="1" w:styleId="CommentTextChar">
    <w:name w:val="Comment Text Char"/>
    <w:basedOn w:val="DefaultParagraphFont"/>
    <w:link w:val="CommentText"/>
    <w:uiPriority w:val="99"/>
    <w:semiHidden/>
    <w:rsid w:val="00BE6876"/>
    <w:rPr>
      <w:sz w:val="20"/>
      <w:szCs w:val="20"/>
    </w:rPr>
  </w:style>
  <w:style w:type="paragraph" w:styleId="CommentSubject">
    <w:name w:val="annotation subject"/>
    <w:basedOn w:val="CommentText"/>
    <w:next w:val="CommentText"/>
    <w:link w:val="CommentSubjectChar"/>
    <w:uiPriority w:val="99"/>
    <w:semiHidden/>
    <w:unhideWhenUsed/>
    <w:rsid w:val="00BE6876"/>
    <w:rPr>
      <w:b/>
      <w:bCs/>
    </w:rPr>
  </w:style>
  <w:style w:type="character" w:customStyle="1" w:styleId="CommentSubjectChar">
    <w:name w:val="Comment Subject Char"/>
    <w:basedOn w:val="CommentTextChar"/>
    <w:link w:val="CommentSubject"/>
    <w:uiPriority w:val="99"/>
    <w:semiHidden/>
    <w:rsid w:val="00BE6876"/>
    <w:rPr>
      <w:b/>
      <w:bCs/>
      <w:sz w:val="20"/>
      <w:szCs w:val="20"/>
    </w:rPr>
  </w:style>
  <w:style w:type="paragraph" w:styleId="EndnoteText">
    <w:name w:val="endnote text"/>
    <w:basedOn w:val="Normal"/>
    <w:link w:val="EndnoteTextChar"/>
    <w:uiPriority w:val="99"/>
    <w:semiHidden/>
    <w:unhideWhenUsed/>
    <w:rsid w:val="009E1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1F6B"/>
    <w:rPr>
      <w:sz w:val="20"/>
      <w:szCs w:val="20"/>
    </w:rPr>
  </w:style>
  <w:style w:type="character" w:styleId="EndnoteReference">
    <w:name w:val="endnote reference"/>
    <w:basedOn w:val="DefaultParagraphFont"/>
    <w:uiPriority w:val="99"/>
    <w:semiHidden/>
    <w:unhideWhenUsed/>
    <w:rsid w:val="009E1F6B"/>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rsid w:val="009E1F6B"/>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sid w:val="009E1F6B"/>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FootnotesymbolCharCharCharChar"/>
    <w:uiPriority w:val="99"/>
    <w:unhideWhenUsed/>
    <w:qFormat/>
    <w:rsid w:val="009E1F6B"/>
    <w:rPr>
      <w:vertAlign w:val="superscript"/>
    </w:rPr>
  </w:style>
  <w:style w:type="paragraph" w:customStyle="1" w:styleId="wordcount">
    <w:name w:val="word count"/>
    <w:rsid w:val="00154A4B"/>
    <w:pPr>
      <w:spacing w:after="0" w:line="240" w:lineRule="auto"/>
    </w:pPr>
    <w:rPr>
      <w:rFonts w:ascii="Times New Roman" w:eastAsia="Arial Unicode MS" w:hAnsi="Times New Roman" w:cs="Arial Unicode MS"/>
      <w:color w:val="000000"/>
      <w:sz w:val="24"/>
      <w:szCs w:val="24"/>
      <w:u w:color="000000"/>
      <w:lang w:val="fr-FR" w:eastAsia="fr-BE"/>
    </w:rPr>
  </w:style>
  <w:style w:type="character" w:customStyle="1" w:styleId="None">
    <w:name w:val="None"/>
    <w:rsid w:val="00154A4B"/>
  </w:style>
  <w:style w:type="character" w:customStyle="1" w:styleId="Hyperlink1">
    <w:name w:val="Hyperlink.1"/>
    <w:basedOn w:val="DefaultParagraphFont"/>
    <w:rsid w:val="00154A4B"/>
    <w:rPr>
      <w:color w:val="0000FF"/>
      <w:sz w:val="18"/>
      <w:szCs w:val="18"/>
      <w:u w:val="single" w:color="0000FF"/>
    </w:rPr>
  </w:style>
  <w:style w:type="paragraph" w:styleId="Header">
    <w:name w:val="header"/>
    <w:basedOn w:val="Normal"/>
    <w:link w:val="HeaderChar"/>
    <w:uiPriority w:val="99"/>
    <w:unhideWhenUsed/>
    <w:rsid w:val="009E2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3FA"/>
  </w:style>
  <w:style w:type="paragraph" w:styleId="Footer">
    <w:name w:val="footer"/>
    <w:basedOn w:val="Normal"/>
    <w:link w:val="FooterChar"/>
    <w:uiPriority w:val="99"/>
    <w:unhideWhenUsed/>
    <w:rsid w:val="009E2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3FA"/>
  </w:style>
  <w:style w:type="paragraph" w:styleId="Revision">
    <w:name w:val="Revision"/>
    <w:hidden/>
    <w:uiPriority w:val="99"/>
    <w:semiHidden/>
    <w:rsid w:val="009D0437"/>
    <w:pPr>
      <w:spacing w:after="0" w:line="240" w:lineRule="auto"/>
    </w:pPr>
  </w:style>
  <w:style w:type="paragraph" w:customStyle="1" w:styleId="Text1">
    <w:name w:val="Text 1"/>
    <w:basedOn w:val="Normal"/>
    <w:rsid w:val="00D50A73"/>
    <w:pPr>
      <w:spacing w:before="120" w:after="120" w:line="240" w:lineRule="auto"/>
      <w:ind w:left="850"/>
      <w:jc w:val="both"/>
    </w:pPr>
    <w:rPr>
      <w:rFonts w:ascii="Times New Roman" w:hAnsi="Times New Roman" w:cs="Times New Roman"/>
      <w:sz w:val="24"/>
      <w:lang w:val="en-GB"/>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D50A73"/>
    <w:pPr>
      <w:spacing w:line="240" w:lineRule="exact"/>
    </w:pPr>
    <w:rPr>
      <w:vertAlign w:val="superscript"/>
    </w:rPr>
  </w:style>
  <w:style w:type="paragraph" w:customStyle="1" w:styleId="Considrant">
    <w:name w:val="Considérant"/>
    <w:basedOn w:val="Normal"/>
    <w:rsid w:val="00F9613F"/>
    <w:pPr>
      <w:numPr>
        <w:numId w:val="6"/>
      </w:numPr>
      <w:spacing w:before="120" w:after="120" w:line="240" w:lineRule="auto"/>
      <w:jc w:val="both"/>
    </w:pPr>
    <w:rPr>
      <w:rFonts w:ascii="Times New Roman" w:hAnsi="Times New Roman" w:cs="Times New Roman"/>
      <w:sz w:val="24"/>
      <w:lang w:val="en-GB"/>
    </w:rPr>
  </w:style>
  <w:style w:type="character" w:customStyle="1" w:styleId="Marker">
    <w:name w:val="Marker"/>
    <w:basedOn w:val="DefaultParagraphFont"/>
    <w:rsid w:val="00112B85"/>
    <w:rPr>
      <w:color w:val="0000FF"/>
      <w:shd w:val="clear" w:color="auto" w:fill="auto"/>
    </w:rPr>
  </w:style>
  <w:style w:type="paragraph" w:customStyle="1" w:styleId="Pagedecouverture">
    <w:name w:val="Page de couverture"/>
    <w:basedOn w:val="Normal"/>
    <w:next w:val="Normal"/>
    <w:rsid w:val="00112B8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112B8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112B85"/>
    <w:rPr>
      <w:rFonts w:ascii="Times New Roman" w:hAnsi="Times New Roman" w:cs="Times New Roman"/>
      <w:sz w:val="24"/>
    </w:rPr>
  </w:style>
  <w:style w:type="paragraph" w:customStyle="1" w:styleId="FooterSensitivity">
    <w:name w:val="Footer Sensitivity"/>
    <w:basedOn w:val="Normal"/>
    <w:link w:val="FooterSensitivityChar"/>
    <w:rsid w:val="00112B8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112B85"/>
    <w:rPr>
      <w:rFonts w:ascii="Times New Roman" w:hAnsi="Times New Roman" w:cs="Times New Roman"/>
      <w:b/>
      <w:sz w:val="32"/>
    </w:rPr>
  </w:style>
  <w:style w:type="paragraph" w:customStyle="1" w:styleId="HeaderCoverPage">
    <w:name w:val="Header Cover Page"/>
    <w:basedOn w:val="Normal"/>
    <w:link w:val="HeaderCoverPageChar"/>
    <w:rsid w:val="00112B8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112B85"/>
    <w:rPr>
      <w:rFonts w:ascii="Times New Roman" w:hAnsi="Times New Roman" w:cs="Times New Roman"/>
      <w:sz w:val="24"/>
    </w:rPr>
  </w:style>
  <w:style w:type="paragraph" w:customStyle="1" w:styleId="HeaderSensitivity">
    <w:name w:val="Header Sensitivity"/>
    <w:basedOn w:val="Normal"/>
    <w:link w:val="HeaderSensitivityChar"/>
    <w:rsid w:val="00112B8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112B85"/>
    <w:rPr>
      <w:rFonts w:ascii="Times New Roman" w:hAnsi="Times New Roman" w:cs="Times New Roman"/>
      <w:b/>
      <w:sz w:val="32"/>
    </w:rPr>
  </w:style>
  <w:style w:type="paragraph" w:customStyle="1" w:styleId="HeaderSensitivityRight">
    <w:name w:val="Header Sensitivity Right"/>
    <w:basedOn w:val="Normal"/>
    <w:link w:val="HeaderSensitivityRightChar"/>
    <w:rsid w:val="00112B8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112B85"/>
    <w:rPr>
      <w:rFonts w:ascii="Times New Roman" w:hAnsi="Times New Roman" w:cs="Times New Roman"/>
      <w:sz w:val="28"/>
    </w:rPr>
  </w:style>
  <w:style w:type="character" w:styleId="Hyperlink">
    <w:name w:val="Hyperlink"/>
    <w:basedOn w:val="DefaultParagraphFont"/>
    <w:uiPriority w:val="99"/>
    <w:unhideWhenUsed/>
    <w:rsid w:val="00507E77"/>
    <w:rPr>
      <w:color w:val="0563C1" w:themeColor="hyperlink"/>
      <w:u w:val="single"/>
    </w:rPr>
  </w:style>
  <w:style w:type="paragraph" w:customStyle="1" w:styleId="footnotedescription">
    <w:name w:val="footnote description"/>
    <w:next w:val="Normal"/>
    <w:link w:val="footnotedescriptionChar"/>
    <w:hidden/>
    <w:rsid w:val="00E810E6"/>
    <w:pPr>
      <w:spacing w:after="0"/>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E810E6"/>
    <w:rPr>
      <w:rFonts w:ascii="Times New Roman" w:eastAsia="Times New Roman" w:hAnsi="Times New Roman" w:cs="Times New Roman"/>
      <w:color w:val="000000"/>
      <w:sz w:val="20"/>
      <w:lang w:val="en-US"/>
    </w:rPr>
  </w:style>
  <w:style w:type="character" w:customStyle="1" w:styleId="footnotemark">
    <w:name w:val="footnote mark"/>
    <w:hidden/>
    <w:rsid w:val="00E810E6"/>
    <w:rPr>
      <w:rFonts w:ascii="Times New Roman" w:eastAsia="Times New Roman" w:hAnsi="Times New Roman" w:cs="Times New Roman"/>
      <w:color w:val="000000"/>
      <w:sz w:val="20"/>
      <w:vertAlign w:val="superscript"/>
    </w:rPr>
  </w:style>
  <w:style w:type="character" w:styleId="Emphasis">
    <w:name w:val="Emphasis"/>
    <w:basedOn w:val="DefaultParagraphFont"/>
    <w:uiPriority w:val="20"/>
    <w:qFormat/>
    <w:rsid w:val="00C70B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17063">
      <w:bodyDiv w:val="1"/>
      <w:marLeft w:val="0"/>
      <w:marRight w:val="0"/>
      <w:marTop w:val="0"/>
      <w:marBottom w:val="0"/>
      <w:divBdr>
        <w:top w:val="none" w:sz="0" w:space="0" w:color="auto"/>
        <w:left w:val="none" w:sz="0" w:space="0" w:color="auto"/>
        <w:bottom w:val="none" w:sz="0" w:space="0" w:color="auto"/>
        <w:right w:val="none" w:sz="0" w:space="0" w:color="auto"/>
      </w:divBdr>
    </w:div>
    <w:div w:id="15063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576AD09C5B696E4685506A2D40AD062E" ma:contentTypeVersion="3" ma:contentTypeDescription="Create a new document in this library." ma:contentTypeScope="" ma:versionID="52fae04cdc9c350a145e278205cd43d1">
  <xsd:schema xmlns:xsd="http://www.w3.org/2001/XMLSchema" xmlns:xs="http://www.w3.org/2001/XMLSchema" xmlns:p="http://schemas.microsoft.com/office/2006/metadata/properties" xmlns:ns3="1B451768-C435-48A5-9920-1CECDBFDCF39" xmlns:ns4="1b451768-c435-48a5-9920-1cecdbfdcf39" targetNamespace="http://schemas.microsoft.com/office/2006/metadata/properties" ma:root="true" ma:fieldsID="08a3bac9f5efd9c3dea78b56f7f8a0a8" ns3:_="" ns4:_="">
    <xsd:import namespace="1B451768-C435-48A5-9920-1CECDBFDCF39"/>
    <xsd:import namespace="1b451768-c435-48a5-9920-1cecdbfdcf39"/>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b451768-c435-48a5-9920-1cecdbfdcf39"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ARES_NUMBER xmlns="1b451768-c435-48a5-9920-1cecdbfdcf39">
      <Url xsi:nil="true"/>
      <Description xsi:nil="true"/>
    </EC_ARES_NUMBER>
    <EC_Collab_Status xmlns="1B451768-C435-48A5-9920-1CECDBFDCF39">Not Started</EC_Collab_Status>
    <EC_Collab_DocumentLanguage xmlns="1B451768-C435-48A5-9920-1CECDBFDCF39">EN</EC_Collab_DocumentLanguage>
    <EC_Collab_Reference xmlns="1B451768-C435-48A5-9920-1CECDBFDCF39" xsi:nil="true"/>
    <EC_ARES_DATE_TRANSFERRED xmlns="1b451768-c435-48a5-9920-1cecdbfdcf39" xsi:nil="true"/>
    <EC_ARES_TRANSFERRED_BY xmlns="1b451768-c435-48a5-9920-1cecdbfdcf39" xsi:nil="true"/>
    <Status xmlns="1B451768-C435-48A5-9920-1CECDBFDCF39">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AC8A-EBF9-4AEF-995E-6738EBEF7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51768-C435-48A5-9920-1CECDBFDCF39"/>
    <ds:schemaRef ds:uri="1b451768-c435-48a5-9920-1cecdbfd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BB7DE-2A7F-464C-946C-516F148EDC87}">
  <ds:schemaRefs>
    <ds:schemaRef ds:uri="http://purl.org/dc/terms/"/>
    <ds:schemaRef ds:uri="http://schemas.microsoft.com/office/infopath/2007/PartnerControls"/>
    <ds:schemaRef ds:uri="http://purl.org/dc/dcmitype/"/>
    <ds:schemaRef ds:uri="1b451768-c435-48a5-9920-1cecdbfdcf39"/>
    <ds:schemaRef ds:uri="http://purl.org/dc/elements/1.1/"/>
    <ds:schemaRef ds:uri="http://schemas.microsoft.com/office/2006/metadata/properties"/>
    <ds:schemaRef ds:uri="1B451768-C435-48A5-9920-1CECDBFDCF39"/>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327566C-CCC8-42D7-A340-F6E067E3815D}">
  <ds:schemaRefs>
    <ds:schemaRef ds:uri="http://schemas.microsoft.com/sharepoint/v3/contenttype/forms"/>
  </ds:schemaRefs>
</ds:datastoreItem>
</file>

<file path=customXml/itemProps4.xml><?xml version="1.0" encoding="utf-8"?>
<ds:datastoreItem xmlns:ds="http://schemas.openxmlformats.org/officeDocument/2006/customXml" ds:itemID="{B5ACCC92-89D3-41E9-8C0E-974BC389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5191</Words>
  <Characters>29020</Characters>
  <Application>Microsoft Office Word</Application>
  <DocSecurity>0</DocSecurity>
  <Lines>439</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2021-12-08T14:31:00Z</dcterms:created>
  <dcterms:modified xsi:type="dcterms:W3CDTF">2021-12-08T14:43:00Z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ContentTypeId">
    <vt:lpwstr>0x010100258AA79CEB83498886A3A0868112325000576AD09C5B696E4685506A2D40AD062E</vt:lpwstr>
  </property>
</Properties>
</file>