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0685C" w14:textId="48291783" w:rsidR="00F1215C" w:rsidRDefault="00F30FD8" w:rsidP="00F30FD8">
      <w:pPr>
        <w:pStyle w:val="Pagedecouverture"/>
        <w:rPr>
          <w:noProof/>
          <w:lang w:val="en-GB"/>
        </w:rPr>
      </w:pPr>
      <w:bookmarkStart w:id="0" w:name="LW_BM_COVERPAGE"/>
      <w:r>
        <w:rPr>
          <w:noProof/>
          <w:lang w:val="en-GB"/>
        </w:rPr>
        <w:pict w14:anchorId="702E6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890B9154-E71E-4457-95A0-7B93641F7868" style="width:455.25pt;height:351.75pt">
            <v:imagedata r:id="rId11" o:title=""/>
          </v:shape>
        </w:pict>
      </w:r>
    </w:p>
    <w:bookmarkEnd w:id="0"/>
    <w:p w14:paraId="08D0685D" w14:textId="77777777" w:rsidR="00AA2AE2" w:rsidRDefault="00AA2AE2" w:rsidP="00AA2AE2">
      <w:pPr>
        <w:rPr>
          <w:noProof/>
        </w:rPr>
        <w:sectPr w:rsidR="00AA2AE2" w:rsidSect="00F30FD8">
          <w:headerReference w:type="even" r:id="rId12"/>
          <w:headerReference w:type="default" r:id="rId13"/>
          <w:footerReference w:type="even" r:id="rId14"/>
          <w:footerReference w:type="default" r:id="rId15"/>
          <w:headerReference w:type="first" r:id="rId16"/>
          <w:footerReference w:type="first" r:id="rId17"/>
          <w:pgSz w:w="11900" w:h="16840"/>
          <w:pgMar w:top="1134" w:right="1417" w:bottom="1134" w:left="1417" w:header="709" w:footer="709" w:gutter="0"/>
          <w:pgNumType w:start="0"/>
          <w:cols w:space="720"/>
          <w:docGrid w:linePitch="326"/>
        </w:sectPr>
      </w:pPr>
    </w:p>
    <w:p w14:paraId="08D0685E" w14:textId="77777777" w:rsidR="00F03205" w:rsidRPr="0018605E" w:rsidRDefault="002259D3">
      <w:pPr>
        <w:pStyle w:val="Corps"/>
        <w:spacing w:after="240" w:line="240" w:lineRule="auto"/>
        <w:jc w:val="center"/>
        <w:rPr>
          <w:rFonts w:ascii="Times New Roman" w:eastAsia="Times New Roman" w:hAnsi="Times New Roman" w:cs="Times New Roman"/>
          <w:b/>
          <w:bCs/>
          <w:noProof/>
          <w:sz w:val="24"/>
          <w:szCs w:val="24"/>
        </w:rPr>
      </w:pPr>
      <w:bookmarkStart w:id="1" w:name="_GoBack"/>
      <w:bookmarkEnd w:id="1"/>
      <w:r w:rsidRPr="0018605E">
        <w:rPr>
          <w:rFonts w:ascii="Times New Roman" w:hAnsi="Times New Roman"/>
          <w:b/>
          <w:bCs/>
          <w:noProof/>
          <w:sz w:val="24"/>
          <w:szCs w:val="24"/>
        </w:rPr>
        <w:lastRenderedPageBreak/>
        <w:t>Progress report on</w:t>
      </w:r>
      <w:r w:rsidRPr="00524F75">
        <w:rPr>
          <w:rFonts w:ascii="Times New Roman" w:hAnsi="Times New Roman"/>
          <w:b/>
          <w:bCs/>
          <w:noProof/>
          <w:sz w:val="24"/>
          <w:szCs w:val="24"/>
        </w:rPr>
        <w:t xml:space="preserve"> the</w:t>
      </w:r>
      <w:r w:rsidRPr="0018605E">
        <w:rPr>
          <w:rFonts w:ascii="Times New Roman" w:hAnsi="Times New Roman"/>
          <w:b/>
          <w:bCs/>
          <w:noProof/>
          <w:sz w:val="24"/>
          <w:szCs w:val="24"/>
        </w:rPr>
        <w:t xml:space="preserve"> implementation of the </w:t>
      </w:r>
      <w:r w:rsidR="0067434C">
        <w:rPr>
          <w:rFonts w:ascii="Times New Roman" w:hAnsi="Times New Roman"/>
          <w:b/>
          <w:bCs/>
          <w:noProof/>
          <w:sz w:val="24"/>
          <w:szCs w:val="24"/>
        </w:rPr>
        <w:t>trans-European transport network</w:t>
      </w:r>
      <w:r w:rsidRPr="0018605E">
        <w:rPr>
          <w:rFonts w:ascii="Times New Roman" w:hAnsi="Times New Roman"/>
          <w:b/>
          <w:bCs/>
          <w:noProof/>
          <w:sz w:val="24"/>
          <w:szCs w:val="24"/>
        </w:rPr>
        <w:t xml:space="preserve"> </w:t>
      </w:r>
      <w:r w:rsidR="0067434C">
        <w:rPr>
          <w:rFonts w:ascii="Times New Roman" w:hAnsi="Times New Roman"/>
          <w:b/>
          <w:bCs/>
          <w:noProof/>
          <w:sz w:val="24"/>
          <w:szCs w:val="24"/>
        </w:rPr>
        <w:br/>
      </w:r>
      <w:r w:rsidRPr="0018605E">
        <w:rPr>
          <w:rFonts w:ascii="Times New Roman" w:hAnsi="Times New Roman"/>
          <w:b/>
          <w:bCs/>
          <w:noProof/>
          <w:sz w:val="24"/>
          <w:szCs w:val="24"/>
        </w:rPr>
        <w:t xml:space="preserve">in </w:t>
      </w:r>
      <w:r w:rsidR="006339D3">
        <w:rPr>
          <w:rFonts w:ascii="Times New Roman" w:hAnsi="Times New Roman"/>
          <w:b/>
          <w:bCs/>
          <w:noProof/>
          <w:sz w:val="24"/>
          <w:szCs w:val="24"/>
        </w:rPr>
        <w:t>201</w:t>
      </w:r>
      <w:r w:rsidR="001850B8">
        <w:rPr>
          <w:rFonts w:ascii="Times New Roman" w:hAnsi="Times New Roman"/>
          <w:b/>
          <w:bCs/>
          <w:noProof/>
          <w:sz w:val="24"/>
          <w:szCs w:val="24"/>
        </w:rPr>
        <w:t>8</w:t>
      </w:r>
      <w:r w:rsidR="006339D3">
        <w:rPr>
          <w:rFonts w:ascii="Times New Roman" w:hAnsi="Times New Roman"/>
          <w:b/>
          <w:bCs/>
          <w:noProof/>
          <w:sz w:val="24"/>
          <w:szCs w:val="24"/>
        </w:rPr>
        <w:t xml:space="preserve"> and 201</w:t>
      </w:r>
      <w:r w:rsidR="001850B8">
        <w:rPr>
          <w:rFonts w:ascii="Times New Roman" w:hAnsi="Times New Roman"/>
          <w:b/>
          <w:bCs/>
          <w:noProof/>
          <w:sz w:val="24"/>
          <w:szCs w:val="24"/>
        </w:rPr>
        <w:t>9</w:t>
      </w:r>
      <w:r w:rsidRPr="0018605E">
        <w:rPr>
          <w:rFonts w:ascii="Times New Roman" w:hAnsi="Times New Roman"/>
          <w:b/>
          <w:bCs/>
          <w:noProof/>
          <w:sz w:val="24"/>
          <w:szCs w:val="24"/>
        </w:rPr>
        <w:t xml:space="preserve"> </w:t>
      </w:r>
    </w:p>
    <w:p w14:paraId="08D0685F" w14:textId="77777777" w:rsidR="005D6EC7" w:rsidRDefault="005D6EC7">
      <w:pPr>
        <w:pStyle w:val="Corps"/>
        <w:spacing w:after="240" w:line="240" w:lineRule="auto"/>
        <w:jc w:val="center"/>
        <w:rPr>
          <w:rFonts w:ascii="Times New Roman" w:hAnsi="Times New Roman"/>
          <w:b/>
          <w:bCs/>
          <w:noProof/>
          <w:sz w:val="24"/>
          <w:szCs w:val="24"/>
        </w:rPr>
      </w:pPr>
    </w:p>
    <w:p w14:paraId="08D06860" w14:textId="77777777" w:rsidR="00687F77" w:rsidRPr="00695FEE" w:rsidRDefault="002259D3" w:rsidP="00670414">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color w:val="000000" w:themeColor="text1"/>
          <w:sz w:val="24"/>
          <w:szCs w:val="24"/>
        </w:rPr>
      </w:pPr>
      <w:bookmarkStart w:id="2" w:name="_Ref34147358"/>
      <w:r w:rsidRPr="00695FEE">
        <w:rPr>
          <w:rFonts w:ascii="Times New Roman" w:hAnsi="Times New Roman"/>
          <w:b/>
          <w:bCs/>
          <w:smallCaps/>
          <w:noProof/>
          <w:color w:val="000000" w:themeColor="text1"/>
          <w:sz w:val="24"/>
          <w:szCs w:val="24"/>
        </w:rPr>
        <w:t>Introduction</w:t>
      </w:r>
      <w:bookmarkEnd w:id="2"/>
    </w:p>
    <w:p w14:paraId="08D06861" w14:textId="77777777" w:rsidR="009409BE" w:rsidRPr="009409BE" w:rsidRDefault="009409BE" w:rsidP="009409BE">
      <w:pPr>
        <w:pStyle w:val="Corps"/>
        <w:tabs>
          <w:tab w:val="left" w:pos="850"/>
        </w:tabs>
        <w:spacing w:after="240" w:line="240" w:lineRule="auto"/>
        <w:jc w:val="both"/>
        <w:rPr>
          <w:rFonts w:ascii="Times New Roman" w:hAnsi="Times New Roman"/>
          <w:noProof/>
          <w:color w:val="auto"/>
          <w:sz w:val="24"/>
          <w:szCs w:val="24"/>
        </w:rPr>
      </w:pPr>
      <w:r w:rsidRPr="00F14EBD">
        <w:rPr>
          <w:rFonts w:ascii="Times New Roman" w:hAnsi="Times New Roman"/>
          <w:noProof/>
          <w:color w:val="auto"/>
          <w:sz w:val="24"/>
          <w:szCs w:val="24"/>
        </w:rPr>
        <w:t>Regulation (EU) No 1315/2013</w:t>
      </w:r>
      <w:r>
        <w:rPr>
          <w:rFonts w:ascii="Times New Roman" w:hAnsi="Times New Roman"/>
          <w:noProof/>
          <w:color w:val="auto"/>
          <w:sz w:val="24"/>
          <w:szCs w:val="24"/>
        </w:rPr>
        <w:t xml:space="preserve"> (</w:t>
      </w:r>
      <w:r w:rsidRPr="00F14EBD">
        <w:rPr>
          <w:rFonts w:ascii="Times New Roman" w:hAnsi="Times New Roman"/>
          <w:noProof/>
          <w:color w:val="auto"/>
          <w:sz w:val="24"/>
          <w:szCs w:val="24"/>
        </w:rPr>
        <w:t>hereafter TEN-T Regulation</w:t>
      </w:r>
      <w:r w:rsidRPr="00F14EBD">
        <w:rPr>
          <w:rFonts w:ascii="Times New Roman" w:eastAsia="Times New Roman" w:hAnsi="Times New Roman" w:cs="Times New Roman"/>
          <w:noProof/>
          <w:color w:val="auto"/>
          <w:sz w:val="24"/>
          <w:szCs w:val="24"/>
          <w:vertAlign w:val="superscript"/>
        </w:rPr>
        <w:footnoteReference w:id="2"/>
      </w:r>
      <w:r w:rsidRPr="00F14EBD">
        <w:rPr>
          <w:rFonts w:ascii="Times New Roman" w:hAnsi="Times New Roman"/>
          <w:noProof/>
          <w:color w:val="auto"/>
          <w:sz w:val="24"/>
          <w:szCs w:val="24"/>
        </w:rPr>
        <w:t>)</w:t>
      </w:r>
      <w:r>
        <w:rPr>
          <w:rFonts w:ascii="Times New Roman" w:hAnsi="Times New Roman"/>
          <w:noProof/>
          <w:color w:val="auto"/>
          <w:sz w:val="24"/>
          <w:szCs w:val="24"/>
        </w:rPr>
        <w:t xml:space="preserve"> </w:t>
      </w:r>
      <w:r w:rsidRPr="00F14EBD">
        <w:rPr>
          <w:rFonts w:ascii="Times New Roman" w:hAnsi="Times New Roman"/>
          <w:noProof/>
          <w:color w:val="auto"/>
          <w:sz w:val="24"/>
          <w:szCs w:val="24"/>
        </w:rPr>
        <w:t>set</w:t>
      </w:r>
      <w:r>
        <w:rPr>
          <w:rFonts w:ascii="Times New Roman" w:hAnsi="Times New Roman"/>
          <w:noProof/>
          <w:color w:val="auto"/>
          <w:sz w:val="24"/>
          <w:szCs w:val="24"/>
        </w:rPr>
        <w:t>s</w:t>
      </w:r>
      <w:r w:rsidRPr="00F14EBD">
        <w:rPr>
          <w:rFonts w:ascii="Times New Roman" w:hAnsi="Times New Roman"/>
          <w:noProof/>
          <w:color w:val="auto"/>
          <w:sz w:val="24"/>
          <w:szCs w:val="24"/>
        </w:rPr>
        <w:t xml:space="preserve"> the guidelines for the development of the trans-European transport </w:t>
      </w:r>
      <w:r w:rsidRPr="009409BE">
        <w:rPr>
          <w:rFonts w:ascii="Times New Roman" w:hAnsi="Times New Roman"/>
          <w:noProof/>
          <w:color w:val="auto"/>
          <w:sz w:val="24"/>
          <w:szCs w:val="24"/>
        </w:rPr>
        <w:t>network</w:t>
      </w:r>
      <w:r w:rsidR="009507BA">
        <w:rPr>
          <w:rFonts w:ascii="Times New Roman" w:hAnsi="Times New Roman"/>
          <w:noProof/>
          <w:color w:val="auto"/>
          <w:sz w:val="24"/>
          <w:szCs w:val="24"/>
        </w:rPr>
        <w:t xml:space="preserve"> (TEN-T)</w:t>
      </w:r>
      <w:r w:rsidRPr="009409BE">
        <w:rPr>
          <w:rFonts w:ascii="Times New Roman" w:hAnsi="Times New Roman"/>
          <w:noProof/>
          <w:color w:val="auto"/>
          <w:sz w:val="24"/>
          <w:szCs w:val="24"/>
        </w:rPr>
        <w:t>. It provides the key legal basis for infrastructure-related measures for all forms of transport in the EU and aims at creating a multimodal network of rail, inland waterways, short sea shipping routes and roads which are linked to urban nodes, maritime and inland ports, airports and terminals across the EU. The TEN-T is hence the very basis for an infrastructural response to enable sustainable forms of transport, to provide for improved multimodal and interoperable transport solutions and for an enhanced intermodal integration of the entire logistic chain.</w:t>
      </w:r>
    </w:p>
    <w:p w14:paraId="08D06862" w14:textId="77777777" w:rsidR="00687F77" w:rsidRDefault="00687F77" w:rsidP="004761F1">
      <w:pPr>
        <w:pStyle w:val="Corps"/>
        <w:spacing w:after="240" w:line="240" w:lineRule="auto"/>
        <w:jc w:val="both"/>
        <w:rPr>
          <w:rFonts w:ascii="Times New Roman" w:hAnsi="Times New Roman"/>
          <w:noProof/>
          <w:color w:val="auto"/>
          <w:sz w:val="24"/>
          <w:szCs w:val="24"/>
        </w:rPr>
      </w:pPr>
      <w:r w:rsidRPr="009409BE">
        <w:rPr>
          <w:rFonts w:ascii="Times New Roman" w:hAnsi="Times New Roman"/>
          <w:noProof/>
          <w:color w:val="auto"/>
          <w:sz w:val="24"/>
          <w:szCs w:val="24"/>
        </w:rPr>
        <w:t xml:space="preserve">A smart, sustainable and fully interconnected European transport network is </w:t>
      </w:r>
      <w:r w:rsidR="0048463C">
        <w:rPr>
          <w:rFonts w:ascii="Times New Roman" w:hAnsi="Times New Roman"/>
          <w:noProof/>
          <w:color w:val="auto"/>
          <w:sz w:val="24"/>
          <w:szCs w:val="24"/>
        </w:rPr>
        <w:t xml:space="preserve">also </w:t>
      </w:r>
      <w:r w:rsidRPr="009409BE">
        <w:rPr>
          <w:rFonts w:ascii="Times New Roman" w:hAnsi="Times New Roman"/>
          <w:noProof/>
          <w:color w:val="auto"/>
          <w:sz w:val="24"/>
          <w:szCs w:val="24"/>
        </w:rPr>
        <w:t xml:space="preserve">a key condition for the completion and good functioning of the European single market and for linking Europe with the world's markets. It thus contributes to the European economic growth, jobs and competitiveness agenda. Moreover, through the development of cleaner </w:t>
      </w:r>
      <w:r w:rsidR="007076A8">
        <w:rPr>
          <w:rFonts w:ascii="Times New Roman" w:hAnsi="Times New Roman"/>
          <w:noProof/>
          <w:color w:val="auto"/>
          <w:sz w:val="24"/>
          <w:szCs w:val="24"/>
        </w:rPr>
        <w:t xml:space="preserve">modes of transport such as rail, </w:t>
      </w:r>
      <w:r w:rsidRPr="009409BE">
        <w:rPr>
          <w:rFonts w:ascii="Times New Roman" w:hAnsi="Times New Roman"/>
          <w:noProof/>
          <w:color w:val="auto"/>
          <w:sz w:val="24"/>
          <w:szCs w:val="24"/>
        </w:rPr>
        <w:t xml:space="preserve">inland waterways </w:t>
      </w:r>
      <w:r w:rsidR="007076A8">
        <w:rPr>
          <w:rFonts w:ascii="Times New Roman" w:hAnsi="Times New Roman"/>
          <w:noProof/>
          <w:color w:val="auto"/>
          <w:sz w:val="24"/>
          <w:szCs w:val="24"/>
        </w:rPr>
        <w:t xml:space="preserve">and short-sea shipping </w:t>
      </w:r>
      <w:r w:rsidRPr="009409BE">
        <w:rPr>
          <w:rFonts w:ascii="Times New Roman" w:hAnsi="Times New Roman"/>
          <w:noProof/>
          <w:color w:val="auto"/>
          <w:sz w:val="24"/>
          <w:szCs w:val="24"/>
        </w:rPr>
        <w:t xml:space="preserve">and the deployment of alternative fuels in road and maritime transport, </w:t>
      </w:r>
      <w:r w:rsidR="0048463C">
        <w:rPr>
          <w:rFonts w:ascii="Times New Roman" w:hAnsi="Times New Roman"/>
          <w:noProof/>
          <w:color w:val="auto"/>
          <w:sz w:val="24"/>
          <w:szCs w:val="24"/>
        </w:rPr>
        <w:t>the TEN-T also play</w:t>
      </w:r>
      <w:r w:rsidR="0067434C">
        <w:rPr>
          <w:rFonts w:ascii="Times New Roman" w:hAnsi="Times New Roman"/>
          <w:noProof/>
          <w:color w:val="auto"/>
          <w:sz w:val="24"/>
          <w:szCs w:val="24"/>
        </w:rPr>
        <w:t>s</w:t>
      </w:r>
      <w:r w:rsidRPr="009409BE">
        <w:rPr>
          <w:rFonts w:ascii="Times New Roman" w:hAnsi="Times New Roman"/>
          <w:noProof/>
          <w:color w:val="auto"/>
          <w:sz w:val="24"/>
          <w:szCs w:val="24"/>
        </w:rPr>
        <w:t xml:space="preserve"> a </w:t>
      </w:r>
      <w:r w:rsidR="004C7E66" w:rsidRPr="009409BE">
        <w:rPr>
          <w:rFonts w:ascii="Times New Roman" w:hAnsi="Times New Roman"/>
          <w:noProof/>
          <w:color w:val="auto"/>
          <w:sz w:val="24"/>
          <w:szCs w:val="24"/>
        </w:rPr>
        <w:t>central</w:t>
      </w:r>
      <w:r w:rsidRPr="009409BE">
        <w:rPr>
          <w:rFonts w:ascii="Times New Roman" w:hAnsi="Times New Roman"/>
          <w:noProof/>
          <w:color w:val="auto"/>
          <w:sz w:val="24"/>
          <w:szCs w:val="24"/>
        </w:rPr>
        <w:t xml:space="preserve"> role </w:t>
      </w:r>
      <w:r w:rsidR="009409BE">
        <w:rPr>
          <w:rFonts w:ascii="Times New Roman" w:hAnsi="Times New Roman"/>
          <w:noProof/>
          <w:color w:val="auto"/>
          <w:sz w:val="24"/>
          <w:szCs w:val="24"/>
        </w:rPr>
        <w:t>for the</w:t>
      </w:r>
      <w:r w:rsidRPr="009409BE">
        <w:rPr>
          <w:rFonts w:ascii="Times New Roman" w:hAnsi="Times New Roman"/>
          <w:noProof/>
          <w:color w:val="auto"/>
          <w:sz w:val="24"/>
          <w:szCs w:val="24"/>
        </w:rPr>
        <w:t xml:space="preserve"> achievement of the objectives of the European Green Deal</w:t>
      </w:r>
      <w:r w:rsidRPr="009409BE">
        <w:rPr>
          <w:rStyle w:val="FootnoteReference"/>
          <w:rFonts w:ascii="Times New Roman" w:hAnsi="Times New Roman"/>
          <w:noProof/>
          <w:color w:val="auto"/>
          <w:sz w:val="24"/>
          <w:szCs w:val="24"/>
        </w:rPr>
        <w:footnoteReference w:id="3"/>
      </w:r>
      <w:r w:rsidR="009409BE">
        <w:rPr>
          <w:rFonts w:ascii="Times New Roman" w:hAnsi="Times New Roman"/>
          <w:noProof/>
          <w:color w:val="auto"/>
          <w:sz w:val="24"/>
          <w:szCs w:val="24"/>
        </w:rPr>
        <w:t xml:space="preserve"> and of the Sustainable and Smart Mobility Strategy</w:t>
      </w:r>
      <w:r w:rsidR="009409BE">
        <w:rPr>
          <w:rStyle w:val="FootnoteReference"/>
          <w:rFonts w:ascii="Times New Roman" w:hAnsi="Times New Roman"/>
          <w:noProof/>
          <w:color w:val="auto"/>
          <w:sz w:val="24"/>
          <w:szCs w:val="24"/>
        </w:rPr>
        <w:footnoteReference w:id="4"/>
      </w:r>
      <w:r w:rsidRPr="009409BE">
        <w:rPr>
          <w:rFonts w:ascii="Times New Roman" w:hAnsi="Times New Roman"/>
          <w:noProof/>
          <w:color w:val="auto"/>
          <w:sz w:val="24"/>
          <w:szCs w:val="24"/>
        </w:rPr>
        <w:t>.</w:t>
      </w:r>
    </w:p>
    <w:p w14:paraId="08D06863" w14:textId="77777777" w:rsidR="004761F1" w:rsidRPr="004761F1" w:rsidRDefault="004761F1" w:rsidP="006527FE">
      <w:pPr>
        <w:pStyle w:val="Corps"/>
        <w:widowControl w:val="0"/>
        <w:spacing w:after="240" w:line="240" w:lineRule="auto"/>
        <w:jc w:val="both"/>
        <w:rPr>
          <w:rFonts w:ascii="Times New Roman" w:hAnsi="Times New Roman"/>
          <w:noProof/>
          <w:color w:val="auto"/>
          <w:sz w:val="24"/>
          <w:szCs w:val="24"/>
        </w:rPr>
      </w:pPr>
      <w:r w:rsidRPr="004761F1">
        <w:rPr>
          <w:rFonts w:ascii="Times New Roman" w:hAnsi="Times New Roman"/>
          <w:noProof/>
          <w:color w:val="auto"/>
          <w:sz w:val="24"/>
          <w:szCs w:val="24"/>
        </w:rPr>
        <w:t xml:space="preserve">The TEN-T Regulation translates the overall purpose of a European multimodal transport system into four specific objectives: 1) </w:t>
      </w:r>
      <w:r w:rsidR="0048463C">
        <w:rPr>
          <w:rFonts w:ascii="Times New Roman" w:hAnsi="Times New Roman"/>
          <w:noProof/>
          <w:color w:val="auto"/>
          <w:sz w:val="24"/>
          <w:szCs w:val="24"/>
        </w:rPr>
        <w:t>c</w:t>
      </w:r>
      <w:r w:rsidRPr="004761F1">
        <w:rPr>
          <w:rFonts w:ascii="Times New Roman" w:hAnsi="Times New Roman"/>
          <w:noProof/>
          <w:color w:val="auto"/>
          <w:sz w:val="24"/>
          <w:szCs w:val="24"/>
        </w:rPr>
        <w:t xml:space="preserve">ontribution to the cohesion of the Union; 2) </w:t>
      </w:r>
      <w:r w:rsidR="0048463C">
        <w:rPr>
          <w:rFonts w:ascii="Times New Roman" w:hAnsi="Times New Roman"/>
          <w:noProof/>
          <w:color w:val="auto"/>
          <w:sz w:val="24"/>
          <w:szCs w:val="24"/>
        </w:rPr>
        <w:t>c</w:t>
      </w:r>
      <w:r w:rsidRPr="004761F1">
        <w:rPr>
          <w:rFonts w:ascii="Times New Roman" w:hAnsi="Times New Roman"/>
          <w:noProof/>
          <w:color w:val="auto"/>
          <w:sz w:val="24"/>
          <w:szCs w:val="24"/>
        </w:rPr>
        <w:t xml:space="preserve">ontribution to the efficiency of the transport network; 3) </w:t>
      </w:r>
      <w:r w:rsidR="0048463C">
        <w:rPr>
          <w:rFonts w:ascii="Times New Roman" w:hAnsi="Times New Roman"/>
          <w:noProof/>
          <w:color w:val="auto"/>
          <w:sz w:val="24"/>
          <w:szCs w:val="24"/>
        </w:rPr>
        <w:t>c</w:t>
      </w:r>
      <w:r w:rsidRPr="004761F1">
        <w:rPr>
          <w:rFonts w:ascii="Times New Roman" w:hAnsi="Times New Roman"/>
          <w:noProof/>
          <w:color w:val="auto"/>
          <w:sz w:val="24"/>
          <w:szCs w:val="24"/>
        </w:rPr>
        <w:t xml:space="preserve">ontribution to the sustainability of the transport network; 4) </w:t>
      </w:r>
      <w:r w:rsidR="0048463C">
        <w:rPr>
          <w:rFonts w:ascii="Times New Roman" w:hAnsi="Times New Roman"/>
          <w:noProof/>
          <w:color w:val="auto"/>
          <w:sz w:val="24"/>
          <w:szCs w:val="24"/>
        </w:rPr>
        <w:t>i</w:t>
      </w:r>
      <w:r w:rsidRPr="004761F1">
        <w:rPr>
          <w:rFonts w:ascii="Times New Roman" w:hAnsi="Times New Roman"/>
          <w:noProof/>
          <w:color w:val="auto"/>
          <w:sz w:val="24"/>
          <w:szCs w:val="24"/>
        </w:rPr>
        <w:t>ncreased benefits for all users of the transport network.</w:t>
      </w:r>
      <w:r w:rsidR="0048463C">
        <w:rPr>
          <w:rFonts w:ascii="Times New Roman" w:hAnsi="Times New Roman"/>
          <w:noProof/>
          <w:color w:val="auto"/>
          <w:sz w:val="24"/>
          <w:szCs w:val="24"/>
        </w:rPr>
        <w:t xml:space="preserve"> To reach these aims, the Regulation sets clear deadlines for the completion of the core network by 2030 and of the comprehensive network by 2050. This is combined with ambitious </w:t>
      </w:r>
      <w:r w:rsidRPr="004761F1">
        <w:rPr>
          <w:rFonts w:ascii="Times New Roman" w:hAnsi="Times New Roman"/>
          <w:noProof/>
          <w:color w:val="auto"/>
          <w:sz w:val="24"/>
          <w:szCs w:val="24"/>
        </w:rPr>
        <w:t>and binding infrastructure standards and requirements for all transport modes to achieve interoperability and quality of the network, for both</w:t>
      </w:r>
      <w:r w:rsidR="007076A8">
        <w:rPr>
          <w:rFonts w:ascii="Times New Roman" w:hAnsi="Times New Roman"/>
          <w:noProof/>
          <w:color w:val="auto"/>
          <w:sz w:val="24"/>
          <w:szCs w:val="24"/>
        </w:rPr>
        <w:t xml:space="preserve"> the</w:t>
      </w:r>
      <w:r w:rsidRPr="004761F1">
        <w:rPr>
          <w:rFonts w:ascii="Times New Roman" w:hAnsi="Times New Roman"/>
          <w:noProof/>
          <w:color w:val="auto"/>
          <w:sz w:val="24"/>
          <w:szCs w:val="24"/>
        </w:rPr>
        <w:t xml:space="preserve"> comprehensive and core network. </w:t>
      </w:r>
    </w:p>
    <w:p w14:paraId="08D06864" w14:textId="77777777" w:rsidR="00687F77" w:rsidRPr="008B3E47" w:rsidRDefault="00525B1D" w:rsidP="006527FE">
      <w:pPr>
        <w:pStyle w:val="Corps"/>
        <w:widowControl w:val="0"/>
        <w:spacing w:after="240" w:line="240" w:lineRule="auto"/>
        <w:jc w:val="both"/>
        <w:rPr>
          <w:rFonts w:ascii="Times New Roman" w:hAnsi="Times New Roman"/>
          <w:noProof/>
          <w:color w:val="auto"/>
          <w:sz w:val="24"/>
          <w:szCs w:val="24"/>
        </w:rPr>
      </w:pPr>
      <w:r w:rsidRPr="008B3E47">
        <w:rPr>
          <w:rFonts w:ascii="Times New Roman" w:hAnsi="Times New Roman"/>
          <w:noProof/>
          <w:color w:val="auto"/>
          <w:sz w:val="24"/>
          <w:szCs w:val="24"/>
        </w:rPr>
        <w:t xml:space="preserve">The </w:t>
      </w:r>
      <w:r w:rsidR="00687F77" w:rsidRPr="008B3E47">
        <w:rPr>
          <w:rFonts w:ascii="Times New Roman" w:hAnsi="Times New Roman"/>
          <w:noProof/>
          <w:color w:val="auto"/>
          <w:sz w:val="24"/>
          <w:szCs w:val="24"/>
        </w:rPr>
        <w:t>financial instrument, the Connecting Europe Facility (CEF), set up through Regulation (EU) No 1316/2013</w:t>
      </w:r>
      <w:r w:rsidR="00DD39BF" w:rsidRPr="008B3E47">
        <w:rPr>
          <w:rStyle w:val="FootnoteReference"/>
          <w:rFonts w:ascii="Times New Roman" w:hAnsi="Times New Roman"/>
          <w:noProof/>
          <w:color w:val="auto"/>
          <w:sz w:val="24"/>
          <w:szCs w:val="24"/>
        </w:rPr>
        <w:footnoteReference w:id="5"/>
      </w:r>
      <w:r w:rsidR="00687F77" w:rsidRPr="008B3E47">
        <w:rPr>
          <w:rFonts w:ascii="Times New Roman" w:hAnsi="Times New Roman"/>
          <w:noProof/>
          <w:color w:val="auto"/>
          <w:sz w:val="24"/>
          <w:szCs w:val="24"/>
        </w:rPr>
        <w:t>,</w:t>
      </w:r>
      <w:r w:rsidRPr="008B3E47">
        <w:rPr>
          <w:rFonts w:ascii="Times New Roman" w:hAnsi="Times New Roman"/>
          <w:noProof/>
          <w:color w:val="auto"/>
          <w:sz w:val="24"/>
          <w:szCs w:val="24"/>
        </w:rPr>
        <w:t xml:space="preserve"> </w:t>
      </w:r>
      <w:r w:rsidR="006C50C9">
        <w:rPr>
          <w:rFonts w:ascii="Times New Roman" w:hAnsi="Times New Roman"/>
          <w:noProof/>
          <w:color w:val="auto"/>
          <w:sz w:val="24"/>
          <w:szCs w:val="24"/>
        </w:rPr>
        <w:t>and its successor for the period 2021-2027 (Regulation (EU) No 2021/1153)</w:t>
      </w:r>
      <w:r w:rsidR="006C50C9">
        <w:rPr>
          <w:rStyle w:val="FootnoteReference"/>
          <w:rFonts w:ascii="Times New Roman" w:hAnsi="Times New Roman"/>
          <w:noProof/>
          <w:color w:val="auto"/>
          <w:sz w:val="24"/>
          <w:szCs w:val="24"/>
        </w:rPr>
        <w:footnoteReference w:id="6"/>
      </w:r>
      <w:r w:rsidR="006C50C9">
        <w:rPr>
          <w:rFonts w:ascii="Times New Roman" w:hAnsi="Times New Roman"/>
          <w:noProof/>
          <w:color w:val="auto"/>
          <w:sz w:val="24"/>
          <w:szCs w:val="24"/>
        </w:rPr>
        <w:t>,</w:t>
      </w:r>
      <w:r w:rsidRPr="008B3E47">
        <w:rPr>
          <w:rFonts w:ascii="Times New Roman" w:hAnsi="Times New Roman"/>
          <w:noProof/>
          <w:color w:val="auto"/>
          <w:sz w:val="24"/>
          <w:szCs w:val="24"/>
        </w:rPr>
        <w:t xml:space="preserve"> </w:t>
      </w:r>
      <w:r w:rsidR="00687F77" w:rsidRPr="008B3E47">
        <w:rPr>
          <w:rFonts w:ascii="Times New Roman" w:hAnsi="Times New Roman"/>
          <w:noProof/>
          <w:color w:val="auto"/>
          <w:sz w:val="24"/>
          <w:szCs w:val="24"/>
        </w:rPr>
        <w:t xml:space="preserve">support the implementation of the TEN-T. Furthermore, substantial investments on the TEN-T are made </w:t>
      </w:r>
      <w:r w:rsidR="00A43500">
        <w:rPr>
          <w:rFonts w:ascii="Times New Roman" w:hAnsi="Times New Roman"/>
          <w:noProof/>
          <w:color w:val="auto"/>
          <w:sz w:val="24"/>
          <w:szCs w:val="24"/>
        </w:rPr>
        <w:t xml:space="preserve">at EU level </w:t>
      </w:r>
      <w:r w:rsidR="00687F77" w:rsidRPr="008B3E47">
        <w:rPr>
          <w:rFonts w:ascii="Times New Roman" w:hAnsi="Times New Roman"/>
          <w:noProof/>
          <w:color w:val="auto"/>
          <w:sz w:val="24"/>
          <w:szCs w:val="24"/>
        </w:rPr>
        <w:t xml:space="preserve">through </w:t>
      </w:r>
      <w:r w:rsidR="00A43500">
        <w:rPr>
          <w:rFonts w:ascii="Times New Roman" w:hAnsi="Times New Roman"/>
          <w:noProof/>
          <w:color w:val="auto"/>
          <w:sz w:val="24"/>
          <w:szCs w:val="24"/>
        </w:rPr>
        <w:t>co-funding</w:t>
      </w:r>
      <w:r w:rsidR="00687F77" w:rsidRPr="008B3E47">
        <w:rPr>
          <w:rFonts w:ascii="Times New Roman" w:hAnsi="Times New Roman"/>
          <w:noProof/>
          <w:color w:val="auto"/>
          <w:sz w:val="24"/>
          <w:szCs w:val="24"/>
        </w:rPr>
        <w:t xml:space="preserve"> from the European </w:t>
      </w:r>
      <w:r w:rsidR="00A43500">
        <w:rPr>
          <w:rFonts w:ascii="Times New Roman" w:hAnsi="Times New Roman"/>
          <w:noProof/>
          <w:color w:val="auto"/>
          <w:sz w:val="24"/>
          <w:szCs w:val="24"/>
        </w:rPr>
        <w:t>Structural and Investment Funds (ESIF</w:t>
      </w:r>
      <w:r w:rsidR="00687F77" w:rsidRPr="008B3E47">
        <w:rPr>
          <w:rFonts w:ascii="Times New Roman" w:hAnsi="Times New Roman"/>
          <w:noProof/>
          <w:color w:val="auto"/>
          <w:sz w:val="24"/>
          <w:szCs w:val="24"/>
        </w:rPr>
        <w:t>)</w:t>
      </w:r>
      <w:r w:rsidR="0010525C" w:rsidRPr="008B3E47">
        <w:rPr>
          <w:rFonts w:ascii="Times New Roman" w:hAnsi="Times New Roman"/>
          <w:noProof/>
          <w:color w:val="auto"/>
          <w:sz w:val="24"/>
          <w:szCs w:val="24"/>
        </w:rPr>
        <w:t xml:space="preserve"> as well as through the various financial instruments </w:t>
      </w:r>
      <w:r w:rsidR="00A43500">
        <w:rPr>
          <w:rFonts w:ascii="Times New Roman" w:hAnsi="Times New Roman"/>
          <w:noProof/>
          <w:color w:val="auto"/>
          <w:sz w:val="24"/>
          <w:szCs w:val="24"/>
        </w:rPr>
        <w:t>of</w:t>
      </w:r>
      <w:r w:rsidR="0010525C" w:rsidRPr="008B3E47">
        <w:rPr>
          <w:rFonts w:ascii="Times New Roman" w:hAnsi="Times New Roman"/>
          <w:noProof/>
          <w:color w:val="auto"/>
          <w:sz w:val="24"/>
          <w:szCs w:val="24"/>
        </w:rPr>
        <w:t xml:space="preserve"> the European Investment Bank (EIB). </w:t>
      </w:r>
      <w:r w:rsidR="00A43500">
        <w:rPr>
          <w:rFonts w:ascii="Times New Roman" w:hAnsi="Times New Roman"/>
          <w:noProof/>
          <w:color w:val="auto"/>
          <w:sz w:val="24"/>
          <w:szCs w:val="24"/>
        </w:rPr>
        <w:t>However, the majority of investments is borne by Member States</w:t>
      </w:r>
      <w:r w:rsidR="0010525C" w:rsidRPr="008B3E47">
        <w:rPr>
          <w:rFonts w:ascii="Times New Roman" w:hAnsi="Times New Roman"/>
          <w:noProof/>
          <w:color w:val="auto"/>
          <w:sz w:val="24"/>
          <w:szCs w:val="24"/>
        </w:rPr>
        <w:t xml:space="preserve">. </w:t>
      </w:r>
    </w:p>
    <w:p w14:paraId="08D06865" w14:textId="77777777" w:rsidR="00687F77" w:rsidRPr="0048463C" w:rsidRDefault="00687F77" w:rsidP="006527FE">
      <w:pPr>
        <w:pStyle w:val="Corps"/>
        <w:widowControl w:val="0"/>
        <w:spacing w:after="240" w:line="240" w:lineRule="auto"/>
        <w:jc w:val="both"/>
        <w:rPr>
          <w:rFonts w:ascii="Times New Roman" w:hAnsi="Times New Roman"/>
          <w:noProof/>
          <w:color w:val="auto"/>
          <w:sz w:val="24"/>
          <w:szCs w:val="24"/>
        </w:rPr>
      </w:pPr>
      <w:r w:rsidRPr="0048463C">
        <w:rPr>
          <w:rFonts w:ascii="Times New Roman" w:hAnsi="Times New Roman"/>
          <w:noProof/>
          <w:color w:val="auto"/>
          <w:sz w:val="24"/>
          <w:szCs w:val="24"/>
        </w:rPr>
        <w:t>In order to report to European citizens and policy-makers on the effectiveness of the TEN-T policy, intermediate results need to be measured and reported. To this end, Article 49</w:t>
      </w:r>
      <w:r w:rsidR="00DD39BF" w:rsidRPr="0048463C">
        <w:rPr>
          <w:rFonts w:ascii="Times New Roman" w:hAnsi="Times New Roman"/>
          <w:noProof/>
          <w:color w:val="auto"/>
          <w:sz w:val="24"/>
          <w:szCs w:val="24"/>
        </w:rPr>
        <w:t>(</w:t>
      </w:r>
      <w:r w:rsidRPr="0048463C">
        <w:rPr>
          <w:rFonts w:ascii="Times New Roman" w:hAnsi="Times New Roman"/>
          <w:noProof/>
          <w:color w:val="auto"/>
          <w:sz w:val="24"/>
          <w:szCs w:val="24"/>
        </w:rPr>
        <w:t>3</w:t>
      </w:r>
      <w:r w:rsidR="00DD39BF" w:rsidRPr="0048463C">
        <w:rPr>
          <w:rFonts w:ascii="Times New Roman" w:hAnsi="Times New Roman"/>
          <w:noProof/>
          <w:color w:val="auto"/>
          <w:sz w:val="24"/>
          <w:szCs w:val="24"/>
        </w:rPr>
        <w:t>)</w:t>
      </w:r>
      <w:r w:rsidRPr="0048463C">
        <w:rPr>
          <w:rFonts w:ascii="Times New Roman" w:hAnsi="Times New Roman"/>
          <w:noProof/>
          <w:color w:val="auto"/>
          <w:sz w:val="24"/>
          <w:szCs w:val="24"/>
        </w:rPr>
        <w:t xml:space="preserve"> of the TEN-T Regulation requires the Commission to publish every two years a progress report on the implementation of the trans-European transport network and present it to the European Parliament, the Council, the European Economic and Social Committee and the Committee of the Regions. The present progress report is </w:t>
      </w:r>
      <w:r w:rsidR="0048463C" w:rsidRPr="0048463C">
        <w:rPr>
          <w:rFonts w:ascii="Times New Roman" w:hAnsi="Times New Roman"/>
          <w:noProof/>
          <w:color w:val="auto"/>
          <w:sz w:val="24"/>
          <w:szCs w:val="24"/>
        </w:rPr>
        <w:t xml:space="preserve">the third of </w:t>
      </w:r>
      <w:r w:rsidRPr="0048463C">
        <w:rPr>
          <w:rFonts w:ascii="Times New Roman" w:hAnsi="Times New Roman"/>
          <w:noProof/>
          <w:color w:val="auto"/>
          <w:sz w:val="24"/>
          <w:szCs w:val="24"/>
        </w:rPr>
        <w:t xml:space="preserve">such </w:t>
      </w:r>
      <w:r w:rsidR="006527FE" w:rsidRPr="0048463C">
        <w:rPr>
          <w:rFonts w:ascii="Times New Roman" w:hAnsi="Times New Roman"/>
          <w:noProof/>
          <w:color w:val="auto"/>
          <w:sz w:val="24"/>
          <w:szCs w:val="24"/>
        </w:rPr>
        <w:t>bi</w:t>
      </w:r>
      <w:r w:rsidR="006527FE">
        <w:rPr>
          <w:rFonts w:ascii="Times New Roman" w:hAnsi="Times New Roman"/>
          <w:noProof/>
          <w:color w:val="auto"/>
          <w:sz w:val="24"/>
          <w:szCs w:val="24"/>
        </w:rPr>
        <w:t>e</w:t>
      </w:r>
      <w:r w:rsidR="006527FE" w:rsidRPr="0048463C">
        <w:rPr>
          <w:rFonts w:ascii="Times New Roman" w:hAnsi="Times New Roman"/>
          <w:noProof/>
          <w:color w:val="auto"/>
          <w:sz w:val="24"/>
          <w:szCs w:val="24"/>
        </w:rPr>
        <w:t>nnial</w:t>
      </w:r>
      <w:r w:rsidRPr="0048463C">
        <w:rPr>
          <w:rFonts w:ascii="Times New Roman" w:hAnsi="Times New Roman"/>
          <w:noProof/>
          <w:color w:val="auto"/>
          <w:sz w:val="24"/>
          <w:szCs w:val="24"/>
        </w:rPr>
        <w:t xml:space="preserve"> report</w:t>
      </w:r>
      <w:r w:rsidR="0048463C" w:rsidRPr="0048463C">
        <w:rPr>
          <w:rFonts w:ascii="Times New Roman" w:hAnsi="Times New Roman"/>
          <w:noProof/>
          <w:color w:val="auto"/>
          <w:sz w:val="24"/>
          <w:szCs w:val="24"/>
        </w:rPr>
        <w:t>s</w:t>
      </w:r>
      <w:r w:rsidRPr="0048463C">
        <w:rPr>
          <w:rFonts w:ascii="Times New Roman" w:hAnsi="Times New Roman"/>
          <w:noProof/>
          <w:color w:val="auto"/>
          <w:sz w:val="24"/>
          <w:szCs w:val="24"/>
        </w:rPr>
        <w:t xml:space="preserve">. </w:t>
      </w:r>
    </w:p>
    <w:p w14:paraId="08D06866" w14:textId="77777777" w:rsidR="009507BA" w:rsidRDefault="00687F77" w:rsidP="00687F77">
      <w:pPr>
        <w:pStyle w:val="Corps"/>
        <w:spacing w:after="240" w:line="240" w:lineRule="auto"/>
        <w:jc w:val="both"/>
        <w:rPr>
          <w:rFonts w:ascii="Times New Roman" w:hAnsi="Times New Roman"/>
          <w:noProof/>
          <w:color w:val="auto"/>
          <w:sz w:val="24"/>
          <w:szCs w:val="24"/>
        </w:rPr>
      </w:pPr>
      <w:r w:rsidRPr="0048463C">
        <w:rPr>
          <w:rFonts w:ascii="Times New Roman" w:hAnsi="Times New Roman"/>
          <w:noProof/>
          <w:color w:val="auto"/>
          <w:sz w:val="24"/>
          <w:szCs w:val="24"/>
        </w:rPr>
        <w:t xml:space="preserve">This </w:t>
      </w:r>
      <w:r w:rsidR="0048463C" w:rsidRPr="0048463C">
        <w:rPr>
          <w:rFonts w:ascii="Times New Roman" w:hAnsi="Times New Roman"/>
          <w:noProof/>
          <w:color w:val="auto"/>
          <w:sz w:val="24"/>
          <w:szCs w:val="24"/>
        </w:rPr>
        <w:t xml:space="preserve">third progress report </w:t>
      </w:r>
      <w:r w:rsidR="001A2D63">
        <w:rPr>
          <w:rFonts w:ascii="Times New Roman" w:hAnsi="Times New Roman"/>
          <w:noProof/>
          <w:color w:val="auto"/>
          <w:sz w:val="24"/>
          <w:szCs w:val="24"/>
        </w:rPr>
        <w:t>presents technical and financial data which reflect</w:t>
      </w:r>
      <w:r w:rsidR="009507BA">
        <w:rPr>
          <w:rFonts w:ascii="Times New Roman" w:hAnsi="Times New Roman"/>
          <w:noProof/>
          <w:color w:val="auto"/>
          <w:sz w:val="24"/>
          <w:szCs w:val="24"/>
        </w:rPr>
        <w:t>s</w:t>
      </w:r>
      <w:r w:rsidR="001A2D63">
        <w:rPr>
          <w:rFonts w:ascii="Times New Roman" w:hAnsi="Times New Roman"/>
          <w:noProof/>
          <w:color w:val="auto"/>
          <w:sz w:val="24"/>
          <w:szCs w:val="24"/>
        </w:rPr>
        <w:t xml:space="preserve"> </w:t>
      </w:r>
      <w:r w:rsidR="0048463C" w:rsidRPr="0048463C">
        <w:rPr>
          <w:rFonts w:ascii="Times New Roman" w:hAnsi="Times New Roman"/>
          <w:noProof/>
          <w:color w:val="auto"/>
          <w:sz w:val="24"/>
          <w:szCs w:val="24"/>
        </w:rPr>
        <w:t xml:space="preserve">the status of the </w:t>
      </w:r>
      <w:r w:rsidR="001A2D63">
        <w:rPr>
          <w:rFonts w:ascii="Times New Roman" w:hAnsi="Times New Roman"/>
          <w:noProof/>
          <w:color w:val="auto"/>
          <w:sz w:val="24"/>
          <w:szCs w:val="24"/>
        </w:rPr>
        <w:t xml:space="preserve">TEN-T </w:t>
      </w:r>
      <w:r w:rsidR="0048463C" w:rsidRPr="0048463C">
        <w:rPr>
          <w:rFonts w:ascii="Times New Roman" w:hAnsi="Times New Roman"/>
          <w:noProof/>
          <w:color w:val="auto"/>
          <w:sz w:val="24"/>
          <w:szCs w:val="24"/>
        </w:rPr>
        <w:t xml:space="preserve">network in </w:t>
      </w:r>
      <w:r w:rsidRPr="0048463C">
        <w:rPr>
          <w:rFonts w:ascii="Times New Roman" w:hAnsi="Times New Roman"/>
          <w:noProof/>
          <w:color w:val="auto"/>
          <w:sz w:val="24"/>
          <w:szCs w:val="24"/>
        </w:rPr>
        <w:t>201</w:t>
      </w:r>
      <w:r w:rsidR="0048463C" w:rsidRPr="0048463C">
        <w:rPr>
          <w:rFonts w:ascii="Times New Roman" w:hAnsi="Times New Roman"/>
          <w:noProof/>
          <w:color w:val="auto"/>
          <w:sz w:val="24"/>
          <w:szCs w:val="24"/>
        </w:rPr>
        <w:t>8</w:t>
      </w:r>
      <w:r w:rsidRPr="0048463C">
        <w:rPr>
          <w:rFonts w:ascii="Times New Roman" w:hAnsi="Times New Roman"/>
          <w:noProof/>
          <w:color w:val="auto"/>
          <w:sz w:val="24"/>
          <w:szCs w:val="24"/>
        </w:rPr>
        <w:t xml:space="preserve"> and 201</w:t>
      </w:r>
      <w:r w:rsidR="0048463C" w:rsidRPr="0048463C">
        <w:rPr>
          <w:rFonts w:ascii="Times New Roman" w:hAnsi="Times New Roman"/>
          <w:noProof/>
          <w:color w:val="auto"/>
          <w:sz w:val="24"/>
          <w:szCs w:val="24"/>
        </w:rPr>
        <w:t>9</w:t>
      </w:r>
      <w:r w:rsidRPr="0048463C">
        <w:rPr>
          <w:rFonts w:ascii="Times New Roman" w:hAnsi="Times New Roman"/>
          <w:noProof/>
          <w:color w:val="auto"/>
          <w:sz w:val="24"/>
          <w:szCs w:val="24"/>
        </w:rPr>
        <w:t>.</w:t>
      </w:r>
      <w:r w:rsidR="001A2D63">
        <w:rPr>
          <w:rFonts w:ascii="Times New Roman" w:hAnsi="Times New Roman"/>
          <w:noProof/>
          <w:color w:val="auto"/>
          <w:sz w:val="24"/>
          <w:szCs w:val="24"/>
        </w:rPr>
        <w:t xml:space="preserve"> It thus gives an important insight in the progress made with regard to the TEN-T implementation, in particular at a crucial time when the TEN-T Regulation is under revision</w:t>
      </w:r>
      <w:r w:rsidR="000E208B">
        <w:rPr>
          <w:rStyle w:val="FootnoteReference"/>
          <w:rFonts w:ascii="Times New Roman" w:hAnsi="Times New Roman"/>
          <w:noProof/>
          <w:color w:val="auto"/>
          <w:sz w:val="24"/>
          <w:szCs w:val="24"/>
        </w:rPr>
        <w:footnoteReference w:id="7"/>
      </w:r>
      <w:r w:rsidR="001A2D63">
        <w:rPr>
          <w:rFonts w:ascii="Times New Roman" w:hAnsi="Times New Roman"/>
          <w:noProof/>
          <w:color w:val="auto"/>
          <w:sz w:val="24"/>
          <w:szCs w:val="24"/>
        </w:rPr>
        <w:t xml:space="preserve">. It is indeed </w:t>
      </w:r>
      <w:r w:rsidR="001B2C89">
        <w:rPr>
          <w:rFonts w:ascii="Times New Roman" w:hAnsi="Times New Roman"/>
          <w:noProof/>
          <w:color w:val="auto"/>
          <w:sz w:val="24"/>
          <w:szCs w:val="24"/>
        </w:rPr>
        <w:t>important</w:t>
      </w:r>
      <w:r w:rsidR="001A2D63">
        <w:rPr>
          <w:rFonts w:ascii="Times New Roman" w:hAnsi="Times New Roman"/>
          <w:noProof/>
          <w:color w:val="auto"/>
          <w:sz w:val="24"/>
          <w:szCs w:val="24"/>
        </w:rPr>
        <w:t xml:space="preserve"> to know how much progress has already </w:t>
      </w:r>
      <w:r w:rsidR="009507BA">
        <w:rPr>
          <w:rFonts w:ascii="Times New Roman" w:hAnsi="Times New Roman"/>
          <w:noProof/>
          <w:color w:val="auto"/>
          <w:sz w:val="24"/>
          <w:szCs w:val="24"/>
        </w:rPr>
        <w:t xml:space="preserve">been </w:t>
      </w:r>
      <w:r w:rsidR="001A2D63">
        <w:rPr>
          <w:rFonts w:ascii="Times New Roman" w:hAnsi="Times New Roman"/>
          <w:noProof/>
          <w:color w:val="auto"/>
          <w:sz w:val="24"/>
          <w:szCs w:val="24"/>
        </w:rPr>
        <w:t xml:space="preserve">made with regard to the technical compliance of the network when setting the objectives and targets and also new and more ambitious requirements for the future TEN-T Regulation. </w:t>
      </w:r>
      <w:r w:rsidR="001B2C89">
        <w:rPr>
          <w:rFonts w:ascii="Times New Roman" w:hAnsi="Times New Roman"/>
          <w:noProof/>
          <w:color w:val="auto"/>
          <w:sz w:val="24"/>
          <w:szCs w:val="24"/>
        </w:rPr>
        <w:t>This progress report thus accompanies the legislative proposal of the Commission for the revised TEN-T Regulation.</w:t>
      </w:r>
    </w:p>
    <w:p w14:paraId="08D06867" w14:textId="77777777" w:rsidR="001A2D63" w:rsidRDefault="001A2D63" w:rsidP="00687F77">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 xml:space="preserve">The significant progress made on the TEN-T </w:t>
      </w:r>
      <w:r w:rsidR="009507BA">
        <w:rPr>
          <w:rFonts w:ascii="Times New Roman" w:hAnsi="Times New Roman"/>
          <w:noProof/>
          <w:color w:val="auto"/>
          <w:sz w:val="24"/>
          <w:szCs w:val="24"/>
        </w:rPr>
        <w:t xml:space="preserve">over the past years since the entry into force of the current Regulation in 2013, </w:t>
      </w:r>
      <w:r>
        <w:rPr>
          <w:rFonts w:ascii="Times New Roman" w:hAnsi="Times New Roman"/>
          <w:noProof/>
          <w:color w:val="auto"/>
          <w:sz w:val="24"/>
          <w:szCs w:val="24"/>
        </w:rPr>
        <w:t xml:space="preserve">as demonstrated in this present </w:t>
      </w:r>
      <w:r w:rsidR="009507BA">
        <w:rPr>
          <w:rFonts w:ascii="Times New Roman" w:hAnsi="Times New Roman"/>
          <w:noProof/>
          <w:color w:val="auto"/>
          <w:sz w:val="24"/>
          <w:szCs w:val="24"/>
        </w:rPr>
        <w:t>report,</w:t>
      </w:r>
      <w:r>
        <w:rPr>
          <w:rFonts w:ascii="Times New Roman" w:hAnsi="Times New Roman"/>
          <w:noProof/>
          <w:color w:val="auto"/>
          <w:sz w:val="24"/>
          <w:szCs w:val="24"/>
        </w:rPr>
        <w:t xml:space="preserve"> gives in this regard a positive outlook and reaffirms the central role that TEN-T plays and will still have to play in view of the realisation of </w:t>
      </w:r>
      <w:r w:rsidR="000E208B">
        <w:rPr>
          <w:rFonts w:ascii="Times New Roman" w:hAnsi="Times New Roman"/>
          <w:noProof/>
          <w:color w:val="auto"/>
          <w:sz w:val="24"/>
          <w:szCs w:val="24"/>
        </w:rPr>
        <w:t xml:space="preserve">an efficient multimodal network that will benefit the EU economy and internal market and that will contribute to </w:t>
      </w:r>
      <w:r>
        <w:rPr>
          <w:rFonts w:ascii="Times New Roman" w:hAnsi="Times New Roman"/>
          <w:noProof/>
          <w:color w:val="auto"/>
          <w:sz w:val="24"/>
          <w:szCs w:val="24"/>
        </w:rPr>
        <w:t xml:space="preserve">the European Green Deal objectives. </w:t>
      </w:r>
    </w:p>
    <w:p w14:paraId="08D06868" w14:textId="77777777" w:rsidR="003E327A" w:rsidRPr="00695FEE" w:rsidRDefault="001A04D0" w:rsidP="00B35B8D">
      <w:pPr>
        <w:pStyle w:val="ManualHeading2"/>
        <w:numPr>
          <w:ilvl w:val="1"/>
          <w:numId w:val="2"/>
        </w:numPr>
        <w:rPr>
          <w:noProof/>
          <w:color w:val="000000" w:themeColor="text1"/>
        </w:rPr>
      </w:pPr>
      <w:r w:rsidRPr="00695FEE">
        <w:rPr>
          <w:noProof/>
          <w:color w:val="000000" w:themeColor="text1"/>
          <w:lang w:val="en-GB"/>
        </w:rPr>
        <w:t>Main results</w:t>
      </w:r>
    </w:p>
    <w:p w14:paraId="08D06869" w14:textId="77777777" w:rsidR="004226A9" w:rsidRDefault="004226A9" w:rsidP="004226A9">
      <w:pPr>
        <w:pStyle w:val="Corps"/>
        <w:spacing w:after="240" w:line="240" w:lineRule="auto"/>
        <w:jc w:val="both"/>
        <w:rPr>
          <w:rFonts w:ascii="Times New Roman" w:eastAsia="Times New Roman" w:hAnsi="Times New Roman" w:cs="Times New Roman"/>
          <w:noProof/>
          <w:color w:val="auto"/>
          <w:sz w:val="24"/>
          <w:szCs w:val="24"/>
        </w:rPr>
      </w:pPr>
      <w:r w:rsidRPr="00F653B4">
        <w:rPr>
          <w:rFonts w:ascii="Times New Roman" w:hAnsi="Times New Roman"/>
          <w:noProof/>
          <w:color w:val="auto"/>
          <w:sz w:val="24"/>
          <w:szCs w:val="24"/>
        </w:rPr>
        <w:t>Based on the TENtec Information System</w:t>
      </w:r>
      <w:r w:rsidR="00AF3755">
        <w:rPr>
          <w:rStyle w:val="FootnoteReference"/>
          <w:rFonts w:ascii="Times New Roman" w:hAnsi="Times New Roman"/>
          <w:noProof/>
          <w:color w:val="auto"/>
          <w:sz w:val="24"/>
          <w:szCs w:val="24"/>
        </w:rPr>
        <w:footnoteReference w:id="8"/>
      </w:r>
      <w:r w:rsidRPr="00F653B4">
        <w:rPr>
          <w:rFonts w:ascii="Times New Roman" w:hAnsi="Times New Roman"/>
          <w:noProof/>
          <w:color w:val="auto"/>
          <w:sz w:val="24"/>
          <w:szCs w:val="24"/>
        </w:rPr>
        <w:t xml:space="preserve">, the state of implementation of the </w:t>
      </w:r>
      <w:r>
        <w:rPr>
          <w:rFonts w:ascii="Times New Roman" w:hAnsi="Times New Roman"/>
          <w:noProof/>
          <w:color w:val="auto"/>
          <w:sz w:val="24"/>
          <w:szCs w:val="24"/>
        </w:rPr>
        <w:t>TEN-T infrastructure at the level of the core network corridors (CNC)</w:t>
      </w:r>
      <w:r w:rsidRPr="00F653B4">
        <w:rPr>
          <w:rFonts w:ascii="Times New Roman" w:hAnsi="Times New Roman"/>
          <w:noProof/>
          <w:color w:val="auto"/>
          <w:sz w:val="24"/>
          <w:szCs w:val="24"/>
        </w:rPr>
        <w:t xml:space="preserve"> </w:t>
      </w:r>
      <w:r w:rsidR="0067434C">
        <w:rPr>
          <w:rFonts w:ascii="Times New Roman" w:hAnsi="Times New Roman"/>
          <w:noProof/>
          <w:color w:val="auto"/>
          <w:sz w:val="24"/>
          <w:szCs w:val="24"/>
        </w:rPr>
        <w:t xml:space="preserve">in 2019 </w:t>
      </w:r>
      <w:r w:rsidR="009507BA" w:rsidRPr="00F653B4">
        <w:rPr>
          <w:rFonts w:ascii="Times New Roman" w:hAnsi="Times New Roman"/>
          <w:noProof/>
          <w:color w:val="auto"/>
          <w:sz w:val="24"/>
          <w:szCs w:val="24"/>
        </w:rPr>
        <w:t xml:space="preserve">reaches between </w:t>
      </w:r>
      <w:r w:rsidR="009507BA">
        <w:rPr>
          <w:rFonts w:ascii="Times New Roman" w:hAnsi="Times New Roman"/>
          <w:noProof/>
          <w:color w:val="auto"/>
          <w:sz w:val="24"/>
          <w:szCs w:val="24"/>
        </w:rPr>
        <w:t>70</w:t>
      </w:r>
      <w:r w:rsidR="009507BA" w:rsidRPr="00F653B4">
        <w:rPr>
          <w:rFonts w:ascii="Times New Roman" w:hAnsi="Times New Roman"/>
          <w:noProof/>
          <w:color w:val="auto"/>
          <w:sz w:val="24"/>
          <w:szCs w:val="24"/>
        </w:rPr>
        <w:t xml:space="preserve">% and </w:t>
      </w:r>
      <w:r w:rsidR="009507BA">
        <w:rPr>
          <w:rFonts w:ascii="Times New Roman" w:hAnsi="Times New Roman"/>
          <w:noProof/>
          <w:color w:val="auto"/>
          <w:sz w:val="24"/>
          <w:szCs w:val="24"/>
        </w:rPr>
        <w:t>99</w:t>
      </w:r>
      <w:r w:rsidR="009507BA" w:rsidRPr="00F653B4">
        <w:rPr>
          <w:rFonts w:ascii="Times New Roman" w:hAnsi="Times New Roman"/>
          <w:noProof/>
          <w:color w:val="auto"/>
          <w:sz w:val="24"/>
          <w:szCs w:val="24"/>
        </w:rPr>
        <w:t xml:space="preserve">% </w:t>
      </w:r>
      <w:r w:rsidR="009507BA">
        <w:rPr>
          <w:rFonts w:ascii="Times New Roman" w:hAnsi="Times New Roman"/>
          <w:noProof/>
          <w:color w:val="auto"/>
          <w:sz w:val="24"/>
          <w:szCs w:val="24"/>
        </w:rPr>
        <w:t xml:space="preserve">of compliance </w:t>
      </w:r>
      <w:r w:rsidR="006527FE">
        <w:rPr>
          <w:rFonts w:ascii="Times New Roman" w:hAnsi="Times New Roman"/>
          <w:noProof/>
          <w:color w:val="auto"/>
          <w:sz w:val="24"/>
          <w:szCs w:val="24"/>
        </w:rPr>
        <w:t>of</w:t>
      </w:r>
      <w:r w:rsidR="009507BA">
        <w:rPr>
          <w:rFonts w:ascii="Times New Roman" w:hAnsi="Times New Roman"/>
          <w:noProof/>
          <w:color w:val="auto"/>
          <w:sz w:val="24"/>
          <w:szCs w:val="24"/>
        </w:rPr>
        <w:t xml:space="preserve"> </w:t>
      </w:r>
      <w:r w:rsidR="009507BA" w:rsidRPr="00F653B4">
        <w:rPr>
          <w:rFonts w:ascii="Times New Roman" w:hAnsi="Times New Roman"/>
          <w:noProof/>
          <w:color w:val="auto"/>
          <w:sz w:val="24"/>
          <w:szCs w:val="24"/>
        </w:rPr>
        <w:t>most (1</w:t>
      </w:r>
      <w:r w:rsidR="009507BA">
        <w:rPr>
          <w:rFonts w:ascii="Times New Roman" w:hAnsi="Times New Roman"/>
          <w:noProof/>
          <w:color w:val="auto"/>
          <w:sz w:val="24"/>
          <w:szCs w:val="24"/>
        </w:rPr>
        <w:t>1</w:t>
      </w:r>
      <w:r w:rsidR="009507BA" w:rsidRPr="00F653B4">
        <w:rPr>
          <w:rFonts w:ascii="Times New Roman" w:hAnsi="Times New Roman"/>
          <w:noProof/>
          <w:color w:val="auto"/>
          <w:sz w:val="24"/>
          <w:szCs w:val="24"/>
        </w:rPr>
        <w:t xml:space="preserve"> out of 1</w:t>
      </w:r>
      <w:r w:rsidR="009507BA">
        <w:rPr>
          <w:rFonts w:ascii="Times New Roman" w:hAnsi="Times New Roman"/>
          <w:noProof/>
          <w:color w:val="auto"/>
          <w:sz w:val="24"/>
          <w:szCs w:val="24"/>
        </w:rPr>
        <w:t>4</w:t>
      </w:r>
      <w:r w:rsidR="009507BA" w:rsidRPr="00F653B4">
        <w:rPr>
          <w:rFonts w:ascii="Times New Roman" w:hAnsi="Times New Roman"/>
          <w:noProof/>
          <w:color w:val="auto"/>
          <w:sz w:val="24"/>
          <w:szCs w:val="24"/>
        </w:rPr>
        <w:t xml:space="preserve">) of the </w:t>
      </w:r>
      <w:r w:rsidR="009507BA">
        <w:rPr>
          <w:rFonts w:ascii="Times New Roman" w:hAnsi="Times New Roman"/>
          <w:noProof/>
          <w:color w:val="auto"/>
          <w:sz w:val="24"/>
          <w:szCs w:val="24"/>
        </w:rPr>
        <w:t xml:space="preserve">available indicators for the </w:t>
      </w:r>
      <w:r w:rsidRPr="00F653B4">
        <w:rPr>
          <w:rFonts w:ascii="Times New Roman" w:hAnsi="Times New Roman"/>
          <w:noProof/>
          <w:color w:val="auto"/>
          <w:sz w:val="24"/>
          <w:szCs w:val="24"/>
        </w:rPr>
        <w:t>requirements of the TEN-T Regulation.</w:t>
      </w:r>
      <w:r w:rsidRPr="00F653B4">
        <w:rPr>
          <w:rFonts w:ascii="Times New Roman" w:eastAsia="Times New Roman" w:hAnsi="Times New Roman" w:cs="Times New Roman"/>
          <w:noProof/>
          <w:color w:val="auto"/>
          <w:sz w:val="24"/>
          <w:szCs w:val="24"/>
        </w:rPr>
        <w:t xml:space="preserve"> </w:t>
      </w:r>
      <w:r w:rsidR="00C345B5">
        <w:rPr>
          <w:rFonts w:ascii="Times New Roman" w:eastAsia="Times New Roman" w:hAnsi="Times New Roman" w:cs="Times New Roman"/>
          <w:noProof/>
          <w:color w:val="auto"/>
          <w:sz w:val="24"/>
          <w:szCs w:val="24"/>
        </w:rPr>
        <w:t xml:space="preserve">The remaining three requirements are compliant at rates between 16% and 53%. </w:t>
      </w:r>
    </w:p>
    <w:p w14:paraId="08D0686A" w14:textId="77777777" w:rsidR="00F94B8E" w:rsidRDefault="00D026C7" w:rsidP="003E327A">
      <w:pPr>
        <w:pStyle w:val="Corps"/>
        <w:spacing w:after="240" w:line="240" w:lineRule="auto"/>
        <w:jc w:val="both"/>
        <w:rPr>
          <w:rFonts w:ascii="Times New Roman" w:eastAsia="Times New Roman" w:hAnsi="Times New Roman" w:cs="Times New Roman"/>
          <w:noProof/>
          <w:color w:val="auto"/>
          <w:sz w:val="24"/>
          <w:szCs w:val="24"/>
        </w:rPr>
      </w:pPr>
      <w:r>
        <w:rPr>
          <w:rFonts w:ascii="Times New Roman" w:eastAsia="Times New Roman" w:hAnsi="Times New Roman" w:cs="Times New Roman"/>
          <w:noProof/>
          <w:color w:val="auto"/>
          <w:sz w:val="24"/>
          <w:szCs w:val="24"/>
        </w:rPr>
        <w:t xml:space="preserve">As for the previous report, it has however to be underlined upfront that high compliance rates of the infrastructure network with the TEN-T standards do not necessarily reflect the reality in terms of quality or operational functionality of the transport network. </w:t>
      </w:r>
      <w:r w:rsidR="00F94B8E" w:rsidRPr="00D026C7">
        <w:rPr>
          <w:rFonts w:ascii="Times New Roman" w:eastAsia="Times New Roman" w:hAnsi="Times New Roman" w:cs="Times New Roman"/>
          <w:noProof/>
          <w:color w:val="auto"/>
          <w:sz w:val="24"/>
          <w:szCs w:val="24"/>
        </w:rPr>
        <w:t xml:space="preserve">Indeed, this analysis needs to </w:t>
      </w:r>
      <w:r w:rsidR="005F53FE" w:rsidRPr="00D026C7">
        <w:rPr>
          <w:rFonts w:ascii="Times New Roman" w:eastAsia="Times New Roman" w:hAnsi="Times New Roman" w:cs="Times New Roman"/>
          <w:noProof/>
          <w:color w:val="auto"/>
          <w:sz w:val="24"/>
          <w:szCs w:val="24"/>
        </w:rPr>
        <w:t xml:space="preserve">be </w:t>
      </w:r>
      <w:r w:rsidR="0089527F" w:rsidRPr="00D026C7">
        <w:rPr>
          <w:rFonts w:ascii="Times New Roman" w:eastAsia="Times New Roman" w:hAnsi="Times New Roman" w:cs="Times New Roman"/>
          <w:noProof/>
          <w:color w:val="auto"/>
          <w:sz w:val="24"/>
          <w:szCs w:val="24"/>
        </w:rPr>
        <w:t>put</w:t>
      </w:r>
      <w:r w:rsidR="00F94B8E" w:rsidRPr="00D026C7">
        <w:rPr>
          <w:rFonts w:ascii="Times New Roman" w:eastAsia="Times New Roman" w:hAnsi="Times New Roman" w:cs="Times New Roman"/>
          <w:noProof/>
          <w:color w:val="auto"/>
          <w:sz w:val="24"/>
          <w:szCs w:val="24"/>
        </w:rPr>
        <w:t xml:space="preserve"> in the context of partly limited technical TEN-T standards compared to the real needs on the ground. </w:t>
      </w:r>
      <w:r>
        <w:rPr>
          <w:rFonts w:ascii="Times New Roman" w:eastAsia="Times New Roman" w:hAnsi="Times New Roman" w:cs="Times New Roman"/>
          <w:noProof/>
          <w:color w:val="auto"/>
          <w:sz w:val="24"/>
          <w:szCs w:val="24"/>
        </w:rPr>
        <w:t xml:space="preserve">The legislative proposal for the revised TEN-T Regulation, </w:t>
      </w:r>
      <w:r w:rsidR="000E208B">
        <w:rPr>
          <w:rFonts w:ascii="Times New Roman" w:eastAsia="Times New Roman" w:hAnsi="Times New Roman" w:cs="Times New Roman"/>
          <w:noProof/>
          <w:color w:val="auto"/>
          <w:sz w:val="24"/>
          <w:szCs w:val="24"/>
        </w:rPr>
        <w:t xml:space="preserve">supported by the analysis in </w:t>
      </w:r>
      <w:r>
        <w:rPr>
          <w:rFonts w:ascii="Times New Roman" w:eastAsia="Times New Roman" w:hAnsi="Times New Roman" w:cs="Times New Roman"/>
          <w:noProof/>
          <w:color w:val="auto"/>
          <w:sz w:val="24"/>
          <w:szCs w:val="24"/>
        </w:rPr>
        <w:t xml:space="preserve">its accompanying impact assessment, therefore </w:t>
      </w:r>
      <w:r w:rsidR="000E208B">
        <w:rPr>
          <w:rFonts w:ascii="Times New Roman" w:eastAsia="Times New Roman" w:hAnsi="Times New Roman" w:cs="Times New Roman"/>
          <w:noProof/>
          <w:color w:val="auto"/>
          <w:sz w:val="24"/>
          <w:szCs w:val="24"/>
        </w:rPr>
        <w:t>seeks</w:t>
      </w:r>
      <w:r>
        <w:rPr>
          <w:rFonts w:ascii="Times New Roman" w:eastAsia="Times New Roman" w:hAnsi="Times New Roman" w:cs="Times New Roman"/>
          <w:noProof/>
          <w:color w:val="auto"/>
          <w:sz w:val="24"/>
          <w:szCs w:val="24"/>
        </w:rPr>
        <w:t xml:space="preserve"> to improve the TEN-T standards and requirements as to better capture </w:t>
      </w:r>
      <w:r w:rsidRPr="00D026C7">
        <w:rPr>
          <w:rFonts w:ascii="Times New Roman" w:eastAsia="Times New Roman" w:hAnsi="Times New Roman" w:cs="Times New Roman"/>
          <w:noProof/>
          <w:color w:val="auto"/>
          <w:sz w:val="24"/>
          <w:szCs w:val="24"/>
        </w:rPr>
        <w:t>the actual potentials and limitations of the network</w:t>
      </w:r>
      <w:r>
        <w:rPr>
          <w:rFonts w:ascii="Times New Roman" w:eastAsia="Times New Roman" w:hAnsi="Times New Roman" w:cs="Times New Roman"/>
          <w:noProof/>
          <w:color w:val="auto"/>
          <w:sz w:val="24"/>
          <w:szCs w:val="24"/>
        </w:rPr>
        <w:t xml:space="preserve"> and as to better reflect the real needs on the ground</w:t>
      </w:r>
      <w:r w:rsidR="00F94B8E" w:rsidRPr="00D026C7">
        <w:rPr>
          <w:rFonts w:ascii="Times New Roman" w:eastAsia="Times New Roman" w:hAnsi="Times New Roman" w:cs="Times New Roman"/>
          <w:noProof/>
          <w:color w:val="auto"/>
          <w:sz w:val="24"/>
          <w:szCs w:val="24"/>
        </w:rPr>
        <w:t>.</w:t>
      </w:r>
    </w:p>
    <w:p w14:paraId="08D0686B" w14:textId="77777777" w:rsidR="00D026C7" w:rsidRDefault="00D026C7" w:rsidP="00D026C7">
      <w:pPr>
        <w:pStyle w:val="Corps"/>
        <w:spacing w:after="240" w:line="240" w:lineRule="auto"/>
        <w:jc w:val="both"/>
        <w:rPr>
          <w:rFonts w:ascii="Times New Roman" w:hAnsi="Times New Roman"/>
          <w:noProof/>
          <w:color w:val="auto"/>
          <w:sz w:val="24"/>
          <w:szCs w:val="24"/>
        </w:rPr>
      </w:pPr>
      <w:r>
        <w:rPr>
          <w:rFonts w:ascii="Times New Roman" w:eastAsia="Times New Roman" w:hAnsi="Times New Roman" w:cs="Times New Roman"/>
          <w:noProof/>
          <w:color w:val="auto"/>
          <w:sz w:val="24"/>
          <w:szCs w:val="24"/>
        </w:rPr>
        <w:t xml:space="preserve">For instance, the compliance rates for the railway infrastructure network </w:t>
      </w:r>
      <w:r w:rsidR="00F15875">
        <w:rPr>
          <w:rFonts w:ascii="Times New Roman" w:eastAsia="Times New Roman" w:hAnsi="Times New Roman" w:cs="Times New Roman"/>
          <w:noProof/>
          <w:color w:val="auto"/>
          <w:sz w:val="24"/>
          <w:szCs w:val="24"/>
        </w:rPr>
        <w:t>on the CNC</w:t>
      </w:r>
      <w:r>
        <w:rPr>
          <w:rFonts w:ascii="Times New Roman" w:eastAsia="Times New Roman" w:hAnsi="Times New Roman" w:cs="Times New Roman"/>
          <w:noProof/>
          <w:color w:val="auto"/>
          <w:sz w:val="24"/>
          <w:szCs w:val="24"/>
        </w:rPr>
        <w:t xml:space="preserve"> in 2018 and 2019 look quite promising since </w:t>
      </w:r>
      <w:r w:rsidRPr="00D026C7">
        <w:rPr>
          <w:rFonts w:ascii="Times New Roman" w:eastAsia="Times New Roman" w:hAnsi="Times New Roman" w:cs="Times New Roman"/>
          <w:noProof/>
          <w:color w:val="auto"/>
          <w:sz w:val="24"/>
          <w:szCs w:val="24"/>
        </w:rPr>
        <w:t xml:space="preserve">compliance is already reached to a large extent </w:t>
      </w:r>
      <w:r w:rsidR="00315842" w:rsidRPr="00D026C7">
        <w:rPr>
          <w:rFonts w:ascii="Times New Roman" w:hAnsi="Times New Roman"/>
          <w:noProof/>
          <w:color w:val="auto"/>
          <w:sz w:val="24"/>
          <w:szCs w:val="24"/>
        </w:rPr>
        <w:t>in terms of electrification</w:t>
      </w:r>
      <w:r w:rsidR="00D87A27" w:rsidRPr="00D026C7">
        <w:rPr>
          <w:rFonts w:ascii="Times New Roman" w:hAnsi="Times New Roman"/>
          <w:noProof/>
          <w:color w:val="auto"/>
          <w:sz w:val="24"/>
          <w:szCs w:val="24"/>
        </w:rPr>
        <w:t xml:space="preserve"> (</w:t>
      </w:r>
      <w:r w:rsidRPr="00D026C7">
        <w:rPr>
          <w:rFonts w:ascii="Times New Roman" w:hAnsi="Times New Roman"/>
          <w:noProof/>
          <w:color w:val="auto"/>
          <w:sz w:val="24"/>
          <w:szCs w:val="24"/>
        </w:rPr>
        <w:t>90</w:t>
      </w:r>
      <w:r w:rsidR="00D87A27" w:rsidRPr="00D026C7">
        <w:rPr>
          <w:rFonts w:ascii="Times New Roman" w:hAnsi="Times New Roman"/>
          <w:noProof/>
          <w:color w:val="auto"/>
          <w:sz w:val="24"/>
          <w:szCs w:val="24"/>
        </w:rPr>
        <w:t>%)</w:t>
      </w:r>
      <w:r w:rsidR="00315842" w:rsidRPr="00D026C7">
        <w:rPr>
          <w:rFonts w:ascii="Times New Roman" w:hAnsi="Times New Roman"/>
          <w:noProof/>
          <w:color w:val="auto"/>
          <w:sz w:val="24"/>
          <w:szCs w:val="24"/>
        </w:rPr>
        <w:t xml:space="preserve">, track gauge </w:t>
      </w:r>
      <w:r w:rsidR="00D87A27" w:rsidRPr="00D026C7">
        <w:rPr>
          <w:rFonts w:ascii="Times New Roman" w:hAnsi="Times New Roman"/>
          <w:noProof/>
          <w:color w:val="auto"/>
          <w:sz w:val="24"/>
          <w:szCs w:val="24"/>
        </w:rPr>
        <w:t>(</w:t>
      </w:r>
      <w:r w:rsidRPr="00D026C7">
        <w:rPr>
          <w:rFonts w:ascii="Times New Roman" w:hAnsi="Times New Roman"/>
          <w:noProof/>
          <w:color w:val="auto"/>
          <w:sz w:val="24"/>
          <w:szCs w:val="24"/>
        </w:rPr>
        <w:t>84</w:t>
      </w:r>
      <w:r w:rsidR="00D87A27" w:rsidRPr="00D026C7">
        <w:rPr>
          <w:rFonts w:ascii="Times New Roman" w:hAnsi="Times New Roman"/>
          <w:noProof/>
          <w:color w:val="auto"/>
          <w:sz w:val="24"/>
          <w:szCs w:val="24"/>
        </w:rPr>
        <w:t xml:space="preserve">%), freight </w:t>
      </w:r>
      <w:r w:rsidR="00315842" w:rsidRPr="00D026C7">
        <w:rPr>
          <w:rFonts w:ascii="Times New Roman" w:hAnsi="Times New Roman"/>
          <w:noProof/>
          <w:color w:val="auto"/>
          <w:sz w:val="24"/>
          <w:szCs w:val="24"/>
        </w:rPr>
        <w:t xml:space="preserve">line speed </w:t>
      </w:r>
      <w:r w:rsidR="00D87A27" w:rsidRPr="00D026C7">
        <w:rPr>
          <w:rFonts w:ascii="Times New Roman" w:hAnsi="Times New Roman"/>
          <w:noProof/>
          <w:color w:val="auto"/>
          <w:sz w:val="24"/>
          <w:szCs w:val="24"/>
        </w:rPr>
        <w:t>(</w:t>
      </w:r>
      <w:r w:rsidRPr="00D026C7">
        <w:rPr>
          <w:rFonts w:ascii="Times New Roman" w:hAnsi="Times New Roman"/>
          <w:noProof/>
          <w:color w:val="auto"/>
          <w:sz w:val="24"/>
          <w:szCs w:val="24"/>
        </w:rPr>
        <w:t>86</w:t>
      </w:r>
      <w:r w:rsidR="00D87A27" w:rsidRPr="00D026C7">
        <w:rPr>
          <w:rFonts w:ascii="Times New Roman" w:hAnsi="Times New Roman"/>
          <w:noProof/>
          <w:color w:val="auto"/>
          <w:sz w:val="24"/>
          <w:szCs w:val="24"/>
        </w:rPr>
        <w:t>%) and freight axle load (</w:t>
      </w:r>
      <w:r w:rsidRPr="00D026C7">
        <w:rPr>
          <w:rFonts w:ascii="Times New Roman" w:hAnsi="Times New Roman"/>
          <w:noProof/>
          <w:color w:val="auto"/>
          <w:sz w:val="24"/>
          <w:szCs w:val="24"/>
        </w:rPr>
        <w:t>90</w:t>
      </w:r>
      <w:r w:rsidR="00D87A27" w:rsidRPr="00D026C7">
        <w:rPr>
          <w:rFonts w:ascii="Times New Roman" w:hAnsi="Times New Roman"/>
          <w:noProof/>
          <w:color w:val="auto"/>
          <w:sz w:val="24"/>
          <w:szCs w:val="24"/>
        </w:rPr>
        <w:t xml:space="preserve">%), </w:t>
      </w:r>
      <w:r w:rsidR="00315842" w:rsidRPr="00D026C7">
        <w:rPr>
          <w:rFonts w:ascii="Times New Roman" w:hAnsi="Times New Roman"/>
          <w:noProof/>
          <w:color w:val="auto"/>
          <w:sz w:val="24"/>
          <w:szCs w:val="24"/>
        </w:rPr>
        <w:t xml:space="preserve">whereas </w:t>
      </w:r>
      <w:r w:rsidR="00D87A27" w:rsidRPr="00D026C7">
        <w:rPr>
          <w:rFonts w:ascii="Times New Roman" w:hAnsi="Times New Roman"/>
          <w:noProof/>
          <w:color w:val="auto"/>
          <w:sz w:val="24"/>
          <w:szCs w:val="24"/>
        </w:rPr>
        <w:t xml:space="preserve">freight </w:t>
      </w:r>
      <w:r w:rsidR="00315842" w:rsidRPr="00D026C7">
        <w:rPr>
          <w:rFonts w:ascii="Times New Roman" w:hAnsi="Times New Roman"/>
          <w:noProof/>
          <w:color w:val="auto"/>
          <w:sz w:val="24"/>
          <w:szCs w:val="24"/>
        </w:rPr>
        <w:t xml:space="preserve">train length </w:t>
      </w:r>
      <w:r w:rsidRPr="00D026C7">
        <w:rPr>
          <w:rFonts w:ascii="Times New Roman" w:hAnsi="Times New Roman"/>
          <w:noProof/>
          <w:color w:val="auto"/>
          <w:sz w:val="24"/>
          <w:szCs w:val="24"/>
        </w:rPr>
        <w:t>(53</w:t>
      </w:r>
      <w:r w:rsidR="00D87A27" w:rsidRPr="00D026C7">
        <w:rPr>
          <w:rFonts w:ascii="Times New Roman" w:hAnsi="Times New Roman"/>
          <w:noProof/>
          <w:color w:val="auto"/>
          <w:sz w:val="24"/>
          <w:szCs w:val="24"/>
        </w:rPr>
        <w:t xml:space="preserve">%) </w:t>
      </w:r>
      <w:r w:rsidR="001A04D0" w:rsidRPr="00D026C7">
        <w:rPr>
          <w:rFonts w:ascii="Times New Roman" w:hAnsi="Times New Roman"/>
          <w:noProof/>
          <w:color w:val="auto"/>
          <w:sz w:val="24"/>
          <w:szCs w:val="24"/>
        </w:rPr>
        <w:t>and especially ERTMS deployment (1</w:t>
      </w:r>
      <w:r w:rsidRPr="00D026C7">
        <w:rPr>
          <w:rFonts w:ascii="Times New Roman" w:hAnsi="Times New Roman"/>
          <w:noProof/>
          <w:color w:val="auto"/>
          <w:sz w:val="24"/>
          <w:szCs w:val="24"/>
        </w:rPr>
        <w:t>6</w:t>
      </w:r>
      <w:r w:rsidR="001A04D0" w:rsidRPr="00D026C7">
        <w:rPr>
          <w:rFonts w:ascii="Times New Roman" w:hAnsi="Times New Roman"/>
          <w:noProof/>
          <w:color w:val="auto"/>
          <w:sz w:val="24"/>
          <w:szCs w:val="24"/>
        </w:rPr>
        <w:t xml:space="preserve">%) </w:t>
      </w:r>
      <w:r w:rsidR="00315842" w:rsidRPr="00D026C7">
        <w:rPr>
          <w:rFonts w:ascii="Times New Roman" w:hAnsi="Times New Roman"/>
          <w:noProof/>
          <w:color w:val="auto"/>
          <w:sz w:val="24"/>
          <w:szCs w:val="24"/>
        </w:rPr>
        <w:t xml:space="preserve">are </w:t>
      </w:r>
      <w:r w:rsidR="00D87A27" w:rsidRPr="00D026C7">
        <w:rPr>
          <w:rFonts w:ascii="Times New Roman" w:hAnsi="Times New Roman"/>
          <w:noProof/>
          <w:color w:val="auto"/>
          <w:sz w:val="24"/>
          <w:szCs w:val="24"/>
        </w:rPr>
        <w:t xml:space="preserve">still </w:t>
      </w:r>
      <w:r w:rsidR="00A4277A" w:rsidRPr="00D026C7">
        <w:rPr>
          <w:rFonts w:ascii="Times New Roman" w:hAnsi="Times New Roman"/>
          <w:noProof/>
          <w:color w:val="auto"/>
          <w:sz w:val="24"/>
          <w:szCs w:val="24"/>
        </w:rPr>
        <w:t>lagging behind</w:t>
      </w:r>
      <w:r w:rsidR="00D87A27" w:rsidRPr="00D026C7">
        <w:rPr>
          <w:rFonts w:ascii="Times New Roman" w:hAnsi="Times New Roman"/>
          <w:noProof/>
          <w:color w:val="auto"/>
          <w:sz w:val="24"/>
          <w:szCs w:val="24"/>
        </w:rPr>
        <w:t>.</w:t>
      </w:r>
      <w:r w:rsidR="004043B0" w:rsidRPr="00D026C7">
        <w:rPr>
          <w:rFonts w:ascii="Times New Roman" w:hAnsi="Times New Roman"/>
          <w:noProof/>
          <w:color w:val="auto"/>
          <w:sz w:val="24"/>
          <w:szCs w:val="24"/>
        </w:rPr>
        <w:t xml:space="preserve"> However, a line may be fit for 740</w:t>
      </w:r>
      <w:r w:rsidRPr="00D026C7">
        <w:rPr>
          <w:rFonts w:ascii="Times New Roman" w:hAnsi="Times New Roman"/>
          <w:noProof/>
          <w:color w:val="auto"/>
          <w:sz w:val="24"/>
          <w:szCs w:val="24"/>
        </w:rPr>
        <w:t xml:space="preserve"> </w:t>
      </w:r>
      <w:r w:rsidR="004043B0" w:rsidRPr="00D026C7">
        <w:rPr>
          <w:rFonts w:ascii="Times New Roman" w:hAnsi="Times New Roman"/>
          <w:noProof/>
          <w:color w:val="auto"/>
          <w:sz w:val="24"/>
          <w:szCs w:val="24"/>
        </w:rPr>
        <w:t>m train</w:t>
      </w:r>
      <w:r w:rsidR="00F94B8E" w:rsidRPr="00D026C7">
        <w:rPr>
          <w:rFonts w:ascii="Times New Roman" w:hAnsi="Times New Roman"/>
          <w:noProof/>
          <w:color w:val="auto"/>
          <w:sz w:val="24"/>
          <w:szCs w:val="24"/>
        </w:rPr>
        <w:t xml:space="preserve"> length</w:t>
      </w:r>
      <w:r w:rsidR="004043B0" w:rsidRPr="00D026C7">
        <w:rPr>
          <w:rFonts w:ascii="Times New Roman" w:hAnsi="Times New Roman"/>
          <w:noProof/>
          <w:color w:val="auto"/>
          <w:sz w:val="24"/>
          <w:szCs w:val="24"/>
        </w:rPr>
        <w:t xml:space="preserve"> but </w:t>
      </w:r>
      <w:r w:rsidR="002F4F7A" w:rsidRPr="00D026C7">
        <w:rPr>
          <w:rFonts w:ascii="Times New Roman" w:hAnsi="Times New Roman"/>
          <w:noProof/>
          <w:color w:val="auto"/>
          <w:sz w:val="24"/>
          <w:szCs w:val="24"/>
        </w:rPr>
        <w:t xml:space="preserve">does </w:t>
      </w:r>
      <w:r w:rsidR="004043B0" w:rsidRPr="00D026C7">
        <w:rPr>
          <w:rFonts w:ascii="Times New Roman" w:hAnsi="Times New Roman"/>
          <w:noProof/>
          <w:color w:val="auto"/>
          <w:sz w:val="24"/>
          <w:szCs w:val="24"/>
        </w:rPr>
        <w:t xml:space="preserve">not have enough sidings to </w:t>
      </w:r>
      <w:r w:rsidR="00F94B8E" w:rsidRPr="00D026C7">
        <w:rPr>
          <w:rFonts w:ascii="Times New Roman" w:hAnsi="Times New Roman"/>
          <w:noProof/>
          <w:color w:val="auto"/>
          <w:sz w:val="24"/>
          <w:szCs w:val="24"/>
        </w:rPr>
        <w:t xml:space="preserve">ensure </w:t>
      </w:r>
      <w:r w:rsidR="00E11E84" w:rsidRPr="00D026C7">
        <w:rPr>
          <w:rFonts w:ascii="Times New Roman" w:hAnsi="Times New Roman"/>
          <w:noProof/>
          <w:color w:val="auto"/>
          <w:sz w:val="24"/>
          <w:szCs w:val="24"/>
        </w:rPr>
        <w:t>full</w:t>
      </w:r>
      <w:r w:rsidR="00F94B8E" w:rsidRPr="00D026C7">
        <w:rPr>
          <w:rFonts w:ascii="Times New Roman" w:hAnsi="Times New Roman"/>
          <w:noProof/>
          <w:color w:val="auto"/>
          <w:sz w:val="24"/>
          <w:szCs w:val="24"/>
        </w:rPr>
        <w:t xml:space="preserve"> interoperability in practice</w:t>
      </w:r>
      <w:r w:rsidR="004043B0" w:rsidRPr="00D026C7">
        <w:rPr>
          <w:rFonts w:ascii="Times New Roman" w:hAnsi="Times New Roman"/>
          <w:noProof/>
          <w:color w:val="auto"/>
          <w:sz w:val="24"/>
          <w:szCs w:val="24"/>
        </w:rPr>
        <w:t xml:space="preserve">. </w:t>
      </w:r>
      <w:r>
        <w:rPr>
          <w:rFonts w:ascii="Times New Roman" w:hAnsi="Times New Roman"/>
          <w:noProof/>
          <w:color w:val="auto"/>
          <w:sz w:val="24"/>
          <w:szCs w:val="24"/>
        </w:rPr>
        <w:t xml:space="preserve">This is an important aspect that the TEN-T revision has looked at. </w:t>
      </w:r>
    </w:p>
    <w:p w14:paraId="08D0686C" w14:textId="77777777" w:rsidR="00D026C7" w:rsidRPr="00D026C7" w:rsidRDefault="00D026C7" w:rsidP="00D026C7">
      <w:pPr>
        <w:pStyle w:val="Corps"/>
        <w:spacing w:after="240" w:line="240" w:lineRule="auto"/>
        <w:jc w:val="both"/>
        <w:rPr>
          <w:rFonts w:ascii="Times New Roman" w:eastAsia="Times New Roman" w:hAnsi="Times New Roman" w:cs="Times New Roman"/>
          <w:noProof/>
          <w:color w:val="auto"/>
          <w:sz w:val="24"/>
          <w:szCs w:val="24"/>
        </w:rPr>
      </w:pPr>
      <w:r w:rsidRPr="00D026C7">
        <w:rPr>
          <w:rFonts w:ascii="Times New Roman" w:eastAsia="Times New Roman" w:hAnsi="Times New Roman" w:cs="Times New Roman"/>
          <w:noProof/>
          <w:color w:val="auto"/>
          <w:sz w:val="24"/>
          <w:szCs w:val="24"/>
        </w:rPr>
        <w:t xml:space="preserve">Similarly, the network can only deliver up to its full potential if the rail freight system also addresses the real needs of the market. </w:t>
      </w:r>
      <w:r>
        <w:rPr>
          <w:rFonts w:ascii="Times New Roman" w:eastAsia="Times New Roman" w:hAnsi="Times New Roman" w:cs="Times New Roman"/>
          <w:noProof/>
          <w:color w:val="auto"/>
          <w:sz w:val="24"/>
          <w:szCs w:val="24"/>
        </w:rPr>
        <w:t>Indeed</w:t>
      </w:r>
      <w:r w:rsidRPr="00D026C7">
        <w:rPr>
          <w:rFonts w:ascii="Times New Roman" w:eastAsia="Times New Roman" w:hAnsi="Times New Roman" w:cs="Times New Roman"/>
          <w:noProof/>
          <w:color w:val="auto"/>
          <w:sz w:val="24"/>
          <w:szCs w:val="24"/>
        </w:rPr>
        <w:t xml:space="preserve">, the current requirements of the TEN-T Regulation might not be sufficient to support multimodal transport: semi-trailers are a de-facto standard for long-distance freight transport on road, accounting for more than 95% of traffic. However, there is </w:t>
      </w:r>
      <w:r w:rsidR="009507BA">
        <w:rPr>
          <w:rFonts w:ascii="Times New Roman" w:eastAsia="Times New Roman" w:hAnsi="Times New Roman" w:cs="Times New Roman"/>
          <w:noProof/>
          <w:color w:val="auto"/>
          <w:sz w:val="24"/>
          <w:szCs w:val="24"/>
        </w:rPr>
        <w:t xml:space="preserve">currently </w:t>
      </w:r>
      <w:r w:rsidRPr="00D026C7">
        <w:rPr>
          <w:rFonts w:ascii="Times New Roman" w:eastAsia="Times New Roman" w:hAnsi="Times New Roman" w:cs="Times New Roman"/>
          <w:noProof/>
          <w:color w:val="auto"/>
          <w:sz w:val="24"/>
          <w:szCs w:val="24"/>
        </w:rPr>
        <w:t>no requirement on the TEN-T rail network to enable the circulation of semi-trailers of the P400 dimension</w:t>
      </w:r>
      <w:r w:rsidRPr="00D026C7">
        <w:rPr>
          <w:rFonts w:ascii="Times New Roman" w:eastAsia="Times New Roman" w:hAnsi="Times New Roman" w:cs="Times New Roman"/>
          <w:noProof/>
          <w:color w:val="auto"/>
          <w:sz w:val="24"/>
          <w:szCs w:val="24"/>
          <w:vertAlign w:val="superscript"/>
        </w:rPr>
        <w:footnoteReference w:id="9"/>
      </w:r>
      <w:r w:rsidRPr="00D026C7">
        <w:rPr>
          <w:rFonts w:ascii="Times New Roman" w:eastAsia="Times New Roman" w:hAnsi="Times New Roman" w:cs="Times New Roman"/>
          <w:noProof/>
          <w:color w:val="auto"/>
          <w:sz w:val="24"/>
          <w:szCs w:val="24"/>
        </w:rPr>
        <w:t xml:space="preserve">. The circulation of </w:t>
      </w:r>
      <w:r w:rsidR="008756DA" w:rsidRPr="00D026C7">
        <w:rPr>
          <w:rFonts w:ascii="Times New Roman" w:eastAsia="Times New Roman" w:hAnsi="Times New Roman" w:cs="Times New Roman"/>
          <w:noProof/>
          <w:color w:val="auto"/>
          <w:sz w:val="24"/>
          <w:szCs w:val="24"/>
        </w:rPr>
        <w:t xml:space="preserve">P400 intermodal loading units on standard wagons </w:t>
      </w:r>
      <w:r w:rsidRPr="00D026C7">
        <w:rPr>
          <w:rFonts w:ascii="Times New Roman" w:eastAsia="Times New Roman" w:hAnsi="Times New Roman" w:cs="Times New Roman"/>
          <w:noProof/>
          <w:color w:val="auto"/>
          <w:sz w:val="24"/>
          <w:szCs w:val="24"/>
        </w:rPr>
        <w:t xml:space="preserve">is currently not possible on a significant portion the TEN-T (40% of the </w:t>
      </w:r>
      <w:r w:rsidR="00F15875">
        <w:rPr>
          <w:rFonts w:ascii="Times New Roman" w:eastAsia="Times New Roman" w:hAnsi="Times New Roman" w:cs="Times New Roman"/>
          <w:noProof/>
          <w:color w:val="auto"/>
          <w:sz w:val="24"/>
          <w:szCs w:val="24"/>
        </w:rPr>
        <w:t xml:space="preserve">CNC </w:t>
      </w:r>
      <w:r w:rsidRPr="00D026C7">
        <w:rPr>
          <w:rFonts w:ascii="Times New Roman" w:eastAsia="Times New Roman" w:hAnsi="Times New Roman" w:cs="Times New Roman"/>
          <w:noProof/>
          <w:color w:val="auto"/>
          <w:sz w:val="24"/>
          <w:szCs w:val="24"/>
        </w:rPr>
        <w:t>network only allows for P400</w:t>
      </w:r>
      <w:r w:rsidR="00691CCF">
        <w:rPr>
          <w:rFonts w:ascii="Times New Roman" w:eastAsia="Times New Roman" w:hAnsi="Times New Roman" w:cs="Times New Roman"/>
          <w:noProof/>
          <w:color w:val="auto"/>
          <w:sz w:val="24"/>
          <w:szCs w:val="24"/>
        </w:rPr>
        <w:t xml:space="preserve"> standard and above</w:t>
      </w:r>
      <w:r w:rsidRPr="00D026C7">
        <w:rPr>
          <w:rFonts w:ascii="Times New Roman" w:eastAsia="Times New Roman" w:hAnsi="Times New Roman" w:cs="Times New Roman"/>
          <w:noProof/>
          <w:color w:val="auto"/>
          <w:sz w:val="24"/>
          <w:szCs w:val="24"/>
        </w:rPr>
        <w:t xml:space="preserve">). </w:t>
      </w:r>
      <w:r w:rsidRPr="00D026C7" w:rsidDel="006A0366">
        <w:rPr>
          <w:rFonts w:ascii="Times New Roman" w:eastAsia="Times New Roman" w:hAnsi="Times New Roman" w:cs="Times New Roman"/>
          <w:noProof/>
          <w:color w:val="auto"/>
          <w:sz w:val="24"/>
          <w:szCs w:val="24"/>
        </w:rPr>
        <w:t xml:space="preserve">Given the prevalence of semi-trailers in road transport, a significant potential for further modal shift remains </w:t>
      </w:r>
      <w:r w:rsidR="008756DA">
        <w:rPr>
          <w:rFonts w:ascii="Times New Roman" w:eastAsia="Times New Roman" w:hAnsi="Times New Roman" w:cs="Times New Roman"/>
          <w:noProof/>
          <w:color w:val="auto"/>
          <w:sz w:val="24"/>
          <w:szCs w:val="24"/>
        </w:rPr>
        <w:t xml:space="preserve">thus </w:t>
      </w:r>
      <w:r w:rsidRPr="00D026C7" w:rsidDel="006A0366">
        <w:rPr>
          <w:rFonts w:ascii="Times New Roman" w:eastAsia="Times New Roman" w:hAnsi="Times New Roman" w:cs="Times New Roman"/>
          <w:noProof/>
          <w:color w:val="auto"/>
          <w:sz w:val="24"/>
          <w:szCs w:val="24"/>
        </w:rPr>
        <w:t xml:space="preserve">untapped. </w:t>
      </w:r>
      <w:r w:rsidRPr="00D026C7">
        <w:rPr>
          <w:rFonts w:ascii="Times New Roman" w:eastAsia="Times New Roman" w:hAnsi="Times New Roman" w:cs="Times New Roman"/>
          <w:noProof/>
          <w:color w:val="auto"/>
          <w:sz w:val="24"/>
          <w:szCs w:val="24"/>
        </w:rPr>
        <w:t>For this reason, the present report also presents the status of the network with regard to the P400 requirement</w:t>
      </w:r>
      <w:r w:rsidR="0067434C">
        <w:rPr>
          <w:rFonts w:ascii="Times New Roman" w:eastAsia="Times New Roman" w:hAnsi="Times New Roman" w:cs="Times New Roman"/>
          <w:noProof/>
          <w:color w:val="auto"/>
          <w:sz w:val="24"/>
          <w:szCs w:val="24"/>
        </w:rPr>
        <w:t xml:space="preserve"> in 2019</w:t>
      </w:r>
      <w:r w:rsidRPr="00D026C7">
        <w:rPr>
          <w:rFonts w:ascii="Times New Roman" w:eastAsia="Times New Roman" w:hAnsi="Times New Roman" w:cs="Times New Roman"/>
          <w:noProof/>
          <w:color w:val="auto"/>
          <w:sz w:val="24"/>
          <w:szCs w:val="24"/>
        </w:rPr>
        <w:t>, even though this is not (yet) a formal requirement of the TEN-T Regulation</w:t>
      </w:r>
      <w:r w:rsidR="006527FE">
        <w:rPr>
          <w:rFonts w:ascii="Times New Roman" w:eastAsia="Times New Roman" w:hAnsi="Times New Roman" w:cs="Times New Roman"/>
          <w:noProof/>
          <w:color w:val="auto"/>
          <w:sz w:val="24"/>
          <w:szCs w:val="24"/>
        </w:rPr>
        <w:t xml:space="preserve"> of 2013</w:t>
      </w:r>
      <w:r w:rsidRPr="00D026C7">
        <w:rPr>
          <w:rFonts w:ascii="Times New Roman" w:eastAsia="Times New Roman" w:hAnsi="Times New Roman" w:cs="Times New Roman"/>
          <w:noProof/>
          <w:color w:val="auto"/>
          <w:sz w:val="24"/>
          <w:szCs w:val="24"/>
        </w:rPr>
        <w:t xml:space="preserve">. </w:t>
      </w:r>
    </w:p>
    <w:p w14:paraId="08D0686D" w14:textId="71855BDB" w:rsidR="00B52437" w:rsidRPr="00945953" w:rsidRDefault="00315842" w:rsidP="003E327A">
      <w:pPr>
        <w:pStyle w:val="Corps"/>
        <w:spacing w:after="240" w:line="240" w:lineRule="auto"/>
        <w:jc w:val="both"/>
        <w:rPr>
          <w:rFonts w:ascii="Times New Roman" w:hAnsi="Times New Roman"/>
          <w:noProof/>
          <w:color w:val="auto"/>
          <w:sz w:val="24"/>
          <w:szCs w:val="24"/>
        </w:rPr>
      </w:pPr>
      <w:r w:rsidRPr="00945953">
        <w:rPr>
          <w:rFonts w:ascii="Times New Roman" w:hAnsi="Times New Roman"/>
          <w:noProof/>
          <w:color w:val="auto"/>
          <w:sz w:val="24"/>
          <w:szCs w:val="24"/>
        </w:rPr>
        <w:t xml:space="preserve">As for roads, the compliance with the criteria of express road/motorway is </w:t>
      </w:r>
      <w:r w:rsidR="00945953" w:rsidRPr="00945953">
        <w:rPr>
          <w:rFonts w:ascii="Times New Roman" w:hAnsi="Times New Roman"/>
          <w:noProof/>
          <w:color w:val="auto"/>
          <w:sz w:val="24"/>
          <w:szCs w:val="24"/>
        </w:rPr>
        <w:t xml:space="preserve">almost </w:t>
      </w:r>
      <w:r w:rsidR="00D87A27" w:rsidRPr="00945953">
        <w:rPr>
          <w:rFonts w:ascii="Times New Roman" w:hAnsi="Times New Roman"/>
          <w:noProof/>
          <w:color w:val="auto"/>
          <w:sz w:val="24"/>
          <w:szCs w:val="24"/>
        </w:rPr>
        <w:t>completely reached (</w:t>
      </w:r>
      <w:r w:rsidR="00945953" w:rsidRPr="00945953">
        <w:rPr>
          <w:rFonts w:ascii="Times New Roman" w:hAnsi="Times New Roman"/>
          <w:noProof/>
          <w:color w:val="auto"/>
          <w:sz w:val="24"/>
          <w:szCs w:val="24"/>
        </w:rPr>
        <w:t>99</w:t>
      </w:r>
      <w:r w:rsidR="00D87A27" w:rsidRPr="00945953">
        <w:rPr>
          <w:rFonts w:ascii="Times New Roman" w:hAnsi="Times New Roman"/>
          <w:noProof/>
          <w:color w:val="auto"/>
          <w:sz w:val="24"/>
          <w:szCs w:val="24"/>
        </w:rPr>
        <w:t>%).</w:t>
      </w:r>
      <w:r w:rsidR="00B52437" w:rsidRPr="00945953">
        <w:rPr>
          <w:rFonts w:ascii="Times New Roman" w:hAnsi="Times New Roman"/>
          <w:noProof/>
          <w:color w:val="auto"/>
          <w:sz w:val="24"/>
          <w:szCs w:val="24"/>
        </w:rPr>
        <w:t xml:space="preserve"> However, as stated above, it is important to </w:t>
      </w:r>
      <w:r w:rsidR="00291298" w:rsidRPr="00945953">
        <w:rPr>
          <w:rFonts w:ascii="Times New Roman" w:hAnsi="Times New Roman"/>
          <w:noProof/>
          <w:color w:val="auto"/>
          <w:sz w:val="24"/>
          <w:szCs w:val="24"/>
        </w:rPr>
        <w:t>keep in mind</w:t>
      </w:r>
      <w:r w:rsidR="00B52437" w:rsidRPr="00945953">
        <w:rPr>
          <w:rFonts w:ascii="Times New Roman" w:hAnsi="Times New Roman"/>
          <w:noProof/>
          <w:color w:val="auto"/>
          <w:sz w:val="24"/>
          <w:szCs w:val="24"/>
        </w:rPr>
        <w:t xml:space="preserve"> that the </w:t>
      </w:r>
      <w:r w:rsidR="00B61201" w:rsidRPr="00945953">
        <w:rPr>
          <w:rFonts w:ascii="Times New Roman" w:hAnsi="Times New Roman"/>
          <w:noProof/>
          <w:color w:val="auto"/>
          <w:sz w:val="24"/>
          <w:szCs w:val="24"/>
        </w:rPr>
        <w:t>definitions of road categories</w:t>
      </w:r>
      <w:r w:rsidR="00B52437" w:rsidRPr="00945953">
        <w:rPr>
          <w:rFonts w:ascii="Times New Roman" w:hAnsi="Times New Roman"/>
          <w:noProof/>
          <w:color w:val="auto"/>
          <w:sz w:val="24"/>
          <w:szCs w:val="24"/>
        </w:rPr>
        <w:t xml:space="preserve"> </w:t>
      </w:r>
      <w:r w:rsidR="00B61201" w:rsidRPr="00945953">
        <w:rPr>
          <w:rFonts w:ascii="Times New Roman" w:hAnsi="Times New Roman"/>
          <w:noProof/>
          <w:color w:val="auto"/>
          <w:sz w:val="24"/>
          <w:szCs w:val="24"/>
        </w:rPr>
        <w:t>in</w:t>
      </w:r>
      <w:r w:rsidR="00B52437" w:rsidRPr="00945953">
        <w:rPr>
          <w:rFonts w:ascii="Times New Roman" w:hAnsi="Times New Roman"/>
          <w:noProof/>
          <w:color w:val="auto"/>
          <w:sz w:val="24"/>
          <w:szCs w:val="24"/>
        </w:rPr>
        <w:t xml:space="preserve"> the TEN-T Regulation are </w:t>
      </w:r>
      <w:r w:rsidR="00B61201" w:rsidRPr="00945953">
        <w:rPr>
          <w:rFonts w:ascii="Times New Roman" w:hAnsi="Times New Roman"/>
          <w:noProof/>
          <w:color w:val="auto"/>
          <w:sz w:val="24"/>
          <w:szCs w:val="24"/>
        </w:rPr>
        <w:t>different from the UNECE/EUROSTAT/ITF ones</w:t>
      </w:r>
      <w:r w:rsidR="00B52437" w:rsidRPr="00945953">
        <w:rPr>
          <w:rFonts w:ascii="Times New Roman" w:hAnsi="Times New Roman"/>
          <w:noProof/>
          <w:color w:val="auto"/>
          <w:sz w:val="24"/>
          <w:szCs w:val="24"/>
        </w:rPr>
        <w:t>, hiding the fact</w:t>
      </w:r>
      <w:r w:rsidR="00291298" w:rsidRPr="00945953">
        <w:rPr>
          <w:rFonts w:ascii="Times New Roman" w:hAnsi="Times New Roman"/>
          <w:noProof/>
          <w:color w:val="auto"/>
          <w:sz w:val="24"/>
          <w:szCs w:val="24"/>
        </w:rPr>
        <w:t xml:space="preserve"> that </w:t>
      </w:r>
      <w:r w:rsidR="00B52437" w:rsidRPr="00945953">
        <w:rPr>
          <w:rFonts w:ascii="Times New Roman" w:hAnsi="Times New Roman"/>
          <w:noProof/>
          <w:color w:val="auto"/>
          <w:sz w:val="24"/>
          <w:szCs w:val="24"/>
        </w:rPr>
        <w:t xml:space="preserve">roads </w:t>
      </w:r>
      <w:r w:rsidR="005F53FE" w:rsidRPr="00945953">
        <w:rPr>
          <w:rFonts w:ascii="Times New Roman" w:hAnsi="Times New Roman"/>
          <w:noProof/>
          <w:color w:val="auto"/>
          <w:sz w:val="24"/>
          <w:szCs w:val="24"/>
        </w:rPr>
        <w:t>can be</w:t>
      </w:r>
      <w:r w:rsidR="00B52437" w:rsidRPr="00945953">
        <w:rPr>
          <w:rFonts w:ascii="Times New Roman" w:hAnsi="Times New Roman"/>
          <w:noProof/>
          <w:color w:val="auto"/>
          <w:sz w:val="24"/>
          <w:szCs w:val="24"/>
        </w:rPr>
        <w:t xml:space="preserve"> of insufficient quality</w:t>
      </w:r>
      <w:r w:rsidR="00945953" w:rsidRPr="00945953">
        <w:rPr>
          <w:rFonts w:ascii="Times New Roman" w:hAnsi="Times New Roman"/>
          <w:noProof/>
          <w:color w:val="auto"/>
          <w:sz w:val="24"/>
          <w:szCs w:val="24"/>
        </w:rPr>
        <w:t>, especially with regard to the aspect of road safety</w:t>
      </w:r>
      <w:r w:rsidR="00B472A3">
        <w:rPr>
          <w:rFonts w:ascii="Times New Roman" w:hAnsi="Times New Roman"/>
          <w:noProof/>
          <w:color w:val="auto"/>
          <w:sz w:val="24"/>
          <w:szCs w:val="24"/>
        </w:rPr>
        <w:t xml:space="preserve"> or the availability of sufficient safe and secure parking and rest areas</w:t>
      </w:r>
      <w:r w:rsidR="00B52437" w:rsidRPr="00945953">
        <w:rPr>
          <w:rFonts w:ascii="Times New Roman" w:hAnsi="Times New Roman"/>
          <w:noProof/>
          <w:color w:val="auto"/>
          <w:sz w:val="24"/>
          <w:szCs w:val="24"/>
        </w:rPr>
        <w:t xml:space="preserve">. </w:t>
      </w:r>
      <w:r w:rsidR="00B61201" w:rsidRPr="00945953">
        <w:rPr>
          <w:rFonts w:ascii="Times New Roman" w:hAnsi="Times New Roman"/>
          <w:noProof/>
          <w:color w:val="auto"/>
          <w:sz w:val="24"/>
          <w:szCs w:val="24"/>
        </w:rPr>
        <w:t>In addition</w:t>
      </w:r>
      <w:r w:rsidR="00291298" w:rsidRPr="00945953">
        <w:rPr>
          <w:rFonts w:ascii="Times New Roman" w:hAnsi="Times New Roman"/>
          <w:noProof/>
          <w:color w:val="auto"/>
          <w:sz w:val="24"/>
          <w:szCs w:val="24"/>
        </w:rPr>
        <w:t>,</w:t>
      </w:r>
      <w:r w:rsidR="00B52437" w:rsidRPr="00945953">
        <w:rPr>
          <w:rFonts w:ascii="Times New Roman" w:hAnsi="Times New Roman"/>
          <w:noProof/>
          <w:color w:val="auto"/>
          <w:sz w:val="24"/>
          <w:szCs w:val="24"/>
        </w:rPr>
        <w:t xml:space="preserve"> </w:t>
      </w:r>
      <w:r w:rsidR="0089527F" w:rsidRPr="00945953">
        <w:rPr>
          <w:rFonts w:ascii="Times New Roman" w:hAnsi="Times New Roman"/>
          <w:noProof/>
          <w:color w:val="auto"/>
          <w:sz w:val="24"/>
          <w:szCs w:val="24"/>
        </w:rPr>
        <w:t xml:space="preserve">parts of the network </w:t>
      </w:r>
      <w:r w:rsidR="00B61201" w:rsidRPr="00945953">
        <w:rPr>
          <w:rFonts w:ascii="Times New Roman" w:hAnsi="Times New Roman"/>
          <w:noProof/>
          <w:color w:val="auto"/>
          <w:sz w:val="24"/>
          <w:szCs w:val="24"/>
        </w:rPr>
        <w:t xml:space="preserve">may not have been maintained properly </w:t>
      </w:r>
      <w:r w:rsidR="00B52437" w:rsidRPr="00945953">
        <w:rPr>
          <w:rFonts w:ascii="Times New Roman" w:hAnsi="Times New Roman"/>
          <w:noProof/>
          <w:color w:val="auto"/>
          <w:sz w:val="24"/>
          <w:szCs w:val="24"/>
        </w:rPr>
        <w:t>for a certa</w:t>
      </w:r>
      <w:r w:rsidR="00291298" w:rsidRPr="00945953">
        <w:rPr>
          <w:rFonts w:ascii="Times New Roman" w:hAnsi="Times New Roman"/>
          <w:noProof/>
          <w:color w:val="auto"/>
          <w:sz w:val="24"/>
          <w:szCs w:val="24"/>
        </w:rPr>
        <w:t>in period, rendering a nominally compliant</w:t>
      </w:r>
      <w:r w:rsidR="00B52437" w:rsidRPr="00945953">
        <w:rPr>
          <w:rFonts w:ascii="Times New Roman" w:hAnsi="Times New Roman"/>
          <w:noProof/>
          <w:color w:val="auto"/>
          <w:sz w:val="24"/>
          <w:szCs w:val="24"/>
        </w:rPr>
        <w:t xml:space="preserve"> road not up to operational </w:t>
      </w:r>
      <w:r w:rsidR="0089527F" w:rsidRPr="00945953">
        <w:rPr>
          <w:rFonts w:ascii="Times New Roman" w:hAnsi="Times New Roman"/>
          <w:noProof/>
          <w:color w:val="auto"/>
          <w:sz w:val="24"/>
          <w:szCs w:val="24"/>
        </w:rPr>
        <w:t xml:space="preserve">and safety </w:t>
      </w:r>
      <w:r w:rsidR="00B52437" w:rsidRPr="00945953">
        <w:rPr>
          <w:rFonts w:ascii="Times New Roman" w:hAnsi="Times New Roman"/>
          <w:noProof/>
          <w:color w:val="auto"/>
          <w:sz w:val="24"/>
          <w:szCs w:val="24"/>
        </w:rPr>
        <w:t xml:space="preserve">standards. </w:t>
      </w:r>
      <w:r w:rsidR="00B472A3">
        <w:rPr>
          <w:rFonts w:ascii="Times New Roman" w:hAnsi="Times New Roman"/>
          <w:noProof/>
          <w:color w:val="auto"/>
          <w:sz w:val="24"/>
          <w:szCs w:val="24"/>
        </w:rPr>
        <w:t>These are other aspects</w:t>
      </w:r>
      <w:r w:rsidR="00945953">
        <w:rPr>
          <w:rFonts w:ascii="Times New Roman" w:hAnsi="Times New Roman"/>
          <w:noProof/>
          <w:color w:val="auto"/>
          <w:sz w:val="24"/>
          <w:szCs w:val="24"/>
        </w:rPr>
        <w:t xml:space="preserve"> that the revision of the TEN-T Regulation has looked at. </w:t>
      </w:r>
    </w:p>
    <w:p w14:paraId="08D0686E" w14:textId="77777777" w:rsidR="00162AE8" w:rsidRPr="00945953" w:rsidRDefault="00315842" w:rsidP="003E327A">
      <w:pPr>
        <w:pStyle w:val="Corps"/>
        <w:spacing w:after="240" w:line="240" w:lineRule="auto"/>
        <w:jc w:val="both"/>
        <w:rPr>
          <w:rFonts w:ascii="Times New Roman" w:hAnsi="Times New Roman"/>
          <w:noProof/>
          <w:color w:val="auto"/>
          <w:sz w:val="24"/>
          <w:szCs w:val="24"/>
        </w:rPr>
      </w:pPr>
      <w:r w:rsidRPr="00945953">
        <w:rPr>
          <w:rFonts w:ascii="Times New Roman" w:hAnsi="Times New Roman"/>
          <w:noProof/>
          <w:color w:val="auto"/>
          <w:sz w:val="24"/>
          <w:szCs w:val="24"/>
        </w:rPr>
        <w:t xml:space="preserve">The inland waterways are almost fully compliant with respect to </w:t>
      </w:r>
      <w:r w:rsidR="00FC6985">
        <w:rPr>
          <w:rFonts w:ascii="Times New Roman" w:hAnsi="Times New Roman"/>
          <w:noProof/>
          <w:color w:val="auto"/>
          <w:sz w:val="24"/>
          <w:szCs w:val="24"/>
        </w:rPr>
        <w:t>River Information System (</w:t>
      </w:r>
      <w:r w:rsidR="001A04D0" w:rsidRPr="00945953">
        <w:rPr>
          <w:rFonts w:ascii="Times New Roman" w:hAnsi="Times New Roman"/>
          <w:noProof/>
          <w:color w:val="auto"/>
          <w:sz w:val="24"/>
          <w:szCs w:val="24"/>
        </w:rPr>
        <w:t>RIS</w:t>
      </w:r>
      <w:r w:rsidR="00FC6985">
        <w:rPr>
          <w:rFonts w:ascii="Times New Roman" w:hAnsi="Times New Roman"/>
          <w:noProof/>
          <w:color w:val="auto"/>
          <w:sz w:val="24"/>
          <w:szCs w:val="24"/>
        </w:rPr>
        <w:t>)</w:t>
      </w:r>
      <w:r w:rsidR="001A04D0" w:rsidRPr="00945953">
        <w:rPr>
          <w:rFonts w:ascii="Times New Roman" w:hAnsi="Times New Roman"/>
          <w:noProof/>
          <w:color w:val="auto"/>
          <w:sz w:val="24"/>
          <w:szCs w:val="24"/>
        </w:rPr>
        <w:t xml:space="preserve"> implementation (</w:t>
      </w:r>
      <w:r w:rsidR="00945953" w:rsidRPr="00945953">
        <w:rPr>
          <w:rFonts w:ascii="Times New Roman" w:hAnsi="Times New Roman"/>
          <w:noProof/>
          <w:color w:val="auto"/>
          <w:sz w:val="24"/>
          <w:szCs w:val="24"/>
        </w:rPr>
        <w:t>94</w:t>
      </w:r>
      <w:r w:rsidR="001A04D0" w:rsidRPr="00945953">
        <w:rPr>
          <w:rFonts w:ascii="Times New Roman" w:hAnsi="Times New Roman"/>
          <w:noProof/>
          <w:color w:val="auto"/>
          <w:sz w:val="24"/>
          <w:szCs w:val="24"/>
        </w:rPr>
        <w:t xml:space="preserve">%) and </w:t>
      </w:r>
      <w:r w:rsidRPr="00945953">
        <w:rPr>
          <w:rFonts w:ascii="Times New Roman" w:hAnsi="Times New Roman"/>
          <w:noProof/>
          <w:color w:val="auto"/>
          <w:sz w:val="24"/>
          <w:szCs w:val="24"/>
        </w:rPr>
        <w:t xml:space="preserve">the CEMT requirement </w:t>
      </w:r>
      <w:r w:rsidR="00D87A27" w:rsidRPr="00945953">
        <w:rPr>
          <w:rFonts w:ascii="Times New Roman" w:hAnsi="Times New Roman"/>
          <w:noProof/>
          <w:color w:val="auto"/>
          <w:sz w:val="24"/>
          <w:szCs w:val="24"/>
        </w:rPr>
        <w:t>of</w:t>
      </w:r>
      <w:r w:rsidRPr="00945953">
        <w:rPr>
          <w:rFonts w:ascii="Times New Roman" w:hAnsi="Times New Roman"/>
          <w:noProof/>
          <w:color w:val="auto"/>
          <w:sz w:val="24"/>
          <w:szCs w:val="24"/>
        </w:rPr>
        <w:t xml:space="preserve"> class IV </w:t>
      </w:r>
      <w:r w:rsidR="00D87A27" w:rsidRPr="00945953">
        <w:rPr>
          <w:rFonts w:ascii="Times New Roman" w:hAnsi="Times New Roman"/>
          <w:noProof/>
          <w:color w:val="auto"/>
          <w:sz w:val="24"/>
          <w:szCs w:val="24"/>
        </w:rPr>
        <w:t xml:space="preserve">or </w:t>
      </w:r>
      <w:r w:rsidR="00E865E4" w:rsidRPr="00945953">
        <w:rPr>
          <w:rFonts w:ascii="Times New Roman" w:hAnsi="Times New Roman"/>
          <w:noProof/>
          <w:color w:val="auto"/>
          <w:sz w:val="24"/>
          <w:szCs w:val="24"/>
        </w:rPr>
        <w:t>higher</w:t>
      </w:r>
      <w:r w:rsidR="001A04D0" w:rsidRPr="00945953">
        <w:rPr>
          <w:rFonts w:ascii="Times New Roman" w:hAnsi="Times New Roman"/>
          <w:noProof/>
          <w:color w:val="auto"/>
          <w:sz w:val="24"/>
          <w:szCs w:val="24"/>
        </w:rPr>
        <w:t xml:space="preserve"> (</w:t>
      </w:r>
      <w:r w:rsidR="00945953" w:rsidRPr="00945953">
        <w:rPr>
          <w:rFonts w:ascii="Times New Roman" w:hAnsi="Times New Roman"/>
          <w:noProof/>
          <w:color w:val="auto"/>
          <w:sz w:val="24"/>
          <w:szCs w:val="24"/>
        </w:rPr>
        <w:t>96</w:t>
      </w:r>
      <w:r w:rsidR="001A04D0" w:rsidRPr="00945953">
        <w:rPr>
          <w:rFonts w:ascii="Times New Roman" w:hAnsi="Times New Roman"/>
          <w:noProof/>
          <w:color w:val="auto"/>
          <w:sz w:val="24"/>
          <w:szCs w:val="24"/>
        </w:rPr>
        <w:t xml:space="preserve">%). </w:t>
      </w:r>
      <w:r w:rsidR="00E865E4" w:rsidRPr="00945953">
        <w:rPr>
          <w:rFonts w:ascii="Times New Roman" w:hAnsi="Times New Roman"/>
          <w:noProof/>
          <w:color w:val="auto"/>
          <w:sz w:val="24"/>
          <w:szCs w:val="24"/>
        </w:rPr>
        <w:t>B</w:t>
      </w:r>
      <w:r w:rsidR="008B25EB">
        <w:rPr>
          <w:rFonts w:ascii="Times New Roman" w:hAnsi="Times New Roman"/>
          <w:noProof/>
          <w:color w:val="auto"/>
          <w:sz w:val="24"/>
          <w:szCs w:val="24"/>
        </w:rPr>
        <w:t>oth permissible draught of 2.</w:t>
      </w:r>
      <w:r w:rsidR="00D87A27" w:rsidRPr="00945953">
        <w:rPr>
          <w:rFonts w:ascii="Times New Roman" w:hAnsi="Times New Roman"/>
          <w:noProof/>
          <w:color w:val="auto"/>
          <w:sz w:val="24"/>
          <w:szCs w:val="24"/>
        </w:rPr>
        <w:t>5</w:t>
      </w:r>
      <w:r w:rsidR="00945953">
        <w:rPr>
          <w:rFonts w:ascii="Times New Roman" w:hAnsi="Times New Roman"/>
          <w:noProof/>
          <w:color w:val="auto"/>
          <w:sz w:val="24"/>
          <w:szCs w:val="24"/>
        </w:rPr>
        <w:t xml:space="preserve"> </w:t>
      </w:r>
      <w:r w:rsidR="00D87A27" w:rsidRPr="00945953">
        <w:rPr>
          <w:rFonts w:ascii="Times New Roman" w:hAnsi="Times New Roman"/>
          <w:noProof/>
          <w:color w:val="auto"/>
          <w:sz w:val="24"/>
          <w:szCs w:val="24"/>
        </w:rPr>
        <w:t>m or more and permissible height under b</w:t>
      </w:r>
      <w:r w:rsidR="008B25EB">
        <w:rPr>
          <w:rFonts w:ascii="Times New Roman" w:hAnsi="Times New Roman"/>
          <w:noProof/>
          <w:color w:val="auto"/>
          <w:sz w:val="24"/>
          <w:szCs w:val="24"/>
        </w:rPr>
        <w:t>ridges of 5.</w:t>
      </w:r>
      <w:r w:rsidR="00E865E4" w:rsidRPr="00945953">
        <w:rPr>
          <w:rFonts w:ascii="Times New Roman" w:hAnsi="Times New Roman"/>
          <w:noProof/>
          <w:color w:val="auto"/>
          <w:sz w:val="24"/>
          <w:szCs w:val="24"/>
        </w:rPr>
        <w:t>25</w:t>
      </w:r>
      <w:r w:rsidR="00945953">
        <w:rPr>
          <w:rFonts w:ascii="Times New Roman" w:hAnsi="Times New Roman"/>
          <w:noProof/>
          <w:color w:val="auto"/>
          <w:sz w:val="24"/>
          <w:szCs w:val="24"/>
        </w:rPr>
        <w:t xml:space="preserve"> </w:t>
      </w:r>
      <w:r w:rsidR="00E865E4" w:rsidRPr="00945953">
        <w:rPr>
          <w:rFonts w:ascii="Times New Roman" w:hAnsi="Times New Roman"/>
          <w:noProof/>
          <w:color w:val="auto"/>
          <w:sz w:val="24"/>
          <w:szCs w:val="24"/>
        </w:rPr>
        <w:t>m or more are</w:t>
      </w:r>
      <w:r w:rsidR="00D87A27" w:rsidRPr="00945953">
        <w:rPr>
          <w:rFonts w:ascii="Times New Roman" w:hAnsi="Times New Roman"/>
          <w:noProof/>
          <w:color w:val="auto"/>
          <w:sz w:val="24"/>
          <w:szCs w:val="24"/>
        </w:rPr>
        <w:t xml:space="preserve"> already at a high </w:t>
      </w:r>
      <w:r w:rsidR="00945953" w:rsidRPr="00945953">
        <w:rPr>
          <w:rFonts w:ascii="Times New Roman" w:hAnsi="Times New Roman"/>
          <w:noProof/>
          <w:color w:val="auto"/>
          <w:sz w:val="24"/>
          <w:szCs w:val="24"/>
        </w:rPr>
        <w:t>84</w:t>
      </w:r>
      <w:r w:rsidR="00D87A27" w:rsidRPr="00945953">
        <w:rPr>
          <w:rFonts w:ascii="Times New Roman" w:hAnsi="Times New Roman"/>
          <w:noProof/>
          <w:color w:val="auto"/>
          <w:sz w:val="24"/>
          <w:szCs w:val="24"/>
        </w:rPr>
        <w:t>%</w:t>
      </w:r>
      <w:r w:rsidR="00945953" w:rsidRPr="00945953">
        <w:rPr>
          <w:rFonts w:ascii="Times New Roman" w:hAnsi="Times New Roman"/>
          <w:noProof/>
          <w:color w:val="auto"/>
          <w:sz w:val="24"/>
          <w:szCs w:val="24"/>
        </w:rPr>
        <w:t xml:space="preserve"> and 83%</w:t>
      </w:r>
      <w:r w:rsidR="006527FE">
        <w:rPr>
          <w:rFonts w:ascii="Times New Roman" w:hAnsi="Times New Roman"/>
          <w:noProof/>
          <w:color w:val="auto"/>
          <w:sz w:val="24"/>
          <w:szCs w:val="24"/>
        </w:rPr>
        <w:t xml:space="preserve"> of compliance</w:t>
      </w:r>
      <w:r w:rsidR="00D87A27" w:rsidRPr="00945953">
        <w:rPr>
          <w:rFonts w:ascii="Times New Roman" w:hAnsi="Times New Roman"/>
          <w:noProof/>
          <w:color w:val="auto"/>
          <w:sz w:val="24"/>
          <w:szCs w:val="24"/>
        </w:rPr>
        <w:t>.</w:t>
      </w:r>
      <w:r w:rsidR="00162AE8" w:rsidRPr="00945953">
        <w:rPr>
          <w:rFonts w:ascii="Times New Roman" w:hAnsi="Times New Roman"/>
          <w:noProof/>
          <w:color w:val="auto"/>
          <w:sz w:val="24"/>
          <w:szCs w:val="24"/>
        </w:rPr>
        <w:t xml:space="preserve"> This however should not hide the fact that where compliance is nominally achieved, there are exemptions</w:t>
      </w:r>
      <w:r w:rsidR="00291298" w:rsidRPr="00945953">
        <w:rPr>
          <w:rFonts w:ascii="Times New Roman" w:hAnsi="Times New Roman"/>
          <w:noProof/>
          <w:color w:val="auto"/>
          <w:sz w:val="24"/>
          <w:szCs w:val="24"/>
        </w:rPr>
        <w:t xml:space="preserve"> on short distances</w:t>
      </w:r>
      <w:r w:rsidR="00162AE8" w:rsidRPr="00945953">
        <w:rPr>
          <w:rFonts w:ascii="Times New Roman" w:hAnsi="Times New Roman"/>
          <w:noProof/>
          <w:color w:val="auto"/>
          <w:sz w:val="24"/>
          <w:szCs w:val="24"/>
        </w:rPr>
        <w:t xml:space="preserve"> with </w:t>
      </w:r>
      <w:r w:rsidR="00291298" w:rsidRPr="00945953">
        <w:rPr>
          <w:rFonts w:ascii="Times New Roman" w:hAnsi="Times New Roman"/>
          <w:noProof/>
          <w:color w:val="auto"/>
          <w:sz w:val="24"/>
          <w:szCs w:val="24"/>
        </w:rPr>
        <w:t xml:space="preserve">nonetheless </w:t>
      </w:r>
      <w:r w:rsidR="00162AE8" w:rsidRPr="00945953">
        <w:rPr>
          <w:rFonts w:ascii="Times New Roman" w:hAnsi="Times New Roman"/>
          <w:noProof/>
          <w:color w:val="auto"/>
          <w:sz w:val="24"/>
          <w:szCs w:val="24"/>
        </w:rPr>
        <w:t>serious impacts on the navigability</w:t>
      </w:r>
      <w:r w:rsidR="00291298" w:rsidRPr="00945953">
        <w:rPr>
          <w:rFonts w:ascii="Times New Roman" w:hAnsi="Times New Roman"/>
          <w:noProof/>
          <w:color w:val="auto"/>
          <w:sz w:val="24"/>
          <w:szCs w:val="24"/>
        </w:rPr>
        <w:t xml:space="preserve"> of a wider section</w:t>
      </w:r>
      <w:r w:rsidR="00162AE8" w:rsidRPr="00945953">
        <w:rPr>
          <w:rFonts w:ascii="Times New Roman" w:hAnsi="Times New Roman"/>
          <w:noProof/>
          <w:color w:val="auto"/>
          <w:sz w:val="24"/>
          <w:szCs w:val="24"/>
        </w:rPr>
        <w:t xml:space="preserve">. </w:t>
      </w:r>
      <w:r w:rsidR="008B25EB">
        <w:rPr>
          <w:rFonts w:ascii="Times New Roman" w:hAnsi="Times New Roman"/>
          <w:noProof/>
          <w:color w:val="auto"/>
          <w:sz w:val="24"/>
          <w:szCs w:val="24"/>
        </w:rPr>
        <w:t>It is certainly true that l</w:t>
      </w:r>
      <w:r w:rsidR="008B25EB" w:rsidRPr="008B25EB">
        <w:rPr>
          <w:rFonts w:ascii="Times New Roman" w:hAnsi="Times New Roman"/>
          <w:noProof/>
          <w:color w:val="auto"/>
          <w:sz w:val="24"/>
          <w:szCs w:val="24"/>
        </w:rPr>
        <w:t xml:space="preserve">ocal waterway sections on the TEN-T which do not have sufficient draught and height under bridges may prevent inland navigation from ensuring efficient, reliable and punctual services. However, the specificities and hydro-morphology of inland waterways have not </w:t>
      </w:r>
      <w:r w:rsidR="008B25EB">
        <w:rPr>
          <w:rFonts w:ascii="Times New Roman" w:hAnsi="Times New Roman"/>
          <w:noProof/>
          <w:color w:val="auto"/>
          <w:sz w:val="24"/>
          <w:szCs w:val="24"/>
        </w:rPr>
        <w:t xml:space="preserve">sufficiently </w:t>
      </w:r>
      <w:r w:rsidR="008B25EB" w:rsidRPr="008B25EB">
        <w:rPr>
          <w:rFonts w:ascii="Times New Roman" w:hAnsi="Times New Roman"/>
          <w:noProof/>
          <w:color w:val="auto"/>
          <w:sz w:val="24"/>
          <w:szCs w:val="24"/>
        </w:rPr>
        <w:t xml:space="preserve">been taken into account in the definition of the TEN-T standards, leading to the establishment of standards that </w:t>
      </w:r>
      <w:r w:rsidR="008B25EB">
        <w:rPr>
          <w:rFonts w:ascii="Times New Roman" w:hAnsi="Times New Roman"/>
          <w:noProof/>
          <w:color w:val="auto"/>
          <w:sz w:val="24"/>
          <w:szCs w:val="24"/>
        </w:rPr>
        <w:t xml:space="preserve">might not be </w:t>
      </w:r>
      <w:r w:rsidR="008B25EB" w:rsidRPr="008B25EB">
        <w:rPr>
          <w:rFonts w:ascii="Times New Roman" w:hAnsi="Times New Roman"/>
          <w:noProof/>
          <w:color w:val="auto"/>
          <w:sz w:val="24"/>
          <w:szCs w:val="24"/>
        </w:rPr>
        <w:t>realistic in the entire flow of rivers.</w:t>
      </w:r>
      <w:r w:rsidR="008B25EB">
        <w:rPr>
          <w:rFonts w:ascii="Times New Roman" w:hAnsi="Times New Roman"/>
          <w:noProof/>
          <w:color w:val="auto"/>
          <w:sz w:val="24"/>
          <w:szCs w:val="24"/>
        </w:rPr>
        <w:t xml:space="preserve"> </w:t>
      </w:r>
      <w:r w:rsidR="00162AE8" w:rsidRPr="00945953">
        <w:rPr>
          <w:rFonts w:ascii="Times New Roman" w:hAnsi="Times New Roman"/>
          <w:noProof/>
          <w:color w:val="auto"/>
          <w:sz w:val="24"/>
          <w:szCs w:val="24"/>
        </w:rPr>
        <w:t>The situation of the Danube, for example, is a case-in-point.</w:t>
      </w:r>
      <w:r w:rsidR="008B25EB">
        <w:rPr>
          <w:rFonts w:ascii="Times New Roman" w:hAnsi="Times New Roman"/>
          <w:noProof/>
          <w:color w:val="auto"/>
          <w:sz w:val="24"/>
          <w:szCs w:val="24"/>
        </w:rPr>
        <w:t xml:space="preserve"> </w:t>
      </w:r>
    </w:p>
    <w:p w14:paraId="08D0686F" w14:textId="77777777" w:rsidR="00656BE1" w:rsidRPr="00835BBB" w:rsidRDefault="00E865E4" w:rsidP="003E327A">
      <w:pPr>
        <w:pStyle w:val="Corps"/>
        <w:spacing w:after="240" w:line="240" w:lineRule="auto"/>
        <w:jc w:val="both"/>
        <w:rPr>
          <w:rFonts w:ascii="Times New Roman" w:hAnsi="Times New Roman"/>
          <w:noProof/>
          <w:color w:val="auto"/>
          <w:sz w:val="24"/>
          <w:szCs w:val="24"/>
        </w:rPr>
      </w:pPr>
      <w:r w:rsidRPr="00835BBB">
        <w:rPr>
          <w:rFonts w:ascii="Times New Roman" w:hAnsi="Times New Roman"/>
          <w:noProof/>
          <w:color w:val="auto"/>
          <w:sz w:val="24"/>
          <w:szCs w:val="24"/>
        </w:rPr>
        <w:t xml:space="preserve">Finally, </w:t>
      </w:r>
      <w:r w:rsidR="00835BBB" w:rsidRPr="00835BBB">
        <w:rPr>
          <w:rFonts w:ascii="Times New Roman" w:hAnsi="Times New Roman"/>
          <w:noProof/>
          <w:color w:val="auto"/>
          <w:sz w:val="24"/>
          <w:szCs w:val="24"/>
        </w:rPr>
        <w:t>88</w:t>
      </w:r>
      <w:r w:rsidR="00D87A27" w:rsidRPr="00835BBB">
        <w:rPr>
          <w:rFonts w:ascii="Times New Roman" w:hAnsi="Times New Roman"/>
          <w:noProof/>
          <w:color w:val="auto"/>
          <w:sz w:val="24"/>
          <w:szCs w:val="24"/>
        </w:rPr>
        <w:t>% of the ports are connected to rail</w:t>
      </w:r>
      <w:r w:rsidRPr="00835BBB">
        <w:rPr>
          <w:rFonts w:ascii="Times New Roman" w:hAnsi="Times New Roman"/>
          <w:noProof/>
          <w:color w:val="auto"/>
          <w:sz w:val="24"/>
          <w:szCs w:val="24"/>
        </w:rPr>
        <w:t>,</w:t>
      </w:r>
      <w:r w:rsidR="00D87A27" w:rsidRPr="00835BBB">
        <w:rPr>
          <w:rFonts w:ascii="Times New Roman" w:hAnsi="Times New Roman"/>
          <w:noProof/>
          <w:color w:val="auto"/>
          <w:sz w:val="24"/>
          <w:szCs w:val="24"/>
        </w:rPr>
        <w:t xml:space="preserve"> while the rail connection of airports lags a bit behind at </w:t>
      </w:r>
      <w:r w:rsidR="00835BBB" w:rsidRPr="00835BBB">
        <w:rPr>
          <w:rFonts w:ascii="Times New Roman" w:hAnsi="Times New Roman"/>
          <w:noProof/>
          <w:color w:val="auto"/>
          <w:sz w:val="24"/>
          <w:szCs w:val="24"/>
        </w:rPr>
        <w:t>70</w:t>
      </w:r>
      <w:r w:rsidR="00D87A27" w:rsidRPr="00835BBB">
        <w:rPr>
          <w:rFonts w:ascii="Times New Roman" w:hAnsi="Times New Roman"/>
          <w:noProof/>
          <w:color w:val="auto"/>
          <w:sz w:val="24"/>
          <w:szCs w:val="24"/>
        </w:rPr>
        <w:t>%</w:t>
      </w:r>
      <w:r w:rsidR="00315842" w:rsidRPr="00835BBB">
        <w:rPr>
          <w:rFonts w:ascii="Times New Roman" w:hAnsi="Times New Roman"/>
          <w:noProof/>
          <w:color w:val="auto"/>
          <w:sz w:val="24"/>
          <w:szCs w:val="24"/>
        </w:rPr>
        <w:t xml:space="preserve">. </w:t>
      </w:r>
      <w:r w:rsidR="00656BE1" w:rsidRPr="00835BBB">
        <w:rPr>
          <w:rFonts w:ascii="Times New Roman" w:hAnsi="Times New Roman"/>
          <w:noProof/>
          <w:color w:val="auto"/>
          <w:sz w:val="24"/>
          <w:szCs w:val="24"/>
        </w:rPr>
        <w:t xml:space="preserve">Once again, the good data sometimes </w:t>
      </w:r>
      <w:r w:rsidR="00291298" w:rsidRPr="00835BBB">
        <w:rPr>
          <w:rFonts w:ascii="Times New Roman" w:hAnsi="Times New Roman"/>
          <w:noProof/>
          <w:color w:val="auto"/>
          <w:sz w:val="24"/>
          <w:szCs w:val="24"/>
        </w:rPr>
        <w:t>may hide</w:t>
      </w:r>
      <w:r w:rsidR="00656BE1" w:rsidRPr="00835BBB">
        <w:rPr>
          <w:rFonts w:ascii="Times New Roman" w:hAnsi="Times New Roman"/>
          <w:noProof/>
          <w:color w:val="auto"/>
          <w:sz w:val="24"/>
          <w:szCs w:val="24"/>
        </w:rPr>
        <w:t xml:space="preserve"> a less positive situation</w:t>
      </w:r>
      <w:r w:rsidR="00291298" w:rsidRPr="00835BBB">
        <w:rPr>
          <w:rFonts w:ascii="Times New Roman" w:hAnsi="Times New Roman"/>
          <w:noProof/>
          <w:color w:val="auto"/>
          <w:sz w:val="24"/>
          <w:szCs w:val="24"/>
        </w:rPr>
        <w:t xml:space="preserve"> for some of these nodes</w:t>
      </w:r>
      <w:r w:rsidR="00656BE1" w:rsidRPr="00835BBB">
        <w:rPr>
          <w:rFonts w:ascii="Times New Roman" w:hAnsi="Times New Roman"/>
          <w:noProof/>
          <w:color w:val="auto"/>
          <w:sz w:val="24"/>
          <w:szCs w:val="24"/>
        </w:rPr>
        <w:t xml:space="preserve">, especially </w:t>
      </w:r>
      <w:r w:rsidR="00291298" w:rsidRPr="00835BBB">
        <w:rPr>
          <w:rFonts w:ascii="Times New Roman" w:hAnsi="Times New Roman"/>
          <w:noProof/>
          <w:color w:val="auto"/>
          <w:sz w:val="24"/>
          <w:szCs w:val="24"/>
        </w:rPr>
        <w:t>for ports</w:t>
      </w:r>
      <w:r w:rsidR="00656BE1" w:rsidRPr="00835BBB">
        <w:rPr>
          <w:rFonts w:ascii="Times New Roman" w:hAnsi="Times New Roman"/>
          <w:noProof/>
          <w:color w:val="auto"/>
          <w:sz w:val="24"/>
          <w:szCs w:val="24"/>
        </w:rPr>
        <w:t xml:space="preserve">: in a number of cases, </w:t>
      </w:r>
      <w:r w:rsidR="00F94B8E" w:rsidRPr="00835BBB">
        <w:rPr>
          <w:rFonts w:ascii="Times New Roman" w:hAnsi="Times New Roman"/>
          <w:noProof/>
          <w:color w:val="auto"/>
          <w:sz w:val="24"/>
          <w:szCs w:val="24"/>
        </w:rPr>
        <w:t xml:space="preserve">the existing rail connection is </w:t>
      </w:r>
      <w:r w:rsidR="00656BE1" w:rsidRPr="00835BBB">
        <w:rPr>
          <w:rFonts w:ascii="Times New Roman" w:hAnsi="Times New Roman"/>
          <w:noProof/>
          <w:color w:val="auto"/>
          <w:sz w:val="24"/>
          <w:szCs w:val="24"/>
        </w:rPr>
        <w:t xml:space="preserve">not sufficient in capacity </w:t>
      </w:r>
      <w:r w:rsidR="00F94B8E" w:rsidRPr="00835BBB">
        <w:rPr>
          <w:rFonts w:ascii="Times New Roman" w:hAnsi="Times New Roman"/>
          <w:noProof/>
          <w:color w:val="auto"/>
          <w:sz w:val="24"/>
          <w:szCs w:val="24"/>
        </w:rPr>
        <w:t xml:space="preserve">or quality </w:t>
      </w:r>
      <w:r w:rsidR="00656BE1" w:rsidRPr="00835BBB">
        <w:rPr>
          <w:rFonts w:ascii="Times New Roman" w:hAnsi="Times New Roman"/>
          <w:noProof/>
          <w:color w:val="auto"/>
          <w:sz w:val="24"/>
          <w:szCs w:val="24"/>
        </w:rPr>
        <w:t xml:space="preserve">terms or simply does not go to the first </w:t>
      </w:r>
      <w:r w:rsidR="001B2C89">
        <w:rPr>
          <w:rFonts w:ascii="Times New Roman" w:hAnsi="Times New Roman"/>
          <w:noProof/>
          <w:color w:val="auto"/>
          <w:sz w:val="24"/>
          <w:szCs w:val="24"/>
        </w:rPr>
        <w:t xml:space="preserve">and last </w:t>
      </w:r>
      <w:r w:rsidR="00656BE1" w:rsidRPr="00835BBB">
        <w:rPr>
          <w:rFonts w:ascii="Times New Roman" w:hAnsi="Times New Roman"/>
          <w:noProof/>
          <w:color w:val="auto"/>
          <w:sz w:val="24"/>
          <w:szCs w:val="24"/>
        </w:rPr>
        <w:t>mile.</w:t>
      </w:r>
      <w:r w:rsidR="00835BBB">
        <w:rPr>
          <w:rFonts w:ascii="Times New Roman" w:hAnsi="Times New Roman"/>
          <w:noProof/>
          <w:color w:val="auto"/>
          <w:sz w:val="24"/>
          <w:szCs w:val="24"/>
        </w:rPr>
        <w:t xml:space="preserve"> This is another limitation of a standard that is being addressed by the TEN-T revision. </w:t>
      </w:r>
    </w:p>
    <w:p w14:paraId="08D06870" w14:textId="77777777" w:rsidR="00E12DC2" w:rsidRPr="006D4FEE" w:rsidRDefault="00EA496A" w:rsidP="00E12DC2">
      <w:pPr>
        <w:pStyle w:val="Corps"/>
        <w:spacing w:after="240" w:line="240" w:lineRule="auto"/>
        <w:jc w:val="both"/>
        <w:rPr>
          <w:rFonts w:ascii="Times New Roman" w:hAnsi="Times New Roman"/>
          <w:noProof/>
          <w:color w:val="auto"/>
          <w:sz w:val="24"/>
          <w:szCs w:val="24"/>
        </w:rPr>
      </w:pPr>
      <w:r w:rsidRPr="00E12DC2">
        <w:rPr>
          <w:rFonts w:ascii="Times New Roman" w:hAnsi="Times New Roman"/>
          <w:noProof/>
          <w:color w:val="auto"/>
          <w:sz w:val="24"/>
          <w:szCs w:val="24"/>
        </w:rPr>
        <w:t>Next to the state of the technical implementation of the TEN-T, the present report also analyses the efforts of financial investments made on the TEN-T</w:t>
      </w:r>
      <w:r w:rsidR="00DD39BF" w:rsidRPr="00E12DC2">
        <w:rPr>
          <w:rFonts w:ascii="Times New Roman" w:hAnsi="Times New Roman"/>
          <w:noProof/>
          <w:color w:val="auto"/>
          <w:sz w:val="24"/>
          <w:szCs w:val="24"/>
        </w:rPr>
        <w:t xml:space="preserve"> as a whole</w:t>
      </w:r>
      <w:r w:rsidRPr="00E12DC2">
        <w:rPr>
          <w:rFonts w:ascii="Times New Roman" w:hAnsi="Times New Roman"/>
          <w:noProof/>
          <w:color w:val="auto"/>
          <w:sz w:val="24"/>
          <w:szCs w:val="24"/>
        </w:rPr>
        <w:t xml:space="preserve">. </w:t>
      </w:r>
      <w:r w:rsidR="00E12DC2" w:rsidRPr="006D4FEE">
        <w:rPr>
          <w:rFonts w:ascii="Times New Roman" w:hAnsi="Times New Roman"/>
          <w:noProof/>
          <w:color w:val="auto"/>
          <w:sz w:val="24"/>
          <w:szCs w:val="24"/>
        </w:rPr>
        <w:t xml:space="preserve">In the course of 2018 and 2019, the total investment made on the TEN-T network was </w:t>
      </w:r>
      <w:r w:rsidR="00E12DC2">
        <w:rPr>
          <w:rFonts w:ascii="Times New Roman" w:hAnsi="Times New Roman"/>
          <w:noProof/>
          <w:color w:val="auto"/>
          <w:sz w:val="24"/>
          <w:szCs w:val="24"/>
        </w:rPr>
        <w:t>almost</w:t>
      </w:r>
      <w:r w:rsidR="00E12DC2" w:rsidRPr="006D4FEE">
        <w:rPr>
          <w:rFonts w:ascii="Times New Roman" w:hAnsi="Times New Roman"/>
          <w:noProof/>
          <w:color w:val="auto"/>
          <w:sz w:val="24"/>
          <w:szCs w:val="24"/>
        </w:rPr>
        <w:t xml:space="preserve"> EUR </w:t>
      </w:r>
      <w:r w:rsidR="00E12DC2">
        <w:rPr>
          <w:rFonts w:ascii="Times New Roman" w:hAnsi="Times New Roman"/>
          <w:noProof/>
          <w:color w:val="auto"/>
          <w:sz w:val="24"/>
          <w:szCs w:val="24"/>
        </w:rPr>
        <w:t>111</w:t>
      </w:r>
      <w:r w:rsidR="00E12DC2" w:rsidRPr="006D4FEE">
        <w:rPr>
          <w:rFonts w:ascii="Times New Roman" w:hAnsi="Times New Roman"/>
          <w:noProof/>
          <w:color w:val="auto"/>
          <w:sz w:val="24"/>
          <w:szCs w:val="24"/>
        </w:rPr>
        <w:t xml:space="preserve"> billion</w:t>
      </w:r>
      <w:r w:rsidR="00E12DC2">
        <w:rPr>
          <w:rFonts w:ascii="Times New Roman" w:hAnsi="Times New Roman"/>
          <w:noProof/>
          <w:color w:val="auto"/>
          <w:sz w:val="24"/>
          <w:szCs w:val="24"/>
        </w:rPr>
        <w:t>, and thus a remarkable EUR 20 billion of investments more than in 2016 and 2017. This clearly shows the steady progress made by Member States in the implementation of projects of common interest on the trans-European transport network</w:t>
      </w:r>
      <w:r w:rsidR="00E12DC2" w:rsidRPr="006D4FEE">
        <w:rPr>
          <w:rFonts w:ascii="Times New Roman" w:hAnsi="Times New Roman"/>
          <w:noProof/>
          <w:color w:val="auto"/>
          <w:sz w:val="24"/>
          <w:szCs w:val="24"/>
        </w:rPr>
        <w:t xml:space="preserve">. </w:t>
      </w:r>
    </w:p>
    <w:p w14:paraId="08D06871" w14:textId="77777777" w:rsidR="00C00530" w:rsidRPr="00AA44E0" w:rsidRDefault="00E12DC2" w:rsidP="00C00530">
      <w:pPr>
        <w:pStyle w:val="Corps"/>
        <w:spacing w:after="240" w:line="240" w:lineRule="auto"/>
        <w:jc w:val="both"/>
        <w:rPr>
          <w:rFonts w:ascii="Times New Roman" w:hAnsi="Times New Roman"/>
          <w:noProof/>
          <w:color w:val="C00000"/>
          <w:sz w:val="24"/>
          <w:szCs w:val="24"/>
        </w:rPr>
      </w:pPr>
      <w:r w:rsidRPr="001C2941">
        <w:rPr>
          <w:rFonts w:ascii="Times New Roman" w:hAnsi="Times New Roman"/>
          <w:noProof/>
          <w:color w:val="auto"/>
          <w:sz w:val="24"/>
          <w:szCs w:val="24"/>
        </w:rPr>
        <w:t xml:space="preserve">Out of the EUR </w:t>
      </w:r>
      <w:r w:rsidR="00C00530">
        <w:rPr>
          <w:rFonts w:ascii="Times New Roman" w:hAnsi="Times New Roman"/>
          <w:noProof/>
          <w:color w:val="auto"/>
          <w:sz w:val="24"/>
          <w:szCs w:val="24"/>
        </w:rPr>
        <w:t xml:space="preserve">111 billion of total investments, the majority has been made by national resources (EUR </w:t>
      </w:r>
      <w:r w:rsidRPr="001C2941">
        <w:rPr>
          <w:rFonts w:ascii="Times New Roman" w:hAnsi="Times New Roman"/>
          <w:noProof/>
          <w:color w:val="auto"/>
          <w:sz w:val="24"/>
          <w:szCs w:val="24"/>
        </w:rPr>
        <w:t>93.5</w:t>
      </w:r>
      <w:r w:rsidR="00B472A3">
        <w:rPr>
          <w:rFonts w:ascii="Times New Roman" w:hAnsi="Times New Roman"/>
          <w:noProof/>
          <w:color w:val="auto"/>
          <w:sz w:val="24"/>
          <w:szCs w:val="24"/>
        </w:rPr>
        <w:t xml:space="preserve"> billion, i.e. 84%);</w:t>
      </w:r>
      <w:r w:rsidR="00C00530">
        <w:rPr>
          <w:rFonts w:ascii="Times New Roman" w:hAnsi="Times New Roman"/>
          <w:noProof/>
          <w:color w:val="auto"/>
          <w:sz w:val="24"/>
          <w:szCs w:val="24"/>
        </w:rPr>
        <w:t xml:space="preserve"> EUR 4.6 billion EUR were granted through the Connecting Europe Facility (CEF)</w:t>
      </w:r>
      <w:r w:rsidR="00DB6373">
        <w:rPr>
          <w:rStyle w:val="FootnoteReference"/>
          <w:rFonts w:ascii="Times New Roman" w:hAnsi="Times New Roman"/>
          <w:noProof/>
          <w:color w:val="auto"/>
          <w:sz w:val="24"/>
          <w:szCs w:val="24"/>
        </w:rPr>
        <w:footnoteReference w:id="10"/>
      </w:r>
      <w:r w:rsidR="00C00530">
        <w:rPr>
          <w:rFonts w:ascii="Times New Roman" w:hAnsi="Times New Roman"/>
          <w:noProof/>
          <w:color w:val="auto"/>
          <w:sz w:val="24"/>
          <w:szCs w:val="24"/>
        </w:rPr>
        <w:t xml:space="preserve">, EUR 26.4 billion were co-funded through the European Structural and Investment Funds (ESIF) and EUR 7.7 billion were financed through EIB loans. </w:t>
      </w:r>
      <w:r w:rsidR="00C00530" w:rsidRPr="001C2941">
        <w:rPr>
          <w:rFonts w:ascii="Times New Roman" w:hAnsi="Times New Roman"/>
          <w:noProof/>
          <w:color w:val="auto"/>
          <w:sz w:val="24"/>
          <w:szCs w:val="24"/>
        </w:rPr>
        <w:t>Out of the EUR 93.5 billion of total investments reported by Member States, the majority has been invested on the core network (72%). Similarly, most funds have been attributed to TEN-T railways (including ERTMS) (42%).</w:t>
      </w:r>
      <w:r w:rsidR="00C00530" w:rsidRPr="001C2941">
        <w:rPr>
          <w:rFonts w:ascii="Times New Roman" w:hAnsi="Times New Roman"/>
          <w:noProof/>
          <w:color w:val="C00000"/>
          <w:sz w:val="24"/>
          <w:szCs w:val="24"/>
        </w:rPr>
        <w:t xml:space="preserve"> </w:t>
      </w:r>
    </w:p>
    <w:p w14:paraId="08D06872" w14:textId="77777777" w:rsidR="00F03205" w:rsidRPr="00687F77" w:rsidRDefault="002259D3" w:rsidP="00687F77">
      <w:pPr>
        <w:pStyle w:val="ManualHeading2"/>
        <w:numPr>
          <w:ilvl w:val="1"/>
          <w:numId w:val="2"/>
        </w:numPr>
        <w:rPr>
          <w:noProof/>
          <w:lang w:val="en-GB"/>
        </w:rPr>
      </w:pPr>
      <w:r w:rsidRPr="00687F77">
        <w:rPr>
          <w:noProof/>
          <w:lang w:val="en-GB"/>
        </w:rPr>
        <w:t xml:space="preserve">Scope and </w:t>
      </w:r>
      <w:r w:rsidR="00AB3DD8">
        <w:rPr>
          <w:noProof/>
          <w:lang w:val="en-GB"/>
        </w:rPr>
        <w:t>m</w:t>
      </w:r>
      <w:r w:rsidRPr="00687F77">
        <w:rPr>
          <w:noProof/>
          <w:lang w:val="en-GB"/>
        </w:rPr>
        <w:t xml:space="preserve">ethodology </w:t>
      </w:r>
    </w:p>
    <w:p w14:paraId="08D06873" w14:textId="77777777" w:rsidR="00486711" w:rsidRDefault="00DD39BF">
      <w:pPr>
        <w:pStyle w:val="Corps"/>
        <w:spacing w:after="240" w:line="240" w:lineRule="auto"/>
        <w:jc w:val="both"/>
        <w:rPr>
          <w:rFonts w:ascii="Times New Roman" w:hAnsi="Times New Roman"/>
          <w:noProof/>
          <w:color w:val="auto"/>
          <w:sz w:val="24"/>
          <w:szCs w:val="24"/>
        </w:rPr>
      </w:pPr>
      <w:r w:rsidRPr="00F14EBD">
        <w:rPr>
          <w:rFonts w:ascii="Times New Roman" w:hAnsi="Times New Roman"/>
          <w:noProof/>
          <w:color w:val="auto"/>
          <w:sz w:val="24"/>
          <w:szCs w:val="24"/>
        </w:rPr>
        <w:t>Article 49(</w:t>
      </w:r>
      <w:r w:rsidR="002259D3" w:rsidRPr="00F14EBD">
        <w:rPr>
          <w:rFonts w:ascii="Times New Roman" w:hAnsi="Times New Roman"/>
          <w:noProof/>
          <w:color w:val="auto"/>
          <w:sz w:val="24"/>
          <w:szCs w:val="24"/>
        </w:rPr>
        <w:t>3</w:t>
      </w:r>
      <w:r w:rsidRPr="00F14EBD">
        <w:rPr>
          <w:rFonts w:ascii="Times New Roman" w:hAnsi="Times New Roman"/>
          <w:noProof/>
          <w:color w:val="auto"/>
          <w:sz w:val="24"/>
          <w:szCs w:val="24"/>
        </w:rPr>
        <w:t>)</w:t>
      </w:r>
      <w:r w:rsidR="002259D3" w:rsidRPr="00F14EBD">
        <w:rPr>
          <w:rFonts w:ascii="Times New Roman" w:hAnsi="Times New Roman"/>
          <w:noProof/>
          <w:color w:val="auto"/>
          <w:sz w:val="24"/>
          <w:szCs w:val="24"/>
        </w:rPr>
        <w:t xml:space="preserve"> of </w:t>
      </w:r>
      <w:r w:rsidR="00AC042A" w:rsidRPr="00F14EBD">
        <w:rPr>
          <w:rFonts w:ascii="Times New Roman" w:hAnsi="Times New Roman"/>
          <w:noProof/>
          <w:color w:val="auto"/>
          <w:sz w:val="24"/>
          <w:szCs w:val="24"/>
        </w:rPr>
        <w:t xml:space="preserve">the </w:t>
      </w:r>
      <w:r w:rsidR="002259D3" w:rsidRPr="00F14EBD">
        <w:rPr>
          <w:rFonts w:ascii="Times New Roman" w:hAnsi="Times New Roman"/>
          <w:noProof/>
          <w:color w:val="auto"/>
          <w:sz w:val="24"/>
          <w:szCs w:val="24"/>
        </w:rPr>
        <w:t xml:space="preserve">TEN-T Regulation </w:t>
      </w:r>
      <w:r w:rsidR="003B627A">
        <w:rPr>
          <w:rFonts w:ascii="Times New Roman" w:hAnsi="Times New Roman"/>
          <w:noProof/>
          <w:color w:val="auto"/>
          <w:sz w:val="24"/>
          <w:szCs w:val="24"/>
        </w:rPr>
        <w:t xml:space="preserve">lays down </w:t>
      </w:r>
      <w:r w:rsidR="002259D3" w:rsidRPr="00F14EBD">
        <w:rPr>
          <w:rFonts w:ascii="Times New Roman" w:hAnsi="Times New Roman"/>
          <w:noProof/>
          <w:color w:val="auto"/>
          <w:sz w:val="24"/>
          <w:szCs w:val="24"/>
        </w:rPr>
        <w:t xml:space="preserve">the scope of </w:t>
      </w:r>
      <w:r w:rsidR="004B2C30" w:rsidRPr="00F14EBD">
        <w:rPr>
          <w:rFonts w:ascii="Times New Roman" w:hAnsi="Times New Roman"/>
          <w:noProof/>
          <w:color w:val="auto"/>
          <w:sz w:val="24"/>
          <w:szCs w:val="24"/>
        </w:rPr>
        <w:t xml:space="preserve">the </w:t>
      </w:r>
      <w:r w:rsidR="002259D3" w:rsidRPr="00F14EBD">
        <w:rPr>
          <w:rFonts w:ascii="Times New Roman" w:hAnsi="Times New Roman"/>
          <w:noProof/>
          <w:color w:val="auto"/>
          <w:sz w:val="24"/>
          <w:szCs w:val="24"/>
        </w:rPr>
        <w:t xml:space="preserve">Commission's reporting obligation. </w:t>
      </w:r>
      <w:r w:rsidR="003B627A">
        <w:rPr>
          <w:rFonts w:ascii="Times New Roman" w:hAnsi="Times New Roman"/>
          <w:noProof/>
          <w:color w:val="auto"/>
          <w:sz w:val="24"/>
          <w:szCs w:val="24"/>
        </w:rPr>
        <w:t>It</w:t>
      </w:r>
      <w:r w:rsidR="00F14EBD">
        <w:rPr>
          <w:rFonts w:ascii="Times New Roman" w:hAnsi="Times New Roman"/>
          <w:noProof/>
          <w:color w:val="auto"/>
          <w:sz w:val="24"/>
          <w:szCs w:val="24"/>
        </w:rPr>
        <w:t xml:space="preserve"> defines that</w:t>
      </w:r>
      <w:r w:rsidR="003B627A">
        <w:rPr>
          <w:rFonts w:ascii="Times New Roman" w:hAnsi="Times New Roman"/>
          <w:noProof/>
          <w:color w:val="auto"/>
          <w:sz w:val="24"/>
          <w:szCs w:val="24"/>
        </w:rPr>
        <w:t xml:space="preserve"> every two years </w:t>
      </w:r>
      <w:r w:rsidR="00F14EBD">
        <w:rPr>
          <w:rFonts w:ascii="Times New Roman" w:hAnsi="Times New Roman"/>
          <w:noProof/>
          <w:color w:val="auto"/>
          <w:sz w:val="24"/>
          <w:szCs w:val="24"/>
        </w:rPr>
        <w:t>t</w:t>
      </w:r>
      <w:r w:rsidR="005A658E" w:rsidRPr="00F14EBD">
        <w:rPr>
          <w:rFonts w:ascii="Times New Roman" w:hAnsi="Times New Roman"/>
          <w:noProof/>
          <w:color w:val="auto"/>
          <w:sz w:val="24"/>
          <w:szCs w:val="24"/>
        </w:rPr>
        <w:t>he</w:t>
      </w:r>
      <w:r w:rsidR="002259D3" w:rsidRPr="00F14EBD">
        <w:rPr>
          <w:rFonts w:ascii="Times New Roman" w:hAnsi="Times New Roman"/>
          <w:noProof/>
          <w:color w:val="auto"/>
          <w:sz w:val="24"/>
          <w:szCs w:val="24"/>
        </w:rPr>
        <w:t xml:space="preserve"> Commission should analyse the development of the trans-European transport network </w:t>
      </w:r>
      <w:r w:rsidR="00486711">
        <w:rPr>
          <w:rFonts w:ascii="Times New Roman" w:hAnsi="Times New Roman"/>
          <w:noProof/>
          <w:color w:val="auto"/>
          <w:sz w:val="24"/>
          <w:szCs w:val="24"/>
        </w:rPr>
        <w:t>in terms of its compliance with the technical requirements of the Regulation</w:t>
      </w:r>
      <w:r w:rsidR="003B627A">
        <w:rPr>
          <w:rFonts w:ascii="Times New Roman" w:hAnsi="Times New Roman"/>
          <w:noProof/>
          <w:color w:val="auto"/>
          <w:sz w:val="24"/>
          <w:szCs w:val="24"/>
        </w:rPr>
        <w:t xml:space="preserve"> and </w:t>
      </w:r>
      <w:r w:rsidR="002259D3" w:rsidRPr="00F14EBD">
        <w:rPr>
          <w:rFonts w:ascii="Times New Roman" w:hAnsi="Times New Roman"/>
          <w:noProof/>
          <w:color w:val="auto"/>
          <w:sz w:val="24"/>
          <w:szCs w:val="24"/>
        </w:rPr>
        <w:t>make available information on</w:t>
      </w:r>
      <w:r w:rsidR="004B2C30" w:rsidRPr="00F14EBD">
        <w:rPr>
          <w:rFonts w:ascii="Times New Roman" w:hAnsi="Times New Roman"/>
          <w:noProof/>
          <w:color w:val="auto"/>
          <w:sz w:val="24"/>
          <w:szCs w:val="24"/>
        </w:rPr>
        <w:t xml:space="preserve"> the</w:t>
      </w:r>
      <w:r w:rsidR="002259D3" w:rsidRPr="00F14EBD">
        <w:rPr>
          <w:rFonts w:ascii="Times New Roman" w:hAnsi="Times New Roman"/>
          <w:noProof/>
          <w:color w:val="auto"/>
          <w:sz w:val="24"/>
          <w:szCs w:val="24"/>
        </w:rPr>
        <w:t xml:space="preserve"> use of various forms of financial assistance for all transport modes as well as other elements of the core and comprehensive network in each Member State.</w:t>
      </w:r>
    </w:p>
    <w:p w14:paraId="08D06874" w14:textId="77777777" w:rsidR="00310456" w:rsidRDefault="00486711">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 xml:space="preserve">The present </w:t>
      </w:r>
      <w:r w:rsidR="00A40F67">
        <w:rPr>
          <w:rFonts w:ascii="Times New Roman" w:hAnsi="Times New Roman"/>
          <w:noProof/>
          <w:color w:val="auto"/>
          <w:sz w:val="24"/>
          <w:szCs w:val="24"/>
        </w:rPr>
        <w:t>biennial</w:t>
      </w:r>
      <w:r>
        <w:rPr>
          <w:rFonts w:ascii="Times New Roman" w:hAnsi="Times New Roman"/>
          <w:noProof/>
          <w:color w:val="auto"/>
          <w:sz w:val="24"/>
          <w:szCs w:val="24"/>
        </w:rPr>
        <w:t xml:space="preserve"> report is the third report </w:t>
      </w:r>
      <w:r w:rsidR="003B627A">
        <w:rPr>
          <w:rFonts w:ascii="Times New Roman" w:hAnsi="Times New Roman"/>
          <w:noProof/>
          <w:color w:val="auto"/>
          <w:sz w:val="24"/>
          <w:szCs w:val="24"/>
        </w:rPr>
        <w:t>responding to this reporting obligation</w:t>
      </w:r>
      <w:r>
        <w:rPr>
          <w:rFonts w:ascii="Times New Roman" w:hAnsi="Times New Roman"/>
          <w:noProof/>
          <w:color w:val="auto"/>
          <w:sz w:val="24"/>
          <w:szCs w:val="24"/>
        </w:rPr>
        <w:t xml:space="preserve">. A first </w:t>
      </w:r>
      <w:r w:rsidR="00310456" w:rsidRPr="00486711">
        <w:rPr>
          <w:rFonts w:ascii="Times New Roman" w:hAnsi="Times New Roman"/>
          <w:noProof/>
          <w:color w:val="auto"/>
          <w:sz w:val="24"/>
          <w:szCs w:val="24"/>
        </w:rPr>
        <w:t>implementation report for the reporting years 2014-2015 has been adopted in June 2017</w:t>
      </w:r>
      <w:r w:rsidR="003B627A">
        <w:rPr>
          <w:rStyle w:val="FootnoteReference"/>
          <w:rFonts w:ascii="Times New Roman" w:hAnsi="Times New Roman"/>
          <w:noProof/>
          <w:color w:val="auto"/>
          <w:sz w:val="24"/>
          <w:szCs w:val="24"/>
        </w:rPr>
        <w:footnoteReference w:id="11"/>
      </w:r>
      <w:r>
        <w:rPr>
          <w:rFonts w:ascii="Times New Roman" w:hAnsi="Times New Roman"/>
          <w:noProof/>
          <w:color w:val="auto"/>
          <w:sz w:val="24"/>
          <w:szCs w:val="24"/>
        </w:rPr>
        <w:t>; a second implementation report for the reporting years 2016-2017 has been adopted in August 2020</w:t>
      </w:r>
      <w:r w:rsidR="003B627A">
        <w:rPr>
          <w:rStyle w:val="FootnoteReference"/>
          <w:rFonts w:ascii="Times New Roman" w:hAnsi="Times New Roman"/>
          <w:noProof/>
          <w:color w:val="auto"/>
          <w:sz w:val="24"/>
          <w:szCs w:val="24"/>
        </w:rPr>
        <w:footnoteReference w:id="12"/>
      </w:r>
      <w:r w:rsidR="00310456" w:rsidRPr="00486711">
        <w:rPr>
          <w:rFonts w:ascii="Times New Roman" w:hAnsi="Times New Roman"/>
          <w:noProof/>
          <w:color w:val="auto"/>
          <w:sz w:val="24"/>
          <w:szCs w:val="24"/>
        </w:rPr>
        <w:t xml:space="preserve">. </w:t>
      </w:r>
    </w:p>
    <w:p w14:paraId="08D06875" w14:textId="77777777" w:rsidR="008C5416" w:rsidRDefault="000A4988" w:rsidP="000A4988">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 xml:space="preserve">Whereas the first report of 2014-2015 suffered from a variety of constraints in terms of data availability and methodological limitations, </w:t>
      </w:r>
      <w:r w:rsidR="008C5416">
        <w:rPr>
          <w:rFonts w:ascii="Times New Roman" w:hAnsi="Times New Roman"/>
          <w:noProof/>
          <w:color w:val="auto"/>
          <w:sz w:val="24"/>
          <w:szCs w:val="24"/>
        </w:rPr>
        <w:t>both the</w:t>
      </w:r>
      <w:r>
        <w:rPr>
          <w:rFonts w:ascii="Times New Roman" w:hAnsi="Times New Roman"/>
          <w:noProof/>
          <w:color w:val="auto"/>
          <w:sz w:val="24"/>
          <w:szCs w:val="24"/>
        </w:rPr>
        <w:t xml:space="preserve"> 2016-2017 report </w:t>
      </w:r>
      <w:r w:rsidR="008C5416">
        <w:rPr>
          <w:rFonts w:ascii="Times New Roman" w:hAnsi="Times New Roman"/>
          <w:noProof/>
          <w:color w:val="auto"/>
          <w:sz w:val="24"/>
          <w:szCs w:val="24"/>
        </w:rPr>
        <w:t xml:space="preserve">and the </w:t>
      </w:r>
      <w:r>
        <w:rPr>
          <w:rFonts w:ascii="Times New Roman" w:hAnsi="Times New Roman"/>
          <w:noProof/>
          <w:color w:val="auto"/>
          <w:sz w:val="24"/>
          <w:szCs w:val="24"/>
        </w:rPr>
        <w:t xml:space="preserve">present report </w:t>
      </w:r>
      <w:r w:rsidR="008C5416">
        <w:rPr>
          <w:rFonts w:ascii="Times New Roman" w:hAnsi="Times New Roman"/>
          <w:noProof/>
          <w:color w:val="auto"/>
          <w:sz w:val="24"/>
          <w:szCs w:val="24"/>
        </w:rPr>
        <w:t xml:space="preserve">for </w:t>
      </w:r>
      <w:r w:rsidRPr="000A4988">
        <w:rPr>
          <w:rFonts w:ascii="Times New Roman" w:hAnsi="Times New Roman"/>
          <w:noProof/>
          <w:color w:val="auto"/>
          <w:sz w:val="24"/>
          <w:szCs w:val="24"/>
        </w:rPr>
        <w:t xml:space="preserve">2018-2019 follow the same methodological approach. </w:t>
      </w:r>
      <w:r w:rsidR="00EF12B3">
        <w:rPr>
          <w:rFonts w:ascii="Times New Roman" w:hAnsi="Times New Roman"/>
          <w:noProof/>
          <w:color w:val="auto"/>
          <w:sz w:val="24"/>
          <w:szCs w:val="24"/>
        </w:rPr>
        <w:t>The</w:t>
      </w:r>
      <w:r w:rsidRPr="000A4988">
        <w:rPr>
          <w:rFonts w:ascii="Times New Roman" w:hAnsi="Times New Roman"/>
          <w:noProof/>
          <w:color w:val="auto"/>
          <w:sz w:val="24"/>
          <w:szCs w:val="24"/>
        </w:rPr>
        <w:t xml:space="preserve"> present report </w:t>
      </w:r>
      <w:r w:rsidR="00B11ACC" w:rsidRPr="000A4988">
        <w:rPr>
          <w:rFonts w:ascii="Times New Roman" w:hAnsi="Times New Roman"/>
          <w:noProof/>
          <w:color w:val="auto"/>
          <w:sz w:val="24"/>
          <w:szCs w:val="24"/>
        </w:rPr>
        <w:t>represents an analysis of the implementation of the TEN-T technical parameters</w:t>
      </w:r>
      <w:r w:rsidR="008C5416">
        <w:rPr>
          <w:rFonts w:ascii="Times New Roman" w:hAnsi="Times New Roman"/>
          <w:noProof/>
          <w:color w:val="auto"/>
          <w:sz w:val="24"/>
          <w:szCs w:val="24"/>
        </w:rPr>
        <w:t xml:space="preserve"> </w:t>
      </w:r>
      <w:r w:rsidR="008C5416" w:rsidRPr="00F14EBD">
        <w:rPr>
          <w:rFonts w:ascii="Times New Roman" w:hAnsi="Times New Roman"/>
          <w:noProof/>
          <w:color w:val="auto"/>
          <w:sz w:val="24"/>
          <w:szCs w:val="24"/>
        </w:rPr>
        <w:t>on the basis of information transmitted by the Member States</w:t>
      </w:r>
      <w:r w:rsidR="008C5416">
        <w:rPr>
          <w:rFonts w:ascii="Times New Roman" w:hAnsi="Times New Roman"/>
          <w:noProof/>
          <w:color w:val="auto"/>
          <w:sz w:val="24"/>
          <w:szCs w:val="24"/>
        </w:rPr>
        <w:t xml:space="preserve"> </w:t>
      </w:r>
      <w:r w:rsidR="008C5416" w:rsidRPr="00F14EBD">
        <w:rPr>
          <w:rFonts w:ascii="Times New Roman" w:hAnsi="Times New Roman"/>
          <w:noProof/>
          <w:color w:val="auto"/>
          <w:sz w:val="24"/>
          <w:szCs w:val="24"/>
        </w:rPr>
        <w:t xml:space="preserve">on the progress </w:t>
      </w:r>
      <w:r w:rsidR="008C5416">
        <w:rPr>
          <w:rFonts w:ascii="Times New Roman" w:hAnsi="Times New Roman"/>
          <w:noProof/>
          <w:color w:val="auto"/>
          <w:sz w:val="24"/>
          <w:szCs w:val="24"/>
        </w:rPr>
        <w:t xml:space="preserve">made with regard to the implementation of projects of common interest. Member States report this information </w:t>
      </w:r>
      <w:r w:rsidR="008C5416" w:rsidRPr="00F14EBD">
        <w:rPr>
          <w:rFonts w:ascii="Times New Roman" w:hAnsi="Times New Roman"/>
          <w:noProof/>
          <w:color w:val="auto"/>
          <w:sz w:val="24"/>
          <w:szCs w:val="24"/>
        </w:rPr>
        <w:t xml:space="preserve">in particular through </w:t>
      </w:r>
      <w:r w:rsidR="008C5416">
        <w:rPr>
          <w:rFonts w:ascii="Times New Roman" w:hAnsi="Times New Roman"/>
          <w:noProof/>
          <w:color w:val="auto"/>
          <w:sz w:val="24"/>
          <w:szCs w:val="24"/>
        </w:rPr>
        <w:t xml:space="preserve">the upload of data in </w:t>
      </w:r>
      <w:r w:rsidR="008C5416" w:rsidRPr="00F14EBD">
        <w:rPr>
          <w:rFonts w:ascii="Times New Roman" w:hAnsi="Times New Roman"/>
          <w:noProof/>
          <w:color w:val="auto"/>
          <w:sz w:val="24"/>
          <w:szCs w:val="24"/>
        </w:rPr>
        <w:t>the interactive geographical and technical system for the trans-European transport network (TENtec</w:t>
      </w:r>
      <w:r w:rsidR="008C5416">
        <w:rPr>
          <w:rFonts w:ascii="Times New Roman" w:hAnsi="Times New Roman"/>
          <w:noProof/>
          <w:color w:val="auto"/>
          <w:sz w:val="24"/>
          <w:szCs w:val="24"/>
        </w:rPr>
        <w:t xml:space="preserve">). To this aim, TENtec defines a </w:t>
      </w:r>
      <w:r w:rsidR="00B11ACC" w:rsidRPr="000A4988">
        <w:rPr>
          <w:rFonts w:ascii="Times New Roman" w:hAnsi="Times New Roman"/>
          <w:noProof/>
          <w:color w:val="auto"/>
          <w:sz w:val="24"/>
          <w:szCs w:val="24"/>
        </w:rPr>
        <w:t xml:space="preserve">set of key performance indicators (KPIs) on the basis of transport infrastructure requirements foreseen in the TEN-T Regulation. </w:t>
      </w:r>
    </w:p>
    <w:p w14:paraId="08D06876" w14:textId="77777777" w:rsidR="00B11ACC" w:rsidRDefault="000A4988" w:rsidP="000A4988">
      <w:pPr>
        <w:pStyle w:val="Corps"/>
        <w:spacing w:after="240" w:line="240" w:lineRule="auto"/>
        <w:jc w:val="both"/>
        <w:rPr>
          <w:rFonts w:ascii="Times New Roman" w:hAnsi="Times New Roman"/>
          <w:noProof/>
          <w:color w:val="auto"/>
          <w:sz w:val="24"/>
          <w:szCs w:val="24"/>
        </w:rPr>
      </w:pPr>
      <w:r w:rsidRPr="000A4988">
        <w:rPr>
          <w:rFonts w:ascii="Times New Roman" w:hAnsi="Times New Roman"/>
          <w:noProof/>
          <w:color w:val="auto"/>
          <w:sz w:val="24"/>
          <w:szCs w:val="24"/>
        </w:rPr>
        <w:t>As for the previous report, t</w:t>
      </w:r>
      <w:r w:rsidR="00B11ACC" w:rsidRPr="000A4988">
        <w:rPr>
          <w:rFonts w:ascii="Times New Roman" w:hAnsi="Times New Roman"/>
          <w:noProof/>
          <w:color w:val="auto"/>
          <w:sz w:val="24"/>
          <w:szCs w:val="24"/>
        </w:rPr>
        <w:t xml:space="preserve">he data set for </w:t>
      </w:r>
      <w:r w:rsidR="001B2C89">
        <w:rPr>
          <w:rFonts w:ascii="Times New Roman" w:hAnsi="Times New Roman"/>
          <w:noProof/>
          <w:color w:val="auto"/>
          <w:sz w:val="24"/>
          <w:szCs w:val="24"/>
        </w:rPr>
        <w:t xml:space="preserve">the technical parameters </w:t>
      </w:r>
      <w:r w:rsidR="00B11ACC" w:rsidRPr="000A4988">
        <w:rPr>
          <w:rFonts w:ascii="Times New Roman" w:hAnsi="Times New Roman"/>
          <w:noProof/>
          <w:color w:val="auto"/>
          <w:sz w:val="24"/>
          <w:szCs w:val="24"/>
        </w:rPr>
        <w:t>for 201</w:t>
      </w:r>
      <w:r w:rsidRPr="000A4988">
        <w:rPr>
          <w:rFonts w:ascii="Times New Roman" w:hAnsi="Times New Roman"/>
          <w:noProof/>
          <w:color w:val="auto"/>
          <w:sz w:val="24"/>
          <w:szCs w:val="24"/>
        </w:rPr>
        <w:t>8</w:t>
      </w:r>
      <w:r w:rsidR="00B11ACC" w:rsidRPr="000A4988">
        <w:rPr>
          <w:rFonts w:ascii="Times New Roman" w:hAnsi="Times New Roman"/>
          <w:noProof/>
          <w:color w:val="auto"/>
          <w:sz w:val="24"/>
          <w:szCs w:val="24"/>
        </w:rPr>
        <w:t xml:space="preserve"> and 201</w:t>
      </w:r>
      <w:r w:rsidRPr="000A4988">
        <w:rPr>
          <w:rFonts w:ascii="Times New Roman" w:hAnsi="Times New Roman"/>
          <w:noProof/>
          <w:color w:val="auto"/>
          <w:sz w:val="24"/>
          <w:szCs w:val="24"/>
        </w:rPr>
        <w:t>9</w:t>
      </w:r>
      <w:r w:rsidR="00B11ACC" w:rsidRPr="000A4988">
        <w:rPr>
          <w:rFonts w:ascii="Times New Roman" w:hAnsi="Times New Roman"/>
          <w:noProof/>
          <w:color w:val="auto"/>
          <w:sz w:val="24"/>
          <w:szCs w:val="24"/>
        </w:rPr>
        <w:t xml:space="preserve"> is however limited to the network of the core network</w:t>
      </w:r>
      <w:r w:rsidR="00173468" w:rsidRPr="000A4988">
        <w:rPr>
          <w:rFonts w:ascii="Times New Roman" w:hAnsi="Times New Roman"/>
          <w:noProof/>
          <w:color w:val="auto"/>
          <w:sz w:val="24"/>
          <w:szCs w:val="24"/>
        </w:rPr>
        <w:t xml:space="preserve"> corridors</w:t>
      </w:r>
      <w:r w:rsidR="00DC3192">
        <w:rPr>
          <w:rFonts w:ascii="Times New Roman" w:hAnsi="Times New Roman"/>
          <w:noProof/>
          <w:color w:val="auto"/>
          <w:sz w:val="24"/>
          <w:szCs w:val="24"/>
        </w:rPr>
        <w:t xml:space="preserve"> (CNC)</w:t>
      </w:r>
      <w:r w:rsidR="0051560A">
        <w:rPr>
          <w:rStyle w:val="FootnoteReference"/>
          <w:rFonts w:ascii="Times New Roman" w:hAnsi="Times New Roman"/>
          <w:noProof/>
          <w:color w:val="auto"/>
          <w:sz w:val="24"/>
          <w:szCs w:val="24"/>
        </w:rPr>
        <w:footnoteReference w:id="13"/>
      </w:r>
      <w:r w:rsidR="008C5416">
        <w:rPr>
          <w:rFonts w:ascii="Times New Roman" w:hAnsi="Times New Roman"/>
          <w:noProof/>
          <w:color w:val="auto"/>
          <w:sz w:val="24"/>
          <w:szCs w:val="24"/>
        </w:rPr>
        <w:t xml:space="preserve"> and </w:t>
      </w:r>
      <w:r w:rsidR="001B2C89">
        <w:rPr>
          <w:rFonts w:ascii="Times New Roman" w:hAnsi="Times New Roman"/>
          <w:noProof/>
          <w:color w:val="auto"/>
          <w:sz w:val="24"/>
          <w:szCs w:val="24"/>
        </w:rPr>
        <w:t xml:space="preserve">thus </w:t>
      </w:r>
      <w:r w:rsidR="008C5416">
        <w:rPr>
          <w:rFonts w:ascii="Times New Roman" w:hAnsi="Times New Roman"/>
          <w:noProof/>
          <w:color w:val="auto"/>
          <w:sz w:val="24"/>
          <w:szCs w:val="24"/>
        </w:rPr>
        <w:t xml:space="preserve">does </w:t>
      </w:r>
      <w:r w:rsidR="0070784F">
        <w:rPr>
          <w:rFonts w:ascii="Times New Roman" w:hAnsi="Times New Roman"/>
          <w:noProof/>
          <w:color w:val="auto"/>
          <w:sz w:val="24"/>
          <w:szCs w:val="24"/>
        </w:rPr>
        <w:t>not cover the entire</w:t>
      </w:r>
      <w:r w:rsidR="008C5416">
        <w:rPr>
          <w:rFonts w:ascii="Times New Roman" w:hAnsi="Times New Roman"/>
          <w:noProof/>
          <w:color w:val="auto"/>
          <w:sz w:val="24"/>
          <w:szCs w:val="24"/>
        </w:rPr>
        <w:t xml:space="preserve"> comprehensive network</w:t>
      </w:r>
      <w:r w:rsidR="00B11ACC" w:rsidRPr="000A4988">
        <w:rPr>
          <w:rFonts w:ascii="Times New Roman" w:hAnsi="Times New Roman"/>
          <w:noProof/>
          <w:color w:val="auto"/>
          <w:sz w:val="24"/>
          <w:szCs w:val="24"/>
        </w:rPr>
        <w:t xml:space="preserve">. Nevertheless, the data for the </w:t>
      </w:r>
      <w:r w:rsidR="0070784F">
        <w:rPr>
          <w:rFonts w:ascii="Times New Roman" w:hAnsi="Times New Roman"/>
          <w:noProof/>
          <w:color w:val="auto"/>
          <w:sz w:val="24"/>
          <w:szCs w:val="24"/>
        </w:rPr>
        <w:t>CNC network</w:t>
      </w:r>
      <w:r w:rsidR="00B11ACC" w:rsidRPr="000A4988">
        <w:rPr>
          <w:rFonts w:ascii="Times New Roman" w:hAnsi="Times New Roman"/>
          <w:noProof/>
          <w:color w:val="auto"/>
          <w:sz w:val="24"/>
          <w:szCs w:val="24"/>
        </w:rPr>
        <w:t xml:space="preserve"> already gives an important indication of the progress made on the TEN-T </w:t>
      </w:r>
      <w:r w:rsidR="006527FE">
        <w:rPr>
          <w:rFonts w:ascii="Times New Roman" w:hAnsi="Times New Roman"/>
          <w:noProof/>
          <w:color w:val="auto"/>
          <w:sz w:val="24"/>
          <w:szCs w:val="24"/>
        </w:rPr>
        <w:t>as</w:t>
      </w:r>
      <w:r w:rsidR="0070784F">
        <w:rPr>
          <w:rFonts w:ascii="Times New Roman" w:hAnsi="Times New Roman"/>
          <w:noProof/>
          <w:color w:val="auto"/>
          <w:sz w:val="24"/>
          <w:szCs w:val="24"/>
        </w:rPr>
        <w:t xml:space="preserve"> it covers around 80% of the core network. In addition, </w:t>
      </w:r>
      <w:r w:rsidR="0070784F" w:rsidRPr="000A4988">
        <w:rPr>
          <w:rFonts w:ascii="Times New Roman" w:hAnsi="Times New Roman"/>
          <w:noProof/>
          <w:color w:val="auto"/>
          <w:sz w:val="24"/>
          <w:szCs w:val="24"/>
        </w:rPr>
        <w:t>investments (both at EU and at M</w:t>
      </w:r>
      <w:r w:rsidR="0070784F">
        <w:rPr>
          <w:rFonts w:ascii="Times New Roman" w:hAnsi="Times New Roman"/>
          <w:noProof/>
          <w:color w:val="auto"/>
          <w:sz w:val="24"/>
          <w:szCs w:val="24"/>
        </w:rPr>
        <w:t>ember State</w:t>
      </w:r>
      <w:r w:rsidR="0070784F" w:rsidRPr="000A4988">
        <w:rPr>
          <w:rFonts w:ascii="Times New Roman" w:hAnsi="Times New Roman"/>
          <w:noProof/>
          <w:color w:val="auto"/>
          <w:sz w:val="24"/>
          <w:szCs w:val="24"/>
        </w:rPr>
        <w:t xml:space="preserve"> level)</w:t>
      </w:r>
      <w:r w:rsidR="0070784F">
        <w:rPr>
          <w:rFonts w:ascii="Times New Roman" w:hAnsi="Times New Roman"/>
          <w:noProof/>
          <w:color w:val="auto"/>
          <w:sz w:val="24"/>
          <w:szCs w:val="24"/>
        </w:rPr>
        <w:t xml:space="preserve"> are anyhow </w:t>
      </w:r>
      <w:r w:rsidR="005D6EC7" w:rsidRPr="000A4988">
        <w:rPr>
          <w:rFonts w:ascii="Times New Roman" w:hAnsi="Times New Roman"/>
          <w:noProof/>
          <w:color w:val="auto"/>
          <w:sz w:val="24"/>
          <w:szCs w:val="24"/>
        </w:rPr>
        <w:t>concentrated on the core network corridor</w:t>
      </w:r>
      <w:r w:rsidR="00DD39BF" w:rsidRPr="000A4988">
        <w:rPr>
          <w:rFonts w:ascii="Times New Roman" w:hAnsi="Times New Roman"/>
          <w:noProof/>
          <w:color w:val="auto"/>
          <w:sz w:val="24"/>
          <w:szCs w:val="24"/>
        </w:rPr>
        <w:t>s</w:t>
      </w:r>
      <w:r w:rsidR="005D6EC7" w:rsidRPr="000A4988">
        <w:rPr>
          <w:rFonts w:ascii="Times New Roman" w:hAnsi="Times New Roman"/>
          <w:noProof/>
          <w:color w:val="auto"/>
          <w:sz w:val="24"/>
          <w:szCs w:val="24"/>
        </w:rPr>
        <w:t xml:space="preserve"> </w:t>
      </w:r>
      <w:r w:rsidR="00B11ACC" w:rsidRPr="000A4988">
        <w:rPr>
          <w:rFonts w:ascii="Times New Roman" w:hAnsi="Times New Roman"/>
          <w:noProof/>
          <w:color w:val="auto"/>
          <w:sz w:val="24"/>
          <w:szCs w:val="24"/>
        </w:rPr>
        <w:t xml:space="preserve">in these first years since </w:t>
      </w:r>
      <w:r w:rsidR="00C0554F" w:rsidRPr="000A4988">
        <w:rPr>
          <w:rFonts w:ascii="Times New Roman" w:hAnsi="Times New Roman"/>
          <w:noProof/>
          <w:color w:val="auto"/>
          <w:sz w:val="24"/>
          <w:szCs w:val="24"/>
        </w:rPr>
        <w:t xml:space="preserve">the </w:t>
      </w:r>
      <w:r w:rsidR="00B11ACC" w:rsidRPr="000A4988">
        <w:rPr>
          <w:rFonts w:ascii="Times New Roman" w:hAnsi="Times New Roman"/>
          <w:noProof/>
          <w:color w:val="auto"/>
          <w:sz w:val="24"/>
          <w:szCs w:val="24"/>
        </w:rPr>
        <w:t xml:space="preserve">deadline </w:t>
      </w:r>
      <w:r w:rsidR="00DD39BF" w:rsidRPr="000A4988">
        <w:rPr>
          <w:rFonts w:ascii="Times New Roman" w:hAnsi="Times New Roman"/>
          <w:noProof/>
          <w:color w:val="auto"/>
          <w:sz w:val="24"/>
          <w:szCs w:val="24"/>
        </w:rPr>
        <w:t xml:space="preserve">for their completion </w:t>
      </w:r>
      <w:r w:rsidR="00B11ACC" w:rsidRPr="000A4988">
        <w:rPr>
          <w:rFonts w:ascii="Times New Roman" w:hAnsi="Times New Roman"/>
          <w:noProof/>
          <w:color w:val="auto"/>
          <w:sz w:val="24"/>
          <w:szCs w:val="24"/>
        </w:rPr>
        <w:t xml:space="preserve">is 2030 and not 2050 as for the comprehensive network. </w:t>
      </w:r>
    </w:p>
    <w:p w14:paraId="08D06877" w14:textId="77777777" w:rsidR="000A4988" w:rsidRPr="00C43D3A" w:rsidRDefault="008C5416" w:rsidP="00C43D3A">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 xml:space="preserve">Even if this report follows the methodology of the past report, one major difference has however to be highlighted which challenges the data comparability to some extent. </w:t>
      </w:r>
      <w:r w:rsidR="00F34DBB">
        <w:rPr>
          <w:rFonts w:ascii="Times New Roman" w:hAnsi="Times New Roman"/>
          <w:noProof/>
          <w:color w:val="auto"/>
          <w:sz w:val="24"/>
          <w:szCs w:val="24"/>
        </w:rPr>
        <w:t>Indeed, f</w:t>
      </w:r>
      <w:r>
        <w:rPr>
          <w:rFonts w:ascii="Times New Roman" w:hAnsi="Times New Roman"/>
          <w:noProof/>
          <w:color w:val="auto"/>
          <w:sz w:val="24"/>
          <w:szCs w:val="24"/>
        </w:rPr>
        <w:t>or the present report, t</w:t>
      </w:r>
      <w:r w:rsidR="000A4988" w:rsidRPr="00C43D3A">
        <w:rPr>
          <w:rFonts w:ascii="Times New Roman" w:hAnsi="Times New Roman"/>
          <w:noProof/>
          <w:color w:val="auto"/>
          <w:sz w:val="24"/>
          <w:szCs w:val="24"/>
        </w:rPr>
        <w:t>he geographical scope of the compliance analysis</w:t>
      </w:r>
      <w:r w:rsidR="00F34DBB">
        <w:rPr>
          <w:rFonts w:ascii="Times New Roman" w:hAnsi="Times New Roman"/>
          <w:noProof/>
          <w:color w:val="auto"/>
          <w:sz w:val="24"/>
          <w:szCs w:val="24"/>
        </w:rPr>
        <w:t xml:space="preserve"> is wider than for the past report since it is now </w:t>
      </w:r>
      <w:r w:rsidR="000A4988" w:rsidRPr="00C43D3A">
        <w:rPr>
          <w:rFonts w:ascii="Times New Roman" w:hAnsi="Times New Roman"/>
          <w:noProof/>
          <w:color w:val="auto"/>
          <w:sz w:val="24"/>
          <w:szCs w:val="24"/>
        </w:rPr>
        <w:t xml:space="preserve">based on the extended corridor network </w:t>
      </w:r>
      <w:r>
        <w:rPr>
          <w:rFonts w:ascii="Times New Roman" w:hAnsi="Times New Roman"/>
          <w:noProof/>
          <w:color w:val="auto"/>
          <w:sz w:val="24"/>
          <w:szCs w:val="24"/>
        </w:rPr>
        <w:t xml:space="preserve">due to the </w:t>
      </w:r>
      <w:r w:rsidR="00F34DBB">
        <w:rPr>
          <w:rFonts w:ascii="Times New Roman" w:hAnsi="Times New Roman"/>
          <w:noProof/>
          <w:color w:val="auto"/>
          <w:sz w:val="24"/>
          <w:szCs w:val="24"/>
        </w:rPr>
        <w:t xml:space="preserve">amendment of corridor alignments </w:t>
      </w:r>
      <w:r>
        <w:rPr>
          <w:rFonts w:ascii="Times New Roman" w:hAnsi="Times New Roman"/>
          <w:noProof/>
          <w:color w:val="auto"/>
          <w:sz w:val="24"/>
          <w:szCs w:val="24"/>
        </w:rPr>
        <w:t>under the new CEF II Regulation</w:t>
      </w:r>
      <w:r>
        <w:rPr>
          <w:rStyle w:val="FootnoteReference"/>
          <w:rFonts w:ascii="Times New Roman" w:hAnsi="Times New Roman"/>
          <w:noProof/>
          <w:color w:val="auto"/>
          <w:sz w:val="24"/>
          <w:szCs w:val="24"/>
        </w:rPr>
        <w:footnoteReference w:id="14"/>
      </w:r>
      <w:r>
        <w:rPr>
          <w:rFonts w:ascii="Times New Roman" w:hAnsi="Times New Roman"/>
          <w:noProof/>
          <w:color w:val="auto"/>
          <w:sz w:val="24"/>
          <w:szCs w:val="24"/>
        </w:rPr>
        <w:t xml:space="preserve">. </w:t>
      </w:r>
      <w:r w:rsidR="00F34DBB">
        <w:rPr>
          <w:rFonts w:ascii="Times New Roman" w:hAnsi="Times New Roman"/>
          <w:noProof/>
          <w:color w:val="auto"/>
          <w:sz w:val="24"/>
          <w:szCs w:val="24"/>
        </w:rPr>
        <w:t>At the same time</w:t>
      </w:r>
      <w:r>
        <w:rPr>
          <w:rFonts w:ascii="Times New Roman" w:hAnsi="Times New Roman"/>
          <w:noProof/>
          <w:color w:val="auto"/>
          <w:sz w:val="24"/>
          <w:szCs w:val="24"/>
        </w:rPr>
        <w:t xml:space="preserve">, </w:t>
      </w:r>
      <w:r w:rsidR="000A4988" w:rsidRPr="00C43D3A">
        <w:rPr>
          <w:rFonts w:ascii="Times New Roman" w:hAnsi="Times New Roman"/>
          <w:noProof/>
          <w:color w:val="auto"/>
          <w:sz w:val="24"/>
          <w:szCs w:val="24"/>
        </w:rPr>
        <w:t>the UK has been excluded from the analysis. Therefore, the compliance rates of this report may vary to the ones calculated for the previous TEN-T implementation report, covering the years 2016 and 2017. At the same time, the widened scope of analysis allows</w:t>
      </w:r>
      <w:r w:rsidR="00D9767D">
        <w:rPr>
          <w:rFonts w:ascii="Times New Roman" w:hAnsi="Times New Roman"/>
          <w:noProof/>
          <w:color w:val="auto"/>
          <w:sz w:val="24"/>
          <w:szCs w:val="24"/>
        </w:rPr>
        <w:t xml:space="preserve"> for</w:t>
      </w:r>
      <w:r w:rsidR="000A4988" w:rsidRPr="00C43D3A">
        <w:rPr>
          <w:rFonts w:ascii="Times New Roman" w:hAnsi="Times New Roman"/>
          <w:noProof/>
          <w:color w:val="auto"/>
          <w:sz w:val="24"/>
          <w:szCs w:val="24"/>
        </w:rPr>
        <w:t xml:space="preserve"> a more comprehensive analysis of</w:t>
      </w:r>
      <w:r w:rsidR="00C43D3A">
        <w:rPr>
          <w:rFonts w:ascii="Times New Roman" w:hAnsi="Times New Roman"/>
          <w:noProof/>
          <w:color w:val="auto"/>
          <w:sz w:val="24"/>
          <w:szCs w:val="24"/>
        </w:rPr>
        <w:t xml:space="preserve"> the progress on the ground.</w:t>
      </w:r>
    </w:p>
    <w:p w14:paraId="08D06878" w14:textId="77777777" w:rsidR="00F94B8E" w:rsidRPr="000A4988" w:rsidRDefault="00F94B8E">
      <w:pPr>
        <w:pStyle w:val="Corps"/>
        <w:spacing w:after="240" w:line="240" w:lineRule="auto"/>
        <w:jc w:val="both"/>
        <w:rPr>
          <w:rFonts w:ascii="Times New Roman" w:hAnsi="Times New Roman"/>
          <w:noProof/>
          <w:color w:val="auto"/>
          <w:sz w:val="24"/>
          <w:szCs w:val="24"/>
        </w:rPr>
      </w:pPr>
      <w:r w:rsidRPr="000A4988">
        <w:rPr>
          <w:rFonts w:ascii="Times New Roman" w:hAnsi="Times New Roman"/>
          <w:noProof/>
          <w:color w:val="auto"/>
          <w:sz w:val="24"/>
          <w:szCs w:val="24"/>
        </w:rPr>
        <w:t xml:space="preserve">In addition, </w:t>
      </w:r>
      <w:r w:rsidR="00D9767D">
        <w:rPr>
          <w:rFonts w:ascii="Times New Roman" w:hAnsi="Times New Roman"/>
          <w:noProof/>
          <w:color w:val="auto"/>
          <w:sz w:val="24"/>
          <w:szCs w:val="24"/>
        </w:rPr>
        <w:t>it should be underlined that a</w:t>
      </w:r>
      <w:r w:rsidRPr="000A4988">
        <w:rPr>
          <w:rFonts w:ascii="Times New Roman" w:hAnsi="Times New Roman"/>
          <w:noProof/>
          <w:color w:val="auto"/>
          <w:sz w:val="24"/>
          <w:szCs w:val="24"/>
        </w:rPr>
        <w:t xml:space="preserve"> full compliance </w:t>
      </w:r>
      <w:r w:rsidR="00D9767D">
        <w:rPr>
          <w:rFonts w:ascii="Times New Roman" w:hAnsi="Times New Roman"/>
          <w:noProof/>
          <w:color w:val="auto"/>
          <w:sz w:val="24"/>
          <w:szCs w:val="24"/>
        </w:rPr>
        <w:t xml:space="preserve">with the TEN-T requirements </w:t>
      </w:r>
      <w:r w:rsidRPr="000A4988">
        <w:rPr>
          <w:rFonts w:ascii="Times New Roman" w:hAnsi="Times New Roman"/>
          <w:noProof/>
          <w:color w:val="auto"/>
          <w:sz w:val="24"/>
          <w:szCs w:val="24"/>
        </w:rPr>
        <w:t xml:space="preserve">might not necessarily </w:t>
      </w:r>
      <w:r w:rsidR="00B417BD" w:rsidRPr="000A4988">
        <w:rPr>
          <w:rFonts w:ascii="Times New Roman" w:hAnsi="Times New Roman"/>
          <w:noProof/>
          <w:color w:val="auto"/>
          <w:sz w:val="24"/>
          <w:szCs w:val="24"/>
        </w:rPr>
        <w:t>guarantee the absence of</w:t>
      </w:r>
      <w:r w:rsidRPr="000A4988">
        <w:rPr>
          <w:rFonts w:ascii="Times New Roman" w:hAnsi="Times New Roman"/>
          <w:noProof/>
          <w:color w:val="auto"/>
          <w:sz w:val="24"/>
          <w:szCs w:val="24"/>
        </w:rPr>
        <w:t xml:space="preserve"> operational shortcomings or capacity bottlenecks </w:t>
      </w:r>
      <w:r w:rsidR="00E11E84" w:rsidRPr="000A4988">
        <w:rPr>
          <w:rFonts w:ascii="Times New Roman" w:hAnsi="Times New Roman"/>
          <w:noProof/>
          <w:color w:val="auto"/>
          <w:sz w:val="24"/>
          <w:szCs w:val="24"/>
        </w:rPr>
        <w:t>on the ground</w:t>
      </w:r>
      <w:r w:rsidRPr="000A4988">
        <w:rPr>
          <w:rFonts w:ascii="Times New Roman" w:hAnsi="Times New Roman"/>
          <w:noProof/>
          <w:color w:val="auto"/>
          <w:sz w:val="24"/>
          <w:szCs w:val="24"/>
        </w:rPr>
        <w:t>. Therefore, the European Commission undertakes detailed studies for all nine core network corridors as well as the two horizontal priorities</w:t>
      </w:r>
      <w:r w:rsidR="00523E15">
        <w:rPr>
          <w:rFonts w:ascii="Times New Roman" w:hAnsi="Times New Roman"/>
          <w:noProof/>
          <w:color w:val="auto"/>
          <w:sz w:val="24"/>
          <w:szCs w:val="24"/>
        </w:rPr>
        <w:t xml:space="preserve"> (ERTMS and Motorways of the Sea)</w:t>
      </w:r>
      <w:r w:rsidR="00E11E84" w:rsidRPr="000A4988">
        <w:rPr>
          <w:rFonts w:ascii="Times New Roman" w:hAnsi="Times New Roman"/>
          <w:noProof/>
          <w:color w:val="auto"/>
          <w:sz w:val="24"/>
          <w:szCs w:val="24"/>
        </w:rPr>
        <w:t>,</w:t>
      </w:r>
      <w:r w:rsidRPr="000A4988">
        <w:rPr>
          <w:rFonts w:ascii="Times New Roman" w:hAnsi="Times New Roman"/>
          <w:noProof/>
          <w:color w:val="auto"/>
          <w:sz w:val="24"/>
          <w:szCs w:val="24"/>
        </w:rPr>
        <w:t xml:space="preserve"> which analyse the infrastructure in much more detail, i.e. not only in terms of statistical compliance but also based on qualitative assessments in a wider network perspective. Based on that analysis, shortcomings </w:t>
      </w:r>
      <w:r w:rsidR="00B417BD" w:rsidRPr="000A4988">
        <w:rPr>
          <w:rFonts w:ascii="Times New Roman" w:hAnsi="Times New Roman"/>
          <w:noProof/>
          <w:color w:val="auto"/>
          <w:sz w:val="24"/>
          <w:szCs w:val="24"/>
        </w:rPr>
        <w:t xml:space="preserve">and bottlenecks </w:t>
      </w:r>
      <w:r w:rsidRPr="000A4988">
        <w:rPr>
          <w:rFonts w:ascii="Times New Roman" w:hAnsi="Times New Roman"/>
          <w:noProof/>
          <w:color w:val="auto"/>
          <w:sz w:val="24"/>
          <w:szCs w:val="24"/>
        </w:rPr>
        <w:t xml:space="preserve">are reflected in the corresponding </w:t>
      </w:r>
      <w:r w:rsidR="000A4988">
        <w:rPr>
          <w:rFonts w:ascii="Times New Roman" w:hAnsi="Times New Roman"/>
          <w:noProof/>
          <w:color w:val="auto"/>
          <w:sz w:val="24"/>
          <w:szCs w:val="24"/>
        </w:rPr>
        <w:t>w</w:t>
      </w:r>
      <w:r w:rsidRPr="000A4988">
        <w:rPr>
          <w:rFonts w:ascii="Times New Roman" w:hAnsi="Times New Roman"/>
          <w:noProof/>
          <w:color w:val="auto"/>
          <w:sz w:val="24"/>
          <w:szCs w:val="24"/>
        </w:rPr>
        <w:t xml:space="preserve">ork </w:t>
      </w:r>
      <w:r w:rsidR="000A4988">
        <w:rPr>
          <w:rFonts w:ascii="Times New Roman" w:hAnsi="Times New Roman"/>
          <w:noProof/>
          <w:color w:val="auto"/>
          <w:sz w:val="24"/>
          <w:szCs w:val="24"/>
        </w:rPr>
        <w:t>p</w:t>
      </w:r>
      <w:r w:rsidRPr="000A4988">
        <w:rPr>
          <w:rFonts w:ascii="Times New Roman" w:hAnsi="Times New Roman"/>
          <w:noProof/>
          <w:color w:val="auto"/>
          <w:sz w:val="24"/>
          <w:szCs w:val="24"/>
        </w:rPr>
        <w:t xml:space="preserve">lans </w:t>
      </w:r>
      <w:r w:rsidR="00AF3755" w:rsidRPr="000A4988">
        <w:rPr>
          <w:rFonts w:ascii="Times New Roman" w:hAnsi="Times New Roman"/>
          <w:noProof/>
          <w:color w:val="auto"/>
          <w:sz w:val="24"/>
          <w:szCs w:val="24"/>
        </w:rPr>
        <w:t>of the European Coordinators</w:t>
      </w:r>
      <w:r w:rsidR="00AF3755">
        <w:rPr>
          <w:rFonts w:ascii="Times New Roman" w:hAnsi="Times New Roman"/>
          <w:noProof/>
          <w:color w:val="auto"/>
          <w:sz w:val="24"/>
          <w:szCs w:val="24"/>
        </w:rPr>
        <w:t xml:space="preserve"> for </w:t>
      </w:r>
      <w:r w:rsidR="000A4988">
        <w:rPr>
          <w:rFonts w:ascii="Times New Roman" w:hAnsi="Times New Roman"/>
          <w:noProof/>
          <w:color w:val="auto"/>
          <w:sz w:val="24"/>
          <w:szCs w:val="24"/>
        </w:rPr>
        <w:t>the nine core network corridors</w:t>
      </w:r>
      <w:r w:rsidR="00AF3755">
        <w:rPr>
          <w:rFonts w:ascii="Times New Roman" w:hAnsi="Times New Roman"/>
          <w:noProof/>
          <w:color w:val="auto"/>
          <w:sz w:val="24"/>
          <w:szCs w:val="24"/>
        </w:rPr>
        <w:t xml:space="preserve">, </w:t>
      </w:r>
      <w:r w:rsidR="0089527F" w:rsidRPr="000A4988">
        <w:rPr>
          <w:rFonts w:ascii="Times New Roman" w:hAnsi="Times New Roman"/>
          <w:noProof/>
          <w:color w:val="auto"/>
          <w:sz w:val="24"/>
          <w:szCs w:val="24"/>
        </w:rPr>
        <w:t xml:space="preserve">ERTMS and </w:t>
      </w:r>
      <w:r w:rsidR="00B61201" w:rsidRPr="000A4988">
        <w:rPr>
          <w:rFonts w:ascii="Times New Roman" w:hAnsi="Times New Roman"/>
          <w:noProof/>
          <w:color w:val="auto"/>
          <w:sz w:val="24"/>
          <w:szCs w:val="24"/>
        </w:rPr>
        <w:t>Motorways of the Sea</w:t>
      </w:r>
      <w:r w:rsidRPr="000A4988">
        <w:rPr>
          <w:rFonts w:ascii="Times New Roman" w:hAnsi="Times New Roman"/>
          <w:noProof/>
          <w:color w:val="auto"/>
          <w:sz w:val="24"/>
          <w:szCs w:val="24"/>
        </w:rPr>
        <w:t xml:space="preserve">. </w:t>
      </w:r>
    </w:p>
    <w:p w14:paraId="08D06879" w14:textId="77777777" w:rsidR="00F03205" w:rsidRPr="000A4988" w:rsidRDefault="00F94B8E">
      <w:pPr>
        <w:pStyle w:val="Corps"/>
        <w:spacing w:after="240" w:line="240" w:lineRule="auto"/>
        <w:jc w:val="both"/>
        <w:rPr>
          <w:rFonts w:ascii="Times New Roman" w:hAnsi="Times New Roman"/>
          <w:noProof/>
          <w:color w:val="auto"/>
          <w:sz w:val="24"/>
          <w:szCs w:val="24"/>
        </w:rPr>
      </w:pPr>
      <w:r w:rsidRPr="000A4988">
        <w:rPr>
          <w:rFonts w:ascii="Times New Roman" w:hAnsi="Times New Roman"/>
          <w:noProof/>
          <w:color w:val="auto"/>
          <w:sz w:val="24"/>
          <w:szCs w:val="24"/>
        </w:rPr>
        <w:t>Finally</w:t>
      </w:r>
      <w:r w:rsidR="00B11ACC" w:rsidRPr="000A4988">
        <w:rPr>
          <w:rFonts w:ascii="Times New Roman" w:hAnsi="Times New Roman"/>
          <w:noProof/>
          <w:color w:val="auto"/>
          <w:sz w:val="24"/>
          <w:szCs w:val="24"/>
        </w:rPr>
        <w:t xml:space="preserve">, this report </w:t>
      </w:r>
      <w:r w:rsidR="002259D3" w:rsidRPr="000A4988">
        <w:rPr>
          <w:rFonts w:ascii="Times New Roman" w:hAnsi="Times New Roman"/>
          <w:noProof/>
          <w:color w:val="auto"/>
          <w:sz w:val="24"/>
          <w:szCs w:val="24"/>
        </w:rPr>
        <w:t xml:space="preserve">presents an </w:t>
      </w:r>
      <w:r w:rsidR="00B11ACC" w:rsidRPr="000A4988">
        <w:rPr>
          <w:rFonts w:ascii="Times New Roman" w:hAnsi="Times New Roman"/>
          <w:noProof/>
          <w:color w:val="auto"/>
          <w:sz w:val="24"/>
          <w:szCs w:val="24"/>
        </w:rPr>
        <w:t>indication</w:t>
      </w:r>
      <w:r w:rsidR="000825ED" w:rsidRPr="000A4988">
        <w:rPr>
          <w:rFonts w:ascii="Times New Roman" w:hAnsi="Times New Roman"/>
          <w:noProof/>
          <w:color w:val="auto"/>
          <w:sz w:val="24"/>
          <w:szCs w:val="24"/>
        </w:rPr>
        <w:t xml:space="preserve"> </w:t>
      </w:r>
      <w:r w:rsidR="002259D3" w:rsidRPr="000A4988">
        <w:rPr>
          <w:rFonts w:ascii="Times New Roman" w:hAnsi="Times New Roman"/>
          <w:noProof/>
          <w:color w:val="auto"/>
          <w:sz w:val="24"/>
          <w:szCs w:val="24"/>
        </w:rPr>
        <w:t>of</w:t>
      </w:r>
      <w:r w:rsidR="000825ED" w:rsidRPr="000A4988">
        <w:rPr>
          <w:rFonts w:ascii="Times New Roman" w:hAnsi="Times New Roman"/>
          <w:noProof/>
          <w:color w:val="auto"/>
          <w:sz w:val="24"/>
          <w:szCs w:val="24"/>
        </w:rPr>
        <w:t xml:space="preserve"> </w:t>
      </w:r>
      <w:r w:rsidR="00B11ACC" w:rsidRPr="000A4988">
        <w:rPr>
          <w:rFonts w:ascii="Times New Roman" w:hAnsi="Times New Roman"/>
          <w:noProof/>
          <w:color w:val="auto"/>
          <w:sz w:val="24"/>
          <w:szCs w:val="24"/>
        </w:rPr>
        <w:t>national budgets and co-</w:t>
      </w:r>
      <w:r w:rsidR="005D6EC7" w:rsidRPr="000A4988">
        <w:rPr>
          <w:rFonts w:ascii="Times New Roman" w:hAnsi="Times New Roman"/>
          <w:noProof/>
          <w:color w:val="auto"/>
          <w:sz w:val="24"/>
          <w:szCs w:val="24"/>
        </w:rPr>
        <w:t>funding and financing</w:t>
      </w:r>
      <w:r w:rsidR="00B11ACC" w:rsidRPr="000A4988">
        <w:rPr>
          <w:rFonts w:ascii="Times New Roman" w:hAnsi="Times New Roman"/>
          <w:noProof/>
          <w:color w:val="auto"/>
          <w:sz w:val="24"/>
          <w:szCs w:val="24"/>
        </w:rPr>
        <w:t xml:space="preserve"> from various EU sources </w:t>
      </w:r>
      <w:r w:rsidR="000825ED" w:rsidRPr="000A4988">
        <w:rPr>
          <w:rFonts w:ascii="Times New Roman" w:hAnsi="Times New Roman"/>
          <w:noProof/>
          <w:color w:val="auto"/>
          <w:sz w:val="24"/>
          <w:szCs w:val="24"/>
        </w:rPr>
        <w:t>for</w:t>
      </w:r>
      <w:r w:rsidR="002259D3" w:rsidRPr="000A4988">
        <w:rPr>
          <w:rFonts w:ascii="Times New Roman" w:hAnsi="Times New Roman"/>
          <w:noProof/>
          <w:color w:val="auto"/>
          <w:sz w:val="24"/>
          <w:szCs w:val="24"/>
        </w:rPr>
        <w:t xml:space="preserve"> investments made on the </w:t>
      </w:r>
      <w:r w:rsidR="001B2C89">
        <w:rPr>
          <w:rFonts w:ascii="Times New Roman" w:hAnsi="Times New Roman"/>
          <w:noProof/>
          <w:color w:val="auto"/>
          <w:sz w:val="24"/>
          <w:szCs w:val="24"/>
        </w:rPr>
        <w:t xml:space="preserve">entire </w:t>
      </w:r>
      <w:r w:rsidR="002259D3" w:rsidRPr="000A4988">
        <w:rPr>
          <w:rFonts w:ascii="Times New Roman" w:hAnsi="Times New Roman"/>
          <w:noProof/>
          <w:color w:val="auto"/>
          <w:sz w:val="24"/>
          <w:szCs w:val="24"/>
        </w:rPr>
        <w:t xml:space="preserve">TEN-T network infrastructure </w:t>
      </w:r>
      <w:r w:rsidR="001B2C89">
        <w:rPr>
          <w:rFonts w:ascii="Times New Roman" w:hAnsi="Times New Roman"/>
          <w:noProof/>
          <w:color w:val="auto"/>
          <w:sz w:val="24"/>
          <w:szCs w:val="24"/>
        </w:rPr>
        <w:t xml:space="preserve">(i.e. both on core and comprehensive network) </w:t>
      </w:r>
      <w:r w:rsidR="002259D3" w:rsidRPr="000A4988">
        <w:rPr>
          <w:rFonts w:ascii="Times New Roman" w:hAnsi="Times New Roman"/>
          <w:noProof/>
          <w:color w:val="auto"/>
          <w:sz w:val="24"/>
          <w:szCs w:val="24"/>
        </w:rPr>
        <w:t>during the per</w:t>
      </w:r>
      <w:r w:rsidR="00A81844" w:rsidRPr="000A4988">
        <w:rPr>
          <w:rFonts w:ascii="Times New Roman" w:hAnsi="Times New Roman"/>
          <w:noProof/>
          <w:color w:val="auto"/>
          <w:sz w:val="24"/>
          <w:szCs w:val="24"/>
        </w:rPr>
        <w:t>iod</w:t>
      </w:r>
      <w:r w:rsidR="00B11ACC" w:rsidRPr="000A4988">
        <w:rPr>
          <w:rFonts w:ascii="Times New Roman" w:hAnsi="Times New Roman"/>
          <w:noProof/>
          <w:color w:val="auto"/>
          <w:sz w:val="24"/>
          <w:szCs w:val="24"/>
        </w:rPr>
        <w:t xml:space="preserve"> 201</w:t>
      </w:r>
      <w:r w:rsidR="000A4988" w:rsidRPr="000A4988">
        <w:rPr>
          <w:rFonts w:ascii="Times New Roman" w:hAnsi="Times New Roman"/>
          <w:noProof/>
          <w:color w:val="auto"/>
          <w:sz w:val="24"/>
          <w:szCs w:val="24"/>
        </w:rPr>
        <w:t>8</w:t>
      </w:r>
      <w:r w:rsidR="00B11ACC" w:rsidRPr="000A4988">
        <w:rPr>
          <w:rFonts w:ascii="Times New Roman" w:hAnsi="Times New Roman"/>
          <w:noProof/>
          <w:color w:val="auto"/>
          <w:sz w:val="24"/>
          <w:szCs w:val="24"/>
        </w:rPr>
        <w:t xml:space="preserve"> and 201</w:t>
      </w:r>
      <w:r w:rsidR="000A4988" w:rsidRPr="000A4988">
        <w:rPr>
          <w:rFonts w:ascii="Times New Roman" w:hAnsi="Times New Roman"/>
          <w:noProof/>
          <w:color w:val="auto"/>
          <w:sz w:val="24"/>
          <w:szCs w:val="24"/>
        </w:rPr>
        <w:t>9</w:t>
      </w:r>
      <w:r w:rsidR="005D6EC7" w:rsidRPr="000A4988">
        <w:rPr>
          <w:rFonts w:ascii="Times New Roman" w:hAnsi="Times New Roman"/>
          <w:noProof/>
          <w:color w:val="auto"/>
          <w:sz w:val="24"/>
          <w:szCs w:val="24"/>
        </w:rPr>
        <w:t>, mainly E</w:t>
      </w:r>
      <w:r w:rsidR="001B2C89">
        <w:rPr>
          <w:rFonts w:ascii="Times New Roman" w:hAnsi="Times New Roman"/>
          <w:noProof/>
          <w:color w:val="auto"/>
          <w:sz w:val="24"/>
          <w:szCs w:val="24"/>
        </w:rPr>
        <w:t>SIF (</w:t>
      </w:r>
      <w:r w:rsidR="00523E15">
        <w:rPr>
          <w:rFonts w:ascii="Times New Roman" w:hAnsi="Times New Roman"/>
          <w:noProof/>
          <w:color w:val="auto"/>
          <w:sz w:val="24"/>
          <w:szCs w:val="24"/>
        </w:rPr>
        <w:t>European Regional Development Fund (</w:t>
      </w:r>
      <w:r w:rsidR="001B2C89">
        <w:rPr>
          <w:rFonts w:ascii="Times New Roman" w:hAnsi="Times New Roman"/>
          <w:noProof/>
          <w:color w:val="auto"/>
          <w:sz w:val="24"/>
          <w:szCs w:val="24"/>
        </w:rPr>
        <w:t>E</w:t>
      </w:r>
      <w:r w:rsidR="005D6EC7" w:rsidRPr="000A4988">
        <w:rPr>
          <w:rFonts w:ascii="Times New Roman" w:hAnsi="Times New Roman"/>
          <w:noProof/>
          <w:color w:val="auto"/>
          <w:sz w:val="24"/>
          <w:szCs w:val="24"/>
        </w:rPr>
        <w:t>RDF</w:t>
      </w:r>
      <w:r w:rsidR="00523E15">
        <w:rPr>
          <w:rFonts w:ascii="Times New Roman" w:hAnsi="Times New Roman"/>
          <w:noProof/>
          <w:color w:val="auto"/>
          <w:sz w:val="24"/>
          <w:szCs w:val="24"/>
        </w:rPr>
        <w:t>)</w:t>
      </w:r>
      <w:r w:rsidR="005D6EC7" w:rsidRPr="000A4988">
        <w:rPr>
          <w:rFonts w:ascii="Times New Roman" w:hAnsi="Times New Roman"/>
          <w:noProof/>
          <w:color w:val="auto"/>
          <w:sz w:val="24"/>
          <w:szCs w:val="24"/>
        </w:rPr>
        <w:t xml:space="preserve">, </w:t>
      </w:r>
      <w:r w:rsidR="00523E15">
        <w:rPr>
          <w:rFonts w:ascii="Times New Roman" w:hAnsi="Times New Roman"/>
          <w:noProof/>
          <w:color w:val="auto"/>
          <w:sz w:val="24"/>
          <w:szCs w:val="24"/>
        </w:rPr>
        <w:t>Cohesion Fund (</w:t>
      </w:r>
      <w:r w:rsidR="005D6EC7" w:rsidRPr="000A4988">
        <w:rPr>
          <w:rFonts w:ascii="Times New Roman" w:hAnsi="Times New Roman"/>
          <w:noProof/>
          <w:color w:val="auto"/>
          <w:sz w:val="24"/>
          <w:szCs w:val="24"/>
        </w:rPr>
        <w:t>CF</w:t>
      </w:r>
      <w:r w:rsidR="00523E15">
        <w:rPr>
          <w:rFonts w:ascii="Times New Roman" w:hAnsi="Times New Roman"/>
          <w:noProof/>
          <w:color w:val="auto"/>
          <w:sz w:val="24"/>
          <w:szCs w:val="24"/>
        </w:rPr>
        <w:t>)</w:t>
      </w:r>
      <w:r w:rsidR="001B2C89">
        <w:rPr>
          <w:rFonts w:ascii="Times New Roman" w:hAnsi="Times New Roman"/>
          <w:noProof/>
          <w:color w:val="auto"/>
          <w:sz w:val="24"/>
          <w:szCs w:val="24"/>
        </w:rPr>
        <w:t>)</w:t>
      </w:r>
      <w:r w:rsidR="005D6EC7" w:rsidRPr="000A4988">
        <w:rPr>
          <w:rFonts w:ascii="Times New Roman" w:hAnsi="Times New Roman"/>
          <w:noProof/>
          <w:color w:val="auto"/>
          <w:sz w:val="24"/>
          <w:szCs w:val="24"/>
        </w:rPr>
        <w:t>, CEF and EIB loans</w:t>
      </w:r>
      <w:r w:rsidR="002259D3" w:rsidRPr="000A4988">
        <w:rPr>
          <w:rFonts w:ascii="Times New Roman" w:hAnsi="Times New Roman"/>
          <w:noProof/>
          <w:color w:val="auto"/>
          <w:sz w:val="24"/>
          <w:szCs w:val="24"/>
        </w:rPr>
        <w:t>.</w:t>
      </w:r>
      <w:r w:rsidR="00C0554F" w:rsidRPr="000A4988">
        <w:rPr>
          <w:rFonts w:ascii="Times New Roman" w:hAnsi="Times New Roman"/>
          <w:noProof/>
          <w:color w:val="auto"/>
          <w:sz w:val="24"/>
          <w:szCs w:val="24"/>
        </w:rPr>
        <w:t xml:space="preserve"> These </w:t>
      </w:r>
      <w:r w:rsidR="0051161F" w:rsidRPr="000A4988">
        <w:rPr>
          <w:rFonts w:ascii="Times New Roman" w:hAnsi="Times New Roman"/>
          <w:noProof/>
          <w:color w:val="auto"/>
          <w:sz w:val="24"/>
          <w:szCs w:val="24"/>
        </w:rPr>
        <w:t>data ha</w:t>
      </w:r>
      <w:r w:rsidR="00C0554F" w:rsidRPr="000A4988">
        <w:rPr>
          <w:rFonts w:ascii="Times New Roman" w:hAnsi="Times New Roman"/>
          <w:noProof/>
          <w:color w:val="auto"/>
          <w:sz w:val="24"/>
          <w:szCs w:val="24"/>
        </w:rPr>
        <w:t>ve</w:t>
      </w:r>
      <w:r w:rsidR="0051161F" w:rsidRPr="000A4988">
        <w:rPr>
          <w:rFonts w:ascii="Times New Roman" w:hAnsi="Times New Roman"/>
          <w:noProof/>
          <w:color w:val="auto"/>
          <w:sz w:val="24"/>
          <w:szCs w:val="24"/>
        </w:rPr>
        <w:t xml:space="preserve"> been </w:t>
      </w:r>
      <w:r w:rsidR="006861D0" w:rsidRPr="000A4988">
        <w:rPr>
          <w:rFonts w:ascii="Times New Roman" w:hAnsi="Times New Roman"/>
          <w:noProof/>
          <w:color w:val="auto"/>
          <w:sz w:val="24"/>
          <w:szCs w:val="24"/>
        </w:rPr>
        <w:t xml:space="preserve">reported </w:t>
      </w:r>
      <w:r w:rsidR="0051161F" w:rsidRPr="000A4988">
        <w:rPr>
          <w:rFonts w:ascii="Times New Roman" w:hAnsi="Times New Roman"/>
          <w:noProof/>
          <w:color w:val="auto"/>
          <w:sz w:val="24"/>
          <w:szCs w:val="24"/>
        </w:rPr>
        <w:t>directly by Member States through a unified survey exercise</w:t>
      </w:r>
      <w:r w:rsidR="000A4988" w:rsidRPr="000A4988">
        <w:rPr>
          <w:rFonts w:ascii="Times New Roman" w:hAnsi="Times New Roman"/>
          <w:noProof/>
          <w:color w:val="auto"/>
          <w:sz w:val="24"/>
          <w:szCs w:val="24"/>
        </w:rPr>
        <w:t xml:space="preserve"> as for the previous report</w:t>
      </w:r>
      <w:r w:rsidR="000A4988" w:rsidRPr="000A4988">
        <w:rPr>
          <w:rStyle w:val="FootnoteReference"/>
          <w:rFonts w:ascii="Times New Roman" w:hAnsi="Times New Roman"/>
          <w:noProof/>
          <w:color w:val="auto"/>
          <w:sz w:val="24"/>
          <w:szCs w:val="24"/>
        </w:rPr>
        <w:footnoteReference w:id="15"/>
      </w:r>
      <w:r w:rsidR="0051161F" w:rsidRPr="000A4988">
        <w:rPr>
          <w:rFonts w:ascii="Times New Roman" w:hAnsi="Times New Roman"/>
          <w:noProof/>
          <w:color w:val="auto"/>
          <w:sz w:val="24"/>
          <w:szCs w:val="24"/>
        </w:rPr>
        <w:t xml:space="preserve">. </w:t>
      </w:r>
      <w:r w:rsidR="002259D3" w:rsidRPr="000A4988">
        <w:rPr>
          <w:rFonts w:ascii="Times New Roman" w:hAnsi="Times New Roman"/>
          <w:noProof/>
          <w:color w:val="auto"/>
          <w:sz w:val="24"/>
          <w:szCs w:val="24"/>
        </w:rPr>
        <w:t xml:space="preserve">With regard to </w:t>
      </w:r>
      <w:r w:rsidR="0051161F" w:rsidRPr="000A4988">
        <w:rPr>
          <w:rFonts w:ascii="Times New Roman" w:hAnsi="Times New Roman"/>
          <w:noProof/>
          <w:color w:val="auto"/>
          <w:sz w:val="24"/>
          <w:szCs w:val="24"/>
        </w:rPr>
        <w:t>EU</w:t>
      </w:r>
      <w:r w:rsidR="00B417BD" w:rsidRPr="000A4988">
        <w:rPr>
          <w:rFonts w:ascii="Times New Roman" w:hAnsi="Times New Roman"/>
          <w:noProof/>
          <w:color w:val="auto"/>
          <w:sz w:val="24"/>
          <w:szCs w:val="24"/>
        </w:rPr>
        <w:t xml:space="preserve"> </w:t>
      </w:r>
      <w:r w:rsidR="006861D0" w:rsidRPr="000A4988">
        <w:rPr>
          <w:rFonts w:ascii="Times New Roman" w:hAnsi="Times New Roman"/>
          <w:noProof/>
          <w:color w:val="auto"/>
          <w:sz w:val="24"/>
          <w:szCs w:val="24"/>
        </w:rPr>
        <w:t>co-funding</w:t>
      </w:r>
      <w:r w:rsidR="006955D8" w:rsidRPr="000A4988">
        <w:rPr>
          <w:rFonts w:ascii="Times New Roman" w:hAnsi="Times New Roman"/>
          <w:noProof/>
          <w:color w:val="auto"/>
          <w:sz w:val="24"/>
          <w:szCs w:val="24"/>
        </w:rPr>
        <w:t xml:space="preserve"> and co-financing</w:t>
      </w:r>
      <w:r w:rsidR="002259D3" w:rsidRPr="000A4988">
        <w:rPr>
          <w:rFonts w:ascii="Times New Roman" w:hAnsi="Times New Roman"/>
          <w:noProof/>
          <w:color w:val="auto"/>
          <w:sz w:val="24"/>
          <w:szCs w:val="24"/>
        </w:rPr>
        <w:t xml:space="preserve">, the </w:t>
      </w:r>
      <w:r w:rsidR="00DB313D" w:rsidRPr="000A4988">
        <w:rPr>
          <w:rFonts w:ascii="Times New Roman" w:hAnsi="Times New Roman"/>
          <w:noProof/>
          <w:color w:val="auto"/>
          <w:sz w:val="24"/>
          <w:szCs w:val="24"/>
        </w:rPr>
        <w:t xml:space="preserve">data </w:t>
      </w:r>
      <w:r w:rsidR="009E7936" w:rsidRPr="000A4988">
        <w:rPr>
          <w:rFonts w:ascii="Times New Roman" w:hAnsi="Times New Roman"/>
          <w:noProof/>
          <w:color w:val="auto"/>
          <w:sz w:val="24"/>
          <w:szCs w:val="24"/>
        </w:rPr>
        <w:t>ha</w:t>
      </w:r>
      <w:r w:rsidR="00C0554F" w:rsidRPr="000A4988">
        <w:rPr>
          <w:rFonts w:ascii="Times New Roman" w:hAnsi="Times New Roman"/>
          <w:noProof/>
          <w:color w:val="auto"/>
          <w:sz w:val="24"/>
          <w:szCs w:val="24"/>
        </w:rPr>
        <w:t>ve</w:t>
      </w:r>
      <w:r w:rsidR="009E7936" w:rsidRPr="000A4988">
        <w:rPr>
          <w:rFonts w:ascii="Times New Roman" w:hAnsi="Times New Roman"/>
          <w:noProof/>
          <w:color w:val="auto"/>
          <w:sz w:val="24"/>
          <w:szCs w:val="24"/>
        </w:rPr>
        <w:t xml:space="preserve"> been </w:t>
      </w:r>
      <w:r w:rsidR="004B2C30" w:rsidRPr="000A4988">
        <w:rPr>
          <w:rFonts w:ascii="Times New Roman" w:hAnsi="Times New Roman"/>
          <w:noProof/>
          <w:color w:val="auto"/>
          <w:sz w:val="24"/>
          <w:szCs w:val="24"/>
        </w:rPr>
        <w:t xml:space="preserve">collected </w:t>
      </w:r>
      <w:r w:rsidR="002259D3" w:rsidRPr="000A4988">
        <w:rPr>
          <w:rFonts w:ascii="Times New Roman" w:hAnsi="Times New Roman"/>
          <w:noProof/>
          <w:color w:val="auto"/>
          <w:sz w:val="24"/>
          <w:szCs w:val="24"/>
        </w:rPr>
        <w:t xml:space="preserve">from </w:t>
      </w:r>
      <w:r w:rsidR="004B2C30" w:rsidRPr="000A4988">
        <w:rPr>
          <w:rFonts w:ascii="Times New Roman" w:hAnsi="Times New Roman"/>
          <w:noProof/>
          <w:color w:val="auto"/>
          <w:sz w:val="24"/>
          <w:szCs w:val="24"/>
        </w:rPr>
        <w:t xml:space="preserve">the </w:t>
      </w:r>
      <w:r w:rsidR="000A4988">
        <w:rPr>
          <w:rFonts w:ascii="Times New Roman" w:hAnsi="Times New Roman"/>
          <w:noProof/>
          <w:color w:val="auto"/>
          <w:sz w:val="24"/>
          <w:szCs w:val="24"/>
        </w:rPr>
        <w:t>E</w:t>
      </w:r>
      <w:r w:rsidR="000A4988" w:rsidRPr="000A4988">
        <w:rPr>
          <w:rFonts w:ascii="Times New Roman" w:hAnsi="Times New Roman"/>
          <w:noProof/>
          <w:color w:val="auto"/>
          <w:sz w:val="24"/>
          <w:szCs w:val="24"/>
        </w:rPr>
        <w:t xml:space="preserve">uropean Climate, Infrastructure and Environment Executive Agency </w:t>
      </w:r>
      <w:r w:rsidR="00DB313D" w:rsidRPr="000A4988">
        <w:rPr>
          <w:rFonts w:ascii="Times New Roman" w:hAnsi="Times New Roman"/>
          <w:noProof/>
          <w:color w:val="auto"/>
          <w:sz w:val="24"/>
          <w:szCs w:val="24"/>
        </w:rPr>
        <w:t>(</w:t>
      </w:r>
      <w:r w:rsidR="000A4988" w:rsidRPr="000A4988">
        <w:rPr>
          <w:rFonts w:ascii="Times New Roman" w:hAnsi="Times New Roman"/>
          <w:noProof/>
          <w:color w:val="auto"/>
          <w:sz w:val="24"/>
          <w:szCs w:val="24"/>
        </w:rPr>
        <w:t>C</w:t>
      </w:r>
      <w:r w:rsidR="002259D3" w:rsidRPr="000A4988">
        <w:rPr>
          <w:rFonts w:ascii="Times New Roman" w:hAnsi="Times New Roman"/>
          <w:noProof/>
          <w:color w:val="auto"/>
          <w:sz w:val="24"/>
          <w:szCs w:val="24"/>
        </w:rPr>
        <w:t>INEA</w:t>
      </w:r>
      <w:r w:rsidR="00DB313D" w:rsidRPr="000A4988">
        <w:rPr>
          <w:rFonts w:ascii="Times New Roman" w:hAnsi="Times New Roman"/>
          <w:noProof/>
          <w:color w:val="auto"/>
          <w:sz w:val="24"/>
          <w:szCs w:val="24"/>
        </w:rPr>
        <w:t>)</w:t>
      </w:r>
      <w:r w:rsidR="002259D3" w:rsidRPr="000A4988">
        <w:rPr>
          <w:rFonts w:ascii="Times New Roman" w:hAnsi="Times New Roman"/>
          <w:noProof/>
          <w:color w:val="auto"/>
          <w:sz w:val="24"/>
          <w:szCs w:val="24"/>
        </w:rPr>
        <w:t xml:space="preserve">, </w:t>
      </w:r>
      <w:r w:rsidR="00195FD1" w:rsidRPr="000A4988">
        <w:rPr>
          <w:rFonts w:ascii="Times New Roman" w:hAnsi="Times New Roman"/>
          <w:noProof/>
          <w:color w:val="auto"/>
          <w:sz w:val="24"/>
          <w:szCs w:val="24"/>
        </w:rPr>
        <w:t xml:space="preserve">the </w:t>
      </w:r>
      <w:r w:rsidR="00DB313D" w:rsidRPr="000A4988">
        <w:rPr>
          <w:rFonts w:ascii="Times New Roman" w:hAnsi="Times New Roman"/>
          <w:noProof/>
          <w:color w:val="auto"/>
          <w:sz w:val="24"/>
          <w:szCs w:val="24"/>
        </w:rPr>
        <w:t xml:space="preserve">Directorate-General for Regional </w:t>
      </w:r>
      <w:r w:rsidR="00AC042A" w:rsidRPr="000A4988">
        <w:rPr>
          <w:rFonts w:ascii="Times New Roman" w:hAnsi="Times New Roman"/>
          <w:noProof/>
          <w:color w:val="auto"/>
          <w:sz w:val="24"/>
          <w:szCs w:val="24"/>
        </w:rPr>
        <w:t xml:space="preserve">and Urban </w:t>
      </w:r>
      <w:r w:rsidR="00DB313D" w:rsidRPr="000A4988">
        <w:rPr>
          <w:rFonts w:ascii="Times New Roman" w:hAnsi="Times New Roman"/>
          <w:noProof/>
          <w:color w:val="auto"/>
          <w:sz w:val="24"/>
          <w:szCs w:val="24"/>
        </w:rPr>
        <w:t>Policy (</w:t>
      </w:r>
      <w:r w:rsidR="002259D3" w:rsidRPr="000A4988">
        <w:rPr>
          <w:rFonts w:ascii="Times New Roman" w:hAnsi="Times New Roman"/>
          <w:noProof/>
          <w:color w:val="auto"/>
          <w:sz w:val="24"/>
          <w:szCs w:val="24"/>
        </w:rPr>
        <w:t>DG REGIO</w:t>
      </w:r>
      <w:r w:rsidR="00DB313D" w:rsidRPr="000A4988">
        <w:rPr>
          <w:rFonts w:ascii="Times New Roman" w:hAnsi="Times New Roman"/>
          <w:noProof/>
          <w:color w:val="auto"/>
          <w:sz w:val="24"/>
          <w:szCs w:val="24"/>
        </w:rPr>
        <w:t>)</w:t>
      </w:r>
      <w:r w:rsidR="002259D3" w:rsidRPr="000A4988">
        <w:rPr>
          <w:rFonts w:ascii="Times New Roman" w:hAnsi="Times New Roman"/>
          <w:noProof/>
          <w:color w:val="auto"/>
          <w:sz w:val="24"/>
          <w:szCs w:val="24"/>
        </w:rPr>
        <w:t xml:space="preserve"> and </w:t>
      </w:r>
      <w:r w:rsidR="006861D0" w:rsidRPr="000A4988">
        <w:rPr>
          <w:rFonts w:ascii="Times New Roman" w:hAnsi="Times New Roman"/>
          <w:noProof/>
          <w:color w:val="auto"/>
          <w:sz w:val="24"/>
          <w:szCs w:val="24"/>
        </w:rPr>
        <w:t xml:space="preserve">from </w:t>
      </w:r>
      <w:r w:rsidR="00DB313D" w:rsidRPr="000A4988">
        <w:rPr>
          <w:rFonts w:ascii="Times New Roman" w:hAnsi="Times New Roman"/>
          <w:noProof/>
          <w:color w:val="auto"/>
          <w:sz w:val="24"/>
          <w:szCs w:val="24"/>
        </w:rPr>
        <w:t>the European Investment Bank (</w:t>
      </w:r>
      <w:r w:rsidR="002259D3" w:rsidRPr="000A4988">
        <w:rPr>
          <w:rFonts w:ascii="Times New Roman" w:hAnsi="Times New Roman"/>
          <w:noProof/>
          <w:color w:val="auto"/>
          <w:sz w:val="24"/>
          <w:szCs w:val="24"/>
        </w:rPr>
        <w:t>EIB</w:t>
      </w:r>
      <w:r w:rsidR="00DB313D" w:rsidRPr="000A4988">
        <w:rPr>
          <w:rFonts w:ascii="Times New Roman" w:hAnsi="Times New Roman"/>
          <w:noProof/>
          <w:color w:val="auto"/>
          <w:sz w:val="24"/>
          <w:szCs w:val="24"/>
        </w:rPr>
        <w:t>)</w:t>
      </w:r>
      <w:r w:rsidR="002259D3" w:rsidRPr="000A4988">
        <w:rPr>
          <w:rFonts w:ascii="Times New Roman" w:hAnsi="Times New Roman"/>
          <w:noProof/>
          <w:color w:val="auto"/>
          <w:sz w:val="24"/>
          <w:szCs w:val="24"/>
        </w:rPr>
        <w:t xml:space="preserve">. </w:t>
      </w:r>
    </w:p>
    <w:p w14:paraId="33E25B98" w14:textId="77777777" w:rsidR="00B7460D" w:rsidRDefault="00B7460D">
      <w:pPr>
        <w:rPr>
          <w:rFonts w:eastAsia="Times New Roman"/>
          <w:b/>
          <w:bCs/>
          <w:smallCaps/>
          <w:noProof/>
          <w:color w:val="000000"/>
          <w:u w:color="000000"/>
          <w:lang w:val="en-GB" w:eastAsia="en-GB"/>
        </w:rPr>
      </w:pPr>
      <w:r>
        <w:rPr>
          <w:rFonts w:eastAsia="Times New Roman"/>
          <w:b/>
          <w:bCs/>
          <w:smallCaps/>
          <w:noProof/>
        </w:rPr>
        <w:br w:type="page"/>
      </w:r>
    </w:p>
    <w:p w14:paraId="08D0687A" w14:textId="387D2432" w:rsidR="003A4513" w:rsidRDefault="003A4513">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eastAsia="Times New Roman" w:hAnsi="Times New Roman" w:cs="Times New Roman"/>
          <w:b/>
          <w:bCs/>
          <w:smallCaps/>
          <w:noProof/>
          <w:sz w:val="24"/>
          <w:szCs w:val="24"/>
        </w:rPr>
        <w:t>Status of TEN-T Implementation</w:t>
      </w:r>
      <w:r w:rsidR="0021733E">
        <w:rPr>
          <w:rFonts w:ascii="Times New Roman" w:eastAsia="Times New Roman" w:hAnsi="Times New Roman" w:cs="Times New Roman"/>
          <w:b/>
          <w:bCs/>
          <w:smallCaps/>
          <w:noProof/>
          <w:sz w:val="24"/>
          <w:szCs w:val="24"/>
        </w:rPr>
        <w:t>: Technical progress</w:t>
      </w:r>
      <w:r w:rsidR="00A33E1F">
        <w:rPr>
          <w:rFonts w:ascii="Times New Roman" w:eastAsia="Times New Roman" w:hAnsi="Times New Roman" w:cs="Times New Roman"/>
          <w:b/>
          <w:bCs/>
          <w:smallCaps/>
          <w:noProof/>
          <w:sz w:val="24"/>
          <w:szCs w:val="24"/>
        </w:rPr>
        <w:t xml:space="preserve"> </w:t>
      </w:r>
      <w:r w:rsidR="001B1F1E">
        <w:rPr>
          <w:rFonts w:ascii="Times New Roman" w:eastAsia="Times New Roman" w:hAnsi="Times New Roman" w:cs="Times New Roman"/>
          <w:b/>
          <w:bCs/>
          <w:smallCaps/>
          <w:noProof/>
          <w:sz w:val="24"/>
          <w:szCs w:val="24"/>
        </w:rPr>
        <w:t>made on the TEN-T network in 201</w:t>
      </w:r>
      <w:r w:rsidR="00CF6A37">
        <w:rPr>
          <w:rFonts w:ascii="Times New Roman" w:eastAsia="Times New Roman" w:hAnsi="Times New Roman" w:cs="Times New Roman"/>
          <w:b/>
          <w:bCs/>
          <w:smallCaps/>
          <w:noProof/>
          <w:sz w:val="24"/>
          <w:szCs w:val="24"/>
        </w:rPr>
        <w:t>8</w:t>
      </w:r>
      <w:r w:rsidR="001B1F1E">
        <w:rPr>
          <w:rFonts w:ascii="Times New Roman" w:eastAsia="Times New Roman" w:hAnsi="Times New Roman" w:cs="Times New Roman"/>
          <w:b/>
          <w:bCs/>
          <w:smallCaps/>
          <w:noProof/>
          <w:sz w:val="24"/>
          <w:szCs w:val="24"/>
        </w:rPr>
        <w:t xml:space="preserve"> and 201</w:t>
      </w:r>
      <w:r w:rsidR="00CF6A37">
        <w:rPr>
          <w:rFonts w:ascii="Times New Roman" w:eastAsia="Times New Roman" w:hAnsi="Times New Roman" w:cs="Times New Roman"/>
          <w:b/>
          <w:bCs/>
          <w:smallCaps/>
          <w:noProof/>
          <w:sz w:val="24"/>
          <w:szCs w:val="24"/>
        </w:rPr>
        <w:t>9</w:t>
      </w:r>
    </w:p>
    <w:p w14:paraId="08D0687B" w14:textId="77777777" w:rsidR="00993D44" w:rsidRPr="00AA44E0" w:rsidRDefault="00993D44" w:rsidP="00A417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noProof/>
          <w:color w:val="C00000"/>
        </w:rPr>
      </w:pPr>
      <w:r w:rsidRPr="00A41709">
        <w:rPr>
          <w:noProof/>
        </w:rPr>
        <w:t xml:space="preserve">The TEN-T Regulation establishes the comprehensive and core network based on a </w:t>
      </w:r>
      <w:r w:rsidR="00A41709">
        <w:rPr>
          <w:noProof/>
        </w:rPr>
        <w:t xml:space="preserve">transparent and objective </w:t>
      </w:r>
      <w:r w:rsidRPr="00A41709">
        <w:rPr>
          <w:noProof/>
        </w:rPr>
        <w:t>methodology</w:t>
      </w:r>
      <w:r w:rsidRPr="00A41709">
        <w:rPr>
          <w:rStyle w:val="FootnoteReference"/>
          <w:rFonts w:ascii="TimesNewRoman" w:hAnsi="TimesNewRoman" w:cs="TimesNewRoman"/>
          <w:noProof/>
          <w:lang w:eastAsia="en-GB"/>
        </w:rPr>
        <w:footnoteReference w:id="16"/>
      </w:r>
      <w:r w:rsidRPr="00A41709">
        <w:rPr>
          <w:noProof/>
        </w:rPr>
        <w:t xml:space="preserve">. The core and comprehensive network are associated with defined technical requirements and priority targets. The progress made with regard to the realisation of the TEN-T needs to be benchmarked with these technical standards with the help of key performance indicators. </w:t>
      </w:r>
    </w:p>
    <w:p w14:paraId="08D0687C" w14:textId="77777777" w:rsidR="00993D44" w:rsidRPr="00B35B8D" w:rsidRDefault="00993D44" w:rsidP="00B35B8D">
      <w:pPr>
        <w:pStyle w:val="ManualHeading2"/>
        <w:numPr>
          <w:ilvl w:val="1"/>
          <w:numId w:val="2"/>
        </w:numPr>
        <w:rPr>
          <w:b w:val="0"/>
          <w:bCs w:val="0"/>
          <w:noProof/>
        </w:rPr>
      </w:pPr>
      <w:r w:rsidRPr="00B35B8D">
        <w:rPr>
          <w:noProof/>
          <w:lang w:val="en-GB"/>
        </w:rPr>
        <w:t xml:space="preserve">Key Performance Indicators </w:t>
      </w:r>
      <w:r w:rsidR="003E327A">
        <w:rPr>
          <w:noProof/>
          <w:lang w:val="en-GB"/>
        </w:rPr>
        <w:t>in the TENtec information system</w:t>
      </w:r>
      <w:r w:rsidR="004757DF">
        <w:rPr>
          <w:noProof/>
          <w:lang w:val="en-GB"/>
        </w:rPr>
        <w:t xml:space="preserve"> </w:t>
      </w:r>
    </w:p>
    <w:p w14:paraId="08D0687D" w14:textId="77777777" w:rsidR="00993D44" w:rsidRPr="00A41709" w:rsidRDefault="00AF3755" w:rsidP="00993D44">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 xml:space="preserve">The </w:t>
      </w:r>
      <w:r w:rsidR="00993D44" w:rsidRPr="00A41709">
        <w:rPr>
          <w:rFonts w:ascii="Times New Roman" w:hAnsi="Times New Roman"/>
          <w:noProof/>
          <w:color w:val="auto"/>
          <w:sz w:val="24"/>
          <w:szCs w:val="24"/>
        </w:rPr>
        <w:t xml:space="preserve">TENtec </w:t>
      </w:r>
      <w:r>
        <w:rPr>
          <w:rFonts w:ascii="Times New Roman" w:hAnsi="Times New Roman"/>
          <w:noProof/>
          <w:color w:val="auto"/>
          <w:sz w:val="24"/>
          <w:szCs w:val="24"/>
        </w:rPr>
        <w:t xml:space="preserve">information system </w:t>
      </w:r>
      <w:r w:rsidR="00993D44" w:rsidRPr="00A41709">
        <w:rPr>
          <w:rFonts w:ascii="Times New Roman" w:hAnsi="Times New Roman"/>
          <w:noProof/>
          <w:color w:val="auto"/>
          <w:sz w:val="24"/>
          <w:szCs w:val="24"/>
        </w:rPr>
        <w:t>links geographical information and technical parameter data of the TEN-T infrastructure and enables the user to easily compile information and create reports and maps, covering the TEN-T core and comprehensive network</w:t>
      </w:r>
      <w:r w:rsidR="00E74394" w:rsidRPr="00A41709">
        <w:rPr>
          <w:rFonts w:ascii="Times New Roman" w:hAnsi="Times New Roman"/>
          <w:noProof/>
          <w:color w:val="auto"/>
          <w:sz w:val="24"/>
          <w:szCs w:val="24"/>
        </w:rPr>
        <w:t xml:space="preserve"> and other thematic data layers</w:t>
      </w:r>
      <w:r w:rsidR="00A41709">
        <w:rPr>
          <w:rFonts w:ascii="Times New Roman" w:hAnsi="Times New Roman"/>
          <w:noProof/>
          <w:color w:val="auto"/>
          <w:sz w:val="24"/>
          <w:szCs w:val="24"/>
        </w:rPr>
        <w:t>. The TENtec database</w:t>
      </w:r>
      <w:r w:rsidR="00A41709" w:rsidRPr="00A41709">
        <w:rPr>
          <w:rFonts w:ascii="Times New Roman" w:hAnsi="Times New Roman"/>
          <w:noProof/>
          <w:color w:val="auto"/>
          <w:sz w:val="24"/>
          <w:szCs w:val="24"/>
        </w:rPr>
        <w:t xml:space="preserve"> incorporate</w:t>
      </w:r>
      <w:r w:rsidR="00A41709">
        <w:rPr>
          <w:rFonts w:ascii="Times New Roman" w:hAnsi="Times New Roman"/>
          <w:noProof/>
          <w:color w:val="auto"/>
          <w:sz w:val="24"/>
          <w:szCs w:val="24"/>
        </w:rPr>
        <w:t>s</w:t>
      </w:r>
      <w:r w:rsidR="00A41709" w:rsidRPr="00A41709">
        <w:rPr>
          <w:rFonts w:ascii="Times New Roman" w:hAnsi="Times New Roman"/>
          <w:noProof/>
          <w:color w:val="auto"/>
          <w:sz w:val="24"/>
          <w:szCs w:val="24"/>
        </w:rPr>
        <w:t xml:space="preserve"> the data collected from the Member States, corridor studies and other data collection activities to provide the Commission with the means of identifying critical issues such as bottlenecks and issues related to interoperability across borders. </w:t>
      </w:r>
      <w:r w:rsidR="00A41709">
        <w:rPr>
          <w:rFonts w:ascii="Times New Roman" w:hAnsi="Times New Roman"/>
          <w:noProof/>
          <w:color w:val="auto"/>
          <w:sz w:val="24"/>
          <w:szCs w:val="24"/>
        </w:rPr>
        <w:t xml:space="preserve">A selection of TENtec compliance maps for the main technical parameters (key performance indicators) is provided as Annexes to this report. </w:t>
      </w:r>
    </w:p>
    <w:p w14:paraId="08D0687E" w14:textId="77777777" w:rsidR="00993D44" w:rsidRPr="00614EAF" w:rsidRDefault="00993D44" w:rsidP="00B35B8D">
      <w:pPr>
        <w:pStyle w:val="ManualHeading2"/>
        <w:numPr>
          <w:ilvl w:val="1"/>
          <w:numId w:val="2"/>
        </w:numPr>
        <w:rPr>
          <w:b w:val="0"/>
          <w:bCs w:val="0"/>
          <w:noProof/>
          <w:color w:val="000000" w:themeColor="text1"/>
        </w:rPr>
      </w:pPr>
      <w:r w:rsidRPr="00614EAF">
        <w:rPr>
          <w:noProof/>
          <w:color w:val="000000" w:themeColor="text1"/>
          <w:lang w:val="en-GB"/>
        </w:rPr>
        <w:t xml:space="preserve">Technical implementation of </w:t>
      </w:r>
      <w:r w:rsidR="00D24786">
        <w:rPr>
          <w:noProof/>
          <w:color w:val="000000" w:themeColor="text1"/>
          <w:lang w:val="en-GB"/>
        </w:rPr>
        <w:t xml:space="preserve">the </w:t>
      </w:r>
      <w:r w:rsidRPr="00614EAF">
        <w:rPr>
          <w:noProof/>
          <w:color w:val="000000" w:themeColor="text1"/>
          <w:lang w:val="en-GB"/>
        </w:rPr>
        <w:t>TEN-T network by KPI</w:t>
      </w:r>
    </w:p>
    <w:p w14:paraId="08D0687F" w14:textId="77777777" w:rsidR="00E975CF" w:rsidRDefault="00993D44" w:rsidP="00993D44">
      <w:pPr>
        <w:pStyle w:val="Corps"/>
        <w:spacing w:after="240" w:line="240" w:lineRule="auto"/>
        <w:jc w:val="both"/>
        <w:rPr>
          <w:rFonts w:ascii="Times New Roman" w:eastAsia="Times New Roman" w:hAnsi="Times New Roman" w:cs="Times New Roman"/>
          <w:noProof/>
          <w:color w:val="auto"/>
          <w:sz w:val="24"/>
          <w:szCs w:val="24"/>
        </w:rPr>
      </w:pPr>
      <w:r w:rsidRPr="00F653B4">
        <w:rPr>
          <w:rFonts w:ascii="Times New Roman" w:hAnsi="Times New Roman"/>
          <w:noProof/>
          <w:color w:val="auto"/>
          <w:sz w:val="24"/>
          <w:szCs w:val="24"/>
        </w:rPr>
        <w:t xml:space="preserve">Based on the TENtec Information System, the state of implementation of </w:t>
      </w:r>
      <w:r w:rsidR="00F653B4" w:rsidRPr="00F653B4">
        <w:rPr>
          <w:rFonts w:ascii="Times New Roman" w:hAnsi="Times New Roman"/>
          <w:noProof/>
          <w:color w:val="auto"/>
          <w:sz w:val="24"/>
          <w:szCs w:val="24"/>
        </w:rPr>
        <w:t xml:space="preserve">the </w:t>
      </w:r>
      <w:r w:rsidR="00E975CF">
        <w:rPr>
          <w:rFonts w:ascii="Times New Roman" w:hAnsi="Times New Roman"/>
          <w:noProof/>
          <w:color w:val="auto"/>
          <w:sz w:val="24"/>
          <w:szCs w:val="24"/>
        </w:rPr>
        <w:t>trans-European transport network</w:t>
      </w:r>
      <w:r w:rsidRPr="00F653B4">
        <w:rPr>
          <w:rFonts w:ascii="Times New Roman" w:hAnsi="Times New Roman"/>
          <w:noProof/>
          <w:color w:val="auto"/>
          <w:sz w:val="24"/>
          <w:szCs w:val="24"/>
        </w:rPr>
        <w:t xml:space="preserve"> </w:t>
      </w:r>
      <w:r w:rsidR="0067434C">
        <w:rPr>
          <w:rFonts w:ascii="Times New Roman" w:hAnsi="Times New Roman"/>
          <w:noProof/>
          <w:color w:val="auto"/>
          <w:sz w:val="24"/>
          <w:szCs w:val="24"/>
        </w:rPr>
        <w:t xml:space="preserve">in 2018/2019 </w:t>
      </w:r>
      <w:r w:rsidRPr="00F653B4">
        <w:rPr>
          <w:rFonts w:ascii="Times New Roman" w:hAnsi="Times New Roman"/>
          <w:noProof/>
          <w:color w:val="auto"/>
          <w:sz w:val="24"/>
          <w:szCs w:val="24"/>
        </w:rPr>
        <w:t xml:space="preserve">in terms of </w:t>
      </w:r>
      <w:r w:rsidR="00E975CF">
        <w:rPr>
          <w:rFonts w:ascii="Times New Roman" w:hAnsi="Times New Roman"/>
          <w:noProof/>
          <w:color w:val="auto"/>
          <w:sz w:val="24"/>
          <w:szCs w:val="24"/>
        </w:rPr>
        <w:t xml:space="preserve">its </w:t>
      </w:r>
      <w:r w:rsidRPr="00F653B4">
        <w:rPr>
          <w:rFonts w:ascii="Times New Roman" w:hAnsi="Times New Roman"/>
          <w:noProof/>
          <w:color w:val="auto"/>
          <w:sz w:val="24"/>
          <w:szCs w:val="24"/>
        </w:rPr>
        <w:t xml:space="preserve">compliance with the requirements </w:t>
      </w:r>
      <w:r w:rsidR="00F653B4" w:rsidRPr="00F653B4">
        <w:rPr>
          <w:rFonts w:ascii="Times New Roman" w:hAnsi="Times New Roman"/>
          <w:noProof/>
          <w:color w:val="auto"/>
          <w:sz w:val="24"/>
          <w:szCs w:val="24"/>
        </w:rPr>
        <w:t xml:space="preserve">of the TEN-T Regulation </w:t>
      </w:r>
      <w:r w:rsidRPr="00F653B4">
        <w:rPr>
          <w:rFonts w:ascii="Times New Roman" w:hAnsi="Times New Roman"/>
          <w:noProof/>
          <w:color w:val="auto"/>
          <w:sz w:val="24"/>
          <w:szCs w:val="24"/>
        </w:rPr>
        <w:t xml:space="preserve">reaches between </w:t>
      </w:r>
      <w:r w:rsidR="00E975CF">
        <w:rPr>
          <w:rFonts w:ascii="Times New Roman" w:hAnsi="Times New Roman"/>
          <w:noProof/>
          <w:color w:val="auto"/>
          <w:sz w:val="24"/>
          <w:szCs w:val="24"/>
        </w:rPr>
        <w:t>70</w:t>
      </w:r>
      <w:r w:rsidRPr="00F653B4">
        <w:rPr>
          <w:rFonts w:ascii="Times New Roman" w:hAnsi="Times New Roman"/>
          <w:noProof/>
          <w:color w:val="auto"/>
          <w:sz w:val="24"/>
          <w:szCs w:val="24"/>
        </w:rPr>
        <w:t xml:space="preserve">% and </w:t>
      </w:r>
      <w:r w:rsidR="00E975CF">
        <w:rPr>
          <w:rFonts w:ascii="Times New Roman" w:hAnsi="Times New Roman"/>
          <w:noProof/>
          <w:color w:val="auto"/>
          <w:sz w:val="24"/>
          <w:szCs w:val="24"/>
        </w:rPr>
        <w:t>99</w:t>
      </w:r>
      <w:r w:rsidRPr="00F653B4">
        <w:rPr>
          <w:rFonts w:ascii="Times New Roman" w:hAnsi="Times New Roman"/>
          <w:noProof/>
          <w:color w:val="auto"/>
          <w:sz w:val="24"/>
          <w:szCs w:val="24"/>
        </w:rPr>
        <w:t xml:space="preserve">% for </w:t>
      </w:r>
      <w:r w:rsidR="00015A66" w:rsidRPr="00F653B4">
        <w:rPr>
          <w:rFonts w:ascii="Times New Roman" w:hAnsi="Times New Roman"/>
          <w:noProof/>
          <w:color w:val="auto"/>
          <w:sz w:val="24"/>
          <w:szCs w:val="24"/>
        </w:rPr>
        <w:t>most (1</w:t>
      </w:r>
      <w:r w:rsidR="00E975CF">
        <w:rPr>
          <w:rFonts w:ascii="Times New Roman" w:hAnsi="Times New Roman"/>
          <w:noProof/>
          <w:color w:val="auto"/>
          <w:sz w:val="24"/>
          <w:szCs w:val="24"/>
        </w:rPr>
        <w:t>1</w:t>
      </w:r>
      <w:r w:rsidR="00015A66" w:rsidRPr="00F653B4">
        <w:rPr>
          <w:rFonts w:ascii="Times New Roman" w:hAnsi="Times New Roman"/>
          <w:noProof/>
          <w:color w:val="auto"/>
          <w:sz w:val="24"/>
          <w:szCs w:val="24"/>
        </w:rPr>
        <w:t xml:space="preserve"> out of 1</w:t>
      </w:r>
      <w:r w:rsidR="00E975CF">
        <w:rPr>
          <w:rFonts w:ascii="Times New Roman" w:hAnsi="Times New Roman"/>
          <w:noProof/>
          <w:color w:val="auto"/>
          <w:sz w:val="24"/>
          <w:szCs w:val="24"/>
        </w:rPr>
        <w:t>4</w:t>
      </w:r>
      <w:r w:rsidR="00015A66" w:rsidRPr="00F653B4">
        <w:rPr>
          <w:rFonts w:ascii="Times New Roman" w:hAnsi="Times New Roman"/>
          <w:noProof/>
          <w:color w:val="auto"/>
          <w:sz w:val="24"/>
          <w:szCs w:val="24"/>
        </w:rPr>
        <w:t>) of the available indicators</w:t>
      </w:r>
      <w:r w:rsidR="00F653B4" w:rsidRPr="00F653B4">
        <w:rPr>
          <w:rFonts w:ascii="Times New Roman" w:hAnsi="Times New Roman"/>
          <w:noProof/>
          <w:color w:val="auto"/>
          <w:sz w:val="24"/>
          <w:szCs w:val="24"/>
        </w:rPr>
        <w:t xml:space="preserve"> at </w:t>
      </w:r>
      <w:r w:rsidR="00E975CF">
        <w:rPr>
          <w:rFonts w:ascii="Times New Roman" w:hAnsi="Times New Roman"/>
          <w:noProof/>
          <w:color w:val="auto"/>
          <w:sz w:val="24"/>
          <w:szCs w:val="24"/>
        </w:rPr>
        <w:t xml:space="preserve">core network corridor </w:t>
      </w:r>
      <w:r w:rsidR="00DC3192">
        <w:rPr>
          <w:rFonts w:ascii="Times New Roman" w:hAnsi="Times New Roman"/>
          <w:noProof/>
          <w:color w:val="auto"/>
          <w:sz w:val="24"/>
          <w:szCs w:val="24"/>
        </w:rPr>
        <w:t xml:space="preserve">(CNC) </w:t>
      </w:r>
      <w:r w:rsidR="00F653B4" w:rsidRPr="00F653B4">
        <w:rPr>
          <w:rFonts w:ascii="Times New Roman" w:hAnsi="Times New Roman"/>
          <w:noProof/>
          <w:color w:val="auto"/>
          <w:sz w:val="24"/>
          <w:szCs w:val="24"/>
        </w:rPr>
        <w:t>level</w:t>
      </w:r>
      <w:r w:rsidR="00C345B5">
        <w:rPr>
          <w:rFonts w:ascii="Times New Roman" w:hAnsi="Times New Roman"/>
          <w:noProof/>
          <w:color w:val="auto"/>
          <w:sz w:val="24"/>
          <w:szCs w:val="24"/>
        </w:rPr>
        <w:t xml:space="preserve"> (see Figure 1)</w:t>
      </w:r>
      <w:r w:rsidRPr="00F653B4">
        <w:rPr>
          <w:rFonts w:ascii="Times New Roman" w:hAnsi="Times New Roman"/>
          <w:noProof/>
          <w:color w:val="auto"/>
          <w:sz w:val="24"/>
          <w:szCs w:val="24"/>
        </w:rPr>
        <w:t>.</w:t>
      </w:r>
      <w:r w:rsidR="00E74394" w:rsidRPr="00F653B4">
        <w:rPr>
          <w:rFonts w:ascii="Times New Roman" w:eastAsia="Times New Roman" w:hAnsi="Times New Roman" w:cs="Times New Roman"/>
          <w:noProof/>
          <w:color w:val="auto"/>
          <w:sz w:val="24"/>
          <w:szCs w:val="24"/>
        </w:rPr>
        <w:t xml:space="preserve"> </w:t>
      </w:r>
    </w:p>
    <w:p w14:paraId="08D06880" w14:textId="77777777" w:rsidR="00993D44" w:rsidRPr="00F653B4" w:rsidRDefault="0089527F" w:rsidP="00993D44">
      <w:pPr>
        <w:pStyle w:val="Corps"/>
        <w:spacing w:after="240" w:line="240" w:lineRule="auto"/>
        <w:jc w:val="both"/>
        <w:rPr>
          <w:rFonts w:ascii="Times New Roman" w:eastAsia="Times New Roman" w:hAnsi="Times New Roman" w:cs="Times New Roman"/>
          <w:noProof/>
          <w:color w:val="auto"/>
          <w:sz w:val="24"/>
          <w:szCs w:val="24"/>
        </w:rPr>
      </w:pPr>
      <w:r w:rsidRPr="00F653B4">
        <w:rPr>
          <w:rFonts w:ascii="Times New Roman" w:eastAsia="Times New Roman" w:hAnsi="Times New Roman" w:cs="Times New Roman"/>
          <w:noProof/>
          <w:color w:val="auto"/>
          <w:sz w:val="24"/>
          <w:szCs w:val="24"/>
        </w:rPr>
        <w:t>However</w:t>
      </w:r>
      <w:r w:rsidR="00291298" w:rsidRPr="00F653B4">
        <w:rPr>
          <w:rFonts w:ascii="Times New Roman" w:eastAsia="Times New Roman" w:hAnsi="Times New Roman" w:cs="Times New Roman"/>
          <w:noProof/>
          <w:color w:val="auto"/>
          <w:sz w:val="24"/>
          <w:szCs w:val="24"/>
        </w:rPr>
        <w:t>, even in cases where the situation has further improved since 2017, a high compliance percentage may hide a less positive situation on the ground because the criteria of the TEN-T Regulation are not sufficiently developed and specified</w:t>
      </w:r>
      <w:r w:rsidRPr="00F653B4">
        <w:rPr>
          <w:rFonts w:ascii="Times New Roman" w:eastAsia="Times New Roman" w:hAnsi="Times New Roman" w:cs="Times New Roman"/>
          <w:noProof/>
          <w:color w:val="auto"/>
          <w:sz w:val="24"/>
          <w:szCs w:val="24"/>
        </w:rPr>
        <w:t xml:space="preserve"> (</w:t>
      </w:r>
      <w:r w:rsidR="00B417BD" w:rsidRPr="00F653B4">
        <w:rPr>
          <w:rFonts w:ascii="Times New Roman" w:eastAsia="Times New Roman" w:hAnsi="Times New Roman" w:cs="Times New Roman"/>
          <w:noProof/>
          <w:color w:val="auto"/>
          <w:sz w:val="24"/>
          <w:szCs w:val="24"/>
        </w:rPr>
        <w:t>see section</w:t>
      </w:r>
      <w:r w:rsidRPr="00F653B4">
        <w:rPr>
          <w:rFonts w:ascii="Times New Roman" w:eastAsia="Times New Roman" w:hAnsi="Times New Roman" w:cs="Times New Roman"/>
          <w:noProof/>
          <w:color w:val="auto"/>
          <w:sz w:val="24"/>
          <w:szCs w:val="24"/>
        </w:rPr>
        <w:t xml:space="preserve"> </w:t>
      </w:r>
      <w:r w:rsidR="00291298" w:rsidRPr="00F653B4">
        <w:rPr>
          <w:rFonts w:ascii="Times New Roman" w:eastAsia="Times New Roman" w:hAnsi="Times New Roman" w:cs="Times New Roman"/>
          <w:noProof/>
          <w:color w:val="auto"/>
          <w:sz w:val="24"/>
          <w:szCs w:val="24"/>
        </w:rPr>
        <w:t>1.</w:t>
      </w:r>
      <w:r w:rsidR="00E975CF">
        <w:rPr>
          <w:rFonts w:ascii="Times New Roman" w:eastAsia="Times New Roman" w:hAnsi="Times New Roman" w:cs="Times New Roman"/>
          <w:noProof/>
          <w:color w:val="auto"/>
          <w:sz w:val="24"/>
          <w:szCs w:val="24"/>
        </w:rPr>
        <w:t>2</w:t>
      </w:r>
      <w:r w:rsidR="005F53FE" w:rsidRPr="00F653B4">
        <w:rPr>
          <w:rFonts w:ascii="Times New Roman" w:eastAsia="Times New Roman" w:hAnsi="Times New Roman" w:cs="Times New Roman"/>
          <w:noProof/>
          <w:color w:val="auto"/>
          <w:sz w:val="24"/>
          <w:szCs w:val="24"/>
        </w:rPr>
        <w:t xml:space="preserve"> above</w:t>
      </w:r>
      <w:r w:rsidRPr="00F653B4">
        <w:rPr>
          <w:rFonts w:ascii="Times New Roman" w:eastAsia="Times New Roman" w:hAnsi="Times New Roman" w:cs="Times New Roman"/>
          <w:noProof/>
          <w:color w:val="auto"/>
          <w:sz w:val="24"/>
          <w:szCs w:val="24"/>
        </w:rPr>
        <w:t>)</w:t>
      </w:r>
      <w:r w:rsidR="00291298" w:rsidRPr="00F653B4">
        <w:rPr>
          <w:rFonts w:ascii="Times New Roman" w:eastAsia="Times New Roman" w:hAnsi="Times New Roman" w:cs="Times New Roman"/>
          <w:noProof/>
          <w:color w:val="auto"/>
          <w:sz w:val="24"/>
          <w:szCs w:val="24"/>
        </w:rPr>
        <w:t>.</w:t>
      </w:r>
    </w:p>
    <w:p w14:paraId="5B4D1B97" w14:textId="77777777" w:rsidR="00B7460D" w:rsidRDefault="00B7460D">
      <w:pPr>
        <w:rPr>
          <w:rFonts w:eastAsia="Times New Roman"/>
          <w:i/>
          <w:noProof/>
          <w:color w:val="000000" w:themeColor="text1"/>
        </w:rPr>
      </w:pPr>
      <w:r>
        <w:rPr>
          <w:rFonts w:eastAsia="Times New Roman"/>
          <w:i/>
          <w:noProof/>
          <w:color w:val="000000" w:themeColor="text1"/>
        </w:rPr>
        <w:br w:type="page"/>
      </w:r>
    </w:p>
    <w:p w14:paraId="08D06881" w14:textId="3C065DE6" w:rsidR="00DB465F" w:rsidRPr="00351274" w:rsidRDefault="00DB465F" w:rsidP="00714B29">
      <w:pPr>
        <w:rPr>
          <w:rFonts w:eastAsia="Times New Roman"/>
          <w:i/>
          <w:noProof/>
          <w:color w:val="000000" w:themeColor="text1"/>
        </w:rPr>
      </w:pPr>
      <w:r w:rsidRPr="00351274">
        <w:rPr>
          <w:rFonts w:eastAsia="Times New Roman"/>
          <w:i/>
          <w:noProof/>
          <w:color w:val="000000" w:themeColor="text1"/>
        </w:rPr>
        <w:t xml:space="preserve">Figure 1: Compliance in % for </w:t>
      </w:r>
      <w:r w:rsidR="00DC3192">
        <w:rPr>
          <w:rFonts w:eastAsia="Times New Roman"/>
          <w:i/>
          <w:noProof/>
          <w:color w:val="000000" w:themeColor="text1"/>
        </w:rPr>
        <w:t>c</w:t>
      </w:r>
      <w:r w:rsidRPr="00351274">
        <w:rPr>
          <w:rFonts w:eastAsia="Times New Roman"/>
          <w:i/>
          <w:noProof/>
          <w:color w:val="000000" w:themeColor="text1"/>
        </w:rPr>
        <w:t xml:space="preserve">ore </w:t>
      </w:r>
      <w:r w:rsidR="00DC3192">
        <w:rPr>
          <w:rFonts w:eastAsia="Times New Roman"/>
          <w:i/>
          <w:noProof/>
          <w:color w:val="000000" w:themeColor="text1"/>
        </w:rPr>
        <w:t>n</w:t>
      </w:r>
      <w:r w:rsidRPr="00351274">
        <w:rPr>
          <w:rFonts w:eastAsia="Times New Roman"/>
          <w:i/>
          <w:noProof/>
          <w:color w:val="000000" w:themeColor="text1"/>
        </w:rPr>
        <w:t xml:space="preserve">etwork </w:t>
      </w:r>
      <w:r w:rsidR="00DC3192">
        <w:rPr>
          <w:rFonts w:eastAsia="Times New Roman"/>
          <w:i/>
          <w:noProof/>
          <w:color w:val="000000" w:themeColor="text1"/>
        </w:rPr>
        <w:t>c</w:t>
      </w:r>
      <w:r w:rsidRPr="00351274">
        <w:rPr>
          <w:rFonts w:eastAsia="Times New Roman"/>
          <w:i/>
          <w:noProof/>
          <w:color w:val="000000" w:themeColor="text1"/>
        </w:rPr>
        <w:t xml:space="preserve">orridor (CNC) </w:t>
      </w:r>
      <w:r w:rsidR="00DC3192">
        <w:rPr>
          <w:rFonts w:eastAsia="Times New Roman"/>
          <w:i/>
          <w:noProof/>
          <w:color w:val="000000" w:themeColor="text1"/>
        </w:rPr>
        <w:t>n</w:t>
      </w:r>
      <w:r w:rsidRPr="00351274">
        <w:rPr>
          <w:rFonts w:eastAsia="Times New Roman"/>
          <w:i/>
          <w:noProof/>
          <w:color w:val="000000" w:themeColor="text1"/>
        </w:rPr>
        <w:t xml:space="preserve">etwork </w:t>
      </w:r>
      <w:r w:rsidR="000579E0">
        <w:rPr>
          <w:rFonts w:eastAsia="Times New Roman"/>
          <w:i/>
          <w:noProof/>
          <w:color w:val="000000" w:themeColor="text1"/>
        </w:rPr>
        <w:br/>
      </w:r>
    </w:p>
    <w:p w14:paraId="08D06882" w14:textId="77777777" w:rsidR="00A4277A" w:rsidRPr="00A33E1F" w:rsidRDefault="000E1D27" w:rsidP="001D7593">
      <w:pPr>
        <w:pStyle w:val="Corps"/>
        <w:spacing w:after="240" w:line="240" w:lineRule="auto"/>
        <w:jc w:val="center"/>
        <w:rPr>
          <w:rFonts w:ascii="Times New Roman" w:eastAsia="Times New Roman" w:hAnsi="Times New Roman" w:cs="Times New Roman"/>
          <w:noProof/>
          <w:color w:val="0070C0"/>
          <w:sz w:val="24"/>
          <w:szCs w:val="24"/>
        </w:rPr>
      </w:pPr>
      <w:r>
        <w:rPr>
          <w:noProof/>
        </w:rPr>
        <w:drawing>
          <wp:inline distT="0" distB="0" distL="0" distR="0" wp14:anchorId="08D06A1B" wp14:editId="08D06A1C">
            <wp:extent cx="5057195" cy="3890236"/>
            <wp:effectExtent l="0" t="0" r="0" b="0"/>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8"/>
                    <a:stretch>
                      <a:fillRect/>
                    </a:stretch>
                  </pic:blipFill>
                  <pic:spPr>
                    <a:xfrm>
                      <a:off x="0" y="0"/>
                      <a:ext cx="5061944" cy="3893889"/>
                    </a:xfrm>
                    <a:prstGeom prst="rect">
                      <a:avLst/>
                    </a:prstGeom>
                  </pic:spPr>
                </pic:pic>
              </a:graphicData>
            </a:graphic>
          </wp:inline>
        </w:drawing>
      </w:r>
    </w:p>
    <w:p w14:paraId="08D06883" w14:textId="77777777" w:rsidR="00DB465F" w:rsidRPr="00DB465F" w:rsidRDefault="00DB465F" w:rsidP="00993D44">
      <w:pPr>
        <w:pStyle w:val="Corps"/>
        <w:rPr>
          <w:rFonts w:ascii="Times New Roman" w:hAnsi="Times New Roman" w:cs="Times New Roman"/>
          <w:i/>
          <w:noProof/>
          <w:color w:val="000000" w:themeColor="text1"/>
          <w:sz w:val="24"/>
          <w:szCs w:val="24"/>
        </w:rPr>
      </w:pPr>
      <w:r w:rsidRPr="00DB465F">
        <w:rPr>
          <w:rFonts w:ascii="Times New Roman" w:hAnsi="Times New Roman" w:cs="Times New Roman"/>
          <w:i/>
          <w:noProof/>
          <w:color w:val="000000" w:themeColor="text1"/>
          <w:sz w:val="24"/>
          <w:szCs w:val="24"/>
        </w:rPr>
        <w:t xml:space="preserve">Source: TENtec </w:t>
      </w:r>
    </w:p>
    <w:p w14:paraId="08D06885" w14:textId="4CBFAA68" w:rsidR="006527FE" w:rsidRDefault="006527FE">
      <w:pPr>
        <w:rPr>
          <w:rFonts w:eastAsia="Calibri"/>
          <w:b/>
          <w:i/>
          <w:noProof/>
          <w:color w:val="000000" w:themeColor="text1"/>
          <w:u w:color="000000"/>
          <w:lang w:val="en-GB" w:eastAsia="en-GB"/>
        </w:rPr>
      </w:pPr>
    </w:p>
    <w:p w14:paraId="08D06886" w14:textId="77777777" w:rsidR="00993D44" w:rsidRPr="00614EAF" w:rsidRDefault="00993D44" w:rsidP="00993D44">
      <w:pPr>
        <w:pStyle w:val="Corps"/>
        <w:rPr>
          <w:rFonts w:ascii="Times New Roman" w:hAnsi="Times New Roman" w:cs="Times New Roman"/>
          <w:b/>
          <w:i/>
          <w:noProof/>
          <w:color w:val="000000" w:themeColor="text1"/>
          <w:sz w:val="24"/>
          <w:szCs w:val="24"/>
        </w:rPr>
      </w:pPr>
      <w:r w:rsidRPr="00614EAF">
        <w:rPr>
          <w:rFonts w:ascii="Times New Roman" w:hAnsi="Times New Roman" w:cs="Times New Roman"/>
          <w:b/>
          <w:i/>
          <w:noProof/>
          <w:color w:val="000000" w:themeColor="text1"/>
          <w:sz w:val="24"/>
          <w:szCs w:val="24"/>
        </w:rPr>
        <w:t>Railways</w:t>
      </w:r>
    </w:p>
    <w:p w14:paraId="08D06887" w14:textId="77777777" w:rsidR="00BE46A2" w:rsidRDefault="00DC3192" w:rsidP="00015A66">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The TEN-T Regulation defines various requirements for the railway infrastructure of the trans-European transport network</w:t>
      </w:r>
      <w:r w:rsidR="00C345B5">
        <w:rPr>
          <w:rFonts w:ascii="Times New Roman" w:hAnsi="Times New Roman"/>
          <w:noProof/>
          <w:color w:val="auto"/>
          <w:sz w:val="24"/>
          <w:szCs w:val="24"/>
        </w:rPr>
        <w:t xml:space="preserve"> </w:t>
      </w:r>
      <w:r w:rsidR="00F15875">
        <w:rPr>
          <w:rFonts w:ascii="Times New Roman" w:hAnsi="Times New Roman"/>
          <w:noProof/>
          <w:color w:val="auto"/>
          <w:sz w:val="24"/>
          <w:szCs w:val="24"/>
        </w:rPr>
        <w:t xml:space="preserve">at CNC level </w:t>
      </w:r>
      <w:r w:rsidR="00C345B5">
        <w:rPr>
          <w:rFonts w:ascii="Times New Roman" w:hAnsi="Times New Roman"/>
          <w:noProof/>
          <w:color w:val="auto"/>
          <w:sz w:val="24"/>
          <w:szCs w:val="24"/>
        </w:rPr>
        <w:t>(see Figure 1)</w:t>
      </w:r>
      <w:r>
        <w:rPr>
          <w:rFonts w:ascii="Times New Roman" w:hAnsi="Times New Roman"/>
          <w:noProof/>
          <w:color w:val="auto"/>
          <w:sz w:val="24"/>
          <w:szCs w:val="24"/>
        </w:rPr>
        <w:t xml:space="preserve">. As regards </w:t>
      </w:r>
      <w:r w:rsidR="00244641">
        <w:rPr>
          <w:rFonts w:ascii="Times New Roman" w:hAnsi="Times New Roman"/>
          <w:noProof/>
          <w:color w:val="auto"/>
          <w:sz w:val="24"/>
          <w:szCs w:val="24"/>
        </w:rPr>
        <w:t xml:space="preserve">the </w:t>
      </w:r>
      <w:r w:rsidR="00015A66" w:rsidRPr="00CD6C53">
        <w:rPr>
          <w:rFonts w:ascii="Times New Roman" w:hAnsi="Times New Roman"/>
          <w:b/>
          <w:i/>
          <w:noProof/>
          <w:color w:val="auto"/>
          <w:sz w:val="24"/>
          <w:szCs w:val="24"/>
        </w:rPr>
        <w:t>electrification</w:t>
      </w:r>
      <w:r w:rsidR="00015A66" w:rsidRPr="00244641">
        <w:rPr>
          <w:rFonts w:ascii="Times New Roman" w:hAnsi="Times New Roman"/>
          <w:noProof/>
          <w:color w:val="auto"/>
          <w:sz w:val="24"/>
          <w:szCs w:val="24"/>
        </w:rPr>
        <w:t xml:space="preserve"> </w:t>
      </w:r>
      <w:r w:rsidR="00244641">
        <w:rPr>
          <w:rFonts w:ascii="Times New Roman" w:hAnsi="Times New Roman"/>
          <w:noProof/>
          <w:color w:val="auto"/>
          <w:sz w:val="24"/>
          <w:szCs w:val="24"/>
        </w:rPr>
        <w:t>requirement</w:t>
      </w:r>
      <w:r>
        <w:rPr>
          <w:rFonts w:ascii="Times New Roman" w:hAnsi="Times New Roman"/>
          <w:noProof/>
          <w:color w:val="auto"/>
          <w:sz w:val="24"/>
          <w:szCs w:val="24"/>
        </w:rPr>
        <w:t>, compliance of the CNC network</w:t>
      </w:r>
      <w:r w:rsidR="00244641">
        <w:rPr>
          <w:rFonts w:ascii="Times New Roman" w:hAnsi="Times New Roman"/>
          <w:noProof/>
          <w:color w:val="auto"/>
          <w:sz w:val="24"/>
          <w:szCs w:val="24"/>
        </w:rPr>
        <w:t xml:space="preserve"> </w:t>
      </w:r>
      <w:r w:rsidR="00015A66" w:rsidRPr="00244641">
        <w:rPr>
          <w:rFonts w:ascii="Times New Roman" w:hAnsi="Times New Roman"/>
          <w:noProof/>
          <w:color w:val="auto"/>
          <w:sz w:val="24"/>
          <w:szCs w:val="24"/>
        </w:rPr>
        <w:t xml:space="preserve">is already at a high </w:t>
      </w:r>
      <w:r w:rsidR="00244641" w:rsidRPr="00244641">
        <w:rPr>
          <w:rFonts w:ascii="Times New Roman" w:hAnsi="Times New Roman"/>
          <w:noProof/>
          <w:color w:val="auto"/>
          <w:sz w:val="24"/>
          <w:szCs w:val="24"/>
        </w:rPr>
        <w:t>90</w:t>
      </w:r>
      <w:r w:rsidR="00015A66" w:rsidRPr="00244641">
        <w:rPr>
          <w:rFonts w:ascii="Times New Roman" w:hAnsi="Times New Roman"/>
          <w:noProof/>
          <w:color w:val="auto"/>
          <w:sz w:val="24"/>
          <w:szCs w:val="24"/>
        </w:rPr>
        <w:t>% per 201</w:t>
      </w:r>
      <w:r w:rsidR="00244641" w:rsidRPr="00244641">
        <w:rPr>
          <w:rFonts w:ascii="Times New Roman" w:hAnsi="Times New Roman"/>
          <w:noProof/>
          <w:color w:val="auto"/>
          <w:sz w:val="24"/>
          <w:szCs w:val="24"/>
        </w:rPr>
        <w:t>9</w:t>
      </w:r>
      <w:r w:rsidR="0067434C">
        <w:rPr>
          <w:rFonts w:ascii="Times New Roman" w:hAnsi="Times New Roman"/>
          <w:noProof/>
          <w:color w:val="auto"/>
          <w:sz w:val="24"/>
          <w:szCs w:val="24"/>
        </w:rPr>
        <w:t xml:space="preserve"> </w:t>
      </w:r>
      <w:r w:rsidR="00015A66" w:rsidRPr="00244641">
        <w:rPr>
          <w:rFonts w:ascii="Times New Roman" w:hAnsi="Times New Roman"/>
          <w:noProof/>
          <w:color w:val="auto"/>
          <w:sz w:val="24"/>
          <w:szCs w:val="24"/>
        </w:rPr>
        <w:t>data</w:t>
      </w:r>
      <w:r w:rsidR="00244641" w:rsidRPr="00244641">
        <w:rPr>
          <w:rFonts w:ascii="Times New Roman" w:hAnsi="Times New Roman"/>
          <w:noProof/>
          <w:color w:val="auto"/>
          <w:sz w:val="24"/>
          <w:szCs w:val="24"/>
        </w:rPr>
        <w:t xml:space="preserve"> and has thus slightly improved compared to the situation in 2017</w:t>
      </w:r>
      <w:r w:rsidR="00015A66" w:rsidRPr="00244641">
        <w:rPr>
          <w:rFonts w:ascii="Times New Roman" w:hAnsi="Times New Roman"/>
          <w:noProof/>
          <w:color w:val="auto"/>
          <w:sz w:val="24"/>
          <w:szCs w:val="24"/>
        </w:rPr>
        <w:t xml:space="preserve">. </w:t>
      </w:r>
      <w:r w:rsidR="000F1428" w:rsidRPr="00244641">
        <w:rPr>
          <w:rFonts w:ascii="Times New Roman" w:hAnsi="Times New Roman"/>
          <w:noProof/>
          <w:color w:val="auto"/>
          <w:sz w:val="24"/>
          <w:szCs w:val="24"/>
        </w:rPr>
        <w:t>Certain isolated networks</w:t>
      </w:r>
      <w:r w:rsidR="00015A66" w:rsidRPr="00244641">
        <w:rPr>
          <w:rFonts w:ascii="Times New Roman" w:hAnsi="Times New Roman"/>
          <w:noProof/>
          <w:color w:val="auto"/>
          <w:sz w:val="24"/>
          <w:szCs w:val="24"/>
        </w:rPr>
        <w:t xml:space="preserve"> mainly in Ireland, the Baltic States</w:t>
      </w:r>
      <w:r w:rsidR="000F1428" w:rsidRPr="00244641">
        <w:rPr>
          <w:rFonts w:ascii="Times New Roman" w:hAnsi="Times New Roman"/>
          <w:noProof/>
          <w:color w:val="auto"/>
          <w:sz w:val="24"/>
          <w:szCs w:val="24"/>
        </w:rPr>
        <w:t>,</w:t>
      </w:r>
      <w:r w:rsidR="00015A66" w:rsidRPr="00244641">
        <w:rPr>
          <w:rFonts w:ascii="Times New Roman" w:hAnsi="Times New Roman"/>
          <w:noProof/>
          <w:color w:val="auto"/>
          <w:sz w:val="24"/>
          <w:szCs w:val="24"/>
        </w:rPr>
        <w:t xml:space="preserve"> Spain</w:t>
      </w:r>
      <w:r w:rsidR="000F1428" w:rsidRPr="00244641">
        <w:rPr>
          <w:rFonts w:ascii="Times New Roman" w:hAnsi="Times New Roman"/>
          <w:noProof/>
          <w:color w:val="auto"/>
          <w:sz w:val="24"/>
          <w:szCs w:val="24"/>
        </w:rPr>
        <w:t xml:space="preserve"> and Portugal are exempted</w:t>
      </w:r>
      <w:r w:rsidR="00244641">
        <w:rPr>
          <w:rFonts w:ascii="Times New Roman" w:hAnsi="Times New Roman"/>
          <w:noProof/>
          <w:color w:val="auto"/>
          <w:sz w:val="24"/>
          <w:szCs w:val="24"/>
        </w:rPr>
        <w:t xml:space="preserve"> from this requirement though</w:t>
      </w:r>
      <w:r w:rsidR="00015A66" w:rsidRPr="00244641">
        <w:rPr>
          <w:rFonts w:ascii="Times New Roman" w:hAnsi="Times New Roman"/>
          <w:noProof/>
          <w:color w:val="auto"/>
          <w:sz w:val="24"/>
          <w:szCs w:val="24"/>
        </w:rPr>
        <w:t>.</w:t>
      </w:r>
      <w:r w:rsidR="006861D0" w:rsidRPr="00244641">
        <w:rPr>
          <w:rStyle w:val="FootnoteReference"/>
          <w:rFonts w:ascii="Times New Roman" w:hAnsi="Times New Roman"/>
          <w:noProof/>
          <w:color w:val="auto"/>
          <w:sz w:val="24"/>
          <w:szCs w:val="24"/>
        </w:rPr>
        <w:footnoteReference w:id="17"/>
      </w:r>
      <w:r w:rsidR="00015A66" w:rsidRPr="00244641">
        <w:rPr>
          <w:rFonts w:ascii="Times New Roman" w:hAnsi="Times New Roman"/>
          <w:noProof/>
          <w:color w:val="auto"/>
          <w:sz w:val="24"/>
          <w:szCs w:val="24"/>
        </w:rPr>
        <w:t xml:space="preserve"> </w:t>
      </w:r>
      <w:r w:rsidR="0097481A">
        <w:rPr>
          <w:rFonts w:ascii="Times New Roman" w:hAnsi="Times New Roman"/>
          <w:noProof/>
          <w:color w:val="auto"/>
          <w:sz w:val="24"/>
          <w:szCs w:val="24"/>
        </w:rPr>
        <w:t xml:space="preserve">Nevertheless, the entire CNC rail network is already electrified in Portugal. </w:t>
      </w:r>
    </w:p>
    <w:p w14:paraId="08D06888" w14:textId="77777777" w:rsidR="00BE46A2" w:rsidRDefault="00F1135B" w:rsidP="00015A66">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The r</w:t>
      </w:r>
      <w:r w:rsidR="00244641" w:rsidRPr="00244641">
        <w:rPr>
          <w:rFonts w:ascii="Times New Roman" w:hAnsi="Times New Roman"/>
          <w:noProof/>
          <w:color w:val="auto"/>
          <w:sz w:val="24"/>
          <w:szCs w:val="24"/>
        </w:rPr>
        <w:t xml:space="preserve">ail </w:t>
      </w:r>
      <w:r w:rsidR="00244641" w:rsidRPr="00CD6C53">
        <w:rPr>
          <w:rFonts w:ascii="Times New Roman" w:hAnsi="Times New Roman"/>
          <w:b/>
          <w:i/>
          <w:noProof/>
          <w:color w:val="auto"/>
          <w:sz w:val="24"/>
          <w:szCs w:val="24"/>
        </w:rPr>
        <w:t>track gauge</w:t>
      </w:r>
      <w:r w:rsidR="00244641" w:rsidRPr="00244641">
        <w:rPr>
          <w:rFonts w:ascii="Times New Roman" w:hAnsi="Times New Roman"/>
          <w:noProof/>
          <w:color w:val="auto"/>
          <w:sz w:val="24"/>
          <w:szCs w:val="24"/>
        </w:rPr>
        <w:t xml:space="preserve"> </w:t>
      </w:r>
      <w:r>
        <w:rPr>
          <w:rFonts w:ascii="Times New Roman" w:hAnsi="Times New Roman"/>
          <w:noProof/>
          <w:color w:val="auto"/>
          <w:sz w:val="24"/>
          <w:szCs w:val="24"/>
        </w:rPr>
        <w:t xml:space="preserve">of the </w:t>
      </w:r>
      <w:r w:rsidR="00F15875">
        <w:rPr>
          <w:rFonts w:ascii="Times New Roman" w:hAnsi="Times New Roman"/>
          <w:noProof/>
          <w:color w:val="auto"/>
          <w:sz w:val="24"/>
          <w:szCs w:val="24"/>
        </w:rPr>
        <w:t xml:space="preserve">CNC </w:t>
      </w:r>
      <w:r>
        <w:rPr>
          <w:rFonts w:ascii="Times New Roman" w:hAnsi="Times New Roman"/>
          <w:noProof/>
          <w:color w:val="auto"/>
          <w:sz w:val="24"/>
          <w:szCs w:val="24"/>
        </w:rPr>
        <w:t xml:space="preserve">network </w:t>
      </w:r>
      <w:r w:rsidR="00244641" w:rsidRPr="00244641">
        <w:rPr>
          <w:rFonts w:ascii="Times New Roman" w:hAnsi="Times New Roman"/>
          <w:noProof/>
          <w:color w:val="auto"/>
          <w:sz w:val="24"/>
          <w:szCs w:val="24"/>
        </w:rPr>
        <w:t>is compliant at a high 84% per 2019</w:t>
      </w:r>
      <w:r w:rsidR="0067434C">
        <w:rPr>
          <w:rFonts w:ascii="Times New Roman" w:hAnsi="Times New Roman"/>
          <w:noProof/>
          <w:color w:val="auto"/>
          <w:sz w:val="24"/>
          <w:szCs w:val="24"/>
        </w:rPr>
        <w:t xml:space="preserve"> </w:t>
      </w:r>
      <w:r w:rsidR="00244641" w:rsidRPr="00244641">
        <w:rPr>
          <w:rFonts w:ascii="Times New Roman" w:hAnsi="Times New Roman"/>
          <w:noProof/>
          <w:color w:val="auto"/>
          <w:sz w:val="24"/>
          <w:szCs w:val="24"/>
        </w:rPr>
        <w:t>data</w:t>
      </w:r>
      <w:r w:rsidR="00244641">
        <w:rPr>
          <w:rStyle w:val="FootnoteReference"/>
          <w:rFonts w:ascii="Times New Roman" w:hAnsi="Times New Roman"/>
          <w:noProof/>
          <w:color w:val="auto"/>
          <w:sz w:val="24"/>
          <w:szCs w:val="24"/>
        </w:rPr>
        <w:footnoteReference w:id="18"/>
      </w:r>
      <w:r w:rsidR="00244641">
        <w:rPr>
          <w:rFonts w:ascii="Times New Roman" w:hAnsi="Times New Roman"/>
          <w:noProof/>
          <w:color w:val="auto"/>
          <w:sz w:val="24"/>
          <w:szCs w:val="24"/>
        </w:rPr>
        <w:t xml:space="preserve">. </w:t>
      </w:r>
      <w:r w:rsidR="00015A66" w:rsidRPr="00244641">
        <w:rPr>
          <w:rFonts w:ascii="Times New Roman" w:hAnsi="Times New Roman"/>
          <w:noProof/>
          <w:color w:val="auto"/>
          <w:sz w:val="24"/>
          <w:szCs w:val="24"/>
        </w:rPr>
        <w:t>The three notable ex</w:t>
      </w:r>
      <w:r w:rsidR="001A04D0" w:rsidRPr="00244641">
        <w:rPr>
          <w:rFonts w:ascii="Times New Roman" w:hAnsi="Times New Roman"/>
          <w:noProof/>
          <w:color w:val="auto"/>
          <w:sz w:val="24"/>
          <w:szCs w:val="24"/>
        </w:rPr>
        <w:t xml:space="preserve">ceptions </w:t>
      </w:r>
      <w:r>
        <w:rPr>
          <w:rFonts w:ascii="Times New Roman" w:hAnsi="Times New Roman"/>
          <w:noProof/>
          <w:color w:val="auto"/>
          <w:sz w:val="24"/>
          <w:szCs w:val="24"/>
        </w:rPr>
        <w:t xml:space="preserve">remain </w:t>
      </w:r>
      <w:r w:rsidR="00015A66" w:rsidRPr="00244641">
        <w:rPr>
          <w:rFonts w:ascii="Times New Roman" w:hAnsi="Times New Roman"/>
          <w:noProof/>
          <w:color w:val="auto"/>
          <w:sz w:val="24"/>
          <w:szCs w:val="24"/>
        </w:rPr>
        <w:t>the Iberian gauge still predomina</w:t>
      </w:r>
      <w:r w:rsidR="001A04D0" w:rsidRPr="00244641">
        <w:rPr>
          <w:rFonts w:ascii="Times New Roman" w:hAnsi="Times New Roman"/>
          <w:noProof/>
          <w:color w:val="auto"/>
          <w:sz w:val="24"/>
          <w:szCs w:val="24"/>
        </w:rPr>
        <w:t xml:space="preserve">nt in the Iberian Peninsula, </w:t>
      </w:r>
      <w:r w:rsidR="00015A66" w:rsidRPr="00244641">
        <w:rPr>
          <w:rFonts w:ascii="Times New Roman" w:hAnsi="Times New Roman"/>
          <w:noProof/>
          <w:color w:val="auto"/>
          <w:sz w:val="24"/>
          <w:szCs w:val="24"/>
        </w:rPr>
        <w:t>the Irish gauge sti</w:t>
      </w:r>
      <w:r w:rsidR="001A04D0" w:rsidRPr="00244641">
        <w:rPr>
          <w:rFonts w:ascii="Times New Roman" w:hAnsi="Times New Roman"/>
          <w:noProof/>
          <w:color w:val="auto"/>
          <w:sz w:val="24"/>
          <w:szCs w:val="24"/>
        </w:rPr>
        <w:t>ll the only gauge in Ireland and</w:t>
      </w:r>
      <w:r w:rsidR="00015A66" w:rsidRPr="00244641">
        <w:rPr>
          <w:rFonts w:ascii="Times New Roman" w:hAnsi="Times New Roman"/>
          <w:noProof/>
          <w:color w:val="auto"/>
          <w:sz w:val="24"/>
          <w:szCs w:val="24"/>
        </w:rPr>
        <w:t xml:space="preserve"> the </w:t>
      </w:r>
      <w:r w:rsidR="002F4F7A" w:rsidRPr="00244641">
        <w:rPr>
          <w:rFonts w:ascii="Times New Roman" w:hAnsi="Times New Roman"/>
          <w:noProof/>
          <w:color w:val="auto"/>
          <w:sz w:val="24"/>
          <w:szCs w:val="24"/>
        </w:rPr>
        <w:t xml:space="preserve">broad </w:t>
      </w:r>
      <w:r w:rsidR="00015A66" w:rsidRPr="00244641">
        <w:rPr>
          <w:rFonts w:ascii="Times New Roman" w:hAnsi="Times New Roman"/>
          <w:noProof/>
          <w:color w:val="auto"/>
          <w:sz w:val="24"/>
          <w:szCs w:val="24"/>
        </w:rPr>
        <w:t xml:space="preserve">gauge still the almost only gauge in the Baltic States and in Finland. </w:t>
      </w:r>
    </w:p>
    <w:p w14:paraId="08D06889" w14:textId="77777777" w:rsidR="00BE46A2" w:rsidRDefault="00F47262" w:rsidP="00015A66">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 xml:space="preserve">As regards </w:t>
      </w:r>
      <w:r w:rsidRPr="00CD6C53">
        <w:rPr>
          <w:rFonts w:ascii="Times New Roman" w:hAnsi="Times New Roman"/>
          <w:b/>
          <w:i/>
          <w:noProof/>
          <w:color w:val="auto"/>
          <w:sz w:val="24"/>
          <w:szCs w:val="24"/>
        </w:rPr>
        <w:t>line speed</w:t>
      </w:r>
      <w:r>
        <w:rPr>
          <w:rFonts w:ascii="Times New Roman" w:hAnsi="Times New Roman"/>
          <w:noProof/>
          <w:color w:val="auto"/>
          <w:sz w:val="24"/>
          <w:szCs w:val="24"/>
        </w:rPr>
        <w:t>, the requirement of the TEN-T Regulation is of 100 km/h or more for freight and mixed lines. The CNC network is compliant with this requirement already at 86% per 2019</w:t>
      </w:r>
      <w:r w:rsidR="0067434C">
        <w:rPr>
          <w:rFonts w:ascii="Times New Roman" w:hAnsi="Times New Roman"/>
          <w:noProof/>
          <w:color w:val="auto"/>
          <w:sz w:val="24"/>
          <w:szCs w:val="24"/>
        </w:rPr>
        <w:t xml:space="preserve"> </w:t>
      </w:r>
      <w:r>
        <w:rPr>
          <w:rFonts w:ascii="Times New Roman" w:hAnsi="Times New Roman"/>
          <w:noProof/>
          <w:color w:val="auto"/>
          <w:sz w:val="24"/>
          <w:szCs w:val="24"/>
        </w:rPr>
        <w:t xml:space="preserve">data. Outages remain persistent mainly in parts of Latvia, Poland, Slovenia, Romania, Bulgaria and Greece. </w:t>
      </w:r>
    </w:p>
    <w:p w14:paraId="08D0688A" w14:textId="77777777" w:rsidR="00A40F67" w:rsidRDefault="00A40F67" w:rsidP="00A40F67">
      <w:pPr>
        <w:pStyle w:val="Corps"/>
        <w:spacing w:after="240" w:line="240" w:lineRule="auto"/>
        <w:jc w:val="both"/>
        <w:rPr>
          <w:rFonts w:ascii="Times New Roman" w:hAnsi="Times New Roman"/>
          <w:noProof/>
          <w:color w:val="auto"/>
          <w:sz w:val="24"/>
          <w:szCs w:val="24"/>
        </w:rPr>
      </w:pPr>
      <w:r w:rsidRPr="00A40F67">
        <w:rPr>
          <w:rFonts w:ascii="Times New Roman" w:hAnsi="Times New Roman"/>
          <w:b/>
          <w:i/>
          <w:noProof/>
          <w:color w:val="auto"/>
          <w:sz w:val="24"/>
          <w:szCs w:val="24"/>
        </w:rPr>
        <w:t xml:space="preserve">ERTMS </w:t>
      </w:r>
      <w:r w:rsidRPr="00A40F67">
        <w:rPr>
          <w:rFonts w:ascii="Times New Roman" w:hAnsi="Times New Roman"/>
          <w:noProof/>
          <w:color w:val="auto"/>
          <w:sz w:val="24"/>
          <w:szCs w:val="24"/>
        </w:rPr>
        <w:t xml:space="preserve">deployment remains the biggest challenge in terms of the TEN-T parameters with slower progress than anticipated. The trackside deployment </w:t>
      </w:r>
      <w:r>
        <w:rPr>
          <w:rFonts w:ascii="Times New Roman" w:hAnsi="Times New Roman"/>
          <w:noProof/>
          <w:color w:val="auto"/>
          <w:sz w:val="24"/>
          <w:szCs w:val="24"/>
        </w:rPr>
        <w:t xml:space="preserve">on the CNC network </w:t>
      </w:r>
      <w:r w:rsidRPr="00A40F67">
        <w:rPr>
          <w:rFonts w:ascii="Times New Roman" w:hAnsi="Times New Roman"/>
          <w:noProof/>
          <w:color w:val="auto"/>
          <w:sz w:val="24"/>
          <w:szCs w:val="24"/>
        </w:rPr>
        <w:t xml:space="preserve">scores relatively low at </w:t>
      </w:r>
      <w:r>
        <w:rPr>
          <w:rFonts w:ascii="Times New Roman" w:hAnsi="Times New Roman"/>
          <w:noProof/>
          <w:color w:val="auto"/>
          <w:sz w:val="24"/>
          <w:szCs w:val="24"/>
        </w:rPr>
        <w:t>16</w:t>
      </w:r>
      <w:r w:rsidRPr="00A40F67">
        <w:rPr>
          <w:rFonts w:ascii="Times New Roman" w:hAnsi="Times New Roman"/>
          <w:noProof/>
          <w:color w:val="auto"/>
          <w:sz w:val="24"/>
          <w:szCs w:val="24"/>
        </w:rPr>
        <w:t>%</w:t>
      </w:r>
      <w:r>
        <w:rPr>
          <w:rFonts w:ascii="Times New Roman" w:hAnsi="Times New Roman"/>
          <w:noProof/>
          <w:color w:val="auto"/>
          <w:sz w:val="24"/>
          <w:szCs w:val="24"/>
        </w:rPr>
        <w:t xml:space="preserve"> per 2019 data</w:t>
      </w:r>
      <w:r w:rsidRPr="00A40F67">
        <w:rPr>
          <w:rFonts w:ascii="Times New Roman" w:hAnsi="Times New Roman"/>
          <w:noProof/>
          <w:color w:val="auto"/>
          <w:sz w:val="24"/>
          <w:szCs w:val="24"/>
        </w:rPr>
        <w:t>, but has improved compared to the situation in 2017</w:t>
      </w:r>
      <w:r>
        <w:rPr>
          <w:rStyle w:val="FootnoteReference"/>
          <w:rFonts w:ascii="Times New Roman" w:hAnsi="Times New Roman"/>
          <w:noProof/>
          <w:color w:val="auto"/>
          <w:sz w:val="24"/>
          <w:szCs w:val="24"/>
        </w:rPr>
        <w:footnoteReference w:id="19"/>
      </w:r>
      <w:r w:rsidRPr="00A40F67">
        <w:rPr>
          <w:rFonts w:ascii="Times New Roman" w:hAnsi="Times New Roman"/>
          <w:noProof/>
          <w:color w:val="auto"/>
          <w:sz w:val="24"/>
          <w:szCs w:val="24"/>
        </w:rPr>
        <w:t xml:space="preserve">. </w:t>
      </w:r>
    </w:p>
    <w:p w14:paraId="08D0688B" w14:textId="77777777" w:rsidR="00A40F67" w:rsidRDefault="00A40F67" w:rsidP="00A40F67">
      <w:pPr>
        <w:pStyle w:val="Corps"/>
        <w:spacing w:after="240" w:line="240" w:lineRule="auto"/>
        <w:jc w:val="both"/>
        <w:rPr>
          <w:rFonts w:ascii="Times New Roman" w:hAnsi="Times New Roman"/>
          <w:noProof/>
          <w:color w:val="auto"/>
          <w:sz w:val="24"/>
          <w:szCs w:val="24"/>
        </w:rPr>
      </w:pPr>
      <w:r w:rsidRPr="00A40F67">
        <w:rPr>
          <w:rFonts w:ascii="Times New Roman" w:hAnsi="Times New Roman"/>
          <w:noProof/>
          <w:color w:val="auto"/>
          <w:sz w:val="24"/>
          <w:szCs w:val="24"/>
        </w:rPr>
        <w:t>Even if the ERTMS trackside deployment is still suffering from delays in the short-term, it is now taking momentum, and the mid and long-term forecast is rather positive. The vast majority of the CNC sections planned to be deployed by 2023 under the European Rail Traffic Management System European deployment plan</w:t>
      </w:r>
      <w:r>
        <w:rPr>
          <w:rStyle w:val="FootnoteReference"/>
          <w:rFonts w:ascii="Times New Roman" w:hAnsi="Times New Roman"/>
          <w:noProof/>
          <w:color w:val="auto"/>
          <w:sz w:val="24"/>
          <w:szCs w:val="24"/>
        </w:rPr>
        <w:footnoteReference w:id="20"/>
      </w:r>
      <w:r w:rsidRPr="00A40F67">
        <w:rPr>
          <w:rFonts w:ascii="Times New Roman" w:hAnsi="Times New Roman"/>
          <w:noProof/>
          <w:color w:val="auto"/>
          <w:sz w:val="24"/>
          <w:szCs w:val="24"/>
        </w:rPr>
        <w:t xml:space="preserve"> are either already in oper</w:t>
      </w:r>
      <w:r>
        <w:rPr>
          <w:rFonts w:ascii="Times New Roman" w:hAnsi="Times New Roman"/>
          <w:noProof/>
          <w:color w:val="auto"/>
          <w:sz w:val="24"/>
          <w:szCs w:val="24"/>
        </w:rPr>
        <w:t xml:space="preserve">ation or contracted. </w:t>
      </w:r>
      <w:r w:rsidRPr="00A40F67">
        <w:rPr>
          <w:rFonts w:ascii="Times New Roman" w:hAnsi="Times New Roman"/>
          <w:noProof/>
          <w:color w:val="auto"/>
          <w:sz w:val="24"/>
          <w:szCs w:val="24"/>
        </w:rPr>
        <w:t xml:space="preserve">Furthermore, as regards the 2030 target, a third of the CNC network is either commissioned or contracted. </w:t>
      </w:r>
    </w:p>
    <w:p w14:paraId="08D0688C" w14:textId="77777777" w:rsidR="00A40F67" w:rsidRPr="001B2C89" w:rsidRDefault="00A40F67" w:rsidP="00015A66">
      <w:pPr>
        <w:pStyle w:val="Corps"/>
        <w:spacing w:after="240" w:line="240" w:lineRule="auto"/>
        <w:jc w:val="both"/>
        <w:rPr>
          <w:rFonts w:ascii="Times New Roman" w:hAnsi="Times New Roman"/>
          <w:noProof/>
          <w:color w:val="auto"/>
          <w:sz w:val="24"/>
          <w:szCs w:val="24"/>
        </w:rPr>
      </w:pPr>
      <w:r w:rsidRPr="00A40F67">
        <w:rPr>
          <w:rFonts w:ascii="Times New Roman" w:hAnsi="Times New Roman"/>
          <w:noProof/>
          <w:color w:val="auto"/>
          <w:sz w:val="24"/>
          <w:szCs w:val="24"/>
        </w:rPr>
        <w:t>ERTMS is being deployed across the European Union, however the biggest progress has been achieved in Austria, Belgium, Czech</w:t>
      </w:r>
      <w:r>
        <w:rPr>
          <w:rFonts w:ascii="Times New Roman" w:hAnsi="Times New Roman"/>
          <w:noProof/>
          <w:color w:val="auto"/>
          <w:sz w:val="24"/>
          <w:szCs w:val="24"/>
        </w:rPr>
        <w:t xml:space="preserve"> Republic</w:t>
      </w:r>
      <w:r w:rsidRPr="00A40F67">
        <w:rPr>
          <w:rFonts w:ascii="Times New Roman" w:hAnsi="Times New Roman"/>
          <w:noProof/>
          <w:color w:val="auto"/>
          <w:sz w:val="24"/>
          <w:szCs w:val="24"/>
        </w:rPr>
        <w:t xml:space="preserve">, Italy, Luxembourg, Poland, Spain and Slovenia. More and more Member States are opting for ERTMS as a single system, meaning that they plan to deploy ERTMS on their entire network (i.e. also outside the TEN-T network) and decommission their national class B systems. </w:t>
      </w:r>
      <w:r>
        <w:rPr>
          <w:rFonts w:ascii="Times New Roman" w:hAnsi="Times New Roman"/>
          <w:noProof/>
          <w:color w:val="auto"/>
          <w:sz w:val="24"/>
          <w:szCs w:val="24"/>
        </w:rPr>
        <w:t>This goes in line with</w:t>
      </w:r>
      <w:r w:rsidR="006527FE">
        <w:rPr>
          <w:rFonts w:ascii="Times New Roman" w:hAnsi="Times New Roman"/>
          <w:noProof/>
          <w:color w:val="auto"/>
          <w:sz w:val="24"/>
          <w:szCs w:val="24"/>
        </w:rPr>
        <w:t xml:space="preserve"> new provisions provided for in </w:t>
      </w:r>
      <w:r>
        <w:rPr>
          <w:rFonts w:ascii="Times New Roman" w:hAnsi="Times New Roman"/>
          <w:noProof/>
          <w:color w:val="auto"/>
          <w:sz w:val="24"/>
          <w:szCs w:val="24"/>
        </w:rPr>
        <w:t xml:space="preserve">the legal proposal of the revised TEN-T Regulation. </w:t>
      </w:r>
    </w:p>
    <w:p w14:paraId="08D0688D" w14:textId="77777777" w:rsidR="00F41C86" w:rsidRDefault="00015A66" w:rsidP="00015A66">
      <w:pPr>
        <w:pStyle w:val="Corps"/>
        <w:spacing w:after="240" w:line="240" w:lineRule="auto"/>
        <w:jc w:val="both"/>
        <w:rPr>
          <w:rFonts w:ascii="Times New Roman" w:hAnsi="Times New Roman"/>
          <w:noProof/>
          <w:color w:val="auto"/>
          <w:sz w:val="24"/>
          <w:szCs w:val="24"/>
        </w:rPr>
      </w:pPr>
      <w:r w:rsidRPr="00F41C86">
        <w:rPr>
          <w:rFonts w:ascii="Times New Roman" w:hAnsi="Times New Roman"/>
          <w:noProof/>
          <w:color w:val="auto"/>
          <w:sz w:val="24"/>
          <w:szCs w:val="24"/>
        </w:rPr>
        <w:t xml:space="preserve">For freight </w:t>
      </w:r>
      <w:r w:rsidRPr="00F41C86">
        <w:rPr>
          <w:rFonts w:ascii="Times New Roman" w:hAnsi="Times New Roman"/>
          <w:b/>
          <w:i/>
          <w:noProof/>
          <w:color w:val="auto"/>
          <w:sz w:val="24"/>
          <w:szCs w:val="24"/>
        </w:rPr>
        <w:t>axle load</w:t>
      </w:r>
      <w:r w:rsidRPr="00F41C86">
        <w:rPr>
          <w:rFonts w:ascii="Times New Roman" w:hAnsi="Times New Roman"/>
          <w:noProof/>
          <w:color w:val="auto"/>
          <w:sz w:val="24"/>
          <w:szCs w:val="24"/>
        </w:rPr>
        <w:t>, the compliance v</w:t>
      </w:r>
      <w:r w:rsidR="005D6EC7" w:rsidRPr="00F41C86">
        <w:rPr>
          <w:rFonts w:ascii="Times New Roman" w:hAnsi="Times New Roman"/>
          <w:noProof/>
          <w:color w:val="auto"/>
          <w:sz w:val="24"/>
          <w:szCs w:val="24"/>
        </w:rPr>
        <w:t>ersus</w:t>
      </w:r>
      <w:r w:rsidRPr="00F41C86">
        <w:rPr>
          <w:rFonts w:ascii="Times New Roman" w:hAnsi="Times New Roman"/>
          <w:noProof/>
          <w:color w:val="auto"/>
          <w:sz w:val="24"/>
          <w:szCs w:val="24"/>
        </w:rPr>
        <w:t xml:space="preserve"> the parameter of 22.5 or more tonnes per axle </w:t>
      </w:r>
      <w:r w:rsidR="00F41C86" w:rsidRPr="00F41C86">
        <w:rPr>
          <w:rFonts w:ascii="Times New Roman" w:hAnsi="Times New Roman"/>
          <w:noProof/>
          <w:color w:val="auto"/>
          <w:sz w:val="24"/>
          <w:szCs w:val="24"/>
        </w:rPr>
        <w:t>is now at a high 90% compliance per 2019</w:t>
      </w:r>
      <w:r w:rsidR="0067434C">
        <w:rPr>
          <w:rFonts w:ascii="Times New Roman" w:hAnsi="Times New Roman"/>
          <w:noProof/>
          <w:color w:val="auto"/>
          <w:sz w:val="24"/>
          <w:szCs w:val="24"/>
        </w:rPr>
        <w:t xml:space="preserve"> </w:t>
      </w:r>
      <w:r w:rsidR="00F41C86" w:rsidRPr="00F41C86">
        <w:rPr>
          <w:rFonts w:ascii="Times New Roman" w:hAnsi="Times New Roman"/>
          <w:noProof/>
          <w:color w:val="auto"/>
          <w:sz w:val="24"/>
          <w:szCs w:val="24"/>
        </w:rPr>
        <w:t>data (compared to 81% per 2017 data).</w:t>
      </w:r>
      <w:r w:rsidRPr="00F41C86">
        <w:rPr>
          <w:rFonts w:ascii="Times New Roman" w:hAnsi="Times New Roman"/>
          <w:noProof/>
          <w:color w:val="auto"/>
          <w:sz w:val="24"/>
          <w:szCs w:val="24"/>
        </w:rPr>
        <w:t xml:space="preserve"> </w:t>
      </w:r>
      <w:r w:rsidR="00F41C86">
        <w:rPr>
          <w:rFonts w:ascii="Times New Roman" w:hAnsi="Times New Roman"/>
          <w:noProof/>
          <w:color w:val="auto"/>
          <w:sz w:val="24"/>
          <w:szCs w:val="24"/>
        </w:rPr>
        <w:t>Progress still needs to be made particularly in Hungary</w:t>
      </w:r>
      <w:r w:rsidR="00D31EAC">
        <w:rPr>
          <w:rFonts w:ascii="Times New Roman" w:hAnsi="Times New Roman"/>
          <w:noProof/>
          <w:color w:val="auto"/>
          <w:sz w:val="24"/>
          <w:szCs w:val="24"/>
        </w:rPr>
        <w:t xml:space="preserve"> and</w:t>
      </w:r>
      <w:r w:rsidR="00F41C86">
        <w:rPr>
          <w:rFonts w:ascii="Times New Roman" w:hAnsi="Times New Roman"/>
          <w:noProof/>
          <w:color w:val="auto"/>
          <w:sz w:val="24"/>
          <w:szCs w:val="24"/>
        </w:rPr>
        <w:t xml:space="preserve"> Romania. </w:t>
      </w:r>
    </w:p>
    <w:p w14:paraId="08D0688E" w14:textId="77777777" w:rsidR="00BE46A2" w:rsidRDefault="00F41C86" w:rsidP="00015A66">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 xml:space="preserve">The </w:t>
      </w:r>
      <w:r w:rsidRPr="00F41C86">
        <w:rPr>
          <w:rFonts w:ascii="Times New Roman" w:hAnsi="Times New Roman"/>
          <w:noProof/>
          <w:color w:val="auto"/>
          <w:sz w:val="24"/>
          <w:szCs w:val="24"/>
        </w:rPr>
        <w:t>compliance versus the parameter of 740</w:t>
      </w:r>
      <w:r w:rsidR="00AE39D6">
        <w:rPr>
          <w:rFonts w:ascii="Times New Roman" w:hAnsi="Times New Roman"/>
          <w:noProof/>
          <w:color w:val="auto"/>
          <w:sz w:val="24"/>
          <w:szCs w:val="24"/>
        </w:rPr>
        <w:t xml:space="preserve"> </w:t>
      </w:r>
      <w:r w:rsidRPr="00F41C86">
        <w:rPr>
          <w:rFonts w:ascii="Times New Roman" w:hAnsi="Times New Roman"/>
          <w:noProof/>
          <w:color w:val="auto"/>
          <w:sz w:val="24"/>
          <w:szCs w:val="24"/>
        </w:rPr>
        <w:t>m or longer sidings for trains (</w:t>
      </w:r>
      <w:r w:rsidRPr="00F41C86">
        <w:rPr>
          <w:rFonts w:ascii="Times New Roman" w:hAnsi="Times New Roman"/>
          <w:b/>
          <w:i/>
          <w:noProof/>
          <w:color w:val="auto"/>
          <w:sz w:val="24"/>
          <w:szCs w:val="24"/>
        </w:rPr>
        <w:t>train length</w:t>
      </w:r>
      <w:r w:rsidRPr="00F41C86">
        <w:rPr>
          <w:rFonts w:ascii="Times New Roman" w:hAnsi="Times New Roman"/>
          <w:noProof/>
          <w:color w:val="auto"/>
          <w:sz w:val="24"/>
          <w:szCs w:val="24"/>
        </w:rPr>
        <w:t xml:space="preserve"> parameter) is at an average 53% per 2019</w:t>
      </w:r>
      <w:r w:rsidR="0067434C">
        <w:rPr>
          <w:rFonts w:ascii="Times New Roman" w:hAnsi="Times New Roman"/>
          <w:noProof/>
          <w:color w:val="auto"/>
          <w:sz w:val="24"/>
          <w:szCs w:val="24"/>
        </w:rPr>
        <w:t xml:space="preserve"> </w:t>
      </w:r>
      <w:r w:rsidRPr="00F41C86">
        <w:rPr>
          <w:rFonts w:ascii="Times New Roman" w:hAnsi="Times New Roman"/>
          <w:noProof/>
          <w:color w:val="auto"/>
          <w:sz w:val="24"/>
          <w:szCs w:val="24"/>
        </w:rPr>
        <w:t xml:space="preserve">data and has thus significantly improved compared to 2017 (43%). </w:t>
      </w:r>
      <w:r>
        <w:rPr>
          <w:rFonts w:ascii="Times New Roman" w:hAnsi="Times New Roman"/>
          <w:noProof/>
          <w:color w:val="auto"/>
          <w:sz w:val="24"/>
          <w:szCs w:val="24"/>
        </w:rPr>
        <w:t>The parameter is mainly met already in France, the Benelux, Denmark</w:t>
      </w:r>
      <w:r w:rsidR="00D31EAC">
        <w:rPr>
          <w:rFonts w:ascii="Times New Roman" w:hAnsi="Times New Roman"/>
          <w:noProof/>
          <w:color w:val="auto"/>
          <w:sz w:val="24"/>
          <w:szCs w:val="24"/>
        </w:rPr>
        <w:t xml:space="preserve"> and</w:t>
      </w:r>
      <w:r>
        <w:rPr>
          <w:rFonts w:ascii="Times New Roman" w:hAnsi="Times New Roman"/>
          <w:noProof/>
          <w:color w:val="auto"/>
          <w:sz w:val="24"/>
          <w:szCs w:val="24"/>
        </w:rPr>
        <w:t xml:space="preserve"> Germany, but also in the Baltic States and </w:t>
      </w:r>
      <w:r w:rsidR="00D55F59">
        <w:rPr>
          <w:rFonts w:ascii="Times New Roman" w:hAnsi="Times New Roman"/>
          <w:noProof/>
          <w:color w:val="auto"/>
          <w:sz w:val="24"/>
          <w:szCs w:val="24"/>
        </w:rPr>
        <w:t>Finland</w:t>
      </w:r>
      <w:r>
        <w:rPr>
          <w:rFonts w:ascii="Times New Roman" w:hAnsi="Times New Roman"/>
          <w:noProof/>
          <w:color w:val="auto"/>
          <w:sz w:val="24"/>
          <w:szCs w:val="24"/>
        </w:rPr>
        <w:t xml:space="preserve">. Even though the situation has improved since 2017, it still needs </w:t>
      </w:r>
      <w:r w:rsidRPr="00F41C86">
        <w:rPr>
          <w:rFonts w:ascii="Times New Roman" w:hAnsi="Times New Roman"/>
          <w:noProof/>
          <w:color w:val="auto"/>
          <w:sz w:val="24"/>
          <w:szCs w:val="24"/>
        </w:rPr>
        <w:t>to be underlined that there are</w:t>
      </w:r>
      <w:r w:rsidR="00D76375" w:rsidRPr="00F41C86">
        <w:rPr>
          <w:rFonts w:ascii="Times New Roman" w:hAnsi="Times New Roman"/>
          <w:noProof/>
          <w:color w:val="auto"/>
          <w:sz w:val="24"/>
          <w:szCs w:val="24"/>
        </w:rPr>
        <w:t xml:space="preserve"> differences here and there between nominal compliance and the actual ope</w:t>
      </w:r>
      <w:r w:rsidR="008A13BD" w:rsidRPr="00F41C86">
        <w:rPr>
          <w:rFonts w:ascii="Times New Roman" w:hAnsi="Times New Roman"/>
          <w:noProof/>
          <w:color w:val="auto"/>
          <w:sz w:val="24"/>
          <w:szCs w:val="24"/>
        </w:rPr>
        <w:t>rational possibilities. F</w:t>
      </w:r>
      <w:r w:rsidR="00D76375" w:rsidRPr="00F41C86">
        <w:rPr>
          <w:rFonts w:ascii="Times New Roman" w:hAnsi="Times New Roman"/>
          <w:noProof/>
          <w:color w:val="auto"/>
          <w:sz w:val="24"/>
          <w:szCs w:val="24"/>
        </w:rPr>
        <w:t>or example</w:t>
      </w:r>
      <w:r w:rsidR="008A13BD" w:rsidRPr="00F41C86">
        <w:rPr>
          <w:rFonts w:ascii="Times New Roman" w:hAnsi="Times New Roman"/>
          <w:noProof/>
          <w:color w:val="auto"/>
          <w:sz w:val="24"/>
          <w:szCs w:val="24"/>
        </w:rPr>
        <w:t>,</w:t>
      </w:r>
      <w:r w:rsidR="00D76375" w:rsidRPr="00F41C86">
        <w:rPr>
          <w:rFonts w:ascii="Times New Roman" w:hAnsi="Times New Roman"/>
          <w:noProof/>
          <w:color w:val="auto"/>
          <w:sz w:val="24"/>
          <w:szCs w:val="24"/>
        </w:rPr>
        <w:t xml:space="preserve"> a line may be fit for 740</w:t>
      </w:r>
      <w:r w:rsidR="00AE39D6">
        <w:rPr>
          <w:rFonts w:ascii="Times New Roman" w:hAnsi="Times New Roman"/>
          <w:noProof/>
          <w:color w:val="auto"/>
          <w:sz w:val="24"/>
          <w:szCs w:val="24"/>
        </w:rPr>
        <w:t xml:space="preserve"> </w:t>
      </w:r>
      <w:r w:rsidR="00D76375" w:rsidRPr="00F41C86">
        <w:rPr>
          <w:rFonts w:ascii="Times New Roman" w:hAnsi="Times New Roman"/>
          <w:noProof/>
          <w:color w:val="auto"/>
          <w:sz w:val="24"/>
          <w:szCs w:val="24"/>
        </w:rPr>
        <w:t xml:space="preserve">m trains </w:t>
      </w:r>
      <w:r w:rsidR="00B417BD" w:rsidRPr="00F41C86">
        <w:rPr>
          <w:rFonts w:ascii="Times New Roman" w:hAnsi="Times New Roman"/>
          <w:noProof/>
          <w:color w:val="auto"/>
          <w:sz w:val="24"/>
          <w:szCs w:val="24"/>
        </w:rPr>
        <w:t>while it does</w:t>
      </w:r>
      <w:r w:rsidR="000F1428" w:rsidRPr="00F41C86">
        <w:rPr>
          <w:rFonts w:ascii="Times New Roman" w:hAnsi="Times New Roman"/>
          <w:noProof/>
          <w:color w:val="auto"/>
          <w:sz w:val="24"/>
          <w:szCs w:val="24"/>
        </w:rPr>
        <w:t xml:space="preserve"> </w:t>
      </w:r>
      <w:r w:rsidR="00D76375" w:rsidRPr="00F41C86">
        <w:rPr>
          <w:rFonts w:ascii="Times New Roman" w:hAnsi="Times New Roman"/>
          <w:noProof/>
          <w:color w:val="auto"/>
          <w:sz w:val="24"/>
          <w:szCs w:val="24"/>
        </w:rPr>
        <w:t>not have enough sidings to turn that possibility into reality.</w:t>
      </w:r>
      <w:r w:rsidR="00BE46A2">
        <w:rPr>
          <w:rFonts w:ascii="Times New Roman" w:hAnsi="Times New Roman"/>
          <w:noProof/>
          <w:color w:val="auto"/>
          <w:sz w:val="24"/>
          <w:szCs w:val="24"/>
        </w:rPr>
        <w:t xml:space="preserve"> </w:t>
      </w:r>
    </w:p>
    <w:p w14:paraId="08D0688F" w14:textId="77777777" w:rsidR="00F41C86" w:rsidRPr="00F41C86" w:rsidRDefault="00F41C86" w:rsidP="00015A66">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 xml:space="preserve">Last but not least, </w:t>
      </w:r>
      <w:r w:rsidR="004438FE">
        <w:rPr>
          <w:rFonts w:ascii="Times New Roman" w:hAnsi="Times New Roman"/>
          <w:noProof/>
          <w:color w:val="auto"/>
          <w:sz w:val="24"/>
          <w:szCs w:val="24"/>
        </w:rPr>
        <w:t xml:space="preserve">the present report integrates a new key performance indicator with regard to the </w:t>
      </w:r>
      <w:r w:rsidR="004438FE" w:rsidRPr="004438FE">
        <w:rPr>
          <w:rFonts w:ascii="Times New Roman" w:hAnsi="Times New Roman"/>
          <w:b/>
          <w:i/>
          <w:noProof/>
          <w:color w:val="auto"/>
          <w:sz w:val="24"/>
          <w:szCs w:val="24"/>
        </w:rPr>
        <w:t>loading gauge</w:t>
      </w:r>
      <w:r w:rsidR="004438FE">
        <w:rPr>
          <w:rFonts w:ascii="Times New Roman" w:hAnsi="Times New Roman"/>
          <w:noProof/>
          <w:color w:val="auto"/>
          <w:sz w:val="24"/>
          <w:szCs w:val="24"/>
        </w:rPr>
        <w:t xml:space="preserve"> – a parameter that provides for the </w:t>
      </w:r>
      <w:r w:rsidR="00AF3755">
        <w:rPr>
          <w:rFonts w:ascii="Times New Roman" w:hAnsi="Times New Roman"/>
          <w:noProof/>
          <w:color w:val="auto"/>
          <w:sz w:val="24"/>
          <w:szCs w:val="24"/>
        </w:rPr>
        <w:t>possibility to run freight t</w:t>
      </w:r>
      <w:r w:rsidR="004438FE" w:rsidRPr="004438FE">
        <w:rPr>
          <w:rFonts w:ascii="Times New Roman" w:hAnsi="Times New Roman"/>
          <w:noProof/>
          <w:color w:val="auto"/>
          <w:sz w:val="24"/>
          <w:szCs w:val="24"/>
        </w:rPr>
        <w:t xml:space="preserve">rains loaded with intermodal loading units classified as P400 </w:t>
      </w:r>
      <w:r w:rsidR="004438FE">
        <w:rPr>
          <w:rFonts w:ascii="Times New Roman" w:hAnsi="Times New Roman"/>
          <w:noProof/>
          <w:color w:val="auto"/>
          <w:sz w:val="24"/>
          <w:szCs w:val="24"/>
        </w:rPr>
        <w:t xml:space="preserve">(or </w:t>
      </w:r>
      <w:r w:rsidR="006527FE">
        <w:rPr>
          <w:rFonts w:ascii="Times New Roman" w:hAnsi="Times New Roman"/>
          <w:noProof/>
          <w:color w:val="auto"/>
          <w:sz w:val="24"/>
          <w:szCs w:val="24"/>
        </w:rPr>
        <w:t>above</w:t>
      </w:r>
      <w:r w:rsidR="004438FE">
        <w:rPr>
          <w:rFonts w:ascii="Times New Roman" w:hAnsi="Times New Roman"/>
          <w:noProof/>
          <w:color w:val="auto"/>
          <w:sz w:val="24"/>
          <w:szCs w:val="24"/>
        </w:rPr>
        <w:t xml:space="preserve">) </w:t>
      </w:r>
      <w:r w:rsidR="004438FE" w:rsidRPr="004438FE">
        <w:rPr>
          <w:rFonts w:ascii="Times New Roman" w:hAnsi="Times New Roman"/>
          <w:noProof/>
          <w:color w:val="auto"/>
          <w:sz w:val="24"/>
          <w:szCs w:val="24"/>
        </w:rPr>
        <w:t>on standard pocket wagons</w:t>
      </w:r>
      <w:r w:rsidR="004438FE">
        <w:rPr>
          <w:rFonts w:ascii="Times New Roman" w:hAnsi="Times New Roman"/>
          <w:noProof/>
          <w:color w:val="auto"/>
          <w:sz w:val="24"/>
          <w:szCs w:val="24"/>
        </w:rPr>
        <w:t xml:space="preserve">. </w:t>
      </w:r>
      <w:r w:rsidR="00AE39D6">
        <w:rPr>
          <w:rFonts w:ascii="Times New Roman" w:hAnsi="Times New Roman"/>
          <w:noProof/>
          <w:color w:val="auto"/>
          <w:sz w:val="24"/>
          <w:szCs w:val="24"/>
        </w:rPr>
        <w:t>This parameter is not a formal</w:t>
      </w:r>
      <w:r w:rsidR="004438FE">
        <w:rPr>
          <w:rFonts w:ascii="Times New Roman" w:hAnsi="Times New Roman"/>
          <w:noProof/>
          <w:color w:val="auto"/>
          <w:sz w:val="24"/>
          <w:szCs w:val="24"/>
        </w:rPr>
        <w:t xml:space="preserve"> requirement </w:t>
      </w:r>
      <w:r w:rsidR="00AE39D6">
        <w:rPr>
          <w:rFonts w:ascii="Times New Roman" w:hAnsi="Times New Roman"/>
          <w:noProof/>
          <w:color w:val="auto"/>
          <w:sz w:val="24"/>
          <w:szCs w:val="24"/>
        </w:rPr>
        <w:t>of the current TEN-T Regulation</w:t>
      </w:r>
      <w:r w:rsidR="00A40F67">
        <w:rPr>
          <w:rFonts w:ascii="Times New Roman" w:hAnsi="Times New Roman"/>
          <w:noProof/>
          <w:color w:val="auto"/>
          <w:sz w:val="24"/>
          <w:szCs w:val="24"/>
        </w:rPr>
        <w:t>,</w:t>
      </w:r>
      <w:r w:rsidR="004438FE">
        <w:rPr>
          <w:rFonts w:ascii="Times New Roman" w:hAnsi="Times New Roman"/>
          <w:noProof/>
          <w:color w:val="auto"/>
          <w:sz w:val="24"/>
          <w:szCs w:val="24"/>
        </w:rPr>
        <w:t xml:space="preserve"> </w:t>
      </w:r>
      <w:r w:rsidR="00B8652C">
        <w:rPr>
          <w:rFonts w:ascii="Times New Roman" w:hAnsi="Times New Roman"/>
          <w:noProof/>
          <w:color w:val="auto"/>
          <w:sz w:val="24"/>
          <w:szCs w:val="24"/>
        </w:rPr>
        <w:t>but has been proposed by the Commission</w:t>
      </w:r>
      <w:r w:rsidR="004438FE">
        <w:rPr>
          <w:rFonts w:ascii="Times New Roman" w:hAnsi="Times New Roman"/>
          <w:noProof/>
          <w:color w:val="auto"/>
          <w:sz w:val="24"/>
          <w:szCs w:val="24"/>
        </w:rPr>
        <w:t xml:space="preserve"> in the context of the revision of the TEN-T Regulation. The compliance of the CNC network with the loading gauge requirement is</w:t>
      </w:r>
      <w:r w:rsidR="00AF3755">
        <w:rPr>
          <w:rFonts w:ascii="Times New Roman" w:hAnsi="Times New Roman"/>
          <w:noProof/>
          <w:color w:val="auto"/>
          <w:sz w:val="24"/>
          <w:szCs w:val="24"/>
        </w:rPr>
        <w:t xml:space="preserve"> </w:t>
      </w:r>
      <w:r w:rsidR="004438FE">
        <w:rPr>
          <w:rFonts w:ascii="Times New Roman" w:hAnsi="Times New Roman"/>
          <w:noProof/>
          <w:color w:val="auto"/>
          <w:sz w:val="24"/>
          <w:szCs w:val="24"/>
        </w:rPr>
        <w:t>at a low level of 40%</w:t>
      </w:r>
      <w:r w:rsidR="0067434C">
        <w:rPr>
          <w:rFonts w:ascii="Times New Roman" w:hAnsi="Times New Roman"/>
          <w:noProof/>
          <w:color w:val="auto"/>
          <w:sz w:val="24"/>
          <w:szCs w:val="24"/>
        </w:rPr>
        <w:t xml:space="preserve"> as per 2019 data</w:t>
      </w:r>
      <w:r w:rsidR="00BE46A2">
        <w:rPr>
          <w:rFonts w:ascii="Times New Roman" w:hAnsi="Times New Roman"/>
          <w:noProof/>
          <w:color w:val="auto"/>
          <w:sz w:val="24"/>
          <w:szCs w:val="24"/>
        </w:rPr>
        <w:t xml:space="preserve">. </w:t>
      </w:r>
      <w:r w:rsidR="00BE46A2" w:rsidRPr="00BE46A2">
        <w:rPr>
          <w:rFonts w:ascii="Times New Roman" w:hAnsi="Times New Roman"/>
          <w:noProof/>
          <w:color w:val="auto"/>
          <w:sz w:val="24"/>
          <w:szCs w:val="24"/>
        </w:rPr>
        <w:t xml:space="preserve">Countries which need major upgrades </w:t>
      </w:r>
      <w:r w:rsidR="00BE46A2">
        <w:rPr>
          <w:rFonts w:ascii="Times New Roman" w:hAnsi="Times New Roman"/>
          <w:noProof/>
          <w:color w:val="auto"/>
          <w:sz w:val="24"/>
          <w:szCs w:val="24"/>
        </w:rPr>
        <w:t xml:space="preserve">of tunnels to meet this requirement are France, Italy, Spain, Portugal as well as </w:t>
      </w:r>
      <w:r w:rsidR="00D55F59">
        <w:rPr>
          <w:rFonts w:ascii="Times New Roman" w:hAnsi="Times New Roman"/>
          <w:noProof/>
          <w:color w:val="auto"/>
          <w:sz w:val="24"/>
          <w:szCs w:val="24"/>
        </w:rPr>
        <w:t xml:space="preserve">Finland, </w:t>
      </w:r>
      <w:r w:rsidR="00BE46A2">
        <w:rPr>
          <w:rFonts w:ascii="Times New Roman" w:hAnsi="Times New Roman"/>
          <w:noProof/>
          <w:color w:val="auto"/>
          <w:sz w:val="24"/>
          <w:szCs w:val="24"/>
        </w:rPr>
        <w:t xml:space="preserve">Slovakia, Romania and Bulgaria. </w:t>
      </w:r>
    </w:p>
    <w:p w14:paraId="08D06890" w14:textId="77777777" w:rsidR="00CF6A37" w:rsidRPr="00614EAF" w:rsidRDefault="00CF6A37" w:rsidP="00CF6A37">
      <w:pPr>
        <w:pStyle w:val="Corps"/>
        <w:rPr>
          <w:rFonts w:ascii="Times New Roman" w:hAnsi="Times New Roman" w:cs="Times New Roman"/>
          <w:b/>
          <w:i/>
          <w:noProof/>
          <w:color w:val="000000" w:themeColor="text1"/>
          <w:sz w:val="24"/>
          <w:szCs w:val="24"/>
        </w:rPr>
      </w:pPr>
      <w:r w:rsidRPr="00614EAF">
        <w:rPr>
          <w:rFonts w:ascii="Times New Roman" w:hAnsi="Times New Roman" w:cs="Times New Roman"/>
          <w:b/>
          <w:i/>
          <w:noProof/>
          <w:color w:val="000000" w:themeColor="text1"/>
          <w:sz w:val="24"/>
          <w:szCs w:val="24"/>
        </w:rPr>
        <w:t>Inland Waterways</w:t>
      </w:r>
    </w:p>
    <w:p w14:paraId="08D06891" w14:textId="77777777" w:rsidR="00CF6A37" w:rsidRPr="00DC3192" w:rsidRDefault="00CF6A37" w:rsidP="00CF6A37">
      <w:pPr>
        <w:pStyle w:val="Corps"/>
        <w:spacing w:after="240" w:line="240" w:lineRule="auto"/>
        <w:jc w:val="both"/>
        <w:rPr>
          <w:rFonts w:ascii="Times New Roman" w:hAnsi="Times New Roman"/>
          <w:noProof/>
          <w:color w:val="auto"/>
          <w:sz w:val="24"/>
          <w:szCs w:val="24"/>
        </w:rPr>
      </w:pPr>
      <w:r w:rsidRPr="00DC3192">
        <w:rPr>
          <w:rFonts w:ascii="Times New Roman" w:hAnsi="Times New Roman"/>
          <w:noProof/>
          <w:color w:val="auto"/>
          <w:sz w:val="24"/>
          <w:szCs w:val="24"/>
        </w:rPr>
        <w:t>The</w:t>
      </w:r>
      <w:r>
        <w:rPr>
          <w:rFonts w:ascii="Times New Roman" w:hAnsi="Times New Roman"/>
          <w:noProof/>
          <w:color w:val="auto"/>
          <w:sz w:val="24"/>
          <w:szCs w:val="24"/>
        </w:rPr>
        <w:t xml:space="preserve"> TEN-T Regulation builds upon the following requirements for </w:t>
      </w:r>
      <w:r w:rsidRPr="00DC3192">
        <w:rPr>
          <w:rFonts w:ascii="Times New Roman" w:hAnsi="Times New Roman"/>
          <w:noProof/>
          <w:color w:val="auto"/>
          <w:sz w:val="24"/>
          <w:szCs w:val="24"/>
        </w:rPr>
        <w:t>inland waterways</w:t>
      </w:r>
      <w:r w:rsidR="00C345B5">
        <w:rPr>
          <w:rFonts w:ascii="Times New Roman" w:hAnsi="Times New Roman"/>
          <w:noProof/>
          <w:color w:val="auto"/>
          <w:sz w:val="24"/>
          <w:szCs w:val="24"/>
        </w:rPr>
        <w:t xml:space="preserve"> (see Figure 1)</w:t>
      </w:r>
      <w:r>
        <w:rPr>
          <w:rFonts w:ascii="Times New Roman" w:hAnsi="Times New Roman"/>
          <w:noProof/>
          <w:color w:val="auto"/>
          <w:sz w:val="24"/>
          <w:szCs w:val="24"/>
        </w:rPr>
        <w:t xml:space="preserve">: CEMT IV class, permissible draught of at least 2.50 m, a permissible height under bridges of at least 2.5 m and the implementation of the River Information Services (RIS). </w:t>
      </w:r>
      <w:r w:rsidRPr="00DC3192">
        <w:rPr>
          <w:rFonts w:ascii="Times New Roman" w:hAnsi="Times New Roman"/>
          <w:noProof/>
          <w:color w:val="auto"/>
          <w:sz w:val="24"/>
          <w:szCs w:val="24"/>
        </w:rPr>
        <w:t>Compliance versus the parameter of CEMT class IV or higher is at a very high 9</w:t>
      </w:r>
      <w:r>
        <w:rPr>
          <w:rFonts w:ascii="Times New Roman" w:hAnsi="Times New Roman"/>
          <w:noProof/>
          <w:color w:val="auto"/>
          <w:sz w:val="24"/>
          <w:szCs w:val="24"/>
        </w:rPr>
        <w:t>6</w:t>
      </w:r>
      <w:r w:rsidRPr="00DC3192">
        <w:rPr>
          <w:rFonts w:ascii="Times New Roman" w:hAnsi="Times New Roman"/>
          <w:noProof/>
          <w:color w:val="auto"/>
          <w:sz w:val="24"/>
          <w:szCs w:val="24"/>
        </w:rPr>
        <w:t>% per 20</w:t>
      </w:r>
      <w:r>
        <w:rPr>
          <w:rFonts w:ascii="Times New Roman" w:hAnsi="Times New Roman"/>
          <w:noProof/>
          <w:color w:val="auto"/>
          <w:sz w:val="24"/>
          <w:szCs w:val="24"/>
        </w:rPr>
        <w:t>19</w:t>
      </w:r>
      <w:r w:rsidR="0067434C">
        <w:rPr>
          <w:rFonts w:ascii="Times New Roman" w:hAnsi="Times New Roman"/>
          <w:noProof/>
          <w:color w:val="auto"/>
          <w:sz w:val="24"/>
          <w:szCs w:val="24"/>
        </w:rPr>
        <w:t xml:space="preserve"> </w:t>
      </w:r>
      <w:r w:rsidRPr="00DC3192">
        <w:rPr>
          <w:rFonts w:ascii="Times New Roman" w:hAnsi="Times New Roman"/>
          <w:noProof/>
          <w:color w:val="auto"/>
          <w:sz w:val="24"/>
          <w:szCs w:val="24"/>
        </w:rPr>
        <w:t xml:space="preserve">data. The main </w:t>
      </w:r>
      <w:r w:rsidR="00AE39D6">
        <w:rPr>
          <w:rFonts w:ascii="Times New Roman" w:hAnsi="Times New Roman"/>
          <w:noProof/>
          <w:color w:val="auto"/>
          <w:sz w:val="24"/>
          <w:szCs w:val="24"/>
        </w:rPr>
        <w:t>shortfall</w:t>
      </w:r>
      <w:r w:rsidRPr="00DC3192">
        <w:rPr>
          <w:rFonts w:ascii="Times New Roman" w:hAnsi="Times New Roman"/>
          <w:noProof/>
          <w:color w:val="auto"/>
          <w:sz w:val="24"/>
          <w:szCs w:val="24"/>
        </w:rPr>
        <w:t xml:space="preserve"> is the Sava River</w:t>
      </w:r>
      <w:r w:rsidR="00AE39D6">
        <w:rPr>
          <w:rFonts w:ascii="Times New Roman" w:hAnsi="Times New Roman"/>
          <w:noProof/>
          <w:color w:val="auto"/>
          <w:sz w:val="24"/>
          <w:szCs w:val="24"/>
        </w:rPr>
        <w:t xml:space="preserve"> </w:t>
      </w:r>
      <w:r w:rsidRPr="00DC3192">
        <w:rPr>
          <w:rFonts w:ascii="Times New Roman" w:hAnsi="Times New Roman"/>
          <w:noProof/>
          <w:color w:val="auto"/>
          <w:sz w:val="24"/>
          <w:szCs w:val="24"/>
        </w:rPr>
        <w:t xml:space="preserve">in Croatia. Compliance of a minimum of 2.5 </w:t>
      </w:r>
      <w:r>
        <w:rPr>
          <w:rFonts w:ascii="Times New Roman" w:hAnsi="Times New Roman"/>
          <w:noProof/>
          <w:color w:val="auto"/>
          <w:sz w:val="24"/>
          <w:szCs w:val="24"/>
        </w:rPr>
        <w:t>m</w:t>
      </w:r>
      <w:r w:rsidRPr="00DC3192">
        <w:rPr>
          <w:rFonts w:ascii="Times New Roman" w:hAnsi="Times New Roman"/>
          <w:noProof/>
          <w:color w:val="auto"/>
          <w:sz w:val="24"/>
          <w:szCs w:val="24"/>
        </w:rPr>
        <w:t xml:space="preserve"> of permissible draught is also at a high 8</w:t>
      </w:r>
      <w:r>
        <w:rPr>
          <w:rFonts w:ascii="Times New Roman" w:hAnsi="Times New Roman"/>
          <w:noProof/>
          <w:color w:val="auto"/>
          <w:sz w:val="24"/>
          <w:szCs w:val="24"/>
        </w:rPr>
        <w:t>4</w:t>
      </w:r>
      <w:r w:rsidRPr="00DC3192">
        <w:rPr>
          <w:rFonts w:ascii="Times New Roman" w:hAnsi="Times New Roman"/>
          <w:noProof/>
          <w:color w:val="auto"/>
          <w:sz w:val="24"/>
          <w:szCs w:val="24"/>
        </w:rPr>
        <w:t xml:space="preserve">% per </w:t>
      </w:r>
      <w:r>
        <w:rPr>
          <w:rFonts w:ascii="Times New Roman" w:hAnsi="Times New Roman"/>
          <w:noProof/>
          <w:color w:val="auto"/>
          <w:sz w:val="24"/>
          <w:szCs w:val="24"/>
        </w:rPr>
        <w:t>2019</w:t>
      </w:r>
      <w:r w:rsidR="0067434C">
        <w:rPr>
          <w:rFonts w:ascii="Times New Roman" w:hAnsi="Times New Roman"/>
          <w:noProof/>
          <w:color w:val="auto"/>
          <w:sz w:val="24"/>
          <w:szCs w:val="24"/>
        </w:rPr>
        <w:t xml:space="preserve"> </w:t>
      </w:r>
      <w:r w:rsidRPr="00DC3192">
        <w:rPr>
          <w:rFonts w:ascii="Times New Roman" w:hAnsi="Times New Roman"/>
          <w:noProof/>
          <w:color w:val="auto"/>
          <w:sz w:val="24"/>
          <w:szCs w:val="24"/>
        </w:rPr>
        <w:t>data. Outages are mainly in Germany, Czech Republic and Croatia.</w:t>
      </w:r>
      <w:r>
        <w:rPr>
          <w:rFonts w:ascii="Times New Roman" w:hAnsi="Times New Roman"/>
          <w:noProof/>
          <w:color w:val="auto"/>
          <w:sz w:val="24"/>
          <w:szCs w:val="24"/>
        </w:rPr>
        <w:t xml:space="preserve"> </w:t>
      </w:r>
      <w:r w:rsidRPr="00DC3192">
        <w:rPr>
          <w:rFonts w:ascii="Times New Roman" w:hAnsi="Times New Roman"/>
          <w:noProof/>
          <w:color w:val="auto"/>
          <w:sz w:val="24"/>
          <w:szCs w:val="24"/>
        </w:rPr>
        <w:t xml:space="preserve">Compliance of a minimum of 5.25 </w:t>
      </w:r>
      <w:r>
        <w:rPr>
          <w:rFonts w:ascii="Times New Roman" w:hAnsi="Times New Roman"/>
          <w:noProof/>
          <w:color w:val="auto"/>
          <w:sz w:val="24"/>
          <w:szCs w:val="24"/>
        </w:rPr>
        <w:t>m</w:t>
      </w:r>
      <w:r w:rsidRPr="00DC3192">
        <w:rPr>
          <w:rFonts w:ascii="Times New Roman" w:hAnsi="Times New Roman"/>
          <w:noProof/>
          <w:color w:val="auto"/>
          <w:sz w:val="24"/>
          <w:szCs w:val="24"/>
        </w:rPr>
        <w:t xml:space="preserve"> of permissible height under bridges is at a high 8</w:t>
      </w:r>
      <w:r>
        <w:rPr>
          <w:rFonts w:ascii="Times New Roman" w:hAnsi="Times New Roman"/>
          <w:noProof/>
          <w:color w:val="auto"/>
          <w:sz w:val="24"/>
          <w:szCs w:val="24"/>
        </w:rPr>
        <w:t>3</w:t>
      </w:r>
      <w:r w:rsidRPr="00DC3192">
        <w:rPr>
          <w:rFonts w:ascii="Times New Roman" w:hAnsi="Times New Roman"/>
          <w:noProof/>
          <w:color w:val="auto"/>
          <w:sz w:val="24"/>
          <w:szCs w:val="24"/>
        </w:rPr>
        <w:t xml:space="preserve">% per </w:t>
      </w:r>
      <w:r>
        <w:rPr>
          <w:rFonts w:ascii="Times New Roman" w:hAnsi="Times New Roman"/>
          <w:noProof/>
          <w:color w:val="auto"/>
          <w:sz w:val="24"/>
          <w:szCs w:val="24"/>
        </w:rPr>
        <w:t>2019</w:t>
      </w:r>
      <w:r w:rsidRPr="00DC3192">
        <w:rPr>
          <w:rFonts w:ascii="Times New Roman" w:hAnsi="Times New Roman"/>
          <w:noProof/>
          <w:color w:val="auto"/>
          <w:sz w:val="24"/>
          <w:szCs w:val="24"/>
        </w:rPr>
        <w:t xml:space="preserve"> data</w:t>
      </w:r>
      <w:r w:rsidR="00AE39D6">
        <w:rPr>
          <w:rFonts w:ascii="Times New Roman" w:hAnsi="Times New Roman"/>
          <w:noProof/>
          <w:color w:val="auto"/>
          <w:sz w:val="24"/>
          <w:szCs w:val="24"/>
        </w:rPr>
        <w:t xml:space="preserve"> with o</w:t>
      </w:r>
      <w:r w:rsidRPr="00DC3192">
        <w:rPr>
          <w:rFonts w:ascii="Times New Roman" w:hAnsi="Times New Roman"/>
          <w:noProof/>
          <w:color w:val="auto"/>
          <w:sz w:val="24"/>
          <w:szCs w:val="24"/>
        </w:rPr>
        <w:t>utages mainly in Germany. In terms of RIS implementation, compliance is at a very high 9</w:t>
      </w:r>
      <w:r>
        <w:rPr>
          <w:rFonts w:ascii="Times New Roman" w:hAnsi="Times New Roman"/>
          <w:noProof/>
          <w:color w:val="auto"/>
          <w:sz w:val="24"/>
          <w:szCs w:val="24"/>
        </w:rPr>
        <w:t>4</w:t>
      </w:r>
      <w:r w:rsidRPr="00DC3192">
        <w:rPr>
          <w:rFonts w:ascii="Times New Roman" w:hAnsi="Times New Roman"/>
          <w:noProof/>
          <w:color w:val="auto"/>
          <w:sz w:val="24"/>
          <w:szCs w:val="24"/>
        </w:rPr>
        <w:t xml:space="preserve">%. </w:t>
      </w:r>
      <w:r w:rsidR="00AE39D6" w:rsidRPr="002D6A69">
        <w:rPr>
          <w:rFonts w:ascii="Times New Roman" w:hAnsi="Times New Roman"/>
          <w:noProof/>
          <w:color w:val="auto"/>
          <w:sz w:val="24"/>
          <w:szCs w:val="24"/>
        </w:rPr>
        <w:t xml:space="preserve">Especially </w:t>
      </w:r>
      <w:r w:rsidRPr="002D6A69">
        <w:rPr>
          <w:rFonts w:ascii="Times New Roman" w:hAnsi="Times New Roman"/>
          <w:noProof/>
          <w:color w:val="auto"/>
          <w:sz w:val="24"/>
          <w:szCs w:val="24"/>
        </w:rPr>
        <w:t>Italy, Slovakia, Hungary, Portugal and Spain</w:t>
      </w:r>
      <w:r w:rsidR="00AE39D6" w:rsidRPr="002D6A69">
        <w:rPr>
          <w:rFonts w:ascii="Times New Roman" w:hAnsi="Times New Roman"/>
          <w:noProof/>
          <w:color w:val="auto"/>
          <w:sz w:val="24"/>
          <w:szCs w:val="24"/>
        </w:rPr>
        <w:t xml:space="preserve"> have to still make progress with regard to the implementation of RIS</w:t>
      </w:r>
      <w:r w:rsidRPr="002D6A69">
        <w:rPr>
          <w:rFonts w:ascii="Times New Roman" w:hAnsi="Times New Roman"/>
          <w:noProof/>
          <w:color w:val="auto"/>
          <w:sz w:val="24"/>
          <w:szCs w:val="24"/>
        </w:rPr>
        <w:t xml:space="preserve">.   </w:t>
      </w:r>
    </w:p>
    <w:p w14:paraId="08D06892" w14:textId="77777777" w:rsidR="00CF6A37" w:rsidRPr="00614EAF" w:rsidRDefault="00CF6A37" w:rsidP="00CF6A37">
      <w:pPr>
        <w:pStyle w:val="Corps"/>
        <w:rPr>
          <w:rFonts w:ascii="Times New Roman" w:hAnsi="Times New Roman" w:cs="Times New Roman"/>
          <w:b/>
          <w:i/>
          <w:noProof/>
          <w:color w:val="000000" w:themeColor="text1"/>
          <w:sz w:val="24"/>
          <w:szCs w:val="24"/>
        </w:rPr>
      </w:pPr>
      <w:r w:rsidRPr="00614EAF">
        <w:rPr>
          <w:rFonts w:ascii="Times New Roman" w:hAnsi="Times New Roman" w:cs="Times New Roman"/>
          <w:b/>
          <w:i/>
          <w:noProof/>
          <w:color w:val="000000" w:themeColor="text1"/>
          <w:sz w:val="24"/>
          <w:szCs w:val="24"/>
        </w:rPr>
        <w:t>Airports</w:t>
      </w:r>
    </w:p>
    <w:p w14:paraId="08D06893" w14:textId="77777777" w:rsidR="00CF6A37" w:rsidRPr="00CF6A37" w:rsidRDefault="00CF6A37" w:rsidP="00CF6A37">
      <w:pPr>
        <w:pStyle w:val="Corps"/>
        <w:spacing w:after="240" w:line="240" w:lineRule="auto"/>
        <w:jc w:val="both"/>
        <w:rPr>
          <w:rFonts w:ascii="Times New Roman" w:hAnsi="Times New Roman"/>
          <w:noProof/>
          <w:color w:val="auto"/>
          <w:sz w:val="24"/>
          <w:szCs w:val="24"/>
        </w:rPr>
      </w:pPr>
      <w:r w:rsidRPr="00CF6A37">
        <w:rPr>
          <w:rFonts w:ascii="Times New Roman" w:hAnsi="Times New Roman"/>
          <w:noProof/>
          <w:color w:val="auto"/>
          <w:sz w:val="24"/>
          <w:szCs w:val="24"/>
        </w:rPr>
        <w:t>As far as airports are concerned, the TEN-T Regulation defines that only the core airports that are marked with an asterisk in Annex 2 of the Regulation (i.e. 38) are falling under the obligation of Article 41(3), i.e. to be connected with the railway and road transport infrastructure of the trans-European transport network by 2050 (except where physical constraints prevent such connection) and to be integrated into the high-speed rail network wherever possible, taking into account potential traffic. In this regard, the compliance rate is at 70% per 2019</w:t>
      </w:r>
      <w:r w:rsidR="0067434C">
        <w:rPr>
          <w:rFonts w:ascii="Times New Roman" w:hAnsi="Times New Roman"/>
          <w:noProof/>
          <w:color w:val="auto"/>
          <w:sz w:val="24"/>
          <w:szCs w:val="24"/>
        </w:rPr>
        <w:t xml:space="preserve"> </w:t>
      </w:r>
      <w:r w:rsidRPr="00CF6A37">
        <w:rPr>
          <w:rFonts w:ascii="Times New Roman" w:hAnsi="Times New Roman"/>
          <w:noProof/>
          <w:color w:val="auto"/>
          <w:sz w:val="24"/>
          <w:szCs w:val="24"/>
        </w:rPr>
        <w:t>data</w:t>
      </w:r>
      <w:r w:rsidR="0016665C">
        <w:rPr>
          <w:rFonts w:ascii="Times New Roman" w:hAnsi="Times New Roman"/>
          <w:noProof/>
          <w:color w:val="auto"/>
          <w:sz w:val="24"/>
          <w:szCs w:val="24"/>
        </w:rPr>
        <w:t xml:space="preserve"> (see Figure 1)</w:t>
      </w:r>
      <w:r w:rsidRPr="00CF6A37">
        <w:rPr>
          <w:rFonts w:ascii="Times New Roman" w:hAnsi="Times New Roman"/>
          <w:noProof/>
          <w:color w:val="auto"/>
          <w:sz w:val="24"/>
          <w:szCs w:val="24"/>
        </w:rPr>
        <w:t>. Airports not yet compliant are scattered across the EU</w:t>
      </w:r>
      <w:r w:rsidR="00BD0C79">
        <w:rPr>
          <w:rFonts w:ascii="Times New Roman" w:hAnsi="Times New Roman"/>
          <w:noProof/>
          <w:color w:val="auto"/>
          <w:sz w:val="24"/>
          <w:szCs w:val="24"/>
        </w:rPr>
        <w:t xml:space="preserve">. However, even for airports which are formally compliant, the railway connection might not be of sufficient quality. There are for instance several airports across Europe which have a high air passenger volume, but are only connected by light rail, or if by heavy rail, only to the nearest centre. </w:t>
      </w:r>
      <w:r w:rsidR="00935255">
        <w:rPr>
          <w:rFonts w:ascii="Times New Roman" w:hAnsi="Times New Roman"/>
          <w:noProof/>
          <w:color w:val="auto"/>
          <w:sz w:val="24"/>
          <w:szCs w:val="24"/>
        </w:rPr>
        <w:t>However, i</w:t>
      </w:r>
      <w:r w:rsidR="00BD0C79">
        <w:rPr>
          <w:rFonts w:ascii="Times New Roman" w:hAnsi="Times New Roman"/>
          <w:noProof/>
          <w:color w:val="auto"/>
          <w:sz w:val="24"/>
          <w:szCs w:val="24"/>
        </w:rPr>
        <w:t xml:space="preserve">n order to grasp the full benefits of rail connectivity of </w:t>
      </w:r>
      <w:r w:rsidR="00935255">
        <w:rPr>
          <w:rFonts w:ascii="Times New Roman" w:hAnsi="Times New Roman"/>
          <w:noProof/>
          <w:color w:val="auto"/>
          <w:sz w:val="24"/>
          <w:szCs w:val="24"/>
        </w:rPr>
        <w:t>an</w:t>
      </w:r>
      <w:r w:rsidR="00BD0C79">
        <w:rPr>
          <w:rFonts w:ascii="Times New Roman" w:hAnsi="Times New Roman"/>
          <w:noProof/>
          <w:color w:val="auto"/>
          <w:sz w:val="24"/>
          <w:szCs w:val="24"/>
        </w:rPr>
        <w:t xml:space="preserve"> airport, a rail connection</w:t>
      </w:r>
      <w:r w:rsidR="00935255">
        <w:rPr>
          <w:rFonts w:ascii="Times New Roman" w:hAnsi="Times New Roman"/>
          <w:noProof/>
          <w:color w:val="auto"/>
          <w:sz w:val="24"/>
          <w:szCs w:val="24"/>
        </w:rPr>
        <w:t xml:space="preserve"> is needed </w:t>
      </w:r>
      <w:r w:rsidR="00BD0C79">
        <w:rPr>
          <w:rFonts w:ascii="Times New Roman" w:hAnsi="Times New Roman"/>
          <w:noProof/>
          <w:color w:val="auto"/>
          <w:sz w:val="24"/>
          <w:szCs w:val="24"/>
        </w:rPr>
        <w:t xml:space="preserve">that also serves long-distances. These quality gaps clearly indicate </w:t>
      </w:r>
      <w:r w:rsidRPr="00CF6A37">
        <w:rPr>
          <w:rFonts w:ascii="Times New Roman" w:hAnsi="Times New Roman"/>
          <w:noProof/>
          <w:color w:val="auto"/>
          <w:sz w:val="24"/>
          <w:szCs w:val="24"/>
        </w:rPr>
        <w:t>a common need to</w:t>
      </w:r>
      <w:r>
        <w:rPr>
          <w:rFonts w:ascii="Times New Roman" w:hAnsi="Times New Roman"/>
          <w:noProof/>
          <w:color w:val="auto"/>
          <w:sz w:val="24"/>
          <w:szCs w:val="24"/>
        </w:rPr>
        <w:t xml:space="preserve"> strengthen efforts for achieving </w:t>
      </w:r>
      <w:r w:rsidRPr="00CF6A37">
        <w:rPr>
          <w:rFonts w:ascii="Times New Roman" w:hAnsi="Times New Roman"/>
          <w:noProof/>
          <w:color w:val="auto"/>
          <w:sz w:val="24"/>
          <w:szCs w:val="24"/>
        </w:rPr>
        <w:t>full airport connectiv</w:t>
      </w:r>
      <w:r>
        <w:rPr>
          <w:rFonts w:ascii="Times New Roman" w:hAnsi="Times New Roman"/>
          <w:noProof/>
          <w:color w:val="auto"/>
          <w:sz w:val="24"/>
          <w:szCs w:val="24"/>
        </w:rPr>
        <w:t>ity</w:t>
      </w:r>
      <w:r w:rsidR="00BD0C79">
        <w:rPr>
          <w:rFonts w:ascii="Times New Roman" w:hAnsi="Times New Roman"/>
          <w:noProof/>
          <w:color w:val="auto"/>
          <w:sz w:val="24"/>
          <w:szCs w:val="24"/>
        </w:rPr>
        <w:t xml:space="preserve">, also interconnecting well with the high-speed rail network, </w:t>
      </w:r>
      <w:r>
        <w:rPr>
          <w:rFonts w:ascii="Times New Roman" w:hAnsi="Times New Roman"/>
          <w:noProof/>
          <w:color w:val="auto"/>
          <w:sz w:val="24"/>
          <w:szCs w:val="24"/>
        </w:rPr>
        <w:t>through the TEN-T revision.</w:t>
      </w:r>
      <w:r w:rsidR="000901FF">
        <w:rPr>
          <w:rFonts w:ascii="Times New Roman" w:hAnsi="Times New Roman"/>
          <w:noProof/>
          <w:color w:val="auto"/>
          <w:sz w:val="24"/>
          <w:szCs w:val="24"/>
        </w:rPr>
        <w:t xml:space="preserve"> </w:t>
      </w:r>
    </w:p>
    <w:p w14:paraId="08D06894" w14:textId="77777777" w:rsidR="005A7618" w:rsidRPr="00614EAF" w:rsidRDefault="00993D44" w:rsidP="00CF6A37">
      <w:pPr>
        <w:pStyle w:val="Corps"/>
        <w:rPr>
          <w:rFonts w:ascii="Times New Roman" w:hAnsi="Times New Roman" w:cs="Times New Roman"/>
          <w:b/>
          <w:i/>
          <w:noProof/>
          <w:color w:val="000000" w:themeColor="text1"/>
          <w:sz w:val="24"/>
          <w:szCs w:val="24"/>
        </w:rPr>
      </w:pPr>
      <w:r w:rsidRPr="00614EAF">
        <w:rPr>
          <w:rFonts w:ascii="Times New Roman" w:hAnsi="Times New Roman" w:cs="Times New Roman"/>
          <w:b/>
          <w:i/>
          <w:noProof/>
          <w:color w:val="000000" w:themeColor="text1"/>
          <w:sz w:val="24"/>
          <w:szCs w:val="24"/>
        </w:rPr>
        <w:t>Ports</w:t>
      </w:r>
    </w:p>
    <w:p w14:paraId="08D06895" w14:textId="77777777" w:rsidR="005A7618" w:rsidRPr="00F542D5" w:rsidRDefault="005A7618" w:rsidP="005A7618">
      <w:pPr>
        <w:pStyle w:val="Corps"/>
        <w:spacing w:after="240" w:line="240" w:lineRule="auto"/>
        <w:jc w:val="both"/>
        <w:rPr>
          <w:rFonts w:ascii="Times New Roman" w:hAnsi="Times New Roman" w:cs="Times New Roman"/>
          <w:noProof/>
          <w:color w:val="auto"/>
          <w:sz w:val="24"/>
          <w:szCs w:val="24"/>
        </w:rPr>
      </w:pPr>
      <w:r w:rsidRPr="00F542D5">
        <w:rPr>
          <w:rFonts w:ascii="Times New Roman" w:hAnsi="Times New Roman" w:cs="Times New Roman"/>
          <w:noProof/>
          <w:color w:val="auto"/>
          <w:sz w:val="24"/>
          <w:szCs w:val="24"/>
        </w:rPr>
        <w:t xml:space="preserve">The </w:t>
      </w:r>
      <w:r w:rsidR="00DC3192">
        <w:rPr>
          <w:rFonts w:ascii="Times New Roman" w:hAnsi="Times New Roman" w:cs="Times New Roman"/>
          <w:noProof/>
          <w:color w:val="auto"/>
          <w:sz w:val="24"/>
          <w:szCs w:val="24"/>
        </w:rPr>
        <w:t>TEN-T Regulation lays down the requirement for maritime ports to be connected by rail</w:t>
      </w:r>
      <w:r w:rsidR="00C345B5">
        <w:rPr>
          <w:rFonts w:ascii="Times New Roman" w:hAnsi="Times New Roman" w:cs="Times New Roman"/>
          <w:noProof/>
          <w:color w:val="auto"/>
          <w:sz w:val="24"/>
          <w:szCs w:val="24"/>
        </w:rPr>
        <w:t xml:space="preserve"> (see Figure 1)</w:t>
      </w:r>
      <w:r w:rsidR="00DC3192">
        <w:rPr>
          <w:rFonts w:ascii="Times New Roman" w:hAnsi="Times New Roman" w:cs="Times New Roman"/>
          <w:noProof/>
          <w:color w:val="auto"/>
          <w:sz w:val="24"/>
          <w:szCs w:val="24"/>
        </w:rPr>
        <w:t xml:space="preserve">. 88% of all TEN-T ports </w:t>
      </w:r>
      <w:r w:rsidR="00DC3192" w:rsidRPr="0016665C">
        <w:rPr>
          <w:rFonts w:ascii="Times New Roman" w:hAnsi="Times New Roman" w:cs="Times New Roman"/>
          <w:noProof/>
          <w:color w:val="auto"/>
          <w:sz w:val="24"/>
          <w:szCs w:val="24"/>
        </w:rPr>
        <w:t>on the CNC network</w:t>
      </w:r>
      <w:r w:rsidR="00DC3192">
        <w:rPr>
          <w:rFonts w:ascii="Times New Roman" w:hAnsi="Times New Roman" w:cs="Times New Roman"/>
          <w:noProof/>
          <w:color w:val="auto"/>
          <w:sz w:val="24"/>
          <w:szCs w:val="24"/>
        </w:rPr>
        <w:t xml:space="preserve"> are compliant with this requirement as</w:t>
      </w:r>
      <w:r w:rsidRPr="00F542D5">
        <w:rPr>
          <w:rFonts w:ascii="Times New Roman" w:hAnsi="Times New Roman" w:cs="Times New Roman"/>
          <w:noProof/>
          <w:color w:val="auto"/>
          <w:sz w:val="24"/>
          <w:szCs w:val="24"/>
        </w:rPr>
        <w:t xml:space="preserve"> per </w:t>
      </w:r>
      <w:r w:rsidR="00F542D5" w:rsidRPr="00F542D5">
        <w:rPr>
          <w:rFonts w:ascii="Times New Roman" w:hAnsi="Times New Roman" w:cs="Times New Roman"/>
          <w:noProof/>
          <w:color w:val="auto"/>
          <w:sz w:val="24"/>
          <w:szCs w:val="24"/>
        </w:rPr>
        <w:t>2019</w:t>
      </w:r>
      <w:r w:rsidR="0067434C">
        <w:rPr>
          <w:rFonts w:ascii="Times New Roman" w:hAnsi="Times New Roman" w:cs="Times New Roman"/>
          <w:noProof/>
          <w:color w:val="auto"/>
          <w:sz w:val="24"/>
          <w:szCs w:val="24"/>
        </w:rPr>
        <w:t xml:space="preserve"> </w:t>
      </w:r>
      <w:r w:rsidRPr="00F542D5">
        <w:rPr>
          <w:rFonts w:ascii="Times New Roman" w:hAnsi="Times New Roman" w:cs="Times New Roman"/>
          <w:noProof/>
          <w:color w:val="auto"/>
          <w:sz w:val="24"/>
          <w:szCs w:val="24"/>
        </w:rPr>
        <w:t xml:space="preserve">data. </w:t>
      </w:r>
      <w:r w:rsidRPr="0016665C">
        <w:rPr>
          <w:rFonts w:ascii="Times New Roman" w:hAnsi="Times New Roman" w:cs="Times New Roman"/>
          <w:noProof/>
          <w:color w:val="auto"/>
          <w:sz w:val="24"/>
          <w:szCs w:val="24"/>
        </w:rPr>
        <w:t xml:space="preserve">Outages concern only </w:t>
      </w:r>
      <w:r w:rsidR="003A2816">
        <w:rPr>
          <w:rFonts w:ascii="Times New Roman" w:hAnsi="Times New Roman" w:cs="Times New Roman"/>
          <w:noProof/>
          <w:color w:val="auto"/>
          <w:sz w:val="24"/>
          <w:szCs w:val="24"/>
        </w:rPr>
        <w:t>eight</w:t>
      </w:r>
      <w:r w:rsidR="00A35B9A" w:rsidRPr="0016665C">
        <w:rPr>
          <w:rFonts w:ascii="Times New Roman" w:hAnsi="Times New Roman" w:cs="Times New Roman"/>
          <w:noProof/>
          <w:color w:val="auto"/>
          <w:sz w:val="24"/>
          <w:szCs w:val="24"/>
        </w:rPr>
        <w:t xml:space="preserve"> </w:t>
      </w:r>
      <w:r w:rsidRPr="0016665C">
        <w:rPr>
          <w:rFonts w:ascii="Times New Roman" w:hAnsi="Times New Roman" w:cs="Times New Roman"/>
          <w:noProof/>
          <w:color w:val="auto"/>
          <w:sz w:val="24"/>
          <w:szCs w:val="24"/>
        </w:rPr>
        <w:t>ports,</w:t>
      </w:r>
      <w:r w:rsidR="001C0285">
        <w:rPr>
          <w:rFonts w:ascii="Times New Roman" w:hAnsi="Times New Roman" w:cs="Times New Roman"/>
          <w:noProof/>
          <w:color w:val="auto"/>
          <w:sz w:val="24"/>
          <w:szCs w:val="24"/>
        </w:rPr>
        <w:t xml:space="preserve"> with three of them located </w:t>
      </w:r>
      <w:r w:rsidR="001C0285" w:rsidRPr="0016665C">
        <w:rPr>
          <w:rFonts w:ascii="Times New Roman" w:hAnsi="Times New Roman" w:cs="Times New Roman"/>
          <w:noProof/>
          <w:color w:val="auto"/>
          <w:sz w:val="24"/>
          <w:szCs w:val="24"/>
        </w:rPr>
        <w:t>in</w:t>
      </w:r>
      <w:r w:rsidDel="001C0285">
        <w:rPr>
          <w:rFonts w:ascii="Times New Roman" w:hAnsi="Times New Roman" w:cs="Times New Roman"/>
          <w:noProof/>
          <w:color w:val="auto"/>
          <w:sz w:val="24"/>
          <w:szCs w:val="24"/>
        </w:rPr>
        <w:t xml:space="preserve"> </w:t>
      </w:r>
      <w:r w:rsidRPr="0016665C">
        <w:rPr>
          <w:rFonts w:ascii="Times New Roman" w:hAnsi="Times New Roman" w:cs="Times New Roman"/>
          <w:noProof/>
          <w:color w:val="auto"/>
          <w:sz w:val="24"/>
          <w:szCs w:val="24"/>
        </w:rPr>
        <w:t>Italy.</w:t>
      </w:r>
      <w:r w:rsidR="0089527F" w:rsidRPr="0016665C">
        <w:rPr>
          <w:rFonts w:ascii="Times New Roman" w:hAnsi="Times New Roman" w:cs="Times New Roman"/>
          <w:noProof/>
          <w:color w:val="auto"/>
          <w:sz w:val="24"/>
          <w:szCs w:val="24"/>
        </w:rPr>
        <w:t xml:space="preserve"> </w:t>
      </w:r>
      <w:r w:rsidR="0089527F" w:rsidRPr="00F542D5">
        <w:rPr>
          <w:rFonts w:ascii="Times New Roman" w:hAnsi="Times New Roman" w:cs="Times New Roman"/>
          <w:noProof/>
          <w:color w:val="auto"/>
          <w:sz w:val="24"/>
          <w:szCs w:val="24"/>
        </w:rPr>
        <w:t xml:space="preserve">It needs however </w:t>
      </w:r>
      <w:r w:rsidR="005F53FE" w:rsidRPr="00F542D5">
        <w:rPr>
          <w:rFonts w:ascii="Times New Roman" w:hAnsi="Times New Roman" w:cs="Times New Roman"/>
          <w:noProof/>
          <w:color w:val="auto"/>
          <w:sz w:val="24"/>
          <w:szCs w:val="24"/>
        </w:rPr>
        <w:t xml:space="preserve">to </w:t>
      </w:r>
      <w:r w:rsidR="0089527F" w:rsidRPr="00F542D5">
        <w:rPr>
          <w:rFonts w:ascii="Times New Roman" w:hAnsi="Times New Roman" w:cs="Times New Roman"/>
          <w:noProof/>
          <w:color w:val="auto"/>
          <w:sz w:val="24"/>
          <w:szCs w:val="24"/>
        </w:rPr>
        <w:t xml:space="preserve">be underlined </w:t>
      </w:r>
      <w:r w:rsidR="00F542D5" w:rsidRPr="00F542D5">
        <w:rPr>
          <w:rFonts w:ascii="Times New Roman" w:hAnsi="Times New Roman" w:cs="Times New Roman"/>
          <w:noProof/>
          <w:color w:val="auto"/>
          <w:sz w:val="24"/>
          <w:szCs w:val="24"/>
        </w:rPr>
        <w:t>that this</w:t>
      </w:r>
      <w:r w:rsidR="0089527F" w:rsidRPr="00F542D5">
        <w:rPr>
          <w:rFonts w:ascii="Times New Roman" w:hAnsi="Times New Roman" w:cs="Times New Roman"/>
          <w:noProof/>
          <w:color w:val="auto"/>
          <w:sz w:val="24"/>
          <w:szCs w:val="24"/>
        </w:rPr>
        <w:t xml:space="preserve"> TEN-T standard only refers to a connection by rail and does not state anything about the quality of such rail connection. Therefore, there might be still limitations, e.g. with regard to the last mile connection of a port, even if formally speaking that port is compliant with the TEN-T standard. </w:t>
      </w:r>
    </w:p>
    <w:p w14:paraId="08D06896" w14:textId="77777777" w:rsidR="00CF6A37" w:rsidRPr="00614EAF" w:rsidRDefault="00CF6A37" w:rsidP="00CF6A37">
      <w:pPr>
        <w:pStyle w:val="Corps"/>
        <w:rPr>
          <w:rFonts w:ascii="Times New Roman" w:hAnsi="Times New Roman" w:cs="Times New Roman"/>
          <w:b/>
          <w:i/>
          <w:noProof/>
          <w:color w:val="000000" w:themeColor="text1"/>
          <w:sz w:val="24"/>
          <w:szCs w:val="24"/>
        </w:rPr>
      </w:pPr>
      <w:r w:rsidRPr="00614EAF">
        <w:rPr>
          <w:rFonts w:ascii="Times New Roman" w:hAnsi="Times New Roman" w:cs="Times New Roman"/>
          <w:b/>
          <w:i/>
          <w:noProof/>
          <w:color w:val="000000" w:themeColor="text1"/>
          <w:sz w:val="24"/>
          <w:szCs w:val="24"/>
        </w:rPr>
        <w:t>Roads</w:t>
      </w:r>
    </w:p>
    <w:p w14:paraId="08D06897" w14:textId="77777777" w:rsidR="0016665C" w:rsidRPr="0043312F" w:rsidRDefault="00CF6A37" w:rsidP="00CF6A37">
      <w:pPr>
        <w:pStyle w:val="Corps"/>
        <w:spacing w:after="240" w:line="240" w:lineRule="auto"/>
        <w:jc w:val="both"/>
        <w:rPr>
          <w:rFonts w:ascii="Times New Roman" w:hAnsi="Times New Roman" w:cs="Times New Roman"/>
          <w:noProof/>
          <w:color w:val="auto"/>
          <w:sz w:val="24"/>
          <w:szCs w:val="24"/>
        </w:rPr>
      </w:pPr>
      <w:r w:rsidRPr="0043312F">
        <w:rPr>
          <w:rFonts w:ascii="Times New Roman" w:hAnsi="Times New Roman" w:cs="Times New Roman"/>
          <w:noProof/>
          <w:color w:val="auto"/>
          <w:sz w:val="24"/>
          <w:szCs w:val="24"/>
        </w:rPr>
        <w:t>For roads, the main indicator calculated is the total number of kilometres compliant with motorways/expressways road types</w:t>
      </w:r>
      <w:r w:rsidR="00C345B5" w:rsidRPr="0043312F">
        <w:rPr>
          <w:rFonts w:ascii="Times New Roman" w:hAnsi="Times New Roman" w:cs="Times New Roman"/>
          <w:noProof/>
          <w:color w:val="auto"/>
          <w:sz w:val="24"/>
          <w:szCs w:val="24"/>
        </w:rPr>
        <w:t xml:space="preserve"> (see Figure 1)</w:t>
      </w:r>
      <w:r w:rsidRPr="0043312F">
        <w:rPr>
          <w:rFonts w:ascii="Times New Roman" w:hAnsi="Times New Roman" w:cs="Times New Roman"/>
          <w:noProof/>
          <w:color w:val="auto"/>
          <w:sz w:val="24"/>
          <w:szCs w:val="24"/>
        </w:rPr>
        <w:t xml:space="preserve">. The results show that compliance is reached at 99%. </w:t>
      </w:r>
      <w:r w:rsidR="0016665C" w:rsidRPr="0043312F">
        <w:rPr>
          <w:rFonts w:ascii="Times New Roman" w:hAnsi="Times New Roman" w:cs="Times New Roman"/>
          <w:noProof/>
          <w:color w:val="auto"/>
          <w:sz w:val="24"/>
          <w:szCs w:val="24"/>
        </w:rPr>
        <w:t xml:space="preserve">In future, it will however be also important to evaluate the deployment of alternative fuel infrastructure on the roads. To this aim, a new layer has been introduced into the TENtec system that will allow the monitoring of </w:t>
      </w:r>
      <w:r w:rsidR="001C0285" w:rsidRPr="0043312F">
        <w:rPr>
          <w:rFonts w:ascii="Times New Roman" w:hAnsi="Times New Roman" w:cs="Times New Roman"/>
          <w:noProof/>
          <w:color w:val="auto"/>
          <w:sz w:val="24"/>
          <w:szCs w:val="24"/>
        </w:rPr>
        <w:t xml:space="preserve">the existing electric recharging and </w:t>
      </w:r>
      <w:r w:rsidR="0016665C" w:rsidRPr="0043312F">
        <w:rPr>
          <w:rFonts w:ascii="Times New Roman" w:hAnsi="Times New Roman" w:cs="Times New Roman"/>
          <w:noProof/>
          <w:color w:val="auto"/>
          <w:sz w:val="24"/>
          <w:szCs w:val="24"/>
        </w:rPr>
        <w:t>refuelling</w:t>
      </w:r>
      <w:r w:rsidR="001C0285" w:rsidRPr="0043312F">
        <w:rPr>
          <w:rFonts w:ascii="Times New Roman" w:hAnsi="Times New Roman" w:cs="Times New Roman"/>
          <w:noProof/>
          <w:color w:val="auto"/>
          <w:sz w:val="24"/>
          <w:szCs w:val="24"/>
        </w:rPr>
        <w:t xml:space="preserve"> stations for CNG/LNG and hydrogen on the TEN-T road network including a gap analysis for electric charging stations.</w:t>
      </w:r>
      <w:r w:rsidR="001C0285" w:rsidRPr="0043312F" w:rsidDel="001C0285">
        <w:rPr>
          <w:rFonts w:ascii="Times New Roman" w:hAnsi="Times New Roman" w:cs="Times New Roman"/>
          <w:noProof/>
          <w:color w:val="auto"/>
          <w:sz w:val="24"/>
          <w:szCs w:val="24"/>
        </w:rPr>
        <w:t xml:space="preserve"> </w:t>
      </w:r>
      <w:r w:rsidR="0016665C" w:rsidRPr="0043312F">
        <w:rPr>
          <w:rFonts w:ascii="Times New Roman" w:hAnsi="Times New Roman" w:cs="Times New Roman"/>
          <w:noProof/>
          <w:color w:val="auto"/>
          <w:sz w:val="24"/>
          <w:szCs w:val="24"/>
        </w:rPr>
        <w:t xml:space="preserve">No data can however be provided yet for 2019. </w:t>
      </w:r>
    </w:p>
    <w:p w14:paraId="08D06898" w14:textId="77777777" w:rsidR="00F03205" w:rsidRDefault="0021733E" w:rsidP="00315842">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eastAsia="Times New Roman" w:hAnsi="Times New Roman" w:cs="Times New Roman"/>
          <w:b/>
          <w:bCs/>
          <w:smallCaps/>
          <w:noProof/>
          <w:sz w:val="24"/>
          <w:szCs w:val="24"/>
        </w:rPr>
        <w:t>Status of TEN-T Implementation: P</w:t>
      </w:r>
      <w:r w:rsidR="00993D44" w:rsidRPr="00B35B8D">
        <w:rPr>
          <w:rFonts w:ascii="Times New Roman" w:eastAsia="Times New Roman" w:hAnsi="Times New Roman" w:cs="Times New Roman"/>
          <w:b/>
          <w:bCs/>
          <w:smallCaps/>
          <w:noProof/>
          <w:sz w:val="24"/>
          <w:szCs w:val="24"/>
        </w:rPr>
        <w:t xml:space="preserve">rogress in </w:t>
      </w:r>
      <w:r w:rsidR="001B1F1E">
        <w:rPr>
          <w:rFonts w:ascii="Times New Roman" w:eastAsia="Times New Roman" w:hAnsi="Times New Roman" w:cs="Times New Roman"/>
          <w:b/>
          <w:bCs/>
          <w:smallCaps/>
          <w:noProof/>
          <w:sz w:val="24"/>
          <w:szCs w:val="24"/>
        </w:rPr>
        <w:t xml:space="preserve">financial </w:t>
      </w:r>
      <w:r w:rsidR="00993D44" w:rsidRPr="00B35B8D">
        <w:rPr>
          <w:rFonts w:ascii="Times New Roman" w:eastAsia="Times New Roman" w:hAnsi="Times New Roman" w:cs="Times New Roman"/>
          <w:b/>
          <w:bCs/>
          <w:smallCaps/>
          <w:noProof/>
          <w:sz w:val="24"/>
          <w:szCs w:val="24"/>
        </w:rPr>
        <w:t xml:space="preserve">investments </w:t>
      </w:r>
      <w:r w:rsidR="001B1F1E">
        <w:rPr>
          <w:rFonts w:ascii="Times New Roman" w:eastAsia="Times New Roman" w:hAnsi="Times New Roman" w:cs="Times New Roman"/>
          <w:b/>
          <w:bCs/>
          <w:smallCaps/>
          <w:noProof/>
          <w:sz w:val="24"/>
          <w:szCs w:val="24"/>
        </w:rPr>
        <w:t>made on the TEN-T network in 201</w:t>
      </w:r>
      <w:r w:rsidR="00CF6A37">
        <w:rPr>
          <w:rFonts w:ascii="Times New Roman" w:eastAsia="Times New Roman" w:hAnsi="Times New Roman" w:cs="Times New Roman"/>
          <w:b/>
          <w:bCs/>
          <w:smallCaps/>
          <w:noProof/>
          <w:sz w:val="24"/>
          <w:szCs w:val="24"/>
        </w:rPr>
        <w:t>8 and 2019</w:t>
      </w:r>
    </w:p>
    <w:p w14:paraId="08D06899" w14:textId="77777777" w:rsidR="009C72B8" w:rsidRPr="00D52178" w:rsidRDefault="009C72B8" w:rsidP="00D52178">
      <w:pPr>
        <w:rPr>
          <w:noProof/>
          <w:color w:val="1F497D"/>
          <w:lang w:val="en-GB"/>
        </w:rPr>
      </w:pPr>
    </w:p>
    <w:p w14:paraId="08D0689A" w14:textId="77777777" w:rsidR="006D4FEE" w:rsidRPr="006D4FEE" w:rsidRDefault="001B1F1E" w:rsidP="001B1F1E">
      <w:pPr>
        <w:pStyle w:val="Corps"/>
        <w:spacing w:after="240" w:line="240" w:lineRule="auto"/>
        <w:jc w:val="both"/>
        <w:rPr>
          <w:rFonts w:ascii="Times New Roman" w:hAnsi="Times New Roman"/>
          <w:noProof/>
          <w:color w:val="auto"/>
          <w:sz w:val="24"/>
          <w:szCs w:val="24"/>
        </w:rPr>
      </w:pPr>
      <w:r w:rsidRPr="006D4FEE">
        <w:rPr>
          <w:rFonts w:ascii="Times New Roman" w:hAnsi="Times New Roman"/>
          <w:noProof/>
          <w:color w:val="auto"/>
          <w:sz w:val="24"/>
          <w:szCs w:val="24"/>
        </w:rPr>
        <w:t xml:space="preserve">In the course of </w:t>
      </w:r>
      <w:r w:rsidR="00CF6A37" w:rsidRPr="006D4FEE">
        <w:rPr>
          <w:rFonts w:ascii="Times New Roman" w:hAnsi="Times New Roman"/>
          <w:noProof/>
          <w:color w:val="auto"/>
          <w:sz w:val="24"/>
          <w:szCs w:val="24"/>
        </w:rPr>
        <w:t>2018 and 2019</w:t>
      </w:r>
      <w:r w:rsidRPr="006D4FEE">
        <w:rPr>
          <w:rFonts w:ascii="Times New Roman" w:hAnsi="Times New Roman"/>
          <w:noProof/>
          <w:color w:val="auto"/>
          <w:sz w:val="24"/>
          <w:szCs w:val="24"/>
        </w:rPr>
        <w:t xml:space="preserve">, the total investment made on the TEN-T network was </w:t>
      </w:r>
      <w:r w:rsidR="00993DBC">
        <w:rPr>
          <w:rFonts w:ascii="Times New Roman" w:hAnsi="Times New Roman"/>
          <w:noProof/>
          <w:color w:val="auto"/>
          <w:sz w:val="24"/>
          <w:szCs w:val="24"/>
        </w:rPr>
        <w:t>almost</w:t>
      </w:r>
      <w:r w:rsidR="006D4FEE" w:rsidRPr="006D4FEE">
        <w:rPr>
          <w:rFonts w:ascii="Times New Roman" w:hAnsi="Times New Roman"/>
          <w:noProof/>
          <w:color w:val="auto"/>
          <w:sz w:val="24"/>
          <w:szCs w:val="24"/>
        </w:rPr>
        <w:t xml:space="preserve"> EUR </w:t>
      </w:r>
      <w:r w:rsidR="00993DBC">
        <w:rPr>
          <w:rFonts w:ascii="Times New Roman" w:hAnsi="Times New Roman"/>
          <w:noProof/>
          <w:color w:val="auto"/>
          <w:sz w:val="24"/>
          <w:szCs w:val="24"/>
        </w:rPr>
        <w:t>111</w:t>
      </w:r>
      <w:r w:rsidR="006D4FEE" w:rsidRPr="006D4FEE">
        <w:rPr>
          <w:rFonts w:ascii="Times New Roman" w:hAnsi="Times New Roman"/>
          <w:noProof/>
          <w:color w:val="auto"/>
          <w:sz w:val="24"/>
          <w:szCs w:val="24"/>
        </w:rPr>
        <w:t xml:space="preserve"> billion</w:t>
      </w:r>
      <w:r w:rsidR="006D4FEE">
        <w:rPr>
          <w:rFonts w:ascii="Times New Roman" w:hAnsi="Times New Roman"/>
          <w:noProof/>
          <w:color w:val="auto"/>
          <w:sz w:val="24"/>
          <w:szCs w:val="24"/>
        </w:rPr>
        <w:t xml:space="preserve">, and thus </w:t>
      </w:r>
      <w:r w:rsidR="00993DBC">
        <w:rPr>
          <w:rFonts w:ascii="Times New Roman" w:hAnsi="Times New Roman"/>
          <w:noProof/>
          <w:color w:val="auto"/>
          <w:sz w:val="24"/>
          <w:szCs w:val="24"/>
        </w:rPr>
        <w:t xml:space="preserve">a remarkable </w:t>
      </w:r>
      <w:r w:rsidR="006D4FEE">
        <w:rPr>
          <w:rFonts w:ascii="Times New Roman" w:hAnsi="Times New Roman"/>
          <w:noProof/>
          <w:color w:val="auto"/>
          <w:sz w:val="24"/>
          <w:szCs w:val="24"/>
        </w:rPr>
        <w:t xml:space="preserve">EUR </w:t>
      </w:r>
      <w:r w:rsidR="00993DBC">
        <w:rPr>
          <w:rFonts w:ascii="Times New Roman" w:hAnsi="Times New Roman"/>
          <w:noProof/>
          <w:color w:val="auto"/>
          <w:sz w:val="24"/>
          <w:szCs w:val="24"/>
        </w:rPr>
        <w:t>20</w:t>
      </w:r>
      <w:r w:rsidR="006D4FEE">
        <w:rPr>
          <w:rFonts w:ascii="Times New Roman" w:hAnsi="Times New Roman"/>
          <w:noProof/>
          <w:color w:val="auto"/>
          <w:sz w:val="24"/>
          <w:szCs w:val="24"/>
        </w:rPr>
        <w:t xml:space="preserve"> billion of investm</w:t>
      </w:r>
      <w:r w:rsidR="00993DBC">
        <w:rPr>
          <w:rFonts w:ascii="Times New Roman" w:hAnsi="Times New Roman"/>
          <w:noProof/>
          <w:color w:val="auto"/>
          <w:sz w:val="24"/>
          <w:szCs w:val="24"/>
        </w:rPr>
        <w:t xml:space="preserve">ents more than in 2016 and 2017. This clearly </w:t>
      </w:r>
      <w:r w:rsidR="006D4FEE">
        <w:rPr>
          <w:rFonts w:ascii="Times New Roman" w:hAnsi="Times New Roman"/>
          <w:noProof/>
          <w:color w:val="auto"/>
          <w:sz w:val="24"/>
          <w:szCs w:val="24"/>
        </w:rPr>
        <w:t xml:space="preserve">shows </w:t>
      </w:r>
      <w:r w:rsidR="00993DBC">
        <w:rPr>
          <w:rFonts w:ascii="Times New Roman" w:hAnsi="Times New Roman"/>
          <w:noProof/>
          <w:color w:val="auto"/>
          <w:sz w:val="24"/>
          <w:szCs w:val="24"/>
        </w:rPr>
        <w:t xml:space="preserve">the </w:t>
      </w:r>
      <w:r w:rsidR="006D4FEE">
        <w:rPr>
          <w:rFonts w:ascii="Times New Roman" w:hAnsi="Times New Roman"/>
          <w:noProof/>
          <w:color w:val="auto"/>
          <w:sz w:val="24"/>
          <w:szCs w:val="24"/>
        </w:rPr>
        <w:t xml:space="preserve">steady progress </w:t>
      </w:r>
      <w:r w:rsidR="00993DBC">
        <w:rPr>
          <w:rFonts w:ascii="Times New Roman" w:hAnsi="Times New Roman"/>
          <w:noProof/>
          <w:color w:val="auto"/>
          <w:sz w:val="24"/>
          <w:szCs w:val="24"/>
        </w:rPr>
        <w:t xml:space="preserve">made by Member States </w:t>
      </w:r>
      <w:r w:rsidR="006D4FEE">
        <w:rPr>
          <w:rFonts w:ascii="Times New Roman" w:hAnsi="Times New Roman"/>
          <w:noProof/>
          <w:color w:val="auto"/>
          <w:sz w:val="24"/>
          <w:szCs w:val="24"/>
        </w:rPr>
        <w:t>in the implementation of projects of common interest on the trans-European transport network</w:t>
      </w:r>
      <w:r w:rsidR="00C345B5">
        <w:rPr>
          <w:rFonts w:ascii="Times New Roman" w:hAnsi="Times New Roman"/>
          <w:noProof/>
          <w:color w:val="auto"/>
          <w:sz w:val="24"/>
          <w:szCs w:val="24"/>
        </w:rPr>
        <w:t xml:space="preserve"> (see Table 4)</w:t>
      </w:r>
      <w:r w:rsidRPr="006D4FEE">
        <w:rPr>
          <w:rFonts w:ascii="Times New Roman" w:hAnsi="Times New Roman"/>
          <w:noProof/>
          <w:color w:val="auto"/>
          <w:sz w:val="24"/>
          <w:szCs w:val="24"/>
        </w:rPr>
        <w:t xml:space="preserve">. </w:t>
      </w:r>
    </w:p>
    <w:p w14:paraId="08D0689B" w14:textId="77777777" w:rsidR="004C37E1" w:rsidRDefault="001B1F1E" w:rsidP="001B1F1E">
      <w:pPr>
        <w:pStyle w:val="Corps"/>
        <w:spacing w:after="240" w:line="240" w:lineRule="auto"/>
        <w:jc w:val="both"/>
        <w:rPr>
          <w:rFonts w:ascii="Times New Roman" w:hAnsi="Times New Roman"/>
          <w:noProof/>
          <w:color w:val="auto"/>
          <w:sz w:val="24"/>
          <w:szCs w:val="24"/>
        </w:rPr>
      </w:pPr>
      <w:r w:rsidRPr="006D4FEE">
        <w:rPr>
          <w:rFonts w:ascii="Times New Roman" w:hAnsi="Times New Roman"/>
          <w:noProof/>
          <w:color w:val="auto"/>
          <w:sz w:val="24"/>
          <w:szCs w:val="24"/>
        </w:rPr>
        <w:t xml:space="preserve">Out of the EUR </w:t>
      </w:r>
      <w:r w:rsidR="00993DBC">
        <w:rPr>
          <w:rFonts w:ascii="Times New Roman" w:hAnsi="Times New Roman"/>
          <w:noProof/>
          <w:color w:val="auto"/>
          <w:sz w:val="24"/>
          <w:szCs w:val="24"/>
        </w:rPr>
        <w:t>111</w:t>
      </w:r>
      <w:r w:rsidRPr="006D4FEE">
        <w:rPr>
          <w:rFonts w:ascii="Times New Roman" w:hAnsi="Times New Roman"/>
          <w:noProof/>
          <w:color w:val="auto"/>
          <w:sz w:val="24"/>
          <w:szCs w:val="24"/>
        </w:rPr>
        <w:t xml:space="preserve"> billion, </w:t>
      </w:r>
      <w:r w:rsidRPr="00993DBC">
        <w:rPr>
          <w:rFonts w:ascii="Times New Roman" w:hAnsi="Times New Roman"/>
          <w:noProof/>
          <w:color w:val="auto"/>
          <w:sz w:val="24"/>
          <w:szCs w:val="24"/>
        </w:rPr>
        <w:t xml:space="preserve">EUR </w:t>
      </w:r>
      <w:r w:rsidR="00993DBC" w:rsidRPr="00993DBC">
        <w:rPr>
          <w:rFonts w:ascii="Times New Roman" w:hAnsi="Times New Roman"/>
          <w:noProof/>
          <w:color w:val="auto"/>
          <w:sz w:val="24"/>
          <w:szCs w:val="24"/>
        </w:rPr>
        <w:t>7.7</w:t>
      </w:r>
      <w:r w:rsidRPr="00993DBC">
        <w:rPr>
          <w:rFonts w:ascii="Times New Roman" w:hAnsi="Times New Roman"/>
          <w:noProof/>
          <w:color w:val="auto"/>
          <w:sz w:val="24"/>
          <w:szCs w:val="24"/>
        </w:rPr>
        <w:t xml:space="preserve"> billion were invested </w:t>
      </w:r>
      <w:r w:rsidR="00525B1D" w:rsidRPr="00993DBC">
        <w:rPr>
          <w:rFonts w:ascii="Times New Roman" w:hAnsi="Times New Roman"/>
          <w:noProof/>
          <w:color w:val="auto"/>
          <w:sz w:val="24"/>
          <w:szCs w:val="24"/>
        </w:rPr>
        <w:t>through</w:t>
      </w:r>
      <w:r w:rsidRPr="00993DBC">
        <w:rPr>
          <w:rFonts w:ascii="Times New Roman" w:hAnsi="Times New Roman"/>
          <w:noProof/>
          <w:color w:val="auto"/>
          <w:sz w:val="24"/>
          <w:szCs w:val="24"/>
        </w:rPr>
        <w:t xml:space="preserve"> EIB loans</w:t>
      </w:r>
      <w:r w:rsidR="00AF3755">
        <w:rPr>
          <w:rStyle w:val="FootnoteReference"/>
          <w:rFonts w:ascii="Times New Roman" w:hAnsi="Times New Roman"/>
          <w:noProof/>
          <w:color w:val="auto"/>
          <w:sz w:val="24"/>
          <w:szCs w:val="24"/>
        </w:rPr>
        <w:footnoteReference w:id="21"/>
      </w:r>
      <w:r w:rsidR="00993DBC">
        <w:rPr>
          <w:rFonts w:ascii="Times New Roman" w:hAnsi="Times New Roman"/>
          <w:noProof/>
          <w:color w:val="auto"/>
          <w:sz w:val="24"/>
          <w:szCs w:val="24"/>
        </w:rPr>
        <w:t xml:space="preserve">. EUR 26.4 billion </w:t>
      </w:r>
      <w:r w:rsidR="00993DBC" w:rsidRPr="00993DBC">
        <w:rPr>
          <w:rFonts w:ascii="Times New Roman" w:hAnsi="Times New Roman"/>
          <w:noProof/>
          <w:color w:val="auto"/>
          <w:sz w:val="24"/>
          <w:szCs w:val="24"/>
        </w:rPr>
        <w:t xml:space="preserve">were co-funded by the European Structural and Investment Funds (ESIF, notably European Regional Development Fund (ERDF) and Cohesion Fund (CF)) </w:t>
      </w:r>
      <w:r w:rsidR="00993DBC">
        <w:rPr>
          <w:rFonts w:ascii="Times New Roman" w:hAnsi="Times New Roman"/>
          <w:noProof/>
          <w:color w:val="auto"/>
          <w:sz w:val="24"/>
          <w:szCs w:val="24"/>
        </w:rPr>
        <w:t>whose investments thus almost tripled compared to 2016 and 2017</w:t>
      </w:r>
      <w:r w:rsidR="00993DBC">
        <w:rPr>
          <w:rStyle w:val="FootnoteReference"/>
          <w:rFonts w:ascii="Times New Roman" w:hAnsi="Times New Roman"/>
          <w:noProof/>
          <w:color w:val="auto"/>
          <w:sz w:val="24"/>
          <w:szCs w:val="24"/>
        </w:rPr>
        <w:footnoteReference w:id="22"/>
      </w:r>
      <w:r w:rsidR="00993DBC">
        <w:rPr>
          <w:rFonts w:ascii="Times New Roman" w:hAnsi="Times New Roman"/>
          <w:noProof/>
          <w:color w:val="auto"/>
          <w:sz w:val="24"/>
          <w:szCs w:val="24"/>
        </w:rPr>
        <w:t xml:space="preserve">. EUR </w:t>
      </w:r>
      <w:r w:rsidR="000C3EB2">
        <w:rPr>
          <w:rFonts w:ascii="Times New Roman" w:hAnsi="Times New Roman"/>
          <w:noProof/>
          <w:color w:val="auto"/>
          <w:sz w:val="24"/>
          <w:szCs w:val="24"/>
        </w:rPr>
        <w:t>4.6</w:t>
      </w:r>
      <w:r w:rsidR="00993DBC">
        <w:rPr>
          <w:rFonts w:ascii="Times New Roman" w:hAnsi="Times New Roman"/>
          <w:noProof/>
          <w:color w:val="auto"/>
          <w:sz w:val="24"/>
          <w:szCs w:val="24"/>
        </w:rPr>
        <w:t xml:space="preserve"> billion EUR were invested through the Connecting Europe Facility (CEF</w:t>
      </w:r>
      <w:r w:rsidR="000C3EB2">
        <w:rPr>
          <w:rFonts w:ascii="Times New Roman" w:hAnsi="Times New Roman"/>
          <w:noProof/>
          <w:color w:val="auto"/>
          <w:sz w:val="24"/>
          <w:szCs w:val="24"/>
        </w:rPr>
        <w:t>)</w:t>
      </w:r>
      <w:r w:rsidR="00993DBC" w:rsidRPr="004A4857">
        <w:rPr>
          <w:rStyle w:val="FootnoteReference"/>
          <w:rFonts w:ascii="Times New Roman" w:hAnsi="Times New Roman"/>
          <w:noProof/>
          <w:color w:val="auto"/>
          <w:sz w:val="24"/>
          <w:szCs w:val="24"/>
        </w:rPr>
        <w:footnoteReference w:id="23"/>
      </w:r>
      <w:r w:rsidR="00C345B5">
        <w:rPr>
          <w:rFonts w:ascii="Times New Roman" w:hAnsi="Times New Roman"/>
          <w:noProof/>
          <w:color w:val="auto"/>
          <w:sz w:val="24"/>
          <w:szCs w:val="24"/>
        </w:rPr>
        <w:t xml:space="preserve"> (see Table 4)</w:t>
      </w:r>
      <w:r w:rsidRPr="004A4857">
        <w:rPr>
          <w:rFonts w:ascii="Times New Roman" w:hAnsi="Times New Roman"/>
          <w:noProof/>
          <w:color w:val="auto"/>
          <w:sz w:val="24"/>
          <w:szCs w:val="24"/>
        </w:rPr>
        <w:t xml:space="preserve">. </w:t>
      </w:r>
    </w:p>
    <w:p w14:paraId="08D0689C" w14:textId="77777777" w:rsidR="001B1F1E" w:rsidRPr="001C2941" w:rsidRDefault="00B074C5" w:rsidP="001B1F1E">
      <w:pPr>
        <w:pStyle w:val="Corps"/>
        <w:spacing w:after="240" w:line="240" w:lineRule="auto"/>
        <w:jc w:val="both"/>
        <w:rPr>
          <w:rFonts w:ascii="Times New Roman" w:hAnsi="Times New Roman"/>
          <w:noProof/>
          <w:color w:val="auto"/>
          <w:sz w:val="24"/>
          <w:szCs w:val="24"/>
        </w:rPr>
      </w:pPr>
      <w:r w:rsidRPr="004A4857">
        <w:rPr>
          <w:rFonts w:ascii="Times New Roman" w:hAnsi="Times New Roman"/>
          <w:noProof/>
          <w:color w:val="auto"/>
          <w:sz w:val="24"/>
          <w:szCs w:val="24"/>
        </w:rPr>
        <w:t xml:space="preserve">In this context, it has to be </w:t>
      </w:r>
      <w:r w:rsidR="004A4857" w:rsidRPr="004A4857">
        <w:rPr>
          <w:rFonts w:ascii="Times New Roman" w:hAnsi="Times New Roman"/>
          <w:noProof/>
          <w:color w:val="auto"/>
          <w:sz w:val="24"/>
          <w:szCs w:val="24"/>
        </w:rPr>
        <w:t>underlined that, w</w:t>
      </w:r>
      <w:r w:rsidR="009E50F4" w:rsidRPr="004A4857">
        <w:rPr>
          <w:rFonts w:ascii="Times New Roman" w:hAnsi="Times New Roman"/>
          <w:noProof/>
          <w:color w:val="auto"/>
          <w:sz w:val="24"/>
          <w:szCs w:val="24"/>
        </w:rPr>
        <w:t>hen</w:t>
      </w:r>
      <w:r w:rsidR="001B1F1E" w:rsidRPr="004A4857">
        <w:rPr>
          <w:rFonts w:ascii="Times New Roman" w:hAnsi="Times New Roman"/>
          <w:noProof/>
          <w:color w:val="auto"/>
          <w:sz w:val="24"/>
          <w:szCs w:val="24"/>
        </w:rPr>
        <w:t xml:space="preserve"> EU co-funding </w:t>
      </w:r>
      <w:r w:rsidR="009E50F4" w:rsidRPr="004A4857">
        <w:rPr>
          <w:rFonts w:ascii="Times New Roman" w:hAnsi="Times New Roman"/>
          <w:noProof/>
          <w:color w:val="auto"/>
          <w:sz w:val="24"/>
          <w:szCs w:val="24"/>
        </w:rPr>
        <w:t xml:space="preserve">is involved, the co-funding </w:t>
      </w:r>
      <w:r w:rsidR="001B1F1E" w:rsidRPr="004A4857">
        <w:rPr>
          <w:rFonts w:ascii="Times New Roman" w:hAnsi="Times New Roman"/>
          <w:noProof/>
          <w:color w:val="auto"/>
          <w:sz w:val="24"/>
          <w:szCs w:val="24"/>
        </w:rPr>
        <w:t>rate range</w:t>
      </w:r>
      <w:r w:rsidR="00DD39BF" w:rsidRPr="004A4857">
        <w:rPr>
          <w:rFonts w:ascii="Times New Roman" w:hAnsi="Times New Roman"/>
          <w:noProof/>
          <w:color w:val="auto"/>
          <w:sz w:val="24"/>
          <w:szCs w:val="24"/>
        </w:rPr>
        <w:t>s</w:t>
      </w:r>
      <w:r w:rsidR="001B1F1E" w:rsidRPr="004A4857">
        <w:rPr>
          <w:rFonts w:ascii="Times New Roman" w:hAnsi="Times New Roman"/>
          <w:noProof/>
          <w:color w:val="auto"/>
          <w:sz w:val="24"/>
          <w:szCs w:val="24"/>
        </w:rPr>
        <w:t xml:space="preserve"> between 20% and 85%. </w:t>
      </w:r>
      <w:r w:rsidR="004A4857" w:rsidRPr="004A4857">
        <w:rPr>
          <w:rFonts w:ascii="Times New Roman" w:hAnsi="Times New Roman"/>
          <w:noProof/>
          <w:color w:val="auto"/>
          <w:sz w:val="24"/>
          <w:szCs w:val="24"/>
        </w:rPr>
        <w:t xml:space="preserve">This means that </w:t>
      </w:r>
      <w:r w:rsidR="004C37E1">
        <w:rPr>
          <w:rFonts w:ascii="Times New Roman" w:hAnsi="Times New Roman"/>
          <w:noProof/>
          <w:color w:val="auto"/>
          <w:sz w:val="24"/>
          <w:szCs w:val="24"/>
        </w:rPr>
        <w:t>t</w:t>
      </w:r>
      <w:r w:rsidR="009E50F4" w:rsidRPr="004A4857">
        <w:rPr>
          <w:rFonts w:ascii="Times New Roman" w:hAnsi="Times New Roman"/>
          <w:noProof/>
          <w:color w:val="auto"/>
          <w:sz w:val="24"/>
          <w:szCs w:val="24"/>
        </w:rPr>
        <w:t>he balance and</w:t>
      </w:r>
      <w:r w:rsidR="004A4857" w:rsidRPr="004A4857">
        <w:rPr>
          <w:rFonts w:ascii="Times New Roman" w:hAnsi="Times New Roman"/>
          <w:noProof/>
          <w:color w:val="auto"/>
          <w:sz w:val="24"/>
          <w:szCs w:val="24"/>
        </w:rPr>
        <w:t xml:space="preserve"> thus</w:t>
      </w:r>
      <w:r w:rsidR="009E50F4" w:rsidRPr="004A4857">
        <w:rPr>
          <w:rFonts w:ascii="Times New Roman" w:hAnsi="Times New Roman"/>
          <w:noProof/>
          <w:color w:val="auto"/>
          <w:sz w:val="24"/>
          <w:szCs w:val="24"/>
        </w:rPr>
        <w:t xml:space="preserve"> the major part </w:t>
      </w:r>
      <w:r w:rsidR="004A4857" w:rsidRPr="004A4857">
        <w:rPr>
          <w:rFonts w:ascii="Times New Roman" w:hAnsi="Times New Roman"/>
          <w:noProof/>
          <w:color w:val="auto"/>
          <w:sz w:val="24"/>
          <w:szCs w:val="24"/>
        </w:rPr>
        <w:t xml:space="preserve">of investments </w:t>
      </w:r>
      <w:r w:rsidR="009E50F4" w:rsidRPr="004A4857">
        <w:rPr>
          <w:rFonts w:ascii="Times New Roman" w:hAnsi="Times New Roman"/>
          <w:noProof/>
          <w:color w:val="auto"/>
          <w:sz w:val="24"/>
          <w:szCs w:val="24"/>
        </w:rPr>
        <w:t xml:space="preserve">was </w:t>
      </w:r>
      <w:r w:rsidR="001B1F1E" w:rsidRPr="004A4857">
        <w:rPr>
          <w:rFonts w:ascii="Times New Roman" w:hAnsi="Times New Roman"/>
          <w:noProof/>
          <w:color w:val="auto"/>
          <w:sz w:val="24"/>
          <w:szCs w:val="24"/>
        </w:rPr>
        <w:t>mobilised by national resources</w:t>
      </w:r>
      <w:r w:rsidR="004C37E1">
        <w:rPr>
          <w:rFonts w:ascii="Times New Roman" w:hAnsi="Times New Roman"/>
          <w:noProof/>
          <w:color w:val="auto"/>
          <w:sz w:val="24"/>
          <w:szCs w:val="24"/>
        </w:rPr>
        <w:t xml:space="preserve">, i.e. </w:t>
      </w:r>
      <w:r w:rsidR="004A4857" w:rsidRPr="004A4857">
        <w:rPr>
          <w:rFonts w:ascii="Times New Roman" w:hAnsi="Times New Roman"/>
          <w:noProof/>
          <w:color w:val="auto"/>
          <w:sz w:val="24"/>
          <w:szCs w:val="24"/>
        </w:rPr>
        <w:t>EUR 93</w:t>
      </w:r>
      <w:r w:rsidR="001C2941">
        <w:rPr>
          <w:rFonts w:ascii="Times New Roman" w:hAnsi="Times New Roman"/>
          <w:noProof/>
          <w:color w:val="auto"/>
          <w:sz w:val="24"/>
          <w:szCs w:val="24"/>
        </w:rPr>
        <w:t>.5</w:t>
      </w:r>
      <w:r w:rsidR="004A4857" w:rsidRPr="004A4857">
        <w:rPr>
          <w:rFonts w:ascii="Times New Roman" w:hAnsi="Times New Roman"/>
          <w:noProof/>
          <w:color w:val="auto"/>
          <w:sz w:val="24"/>
          <w:szCs w:val="24"/>
        </w:rPr>
        <w:t xml:space="preserve"> billion</w:t>
      </w:r>
      <w:r w:rsidR="004A4857">
        <w:rPr>
          <w:rStyle w:val="FootnoteReference"/>
          <w:rFonts w:ascii="Times New Roman" w:hAnsi="Times New Roman"/>
          <w:noProof/>
          <w:color w:val="auto"/>
          <w:sz w:val="24"/>
          <w:szCs w:val="24"/>
        </w:rPr>
        <w:footnoteReference w:id="24"/>
      </w:r>
      <w:r w:rsidR="001B1F1E" w:rsidRPr="004A4857">
        <w:rPr>
          <w:rFonts w:ascii="Times New Roman" w:hAnsi="Times New Roman"/>
          <w:noProof/>
          <w:color w:val="auto"/>
          <w:sz w:val="24"/>
          <w:szCs w:val="24"/>
        </w:rPr>
        <w:t>.</w:t>
      </w:r>
      <w:r w:rsidR="003434D6" w:rsidRPr="004A4857">
        <w:rPr>
          <w:rFonts w:ascii="Times New Roman" w:hAnsi="Times New Roman"/>
          <w:noProof/>
          <w:color w:val="auto"/>
          <w:sz w:val="24"/>
          <w:szCs w:val="24"/>
        </w:rPr>
        <w:t xml:space="preserve"> </w:t>
      </w:r>
      <w:r w:rsidR="001C2941">
        <w:rPr>
          <w:rFonts w:ascii="Times New Roman" w:hAnsi="Times New Roman"/>
          <w:noProof/>
          <w:color w:val="auto"/>
          <w:sz w:val="24"/>
          <w:szCs w:val="24"/>
        </w:rPr>
        <w:t xml:space="preserve">This amount for investments reported by Member States thereby only </w:t>
      </w:r>
      <w:r w:rsidR="001C2941" w:rsidRPr="001C2941">
        <w:rPr>
          <w:rFonts w:ascii="Times New Roman" w:hAnsi="Times New Roman"/>
          <w:noProof/>
          <w:color w:val="auto"/>
          <w:sz w:val="24"/>
          <w:szCs w:val="24"/>
        </w:rPr>
        <w:t>includes investments related to works or other assets and/or mixed projects (but no studies alone) on the core or comprehensive TEN-T network.</w:t>
      </w:r>
      <w:r w:rsidR="001C2941">
        <w:rPr>
          <w:rFonts w:ascii="Times New Roman" w:hAnsi="Times New Roman"/>
          <w:noProof/>
          <w:color w:val="auto"/>
          <w:sz w:val="24"/>
          <w:szCs w:val="24"/>
        </w:rPr>
        <w:t xml:space="preserve"> </w:t>
      </w:r>
      <w:r w:rsidR="001B1F1E" w:rsidRPr="001C2941">
        <w:rPr>
          <w:rFonts w:ascii="Times New Roman" w:hAnsi="Times New Roman"/>
          <w:noProof/>
          <w:color w:val="auto"/>
          <w:sz w:val="24"/>
          <w:szCs w:val="24"/>
        </w:rPr>
        <w:t xml:space="preserve">Under works, all projects which contribute to the objectives of Article 4 of the TEN-T </w:t>
      </w:r>
      <w:r w:rsidR="00BE23C3" w:rsidRPr="001C2941">
        <w:rPr>
          <w:rFonts w:ascii="Times New Roman" w:hAnsi="Times New Roman"/>
          <w:noProof/>
          <w:color w:val="auto"/>
          <w:sz w:val="24"/>
          <w:szCs w:val="24"/>
        </w:rPr>
        <w:t>R</w:t>
      </w:r>
      <w:r w:rsidR="001B1F1E" w:rsidRPr="001C2941">
        <w:rPr>
          <w:rFonts w:ascii="Times New Roman" w:hAnsi="Times New Roman"/>
          <w:noProof/>
          <w:color w:val="auto"/>
          <w:sz w:val="24"/>
          <w:szCs w:val="24"/>
        </w:rPr>
        <w:t xml:space="preserve">egulation (i.e. </w:t>
      </w:r>
      <w:r w:rsidR="0016665C">
        <w:rPr>
          <w:rFonts w:ascii="Times New Roman" w:hAnsi="Times New Roman"/>
          <w:noProof/>
          <w:color w:val="auto"/>
          <w:sz w:val="24"/>
          <w:szCs w:val="24"/>
        </w:rPr>
        <w:t>c</w:t>
      </w:r>
      <w:r w:rsidR="001B1F1E" w:rsidRPr="001C2941">
        <w:rPr>
          <w:rFonts w:ascii="Times New Roman" w:hAnsi="Times New Roman"/>
          <w:noProof/>
          <w:color w:val="auto"/>
          <w:sz w:val="24"/>
          <w:szCs w:val="24"/>
        </w:rPr>
        <w:t>ohesion,</w:t>
      </w:r>
      <w:r w:rsidR="0016665C">
        <w:rPr>
          <w:rFonts w:ascii="Times New Roman" w:hAnsi="Times New Roman"/>
          <w:noProof/>
          <w:color w:val="auto"/>
          <w:sz w:val="24"/>
          <w:szCs w:val="24"/>
        </w:rPr>
        <w:t xml:space="preserve"> e</w:t>
      </w:r>
      <w:r w:rsidR="001B1F1E" w:rsidRPr="001C2941">
        <w:rPr>
          <w:rFonts w:ascii="Times New Roman" w:hAnsi="Times New Roman"/>
          <w:noProof/>
          <w:color w:val="auto"/>
          <w:sz w:val="24"/>
          <w:szCs w:val="24"/>
        </w:rPr>
        <w:t xml:space="preserve">fficiency, </w:t>
      </w:r>
      <w:r w:rsidR="0016665C">
        <w:rPr>
          <w:rFonts w:ascii="Times New Roman" w:hAnsi="Times New Roman"/>
          <w:noProof/>
          <w:color w:val="auto"/>
          <w:sz w:val="24"/>
          <w:szCs w:val="24"/>
        </w:rPr>
        <w:t>s</w:t>
      </w:r>
      <w:r w:rsidR="001B1F1E" w:rsidRPr="001C2941">
        <w:rPr>
          <w:rFonts w:ascii="Times New Roman" w:hAnsi="Times New Roman"/>
          <w:noProof/>
          <w:color w:val="auto"/>
          <w:sz w:val="24"/>
          <w:szCs w:val="24"/>
        </w:rPr>
        <w:t xml:space="preserve">ustainability, </w:t>
      </w:r>
      <w:r w:rsidR="0016665C">
        <w:rPr>
          <w:rFonts w:ascii="Times New Roman" w:hAnsi="Times New Roman"/>
          <w:noProof/>
          <w:color w:val="auto"/>
          <w:sz w:val="24"/>
          <w:szCs w:val="24"/>
        </w:rPr>
        <w:t>i</w:t>
      </w:r>
      <w:r w:rsidR="001B1F1E" w:rsidRPr="001C2941">
        <w:rPr>
          <w:rFonts w:ascii="Times New Roman" w:hAnsi="Times New Roman"/>
          <w:noProof/>
          <w:color w:val="auto"/>
          <w:sz w:val="24"/>
          <w:szCs w:val="24"/>
        </w:rPr>
        <w:t xml:space="preserve">ncreasing the benefits for its users) </w:t>
      </w:r>
      <w:r w:rsidR="005D6EC7" w:rsidRPr="001C2941">
        <w:rPr>
          <w:rFonts w:ascii="Times New Roman" w:hAnsi="Times New Roman"/>
          <w:noProof/>
          <w:color w:val="auto"/>
          <w:sz w:val="24"/>
          <w:szCs w:val="24"/>
        </w:rPr>
        <w:t>have been</w:t>
      </w:r>
      <w:r w:rsidR="001B1F1E" w:rsidRPr="001C2941">
        <w:rPr>
          <w:rFonts w:ascii="Times New Roman" w:hAnsi="Times New Roman"/>
          <w:noProof/>
          <w:color w:val="auto"/>
          <w:sz w:val="24"/>
          <w:szCs w:val="24"/>
        </w:rPr>
        <w:t xml:space="preserve"> reported. In addition, only works that lead to new infrastructure developments or are related to upgrading/rehabilitating existing infrastructure are counted. </w:t>
      </w:r>
      <w:r w:rsidR="0067434C">
        <w:rPr>
          <w:rFonts w:ascii="Times New Roman" w:hAnsi="Times New Roman"/>
          <w:noProof/>
          <w:color w:val="auto"/>
          <w:sz w:val="24"/>
          <w:szCs w:val="24"/>
        </w:rPr>
        <w:t>M</w:t>
      </w:r>
      <w:r w:rsidR="001B1F1E" w:rsidRPr="001C2941">
        <w:rPr>
          <w:rFonts w:ascii="Times New Roman" w:hAnsi="Times New Roman"/>
          <w:noProof/>
          <w:color w:val="auto"/>
          <w:sz w:val="24"/>
          <w:szCs w:val="24"/>
        </w:rPr>
        <w:t>aintenance costs ha</w:t>
      </w:r>
      <w:r w:rsidR="00525B1D" w:rsidRPr="001C2941">
        <w:rPr>
          <w:rFonts w:ascii="Times New Roman" w:hAnsi="Times New Roman"/>
          <w:noProof/>
          <w:color w:val="auto"/>
          <w:sz w:val="24"/>
          <w:szCs w:val="24"/>
        </w:rPr>
        <w:t>ve</w:t>
      </w:r>
      <w:r w:rsidR="001B1F1E" w:rsidRPr="001C2941">
        <w:rPr>
          <w:rFonts w:ascii="Times New Roman" w:hAnsi="Times New Roman"/>
          <w:noProof/>
          <w:color w:val="auto"/>
          <w:sz w:val="24"/>
          <w:szCs w:val="24"/>
        </w:rPr>
        <w:t xml:space="preserve"> been excluded. </w:t>
      </w:r>
      <w:r w:rsidR="00A45961">
        <w:rPr>
          <w:rFonts w:ascii="Times New Roman" w:hAnsi="Times New Roman"/>
          <w:noProof/>
          <w:color w:val="auto"/>
          <w:sz w:val="24"/>
          <w:szCs w:val="24"/>
        </w:rPr>
        <w:t>Finally</w:t>
      </w:r>
      <w:r w:rsidR="001B1F1E" w:rsidRPr="001C2941">
        <w:rPr>
          <w:rFonts w:ascii="Times New Roman" w:hAnsi="Times New Roman"/>
          <w:noProof/>
          <w:color w:val="auto"/>
          <w:sz w:val="24"/>
          <w:szCs w:val="24"/>
        </w:rPr>
        <w:t>, it includes all projects above EUR 1 million that run in 201</w:t>
      </w:r>
      <w:r w:rsidR="001C2941">
        <w:rPr>
          <w:rFonts w:ascii="Times New Roman" w:hAnsi="Times New Roman"/>
          <w:noProof/>
          <w:color w:val="auto"/>
          <w:sz w:val="24"/>
          <w:szCs w:val="24"/>
        </w:rPr>
        <w:t>8 and 2019</w:t>
      </w:r>
      <w:r w:rsidR="001B1F1E" w:rsidRPr="001C2941">
        <w:rPr>
          <w:rFonts w:ascii="Times New Roman" w:hAnsi="Times New Roman"/>
          <w:noProof/>
          <w:color w:val="auto"/>
          <w:sz w:val="24"/>
          <w:szCs w:val="24"/>
        </w:rPr>
        <w:t xml:space="preserve"> regardless of their start date. </w:t>
      </w:r>
    </w:p>
    <w:p w14:paraId="08D0689D" w14:textId="77777777" w:rsidR="001B1F1E" w:rsidRPr="00AA44E0" w:rsidRDefault="001B1F1E" w:rsidP="001B1F1E">
      <w:pPr>
        <w:pStyle w:val="Corps"/>
        <w:spacing w:after="240" w:line="240" w:lineRule="auto"/>
        <w:jc w:val="both"/>
        <w:rPr>
          <w:rFonts w:ascii="Times New Roman" w:hAnsi="Times New Roman"/>
          <w:noProof/>
          <w:color w:val="C00000"/>
          <w:sz w:val="24"/>
          <w:szCs w:val="24"/>
        </w:rPr>
      </w:pPr>
      <w:r w:rsidRPr="001C2941">
        <w:rPr>
          <w:rFonts w:ascii="Times New Roman" w:hAnsi="Times New Roman"/>
          <w:noProof/>
          <w:color w:val="auto"/>
          <w:sz w:val="24"/>
          <w:szCs w:val="24"/>
        </w:rPr>
        <w:t xml:space="preserve">Out of the EUR </w:t>
      </w:r>
      <w:r w:rsidR="001C2941" w:rsidRPr="001C2941">
        <w:rPr>
          <w:rFonts w:ascii="Times New Roman" w:hAnsi="Times New Roman"/>
          <w:noProof/>
          <w:color w:val="auto"/>
          <w:sz w:val="24"/>
          <w:szCs w:val="24"/>
        </w:rPr>
        <w:t>93.5</w:t>
      </w:r>
      <w:r w:rsidRPr="001C2941">
        <w:rPr>
          <w:rFonts w:ascii="Times New Roman" w:hAnsi="Times New Roman"/>
          <w:noProof/>
          <w:color w:val="auto"/>
          <w:sz w:val="24"/>
          <w:szCs w:val="24"/>
        </w:rPr>
        <w:t xml:space="preserve"> billion of total investments reported by Member States (which includes the EU co-</w:t>
      </w:r>
      <w:r w:rsidR="00310456" w:rsidRPr="001C2941">
        <w:rPr>
          <w:rFonts w:ascii="Times New Roman" w:hAnsi="Times New Roman"/>
          <w:noProof/>
          <w:color w:val="auto"/>
          <w:sz w:val="24"/>
          <w:szCs w:val="24"/>
        </w:rPr>
        <w:t>funding</w:t>
      </w:r>
      <w:r w:rsidRPr="001C2941">
        <w:rPr>
          <w:rFonts w:ascii="Times New Roman" w:hAnsi="Times New Roman"/>
          <w:noProof/>
          <w:color w:val="auto"/>
          <w:sz w:val="24"/>
          <w:szCs w:val="24"/>
        </w:rPr>
        <w:t xml:space="preserve"> part wherever relevant), the majority has been</w:t>
      </w:r>
      <w:r w:rsidR="00E30C87" w:rsidRPr="001C2941">
        <w:rPr>
          <w:rFonts w:ascii="Times New Roman" w:hAnsi="Times New Roman"/>
          <w:noProof/>
          <w:color w:val="auto"/>
          <w:sz w:val="24"/>
          <w:szCs w:val="24"/>
        </w:rPr>
        <w:t xml:space="preserve"> invested on the core network </w:t>
      </w:r>
      <w:r w:rsidR="001C2941" w:rsidRPr="001C2941">
        <w:rPr>
          <w:rFonts w:ascii="Times New Roman" w:hAnsi="Times New Roman"/>
          <w:noProof/>
          <w:color w:val="auto"/>
          <w:sz w:val="24"/>
          <w:szCs w:val="24"/>
        </w:rPr>
        <w:t>(72</w:t>
      </w:r>
      <w:r w:rsidRPr="001C2941">
        <w:rPr>
          <w:rFonts w:ascii="Times New Roman" w:hAnsi="Times New Roman"/>
          <w:noProof/>
          <w:color w:val="auto"/>
          <w:sz w:val="24"/>
          <w:szCs w:val="24"/>
        </w:rPr>
        <w:t xml:space="preserve">%). </w:t>
      </w:r>
      <w:r w:rsidR="00A45961">
        <w:rPr>
          <w:rFonts w:ascii="Times New Roman" w:hAnsi="Times New Roman"/>
          <w:noProof/>
          <w:color w:val="auto"/>
          <w:sz w:val="24"/>
          <w:szCs w:val="24"/>
        </w:rPr>
        <w:t>M</w:t>
      </w:r>
      <w:r w:rsidRPr="001C2941">
        <w:rPr>
          <w:rFonts w:ascii="Times New Roman" w:hAnsi="Times New Roman"/>
          <w:noProof/>
          <w:color w:val="auto"/>
          <w:sz w:val="24"/>
          <w:szCs w:val="24"/>
        </w:rPr>
        <w:t>ost funds have been attributed to TEN-</w:t>
      </w:r>
      <w:r w:rsidR="001C2941" w:rsidRPr="001C2941">
        <w:rPr>
          <w:rFonts w:ascii="Times New Roman" w:hAnsi="Times New Roman"/>
          <w:noProof/>
          <w:color w:val="auto"/>
          <w:sz w:val="24"/>
          <w:szCs w:val="24"/>
        </w:rPr>
        <w:t>T railways (including ERTMS) (42</w:t>
      </w:r>
      <w:r w:rsidRPr="001C2941">
        <w:rPr>
          <w:rFonts w:ascii="Times New Roman" w:hAnsi="Times New Roman"/>
          <w:noProof/>
          <w:color w:val="auto"/>
          <w:sz w:val="24"/>
          <w:szCs w:val="24"/>
        </w:rPr>
        <w:t>%)</w:t>
      </w:r>
      <w:r w:rsidR="001C2941">
        <w:rPr>
          <w:rFonts w:ascii="Times New Roman" w:hAnsi="Times New Roman"/>
          <w:noProof/>
          <w:color w:val="auto"/>
          <w:sz w:val="24"/>
          <w:szCs w:val="24"/>
        </w:rPr>
        <w:t xml:space="preserve"> and TEN-T roads (including ITS) following second with 38%</w:t>
      </w:r>
      <w:r w:rsidR="00C345B5">
        <w:rPr>
          <w:rFonts w:ascii="Times New Roman" w:hAnsi="Times New Roman"/>
          <w:noProof/>
          <w:color w:val="auto"/>
          <w:sz w:val="24"/>
          <w:szCs w:val="24"/>
        </w:rPr>
        <w:t xml:space="preserve"> (see Table 1)</w:t>
      </w:r>
      <w:r w:rsidRPr="001C2941">
        <w:rPr>
          <w:rFonts w:ascii="Times New Roman" w:hAnsi="Times New Roman"/>
          <w:noProof/>
          <w:color w:val="auto"/>
          <w:sz w:val="24"/>
          <w:szCs w:val="24"/>
        </w:rPr>
        <w:t>.</w:t>
      </w:r>
      <w:r w:rsidRPr="001C2941">
        <w:rPr>
          <w:rFonts w:ascii="Times New Roman" w:hAnsi="Times New Roman"/>
          <w:noProof/>
          <w:color w:val="C00000"/>
          <w:sz w:val="24"/>
          <w:szCs w:val="24"/>
        </w:rPr>
        <w:t xml:space="preserve"> </w:t>
      </w:r>
    </w:p>
    <w:p w14:paraId="24A0B446" w14:textId="77777777" w:rsidR="00B7460D" w:rsidRPr="00FE72D3" w:rsidRDefault="00B7460D">
      <w:pPr>
        <w:rPr>
          <w:rFonts w:eastAsia="Calibri" w:cs="Calibri"/>
          <w:i/>
          <w:noProof/>
          <w:color w:val="000000" w:themeColor="text1"/>
          <w:szCs w:val="22"/>
          <w:u w:color="000000"/>
          <w:lang w:val="en-GB" w:eastAsia="en-GB"/>
        </w:rPr>
      </w:pPr>
      <w:r w:rsidRPr="00FE72D3">
        <w:rPr>
          <w:i/>
          <w:noProof/>
          <w:color w:val="000000" w:themeColor="text1"/>
          <w:lang w:val="en-GB"/>
        </w:rPr>
        <w:br w:type="page"/>
      </w:r>
    </w:p>
    <w:p w14:paraId="08D0689E" w14:textId="24E948F5" w:rsidR="00DB465F" w:rsidRDefault="00A8284F" w:rsidP="001B1F1E">
      <w:pPr>
        <w:pStyle w:val="Corps"/>
        <w:spacing w:after="240" w:line="240" w:lineRule="auto"/>
        <w:jc w:val="both"/>
        <w:rPr>
          <w:rFonts w:ascii="Times New Roman" w:hAnsi="Times New Roman"/>
          <w:i/>
          <w:noProof/>
          <w:color w:val="000000" w:themeColor="text1"/>
          <w:sz w:val="24"/>
          <w:lang w:val="fr-BE"/>
        </w:rPr>
      </w:pPr>
      <w:r>
        <w:rPr>
          <w:rFonts w:ascii="Times New Roman" w:hAnsi="Times New Roman"/>
          <w:i/>
          <w:noProof/>
          <w:color w:val="000000" w:themeColor="text1"/>
          <w:sz w:val="24"/>
          <w:lang w:val="fr-BE"/>
        </w:rPr>
        <w:t>Table 1: TEN-T Expenditure 2018+2019</w:t>
      </w:r>
      <w:r w:rsidR="00DB465F" w:rsidRPr="0013224F">
        <w:rPr>
          <w:rFonts w:ascii="Times New Roman" w:hAnsi="Times New Roman"/>
          <w:i/>
          <w:noProof/>
          <w:color w:val="000000" w:themeColor="text1"/>
          <w:sz w:val="24"/>
          <w:lang w:val="fr-BE"/>
        </w:rPr>
        <w:t xml:space="preserve"> in MEUR </w:t>
      </w:r>
    </w:p>
    <w:tbl>
      <w:tblPr>
        <w:tblStyle w:val="TableGrid"/>
        <w:tblW w:w="9882" w:type="dxa"/>
        <w:tblLayout w:type="fixed"/>
        <w:tblLook w:val="04A0" w:firstRow="1" w:lastRow="0" w:firstColumn="1" w:lastColumn="0" w:noHBand="0" w:noVBand="1"/>
      </w:tblPr>
      <w:tblGrid>
        <w:gridCol w:w="4141"/>
        <w:gridCol w:w="2018"/>
        <w:gridCol w:w="1667"/>
        <w:gridCol w:w="2056"/>
      </w:tblGrid>
      <w:tr w:rsidR="003B2ED8" w:rsidRPr="00A8284F" w14:paraId="08D068A1" w14:textId="77777777" w:rsidTr="003B2ED8">
        <w:trPr>
          <w:trHeight w:val="46"/>
        </w:trPr>
        <w:tc>
          <w:tcPr>
            <w:tcW w:w="4141" w:type="dxa"/>
            <w:shd w:val="clear" w:color="auto" w:fill="D9D9D9" w:themeFill="background1" w:themeFillShade="D9"/>
            <w:vAlign w:val="center"/>
            <w:hideMark/>
          </w:tcPr>
          <w:p w14:paraId="08D0689F" w14:textId="77777777" w:rsidR="00A8284F" w:rsidRPr="003B2ED8" w:rsidRDefault="00A8284F" w:rsidP="00A8284F">
            <w:pPr>
              <w:pStyle w:val="Corps"/>
              <w:spacing w:after="240"/>
              <w:jc w:val="both"/>
              <w:rPr>
                <w:rFonts w:ascii="Times New Roman" w:hAnsi="Times New Roman" w:cs="Times New Roman"/>
                <w:b/>
                <w:bCs/>
                <w:i/>
                <w:noProof/>
                <w:color w:val="000000" w:themeColor="text1"/>
                <w:sz w:val="24"/>
              </w:rPr>
            </w:pPr>
            <w:r w:rsidRPr="003B2ED8">
              <w:rPr>
                <w:rFonts w:ascii="Times New Roman" w:hAnsi="Times New Roman" w:cs="Times New Roman"/>
                <w:b/>
                <w:bCs/>
                <w:i/>
                <w:noProof/>
                <w:color w:val="000000" w:themeColor="text1"/>
                <w:sz w:val="24"/>
                <w:lang w:val="en-US"/>
              </w:rPr>
              <w:t>EU27</w:t>
            </w:r>
          </w:p>
        </w:tc>
        <w:tc>
          <w:tcPr>
            <w:tcW w:w="5741" w:type="dxa"/>
            <w:gridSpan w:val="3"/>
            <w:shd w:val="clear" w:color="auto" w:fill="D9D9D9" w:themeFill="background1" w:themeFillShade="D9"/>
            <w:vAlign w:val="center"/>
            <w:hideMark/>
          </w:tcPr>
          <w:p w14:paraId="08D068A0" w14:textId="77777777" w:rsidR="00A8284F" w:rsidRPr="003B2ED8" w:rsidRDefault="00A8284F" w:rsidP="003B2ED8">
            <w:pPr>
              <w:pStyle w:val="Corps"/>
              <w:spacing w:after="240"/>
              <w:jc w:val="center"/>
              <w:rPr>
                <w:rFonts w:ascii="Times New Roman" w:hAnsi="Times New Roman" w:cs="Times New Roman"/>
                <w:b/>
                <w:bCs/>
                <w:i/>
                <w:noProof/>
                <w:color w:val="000000" w:themeColor="text1"/>
                <w:sz w:val="24"/>
              </w:rPr>
            </w:pPr>
            <w:r w:rsidRPr="003B2ED8">
              <w:rPr>
                <w:rFonts w:ascii="Times New Roman" w:hAnsi="Times New Roman" w:cs="Times New Roman"/>
                <w:b/>
                <w:bCs/>
                <w:i/>
                <w:noProof/>
                <w:color w:val="000000" w:themeColor="text1"/>
                <w:sz w:val="24"/>
              </w:rPr>
              <w:t xml:space="preserve">TEN-T expenditure per transport mode </w:t>
            </w:r>
            <w:r w:rsidR="003B2ED8" w:rsidRPr="003B2ED8">
              <w:rPr>
                <w:rFonts w:ascii="Times New Roman" w:hAnsi="Times New Roman" w:cs="Times New Roman"/>
                <w:b/>
                <w:bCs/>
                <w:i/>
                <w:noProof/>
                <w:color w:val="000000" w:themeColor="text1"/>
                <w:sz w:val="24"/>
              </w:rPr>
              <w:br/>
            </w:r>
            <w:r w:rsidRPr="003B2ED8">
              <w:rPr>
                <w:rFonts w:ascii="Times New Roman" w:hAnsi="Times New Roman" w:cs="Times New Roman"/>
                <w:b/>
                <w:bCs/>
                <w:i/>
                <w:noProof/>
                <w:color w:val="000000" w:themeColor="text1"/>
                <w:sz w:val="24"/>
                <w:lang w:val="en-US"/>
              </w:rPr>
              <w:t xml:space="preserve">in 2018-2019 </w:t>
            </w:r>
          </w:p>
        </w:tc>
      </w:tr>
      <w:tr w:rsidR="00A8284F" w:rsidRPr="00A8284F" w14:paraId="08D068A6" w14:textId="77777777" w:rsidTr="003B2ED8">
        <w:trPr>
          <w:trHeight w:val="46"/>
        </w:trPr>
        <w:tc>
          <w:tcPr>
            <w:tcW w:w="4141" w:type="dxa"/>
            <w:vAlign w:val="center"/>
            <w:hideMark/>
          </w:tcPr>
          <w:p w14:paraId="08D068A2" w14:textId="77777777" w:rsidR="00A8284F" w:rsidRPr="003B2ED8" w:rsidRDefault="00A8284F" w:rsidP="00A8284F">
            <w:pPr>
              <w:pStyle w:val="Corps"/>
              <w:spacing w:after="240"/>
              <w:jc w:val="both"/>
              <w:rPr>
                <w:rFonts w:ascii="Times New Roman" w:hAnsi="Times New Roman" w:cs="Times New Roman"/>
                <w:b/>
                <w:bCs/>
                <w:i/>
                <w:iCs/>
                <w:noProof/>
                <w:color w:val="000000" w:themeColor="text1"/>
                <w:sz w:val="24"/>
                <w:lang w:val="en-US"/>
              </w:rPr>
            </w:pPr>
            <w:r w:rsidRPr="003B2ED8">
              <w:rPr>
                <w:rFonts w:ascii="Times New Roman" w:hAnsi="Times New Roman" w:cs="Times New Roman"/>
                <w:b/>
                <w:bCs/>
                <w:i/>
                <w:iCs/>
                <w:noProof/>
                <w:color w:val="000000" w:themeColor="text1"/>
                <w:sz w:val="24"/>
                <w:lang w:val="en-US"/>
              </w:rPr>
              <w:t>Transport Modes</w:t>
            </w:r>
          </w:p>
        </w:tc>
        <w:tc>
          <w:tcPr>
            <w:tcW w:w="2018" w:type="dxa"/>
            <w:vAlign w:val="center"/>
            <w:hideMark/>
          </w:tcPr>
          <w:p w14:paraId="08D068A3" w14:textId="77777777" w:rsidR="00A8284F" w:rsidRPr="003B2ED8" w:rsidRDefault="00A8284F" w:rsidP="00A8284F">
            <w:pPr>
              <w:pStyle w:val="Corps"/>
              <w:spacing w:after="240"/>
              <w:jc w:val="center"/>
              <w:rPr>
                <w:rFonts w:ascii="Times New Roman" w:hAnsi="Times New Roman" w:cs="Times New Roman"/>
                <w:b/>
                <w:bCs/>
                <w:i/>
                <w:iCs/>
                <w:noProof/>
                <w:color w:val="000000" w:themeColor="text1"/>
                <w:sz w:val="24"/>
                <w:lang w:val="en-US"/>
              </w:rPr>
            </w:pPr>
            <w:r w:rsidRPr="003B2ED8">
              <w:rPr>
                <w:rFonts w:ascii="Times New Roman" w:hAnsi="Times New Roman" w:cs="Times New Roman"/>
                <w:b/>
                <w:bCs/>
                <w:i/>
                <w:iCs/>
                <w:noProof/>
                <w:color w:val="000000" w:themeColor="text1"/>
                <w:sz w:val="24"/>
                <w:lang w:val="en-US"/>
              </w:rPr>
              <w:t>Comprehensive Network</w:t>
            </w:r>
          </w:p>
        </w:tc>
        <w:tc>
          <w:tcPr>
            <w:tcW w:w="1667" w:type="dxa"/>
            <w:vAlign w:val="center"/>
            <w:hideMark/>
          </w:tcPr>
          <w:p w14:paraId="08D068A4" w14:textId="77777777" w:rsidR="00A8284F" w:rsidRPr="003B2ED8" w:rsidRDefault="00A8284F" w:rsidP="00A8284F">
            <w:pPr>
              <w:pStyle w:val="Corps"/>
              <w:spacing w:after="240"/>
              <w:jc w:val="center"/>
              <w:rPr>
                <w:rFonts w:ascii="Times New Roman" w:hAnsi="Times New Roman" w:cs="Times New Roman"/>
                <w:b/>
                <w:bCs/>
                <w:i/>
                <w:iCs/>
                <w:noProof/>
                <w:color w:val="000000" w:themeColor="text1"/>
                <w:sz w:val="24"/>
                <w:lang w:val="en-US"/>
              </w:rPr>
            </w:pPr>
            <w:r w:rsidRPr="003B2ED8">
              <w:rPr>
                <w:rFonts w:ascii="Times New Roman" w:hAnsi="Times New Roman" w:cs="Times New Roman"/>
                <w:b/>
                <w:bCs/>
                <w:i/>
                <w:iCs/>
                <w:noProof/>
                <w:color w:val="000000" w:themeColor="text1"/>
                <w:sz w:val="24"/>
                <w:lang w:val="en-US"/>
              </w:rPr>
              <w:t>Core Network</w:t>
            </w:r>
          </w:p>
        </w:tc>
        <w:tc>
          <w:tcPr>
            <w:tcW w:w="2055" w:type="dxa"/>
            <w:vAlign w:val="center"/>
            <w:hideMark/>
          </w:tcPr>
          <w:p w14:paraId="08D068A5" w14:textId="77777777" w:rsidR="00A8284F" w:rsidRPr="003B2ED8" w:rsidRDefault="00A8284F" w:rsidP="00A8284F">
            <w:pPr>
              <w:pStyle w:val="Corps"/>
              <w:spacing w:after="240"/>
              <w:jc w:val="center"/>
              <w:rPr>
                <w:rFonts w:ascii="Times New Roman" w:hAnsi="Times New Roman" w:cs="Times New Roman"/>
                <w:b/>
                <w:bCs/>
                <w:i/>
                <w:iCs/>
                <w:noProof/>
                <w:color w:val="000000" w:themeColor="text1"/>
                <w:sz w:val="24"/>
                <w:lang w:val="en-US"/>
              </w:rPr>
            </w:pPr>
            <w:r w:rsidRPr="003B2ED8">
              <w:rPr>
                <w:rFonts w:ascii="Times New Roman" w:hAnsi="Times New Roman" w:cs="Times New Roman"/>
                <w:b/>
                <w:bCs/>
                <w:i/>
                <w:iCs/>
                <w:noProof/>
                <w:color w:val="000000" w:themeColor="text1"/>
                <w:sz w:val="24"/>
                <w:lang w:val="en-US"/>
              </w:rPr>
              <w:t>TOTAL</w:t>
            </w:r>
            <w:r w:rsidRPr="003B2ED8">
              <w:rPr>
                <w:rFonts w:ascii="Times New Roman" w:hAnsi="Times New Roman" w:cs="Times New Roman"/>
                <w:b/>
                <w:bCs/>
                <w:i/>
                <w:iCs/>
                <w:noProof/>
                <w:color w:val="000000" w:themeColor="text1"/>
                <w:sz w:val="24"/>
                <w:lang w:val="en-US"/>
              </w:rPr>
              <w:br/>
              <w:t>TEN-T Network</w:t>
            </w:r>
          </w:p>
        </w:tc>
      </w:tr>
      <w:tr w:rsidR="003B2ED8" w:rsidRPr="00A8284F" w14:paraId="08D068AB" w14:textId="77777777" w:rsidTr="003B2ED8">
        <w:trPr>
          <w:trHeight w:val="46"/>
        </w:trPr>
        <w:tc>
          <w:tcPr>
            <w:tcW w:w="4141" w:type="dxa"/>
            <w:vAlign w:val="center"/>
            <w:hideMark/>
          </w:tcPr>
          <w:p w14:paraId="08D068A7" w14:textId="77777777" w:rsidR="00A8284F" w:rsidRPr="003B2ED8" w:rsidRDefault="00A8284F" w:rsidP="00A8284F">
            <w:pPr>
              <w:pStyle w:val="Corps"/>
              <w:spacing w:after="240"/>
              <w:jc w:val="both"/>
              <w:rPr>
                <w:rFonts w:ascii="Times New Roman" w:hAnsi="Times New Roman" w:cs="Times New Roman"/>
                <w:b/>
                <w:bCs/>
                <w:i/>
                <w:noProof/>
                <w:color w:val="000000" w:themeColor="text1"/>
                <w:sz w:val="24"/>
                <w:lang w:val="en-US"/>
              </w:rPr>
            </w:pPr>
            <w:r w:rsidRPr="003B2ED8">
              <w:rPr>
                <w:rFonts w:ascii="Times New Roman" w:hAnsi="Times New Roman" w:cs="Times New Roman"/>
                <w:b/>
                <w:bCs/>
                <w:i/>
                <w:noProof/>
                <w:color w:val="000000" w:themeColor="text1"/>
                <w:sz w:val="24"/>
                <w:lang w:val="en-US"/>
              </w:rPr>
              <w:t xml:space="preserve">TEN-T Railways </w:t>
            </w:r>
            <w:r w:rsidRPr="003B2ED8">
              <w:rPr>
                <w:rFonts w:ascii="Times New Roman" w:hAnsi="Times New Roman" w:cs="Times New Roman"/>
                <w:i/>
                <w:noProof/>
                <w:color w:val="000000" w:themeColor="text1"/>
                <w:sz w:val="24"/>
                <w:lang w:val="en-US"/>
              </w:rPr>
              <w:t>(incl. ERTMS)</w:t>
            </w:r>
          </w:p>
        </w:tc>
        <w:tc>
          <w:tcPr>
            <w:tcW w:w="2018" w:type="dxa"/>
            <w:noWrap/>
            <w:vAlign w:val="center"/>
            <w:hideMark/>
          </w:tcPr>
          <w:p w14:paraId="08D068A8" w14:textId="77777777" w:rsidR="00A8284F" w:rsidRPr="007E3C03" w:rsidRDefault="00A8284F" w:rsidP="00A8284F">
            <w:pPr>
              <w:pStyle w:val="Corps"/>
              <w:spacing w:after="240"/>
              <w:jc w:val="center"/>
              <w:rPr>
                <w:rFonts w:ascii="Times New Roman" w:hAnsi="Times New Roman" w:cs="Times New Roman"/>
                <w:noProof/>
                <w:color w:val="000000" w:themeColor="text1"/>
                <w:sz w:val="24"/>
                <w:lang w:val="en-US"/>
              </w:rPr>
            </w:pPr>
            <w:r w:rsidRPr="007E3C03">
              <w:rPr>
                <w:rFonts w:ascii="Times New Roman" w:hAnsi="Times New Roman" w:cs="Times New Roman"/>
                <w:noProof/>
                <w:color w:val="000000" w:themeColor="text1"/>
                <w:sz w:val="24"/>
                <w:lang w:val="en-US"/>
              </w:rPr>
              <w:t>8.576</w:t>
            </w:r>
          </w:p>
        </w:tc>
        <w:tc>
          <w:tcPr>
            <w:tcW w:w="1667" w:type="dxa"/>
            <w:noWrap/>
            <w:vAlign w:val="center"/>
            <w:hideMark/>
          </w:tcPr>
          <w:p w14:paraId="08D068A9" w14:textId="77777777" w:rsidR="00A8284F" w:rsidRPr="007E3C03" w:rsidRDefault="00A8284F" w:rsidP="00A8284F">
            <w:pPr>
              <w:pStyle w:val="Corps"/>
              <w:spacing w:after="240"/>
              <w:jc w:val="center"/>
              <w:rPr>
                <w:rFonts w:ascii="Times New Roman" w:hAnsi="Times New Roman" w:cs="Times New Roman"/>
                <w:noProof/>
                <w:color w:val="000000" w:themeColor="text1"/>
                <w:sz w:val="24"/>
                <w:lang w:val="en-US"/>
              </w:rPr>
            </w:pPr>
            <w:r w:rsidRPr="007E3C03">
              <w:rPr>
                <w:rFonts w:ascii="Times New Roman" w:hAnsi="Times New Roman" w:cs="Times New Roman"/>
                <w:noProof/>
                <w:color w:val="000000" w:themeColor="text1"/>
                <w:sz w:val="24"/>
                <w:lang w:val="en-US"/>
              </w:rPr>
              <w:t>30.781</w:t>
            </w:r>
          </w:p>
        </w:tc>
        <w:tc>
          <w:tcPr>
            <w:tcW w:w="2055" w:type="dxa"/>
            <w:noWrap/>
            <w:vAlign w:val="center"/>
            <w:hideMark/>
          </w:tcPr>
          <w:p w14:paraId="08D068AA" w14:textId="77777777" w:rsidR="00A8284F" w:rsidRPr="007E3C03" w:rsidRDefault="00A8284F" w:rsidP="00A8284F">
            <w:pPr>
              <w:pStyle w:val="Corps"/>
              <w:spacing w:after="240"/>
              <w:jc w:val="center"/>
              <w:rPr>
                <w:rFonts w:ascii="Times New Roman" w:hAnsi="Times New Roman" w:cs="Times New Roman"/>
                <w:b/>
                <w:bCs/>
                <w:noProof/>
                <w:color w:val="000000" w:themeColor="text1"/>
                <w:sz w:val="24"/>
                <w:lang w:val="en-US"/>
              </w:rPr>
            </w:pPr>
            <w:r w:rsidRPr="007E3C03">
              <w:rPr>
                <w:rFonts w:ascii="Times New Roman" w:hAnsi="Times New Roman" w:cs="Times New Roman"/>
                <w:b/>
                <w:bCs/>
                <w:noProof/>
                <w:color w:val="000000" w:themeColor="text1"/>
                <w:sz w:val="24"/>
                <w:lang w:val="en-US"/>
              </w:rPr>
              <w:t>39.357</w:t>
            </w:r>
          </w:p>
        </w:tc>
      </w:tr>
      <w:tr w:rsidR="003B2ED8" w:rsidRPr="00A8284F" w14:paraId="08D068B0" w14:textId="77777777" w:rsidTr="003B2ED8">
        <w:trPr>
          <w:trHeight w:val="46"/>
        </w:trPr>
        <w:tc>
          <w:tcPr>
            <w:tcW w:w="4141" w:type="dxa"/>
            <w:vAlign w:val="center"/>
            <w:hideMark/>
          </w:tcPr>
          <w:p w14:paraId="08D068AC" w14:textId="77777777" w:rsidR="00A8284F" w:rsidRPr="003B2ED8" w:rsidRDefault="00A8284F" w:rsidP="00A8284F">
            <w:pPr>
              <w:pStyle w:val="Corps"/>
              <w:spacing w:after="240"/>
              <w:jc w:val="both"/>
              <w:rPr>
                <w:rFonts w:ascii="Times New Roman" w:hAnsi="Times New Roman" w:cs="Times New Roman"/>
                <w:b/>
                <w:bCs/>
                <w:i/>
                <w:noProof/>
                <w:color w:val="000000" w:themeColor="text1"/>
                <w:sz w:val="24"/>
                <w:lang w:val="en-US"/>
              </w:rPr>
            </w:pPr>
            <w:r w:rsidRPr="003B2ED8">
              <w:rPr>
                <w:rFonts w:ascii="Times New Roman" w:hAnsi="Times New Roman" w:cs="Times New Roman"/>
                <w:b/>
                <w:bCs/>
                <w:i/>
                <w:noProof/>
                <w:color w:val="000000" w:themeColor="text1"/>
                <w:sz w:val="24"/>
                <w:lang w:val="en-US"/>
              </w:rPr>
              <w:t xml:space="preserve">TEN-T Roads </w:t>
            </w:r>
            <w:r w:rsidRPr="003B2ED8">
              <w:rPr>
                <w:rFonts w:ascii="Times New Roman" w:hAnsi="Times New Roman" w:cs="Times New Roman"/>
                <w:i/>
                <w:noProof/>
                <w:color w:val="000000" w:themeColor="text1"/>
                <w:sz w:val="24"/>
                <w:lang w:val="en-US"/>
              </w:rPr>
              <w:t>(incl. ITS)</w:t>
            </w:r>
          </w:p>
        </w:tc>
        <w:tc>
          <w:tcPr>
            <w:tcW w:w="2018" w:type="dxa"/>
            <w:noWrap/>
            <w:vAlign w:val="center"/>
            <w:hideMark/>
          </w:tcPr>
          <w:p w14:paraId="08D068AD" w14:textId="77777777" w:rsidR="00A8284F" w:rsidRPr="007E3C03" w:rsidRDefault="00A8284F" w:rsidP="00A8284F">
            <w:pPr>
              <w:pStyle w:val="Corps"/>
              <w:spacing w:after="240"/>
              <w:jc w:val="center"/>
              <w:rPr>
                <w:rFonts w:ascii="Times New Roman" w:hAnsi="Times New Roman" w:cs="Times New Roman"/>
                <w:noProof/>
                <w:color w:val="000000" w:themeColor="text1"/>
                <w:sz w:val="24"/>
                <w:lang w:val="en-US"/>
              </w:rPr>
            </w:pPr>
            <w:r w:rsidRPr="007E3C03">
              <w:rPr>
                <w:rFonts w:ascii="Times New Roman" w:hAnsi="Times New Roman" w:cs="Times New Roman"/>
                <w:noProof/>
                <w:color w:val="000000" w:themeColor="text1"/>
                <w:sz w:val="24"/>
                <w:lang w:val="en-US"/>
              </w:rPr>
              <w:t>15.223</w:t>
            </w:r>
          </w:p>
        </w:tc>
        <w:tc>
          <w:tcPr>
            <w:tcW w:w="1667" w:type="dxa"/>
            <w:noWrap/>
            <w:vAlign w:val="center"/>
            <w:hideMark/>
          </w:tcPr>
          <w:p w14:paraId="08D068AE" w14:textId="77777777" w:rsidR="00A8284F" w:rsidRPr="007E3C03" w:rsidRDefault="00A8284F" w:rsidP="00A8284F">
            <w:pPr>
              <w:pStyle w:val="Corps"/>
              <w:spacing w:after="240"/>
              <w:jc w:val="center"/>
              <w:rPr>
                <w:rFonts w:ascii="Times New Roman" w:hAnsi="Times New Roman" w:cs="Times New Roman"/>
                <w:noProof/>
                <w:color w:val="000000" w:themeColor="text1"/>
                <w:sz w:val="24"/>
                <w:lang w:val="en-US"/>
              </w:rPr>
            </w:pPr>
            <w:r w:rsidRPr="007E3C03">
              <w:rPr>
                <w:rFonts w:ascii="Times New Roman" w:hAnsi="Times New Roman" w:cs="Times New Roman"/>
                <w:noProof/>
                <w:color w:val="000000" w:themeColor="text1"/>
                <w:sz w:val="24"/>
                <w:lang w:val="en-US"/>
              </w:rPr>
              <w:t>20.098</w:t>
            </w:r>
          </w:p>
        </w:tc>
        <w:tc>
          <w:tcPr>
            <w:tcW w:w="2055" w:type="dxa"/>
            <w:noWrap/>
            <w:vAlign w:val="center"/>
            <w:hideMark/>
          </w:tcPr>
          <w:p w14:paraId="08D068AF" w14:textId="77777777" w:rsidR="00A8284F" w:rsidRPr="007E3C03" w:rsidRDefault="00A8284F" w:rsidP="00A8284F">
            <w:pPr>
              <w:pStyle w:val="Corps"/>
              <w:spacing w:after="240"/>
              <w:jc w:val="center"/>
              <w:rPr>
                <w:rFonts w:ascii="Times New Roman" w:hAnsi="Times New Roman" w:cs="Times New Roman"/>
                <w:b/>
                <w:bCs/>
                <w:noProof/>
                <w:color w:val="000000" w:themeColor="text1"/>
                <w:sz w:val="24"/>
                <w:lang w:val="en-US"/>
              </w:rPr>
            </w:pPr>
            <w:r w:rsidRPr="007E3C03">
              <w:rPr>
                <w:rFonts w:ascii="Times New Roman" w:hAnsi="Times New Roman" w:cs="Times New Roman"/>
                <w:b/>
                <w:bCs/>
                <w:noProof/>
                <w:color w:val="000000" w:themeColor="text1"/>
                <w:sz w:val="24"/>
                <w:lang w:val="en-US"/>
              </w:rPr>
              <w:t>35.321</w:t>
            </w:r>
          </w:p>
        </w:tc>
      </w:tr>
      <w:tr w:rsidR="003B2ED8" w:rsidRPr="00A8284F" w14:paraId="08D068B5" w14:textId="77777777" w:rsidTr="003B2ED8">
        <w:trPr>
          <w:trHeight w:val="46"/>
        </w:trPr>
        <w:tc>
          <w:tcPr>
            <w:tcW w:w="4141" w:type="dxa"/>
            <w:vAlign w:val="center"/>
            <w:hideMark/>
          </w:tcPr>
          <w:p w14:paraId="08D068B1" w14:textId="77777777" w:rsidR="00A8284F" w:rsidRPr="003B2ED8" w:rsidRDefault="00A8284F" w:rsidP="00A8284F">
            <w:pPr>
              <w:pStyle w:val="Corps"/>
              <w:spacing w:after="240"/>
              <w:jc w:val="both"/>
              <w:rPr>
                <w:rFonts w:ascii="Times New Roman" w:hAnsi="Times New Roman" w:cs="Times New Roman"/>
                <w:b/>
                <w:bCs/>
                <w:i/>
                <w:noProof/>
                <w:color w:val="000000" w:themeColor="text1"/>
                <w:sz w:val="24"/>
                <w:lang w:val="en-US"/>
              </w:rPr>
            </w:pPr>
            <w:r w:rsidRPr="003B2ED8">
              <w:rPr>
                <w:rFonts w:ascii="Times New Roman" w:hAnsi="Times New Roman" w:cs="Times New Roman"/>
                <w:b/>
                <w:bCs/>
                <w:i/>
                <w:noProof/>
                <w:color w:val="000000" w:themeColor="text1"/>
                <w:sz w:val="24"/>
                <w:lang w:val="en-US"/>
              </w:rPr>
              <w:t xml:space="preserve">TEN-T Inland Waterways </w:t>
            </w:r>
            <w:r w:rsidRPr="003B2ED8">
              <w:rPr>
                <w:rFonts w:ascii="Times New Roman" w:hAnsi="Times New Roman" w:cs="Times New Roman"/>
                <w:i/>
                <w:noProof/>
                <w:color w:val="000000" w:themeColor="text1"/>
                <w:sz w:val="24"/>
                <w:lang w:val="en-US"/>
              </w:rPr>
              <w:t>(incl. RIS)</w:t>
            </w:r>
          </w:p>
        </w:tc>
        <w:tc>
          <w:tcPr>
            <w:tcW w:w="2018" w:type="dxa"/>
            <w:noWrap/>
            <w:vAlign w:val="center"/>
            <w:hideMark/>
          </w:tcPr>
          <w:p w14:paraId="08D068B2" w14:textId="77777777" w:rsidR="00A8284F" w:rsidRPr="007E3C03" w:rsidRDefault="00A8284F" w:rsidP="00A8284F">
            <w:pPr>
              <w:pStyle w:val="Corps"/>
              <w:spacing w:after="240"/>
              <w:jc w:val="center"/>
              <w:rPr>
                <w:rFonts w:ascii="Times New Roman" w:hAnsi="Times New Roman" w:cs="Times New Roman"/>
                <w:noProof/>
                <w:color w:val="000000" w:themeColor="text1"/>
                <w:sz w:val="24"/>
                <w:lang w:val="en-US"/>
              </w:rPr>
            </w:pPr>
            <w:r w:rsidRPr="007E3C03">
              <w:rPr>
                <w:rFonts w:ascii="Times New Roman" w:hAnsi="Times New Roman" w:cs="Times New Roman"/>
                <w:noProof/>
                <w:color w:val="000000" w:themeColor="text1"/>
                <w:sz w:val="24"/>
                <w:lang w:val="en-US"/>
              </w:rPr>
              <w:t>n/a</w:t>
            </w:r>
          </w:p>
        </w:tc>
        <w:tc>
          <w:tcPr>
            <w:tcW w:w="1667" w:type="dxa"/>
            <w:noWrap/>
            <w:vAlign w:val="center"/>
            <w:hideMark/>
          </w:tcPr>
          <w:p w14:paraId="08D068B3" w14:textId="77777777" w:rsidR="00A8284F" w:rsidRPr="007E3C03" w:rsidRDefault="00A8284F" w:rsidP="00A8284F">
            <w:pPr>
              <w:pStyle w:val="Corps"/>
              <w:spacing w:after="240"/>
              <w:jc w:val="center"/>
              <w:rPr>
                <w:rFonts w:ascii="Times New Roman" w:hAnsi="Times New Roman" w:cs="Times New Roman"/>
                <w:noProof/>
                <w:color w:val="000000" w:themeColor="text1"/>
                <w:sz w:val="24"/>
                <w:lang w:val="en-US"/>
              </w:rPr>
            </w:pPr>
            <w:r w:rsidRPr="007E3C03">
              <w:rPr>
                <w:rFonts w:ascii="Times New Roman" w:hAnsi="Times New Roman" w:cs="Times New Roman"/>
                <w:noProof/>
                <w:color w:val="000000" w:themeColor="text1"/>
                <w:sz w:val="24"/>
                <w:lang w:val="en-US"/>
              </w:rPr>
              <w:t>3.221</w:t>
            </w:r>
          </w:p>
        </w:tc>
        <w:tc>
          <w:tcPr>
            <w:tcW w:w="2055" w:type="dxa"/>
            <w:noWrap/>
            <w:vAlign w:val="center"/>
            <w:hideMark/>
          </w:tcPr>
          <w:p w14:paraId="08D068B4" w14:textId="77777777" w:rsidR="00A8284F" w:rsidRPr="007E3C03" w:rsidRDefault="00A8284F" w:rsidP="00A8284F">
            <w:pPr>
              <w:pStyle w:val="Corps"/>
              <w:spacing w:after="240"/>
              <w:jc w:val="center"/>
              <w:rPr>
                <w:rFonts w:ascii="Times New Roman" w:hAnsi="Times New Roman" w:cs="Times New Roman"/>
                <w:b/>
                <w:bCs/>
                <w:noProof/>
                <w:color w:val="000000" w:themeColor="text1"/>
                <w:sz w:val="24"/>
                <w:lang w:val="en-US"/>
              </w:rPr>
            </w:pPr>
            <w:r w:rsidRPr="007E3C03">
              <w:rPr>
                <w:rFonts w:ascii="Times New Roman" w:hAnsi="Times New Roman" w:cs="Times New Roman"/>
                <w:b/>
                <w:bCs/>
                <w:noProof/>
                <w:color w:val="000000" w:themeColor="text1"/>
                <w:sz w:val="24"/>
                <w:lang w:val="en-US"/>
              </w:rPr>
              <w:t>3.221</w:t>
            </w:r>
          </w:p>
        </w:tc>
      </w:tr>
      <w:tr w:rsidR="003B2ED8" w:rsidRPr="00A8284F" w14:paraId="08D068BA" w14:textId="77777777" w:rsidTr="003B2ED8">
        <w:trPr>
          <w:trHeight w:val="46"/>
        </w:trPr>
        <w:tc>
          <w:tcPr>
            <w:tcW w:w="4141" w:type="dxa"/>
            <w:vAlign w:val="center"/>
            <w:hideMark/>
          </w:tcPr>
          <w:p w14:paraId="08D068B6" w14:textId="77777777" w:rsidR="00A8284F" w:rsidRPr="00AA2AE2" w:rsidRDefault="00A8284F" w:rsidP="00A8284F">
            <w:pPr>
              <w:pStyle w:val="Corps"/>
              <w:spacing w:after="240"/>
              <w:jc w:val="both"/>
              <w:rPr>
                <w:rFonts w:ascii="Times New Roman" w:hAnsi="Times New Roman" w:cs="Times New Roman"/>
                <w:b/>
                <w:bCs/>
                <w:i/>
                <w:noProof/>
                <w:color w:val="000000" w:themeColor="text1"/>
                <w:sz w:val="24"/>
                <w:lang w:val="fr-BE"/>
              </w:rPr>
            </w:pPr>
            <w:r w:rsidRPr="00AA2AE2">
              <w:rPr>
                <w:rFonts w:ascii="Times New Roman" w:hAnsi="Times New Roman" w:cs="Times New Roman"/>
                <w:b/>
                <w:bCs/>
                <w:i/>
                <w:noProof/>
                <w:color w:val="000000" w:themeColor="text1"/>
                <w:sz w:val="24"/>
                <w:lang w:val="fr-BE"/>
              </w:rPr>
              <w:t xml:space="preserve">TEN-T Ports </w:t>
            </w:r>
            <w:r w:rsidRPr="00AA2AE2">
              <w:rPr>
                <w:rFonts w:ascii="Times New Roman" w:hAnsi="Times New Roman" w:cs="Times New Roman"/>
                <w:i/>
                <w:noProof/>
                <w:color w:val="000000" w:themeColor="text1"/>
                <w:sz w:val="24"/>
                <w:lang w:val="fr-BE"/>
              </w:rPr>
              <w:t>(incl. VTMIS)</w:t>
            </w:r>
          </w:p>
        </w:tc>
        <w:tc>
          <w:tcPr>
            <w:tcW w:w="2018" w:type="dxa"/>
            <w:noWrap/>
            <w:vAlign w:val="center"/>
            <w:hideMark/>
          </w:tcPr>
          <w:p w14:paraId="08D068B7" w14:textId="77777777" w:rsidR="00A8284F" w:rsidRPr="007E3C03" w:rsidRDefault="00A8284F" w:rsidP="00A8284F">
            <w:pPr>
              <w:pStyle w:val="Corps"/>
              <w:spacing w:after="240"/>
              <w:jc w:val="center"/>
              <w:rPr>
                <w:rFonts w:ascii="Times New Roman" w:hAnsi="Times New Roman" w:cs="Times New Roman"/>
                <w:noProof/>
                <w:color w:val="000000" w:themeColor="text1"/>
                <w:sz w:val="24"/>
                <w:lang w:val="en-US"/>
              </w:rPr>
            </w:pPr>
            <w:r w:rsidRPr="007E3C03">
              <w:rPr>
                <w:rFonts w:ascii="Times New Roman" w:hAnsi="Times New Roman" w:cs="Times New Roman"/>
                <w:noProof/>
                <w:color w:val="000000" w:themeColor="text1"/>
                <w:sz w:val="24"/>
                <w:lang w:val="en-US"/>
              </w:rPr>
              <w:t>1.131</w:t>
            </w:r>
          </w:p>
        </w:tc>
        <w:tc>
          <w:tcPr>
            <w:tcW w:w="1667" w:type="dxa"/>
            <w:noWrap/>
            <w:vAlign w:val="center"/>
            <w:hideMark/>
          </w:tcPr>
          <w:p w14:paraId="08D068B8" w14:textId="77777777" w:rsidR="00A8284F" w:rsidRPr="007E3C03" w:rsidRDefault="00A8284F" w:rsidP="00A8284F">
            <w:pPr>
              <w:pStyle w:val="Corps"/>
              <w:spacing w:after="240"/>
              <w:jc w:val="center"/>
              <w:rPr>
                <w:rFonts w:ascii="Times New Roman" w:hAnsi="Times New Roman" w:cs="Times New Roman"/>
                <w:noProof/>
                <w:color w:val="000000" w:themeColor="text1"/>
                <w:sz w:val="24"/>
                <w:lang w:val="en-US"/>
              </w:rPr>
            </w:pPr>
            <w:r w:rsidRPr="007E3C03">
              <w:rPr>
                <w:rFonts w:ascii="Times New Roman" w:hAnsi="Times New Roman" w:cs="Times New Roman"/>
                <w:noProof/>
                <w:color w:val="000000" w:themeColor="text1"/>
                <w:sz w:val="24"/>
                <w:lang w:val="en-US"/>
              </w:rPr>
              <w:t>4.101</w:t>
            </w:r>
          </w:p>
        </w:tc>
        <w:tc>
          <w:tcPr>
            <w:tcW w:w="2055" w:type="dxa"/>
            <w:noWrap/>
            <w:vAlign w:val="center"/>
            <w:hideMark/>
          </w:tcPr>
          <w:p w14:paraId="08D068B9" w14:textId="77777777" w:rsidR="00A8284F" w:rsidRPr="007E3C03" w:rsidRDefault="00A8284F" w:rsidP="00A8284F">
            <w:pPr>
              <w:pStyle w:val="Corps"/>
              <w:spacing w:after="240"/>
              <w:jc w:val="center"/>
              <w:rPr>
                <w:rFonts w:ascii="Times New Roman" w:hAnsi="Times New Roman" w:cs="Times New Roman"/>
                <w:b/>
                <w:bCs/>
                <w:noProof/>
                <w:color w:val="000000" w:themeColor="text1"/>
                <w:sz w:val="24"/>
                <w:lang w:val="en-US"/>
              </w:rPr>
            </w:pPr>
            <w:r w:rsidRPr="007E3C03">
              <w:rPr>
                <w:rFonts w:ascii="Times New Roman" w:hAnsi="Times New Roman" w:cs="Times New Roman"/>
                <w:b/>
                <w:bCs/>
                <w:noProof/>
                <w:color w:val="000000" w:themeColor="text1"/>
                <w:sz w:val="24"/>
                <w:lang w:val="en-US"/>
              </w:rPr>
              <w:t>5.232</w:t>
            </w:r>
          </w:p>
        </w:tc>
      </w:tr>
      <w:tr w:rsidR="003B2ED8" w:rsidRPr="00A8284F" w14:paraId="08D068BF" w14:textId="77777777" w:rsidTr="003B2ED8">
        <w:trPr>
          <w:trHeight w:val="46"/>
        </w:trPr>
        <w:tc>
          <w:tcPr>
            <w:tcW w:w="4141" w:type="dxa"/>
            <w:vAlign w:val="center"/>
            <w:hideMark/>
          </w:tcPr>
          <w:p w14:paraId="08D068BB" w14:textId="77777777" w:rsidR="00A8284F" w:rsidRPr="003B2ED8" w:rsidRDefault="00A8284F" w:rsidP="00A8284F">
            <w:pPr>
              <w:pStyle w:val="Corps"/>
              <w:spacing w:after="240"/>
              <w:jc w:val="both"/>
              <w:rPr>
                <w:rFonts w:ascii="Times New Roman" w:hAnsi="Times New Roman" w:cs="Times New Roman"/>
                <w:b/>
                <w:bCs/>
                <w:i/>
                <w:noProof/>
                <w:color w:val="000000" w:themeColor="text1"/>
                <w:sz w:val="24"/>
                <w:lang w:val="en-US"/>
              </w:rPr>
            </w:pPr>
            <w:r w:rsidRPr="003B2ED8">
              <w:rPr>
                <w:rFonts w:ascii="Times New Roman" w:hAnsi="Times New Roman" w:cs="Times New Roman"/>
                <w:b/>
                <w:bCs/>
                <w:i/>
                <w:noProof/>
                <w:color w:val="000000" w:themeColor="text1"/>
                <w:sz w:val="24"/>
                <w:lang w:val="en-US"/>
              </w:rPr>
              <w:t xml:space="preserve">TEN-T Airports </w:t>
            </w:r>
            <w:r w:rsidRPr="003B2ED8">
              <w:rPr>
                <w:rFonts w:ascii="Times New Roman" w:hAnsi="Times New Roman" w:cs="Times New Roman"/>
                <w:i/>
                <w:noProof/>
                <w:color w:val="000000" w:themeColor="text1"/>
                <w:sz w:val="24"/>
                <w:lang w:val="en-US"/>
              </w:rPr>
              <w:t>(incl. ATM)</w:t>
            </w:r>
          </w:p>
        </w:tc>
        <w:tc>
          <w:tcPr>
            <w:tcW w:w="2018" w:type="dxa"/>
            <w:noWrap/>
            <w:vAlign w:val="center"/>
            <w:hideMark/>
          </w:tcPr>
          <w:p w14:paraId="08D068BC" w14:textId="77777777" w:rsidR="00A8284F" w:rsidRPr="007E3C03" w:rsidRDefault="00A8284F" w:rsidP="00A8284F">
            <w:pPr>
              <w:pStyle w:val="Corps"/>
              <w:spacing w:after="240"/>
              <w:jc w:val="center"/>
              <w:rPr>
                <w:rFonts w:ascii="Times New Roman" w:hAnsi="Times New Roman" w:cs="Times New Roman"/>
                <w:noProof/>
                <w:color w:val="000000" w:themeColor="text1"/>
                <w:sz w:val="24"/>
                <w:lang w:val="en-US"/>
              </w:rPr>
            </w:pPr>
            <w:r w:rsidRPr="007E3C03">
              <w:rPr>
                <w:rFonts w:ascii="Times New Roman" w:hAnsi="Times New Roman" w:cs="Times New Roman"/>
                <w:noProof/>
                <w:color w:val="000000" w:themeColor="text1"/>
                <w:sz w:val="24"/>
                <w:lang w:val="en-US"/>
              </w:rPr>
              <w:t>1.456</w:t>
            </w:r>
          </w:p>
        </w:tc>
        <w:tc>
          <w:tcPr>
            <w:tcW w:w="1667" w:type="dxa"/>
            <w:noWrap/>
            <w:vAlign w:val="center"/>
            <w:hideMark/>
          </w:tcPr>
          <w:p w14:paraId="08D068BD" w14:textId="77777777" w:rsidR="00A8284F" w:rsidRPr="007E3C03" w:rsidRDefault="00A8284F" w:rsidP="00A8284F">
            <w:pPr>
              <w:pStyle w:val="Corps"/>
              <w:spacing w:after="240"/>
              <w:jc w:val="center"/>
              <w:rPr>
                <w:rFonts w:ascii="Times New Roman" w:hAnsi="Times New Roman" w:cs="Times New Roman"/>
                <w:noProof/>
                <w:color w:val="000000" w:themeColor="text1"/>
                <w:sz w:val="24"/>
                <w:lang w:val="en-US"/>
              </w:rPr>
            </w:pPr>
            <w:r w:rsidRPr="007E3C03">
              <w:rPr>
                <w:rFonts w:ascii="Times New Roman" w:hAnsi="Times New Roman" w:cs="Times New Roman"/>
                <w:noProof/>
                <w:color w:val="000000" w:themeColor="text1"/>
                <w:sz w:val="24"/>
                <w:lang w:val="en-US"/>
              </w:rPr>
              <w:t>8.930</w:t>
            </w:r>
          </w:p>
        </w:tc>
        <w:tc>
          <w:tcPr>
            <w:tcW w:w="2055" w:type="dxa"/>
            <w:noWrap/>
            <w:vAlign w:val="center"/>
            <w:hideMark/>
          </w:tcPr>
          <w:p w14:paraId="08D068BE" w14:textId="77777777" w:rsidR="00A8284F" w:rsidRPr="007E3C03" w:rsidRDefault="00A8284F" w:rsidP="00A8284F">
            <w:pPr>
              <w:pStyle w:val="Corps"/>
              <w:spacing w:after="240"/>
              <w:jc w:val="center"/>
              <w:rPr>
                <w:rFonts w:ascii="Times New Roman" w:hAnsi="Times New Roman" w:cs="Times New Roman"/>
                <w:b/>
                <w:bCs/>
                <w:noProof/>
                <w:color w:val="000000" w:themeColor="text1"/>
                <w:sz w:val="24"/>
                <w:lang w:val="en-US"/>
              </w:rPr>
            </w:pPr>
            <w:r w:rsidRPr="007E3C03">
              <w:rPr>
                <w:rFonts w:ascii="Times New Roman" w:hAnsi="Times New Roman" w:cs="Times New Roman"/>
                <w:b/>
                <w:bCs/>
                <w:noProof/>
                <w:color w:val="000000" w:themeColor="text1"/>
                <w:sz w:val="24"/>
                <w:lang w:val="en-US"/>
              </w:rPr>
              <w:t>10.386</w:t>
            </w:r>
          </w:p>
        </w:tc>
      </w:tr>
      <w:tr w:rsidR="00A8284F" w:rsidRPr="00A8284F" w14:paraId="08D068C4" w14:textId="77777777" w:rsidTr="007E3C03">
        <w:trPr>
          <w:trHeight w:val="46"/>
        </w:trPr>
        <w:tc>
          <w:tcPr>
            <w:tcW w:w="4141" w:type="dxa"/>
            <w:shd w:val="clear" w:color="auto" w:fill="D9D9D9" w:themeFill="background1" w:themeFillShade="D9"/>
            <w:vAlign w:val="center"/>
            <w:hideMark/>
          </w:tcPr>
          <w:p w14:paraId="08D068C0" w14:textId="77777777" w:rsidR="00A8284F" w:rsidRPr="003B2ED8" w:rsidRDefault="00A8284F" w:rsidP="00A8284F">
            <w:pPr>
              <w:pStyle w:val="Corps"/>
              <w:spacing w:after="240"/>
              <w:jc w:val="both"/>
              <w:rPr>
                <w:rFonts w:ascii="Times New Roman" w:hAnsi="Times New Roman" w:cs="Times New Roman"/>
                <w:b/>
                <w:bCs/>
                <w:i/>
                <w:iCs/>
                <w:noProof/>
                <w:color w:val="000000" w:themeColor="text1"/>
                <w:sz w:val="24"/>
                <w:lang w:val="en-US"/>
              </w:rPr>
            </w:pPr>
            <w:r w:rsidRPr="003B2ED8">
              <w:rPr>
                <w:rFonts w:ascii="Times New Roman" w:hAnsi="Times New Roman" w:cs="Times New Roman"/>
                <w:b/>
                <w:bCs/>
                <w:i/>
                <w:iCs/>
                <w:noProof/>
                <w:color w:val="000000" w:themeColor="text1"/>
                <w:sz w:val="24"/>
                <w:lang w:val="en-US"/>
              </w:rPr>
              <w:t>Total</w:t>
            </w:r>
          </w:p>
        </w:tc>
        <w:tc>
          <w:tcPr>
            <w:tcW w:w="2018" w:type="dxa"/>
            <w:shd w:val="clear" w:color="auto" w:fill="D9D9D9" w:themeFill="background1" w:themeFillShade="D9"/>
            <w:noWrap/>
            <w:vAlign w:val="center"/>
            <w:hideMark/>
          </w:tcPr>
          <w:p w14:paraId="08D068C1" w14:textId="77777777" w:rsidR="00A8284F" w:rsidRPr="003B2ED8" w:rsidRDefault="00A8284F" w:rsidP="00A8284F">
            <w:pPr>
              <w:pStyle w:val="Corps"/>
              <w:spacing w:after="240"/>
              <w:jc w:val="center"/>
              <w:rPr>
                <w:rFonts w:ascii="Times New Roman" w:hAnsi="Times New Roman" w:cs="Times New Roman"/>
                <w:i/>
                <w:iCs/>
                <w:noProof/>
                <w:color w:val="000000" w:themeColor="text1"/>
                <w:sz w:val="24"/>
                <w:lang w:val="en-US"/>
              </w:rPr>
            </w:pPr>
            <w:r w:rsidRPr="003B2ED8">
              <w:rPr>
                <w:rFonts w:ascii="Times New Roman" w:hAnsi="Times New Roman" w:cs="Times New Roman"/>
                <w:i/>
                <w:iCs/>
                <w:noProof/>
                <w:color w:val="000000" w:themeColor="text1"/>
                <w:sz w:val="24"/>
                <w:lang w:val="en-US"/>
              </w:rPr>
              <w:t>26.386</w:t>
            </w:r>
          </w:p>
        </w:tc>
        <w:tc>
          <w:tcPr>
            <w:tcW w:w="1667" w:type="dxa"/>
            <w:shd w:val="clear" w:color="auto" w:fill="D9D9D9" w:themeFill="background1" w:themeFillShade="D9"/>
            <w:noWrap/>
            <w:vAlign w:val="center"/>
            <w:hideMark/>
          </w:tcPr>
          <w:p w14:paraId="08D068C2" w14:textId="77777777" w:rsidR="00A8284F" w:rsidRPr="003B2ED8" w:rsidRDefault="00A8284F" w:rsidP="00A8284F">
            <w:pPr>
              <w:pStyle w:val="Corps"/>
              <w:spacing w:after="240"/>
              <w:jc w:val="center"/>
              <w:rPr>
                <w:rFonts w:ascii="Times New Roman" w:hAnsi="Times New Roman" w:cs="Times New Roman"/>
                <w:i/>
                <w:iCs/>
                <w:noProof/>
                <w:color w:val="000000" w:themeColor="text1"/>
                <w:sz w:val="24"/>
                <w:lang w:val="en-US"/>
              </w:rPr>
            </w:pPr>
            <w:r w:rsidRPr="003B2ED8">
              <w:rPr>
                <w:rFonts w:ascii="Times New Roman" w:hAnsi="Times New Roman" w:cs="Times New Roman"/>
                <w:i/>
                <w:iCs/>
                <w:noProof/>
                <w:color w:val="000000" w:themeColor="text1"/>
                <w:sz w:val="24"/>
                <w:lang w:val="en-US"/>
              </w:rPr>
              <w:t>67.130</w:t>
            </w:r>
          </w:p>
        </w:tc>
        <w:tc>
          <w:tcPr>
            <w:tcW w:w="2055" w:type="dxa"/>
            <w:shd w:val="clear" w:color="auto" w:fill="D9D9D9" w:themeFill="background1" w:themeFillShade="D9"/>
            <w:noWrap/>
            <w:vAlign w:val="center"/>
            <w:hideMark/>
          </w:tcPr>
          <w:p w14:paraId="08D068C3" w14:textId="77777777" w:rsidR="00A8284F" w:rsidRPr="003B2ED8" w:rsidRDefault="00A8284F" w:rsidP="00A8284F">
            <w:pPr>
              <w:pStyle w:val="Corps"/>
              <w:spacing w:after="240"/>
              <w:jc w:val="center"/>
              <w:rPr>
                <w:rFonts w:ascii="Times New Roman" w:hAnsi="Times New Roman" w:cs="Times New Roman"/>
                <w:b/>
                <w:bCs/>
                <w:i/>
                <w:iCs/>
                <w:noProof/>
                <w:color w:val="000000" w:themeColor="text1"/>
                <w:sz w:val="24"/>
                <w:lang w:val="en-US"/>
              </w:rPr>
            </w:pPr>
            <w:r w:rsidRPr="003B2ED8">
              <w:rPr>
                <w:rFonts w:ascii="Times New Roman" w:hAnsi="Times New Roman" w:cs="Times New Roman"/>
                <w:b/>
                <w:bCs/>
                <w:i/>
                <w:iCs/>
                <w:noProof/>
                <w:color w:val="000000" w:themeColor="text1"/>
                <w:sz w:val="24"/>
                <w:lang w:val="en-US"/>
              </w:rPr>
              <w:t>93.517</w:t>
            </w:r>
          </w:p>
        </w:tc>
      </w:tr>
    </w:tbl>
    <w:p w14:paraId="08D068C5" w14:textId="77777777" w:rsidR="003D4AE6" w:rsidRDefault="00DB465F" w:rsidP="001B1F1E">
      <w:pPr>
        <w:pStyle w:val="Corps"/>
        <w:spacing w:after="240" w:line="240" w:lineRule="auto"/>
        <w:jc w:val="both"/>
        <w:rPr>
          <w:rFonts w:ascii="Times New Roman" w:hAnsi="Times New Roman"/>
          <w:i/>
          <w:noProof/>
          <w:color w:val="000000" w:themeColor="text1"/>
          <w:sz w:val="24"/>
          <w:szCs w:val="24"/>
        </w:rPr>
      </w:pPr>
      <w:r w:rsidRPr="00351274">
        <w:rPr>
          <w:rFonts w:ascii="Times New Roman" w:hAnsi="Times New Roman"/>
          <w:i/>
          <w:noProof/>
          <w:color w:val="000000" w:themeColor="text1"/>
          <w:sz w:val="24"/>
          <w:szCs w:val="24"/>
        </w:rPr>
        <w:t xml:space="preserve">Source: Member States’ survey </w:t>
      </w:r>
      <w:r w:rsidR="00A8284F">
        <w:rPr>
          <w:rFonts w:ascii="Times New Roman" w:hAnsi="Times New Roman"/>
          <w:i/>
          <w:noProof/>
          <w:color w:val="000000" w:themeColor="text1"/>
          <w:sz w:val="24"/>
          <w:szCs w:val="24"/>
        </w:rPr>
        <w:t>2020/2021</w:t>
      </w:r>
    </w:p>
    <w:p w14:paraId="08D068C6" w14:textId="77777777" w:rsidR="003A2816" w:rsidRDefault="003A2816" w:rsidP="001B1F1E">
      <w:pPr>
        <w:pStyle w:val="Corps"/>
        <w:rPr>
          <w:rFonts w:ascii="Times New Roman" w:hAnsi="Times New Roman" w:cs="Times New Roman"/>
          <w:b/>
          <w:i/>
          <w:noProof/>
          <w:sz w:val="24"/>
          <w:szCs w:val="24"/>
        </w:rPr>
      </w:pPr>
    </w:p>
    <w:p w14:paraId="08D068C7" w14:textId="77777777" w:rsidR="001B1F1E" w:rsidRPr="00D52178" w:rsidRDefault="001B1F1E" w:rsidP="001B1F1E">
      <w:pPr>
        <w:pStyle w:val="Corps"/>
        <w:rPr>
          <w:rFonts w:ascii="Times New Roman" w:hAnsi="Times New Roman" w:cs="Times New Roman"/>
          <w:b/>
          <w:i/>
          <w:noProof/>
          <w:color w:val="0070C0"/>
          <w:sz w:val="24"/>
          <w:szCs w:val="24"/>
        </w:rPr>
      </w:pPr>
      <w:r w:rsidRPr="00506CEA">
        <w:rPr>
          <w:rFonts w:ascii="Times New Roman" w:hAnsi="Times New Roman" w:cs="Times New Roman"/>
          <w:b/>
          <w:i/>
          <w:noProof/>
          <w:sz w:val="24"/>
          <w:szCs w:val="24"/>
        </w:rPr>
        <w:t>CEF</w:t>
      </w:r>
      <w:r>
        <w:rPr>
          <w:rFonts w:ascii="Times New Roman" w:hAnsi="Times New Roman" w:cs="Times New Roman"/>
          <w:b/>
          <w:i/>
          <w:noProof/>
          <w:sz w:val="24"/>
          <w:szCs w:val="24"/>
        </w:rPr>
        <w:t xml:space="preserve"> (</w:t>
      </w:r>
      <w:r w:rsidRPr="009C4D10">
        <w:rPr>
          <w:rFonts w:ascii="Times New Roman" w:hAnsi="Times New Roman" w:cs="Times New Roman"/>
          <w:b/>
          <w:i/>
          <w:noProof/>
          <w:sz w:val="24"/>
          <w:szCs w:val="24"/>
        </w:rPr>
        <w:t>Connecting Europe Facility</w:t>
      </w:r>
      <w:r>
        <w:rPr>
          <w:rFonts w:ascii="Times New Roman" w:hAnsi="Times New Roman" w:cs="Times New Roman"/>
          <w:b/>
          <w:i/>
          <w:noProof/>
          <w:sz w:val="24"/>
          <w:szCs w:val="24"/>
        </w:rPr>
        <w:t>)</w:t>
      </w:r>
    </w:p>
    <w:p w14:paraId="08D068C8" w14:textId="77777777" w:rsidR="00C87CCA" w:rsidRDefault="000C3EB2" w:rsidP="001B1F1E">
      <w:pPr>
        <w:pStyle w:val="Corps"/>
        <w:spacing w:after="240" w:line="240" w:lineRule="auto"/>
        <w:jc w:val="both"/>
        <w:rPr>
          <w:rFonts w:ascii="Times New Roman" w:hAnsi="Times New Roman"/>
          <w:noProof/>
          <w:color w:val="auto"/>
          <w:sz w:val="24"/>
          <w:szCs w:val="24"/>
        </w:rPr>
      </w:pPr>
      <w:r w:rsidRPr="00914976">
        <w:rPr>
          <w:rFonts w:ascii="Times New Roman" w:hAnsi="Times New Roman"/>
          <w:noProof/>
          <w:color w:val="auto"/>
          <w:sz w:val="24"/>
          <w:szCs w:val="24"/>
        </w:rPr>
        <w:t>The Connecting Europe Facility (Transport)</w:t>
      </w:r>
      <w:r w:rsidR="00AF3755">
        <w:rPr>
          <w:rFonts w:ascii="Times New Roman" w:hAnsi="Times New Roman"/>
          <w:noProof/>
          <w:color w:val="auto"/>
          <w:sz w:val="24"/>
          <w:szCs w:val="24"/>
        </w:rPr>
        <w:t xml:space="preserve"> spent</w:t>
      </w:r>
      <w:r w:rsidRPr="00914976">
        <w:rPr>
          <w:rFonts w:ascii="Times New Roman" w:hAnsi="Times New Roman"/>
          <w:noProof/>
          <w:color w:val="auto"/>
          <w:sz w:val="24"/>
          <w:szCs w:val="24"/>
        </w:rPr>
        <w:t xml:space="preserve"> grants of a total amount of EUR 4.6 billion in 2018 and 2019 </w:t>
      </w:r>
      <w:r w:rsidR="00914976">
        <w:rPr>
          <w:rFonts w:ascii="Times New Roman" w:hAnsi="Times New Roman"/>
          <w:noProof/>
          <w:color w:val="auto"/>
          <w:sz w:val="24"/>
          <w:szCs w:val="24"/>
        </w:rPr>
        <w:t>for 544 projects</w:t>
      </w:r>
      <w:r w:rsidR="00C345B5">
        <w:rPr>
          <w:rFonts w:ascii="Times New Roman" w:hAnsi="Times New Roman"/>
          <w:noProof/>
          <w:color w:val="auto"/>
          <w:sz w:val="24"/>
          <w:szCs w:val="24"/>
        </w:rPr>
        <w:t xml:space="preserve"> (see Table 2)</w:t>
      </w:r>
      <w:r w:rsidR="00914976">
        <w:rPr>
          <w:rFonts w:ascii="Times New Roman" w:hAnsi="Times New Roman"/>
          <w:noProof/>
          <w:color w:val="auto"/>
          <w:sz w:val="24"/>
          <w:szCs w:val="24"/>
        </w:rPr>
        <w:t xml:space="preserve">. Even though the number of projects funded has declined compared to the previous reporting period (793 projects in 2016 and 2017), the overall amount allocated to projects has increased. </w:t>
      </w:r>
      <w:r w:rsidR="00C87CCA">
        <w:rPr>
          <w:rFonts w:ascii="Times New Roman" w:hAnsi="Times New Roman"/>
          <w:noProof/>
          <w:color w:val="auto"/>
          <w:sz w:val="24"/>
          <w:szCs w:val="24"/>
        </w:rPr>
        <w:t xml:space="preserve">In this context, it has to be reminded that the UK is no longer included in the statistics of this present report (see section 1.2). </w:t>
      </w:r>
    </w:p>
    <w:p w14:paraId="08D068C9" w14:textId="77777777" w:rsidR="001B1F1E" w:rsidRPr="00C87CCA" w:rsidRDefault="00914976" w:rsidP="001B1F1E">
      <w:pPr>
        <w:pStyle w:val="Corps"/>
        <w:spacing w:after="240" w:line="240" w:lineRule="auto"/>
        <w:jc w:val="both"/>
        <w:rPr>
          <w:rFonts w:ascii="Times New Roman" w:hAnsi="Times New Roman"/>
          <w:noProof/>
          <w:color w:val="auto"/>
          <w:sz w:val="24"/>
          <w:szCs w:val="24"/>
        </w:rPr>
      </w:pPr>
      <w:r w:rsidRPr="00C87CCA">
        <w:rPr>
          <w:rFonts w:ascii="Times New Roman" w:hAnsi="Times New Roman"/>
          <w:noProof/>
          <w:color w:val="auto"/>
          <w:sz w:val="24"/>
          <w:szCs w:val="24"/>
        </w:rPr>
        <w:t xml:space="preserve">The </w:t>
      </w:r>
      <w:r w:rsidR="001B1F1E" w:rsidRPr="00C87CCA">
        <w:rPr>
          <w:rFonts w:ascii="Times New Roman" w:hAnsi="Times New Roman"/>
          <w:noProof/>
          <w:color w:val="auto"/>
          <w:sz w:val="24"/>
          <w:szCs w:val="24"/>
        </w:rPr>
        <w:t xml:space="preserve">major part of CEF funding (around </w:t>
      </w:r>
      <w:r w:rsidRPr="00C87CCA">
        <w:rPr>
          <w:rFonts w:ascii="Times New Roman" w:hAnsi="Times New Roman"/>
          <w:noProof/>
          <w:color w:val="auto"/>
          <w:sz w:val="24"/>
          <w:szCs w:val="24"/>
        </w:rPr>
        <w:t>81</w:t>
      </w:r>
      <w:r w:rsidR="001B1F1E" w:rsidRPr="00C87CCA">
        <w:rPr>
          <w:rFonts w:ascii="Times New Roman" w:hAnsi="Times New Roman"/>
          <w:noProof/>
          <w:color w:val="auto"/>
          <w:sz w:val="24"/>
          <w:szCs w:val="24"/>
        </w:rPr>
        <w:t>%) has been invested in sustainable transport infrastructure projects</w:t>
      </w:r>
      <w:r w:rsidR="00A45961">
        <w:rPr>
          <w:rFonts w:ascii="Times New Roman" w:hAnsi="Times New Roman"/>
          <w:noProof/>
          <w:color w:val="auto"/>
          <w:sz w:val="24"/>
          <w:szCs w:val="24"/>
        </w:rPr>
        <w:t xml:space="preserve">: </w:t>
      </w:r>
      <w:r w:rsidR="001B1F1E" w:rsidRPr="00C87CCA">
        <w:rPr>
          <w:rFonts w:ascii="Times New Roman" w:hAnsi="Times New Roman"/>
          <w:noProof/>
          <w:color w:val="auto"/>
          <w:sz w:val="24"/>
          <w:szCs w:val="24"/>
        </w:rPr>
        <w:t>around 6</w:t>
      </w:r>
      <w:r w:rsidRPr="00C87CCA">
        <w:rPr>
          <w:rFonts w:ascii="Times New Roman" w:hAnsi="Times New Roman"/>
          <w:noProof/>
          <w:color w:val="auto"/>
          <w:sz w:val="24"/>
          <w:szCs w:val="24"/>
        </w:rPr>
        <w:t>9</w:t>
      </w:r>
      <w:r w:rsidR="001B1F1E" w:rsidRPr="00C87CCA">
        <w:rPr>
          <w:rFonts w:ascii="Times New Roman" w:hAnsi="Times New Roman"/>
          <w:noProof/>
          <w:color w:val="auto"/>
          <w:sz w:val="24"/>
          <w:szCs w:val="24"/>
        </w:rPr>
        <w:t xml:space="preserve">% has been invested in rail infrastructure projects and around </w:t>
      </w:r>
      <w:r w:rsidRPr="00C87CCA">
        <w:rPr>
          <w:rFonts w:ascii="Times New Roman" w:hAnsi="Times New Roman"/>
          <w:noProof/>
          <w:color w:val="auto"/>
          <w:sz w:val="24"/>
          <w:szCs w:val="24"/>
        </w:rPr>
        <w:t>12.8</w:t>
      </w:r>
      <w:r w:rsidR="001B1F1E" w:rsidRPr="00C87CCA">
        <w:rPr>
          <w:rFonts w:ascii="Times New Roman" w:hAnsi="Times New Roman"/>
          <w:noProof/>
          <w:color w:val="auto"/>
          <w:sz w:val="24"/>
          <w:szCs w:val="24"/>
        </w:rPr>
        <w:t xml:space="preserve">% for inland waterways and maritime transport infrastructure.  </w:t>
      </w:r>
    </w:p>
    <w:p w14:paraId="253BCCF9" w14:textId="77777777" w:rsidR="00B7460D" w:rsidRDefault="00B7460D">
      <w:pPr>
        <w:rPr>
          <w:rFonts w:eastAsia="Calibri" w:cs="Calibri"/>
          <w:i/>
          <w:noProof/>
          <w:color w:val="000000" w:themeColor="text1"/>
          <w:u w:color="000000"/>
          <w:lang w:val="en-GB" w:eastAsia="en-GB"/>
        </w:rPr>
      </w:pPr>
      <w:r>
        <w:rPr>
          <w:i/>
          <w:noProof/>
          <w:color w:val="000000" w:themeColor="text1"/>
        </w:rPr>
        <w:br w:type="page"/>
      </w:r>
    </w:p>
    <w:p w14:paraId="08D068CA" w14:textId="0C153917" w:rsidR="00DB465F" w:rsidRPr="00351274" w:rsidRDefault="00DB465F" w:rsidP="001B1F1E">
      <w:pPr>
        <w:pStyle w:val="Corps"/>
        <w:spacing w:after="240" w:line="240" w:lineRule="auto"/>
        <w:jc w:val="both"/>
        <w:rPr>
          <w:rFonts w:ascii="Times New Roman" w:hAnsi="Times New Roman"/>
          <w:i/>
          <w:noProof/>
          <w:color w:val="000000" w:themeColor="text1"/>
          <w:sz w:val="24"/>
          <w:szCs w:val="24"/>
        </w:rPr>
      </w:pPr>
      <w:r w:rsidRPr="00351274">
        <w:rPr>
          <w:rFonts w:ascii="Times New Roman" w:hAnsi="Times New Roman"/>
          <w:i/>
          <w:noProof/>
          <w:color w:val="000000" w:themeColor="text1"/>
          <w:sz w:val="24"/>
          <w:szCs w:val="24"/>
        </w:rPr>
        <w:t>Tab</w:t>
      </w:r>
      <w:r w:rsidR="003B2ED8">
        <w:rPr>
          <w:rFonts w:ascii="Times New Roman" w:hAnsi="Times New Roman"/>
          <w:i/>
          <w:noProof/>
          <w:color w:val="000000" w:themeColor="text1"/>
          <w:sz w:val="24"/>
          <w:szCs w:val="24"/>
        </w:rPr>
        <w:t>le 2: CEF Transport Funding 2018</w:t>
      </w:r>
      <w:r w:rsidRPr="00351274">
        <w:rPr>
          <w:rFonts w:ascii="Times New Roman" w:hAnsi="Times New Roman"/>
          <w:i/>
          <w:noProof/>
          <w:color w:val="000000" w:themeColor="text1"/>
          <w:sz w:val="24"/>
          <w:szCs w:val="24"/>
        </w:rPr>
        <w:t>+201</w:t>
      </w:r>
      <w:r w:rsidR="003B2ED8">
        <w:rPr>
          <w:rFonts w:ascii="Times New Roman" w:hAnsi="Times New Roman"/>
          <w:i/>
          <w:noProof/>
          <w:color w:val="000000" w:themeColor="text1"/>
          <w:sz w:val="24"/>
          <w:szCs w:val="24"/>
        </w:rPr>
        <w:t>9</w:t>
      </w:r>
      <w:r w:rsidRPr="00351274">
        <w:rPr>
          <w:rFonts w:ascii="Times New Roman" w:hAnsi="Times New Roman"/>
          <w:i/>
          <w:noProof/>
          <w:color w:val="000000" w:themeColor="text1"/>
          <w:sz w:val="24"/>
          <w:szCs w:val="24"/>
        </w:rPr>
        <w:t xml:space="preserve"> in MEUR</w:t>
      </w:r>
    </w:p>
    <w:tbl>
      <w:tblPr>
        <w:tblStyle w:val="TableGrid"/>
        <w:tblW w:w="0" w:type="auto"/>
        <w:tblInd w:w="108" w:type="dxa"/>
        <w:tblLook w:val="04A0" w:firstRow="1" w:lastRow="0" w:firstColumn="1" w:lastColumn="0" w:noHBand="0" w:noVBand="1"/>
      </w:tblPr>
      <w:tblGrid>
        <w:gridCol w:w="3969"/>
        <w:gridCol w:w="3402"/>
        <w:gridCol w:w="1727"/>
      </w:tblGrid>
      <w:tr w:rsidR="00001921" w14:paraId="08D068CD" w14:textId="77777777" w:rsidTr="006A6543">
        <w:tc>
          <w:tcPr>
            <w:tcW w:w="7371" w:type="dxa"/>
            <w:gridSpan w:val="2"/>
            <w:shd w:val="clear" w:color="auto" w:fill="BFBFBF" w:themeFill="background1" w:themeFillShade="BF"/>
            <w:vAlign w:val="center"/>
          </w:tcPr>
          <w:p w14:paraId="08D068CB" w14:textId="77777777" w:rsidR="00001921" w:rsidRPr="002533E6" w:rsidRDefault="00F60A5E" w:rsidP="00001921">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noProof/>
                <w:color w:val="000000" w:themeColor="text1"/>
                <w:sz w:val="25"/>
                <w:szCs w:val="25"/>
              </w:rPr>
            </w:pPr>
            <w:r>
              <w:rPr>
                <w:rFonts w:ascii="Times New Roman" w:hAnsi="Times New Roman"/>
                <w:b/>
                <w:noProof/>
                <w:color w:val="000000" w:themeColor="text1"/>
                <w:sz w:val="25"/>
                <w:szCs w:val="25"/>
              </w:rPr>
              <w:t>CEF Transport Funding 2018+2019</w:t>
            </w:r>
          </w:p>
        </w:tc>
        <w:tc>
          <w:tcPr>
            <w:tcW w:w="1727" w:type="dxa"/>
            <w:vMerge w:val="restart"/>
            <w:shd w:val="clear" w:color="auto" w:fill="BFBFBF" w:themeFill="background1" w:themeFillShade="BF"/>
            <w:vAlign w:val="center"/>
          </w:tcPr>
          <w:p w14:paraId="08D068CC" w14:textId="77777777" w:rsidR="00001921" w:rsidRPr="00001921" w:rsidRDefault="00001921" w:rsidP="00001921">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noProof/>
                <w:color w:val="000000" w:themeColor="text1"/>
                <w:sz w:val="24"/>
                <w:szCs w:val="24"/>
              </w:rPr>
            </w:pPr>
            <w:r w:rsidRPr="00001921">
              <w:rPr>
                <w:rFonts w:ascii="Times New Roman" w:hAnsi="Times New Roman"/>
                <w:b/>
                <w:noProof/>
                <w:color w:val="000000" w:themeColor="text1"/>
                <w:sz w:val="24"/>
                <w:szCs w:val="24"/>
              </w:rPr>
              <w:t>Number of projects</w:t>
            </w:r>
          </w:p>
        </w:tc>
      </w:tr>
      <w:tr w:rsidR="00001921" w:rsidRPr="00001921" w14:paraId="08D068D1" w14:textId="77777777" w:rsidTr="006A6543">
        <w:tc>
          <w:tcPr>
            <w:tcW w:w="3969" w:type="dxa"/>
            <w:shd w:val="clear" w:color="auto" w:fill="BFBFBF" w:themeFill="background1" w:themeFillShade="BF"/>
            <w:vAlign w:val="center"/>
          </w:tcPr>
          <w:p w14:paraId="08D068CE" w14:textId="77777777" w:rsidR="00001921" w:rsidRPr="00001921" w:rsidRDefault="002533E6" w:rsidP="00285641">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hAnsi="Times New Roman"/>
                <w:b/>
                <w:i/>
                <w:noProof/>
                <w:color w:val="000000" w:themeColor="text1"/>
                <w:sz w:val="24"/>
                <w:szCs w:val="24"/>
                <w:lang w:val="fr-BE"/>
              </w:rPr>
            </w:pPr>
            <w:r>
              <w:rPr>
                <w:rFonts w:ascii="Times New Roman" w:hAnsi="Times New Roman"/>
                <w:b/>
                <w:i/>
                <w:noProof/>
                <w:color w:val="000000" w:themeColor="text1"/>
                <w:sz w:val="24"/>
                <w:szCs w:val="24"/>
                <w:lang w:val="fr-BE"/>
              </w:rPr>
              <w:t>p</w:t>
            </w:r>
            <w:r w:rsidR="00001921">
              <w:rPr>
                <w:rFonts w:ascii="Times New Roman" w:hAnsi="Times New Roman"/>
                <w:b/>
                <w:i/>
                <w:noProof/>
                <w:color w:val="000000" w:themeColor="text1"/>
                <w:sz w:val="24"/>
                <w:szCs w:val="24"/>
                <w:lang w:val="fr-BE"/>
              </w:rPr>
              <w:t>er transport mode</w:t>
            </w:r>
          </w:p>
        </w:tc>
        <w:tc>
          <w:tcPr>
            <w:tcW w:w="3402" w:type="dxa"/>
            <w:shd w:val="clear" w:color="auto" w:fill="BFBFBF" w:themeFill="background1" w:themeFillShade="BF"/>
            <w:vAlign w:val="center"/>
          </w:tcPr>
          <w:p w14:paraId="08D068CF" w14:textId="77777777" w:rsidR="00001921" w:rsidRPr="00001921" w:rsidRDefault="00001921" w:rsidP="00001921">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i/>
                <w:noProof/>
                <w:color w:val="000000" w:themeColor="text1"/>
                <w:sz w:val="24"/>
                <w:szCs w:val="24"/>
                <w:lang w:val="fr-BE"/>
              </w:rPr>
            </w:pPr>
            <w:r>
              <w:rPr>
                <w:rFonts w:ascii="Times New Roman" w:hAnsi="Times New Roman"/>
                <w:b/>
                <w:i/>
                <w:noProof/>
                <w:color w:val="000000" w:themeColor="text1"/>
                <w:sz w:val="24"/>
                <w:szCs w:val="24"/>
                <w:lang w:val="fr-BE"/>
              </w:rPr>
              <w:t>in MEUR</w:t>
            </w:r>
          </w:p>
        </w:tc>
        <w:tc>
          <w:tcPr>
            <w:tcW w:w="1727" w:type="dxa"/>
            <w:vMerge/>
            <w:shd w:val="clear" w:color="auto" w:fill="BFBFBF" w:themeFill="background1" w:themeFillShade="BF"/>
            <w:vAlign w:val="center"/>
          </w:tcPr>
          <w:p w14:paraId="08D068D0" w14:textId="77777777" w:rsidR="00001921" w:rsidRPr="00001921" w:rsidRDefault="00001921" w:rsidP="00001921">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lang w:val="fr-BE"/>
              </w:rPr>
            </w:pPr>
          </w:p>
        </w:tc>
      </w:tr>
      <w:tr w:rsidR="003B2ED8" w14:paraId="08D068D5" w14:textId="77777777" w:rsidTr="00074BA4">
        <w:tc>
          <w:tcPr>
            <w:tcW w:w="3969" w:type="dxa"/>
            <w:vAlign w:val="center"/>
          </w:tcPr>
          <w:p w14:paraId="08D068D2"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Air</w:t>
            </w:r>
          </w:p>
        </w:tc>
        <w:tc>
          <w:tcPr>
            <w:tcW w:w="3402" w:type="dxa"/>
          </w:tcPr>
          <w:p w14:paraId="08D068D3"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 xml:space="preserve">391 </w:t>
            </w:r>
          </w:p>
        </w:tc>
        <w:tc>
          <w:tcPr>
            <w:tcW w:w="1727" w:type="dxa"/>
          </w:tcPr>
          <w:p w14:paraId="08D068D4"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 xml:space="preserve">169 </w:t>
            </w:r>
          </w:p>
        </w:tc>
      </w:tr>
      <w:tr w:rsidR="003B2ED8" w14:paraId="08D068D9" w14:textId="77777777" w:rsidTr="00074BA4">
        <w:tc>
          <w:tcPr>
            <w:tcW w:w="3969" w:type="dxa"/>
            <w:vAlign w:val="center"/>
          </w:tcPr>
          <w:p w14:paraId="08D068D6"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Inland Waterways</w:t>
            </w:r>
          </w:p>
        </w:tc>
        <w:tc>
          <w:tcPr>
            <w:tcW w:w="3402" w:type="dxa"/>
          </w:tcPr>
          <w:p w14:paraId="08D068D7" w14:textId="7496CA32" w:rsidR="003B2ED8" w:rsidRDefault="00F36363" w:rsidP="00F36363">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2</w:t>
            </w:r>
            <w:r>
              <w:rPr>
                <w:rFonts w:ascii="Times New Roman" w:hAnsi="Times New Roman"/>
                <w:noProof/>
                <w:color w:val="000000" w:themeColor="text1"/>
                <w:sz w:val="24"/>
                <w:szCs w:val="24"/>
              </w:rPr>
              <w:t>62</w:t>
            </w:r>
          </w:p>
        </w:tc>
        <w:tc>
          <w:tcPr>
            <w:tcW w:w="1727" w:type="dxa"/>
          </w:tcPr>
          <w:p w14:paraId="08D068D8"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 xml:space="preserve">40 </w:t>
            </w:r>
          </w:p>
        </w:tc>
      </w:tr>
      <w:tr w:rsidR="003B2ED8" w14:paraId="08D068DD" w14:textId="77777777" w:rsidTr="00074BA4">
        <w:tc>
          <w:tcPr>
            <w:tcW w:w="3969" w:type="dxa"/>
            <w:vAlign w:val="center"/>
          </w:tcPr>
          <w:p w14:paraId="08D068DA"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Maritime</w:t>
            </w:r>
          </w:p>
        </w:tc>
        <w:tc>
          <w:tcPr>
            <w:tcW w:w="3402" w:type="dxa"/>
          </w:tcPr>
          <w:p w14:paraId="08D068DB" w14:textId="6C8FEEC4" w:rsidR="003B2ED8" w:rsidRDefault="003B2ED8" w:rsidP="00F36363">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3</w:t>
            </w:r>
            <w:r w:rsidR="00F36363">
              <w:rPr>
                <w:rFonts w:ascii="Times New Roman" w:hAnsi="Times New Roman"/>
                <w:noProof/>
                <w:color w:val="000000" w:themeColor="text1"/>
                <w:sz w:val="24"/>
                <w:szCs w:val="24"/>
              </w:rPr>
              <w:t>3</w:t>
            </w:r>
            <w:r w:rsidRPr="003B2ED8">
              <w:rPr>
                <w:rFonts w:ascii="Times New Roman" w:hAnsi="Times New Roman"/>
                <w:noProof/>
                <w:color w:val="000000" w:themeColor="text1"/>
                <w:sz w:val="24"/>
                <w:szCs w:val="24"/>
              </w:rPr>
              <w:t xml:space="preserve">4 </w:t>
            </w:r>
          </w:p>
        </w:tc>
        <w:tc>
          <w:tcPr>
            <w:tcW w:w="1727" w:type="dxa"/>
          </w:tcPr>
          <w:p w14:paraId="08D068DC"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 xml:space="preserve">85 </w:t>
            </w:r>
          </w:p>
        </w:tc>
      </w:tr>
      <w:tr w:rsidR="003B2ED8" w14:paraId="08D068E1" w14:textId="77777777" w:rsidTr="00074BA4">
        <w:tc>
          <w:tcPr>
            <w:tcW w:w="3969" w:type="dxa"/>
            <w:vAlign w:val="center"/>
          </w:tcPr>
          <w:p w14:paraId="08D068DE"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Rail </w:t>
            </w:r>
          </w:p>
        </w:tc>
        <w:tc>
          <w:tcPr>
            <w:tcW w:w="3402" w:type="dxa"/>
          </w:tcPr>
          <w:p w14:paraId="08D068DF"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 xml:space="preserve">3.184 </w:t>
            </w:r>
          </w:p>
        </w:tc>
        <w:tc>
          <w:tcPr>
            <w:tcW w:w="1727" w:type="dxa"/>
          </w:tcPr>
          <w:p w14:paraId="08D068E0"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 xml:space="preserve">161 </w:t>
            </w:r>
          </w:p>
        </w:tc>
      </w:tr>
      <w:tr w:rsidR="003B2ED8" w14:paraId="08D068E5" w14:textId="77777777" w:rsidTr="00074BA4">
        <w:tc>
          <w:tcPr>
            <w:tcW w:w="3969" w:type="dxa"/>
            <w:vAlign w:val="center"/>
          </w:tcPr>
          <w:p w14:paraId="08D068E2"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Road</w:t>
            </w:r>
          </w:p>
        </w:tc>
        <w:tc>
          <w:tcPr>
            <w:tcW w:w="3402" w:type="dxa"/>
          </w:tcPr>
          <w:p w14:paraId="08D068E3"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 xml:space="preserve">469 </w:t>
            </w:r>
          </w:p>
        </w:tc>
        <w:tc>
          <w:tcPr>
            <w:tcW w:w="1727" w:type="dxa"/>
          </w:tcPr>
          <w:p w14:paraId="08D068E4" w14:textId="77777777" w:rsidR="003B2ED8" w:rsidDel="00D521BC"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 xml:space="preserve">88 </w:t>
            </w:r>
          </w:p>
        </w:tc>
      </w:tr>
      <w:tr w:rsidR="003B2ED8" w14:paraId="08D068E9" w14:textId="77777777" w:rsidTr="00074BA4">
        <w:tc>
          <w:tcPr>
            <w:tcW w:w="3969" w:type="dxa"/>
            <w:tcBorders>
              <w:bottom w:val="single" w:sz="4" w:space="0" w:color="auto"/>
            </w:tcBorders>
            <w:vAlign w:val="center"/>
          </w:tcPr>
          <w:p w14:paraId="08D068E6"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Other*</w:t>
            </w:r>
          </w:p>
        </w:tc>
        <w:tc>
          <w:tcPr>
            <w:tcW w:w="3402" w:type="dxa"/>
            <w:tcBorders>
              <w:bottom w:val="single" w:sz="4" w:space="0" w:color="auto"/>
            </w:tcBorders>
          </w:tcPr>
          <w:p w14:paraId="08D068E7"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 xml:space="preserve">0,5 </w:t>
            </w:r>
          </w:p>
        </w:tc>
        <w:tc>
          <w:tcPr>
            <w:tcW w:w="1727" w:type="dxa"/>
            <w:tcBorders>
              <w:bottom w:val="single" w:sz="4" w:space="0" w:color="auto"/>
            </w:tcBorders>
          </w:tcPr>
          <w:p w14:paraId="08D068E8" w14:textId="77777777" w:rsid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sidRPr="003B2ED8">
              <w:rPr>
                <w:rFonts w:ascii="Times New Roman" w:hAnsi="Times New Roman"/>
                <w:noProof/>
                <w:color w:val="000000" w:themeColor="text1"/>
                <w:sz w:val="24"/>
                <w:szCs w:val="24"/>
              </w:rPr>
              <w:t xml:space="preserve">1 </w:t>
            </w:r>
          </w:p>
        </w:tc>
      </w:tr>
      <w:tr w:rsidR="003B2ED8" w:rsidRPr="002533E6" w14:paraId="08D068ED" w14:textId="77777777" w:rsidTr="00074BA4">
        <w:tc>
          <w:tcPr>
            <w:tcW w:w="3969" w:type="dxa"/>
            <w:shd w:val="clear" w:color="auto" w:fill="BFBFBF" w:themeFill="background1" w:themeFillShade="BF"/>
            <w:vAlign w:val="center"/>
          </w:tcPr>
          <w:p w14:paraId="08D068EA" w14:textId="77777777" w:rsidR="003B2ED8" w:rsidRPr="002533E6"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b/>
                <w:noProof/>
                <w:color w:val="000000" w:themeColor="text1"/>
                <w:sz w:val="25"/>
                <w:szCs w:val="25"/>
              </w:rPr>
            </w:pPr>
            <w:r w:rsidRPr="002533E6">
              <w:rPr>
                <w:rFonts w:ascii="Times New Roman" w:hAnsi="Times New Roman"/>
                <w:b/>
                <w:noProof/>
                <w:color w:val="000000" w:themeColor="text1"/>
                <w:sz w:val="25"/>
                <w:szCs w:val="25"/>
              </w:rPr>
              <w:t>Total</w:t>
            </w:r>
            <w:r>
              <w:rPr>
                <w:rFonts w:ascii="Times New Roman" w:hAnsi="Times New Roman"/>
                <w:b/>
                <w:noProof/>
                <w:color w:val="000000" w:themeColor="text1"/>
                <w:sz w:val="25"/>
                <w:szCs w:val="25"/>
              </w:rPr>
              <w:t xml:space="preserve"> in MEUR</w:t>
            </w:r>
          </w:p>
        </w:tc>
        <w:tc>
          <w:tcPr>
            <w:tcW w:w="3402" w:type="dxa"/>
            <w:shd w:val="clear" w:color="auto" w:fill="BFBFBF" w:themeFill="background1" w:themeFillShade="BF"/>
          </w:tcPr>
          <w:p w14:paraId="08D068EB" w14:textId="77777777" w:rsidR="003B2ED8" w:rsidRPr="003B2ED8"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noProof/>
                <w:color w:val="000000" w:themeColor="text1"/>
                <w:sz w:val="24"/>
                <w:szCs w:val="24"/>
              </w:rPr>
            </w:pPr>
            <w:r>
              <w:rPr>
                <w:rFonts w:ascii="Times New Roman" w:hAnsi="Times New Roman"/>
                <w:noProof/>
                <w:color w:val="000000" w:themeColor="text1"/>
                <w:sz w:val="24"/>
                <w:szCs w:val="24"/>
              </w:rPr>
              <w:t>4.641</w:t>
            </w:r>
          </w:p>
        </w:tc>
        <w:tc>
          <w:tcPr>
            <w:tcW w:w="1727" w:type="dxa"/>
            <w:shd w:val="clear" w:color="auto" w:fill="BFBFBF" w:themeFill="background1" w:themeFillShade="BF"/>
          </w:tcPr>
          <w:p w14:paraId="08D068EC" w14:textId="77777777" w:rsidR="003B2ED8" w:rsidRPr="002533E6" w:rsidRDefault="003B2ED8" w:rsidP="003B2ED8">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hAnsi="Times New Roman"/>
                <w:b/>
                <w:noProof/>
                <w:color w:val="000000" w:themeColor="text1"/>
                <w:sz w:val="25"/>
                <w:szCs w:val="25"/>
              </w:rPr>
            </w:pPr>
            <w:r w:rsidRPr="003B2ED8">
              <w:rPr>
                <w:rFonts w:ascii="Times New Roman" w:hAnsi="Times New Roman"/>
                <w:noProof/>
                <w:color w:val="000000" w:themeColor="text1"/>
                <w:sz w:val="24"/>
                <w:szCs w:val="24"/>
              </w:rPr>
              <w:t xml:space="preserve">544 </w:t>
            </w:r>
          </w:p>
        </w:tc>
      </w:tr>
    </w:tbl>
    <w:p w14:paraId="08D068EE" w14:textId="77777777" w:rsidR="00001921" w:rsidRDefault="003B2ED8" w:rsidP="00B1763B">
      <w:pPr>
        <w:pStyle w:val="Corps"/>
        <w:spacing w:after="0" w:line="240" w:lineRule="auto"/>
        <w:jc w:val="both"/>
        <w:rPr>
          <w:rFonts w:ascii="Times New Roman" w:hAnsi="Times New Roman"/>
          <w:i/>
          <w:noProof/>
          <w:color w:val="000000" w:themeColor="text1"/>
          <w:sz w:val="24"/>
          <w:szCs w:val="24"/>
        </w:rPr>
      </w:pPr>
      <w:r>
        <w:rPr>
          <w:rFonts w:ascii="Times New Roman" w:hAnsi="Times New Roman"/>
          <w:i/>
          <w:noProof/>
          <w:color w:val="000000" w:themeColor="text1"/>
          <w:sz w:val="24"/>
          <w:szCs w:val="24"/>
        </w:rPr>
        <w:t>Source: C</w:t>
      </w:r>
      <w:r w:rsidR="00DB465F" w:rsidRPr="00DB465F">
        <w:rPr>
          <w:rFonts w:ascii="Times New Roman" w:hAnsi="Times New Roman"/>
          <w:i/>
          <w:noProof/>
          <w:color w:val="000000" w:themeColor="text1"/>
          <w:sz w:val="24"/>
          <w:szCs w:val="24"/>
        </w:rPr>
        <w:t>INEA</w:t>
      </w:r>
      <w:r w:rsidR="00800E06">
        <w:rPr>
          <w:rFonts w:ascii="Times New Roman" w:hAnsi="Times New Roman"/>
          <w:i/>
          <w:noProof/>
          <w:color w:val="000000" w:themeColor="text1"/>
          <w:sz w:val="24"/>
          <w:szCs w:val="24"/>
        </w:rPr>
        <w:t xml:space="preserve">. Only including </w:t>
      </w:r>
      <w:r w:rsidR="00B1763B">
        <w:rPr>
          <w:rFonts w:ascii="Times New Roman" w:hAnsi="Times New Roman"/>
          <w:i/>
          <w:noProof/>
          <w:color w:val="000000" w:themeColor="text1"/>
          <w:sz w:val="24"/>
          <w:szCs w:val="24"/>
        </w:rPr>
        <w:t>projects with</w:t>
      </w:r>
      <w:r w:rsidR="00800E06">
        <w:rPr>
          <w:rFonts w:ascii="Times New Roman" w:hAnsi="Times New Roman"/>
          <w:i/>
          <w:noProof/>
          <w:color w:val="000000" w:themeColor="text1"/>
          <w:sz w:val="24"/>
          <w:szCs w:val="24"/>
        </w:rPr>
        <w:t xml:space="preserve"> beneficiaries from the 27 Member States </w:t>
      </w:r>
      <w:r w:rsidR="007D21A2">
        <w:rPr>
          <w:rFonts w:ascii="Times New Roman" w:hAnsi="Times New Roman"/>
          <w:i/>
          <w:noProof/>
          <w:color w:val="000000" w:themeColor="text1"/>
          <w:sz w:val="24"/>
          <w:szCs w:val="24"/>
        </w:rPr>
        <w:t>w</w:t>
      </w:r>
      <w:r>
        <w:rPr>
          <w:rFonts w:ascii="Times New Roman" w:hAnsi="Times New Roman"/>
          <w:i/>
          <w:noProof/>
          <w:color w:val="000000" w:themeColor="text1"/>
          <w:sz w:val="24"/>
          <w:szCs w:val="24"/>
        </w:rPr>
        <w:t xml:space="preserve">ithout </w:t>
      </w:r>
      <w:r w:rsidR="00800E06">
        <w:rPr>
          <w:rFonts w:ascii="Times New Roman" w:hAnsi="Times New Roman"/>
          <w:i/>
          <w:noProof/>
          <w:color w:val="000000" w:themeColor="text1"/>
          <w:sz w:val="24"/>
          <w:szCs w:val="24"/>
        </w:rPr>
        <w:t>UK.</w:t>
      </w:r>
    </w:p>
    <w:p w14:paraId="08D068EF" w14:textId="77777777" w:rsidR="00D521BC" w:rsidRDefault="00D521BC" w:rsidP="00B1763B">
      <w:pPr>
        <w:pStyle w:val="Corps"/>
        <w:spacing w:after="0" w:line="240" w:lineRule="auto"/>
        <w:jc w:val="both"/>
        <w:rPr>
          <w:rFonts w:ascii="Times New Roman" w:hAnsi="Times New Roman"/>
          <w:i/>
          <w:noProof/>
          <w:color w:val="000000" w:themeColor="text1"/>
          <w:sz w:val="24"/>
          <w:szCs w:val="24"/>
        </w:rPr>
      </w:pPr>
      <w:r>
        <w:rPr>
          <w:rFonts w:ascii="Times New Roman" w:hAnsi="Times New Roman"/>
          <w:i/>
          <w:noProof/>
          <w:color w:val="000000" w:themeColor="text1"/>
          <w:sz w:val="24"/>
          <w:szCs w:val="24"/>
        </w:rPr>
        <w:t>*</w:t>
      </w:r>
      <w:r w:rsidR="003B2ED8" w:rsidRPr="003B2ED8">
        <w:rPr>
          <w:noProof/>
        </w:rPr>
        <w:t xml:space="preserve"> </w:t>
      </w:r>
      <w:r w:rsidR="003B2ED8">
        <w:rPr>
          <w:rFonts w:ascii="Times New Roman" w:hAnsi="Times New Roman"/>
          <w:i/>
          <w:noProof/>
          <w:color w:val="000000" w:themeColor="text1"/>
          <w:sz w:val="24"/>
          <w:szCs w:val="24"/>
        </w:rPr>
        <w:t>I</w:t>
      </w:r>
      <w:r w:rsidR="003B2ED8" w:rsidRPr="003B2ED8">
        <w:rPr>
          <w:rFonts w:ascii="Times New Roman" w:hAnsi="Times New Roman"/>
          <w:i/>
          <w:noProof/>
          <w:color w:val="000000" w:themeColor="text1"/>
          <w:sz w:val="24"/>
          <w:szCs w:val="24"/>
        </w:rPr>
        <w:t>ntermodal ticketing system</w:t>
      </w:r>
    </w:p>
    <w:p w14:paraId="08D068F0" w14:textId="77777777" w:rsidR="00C70706" w:rsidRDefault="00C70706" w:rsidP="00B1763B">
      <w:pPr>
        <w:pStyle w:val="Corps"/>
        <w:spacing w:after="0" w:line="240" w:lineRule="auto"/>
        <w:jc w:val="both"/>
        <w:rPr>
          <w:rFonts w:ascii="Times New Roman" w:hAnsi="Times New Roman"/>
          <w:i/>
          <w:noProof/>
          <w:color w:val="000000" w:themeColor="text1"/>
          <w:sz w:val="24"/>
          <w:szCs w:val="24"/>
        </w:rPr>
      </w:pPr>
    </w:p>
    <w:p w14:paraId="08D068F1" w14:textId="77777777" w:rsidR="00B1763B" w:rsidRPr="00DB465F" w:rsidRDefault="00B1763B" w:rsidP="0013224F">
      <w:pPr>
        <w:pStyle w:val="Corps"/>
        <w:spacing w:after="0" w:line="240" w:lineRule="auto"/>
        <w:jc w:val="both"/>
        <w:rPr>
          <w:rFonts w:ascii="Times New Roman" w:hAnsi="Times New Roman"/>
          <w:i/>
          <w:noProof/>
          <w:color w:val="000000" w:themeColor="text1"/>
          <w:sz w:val="24"/>
          <w:szCs w:val="24"/>
        </w:rPr>
      </w:pPr>
    </w:p>
    <w:p w14:paraId="08D068F2" w14:textId="77777777" w:rsidR="001B1F1E" w:rsidRPr="00506CEA" w:rsidRDefault="001B1F1E" w:rsidP="001B1F1E">
      <w:pPr>
        <w:pStyle w:val="Corps"/>
        <w:rPr>
          <w:rFonts w:ascii="Times New Roman" w:hAnsi="Times New Roman" w:cs="Times New Roman"/>
          <w:b/>
          <w:i/>
          <w:noProof/>
          <w:sz w:val="24"/>
          <w:szCs w:val="24"/>
        </w:rPr>
      </w:pPr>
      <w:r w:rsidRPr="00506CEA">
        <w:rPr>
          <w:rFonts w:ascii="Times New Roman" w:hAnsi="Times New Roman" w:cs="Times New Roman"/>
          <w:b/>
          <w:i/>
          <w:noProof/>
          <w:sz w:val="24"/>
          <w:szCs w:val="24"/>
        </w:rPr>
        <w:t>ESIF</w:t>
      </w:r>
      <w:r>
        <w:rPr>
          <w:rFonts w:ascii="Times New Roman" w:hAnsi="Times New Roman" w:cs="Times New Roman"/>
          <w:b/>
          <w:i/>
          <w:noProof/>
          <w:sz w:val="24"/>
          <w:szCs w:val="24"/>
        </w:rPr>
        <w:t xml:space="preserve"> (</w:t>
      </w:r>
      <w:r w:rsidRPr="009C4D10">
        <w:rPr>
          <w:rFonts w:ascii="Times New Roman" w:hAnsi="Times New Roman" w:cs="Times New Roman"/>
          <w:b/>
          <w:i/>
          <w:noProof/>
          <w:sz w:val="24"/>
          <w:szCs w:val="24"/>
        </w:rPr>
        <w:t>European Structural and Investment Funds</w:t>
      </w:r>
      <w:r>
        <w:rPr>
          <w:rFonts w:ascii="Times New Roman" w:hAnsi="Times New Roman" w:cs="Times New Roman"/>
          <w:b/>
          <w:i/>
          <w:noProof/>
          <w:sz w:val="24"/>
          <w:szCs w:val="24"/>
        </w:rPr>
        <w:t>)</w:t>
      </w:r>
    </w:p>
    <w:p w14:paraId="08D068F3" w14:textId="77777777" w:rsidR="0049082D" w:rsidRDefault="0049082D" w:rsidP="00827127">
      <w:pPr>
        <w:pStyle w:val="Corps"/>
        <w:spacing w:after="240" w:line="240" w:lineRule="auto"/>
        <w:jc w:val="both"/>
        <w:rPr>
          <w:rFonts w:ascii="Times New Roman" w:hAnsi="Times New Roman"/>
          <w:noProof/>
          <w:color w:val="auto"/>
          <w:sz w:val="24"/>
          <w:szCs w:val="24"/>
        </w:rPr>
      </w:pPr>
      <w:r w:rsidRPr="0049082D">
        <w:rPr>
          <w:rFonts w:ascii="Times New Roman" w:hAnsi="Times New Roman"/>
          <w:noProof/>
          <w:color w:val="auto"/>
          <w:sz w:val="24"/>
          <w:szCs w:val="24"/>
        </w:rPr>
        <w:t xml:space="preserve">EUR 26.4 billion (declared expenditure) have been invested on the TEN-T in 2018 and 2019 by the European Regional Development Fund (ERDF) and the Cohesion Fund (CF), together </w:t>
      </w:r>
      <w:r w:rsidR="00A45961">
        <w:rPr>
          <w:rFonts w:ascii="Times New Roman" w:hAnsi="Times New Roman"/>
          <w:noProof/>
          <w:color w:val="auto"/>
          <w:sz w:val="24"/>
          <w:szCs w:val="24"/>
        </w:rPr>
        <w:t>representing</w:t>
      </w:r>
      <w:r w:rsidRPr="0049082D">
        <w:rPr>
          <w:rFonts w:ascii="Times New Roman" w:hAnsi="Times New Roman"/>
          <w:noProof/>
          <w:color w:val="auto"/>
          <w:sz w:val="24"/>
          <w:szCs w:val="24"/>
        </w:rPr>
        <w:t xml:space="preserve"> </w:t>
      </w:r>
      <w:r>
        <w:rPr>
          <w:rFonts w:ascii="Times New Roman" w:hAnsi="Times New Roman"/>
          <w:noProof/>
          <w:color w:val="auto"/>
          <w:sz w:val="24"/>
          <w:szCs w:val="24"/>
        </w:rPr>
        <w:t>around 68</w:t>
      </w:r>
      <w:r w:rsidR="001B1F1E" w:rsidRPr="0049082D">
        <w:rPr>
          <w:rFonts w:ascii="Times New Roman" w:hAnsi="Times New Roman"/>
          <w:noProof/>
          <w:color w:val="auto"/>
          <w:sz w:val="24"/>
          <w:szCs w:val="24"/>
        </w:rPr>
        <w:t>% of all EU-supported TEN-T investments (including EIB loans)</w:t>
      </w:r>
      <w:r w:rsidR="00C345B5">
        <w:rPr>
          <w:rFonts w:ascii="Times New Roman" w:hAnsi="Times New Roman"/>
          <w:noProof/>
          <w:color w:val="auto"/>
          <w:sz w:val="24"/>
          <w:szCs w:val="24"/>
        </w:rPr>
        <w:t xml:space="preserve"> (see Table 3)</w:t>
      </w:r>
      <w:r w:rsidR="001B1F1E" w:rsidRPr="0049082D">
        <w:rPr>
          <w:rFonts w:ascii="Times New Roman" w:hAnsi="Times New Roman"/>
          <w:noProof/>
          <w:color w:val="auto"/>
          <w:sz w:val="24"/>
          <w:szCs w:val="24"/>
        </w:rPr>
        <w:t xml:space="preserve">. </w:t>
      </w:r>
      <w:r>
        <w:rPr>
          <w:rFonts w:ascii="Times New Roman" w:hAnsi="Times New Roman"/>
          <w:noProof/>
          <w:color w:val="auto"/>
          <w:sz w:val="24"/>
          <w:szCs w:val="24"/>
        </w:rPr>
        <w:t xml:space="preserve">Around 69% of the ESIF funds were invested in the upgrade and/or construction of the road network of the TEN-T. </w:t>
      </w:r>
    </w:p>
    <w:p w14:paraId="08D068F4" w14:textId="77777777" w:rsidR="001B1F1E" w:rsidRDefault="001B1F1E" w:rsidP="00827127">
      <w:pPr>
        <w:pStyle w:val="Corps"/>
        <w:spacing w:after="240" w:line="240" w:lineRule="auto"/>
        <w:jc w:val="both"/>
        <w:rPr>
          <w:rFonts w:ascii="Times New Roman" w:hAnsi="Times New Roman"/>
          <w:noProof/>
          <w:color w:val="000000" w:themeColor="text1"/>
          <w:sz w:val="24"/>
          <w:szCs w:val="24"/>
        </w:rPr>
      </w:pPr>
      <w:r w:rsidRPr="0049082D">
        <w:rPr>
          <w:rFonts w:ascii="Times New Roman" w:hAnsi="Times New Roman"/>
          <w:noProof/>
          <w:color w:val="auto"/>
          <w:sz w:val="24"/>
          <w:szCs w:val="24"/>
        </w:rPr>
        <w:t>It needs to be noted that the reported C</w:t>
      </w:r>
      <w:r w:rsidR="00EC770C" w:rsidRPr="0049082D">
        <w:rPr>
          <w:rFonts w:ascii="Times New Roman" w:hAnsi="Times New Roman"/>
          <w:noProof/>
          <w:color w:val="auto"/>
          <w:sz w:val="24"/>
          <w:szCs w:val="24"/>
        </w:rPr>
        <w:t>ohesion Fund</w:t>
      </w:r>
      <w:r w:rsidRPr="0049082D">
        <w:rPr>
          <w:rFonts w:ascii="Times New Roman" w:hAnsi="Times New Roman"/>
          <w:noProof/>
          <w:color w:val="auto"/>
          <w:sz w:val="24"/>
          <w:szCs w:val="24"/>
        </w:rPr>
        <w:t xml:space="preserve"> share does not take into account the part of Cohesion Fund allocation transferred to support transport projects on the core network under the CEF</w:t>
      </w:r>
      <w:r w:rsidRPr="0049082D">
        <w:rPr>
          <w:rFonts w:ascii="Times New Roman" w:hAnsi="Times New Roman" w:cs="Times New Roman"/>
          <w:noProof/>
          <w:color w:val="auto"/>
          <w:sz w:val="24"/>
          <w:szCs w:val="24"/>
          <w:vertAlign w:val="superscript"/>
        </w:rPr>
        <w:footnoteReference w:id="25"/>
      </w:r>
      <w:r w:rsidRPr="0049082D">
        <w:rPr>
          <w:rFonts w:ascii="Times New Roman" w:hAnsi="Times New Roman"/>
          <w:noProof/>
          <w:color w:val="auto"/>
          <w:sz w:val="24"/>
          <w:szCs w:val="24"/>
        </w:rPr>
        <w:t xml:space="preserve">. </w:t>
      </w:r>
      <w:r w:rsidR="00DF3C62" w:rsidRPr="0049082D">
        <w:rPr>
          <w:rFonts w:ascii="Times New Roman" w:hAnsi="Times New Roman"/>
          <w:noProof/>
          <w:color w:val="auto"/>
          <w:sz w:val="24"/>
          <w:szCs w:val="24"/>
        </w:rPr>
        <w:t>It is also noted that cohesion policy support is not allocated on an annual basis but programmed for a seven-year period. The amounts reported for 201</w:t>
      </w:r>
      <w:r w:rsidR="0049082D" w:rsidRPr="0049082D">
        <w:rPr>
          <w:rFonts w:ascii="Times New Roman" w:hAnsi="Times New Roman"/>
          <w:noProof/>
          <w:color w:val="auto"/>
          <w:sz w:val="24"/>
          <w:szCs w:val="24"/>
        </w:rPr>
        <w:t>8</w:t>
      </w:r>
      <w:r w:rsidR="00DF3C62" w:rsidRPr="0049082D">
        <w:rPr>
          <w:rFonts w:ascii="Times New Roman" w:hAnsi="Times New Roman"/>
          <w:noProof/>
          <w:color w:val="auto"/>
          <w:sz w:val="24"/>
          <w:szCs w:val="24"/>
        </w:rPr>
        <w:t>-201</w:t>
      </w:r>
      <w:r w:rsidR="0049082D" w:rsidRPr="0049082D">
        <w:rPr>
          <w:rFonts w:ascii="Times New Roman" w:hAnsi="Times New Roman"/>
          <w:noProof/>
          <w:color w:val="auto"/>
          <w:sz w:val="24"/>
          <w:szCs w:val="24"/>
        </w:rPr>
        <w:t>9</w:t>
      </w:r>
      <w:r w:rsidR="00DF3C62" w:rsidRPr="0049082D">
        <w:rPr>
          <w:rFonts w:ascii="Times New Roman" w:hAnsi="Times New Roman"/>
          <w:noProof/>
          <w:color w:val="auto"/>
          <w:sz w:val="24"/>
          <w:szCs w:val="24"/>
        </w:rPr>
        <w:t xml:space="preserve"> are expenditure incurred by the beneficiaries, certified and declared to the Commission during the reporting period.</w:t>
      </w:r>
    </w:p>
    <w:p w14:paraId="5DC31324" w14:textId="77777777" w:rsidR="00B7460D" w:rsidRDefault="00B7460D">
      <w:pPr>
        <w:rPr>
          <w:rFonts w:eastAsia="Calibri" w:cs="Calibri"/>
          <w:i/>
          <w:noProof/>
          <w:color w:val="000000" w:themeColor="text1"/>
          <w:u w:color="000000"/>
          <w:lang w:val="en-GB" w:eastAsia="en-GB"/>
        </w:rPr>
      </w:pPr>
      <w:r>
        <w:rPr>
          <w:i/>
          <w:noProof/>
          <w:color w:val="000000" w:themeColor="text1"/>
        </w:rPr>
        <w:br w:type="page"/>
      </w:r>
    </w:p>
    <w:p w14:paraId="08D068F5" w14:textId="0819B861" w:rsidR="00DB465F" w:rsidRPr="00351274" w:rsidRDefault="00DB465F" w:rsidP="00827127">
      <w:pPr>
        <w:pStyle w:val="Corps"/>
        <w:spacing w:after="240" w:line="240" w:lineRule="auto"/>
        <w:jc w:val="both"/>
        <w:rPr>
          <w:rFonts w:ascii="Times New Roman" w:hAnsi="Times New Roman"/>
          <w:i/>
          <w:noProof/>
          <w:color w:val="000000" w:themeColor="text1"/>
          <w:sz w:val="24"/>
          <w:szCs w:val="24"/>
        </w:rPr>
      </w:pPr>
      <w:r w:rsidRPr="00351274">
        <w:rPr>
          <w:rFonts w:ascii="Times New Roman" w:hAnsi="Times New Roman"/>
          <w:i/>
          <w:noProof/>
          <w:color w:val="000000" w:themeColor="text1"/>
          <w:sz w:val="24"/>
          <w:szCs w:val="24"/>
        </w:rPr>
        <w:t>Table 3: ERD</w:t>
      </w:r>
      <w:r w:rsidR="00484CDA">
        <w:rPr>
          <w:rFonts w:ascii="Times New Roman" w:hAnsi="Times New Roman"/>
          <w:i/>
          <w:noProof/>
          <w:color w:val="000000" w:themeColor="text1"/>
          <w:sz w:val="24"/>
          <w:szCs w:val="24"/>
        </w:rPr>
        <w:t>F+CF (declared expenditure) 2018+2019</w:t>
      </w:r>
      <w:r w:rsidRPr="00351274">
        <w:rPr>
          <w:rFonts w:ascii="Times New Roman" w:hAnsi="Times New Roman"/>
          <w:i/>
          <w:noProof/>
          <w:color w:val="000000" w:themeColor="text1"/>
          <w:sz w:val="24"/>
          <w:szCs w:val="24"/>
        </w:rPr>
        <w:t xml:space="preserve"> in MEUR </w:t>
      </w:r>
    </w:p>
    <w:tbl>
      <w:tblPr>
        <w:tblStyle w:val="TableGrid"/>
        <w:tblW w:w="0" w:type="auto"/>
        <w:jc w:val="center"/>
        <w:tblLook w:val="04A0" w:firstRow="1" w:lastRow="0" w:firstColumn="1" w:lastColumn="0" w:noHBand="0" w:noVBand="1"/>
      </w:tblPr>
      <w:tblGrid>
        <w:gridCol w:w="4890"/>
        <w:gridCol w:w="4316"/>
      </w:tblGrid>
      <w:tr w:rsidR="002533E6" w:rsidRPr="002533E6" w14:paraId="08D068F7" w14:textId="77777777" w:rsidTr="002533E6">
        <w:trPr>
          <w:jc w:val="center"/>
        </w:trPr>
        <w:tc>
          <w:tcPr>
            <w:tcW w:w="9206" w:type="dxa"/>
            <w:gridSpan w:val="2"/>
            <w:shd w:val="clear" w:color="auto" w:fill="BFBFBF" w:themeFill="background1" w:themeFillShade="BF"/>
          </w:tcPr>
          <w:p w14:paraId="08D068F6" w14:textId="77777777" w:rsidR="002533E6" w:rsidRPr="002533E6" w:rsidRDefault="002533E6" w:rsidP="002533E6">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b/>
                <w:noProof/>
                <w:color w:val="000000" w:themeColor="text1"/>
                <w:sz w:val="25"/>
                <w:szCs w:val="25"/>
              </w:rPr>
            </w:pPr>
            <w:r w:rsidRPr="002533E6">
              <w:rPr>
                <w:rFonts w:ascii="Times New Roman" w:hAnsi="Times New Roman"/>
                <w:b/>
                <w:noProof/>
                <w:color w:val="000000" w:themeColor="text1"/>
                <w:sz w:val="25"/>
                <w:szCs w:val="25"/>
              </w:rPr>
              <w:t>ERDF + CF (declared expenditure</w:t>
            </w:r>
            <w:r w:rsidR="00DB465F">
              <w:rPr>
                <w:rFonts w:ascii="Times New Roman" w:hAnsi="Times New Roman"/>
                <w:b/>
                <w:noProof/>
                <w:color w:val="000000" w:themeColor="text1"/>
                <w:sz w:val="25"/>
                <w:szCs w:val="25"/>
              </w:rPr>
              <w:t>*</w:t>
            </w:r>
            <w:r w:rsidR="00484CDA">
              <w:rPr>
                <w:rFonts w:ascii="Times New Roman" w:hAnsi="Times New Roman"/>
                <w:b/>
                <w:noProof/>
                <w:color w:val="000000" w:themeColor="text1"/>
                <w:sz w:val="25"/>
                <w:szCs w:val="25"/>
              </w:rPr>
              <w:t>) 2018+201</w:t>
            </w:r>
            <w:r w:rsidR="00F30AE7">
              <w:rPr>
                <w:rFonts w:ascii="Times New Roman" w:hAnsi="Times New Roman"/>
                <w:b/>
                <w:noProof/>
                <w:color w:val="000000" w:themeColor="text1"/>
                <w:sz w:val="25"/>
                <w:szCs w:val="25"/>
              </w:rPr>
              <w:t>9</w:t>
            </w:r>
          </w:p>
        </w:tc>
      </w:tr>
      <w:tr w:rsidR="002533E6" w14:paraId="08D068FA" w14:textId="77777777" w:rsidTr="00285641">
        <w:trPr>
          <w:jc w:val="center"/>
        </w:trPr>
        <w:tc>
          <w:tcPr>
            <w:tcW w:w="4890" w:type="dxa"/>
            <w:shd w:val="clear" w:color="auto" w:fill="BFBFBF" w:themeFill="background1" w:themeFillShade="BF"/>
          </w:tcPr>
          <w:p w14:paraId="08D068F8" w14:textId="77777777" w:rsidR="002533E6" w:rsidRPr="002533E6" w:rsidRDefault="002533E6" w:rsidP="002533E6">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b/>
                <w:i/>
                <w:noProof/>
                <w:color w:val="000000" w:themeColor="text1"/>
                <w:sz w:val="24"/>
                <w:szCs w:val="24"/>
              </w:rPr>
            </w:pPr>
            <w:r w:rsidRPr="002533E6">
              <w:rPr>
                <w:rFonts w:ascii="Times New Roman" w:hAnsi="Times New Roman"/>
                <w:b/>
                <w:i/>
                <w:noProof/>
                <w:color w:val="000000" w:themeColor="text1"/>
                <w:sz w:val="24"/>
                <w:szCs w:val="24"/>
              </w:rPr>
              <w:t>per transport mode</w:t>
            </w:r>
          </w:p>
        </w:tc>
        <w:tc>
          <w:tcPr>
            <w:tcW w:w="4316" w:type="dxa"/>
            <w:shd w:val="clear" w:color="auto" w:fill="BFBFBF" w:themeFill="background1" w:themeFillShade="BF"/>
          </w:tcPr>
          <w:p w14:paraId="08D068F9" w14:textId="77777777" w:rsidR="002533E6" w:rsidRPr="002533E6" w:rsidRDefault="002533E6" w:rsidP="00285641">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b/>
                <w:i/>
                <w:noProof/>
                <w:color w:val="000000" w:themeColor="text1"/>
                <w:sz w:val="24"/>
                <w:szCs w:val="24"/>
              </w:rPr>
            </w:pPr>
            <w:r>
              <w:rPr>
                <w:rFonts w:ascii="Times New Roman" w:hAnsi="Times New Roman"/>
                <w:b/>
                <w:i/>
                <w:noProof/>
                <w:color w:val="000000" w:themeColor="text1"/>
                <w:sz w:val="24"/>
                <w:szCs w:val="24"/>
              </w:rPr>
              <w:t xml:space="preserve">in </w:t>
            </w:r>
            <w:r w:rsidR="006A6543">
              <w:rPr>
                <w:rFonts w:ascii="Times New Roman" w:hAnsi="Times New Roman"/>
                <w:b/>
                <w:i/>
                <w:noProof/>
                <w:color w:val="000000" w:themeColor="text1"/>
                <w:sz w:val="24"/>
                <w:szCs w:val="24"/>
              </w:rPr>
              <w:t>M</w:t>
            </w:r>
            <w:r>
              <w:rPr>
                <w:rFonts w:ascii="Times New Roman" w:hAnsi="Times New Roman"/>
                <w:b/>
                <w:i/>
                <w:noProof/>
                <w:color w:val="000000" w:themeColor="text1"/>
                <w:sz w:val="24"/>
                <w:szCs w:val="24"/>
              </w:rPr>
              <w:t>EUR</w:t>
            </w:r>
          </w:p>
        </w:tc>
      </w:tr>
      <w:tr w:rsidR="00484CDA" w14:paraId="08D068FD" w14:textId="77777777" w:rsidTr="00285641">
        <w:trPr>
          <w:jc w:val="center"/>
        </w:trPr>
        <w:tc>
          <w:tcPr>
            <w:tcW w:w="4890" w:type="dxa"/>
          </w:tcPr>
          <w:p w14:paraId="08D068FB"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Air</w:t>
            </w:r>
          </w:p>
        </w:tc>
        <w:tc>
          <w:tcPr>
            <w:tcW w:w="4316" w:type="dxa"/>
          </w:tcPr>
          <w:p w14:paraId="08D068FC"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sidRPr="00484CDA">
              <w:rPr>
                <w:rFonts w:ascii="Times New Roman" w:hAnsi="Times New Roman"/>
                <w:noProof/>
                <w:color w:val="000000" w:themeColor="text1"/>
                <w:sz w:val="24"/>
                <w:szCs w:val="24"/>
              </w:rPr>
              <w:t xml:space="preserve"> 330 </w:t>
            </w:r>
          </w:p>
        </w:tc>
      </w:tr>
      <w:tr w:rsidR="00484CDA" w14:paraId="08D06900" w14:textId="77777777" w:rsidTr="00285641">
        <w:trPr>
          <w:jc w:val="center"/>
        </w:trPr>
        <w:tc>
          <w:tcPr>
            <w:tcW w:w="4890" w:type="dxa"/>
          </w:tcPr>
          <w:p w14:paraId="08D068FE"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Inland Waterways + Inland Ports</w:t>
            </w:r>
          </w:p>
        </w:tc>
        <w:tc>
          <w:tcPr>
            <w:tcW w:w="4316" w:type="dxa"/>
          </w:tcPr>
          <w:p w14:paraId="08D068FF"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sidRPr="00484CDA">
              <w:rPr>
                <w:rFonts w:ascii="Times New Roman" w:hAnsi="Times New Roman"/>
                <w:noProof/>
                <w:color w:val="000000" w:themeColor="text1"/>
                <w:sz w:val="24"/>
                <w:szCs w:val="24"/>
              </w:rPr>
              <w:t xml:space="preserve"> 137 </w:t>
            </w:r>
          </w:p>
        </w:tc>
      </w:tr>
      <w:tr w:rsidR="00484CDA" w14:paraId="08D06903" w14:textId="77777777" w:rsidTr="00285641">
        <w:trPr>
          <w:jc w:val="center"/>
        </w:trPr>
        <w:tc>
          <w:tcPr>
            <w:tcW w:w="4890" w:type="dxa"/>
          </w:tcPr>
          <w:p w14:paraId="08D06901"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Seaports</w:t>
            </w:r>
          </w:p>
        </w:tc>
        <w:tc>
          <w:tcPr>
            <w:tcW w:w="4316" w:type="dxa"/>
          </w:tcPr>
          <w:p w14:paraId="08D06902"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sidRPr="00484CDA">
              <w:rPr>
                <w:rFonts w:ascii="Times New Roman" w:hAnsi="Times New Roman"/>
                <w:noProof/>
                <w:color w:val="000000" w:themeColor="text1"/>
                <w:sz w:val="24"/>
                <w:szCs w:val="24"/>
              </w:rPr>
              <w:t xml:space="preserve"> 392 </w:t>
            </w:r>
          </w:p>
        </w:tc>
      </w:tr>
      <w:tr w:rsidR="00484CDA" w14:paraId="08D06906" w14:textId="77777777" w:rsidTr="00285641">
        <w:trPr>
          <w:jc w:val="center"/>
        </w:trPr>
        <w:tc>
          <w:tcPr>
            <w:tcW w:w="4890" w:type="dxa"/>
          </w:tcPr>
          <w:p w14:paraId="08D06904"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Rail</w:t>
            </w:r>
          </w:p>
        </w:tc>
        <w:tc>
          <w:tcPr>
            <w:tcW w:w="4316" w:type="dxa"/>
          </w:tcPr>
          <w:p w14:paraId="08D06905"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sidRPr="00484CDA">
              <w:rPr>
                <w:rFonts w:ascii="Times New Roman" w:hAnsi="Times New Roman"/>
                <w:noProof/>
                <w:color w:val="000000" w:themeColor="text1"/>
                <w:sz w:val="24"/>
                <w:szCs w:val="24"/>
              </w:rPr>
              <w:t xml:space="preserve"> 7.179 </w:t>
            </w:r>
          </w:p>
        </w:tc>
      </w:tr>
      <w:tr w:rsidR="00484CDA" w14:paraId="08D06909" w14:textId="77777777" w:rsidTr="00285641">
        <w:trPr>
          <w:jc w:val="center"/>
        </w:trPr>
        <w:tc>
          <w:tcPr>
            <w:tcW w:w="4890" w:type="dxa"/>
          </w:tcPr>
          <w:p w14:paraId="08D06907"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Road </w:t>
            </w:r>
          </w:p>
        </w:tc>
        <w:tc>
          <w:tcPr>
            <w:tcW w:w="4316" w:type="dxa"/>
          </w:tcPr>
          <w:p w14:paraId="08D06908"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sidRPr="00484CDA">
              <w:rPr>
                <w:rFonts w:ascii="Times New Roman" w:hAnsi="Times New Roman"/>
                <w:noProof/>
                <w:color w:val="000000" w:themeColor="text1"/>
                <w:sz w:val="24"/>
                <w:szCs w:val="24"/>
              </w:rPr>
              <w:t xml:space="preserve"> 18.283 </w:t>
            </w:r>
          </w:p>
        </w:tc>
      </w:tr>
      <w:tr w:rsidR="00484CDA" w14:paraId="08D0690C" w14:textId="77777777" w:rsidTr="00285641">
        <w:trPr>
          <w:jc w:val="center"/>
        </w:trPr>
        <w:tc>
          <w:tcPr>
            <w:tcW w:w="4890" w:type="dxa"/>
            <w:tcBorders>
              <w:bottom w:val="single" w:sz="4" w:space="0" w:color="auto"/>
            </w:tcBorders>
          </w:tcPr>
          <w:p w14:paraId="08D0690A"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Multimodal </w:t>
            </w:r>
          </w:p>
        </w:tc>
        <w:tc>
          <w:tcPr>
            <w:tcW w:w="4316" w:type="dxa"/>
            <w:tcBorders>
              <w:bottom w:val="single" w:sz="4" w:space="0" w:color="auto"/>
            </w:tcBorders>
          </w:tcPr>
          <w:p w14:paraId="08D0690B" w14:textId="77777777" w:rsid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sidRPr="00484CDA">
              <w:rPr>
                <w:rFonts w:ascii="Times New Roman" w:hAnsi="Times New Roman"/>
                <w:noProof/>
                <w:color w:val="000000" w:themeColor="text1"/>
                <w:sz w:val="24"/>
                <w:szCs w:val="24"/>
              </w:rPr>
              <w:t xml:space="preserve"> 57 </w:t>
            </w:r>
          </w:p>
        </w:tc>
      </w:tr>
      <w:tr w:rsidR="00484CDA" w:rsidRPr="002533E6" w14:paraId="08D0690F" w14:textId="77777777" w:rsidTr="00285641">
        <w:trPr>
          <w:jc w:val="center"/>
        </w:trPr>
        <w:tc>
          <w:tcPr>
            <w:tcW w:w="4890" w:type="dxa"/>
            <w:shd w:val="clear" w:color="auto" w:fill="BFBFBF" w:themeFill="background1" w:themeFillShade="BF"/>
          </w:tcPr>
          <w:p w14:paraId="08D0690D" w14:textId="77777777" w:rsidR="00484CDA" w:rsidRPr="002533E6"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Times New Roman" w:hAnsi="Times New Roman"/>
                <w:b/>
                <w:noProof/>
                <w:color w:val="000000" w:themeColor="text1"/>
                <w:sz w:val="25"/>
                <w:szCs w:val="25"/>
              </w:rPr>
            </w:pPr>
            <w:r w:rsidRPr="002533E6">
              <w:rPr>
                <w:rFonts w:ascii="Times New Roman" w:hAnsi="Times New Roman"/>
                <w:b/>
                <w:noProof/>
                <w:color w:val="000000" w:themeColor="text1"/>
                <w:sz w:val="25"/>
                <w:szCs w:val="25"/>
              </w:rPr>
              <w:t>Total</w:t>
            </w:r>
            <w:r>
              <w:rPr>
                <w:rFonts w:ascii="Times New Roman" w:hAnsi="Times New Roman"/>
                <w:b/>
                <w:noProof/>
                <w:color w:val="000000" w:themeColor="text1"/>
                <w:sz w:val="25"/>
                <w:szCs w:val="25"/>
              </w:rPr>
              <w:t xml:space="preserve"> in MEUR</w:t>
            </w:r>
          </w:p>
        </w:tc>
        <w:tc>
          <w:tcPr>
            <w:tcW w:w="4316" w:type="dxa"/>
            <w:shd w:val="clear" w:color="auto" w:fill="BFBFBF" w:themeFill="background1" w:themeFillShade="BF"/>
          </w:tcPr>
          <w:p w14:paraId="08D0690E" w14:textId="77777777" w:rsidR="00484CDA" w:rsidRPr="00484CDA" w:rsidRDefault="00484CDA" w:rsidP="00484CDA">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Times New Roman" w:hAnsi="Times New Roman"/>
                <w:noProof/>
                <w:color w:val="000000" w:themeColor="text1"/>
                <w:sz w:val="24"/>
                <w:szCs w:val="24"/>
              </w:rPr>
            </w:pPr>
            <w:r w:rsidRPr="00484CDA">
              <w:rPr>
                <w:rFonts w:ascii="Times New Roman" w:hAnsi="Times New Roman"/>
                <w:noProof/>
                <w:color w:val="000000" w:themeColor="text1"/>
                <w:sz w:val="24"/>
                <w:szCs w:val="24"/>
              </w:rPr>
              <w:t xml:space="preserve"> 26.377 </w:t>
            </w:r>
          </w:p>
        </w:tc>
      </w:tr>
    </w:tbl>
    <w:p w14:paraId="08D06910" w14:textId="77777777" w:rsidR="00DB465F" w:rsidRDefault="00DB465F" w:rsidP="00DB465F">
      <w:pPr>
        <w:autoSpaceDE w:val="0"/>
        <w:autoSpaceDN w:val="0"/>
        <w:rPr>
          <w:noProof/>
        </w:rPr>
      </w:pPr>
      <w:r>
        <w:rPr>
          <w:i/>
          <w:noProof/>
        </w:rPr>
        <w:t xml:space="preserve">Source: DG REGIO, </w:t>
      </w:r>
      <w:r>
        <w:rPr>
          <w:noProof/>
          <w:lang w:val="en-GB"/>
        </w:rPr>
        <w:t>https://cohesiondata.ec.europa.eu/d/3kkx-ekfq</w:t>
      </w:r>
    </w:p>
    <w:p w14:paraId="08D06911" w14:textId="77777777" w:rsidR="00DB465F" w:rsidRPr="00DB465F" w:rsidRDefault="00DB465F" w:rsidP="00351274">
      <w:pPr>
        <w:autoSpaceDE w:val="0"/>
        <w:autoSpaceDN w:val="0"/>
        <w:spacing w:before="120" w:after="40"/>
        <w:rPr>
          <w:i/>
          <w:noProof/>
          <w:sz w:val="22"/>
          <w:szCs w:val="22"/>
          <w:lang w:val="en-IE" w:eastAsia="fr-BE"/>
        </w:rPr>
      </w:pPr>
      <w:r w:rsidRPr="00DB465F">
        <w:rPr>
          <w:i/>
          <w:noProof/>
        </w:rPr>
        <w:t xml:space="preserve">*Expenditure incurred by the beneficiaries, certified and declared to the </w:t>
      </w:r>
      <w:r w:rsidR="00351274">
        <w:rPr>
          <w:i/>
          <w:noProof/>
        </w:rPr>
        <w:t xml:space="preserve">Commission.   </w:t>
      </w:r>
      <w:r w:rsidR="00351274">
        <w:rPr>
          <w:i/>
          <w:noProof/>
        </w:rPr>
        <w:br/>
      </w:r>
      <w:r w:rsidRPr="00DB465F">
        <w:rPr>
          <w:i/>
          <w:noProof/>
        </w:rPr>
        <w:t>Figures are cumulative.</w:t>
      </w:r>
      <w:r w:rsidRPr="00DB465F">
        <w:rPr>
          <w:rFonts w:ascii="Segoe UI" w:hAnsi="Segoe UI" w:cs="Segoe UI"/>
          <w:i/>
          <w:noProof/>
          <w:color w:val="000000"/>
          <w:sz w:val="20"/>
          <w:szCs w:val="20"/>
        </w:rPr>
        <w:t xml:space="preserve"> </w:t>
      </w:r>
    </w:p>
    <w:p w14:paraId="08D06912" w14:textId="77777777" w:rsidR="00BA6A71" w:rsidRPr="00DB465F" w:rsidRDefault="00BA6A71" w:rsidP="001B1F1E">
      <w:pPr>
        <w:pStyle w:val="Corps"/>
        <w:rPr>
          <w:rFonts w:ascii="Times New Roman" w:hAnsi="Times New Roman" w:cs="Times New Roman"/>
          <w:i/>
          <w:noProof/>
          <w:sz w:val="24"/>
          <w:szCs w:val="24"/>
        </w:rPr>
      </w:pPr>
    </w:p>
    <w:p w14:paraId="08D06913" w14:textId="77777777" w:rsidR="001B1F1E" w:rsidRDefault="001B1F1E" w:rsidP="001B1F1E">
      <w:pPr>
        <w:pStyle w:val="Corps"/>
        <w:rPr>
          <w:rFonts w:ascii="Times New Roman" w:hAnsi="Times New Roman" w:cs="Times New Roman"/>
          <w:b/>
          <w:i/>
          <w:noProof/>
          <w:sz w:val="24"/>
          <w:szCs w:val="24"/>
        </w:rPr>
      </w:pPr>
      <w:r w:rsidRPr="00506CEA">
        <w:rPr>
          <w:rFonts w:ascii="Times New Roman" w:hAnsi="Times New Roman" w:cs="Times New Roman"/>
          <w:b/>
          <w:i/>
          <w:noProof/>
          <w:sz w:val="24"/>
          <w:szCs w:val="24"/>
        </w:rPr>
        <w:t>EIB</w:t>
      </w:r>
      <w:r>
        <w:rPr>
          <w:rFonts w:ascii="Times New Roman" w:hAnsi="Times New Roman" w:cs="Times New Roman"/>
          <w:b/>
          <w:i/>
          <w:noProof/>
          <w:sz w:val="24"/>
          <w:szCs w:val="24"/>
        </w:rPr>
        <w:t xml:space="preserve"> (European Investment Bank)</w:t>
      </w:r>
    </w:p>
    <w:p w14:paraId="08D06914" w14:textId="77777777" w:rsidR="003C6971" w:rsidRPr="00944934" w:rsidRDefault="00944934" w:rsidP="003C6971">
      <w:pPr>
        <w:pStyle w:val="Corps"/>
        <w:spacing w:after="240" w:line="240" w:lineRule="auto"/>
        <w:jc w:val="both"/>
        <w:rPr>
          <w:rFonts w:ascii="Times New Roman" w:hAnsi="Times New Roman"/>
          <w:noProof/>
          <w:color w:val="auto"/>
          <w:sz w:val="24"/>
          <w:szCs w:val="24"/>
        </w:rPr>
      </w:pPr>
      <w:r w:rsidRPr="00944934">
        <w:rPr>
          <w:rFonts w:ascii="Times New Roman" w:hAnsi="Times New Roman"/>
          <w:noProof/>
          <w:color w:val="auto"/>
          <w:sz w:val="24"/>
          <w:szCs w:val="24"/>
        </w:rPr>
        <w:t xml:space="preserve">The European Investment Bank (EIB) invested in 2018 and 2019 around EUR </w:t>
      </w:r>
      <w:r w:rsidR="00907AAA">
        <w:rPr>
          <w:rFonts w:ascii="Times New Roman" w:hAnsi="Times New Roman"/>
          <w:noProof/>
          <w:color w:val="auto"/>
          <w:sz w:val="24"/>
          <w:szCs w:val="24"/>
        </w:rPr>
        <w:t>9</w:t>
      </w:r>
      <w:r w:rsidRPr="00944934">
        <w:rPr>
          <w:rFonts w:ascii="Times New Roman" w:hAnsi="Times New Roman"/>
          <w:noProof/>
          <w:color w:val="auto"/>
          <w:sz w:val="24"/>
          <w:szCs w:val="24"/>
        </w:rPr>
        <w:t xml:space="preserve"> billion in the transport infrastructure sector </w:t>
      </w:r>
      <w:r w:rsidR="00907AAA">
        <w:rPr>
          <w:rFonts w:ascii="Times New Roman" w:hAnsi="Times New Roman"/>
          <w:noProof/>
          <w:color w:val="auto"/>
          <w:sz w:val="24"/>
          <w:szCs w:val="24"/>
        </w:rPr>
        <w:t>in the frame</w:t>
      </w:r>
      <w:r w:rsidR="00831F9E">
        <w:rPr>
          <w:rFonts w:ascii="Times New Roman" w:hAnsi="Times New Roman"/>
          <w:noProof/>
          <w:color w:val="auto"/>
          <w:sz w:val="24"/>
          <w:szCs w:val="24"/>
        </w:rPr>
        <w:t xml:space="preserve">work </w:t>
      </w:r>
      <w:r w:rsidR="00907AAA">
        <w:rPr>
          <w:rFonts w:ascii="Times New Roman" w:hAnsi="Times New Roman"/>
          <w:noProof/>
          <w:color w:val="auto"/>
          <w:sz w:val="24"/>
          <w:szCs w:val="24"/>
        </w:rPr>
        <w:t xml:space="preserve">of </w:t>
      </w:r>
      <w:r w:rsidR="00A45961">
        <w:rPr>
          <w:rFonts w:ascii="Times New Roman" w:hAnsi="Times New Roman"/>
          <w:noProof/>
          <w:color w:val="auto"/>
          <w:sz w:val="24"/>
          <w:szCs w:val="24"/>
        </w:rPr>
        <w:t xml:space="preserve">its </w:t>
      </w:r>
      <w:r w:rsidR="00907AAA">
        <w:rPr>
          <w:rFonts w:ascii="Times New Roman" w:hAnsi="Times New Roman"/>
          <w:noProof/>
          <w:color w:val="auto"/>
          <w:sz w:val="24"/>
          <w:szCs w:val="24"/>
        </w:rPr>
        <w:t>strategic</w:t>
      </w:r>
      <w:r w:rsidR="003C6971" w:rsidRPr="00944934">
        <w:rPr>
          <w:rFonts w:ascii="Times New Roman" w:hAnsi="Times New Roman"/>
          <w:noProof/>
          <w:color w:val="auto"/>
          <w:sz w:val="24"/>
          <w:szCs w:val="24"/>
        </w:rPr>
        <w:t xml:space="preserve"> transport </w:t>
      </w:r>
      <w:r w:rsidR="00907AAA">
        <w:rPr>
          <w:rFonts w:ascii="Times New Roman" w:hAnsi="Times New Roman"/>
          <w:noProof/>
          <w:color w:val="auto"/>
          <w:sz w:val="24"/>
          <w:szCs w:val="24"/>
        </w:rPr>
        <w:t>project portfolio</w:t>
      </w:r>
      <w:r w:rsidR="00C52815">
        <w:rPr>
          <w:rFonts w:ascii="Times New Roman" w:hAnsi="Times New Roman"/>
          <w:noProof/>
          <w:color w:val="auto"/>
          <w:sz w:val="24"/>
          <w:szCs w:val="24"/>
        </w:rPr>
        <w:t>.</w:t>
      </w:r>
      <w:r w:rsidR="003C6971" w:rsidRPr="00944934">
        <w:rPr>
          <w:rFonts w:ascii="Times New Roman" w:hAnsi="Times New Roman"/>
          <w:noProof/>
          <w:color w:val="auto"/>
          <w:sz w:val="24"/>
          <w:szCs w:val="24"/>
        </w:rPr>
        <w:t xml:space="preserve"> The major part of these transport </w:t>
      </w:r>
      <w:r w:rsidR="00BA6A71" w:rsidRPr="00944934">
        <w:rPr>
          <w:rFonts w:ascii="Times New Roman" w:hAnsi="Times New Roman"/>
          <w:noProof/>
          <w:color w:val="auto"/>
          <w:sz w:val="24"/>
          <w:szCs w:val="24"/>
        </w:rPr>
        <w:t xml:space="preserve">infrastructure </w:t>
      </w:r>
      <w:r w:rsidR="003C6971" w:rsidRPr="00944934">
        <w:rPr>
          <w:rFonts w:ascii="Times New Roman" w:hAnsi="Times New Roman"/>
          <w:noProof/>
          <w:color w:val="auto"/>
          <w:sz w:val="24"/>
          <w:szCs w:val="24"/>
        </w:rPr>
        <w:t>investments (</w:t>
      </w:r>
      <w:r w:rsidR="00907AAA">
        <w:rPr>
          <w:rFonts w:ascii="Times New Roman" w:hAnsi="Times New Roman"/>
          <w:noProof/>
          <w:color w:val="auto"/>
          <w:sz w:val="24"/>
          <w:szCs w:val="24"/>
        </w:rPr>
        <w:t>85</w:t>
      </w:r>
      <w:r w:rsidR="003C6971" w:rsidRPr="00944934">
        <w:rPr>
          <w:rFonts w:ascii="Times New Roman" w:hAnsi="Times New Roman"/>
          <w:noProof/>
          <w:color w:val="auto"/>
          <w:sz w:val="24"/>
          <w:szCs w:val="24"/>
        </w:rPr>
        <w:t xml:space="preserve">%) has been made on TEN-T, representing </w:t>
      </w:r>
      <w:r w:rsidR="00907AAA">
        <w:rPr>
          <w:rFonts w:ascii="Times New Roman" w:hAnsi="Times New Roman"/>
          <w:noProof/>
          <w:color w:val="auto"/>
          <w:sz w:val="24"/>
          <w:szCs w:val="24"/>
        </w:rPr>
        <w:t>49</w:t>
      </w:r>
      <w:r w:rsidR="003C6971" w:rsidRPr="00944934">
        <w:rPr>
          <w:rFonts w:ascii="Times New Roman" w:hAnsi="Times New Roman"/>
          <w:noProof/>
          <w:color w:val="auto"/>
          <w:sz w:val="24"/>
          <w:szCs w:val="24"/>
        </w:rPr>
        <w:t xml:space="preserve"> operations with EIB loans </w:t>
      </w:r>
      <w:r w:rsidR="00A45961">
        <w:rPr>
          <w:rFonts w:ascii="Times New Roman" w:hAnsi="Times New Roman"/>
          <w:noProof/>
          <w:color w:val="auto"/>
          <w:sz w:val="24"/>
          <w:szCs w:val="24"/>
        </w:rPr>
        <w:t>for a total of</w:t>
      </w:r>
      <w:r w:rsidR="003C6971" w:rsidRPr="00944934">
        <w:rPr>
          <w:rFonts w:ascii="Times New Roman" w:hAnsi="Times New Roman"/>
          <w:noProof/>
          <w:color w:val="auto"/>
          <w:sz w:val="24"/>
          <w:szCs w:val="24"/>
        </w:rPr>
        <w:t xml:space="preserve"> EUR </w:t>
      </w:r>
      <w:r w:rsidR="00907AAA">
        <w:rPr>
          <w:rFonts w:ascii="Times New Roman" w:hAnsi="Times New Roman"/>
          <w:noProof/>
          <w:color w:val="auto"/>
          <w:sz w:val="24"/>
          <w:szCs w:val="24"/>
        </w:rPr>
        <w:t>7.7</w:t>
      </w:r>
      <w:r w:rsidR="003C6971" w:rsidRPr="00944934">
        <w:rPr>
          <w:rFonts w:ascii="Times New Roman" w:hAnsi="Times New Roman"/>
          <w:noProof/>
          <w:color w:val="auto"/>
          <w:sz w:val="24"/>
          <w:szCs w:val="24"/>
        </w:rPr>
        <w:t xml:space="preserve"> billion signed in 201</w:t>
      </w:r>
      <w:r w:rsidR="00445697">
        <w:rPr>
          <w:rFonts w:ascii="Times New Roman" w:hAnsi="Times New Roman"/>
          <w:noProof/>
          <w:color w:val="auto"/>
          <w:sz w:val="24"/>
          <w:szCs w:val="24"/>
        </w:rPr>
        <w:t>8</w:t>
      </w:r>
      <w:r w:rsidRPr="00944934">
        <w:rPr>
          <w:rFonts w:ascii="Times New Roman" w:hAnsi="Times New Roman"/>
          <w:noProof/>
          <w:color w:val="auto"/>
          <w:sz w:val="24"/>
          <w:szCs w:val="24"/>
        </w:rPr>
        <w:t xml:space="preserve"> and </w:t>
      </w:r>
      <w:r w:rsidR="003C6971" w:rsidRPr="00944934">
        <w:rPr>
          <w:rFonts w:ascii="Times New Roman" w:hAnsi="Times New Roman"/>
          <w:noProof/>
          <w:color w:val="auto"/>
          <w:sz w:val="24"/>
          <w:szCs w:val="24"/>
        </w:rPr>
        <w:t>201</w:t>
      </w:r>
      <w:r w:rsidRPr="00944934">
        <w:rPr>
          <w:rFonts w:ascii="Times New Roman" w:hAnsi="Times New Roman"/>
          <w:noProof/>
          <w:color w:val="auto"/>
          <w:sz w:val="24"/>
          <w:szCs w:val="24"/>
        </w:rPr>
        <w:t>9</w:t>
      </w:r>
      <w:r w:rsidR="00D25401">
        <w:rPr>
          <w:rFonts w:ascii="Times New Roman" w:hAnsi="Times New Roman"/>
          <w:noProof/>
          <w:color w:val="auto"/>
          <w:sz w:val="24"/>
          <w:szCs w:val="24"/>
        </w:rPr>
        <w:t xml:space="preserve"> (see Table 4)</w:t>
      </w:r>
      <w:r w:rsidR="003C6971" w:rsidRPr="00944934">
        <w:rPr>
          <w:rFonts w:ascii="Times New Roman" w:hAnsi="Times New Roman"/>
          <w:noProof/>
          <w:color w:val="auto"/>
          <w:sz w:val="24"/>
          <w:szCs w:val="24"/>
        </w:rPr>
        <w:t xml:space="preserve">. </w:t>
      </w:r>
      <w:r w:rsidR="00205E59">
        <w:rPr>
          <w:rFonts w:ascii="Times New Roman" w:hAnsi="Times New Roman"/>
          <w:noProof/>
          <w:color w:val="auto"/>
          <w:sz w:val="24"/>
          <w:szCs w:val="24"/>
        </w:rPr>
        <w:t xml:space="preserve">With those investments, the EIB mobilised total investments of </w:t>
      </w:r>
      <w:r w:rsidR="00205E59" w:rsidRPr="00944934">
        <w:rPr>
          <w:rFonts w:ascii="Times New Roman" w:hAnsi="Times New Roman"/>
          <w:noProof/>
          <w:color w:val="auto"/>
          <w:sz w:val="24"/>
          <w:szCs w:val="24"/>
        </w:rPr>
        <w:t xml:space="preserve">EUR </w:t>
      </w:r>
      <w:r w:rsidR="00205E59">
        <w:rPr>
          <w:rFonts w:ascii="Times New Roman" w:hAnsi="Times New Roman"/>
          <w:noProof/>
          <w:color w:val="auto"/>
          <w:sz w:val="24"/>
          <w:szCs w:val="24"/>
        </w:rPr>
        <w:t>61</w:t>
      </w:r>
      <w:r w:rsidR="00205E59" w:rsidRPr="00944934">
        <w:rPr>
          <w:rFonts w:ascii="Times New Roman" w:hAnsi="Times New Roman"/>
          <w:noProof/>
          <w:color w:val="auto"/>
          <w:sz w:val="24"/>
          <w:szCs w:val="24"/>
        </w:rPr>
        <w:t xml:space="preserve"> billion </w:t>
      </w:r>
      <w:r w:rsidR="00205E59">
        <w:rPr>
          <w:rFonts w:ascii="Times New Roman" w:hAnsi="Times New Roman"/>
          <w:noProof/>
          <w:color w:val="auto"/>
          <w:sz w:val="24"/>
          <w:szCs w:val="24"/>
        </w:rPr>
        <w:t>(total project costs)</w:t>
      </w:r>
      <w:r w:rsidR="00205E59" w:rsidRPr="00944934">
        <w:rPr>
          <w:rFonts w:ascii="Times New Roman" w:hAnsi="Times New Roman"/>
          <w:noProof/>
          <w:color w:val="auto"/>
          <w:sz w:val="24"/>
          <w:szCs w:val="24"/>
        </w:rPr>
        <w:t>.</w:t>
      </w:r>
    </w:p>
    <w:p w14:paraId="08D06915" w14:textId="77777777" w:rsidR="008466BA" w:rsidRPr="008466BA" w:rsidRDefault="008466BA" w:rsidP="008466BA">
      <w:pPr>
        <w:rPr>
          <w:noProof/>
          <w:color w:val="000000"/>
          <w:highlight w:val="yellow"/>
          <w:lang w:val="en-GB"/>
        </w:rPr>
      </w:pPr>
    </w:p>
    <w:p w14:paraId="08D06916" w14:textId="77777777" w:rsidR="009C72B8" w:rsidRDefault="009C72B8" w:rsidP="009C72B8">
      <w:pPr>
        <w:rPr>
          <w:noProof/>
          <w:color w:val="1F497D"/>
          <w:lang w:val="en-GB"/>
        </w:rPr>
        <w:sectPr w:rsidR="009C72B8" w:rsidSect="003B2ED8">
          <w:headerReference w:type="even" r:id="rId19"/>
          <w:headerReference w:type="default" r:id="rId20"/>
          <w:footerReference w:type="even" r:id="rId21"/>
          <w:footerReference w:type="default" r:id="rId22"/>
          <w:headerReference w:type="first" r:id="rId23"/>
          <w:footerReference w:type="first" r:id="rId24"/>
          <w:pgSz w:w="11900" w:h="16840"/>
          <w:pgMar w:top="1417" w:right="1417" w:bottom="1276" w:left="1417" w:header="708" w:footer="708" w:gutter="0"/>
          <w:cols w:space="720"/>
        </w:sectPr>
      </w:pPr>
    </w:p>
    <w:p w14:paraId="08D06917" w14:textId="77777777" w:rsidR="009C72B8" w:rsidRPr="00351274" w:rsidRDefault="00DB465F" w:rsidP="0028435D">
      <w:pPr>
        <w:pBdr>
          <w:top w:val="none" w:sz="0" w:space="0" w:color="auto"/>
          <w:left w:val="none" w:sz="0" w:space="0" w:color="auto"/>
          <w:bottom w:val="none" w:sz="0" w:space="0" w:color="auto"/>
          <w:right w:val="none" w:sz="0" w:space="0" w:color="auto"/>
          <w:between w:val="none" w:sz="0" w:space="0" w:color="auto"/>
          <w:bar w:val="none" w:sz="0" w:color="auto"/>
        </w:pBdr>
        <w:spacing w:after="120"/>
        <w:rPr>
          <w:i/>
          <w:noProof/>
          <w:color w:val="000000" w:themeColor="text1"/>
          <w:lang w:val="en-GB"/>
        </w:rPr>
      </w:pPr>
      <w:r w:rsidRPr="00351274">
        <w:rPr>
          <w:i/>
          <w:noProof/>
          <w:color w:val="000000" w:themeColor="text1"/>
          <w:lang w:val="en-GB"/>
        </w:rPr>
        <w:t>Table 4: TEN-T expenditure per funding/financin</w:t>
      </w:r>
      <w:r w:rsidR="00525983">
        <w:rPr>
          <w:i/>
          <w:noProof/>
          <w:color w:val="000000" w:themeColor="text1"/>
          <w:lang w:val="en-GB"/>
        </w:rPr>
        <w:t>g source by Member State in 2018+2019</w:t>
      </w:r>
      <w:r w:rsidRPr="00351274">
        <w:rPr>
          <w:i/>
          <w:noProof/>
          <w:color w:val="000000" w:themeColor="text1"/>
          <w:lang w:val="en-GB"/>
        </w:rPr>
        <w:t xml:space="preserve"> in MEUR </w:t>
      </w:r>
    </w:p>
    <w:tbl>
      <w:tblPr>
        <w:tblW w:w="14860" w:type="dxa"/>
        <w:tblInd w:w="118" w:type="dxa"/>
        <w:tblLook w:val="04A0" w:firstRow="1" w:lastRow="0" w:firstColumn="1" w:lastColumn="0" w:noHBand="0" w:noVBand="1"/>
      </w:tblPr>
      <w:tblGrid>
        <w:gridCol w:w="14860"/>
      </w:tblGrid>
      <w:tr w:rsidR="009C4D10" w:rsidRPr="002533E6" w14:paraId="08D069FF" w14:textId="77777777" w:rsidTr="009C4D10">
        <w:trPr>
          <w:trHeight w:val="615"/>
        </w:trPr>
        <w:tc>
          <w:tcPr>
            <w:tcW w:w="14860" w:type="dxa"/>
            <w:tcBorders>
              <w:top w:val="nil"/>
              <w:left w:val="nil"/>
              <w:bottom w:val="nil"/>
              <w:right w:val="nil"/>
            </w:tcBorders>
            <w:shd w:val="clear" w:color="auto" w:fill="auto"/>
            <w:vAlign w:val="bottom"/>
            <w:hideMark/>
          </w:tcPr>
          <w:tbl>
            <w:tblPr>
              <w:tblW w:w="13478" w:type="dxa"/>
              <w:tblCellMar>
                <w:left w:w="70" w:type="dxa"/>
                <w:right w:w="70" w:type="dxa"/>
              </w:tblCellMar>
              <w:tblLook w:val="04A0" w:firstRow="1" w:lastRow="0" w:firstColumn="1" w:lastColumn="0" w:noHBand="0" w:noVBand="1"/>
            </w:tblPr>
            <w:tblGrid>
              <w:gridCol w:w="2590"/>
              <w:gridCol w:w="2868"/>
              <w:gridCol w:w="1925"/>
              <w:gridCol w:w="2031"/>
              <w:gridCol w:w="1938"/>
              <w:gridCol w:w="2126"/>
            </w:tblGrid>
            <w:tr w:rsidR="00346D53" w:rsidRPr="00346D53" w14:paraId="08D06919" w14:textId="77777777" w:rsidTr="004A21E3">
              <w:trPr>
                <w:trHeight w:val="615"/>
              </w:trPr>
              <w:tc>
                <w:tcPr>
                  <w:tcW w:w="13478" w:type="dxa"/>
                  <w:gridSpan w:val="6"/>
                  <w:tcBorders>
                    <w:top w:val="single" w:sz="12" w:space="0" w:color="auto"/>
                    <w:left w:val="single" w:sz="12" w:space="0" w:color="auto"/>
                    <w:bottom w:val="single" w:sz="8" w:space="0" w:color="auto"/>
                    <w:right w:val="single" w:sz="12" w:space="0" w:color="auto"/>
                  </w:tcBorders>
                  <w:shd w:val="clear" w:color="000000" w:fill="A6A6A6"/>
                  <w:vAlign w:val="center"/>
                  <w:hideMark/>
                </w:tcPr>
                <w:p w14:paraId="08D06918" w14:textId="77777777" w:rsidR="00346D53" w:rsidRPr="00346D53" w:rsidRDefault="00346D53" w:rsidP="005259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8"/>
                      <w:szCs w:val="28"/>
                      <w:bdr w:val="none" w:sz="0" w:space="0" w:color="auto"/>
                      <w:lang w:val="en-IE" w:eastAsia="fr-BE"/>
                    </w:rPr>
                  </w:pPr>
                  <w:r w:rsidRPr="00346D53">
                    <w:rPr>
                      <w:rFonts w:eastAsia="Times New Roman"/>
                      <w:b/>
                      <w:bCs/>
                      <w:noProof/>
                      <w:color w:val="000000"/>
                      <w:sz w:val="28"/>
                      <w:szCs w:val="28"/>
                      <w:bdr w:val="none" w:sz="0" w:space="0" w:color="auto"/>
                      <w:lang w:val="en-IE" w:eastAsia="fr-BE"/>
                    </w:rPr>
                    <w:t>TEN-T expenditure per funding/financin</w:t>
                  </w:r>
                  <w:r w:rsidR="00525983">
                    <w:rPr>
                      <w:rFonts w:eastAsia="Times New Roman"/>
                      <w:b/>
                      <w:bCs/>
                      <w:noProof/>
                      <w:color w:val="000000"/>
                      <w:sz w:val="28"/>
                      <w:szCs w:val="28"/>
                      <w:bdr w:val="none" w:sz="0" w:space="0" w:color="auto"/>
                      <w:lang w:val="en-IE" w:eastAsia="fr-BE"/>
                    </w:rPr>
                    <w:t>g source by Member State in 2018</w:t>
                  </w:r>
                  <w:r w:rsidR="00285641">
                    <w:rPr>
                      <w:rFonts w:eastAsia="Times New Roman"/>
                      <w:b/>
                      <w:bCs/>
                      <w:noProof/>
                      <w:color w:val="000000"/>
                      <w:sz w:val="28"/>
                      <w:szCs w:val="28"/>
                      <w:bdr w:val="none" w:sz="0" w:space="0" w:color="auto"/>
                      <w:lang w:val="en-IE" w:eastAsia="fr-BE"/>
                    </w:rPr>
                    <w:t>+</w:t>
                  </w:r>
                  <w:r w:rsidRPr="00346D53">
                    <w:rPr>
                      <w:rFonts w:eastAsia="Times New Roman"/>
                      <w:b/>
                      <w:bCs/>
                      <w:noProof/>
                      <w:color w:val="000000"/>
                      <w:sz w:val="28"/>
                      <w:szCs w:val="28"/>
                      <w:bdr w:val="none" w:sz="0" w:space="0" w:color="auto"/>
                      <w:lang w:val="en-IE" w:eastAsia="fr-BE"/>
                    </w:rPr>
                    <w:t>201</w:t>
                  </w:r>
                  <w:r w:rsidR="00525983">
                    <w:rPr>
                      <w:rFonts w:eastAsia="Times New Roman"/>
                      <w:b/>
                      <w:bCs/>
                      <w:noProof/>
                      <w:color w:val="000000"/>
                      <w:sz w:val="28"/>
                      <w:szCs w:val="28"/>
                      <w:bdr w:val="none" w:sz="0" w:space="0" w:color="auto"/>
                      <w:lang w:val="en-IE" w:eastAsia="fr-BE"/>
                    </w:rPr>
                    <w:t>9</w:t>
                  </w:r>
                  <w:r w:rsidRPr="00346D53">
                    <w:rPr>
                      <w:rFonts w:eastAsia="Times New Roman"/>
                      <w:b/>
                      <w:bCs/>
                      <w:noProof/>
                      <w:color w:val="000000"/>
                      <w:sz w:val="28"/>
                      <w:szCs w:val="28"/>
                      <w:bdr w:val="none" w:sz="0" w:space="0" w:color="auto"/>
                      <w:lang w:val="en-IE" w:eastAsia="fr-BE"/>
                    </w:rPr>
                    <w:t xml:space="preserve"> in MEUR</w:t>
                  </w:r>
                  <w:r w:rsidR="003C5AC7">
                    <w:rPr>
                      <w:rFonts w:eastAsia="Times New Roman"/>
                      <w:b/>
                      <w:bCs/>
                      <w:noProof/>
                      <w:color w:val="000000"/>
                      <w:sz w:val="28"/>
                      <w:szCs w:val="28"/>
                      <w:bdr w:val="none" w:sz="0" w:space="0" w:color="auto"/>
                      <w:lang w:val="en-IE" w:eastAsia="fr-BE"/>
                    </w:rPr>
                    <w:t>*</w:t>
                  </w:r>
                </w:p>
              </w:tc>
            </w:tr>
            <w:tr w:rsidR="00F56052" w:rsidRPr="00346D53" w14:paraId="08D06920" w14:textId="77777777" w:rsidTr="004A21E3">
              <w:trPr>
                <w:trHeight w:val="495"/>
              </w:trPr>
              <w:tc>
                <w:tcPr>
                  <w:tcW w:w="2590" w:type="dxa"/>
                  <w:vMerge w:val="restart"/>
                  <w:tcBorders>
                    <w:top w:val="nil"/>
                    <w:left w:val="single" w:sz="12" w:space="0" w:color="auto"/>
                    <w:bottom w:val="single" w:sz="8" w:space="0" w:color="000000"/>
                    <w:right w:val="single" w:sz="8" w:space="0" w:color="auto"/>
                  </w:tcBorders>
                  <w:shd w:val="clear" w:color="000000" w:fill="D9D9D9"/>
                  <w:noWrap/>
                  <w:vAlign w:val="center"/>
                  <w:hideMark/>
                </w:tcPr>
                <w:p w14:paraId="08D0691A" w14:textId="77777777" w:rsidR="00F56052" w:rsidRPr="00346D53" w:rsidRDefault="00F56052" w:rsidP="00F5605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fr-BE" w:eastAsia="fr-BE"/>
                    </w:rPr>
                  </w:pPr>
                  <w:r w:rsidRPr="00346D53">
                    <w:rPr>
                      <w:rFonts w:eastAsia="Times New Roman"/>
                      <w:b/>
                      <w:bCs/>
                      <w:noProof/>
                      <w:color w:val="000000"/>
                      <w:sz w:val="25"/>
                      <w:szCs w:val="25"/>
                      <w:bdr w:val="none" w:sz="0" w:space="0" w:color="auto"/>
                      <w:lang w:val="fr-BE" w:eastAsia="fr-BE"/>
                    </w:rPr>
                    <w:t>Member States</w:t>
                  </w:r>
                </w:p>
              </w:tc>
              <w:tc>
                <w:tcPr>
                  <w:tcW w:w="2868" w:type="dxa"/>
                  <w:vMerge w:val="restart"/>
                  <w:tcBorders>
                    <w:top w:val="nil"/>
                    <w:left w:val="single" w:sz="8" w:space="0" w:color="auto"/>
                    <w:bottom w:val="single" w:sz="8" w:space="0" w:color="000000"/>
                    <w:right w:val="single" w:sz="8" w:space="0" w:color="95B3D7" w:themeColor="accent1" w:themeTint="99"/>
                  </w:tcBorders>
                  <w:shd w:val="clear" w:color="000000" w:fill="8497B0"/>
                  <w:vAlign w:val="center"/>
                  <w:hideMark/>
                </w:tcPr>
                <w:p w14:paraId="08D0691B" w14:textId="77777777" w:rsidR="00F56052" w:rsidRPr="00346D53" w:rsidRDefault="00F56052" w:rsidP="00F5605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en-IE" w:eastAsia="fr-BE"/>
                    </w:rPr>
                  </w:pPr>
                  <w:r w:rsidRPr="00346D53">
                    <w:rPr>
                      <w:rFonts w:eastAsia="Times New Roman"/>
                      <w:b/>
                      <w:bCs/>
                      <w:noProof/>
                      <w:color w:val="000000"/>
                      <w:sz w:val="25"/>
                      <w:szCs w:val="25"/>
                      <w:bdr w:val="none" w:sz="0" w:space="0" w:color="auto"/>
                      <w:lang w:val="en-IE" w:eastAsia="fr-BE"/>
                    </w:rPr>
                    <w:t>National budgets incl. EU funds recei</w:t>
                  </w:r>
                  <w:r>
                    <w:rPr>
                      <w:rFonts w:eastAsia="Times New Roman"/>
                      <w:b/>
                      <w:bCs/>
                      <w:noProof/>
                      <w:color w:val="000000"/>
                      <w:sz w:val="25"/>
                      <w:szCs w:val="25"/>
                      <w:bdr w:val="none" w:sz="0" w:space="0" w:color="auto"/>
                      <w:lang w:val="en-IE" w:eastAsia="fr-BE"/>
                    </w:rPr>
                    <w:t>ved                        (2018+2019</w:t>
                  </w:r>
                  <w:r w:rsidRPr="00346D53">
                    <w:rPr>
                      <w:rFonts w:eastAsia="Times New Roman"/>
                      <w:b/>
                      <w:bCs/>
                      <w:noProof/>
                      <w:color w:val="000000"/>
                      <w:sz w:val="25"/>
                      <w:szCs w:val="25"/>
                      <w:bdr w:val="none" w:sz="0" w:space="0" w:color="auto"/>
                      <w:lang w:val="en-IE" w:eastAsia="fr-BE"/>
                    </w:rPr>
                    <w:t>)</w:t>
                  </w:r>
                </w:p>
              </w:tc>
              <w:tc>
                <w:tcPr>
                  <w:tcW w:w="1925" w:type="dxa"/>
                  <w:tcBorders>
                    <w:top w:val="nil"/>
                    <w:left w:val="single" w:sz="8" w:space="0" w:color="95B3D7" w:themeColor="accent1" w:themeTint="99"/>
                    <w:bottom w:val="single" w:sz="8" w:space="0" w:color="auto"/>
                    <w:right w:val="nil"/>
                  </w:tcBorders>
                  <w:shd w:val="clear" w:color="000000" w:fill="8497B0"/>
                  <w:vAlign w:val="center"/>
                  <w:hideMark/>
                </w:tcPr>
                <w:p w14:paraId="08D0691C" w14:textId="77777777" w:rsidR="00F56052" w:rsidRPr="00346D53" w:rsidRDefault="00F56052" w:rsidP="00F560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5"/>
                      <w:szCs w:val="25"/>
                      <w:bdr w:val="none" w:sz="0" w:space="0" w:color="auto"/>
                      <w:lang w:val="en-IE" w:eastAsia="fr-BE"/>
                    </w:rPr>
                  </w:pPr>
                  <w:r w:rsidRPr="00346D53">
                    <w:rPr>
                      <w:rFonts w:eastAsia="Times New Roman"/>
                      <w:b/>
                      <w:bCs/>
                      <w:noProof/>
                      <w:color w:val="000000"/>
                      <w:sz w:val="25"/>
                      <w:szCs w:val="25"/>
                      <w:bdr w:val="none" w:sz="0" w:space="0" w:color="auto"/>
                      <w:lang w:val="en-IE" w:eastAsia="fr-BE"/>
                    </w:rPr>
                    <w:t> </w:t>
                  </w:r>
                </w:p>
              </w:tc>
              <w:tc>
                <w:tcPr>
                  <w:tcW w:w="2031" w:type="dxa"/>
                  <w:tcBorders>
                    <w:top w:val="nil"/>
                    <w:left w:val="nil"/>
                    <w:bottom w:val="single" w:sz="8" w:space="0" w:color="auto"/>
                    <w:right w:val="nil"/>
                  </w:tcBorders>
                  <w:shd w:val="clear" w:color="000000" w:fill="8497B0"/>
                  <w:vAlign w:val="center"/>
                  <w:hideMark/>
                </w:tcPr>
                <w:p w14:paraId="08D0691D" w14:textId="77777777" w:rsidR="00F56052" w:rsidRPr="00346D53" w:rsidRDefault="00F56052" w:rsidP="00F560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5"/>
                      <w:szCs w:val="25"/>
                      <w:bdr w:val="none" w:sz="0" w:space="0" w:color="auto"/>
                      <w:lang w:val="en-IE" w:eastAsia="fr-BE"/>
                    </w:rPr>
                  </w:pPr>
                  <w:r w:rsidRPr="00346D53">
                    <w:rPr>
                      <w:rFonts w:eastAsia="Times New Roman"/>
                      <w:b/>
                      <w:bCs/>
                      <w:noProof/>
                      <w:color w:val="000000"/>
                      <w:sz w:val="25"/>
                      <w:szCs w:val="25"/>
                      <w:bdr w:val="none" w:sz="0" w:space="0" w:color="auto"/>
                      <w:lang w:val="en-IE" w:eastAsia="fr-BE"/>
                    </w:rPr>
                    <w:t> </w:t>
                  </w:r>
                </w:p>
              </w:tc>
              <w:tc>
                <w:tcPr>
                  <w:tcW w:w="1938" w:type="dxa"/>
                  <w:vMerge w:val="restart"/>
                  <w:tcBorders>
                    <w:top w:val="nil"/>
                    <w:left w:val="single" w:sz="8" w:space="0" w:color="auto"/>
                    <w:bottom w:val="single" w:sz="8" w:space="0" w:color="000000"/>
                    <w:right w:val="single" w:sz="4" w:space="0" w:color="auto"/>
                  </w:tcBorders>
                  <w:shd w:val="clear" w:color="000000" w:fill="D9D9D9"/>
                  <w:vAlign w:val="center"/>
                  <w:hideMark/>
                </w:tcPr>
                <w:p w14:paraId="08D0691E" w14:textId="77777777" w:rsidR="00F56052" w:rsidRPr="00B92551" w:rsidRDefault="00F56052" w:rsidP="00F5605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en-IE" w:eastAsia="fr-BE"/>
                    </w:rPr>
                  </w:pPr>
                  <w:r w:rsidRPr="00B92551">
                    <w:rPr>
                      <w:rFonts w:eastAsia="Times New Roman"/>
                      <w:b/>
                      <w:bCs/>
                      <w:noProof/>
                      <w:color w:val="000000"/>
                      <w:sz w:val="25"/>
                      <w:szCs w:val="25"/>
                      <w:bdr w:val="none" w:sz="0" w:space="0" w:color="auto"/>
                      <w:lang w:val="en-IE" w:eastAsia="fr-BE"/>
                    </w:rPr>
                    <w:t xml:space="preserve">EIB loans                                      </w:t>
                  </w:r>
                  <w:r>
                    <w:rPr>
                      <w:rFonts w:eastAsia="Times New Roman"/>
                      <w:b/>
                      <w:bCs/>
                      <w:noProof/>
                      <w:color w:val="000000"/>
                      <w:sz w:val="25"/>
                      <w:szCs w:val="25"/>
                      <w:bdr w:val="none" w:sz="0" w:space="0" w:color="auto"/>
                      <w:lang w:val="en-IE" w:eastAsia="fr-BE"/>
                    </w:rPr>
                    <w:t>(2018+2019</w:t>
                  </w:r>
                  <w:r w:rsidRPr="00346D53">
                    <w:rPr>
                      <w:rFonts w:eastAsia="Times New Roman"/>
                      <w:b/>
                      <w:bCs/>
                      <w:noProof/>
                      <w:color w:val="000000"/>
                      <w:sz w:val="25"/>
                      <w:szCs w:val="25"/>
                      <w:bdr w:val="none" w:sz="0" w:space="0" w:color="auto"/>
                      <w:lang w:val="en-IE" w:eastAsia="fr-BE"/>
                    </w:rPr>
                    <w:t>)</w:t>
                  </w:r>
                </w:p>
              </w:tc>
              <w:tc>
                <w:tcPr>
                  <w:tcW w:w="2126" w:type="dxa"/>
                  <w:vMerge w:val="restart"/>
                  <w:tcBorders>
                    <w:top w:val="nil"/>
                    <w:left w:val="nil"/>
                    <w:bottom w:val="single" w:sz="8" w:space="0" w:color="000000"/>
                    <w:right w:val="single" w:sz="12" w:space="0" w:color="auto"/>
                  </w:tcBorders>
                  <w:shd w:val="clear" w:color="000000" w:fill="D9D9D9"/>
                  <w:vAlign w:val="center"/>
                  <w:hideMark/>
                </w:tcPr>
                <w:p w14:paraId="08D0691F" w14:textId="77777777" w:rsidR="00F56052" w:rsidRPr="00B92551" w:rsidRDefault="00F56052" w:rsidP="00F5605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en-IE" w:eastAsia="fr-BE"/>
                    </w:rPr>
                  </w:pPr>
                  <w:r w:rsidRPr="00B92551">
                    <w:rPr>
                      <w:rFonts w:eastAsia="Times New Roman"/>
                      <w:b/>
                      <w:bCs/>
                      <w:noProof/>
                      <w:color w:val="000000"/>
                      <w:sz w:val="25"/>
                      <w:szCs w:val="25"/>
                      <w:bdr w:val="none" w:sz="0" w:space="0" w:color="auto"/>
                      <w:lang w:val="en-IE" w:eastAsia="fr-BE"/>
                    </w:rPr>
                    <w:t>Total in MEUR</w:t>
                  </w:r>
                </w:p>
              </w:tc>
            </w:tr>
            <w:tr w:rsidR="00346D53" w:rsidRPr="00346D53" w14:paraId="08D06927" w14:textId="77777777" w:rsidTr="004A21E3">
              <w:trPr>
                <w:trHeight w:val="660"/>
              </w:trPr>
              <w:tc>
                <w:tcPr>
                  <w:tcW w:w="2590" w:type="dxa"/>
                  <w:vMerge/>
                  <w:tcBorders>
                    <w:top w:val="nil"/>
                    <w:left w:val="single" w:sz="12" w:space="0" w:color="auto"/>
                    <w:bottom w:val="single" w:sz="8" w:space="0" w:color="000000"/>
                    <w:right w:val="single" w:sz="8" w:space="0" w:color="auto"/>
                  </w:tcBorders>
                  <w:vAlign w:val="center"/>
                  <w:hideMark/>
                </w:tcPr>
                <w:p w14:paraId="08D06921" w14:textId="77777777" w:rsidR="00346D53" w:rsidRPr="00B92551" w:rsidRDefault="00346D53" w:rsidP="00346D5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8"/>
                      <w:szCs w:val="28"/>
                      <w:bdr w:val="none" w:sz="0" w:space="0" w:color="auto"/>
                      <w:lang w:val="en-IE" w:eastAsia="fr-BE"/>
                    </w:rPr>
                  </w:pPr>
                </w:p>
              </w:tc>
              <w:tc>
                <w:tcPr>
                  <w:tcW w:w="2868" w:type="dxa"/>
                  <w:vMerge/>
                  <w:tcBorders>
                    <w:top w:val="nil"/>
                    <w:left w:val="single" w:sz="8" w:space="0" w:color="auto"/>
                    <w:bottom w:val="single" w:sz="8" w:space="0" w:color="000000"/>
                    <w:right w:val="nil"/>
                  </w:tcBorders>
                  <w:vAlign w:val="center"/>
                  <w:hideMark/>
                </w:tcPr>
                <w:p w14:paraId="08D06922" w14:textId="77777777" w:rsidR="00346D53" w:rsidRPr="00B92551" w:rsidRDefault="00346D53" w:rsidP="00346D5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6"/>
                      <w:szCs w:val="26"/>
                      <w:bdr w:val="none" w:sz="0" w:space="0" w:color="auto"/>
                      <w:lang w:val="en-IE" w:eastAsia="fr-BE"/>
                    </w:rPr>
                  </w:pPr>
                </w:p>
              </w:tc>
              <w:tc>
                <w:tcPr>
                  <w:tcW w:w="1925" w:type="dxa"/>
                  <w:tcBorders>
                    <w:top w:val="nil"/>
                    <w:left w:val="single" w:sz="8" w:space="0" w:color="auto"/>
                    <w:bottom w:val="single" w:sz="8" w:space="0" w:color="auto"/>
                    <w:right w:val="single" w:sz="8" w:space="0" w:color="auto"/>
                  </w:tcBorders>
                  <w:shd w:val="clear" w:color="000000" w:fill="ACB9CA"/>
                  <w:vAlign w:val="center"/>
                  <w:hideMark/>
                </w:tcPr>
                <w:p w14:paraId="08D06923" w14:textId="77777777" w:rsidR="00346D53" w:rsidRPr="00B92551" w:rsidRDefault="00346D53" w:rsidP="00346D5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en-IE" w:eastAsia="fr-BE"/>
                    </w:rPr>
                  </w:pPr>
                  <w:r w:rsidRPr="00B92551">
                    <w:rPr>
                      <w:rFonts w:eastAsia="Times New Roman"/>
                      <w:b/>
                      <w:bCs/>
                      <w:noProof/>
                      <w:color w:val="000000"/>
                      <w:sz w:val="25"/>
                      <w:szCs w:val="25"/>
                      <w:bdr w:val="none" w:sz="0" w:space="0" w:color="auto"/>
                      <w:lang w:val="en-IE" w:eastAsia="fr-BE"/>
                    </w:rPr>
                    <w:t>CEF funding</w:t>
                  </w:r>
                </w:p>
              </w:tc>
              <w:tc>
                <w:tcPr>
                  <w:tcW w:w="2031" w:type="dxa"/>
                  <w:tcBorders>
                    <w:top w:val="nil"/>
                    <w:left w:val="single" w:sz="4" w:space="0" w:color="auto"/>
                    <w:bottom w:val="single" w:sz="8" w:space="0" w:color="auto"/>
                    <w:right w:val="single" w:sz="8" w:space="0" w:color="auto"/>
                  </w:tcBorders>
                  <w:shd w:val="clear" w:color="000000" w:fill="ACB9CA"/>
                  <w:vAlign w:val="center"/>
                  <w:hideMark/>
                </w:tcPr>
                <w:p w14:paraId="08D06924" w14:textId="77777777" w:rsidR="00346D53" w:rsidRPr="00B92551" w:rsidRDefault="00346D53" w:rsidP="00346D5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color w:val="000000"/>
                      <w:sz w:val="25"/>
                      <w:szCs w:val="25"/>
                      <w:bdr w:val="none" w:sz="0" w:space="0" w:color="auto"/>
                      <w:lang w:val="en-IE" w:eastAsia="fr-BE"/>
                    </w:rPr>
                  </w:pPr>
                  <w:r w:rsidRPr="00B92551">
                    <w:rPr>
                      <w:rFonts w:eastAsia="Times New Roman"/>
                      <w:b/>
                      <w:bCs/>
                      <w:noProof/>
                      <w:color w:val="000000"/>
                      <w:sz w:val="25"/>
                      <w:szCs w:val="25"/>
                      <w:bdr w:val="none" w:sz="0" w:space="0" w:color="auto"/>
                      <w:lang w:val="en-IE" w:eastAsia="fr-BE"/>
                    </w:rPr>
                    <w:t>ERDF+CF                                declared expenditures</w:t>
                  </w:r>
                </w:p>
              </w:tc>
              <w:tc>
                <w:tcPr>
                  <w:tcW w:w="1938" w:type="dxa"/>
                  <w:vMerge/>
                  <w:tcBorders>
                    <w:top w:val="nil"/>
                    <w:left w:val="single" w:sz="8" w:space="0" w:color="auto"/>
                    <w:bottom w:val="single" w:sz="8" w:space="0" w:color="000000"/>
                    <w:right w:val="single" w:sz="4" w:space="0" w:color="auto"/>
                  </w:tcBorders>
                  <w:vAlign w:val="center"/>
                  <w:hideMark/>
                </w:tcPr>
                <w:p w14:paraId="08D06925" w14:textId="77777777" w:rsidR="00346D53" w:rsidRPr="00B92551" w:rsidRDefault="00346D53" w:rsidP="00346D5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bdr w:val="none" w:sz="0" w:space="0" w:color="auto"/>
                      <w:lang w:val="en-IE" w:eastAsia="fr-BE"/>
                    </w:rPr>
                  </w:pPr>
                </w:p>
              </w:tc>
              <w:tc>
                <w:tcPr>
                  <w:tcW w:w="2126" w:type="dxa"/>
                  <w:vMerge/>
                  <w:tcBorders>
                    <w:top w:val="nil"/>
                    <w:left w:val="nil"/>
                    <w:bottom w:val="single" w:sz="8" w:space="0" w:color="000000"/>
                    <w:right w:val="single" w:sz="12" w:space="0" w:color="auto"/>
                  </w:tcBorders>
                  <w:vAlign w:val="center"/>
                  <w:hideMark/>
                </w:tcPr>
                <w:p w14:paraId="08D06926" w14:textId="77777777" w:rsidR="00346D53" w:rsidRPr="00B92551" w:rsidRDefault="00346D53" w:rsidP="00346D5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8"/>
                      <w:szCs w:val="28"/>
                      <w:bdr w:val="none" w:sz="0" w:space="0" w:color="auto"/>
                      <w:lang w:val="en-IE" w:eastAsia="fr-BE"/>
                    </w:rPr>
                  </w:pPr>
                </w:p>
              </w:tc>
            </w:tr>
            <w:tr w:rsidR="00563562" w:rsidRPr="00346D53" w14:paraId="08D0692E"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28"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sidRPr="00B92551">
                    <w:rPr>
                      <w:rFonts w:eastAsia="Times New Roman"/>
                      <w:b/>
                      <w:bCs/>
                      <w:noProof/>
                      <w:color w:val="000000"/>
                      <w:bdr w:val="none" w:sz="0" w:space="0" w:color="auto"/>
                      <w:lang w:val="en-IE" w:eastAsia="fr-BE"/>
                    </w:rPr>
                    <w:t>AT</w:t>
                  </w:r>
                  <w:r w:rsidRPr="00B92551">
                    <w:rPr>
                      <w:rFonts w:eastAsia="Times New Roman"/>
                      <w:noProof/>
                      <w:color w:val="000000"/>
                      <w:bdr w:val="none" w:sz="0" w:space="0" w:color="auto"/>
                      <w:lang w:val="en-IE" w:eastAsia="fr-BE"/>
                    </w:rPr>
                    <w:t xml:space="preserve"> (Austria)</w:t>
                  </w:r>
                </w:p>
              </w:tc>
              <w:tc>
                <w:tcPr>
                  <w:tcW w:w="2868" w:type="dxa"/>
                  <w:tcBorders>
                    <w:top w:val="nil"/>
                    <w:left w:val="nil"/>
                    <w:bottom w:val="single" w:sz="4" w:space="0" w:color="auto"/>
                    <w:right w:val="single" w:sz="4" w:space="0" w:color="auto"/>
                  </w:tcBorders>
                  <w:shd w:val="clear" w:color="000000" w:fill="FFFFFF"/>
                  <w:noWrap/>
                  <w:hideMark/>
                </w:tcPr>
                <w:p w14:paraId="08D06929"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3 995</w:t>
                  </w:r>
                </w:p>
              </w:tc>
              <w:tc>
                <w:tcPr>
                  <w:tcW w:w="1925" w:type="dxa"/>
                  <w:tcBorders>
                    <w:top w:val="nil"/>
                    <w:left w:val="nil"/>
                    <w:bottom w:val="single" w:sz="4" w:space="0" w:color="auto"/>
                    <w:right w:val="single" w:sz="4" w:space="0" w:color="auto"/>
                  </w:tcBorders>
                  <w:shd w:val="clear" w:color="000000" w:fill="FFFFFF"/>
                  <w:noWrap/>
                  <w:hideMark/>
                </w:tcPr>
                <w:p w14:paraId="08D0692A"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182</w:t>
                  </w:r>
                </w:p>
              </w:tc>
              <w:tc>
                <w:tcPr>
                  <w:tcW w:w="2031" w:type="dxa"/>
                  <w:tcBorders>
                    <w:top w:val="nil"/>
                    <w:left w:val="nil"/>
                    <w:bottom w:val="single" w:sz="4" w:space="0" w:color="auto"/>
                    <w:right w:val="single" w:sz="4" w:space="0" w:color="auto"/>
                  </w:tcBorders>
                  <w:shd w:val="clear" w:color="auto" w:fill="auto"/>
                  <w:noWrap/>
                  <w:hideMark/>
                </w:tcPr>
                <w:p w14:paraId="08D0692B"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p>
              </w:tc>
              <w:tc>
                <w:tcPr>
                  <w:tcW w:w="1938" w:type="dxa"/>
                  <w:tcBorders>
                    <w:top w:val="nil"/>
                    <w:left w:val="nil"/>
                    <w:bottom w:val="single" w:sz="4" w:space="0" w:color="auto"/>
                    <w:right w:val="single" w:sz="4" w:space="0" w:color="auto"/>
                  </w:tcBorders>
                  <w:shd w:val="clear" w:color="auto" w:fill="auto"/>
                  <w:noWrap/>
                  <w:hideMark/>
                </w:tcPr>
                <w:p w14:paraId="08D0692C"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sidRPr="00155092">
                    <w:rPr>
                      <w:noProof/>
                    </w:rPr>
                    <w:t xml:space="preserve">   159</w:t>
                  </w:r>
                </w:p>
              </w:tc>
              <w:tc>
                <w:tcPr>
                  <w:tcW w:w="2126" w:type="dxa"/>
                  <w:tcBorders>
                    <w:top w:val="nil"/>
                    <w:left w:val="nil"/>
                    <w:bottom w:val="single" w:sz="4" w:space="0" w:color="auto"/>
                    <w:right w:val="single" w:sz="12" w:space="0" w:color="auto"/>
                  </w:tcBorders>
                  <w:shd w:val="clear" w:color="auto" w:fill="auto"/>
                  <w:noWrap/>
                  <w:hideMark/>
                </w:tcPr>
                <w:p w14:paraId="08D0692D"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4 154</w:t>
                  </w:r>
                </w:p>
              </w:tc>
            </w:tr>
            <w:tr w:rsidR="00563562" w:rsidRPr="007765BF" w14:paraId="08D06935"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2F"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sidRPr="00B92551">
                    <w:rPr>
                      <w:rFonts w:eastAsia="Times New Roman"/>
                      <w:b/>
                      <w:bCs/>
                      <w:noProof/>
                      <w:color w:val="000000"/>
                      <w:bdr w:val="none" w:sz="0" w:space="0" w:color="auto"/>
                      <w:lang w:val="en-IE" w:eastAsia="fr-BE"/>
                    </w:rPr>
                    <w:t xml:space="preserve">BE </w:t>
                  </w:r>
                  <w:r w:rsidRPr="00B92551">
                    <w:rPr>
                      <w:rFonts w:eastAsia="Times New Roman"/>
                      <w:noProof/>
                      <w:color w:val="000000"/>
                      <w:bdr w:val="none" w:sz="0" w:space="0" w:color="auto"/>
                      <w:lang w:val="en-IE" w:eastAsia="fr-BE"/>
                    </w:rPr>
                    <w:t>(Belgium)</w:t>
                  </w:r>
                </w:p>
              </w:tc>
              <w:tc>
                <w:tcPr>
                  <w:tcW w:w="2868" w:type="dxa"/>
                  <w:tcBorders>
                    <w:top w:val="nil"/>
                    <w:left w:val="nil"/>
                    <w:bottom w:val="single" w:sz="4" w:space="0" w:color="auto"/>
                    <w:right w:val="single" w:sz="4" w:space="0" w:color="auto"/>
                  </w:tcBorders>
                  <w:shd w:val="clear" w:color="000000" w:fill="D9D9D9"/>
                  <w:noWrap/>
                  <w:hideMark/>
                </w:tcPr>
                <w:p w14:paraId="08D06930"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1 917</w:t>
                  </w:r>
                </w:p>
              </w:tc>
              <w:tc>
                <w:tcPr>
                  <w:tcW w:w="1925" w:type="dxa"/>
                  <w:tcBorders>
                    <w:top w:val="nil"/>
                    <w:left w:val="nil"/>
                    <w:bottom w:val="single" w:sz="4" w:space="0" w:color="auto"/>
                    <w:right w:val="single" w:sz="4" w:space="0" w:color="auto"/>
                  </w:tcBorders>
                  <w:shd w:val="clear" w:color="000000" w:fill="D9D9D9"/>
                  <w:noWrap/>
                  <w:hideMark/>
                </w:tcPr>
                <w:p w14:paraId="08D06931"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165</w:t>
                  </w:r>
                </w:p>
              </w:tc>
              <w:tc>
                <w:tcPr>
                  <w:tcW w:w="2031" w:type="dxa"/>
                  <w:tcBorders>
                    <w:top w:val="nil"/>
                    <w:left w:val="nil"/>
                    <w:bottom w:val="single" w:sz="4" w:space="0" w:color="auto"/>
                    <w:right w:val="single" w:sz="4" w:space="0" w:color="auto"/>
                  </w:tcBorders>
                  <w:shd w:val="clear" w:color="000000" w:fill="D9D9D9"/>
                  <w:noWrap/>
                  <w:hideMark/>
                </w:tcPr>
                <w:p w14:paraId="08D06932"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p>
              </w:tc>
              <w:tc>
                <w:tcPr>
                  <w:tcW w:w="1938" w:type="dxa"/>
                  <w:tcBorders>
                    <w:top w:val="nil"/>
                    <w:left w:val="nil"/>
                    <w:bottom w:val="single" w:sz="4" w:space="0" w:color="auto"/>
                    <w:right w:val="single" w:sz="4" w:space="0" w:color="auto"/>
                  </w:tcBorders>
                  <w:shd w:val="clear" w:color="000000" w:fill="D9D9D9"/>
                  <w:noWrap/>
                  <w:hideMark/>
                </w:tcPr>
                <w:p w14:paraId="08D06933"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458</w:t>
                  </w:r>
                </w:p>
              </w:tc>
              <w:tc>
                <w:tcPr>
                  <w:tcW w:w="2126" w:type="dxa"/>
                  <w:tcBorders>
                    <w:top w:val="nil"/>
                    <w:left w:val="nil"/>
                    <w:bottom w:val="single" w:sz="4" w:space="0" w:color="auto"/>
                    <w:right w:val="single" w:sz="12" w:space="0" w:color="auto"/>
                  </w:tcBorders>
                  <w:shd w:val="clear" w:color="000000" w:fill="D9D9D9"/>
                  <w:noWrap/>
                  <w:hideMark/>
                </w:tcPr>
                <w:p w14:paraId="08D06934"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2 375</w:t>
                  </w:r>
                </w:p>
              </w:tc>
            </w:tr>
            <w:tr w:rsidR="00563562" w:rsidRPr="007765BF" w14:paraId="08D0693C"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36"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sidRPr="00346D53">
                    <w:rPr>
                      <w:rFonts w:eastAsia="Times New Roman"/>
                      <w:b/>
                      <w:bCs/>
                      <w:noProof/>
                      <w:color w:val="000000"/>
                      <w:bdr w:val="none" w:sz="0" w:space="0" w:color="auto"/>
                      <w:lang w:val="en-IE" w:eastAsia="fr-BE"/>
                    </w:rPr>
                    <w:t>BG</w:t>
                  </w:r>
                  <w:r w:rsidRPr="00346D53">
                    <w:rPr>
                      <w:rFonts w:eastAsia="Times New Roman"/>
                      <w:noProof/>
                      <w:color w:val="000000"/>
                      <w:bdr w:val="none" w:sz="0" w:space="0" w:color="auto"/>
                      <w:lang w:val="en-IE" w:eastAsia="fr-BE"/>
                    </w:rPr>
                    <w:t xml:space="preserve"> (Bulgaria)</w:t>
                  </w:r>
                </w:p>
              </w:tc>
              <w:tc>
                <w:tcPr>
                  <w:tcW w:w="2868" w:type="dxa"/>
                  <w:tcBorders>
                    <w:top w:val="nil"/>
                    <w:left w:val="nil"/>
                    <w:bottom w:val="single" w:sz="4" w:space="0" w:color="auto"/>
                    <w:right w:val="single" w:sz="4" w:space="0" w:color="auto"/>
                  </w:tcBorders>
                  <w:shd w:val="clear" w:color="000000" w:fill="FFFFFF"/>
                  <w:noWrap/>
                  <w:hideMark/>
                </w:tcPr>
                <w:p w14:paraId="08D06937"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622</w:t>
                  </w:r>
                </w:p>
              </w:tc>
              <w:tc>
                <w:tcPr>
                  <w:tcW w:w="1925" w:type="dxa"/>
                  <w:tcBorders>
                    <w:top w:val="nil"/>
                    <w:left w:val="nil"/>
                    <w:bottom w:val="single" w:sz="4" w:space="0" w:color="auto"/>
                    <w:right w:val="single" w:sz="4" w:space="0" w:color="auto"/>
                  </w:tcBorders>
                  <w:shd w:val="clear" w:color="000000" w:fill="FFFFFF"/>
                  <w:noWrap/>
                  <w:hideMark/>
                </w:tcPr>
                <w:p w14:paraId="08D06938"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36</w:t>
                  </w:r>
                </w:p>
              </w:tc>
              <w:tc>
                <w:tcPr>
                  <w:tcW w:w="2031" w:type="dxa"/>
                  <w:tcBorders>
                    <w:top w:val="nil"/>
                    <w:left w:val="nil"/>
                    <w:bottom w:val="single" w:sz="4" w:space="0" w:color="auto"/>
                    <w:right w:val="single" w:sz="4" w:space="0" w:color="auto"/>
                  </w:tcBorders>
                  <w:shd w:val="clear" w:color="auto" w:fill="auto"/>
                  <w:noWrap/>
                  <w:hideMark/>
                </w:tcPr>
                <w:p w14:paraId="08D06939"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456</w:t>
                  </w:r>
                </w:p>
              </w:tc>
              <w:tc>
                <w:tcPr>
                  <w:tcW w:w="1938" w:type="dxa"/>
                  <w:tcBorders>
                    <w:top w:val="nil"/>
                    <w:left w:val="nil"/>
                    <w:bottom w:val="single" w:sz="4" w:space="0" w:color="auto"/>
                    <w:right w:val="single" w:sz="4" w:space="0" w:color="auto"/>
                  </w:tcBorders>
                  <w:shd w:val="clear" w:color="auto" w:fill="auto"/>
                  <w:noWrap/>
                  <w:hideMark/>
                </w:tcPr>
                <w:p w14:paraId="08D0693A"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7</w:t>
                  </w:r>
                </w:p>
              </w:tc>
              <w:tc>
                <w:tcPr>
                  <w:tcW w:w="2126" w:type="dxa"/>
                  <w:tcBorders>
                    <w:top w:val="nil"/>
                    <w:left w:val="nil"/>
                    <w:bottom w:val="single" w:sz="4" w:space="0" w:color="auto"/>
                    <w:right w:val="single" w:sz="12" w:space="0" w:color="auto"/>
                  </w:tcBorders>
                  <w:shd w:val="clear" w:color="auto" w:fill="auto"/>
                  <w:noWrap/>
                  <w:hideMark/>
                </w:tcPr>
                <w:p w14:paraId="08D0693B"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629</w:t>
                  </w:r>
                </w:p>
              </w:tc>
            </w:tr>
            <w:tr w:rsidR="00563562" w:rsidRPr="007765BF" w14:paraId="08D06943"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3D"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sidRPr="00346D53">
                    <w:rPr>
                      <w:rFonts w:eastAsia="Times New Roman"/>
                      <w:b/>
                      <w:bCs/>
                      <w:noProof/>
                      <w:color w:val="000000"/>
                      <w:bdr w:val="none" w:sz="0" w:space="0" w:color="auto"/>
                      <w:lang w:val="en-IE" w:eastAsia="fr-BE"/>
                    </w:rPr>
                    <w:t>CY</w:t>
                  </w:r>
                  <w:r w:rsidRPr="00346D53">
                    <w:rPr>
                      <w:rFonts w:eastAsia="Times New Roman"/>
                      <w:noProof/>
                      <w:color w:val="000000"/>
                      <w:bdr w:val="none" w:sz="0" w:space="0" w:color="auto"/>
                      <w:lang w:val="en-IE" w:eastAsia="fr-BE"/>
                    </w:rPr>
                    <w:t xml:space="preserve"> (Cyprus)</w:t>
                  </w:r>
                </w:p>
              </w:tc>
              <w:tc>
                <w:tcPr>
                  <w:tcW w:w="2868" w:type="dxa"/>
                  <w:tcBorders>
                    <w:top w:val="nil"/>
                    <w:left w:val="nil"/>
                    <w:bottom w:val="single" w:sz="4" w:space="0" w:color="auto"/>
                    <w:right w:val="single" w:sz="4" w:space="0" w:color="auto"/>
                  </w:tcBorders>
                  <w:shd w:val="clear" w:color="000000" w:fill="D9D9D9"/>
                  <w:noWrap/>
                  <w:hideMark/>
                </w:tcPr>
                <w:p w14:paraId="08D0693E"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44</w:t>
                  </w:r>
                </w:p>
              </w:tc>
              <w:tc>
                <w:tcPr>
                  <w:tcW w:w="1925" w:type="dxa"/>
                  <w:tcBorders>
                    <w:top w:val="nil"/>
                    <w:left w:val="nil"/>
                    <w:bottom w:val="single" w:sz="4" w:space="0" w:color="auto"/>
                    <w:right w:val="single" w:sz="4" w:space="0" w:color="auto"/>
                  </w:tcBorders>
                  <w:shd w:val="clear" w:color="000000" w:fill="D9D9D9"/>
                  <w:noWrap/>
                  <w:hideMark/>
                </w:tcPr>
                <w:p w14:paraId="08D0693F"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1</w:t>
                  </w:r>
                </w:p>
              </w:tc>
              <w:tc>
                <w:tcPr>
                  <w:tcW w:w="2031" w:type="dxa"/>
                  <w:tcBorders>
                    <w:top w:val="nil"/>
                    <w:left w:val="nil"/>
                    <w:bottom w:val="single" w:sz="4" w:space="0" w:color="auto"/>
                    <w:right w:val="single" w:sz="4" w:space="0" w:color="auto"/>
                  </w:tcBorders>
                  <w:shd w:val="clear" w:color="000000" w:fill="D9D9D9"/>
                  <w:noWrap/>
                  <w:hideMark/>
                </w:tcPr>
                <w:p w14:paraId="08D06940"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48</w:t>
                  </w:r>
                </w:p>
              </w:tc>
              <w:tc>
                <w:tcPr>
                  <w:tcW w:w="1938" w:type="dxa"/>
                  <w:tcBorders>
                    <w:top w:val="nil"/>
                    <w:left w:val="nil"/>
                    <w:bottom w:val="single" w:sz="4" w:space="0" w:color="auto"/>
                    <w:right w:val="single" w:sz="4" w:space="0" w:color="auto"/>
                  </w:tcBorders>
                  <w:shd w:val="clear" w:color="000000" w:fill="D9D9D9"/>
                  <w:noWrap/>
                  <w:hideMark/>
                </w:tcPr>
                <w:p w14:paraId="08D06941"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4</w:t>
                  </w:r>
                </w:p>
              </w:tc>
              <w:tc>
                <w:tcPr>
                  <w:tcW w:w="2126" w:type="dxa"/>
                  <w:tcBorders>
                    <w:top w:val="nil"/>
                    <w:left w:val="nil"/>
                    <w:bottom w:val="single" w:sz="4" w:space="0" w:color="auto"/>
                    <w:right w:val="single" w:sz="12" w:space="0" w:color="auto"/>
                  </w:tcBorders>
                  <w:shd w:val="clear" w:color="000000" w:fill="D9D9D9"/>
                  <w:noWrap/>
                  <w:hideMark/>
                </w:tcPr>
                <w:p w14:paraId="08D06942"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52</w:t>
                  </w:r>
                </w:p>
              </w:tc>
            </w:tr>
            <w:tr w:rsidR="00563562" w:rsidRPr="00346D53" w14:paraId="08D0694A"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44"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sidRPr="00346D53">
                    <w:rPr>
                      <w:rFonts w:eastAsia="Times New Roman"/>
                      <w:b/>
                      <w:bCs/>
                      <w:noProof/>
                      <w:color w:val="000000"/>
                      <w:bdr w:val="none" w:sz="0" w:space="0" w:color="auto"/>
                      <w:lang w:val="en-IE" w:eastAsia="fr-BE"/>
                    </w:rPr>
                    <w:t>CZ</w:t>
                  </w:r>
                  <w:r w:rsidRPr="00346D53">
                    <w:rPr>
                      <w:rFonts w:eastAsia="Times New Roman"/>
                      <w:noProof/>
                      <w:color w:val="000000"/>
                      <w:bdr w:val="none" w:sz="0" w:space="0" w:color="auto"/>
                      <w:lang w:val="en-IE" w:eastAsia="fr-BE"/>
                    </w:rPr>
                    <w:t xml:space="preserve"> (Czech Republic)</w:t>
                  </w:r>
                </w:p>
              </w:tc>
              <w:tc>
                <w:tcPr>
                  <w:tcW w:w="2868" w:type="dxa"/>
                  <w:tcBorders>
                    <w:top w:val="nil"/>
                    <w:left w:val="nil"/>
                    <w:bottom w:val="single" w:sz="4" w:space="0" w:color="auto"/>
                    <w:right w:val="single" w:sz="4" w:space="0" w:color="auto"/>
                  </w:tcBorders>
                  <w:shd w:val="clear" w:color="000000" w:fill="FFFFFF"/>
                  <w:noWrap/>
                  <w:hideMark/>
                </w:tcPr>
                <w:p w14:paraId="08D06945"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1 812</w:t>
                  </w:r>
                </w:p>
              </w:tc>
              <w:tc>
                <w:tcPr>
                  <w:tcW w:w="1925" w:type="dxa"/>
                  <w:tcBorders>
                    <w:top w:val="nil"/>
                    <w:left w:val="nil"/>
                    <w:bottom w:val="single" w:sz="4" w:space="0" w:color="auto"/>
                    <w:right w:val="single" w:sz="4" w:space="0" w:color="auto"/>
                  </w:tcBorders>
                  <w:shd w:val="clear" w:color="000000" w:fill="FFFFFF"/>
                  <w:noWrap/>
                  <w:hideMark/>
                </w:tcPr>
                <w:p w14:paraId="08D06946"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224</w:t>
                  </w:r>
                </w:p>
              </w:tc>
              <w:tc>
                <w:tcPr>
                  <w:tcW w:w="2031" w:type="dxa"/>
                  <w:tcBorders>
                    <w:top w:val="nil"/>
                    <w:left w:val="nil"/>
                    <w:bottom w:val="single" w:sz="4" w:space="0" w:color="auto"/>
                    <w:right w:val="single" w:sz="4" w:space="0" w:color="auto"/>
                  </w:tcBorders>
                  <w:shd w:val="clear" w:color="auto" w:fill="auto"/>
                  <w:noWrap/>
                  <w:hideMark/>
                </w:tcPr>
                <w:p w14:paraId="08D06947"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1 908</w:t>
                  </w:r>
                </w:p>
              </w:tc>
              <w:tc>
                <w:tcPr>
                  <w:tcW w:w="1938" w:type="dxa"/>
                  <w:tcBorders>
                    <w:top w:val="nil"/>
                    <w:left w:val="nil"/>
                    <w:bottom w:val="single" w:sz="4" w:space="0" w:color="auto"/>
                    <w:right w:val="single" w:sz="4" w:space="0" w:color="auto"/>
                  </w:tcBorders>
                  <w:shd w:val="clear" w:color="auto" w:fill="auto"/>
                  <w:noWrap/>
                  <w:hideMark/>
                </w:tcPr>
                <w:p w14:paraId="08D06948" w14:textId="77777777" w:rsidR="00563562" w:rsidRPr="00346D53"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445</w:t>
                  </w:r>
                </w:p>
              </w:tc>
              <w:tc>
                <w:tcPr>
                  <w:tcW w:w="2126" w:type="dxa"/>
                  <w:tcBorders>
                    <w:top w:val="nil"/>
                    <w:left w:val="nil"/>
                    <w:bottom w:val="single" w:sz="4" w:space="0" w:color="auto"/>
                    <w:right w:val="single" w:sz="12" w:space="0" w:color="auto"/>
                  </w:tcBorders>
                  <w:shd w:val="clear" w:color="auto" w:fill="auto"/>
                  <w:noWrap/>
                  <w:hideMark/>
                </w:tcPr>
                <w:p w14:paraId="08D06949"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2 353</w:t>
                  </w:r>
                </w:p>
              </w:tc>
            </w:tr>
            <w:tr w:rsidR="00563562" w:rsidRPr="00346D53" w14:paraId="08D06951"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4B"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sidRPr="00B92551">
                    <w:rPr>
                      <w:rFonts w:eastAsia="Times New Roman"/>
                      <w:b/>
                      <w:bCs/>
                      <w:noProof/>
                      <w:color w:val="000000"/>
                      <w:bdr w:val="none" w:sz="0" w:space="0" w:color="auto"/>
                      <w:lang w:val="en-IE" w:eastAsia="fr-BE"/>
                    </w:rPr>
                    <w:t>DE</w:t>
                  </w:r>
                  <w:r w:rsidRPr="00B92551">
                    <w:rPr>
                      <w:rFonts w:eastAsia="Times New Roman"/>
                      <w:noProof/>
                      <w:color w:val="000000"/>
                      <w:bdr w:val="none" w:sz="0" w:space="0" w:color="auto"/>
                      <w:lang w:val="en-IE" w:eastAsia="fr-BE"/>
                    </w:rPr>
                    <w:t xml:space="preserve"> (Germany)</w:t>
                  </w:r>
                </w:p>
              </w:tc>
              <w:tc>
                <w:tcPr>
                  <w:tcW w:w="2868" w:type="dxa"/>
                  <w:tcBorders>
                    <w:top w:val="nil"/>
                    <w:left w:val="nil"/>
                    <w:bottom w:val="single" w:sz="4" w:space="0" w:color="auto"/>
                    <w:right w:val="single" w:sz="4" w:space="0" w:color="auto"/>
                  </w:tcBorders>
                  <w:shd w:val="clear" w:color="000000" w:fill="D9D9D9"/>
                  <w:noWrap/>
                  <w:hideMark/>
                </w:tcPr>
                <w:p w14:paraId="08D0694C"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28 322</w:t>
                  </w:r>
                </w:p>
              </w:tc>
              <w:tc>
                <w:tcPr>
                  <w:tcW w:w="1925" w:type="dxa"/>
                  <w:tcBorders>
                    <w:top w:val="nil"/>
                    <w:left w:val="nil"/>
                    <w:bottom w:val="single" w:sz="4" w:space="0" w:color="auto"/>
                    <w:right w:val="single" w:sz="4" w:space="0" w:color="auto"/>
                  </w:tcBorders>
                  <w:shd w:val="clear" w:color="000000" w:fill="D9D9D9"/>
                  <w:noWrap/>
                  <w:hideMark/>
                </w:tcPr>
                <w:p w14:paraId="08D0694D"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708</w:t>
                  </w:r>
                </w:p>
              </w:tc>
              <w:tc>
                <w:tcPr>
                  <w:tcW w:w="2031" w:type="dxa"/>
                  <w:tcBorders>
                    <w:top w:val="nil"/>
                    <w:left w:val="nil"/>
                    <w:bottom w:val="single" w:sz="4" w:space="0" w:color="auto"/>
                    <w:right w:val="single" w:sz="4" w:space="0" w:color="auto"/>
                  </w:tcBorders>
                  <w:shd w:val="clear" w:color="000000" w:fill="D9D9D9"/>
                  <w:noWrap/>
                  <w:hideMark/>
                </w:tcPr>
                <w:p w14:paraId="08D0694E"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p>
              </w:tc>
              <w:tc>
                <w:tcPr>
                  <w:tcW w:w="1938" w:type="dxa"/>
                  <w:tcBorders>
                    <w:top w:val="nil"/>
                    <w:left w:val="nil"/>
                    <w:bottom w:val="single" w:sz="4" w:space="0" w:color="auto"/>
                    <w:right w:val="single" w:sz="4" w:space="0" w:color="auto"/>
                  </w:tcBorders>
                  <w:shd w:val="clear" w:color="000000" w:fill="D9D9D9"/>
                  <w:noWrap/>
                  <w:hideMark/>
                </w:tcPr>
                <w:p w14:paraId="08D0694F"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sidRPr="00155092">
                    <w:rPr>
                      <w:noProof/>
                    </w:rPr>
                    <w:t xml:space="preserve">   458</w:t>
                  </w:r>
                </w:p>
              </w:tc>
              <w:tc>
                <w:tcPr>
                  <w:tcW w:w="2126" w:type="dxa"/>
                  <w:tcBorders>
                    <w:top w:val="nil"/>
                    <w:left w:val="nil"/>
                    <w:bottom w:val="single" w:sz="4" w:space="0" w:color="auto"/>
                    <w:right w:val="single" w:sz="12" w:space="0" w:color="auto"/>
                  </w:tcBorders>
                  <w:shd w:val="clear" w:color="000000" w:fill="D9D9D9"/>
                  <w:noWrap/>
                  <w:hideMark/>
                </w:tcPr>
                <w:p w14:paraId="08D06950"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28 780</w:t>
                  </w:r>
                </w:p>
              </w:tc>
            </w:tr>
            <w:tr w:rsidR="00563562" w:rsidRPr="00346D53" w14:paraId="08D06958"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52"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DK</w:t>
                  </w:r>
                  <w:r w:rsidRPr="00B92551">
                    <w:rPr>
                      <w:rFonts w:eastAsia="Times New Roman"/>
                      <w:noProof/>
                      <w:bdr w:val="none" w:sz="0" w:space="0" w:color="auto"/>
                      <w:lang w:val="en-IE" w:eastAsia="fr-BE"/>
                    </w:rPr>
                    <w:t xml:space="preserve"> (Denmark)</w:t>
                  </w:r>
                </w:p>
              </w:tc>
              <w:tc>
                <w:tcPr>
                  <w:tcW w:w="2868" w:type="dxa"/>
                  <w:tcBorders>
                    <w:top w:val="nil"/>
                    <w:left w:val="nil"/>
                    <w:bottom w:val="single" w:sz="4" w:space="0" w:color="auto"/>
                    <w:right w:val="single" w:sz="4" w:space="0" w:color="auto"/>
                  </w:tcBorders>
                  <w:shd w:val="clear" w:color="000000" w:fill="FFFFFF"/>
                  <w:noWrap/>
                  <w:hideMark/>
                </w:tcPr>
                <w:p w14:paraId="08D06953"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1 532</w:t>
                  </w:r>
                </w:p>
              </w:tc>
              <w:tc>
                <w:tcPr>
                  <w:tcW w:w="1925" w:type="dxa"/>
                  <w:tcBorders>
                    <w:top w:val="nil"/>
                    <w:left w:val="nil"/>
                    <w:bottom w:val="single" w:sz="4" w:space="0" w:color="auto"/>
                    <w:right w:val="single" w:sz="4" w:space="0" w:color="auto"/>
                  </w:tcBorders>
                  <w:shd w:val="clear" w:color="000000" w:fill="FFFFFF"/>
                  <w:noWrap/>
                  <w:hideMark/>
                </w:tcPr>
                <w:p w14:paraId="08D06954"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81</w:t>
                  </w:r>
                </w:p>
              </w:tc>
              <w:tc>
                <w:tcPr>
                  <w:tcW w:w="2031" w:type="dxa"/>
                  <w:tcBorders>
                    <w:top w:val="nil"/>
                    <w:left w:val="nil"/>
                    <w:bottom w:val="single" w:sz="4" w:space="0" w:color="auto"/>
                    <w:right w:val="single" w:sz="4" w:space="0" w:color="auto"/>
                  </w:tcBorders>
                  <w:shd w:val="clear" w:color="auto" w:fill="auto"/>
                  <w:noWrap/>
                  <w:hideMark/>
                </w:tcPr>
                <w:p w14:paraId="08D06955"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p>
              </w:tc>
              <w:tc>
                <w:tcPr>
                  <w:tcW w:w="1938" w:type="dxa"/>
                  <w:tcBorders>
                    <w:top w:val="nil"/>
                    <w:left w:val="nil"/>
                    <w:bottom w:val="single" w:sz="4" w:space="0" w:color="auto"/>
                    <w:right w:val="single" w:sz="4" w:space="0" w:color="auto"/>
                  </w:tcBorders>
                  <w:shd w:val="clear" w:color="auto" w:fill="auto"/>
                  <w:noWrap/>
                  <w:hideMark/>
                </w:tcPr>
                <w:p w14:paraId="08D06956"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sidRPr="00155092">
                    <w:rPr>
                      <w:noProof/>
                    </w:rPr>
                    <w:t xml:space="preserve">   374</w:t>
                  </w:r>
                </w:p>
              </w:tc>
              <w:tc>
                <w:tcPr>
                  <w:tcW w:w="2126" w:type="dxa"/>
                  <w:tcBorders>
                    <w:top w:val="nil"/>
                    <w:left w:val="nil"/>
                    <w:bottom w:val="single" w:sz="4" w:space="0" w:color="auto"/>
                    <w:right w:val="single" w:sz="12" w:space="0" w:color="auto"/>
                  </w:tcBorders>
                  <w:shd w:val="clear" w:color="auto" w:fill="auto"/>
                  <w:noWrap/>
                  <w:hideMark/>
                </w:tcPr>
                <w:p w14:paraId="08D06957"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1 906</w:t>
                  </w:r>
                </w:p>
              </w:tc>
            </w:tr>
            <w:tr w:rsidR="00563562" w:rsidRPr="00346D53" w14:paraId="08D0695F"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59"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EE</w:t>
                  </w:r>
                  <w:r w:rsidRPr="00B92551">
                    <w:rPr>
                      <w:rFonts w:eastAsia="Times New Roman"/>
                      <w:noProof/>
                      <w:bdr w:val="none" w:sz="0" w:space="0" w:color="auto"/>
                      <w:lang w:val="en-IE" w:eastAsia="fr-BE"/>
                    </w:rPr>
                    <w:t xml:space="preserve"> (Estonia)</w:t>
                  </w:r>
                </w:p>
              </w:tc>
              <w:tc>
                <w:tcPr>
                  <w:tcW w:w="2868" w:type="dxa"/>
                  <w:tcBorders>
                    <w:top w:val="nil"/>
                    <w:left w:val="nil"/>
                    <w:bottom w:val="single" w:sz="4" w:space="0" w:color="auto"/>
                    <w:right w:val="single" w:sz="4" w:space="0" w:color="auto"/>
                  </w:tcBorders>
                  <w:shd w:val="clear" w:color="000000" w:fill="D9D9D9"/>
                  <w:noWrap/>
                  <w:hideMark/>
                </w:tcPr>
                <w:p w14:paraId="08D0695A"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228</w:t>
                  </w:r>
                </w:p>
              </w:tc>
              <w:tc>
                <w:tcPr>
                  <w:tcW w:w="1925" w:type="dxa"/>
                  <w:tcBorders>
                    <w:top w:val="nil"/>
                    <w:left w:val="nil"/>
                    <w:bottom w:val="single" w:sz="4" w:space="0" w:color="auto"/>
                    <w:right w:val="single" w:sz="4" w:space="0" w:color="auto"/>
                  </w:tcBorders>
                  <w:shd w:val="clear" w:color="000000" w:fill="D9D9D9"/>
                  <w:noWrap/>
                  <w:hideMark/>
                </w:tcPr>
                <w:p w14:paraId="08D0695B"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17</w:t>
                  </w:r>
                </w:p>
              </w:tc>
              <w:tc>
                <w:tcPr>
                  <w:tcW w:w="2031" w:type="dxa"/>
                  <w:tcBorders>
                    <w:top w:val="nil"/>
                    <w:left w:val="nil"/>
                    <w:bottom w:val="single" w:sz="4" w:space="0" w:color="auto"/>
                    <w:right w:val="single" w:sz="4" w:space="0" w:color="auto"/>
                  </w:tcBorders>
                  <w:shd w:val="clear" w:color="000000" w:fill="D9D9D9"/>
                  <w:noWrap/>
                  <w:hideMark/>
                </w:tcPr>
                <w:p w14:paraId="08D0695C"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519</w:t>
                  </w:r>
                </w:p>
              </w:tc>
              <w:tc>
                <w:tcPr>
                  <w:tcW w:w="1938" w:type="dxa"/>
                  <w:tcBorders>
                    <w:top w:val="nil"/>
                    <w:left w:val="nil"/>
                    <w:bottom w:val="single" w:sz="4" w:space="0" w:color="auto"/>
                    <w:right w:val="single" w:sz="4" w:space="0" w:color="auto"/>
                  </w:tcBorders>
                  <w:shd w:val="clear" w:color="000000" w:fill="D9D9D9"/>
                  <w:noWrap/>
                  <w:hideMark/>
                </w:tcPr>
                <w:p w14:paraId="08D0695D"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p>
              </w:tc>
              <w:tc>
                <w:tcPr>
                  <w:tcW w:w="2126" w:type="dxa"/>
                  <w:tcBorders>
                    <w:top w:val="nil"/>
                    <w:left w:val="nil"/>
                    <w:bottom w:val="single" w:sz="4" w:space="0" w:color="auto"/>
                    <w:right w:val="single" w:sz="12" w:space="0" w:color="auto"/>
                  </w:tcBorders>
                  <w:shd w:val="clear" w:color="000000" w:fill="D9D9D9"/>
                  <w:noWrap/>
                  <w:hideMark/>
                </w:tcPr>
                <w:p w14:paraId="08D0695E"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519</w:t>
                  </w:r>
                </w:p>
              </w:tc>
            </w:tr>
            <w:tr w:rsidR="00563562" w:rsidRPr="00346D53" w14:paraId="08D06966"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60"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EL</w:t>
                  </w:r>
                  <w:r w:rsidRPr="00B92551">
                    <w:rPr>
                      <w:rFonts w:eastAsia="Times New Roman"/>
                      <w:noProof/>
                      <w:bdr w:val="none" w:sz="0" w:space="0" w:color="auto"/>
                      <w:lang w:val="en-IE" w:eastAsia="fr-BE"/>
                    </w:rPr>
                    <w:t xml:space="preserve"> (Greece)</w:t>
                  </w:r>
                </w:p>
              </w:tc>
              <w:tc>
                <w:tcPr>
                  <w:tcW w:w="2868" w:type="dxa"/>
                  <w:tcBorders>
                    <w:top w:val="nil"/>
                    <w:left w:val="nil"/>
                    <w:bottom w:val="single" w:sz="4" w:space="0" w:color="auto"/>
                    <w:right w:val="single" w:sz="4" w:space="0" w:color="auto"/>
                  </w:tcBorders>
                  <w:shd w:val="clear" w:color="000000" w:fill="FFFFFF"/>
                  <w:noWrap/>
                  <w:hideMark/>
                </w:tcPr>
                <w:p w14:paraId="08D06961"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819</w:t>
                  </w:r>
                </w:p>
              </w:tc>
              <w:tc>
                <w:tcPr>
                  <w:tcW w:w="1925" w:type="dxa"/>
                  <w:tcBorders>
                    <w:top w:val="nil"/>
                    <w:left w:val="nil"/>
                    <w:bottom w:val="single" w:sz="4" w:space="0" w:color="auto"/>
                    <w:right w:val="single" w:sz="4" w:space="0" w:color="auto"/>
                  </w:tcBorders>
                  <w:shd w:val="clear" w:color="000000" w:fill="FFFFFF"/>
                  <w:noWrap/>
                  <w:hideMark/>
                </w:tcPr>
                <w:p w14:paraId="08D06962"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99</w:t>
                  </w:r>
                </w:p>
              </w:tc>
              <w:tc>
                <w:tcPr>
                  <w:tcW w:w="2031" w:type="dxa"/>
                  <w:tcBorders>
                    <w:top w:val="nil"/>
                    <w:left w:val="nil"/>
                    <w:bottom w:val="single" w:sz="4" w:space="0" w:color="auto"/>
                    <w:right w:val="single" w:sz="4" w:space="0" w:color="auto"/>
                  </w:tcBorders>
                  <w:shd w:val="clear" w:color="auto" w:fill="auto"/>
                  <w:noWrap/>
                  <w:hideMark/>
                </w:tcPr>
                <w:p w14:paraId="08D06963"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676</w:t>
                  </w:r>
                </w:p>
              </w:tc>
              <w:tc>
                <w:tcPr>
                  <w:tcW w:w="1938" w:type="dxa"/>
                  <w:tcBorders>
                    <w:top w:val="nil"/>
                    <w:left w:val="nil"/>
                    <w:bottom w:val="single" w:sz="4" w:space="0" w:color="auto"/>
                    <w:right w:val="single" w:sz="4" w:space="0" w:color="auto"/>
                  </w:tcBorders>
                  <w:shd w:val="clear" w:color="auto" w:fill="auto"/>
                  <w:noWrap/>
                  <w:hideMark/>
                </w:tcPr>
                <w:p w14:paraId="08D06964"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sidRPr="00155092">
                    <w:rPr>
                      <w:noProof/>
                    </w:rPr>
                    <w:t xml:space="preserve">   209</w:t>
                  </w:r>
                </w:p>
              </w:tc>
              <w:tc>
                <w:tcPr>
                  <w:tcW w:w="2126" w:type="dxa"/>
                  <w:tcBorders>
                    <w:top w:val="nil"/>
                    <w:left w:val="nil"/>
                    <w:bottom w:val="single" w:sz="4" w:space="0" w:color="auto"/>
                    <w:right w:val="single" w:sz="12" w:space="0" w:color="auto"/>
                  </w:tcBorders>
                  <w:shd w:val="clear" w:color="auto" w:fill="auto"/>
                  <w:noWrap/>
                  <w:hideMark/>
                </w:tcPr>
                <w:p w14:paraId="08D06965"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1 028</w:t>
                  </w:r>
                </w:p>
              </w:tc>
            </w:tr>
            <w:tr w:rsidR="00563562" w:rsidRPr="00346D53" w14:paraId="08D0696D"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67"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ES</w:t>
                  </w:r>
                  <w:r w:rsidRPr="00B92551">
                    <w:rPr>
                      <w:rFonts w:eastAsia="Times New Roman"/>
                      <w:noProof/>
                      <w:bdr w:val="none" w:sz="0" w:space="0" w:color="auto"/>
                      <w:lang w:val="en-IE" w:eastAsia="fr-BE"/>
                    </w:rPr>
                    <w:t xml:space="preserve"> (Spain )</w:t>
                  </w:r>
                </w:p>
              </w:tc>
              <w:tc>
                <w:tcPr>
                  <w:tcW w:w="2868" w:type="dxa"/>
                  <w:tcBorders>
                    <w:top w:val="nil"/>
                    <w:left w:val="nil"/>
                    <w:bottom w:val="single" w:sz="4" w:space="0" w:color="auto"/>
                    <w:right w:val="single" w:sz="4" w:space="0" w:color="auto"/>
                  </w:tcBorders>
                  <w:shd w:val="clear" w:color="000000" w:fill="D9D9D9"/>
                  <w:noWrap/>
                  <w:hideMark/>
                </w:tcPr>
                <w:p w14:paraId="08D06968"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5 808</w:t>
                  </w:r>
                </w:p>
              </w:tc>
              <w:tc>
                <w:tcPr>
                  <w:tcW w:w="1925" w:type="dxa"/>
                  <w:tcBorders>
                    <w:top w:val="nil"/>
                    <w:left w:val="nil"/>
                    <w:bottom w:val="single" w:sz="4" w:space="0" w:color="auto"/>
                    <w:right w:val="single" w:sz="4" w:space="0" w:color="auto"/>
                  </w:tcBorders>
                  <w:shd w:val="clear" w:color="000000" w:fill="D9D9D9"/>
                  <w:noWrap/>
                  <w:hideMark/>
                </w:tcPr>
                <w:p w14:paraId="08D06969"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122</w:t>
                  </w:r>
                </w:p>
              </w:tc>
              <w:tc>
                <w:tcPr>
                  <w:tcW w:w="2031" w:type="dxa"/>
                  <w:tcBorders>
                    <w:top w:val="nil"/>
                    <w:left w:val="nil"/>
                    <w:bottom w:val="single" w:sz="4" w:space="0" w:color="auto"/>
                    <w:right w:val="single" w:sz="4" w:space="0" w:color="auto"/>
                  </w:tcBorders>
                  <w:shd w:val="clear" w:color="000000" w:fill="D9D9D9"/>
                  <w:noWrap/>
                  <w:hideMark/>
                </w:tcPr>
                <w:p w14:paraId="08D0696A"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155092">
                    <w:rPr>
                      <w:noProof/>
                    </w:rPr>
                    <w:t xml:space="preserve">   960</w:t>
                  </w:r>
                </w:p>
              </w:tc>
              <w:tc>
                <w:tcPr>
                  <w:tcW w:w="1938" w:type="dxa"/>
                  <w:tcBorders>
                    <w:top w:val="nil"/>
                    <w:left w:val="nil"/>
                    <w:bottom w:val="single" w:sz="4" w:space="0" w:color="auto"/>
                    <w:right w:val="single" w:sz="4" w:space="0" w:color="auto"/>
                  </w:tcBorders>
                  <w:shd w:val="clear" w:color="000000" w:fill="D9D9D9"/>
                  <w:noWrap/>
                  <w:hideMark/>
                </w:tcPr>
                <w:p w14:paraId="08D0696B"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sidRPr="00155092">
                    <w:rPr>
                      <w:noProof/>
                    </w:rPr>
                    <w:t xml:space="preserve">   223</w:t>
                  </w:r>
                </w:p>
              </w:tc>
              <w:tc>
                <w:tcPr>
                  <w:tcW w:w="2126" w:type="dxa"/>
                  <w:tcBorders>
                    <w:top w:val="nil"/>
                    <w:left w:val="nil"/>
                    <w:bottom w:val="single" w:sz="4" w:space="0" w:color="auto"/>
                    <w:right w:val="single" w:sz="12" w:space="0" w:color="auto"/>
                  </w:tcBorders>
                  <w:shd w:val="clear" w:color="000000" w:fill="D9D9D9"/>
                  <w:noWrap/>
                  <w:hideMark/>
                </w:tcPr>
                <w:p w14:paraId="08D0696C"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6 031</w:t>
                  </w:r>
                </w:p>
              </w:tc>
            </w:tr>
            <w:tr w:rsidR="00563562" w:rsidRPr="00346D53" w14:paraId="08D06974"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6E"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FI</w:t>
                  </w:r>
                  <w:r w:rsidRPr="00B92551">
                    <w:rPr>
                      <w:rFonts w:eastAsia="Times New Roman"/>
                      <w:noProof/>
                      <w:bdr w:val="none" w:sz="0" w:space="0" w:color="auto"/>
                      <w:lang w:val="en-IE" w:eastAsia="fr-BE"/>
                    </w:rPr>
                    <w:t xml:space="preserve"> (Finland)</w:t>
                  </w:r>
                </w:p>
              </w:tc>
              <w:tc>
                <w:tcPr>
                  <w:tcW w:w="2868" w:type="dxa"/>
                  <w:tcBorders>
                    <w:top w:val="nil"/>
                    <w:left w:val="nil"/>
                    <w:bottom w:val="single" w:sz="4" w:space="0" w:color="auto"/>
                    <w:right w:val="single" w:sz="4" w:space="0" w:color="auto"/>
                  </w:tcBorders>
                  <w:shd w:val="clear" w:color="000000" w:fill="FFFFFF"/>
                  <w:noWrap/>
                  <w:hideMark/>
                </w:tcPr>
                <w:p w14:paraId="08D0696F"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1 427</w:t>
                  </w:r>
                </w:p>
              </w:tc>
              <w:tc>
                <w:tcPr>
                  <w:tcW w:w="1925" w:type="dxa"/>
                  <w:tcBorders>
                    <w:top w:val="nil"/>
                    <w:left w:val="nil"/>
                    <w:bottom w:val="single" w:sz="4" w:space="0" w:color="auto"/>
                    <w:right w:val="single" w:sz="4" w:space="0" w:color="auto"/>
                  </w:tcBorders>
                  <w:shd w:val="clear" w:color="000000" w:fill="FFFFFF"/>
                  <w:noWrap/>
                  <w:hideMark/>
                </w:tcPr>
                <w:p w14:paraId="08D06970"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42</w:t>
                  </w:r>
                </w:p>
              </w:tc>
              <w:tc>
                <w:tcPr>
                  <w:tcW w:w="2031" w:type="dxa"/>
                  <w:tcBorders>
                    <w:top w:val="nil"/>
                    <w:left w:val="nil"/>
                    <w:bottom w:val="single" w:sz="4" w:space="0" w:color="auto"/>
                    <w:right w:val="single" w:sz="4" w:space="0" w:color="auto"/>
                  </w:tcBorders>
                  <w:shd w:val="clear" w:color="auto" w:fill="auto"/>
                  <w:noWrap/>
                  <w:hideMark/>
                </w:tcPr>
                <w:p w14:paraId="08D06971"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p>
              </w:tc>
              <w:tc>
                <w:tcPr>
                  <w:tcW w:w="1938" w:type="dxa"/>
                  <w:tcBorders>
                    <w:top w:val="nil"/>
                    <w:left w:val="nil"/>
                    <w:bottom w:val="single" w:sz="4" w:space="0" w:color="auto"/>
                    <w:right w:val="single" w:sz="4" w:space="0" w:color="auto"/>
                  </w:tcBorders>
                  <w:shd w:val="clear" w:color="auto" w:fill="auto"/>
                  <w:noWrap/>
                  <w:hideMark/>
                </w:tcPr>
                <w:p w14:paraId="08D06972"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sidRPr="00155092">
                    <w:rPr>
                      <w:noProof/>
                    </w:rPr>
                    <w:t xml:space="preserve">   185</w:t>
                  </w:r>
                </w:p>
              </w:tc>
              <w:tc>
                <w:tcPr>
                  <w:tcW w:w="2126" w:type="dxa"/>
                  <w:tcBorders>
                    <w:top w:val="nil"/>
                    <w:left w:val="nil"/>
                    <w:bottom w:val="single" w:sz="4" w:space="0" w:color="auto"/>
                    <w:right w:val="single" w:sz="12" w:space="0" w:color="auto"/>
                  </w:tcBorders>
                  <w:shd w:val="clear" w:color="auto" w:fill="auto"/>
                  <w:noWrap/>
                  <w:hideMark/>
                </w:tcPr>
                <w:p w14:paraId="08D06973"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1 612</w:t>
                  </w:r>
                </w:p>
              </w:tc>
            </w:tr>
            <w:tr w:rsidR="00563562" w:rsidRPr="00346D53" w14:paraId="08D0697B"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75"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FR</w:t>
                  </w:r>
                  <w:r w:rsidRPr="00B92551">
                    <w:rPr>
                      <w:rFonts w:eastAsia="Times New Roman"/>
                      <w:noProof/>
                      <w:bdr w:val="none" w:sz="0" w:space="0" w:color="auto"/>
                      <w:lang w:val="en-IE" w:eastAsia="fr-BE"/>
                    </w:rPr>
                    <w:t xml:space="preserve"> (France)</w:t>
                  </w:r>
                </w:p>
              </w:tc>
              <w:tc>
                <w:tcPr>
                  <w:tcW w:w="2868" w:type="dxa"/>
                  <w:tcBorders>
                    <w:top w:val="nil"/>
                    <w:left w:val="nil"/>
                    <w:bottom w:val="single" w:sz="4" w:space="0" w:color="auto"/>
                    <w:right w:val="single" w:sz="4" w:space="0" w:color="auto"/>
                  </w:tcBorders>
                  <w:shd w:val="clear" w:color="000000" w:fill="D9D9D9"/>
                  <w:noWrap/>
                  <w:hideMark/>
                </w:tcPr>
                <w:p w14:paraId="08D06976"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10 369</w:t>
                  </w:r>
                </w:p>
              </w:tc>
              <w:tc>
                <w:tcPr>
                  <w:tcW w:w="1925" w:type="dxa"/>
                  <w:tcBorders>
                    <w:top w:val="nil"/>
                    <w:left w:val="nil"/>
                    <w:bottom w:val="single" w:sz="4" w:space="0" w:color="auto"/>
                    <w:right w:val="single" w:sz="4" w:space="0" w:color="auto"/>
                  </w:tcBorders>
                  <w:shd w:val="clear" w:color="000000" w:fill="D9D9D9"/>
                  <w:noWrap/>
                  <w:hideMark/>
                </w:tcPr>
                <w:p w14:paraId="08D06977"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321</w:t>
                  </w:r>
                </w:p>
              </w:tc>
              <w:tc>
                <w:tcPr>
                  <w:tcW w:w="2031" w:type="dxa"/>
                  <w:tcBorders>
                    <w:top w:val="nil"/>
                    <w:left w:val="nil"/>
                    <w:bottom w:val="single" w:sz="4" w:space="0" w:color="auto"/>
                    <w:right w:val="single" w:sz="4" w:space="0" w:color="auto"/>
                  </w:tcBorders>
                  <w:shd w:val="clear" w:color="000000" w:fill="D9D9D9"/>
                  <w:noWrap/>
                  <w:hideMark/>
                </w:tcPr>
                <w:p w14:paraId="08D06978"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3</w:t>
                  </w:r>
                </w:p>
              </w:tc>
              <w:tc>
                <w:tcPr>
                  <w:tcW w:w="1938" w:type="dxa"/>
                  <w:tcBorders>
                    <w:top w:val="nil"/>
                    <w:left w:val="nil"/>
                    <w:bottom w:val="single" w:sz="4" w:space="0" w:color="auto"/>
                    <w:right w:val="single" w:sz="4" w:space="0" w:color="auto"/>
                  </w:tcBorders>
                  <w:shd w:val="clear" w:color="000000" w:fill="D9D9D9"/>
                  <w:noWrap/>
                  <w:hideMark/>
                </w:tcPr>
                <w:p w14:paraId="08D06979"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sidRPr="00155092">
                    <w:rPr>
                      <w:noProof/>
                    </w:rPr>
                    <w:t xml:space="preserve">   394</w:t>
                  </w:r>
                </w:p>
              </w:tc>
              <w:tc>
                <w:tcPr>
                  <w:tcW w:w="2126" w:type="dxa"/>
                  <w:tcBorders>
                    <w:top w:val="nil"/>
                    <w:left w:val="nil"/>
                    <w:bottom w:val="single" w:sz="4" w:space="0" w:color="auto"/>
                    <w:right w:val="single" w:sz="12" w:space="0" w:color="auto"/>
                  </w:tcBorders>
                  <w:shd w:val="clear" w:color="000000" w:fill="D9D9D9"/>
                  <w:noWrap/>
                  <w:hideMark/>
                </w:tcPr>
                <w:p w14:paraId="08D0697A"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10 763</w:t>
                  </w:r>
                </w:p>
              </w:tc>
            </w:tr>
            <w:tr w:rsidR="00563562" w:rsidRPr="00346D53" w14:paraId="08D06982"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7C"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HR</w:t>
                  </w:r>
                  <w:r w:rsidRPr="00B92551">
                    <w:rPr>
                      <w:rFonts w:eastAsia="Times New Roman"/>
                      <w:noProof/>
                      <w:bdr w:val="none" w:sz="0" w:space="0" w:color="auto"/>
                      <w:lang w:val="en-IE" w:eastAsia="fr-BE"/>
                    </w:rPr>
                    <w:t xml:space="preserve"> (Croatia)</w:t>
                  </w:r>
                </w:p>
              </w:tc>
              <w:tc>
                <w:tcPr>
                  <w:tcW w:w="2868" w:type="dxa"/>
                  <w:tcBorders>
                    <w:top w:val="nil"/>
                    <w:left w:val="nil"/>
                    <w:bottom w:val="single" w:sz="4" w:space="0" w:color="auto"/>
                    <w:right w:val="single" w:sz="4" w:space="0" w:color="auto"/>
                  </w:tcBorders>
                  <w:shd w:val="clear" w:color="000000" w:fill="FFFFFF"/>
                  <w:noWrap/>
                  <w:hideMark/>
                </w:tcPr>
                <w:p w14:paraId="08D0697D"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599</w:t>
                  </w:r>
                </w:p>
              </w:tc>
              <w:tc>
                <w:tcPr>
                  <w:tcW w:w="1925" w:type="dxa"/>
                  <w:tcBorders>
                    <w:top w:val="nil"/>
                    <w:left w:val="nil"/>
                    <w:bottom w:val="single" w:sz="4" w:space="0" w:color="auto"/>
                    <w:right w:val="single" w:sz="4" w:space="0" w:color="auto"/>
                  </w:tcBorders>
                  <w:shd w:val="clear" w:color="000000" w:fill="FFFFFF"/>
                  <w:noWrap/>
                  <w:hideMark/>
                </w:tcPr>
                <w:p w14:paraId="08D0697E"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42</w:t>
                  </w:r>
                </w:p>
              </w:tc>
              <w:tc>
                <w:tcPr>
                  <w:tcW w:w="2031" w:type="dxa"/>
                  <w:tcBorders>
                    <w:top w:val="nil"/>
                    <w:left w:val="nil"/>
                    <w:bottom w:val="single" w:sz="4" w:space="0" w:color="auto"/>
                    <w:right w:val="single" w:sz="4" w:space="0" w:color="auto"/>
                  </w:tcBorders>
                  <w:shd w:val="clear" w:color="auto" w:fill="auto"/>
                  <w:noWrap/>
                  <w:hideMark/>
                </w:tcPr>
                <w:p w14:paraId="08D0697F"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397</w:t>
                  </w:r>
                </w:p>
              </w:tc>
              <w:tc>
                <w:tcPr>
                  <w:tcW w:w="1938" w:type="dxa"/>
                  <w:tcBorders>
                    <w:top w:val="nil"/>
                    <w:left w:val="nil"/>
                    <w:bottom w:val="single" w:sz="4" w:space="0" w:color="auto"/>
                    <w:right w:val="single" w:sz="4" w:space="0" w:color="auto"/>
                  </w:tcBorders>
                  <w:shd w:val="clear" w:color="auto" w:fill="auto"/>
                  <w:noWrap/>
                  <w:hideMark/>
                </w:tcPr>
                <w:p w14:paraId="08D06980"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sidRPr="00155092">
                    <w:rPr>
                      <w:noProof/>
                    </w:rPr>
                    <w:t xml:space="preserve">   30</w:t>
                  </w:r>
                </w:p>
              </w:tc>
              <w:tc>
                <w:tcPr>
                  <w:tcW w:w="2126" w:type="dxa"/>
                  <w:tcBorders>
                    <w:top w:val="nil"/>
                    <w:left w:val="nil"/>
                    <w:bottom w:val="single" w:sz="4" w:space="0" w:color="auto"/>
                    <w:right w:val="single" w:sz="12" w:space="0" w:color="auto"/>
                  </w:tcBorders>
                  <w:shd w:val="clear" w:color="auto" w:fill="auto"/>
                  <w:noWrap/>
                  <w:hideMark/>
                </w:tcPr>
                <w:p w14:paraId="08D06981"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629</w:t>
                  </w:r>
                </w:p>
              </w:tc>
            </w:tr>
            <w:tr w:rsidR="00563562" w:rsidRPr="00346D53" w14:paraId="08D06989"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83"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HU</w:t>
                  </w:r>
                  <w:r w:rsidRPr="00B92551">
                    <w:rPr>
                      <w:rFonts w:eastAsia="Times New Roman"/>
                      <w:noProof/>
                      <w:bdr w:val="none" w:sz="0" w:space="0" w:color="auto"/>
                      <w:lang w:val="en-IE" w:eastAsia="fr-BE"/>
                    </w:rPr>
                    <w:t xml:space="preserve"> (Hungary)</w:t>
                  </w:r>
                </w:p>
              </w:tc>
              <w:tc>
                <w:tcPr>
                  <w:tcW w:w="2868" w:type="dxa"/>
                  <w:tcBorders>
                    <w:top w:val="nil"/>
                    <w:left w:val="nil"/>
                    <w:bottom w:val="single" w:sz="4" w:space="0" w:color="auto"/>
                    <w:right w:val="single" w:sz="4" w:space="0" w:color="auto"/>
                  </w:tcBorders>
                  <w:shd w:val="clear" w:color="000000" w:fill="D9D9D9"/>
                  <w:noWrap/>
                  <w:hideMark/>
                </w:tcPr>
                <w:p w14:paraId="08D06984"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2 150</w:t>
                  </w:r>
                </w:p>
              </w:tc>
              <w:tc>
                <w:tcPr>
                  <w:tcW w:w="1925" w:type="dxa"/>
                  <w:tcBorders>
                    <w:top w:val="nil"/>
                    <w:left w:val="nil"/>
                    <w:bottom w:val="single" w:sz="4" w:space="0" w:color="auto"/>
                    <w:right w:val="single" w:sz="4" w:space="0" w:color="auto"/>
                  </w:tcBorders>
                  <w:shd w:val="clear" w:color="000000" w:fill="D9D9D9"/>
                  <w:noWrap/>
                  <w:hideMark/>
                </w:tcPr>
                <w:p w14:paraId="08D06985"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498</w:t>
                  </w:r>
                </w:p>
              </w:tc>
              <w:tc>
                <w:tcPr>
                  <w:tcW w:w="2031" w:type="dxa"/>
                  <w:tcBorders>
                    <w:top w:val="nil"/>
                    <w:left w:val="nil"/>
                    <w:bottom w:val="single" w:sz="4" w:space="0" w:color="auto"/>
                    <w:right w:val="single" w:sz="4" w:space="0" w:color="auto"/>
                  </w:tcBorders>
                  <w:shd w:val="clear" w:color="000000" w:fill="D9D9D9"/>
                  <w:noWrap/>
                  <w:hideMark/>
                </w:tcPr>
                <w:p w14:paraId="08D06986"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1 680</w:t>
                  </w:r>
                </w:p>
              </w:tc>
              <w:tc>
                <w:tcPr>
                  <w:tcW w:w="1938" w:type="dxa"/>
                  <w:tcBorders>
                    <w:top w:val="nil"/>
                    <w:left w:val="nil"/>
                    <w:bottom w:val="single" w:sz="4" w:space="0" w:color="auto"/>
                    <w:right w:val="single" w:sz="4" w:space="0" w:color="auto"/>
                  </w:tcBorders>
                  <w:shd w:val="clear" w:color="000000" w:fill="D9D9D9"/>
                  <w:noWrap/>
                  <w:hideMark/>
                </w:tcPr>
                <w:p w14:paraId="08D06987"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sidRPr="00155092">
                    <w:rPr>
                      <w:noProof/>
                    </w:rPr>
                    <w:t xml:space="preserve">   250</w:t>
                  </w:r>
                </w:p>
              </w:tc>
              <w:tc>
                <w:tcPr>
                  <w:tcW w:w="2126" w:type="dxa"/>
                  <w:tcBorders>
                    <w:top w:val="nil"/>
                    <w:left w:val="nil"/>
                    <w:bottom w:val="single" w:sz="4" w:space="0" w:color="auto"/>
                    <w:right w:val="single" w:sz="12" w:space="0" w:color="auto"/>
                  </w:tcBorders>
                  <w:shd w:val="clear" w:color="000000" w:fill="D9D9D9"/>
                  <w:noWrap/>
                  <w:hideMark/>
                </w:tcPr>
                <w:p w14:paraId="08D06988"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2 400</w:t>
                  </w:r>
                </w:p>
              </w:tc>
            </w:tr>
            <w:tr w:rsidR="00563562" w:rsidRPr="00346D53" w14:paraId="08D06990"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8A"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IE</w:t>
                  </w:r>
                  <w:r w:rsidRPr="00B92551">
                    <w:rPr>
                      <w:rFonts w:eastAsia="Times New Roman"/>
                      <w:noProof/>
                      <w:bdr w:val="none" w:sz="0" w:space="0" w:color="auto"/>
                      <w:lang w:val="en-IE" w:eastAsia="fr-BE"/>
                    </w:rPr>
                    <w:t xml:space="preserve"> (Ireland)</w:t>
                  </w:r>
                </w:p>
              </w:tc>
              <w:tc>
                <w:tcPr>
                  <w:tcW w:w="2868" w:type="dxa"/>
                  <w:tcBorders>
                    <w:top w:val="nil"/>
                    <w:left w:val="nil"/>
                    <w:bottom w:val="single" w:sz="4" w:space="0" w:color="auto"/>
                    <w:right w:val="single" w:sz="4" w:space="0" w:color="auto"/>
                  </w:tcBorders>
                  <w:shd w:val="clear" w:color="000000" w:fill="FFFFFF"/>
                  <w:noWrap/>
                  <w:hideMark/>
                </w:tcPr>
                <w:p w14:paraId="08D0698B"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1 377</w:t>
                  </w:r>
                </w:p>
              </w:tc>
              <w:tc>
                <w:tcPr>
                  <w:tcW w:w="1925" w:type="dxa"/>
                  <w:tcBorders>
                    <w:top w:val="nil"/>
                    <w:left w:val="nil"/>
                    <w:bottom w:val="single" w:sz="4" w:space="0" w:color="auto"/>
                    <w:right w:val="single" w:sz="4" w:space="0" w:color="auto"/>
                  </w:tcBorders>
                  <w:shd w:val="clear" w:color="000000" w:fill="FFFFFF"/>
                  <w:noWrap/>
                  <w:hideMark/>
                </w:tcPr>
                <w:p w14:paraId="08D0698C"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23</w:t>
                  </w:r>
                </w:p>
              </w:tc>
              <w:tc>
                <w:tcPr>
                  <w:tcW w:w="2031" w:type="dxa"/>
                  <w:tcBorders>
                    <w:top w:val="nil"/>
                    <w:left w:val="nil"/>
                    <w:bottom w:val="single" w:sz="4" w:space="0" w:color="auto"/>
                    <w:right w:val="single" w:sz="4" w:space="0" w:color="auto"/>
                  </w:tcBorders>
                  <w:shd w:val="clear" w:color="auto" w:fill="auto"/>
                  <w:noWrap/>
                  <w:hideMark/>
                </w:tcPr>
                <w:p w14:paraId="08D0698D"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p>
              </w:tc>
              <w:tc>
                <w:tcPr>
                  <w:tcW w:w="1938" w:type="dxa"/>
                  <w:tcBorders>
                    <w:top w:val="nil"/>
                    <w:left w:val="nil"/>
                    <w:bottom w:val="single" w:sz="4" w:space="0" w:color="auto"/>
                    <w:right w:val="single" w:sz="4" w:space="0" w:color="auto"/>
                  </w:tcBorders>
                  <w:shd w:val="clear" w:color="auto" w:fill="auto"/>
                  <w:noWrap/>
                  <w:hideMark/>
                </w:tcPr>
                <w:p w14:paraId="08D0698E"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sidRPr="00155092">
                    <w:rPr>
                      <w:noProof/>
                    </w:rPr>
                    <w:t xml:space="preserve">   323</w:t>
                  </w:r>
                </w:p>
              </w:tc>
              <w:tc>
                <w:tcPr>
                  <w:tcW w:w="2126" w:type="dxa"/>
                  <w:tcBorders>
                    <w:top w:val="nil"/>
                    <w:left w:val="nil"/>
                    <w:bottom w:val="single" w:sz="4" w:space="0" w:color="auto"/>
                    <w:right w:val="single" w:sz="12" w:space="0" w:color="auto"/>
                  </w:tcBorders>
                  <w:shd w:val="clear" w:color="auto" w:fill="auto"/>
                  <w:noWrap/>
                  <w:hideMark/>
                </w:tcPr>
                <w:p w14:paraId="08D0698F"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1 700</w:t>
                  </w:r>
                </w:p>
              </w:tc>
            </w:tr>
            <w:tr w:rsidR="00563562" w:rsidRPr="00346D53" w14:paraId="08D06997"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91"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IT</w:t>
                  </w:r>
                  <w:r w:rsidRPr="00B92551">
                    <w:rPr>
                      <w:rFonts w:eastAsia="Times New Roman"/>
                      <w:noProof/>
                      <w:bdr w:val="none" w:sz="0" w:space="0" w:color="auto"/>
                      <w:lang w:val="en-IE" w:eastAsia="fr-BE"/>
                    </w:rPr>
                    <w:t xml:space="preserve"> (Italy)</w:t>
                  </w:r>
                </w:p>
              </w:tc>
              <w:tc>
                <w:tcPr>
                  <w:tcW w:w="2868" w:type="dxa"/>
                  <w:tcBorders>
                    <w:top w:val="nil"/>
                    <w:left w:val="nil"/>
                    <w:bottom w:val="single" w:sz="4" w:space="0" w:color="auto"/>
                    <w:right w:val="single" w:sz="4" w:space="0" w:color="auto"/>
                  </w:tcBorders>
                  <w:shd w:val="clear" w:color="000000" w:fill="D9D9D9"/>
                  <w:noWrap/>
                  <w:hideMark/>
                </w:tcPr>
                <w:p w14:paraId="08D06992"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13 794</w:t>
                  </w:r>
                </w:p>
              </w:tc>
              <w:tc>
                <w:tcPr>
                  <w:tcW w:w="1925" w:type="dxa"/>
                  <w:tcBorders>
                    <w:top w:val="nil"/>
                    <w:left w:val="nil"/>
                    <w:bottom w:val="single" w:sz="4" w:space="0" w:color="auto"/>
                    <w:right w:val="single" w:sz="4" w:space="0" w:color="auto"/>
                  </w:tcBorders>
                  <w:shd w:val="clear" w:color="000000" w:fill="D9D9D9"/>
                  <w:noWrap/>
                  <w:hideMark/>
                </w:tcPr>
                <w:p w14:paraId="08D06993"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289</w:t>
                  </w:r>
                </w:p>
              </w:tc>
              <w:tc>
                <w:tcPr>
                  <w:tcW w:w="2031" w:type="dxa"/>
                  <w:tcBorders>
                    <w:top w:val="nil"/>
                    <w:left w:val="nil"/>
                    <w:bottom w:val="single" w:sz="4" w:space="0" w:color="auto"/>
                    <w:right w:val="single" w:sz="4" w:space="0" w:color="auto"/>
                  </w:tcBorders>
                  <w:shd w:val="clear" w:color="000000" w:fill="D9D9D9"/>
                  <w:noWrap/>
                  <w:hideMark/>
                </w:tcPr>
                <w:p w14:paraId="08D06994"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777</w:t>
                  </w:r>
                </w:p>
              </w:tc>
              <w:tc>
                <w:tcPr>
                  <w:tcW w:w="1938" w:type="dxa"/>
                  <w:tcBorders>
                    <w:top w:val="nil"/>
                    <w:left w:val="nil"/>
                    <w:bottom w:val="single" w:sz="4" w:space="0" w:color="auto"/>
                    <w:right w:val="single" w:sz="4" w:space="0" w:color="auto"/>
                  </w:tcBorders>
                  <w:shd w:val="clear" w:color="000000" w:fill="D9D9D9"/>
                  <w:noWrap/>
                  <w:hideMark/>
                </w:tcPr>
                <w:p w14:paraId="08D06995"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sidRPr="00155092">
                    <w:rPr>
                      <w:noProof/>
                    </w:rPr>
                    <w:t xml:space="preserve">   634</w:t>
                  </w:r>
                </w:p>
              </w:tc>
              <w:tc>
                <w:tcPr>
                  <w:tcW w:w="2126" w:type="dxa"/>
                  <w:tcBorders>
                    <w:top w:val="nil"/>
                    <w:left w:val="nil"/>
                    <w:bottom w:val="single" w:sz="4" w:space="0" w:color="auto"/>
                    <w:right w:val="single" w:sz="12" w:space="0" w:color="auto"/>
                  </w:tcBorders>
                  <w:shd w:val="clear" w:color="000000" w:fill="D9D9D9"/>
                  <w:noWrap/>
                  <w:hideMark/>
                </w:tcPr>
                <w:p w14:paraId="08D06996"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14 428</w:t>
                  </w:r>
                </w:p>
              </w:tc>
            </w:tr>
            <w:tr w:rsidR="00563562" w:rsidRPr="00346D53" w14:paraId="08D0699E"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98"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LT</w:t>
                  </w:r>
                  <w:r w:rsidRPr="00B92551">
                    <w:rPr>
                      <w:rFonts w:eastAsia="Times New Roman"/>
                      <w:noProof/>
                      <w:bdr w:val="none" w:sz="0" w:space="0" w:color="auto"/>
                      <w:lang w:val="en-IE" w:eastAsia="fr-BE"/>
                    </w:rPr>
                    <w:t xml:space="preserve"> (Lithuania)</w:t>
                  </w:r>
                </w:p>
              </w:tc>
              <w:tc>
                <w:tcPr>
                  <w:tcW w:w="2868" w:type="dxa"/>
                  <w:tcBorders>
                    <w:top w:val="nil"/>
                    <w:left w:val="nil"/>
                    <w:bottom w:val="single" w:sz="4" w:space="0" w:color="auto"/>
                    <w:right w:val="single" w:sz="4" w:space="0" w:color="auto"/>
                  </w:tcBorders>
                  <w:shd w:val="clear" w:color="000000" w:fill="FFFFFF"/>
                  <w:noWrap/>
                  <w:hideMark/>
                </w:tcPr>
                <w:p w14:paraId="08D06999"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328</w:t>
                  </w:r>
                </w:p>
              </w:tc>
              <w:tc>
                <w:tcPr>
                  <w:tcW w:w="1925" w:type="dxa"/>
                  <w:tcBorders>
                    <w:top w:val="nil"/>
                    <w:left w:val="nil"/>
                    <w:bottom w:val="single" w:sz="4" w:space="0" w:color="auto"/>
                    <w:right w:val="single" w:sz="4" w:space="0" w:color="auto"/>
                  </w:tcBorders>
                  <w:shd w:val="clear" w:color="000000" w:fill="FFFFFF"/>
                  <w:noWrap/>
                  <w:hideMark/>
                </w:tcPr>
                <w:p w14:paraId="08D0699A"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56</w:t>
                  </w:r>
                </w:p>
              </w:tc>
              <w:tc>
                <w:tcPr>
                  <w:tcW w:w="2031" w:type="dxa"/>
                  <w:tcBorders>
                    <w:top w:val="nil"/>
                    <w:left w:val="nil"/>
                    <w:bottom w:val="single" w:sz="4" w:space="0" w:color="auto"/>
                    <w:right w:val="single" w:sz="4" w:space="0" w:color="auto"/>
                  </w:tcBorders>
                  <w:shd w:val="clear" w:color="auto" w:fill="auto"/>
                  <w:noWrap/>
                  <w:hideMark/>
                </w:tcPr>
                <w:p w14:paraId="08D0699B"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780</w:t>
                  </w:r>
                </w:p>
              </w:tc>
              <w:tc>
                <w:tcPr>
                  <w:tcW w:w="1938" w:type="dxa"/>
                  <w:tcBorders>
                    <w:top w:val="nil"/>
                    <w:left w:val="nil"/>
                    <w:bottom w:val="single" w:sz="4" w:space="0" w:color="auto"/>
                    <w:right w:val="single" w:sz="4" w:space="0" w:color="auto"/>
                  </w:tcBorders>
                  <w:shd w:val="clear" w:color="auto" w:fill="auto"/>
                  <w:noWrap/>
                  <w:hideMark/>
                </w:tcPr>
                <w:p w14:paraId="08D0699C"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p>
              </w:tc>
              <w:tc>
                <w:tcPr>
                  <w:tcW w:w="2126" w:type="dxa"/>
                  <w:tcBorders>
                    <w:top w:val="nil"/>
                    <w:left w:val="nil"/>
                    <w:bottom w:val="single" w:sz="4" w:space="0" w:color="auto"/>
                    <w:right w:val="single" w:sz="12" w:space="0" w:color="auto"/>
                  </w:tcBorders>
                  <w:shd w:val="clear" w:color="auto" w:fill="auto"/>
                  <w:noWrap/>
                  <w:hideMark/>
                </w:tcPr>
                <w:p w14:paraId="08D0699D"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780</w:t>
                  </w:r>
                </w:p>
              </w:tc>
            </w:tr>
            <w:tr w:rsidR="00563562" w:rsidRPr="00346D53" w14:paraId="08D069A5"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9F"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LU</w:t>
                  </w:r>
                  <w:r w:rsidRPr="00B92551">
                    <w:rPr>
                      <w:rFonts w:eastAsia="Times New Roman"/>
                      <w:noProof/>
                      <w:bdr w:val="none" w:sz="0" w:space="0" w:color="auto"/>
                      <w:lang w:val="en-IE" w:eastAsia="fr-BE"/>
                    </w:rPr>
                    <w:t xml:space="preserve"> (Luxembourg)</w:t>
                  </w:r>
                </w:p>
              </w:tc>
              <w:tc>
                <w:tcPr>
                  <w:tcW w:w="2868" w:type="dxa"/>
                  <w:tcBorders>
                    <w:top w:val="nil"/>
                    <w:left w:val="nil"/>
                    <w:bottom w:val="single" w:sz="4" w:space="0" w:color="auto"/>
                    <w:right w:val="single" w:sz="4" w:space="0" w:color="auto"/>
                  </w:tcBorders>
                  <w:shd w:val="clear" w:color="000000" w:fill="D9D9D9"/>
                  <w:noWrap/>
                  <w:hideMark/>
                </w:tcPr>
                <w:p w14:paraId="08D069A0"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329</w:t>
                  </w:r>
                </w:p>
              </w:tc>
              <w:tc>
                <w:tcPr>
                  <w:tcW w:w="1925" w:type="dxa"/>
                  <w:tcBorders>
                    <w:top w:val="nil"/>
                    <w:left w:val="nil"/>
                    <w:bottom w:val="single" w:sz="4" w:space="0" w:color="auto"/>
                    <w:right w:val="single" w:sz="4" w:space="0" w:color="auto"/>
                  </w:tcBorders>
                  <w:shd w:val="clear" w:color="000000" w:fill="D9D9D9"/>
                  <w:noWrap/>
                  <w:hideMark/>
                </w:tcPr>
                <w:p w14:paraId="08D069A1"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155092">
                    <w:rPr>
                      <w:noProof/>
                    </w:rPr>
                    <w:t xml:space="preserve">   8</w:t>
                  </w:r>
                </w:p>
              </w:tc>
              <w:tc>
                <w:tcPr>
                  <w:tcW w:w="2031" w:type="dxa"/>
                  <w:tcBorders>
                    <w:top w:val="nil"/>
                    <w:left w:val="nil"/>
                    <w:bottom w:val="single" w:sz="4" w:space="0" w:color="auto"/>
                    <w:right w:val="single" w:sz="4" w:space="0" w:color="auto"/>
                  </w:tcBorders>
                  <w:shd w:val="clear" w:color="000000" w:fill="D9D9D9"/>
                  <w:noWrap/>
                  <w:hideMark/>
                </w:tcPr>
                <w:p w14:paraId="08D069A2"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p>
              </w:tc>
              <w:tc>
                <w:tcPr>
                  <w:tcW w:w="1938" w:type="dxa"/>
                  <w:tcBorders>
                    <w:top w:val="nil"/>
                    <w:left w:val="nil"/>
                    <w:bottom w:val="single" w:sz="4" w:space="0" w:color="auto"/>
                    <w:right w:val="single" w:sz="4" w:space="0" w:color="auto"/>
                  </w:tcBorders>
                  <w:shd w:val="clear" w:color="000000" w:fill="D9D9D9"/>
                  <w:noWrap/>
                  <w:hideMark/>
                </w:tcPr>
                <w:p w14:paraId="08D069A3"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p>
              </w:tc>
              <w:tc>
                <w:tcPr>
                  <w:tcW w:w="2126" w:type="dxa"/>
                  <w:tcBorders>
                    <w:top w:val="nil"/>
                    <w:left w:val="nil"/>
                    <w:bottom w:val="single" w:sz="4" w:space="0" w:color="auto"/>
                    <w:right w:val="single" w:sz="12" w:space="0" w:color="auto"/>
                  </w:tcBorders>
                  <w:shd w:val="clear" w:color="000000" w:fill="D9D9D9"/>
                  <w:noWrap/>
                  <w:hideMark/>
                </w:tcPr>
                <w:p w14:paraId="08D069A4"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329</w:t>
                  </w:r>
                </w:p>
              </w:tc>
            </w:tr>
            <w:tr w:rsidR="00563562" w:rsidRPr="00346D53" w14:paraId="08D069AC"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A6"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LV</w:t>
                  </w:r>
                  <w:r w:rsidRPr="00B92551">
                    <w:rPr>
                      <w:rFonts w:eastAsia="Times New Roman"/>
                      <w:noProof/>
                      <w:bdr w:val="none" w:sz="0" w:space="0" w:color="auto"/>
                      <w:lang w:val="en-IE" w:eastAsia="fr-BE"/>
                    </w:rPr>
                    <w:t xml:space="preserve"> (Latvia)</w:t>
                  </w:r>
                </w:p>
              </w:tc>
              <w:tc>
                <w:tcPr>
                  <w:tcW w:w="2868" w:type="dxa"/>
                  <w:tcBorders>
                    <w:top w:val="nil"/>
                    <w:left w:val="nil"/>
                    <w:bottom w:val="single" w:sz="4" w:space="0" w:color="auto"/>
                    <w:right w:val="single" w:sz="4" w:space="0" w:color="auto"/>
                  </w:tcBorders>
                  <w:shd w:val="clear" w:color="000000" w:fill="FFFFFF"/>
                  <w:noWrap/>
                  <w:hideMark/>
                </w:tcPr>
                <w:p w14:paraId="08D069A7"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286</w:t>
                  </w:r>
                </w:p>
              </w:tc>
              <w:tc>
                <w:tcPr>
                  <w:tcW w:w="1925" w:type="dxa"/>
                  <w:tcBorders>
                    <w:top w:val="nil"/>
                    <w:left w:val="nil"/>
                    <w:bottom w:val="single" w:sz="4" w:space="0" w:color="auto"/>
                    <w:right w:val="single" w:sz="4" w:space="0" w:color="auto"/>
                  </w:tcBorders>
                  <w:shd w:val="clear" w:color="000000" w:fill="FFFFFF"/>
                  <w:noWrap/>
                  <w:hideMark/>
                </w:tcPr>
                <w:p w14:paraId="08D069A8"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CC5EBA">
                    <w:rPr>
                      <w:noProof/>
                    </w:rPr>
                    <w:t xml:space="preserve">   20</w:t>
                  </w:r>
                </w:p>
              </w:tc>
              <w:tc>
                <w:tcPr>
                  <w:tcW w:w="2031" w:type="dxa"/>
                  <w:tcBorders>
                    <w:top w:val="nil"/>
                    <w:left w:val="nil"/>
                    <w:bottom w:val="single" w:sz="4" w:space="0" w:color="auto"/>
                    <w:right w:val="single" w:sz="4" w:space="0" w:color="auto"/>
                  </w:tcBorders>
                  <w:shd w:val="clear" w:color="auto" w:fill="auto"/>
                  <w:noWrap/>
                  <w:hideMark/>
                </w:tcPr>
                <w:p w14:paraId="08D069A9"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CC5EBA">
                    <w:rPr>
                      <w:noProof/>
                    </w:rPr>
                    <w:t xml:space="preserve">   482</w:t>
                  </w:r>
                </w:p>
              </w:tc>
              <w:tc>
                <w:tcPr>
                  <w:tcW w:w="1938" w:type="dxa"/>
                  <w:tcBorders>
                    <w:top w:val="nil"/>
                    <w:left w:val="nil"/>
                    <w:bottom w:val="single" w:sz="4" w:space="0" w:color="auto"/>
                    <w:right w:val="single" w:sz="4" w:space="0" w:color="auto"/>
                  </w:tcBorders>
                  <w:shd w:val="clear" w:color="auto" w:fill="auto"/>
                  <w:noWrap/>
                  <w:hideMark/>
                </w:tcPr>
                <w:p w14:paraId="08D069AA"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p>
              </w:tc>
              <w:tc>
                <w:tcPr>
                  <w:tcW w:w="2126" w:type="dxa"/>
                  <w:tcBorders>
                    <w:top w:val="nil"/>
                    <w:left w:val="nil"/>
                    <w:bottom w:val="single" w:sz="4" w:space="0" w:color="auto"/>
                    <w:right w:val="single" w:sz="12" w:space="0" w:color="auto"/>
                  </w:tcBorders>
                  <w:shd w:val="clear" w:color="auto" w:fill="auto"/>
                  <w:noWrap/>
                  <w:hideMark/>
                </w:tcPr>
                <w:p w14:paraId="08D069AB"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481</w:t>
                  </w:r>
                </w:p>
              </w:tc>
            </w:tr>
            <w:tr w:rsidR="00563562" w:rsidRPr="00346D53" w14:paraId="08D069B3"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AD"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MT</w:t>
                  </w:r>
                  <w:r w:rsidRPr="00B92551">
                    <w:rPr>
                      <w:rFonts w:eastAsia="Times New Roman"/>
                      <w:noProof/>
                      <w:bdr w:val="none" w:sz="0" w:space="0" w:color="auto"/>
                      <w:lang w:val="en-IE" w:eastAsia="fr-BE"/>
                    </w:rPr>
                    <w:t xml:space="preserve"> (Malta)</w:t>
                  </w:r>
                </w:p>
              </w:tc>
              <w:tc>
                <w:tcPr>
                  <w:tcW w:w="2868" w:type="dxa"/>
                  <w:tcBorders>
                    <w:top w:val="nil"/>
                    <w:left w:val="nil"/>
                    <w:bottom w:val="single" w:sz="4" w:space="0" w:color="auto"/>
                    <w:right w:val="single" w:sz="4" w:space="0" w:color="auto"/>
                  </w:tcBorders>
                  <w:shd w:val="clear" w:color="000000" w:fill="D9D9D9"/>
                  <w:noWrap/>
                  <w:hideMark/>
                </w:tcPr>
                <w:p w14:paraId="08D069AE"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72</w:t>
                  </w:r>
                </w:p>
              </w:tc>
              <w:tc>
                <w:tcPr>
                  <w:tcW w:w="1925" w:type="dxa"/>
                  <w:tcBorders>
                    <w:top w:val="nil"/>
                    <w:left w:val="nil"/>
                    <w:bottom w:val="single" w:sz="4" w:space="0" w:color="auto"/>
                    <w:right w:val="single" w:sz="4" w:space="0" w:color="auto"/>
                  </w:tcBorders>
                  <w:shd w:val="clear" w:color="000000" w:fill="D9D9D9"/>
                  <w:noWrap/>
                  <w:hideMark/>
                </w:tcPr>
                <w:p w14:paraId="08D069AF"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CC5EBA">
                    <w:rPr>
                      <w:noProof/>
                    </w:rPr>
                    <w:t xml:space="preserve">   29</w:t>
                  </w:r>
                </w:p>
              </w:tc>
              <w:tc>
                <w:tcPr>
                  <w:tcW w:w="2031" w:type="dxa"/>
                  <w:tcBorders>
                    <w:top w:val="nil"/>
                    <w:left w:val="nil"/>
                    <w:bottom w:val="single" w:sz="4" w:space="0" w:color="auto"/>
                    <w:right w:val="single" w:sz="4" w:space="0" w:color="auto"/>
                  </w:tcBorders>
                  <w:shd w:val="clear" w:color="000000" w:fill="D9D9D9"/>
                  <w:noWrap/>
                  <w:hideMark/>
                </w:tcPr>
                <w:p w14:paraId="08D069B0"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CC5EBA">
                    <w:rPr>
                      <w:noProof/>
                    </w:rPr>
                    <w:t xml:space="preserve">   58</w:t>
                  </w:r>
                </w:p>
              </w:tc>
              <w:tc>
                <w:tcPr>
                  <w:tcW w:w="1938" w:type="dxa"/>
                  <w:tcBorders>
                    <w:top w:val="nil"/>
                    <w:left w:val="nil"/>
                    <w:bottom w:val="single" w:sz="4" w:space="0" w:color="auto"/>
                    <w:right w:val="single" w:sz="4" w:space="0" w:color="auto"/>
                  </w:tcBorders>
                  <w:shd w:val="clear" w:color="000000" w:fill="D9D9D9"/>
                  <w:noWrap/>
                  <w:hideMark/>
                </w:tcPr>
                <w:p w14:paraId="08D069B1"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p>
              </w:tc>
              <w:tc>
                <w:tcPr>
                  <w:tcW w:w="2126" w:type="dxa"/>
                  <w:tcBorders>
                    <w:top w:val="nil"/>
                    <w:left w:val="nil"/>
                    <w:bottom w:val="single" w:sz="4" w:space="0" w:color="auto"/>
                    <w:right w:val="single" w:sz="12" w:space="0" w:color="auto"/>
                  </w:tcBorders>
                  <w:shd w:val="clear" w:color="000000" w:fill="D9D9D9"/>
                  <w:noWrap/>
                  <w:hideMark/>
                </w:tcPr>
                <w:p w14:paraId="08D069B2"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72</w:t>
                  </w:r>
                </w:p>
              </w:tc>
            </w:tr>
            <w:tr w:rsidR="00563562" w:rsidRPr="00346D53" w14:paraId="08D069BA"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B4"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NL</w:t>
                  </w:r>
                  <w:r w:rsidRPr="00B92551">
                    <w:rPr>
                      <w:rFonts w:eastAsia="Times New Roman"/>
                      <w:noProof/>
                      <w:bdr w:val="none" w:sz="0" w:space="0" w:color="auto"/>
                      <w:lang w:val="en-IE" w:eastAsia="fr-BE"/>
                    </w:rPr>
                    <w:t xml:space="preserve"> (The Netherlands)</w:t>
                  </w:r>
                </w:p>
              </w:tc>
              <w:tc>
                <w:tcPr>
                  <w:tcW w:w="2868" w:type="dxa"/>
                  <w:tcBorders>
                    <w:top w:val="nil"/>
                    <w:left w:val="nil"/>
                    <w:bottom w:val="single" w:sz="4" w:space="0" w:color="auto"/>
                    <w:right w:val="single" w:sz="4" w:space="0" w:color="auto"/>
                  </w:tcBorders>
                  <w:shd w:val="clear" w:color="000000" w:fill="FFFFFF"/>
                  <w:noWrap/>
                  <w:hideMark/>
                </w:tcPr>
                <w:p w14:paraId="08D069B5"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3 872</w:t>
                  </w:r>
                </w:p>
              </w:tc>
              <w:tc>
                <w:tcPr>
                  <w:tcW w:w="1925" w:type="dxa"/>
                  <w:tcBorders>
                    <w:top w:val="nil"/>
                    <w:left w:val="nil"/>
                    <w:bottom w:val="single" w:sz="4" w:space="0" w:color="auto"/>
                    <w:right w:val="single" w:sz="4" w:space="0" w:color="auto"/>
                  </w:tcBorders>
                  <w:shd w:val="clear" w:color="000000" w:fill="FFFFFF"/>
                  <w:noWrap/>
                  <w:hideMark/>
                </w:tcPr>
                <w:p w14:paraId="08D069B6"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CC5EBA">
                    <w:rPr>
                      <w:noProof/>
                    </w:rPr>
                    <w:t xml:space="preserve">   154</w:t>
                  </w:r>
                </w:p>
              </w:tc>
              <w:tc>
                <w:tcPr>
                  <w:tcW w:w="2031" w:type="dxa"/>
                  <w:tcBorders>
                    <w:top w:val="nil"/>
                    <w:left w:val="nil"/>
                    <w:bottom w:val="single" w:sz="4" w:space="0" w:color="auto"/>
                    <w:right w:val="single" w:sz="4" w:space="0" w:color="auto"/>
                  </w:tcBorders>
                  <w:shd w:val="clear" w:color="auto" w:fill="auto"/>
                  <w:noWrap/>
                  <w:hideMark/>
                </w:tcPr>
                <w:p w14:paraId="08D069B7"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p>
              </w:tc>
              <w:tc>
                <w:tcPr>
                  <w:tcW w:w="1938" w:type="dxa"/>
                  <w:tcBorders>
                    <w:top w:val="nil"/>
                    <w:left w:val="nil"/>
                    <w:bottom w:val="single" w:sz="4" w:space="0" w:color="auto"/>
                    <w:right w:val="single" w:sz="4" w:space="0" w:color="auto"/>
                  </w:tcBorders>
                  <w:shd w:val="clear" w:color="auto" w:fill="auto"/>
                  <w:noWrap/>
                  <w:hideMark/>
                </w:tcPr>
                <w:p w14:paraId="08D069B8"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sidRPr="00CC5EBA">
                    <w:rPr>
                      <w:noProof/>
                    </w:rPr>
                    <w:t xml:space="preserve">   852</w:t>
                  </w:r>
                </w:p>
              </w:tc>
              <w:tc>
                <w:tcPr>
                  <w:tcW w:w="2126" w:type="dxa"/>
                  <w:tcBorders>
                    <w:top w:val="nil"/>
                    <w:left w:val="nil"/>
                    <w:bottom w:val="single" w:sz="4" w:space="0" w:color="auto"/>
                    <w:right w:val="single" w:sz="12" w:space="0" w:color="auto"/>
                  </w:tcBorders>
                  <w:shd w:val="clear" w:color="auto" w:fill="auto"/>
                  <w:noWrap/>
                  <w:hideMark/>
                </w:tcPr>
                <w:p w14:paraId="08D069B9"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4 724</w:t>
                  </w:r>
                </w:p>
              </w:tc>
            </w:tr>
            <w:tr w:rsidR="00563562" w:rsidRPr="00346D53" w14:paraId="08D069C1"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BB"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PL</w:t>
                  </w:r>
                  <w:r w:rsidRPr="00B92551">
                    <w:rPr>
                      <w:rFonts w:eastAsia="Times New Roman"/>
                      <w:noProof/>
                      <w:bdr w:val="none" w:sz="0" w:space="0" w:color="auto"/>
                      <w:lang w:val="en-IE" w:eastAsia="fr-BE"/>
                    </w:rPr>
                    <w:t xml:space="preserve"> (Poland)</w:t>
                  </w:r>
                </w:p>
              </w:tc>
              <w:tc>
                <w:tcPr>
                  <w:tcW w:w="2868" w:type="dxa"/>
                  <w:tcBorders>
                    <w:top w:val="nil"/>
                    <w:left w:val="nil"/>
                    <w:bottom w:val="single" w:sz="4" w:space="0" w:color="auto"/>
                    <w:right w:val="single" w:sz="4" w:space="0" w:color="auto"/>
                  </w:tcBorders>
                  <w:shd w:val="clear" w:color="000000" w:fill="D9D9D9"/>
                  <w:noWrap/>
                  <w:hideMark/>
                </w:tcPr>
                <w:p w14:paraId="08D069BC"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7 047</w:t>
                  </w:r>
                </w:p>
              </w:tc>
              <w:tc>
                <w:tcPr>
                  <w:tcW w:w="1925" w:type="dxa"/>
                  <w:tcBorders>
                    <w:top w:val="nil"/>
                    <w:left w:val="nil"/>
                    <w:bottom w:val="single" w:sz="4" w:space="0" w:color="auto"/>
                    <w:right w:val="single" w:sz="4" w:space="0" w:color="auto"/>
                  </w:tcBorders>
                  <w:shd w:val="clear" w:color="000000" w:fill="D9D9D9"/>
                  <w:noWrap/>
                  <w:hideMark/>
                </w:tcPr>
                <w:p w14:paraId="08D069BD"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CC5EBA">
                    <w:rPr>
                      <w:noProof/>
                    </w:rPr>
                    <w:t xml:space="preserve">  1 177</w:t>
                  </w:r>
                </w:p>
              </w:tc>
              <w:tc>
                <w:tcPr>
                  <w:tcW w:w="2031" w:type="dxa"/>
                  <w:tcBorders>
                    <w:top w:val="nil"/>
                    <w:left w:val="nil"/>
                    <w:bottom w:val="single" w:sz="4" w:space="0" w:color="auto"/>
                    <w:right w:val="single" w:sz="4" w:space="0" w:color="auto"/>
                  </w:tcBorders>
                  <w:shd w:val="clear" w:color="000000" w:fill="D9D9D9"/>
                  <w:noWrap/>
                  <w:hideMark/>
                </w:tcPr>
                <w:p w14:paraId="08D069BE"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CC5EBA">
                    <w:rPr>
                      <w:noProof/>
                    </w:rPr>
                    <w:t xml:space="preserve">  12 487</w:t>
                  </w:r>
                </w:p>
              </w:tc>
              <w:tc>
                <w:tcPr>
                  <w:tcW w:w="1938" w:type="dxa"/>
                  <w:tcBorders>
                    <w:top w:val="nil"/>
                    <w:left w:val="nil"/>
                    <w:bottom w:val="single" w:sz="4" w:space="0" w:color="auto"/>
                    <w:right w:val="single" w:sz="4" w:space="0" w:color="auto"/>
                  </w:tcBorders>
                  <w:shd w:val="clear" w:color="000000" w:fill="D9D9D9"/>
                  <w:noWrap/>
                  <w:hideMark/>
                </w:tcPr>
                <w:p w14:paraId="08D069BF"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sidRPr="00CC5EBA">
                    <w:rPr>
                      <w:noProof/>
                    </w:rPr>
                    <w:t xml:space="preserve">  2 248</w:t>
                  </w:r>
                </w:p>
              </w:tc>
              <w:tc>
                <w:tcPr>
                  <w:tcW w:w="2126" w:type="dxa"/>
                  <w:tcBorders>
                    <w:top w:val="nil"/>
                    <w:left w:val="nil"/>
                    <w:bottom w:val="single" w:sz="4" w:space="0" w:color="auto"/>
                    <w:right w:val="single" w:sz="12" w:space="0" w:color="auto"/>
                  </w:tcBorders>
                  <w:shd w:val="clear" w:color="000000" w:fill="D9D9D9"/>
                  <w:noWrap/>
                  <w:hideMark/>
                </w:tcPr>
                <w:p w14:paraId="08D069C0"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14 735</w:t>
                  </w:r>
                </w:p>
              </w:tc>
            </w:tr>
            <w:tr w:rsidR="00563562" w:rsidRPr="00346D53" w14:paraId="08D069C8" w14:textId="77777777" w:rsidTr="004A21E3">
              <w:trPr>
                <w:trHeight w:val="340"/>
              </w:trPr>
              <w:tc>
                <w:tcPr>
                  <w:tcW w:w="2590" w:type="dxa"/>
                  <w:tcBorders>
                    <w:top w:val="nil"/>
                    <w:left w:val="single" w:sz="12" w:space="0" w:color="auto"/>
                    <w:bottom w:val="single" w:sz="4" w:space="0" w:color="auto"/>
                    <w:right w:val="single" w:sz="8" w:space="0" w:color="auto"/>
                  </w:tcBorders>
                  <w:shd w:val="clear" w:color="auto" w:fill="auto"/>
                  <w:noWrap/>
                  <w:vAlign w:val="center"/>
                  <w:hideMark/>
                </w:tcPr>
                <w:p w14:paraId="08D069C2"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 xml:space="preserve">PT </w:t>
                  </w:r>
                  <w:r w:rsidRPr="00B92551">
                    <w:rPr>
                      <w:rFonts w:eastAsia="Times New Roman"/>
                      <w:noProof/>
                      <w:bdr w:val="none" w:sz="0" w:space="0" w:color="auto"/>
                      <w:lang w:val="en-IE" w:eastAsia="fr-BE"/>
                    </w:rPr>
                    <w:t>(Portugal)</w:t>
                  </w:r>
                </w:p>
              </w:tc>
              <w:tc>
                <w:tcPr>
                  <w:tcW w:w="2868" w:type="dxa"/>
                  <w:tcBorders>
                    <w:top w:val="nil"/>
                    <w:left w:val="nil"/>
                    <w:bottom w:val="single" w:sz="4" w:space="0" w:color="auto"/>
                    <w:right w:val="single" w:sz="4" w:space="0" w:color="auto"/>
                  </w:tcBorders>
                  <w:shd w:val="clear" w:color="000000" w:fill="FFFFFF"/>
                  <w:noWrap/>
                  <w:hideMark/>
                </w:tcPr>
                <w:p w14:paraId="08D069C3"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387</w:t>
                  </w:r>
                </w:p>
              </w:tc>
              <w:tc>
                <w:tcPr>
                  <w:tcW w:w="1925" w:type="dxa"/>
                  <w:tcBorders>
                    <w:top w:val="nil"/>
                    <w:left w:val="nil"/>
                    <w:bottom w:val="single" w:sz="4" w:space="0" w:color="auto"/>
                    <w:right w:val="single" w:sz="4" w:space="0" w:color="auto"/>
                  </w:tcBorders>
                  <w:shd w:val="clear" w:color="000000" w:fill="FFFFFF"/>
                  <w:noWrap/>
                  <w:hideMark/>
                </w:tcPr>
                <w:p w14:paraId="08D069C4"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CC5EBA">
                    <w:rPr>
                      <w:noProof/>
                    </w:rPr>
                    <w:t xml:space="preserve">   39</w:t>
                  </w:r>
                </w:p>
              </w:tc>
              <w:tc>
                <w:tcPr>
                  <w:tcW w:w="2031" w:type="dxa"/>
                  <w:tcBorders>
                    <w:top w:val="nil"/>
                    <w:left w:val="nil"/>
                    <w:bottom w:val="single" w:sz="4" w:space="0" w:color="auto"/>
                    <w:right w:val="single" w:sz="4" w:space="0" w:color="auto"/>
                  </w:tcBorders>
                  <w:shd w:val="clear" w:color="auto" w:fill="auto"/>
                  <w:noWrap/>
                  <w:hideMark/>
                </w:tcPr>
                <w:p w14:paraId="08D069C5"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r w:rsidRPr="00CC5EBA">
                    <w:rPr>
                      <w:noProof/>
                    </w:rPr>
                    <w:t xml:space="preserve">   173</w:t>
                  </w:r>
                </w:p>
              </w:tc>
              <w:tc>
                <w:tcPr>
                  <w:tcW w:w="1938" w:type="dxa"/>
                  <w:tcBorders>
                    <w:top w:val="nil"/>
                    <w:left w:val="nil"/>
                    <w:bottom w:val="single" w:sz="4" w:space="0" w:color="auto"/>
                    <w:right w:val="single" w:sz="4" w:space="0" w:color="auto"/>
                  </w:tcBorders>
                  <w:shd w:val="clear" w:color="auto" w:fill="auto"/>
                  <w:noWrap/>
                  <w:hideMark/>
                </w:tcPr>
                <w:p w14:paraId="08D069C6"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sidRPr="00CC5EBA">
                    <w:rPr>
                      <w:noProof/>
                    </w:rPr>
                    <w:t xml:space="preserve">   40</w:t>
                  </w:r>
                </w:p>
              </w:tc>
              <w:tc>
                <w:tcPr>
                  <w:tcW w:w="2126" w:type="dxa"/>
                  <w:tcBorders>
                    <w:top w:val="nil"/>
                    <w:left w:val="nil"/>
                    <w:bottom w:val="single" w:sz="4" w:space="0" w:color="auto"/>
                    <w:right w:val="single" w:sz="12" w:space="0" w:color="auto"/>
                  </w:tcBorders>
                  <w:shd w:val="clear" w:color="auto" w:fill="auto"/>
                  <w:noWrap/>
                  <w:hideMark/>
                </w:tcPr>
                <w:p w14:paraId="08D069C7"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427</w:t>
                  </w:r>
                </w:p>
              </w:tc>
            </w:tr>
            <w:tr w:rsidR="00563562" w:rsidRPr="00346D53" w14:paraId="08D069CF"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C9"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Regional</w:t>
                  </w:r>
                  <w:r w:rsidRPr="00B92551">
                    <w:rPr>
                      <w:rFonts w:eastAsia="Times New Roman"/>
                      <w:noProof/>
                      <w:bdr w:val="none" w:sz="0" w:space="0" w:color="auto"/>
                      <w:lang w:val="en-IE" w:eastAsia="fr-BE"/>
                    </w:rPr>
                    <w:t xml:space="preserve"> - EU Countries</w:t>
                  </w:r>
                </w:p>
              </w:tc>
              <w:tc>
                <w:tcPr>
                  <w:tcW w:w="2868" w:type="dxa"/>
                  <w:tcBorders>
                    <w:top w:val="nil"/>
                    <w:left w:val="nil"/>
                    <w:bottom w:val="single" w:sz="4" w:space="0" w:color="auto"/>
                    <w:right w:val="single" w:sz="4" w:space="0" w:color="auto"/>
                  </w:tcBorders>
                  <w:shd w:val="clear" w:color="000000" w:fill="D9D9D9"/>
                  <w:noWrap/>
                  <w:hideMark/>
                </w:tcPr>
                <w:p w14:paraId="08D069CA"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p>
              </w:tc>
              <w:tc>
                <w:tcPr>
                  <w:tcW w:w="1925" w:type="dxa"/>
                  <w:tcBorders>
                    <w:top w:val="nil"/>
                    <w:left w:val="nil"/>
                    <w:bottom w:val="single" w:sz="4" w:space="0" w:color="auto"/>
                    <w:right w:val="single" w:sz="4" w:space="0" w:color="auto"/>
                  </w:tcBorders>
                  <w:shd w:val="clear" w:color="000000" w:fill="D9D9D9"/>
                  <w:noWrap/>
                  <w:hideMark/>
                </w:tcPr>
                <w:p w14:paraId="08D069CB"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p>
              </w:tc>
              <w:tc>
                <w:tcPr>
                  <w:tcW w:w="2031" w:type="dxa"/>
                  <w:tcBorders>
                    <w:top w:val="nil"/>
                    <w:left w:val="nil"/>
                    <w:bottom w:val="single" w:sz="4" w:space="0" w:color="auto"/>
                    <w:right w:val="single" w:sz="4" w:space="0" w:color="auto"/>
                  </w:tcBorders>
                  <w:shd w:val="clear" w:color="000000" w:fill="D9D9D9"/>
                  <w:noWrap/>
                  <w:hideMark/>
                </w:tcPr>
                <w:p w14:paraId="08D069CC"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bdr w:val="none" w:sz="0" w:space="0" w:color="auto"/>
                      <w:lang w:val="en-IE" w:eastAsia="fr-BE"/>
                    </w:rPr>
                  </w:pPr>
                </w:p>
              </w:tc>
              <w:tc>
                <w:tcPr>
                  <w:tcW w:w="1938" w:type="dxa"/>
                  <w:tcBorders>
                    <w:top w:val="nil"/>
                    <w:left w:val="nil"/>
                    <w:bottom w:val="single" w:sz="4" w:space="0" w:color="auto"/>
                    <w:right w:val="single" w:sz="4" w:space="0" w:color="auto"/>
                  </w:tcBorders>
                  <w:shd w:val="clear" w:color="000000" w:fill="D9D9D9"/>
                  <w:noWrap/>
                  <w:hideMark/>
                </w:tcPr>
                <w:p w14:paraId="08D069CD"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r w:rsidRPr="00CC5EBA">
                    <w:rPr>
                      <w:noProof/>
                    </w:rPr>
                    <w:t xml:space="preserve">   28</w:t>
                  </w:r>
                </w:p>
              </w:tc>
              <w:tc>
                <w:tcPr>
                  <w:tcW w:w="2126" w:type="dxa"/>
                  <w:tcBorders>
                    <w:top w:val="nil"/>
                    <w:left w:val="nil"/>
                    <w:bottom w:val="single" w:sz="4" w:space="0" w:color="auto"/>
                    <w:right w:val="single" w:sz="12" w:space="0" w:color="auto"/>
                  </w:tcBorders>
                  <w:shd w:val="clear" w:color="000000" w:fill="D9D9D9"/>
                  <w:noWrap/>
                  <w:hideMark/>
                </w:tcPr>
                <w:p w14:paraId="08D069CE"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28</w:t>
                  </w:r>
                </w:p>
              </w:tc>
            </w:tr>
            <w:tr w:rsidR="00563562" w:rsidRPr="00346D53" w14:paraId="08D069D6"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FFFFFF"/>
                  <w:noWrap/>
                  <w:vAlign w:val="center"/>
                  <w:hideMark/>
                </w:tcPr>
                <w:p w14:paraId="08D069D0"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RO</w:t>
                  </w:r>
                  <w:r w:rsidRPr="00B92551">
                    <w:rPr>
                      <w:rFonts w:eastAsia="Times New Roman"/>
                      <w:noProof/>
                      <w:bdr w:val="none" w:sz="0" w:space="0" w:color="auto"/>
                      <w:lang w:val="en-IE" w:eastAsia="fr-BE"/>
                    </w:rPr>
                    <w:t xml:space="preserve"> (Romania)</w:t>
                  </w:r>
                </w:p>
              </w:tc>
              <w:tc>
                <w:tcPr>
                  <w:tcW w:w="2868" w:type="dxa"/>
                  <w:tcBorders>
                    <w:top w:val="nil"/>
                    <w:left w:val="nil"/>
                    <w:bottom w:val="single" w:sz="4" w:space="0" w:color="auto"/>
                    <w:right w:val="single" w:sz="4" w:space="0" w:color="auto"/>
                  </w:tcBorders>
                  <w:shd w:val="clear" w:color="000000" w:fill="FFFFFF"/>
                  <w:noWrap/>
                  <w:hideMark/>
                </w:tcPr>
                <w:p w14:paraId="08D069D1"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1 133</w:t>
                  </w:r>
                </w:p>
              </w:tc>
              <w:tc>
                <w:tcPr>
                  <w:tcW w:w="1925" w:type="dxa"/>
                  <w:tcBorders>
                    <w:top w:val="nil"/>
                    <w:left w:val="nil"/>
                    <w:bottom w:val="single" w:sz="4" w:space="0" w:color="auto"/>
                    <w:right w:val="single" w:sz="4" w:space="0" w:color="auto"/>
                  </w:tcBorders>
                  <w:shd w:val="clear" w:color="000000" w:fill="FFFFFF"/>
                  <w:noWrap/>
                  <w:hideMark/>
                </w:tcPr>
                <w:p w14:paraId="08D069D2"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CC5EBA">
                    <w:rPr>
                      <w:noProof/>
                    </w:rPr>
                    <w:t xml:space="preserve">   19</w:t>
                  </w:r>
                </w:p>
              </w:tc>
              <w:tc>
                <w:tcPr>
                  <w:tcW w:w="2031" w:type="dxa"/>
                  <w:tcBorders>
                    <w:top w:val="nil"/>
                    <w:left w:val="nil"/>
                    <w:bottom w:val="single" w:sz="4" w:space="0" w:color="auto"/>
                    <w:right w:val="single" w:sz="4" w:space="0" w:color="auto"/>
                  </w:tcBorders>
                  <w:shd w:val="clear" w:color="000000" w:fill="FFFFFF"/>
                  <w:noWrap/>
                  <w:hideMark/>
                </w:tcPr>
                <w:p w14:paraId="08D069D3"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CC5EBA">
                    <w:rPr>
                      <w:noProof/>
                    </w:rPr>
                    <w:t xml:space="preserve">  2 686</w:t>
                  </w:r>
                </w:p>
              </w:tc>
              <w:tc>
                <w:tcPr>
                  <w:tcW w:w="1938" w:type="dxa"/>
                  <w:tcBorders>
                    <w:top w:val="nil"/>
                    <w:left w:val="nil"/>
                    <w:bottom w:val="single" w:sz="4" w:space="0" w:color="auto"/>
                    <w:right w:val="single" w:sz="4" w:space="0" w:color="auto"/>
                  </w:tcBorders>
                  <w:shd w:val="clear" w:color="000000" w:fill="FFFFFF"/>
                  <w:noWrap/>
                  <w:hideMark/>
                </w:tcPr>
                <w:p w14:paraId="08D069D4"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bdr w:val="none" w:sz="0" w:space="0" w:color="auto"/>
                      <w:lang w:val="en-IE" w:eastAsia="fr-BE"/>
                    </w:rPr>
                  </w:pPr>
                </w:p>
              </w:tc>
              <w:tc>
                <w:tcPr>
                  <w:tcW w:w="2126" w:type="dxa"/>
                  <w:tcBorders>
                    <w:top w:val="nil"/>
                    <w:left w:val="nil"/>
                    <w:bottom w:val="single" w:sz="4" w:space="0" w:color="auto"/>
                    <w:right w:val="single" w:sz="12" w:space="0" w:color="auto"/>
                  </w:tcBorders>
                  <w:shd w:val="clear" w:color="000000" w:fill="FFFFFF"/>
                  <w:noWrap/>
                  <w:hideMark/>
                </w:tcPr>
                <w:p w14:paraId="08D069D5"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2 686</w:t>
                  </w:r>
                </w:p>
              </w:tc>
            </w:tr>
            <w:tr w:rsidR="00563562" w:rsidRPr="00346D53" w14:paraId="08D069DD"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D7"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SE</w:t>
                  </w:r>
                  <w:r w:rsidRPr="00B92551">
                    <w:rPr>
                      <w:rFonts w:eastAsia="Times New Roman"/>
                      <w:noProof/>
                      <w:bdr w:val="none" w:sz="0" w:space="0" w:color="auto"/>
                      <w:lang w:val="en-IE" w:eastAsia="fr-BE"/>
                    </w:rPr>
                    <w:t xml:space="preserve"> (Sweden)</w:t>
                  </w:r>
                </w:p>
              </w:tc>
              <w:tc>
                <w:tcPr>
                  <w:tcW w:w="2868" w:type="dxa"/>
                  <w:tcBorders>
                    <w:top w:val="nil"/>
                    <w:left w:val="nil"/>
                    <w:bottom w:val="single" w:sz="4" w:space="0" w:color="auto"/>
                    <w:right w:val="single" w:sz="4" w:space="0" w:color="auto"/>
                  </w:tcBorders>
                  <w:shd w:val="clear" w:color="000000" w:fill="D9D9D9"/>
                  <w:noWrap/>
                  <w:hideMark/>
                </w:tcPr>
                <w:p w14:paraId="08D069D8"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4 255</w:t>
                  </w:r>
                </w:p>
              </w:tc>
              <w:tc>
                <w:tcPr>
                  <w:tcW w:w="1925" w:type="dxa"/>
                  <w:tcBorders>
                    <w:top w:val="nil"/>
                    <w:left w:val="nil"/>
                    <w:bottom w:val="single" w:sz="4" w:space="0" w:color="auto"/>
                    <w:right w:val="single" w:sz="4" w:space="0" w:color="auto"/>
                  </w:tcBorders>
                  <w:shd w:val="clear" w:color="000000" w:fill="D9D9D9"/>
                  <w:noWrap/>
                  <w:hideMark/>
                </w:tcPr>
                <w:p w14:paraId="08D069D9"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CC5EBA">
                    <w:rPr>
                      <w:noProof/>
                    </w:rPr>
                    <w:t xml:space="preserve">   66</w:t>
                  </w:r>
                </w:p>
              </w:tc>
              <w:tc>
                <w:tcPr>
                  <w:tcW w:w="2031" w:type="dxa"/>
                  <w:tcBorders>
                    <w:top w:val="nil"/>
                    <w:left w:val="nil"/>
                    <w:bottom w:val="single" w:sz="4" w:space="0" w:color="auto"/>
                    <w:right w:val="single" w:sz="4" w:space="0" w:color="auto"/>
                  </w:tcBorders>
                  <w:shd w:val="clear" w:color="000000" w:fill="D9D9D9"/>
                  <w:noWrap/>
                  <w:hideMark/>
                </w:tcPr>
                <w:p w14:paraId="08D069DA"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CC5EBA">
                    <w:rPr>
                      <w:noProof/>
                    </w:rPr>
                    <w:t xml:space="preserve">   3</w:t>
                  </w:r>
                </w:p>
              </w:tc>
              <w:tc>
                <w:tcPr>
                  <w:tcW w:w="1938" w:type="dxa"/>
                  <w:tcBorders>
                    <w:top w:val="nil"/>
                    <w:left w:val="nil"/>
                    <w:bottom w:val="single" w:sz="4" w:space="0" w:color="auto"/>
                    <w:right w:val="single" w:sz="4" w:space="0" w:color="auto"/>
                  </w:tcBorders>
                  <w:shd w:val="clear" w:color="000000" w:fill="D9D9D9"/>
                  <w:noWrap/>
                  <w:hideMark/>
                </w:tcPr>
                <w:p w14:paraId="08D069DB"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sidRPr="00CC5EBA">
                    <w:rPr>
                      <w:noProof/>
                    </w:rPr>
                    <w:t xml:space="preserve">   78</w:t>
                  </w:r>
                </w:p>
              </w:tc>
              <w:tc>
                <w:tcPr>
                  <w:tcW w:w="2126" w:type="dxa"/>
                  <w:tcBorders>
                    <w:top w:val="nil"/>
                    <w:left w:val="nil"/>
                    <w:bottom w:val="single" w:sz="4" w:space="0" w:color="auto"/>
                    <w:right w:val="single" w:sz="12" w:space="0" w:color="auto"/>
                  </w:tcBorders>
                  <w:shd w:val="clear" w:color="000000" w:fill="D9D9D9"/>
                  <w:noWrap/>
                  <w:hideMark/>
                </w:tcPr>
                <w:p w14:paraId="08D069DC"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4 332</w:t>
                  </w:r>
                </w:p>
              </w:tc>
            </w:tr>
            <w:tr w:rsidR="00563562" w:rsidRPr="00346D53" w14:paraId="08D069E4"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FFFFFF"/>
                  <w:noWrap/>
                  <w:vAlign w:val="center"/>
                  <w:hideMark/>
                </w:tcPr>
                <w:p w14:paraId="08D069DE"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SI</w:t>
                  </w:r>
                  <w:r w:rsidRPr="00B92551">
                    <w:rPr>
                      <w:rFonts w:eastAsia="Times New Roman"/>
                      <w:noProof/>
                      <w:bdr w:val="none" w:sz="0" w:space="0" w:color="auto"/>
                      <w:lang w:val="en-IE" w:eastAsia="fr-BE"/>
                    </w:rPr>
                    <w:t xml:space="preserve"> (Slovenia)</w:t>
                  </w:r>
                </w:p>
              </w:tc>
              <w:tc>
                <w:tcPr>
                  <w:tcW w:w="2868" w:type="dxa"/>
                  <w:tcBorders>
                    <w:top w:val="nil"/>
                    <w:left w:val="nil"/>
                    <w:bottom w:val="single" w:sz="4" w:space="0" w:color="auto"/>
                    <w:right w:val="single" w:sz="4" w:space="0" w:color="auto"/>
                  </w:tcBorders>
                  <w:shd w:val="clear" w:color="000000" w:fill="FFFFFF"/>
                  <w:noWrap/>
                  <w:hideMark/>
                </w:tcPr>
                <w:p w14:paraId="08D069DF"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479</w:t>
                  </w:r>
                </w:p>
              </w:tc>
              <w:tc>
                <w:tcPr>
                  <w:tcW w:w="1925" w:type="dxa"/>
                  <w:tcBorders>
                    <w:top w:val="nil"/>
                    <w:left w:val="nil"/>
                    <w:bottom w:val="single" w:sz="4" w:space="0" w:color="auto"/>
                    <w:right w:val="single" w:sz="4" w:space="0" w:color="auto"/>
                  </w:tcBorders>
                  <w:shd w:val="clear" w:color="000000" w:fill="FFFFFF"/>
                  <w:noWrap/>
                  <w:hideMark/>
                </w:tcPr>
                <w:p w14:paraId="08D069E0"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CC5EBA">
                    <w:rPr>
                      <w:noProof/>
                    </w:rPr>
                    <w:t xml:space="preserve">   81</w:t>
                  </w:r>
                </w:p>
              </w:tc>
              <w:tc>
                <w:tcPr>
                  <w:tcW w:w="2031" w:type="dxa"/>
                  <w:tcBorders>
                    <w:top w:val="nil"/>
                    <w:left w:val="nil"/>
                    <w:bottom w:val="single" w:sz="4" w:space="0" w:color="auto"/>
                    <w:right w:val="single" w:sz="4" w:space="0" w:color="auto"/>
                  </w:tcBorders>
                  <w:shd w:val="clear" w:color="000000" w:fill="FFFFFF"/>
                  <w:noWrap/>
                  <w:hideMark/>
                </w:tcPr>
                <w:p w14:paraId="08D069E1"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CC5EBA">
                    <w:rPr>
                      <w:noProof/>
                    </w:rPr>
                    <w:t xml:space="preserve">   212</w:t>
                  </w:r>
                </w:p>
              </w:tc>
              <w:tc>
                <w:tcPr>
                  <w:tcW w:w="1938" w:type="dxa"/>
                  <w:tcBorders>
                    <w:top w:val="nil"/>
                    <w:left w:val="nil"/>
                    <w:bottom w:val="single" w:sz="4" w:space="0" w:color="auto"/>
                    <w:right w:val="single" w:sz="4" w:space="0" w:color="auto"/>
                  </w:tcBorders>
                  <w:shd w:val="clear" w:color="000000" w:fill="FFFFFF"/>
                  <w:noWrap/>
                  <w:hideMark/>
                </w:tcPr>
                <w:p w14:paraId="08D069E2"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p>
              </w:tc>
              <w:tc>
                <w:tcPr>
                  <w:tcW w:w="2126" w:type="dxa"/>
                  <w:tcBorders>
                    <w:top w:val="nil"/>
                    <w:left w:val="nil"/>
                    <w:bottom w:val="single" w:sz="4" w:space="0" w:color="auto"/>
                    <w:right w:val="single" w:sz="12" w:space="0" w:color="auto"/>
                  </w:tcBorders>
                  <w:shd w:val="clear" w:color="000000" w:fill="FFFFFF"/>
                  <w:noWrap/>
                  <w:hideMark/>
                </w:tcPr>
                <w:p w14:paraId="08D069E3"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479</w:t>
                  </w:r>
                </w:p>
              </w:tc>
            </w:tr>
            <w:tr w:rsidR="00563562" w:rsidRPr="00346D53" w14:paraId="08D069EB"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D9D9D9"/>
                  <w:noWrap/>
                  <w:vAlign w:val="center"/>
                  <w:hideMark/>
                </w:tcPr>
                <w:p w14:paraId="08D069E5"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IE" w:eastAsia="fr-BE"/>
                    </w:rPr>
                  </w:pPr>
                  <w:r w:rsidRPr="00B92551">
                    <w:rPr>
                      <w:rFonts w:eastAsia="Times New Roman"/>
                      <w:b/>
                      <w:bCs/>
                      <w:noProof/>
                      <w:bdr w:val="none" w:sz="0" w:space="0" w:color="auto"/>
                      <w:lang w:val="en-IE" w:eastAsia="fr-BE"/>
                    </w:rPr>
                    <w:t>SK</w:t>
                  </w:r>
                  <w:r w:rsidRPr="00B92551">
                    <w:rPr>
                      <w:rFonts w:eastAsia="Times New Roman"/>
                      <w:noProof/>
                      <w:bdr w:val="none" w:sz="0" w:space="0" w:color="auto"/>
                      <w:lang w:val="en-IE" w:eastAsia="fr-BE"/>
                    </w:rPr>
                    <w:t xml:space="preserve"> (Slovakia)</w:t>
                  </w:r>
                </w:p>
              </w:tc>
              <w:tc>
                <w:tcPr>
                  <w:tcW w:w="2868" w:type="dxa"/>
                  <w:tcBorders>
                    <w:top w:val="nil"/>
                    <w:left w:val="nil"/>
                    <w:bottom w:val="single" w:sz="4" w:space="0" w:color="auto"/>
                    <w:right w:val="single" w:sz="4" w:space="0" w:color="auto"/>
                  </w:tcBorders>
                  <w:shd w:val="clear" w:color="000000" w:fill="D9D9D9"/>
                  <w:noWrap/>
                  <w:hideMark/>
                </w:tcPr>
                <w:p w14:paraId="08D069E6"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499</w:t>
                  </w:r>
                </w:p>
              </w:tc>
              <w:tc>
                <w:tcPr>
                  <w:tcW w:w="1925" w:type="dxa"/>
                  <w:tcBorders>
                    <w:top w:val="single" w:sz="4" w:space="0" w:color="auto"/>
                    <w:left w:val="nil"/>
                    <w:bottom w:val="single" w:sz="4" w:space="0" w:color="auto"/>
                    <w:right w:val="single" w:sz="4" w:space="0" w:color="auto"/>
                  </w:tcBorders>
                  <w:shd w:val="clear" w:color="000000" w:fill="D9D9D9"/>
                  <w:noWrap/>
                  <w:hideMark/>
                </w:tcPr>
                <w:p w14:paraId="08D069E7" w14:textId="77777777" w:rsidR="00563562" w:rsidRPr="00B92551"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CC5EBA">
                    <w:rPr>
                      <w:noProof/>
                    </w:rPr>
                    <w:t xml:space="preserve">   143</w:t>
                  </w:r>
                </w:p>
              </w:tc>
              <w:tc>
                <w:tcPr>
                  <w:tcW w:w="2031" w:type="dxa"/>
                  <w:tcBorders>
                    <w:top w:val="single" w:sz="4" w:space="0" w:color="auto"/>
                    <w:left w:val="nil"/>
                    <w:bottom w:val="single" w:sz="4" w:space="0" w:color="auto"/>
                    <w:right w:val="single" w:sz="4" w:space="0" w:color="auto"/>
                  </w:tcBorders>
                  <w:shd w:val="clear" w:color="000000" w:fill="D9D9D9"/>
                  <w:noWrap/>
                  <w:hideMark/>
                </w:tcPr>
                <w:p w14:paraId="08D069E8" w14:textId="77777777" w:rsidR="00563562" w:rsidRPr="00DB465F"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CC5EBA">
                    <w:rPr>
                      <w:noProof/>
                    </w:rPr>
                    <w:t xml:space="preserve">  2 025</w:t>
                  </w:r>
                </w:p>
              </w:tc>
              <w:tc>
                <w:tcPr>
                  <w:tcW w:w="1938" w:type="dxa"/>
                  <w:tcBorders>
                    <w:top w:val="single" w:sz="4" w:space="0" w:color="auto"/>
                    <w:left w:val="nil"/>
                    <w:bottom w:val="single" w:sz="4" w:space="0" w:color="auto"/>
                    <w:right w:val="single" w:sz="4" w:space="0" w:color="auto"/>
                  </w:tcBorders>
                  <w:shd w:val="clear" w:color="000000" w:fill="D9D9D9"/>
                  <w:noWrap/>
                  <w:hideMark/>
                </w:tcPr>
                <w:p w14:paraId="08D069E9" w14:textId="77777777" w:rsidR="00563562" w:rsidRPr="00DB465F"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r w:rsidRPr="00CC5EBA">
                    <w:rPr>
                      <w:noProof/>
                    </w:rPr>
                    <w:t xml:space="preserve">   294</w:t>
                  </w:r>
                </w:p>
              </w:tc>
              <w:tc>
                <w:tcPr>
                  <w:tcW w:w="2126" w:type="dxa"/>
                  <w:tcBorders>
                    <w:top w:val="single" w:sz="4" w:space="0" w:color="auto"/>
                    <w:left w:val="nil"/>
                    <w:bottom w:val="single" w:sz="4" w:space="0" w:color="auto"/>
                    <w:right w:val="single" w:sz="12" w:space="0" w:color="auto"/>
                  </w:tcBorders>
                  <w:shd w:val="clear" w:color="000000" w:fill="D9D9D9"/>
                  <w:noWrap/>
                  <w:hideMark/>
                </w:tcPr>
                <w:p w14:paraId="08D069EA"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2 319</w:t>
                  </w:r>
                </w:p>
              </w:tc>
            </w:tr>
            <w:tr w:rsidR="00563562" w:rsidRPr="00346D53" w14:paraId="08D069F2" w14:textId="77777777" w:rsidTr="004A21E3">
              <w:trPr>
                <w:trHeight w:val="340"/>
              </w:trPr>
              <w:tc>
                <w:tcPr>
                  <w:tcW w:w="2590" w:type="dxa"/>
                  <w:tcBorders>
                    <w:top w:val="nil"/>
                    <w:left w:val="single" w:sz="12" w:space="0" w:color="auto"/>
                    <w:bottom w:val="single" w:sz="4" w:space="0" w:color="auto"/>
                    <w:right w:val="single" w:sz="8" w:space="0" w:color="auto"/>
                  </w:tcBorders>
                  <w:shd w:val="clear" w:color="000000" w:fill="FFFFFF"/>
                  <w:noWrap/>
                  <w:vAlign w:val="center"/>
                  <w:hideMark/>
                </w:tcPr>
                <w:p w14:paraId="08D069EC" w14:textId="77777777" w:rsidR="00563562" w:rsidRPr="00DB465F"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bdr w:val="none" w:sz="0" w:space="0" w:color="auto"/>
                      <w:lang w:val="en-IE" w:eastAsia="fr-BE"/>
                    </w:rPr>
                  </w:pPr>
                  <w:r w:rsidRPr="00DB465F">
                    <w:rPr>
                      <w:rFonts w:eastAsia="Times New Roman"/>
                      <w:b/>
                      <w:bCs/>
                      <w:noProof/>
                      <w:color w:val="000000"/>
                      <w:bdr w:val="none" w:sz="0" w:space="0" w:color="auto"/>
                      <w:lang w:val="en-IE" w:eastAsia="fr-BE"/>
                    </w:rPr>
                    <w:t>TC</w:t>
                  </w:r>
                  <w:r w:rsidRPr="00DB465F">
                    <w:rPr>
                      <w:rFonts w:eastAsia="Times New Roman"/>
                      <w:noProof/>
                      <w:color w:val="000000"/>
                      <w:bdr w:val="none" w:sz="0" w:space="0" w:color="auto"/>
                      <w:lang w:val="en-IE" w:eastAsia="fr-BE"/>
                    </w:rPr>
                    <w:t>**</w:t>
                  </w:r>
                </w:p>
              </w:tc>
              <w:tc>
                <w:tcPr>
                  <w:tcW w:w="2868" w:type="dxa"/>
                  <w:tcBorders>
                    <w:top w:val="nil"/>
                    <w:left w:val="nil"/>
                    <w:bottom w:val="single" w:sz="4" w:space="0" w:color="auto"/>
                    <w:right w:val="single" w:sz="4" w:space="0" w:color="auto"/>
                  </w:tcBorders>
                  <w:shd w:val="clear" w:color="000000" w:fill="FFFFFF"/>
                  <w:noWrap/>
                  <w:hideMark/>
                </w:tcPr>
                <w:p w14:paraId="08D069ED"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p>
              </w:tc>
              <w:tc>
                <w:tcPr>
                  <w:tcW w:w="1925" w:type="dxa"/>
                  <w:tcBorders>
                    <w:top w:val="single" w:sz="4" w:space="0" w:color="auto"/>
                    <w:left w:val="nil"/>
                    <w:bottom w:val="single" w:sz="4" w:space="0" w:color="auto"/>
                    <w:right w:val="single" w:sz="4" w:space="0" w:color="auto"/>
                  </w:tcBorders>
                  <w:shd w:val="clear" w:color="000000" w:fill="FFFFFF"/>
                  <w:noWrap/>
                  <w:hideMark/>
                </w:tcPr>
                <w:p w14:paraId="08D069EE" w14:textId="77777777" w:rsidR="00563562" w:rsidRPr="00DB465F"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p>
              </w:tc>
              <w:tc>
                <w:tcPr>
                  <w:tcW w:w="2031" w:type="dxa"/>
                  <w:tcBorders>
                    <w:top w:val="single" w:sz="4" w:space="0" w:color="auto"/>
                    <w:left w:val="single" w:sz="4" w:space="0" w:color="auto"/>
                    <w:bottom w:val="single" w:sz="4" w:space="0" w:color="auto"/>
                    <w:right w:val="single" w:sz="4" w:space="0" w:color="auto"/>
                  </w:tcBorders>
                  <w:shd w:val="clear" w:color="000000" w:fill="FFFFFF"/>
                  <w:noWrap/>
                  <w:hideMark/>
                </w:tcPr>
                <w:p w14:paraId="08D069EF" w14:textId="77777777" w:rsidR="00563562" w:rsidRPr="00DB465F"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CC5EBA">
                    <w:rPr>
                      <w:noProof/>
                    </w:rPr>
                    <w:t xml:space="preserve">   46</w:t>
                  </w:r>
                </w:p>
              </w:tc>
              <w:tc>
                <w:tcPr>
                  <w:tcW w:w="1938" w:type="dxa"/>
                  <w:tcBorders>
                    <w:top w:val="single" w:sz="4" w:space="0" w:color="auto"/>
                    <w:left w:val="single" w:sz="4" w:space="0" w:color="auto"/>
                    <w:bottom w:val="single" w:sz="4" w:space="0" w:color="auto"/>
                    <w:right w:val="single" w:sz="4" w:space="0" w:color="auto"/>
                  </w:tcBorders>
                  <w:shd w:val="clear" w:color="auto" w:fill="auto"/>
                  <w:noWrap/>
                  <w:hideMark/>
                </w:tcPr>
                <w:p w14:paraId="08D069F0" w14:textId="77777777" w:rsidR="00563562" w:rsidRPr="00DB465F"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noProof/>
                      <w:color w:val="000000"/>
                      <w:bdr w:val="none" w:sz="0" w:space="0" w:color="auto"/>
                      <w:lang w:val="en-IE" w:eastAsia="fr-BE"/>
                    </w:rPr>
                  </w:pPr>
                </w:p>
              </w:tc>
              <w:tc>
                <w:tcPr>
                  <w:tcW w:w="2126" w:type="dxa"/>
                  <w:tcBorders>
                    <w:top w:val="single" w:sz="4" w:space="0" w:color="auto"/>
                    <w:left w:val="single" w:sz="4" w:space="0" w:color="auto"/>
                    <w:bottom w:val="single" w:sz="4" w:space="0" w:color="auto"/>
                    <w:right w:val="single" w:sz="12" w:space="0" w:color="auto"/>
                  </w:tcBorders>
                  <w:shd w:val="clear" w:color="000000" w:fill="FFFFFF"/>
                  <w:noWrap/>
                  <w:hideMark/>
                </w:tcPr>
                <w:p w14:paraId="08D069F1"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46</w:t>
                  </w:r>
                </w:p>
              </w:tc>
            </w:tr>
            <w:tr w:rsidR="00563562" w:rsidRPr="00346D53" w14:paraId="08D069F9" w14:textId="77777777" w:rsidTr="004A21E3">
              <w:trPr>
                <w:trHeight w:val="510"/>
              </w:trPr>
              <w:tc>
                <w:tcPr>
                  <w:tcW w:w="2590" w:type="dxa"/>
                  <w:tcBorders>
                    <w:top w:val="nil"/>
                    <w:left w:val="single" w:sz="12" w:space="0" w:color="auto"/>
                    <w:bottom w:val="single" w:sz="12" w:space="0" w:color="auto"/>
                    <w:right w:val="single" w:sz="8" w:space="0" w:color="auto"/>
                  </w:tcBorders>
                  <w:shd w:val="clear" w:color="000000" w:fill="BFBFBF"/>
                  <w:noWrap/>
                  <w:vAlign w:val="center"/>
                  <w:hideMark/>
                </w:tcPr>
                <w:p w14:paraId="08D069F3" w14:textId="77777777" w:rsidR="00563562" w:rsidRPr="00FB02DC"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bdr w:val="none" w:sz="0" w:space="0" w:color="auto"/>
                      <w:lang w:val="en-IE" w:eastAsia="fr-BE"/>
                    </w:rPr>
                  </w:pPr>
                  <w:r w:rsidRPr="00FB02DC">
                    <w:rPr>
                      <w:rFonts w:eastAsia="Times New Roman"/>
                      <w:b/>
                      <w:bCs/>
                      <w:noProof/>
                      <w:color w:val="000000"/>
                      <w:bdr w:val="none" w:sz="0" w:space="0" w:color="auto"/>
                      <w:lang w:val="en-IE" w:eastAsia="fr-BE"/>
                    </w:rPr>
                    <w:t>Total in MEUR</w:t>
                  </w:r>
                </w:p>
              </w:tc>
              <w:tc>
                <w:tcPr>
                  <w:tcW w:w="2868" w:type="dxa"/>
                  <w:tcBorders>
                    <w:top w:val="nil"/>
                    <w:left w:val="nil"/>
                    <w:bottom w:val="single" w:sz="12" w:space="0" w:color="auto"/>
                    <w:right w:val="single" w:sz="4" w:space="0" w:color="auto"/>
                  </w:tcBorders>
                  <w:shd w:val="clear" w:color="000000" w:fill="8497B0"/>
                  <w:noWrap/>
                  <w:vAlign w:val="center"/>
                  <w:hideMark/>
                </w:tcPr>
                <w:p w14:paraId="08D069F4"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93 501</w:t>
                  </w:r>
                </w:p>
              </w:tc>
              <w:tc>
                <w:tcPr>
                  <w:tcW w:w="1925" w:type="dxa"/>
                  <w:tcBorders>
                    <w:top w:val="single" w:sz="4" w:space="0" w:color="auto"/>
                    <w:left w:val="nil"/>
                    <w:bottom w:val="single" w:sz="12" w:space="0" w:color="auto"/>
                    <w:right w:val="single" w:sz="4" w:space="0" w:color="auto"/>
                  </w:tcBorders>
                  <w:shd w:val="clear" w:color="000000" w:fill="ACB9CA"/>
                  <w:noWrap/>
                  <w:vAlign w:val="center"/>
                  <w:hideMark/>
                </w:tcPr>
                <w:p w14:paraId="08D069F5" w14:textId="77777777" w:rsidR="00563562" w:rsidRPr="00FB02DC"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98695A">
                    <w:rPr>
                      <w:noProof/>
                    </w:rPr>
                    <w:t xml:space="preserve">  4 641</w:t>
                  </w:r>
                </w:p>
              </w:tc>
              <w:tc>
                <w:tcPr>
                  <w:tcW w:w="2031" w:type="dxa"/>
                  <w:tcBorders>
                    <w:top w:val="single" w:sz="4" w:space="0" w:color="auto"/>
                    <w:left w:val="nil"/>
                    <w:bottom w:val="single" w:sz="12" w:space="0" w:color="auto"/>
                    <w:right w:val="single" w:sz="4" w:space="0" w:color="auto"/>
                  </w:tcBorders>
                  <w:shd w:val="clear" w:color="000000" w:fill="ACB9CA"/>
                  <w:noWrap/>
                  <w:vAlign w:val="center"/>
                  <w:hideMark/>
                </w:tcPr>
                <w:p w14:paraId="08D069F6" w14:textId="77777777" w:rsidR="00563562" w:rsidRPr="00FB02DC"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color w:val="000000"/>
                      <w:bdr w:val="none" w:sz="0" w:space="0" w:color="auto"/>
                      <w:lang w:val="en-IE" w:eastAsia="fr-BE"/>
                    </w:rPr>
                  </w:pPr>
                  <w:r w:rsidRPr="0098695A">
                    <w:rPr>
                      <w:noProof/>
                    </w:rPr>
                    <w:t xml:space="preserve">  26 377</w:t>
                  </w:r>
                </w:p>
              </w:tc>
              <w:tc>
                <w:tcPr>
                  <w:tcW w:w="1938" w:type="dxa"/>
                  <w:tcBorders>
                    <w:top w:val="single" w:sz="4" w:space="0" w:color="auto"/>
                    <w:left w:val="nil"/>
                    <w:bottom w:val="single" w:sz="12" w:space="0" w:color="auto"/>
                    <w:right w:val="single" w:sz="4" w:space="0" w:color="auto"/>
                  </w:tcBorders>
                  <w:shd w:val="clear" w:color="000000" w:fill="BFBFBF"/>
                  <w:noWrap/>
                  <w:vAlign w:val="center"/>
                  <w:hideMark/>
                </w:tcPr>
                <w:p w14:paraId="08D069F7" w14:textId="77777777" w:rsidR="00563562" w:rsidRPr="00FB02DC"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98695A">
                    <w:rPr>
                      <w:noProof/>
                    </w:rPr>
                    <w:t xml:space="preserve">  7 693</w:t>
                  </w:r>
                </w:p>
              </w:tc>
              <w:tc>
                <w:tcPr>
                  <w:tcW w:w="2126" w:type="dxa"/>
                  <w:tcBorders>
                    <w:top w:val="single" w:sz="4" w:space="0" w:color="auto"/>
                    <w:left w:val="nil"/>
                    <w:bottom w:val="single" w:sz="12" w:space="0" w:color="auto"/>
                    <w:right w:val="single" w:sz="12" w:space="0" w:color="auto"/>
                  </w:tcBorders>
                  <w:shd w:val="clear" w:color="000000" w:fill="BFBFBF"/>
                  <w:noWrap/>
                  <w:vAlign w:val="center"/>
                  <w:hideMark/>
                </w:tcPr>
                <w:p w14:paraId="08D069F8" w14:textId="77777777" w:rsidR="00563562" w:rsidRPr="00563562" w:rsidRDefault="00563562" w:rsidP="0056356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noProof/>
                      <w:color w:val="000000"/>
                      <w:bdr w:val="none" w:sz="0" w:space="0" w:color="auto"/>
                      <w:lang w:val="en-IE" w:eastAsia="fr-BE"/>
                    </w:rPr>
                  </w:pPr>
                  <w:r w:rsidRPr="00563562">
                    <w:rPr>
                      <w:b/>
                      <w:noProof/>
                    </w:rPr>
                    <w:t xml:space="preserve">  110 796</w:t>
                  </w:r>
                </w:p>
              </w:tc>
            </w:tr>
          </w:tbl>
          <w:p w14:paraId="08D069FA" w14:textId="77777777" w:rsidR="00346D53" w:rsidRPr="00351274" w:rsidRDefault="00DB465F" w:rsidP="00351274">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Cs/>
                <w:i/>
                <w:noProof/>
                <w:color w:val="000000"/>
                <w:bdr w:val="none" w:sz="0" w:space="0" w:color="auto"/>
                <w:lang w:val="en-GB" w:eastAsia="en-GB"/>
              </w:rPr>
            </w:pPr>
            <w:r w:rsidRPr="00351274">
              <w:rPr>
                <w:rFonts w:eastAsia="Times New Roman"/>
                <w:bCs/>
                <w:i/>
                <w:noProof/>
                <w:color w:val="000000"/>
                <w:bdr w:val="none" w:sz="0" w:space="0" w:color="auto"/>
                <w:lang w:val="en-GB" w:eastAsia="en-GB"/>
              </w:rPr>
              <w:t>Source: Member States’ survey</w:t>
            </w:r>
            <w:r w:rsidR="00080515">
              <w:rPr>
                <w:rFonts w:eastAsia="Times New Roman"/>
                <w:bCs/>
                <w:i/>
                <w:noProof/>
                <w:color w:val="000000"/>
                <w:bdr w:val="none" w:sz="0" w:space="0" w:color="auto"/>
                <w:lang w:val="en-GB" w:eastAsia="en-GB"/>
              </w:rPr>
              <w:t xml:space="preserve"> 20</w:t>
            </w:r>
            <w:r w:rsidR="00F95AC0">
              <w:rPr>
                <w:rFonts w:eastAsia="Times New Roman"/>
                <w:bCs/>
                <w:i/>
                <w:noProof/>
                <w:color w:val="000000"/>
                <w:bdr w:val="none" w:sz="0" w:space="0" w:color="auto"/>
                <w:lang w:val="en-GB" w:eastAsia="en-GB"/>
              </w:rPr>
              <w:t>20/2021</w:t>
            </w:r>
            <w:r w:rsidRPr="00351274">
              <w:rPr>
                <w:rFonts w:eastAsia="Times New Roman"/>
                <w:bCs/>
                <w:i/>
                <w:noProof/>
                <w:color w:val="000000"/>
                <w:bdr w:val="none" w:sz="0" w:space="0" w:color="auto"/>
                <w:lang w:val="en-GB" w:eastAsia="en-GB"/>
              </w:rPr>
              <w:t>, DG REGIO, INEA, EIB</w:t>
            </w:r>
          </w:p>
          <w:p w14:paraId="08D069FB" w14:textId="77777777" w:rsidR="00DB465F" w:rsidRDefault="00DB465F" w:rsidP="009C4D1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en-GB" w:eastAsia="en-GB"/>
              </w:rPr>
            </w:pPr>
          </w:p>
          <w:p w14:paraId="08D069FC" w14:textId="77777777" w:rsidR="00346D53" w:rsidRPr="00F95AC0" w:rsidRDefault="003C5AC7" w:rsidP="003C5A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noProof/>
                <w:sz w:val="22"/>
                <w:szCs w:val="22"/>
                <w:bdr w:val="none" w:sz="0" w:space="0" w:color="auto"/>
                <w:lang w:val="en-GB"/>
              </w:rPr>
            </w:pPr>
            <w:r w:rsidRPr="00F95AC0">
              <w:rPr>
                <w:rFonts w:eastAsia="Times New Roman"/>
                <w:b/>
                <w:bCs/>
                <w:i/>
                <w:noProof/>
                <w:sz w:val="22"/>
                <w:szCs w:val="22"/>
                <w:bdr w:val="none" w:sz="0" w:space="0" w:color="auto"/>
                <w:lang w:val="en-GB"/>
              </w:rPr>
              <w:t>* rounded figures</w:t>
            </w:r>
          </w:p>
          <w:p w14:paraId="08D069FD" w14:textId="77777777" w:rsidR="003C5AC7" w:rsidRPr="00F95AC0" w:rsidRDefault="003C5AC7" w:rsidP="009C4D1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en-GB" w:eastAsia="en-GB"/>
              </w:rPr>
            </w:pPr>
          </w:p>
          <w:p w14:paraId="08D069FE" w14:textId="77777777" w:rsidR="009C4D10" w:rsidRPr="002533E6" w:rsidRDefault="009C4D10" w:rsidP="00F95A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en-GB" w:eastAsia="en-GB"/>
              </w:rPr>
            </w:pPr>
            <w:r w:rsidRPr="00F95AC0">
              <w:rPr>
                <w:rFonts w:eastAsia="Times New Roman"/>
                <w:b/>
                <w:bCs/>
                <w:noProof/>
                <w:color w:val="000000"/>
                <w:sz w:val="22"/>
                <w:szCs w:val="22"/>
                <w:bdr w:val="none" w:sz="0" w:space="0" w:color="auto"/>
                <w:lang w:val="en-GB" w:eastAsia="en-GB"/>
              </w:rPr>
              <w:t>*</w:t>
            </w:r>
            <w:r w:rsidR="003C5AC7" w:rsidRPr="00F95AC0">
              <w:rPr>
                <w:rFonts w:eastAsia="Times New Roman"/>
                <w:b/>
                <w:bCs/>
                <w:noProof/>
                <w:color w:val="000000"/>
                <w:sz w:val="22"/>
                <w:szCs w:val="22"/>
                <w:bdr w:val="none" w:sz="0" w:space="0" w:color="auto"/>
                <w:lang w:val="en-GB" w:eastAsia="en-GB"/>
              </w:rPr>
              <w:t>*</w:t>
            </w:r>
            <w:r w:rsidRPr="00F95AC0">
              <w:rPr>
                <w:rFonts w:eastAsia="Times New Roman"/>
                <w:b/>
                <w:bCs/>
                <w:noProof/>
                <w:color w:val="000000"/>
                <w:sz w:val="22"/>
                <w:szCs w:val="22"/>
                <w:bdr w:val="none" w:sz="0" w:space="0" w:color="auto"/>
                <w:lang w:val="en-GB" w:eastAsia="en-GB"/>
              </w:rPr>
              <w:t>TC stands for programmes implemented under the European territorial cooperation objective/goal, which had no access to the Cohesion Fund and covered regions from different Member States</w:t>
            </w:r>
            <w:r w:rsidR="00F95AC0" w:rsidRPr="00F95AC0">
              <w:rPr>
                <w:rFonts w:eastAsia="Times New Roman"/>
                <w:b/>
                <w:bCs/>
                <w:noProof/>
                <w:color w:val="000000"/>
                <w:sz w:val="22"/>
                <w:szCs w:val="22"/>
                <w:bdr w:val="none" w:sz="0" w:space="0" w:color="auto"/>
                <w:lang w:val="en-GB" w:eastAsia="en-GB"/>
              </w:rPr>
              <w:br/>
            </w:r>
            <w:r w:rsidR="00F95AC0" w:rsidRPr="00F95AC0">
              <w:rPr>
                <w:rFonts w:eastAsia="Times New Roman"/>
                <w:b/>
                <w:bCs/>
                <w:noProof/>
                <w:color w:val="000000"/>
                <w:sz w:val="22"/>
                <w:szCs w:val="22"/>
                <w:bdr w:val="none" w:sz="0" w:space="0" w:color="auto"/>
                <w:lang w:val="en-GB" w:eastAsia="en-GB"/>
              </w:rPr>
              <w:br/>
              <w:t xml:space="preserve">N.B.: Not all ERDF/CF declared expenditures have been entirely included in the total national budget figures, notably for the Member States CY, CZ, </w:t>
            </w:r>
            <w:r w:rsidR="00F95AC0" w:rsidRPr="00F95AC0">
              <w:rPr>
                <w:rFonts w:eastAsia="Times New Roman"/>
                <w:b/>
                <w:bCs/>
                <w:noProof/>
                <w:color w:val="000000"/>
                <w:sz w:val="22"/>
                <w:szCs w:val="22"/>
                <w:bdr w:val="none" w:sz="0" w:space="0" w:color="auto"/>
                <w:lang w:val="en-GB" w:eastAsia="en-GB"/>
              </w:rPr>
              <w:br/>
              <w:t>EE, LT, LV, PL, RO and SK. Therefore, the remaining differences for these countries are allocated to their total amounts.</w:t>
            </w:r>
            <w:r w:rsidR="00F95AC0" w:rsidRPr="00F95AC0">
              <w:rPr>
                <w:rFonts w:eastAsia="Times New Roman"/>
                <w:b/>
                <w:bCs/>
                <w:noProof/>
                <w:color w:val="000000"/>
                <w:sz w:val="22"/>
                <w:szCs w:val="22"/>
                <w:bdr w:val="none" w:sz="0" w:space="0" w:color="auto"/>
                <w:lang w:val="en-GB" w:eastAsia="en-GB"/>
              </w:rPr>
              <w:tab/>
            </w:r>
            <w:r w:rsidR="00F95AC0" w:rsidRPr="00F95AC0">
              <w:rPr>
                <w:rFonts w:eastAsia="Times New Roman"/>
                <w:b/>
                <w:bCs/>
                <w:noProof/>
                <w:color w:val="000000"/>
                <w:sz w:val="22"/>
                <w:szCs w:val="22"/>
                <w:bdr w:val="none" w:sz="0" w:space="0" w:color="auto"/>
                <w:lang w:val="en-GB" w:eastAsia="en-GB"/>
              </w:rPr>
              <w:tab/>
            </w:r>
            <w:r w:rsidR="00F95AC0" w:rsidRPr="00F95AC0">
              <w:rPr>
                <w:rFonts w:eastAsia="Times New Roman"/>
                <w:b/>
                <w:bCs/>
                <w:noProof/>
                <w:color w:val="000000"/>
                <w:sz w:val="22"/>
                <w:szCs w:val="22"/>
                <w:bdr w:val="none" w:sz="0" w:space="0" w:color="auto"/>
                <w:lang w:val="en-GB" w:eastAsia="en-GB"/>
              </w:rPr>
              <w:tab/>
            </w:r>
          </w:p>
        </w:tc>
      </w:tr>
    </w:tbl>
    <w:p w14:paraId="08D06A00" w14:textId="77777777" w:rsidR="009C72B8" w:rsidRPr="009C4D10" w:rsidRDefault="009C72B8" w:rsidP="00AC191F">
      <w:pPr>
        <w:rPr>
          <w:noProof/>
          <w:color w:val="1F497D"/>
          <w:lang w:val="en-GB"/>
        </w:rPr>
      </w:pPr>
    </w:p>
    <w:p w14:paraId="08D06A01" w14:textId="77777777" w:rsidR="009C72B8" w:rsidRDefault="009C72B8" w:rsidP="00AC191F">
      <w:pPr>
        <w:rPr>
          <w:noProof/>
          <w:color w:val="1F497D"/>
          <w:lang w:val="en-GB"/>
        </w:rPr>
      </w:pPr>
    </w:p>
    <w:p w14:paraId="08D06A02" w14:textId="77777777" w:rsidR="00346D53" w:rsidRDefault="00346D53">
      <w:pPr>
        <w:rPr>
          <w:noProof/>
          <w:color w:val="1F497D"/>
          <w:lang w:val="en-GB"/>
        </w:rPr>
      </w:pPr>
    </w:p>
    <w:p w14:paraId="08D06A03" w14:textId="77777777" w:rsidR="00346D53" w:rsidRDefault="00346D53" w:rsidP="009C72B8">
      <w:pPr>
        <w:rPr>
          <w:noProof/>
          <w:color w:val="1F497D"/>
          <w:lang w:val="en-GB"/>
        </w:rPr>
      </w:pPr>
    </w:p>
    <w:p w14:paraId="08D06A04" w14:textId="77777777" w:rsidR="00346D53" w:rsidRDefault="00346D53" w:rsidP="009C72B8">
      <w:pPr>
        <w:rPr>
          <w:noProof/>
          <w:color w:val="1F497D"/>
          <w:lang w:val="en-GB"/>
        </w:rPr>
        <w:sectPr w:rsidR="00346D53" w:rsidSect="009C72B8">
          <w:headerReference w:type="even" r:id="rId25"/>
          <w:headerReference w:type="default" r:id="rId26"/>
          <w:footerReference w:type="even" r:id="rId27"/>
          <w:footerReference w:type="default" r:id="rId28"/>
          <w:headerReference w:type="first" r:id="rId29"/>
          <w:footerReference w:type="first" r:id="rId30"/>
          <w:pgSz w:w="16840" w:h="11900" w:orient="landscape"/>
          <w:pgMar w:top="1417" w:right="1417" w:bottom="1417" w:left="1417" w:header="708" w:footer="708" w:gutter="0"/>
          <w:cols w:space="720"/>
          <w:docGrid w:linePitch="326"/>
        </w:sectPr>
      </w:pPr>
    </w:p>
    <w:p w14:paraId="08D06A05" w14:textId="77777777" w:rsidR="00F03205" w:rsidRPr="00EF0654" w:rsidRDefault="002259D3" w:rsidP="00EF0654">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sidRPr="00EF0654">
        <w:rPr>
          <w:rFonts w:ascii="Times New Roman" w:eastAsia="Times New Roman" w:hAnsi="Times New Roman" w:cs="Times New Roman"/>
          <w:b/>
          <w:bCs/>
          <w:smallCaps/>
          <w:noProof/>
          <w:sz w:val="24"/>
          <w:szCs w:val="24"/>
        </w:rPr>
        <w:t>Conclusion</w:t>
      </w:r>
    </w:p>
    <w:p w14:paraId="08D06A06" w14:textId="77777777" w:rsidR="001B1F1E" w:rsidRPr="00BC4BEE" w:rsidRDefault="00AB3DD8">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During t</w:t>
      </w:r>
      <w:r w:rsidR="00FB7DC5" w:rsidRPr="00FB7DC5">
        <w:rPr>
          <w:rFonts w:ascii="Times New Roman" w:hAnsi="Times New Roman"/>
          <w:noProof/>
          <w:color w:val="auto"/>
          <w:sz w:val="24"/>
          <w:szCs w:val="24"/>
        </w:rPr>
        <w:t>he years 2018 and 2019</w:t>
      </w:r>
      <w:r>
        <w:rPr>
          <w:rFonts w:ascii="Times New Roman" w:hAnsi="Times New Roman"/>
          <w:noProof/>
          <w:color w:val="auto"/>
          <w:sz w:val="24"/>
          <w:szCs w:val="24"/>
        </w:rPr>
        <w:t xml:space="preserve"> </w:t>
      </w:r>
      <w:r w:rsidR="00FB7DC5" w:rsidRPr="00FB7DC5">
        <w:rPr>
          <w:rFonts w:ascii="Times New Roman" w:hAnsi="Times New Roman"/>
          <w:noProof/>
          <w:color w:val="auto"/>
          <w:sz w:val="24"/>
          <w:szCs w:val="24"/>
        </w:rPr>
        <w:t xml:space="preserve">important steps forward </w:t>
      </w:r>
      <w:r>
        <w:rPr>
          <w:rFonts w:ascii="Times New Roman" w:hAnsi="Times New Roman"/>
          <w:noProof/>
          <w:color w:val="auto"/>
          <w:sz w:val="24"/>
          <w:szCs w:val="24"/>
        </w:rPr>
        <w:t xml:space="preserve">have been made towards </w:t>
      </w:r>
      <w:r w:rsidR="00FB7DC5" w:rsidRPr="00FB7DC5">
        <w:rPr>
          <w:rFonts w:ascii="Times New Roman" w:hAnsi="Times New Roman"/>
          <w:noProof/>
          <w:color w:val="auto"/>
          <w:sz w:val="24"/>
          <w:szCs w:val="24"/>
        </w:rPr>
        <w:t xml:space="preserve">the realisation of the trans-European transport network, </w:t>
      </w:r>
      <w:r w:rsidR="006E4D15" w:rsidRPr="00FB7DC5">
        <w:rPr>
          <w:rFonts w:ascii="Times New Roman" w:hAnsi="Times New Roman"/>
          <w:noProof/>
          <w:color w:val="auto"/>
          <w:sz w:val="24"/>
          <w:szCs w:val="24"/>
        </w:rPr>
        <w:t xml:space="preserve">both with regard to the technical compliance as well as the </w:t>
      </w:r>
      <w:r w:rsidR="006E4D15" w:rsidRPr="00BC4BEE">
        <w:rPr>
          <w:rFonts w:ascii="Times New Roman" w:hAnsi="Times New Roman"/>
          <w:noProof/>
          <w:color w:val="auto"/>
          <w:sz w:val="24"/>
          <w:szCs w:val="24"/>
        </w:rPr>
        <w:t xml:space="preserve">financial investments made on the network. </w:t>
      </w:r>
    </w:p>
    <w:p w14:paraId="08D06A07" w14:textId="77777777" w:rsidR="006E4D15" w:rsidRPr="00BC4BEE" w:rsidRDefault="00EF12B3" w:rsidP="006E4D15">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In</w:t>
      </w:r>
      <w:r w:rsidR="006E4D15" w:rsidRPr="00BC4BEE">
        <w:rPr>
          <w:rFonts w:ascii="Times New Roman" w:hAnsi="Times New Roman"/>
          <w:noProof/>
          <w:color w:val="auto"/>
          <w:sz w:val="24"/>
          <w:szCs w:val="24"/>
        </w:rPr>
        <w:t xml:space="preserve"> terms of compliance with the </w:t>
      </w:r>
      <w:r w:rsidR="00AB3DD8" w:rsidRPr="00BC4BEE">
        <w:rPr>
          <w:rFonts w:ascii="Times New Roman" w:hAnsi="Times New Roman"/>
          <w:noProof/>
          <w:color w:val="auto"/>
          <w:sz w:val="24"/>
          <w:szCs w:val="24"/>
        </w:rPr>
        <w:t xml:space="preserve">requirements </w:t>
      </w:r>
      <w:r w:rsidR="00AB3DD8">
        <w:rPr>
          <w:rFonts w:ascii="Times New Roman" w:hAnsi="Times New Roman"/>
          <w:noProof/>
          <w:color w:val="auto"/>
          <w:sz w:val="24"/>
          <w:szCs w:val="24"/>
        </w:rPr>
        <w:t xml:space="preserve">of the </w:t>
      </w:r>
      <w:r w:rsidR="006E4D15" w:rsidRPr="00BC4BEE">
        <w:rPr>
          <w:rFonts w:ascii="Times New Roman" w:hAnsi="Times New Roman"/>
          <w:noProof/>
          <w:color w:val="auto"/>
          <w:sz w:val="24"/>
          <w:szCs w:val="24"/>
        </w:rPr>
        <w:t xml:space="preserve">TEN-T Regulation, </w:t>
      </w:r>
      <w:r w:rsidR="00BC4BEE" w:rsidRPr="00BC4BEE">
        <w:rPr>
          <w:rFonts w:ascii="Times New Roman" w:hAnsi="Times New Roman"/>
          <w:noProof/>
          <w:color w:val="auto"/>
          <w:sz w:val="24"/>
          <w:szCs w:val="24"/>
        </w:rPr>
        <w:t>the network of the c</w:t>
      </w:r>
      <w:r w:rsidR="006E4D15" w:rsidRPr="00BC4BEE">
        <w:rPr>
          <w:rFonts w:ascii="Times New Roman" w:hAnsi="Times New Roman"/>
          <w:noProof/>
          <w:color w:val="auto"/>
          <w:sz w:val="24"/>
          <w:szCs w:val="24"/>
        </w:rPr>
        <w:t xml:space="preserve">ore </w:t>
      </w:r>
      <w:r w:rsidR="00BC4BEE" w:rsidRPr="00BC4BEE">
        <w:rPr>
          <w:rFonts w:ascii="Times New Roman" w:hAnsi="Times New Roman"/>
          <w:noProof/>
          <w:color w:val="auto"/>
          <w:sz w:val="24"/>
          <w:szCs w:val="24"/>
        </w:rPr>
        <w:t>n</w:t>
      </w:r>
      <w:r w:rsidR="006E4D15" w:rsidRPr="00BC4BEE">
        <w:rPr>
          <w:rFonts w:ascii="Times New Roman" w:hAnsi="Times New Roman"/>
          <w:noProof/>
          <w:color w:val="auto"/>
          <w:sz w:val="24"/>
          <w:szCs w:val="24"/>
        </w:rPr>
        <w:t xml:space="preserve">etwork </w:t>
      </w:r>
      <w:r w:rsidR="00BC4BEE" w:rsidRPr="00BC4BEE">
        <w:rPr>
          <w:rFonts w:ascii="Times New Roman" w:hAnsi="Times New Roman"/>
          <w:noProof/>
          <w:color w:val="auto"/>
          <w:sz w:val="24"/>
          <w:szCs w:val="24"/>
        </w:rPr>
        <w:t>c</w:t>
      </w:r>
      <w:r w:rsidR="006E4D15" w:rsidRPr="00BC4BEE">
        <w:rPr>
          <w:rFonts w:ascii="Times New Roman" w:hAnsi="Times New Roman"/>
          <w:noProof/>
          <w:color w:val="auto"/>
          <w:sz w:val="24"/>
          <w:szCs w:val="24"/>
        </w:rPr>
        <w:t xml:space="preserve">orridors reaches </w:t>
      </w:r>
      <w:r w:rsidR="0016665C">
        <w:rPr>
          <w:rFonts w:ascii="Times New Roman" w:hAnsi="Times New Roman"/>
          <w:noProof/>
          <w:color w:val="auto"/>
          <w:sz w:val="24"/>
          <w:szCs w:val="24"/>
        </w:rPr>
        <w:t xml:space="preserve">in 2019 </w:t>
      </w:r>
      <w:r w:rsidR="006E4D15" w:rsidRPr="00BC4BEE">
        <w:rPr>
          <w:rFonts w:ascii="Times New Roman" w:hAnsi="Times New Roman"/>
          <w:noProof/>
          <w:color w:val="auto"/>
          <w:sz w:val="24"/>
          <w:szCs w:val="24"/>
        </w:rPr>
        <w:t xml:space="preserve">between </w:t>
      </w:r>
      <w:r w:rsidR="00BC4BEE" w:rsidRPr="00BC4BEE">
        <w:rPr>
          <w:rFonts w:ascii="Times New Roman" w:hAnsi="Times New Roman"/>
          <w:noProof/>
          <w:color w:val="auto"/>
          <w:sz w:val="24"/>
          <w:szCs w:val="24"/>
        </w:rPr>
        <w:t>70</w:t>
      </w:r>
      <w:r w:rsidR="006E4D15" w:rsidRPr="00BC4BEE">
        <w:rPr>
          <w:rFonts w:ascii="Times New Roman" w:hAnsi="Times New Roman"/>
          <w:noProof/>
          <w:color w:val="auto"/>
          <w:sz w:val="24"/>
          <w:szCs w:val="24"/>
        </w:rPr>
        <w:t xml:space="preserve">% and </w:t>
      </w:r>
      <w:r w:rsidR="00BC4BEE" w:rsidRPr="00BC4BEE">
        <w:rPr>
          <w:rFonts w:ascii="Times New Roman" w:hAnsi="Times New Roman"/>
          <w:noProof/>
          <w:color w:val="auto"/>
          <w:sz w:val="24"/>
          <w:szCs w:val="24"/>
        </w:rPr>
        <w:t>99</w:t>
      </w:r>
      <w:r w:rsidR="006E4D15" w:rsidRPr="00BC4BEE">
        <w:rPr>
          <w:rFonts w:ascii="Times New Roman" w:hAnsi="Times New Roman"/>
          <w:noProof/>
          <w:color w:val="auto"/>
          <w:sz w:val="24"/>
          <w:szCs w:val="24"/>
        </w:rPr>
        <w:t>% for most (</w:t>
      </w:r>
      <w:r w:rsidR="00BC4BEE" w:rsidRPr="00BC4BEE">
        <w:rPr>
          <w:rFonts w:ascii="Times New Roman" w:hAnsi="Times New Roman"/>
          <w:noProof/>
          <w:color w:val="auto"/>
          <w:sz w:val="24"/>
          <w:szCs w:val="24"/>
        </w:rPr>
        <w:t>11</w:t>
      </w:r>
      <w:r w:rsidR="006E4D15" w:rsidRPr="00BC4BEE">
        <w:rPr>
          <w:rFonts w:ascii="Times New Roman" w:hAnsi="Times New Roman"/>
          <w:noProof/>
          <w:color w:val="auto"/>
          <w:sz w:val="24"/>
          <w:szCs w:val="24"/>
        </w:rPr>
        <w:t xml:space="preserve"> out of 1</w:t>
      </w:r>
      <w:r w:rsidR="00BC4BEE" w:rsidRPr="00BC4BEE">
        <w:rPr>
          <w:rFonts w:ascii="Times New Roman" w:hAnsi="Times New Roman"/>
          <w:noProof/>
          <w:color w:val="auto"/>
          <w:sz w:val="24"/>
          <w:szCs w:val="24"/>
        </w:rPr>
        <w:t>4</w:t>
      </w:r>
      <w:r w:rsidR="006E4D15" w:rsidRPr="00BC4BEE">
        <w:rPr>
          <w:rFonts w:ascii="Times New Roman" w:hAnsi="Times New Roman"/>
          <w:noProof/>
          <w:color w:val="auto"/>
          <w:sz w:val="24"/>
          <w:szCs w:val="24"/>
        </w:rPr>
        <w:t xml:space="preserve">) of the available indicators. </w:t>
      </w:r>
      <w:r w:rsidR="00BC4BEE">
        <w:rPr>
          <w:rFonts w:ascii="Times New Roman" w:hAnsi="Times New Roman"/>
          <w:noProof/>
          <w:color w:val="auto"/>
          <w:sz w:val="24"/>
          <w:szCs w:val="24"/>
        </w:rPr>
        <w:t xml:space="preserve">It needs however to be reminded that </w:t>
      </w:r>
      <w:r w:rsidR="008A13BD" w:rsidRPr="00BC4BEE">
        <w:rPr>
          <w:rFonts w:ascii="Times New Roman" w:hAnsi="Times New Roman"/>
          <w:noProof/>
          <w:color w:val="auto"/>
          <w:sz w:val="24"/>
          <w:szCs w:val="24"/>
        </w:rPr>
        <w:t xml:space="preserve">the current definition of the compliance parameters is sometimes not </w:t>
      </w:r>
      <w:r w:rsidR="00BC4BEE">
        <w:rPr>
          <w:rFonts w:ascii="Times New Roman" w:hAnsi="Times New Roman"/>
          <w:noProof/>
          <w:color w:val="auto"/>
          <w:sz w:val="24"/>
          <w:szCs w:val="24"/>
        </w:rPr>
        <w:t xml:space="preserve">sufficiently </w:t>
      </w:r>
      <w:r w:rsidR="008A13BD" w:rsidRPr="00BC4BEE">
        <w:rPr>
          <w:rFonts w:ascii="Times New Roman" w:hAnsi="Times New Roman"/>
          <w:noProof/>
          <w:color w:val="auto"/>
          <w:sz w:val="24"/>
          <w:szCs w:val="24"/>
        </w:rPr>
        <w:t xml:space="preserve">developed and specified to properly account for the actual operational possibilities of the network. This being said, the rather good compliance data </w:t>
      </w:r>
      <w:r w:rsidR="006E4D15" w:rsidRPr="00BC4BEE">
        <w:rPr>
          <w:rFonts w:ascii="Times New Roman" w:hAnsi="Times New Roman"/>
          <w:noProof/>
          <w:color w:val="auto"/>
          <w:sz w:val="24"/>
          <w:szCs w:val="24"/>
        </w:rPr>
        <w:t xml:space="preserve">goes hand in hand with the fact that the highest share of total investments (EUR </w:t>
      </w:r>
      <w:r w:rsidR="00BC4BEE" w:rsidRPr="00BC4BEE">
        <w:rPr>
          <w:rFonts w:ascii="Times New Roman" w:hAnsi="Times New Roman"/>
          <w:noProof/>
          <w:color w:val="auto"/>
          <w:sz w:val="24"/>
          <w:szCs w:val="24"/>
        </w:rPr>
        <w:t>93.5</w:t>
      </w:r>
      <w:r w:rsidR="006E4D15" w:rsidRPr="00BC4BEE">
        <w:rPr>
          <w:rFonts w:ascii="Times New Roman" w:hAnsi="Times New Roman"/>
          <w:noProof/>
          <w:color w:val="auto"/>
          <w:sz w:val="24"/>
          <w:szCs w:val="24"/>
        </w:rPr>
        <w:t xml:space="preserve"> billion) reported by Member States has been invested on the core network (</w:t>
      </w:r>
      <w:r w:rsidR="00BC4BEE" w:rsidRPr="00BC4BEE">
        <w:rPr>
          <w:rFonts w:ascii="Times New Roman" w:hAnsi="Times New Roman"/>
          <w:noProof/>
          <w:color w:val="auto"/>
          <w:sz w:val="24"/>
          <w:szCs w:val="24"/>
        </w:rPr>
        <w:t>72</w:t>
      </w:r>
      <w:r w:rsidR="006E4D15" w:rsidRPr="00BC4BEE">
        <w:rPr>
          <w:rFonts w:ascii="Times New Roman" w:hAnsi="Times New Roman"/>
          <w:noProof/>
          <w:color w:val="auto"/>
          <w:sz w:val="24"/>
          <w:szCs w:val="24"/>
        </w:rPr>
        <w:t xml:space="preserve">%). </w:t>
      </w:r>
      <w:r w:rsidR="00A45961">
        <w:rPr>
          <w:rFonts w:ascii="Times New Roman" w:hAnsi="Times New Roman"/>
          <w:noProof/>
          <w:color w:val="auto"/>
          <w:sz w:val="24"/>
          <w:szCs w:val="24"/>
        </w:rPr>
        <w:t>M</w:t>
      </w:r>
      <w:r w:rsidR="006E4D15" w:rsidRPr="00BC4BEE">
        <w:rPr>
          <w:rFonts w:ascii="Times New Roman" w:hAnsi="Times New Roman"/>
          <w:noProof/>
          <w:color w:val="auto"/>
          <w:sz w:val="24"/>
          <w:szCs w:val="24"/>
        </w:rPr>
        <w:t>ost funds have been attributed to TEN-T railways (including ERTMS) (4</w:t>
      </w:r>
      <w:r w:rsidR="00BC4BEE" w:rsidRPr="00BC4BEE">
        <w:rPr>
          <w:rFonts w:ascii="Times New Roman" w:hAnsi="Times New Roman"/>
          <w:noProof/>
          <w:color w:val="auto"/>
          <w:sz w:val="24"/>
          <w:szCs w:val="24"/>
        </w:rPr>
        <w:t>2</w:t>
      </w:r>
      <w:r w:rsidR="006E4D15" w:rsidRPr="00BC4BEE">
        <w:rPr>
          <w:rFonts w:ascii="Times New Roman" w:hAnsi="Times New Roman"/>
          <w:noProof/>
          <w:color w:val="auto"/>
          <w:sz w:val="24"/>
          <w:szCs w:val="24"/>
        </w:rPr>
        <w:t xml:space="preserve">%) in order to catch up with the compliance gaps. </w:t>
      </w:r>
    </w:p>
    <w:p w14:paraId="08D06A08" w14:textId="77777777" w:rsidR="006E4D15" w:rsidRDefault="00A45961" w:rsidP="006E4D15">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In terms of investments, the report shows</w:t>
      </w:r>
      <w:r w:rsidR="006E4D15" w:rsidRPr="00587FB2">
        <w:rPr>
          <w:rFonts w:ascii="Times New Roman" w:hAnsi="Times New Roman"/>
          <w:noProof/>
          <w:color w:val="auto"/>
          <w:sz w:val="24"/>
          <w:szCs w:val="24"/>
        </w:rPr>
        <w:t xml:space="preserve"> that the </w:t>
      </w:r>
      <w:r w:rsidR="00587FB2" w:rsidRPr="00587FB2">
        <w:rPr>
          <w:rFonts w:ascii="Times New Roman" w:hAnsi="Times New Roman"/>
          <w:noProof/>
          <w:color w:val="auto"/>
          <w:sz w:val="24"/>
          <w:szCs w:val="24"/>
        </w:rPr>
        <w:t>huge investment needs for the realisation of the TEN-T</w:t>
      </w:r>
      <w:r w:rsidR="006E4D15" w:rsidRPr="00587FB2">
        <w:rPr>
          <w:rFonts w:ascii="Times New Roman" w:hAnsi="Times New Roman"/>
          <w:noProof/>
          <w:color w:val="auto"/>
          <w:sz w:val="24"/>
          <w:szCs w:val="24"/>
        </w:rPr>
        <w:t xml:space="preserve"> infrastructure network can only be met by a sound mix of funding and financial instruments. The reporting years 201</w:t>
      </w:r>
      <w:r w:rsidR="00587FB2" w:rsidRPr="00587FB2">
        <w:rPr>
          <w:rFonts w:ascii="Times New Roman" w:hAnsi="Times New Roman"/>
          <w:noProof/>
          <w:color w:val="auto"/>
          <w:sz w:val="24"/>
          <w:szCs w:val="24"/>
        </w:rPr>
        <w:t>8</w:t>
      </w:r>
      <w:r w:rsidR="006E4D15" w:rsidRPr="00587FB2">
        <w:rPr>
          <w:rFonts w:ascii="Times New Roman" w:hAnsi="Times New Roman"/>
          <w:noProof/>
          <w:color w:val="auto"/>
          <w:sz w:val="24"/>
          <w:szCs w:val="24"/>
        </w:rPr>
        <w:t xml:space="preserve"> and 201</w:t>
      </w:r>
      <w:r w:rsidR="00587FB2" w:rsidRPr="00587FB2">
        <w:rPr>
          <w:rFonts w:ascii="Times New Roman" w:hAnsi="Times New Roman"/>
          <w:noProof/>
          <w:color w:val="auto"/>
          <w:sz w:val="24"/>
          <w:szCs w:val="24"/>
        </w:rPr>
        <w:t>9</w:t>
      </w:r>
      <w:r w:rsidR="006E4D15" w:rsidRPr="00587FB2">
        <w:rPr>
          <w:rFonts w:ascii="Times New Roman" w:hAnsi="Times New Roman"/>
          <w:noProof/>
          <w:color w:val="auto"/>
          <w:sz w:val="24"/>
          <w:szCs w:val="24"/>
        </w:rPr>
        <w:t xml:space="preserve"> were successful in that regard, by having shown an increased funding in particular </w:t>
      </w:r>
      <w:r w:rsidR="00AB3DD8">
        <w:rPr>
          <w:rFonts w:ascii="Times New Roman" w:hAnsi="Times New Roman"/>
          <w:noProof/>
          <w:color w:val="auto"/>
          <w:sz w:val="24"/>
          <w:szCs w:val="24"/>
        </w:rPr>
        <w:t xml:space="preserve">through </w:t>
      </w:r>
      <w:r w:rsidR="00587FB2" w:rsidRPr="00587FB2">
        <w:rPr>
          <w:rFonts w:ascii="Times New Roman" w:hAnsi="Times New Roman"/>
          <w:noProof/>
          <w:color w:val="auto"/>
          <w:sz w:val="24"/>
          <w:szCs w:val="24"/>
        </w:rPr>
        <w:t xml:space="preserve">ESIF, as well as </w:t>
      </w:r>
      <w:r w:rsidR="006E4D15" w:rsidRPr="00587FB2">
        <w:rPr>
          <w:rFonts w:ascii="Times New Roman" w:hAnsi="Times New Roman"/>
          <w:noProof/>
          <w:color w:val="auto"/>
          <w:sz w:val="24"/>
          <w:szCs w:val="24"/>
        </w:rPr>
        <w:t xml:space="preserve">a wide-spread use of other </w:t>
      </w:r>
      <w:r w:rsidR="00AB3DD8">
        <w:rPr>
          <w:rFonts w:ascii="Times New Roman" w:hAnsi="Times New Roman"/>
          <w:noProof/>
          <w:color w:val="auto"/>
          <w:sz w:val="24"/>
          <w:szCs w:val="24"/>
        </w:rPr>
        <w:t xml:space="preserve">funding and financing </w:t>
      </w:r>
      <w:r w:rsidR="006E4D15" w:rsidRPr="00587FB2">
        <w:rPr>
          <w:rFonts w:ascii="Times New Roman" w:hAnsi="Times New Roman"/>
          <w:noProof/>
          <w:color w:val="auto"/>
          <w:sz w:val="24"/>
          <w:szCs w:val="24"/>
        </w:rPr>
        <w:t>means (</w:t>
      </w:r>
      <w:r w:rsidR="00AB3DD8">
        <w:rPr>
          <w:rFonts w:ascii="Times New Roman" w:hAnsi="Times New Roman"/>
          <w:noProof/>
          <w:color w:val="auto"/>
          <w:sz w:val="24"/>
          <w:szCs w:val="24"/>
        </w:rPr>
        <w:t xml:space="preserve">in particular </w:t>
      </w:r>
      <w:r w:rsidR="00587FB2" w:rsidRPr="00587FB2">
        <w:rPr>
          <w:rFonts w:ascii="Times New Roman" w:hAnsi="Times New Roman"/>
          <w:noProof/>
          <w:color w:val="auto"/>
          <w:sz w:val="24"/>
          <w:szCs w:val="24"/>
        </w:rPr>
        <w:t>CEF</w:t>
      </w:r>
      <w:r w:rsidR="00AB3DD8">
        <w:rPr>
          <w:rFonts w:ascii="Times New Roman" w:hAnsi="Times New Roman"/>
          <w:noProof/>
          <w:color w:val="auto"/>
          <w:sz w:val="24"/>
          <w:szCs w:val="24"/>
        </w:rPr>
        <w:t xml:space="preserve"> and </w:t>
      </w:r>
      <w:r w:rsidR="006E4D15" w:rsidRPr="00587FB2">
        <w:rPr>
          <w:rFonts w:ascii="Times New Roman" w:hAnsi="Times New Roman"/>
          <w:noProof/>
          <w:color w:val="auto"/>
          <w:sz w:val="24"/>
          <w:szCs w:val="24"/>
        </w:rPr>
        <w:t xml:space="preserve">EIB loans). </w:t>
      </w:r>
    </w:p>
    <w:p w14:paraId="08D06A09" w14:textId="77777777" w:rsidR="00AB3DD8" w:rsidRDefault="00D74DFA" w:rsidP="006E4D15">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 xml:space="preserve">The present report presents the status of the TEN-T implementation as of 2019. There are thus ten years ahead for the completion of the core network and 30 years for the comprehensive network. It goes without saying that further progress is thus undoubtedly to be expected during the years to come, considering also that steady progress could already be illustrated throughout the past three reporting periods. </w:t>
      </w:r>
    </w:p>
    <w:p w14:paraId="08D06A0A" w14:textId="77777777" w:rsidR="00EC770C" w:rsidRDefault="00D74DFA" w:rsidP="00D74DFA">
      <w:pPr>
        <w:pStyle w:val="Corps"/>
        <w:spacing w:after="240" w:line="240" w:lineRule="auto"/>
        <w:jc w:val="both"/>
        <w:rPr>
          <w:rFonts w:ascii="Times New Roman" w:hAnsi="Times New Roman"/>
          <w:noProof/>
          <w:color w:val="auto"/>
          <w:sz w:val="24"/>
          <w:szCs w:val="24"/>
        </w:rPr>
      </w:pPr>
      <w:r>
        <w:rPr>
          <w:rFonts w:ascii="Times New Roman" w:hAnsi="Times New Roman"/>
          <w:noProof/>
          <w:color w:val="auto"/>
          <w:sz w:val="24"/>
          <w:szCs w:val="24"/>
        </w:rPr>
        <w:t xml:space="preserve">An important key to achieve the ambitious goals is the continuous monitoring of the maturity of the project pipeline. To this aim, the </w:t>
      </w:r>
      <w:r w:rsidRPr="00D74DFA">
        <w:rPr>
          <w:rFonts w:ascii="Times New Roman" w:hAnsi="Times New Roman"/>
          <w:noProof/>
          <w:color w:val="auto"/>
          <w:sz w:val="24"/>
          <w:szCs w:val="24"/>
        </w:rPr>
        <w:t xml:space="preserve">eleven European Coordinators </w:t>
      </w:r>
      <w:r w:rsidR="006E4D15" w:rsidRPr="00D74DFA">
        <w:rPr>
          <w:rFonts w:ascii="Times New Roman" w:hAnsi="Times New Roman"/>
          <w:noProof/>
          <w:color w:val="auto"/>
          <w:sz w:val="24"/>
          <w:szCs w:val="24"/>
        </w:rPr>
        <w:t>do their utmost efforts in ensuring a sound, mature and visible TEN-T project pipeline which counts</w:t>
      </w:r>
      <w:r w:rsidRPr="00D74DFA">
        <w:rPr>
          <w:rFonts w:ascii="Times New Roman" w:hAnsi="Times New Roman"/>
          <w:noProof/>
          <w:color w:val="auto"/>
          <w:sz w:val="24"/>
          <w:szCs w:val="24"/>
        </w:rPr>
        <w:t xml:space="preserve"> today for </w:t>
      </w:r>
      <w:r w:rsidR="00D0130E">
        <w:rPr>
          <w:rFonts w:ascii="Times New Roman" w:hAnsi="Times New Roman"/>
          <w:noProof/>
          <w:color w:val="auto"/>
          <w:sz w:val="24"/>
          <w:szCs w:val="24"/>
        </w:rPr>
        <w:t>almost 4000</w:t>
      </w:r>
      <w:r w:rsidR="006E4D15" w:rsidRPr="00D74DFA">
        <w:rPr>
          <w:rFonts w:ascii="Times New Roman" w:hAnsi="Times New Roman"/>
          <w:noProof/>
          <w:color w:val="auto"/>
          <w:sz w:val="24"/>
          <w:szCs w:val="24"/>
        </w:rPr>
        <w:t xml:space="preserve"> project investments</w:t>
      </w:r>
      <w:r w:rsidRPr="00D74DFA">
        <w:rPr>
          <w:rFonts w:ascii="Times New Roman" w:hAnsi="Times New Roman"/>
          <w:noProof/>
          <w:color w:val="auto"/>
          <w:sz w:val="24"/>
          <w:szCs w:val="24"/>
        </w:rPr>
        <w:t xml:space="preserve"> that are regularly being monitored in terms of their progress</w:t>
      </w:r>
      <w:r w:rsidR="006E4D15" w:rsidRPr="00D74DFA">
        <w:rPr>
          <w:rFonts w:ascii="Times New Roman" w:hAnsi="Times New Roman"/>
          <w:noProof/>
          <w:color w:val="auto"/>
          <w:sz w:val="24"/>
          <w:szCs w:val="24"/>
        </w:rPr>
        <w:t xml:space="preserve">. </w:t>
      </w:r>
      <w:r w:rsidRPr="00D74DFA">
        <w:rPr>
          <w:rFonts w:ascii="Times New Roman" w:hAnsi="Times New Roman"/>
          <w:noProof/>
          <w:color w:val="auto"/>
          <w:sz w:val="24"/>
          <w:szCs w:val="24"/>
        </w:rPr>
        <w:t xml:space="preserve">At the same time, the Directive on streamlining </w:t>
      </w:r>
      <w:r>
        <w:rPr>
          <w:rFonts w:ascii="Times New Roman" w:hAnsi="Times New Roman"/>
          <w:noProof/>
          <w:color w:val="auto"/>
          <w:sz w:val="24"/>
          <w:szCs w:val="24"/>
        </w:rPr>
        <w:t>measures for advancing the realisation of the TEN-T network</w:t>
      </w:r>
      <w:r w:rsidRPr="00D74DFA">
        <w:rPr>
          <w:rStyle w:val="FootnoteReference"/>
          <w:rFonts w:ascii="Times New Roman" w:hAnsi="Times New Roman"/>
          <w:noProof/>
          <w:color w:val="auto"/>
          <w:sz w:val="24"/>
          <w:szCs w:val="24"/>
        </w:rPr>
        <w:footnoteReference w:id="26"/>
      </w:r>
      <w:r w:rsidR="00E30C87" w:rsidRPr="00D74DFA">
        <w:rPr>
          <w:rFonts w:ascii="Times New Roman" w:hAnsi="Times New Roman"/>
          <w:noProof/>
          <w:color w:val="auto"/>
          <w:sz w:val="24"/>
          <w:szCs w:val="24"/>
        </w:rPr>
        <w:t xml:space="preserve"> </w:t>
      </w:r>
      <w:r w:rsidRPr="00D74DFA">
        <w:rPr>
          <w:rFonts w:ascii="Times New Roman" w:hAnsi="Times New Roman"/>
          <w:noProof/>
          <w:color w:val="auto"/>
          <w:sz w:val="24"/>
          <w:szCs w:val="24"/>
        </w:rPr>
        <w:t>just entered into force</w:t>
      </w:r>
      <w:r>
        <w:rPr>
          <w:rFonts w:ascii="Times New Roman" w:hAnsi="Times New Roman"/>
          <w:noProof/>
          <w:color w:val="auto"/>
          <w:sz w:val="24"/>
          <w:szCs w:val="24"/>
        </w:rPr>
        <w:t xml:space="preserve"> in July 2021; it can thus be expected that this will further accelerate </w:t>
      </w:r>
      <w:r w:rsidR="006E4D15" w:rsidRPr="00D74DFA">
        <w:rPr>
          <w:rFonts w:ascii="Times New Roman" w:hAnsi="Times New Roman"/>
          <w:noProof/>
          <w:color w:val="auto"/>
          <w:sz w:val="24"/>
          <w:szCs w:val="24"/>
        </w:rPr>
        <w:t>the progress of TEN-T implementation.</w:t>
      </w:r>
      <w:r w:rsidR="00A45961">
        <w:rPr>
          <w:rFonts w:ascii="Times New Roman" w:hAnsi="Times New Roman"/>
          <w:noProof/>
          <w:color w:val="auto"/>
          <w:sz w:val="24"/>
          <w:szCs w:val="24"/>
        </w:rPr>
        <w:t xml:space="preserve"> The Commission plans to have exchanges of views with the Member States in 2022, to identify best practices and ensure an effective implementation of the Directive.</w:t>
      </w:r>
    </w:p>
    <w:p w14:paraId="08D06A0B" w14:textId="77777777" w:rsidR="00743078" w:rsidRDefault="00D74DFA" w:rsidP="008A184F">
      <w:pPr>
        <w:pStyle w:val="Corps"/>
        <w:spacing w:after="240" w:line="240" w:lineRule="auto"/>
        <w:jc w:val="both"/>
        <w:rPr>
          <w:b/>
          <w:bCs/>
          <w:smallCaps/>
          <w:noProof/>
        </w:rPr>
      </w:pPr>
      <w:r>
        <w:rPr>
          <w:rFonts w:ascii="Times New Roman" w:hAnsi="Times New Roman"/>
          <w:noProof/>
          <w:color w:val="auto"/>
          <w:sz w:val="24"/>
          <w:szCs w:val="24"/>
        </w:rPr>
        <w:t xml:space="preserve">Finally, and most importantly, the </w:t>
      </w:r>
      <w:r w:rsidRPr="00D74DFA">
        <w:rPr>
          <w:rFonts w:ascii="Times New Roman" w:hAnsi="Times New Roman"/>
          <w:noProof/>
          <w:color w:val="auto"/>
          <w:sz w:val="24"/>
          <w:szCs w:val="24"/>
        </w:rPr>
        <w:t xml:space="preserve">Commission </w:t>
      </w:r>
      <w:r w:rsidRPr="00D347B5">
        <w:rPr>
          <w:rFonts w:ascii="Times New Roman" w:hAnsi="Times New Roman"/>
          <w:noProof/>
          <w:color w:val="auto"/>
          <w:sz w:val="24"/>
          <w:szCs w:val="24"/>
        </w:rPr>
        <w:t>adopt</w:t>
      </w:r>
      <w:r w:rsidR="00A45961" w:rsidRPr="00D347B5">
        <w:rPr>
          <w:rFonts w:ascii="Times New Roman" w:hAnsi="Times New Roman"/>
          <w:noProof/>
          <w:color w:val="auto"/>
          <w:sz w:val="24"/>
          <w:szCs w:val="24"/>
        </w:rPr>
        <w:t>ed</w:t>
      </w:r>
      <w:r w:rsidRPr="00D74DFA">
        <w:rPr>
          <w:rFonts w:ascii="Times New Roman" w:hAnsi="Times New Roman"/>
          <w:noProof/>
          <w:color w:val="auto"/>
          <w:sz w:val="24"/>
          <w:szCs w:val="24"/>
        </w:rPr>
        <w:t xml:space="preserve"> a legal proposal for a revised TEN-T Regulation</w:t>
      </w:r>
      <w:r w:rsidR="008A184F">
        <w:rPr>
          <w:rFonts w:ascii="Times New Roman" w:hAnsi="Times New Roman"/>
          <w:noProof/>
          <w:color w:val="auto"/>
          <w:sz w:val="24"/>
          <w:szCs w:val="24"/>
        </w:rPr>
        <w:t xml:space="preserve">. </w:t>
      </w:r>
      <w:r w:rsidR="00A45961">
        <w:rPr>
          <w:rFonts w:ascii="Times New Roman" w:hAnsi="Times New Roman"/>
          <w:noProof/>
          <w:color w:val="auto"/>
          <w:sz w:val="24"/>
          <w:szCs w:val="24"/>
        </w:rPr>
        <w:t xml:space="preserve">The </w:t>
      </w:r>
      <w:r w:rsidR="008A184F">
        <w:rPr>
          <w:rFonts w:ascii="Times New Roman" w:hAnsi="Times New Roman"/>
          <w:noProof/>
          <w:color w:val="auto"/>
          <w:sz w:val="24"/>
          <w:szCs w:val="24"/>
        </w:rPr>
        <w:t xml:space="preserve">proposal </w:t>
      </w:r>
      <w:r w:rsidRPr="00D74DFA">
        <w:rPr>
          <w:rFonts w:ascii="Times New Roman" w:hAnsi="Times New Roman"/>
          <w:noProof/>
          <w:color w:val="auto"/>
          <w:sz w:val="24"/>
          <w:szCs w:val="24"/>
        </w:rPr>
        <w:t>addresses the many challenges and</w:t>
      </w:r>
      <w:r>
        <w:rPr>
          <w:rFonts w:ascii="Times New Roman" w:hAnsi="Times New Roman"/>
          <w:noProof/>
          <w:color w:val="auto"/>
          <w:sz w:val="24"/>
          <w:szCs w:val="24"/>
        </w:rPr>
        <w:t xml:space="preserve"> shortcomings </w:t>
      </w:r>
      <w:r w:rsidRPr="00D74DFA">
        <w:rPr>
          <w:rFonts w:ascii="Times New Roman" w:hAnsi="Times New Roman"/>
          <w:noProof/>
          <w:color w:val="auto"/>
          <w:sz w:val="24"/>
          <w:szCs w:val="24"/>
        </w:rPr>
        <w:t xml:space="preserve">that the current report </w:t>
      </w:r>
      <w:r>
        <w:rPr>
          <w:rFonts w:ascii="Times New Roman" w:hAnsi="Times New Roman"/>
          <w:noProof/>
          <w:color w:val="auto"/>
          <w:sz w:val="24"/>
          <w:szCs w:val="24"/>
        </w:rPr>
        <w:t>tried to illustrate</w:t>
      </w:r>
      <w:r w:rsidRPr="00D74DFA">
        <w:rPr>
          <w:rFonts w:ascii="Times New Roman" w:hAnsi="Times New Roman"/>
          <w:noProof/>
          <w:color w:val="auto"/>
          <w:sz w:val="24"/>
          <w:szCs w:val="24"/>
        </w:rPr>
        <w:t>.</w:t>
      </w:r>
      <w:r>
        <w:rPr>
          <w:rFonts w:ascii="Times New Roman" w:hAnsi="Times New Roman"/>
          <w:noProof/>
          <w:color w:val="auto"/>
          <w:sz w:val="24"/>
          <w:szCs w:val="24"/>
        </w:rPr>
        <w:t xml:space="preserve"> </w:t>
      </w:r>
      <w:r w:rsidRPr="00D74DFA">
        <w:rPr>
          <w:rFonts w:ascii="Times New Roman" w:hAnsi="Times New Roman"/>
          <w:noProof/>
          <w:color w:val="auto"/>
          <w:sz w:val="24"/>
          <w:szCs w:val="24"/>
        </w:rPr>
        <w:t xml:space="preserve">Indeed, the development and better specification of the technical requirements of the network is key in order to </w:t>
      </w:r>
      <w:r>
        <w:rPr>
          <w:rFonts w:ascii="Times New Roman" w:hAnsi="Times New Roman"/>
          <w:noProof/>
          <w:color w:val="auto"/>
          <w:sz w:val="24"/>
          <w:szCs w:val="24"/>
        </w:rPr>
        <w:t xml:space="preserve">increase </w:t>
      </w:r>
      <w:r w:rsidR="008D5036" w:rsidRPr="00D74DFA">
        <w:rPr>
          <w:rFonts w:ascii="Times New Roman" w:hAnsi="Times New Roman"/>
          <w:noProof/>
          <w:color w:val="auto"/>
          <w:sz w:val="24"/>
          <w:szCs w:val="24"/>
        </w:rPr>
        <w:t xml:space="preserve">the efficiency of the network </w:t>
      </w:r>
      <w:r>
        <w:rPr>
          <w:rFonts w:ascii="Times New Roman" w:hAnsi="Times New Roman"/>
          <w:noProof/>
          <w:color w:val="auto"/>
          <w:sz w:val="24"/>
          <w:szCs w:val="24"/>
        </w:rPr>
        <w:t>on the ground</w:t>
      </w:r>
      <w:r w:rsidR="008D5036" w:rsidRPr="00D74DFA">
        <w:rPr>
          <w:rFonts w:ascii="Times New Roman" w:hAnsi="Times New Roman"/>
          <w:noProof/>
          <w:color w:val="auto"/>
          <w:sz w:val="24"/>
          <w:szCs w:val="24"/>
        </w:rPr>
        <w:t>.</w:t>
      </w:r>
      <w:r w:rsidR="008A13BD" w:rsidRPr="00D74DFA">
        <w:rPr>
          <w:rFonts w:ascii="Times New Roman" w:hAnsi="Times New Roman"/>
          <w:noProof/>
          <w:color w:val="auto"/>
          <w:sz w:val="24"/>
          <w:szCs w:val="24"/>
        </w:rPr>
        <w:t xml:space="preserve"> </w:t>
      </w:r>
      <w:r w:rsidR="00D0130E">
        <w:rPr>
          <w:rFonts w:ascii="Times New Roman" w:hAnsi="Times New Roman"/>
          <w:noProof/>
          <w:color w:val="auto"/>
          <w:sz w:val="24"/>
          <w:szCs w:val="24"/>
        </w:rPr>
        <w:t xml:space="preserve">Next to it, a strengthened role of the European Coordinators and a better alignment of national transport and investment planning with TEN-T priorities will hopefully give another push for the timely realisation of the TEN-T. </w:t>
      </w:r>
    </w:p>
    <w:p w14:paraId="08D06A0C" w14:textId="77777777" w:rsidR="00C11096" w:rsidRPr="000E571D" w:rsidRDefault="00C11096" w:rsidP="00C11096">
      <w:pPr>
        <w:pStyle w:val="ListParagraph"/>
        <w:keepNext/>
        <w:numPr>
          <w:ilvl w:val="0"/>
          <w:numId w:val="3"/>
        </w:numPr>
        <w:spacing w:before="120" w:after="120" w:line="240" w:lineRule="auto"/>
        <w:ind w:left="357" w:hanging="357"/>
        <w:jc w:val="both"/>
        <w:outlineLvl w:val="0"/>
        <w:rPr>
          <w:rFonts w:ascii="Times New Roman" w:eastAsia="Times New Roman" w:hAnsi="Times New Roman" w:cs="Times New Roman"/>
          <w:b/>
          <w:bCs/>
          <w:smallCaps/>
          <w:noProof/>
          <w:sz w:val="24"/>
          <w:szCs w:val="24"/>
          <w:lang w:val="en-GB"/>
        </w:rPr>
      </w:pPr>
      <w:r>
        <w:rPr>
          <w:rFonts w:ascii="Times New Roman" w:hAnsi="Times New Roman"/>
          <w:b/>
          <w:bCs/>
          <w:smallCaps/>
          <w:noProof/>
          <w:sz w:val="24"/>
          <w:szCs w:val="24"/>
          <w:lang w:val="en-GB"/>
        </w:rPr>
        <w:t xml:space="preserve">Annexes </w:t>
      </w:r>
    </w:p>
    <w:p w14:paraId="08D06A0D" w14:textId="77777777" w:rsidR="00743078" w:rsidRPr="00743078" w:rsidRDefault="00743078" w:rsidP="00743078">
      <w:pPr>
        <w:pStyle w:val="Corps"/>
        <w:spacing w:after="240" w:line="240" w:lineRule="auto"/>
        <w:ind w:left="720"/>
        <w:jc w:val="both"/>
        <w:rPr>
          <w:rFonts w:ascii="Times New Roman" w:hAnsi="Times New Roman"/>
          <w:noProof/>
          <w:sz w:val="4"/>
          <w:szCs w:val="4"/>
        </w:rPr>
      </w:pPr>
    </w:p>
    <w:p w14:paraId="08D06A0E" w14:textId="77777777" w:rsidR="00743078" w:rsidRDefault="00743078" w:rsidP="00743078">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Compliance Map: Railways – Electrification – Status 20</w:t>
      </w:r>
      <w:r w:rsidR="0067434C">
        <w:rPr>
          <w:rFonts w:ascii="Times New Roman" w:hAnsi="Times New Roman"/>
          <w:noProof/>
          <w:sz w:val="24"/>
          <w:szCs w:val="24"/>
        </w:rPr>
        <w:t>19</w:t>
      </w:r>
    </w:p>
    <w:p w14:paraId="08D06A0F" w14:textId="77777777" w:rsidR="0067434C" w:rsidRDefault="00743078" w:rsidP="00A35B9A">
      <w:pPr>
        <w:pStyle w:val="Corps"/>
        <w:numPr>
          <w:ilvl w:val="0"/>
          <w:numId w:val="18"/>
        </w:numPr>
        <w:spacing w:after="240" w:line="240" w:lineRule="auto"/>
        <w:jc w:val="both"/>
        <w:rPr>
          <w:rFonts w:ascii="Times New Roman" w:hAnsi="Times New Roman"/>
          <w:noProof/>
          <w:sz w:val="24"/>
          <w:szCs w:val="24"/>
        </w:rPr>
      </w:pPr>
      <w:r w:rsidRPr="0067434C">
        <w:rPr>
          <w:rFonts w:ascii="Times New Roman" w:hAnsi="Times New Roman"/>
          <w:noProof/>
          <w:sz w:val="24"/>
          <w:szCs w:val="24"/>
        </w:rPr>
        <w:t xml:space="preserve">Compliance Map: Railways – Track Gauge (1435mm) – </w:t>
      </w:r>
      <w:r w:rsidR="0067434C">
        <w:rPr>
          <w:rFonts w:ascii="Times New Roman" w:hAnsi="Times New Roman"/>
          <w:noProof/>
          <w:sz w:val="24"/>
          <w:szCs w:val="24"/>
        </w:rPr>
        <w:t>Status 2019</w:t>
      </w:r>
    </w:p>
    <w:p w14:paraId="08D06A10" w14:textId="77777777" w:rsidR="00743078" w:rsidRPr="0067434C" w:rsidRDefault="00743078" w:rsidP="00A35B9A">
      <w:pPr>
        <w:pStyle w:val="Corps"/>
        <w:numPr>
          <w:ilvl w:val="0"/>
          <w:numId w:val="18"/>
        </w:numPr>
        <w:spacing w:after="240" w:line="240" w:lineRule="auto"/>
        <w:jc w:val="both"/>
        <w:rPr>
          <w:rFonts w:ascii="Times New Roman" w:hAnsi="Times New Roman"/>
          <w:noProof/>
          <w:sz w:val="24"/>
          <w:szCs w:val="24"/>
        </w:rPr>
      </w:pPr>
      <w:r w:rsidRPr="0067434C">
        <w:rPr>
          <w:rFonts w:ascii="Times New Roman" w:hAnsi="Times New Roman"/>
          <w:noProof/>
          <w:sz w:val="24"/>
          <w:szCs w:val="24"/>
        </w:rPr>
        <w:t xml:space="preserve">Compliance Map: Railways (freight &amp; mixed lines) – Line Speed – </w:t>
      </w:r>
      <w:r w:rsidR="0067434C">
        <w:rPr>
          <w:rFonts w:ascii="Times New Roman" w:hAnsi="Times New Roman"/>
          <w:noProof/>
          <w:sz w:val="24"/>
          <w:szCs w:val="24"/>
        </w:rPr>
        <w:t>Status 2019</w:t>
      </w:r>
    </w:p>
    <w:p w14:paraId="08D06A11" w14:textId="77777777" w:rsidR="00743078" w:rsidRDefault="00743078" w:rsidP="00743078">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Railways – ERTMS Deployment (track side) – </w:t>
      </w:r>
      <w:r w:rsidR="0067434C">
        <w:rPr>
          <w:rFonts w:ascii="Times New Roman" w:hAnsi="Times New Roman"/>
          <w:noProof/>
          <w:sz w:val="24"/>
          <w:szCs w:val="24"/>
        </w:rPr>
        <w:t>Status 2019</w:t>
      </w:r>
    </w:p>
    <w:p w14:paraId="08D06A12" w14:textId="77777777" w:rsidR="00743078" w:rsidRDefault="00743078" w:rsidP="00743078">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Railways (freight &amp; mixed lines) – Max. axle load – </w:t>
      </w:r>
      <w:r w:rsidR="0067434C">
        <w:rPr>
          <w:rFonts w:ascii="Times New Roman" w:hAnsi="Times New Roman"/>
          <w:noProof/>
          <w:sz w:val="24"/>
          <w:szCs w:val="24"/>
        </w:rPr>
        <w:t>Status 2019</w:t>
      </w:r>
    </w:p>
    <w:p w14:paraId="08D06A13" w14:textId="77777777" w:rsidR="00743078" w:rsidRDefault="00743078" w:rsidP="00743078">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Railways (freight &amp; mixed lines) – Max. train length – </w:t>
      </w:r>
      <w:r w:rsidR="0067434C">
        <w:rPr>
          <w:rFonts w:ascii="Times New Roman" w:hAnsi="Times New Roman"/>
          <w:noProof/>
          <w:sz w:val="24"/>
          <w:szCs w:val="24"/>
        </w:rPr>
        <w:t>Status 2019</w:t>
      </w:r>
    </w:p>
    <w:p w14:paraId="08D06A14" w14:textId="77777777" w:rsidR="009D166A" w:rsidRPr="009D166A" w:rsidRDefault="004400FD" w:rsidP="009D166A">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Railways </w:t>
      </w:r>
      <w:r w:rsidR="009D166A">
        <w:rPr>
          <w:rFonts w:ascii="Times New Roman" w:hAnsi="Times New Roman"/>
          <w:noProof/>
          <w:sz w:val="24"/>
          <w:szCs w:val="24"/>
        </w:rPr>
        <w:t xml:space="preserve">– </w:t>
      </w:r>
      <w:r>
        <w:rPr>
          <w:rFonts w:ascii="Times New Roman" w:hAnsi="Times New Roman"/>
          <w:noProof/>
          <w:sz w:val="24"/>
          <w:szCs w:val="24"/>
        </w:rPr>
        <w:t>Loading Gauge</w:t>
      </w:r>
      <w:r w:rsidR="009D166A">
        <w:rPr>
          <w:rFonts w:ascii="Times New Roman" w:hAnsi="Times New Roman"/>
          <w:noProof/>
          <w:sz w:val="24"/>
          <w:szCs w:val="24"/>
        </w:rPr>
        <w:t xml:space="preserve"> – </w:t>
      </w:r>
      <w:r w:rsidR="0067434C">
        <w:rPr>
          <w:rFonts w:ascii="Times New Roman" w:hAnsi="Times New Roman"/>
          <w:noProof/>
          <w:sz w:val="24"/>
          <w:szCs w:val="24"/>
        </w:rPr>
        <w:t>Status 2019</w:t>
      </w:r>
    </w:p>
    <w:p w14:paraId="08D06A15" w14:textId="77777777" w:rsidR="0067434C" w:rsidRDefault="00743078" w:rsidP="00A35B9A">
      <w:pPr>
        <w:pStyle w:val="Corps"/>
        <w:numPr>
          <w:ilvl w:val="0"/>
          <w:numId w:val="18"/>
        </w:numPr>
        <w:spacing w:after="240" w:line="240" w:lineRule="auto"/>
        <w:jc w:val="both"/>
        <w:rPr>
          <w:rFonts w:ascii="Times New Roman" w:hAnsi="Times New Roman"/>
          <w:noProof/>
          <w:sz w:val="24"/>
          <w:szCs w:val="24"/>
        </w:rPr>
      </w:pPr>
      <w:r w:rsidRPr="0067434C">
        <w:rPr>
          <w:rFonts w:ascii="Times New Roman" w:hAnsi="Times New Roman"/>
          <w:noProof/>
          <w:sz w:val="24"/>
          <w:szCs w:val="24"/>
        </w:rPr>
        <w:t xml:space="preserve">Compliance Map: Inland Waterways – CEMT class – </w:t>
      </w:r>
      <w:r w:rsidR="0067434C">
        <w:rPr>
          <w:rFonts w:ascii="Times New Roman" w:hAnsi="Times New Roman"/>
          <w:noProof/>
          <w:sz w:val="24"/>
          <w:szCs w:val="24"/>
        </w:rPr>
        <w:t>Status 2019</w:t>
      </w:r>
    </w:p>
    <w:p w14:paraId="08D06A16" w14:textId="77777777" w:rsidR="00743078" w:rsidRPr="0067434C" w:rsidRDefault="00743078" w:rsidP="00A35B9A">
      <w:pPr>
        <w:pStyle w:val="Corps"/>
        <w:numPr>
          <w:ilvl w:val="0"/>
          <w:numId w:val="18"/>
        </w:numPr>
        <w:spacing w:after="240" w:line="240" w:lineRule="auto"/>
        <w:jc w:val="both"/>
        <w:rPr>
          <w:rFonts w:ascii="Times New Roman" w:hAnsi="Times New Roman"/>
          <w:noProof/>
          <w:sz w:val="24"/>
          <w:szCs w:val="24"/>
        </w:rPr>
      </w:pPr>
      <w:r w:rsidRPr="0067434C">
        <w:rPr>
          <w:rFonts w:ascii="Times New Roman" w:hAnsi="Times New Roman"/>
          <w:noProof/>
          <w:sz w:val="24"/>
          <w:szCs w:val="24"/>
        </w:rPr>
        <w:t xml:space="preserve">Compliance Map: Inland Waterways – Permissible draught – </w:t>
      </w:r>
      <w:r w:rsidR="0067434C">
        <w:rPr>
          <w:rFonts w:ascii="Times New Roman" w:hAnsi="Times New Roman"/>
          <w:noProof/>
          <w:sz w:val="24"/>
          <w:szCs w:val="24"/>
        </w:rPr>
        <w:t>Status 2019</w:t>
      </w:r>
    </w:p>
    <w:p w14:paraId="08D06A17" w14:textId="77777777" w:rsidR="00743078" w:rsidRDefault="00743078" w:rsidP="00743078">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Inland Waterways – Permissible height under bridges – </w:t>
      </w:r>
      <w:r w:rsidR="0067434C">
        <w:rPr>
          <w:rFonts w:ascii="Times New Roman" w:hAnsi="Times New Roman"/>
          <w:noProof/>
          <w:sz w:val="24"/>
          <w:szCs w:val="24"/>
        </w:rPr>
        <w:t>Status 2019</w:t>
      </w:r>
    </w:p>
    <w:p w14:paraId="08D06A18" w14:textId="77777777" w:rsidR="00743078" w:rsidRDefault="00743078" w:rsidP="00743078">
      <w:pPr>
        <w:pStyle w:val="Corps"/>
        <w:numPr>
          <w:ilvl w:val="0"/>
          <w:numId w:val="18"/>
        </w:numPr>
        <w:spacing w:after="240" w:line="240" w:lineRule="auto"/>
        <w:jc w:val="both"/>
        <w:rPr>
          <w:rFonts w:ascii="Times New Roman" w:hAnsi="Times New Roman"/>
          <w:noProof/>
          <w:sz w:val="24"/>
          <w:szCs w:val="24"/>
        </w:rPr>
      </w:pPr>
      <w:r>
        <w:rPr>
          <w:rFonts w:ascii="Times New Roman" w:hAnsi="Times New Roman"/>
          <w:noProof/>
          <w:sz w:val="24"/>
          <w:szCs w:val="24"/>
        </w:rPr>
        <w:t xml:space="preserve">Compliance Map: Inland Waterways – RIS Implementation – </w:t>
      </w:r>
      <w:r w:rsidR="0067434C">
        <w:rPr>
          <w:rFonts w:ascii="Times New Roman" w:hAnsi="Times New Roman"/>
          <w:noProof/>
          <w:sz w:val="24"/>
          <w:szCs w:val="24"/>
        </w:rPr>
        <w:t>Status 2019</w:t>
      </w:r>
    </w:p>
    <w:p w14:paraId="08D06A19" w14:textId="77777777" w:rsidR="00C11096" w:rsidRPr="0067434C" w:rsidRDefault="00743078" w:rsidP="00A35B9A">
      <w:pPr>
        <w:pStyle w:val="Corps"/>
        <w:numPr>
          <w:ilvl w:val="0"/>
          <w:numId w:val="18"/>
        </w:numPr>
        <w:spacing w:after="240" w:line="240" w:lineRule="auto"/>
        <w:jc w:val="both"/>
        <w:rPr>
          <w:rFonts w:ascii="Times New Roman" w:hAnsi="Times New Roman"/>
          <w:noProof/>
          <w:sz w:val="24"/>
          <w:szCs w:val="24"/>
        </w:rPr>
      </w:pPr>
      <w:r w:rsidRPr="0067434C">
        <w:rPr>
          <w:rFonts w:ascii="Times New Roman" w:hAnsi="Times New Roman"/>
          <w:noProof/>
          <w:sz w:val="24"/>
          <w:szCs w:val="24"/>
        </w:rPr>
        <w:t xml:space="preserve">Compliance Map: Roads – Express Roads / Motorways - </w:t>
      </w:r>
      <w:r w:rsidR="0067434C">
        <w:rPr>
          <w:rFonts w:ascii="Times New Roman" w:hAnsi="Times New Roman"/>
          <w:noProof/>
          <w:sz w:val="24"/>
          <w:szCs w:val="24"/>
        </w:rPr>
        <w:t>Status 2019</w:t>
      </w:r>
    </w:p>
    <w:sectPr w:rsidR="00C11096" w:rsidRPr="0067434C" w:rsidSect="0056499F">
      <w:headerReference w:type="even" r:id="rId31"/>
      <w:headerReference w:type="default" r:id="rId32"/>
      <w:footerReference w:type="even" r:id="rId33"/>
      <w:footerReference w:type="default" r:id="rId34"/>
      <w:headerReference w:type="first" r:id="rId35"/>
      <w:footerReference w:type="first" r:id="rId36"/>
      <w:pgSz w:w="11900" w:h="16840"/>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06A20" w14:textId="77777777" w:rsidR="00AA2AE2" w:rsidRDefault="00AA2AE2">
      <w:r>
        <w:separator/>
      </w:r>
    </w:p>
  </w:endnote>
  <w:endnote w:type="continuationSeparator" w:id="0">
    <w:p w14:paraId="08D06A21" w14:textId="77777777" w:rsidR="00AA2AE2" w:rsidRDefault="00AA2AE2">
      <w:r>
        <w:continuationSeparator/>
      </w:r>
    </w:p>
  </w:endnote>
  <w:endnote w:type="continuationNotice" w:id="1">
    <w:p w14:paraId="08D06A22" w14:textId="77777777" w:rsidR="00AA2AE2" w:rsidRDefault="00AA2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w:charset w:val="00"/>
    <w:family w:val="swiss"/>
    <w:pitch w:val="variable"/>
    <w:sig w:usb0="A00002B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3493C" w14:textId="77777777" w:rsidR="00F30FD8" w:rsidRPr="00F30FD8" w:rsidRDefault="00F30FD8" w:rsidP="00F30FD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8" w14:textId="77777777" w:rsidR="00AA2AE2" w:rsidRDefault="00AA2AE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9" w14:textId="1141EE1D" w:rsidR="00AA2AE2" w:rsidRDefault="00AA2AE2" w:rsidP="00FE72D3">
    <w:pPr>
      <w:pStyle w:val="Footer"/>
      <w:tabs>
        <w:tab w:val="clear" w:pos="9071"/>
        <w:tab w:val="right" w:pos="9046"/>
      </w:tabs>
      <w:jc w:val="center"/>
    </w:pPr>
    <w:r>
      <w:rPr>
        <w:rFonts w:eastAsia="Times New Roman"/>
        <w:szCs w:val="24"/>
      </w:rPr>
      <w:fldChar w:fldCharType="begin"/>
    </w:r>
    <w:r>
      <w:rPr>
        <w:rFonts w:eastAsia="Times New Roman"/>
        <w:szCs w:val="24"/>
      </w:rPr>
      <w:instrText xml:space="preserve"> PAGE </w:instrText>
    </w:r>
    <w:r>
      <w:rPr>
        <w:rFonts w:eastAsia="Times New Roman"/>
        <w:szCs w:val="24"/>
      </w:rPr>
      <w:fldChar w:fldCharType="separate"/>
    </w:r>
    <w:r w:rsidR="00F30FD8">
      <w:rPr>
        <w:rFonts w:eastAsia="Times New Roman"/>
        <w:noProof/>
        <w:szCs w:val="24"/>
      </w:rPr>
      <w:t>17</w:t>
    </w:r>
    <w:r>
      <w:rPr>
        <w:rFonts w:eastAsia="Times New Roman"/>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B" w14:textId="77777777" w:rsidR="00AA2AE2" w:rsidRDefault="00AA2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26" w14:textId="021474D0" w:rsidR="00BF087E" w:rsidRPr="00F30FD8" w:rsidRDefault="00F30FD8" w:rsidP="00F30FD8">
    <w:pPr>
      <w:pStyle w:val="FooterCoverPage"/>
      <w:rPr>
        <w:rFonts w:ascii="Arial" w:hAnsi="Arial" w:cs="Arial"/>
        <w:b/>
        <w:sz w:val="48"/>
      </w:rPr>
    </w:pPr>
    <w:r w:rsidRPr="00F30FD8">
      <w:rPr>
        <w:rFonts w:ascii="Arial" w:hAnsi="Arial" w:cs="Arial"/>
        <w:b/>
        <w:sz w:val="48"/>
      </w:rPr>
      <w:t>EN</w:t>
    </w:r>
    <w:r w:rsidRPr="00F30FD8">
      <w:rPr>
        <w:rFonts w:ascii="Arial" w:hAnsi="Arial" w:cs="Arial"/>
        <w:b/>
        <w:sz w:val="48"/>
      </w:rPr>
      <w:tab/>
    </w:r>
    <w:r w:rsidRPr="00F30FD8">
      <w:rPr>
        <w:rFonts w:ascii="Arial" w:hAnsi="Arial" w:cs="Arial"/>
        <w:b/>
        <w:sz w:val="48"/>
      </w:rPr>
      <w:tab/>
    </w:r>
    <w:r w:rsidRPr="00F30FD8">
      <w:tab/>
    </w:r>
    <w:r w:rsidRPr="00F30FD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B0DAE" w14:textId="77777777" w:rsidR="00F30FD8" w:rsidRPr="00F30FD8" w:rsidRDefault="00F30FD8" w:rsidP="00F30FD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2B" w14:textId="77777777" w:rsidR="00AA2AE2" w:rsidRDefault="00AA2A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855207"/>
      <w:docPartObj>
        <w:docPartGallery w:val="Page Numbers (Bottom of Page)"/>
        <w:docPartUnique/>
      </w:docPartObj>
    </w:sdtPr>
    <w:sdtEndPr>
      <w:rPr>
        <w:noProof/>
      </w:rPr>
    </w:sdtEndPr>
    <w:sdtContent>
      <w:p w14:paraId="08D06A2C" w14:textId="2F31F36F" w:rsidR="00BF087E" w:rsidRDefault="00BF087E">
        <w:pPr>
          <w:pStyle w:val="Footer"/>
          <w:jc w:val="center"/>
        </w:pPr>
        <w:r>
          <w:fldChar w:fldCharType="begin"/>
        </w:r>
        <w:r>
          <w:instrText xml:space="preserve"> PAGE   \* MERGEFORMAT </w:instrText>
        </w:r>
        <w:r>
          <w:fldChar w:fldCharType="separate"/>
        </w:r>
        <w:r w:rsidR="00F30FD8">
          <w:rPr>
            <w:noProof/>
          </w:rPr>
          <w:t>1</w:t>
        </w:r>
        <w:r>
          <w:rPr>
            <w:noProof/>
          </w:rPr>
          <w:fldChar w:fldCharType="end"/>
        </w:r>
      </w:p>
    </w:sdtContent>
  </w:sdt>
  <w:p w14:paraId="08D06A2D" w14:textId="77777777" w:rsidR="00AA2AE2" w:rsidRDefault="00AA2AE2">
    <w:pPr>
      <w:pStyle w:val="Footer"/>
      <w:tabs>
        <w:tab w:val="clear" w:pos="9071"/>
        <w:tab w:val="right" w:pos="9046"/>
      </w:tabs>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2F" w14:textId="77777777" w:rsidR="00AA2AE2" w:rsidRDefault="00AA2AE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2" w14:textId="77777777" w:rsidR="00AA2AE2" w:rsidRDefault="00AA2AE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3" w14:textId="2D01889B" w:rsidR="00AA2AE2" w:rsidRDefault="00AA2AE2" w:rsidP="00FE72D3">
    <w:pPr>
      <w:pStyle w:val="Footer"/>
      <w:tabs>
        <w:tab w:val="clear" w:pos="9071"/>
        <w:tab w:val="right" w:pos="9046"/>
      </w:tabs>
      <w:jc w:val="center"/>
    </w:pPr>
    <w:r>
      <w:rPr>
        <w:rFonts w:eastAsia="Times New Roman"/>
        <w:szCs w:val="24"/>
      </w:rPr>
      <w:fldChar w:fldCharType="begin"/>
    </w:r>
    <w:r>
      <w:rPr>
        <w:rFonts w:eastAsia="Times New Roman"/>
        <w:szCs w:val="24"/>
      </w:rPr>
      <w:instrText xml:space="preserve"> PAGE </w:instrText>
    </w:r>
    <w:r>
      <w:rPr>
        <w:rFonts w:eastAsia="Times New Roman"/>
        <w:szCs w:val="24"/>
      </w:rPr>
      <w:fldChar w:fldCharType="separate"/>
    </w:r>
    <w:r w:rsidR="00F30FD8">
      <w:rPr>
        <w:rFonts w:eastAsia="Times New Roman"/>
        <w:noProof/>
        <w:szCs w:val="24"/>
      </w:rPr>
      <w:t>15</w:t>
    </w:r>
    <w:r>
      <w:rPr>
        <w:rFonts w:eastAsia="Times New Roman"/>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5" w14:textId="77777777" w:rsidR="00AA2AE2" w:rsidRDefault="00AA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06A1D" w14:textId="77777777" w:rsidR="00AA2AE2" w:rsidRDefault="00AA2AE2">
      <w:r>
        <w:separator/>
      </w:r>
    </w:p>
  </w:footnote>
  <w:footnote w:type="continuationSeparator" w:id="0">
    <w:p w14:paraId="08D06A1E" w14:textId="77777777" w:rsidR="00AA2AE2" w:rsidRDefault="00AA2AE2">
      <w:r>
        <w:continuationSeparator/>
      </w:r>
    </w:p>
  </w:footnote>
  <w:footnote w:type="continuationNotice" w:id="1">
    <w:p w14:paraId="08D06A1F" w14:textId="77777777" w:rsidR="00AA2AE2" w:rsidRDefault="00AA2AE2"/>
  </w:footnote>
  <w:footnote w:id="2">
    <w:p w14:paraId="08D06A3C" w14:textId="77777777" w:rsidR="00AA2AE2" w:rsidRPr="00242959" w:rsidRDefault="00AA2AE2" w:rsidP="007D05DF">
      <w:pPr>
        <w:pStyle w:val="FootnoteText"/>
        <w:tabs>
          <w:tab w:val="left" w:pos="284"/>
        </w:tabs>
        <w:spacing w:before="30" w:after="30"/>
        <w:ind w:left="284" w:hanging="284"/>
        <w:jc w:val="both"/>
      </w:pPr>
      <w:r w:rsidRPr="00242959">
        <w:rPr>
          <w:rFonts w:ascii="Times New Roman" w:eastAsia="Times New Roman" w:hAnsi="Times New Roman" w:cs="Times New Roman"/>
          <w:vertAlign w:val="superscript"/>
        </w:rPr>
        <w:footnoteRef/>
      </w:r>
      <w:r w:rsidRPr="00242959">
        <w:rPr>
          <w:rFonts w:ascii="Times New Roman" w:hAnsi="Times New Roman"/>
          <w:vertAlign w:val="superscript"/>
        </w:rPr>
        <w:t xml:space="preserve"> </w:t>
      </w:r>
      <w:r>
        <w:rPr>
          <w:rFonts w:ascii="Times New Roman" w:hAnsi="Times New Roman"/>
          <w:vertAlign w:val="superscript"/>
        </w:rPr>
        <w:tab/>
      </w:r>
      <w:r w:rsidRPr="00242959">
        <w:rPr>
          <w:rFonts w:ascii="Times New Roman" w:hAnsi="Times New Roman"/>
        </w:rPr>
        <w:t>Regulation (EU) No 1315/2013 of the European Parliament and of the Council of 11 December 2013 on Union guidelines for the development of the trans-European transport network and repealing Decision No 661/2010/EU, OJ L 348, 20.12.2013</w:t>
      </w:r>
      <w:r>
        <w:rPr>
          <w:rFonts w:ascii="Times New Roman" w:hAnsi="Times New Roman"/>
        </w:rPr>
        <w:t>, p.1</w:t>
      </w:r>
    </w:p>
  </w:footnote>
  <w:footnote w:id="3">
    <w:p w14:paraId="08D06A3D" w14:textId="77777777" w:rsidR="00AA2AE2" w:rsidRPr="009409BE" w:rsidRDefault="00AA2AE2" w:rsidP="007D05DF">
      <w:pPr>
        <w:pStyle w:val="FootnoteText"/>
        <w:tabs>
          <w:tab w:val="left" w:pos="284"/>
        </w:tabs>
        <w:ind w:left="284" w:hanging="284"/>
        <w:jc w:val="both"/>
        <w:rPr>
          <w:rFonts w:ascii="Times New Roman" w:hAnsi="Times New Roman" w:cs="Times New Roman"/>
          <w:lang w:val="en-GB"/>
        </w:rPr>
      </w:pPr>
      <w:r w:rsidRPr="009409BE">
        <w:rPr>
          <w:rStyle w:val="FootnoteReference"/>
          <w:rFonts w:ascii="Times New Roman" w:hAnsi="Times New Roman" w:cs="Times New Roman"/>
        </w:rPr>
        <w:footnoteRef/>
      </w:r>
      <w:r w:rsidRPr="009409BE">
        <w:rPr>
          <w:rFonts w:ascii="Times New Roman" w:hAnsi="Times New Roman" w:cs="Times New Roman"/>
        </w:rPr>
        <w:t xml:space="preserve"> </w:t>
      </w:r>
      <w:r w:rsidRPr="009409BE">
        <w:rPr>
          <w:rFonts w:ascii="Times New Roman" w:hAnsi="Times New Roman" w:cs="Times New Roman"/>
        </w:rPr>
        <w:tab/>
        <w:t>COM</w:t>
      </w:r>
      <w:r>
        <w:rPr>
          <w:rFonts w:ascii="Times New Roman" w:hAnsi="Times New Roman" w:cs="Times New Roman"/>
        </w:rPr>
        <w:t xml:space="preserve"> </w:t>
      </w:r>
      <w:r w:rsidRPr="009409BE">
        <w:rPr>
          <w:rFonts w:ascii="Times New Roman" w:hAnsi="Times New Roman" w:cs="Times New Roman"/>
        </w:rPr>
        <w:t>(2019) 640 final</w:t>
      </w:r>
    </w:p>
  </w:footnote>
  <w:footnote w:id="4">
    <w:p w14:paraId="08D06A3E" w14:textId="77777777" w:rsidR="00AA2AE2" w:rsidRPr="009409BE" w:rsidRDefault="00AA2AE2" w:rsidP="007D05DF">
      <w:pPr>
        <w:pStyle w:val="FootnoteText"/>
        <w:ind w:left="284" w:hanging="284"/>
        <w:jc w:val="both"/>
        <w:rPr>
          <w:lang w:val="en-IE"/>
        </w:rPr>
      </w:pPr>
      <w:r w:rsidRPr="009409BE">
        <w:rPr>
          <w:rStyle w:val="FootnoteReference"/>
          <w:rFonts w:ascii="Times New Roman" w:hAnsi="Times New Roman" w:cs="Times New Roman"/>
        </w:rPr>
        <w:footnoteRef/>
      </w:r>
      <w:r w:rsidRPr="009409BE">
        <w:rPr>
          <w:rFonts w:ascii="Times New Roman" w:hAnsi="Times New Roman" w:cs="Times New Roman"/>
        </w:rPr>
        <w:t xml:space="preserve"> </w:t>
      </w:r>
      <w:r w:rsidRPr="009409BE">
        <w:rPr>
          <w:rFonts w:ascii="Times New Roman" w:hAnsi="Times New Roman" w:cs="Times New Roman"/>
        </w:rPr>
        <w:tab/>
      </w:r>
      <w:r w:rsidRPr="009409BE">
        <w:rPr>
          <w:rFonts w:ascii="Times New Roman" w:hAnsi="Times New Roman" w:cs="Times New Roman"/>
          <w:lang w:val="en-IE"/>
        </w:rPr>
        <w:t>COM (2020)</w:t>
      </w:r>
      <w:r>
        <w:rPr>
          <w:rFonts w:ascii="Times New Roman" w:hAnsi="Times New Roman" w:cs="Times New Roman"/>
          <w:lang w:val="en-IE"/>
        </w:rPr>
        <w:t xml:space="preserve"> </w:t>
      </w:r>
      <w:r w:rsidRPr="009409BE">
        <w:rPr>
          <w:rFonts w:ascii="Times New Roman" w:hAnsi="Times New Roman" w:cs="Times New Roman"/>
          <w:lang w:val="en-IE"/>
        </w:rPr>
        <w:t>789 final</w:t>
      </w:r>
    </w:p>
  </w:footnote>
  <w:footnote w:id="5">
    <w:p w14:paraId="08D06A3F" w14:textId="77777777" w:rsidR="00AA2AE2" w:rsidRPr="00DD39BF" w:rsidRDefault="00AA2AE2" w:rsidP="007D05DF">
      <w:pPr>
        <w:pStyle w:val="FootnoteText"/>
        <w:tabs>
          <w:tab w:val="left" w:pos="284"/>
        </w:tabs>
        <w:ind w:left="284" w:hanging="284"/>
        <w:jc w:val="both"/>
      </w:pPr>
      <w:r>
        <w:rPr>
          <w:rStyle w:val="FootnoteReference"/>
        </w:rPr>
        <w:footnoteRef/>
      </w:r>
      <w:r>
        <w:t xml:space="preserve"> </w:t>
      </w:r>
      <w:r>
        <w:tab/>
      </w:r>
      <w:r>
        <w:rPr>
          <w:rFonts w:ascii="Times New Roman" w:hAnsi="Times New Roman" w:cs="Times New Roman"/>
        </w:rPr>
        <w:t>Regulation (EU) N</w:t>
      </w:r>
      <w:r w:rsidRPr="007767D6">
        <w:rPr>
          <w:rFonts w:ascii="Times New Roman" w:hAnsi="Times New Roman" w:cs="Times New Roman"/>
        </w:rPr>
        <w:t>o 1316/2013 of the European</w:t>
      </w:r>
      <w:r>
        <w:rPr>
          <w:rFonts w:ascii="Times New Roman" w:hAnsi="Times New Roman" w:cs="Times New Roman"/>
        </w:rPr>
        <w:t xml:space="preserve"> Parliament and of the C</w:t>
      </w:r>
      <w:r w:rsidRPr="007767D6">
        <w:rPr>
          <w:rFonts w:ascii="Times New Roman" w:hAnsi="Times New Roman" w:cs="Times New Roman"/>
        </w:rPr>
        <w:t>ouncil of 11 December</w:t>
      </w:r>
      <w:r>
        <w:rPr>
          <w:rFonts w:ascii="Times New Roman" w:hAnsi="Times New Roman" w:cs="Times New Roman"/>
        </w:rPr>
        <w:t xml:space="preserve"> 2013 establishing the C</w:t>
      </w:r>
      <w:r w:rsidRPr="007767D6">
        <w:rPr>
          <w:rFonts w:ascii="Times New Roman" w:hAnsi="Times New Roman" w:cs="Times New Roman"/>
        </w:rPr>
        <w:t>onnecting Europe</w:t>
      </w:r>
      <w:r>
        <w:rPr>
          <w:rFonts w:ascii="Times New Roman" w:hAnsi="Times New Roman" w:cs="Times New Roman"/>
        </w:rPr>
        <w:t xml:space="preserve"> Facility, amending Regulation (EU) No 913/2010 and repealing Regulations (EC) N</w:t>
      </w:r>
      <w:r w:rsidRPr="007767D6">
        <w:rPr>
          <w:rFonts w:ascii="Times New Roman" w:hAnsi="Times New Roman" w:cs="Times New Roman"/>
        </w:rPr>
        <w:t>o 680/2007 and (</w:t>
      </w:r>
      <w:r>
        <w:rPr>
          <w:rFonts w:ascii="Times New Roman" w:hAnsi="Times New Roman" w:cs="Times New Roman"/>
        </w:rPr>
        <w:t>EC</w:t>
      </w:r>
      <w:r w:rsidRPr="007767D6">
        <w:rPr>
          <w:rFonts w:ascii="Times New Roman" w:hAnsi="Times New Roman" w:cs="Times New Roman"/>
        </w:rPr>
        <w:t xml:space="preserve">) </w:t>
      </w:r>
      <w:r>
        <w:rPr>
          <w:rFonts w:ascii="Times New Roman" w:hAnsi="Times New Roman" w:cs="Times New Roman"/>
        </w:rPr>
        <w:t>N</w:t>
      </w:r>
      <w:r w:rsidRPr="007767D6">
        <w:rPr>
          <w:rFonts w:ascii="Times New Roman" w:hAnsi="Times New Roman" w:cs="Times New Roman"/>
        </w:rPr>
        <w:t>o 67/2010</w:t>
      </w:r>
      <w:r>
        <w:rPr>
          <w:rFonts w:ascii="Times New Roman" w:hAnsi="Times New Roman" w:cs="Times New Roman"/>
        </w:rPr>
        <w:t>, OJ L 348, 20.12.2013, p. 129</w:t>
      </w:r>
    </w:p>
  </w:footnote>
  <w:footnote w:id="6">
    <w:p w14:paraId="08D06A40" w14:textId="77777777" w:rsidR="00AA2AE2" w:rsidRPr="00691CCF" w:rsidRDefault="00AA2AE2" w:rsidP="007D05DF">
      <w:pPr>
        <w:pStyle w:val="FootnoteText"/>
        <w:ind w:left="284" w:hanging="284"/>
        <w:jc w:val="both"/>
        <w:rPr>
          <w:lang w:val="en-GB"/>
        </w:rPr>
      </w:pPr>
      <w:r>
        <w:rPr>
          <w:rStyle w:val="FootnoteReference"/>
        </w:rPr>
        <w:footnoteRef/>
      </w:r>
      <w:r>
        <w:t xml:space="preserve"> </w:t>
      </w:r>
      <w:r>
        <w:tab/>
      </w:r>
      <w:r w:rsidRPr="006C50C9">
        <w:rPr>
          <w:rFonts w:ascii="Times New Roman" w:hAnsi="Times New Roman" w:cs="Times New Roman"/>
        </w:rPr>
        <w:t>Regulation (EU) 2021/1153 of the European Parliament and of the Council of 7 July 2021 establishing the Connecting Europe Facility and repealing Regulations (EU) No 1316/2013 and (EU) No 283/</w:t>
      </w:r>
      <w:r>
        <w:rPr>
          <w:rFonts w:ascii="Times New Roman" w:hAnsi="Times New Roman" w:cs="Times New Roman"/>
        </w:rPr>
        <w:t>2014, OJ L 249, 14.7.2021, p.38</w:t>
      </w:r>
    </w:p>
  </w:footnote>
  <w:footnote w:id="7">
    <w:p w14:paraId="08D06A41" w14:textId="2C39C50F" w:rsidR="00AA2AE2" w:rsidRPr="00691CCF" w:rsidRDefault="00AA2AE2" w:rsidP="007D05DF">
      <w:pPr>
        <w:pStyle w:val="FootnoteText"/>
        <w:ind w:left="284" w:hanging="284"/>
        <w:jc w:val="both"/>
        <w:rPr>
          <w:rFonts w:ascii="Times New Roman" w:hAnsi="Times New Roman" w:cs="Times New Roman"/>
          <w:lang w:val="en-GB"/>
        </w:rPr>
      </w:pPr>
      <w:r w:rsidRPr="00691CCF">
        <w:rPr>
          <w:rStyle w:val="FootnoteReference"/>
          <w:rFonts w:ascii="Times New Roman" w:hAnsi="Times New Roman" w:cs="Times New Roman"/>
        </w:rPr>
        <w:footnoteRef/>
      </w:r>
      <w:r w:rsidR="00DC050C">
        <w:rPr>
          <w:rFonts w:ascii="Times New Roman" w:hAnsi="Times New Roman" w:cs="Times New Roman"/>
        </w:rPr>
        <w:t xml:space="preserve"> </w:t>
      </w:r>
      <w:r w:rsidR="00DC050C">
        <w:rPr>
          <w:rFonts w:ascii="Times New Roman" w:hAnsi="Times New Roman" w:cs="Times New Roman"/>
        </w:rPr>
        <w:tab/>
        <w:t xml:space="preserve">Commission </w:t>
      </w:r>
      <w:r w:rsidR="00DC050C" w:rsidRPr="00DC050C">
        <w:rPr>
          <w:rFonts w:ascii="Times New Roman" w:hAnsi="Times New Roman" w:cs="Times New Roman"/>
        </w:rPr>
        <w:t xml:space="preserve">Proposal </w:t>
      </w:r>
      <w:r w:rsidR="00DC050C">
        <w:rPr>
          <w:rFonts w:ascii="Times New Roman" w:hAnsi="Times New Roman" w:cs="Times New Roman"/>
        </w:rPr>
        <w:t xml:space="preserve">of 14 December 2021 </w:t>
      </w:r>
      <w:r w:rsidR="00DC050C" w:rsidRPr="00DC050C">
        <w:rPr>
          <w:rFonts w:ascii="Times New Roman" w:hAnsi="Times New Roman" w:cs="Times New Roman"/>
        </w:rPr>
        <w:t>for a R</w:t>
      </w:r>
      <w:r w:rsidR="00DC050C">
        <w:rPr>
          <w:rFonts w:ascii="Times New Roman" w:hAnsi="Times New Roman" w:cs="Times New Roman"/>
        </w:rPr>
        <w:t>egulation</w:t>
      </w:r>
      <w:r w:rsidR="00DC050C" w:rsidRPr="00DC050C">
        <w:rPr>
          <w:rFonts w:ascii="Times New Roman" w:hAnsi="Times New Roman" w:cs="Times New Roman"/>
        </w:rPr>
        <w:t xml:space="preserve"> </w:t>
      </w:r>
      <w:r w:rsidR="00DC050C">
        <w:rPr>
          <w:rFonts w:ascii="Times New Roman" w:hAnsi="Times New Roman" w:cs="Times New Roman"/>
        </w:rPr>
        <w:t>of the European</w:t>
      </w:r>
      <w:r w:rsidR="00DC050C" w:rsidRPr="00DC050C">
        <w:rPr>
          <w:rFonts w:ascii="Times New Roman" w:hAnsi="Times New Roman" w:cs="Times New Roman"/>
        </w:rPr>
        <w:t xml:space="preserve"> P</w:t>
      </w:r>
      <w:r w:rsidR="00DC050C">
        <w:rPr>
          <w:rFonts w:ascii="Times New Roman" w:hAnsi="Times New Roman" w:cs="Times New Roman"/>
        </w:rPr>
        <w:t>arliament and</w:t>
      </w:r>
      <w:r w:rsidR="00DC050C" w:rsidRPr="00DC050C">
        <w:rPr>
          <w:rFonts w:ascii="Times New Roman" w:hAnsi="Times New Roman" w:cs="Times New Roman"/>
        </w:rPr>
        <w:t xml:space="preserve"> </w:t>
      </w:r>
      <w:r w:rsidR="00DC050C">
        <w:rPr>
          <w:rFonts w:ascii="Times New Roman" w:hAnsi="Times New Roman" w:cs="Times New Roman"/>
        </w:rPr>
        <w:t>of the  Council</w:t>
      </w:r>
      <w:r w:rsidR="00DC050C" w:rsidRPr="00DC050C">
        <w:rPr>
          <w:rFonts w:ascii="Times New Roman" w:hAnsi="Times New Roman" w:cs="Times New Roman"/>
        </w:rPr>
        <w:t xml:space="preserve"> on Union guidelines for the development of the trans-European transport network, amending Regulation (EU) 2021/1153 and Regulation (EU) No 913/2010 and repealing Regulation (EU) 1315/2013</w:t>
      </w:r>
      <w:r w:rsidR="00DC050C">
        <w:rPr>
          <w:rFonts w:ascii="Times New Roman" w:hAnsi="Times New Roman" w:cs="Times New Roman"/>
        </w:rPr>
        <w:t>, COM(2021)812</w:t>
      </w:r>
    </w:p>
  </w:footnote>
  <w:footnote w:id="8">
    <w:p w14:paraId="08D06A42" w14:textId="77777777" w:rsidR="00AA2AE2" w:rsidRPr="00AF3755" w:rsidRDefault="00AA2AE2" w:rsidP="007D05DF">
      <w:pPr>
        <w:pStyle w:val="FootnoteText"/>
        <w:tabs>
          <w:tab w:val="left" w:pos="284"/>
        </w:tabs>
        <w:ind w:left="284" w:hanging="284"/>
        <w:jc w:val="both"/>
        <w:rPr>
          <w:rFonts w:ascii="Times New Roman" w:hAnsi="Times New Roman" w:cs="Times New Roman"/>
        </w:rPr>
      </w:pPr>
      <w:r w:rsidRPr="00AF3755">
        <w:rPr>
          <w:rStyle w:val="FootnoteReference"/>
          <w:rFonts w:ascii="Times New Roman" w:hAnsi="Times New Roman" w:cs="Times New Roman"/>
        </w:rPr>
        <w:footnoteRef/>
      </w:r>
      <w:r w:rsidRPr="00AF3755">
        <w:rPr>
          <w:rFonts w:ascii="Times New Roman" w:hAnsi="Times New Roman" w:cs="Times New Roman"/>
        </w:rPr>
        <w:t xml:space="preserve"> </w:t>
      </w:r>
      <w:r>
        <w:rPr>
          <w:rFonts w:ascii="Times New Roman" w:hAnsi="Times New Roman" w:cs="Times New Roman"/>
        </w:rPr>
        <w:tab/>
      </w:r>
      <w:r w:rsidRPr="00AF3755">
        <w:rPr>
          <w:rFonts w:ascii="Times New Roman" w:hAnsi="Times New Roman" w:cs="Times New Roman"/>
        </w:rPr>
        <w:t>https://ec.europa.eu/transport/infrastructure/tentec/tentec-portal/site/index_en.htm</w:t>
      </w:r>
    </w:p>
  </w:footnote>
  <w:footnote w:id="9">
    <w:p w14:paraId="08D06A43" w14:textId="77777777" w:rsidR="00AA2AE2" w:rsidRPr="00B472A3" w:rsidRDefault="00AA2AE2" w:rsidP="007D05DF">
      <w:pPr>
        <w:pStyle w:val="FootnoteText"/>
        <w:ind w:left="284" w:hanging="284"/>
        <w:jc w:val="both"/>
        <w:rPr>
          <w:rFonts w:ascii="Times New Roman" w:hAnsi="Times New Roman" w:cs="Times New Roman"/>
          <w:lang w:val="en-IE"/>
        </w:rPr>
      </w:pPr>
      <w:r w:rsidRPr="00B472A3">
        <w:rPr>
          <w:rStyle w:val="FootnoteReference"/>
          <w:rFonts w:ascii="Times New Roman" w:hAnsi="Times New Roman" w:cs="Times New Roman"/>
        </w:rPr>
        <w:footnoteRef/>
      </w:r>
      <w:r w:rsidRPr="00B472A3">
        <w:rPr>
          <w:rFonts w:ascii="Times New Roman" w:hAnsi="Times New Roman" w:cs="Times New Roman"/>
          <w:lang w:val="en-IE"/>
        </w:rPr>
        <w:tab/>
        <w:t>In accordance with UIC leaflet 596-6, the “P400” classification refers to semi-trailers with a total height of up to 4.0 m and width of 2.6 m to be transported on pocket wagons.</w:t>
      </w:r>
    </w:p>
  </w:footnote>
  <w:footnote w:id="10">
    <w:p w14:paraId="08D06A44" w14:textId="77777777" w:rsidR="00AA2AE2" w:rsidRPr="00DB6373" w:rsidRDefault="00AA2AE2" w:rsidP="007D05DF">
      <w:pPr>
        <w:pStyle w:val="CommentText"/>
        <w:tabs>
          <w:tab w:val="left" w:pos="284"/>
        </w:tabs>
        <w:ind w:left="284" w:hanging="284"/>
        <w:jc w:val="both"/>
      </w:pPr>
      <w:r>
        <w:rPr>
          <w:rStyle w:val="FootnoteReference"/>
        </w:rPr>
        <w:footnoteRef/>
      </w:r>
      <w:r>
        <w:t xml:space="preserve"> </w:t>
      </w:r>
      <w:r>
        <w:tab/>
      </w:r>
      <w:r w:rsidRPr="007D05DF">
        <w:rPr>
          <w:rFonts w:eastAsia="Calibri"/>
          <w:color w:val="000000"/>
          <w:u w:color="000000"/>
          <w:lang w:eastAsia="en-GB"/>
        </w:rPr>
        <w:t xml:space="preserve">This amount refers to the </w:t>
      </w:r>
      <w:r>
        <w:rPr>
          <w:rFonts w:eastAsia="Calibri"/>
          <w:color w:val="000000"/>
          <w:u w:color="000000"/>
          <w:lang w:eastAsia="en-GB"/>
        </w:rPr>
        <w:t>estimated contributions of CEF</w:t>
      </w:r>
      <w:r w:rsidRPr="007D05DF">
        <w:rPr>
          <w:rFonts w:eastAsia="Calibri"/>
          <w:color w:val="000000"/>
          <w:u w:color="000000"/>
          <w:lang w:eastAsia="en-GB"/>
        </w:rPr>
        <w:t xml:space="preserve"> during 2018 and 2019 for projects that were </w:t>
      </w:r>
      <w:r>
        <w:rPr>
          <w:rFonts w:eastAsia="Calibri"/>
          <w:color w:val="000000"/>
          <w:u w:color="000000"/>
          <w:lang w:eastAsia="en-GB"/>
        </w:rPr>
        <w:t xml:space="preserve">running </w:t>
      </w:r>
      <w:r w:rsidRPr="007D05DF">
        <w:rPr>
          <w:rFonts w:eastAsia="Calibri"/>
          <w:color w:val="000000"/>
          <w:u w:color="000000"/>
          <w:lang w:eastAsia="en-GB"/>
        </w:rPr>
        <w:t>during those two years.</w:t>
      </w:r>
    </w:p>
  </w:footnote>
  <w:footnote w:id="11">
    <w:p w14:paraId="08D06A45" w14:textId="77777777" w:rsidR="00AA2AE2" w:rsidRPr="00446A06" w:rsidRDefault="00AA2AE2" w:rsidP="007D05DF">
      <w:pPr>
        <w:pStyle w:val="FootnoteText"/>
        <w:ind w:left="284" w:hanging="284"/>
        <w:jc w:val="both"/>
        <w:rPr>
          <w:rFonts w:ascii="Times New Roman" w:hAnsi="Times New Roman" w:cs="Times New Roman"/>
        </w:rPr>
      </w:pPr>
      <w:r w:rsidRPr="00446A06">
        <w:rPr>
          <w:rStyle w:val="FootnoteReference"/>
          <w:rFonts w:ascii="Times New Roman" w:hAnsi="Times New Roman" w:cs="Times New Roman"/>
        </w:rPr>
        <w:footnoteRef/>
      </w:r>
      <w:r w:rsidRPr="00446A06">
        <w:rPr>
          <w:rFonts w:ascii="Times New Roman" w:hAnsi="Times New Roman" w:cs="Times New Roman"/>
        </w:rPr>
        <w:t xml:space="preserve"> </w:t>
      </w:r>
      <w:r>
        <w:rPr>
          <w:rFonts w:ascii="Times New Roman" w:hAnsi="Times New Roman" w:cs="Times New Roman"/>
        </w:rPr>
        <w:tab/>
      </w:r>
      <w:r w:rsidRPr="00446A06">
        <w:rPr>
          <w:rFonts w:ascii="Times New Roman" w:hAnsi="Times New Roman" w:cs="Times New Roman"/>
        </w:rPr>
        <w:t>Progress report on the implementation of the TEN-T network in 2014-2015, Report from the Commission to the European Parliament, the Council, the European Economic and Social Committee and the Committee of the Regions, COM(2017)327 final, 19.6.2017</w:t>
      </w:r>
    </w:p>
  </w:footnote>
  <w:footnote w:id="12">
    <w:p w14:paraId="08D06A46" w14:textId="77777777" w:rsidR="00AA2AE2" w:rsidRPr="003B627A" w:rsidRDefault="00AA2AE2" w:rsidP="007D05DF">
      <w:pPr>
        <w:pStyle w:val="FootnoteText"/>
        <w:ind w:left="284" w:hanging="284"/>
        <w:jc w:val="both"/>
      </w:pPr>
      <w:r w:rsidRPr="00446A06">
        <w:rPr>
          <w:rStyle w:val="FootnoteReference"/>
          <w:rFonts w:ascii="Times New Roman" w:hAnsi="Times New Roman" w:cs="Times New Roman"/>
        </w:rPr>
        <w:footnoteRef/>
      </w:r>
      <w:r w:rsidRPr="00446A06">
        <w:rPr>
          <w:rFonts w:ascii="Times New Roman" w:hAnsi="Times New Roman" w:cs="Times New Roman"/>
        </w:rPr>
        <w:t xml:space="preserve"> </w:t>
      </w:r>
      <w:r>
        <w:rPr>
          <w:rFonts w:ascii="Times New Roman" w:hAnsi="Times New Roman" w:cs="Times New Roman"/>
        </w:rPr>
        <w:tab/>
      </w:r>
      <w:r w:rsidRPr="00446A06">
        <w:rPr>
          <w:rFonts w:ascii="Times New Roman" w:hAnsi="Times New Roman" w:cs="Times New Roman"/>
        </w:rPr>
        <w:t>Progress report on the implementation of the TEN-T network in 2016-2017, Report from the Commission to the European Parliament, the Council, the European Economic and Social Committee and the Committee of the Regions, COM(2020)433 final, 26.8.2020</w:t>
      </w:r>
    </w:p>
  </w:footnote>
  <w:footnote w:id="13">
    <w:p w14:paraId="08D06A47" w14:textId="77777777" w:rsidR="00AA2AE2" w:rsidRPr="0051560A" w:rsidRDefault="00AA2AE2" w:rsidP="007D05DF">
      <w:pPr>
        <w:pStyle w:val="FootnoteText"/>
        <w:tabs>
          <w:tab w:val="left" w:pos="284"/>
        </w:tabs>
        <w:ind w:left="284" w:hanging="284"/>
        <w:jc w:val="both"/>
        <w:rPr>
          <w:rFonts w:ascii="Times New Roman" w:hAnsi="Times New Roman" w:cs="Times New Roman"/>
          <w:lang w:val="en-IE"/>
        </w:rPr>
      </w:pPr>
      <w:r w:rsidRPr="0051560A">
        <w:rPr>
          <w:rStyle w:val="FootnoteReference"/>
          <w:rFonts w:ascii="Times New Roman" w:hAnsi="Times New Roman" w:cs="Times New Roman"/>
        </w:rPr>
        <w:footnoteRef/>
      </w:r>
      <w:r w:rsidRPr="0051560A">
        <w:rPr>
          <w:rFonts w:ascii="Times New Roman" w:hAnsi="Times New Roman" w:cs="Times New Roman"/>
        </w:rPr>
        <w:t xml:space="preserve"> </w:t>
      </w:r>
      <w:r>
        <w:rPr>
          <w:rFonts w:ascii="Times New Roman" w:hAnsi="Times New Roman" w:cs="Times New Roman"/>
        </w:rPr>
        <w:tab/>
      </w:r>
      <w:r w:rsidRPr="0051560A">
        <w:rPr>
          <w:rFonts w:ascii="Times New Roman" w:hAnsi="Times New Roman" w:cs="Times New Roman"/>
        </w:rPr>
        <w:t>Planned sections are excluded from the compliance analysis calculation.</w:t>
      </w:r>
      <w:r w:rsidRPr="0051560A">
        <w:rPr>
          <w:rFonts w:ascii="Times New Roman" w:hAnsi="Times New Roman" w:cs="Times New Roman"/>
          <w:lang w:val="en-IE"/>
        </w:rPr>
        <w:t xml:space="preserve"> </w:t>
      </w:r>
    </w:p>
  </w:footnote>
  <w:footnote w:id="14">
    <w:p w14:paraId="08D06A48" w14:textId="77777777" w:rsidR="00AA2AE2" w:rsidRPr="008C5416" w:rsidRDefault="00AA2AE2" w:rsidP="007D05DF">
      <w:pPr>
        <w:pStyle w:val="FootnoteText"/>
        <w:ind w:left="284" w:hanging="284"/>
        <w:jc w:val="both"/>
        <w:rPr>
          <w:rStyle w:val="FootnoteReference"/>
          <w:rFonts w:ascii="Times New Roman" w:hAnsi="Times New Roman" w:cs="Times New Roman"/>
          <w:vertAlign w:val="baseline"/>
        </w:rPr>
      </w:pPr>
      <w:r w:rsidRPr="008C5416">
        <w:rPr>
          <w:rStyle w:val="FootnoteReference"/>
          <w:rFonts w:ascii="Times New Roman" w:hAnsi="Times New Roman" w:cs="Times New Roman"/>
        </w:rPr>
        <w:footnoteRef/>
      </w:r>
      <w:r w:rsidRPr="008C5416">
        <w:rPr>
          <w:rStyle w:val="FootnoteReference"/>
          <w:rFonts w:ascii="Times New Roman" w:hAnsi="Times New Roman" w:cs="Times New Roman"/>
        </w:rPr>
        <w:t xml:space="preserve"> </w:t>
      </w:r>
      <w:r>
        <w:rPr>
          <w:rFonts w:ascii="Times New Roman" w:hAnsi="Times New Roman" w:cs="Times New Roman"/>
        </w:rPr>
        <w:tab/>
      </w:r>
      <w:r w:rsidRPr="008C5416">
        <w:rPr>
          <w:rStyle w:val="FootnoteReference"/>
          <w:rFonts w:ascii="Times New Roman" w:hAnsi="Times New Roman" w:cs="Times New Roman"/>
          <w:vertAlign w:val="baseline"/>
        </w:rPr>
        <w:t xml:space="preserve">Regulation (EU) 2021/1153 of the European Parliament and of the Council of 7 July 2021 establishing the Connecting Europe Facility </w:t>
      </w:r>
    </w:p>
  </w:footnote>
  <w:footnote w:id="15">
    <w:p w14:paraId="08D06A49" w14:textId="77777777" w:rsidR="00AA2AE2" w:rsidRPr="000C7EA4" w:rsidRDefault="00AA2AE2" w:rsidP="007D05DF">
      <w:pPr>
        <w:pStyle w:val="FootnoteText"/>
        <w:ind w:left="284" w:hanging="284"/>
        <w:jc w:val="both"/>
        <w:rPr>
          <w:rFonts w:ascii="Times New Roman" w:hAnsi="Times New Roman" w:cs="Times New Roman"/>
        </w:rPr>
      </w:pPr>
      <w:r w:rsidRPr="008C5416">
        <w:rPr>
          <w:rStyle w:val="FootnoteReference"/>
          <w:rFonts w:ascii="Times New Roman" w:hAnsi="Times New Roman" w:cs="Times New Roman"/>
        </w:rPr>
        <w:footnoteRef/>
      </w:r>
      <w:r w:rsidRPr="008C5416">
        <w:rPr>
          <w:rStyle w:val="FootnoteReference"/>
          <w:rFonts w:ascii="Times New Roman" w:hAnsi="Times New Roman" w:cs="Times New Roman"/>
        </w:rPr>
        <w:t xml:space="preserve"> </w:t>
      </w:r>
      <w:r>
        <w:rPr>
          <w:rFonts w:ascii="Times New Roman" w:hAnsi="Times New Roman" w:cs="Times New Roman"/>
        </w:rPr>
        <w:tab/>
      </w:r>
      <w:r w:rsidRPr="008C5416">
        <w:rPr>
          <w:rStyle w:val="FootnoteReference"/>
          <w:rFonts w:ascii="Times New Roman" w:hAnsi="Times New Roman" w:cs="Times New Roman"/>
          <w:vertAlign w:val="baseline"/>
        </w:rPr>
        <w:t>Only works projects either EU co-funded or not and over one MEUR have been reported.</w:t>
      </w:r>
    </w:p>
  </w:footnote>
  <w:footnote w:id="16">
    <w:p w14:paraId="08D06A4A" w14:textId="77777777" w:rsidR="00AA2AE2" w:rsidRPr="00F4271B" w:rsidRDefault="00AA2AE2" w:rsidP="007D05DF">
      <w:pPr>
        <w:pStyle w:val="FootnoteText"/>
        <w:ind w:left="284" w:hanging="284"/>
        <w:jc w:val="both"/>
      </w:pPr>
      <w:r>
        <w:rPr>
          <w:rStyle w:val="FootnoteReference"/>
        </w:rPr>
        <w:footnoteRef/>
      </w:r>
      <w:r>
        <w:t xml:space="preserve"> </w:t>
      </w:r>
      <w:r>
        <w:tab/>
      </w:r>
      <w:r w:rsidRPr="00F4271B">
        <w:rPr>
          <w:rFonts w:ascii="Times New Roman" w:hAnsi="Times New Roman"/>
        </w:rPr>
        <w:t>The planning methodology for the trans-Euro</w:t>
      </w:r>
      <w:r>
        <w:rPr>
          <w:rFonts w:ascii="Times New Roman" w:hAnsi="Times New Roman"/>
        </w:rPr>
        <w:t>pean transport network (TEN-T),</w:t>
      </w:r>
      <w:r w:rsidRPr="00F4271B">
        <w:rPr>
          <w:rFonts w:ascii="Times New Roman" w:hAnsi="Times New Roman"/>
        </w:rPr>
        <w:t xml:space="preserve"> </w:t>
      </w:r>
      <w:r>
        <w:rPr>
          <w:rFonts w:ascii="Times New Roman" w:hAnsi="Times New Roman"/>
        </w:rPr>
        <w:t>SWD</w:t>
      </w:r>
      <w:r w:rsidRPr="00F4271B">
        <w:rPr>
          <w:rFonts w:ascii="Times New Roman" w:hAnsi="Times New Roman"/>
        </w:rPr>
        <w:t xml:space="preserve">(2013) </w:t>
      </w:r>
      <w:r>
        <w:rPr>
          <w:rFonts w:ascii="Times New Roman" w:hAnsi="Times New Roman"/>
        </w:rPr>
        <w:t>542</w:t>
      </w:r>
      <w:r w:rsidRPr="00F4271B">
        <w:rPr>
          <w:rFonts w:ascii="Times New Roman" w:hAnsi="Times New Roman"/>
        </w:rPr>
        <w:t xml:space="preserve"> final</w:t>
      </w:r>
    </w:p>
  </w:footnote>
  <w:footnote w:id="17">
    <w:p w14:paraId="08D06A4B" w14:textId="77777777" w:rsidR="00AA2AE2" w:rsidRPr="00244641" w:rsidRDefault="00AA2AE2" w:rsidP="007D05DF">
      <w:pPr>
        <w:pStyle w:val="FootnoteText"/>
        <w:ind w:left="284" w:hanging="284"/>
        <w:jc w:val="both"/>
        <w:rPr>
          <w:rFonts w:ascii="Times New Roman" w:hAnsi="Times New Roman" w:cs="Times New Roman"/>
        </w:rPr>
      </w:pPr>
      <w:r w:rsidRPr="00B417BD">
        <w:rPr>
          <w:rStyle w:val="FootnoteReference"/>
          <w:rFonts w:ascii="Times New Roman" w:hAnsi="Times New Roman" w:cs="Times New Roman"/>
        </w:rPr>
        <w:footnoteRef/>
      </w:r>
      <w:r w:rsidRPr="00B417BD">
        <w:rPr>
          <w:rFonts w:ascii="Times New Roman" w:hAnsi="Times New Roman" w:cs="Times New Roman"/>
        </w:rPr>
        <w:t xml:space="preserve"> </w:t>
      </w:r>
      <w:r>
        <w:rPr>
          <w:rFonts w:ascii="Times New Roman" w:hAnsi="Times New Roman" w:cs="Times New Roman"/>
        </w:rPr>
        <w:tab/>
      </w:r>
      <w:r w:rsidRPr="00244641">
        <w:rPr>
          <w:rFonts w:ascii="Times New Roman" w:hAnsi="Times New Roman" w:cs="Times New Roman"/>
        </w:rPr>
        <w:t>Exemption from certain requirements for isolated networks according to Article 39(2)(a), (i) to (iii), of Regulation (EU) 1315/2013.</w:t>
      </w:r>
    </w:p>
  </w:footnote>
  <w:footnote w:id="18">
    <w:p w14:paraId="08D06A4C" w14:textId="77777777" w:rsidR="00AA2AE2" w:rsidRPr="00244641" w:rsidRDefault="00AA2AE2" w:rsidP="007D05DF">
      <w:pPr>
        <w:pStyle w:val="FootnoteText"/>
        <w:ind w:left="284" w:hanging="284"/>
        <w:jc w:val="both"/>
        <w:rPr>
          <w:rFonts w:ascii="Times New Roman" w:hAnsi="Times New Roman" w:cs="Times New Roman"/>
        </w:rPr>
      </w:pPr>
      <w:r w:rsidRPr="00244641">
        <w:rPr>
          <w:rStyle w:val="FootnoteReference"/>
          <w:rFonts w:ascii="Times New Roman" w:hAnsi="Times New Roman" w:cs="Times New Roman"/>
        </w:rPr>
        <w:footnoteRef/>
      </w:r>
      <w:r w:rsidRPr="00244641">
        <w:rPr>
          <w:rFonts w:ascii="Times New Roman" w:hAnsi="Times New Roman" w:cs="Times New Roman"/>
        </w:rPr>
        <w:t xml:space="preserve">  </w:t>
      </w:r>
      <w:r w:rsidRPr="00244641">
        <w:rPr>
          <w:rFonts w:ascii="Times New Roman" w:hAnsi="Times New Roman" w:cs="Times New Roman"/>
        </w:rPr>
        <w:tab/>
        <w:t xml:space="preserve">As per 2017 data, the network was already compliant to 86% with the track gauge requirement. However, this difference in overall percentage is to be explained by the different network basis </w:t>
      </w:r>
      <w:r>
        <w:rPr>
          <w:rFonts w:ascii="Times New Roman" w:hAnsi="Times New Roman" w:cs="Times New Roman"/>
        </w:rPr>
        <w:t xml:space="preserve">that has been applied for the current report </w:t>
      </w:r>
      <w:r w:rsidRPr="00244641">
        <w:rPr>
          <w:rFonts w:ascii="Times New Roman" w:hAnsi="Times New Roman" w:cs="Times New Roman"/>
        </w:rPr>
        <w:t xml:space="preserve">(i.e. extended CNC network, exclusion of UK) and should thus not be regarded as a decline of compliance. </w:t>
      </w:r>
      <w:r>
        <w:rPr>
          <w:rFonts w:ascii="Times New Roman" w:hAnsi="Times New Roman" w:cs="Times New Roman"/>
        </w:rPr>
        <w:t xml:space="preserve">This applies for all requirements. </w:t>
      </w:r>
    </w:p>
  </w:footnote>
  <w:footnote w:id="19">
    <w:p w14:paraId="08D06A4D" w14:textId="77777777" w:rsidR="00AA2AE2" w:rsidRPr="00A40F67" w:rsidRDefault="00AA2AE2" w:rsidP="007D05DF">
      <w:pPr>
        <w:pStyle w:val="FootnoteText"/>
        <w:tabs>
          <w:tab w:val="left" w:pos="284"/>
        </w:tabs>
        <w:ind w:left="284" w:hanging="284"/>
        <w:jc w:val="both"/>
        <w:rPr>
          <w:rFonts w:ascii="Times New Roman" w:hAnsi="Times New Roman" w:cs="Times New Roman"/>
          <w:color w:val="auto"/>
        </w:rPr>
      </w:pPr>
      <w:r w:rsidRPr="00A40F67">
        <w:rPr>
          <w:rStyle w:val="FootnoteReference"/>
          <w:rFonts w:ascii="Times New Roman" w:hAnsi="Times New Roman" w:cs="Times New Roman"/>
          <w:color w:val="auto"/>
        </w:rPr>
        <w:footnoteRef/>
      </w:r>
      <w:r w:rsidRPr="00A40F67">
        <w:rPr>
          <w:rFonts w:ascii="Times New Roman" w:hAnsi="Times New Roman" w:cs="Times New Roman"/>
          <w:color w:val="auto"/>
        </w:rPr>
        <w:t xml:space="preserve"> </w:t>
      </w:r>
      <w:r w:rsidRPr="00A40F67">
        <w:rPr>
          <w:rFonts w:ascii="Times New Roman" w:hAnsi="Times New Roman" w:cs="Times New Roman"/>
          <w:color w:val="auto"/>
        </w:rPr>
        <w:tab/>
        <w:t xml:space="preserve">The compliance with regard to ERTMS deployment was at 11% in 2017. However, this figure was related to the CNC network without the CEF II extensions and including UK still. </w:t>
      </w:r>
    </w:p>
  </w:footnote>
  <w:footnote w:id="20">
    <w:p w14:paraId="08D06A4E" w14:textId="77777777" w:rsidR="00AA2AE2" w:rsidRPr="00A40F67" w:rsidRDefault="00AA2AE2" w:rsidP="007D05DF">
      <w:pPr>
        <w:pStyle w:val="FootnoteText"/>
        <w:tabs>
          <w:tab w:val="left" w:pos="284"/>
        </w:tabs>
        <w:ind w:left="284" w:hanging="284"/>
        <w:jc w:val="both"/>
      </w:pPr>
      <w:r w:rsidRPr="00A40F67">
        <w:rPr>
          <w:rStyle w:val="FootnoteReference"/>
          <w:rFonts w:ascii="Times New Roman" w:hAnsi="Times New Roman" w:cs="Times New Roman"/>
          <w:color w:val="auto"/>
        </w:rPr>
        <w:footnoteRef/>
      </w:r>
      <w:r w:rsidRPr="00A40F67">
        <w:rPr>
          <w:rFonts w:ascii="Times New Roman" w:hAnsi="Times New Roman" w:cs="Times New Roman"/>
          <w:color w:val="auto"/>
        </w:rPr>
        <w:t xml:space="preserve"> </w:t>
      </w:r>
      <w:r>
        <w:rPr>
          <w:rFonts w:ascii="Times New Roman" w:hAnsi="Times New Roman" w:cs="Times New Roman"/>
          <w:color w:val="auto"/>
        </w:rPr>
        <w:tab/>
      </w:r>
      <w:r w:rsidRPr="00A40F67">
        <w:rPr>
          <w:rFonts w:ascii="Times New Roman" w:hAnsi="Times New Roman" w:cs="Times New Roman"/>
          <w:color w:val="auto"/>
          <w:shd w:val="clear" w:color="auto" w:fill="FFFFFF"/>
        </w:rPr>
        <w:t xml:space="preserve">Commission Implementing Regulation (EU) 2017/6 of 5 January 2017 on the European Rail Traffic Management System European deployment plan, </w:t>
      </w:r>
      <w:r w:rsidRPr="00A40F67">
        <w:rPr>
          <w:rFonts w:ascii="Times New Roman" w:hAnsi="Times New Roman" w:cs="Times New Roman"/>
          <w:color w:val="auto"/>
        </w:rPr>
        <w:t>6.1.2017, OJ L 3, p. 6</w:t>
      </w:r>
    </w:p>
  </w:footnote>
  <w:footnote w:id="21">
    <w:p w14:paraId="08D06A4F" w14:textId="77777777" w:rsidR="00AA2AE2" w:rsidRPr="00AF3755" w:rsidRDefault="00AA2AE2" w:rsidP="007D05DF">
      <w:pPr>
        <w:pStyle w:val="FootnoteText"/>
        <w:tabs>
          <w:tab w:val="left" w:pos="284"/>
        </w:tabs>
        <w:ind w:left="284" w:hanging="284"/>
        <w:jc w:val="both"/>
        <w:rPr>
          <w:rFonts w:ascii="Times New Roman" w:hAnsi="Times New Roman" w:cs="Times New Roman"/>
        </w:rPr>
      </w:pPr>
      <w:r w:rsidRPr="00AF3755">
        <w:rPr>
          <w:rStyle w:val="FootnoteReference"/>
          <w:rFonts w:ascii="Times New Roman" w:hAnsi="Times New Roman" w:cs="Times New Roman"/>
        </w:rPr>
        <w:footnoteRef/>
      </w:r>
      <w:r w:rsidRPr="00AF3755">
        <w:rPr>
          <w:rFonts w:ascii="Times New Roman" w:hAnsi="Times New Roman" w:cs="Times New Roman"/>
        </w:rPr>
        <w:t xml:space="preserve">  </w:t>
      </w:r>
      <w:r>
        <w:rPr>
          <w:rFonts w:ascii="Times New Roman" w:hAnsi="Times New Roman" w:cs="Times New Roman"/>
        </w:rPr>
        <w:tab/>
      </w:r>
      <w:r w:rsidRPr="00AF3755">
        <w:rPr>
          <w:rFonts w:ascii="Times New Roman" w:hAnsi="Times New Roman" w:cs="Times New Roman"/>
          <w:color w:val="auto"/>
        </w:rPr>
        <w:t>compared to EU</w:t>
      </w:r>
      <w:r>
        <w:rPr>
          <w:rFonts w:ascii="Times New Roman" w:hAnsi="Times New Roman" w:cs="Times New Roman"/>
          <w:color w:val="auto"/>
        </w:rPr>
        <w:t>R 11.5 billion of investments through the EIB in 2016 and 2017</w:t>
      </w:r>
    </w:p>
  </w:footnote>
  <w:footnote w:id="22">
    <w:p w14:paraId="08D06A50" w14:textId="77777777" w:rsidR="00AA2AE2" w:rsidRPr="004C37E1" w:rsidRDefault="00AA2AE2" w:rsidP="007D05DF">
      <w:pPr>
        <w:pStyle w:val="FootnoteText"/>
        <w:tabs>
          <w:tab w:val="left" w:pos="284"/>
        </w:tabs>
        <w:ind w:left="284" w:hanging="284"/>
        <w:jc w:val="both"/>
        <w:rPr>
          <w:rFonts w:ascii="Times New Roman" w:hAnsi="Times New Roman" w:cs="Times New Roman"/>
        </w:rPr>
      </w:pPr>
      <w:r w:rsidRPr="004C37E1">
        <w:rPr>
          <w:rStyle w:val="FootnoteReference"/>
          <w:rFonts w:ascii="Times New Roman" w:hAnsi="Times New Roman" w:cs="Times New Roman"/>
        </w:rPr>
        <w:footnoteRef/>
      </w:r>
      <w:r w:rsidRPr="004C37E1">
        <w:rPr>
          <w:rFonts w:ascii="Times New Roman" w:hAnsi="Times New Roman" w:cs="Times New Roman"/>
        </w:rPr>
        <w:t xml:space="preserve"> </w:t>
      </w:r>
      <w:r>
        <w:rPr>
          <w:rFonts w:ascii="Times New Roman" w:hAnsi="Times New Roman" w:cs="Times New Roman"/>
        </w:rPr>
        <w:tab/>
      </w:r>
      <w:r w:rsidRPr="00AF3755">
        <w:rPr>
          <w:rFonts w:ascii="Times New Roman" w:hAnsi="Times New Roman" w:cs="Times New Roman"/>
          <w:color w:val="auto"/>
        </w:rPr>
        <w:t xml:space="preserve">compared to </w:t>
      </w:r>
      <w:r w:rsidRPr="004C37E1">
        <w:rPr>
          <w:rFonts w:ascii="Times New Roman" w:hAnsi="Times New Roman" w:cs="Times New Roman"/>
        </w:rPr>
        <w:t xml:space="preserve">EUR 9.8 billion </w:t>
      </w:r>
      <w:r>
        <w:rPr>
          <w:rFonts w:ascii="Times New Roman" w:hAnsi="Times New Roman" w:cs="Times New Roman"/>
        </w:rPr>
        <w:t>of i</w:t>
      </w:r>
      <w:r w:rsidRPr="004C37E1">
        <w:rPr>
          <w:rFonts w:ascii="Times New Roman" w:hAnsi="Times New Roman" w:cs="Times New Roman"/>
        </w:rPr>
        <w:t>nvest</w:t>
      </w:r>
      <w:r>
        <w:rPr>
          <w:rFonts w:ascii="Times New Roman" w:hAnsi="Times New Roman" w:cs="Times New Roman"/>
        </w:rPr>
        <w:t>ments by ESIF in 2016 and 2017</w:t>
      </w:r>
    </w:p>
  </w:footnote>
  <w:footnote w:id="23">
    <w:p w14:paraId="08D06A51" w14:textId="77777777" w:rsidR="00AA2AE2" w:rsidRPr="004C37E1" w:rsidRDefault="00AA2AE2" w:rsidP="007D05DF">
      <w:pPr>
        <w:pStyle w:val="FootnoteText"/>
        <w:tabs>
          <w:tab w:val="left" w:pos="284"/>
        </w:tabs>
        <w:ind w:left="284" w:hanging="284"/>
        <w:jc w:val="both"/>
        <w:rPr>
          <w:rFonts w:ascii="Times New Roman" w:hAnsi="Times New Roman" w:cs="Times New Roman"/>
        </w:rPr>
      </w:pPr>
      <w:r w:rsidRPr="004C37E1">
        <w:rPr>
          <w:rStyle w:val="FootnoteReference"/>
          <w:rFonts w:ascii="Times New Roman" w:hAnsi="Times New Roman" w:cs="Times New Roman"/>
        </w:rPr>
        <w:footnoteRef/>
      </w:r>
      <w:r w:rsidRPr="004C37E1">
        <w:rPr>
          <w:rFonts w:ascii="Times New Roman" w:hAnsi="Times New Roman" w:cs="Times New Roman"/>
        </w:rPr>
        <w:t xml:space="preserve"> </w:t>
      </w:r>
      <w:r>
        <w:rPr>
          <w:rFonts w:ascii="Times New Roman" w:hAnsi="Times New Roman" w:cs="Times New Roman"/>
        </w:rPr>
        <w:tab/>
      </w:r>
      <w:r w:rsidRPr="00AF3755">
        <w:rPr>
          <w:rFonts w:ascii="Times New Roman" w:hAnsi="Times New Roman" w:cs="Times New Roman"/>
          <w:color w:val="auto"/>
        </w:rPr>
        <w:t xml:space="preserve">compared to </w:t>
      </w:r>
      <w:r w:rsidRPr="004C37E1">
        <w:rPr>
          <w:rFonts w:ascii="Times New Roman" w:hAnsi="Times New Roman" w:cs="Times New Roman"/>
        </w:rPr>
        <w:t xml:space="preserve">EUR 3.1 billion </w:t>
      </w:r>
      <w:r>
        <w:rPr>
          <w:rFonts w:ascii="Times New Roman" w:hAnsi="Times New Roman" w:cs="Times New Roman"/>
        </w:rPr>
        <w:t>of i</w:t>
      </w:r>
      <w:r w:rsidRPr="004C37E1">
        <w:rPr>
          <w:rFonts w:ascii="Times New Roman" w:hAnsi="Times New Roman" w:cs="Times New Roman"/>
        </w:rPr>
        <w:t>nves</w:t>
      </w:r>
      <w:r>
        <w:rPr>
          <w:rFonts w:ascii="Times New Roman" w:hAnsi="Times New Roman" w:cs="Times New Roman"/>
        </w:rPr>
        <w:t>tments by CEF in 2016 and 2017</w:t>
      </w:r>
      <w:r w:rsidRPr="004C37E1">
        <w:rPr>
          <w:rFonts w:ascii="Times New Roman" w:hAnsi="Times New Roman" w:cs="Times New Roman"/>
        </w:rPr>
        <w:t xml:space="preserve"> </w:t>
      </w:r>
    </w:p>
  </w:footnote>
  <w:footnote w:id="24">
    <w:p w14:paraId="08D06A52" w14:textId="77777777" w:rsidR="00AA2AE2" w:rsidRPr="004C37E1" w:rsidRDefault="00AA2AE2" w:rsidP="007D05DF">
      <w:pPr>
        <w:pStyle w:val="FootnoteText"/>
        <w:tabs>
          <w:tab w:val="left" w:pos="284"/>
        </w:tabs>
        <w:ind w:left="284" w:hanging="284"/>
        <w:jc w:val="both"/>
        <w:rPr>
          <w:rFonts w:ascii="Times New Roman" w:hAnsi="Times New Roman" w:cs="Times New Roman"/>
        </w:rPr>
      </w:pPr>
      <w:r w:rsidRPr="004C37E1">
        <w:rPr>
          <w:rStyle w:val="FootnoteReference"/>
          <w:rFonts w:ascii="Times New Roman" w:hAnsi="Times New Roman" w:cs="Times New Roman"/>
        </w:rPr>
        <w:footnoteRef/>
      </w:r>
      <w:r w:rsidRPr="004C37E1">
        <w:rPr>
          <w:rFonts w:ascii="Times New Roman" w:hAnsi="Times New Roman" w:cs="Times New Roman"/>
        </w:rPr>
        <w:t xml:space="preserve"> </w:t>
      </w:r>
      <w:r>
        <w:rPr>
          <w:rFonts w:ascii="Times New Roman" w:hAnsi="Times New Roman" w:cs="Times New Roman"/>
        </w:rPr>
        <w:tab/>
      </w:r>
      <w:r w:rsidRPr="00AF3755">
        <w:rPr>
          <w:rFonts w:ascii="Times New Roman" w:hAnsi="Times New Roman" w:cs="Times New Roman"/>
          <w:color w:val="auto"/>
        </w:rPr>
        <w:t xml:space="preserve">compared to </w:t>
      </w:r>
      <w:r w:rsidRPr="004C37E1">
        <w:rPr>
          <w:rFonts w:ascii="Times New Roman" w:hAnsi="Times New Roman" w:cs="Times New Roman"/>
        </w:rPr>
        <w:t xml:space="preserve">EUR 80.2 billion </w:t>
      </w:r>
      <w:r>
        <w:rPr>
          <w:rFonts w:ascii="Times New Roman" w:hAnsi="Times New Roman" w:cs="Times New Roman"/>
        </w:rPr>
        <w:t xml:space="preserve">of </w:t>
      </w:r>
      <w:r w:rsidRPr="004C37E1">
        <w:rPr>
          <w:rFonts w:ascii="Times New Roman" w:hAnsi="Times New Roman" w:cs="Times New Roman"/>
        </w:rPr>
        <w:t xml:space="preserve">national </w:t>
      </w:r>
      <w:r>
        <w:rPr>
          <w:rFonts w:ascii="Times New Roman" w:hAnsi="Times New Roman" w:cs="Times New Roman"/>
        </w:rPr>
        <w:t>investments in 2016 and 2017</w:t>
      </w:r>
    </w:p>
  </w:footnote>
  <w:footnote w:id="25">
    <w:p w14:paraId="08D06A53" w14:textId="77777777" w:rsidR="00AA2AE2" w:rsidRPr="00224BB2" w:rsidRDefault="00AA2AE2" w:rsidP="0049082D">
      <w:pPr>
        <w:pStyle w:val="FootnoteText"/>
        <w:tabs>
          <w:tab w:val="left" w:pos="284"/>
        </w:tabs>
        <w:ind w:left="284" w:hanging="284"/>
        <w:jc w:val="both"/>
      </w:pPr>
      <w:r w:rsidRPr="00224BB2">
        <w:rPr>
          <w:rStyle w:val="FootnoteReference"/>
          <w:rFonts w:ascii="Times New Roman" w:hAnsi="Times New Roman" w:cs="Times New Roman"/>
          <w:szCs w:val="24"/>
        </w:rPr>
        <w:footnoteRef/>
      </w:r>
      <w:r>
        <w:rPr>
          <w:rFonts w:ascii="Times New Roman" w:hAnsi="Times New Roman"/>
        </w:rPr>
        <w:t xml:space="preserve"> </w:t>
      </w:r>
      <w:r>
        <w:rPr>
          <w:rFonts w:ascii="Times New Roman" w:hAnsi="Times New Roman"/>
        </w:rPr>
        <w:tab/>
        <w:t>P</w:t>
      </w:r>
      <w:r w:rsidRPr="00224BB2">
        <w:rPr>
          <w:rFonts w:ascii="Times New Roman" w:hAnsi="Times New Roman"/>
        </w:rPr>
        <w:t>art of the Cohesion Fund allocation (EUR 11</w:t>
      </w:r>
      <w:r>
        <w:rPr>
          <w:rFonts w:ascii="Times New Roman" w:hAnsi="Times New Roman"/>
        </w:rPr>
        <w:t>,</w:t>
      </w:r>
      <w:r w:rsidRPr="00224BB2">
        <w:rPr>
          <w:rFonts w:ascii="Times New Roman" w:hAnsi="Times New Roman"/>
        </w:rPr>
        <w:t>305</w:t>
      </w:r>
      <w:r>
        <w:rPr>
          <w:rFonts w:ascii="Times New Roman" w:hAnsi="Times New Roman"/>
        </w:rPr>
        <w:t>,</w:t>
      </w:r>
      <w:r w:rsidRPr="00224BB2">
        <w:rPr>
          <w:rFonts w:ascii="Times New Roman" w:hAnsi="Times New Roman"/>
        </w:rPr>
        <w:t>500</w:t>
      </w:r>
      <w:r>
        <w:rPr>
          <w:rFonts w:ascii="Times New Roman" w:hAnsi="Times New Roman"/>
        </w:rPr>
        <w:t>,</w:t>
      </w:r>
      <w:r w:rsidRPr="00224BB2">
        <w:rPr>
          <w:rFonts w:ascii="Times New Roman" w:hAnsi="Times New Roman"/>
        </w:rPr>
        <w:t>000) was transferred to finance transport projects on the transport core network or transport projects relating to horizontal priorities in the Member States eligible for financing from the Cohesion Fund under the CEF.</w:t>
      </w:r>
    </w:p>
  </w:footnote>
  <w:footnote w:id="26">
    <w:p w14:paraId="08D06A54" w14:textId="77777777" w:rsidR="00AA2AE2" w:rsidRPr="00D74DFA" w:rsidRDefault="00AA2AE2" w:rsidP="007D05DF">
      <w:pPr>
        <w:pStyle w:val="FootnoteText"/>
        <w:tabs>
          <w:tab w:val="left" w:pos="284"/>
        </w:tabs>
        <w:ind w:left="284" w:hanging="284"/>
        <w:jc w:val="both"/>
        <w:rPr>
          <w:rFonts w:ascii="Times New Roman" w:hAnsi="Times New Roman" w:cs="Times New Roman"/>
          <w:lang w:val="en-IE"/>
        </w:rPr>
      </w:pPr>
      <w:r w:rsidRPr="00D74DFA">
        <w:rPr>
          <w:rStyle w:val="FootnoteReference"/>
          <w:rFonts w:ascii="Times New Roman" w:hAnsi="Times New Roman" w:cs="Times New Roman"/>
          <w:color w:val="auto"/>
        </w:rPr>
        <w:footnoteRef/>
      </w:r>
      <w:r w:rsidRPr="00D74DFA">
        <w:rPr>
          <w:rFonts w:ascii="Times New Roman" w:hAnsi="Times New Roman" w:cs="Times New Roman"/>
          <w:color w:val="auto"/>
        </w:rPr>
        <w:t xml:space="preserve"> </w:t>
      </w:r>
      <w:r>
        <w:rPr>
          <w:rFonts w:ascii="Times New Roman" w:hAnsi="Times New Roman" w:cs="Times New Roman"/>
          <w:color w:val="auto"/>
        </w:rPr>
        <w:tab/>
      </w:r>
      <w:r w:rsidRPr="00D74DFA">
        <w:rPr>
          <w:rFonts w:ascii="Times New Roman" w:hAnsi="Times New Roman" w:cs="Times New Roman"/>
          <w:color w:val="auto"/>
          <w:shd w:val="clear" w:color="auto" w:fill="FFFFFF"/>
        </w:rPr>
        <w:t xml:space="preserve">Directive (EU) 2021/1187 of the European Parliament and of the Council of 7 July 2021 on streamlining measures for advancing the realisation of the trans-European transport network (TEN-T), </w:t>
      </w:r>
      <w:r w:rsidRPr="00D74DFA">
        <w:rPr>
          <w:rFonts w:ascii="Times New Roman" w:hAnsi="Times New Roman" w:cs="Times New Roman"/>
          <w:color w:val="auto"/>
        </w:rPr>
        <w:t>20.7.2021, OJ L 258, p.1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5F9A" w14:textId="77777777" w:rsidR="00F30FD8" w:rsidRPr="00F30FD8" w:rsidRDefault="00F30FD8" w:rsidP="00F30F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6" w14:textId="77777777" w:rsidR="00AA2AE2" w:rsidRDefault="00AA2A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7" w14:textId="77777777" w:rsidR="00AA2AE2" w:rsidRDefault="00AA2AE2">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A" w14:textId="77777777" w:rsidR="00AA2AE2" w:rsidRDefault="00AA2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05E8E" w14:textId="77777777" w:rsidR="00F30FD8" w:rsidRPr="00F30FD8" w:rsidRDefault="00F30FD8" w:rsidP="00F30FD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9A28F" w14:textId="77777777" w:rsidR="00F30FD8" w:rsidRPr="00F30FD8" w:rsidRDefault="00F30FD8" w:rsidP="00F30FD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29" w14:textId="77777777" w:rsidR="00AA2AE2" w:rsidRDefault="00AA2A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2A" w14:textId="77777777" w:rsidR="00AA2AE2" w:rsidRDefault="00AA2AE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2E" w14:textId="77777777" w:rsidR="00AA2AE2" w:rsidRDefault="00AA2A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0" w14:textId="77777777" w:rsidR="00AA2AE2" w:rsidRDefault="00AA2A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1" w14:textId="77777777" w:rsidR="00AA2AE2" w:rsidRDefault="00AA2AE2">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6A34" w14:textId="77777777" w:rsidR="00AA2AE2" w:rsidRDefault="00AA2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3EE0"/>
    <w:multiLevelType w:val="multilevel"/>
    <w:tmpl w:val="054CA020"/>
    <w:numStyleLink w:val="Style1import"/>
  </w:abstractNum>
  <w:abstractNum w:abstractNumId="1" w15:restartNumberingAfterBreak="0">
    <w:nsid w:val="0919290C"/>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1A3010"/>
    <w:multiLevelType w:val="hybridMultilevel"/>
    <w:tmpl w:val="EC8EA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3A64C4"/>
    <w:multiLevelType w:val="multilevel"/>
    <w:tmpl w:val="054CA020"/>
    <w:styleLink w:val="Style1import"/>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90"/>
        </w:tabs>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C8C4E3F"/>
    <w:multiLevelType w:val="hybridMultilevel"/>
    <w:tmpl w:val="142E8C92"/>
    <w:lvl w:ilvl="0" w:tplc="080C0001">
      <w:start w:val="1319"/>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E32216C"/>
    <w:multiLevelType w:val="hybridMultilevel"/>
    <w:tmpl w:val="3EBAE58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E462C09"/>
    <w:multiLevelType w:val="multilevel"/>
    <w:tmpl w:val="24C284B4"/>
    <w:lvl w:ilvl="0">
      <w:start w:val="1"/>
      <w:numFmt w:val="bullet"/>
      <w:lvlText w:val=""/>
      <w:lvlJc w:val="left"/>
      <w:pPr>
        <w:tabs>
          <w:tab w:val="left" w:pos="850"/>
        </w:tabs>
        <w:ind w:left="36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90"/>
        </w:tabs>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36165C"/>
    <w:multiLevelType w:val="hybridMultilevel"/>
    <w:tmpl w:val="F9D4DE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F32DEA"/>
    <w:multiLevelType w:val="hybridMultilevel"/>
    <w:tmpl w:val="090A2B1C"/>
    <w:lvl w:ilvl="0" w:tplc="AD46D132">
      <w:numFmt w:val="bullet"/>
      <w:lvlText w:val="-"/>
      <w:lvlJc w:val="left"/>
      <w:pPr>
        <w:ind w:left="360" w:hanging="360"/>
      </w:pPr>
      <w:rPr>
        <w:rFonts w:ascii="Times New Roman" w:eastAsia="Calibr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3618024C"/>
    <w:multiLevelType w:val="hybridMultilevel"/>
    <w:tmpl w:val="955EC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064259"/>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1636FA1"/>
    <w:multiLevelType w:val="hybridMultilevel"/>
    <w:tmpl w:val="6CB2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EC3CE2"/>
    <w:multiLevelType w:val="hybridMultilevel"/>
    <w:tmpl w:val="C646EB5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64D87D79"/>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F8B6DFC"/>
    <w:multiLevelType w:val="hybridMultilevel"/>
    <w:tmpl w:val="65A00812"/>
    <w:lvl w:ilvl="0" w:tplc="04090001">
      <w:start w:val="1"/>
      <w:numFmt w:val="bullet"/>
      <w:pStyle w:val="Standardeinzug2"/>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C47BEF"/>
    <w:multiLevelType w:val="hybridMultilevel"/>
    <w:tmpl w:val="DD28DEB8"/>
    <w:lvl w:ilvl="0" w:tplc="505062E2">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64B61A4"/>
    <w:multiLevelType w:val="hybridMultilevel"/>
    <w:tmpl w:val="4AFAD158"/>
    <w:lvl w:ilvl="0" w:tplc="A658F92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C454222"/>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CF16BC3"/>
    <w:multiLevelType w:val="hybridMultilevel"/>
    <w:tmpl w:val="AA564256"/>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E100A68"/>
    <w:multiLevelType w:val="hybridMultilevel"/>
    <w:tmpl w:val="8320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88"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4" w:hanging="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28" w:hanging="7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2" w:hanging="93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36" w:hanging="10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0" w:hanging="12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16" w:hanging="143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11"/>
  </w:num>
  <w:num w:numId="6">
    <w:abstractNumId w:val="19"/>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5"/>
  </w:num>
  <w:num w:numId="12">
    <w:abstractNumId w:val="1"/>
  </w:num>
  <w:num w:numId="13">
    <w:abstractNumId w:val="17"/>
  </w:num>
  <w:num w:numId="14">
    <w:abstractNumId w:val="12"/>
  </w:num>
  <w:num w:numId="15">
    <w:abstractNumId w:val="15"/>
  </w:num>
  <w:num w:numId="16">
    <w:abstractNumId w:val="18"/>
  </w:num>
  <w:num w:numId="17">
    <w:abstractNumId w:val="6"/>
  </w:num>
  <w:num w:numId="18">
    <w:abstractNumId w:val="16"/>
  </w:num>
  <w:num w:numId="19">
    <w:abstractNumId w:val="9"/>
  </w:num>
  <w:num w:numId="20">
    <w:abstractNumId w:val="7"/>
  </w:num>
  <w:num w:numId="21">
    <w:abstractNumId w:val="8"/>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de-DE" w:vendorID="64" w:dllVersion="131078" w:nlCheck="1" w:checkStyle="0"/>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
  <w:docVars>
    <w:docVar w:name="DocStatus" w:val="Green"/>
    <w:docVar w:name="LW_CORRIGENDUM" w:val="&lt;UNUSED&gt;"/>
    <w:docVar w:name="LW_COVERPAGE_EXISTS" w:val="True"/>
    <w:docVar w:name="LW_COVERPAGE_GUID" w:val="890B9154-E71E-4457-95A0-7B93641F7868"/>
    <w:docVar w:name="LW_COVERPAGE_TYPE" w:val="1"/>
    <w:docVar w:name="LW_CROSSREFERENCE" w:val="&lt;UNUSED&gt;"/>
    <w:docVar w:name="LW_DocType" w:val="NORMAL"/>
    <w:docVar w:name="LW_EMISSION" w:val="14.12.2021"/>
    <w:docVar w:name="LW_EMISSION_ISODATE" w:val="2021-12-14"/>
    <w:docVar w:name="LW_EMISSION_LOCATION" w:val="BRX"/>
    <w:docVar w:name="LW_EMISSION_PREFIX" w:val="Brussels, "/>
    <w:docVar w:name="LW_EMISSION_SUFFIX" w:val=" "/>
    <w:docVar w:name="LW_ID_DOCTYPE_NONLW" w:val="CP-008"/>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1) 8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rogress report on the implementation of the trans-European transport network &lt;/FMT&gt;_x000d__x000b_&lt;FMT:Bold&gt;in 2018 and 2019 &lt;/FMT&gt;_x000d__x000b_"/>
    <w:docVar w:name="LW_TYPE.DOC.CP" w:val="REPORT FROM THE COMMISSION TO THE EUROPEAN PARLIAMENT, THE COUNCIL, THE EUROPEAN ECONOMIC AND SOCIAL COMMITTEE AND THE COMMITTEE OF THE REGIONS"/>
    <w:docVar w:name="LwApiVersions" w:val="LW4CoDe 1.23.2.0; LW 8.0, Build 20211117"/>
  </w:docVars>
  <w:rsids>
    <w:rsidRoot w:val="00F03205"/>
    <w:rsid w:val="00001276"/>
    <w:rsid w:val="00001921"/>
    <w:rsid w:val="0000414C"/>
    <w:rsid w:val="00006A69"/>
    <w:rsid w:val="000114DD"/>
    <w:rsid w:val="00015A66"/>
    <w:rsid w:val="00026B58"/>
    <w:rsid w:val="00031B48"/>
    <w:rsid w:val="0004103F"/>
    <w:rsid w:val="00045487"/>
    <w:rsid w:val="00046ED4"/>
    <w:rsid w:val="00054DF8"/>
    <w:rsid w:val="00056095"/>
    <w:rsid w:val="00056389"/>
    <w:rsid w:val="000573A0"/>
    <w:rsid w:val="000579E0"/>
    <w:rsid w:val="00070D72"/>
    <w:rsid w:val="00071461"/>
    <w:rsid w:val="00074BA4"/>
    <w:rsid w:val="00076EEB"/>
    <w:rsid w:val="00080515"/>
    <w:rsid w:val="00081635"/>
    <w:rsid w:val="000825ED"/>
    <w:rsid w:val="00084D18"/>
    <w:rsid w:val="00086074"/>
    <w:rsid w:val="0008757F"/>
    <w:rsid w:val="000901FF"/>
    <w:rsid w:val="00095A2E"/>
    <w:rsid w:val="000A3D0C"/>
    <w:rsid w:val="000A4988"/>
    <w:rsid w:val="000B02FB"/>
    <w:rsid w:val="000B1965"/>
    <w:rsid w:val="000B47AC"/>
    <w:rsid w:val="000C11A2"/>
    <w:rsid w:val="000C2B4B"/>
    <w:rsid w:val="000C3EB2"/>
    <w:rsid w:val="000C7EA4"/>
    <w:rsid w:val="000D152C"/>
    <w:rsid w:val="000D6BE3"/>
    <w:rsid w:val="000E1D27"/>
    <w:rsid w:val="000E208B"/>
    <w:rsid w:val="000E4E00"/>
    <w:rsid w:val="000E571D"/>
    <w:rsid w:val="000F1428"/>
    <w:rsid w:val="000F390F"/>
    <w:rsid w:val="000F504E"/>
    <w:rsid w:val="000F5909"/>
    <w:rsid w:val="00101477"/>
    <w:rsid w:val="001016B2"/>
    <w:rsid w:val="0010525C"/>
    <w:rsid w:val="0011070F"/>
    <w:rsid w:val="00113031"/>
    <w:rsid w:val="001173F2"/>
    <w:rsid w:val="00120A4A"/>
    <w:rsid w:val="00121802"/>
    <w:rsid w:val="001261A2"/>
    <w:rsid w:val="0013224F"/>
    <w:rsid w:val="0013373E"/>
    <w:rsid w:val="00136F27"/>
    <w:rsid w:val="001409FA"/>
    <w:rsid w:val="0014304E"/>
    <w:rsid w:val="0014679D"/>
    <w:rsid w:val="00147B9F"/>
    <w:rsid w:val="00154B2F"/>
    <w:rsid w:val="00156314"/>
    <w:rsid w:val="00157A8E"/>
    <w:rsid w:val="00157EC7"/>
    <w:rsid w:val="00161FFE"/>
    <w:rsid w:val="001623B4"/>
    <w:rsid w:val="00162AE8"/>
    <w:rsid w:val="00162B32"/>
    <w:rsid w:val="0016665C"/>
    <w:rsid w:val="00171926"/>
    <w:rsid w:val="00173468"/>
    <w:rsid w:val="001761F0"/>
    <w:rsid w:val="00182EB5"/>
    <w:rsid w:val="00184DC7"/>
    <w:rsid w:val="001850B8"/>
    <w:rsid w:val="0018605E"/>
    <w:rsid w:val="00186DC7"/>
    <w:rsid w:val="00194965"/>
    <w:rsid w:val="00195FD1"/>
    <w:rsid w:val="00195FEA"/>
    <w:rsid w:val="001A04D0"/>
    <w:rsid w:val="001A1D53"/>
    <w:rsid w:val="001A2D63"/>
    <w:rsid w:val="001A4194"/>
    <w:rsid w:val="001A49A2"/>
    <w:rsid w:val="001B1F1E"/>
    <w:rsid w:val="001B2C89"/>
    <w:rsid w:val="001B6639"/>
    <w:rsid w:val="001B6D67"/>
    <w:rsid w:val="001B6F60"/>
    <w:rsid w:val="001C0285"/>
    <w:rsid w:val="001C2941"/>
    <w:rsid w:val="001C3931"/>
    <w:rsid w:val="001C3EC3"/>
    <w:rsid w:val="001D164A"/>
    <w:rsid w:val="001D2C05"/>
    <w:rsid w:val="001D7593"/>
    <w:rsid w:val="001E30AE"/>
    <w:rsid w:val="001E4EE8"/>
    <w:rsid w:val="001E5906"/>
    <w:rsid w:val="001E6786"/>
    <w:rsid w:val="001F26F9"/>
    <w:rsid w:val="001F3033"/>
    <w:rsid w:val="001F3812"/>
    <w:rsid w:val="001F3AF8"/>
    <w:rsid w:val="001F6A26"/>
    <w:rsid w:val="002013B4"/>
    <w:rsid w:val="002017C1"/>
    <w:rsid w:val="00204099"/>
    <w:rsid w:val="00204D2A"/>
    <w:rsid w:val="0020564E"/>
    <w:rsid w:val="00205E59"/>
    <w:rsid w:val="00207F85"/>
    <w:rsid w:val="002119FA"/>
    <w:rsid w:val="002135D8"/>
    <w:rsid w:val="00215675"/>
    <w:rsid w:val="0021696E"/>
    <w:rsid w:val="0021733E"/>
    <w:rsid w:val="00224BB2"/>
    <w:rsid w:val="002259D3"/>
    <w:rsid w:val="00227B1B"/>
    <w:rsid w:val="00227CBB"/>
    <w:rsid w:val="0023077F"/>
    <w:rsid w:val="002334C1"/>
    <w:rsid w:val="00234E7F"/>
    <w:rsid w:val="00236FD5"/>
    <w:rsid w:val="00240651"/>
    <w:rsid w:val="00241556"/>
    <w:rsid w:val="00242959"/>
    <w:rsid w:val="002434E2"/>
    <w:rsid w:val="00244641"/>
    <w:rsid w:val="0024764D"/>
    <w:rsid w:val="002502FD"/>
    <w:rsid w:val="00251123"/>
    <w:rsid w:val="00251280"/>
    <w:rsid w:val="00252C88"/>
    <w:rsid w:val="002533E6"/>
    <w:rsid w:val="00263387"/>
    <w:rsid w:val="002650C4"/>
    <w:rsid w:val="00270528"/>
    <w:rsid w:val="00275C65"/>
    <w:rsid w:val="00282DC6"/>
    <w:rsid w:val="002841BC"/>
    <w:rsid w:val="0028435D"/>
    <w:rsid w:val="00285641"/>
    <w:rsid w:val="0029114B"/>
    <w:rsid w:val="00291298"/>
    <w:rsid w:val="00291E0F"/>
    <w:rsid w:val="002A24E7"/>
    <w:rsid w:val="002A2C02"/>
    <w:rsid w:val="002A4E41"/>
    <w:rsid w:val="002A7090"/>
    <w:rsid w:val="002B0A93"/>
    <w:rsid w:val="002B0DBB"/>
    <w:rsid w:val="002B1EB4"/>
    <w:rsid w:val="002B1F77"/>
    <w:rsid w:val="002B3F55"/>
    <w:rsid w:val="002B68C1"/>
    <w:rsid w:val="002C11FF"/>
    <w:rsid w:val="002C7A31"/>
    <w:rsid w:val="002D567A"/>
    <w:rsid w:val="002D6A69"/>
    <w:rsid w:val="002E05F9"/>
    <w:rsid w:val="002E153F"/>
    <w:rsid w:val="002E2490"/>
    <w:rsid w:val="002E4059"/>
    <w:rsid w:val="002E64F2"/>
    <w:rsid w:val="002F456E"/>
    <w:rsid w:val="002F4F7A"/>
    <w:rsid w:val="00301E07"/>
    <w:rsid w:val="00303C5E"/>
    <w:rsid w:val="0030406A"/>
    <w:rsid w:val="00310456"/>
    <w:rsid w:val="00314E9B"/>
    <w:rsid w:val="00315842"/>
    <w:rsid w:val="00326D84"/>
    <w:rsid w:val="00327DD4"/>
    <w:rsid w:val="00333AC7"/>
    <w:rsid w:val="003361CF"/>
    <w:rsid w:val="00336584"/>
    <w:rsid w:val="00342129"/>
    <w:rsid w:val="003434D6"/>
    <w:rsid w:val="00344F64"/>
    <w:rsid w:val="00346D53"/>
    <w:rsid w:val="0034799D"/>
    <w:rsid w:val="00351274"/>
    <w:rsid w:val="00361E4A"/>
    <w:rsid w:val="00363014"/>
    <w:rsid w:val="00364972"/>
    <w:rsid w:val="0036561C"/>
    <w:rsid w:val="00366100"/>
    <w:rsid w:val="00370381"/>
    <w:rsid w:val="00375E59"/>
    <w:rsid w:val="0038063B"/>
    <w:rsid w:val="00380EF5"/>
    <w:rsid w:val="003838D5"/>
    <w:rsid w:val="003851DA"/>
    <w:rsid w:val="00387EC7"/>
    <w:rsid w:val="00390620"/>
    <w:rsid w:val="00390B69"/>
    <w:rsid w:val="003A0ED8"/>
    <w:rsid w:val="003A276C"/>
    <w:rsid w:val="003A2816"/>
    <w:rsid w:val="003A3DC3"/>
    <w:rsid w:val="003A4513"/>
    <w:rsid w:val="003A4BB2"/>
    <w:rsid w:val="003A769A"/>
    <w:rsid w:val="003B04F6"/>
    <w:rsid w:val="003B2ED8"/>
    <w:rsid w:val="003B3A93"/>
    <w:rsid w:val="003B581A"/>
    <w:rsid w:val="003B627A"/>
    <w:rsid w:val="003C0B59"/>
    <w:rsid w:val="003C47C5"/>
    <w:rsid w:val="003C5AC7"/>
    <w:rsid w:val="003C6434"/>
    <w:rsid w:val="003C6971"/>
    <w:rsid w:val="003D03BD"/>
    <w:rsid w:val="003D4AE6"/>
    <w:rsid w:val="003E2B97"/>
    <w:rsid w:val="003E327A"/>
    <w:rsid w:val="003E35FE"/>
    <w:rsid w:val="003F49E2"/>
    <w:rsid w:val="0040093E"/>
    <w:rsid w:val="004022AB"/>
    <w:rsid w:val="0040390A"/>
    <w:rsid w:val="004043B0"/>
    <w:rsid w:val="00405CD7"/>
    <w:rsid w:val="00405F14"/>
    <w:rsid w:val="00410AE8"/>
    <w:rsid w:val="00411ED5"/>
    <w:rsid w:val="00411F2B"/>
    <w:rsid w:val="00411F64"/>
    <w:rsid w:val="00416C80"/>
    <w:rsid w:val="00420F36"/>
    <w:rsid w:val="004226A9"/>
    <w:rsid w:val="004247D9"/>
    <w:rsid w:val="0043312F"/>
    <w:rsid w:val="00433A85"/>
    <w:rsid w:val="0043728E"/>
    <w:rsid w:val="004374E3"/>
    <w:rsid w:val="004400FD"/>
    <w:rsid w:val="0044133B"/>
    <w:rsid w:val="004438FE"/>
    <w:rsid w:val="00445697"/>
    <w:rsid w:val="00446577"/>
    <w:rsid w:val="00446A06"/>
    <w:rsid w:val="00447ABA"/>
    <w:rsid w:val="00452D0D"/>
    <w:rsid w:val="00456C07"/>
    <w:rsid w:val="00460EDA"/>
    <w:rsid w:val="00463E51"/>
    <w:rsid w:val="00465618"/>
    <w:rsid w:val="00467132"/>
    <w:rsid w:val="00471BFB"/>
    <w:rsid w:val="00472E2B"/>
    <w:rsid w:val="00474121"/>
    <w:rsid w:val="00474423"/>
    <w:rsid w:val="0047503F"/>
    <w:rsid w:val="004757DF"/>
    <w:rsid w:val="00475E23"/>
    <w:rsid w:val="004761F1"/>
    <w:rsid w:val="0048463C"/>
    <w:rsid w:val="00484CDA"/>
    <w:rsid w:val="00485DEF"/>
    <w:rsid w:val="00486711"/>
    <w:rsid w:val="0049082D"/>
    <w:rsid w:val="00492DAD"/>
    <w:rsid w:val="004A21E3"/>
    <w:rsid w:val="004A4857"/>
    <w:rsid w:val="004B0A22"/>
    <w:rsid w:val="004B2C30"/>
    <w:rsid w:val="004C05C5"/>
    <w:rsid w:val="004C2419"/>
    <w:rsid w:val="004C2E33"/>
    <w:rsid w:val="004C37E1"/>
    <w:rsid w:val="004C4C7C"/>
    <w:rsid w:val="004C5D6C"/>
    <w:rsid w:val="004C6C6F"/>
    <w:rsid w:val="004C7E66"/>
    <w:rsid w:val="004D03B7"/>
    <w:rsid w:val="004D0440"/>
    <w:rsid w:val="004D4117"/>
    <w:rsid w:val="004D4B32"/>
    <w:rsid w:val="004D5618"/>
    <w:rsid w:val="004E5DB3"/>
    <w:rsid w:val="004F1F6E"/>
    <w:rsid w:val="004F5B33"/>
    <w:rsid w:val="004F79BF"/>
    <w:rsid w:val="0050151F"/>
    <w:rsid w:val="0051161F"/>
    <w:rsid w:val="0051479F"/>
    <w:rsid w:val="0051560A"/>
    <w:rsid w:val="005234B7"/>
    <w:rsid w:val="00523E15"/>
    <w:rsid w:val="00524F75"/>
    <w:rsid w:val="0052595B"/>
    <w:rsid w:val="00525983"/>
    <w:rsid w:val="00525B1D"/>
    <w:rsid w:val="00530535"/>
    <w:rsid w:val="00531A5B"/>
    <w:rsid w:val="00532C25"/>
    <w:rsid w:val="00535A94"/>
    <w:rsid w:val="00535F4C"/>
    <w:rsid w:val="00540275"/>
    <w:rsid w:val="005508D8"/>
    <w:rsid w:val="00550B87"/>
    <w:rsid w:val="0055302C"/>
    <w:rsid w:val="00556185"/>
    <w:rsid w:val="00562B15"/>
    <w:rsid w:val="00563562"/>
    <w:rsid w:val="0056499F"/>
    <w:rsid w:val="005679C6"/>
    <w:rsid w:val="00570901"/>
    <w:rsid w:val="0057293A"/>
    <w:rsid w:val="00572A1D"/>
    <w:rsid w:val="0058729E"/>
    <w:rsid w:val="00587FB2"/>
    <w:rsid w:val="005908F8"/>
    <w:rsid w:val="005A0F27"/>
    <w:rsid w:val="005A21CF"/>
    <w:rsid w:val="005A367E"/>
    <w:rsid w:val="005A4194"/>
    <w:rsid w:val="005A658E"/>
    <w:rsid w:val="005A6A51"/>
    <w:rsid w:val="005A7618"/>
    <w:rsid w:val="005A7B7F"/>
    <w:rsid w:val="005B156B"/>
    <w:rsid w:val="005B4AD8"/>
    <w:rsid w:val="005C2747"/>
    <w:rsid w:val="005C62D9"/>
    <w:rsid w:val="005D01A3"/>
    <w:rsid w:val="005D06AE"/>
    <w:rsid w:val="005D364A"/>
    <w:rsid w:val="005D45C1"/>
    <w:rsid w:val="005D51F6"/>
    <w:rsid w:val="005D6EC7"/>
    <w:rsid w:val="005D7160"/>
    <w:rsid w:val="005E01A9"/>
    <w:rsid w:val="005E124B"/>
    <w:rsid w:val="005E25D9"/>
    <w:rsid w:val="005E3CCB"/>
    <w:rsid w:val="005F06DF"/>
    <w:rsid w:val="005F1E4B"/>
    <w:rsid w:val="005F23FB"/>
    <w:rsid w:val="005F53FE"/>
    <w:rsid w:val="006058DB"/>
    <w:rsid w:val="0060692B"/>
    <w:rsid w:val="00607462"/>
    <w:rsid w:val="0061010B"/>
    <w:rsid w:val="0061191C"/>
    <w:rsid w:val="00614290"/>
    <w:rsid w:val="00614EAF"/>
    <w:rsid w:val="00617D1A"/>
    <w:rsid w:val="00623CAB"/>
    <w:rsid w:val="00624261"/>
    <w:rsid w:val="0063062D"/>
    <w:rsid w:val="00631E58"/>
    <w:rsid w:val="006324C3"/>
    <w:rsid w:val="0063329A"/>
    <w:rsid w:val="006339D3"/>
    <w:rsid w:val="00635DE4"/>
    <w:rsid w:val="006368AC"/>
    <w:rsid w:val="006401CE"/>
    <w:rsid w:val="006461D6"/>
    <w:rsid w:val="006527FE"/>
    <w:rsid w:val="0065428A"/>
    <w:rsid w:val="00656BE1"/>
    <w:rsid w:val="0065740B"/>
    <w:rsid w:val="00663274"/>
    <w:rsid w:val="00670414"/>
    <w:rsid w:val="006713E6"/>
    <w:rsid w:val="0067434C"/>
    <w:rsid w:val="0068019A"/>
    <w:rsid w:val="00680FC1"/>
    <w:rsid w:val="00683998"/>
    <w:rsid w:val="00685C83"/>
    <w:rsid w:val="006861D0"/>
    <w:rsid w:val="006870A9"/>
    <w:rsid w:val="00687F77"/>
    <w:rsid w:val="00691CCF"/>
    <w:rsid w:val="0069415C"/>
    <w:rsid w:val="006955D8"/>
    <w:rsid w:val="00695FEE"/>
    <w:rsid w:val="006A2447"/>
    <w:rsid w:val="006A2F1D"/>
    <w:rsid w:val="006A6543"/>
    <w:rsid w:val="006B36B7"/>
    <w:rsid w:val="006B3AA1"/>
    <w:rsid w:val="006B3D03"/>
    <w:rsid w:val="006B57B1"/>
    <w:rsid w:val="006B6BE1"/>
    <w:rsid w:val="006C21DB"/>
    <w:rsid w:val="006C25FB"/>
    <w:rsid w:val="006C3E01"/>
    <w:rsid w:val="006C50C9"/>
    <w:rsid w:val="006D27DC"/>
    <w:rsid w:val="006D4FEE"/>
    <w:rsid w:val="006D54E7"/>
    <w:rsid w:val="006E43E5"/>
    <w:rsid w:val="006E459F"/>
    <w:rsid w:val="006E4D15"/>
    <w:rsid w:val="006E66F7"/>
    <w:rsid w:val="006E755F"/>
    <w:rsid w:val="006F1391"/>
    <w:rsid w:val="006F2300"/>
    <w:rsid w:val="0070054B"/>
    <w:rsid w:val="00705C16"/>
    <w:rsid w:val="007076A8"/>
    <w:rsid w:val="0070784F"/>
    <w:rsid w:val="00707AA9"/>
    <w:rsid w:val="00710AF0"/>
    <w:rsid w:val="00713E4F"/>
    <w:rsid w:val="00714B29"/>
    <w:rsid w:val="00726CD9"/>
    <w:rsid w:val="007353F8"/>
    <w:rsid w:val="00735AD6"/>
    <w:rsid w:val="0073785F"/>
    <w:rsid w:val="00743078"/>
    <w:rsid w:val="00746226"/>
    <w:rsid w:val="00750E43"/>
    <w:rsid w:val="0075219A"/>
    <w:rsid w:val="00754E56"/>
    <w:rsid w:val="00756400"/>
    <w:rsid w:val="00757AA2"/>
    <w:rsid w:val="00762D96"/>
    <w:rsid w:val="00766080"/>
    <w:rsid w:val="0076718F"/>
    <w:rsid w:val="007703B7"/>
    <w:rsid w:val="00772B50"/>
    <w:rsid w:val="00775F70"/>
    <w:rsid w:val="007765BF"/>
    <w:rsid w:val="007767D6"/>
    <w:rsid w:val="00780B4C"/>
    <w:rsid w:val="00782946"/>
    <w:rsid w:val="00783355"/>
    <w:rsid w:val="007835AC"/>
    <w:rsid w:val="00793476"/>
    <w:rsid w:val="007971F0"/>
    <w:rsid w:val="007A048C"/>
    <w:rsid w:val="007A0529"/>
    <w:rsid w:val="007A09CE"/>
    <w:rsid w:val="007A21D2"/>
    <w:rsid w:val="007B433D"/>
    <w:rsid w:val="007B6406"/>
    <w:rsid w:val="007B6E2C"/>
    <w:rsid w:val="007C05F1"/>
    <w:rsid w:val="007C11C8"/>
    <w:rsid w:val="007C3C65"/>
    <w:rsid w:val="007C73EF"/>
    <w:rsid w:val="007D05DF"/>
    <w:rsid w:val="007D0CC3"/>
    <w:rsid w:val="007D1D11"/>
    <w:rsid w:val="007D21A2"/>
    <w:rsid w:val="007D478B"/>
    <w:rsid w:val="007D5FB1"/>
    <w:rsid w:val="007E2B12"/>
    <w:rsid w:val="007E3C03"/>
    <w:rsid w:val="007E4707"/>
    <w:rsid w:val="007E5A6C"/>
    <w:rsid w:val="007F59C5"/>
    <w:rsid w:val="00800E06"/>
    <w:rsid w:val="00802E6D"/>
    <w:rsid w:val="00803266"/>
    <w:rsid w:val="00805F91"/>
    <w:rsid w:val="008066FB"/>
    <w:rsid w:val="0081025E"/>
    <w:rsid w:val="0081365C"/>
    <w:rsid w:val="00815621"/>
    <w:rsid w:val="00815BE3"/>
    <w:rsid w:val="00820768"/>
    <w:rsid w:val="00821CEA"/>
    <w:rsid w:val="00824BE0"/>
    <w:rsid w:val="008262BE"/>
    <w:rsid w:val="00827127"/>
    <w:rsid w:val="00831F9E"/>
    <w:rsid w:val="00832FAE"/>
    <w:rsid w:val="0083313D"/>
    <w:rsid w:val="00835BBB"/>
    <w:rsid w:val="008401F7"/>
    <w:rsid w:val="00842225"/>
    <w:rsid w:val="00845B61"/>
    <w:rsid w:val="0084644B"/>
    <w:rsid w:val="008466BA"/>
    <w:rsid w:val="00851CDB"/>
    <w:rsid w:val="00852F84"/>
    <w:rsid w:val="00854558"/>
    <w:rsid w:val="00857141"/>
    <w:rsid w:val="008756DA"/>
    <w:rsid w:val="008778EB"/>
    <w:rsid w:val="008800AF"/>
    <w:rsid w:val="00887F12"/>
    <w:rsid w:val="0089527F"/>
    <w:rsid w:val="008954EF"/>
    <w:rsid w:val="00895F53"/>
    <w:rsid w:val="00897A6C"/>
    <w:rsid w:val="008A13BD"/>
    <w:rsid w:val="008A184F"/>
    <w:rsid w:val="008A42D1"/>
    <w:rsid w:val="008B25EB"/>
    <w:rsid w:val="008B2829"/>
    <w:rsid w:val="008B307F"/>
    <w:rsid w:val="008B3E47"/>
    <w:rsid w:val="008C33A8"/>
    <w:rsid w:val="008C5416"/>
    <w:rsid w:val="008C654B"/>
    <w:rsid w:val="008C66D2"/>
    <w:rsid w:val="008C69F1"/>
    <w:rsid w:val="008C704F"/>
    <w:rsid w:val="008C7AE5"/>
    <w:rsid w:val="008D4404"/>
    <w:rsid w:val="008D45D5"/>
    <w:rsid w:val="008D5036"/>
    <w:rsid w:val="008E38F1"/>
    <w:rsid w:val="008E7459"/>
    <w:rsid w:val="008F2241"/>
    <w:rsid w:val="008F3D92"/>
    <w:rsid w:val="009019A3"/>
    <w:rsid w:val="00907AAA"/>
    <w:rsid w:val="009124ED"/>
    <w:rsid w:val="0091344E"/>
    <w:rsid w:val="009138AF"/>
    <w:rsid w:val="00914976"/>
    <w:rsid w:val="00922F99"/>
    <w:rsid w:val="00922FB6"/>
    <w:rsid w:val="0092458D"/>
    <w:rsid w:val="0092608E"/>
    <w:rsid w:val="00927909"/>
    <w:rsid w:val="009310AB"/>
    <w:rsid w:val="00935255"/>
    <w:rsid w:val="00936134"/>
    <w:rsid w:val="009409BE"/>
    <w:rsid w:val="00941DA5"/>
    <w:rsid w:val="00944934"/>
    <w:rsid w:val="00945953"/>
    <w:rsid w:val="009507BA"/>
    <w:rsid w:val="0095342A"/>
    <w:rsid w:val="00953F7D"/>
    <w:rsid w:val="00965942"/>
    <w:rsid w:val="009678AE"/>
    <w:rsid w:val="009679E4"/>
    <w:rsid w:val="0097481A"/>
    <w:rsid w:val="00974BCE"/>
    <w:rsid w:val="00975218"/>
    <w:rsid w:val="0097534E"/>
    <w:rsid w:val="00975358"/>
    <w:rsid w:val="00977606"/>
    <w:rsid w:val="009806ED"/>
    <w:rsid w:val="00980A47"/>
    <w:rsid w:val="0098111A"/>
    <w:rsid w:val="00984F5C"/>
    <w:rsid w:val="00990225"/>
    <w:rsid w:val="0099171B"/>
    <w:rsid w:val="00991D76"/>
    <w:rsid w:val="00993503"/>
    <w:rsid w:val="00993B94"/>
    <w:rsid w:val="00993D44"/>
    <w:rsid w:val="00993DBC"/>
    <w:rsid w:val="00994005"/>
    <w:rsid w:val="00997088"/>
    <w:rsid w:val="009A2409"/>
    <w:rsid w:val="009A46F5"/>
    <w:rsid w:val="009A616B"/>
    <w:rsid w:val="009B1716"/>
    <w:rsid w:val="009B6BC8"/>
    <w:rsid w:val="009B76A8"/>
    <w:rsid w:val="009C2044"/>
    <w:rsid w:val="009C4593"/>
    <w:rsid w:val="009C4D10"/>
    <w:rsid w:val="009C72B8"/>
    <w:rsid w:val="009D166A"/>
    <w:rsid w:val="009D582A"/>
    <w:rsid w:val="009D5B2F"/>
    <w:rsid w:val="009E056B"/>
    <w:rsid w:val="009E2541"/>
    <w:rsid w:val="009E38EE"/>
    <w:rsid w:val="009E50F4"/>
    <w:rsid w:val="009E531F"/>
    <w:rsid w:val="009E6013"/>
    <w:rsid w:val="009E7936"/>
    <w:rsid w:val="009F0B3A"/>
    <w:rsid w:val="009F37D4"/>
    <w:rsid w:val="009F785A"/>
    <w:rsid w:val="009F7C26"/>
    <w:rsid w:val="00A01400"/>
    <w:rsid w:val="00A02814"/>
    <w:rsid w:val="00A02A30"/>
    <w:rsid w:val="00A03FEA"/>
    <w:rsid w:val="00A04A0B"/>
    <w:rsid w:val="00A0719D"/>
    <w:rsid w:val="00A10555"/>
    <w:rsid w:val="00A12F3A"/>
    <w:rsid w:val="00A14A89"/>
    <w:rsid w:val="00A20890"/>
    <w:rsid w:val="00A33E1F"/>
    <w:rsid w:val="00A35B9A"/>
    <w:rsid w:val="00A40F67"/>
    <w:rsid w:val="00A41709"/>
    <w:rsid w:val="00A4277A"/>
    <w:rsid w:val="00A43500"/>
    <w:rsid w:val="00A44C35"/>
    <w:rsid w:val="00A45961"/>
    <w:rsid w:val="00A459A0"/>
    <w:rsid w:val="00A571C6"/>
    <w:rsid w:val="00A62BE8"/>
    <w:rsid w:val="00A63E91"/>
    <w:rsid w:val="00A71665"/>
    <w:rsid w:val="00A761F5"/>
    <w:rsid w:val="00A81844"/>
    <w:rsid w:val="00A8284F"/>
    <w:rsid w:val="00A83D7B"/>
    <w:rsid w:val="00A85928"/>
    <w:rsid w:val="00A92431"/>
    <w:rsid w:val="00A92635"/>
    <w:rsid w:val="00A92E0B"/>
    <w:rsid w:val="00A942E0"/>
    <w:rsid w:val="00AA00BD"/>
    <w:rsid w:val="00AA0D34"/>
    <w:rsid w:val="00AA14CE"/>
    <w:rsid w:val="00AA1E5D"/>
    <w:rsid w:val="00AA2AE2"/>
    <w:rsid w:val="00AA44E0"/>
    <w:rsid w:val="00AA4C37"/>
    <w:rsid w:val="00AB03E7"/>
    <w:rsid w:val="00AB3DD8"/>
    <w:rsid w:val="00AC042A"/>
    <w:rsid w:val="00AC113C"/>
    <w:rsid w:val="00AC191F"/>
    <w:rsid w:val="00AC3A12"/>
    <w:rsid w:val="00AC74C4"/>
    <w:rsid w:val="00AD038D"/>
    <w:rsid w:val="00AD07F4"/>
    <w:rsid w:val="00AD2423"/>
    <w:rsid w:val="00AD6EDF"/>
    <w:rsid w:val="00AE286B"/>
    <w:rsid w:val="00AE35A0"/>
    <w:rsid w:val="00AE39D6"/>
    <w:rsid w:val="00AF09BE"/>
    <w:rsid w:val="00AF3223"/>
    <w:rsid w:val="00AF3755"/>
    <w:rsid w:val="00AF659C"/>
    <w:rsid w:val="00AF69E7"/>
    <w:rsid w:val="00AF7FF4"/>
    <w:rsid w:val="00B00CDF"/>
    <w:rsid w:val="00B02B6B"/>
    <w:rsid w:val="00B074C5"/>
    <w:rsid w:val="00B11008"/>
    <w:rsid w:val="00B11ACC"/>
    <w:rsid w:val="00B13D6D"/>
    <w:rsid w:val="00B15835"/>
    <w:rsid w:val="00B16498"/>
    <w:rsid w:val="00B1763B"/>
    <w:rsid w:val="00B17868"/>
    <w:rsid w:val="00B27C4E"/>
    <w:rsid w:val="00B32187"/>
    <w:rsid w:val="00B35B8D"/>
    <w:rsid w:val="00B37ADF"/>
    <w:rsid w:val="00B41412"/>
    <w:rsid w:val="00B417BD"/>
    <w:rsid w:val="00B420B8"/>
    <w:rsid w:val="00B42637"/>
    <w:rsid w:val="00B469D4"/>
    <w:rsid w:val="00B472A3"/>
    <w:rsid w:val="00B52437"/>
    <w:rsid w:val="00B537DA"/>
    <w:rsid w:val="00B54C2C"/>
    <w:rsid w:val="00B61201"/>
    <w:rsid w:val="00B66850"/>
    <w:rsid w:val="00B67E3E"/>
    <w:rsid w:val="00B72FD9"/>
    <w:rsid w:val="00B7460D"/>
    <w:rsid w:val="00B75DC0"/>
    <w:rsid w:val="00B80368"/>
    <w:rsid w:val="00B80960"/>
    <w:rsid w:val="00B8652C"/>
    <w:rsid w:val="00B91ECB"/>
    <w:rsid w:val="00B92551"/>
    <w:rsid w:val="00BA1CD4"/>
    <w:rsid w:val="00BA31F8"/>
    <w:rsid w:val="00BA328A"/>
    <w:rsid w:val="00BA56F6"/>
    <w:rsid w:val="00BA5821"/>
    <w:rsid w:val="00BA6A71"/>
    <w:rsid w:val="00BA7B1E"/>
    <w:rsid w:val="00BC2ABA"/>
    <w:rsid w:val="00BC3422"/>
    <w:rsid w:val="00BC41C0"/>
    <w:rsid w:val="00BC4BEE"/>
    <w:rsid w:val="00BD0C79"/>
    <w:rsid w:val="00BD442D"/>
    <w:rsid w:val="00BD744F"/>
    <w:rsid w:val="00BE02CE"/>
    <w:rsid w:val="00BE069C"/>
    <w:rsid w:val="00BE23C3"/>
    <w:rsid w:val="00BE3994"/>
    <w:rsid w:val="00BE46A2"/>
    <w:rsid w:val="00BF087E"/>
    <w:rsid w:val="00BF112D"/>
    <w:rsid w:val="00BF29A4"/>
    <w:rsid w:val="00BF2F7F"/>
    <w:rsid w:val="00BF37EC"/>
    <w:rsid w:val="00C00530"/>
    <w:rsid w:val="00C01A70"/>
    <w:rsid w:val="00C0554F"/>
    <w:rsid w:val="00C07368"/>
    <w:rsid w:val="00C07B31"/>
    <w:rsid w:val="00C11096"/>
    <w:rsid w:val="00C1560B"/>
    <w:rsid w:val="00C17C32"/>
    <w:rsid w:val="00C22ACA"/>
    <w:rsid w:val="00C24609"/>
    <w:rsid w:val="00C345B5"/>
    <w:rsid w:val="00C43D3A"/>
    <w:rsid w:val="00C45311"/>
    <w:rsid w:val="00C4690D"/>
    <w:rsid w:val="00C52815"/>
    <w:rsid w:val="00C56E7E"/>
    <w:rsid w:val="00C56F2F"/>
    <w:rsid w:val="00C63F27"/>
    <w:rsid w:val="00C64EA6"/>
    <w:rsid w:val="00C6732E"/>
    <w:rsid w:val="00C675E1"/>
    <w:rsid w:val="00C70706"/>
    <w:rsid w:val="00C72DCE"/>
    <w:rsid w:val="00C73ADA"/>
    <w:rsid w:val="00C73F2C"/>
    <w:rsid w:val="00C744A3"/>
    <w:rsid w:val="00C87CCA"/>
    <w:rsid w:val="00C926DE"/>
    <w:rsid w:val="00C936D7"/>
    <w:rsid w:val="00C95C90"/>
    <w:rsid w:val="00C964B1"/>
    <w:rsid w:val="00CA250E"/>
    <w:rsid w:val="00CA47CB"/>
    <w:rsid w:val="00CB1543"/>
    <w:rsid w:val="00CB2F14"/>
    <w:rsid w:val="00CB40A8"/>
    <w:rsid w:val="00CB7223"/>
    <w:rsid w:val="00CC01DB"/>
    <w:rsid w:val="00CC0546"/>
    <w:rsid w:val="00CC4190"/>
    <w:rsid w:val="00CD033B"/>
    <w:rsid w:val="00CD0852"/>
    <w:rsid w:val="00CD47F1"/>
    <w:rsid w:val="00CD5198"/>
    <w:rsid w:val="00CD6C53"/>
    <w:rsid w:val="00CD6F65"/>
    <w:rsid w:val="00CD7083"/>
    <w:rsid w:val="00CE03F5"/>
    <w:rsid w:val="00CE0B04"/>
    <w:rsid w:val="00CE2075"/>
    <w:rsid w:val="00CE467D"/>
    <w:rsid w:val="00CE610C"/>
    <w:rsid w:val="00CE78FE"/>
    <w:rsid w:val="00CF008A"/>
    <w:rsid w:val="00CF1E74"/>
    <w:rsid w:val="00CF65DE"/>
    <w:rsid w:val="00CF6A37"/>
    <w:rsid w:val="00CF7B01"/>
    <w:rsid w:val="00D0130E"/>
    <w:rsid w:val="00D01C63"/>
    <w:rsid w:val="00D02495"/>
    <w:rsid w:val="00D026C7"/>
    <w:rsid w:val="00D068AF"/>
    <w:rsid w:val="00D1122D"/>
    <w:rsid w:val="00D12D01"/>
    <w:rsid w:val="00D13FF4"/>
    <w:rsid w:val="00D17792"/>
    <w:rsid w:val="00D2131A"/>
    <w:rsid w:val="00D24763"/>
    <w:rsid w:val="00D24786"/>
    <w:rsid w:val="00D25401"/>
    <w:rsid w:val="00D2780D"/>
    <w:rsid w:val="00D31EAC"/>
    <w:rsid w:val="00D327D6"/>
    <w:rsid w:val="00D347B5"/>
    <w:rsid w:val="00D4061F"/>
    <w:rsid w:val="00D40CDC"/>
    <w:rsid w:val="00D52178"/>
    <w:rsid w:val="00D521BC"/>
    <w:rsid w:val="00D53C45"/>
    <w:rsid w:val="00D55172"/>
    <w:rsid w:val="00D55F02"/>
    <w:rsid w:val="00D55F59"/>
    <w:rsid w:val="00D6126F"/>
    <w:rsid w:val="00D639DF"/>
    <w:rsid w:val="00D63A68"/>
    <w:rsid w:val="00D64F2D"/>
    <w:rsid w:val="00D658A2"/>
    <w:rsid w:val="00D663B7"/>
    <w:rsid w:val="00D702C6"/>
    <w:rsid w:val="00D74DFA"/>
    <w:rsid w:val="00D76375"/>
    <w:rsid w:val="00D76765"/>
    <w:rsid w:val="00D76766"/>
    <w:rsid w:val="00D77554"/>
    <w:rsid w:val="00D80DDC"/>
    <w:rsid w:val="00D82293"/>
    <w:rsid w:val="00D822EC"/>
    <w:rsid w:val="00D85534"/>
    <w:rsid w:val="00D872EB"/>
    <w:rsid w:val="00D87A27"/>
    <w:rsid w:val="00D9638E"/>
    <w:rsid w:val="00D9767D"/>
    <w:rsid w:val="00DA01AB"/>
    <w:rsid w:val="00DA0FFA"/>
    <w:rsid w:val="00DA2623"/>
    <w:rsid w:val="00DA6106"/>
    <w:rsid w:val="00DA677C"/>
    <w:rsid w:val="00DA7161"/>
    <w:rsid w:val="00DB17F7"/>
    <w:rsid w:val="00DB313D"/>
    <w:rsid w:val="00DB465F"/>
    <w:rsid w:val="00DB53EF"/>
    <w:rsid w:val="00DB5563"/>
    <w:rsid w:val="00DB57D2"/>
    <w:rsid w:val="00DB6373"/>
    <w:rsid w:val="00DB7E8E"/>
    <w:rsid w:val="00DC050C"/>
    <w:rsid w:val="00DC24D1"/>
    <w:rsid w:val="00DC3192"/>
    <w:rsid w:val="00DC3B9C"/>
    <w:rsid w:val="00DC71AB"/>
    <w:rsid w:val="00DC728F"/>
    <w:rsid w:val="00DD39BF"/>
    <w:rsid w:val="00DD6D1A"/>
    <w:rsid w:val="00DE11BF"/>
    <w:rsid w:val="00DE1807"/>
    <w:rsid w:val="00DE452B"/>
    <w:rsid w:val="00DE46F2"/>
    <w:rsid w:val="00DE5199"/>
    <w:rsid w:val="00DF026A"/>
    <w:rsid w:val="00DF1065"/>
    <w:rsid w:val="00DF3C62"/>
    <w:rsid w:val="00E00AF0"/>
    <w:rsid w:val="00E031FD"/>
    <w:rsid w:val="00E04A4E"/>
    <w:rsid w:val="00E1086E"/>
    <w:rsid w:val="00E11E84"/>
    <w:rsid w:val="00E127DA"/>
    <w:rsid w:val="00E12DC2"/>
    <w:rsid w:val="00E134AD"/>
    <w:rsid w:val="00E138EB"/>
    <w:rsid w:val="00E14888"/>
    <w:rsid w:val="00E149E4"/>
    <w:rsid w:val="00E15759"/>
    <w:rsid w:val="00E24D2D"/>
    <w:rsid w:val="00E301DE"/>
    <w:rsid w:val="00E30C87"/>
    <w:rsid w:val="00E40983"/>
    <w:rsid w:val="00E523FE"/>
    <w:rsid w:val="00E535F6"/>
    <w:rsid w:val="00E5624D"/>
    <w:rsid w:val="00E56C1C"/>
    <w:rsid w:val="00E60D6E"/>
    <w:rsid w:val="00E615B0"/>
    <w:rsid w:val="00E62158"/>
    <w:rsid w:val="00E62D68"/>
    <w:rsid w:val="00E62F04"/>
    <w:rsid w:val="00E63E7A"/>
    <w:rsid w:val="00E74394"/>
    <w:rsid w:val="00E76E21"/>
    <w:rsid w:val="00E83087"/>
    <w:rsid w:val="00E85244"/>
    <w:rsid w:val="00E865E4"/>
    <w:rsid w:val="00E875CB"/>
    <w:rsid w:val="00E90EFE"/>
    <w:rsid w:val="00E91550"/>
    <w:rsid w:val="00E936B7"/>
    <w:rsid w:val="00E93C7B"/>
    <w:rsid w:val="00E96FFD"/>
    <w:rsid w:val="00E975CF"/>
    <w:rsid w:val="00EA3D1F"/>
    <w:rsid w:val="00EA496A"/>
    <w:rsid w:val="00EA78C3"/>
    <w:rsid w:val="00EB3157"/>
    <w:rsid w:val="00EB3385"/>
    <w:rsid w:val="00EB622A"/>
    <w:rsid w:val="00EB7916"/>
    <w:rsid w:val="00EC01AE"/>
    <w:rsid w:val="00EC1590"/>
    <w:rsid w:val="00EC770C"/>
    <w:rsid w:val="00EE6067"/>
    <w:rsid w:val="00EF0654"/>
    <w:rsid w:val="00EF12B3"/>
    <w:rsid w:val="00F00F12"/>
    <w:rsid w:val="00F03205"/>
    <w:rsid w:val="00F04ADA"/>
    <w:rsid w:val="00F1135B"/>
    <w:rsid w:val="00F1215C"/>
    <w:rsid w:val="00F14EBD"/>
    <w:rsid w:val="00F1526C"/>
    <w:rsid w:val="00F15875"/>
    <w:rsid w:val="00F20D12"/>
    <w:rsid w:val="00F248CF"/>
    <w:rsid w:val="00F25AB8"/>
    <w:rsid w:val="00F26F2A"/>
    <w:rsid w:val="00F2766D"/>
    <w:rsid w:val="00F30AE7"/>
    <w:rsid w:val="00F30FD8"/>
    <w:rsid w:val="00F315A6"/>
    <w:rsid w:val="00F342D1"/>
    <w:rsid w:val="00F34DBB"/>
    <w:rsid w:val="00F35A0C"/>
    <w:rsid w:val="00F36363"/>
    <w:rsid w:val="00F37AAE"/>
    <w:rsid w:val="00F41C86"/>
    <w:rsid w:val="00F4271B"/>
    <w:rsid w:val="00F43744"/>
    <w:rsid w:val="00F44DDB"/>
    <w:rsid w:val="00F47262"/>
    <w:rsid w:val="00F542D5"/>
    <w:rsid w:val="00F56052"/>
    <w:rsid w:val="00F569D4"/>
    <w:rsid w:val="00F6025B"/>
    <w:rsid w:val="00F60A5E"/>
    <w:rsid w:val="00F62257"/>
    <w:rsid w:val="00F62CC3"/>
    <w:rsid w:val="00F62DCB"/>
    <w:rsid w:val="00F646D2"/>
    <w:rsid w:val="00F653B4"/>
    <w:rsid w:val="00F75A73"/>
    <w:rsid w:val="00F84083"/>
    <w:rsid w:val="00F900C9"/>
    <w:rsid w:val="00F945D1"/>
    <w:rsid w:val="00F94B8E"/>
    <w:rsid w:val="00F95AC0"/>
    <w:rsid w:val="00FA096C"/>
    <w:rsid w:val="00FA2644"/>
    <w:rsid w:val="00FA714D"/>
    <w:rsid w:val="00FB02DC"/>
    <w:rsid w:val="00FB7DC5"/>
    <w:rsid w:val="00FC08E3"/>
    <w:rsid w:val="00FC17FE"/>
    <w:rsid w:val="00FC2497"/>
    <w:rsid w:val="00FC3880"/>
    <w:rsid w:val="00FC5E8E"/>
    <w:rsid w:val="00FC6985"/>
    <w:rsid w:val="00FC7EC7"/>
    <w:rsid w:val="00FD14A0"/>
    <w:rsid w:val="00FD264A"/>
    <w:rsid w:val="00FE0568"/>
    <w:rsid w:val="00FE1FBF"/>
    <w:rsid w:val="00FE273E"/>
    <w:rsid w:val="00FE625D"/>
    <w:rsid w:val="00FE6B73"/>
    <w:rsid w:val="00FE72D3"/>
    <w:rsid w:val="00FE7497"/>
    <w:rsid w:val="00FF17CF"/>
    <w:rsid w:val="00FF504C"/>
    <w:rsid w:val="00FF65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0685C"/>
  <w15:docId w15:val="{91D3E693-E677-417B-A80B-F17A3CFD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Corps"/>
    <w:pPr>
      <w:jc w:val="both"/>
    </w:pPr>
    <w:rPr>
      <w:rFonts w:eastAsia="Times New Roman"/>
      <w:color w:val="000000"/>
      <w:sz w:val="24"/>
      <w:szCs w:val="24"/>
      <w:u w:color="000000"/>
      <w:lang w:val="en-US"/>
    </w:rPr>
  </w:style>
  <w:style w:type="paragraph" w:customStyle="1" w:styleId="Corps">
    <w:name w:val="Corps"/>
    <w:link w:val="CorpsChar"/>
    <w:pPr>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rsid w:val="00AA2AE2"/>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 w:val="right" w:pos="9921"/>
      </w:tabs>
      <w:spacing w:before="360"/>
      <w:ind w:left="-850" w:right="-850"/>
    </w:pPr>
    <w:rPr>
      <w:rFonts w:eastAsiaTheme="minorHAnsi"/>
      <w:szCs w:val="22"/>
      <w:bdr w:val="none" w:sz="0" w:space="0" w:color="auto"/>
    </w:rPr>
  </w:style>
  <w:style w:type="numbering" w:customStyle="1" w:styleId="Style1import">
    <w:name w:val="Style 1 importé"/>
    <w:pPr>
      <w:numPr>
        <w:numId w:val="1"/>
      </w:numPr>
    </w:pPr>
  </w:style>
  <w:style w:type="paragraph" w:styleId="FootnoteText">
    <w:name w:val="footnote text"/>
    <w:aliases w:val="Fußnotentextf,Voetnoottekst Char,Voetnoottekst Char1 Char,Voetnoottekst Char Char1 Char,Voetnoottekst Char1 Char Char Char,Voetnoottekst Char Char1 Char Char Char,Voetnoottekst Char1 Char Char Char Char Char,Char Char,Char Char1,single spa"/>
    <w:link w:val="FootnoteTextChar"/>
    <w:uiPriority w:val="99"/>
    <w:qFormat/>
    <w:rPr>
      <w:rFonts w:ascii="Calibri" w:eastAsia="Calibri" w:hAnsi="Calibri" w:cs="Calibri"/>
      <w:color w:val="000000"/>
      <w:u w:color="000000"/>
      <w:lang w:val="en-US"/>
    </w:rPr>
  </w:style>
  <w:style w:type="paragraph" w:customStyle="1" w:styleId="ManualHeading2">
    <w:name w:val="Manual Heading 2"/>
    <w:next w:val="Corps"/>
    <w:pPr>
      <w:keepNext/>
      <w:tabs>
        <w:tab w:val="left" w:pos="850"/>
      </w:tabs>
      <w:spacing w:before="120" w:after="120"/>
      <w:ind w:left="850" w:hanging="850"/>
      <w:jc w:val="both"/>
      <w:outlineLvl w:val="1"/>
    </w:pPr>
    <w:rPr>
      <w:rFonts w:cs="Arial Unicode MS"/>
      <w:b/>
      <w:bCs/>
      <w:color w:val="000000"/>
      <w:sz w:val="24"/>
      <w:szCs w:val="24"/>
      <w:u w:color="000000"/>
      <w:lang w:val="en-US"/>
    </w:rPr>
  </w:style>
  <w:style w:type="paragraph" w:customStyle="1" w:styleId="Default">
    <w:name w:val="Default"/>
    <w:rPr>
      <w:rFonts w:ascii="Calibri" w:eastAsia="Calibri" w:hAnsi="Calibri" w:cs="Calibri"/>
      <w:color w:val="000000"/>
      <w:sz w:val="24"/>
      <w:szCs w:val="24"/>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001276"/>
    <w:rPr>
      <w:rFonts w:ascii="Tahoma" w:hAnsi="Tahoma" w:cs="Tahoma"/>
      <w:sz w:val="16"/>
      <w:szCs w:val="16"/>
    </w:rPr>
  </w:style>
  <w:style w:type="character" w:customStyle="1" w:styleId="BalloonTextChar">
    <w:name w:val="Balloon Text Char"/>
    <w:basedOn w:val="DefaultParagraphFont"/>
    <w:link w:val="BalloonText"/>
    <w:uiPriority w:val="99"/>
    <w:semiHidden/>
    <w:rsid w:val="00001276"/>
    <w:rPr>
      <w:rFonts w:ascii="Tahoma" w:hAnsi="Tahoma" w:cs="Tahoma"/>
      <w:sz w:val="16"/>
      <w:szCs w:val="16"/>
      <w:lang w:val="en-US" w:eastAsia="en-US"/>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FootnotesymbolCharCharCharChar"/>
    <w:uiPriority w:val="99"/>
    <w:unhideWhenUsed/>
    <w:qFormat/>
    <w:rsid w:val="0043728E"/>
    <w:rPr>
      <w:vertAlign w:val="superscript"/>
    </w:rPr>
  </w:style>
  <w:style w:type="character" w:styleId="CommentReference">
    <w:name w:val="annotation reference"/>
    <w:basedOn w:val="DefaultParagraphFont"/>
    <w:uiPriority w:val="99"/>
    <w:semiHidden/>
    <w:unhideWhenUsed/>
    <w:rsid w:val="00FE7497"/>
    <w:rPr>
      <w:sz w:val="16"/>
      <w:szCs w:val="16"/>
    </w:rPr>
  </w:style>
  <w:style w:type="paragraph" w:styleId="CommentText">
    <w:name w:val="annotation text"/>
    <w:basedOn w:val="Normal"/>
    <w:link w:val="CommentTextChar"/>
    <w:uiPriority w:val="99"/>
    <w:unhideWhenUsed/>
    <w:rsid w:val="00FE7497"/>
    <w:rPr>
      <w:sz w:val="20"/>
      <w:szCs w:val="20"/>
    </w:rPr>
  </w:style>
  <w:style w:type="character" w:customStyle="1" w:styleId="CommentTextChar">
    <w:name w:val="Comment Text Char"/>
    <w:basedOn w:val="DefaultParagraphFont"/>
    <w:link w:val="CommentText"/>
    <w:uiPriority w:val="99"/>
    <w:rsid w:val="00FE7497"/>
    <w:rPr>
      <w:lang w:val="en-US" w:eastAsia="en-US"/>
    </w:rPr>
  </w:style>
  <w:style w:type="paragraph" w:styleId="CommentSubject">
    <w:name w:val="annotation subject"/>
    <w:basedOn w:val="CommentText"/>
    <w:next w:val="CommentText"/>
    <w:link w:val="CommentSubjectChar"/>
    <w:uiPriority w:val="99"/>
    <w:semiHidden/>
    <w:unhideWhenUsed/>
    <w:rsid w:val="00FE7497"/>
    <w:rPr>
      <w:b/>
      <w:bCs/>
    </w:rPr>
  </w:style>
  <w:style w:type="character" w:customStyle="1" w:styleId="CommentSubjectChar">
    <w:name w:val="Comment Subject Char"/>
    <w:basedOn w:val="CommentTextChar"/>
    <w:link w:val="CommentSubject"/>
    <w:uiPriority w:val="99"/>
    <w:semiHidden/>
    <w:rsid w:val="00FE7497"/>
    <w:rPr>
      <w:b/>
      <w:bCs/>
      <w:lang w:val="en-US" w:eastAsia="en-US"/>
    </w:rPr>
  </w:style>
  <w:style w:type="paragraph" w:customStyle="1" w:styleId="CM1">
    <w:name w:val="CM1"/>
    <w:basedOn w:val="Default"/>
    <w:next w:val="Default"/>
    <w:uiPriority w:val="99"/>
    <w:rsid w:val="00275C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lang w:val="en-GB"/>
    </w:rPr>
  </w:style>
  <w:style w:type="paragraph" w:customStyle="1" w:styleId="CM3">
    <w:name w:val="CM3"/>
    <w:basedOn w:val="Default"/>
    <w:next w:val="Default"/>
    <w:uiPriority w:val="99"/>
    <w:rsid w:val="00275C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lang w:val="en-GB"/>
    </w:rPr>
  </w:style>
  <w:style w:type="paragraph" w:customStyle="1" w:styleId="CM4">
    <w:name w:val="CM4"/>
    <w:basedOn w:val="Default"/>
    <w:next w:val="Default"/>
    <w:uiPriority w:val="99"/>
    <w:rsid w:val="00275C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lang w:val="en-GB"/>
    </w:rPr>
  </w:style>
  <w:style w:type="character" w:customStyle="1" w:styleId="A3">
    <w:name w:val="A3"/>
    <w:uiPriority w:val="99"/>
    <w:rsid w:val="00CC01DB"/>
    <w:rPr>
      <w:rFonts w:cs="EC Square Sans Pro"/>
      <w:color w:val="000000"/>
      <w:sz w:val="22"/>
      <w:szCs w:val="22"/>
    </w:rPr>
  </w:style>
  <w:style w:type="table" w:styleId="TableGrid">
    <w:name w:val="Table Grid"/>
    <w:basedOn w:val="TableNormal"/>
    <w:uiPriority w:val="59"/>
    <w:rsid w:val="005A4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AE2"/>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s>
      <w:spacing w:after="120"/>
      <w:jc w:val="both"/>
    </w:pPr>
    <w:rPr>
      <w:rFonts w:eastAsiaTheme="minorHAnsi"/>
      <w:szCs w:val="22"/>
      <w:bdr w:val="none" w:sz="0" w:space="0" w:color="auto"/>
    </w:rPr>
  </w:style>
  <w:style w:type="character" w:customStyle="1" w:styleId="HeaderChar">
    <w:name w:val="Header Char"/>
    <w:basedOn w:val="DefaultParagraphFont"/>
    <w:link w:val="Header"/>
    <w:uiPriority w:val="99"/>
    <w:rsid w:val="00AA2AE2"/>
    <w:rPr>
      <w:rFonts w:eastAsiaTheme="minorHAnsi"/>
      <w:sz w:val="24"/>
      <w:szCs w:val="22"/>
      <w:bdr w:val="none" w:sz="0" w:space="0" w:color="auto"/>
      <w:lang w:val="en-US" w:eastAsia="en-US"/>
    </w:rPr>
  </w:style>
  <w:style w:type="paragraph" w:styleId="Revision">
    <w:name w:val="Revision"/>
    <w:hidden/>
    <w:uiPriority w:val="99"/>
    <w:semiHidden/>
    <w:rsid w:val="00C926D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Marker">
    <w:name w:val="Marker"/>
    <w:basedOn w:val="DefaultParagraphFont"/>
    <w:rsid w:val="00F1215C"/>
    <w:rPr>
      <w:color w:val="0000FF"/>
      <w:shd w:val="clear" w:color="auto" w:fill="auto"/>
    </w:rPr>
  </w:style>
  <w:style w:type="paragraph" w:customStyle="1" w:styleId="HeaderCoverPage">
    <w:name w:val="Header Cover Page"/>
    <w:basedOn w:val="Normal"/>
    <w:link w:val="HeaderCoverPageChar"/>
    <w:rsid w:val="00F1215C"/>
    <w:pPr>
      <w:tabs>
        <w:tab w:val="center" w:pos="4535"/>
        <w:tab w:val="right" w:pos="9071"/>
      </w:tabs>
      <w:spacing w:after="120"/>
      <w:jc w:val="both"/>
    </w:pPr>
  </w:style>
  <w:style w:type="character" w:customStyle="1" w:styleId="CorpsChar">
    <w:name w:val="Corps Char"/>
    <w:basedOn w:val="DefaultParagraphFont"/>
    <w:link w:val="Corps"/>
    <w:rsid w:val="00F1215C"/>
    <w:rPr>
      <w:rFonts w:ascii="Calibri" w:eastAsia="Calibri" w:hAnsi="Calibri" w:cs="Calibri"/>
      <w:color w:val="000000"/>
      <w:sz w:val="22"/>
      <w:szCs w:val="22"/>
      <w:u w:color="000000"/>
    </w:rPr>
  </w:style>
  <w:style w:type="character" w:customStyle="1" w:styleId="HeaderCoverPageChar">
    <w:name w:val="Header Cover Page Char"/>
    <w:basedOn w:val="CorpsChar"/>
    <w:link w:val="HeaderCoverPage"/>
    <w:rsid w:val="00F1215C"/>
    <w:rPr>
      <w:rFonts w:ascii="Calibri" w:eastAsia="Calibri" w:hAnsi="Calibri" w:cs="Calibri"/>
      <w:color w:val="000000"/>
      <w:sz w:val="24"/>
      <w:szCs w:val="24"/>
      <w:u w:color="000000"/>
      <w:lang w:val="en-US" w:eastAsia="en-US"/>
    </w:rPr>
  </w:style>
  <w:style w:type="paragraph" w:customStyle="1" w:styleId="Text1">
    <w:name w:val="Text 1"/>
    <w:basedOn w:val="Normal"/>
    <w:rsid w:val="000F390F"/>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eastAsia="Times New Roman"/>
      <w:szCs w:val="20"/>
      <w:bdr w:val="none" w:sz="0" w:space="0" w:color="auto"/>
      <w:lang w:val="en-GB"/>
    </w:rPr>
  </w:style>
  <w:style w:type="paragraph" w:customStyle="1" w:styleId="CharChar1Char">
    <w:name w:val="Char Char1 Char"/>
    <w:basedOn w:val="Normal"/>
    <w:rsid w:val="000F39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Briefingtext">
    <w:name w:val="Briefing text"/>
    <w:basedOn w:val="Normal"/>
    <w:link w:val="BriefingtextChar"/>
    <w:rsid w:val="000F390F"/>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Arial" w:eastAsia="Times New Roman" w:hAnsi="Arial" w:cs="Arial"/>
      <w:sz w:val="22"/>
      <w:bdr w:val="none" w:sz="0" w:space="0" w:color="auto"/>
      <w:lang w:val="en-GB"/>
    </w:rPr>
  </w:style>
  <w:style w:type="character" w:customStyle="1" w:styleId="BriefingtextChar">
    <w:name w:val="Briefing text Char"/>
    <w:link w:val="Briefingtext"/>
    <w:rsid w:val="000F390F"/>
    <w:rPr>
      <w:rFonts w:ascii="Arial" w:eastAsia="Times New Roman" w:hAnsi="Arial" w:cs="Arial"/>
      <w:sz w:val="22"/>
      <w:szCs w:val="24"/>
      <w:bdr w:val="none" w:sz="0" w:space="0" w:color="auto"/>
      <w:lang w:eastAsia="en-US"/>
    </w:rPr>
  </w:style>
  <w:style w:type="character" w:customStyle="1" w:styleId="FootnoteTextChar">
    <w:name w:val="Footnote Text Char"/>
    <w:aliases w:val="Fußnotentextf Char,Voetnoottekst Char Char,Voetnoottekst Char1 Char Char,Voetnoottekst Char Char1 Char Char,Voetnoottekst Char1 Char Char Char Char,Voetnoottekst Char Char1 Char Char Char Char,Char Char Char,Char Char1 Char1"/>
    <w:link w:val="FootnoteText"/>
    <w:uiPriority w:val="99"/>
    <w:qFormat/>
    <w:locked/>
    <w:rsid w:val="000F390F"/>
    <w:rPr>
      <w:rFonts w:ascii="Calibri" w:eastAsia="Calibri" w:hAnsi="Calibri" w:cs="Calibri"/>
      <w:color w:val="000000"/>
      <w:u w:color="000000"/>
      <w:lang w:val="en-US"/>
    </w:rPr>
  </w:style>
  <w:style w:type="character" w:styleId="Emphasis">
    <w:name w:val="Emphasis"/>
    <w:uiPriority w:val="20"/>
    <w:qFormat/>
    <w:rsid w:val="000F390F"/>
    <w:rPr>
      <w:i/>
      <w:iCs/>
    </w:rPr>
  </w:style>
  <w:style w:type="paragraph" w:styleId="PlainText">
    <w:name w:val="Plain Text"/>
    <w:basedOn w:val="Normal"/>
    <w:link w:val="PlainTextChar"/>
    <w:uiPriority w:val="99"/>
    <w:semiHidden/>
    <w:unhideWhenUsed/>
    <w:rsid w:val="00FC17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lang w:val="en-GB"/>
    </w:rPr>
  </w:style>
  <w:style w:type="character" w:customStyle="1" w:styleId="PlainTextChar">
    <w:name w:val="Plain Text Char"/>
    <w:basedOn w:val="DefaultParagraphFont"/>
    <w:link w:val="PlainText"/>
    <w:uiPriority w:val="99"/>
    <w:semiHidden/>
    <w:rsid w:val="00FC17FE"/>
    <w:rPr>
      <w:rFonts w:ascii="Calibri" w:eastAsiaTheme="minorHAnsi" w:hAnsi="Calibri"/>
      <w:sz w:val="22"/>
      <w:szCs w:val="22"/>
      <w:bdr w:val="none" w:sz="0" w:space="0" w:color="auto"/>
      <w:lang w:eastAsia="en-US"/>
    </w:rPr>
  </w:style>
  <w:style w:type="paragraph" w:customStyle="1" w:styleId="doc-ti">
    <w:name w:val="doc-ti"/>
    <w:basedOn w:val="Normal"/>
    <w:rsid w:val="008B3E4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BE"/>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4761F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n-GB" w:eastAsia="en-GB"/>
    </w:rPr>
  </w:style>
  <w:style w:type="paragraph" w:customStyle="1" w:styleId="Standardeinzug2">
    <w:name w:val="Standardeinzug2"/>
    <w:basedOn w:val="Normal"/>
    <w:rsid w:val="004761F1"/>
    <w:pPr>
      <w:numPr>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90" w:lineRule="atLeast"/>
      <w:jc w:val="both"/>
    </w:pPr>
    <w:rPr>
      <w:rFonts w:ascii="Arial" w:eastAsia="Times New Roman" w:hAnsi="Arial"/>
      <w:sz w:val="22"/>
      <w:szCs w:val="22"/>
      <w:bdr w:val="none" w:sz="0" w:space="0" w:color="auto"/>
      <w:lang w:val="de-DE" w:eastAsia="zh-CN"/>
    </w:rPr>
  </w:style>
  <w:style w:type="paragraph" w:customStyle="1" w:styleId="Titreobjet">
    <w:name w:val="Titre objet"/>
    <w:basedOn w:val="Normal"/>
    <w:next w:val="Normal"/>
    <w:rsid w:val="00AA2AE2"/>
    <w:p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rFonts w:eastAsiaTheme="minorHAnsi"/>
      <w:b/>
      <w:szCs w:val="22"/>
      <w:bdr w:val="none" w:sz="0" w:space="0" w:color="auto"/>
    </w:rPr>
  </w:style>
  <w:style w:type="paragraph" w:customStyle="1" w:styleId="TitreobjetPagedecouverture">
    <w:name w:val="Titre objet (Page de couverture)"/>
    <w:basedOn w:val="Titreobjet"/>
    <w:next w:val="Normal"/>
    <w:rsid w:val="00AA2AE2"/>
  </w:style>
  <w:style w:type="paragraph" w:customStyle="1" w:styleId="Declassification">
    <w:name w:val="Declassification"/>
    <w:basedOn w:val="Normal"/>
    <w:next w:val="Normal"/>
    <w:rsid w:val="00AA2AE2"/>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HeaderLandscape">
    <w:name w:val="HeaderLandscape"/>
    <w:basedOn w:val="Normal"/>
    <w:rsid w:val="00AA2AE2"/>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right" w:pos="14003"/>
      </w:tabs>
      <w:spacing w:after="120"/>
      <w:jc w:val="both"/>
    </w:pPr>
    <w:rPr>
      <w:rFonts w:eastAsiaTheme="minorHAnsi"/>
      <w:szCs w:val="22"/>
      <w:bdr w:val="none" w:sz="0" w:space="0" w:color="auto"/>
    </w:rPr>
  </w:style>
  <w:style w:type="paragraph" w:customStyle="1" w:styleId="HeaderSensitivity">
    <w:name w:val="Header Sensitivity"/>
    <w:basedOn w:val="Normal"/>
    <w:rsid w:val="00AA2AE2"/>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113" w:right="113"/>
      <w:jc w:val="center"/>
    </w:pPr>
    <w:rPr>
      <w:b/>
      <w:sz w:val="32"/>
    </w:rPr>
  </w:style>
  <w:style w:type="paragraph" w:customStyle="1" w:styleId="HeaderSensitivityRight">
    <w:name w:val="Header Sensitivity Right"/>
    <w:basedOn w:val="Normal"/>
    <w:rsid w:val="00AA2AE2"/>
    <w:pPr>
      <w:pBdr>
        <w:top w:val="none" w:sz="0" w:space="0" w:color="auto"/>
        <w:left w:val="none" w:sz="0" w:space="0" w:color="auto"/>
        <w:bottom w:val="none" w:sz="0" w:space="0" w:color="auto"/>
        <w:right w:val="none" w:sz="0" w:space="0" w:color="auto"/>
        <w:between w:val="none" w:sz="0" w:space="0" w:color="auto"/>
        <w:bar w:val="none" w:sz="0" w:color="auto"/>
      </w:pBdr>
      <w:spacing w:after="120"/>
      <w:jc w:val="right"/>
    </w:pPr>
    <w:rPr>
      <w:sz w:val="28"/>
    </w:rPr>
  </w:style>
  <w:style w:type="character" w:customStyle="1" w:styleId="FooterChar">
    <w:name w:val="Footer Char"/>
    <w:basedOn w:val="DefaultParagraphFont"/>
    <w:link w:val="Footer"/>
    <w:uiPriority w:val="99"/>
    <w:rsid w:val="00AA2AE2"/>
    <w:rPr>
      <w:rFonts w:eastAsiaTheme="minorHAnsi"/>
      <w:sz w:val="24"/>
      <w:szCs w:val="22"/>
      <w:bdr w:val="none" w:sz="0" w:space="0" w:color="auto"/>
      <w:lang w:val="en-US" w:eastAsia="en-US"/>
    </w:rPr>
  </w:style>
  <w:style w:type="paragraph" w:customStyle="1" w:styleId="FooterLandscape">
    <w:name w:val="FooterLandscape"/>
    <w:basedOn w:val="Normal"/>
    <w:rsid w:val="00AA2AE2"/>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center" w:pos="10913"/>
        <w:tab w:val="right" w:pos="15137"/>
      </w:tabs>
      <w:spacing w:before="360"/>
      <w:ind w:left="-567" w:right="-567"/>
    </w:pPr>
    <w:rPr>
      <w:rFonts w:eastAsiaTheme="minorHAnsi"/>
      <w:szCs w:val="22"/>
      <w:bdr w:val="none" w:sz="0" w:space="0" w:color="auto"/>
    </w:rPr>
  </w:style>
  <w:style w:type="paragraph" w:customStyle="1" w:styleId="FooterSensitivity">
    <w:name w:val="Footer Sensitivity"/>
    <w:basedOn w:val="Normal"/>
    <w:rsid w:val="00AA2AE2"/>
    <w:pPr>
      <w:pBdr>
        <w:top w:val="single" w:sz="4" w:space="1" w:color="auto"/>
        <w:left w:val="single" w:sz="4" w:space="4" w:color="auto"/>
        <w:bottom w:val="single" w:sz="4" w:space="1" w:color="auto"/>
        <w:right w:val="single" w:sz="4" w:space="4" w:color="auto"/>
        <w:between w:val="none" w:sz="0" w:space="0" w:color="auto"/>
        <w:bar w:val="none" w:sz="0" w:color="auto"/>
      </w:pBdr>
      <w:spacing w:before="360"/>
      <w:ind w:left="113" w:right="113"/>
      <w:jc w:val="center"/>
    </w:pPr>
    <w:rPr>
      <w:b/>
      <w:sz w:val="32"/>
    </w:rPr>
  </w:style>
  <w:style w:type="paragraph" w:customStyle="1" w:styleId="Disclaimer">
    <w:name w:val="Disclaimer"/>
    <w:basedOn w:val="Normal"/>
    <w:rsid w:val="00AA2AE2"/>
    <w:pPr>
      <w:framePr w:w="8220" w:wrap="notBeside" w:hAnchor="margin" w:xAlign="center" w:y="10401"/>
      <w:pBdr>
        <w:top w:val="single" w:sz="6" w:space="4" w:color="auto"/>
        <w:left w:val="single" w:sz="6" w:space="7" w:color="auto"/>
        <w:bottom w:val="single" w:sz="6" w:space="4" w:color="auto"/>
        <w:right w:val="single" w:sz="6" w:space="7" w:color="auto"/>
        <w:between w:val="none" w:sz="0" w:space="0" w:color="auto"/>
        <w:bar w:val="none" w:sz="0" w:color="auto"/>
      </w:pBdr>
      <w:shd w:val="clear" w:color="FFFFFF" w:fill="auto"/>
      <w:spacing w:before="120" w:after="120"/>
      <w:jc w:val="both"/>
    </w:pPr>
    <w:rPr>
      <w:rFonts w:eastAsiaTheme="minorHAnsi"/>
      <w:szCs w:val="22"/>
      <w:bdr w:val="none" w:sz="0" w:space="0" w:color="auto"/>
    </w:rPr>
  </w:style>
  <w:style w:type="paragraph" w:customStyle="1" w:styleId="SecurityMarking">
    <w:name w:val="SecurityMarking"/>
    <w:basedOn w:val="Normal"/>
    <w:rsid w:val="00AA2A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sz w:val="28"/>
      <w:szCs w:val="22"/>
      <w:bdr w:val="none" w:sz="0" w:space="0" w:color="auto"/>
    </w:rPr>
  </w:style>
  <w:style w:type="paragraph" w:customStyle="1" w:styleId="DateMarking">
    <w:name w:val="DateMarking"/>
    <w:basedOn w:val="Normal"/>
    <w:rsid w:val="00AA2A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paragraph" w:customStyle="1" w:styleId="ReleasableTo">
    <w:name w:val="ReleasableTo"/>
    <w:basedOn w:val="Normal"/>
    <w:rsid w:val="00AA2A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386">
      <w:bodyDiv w:val="1"/>
      <w:marLeft w:val="0"/>
      <w:marRight w:val="0"/>
      <w:marTop w:val="0"/>
      <w:marBottom w:val="0"/>
      <w:divBdr>
        <w:top w:val="none" w:sz="0" w:space="0" w:color="auto"/>
        <w:left w:val="none" w:sz="0" w:space="0" w:color="auto"/>
        <w:bottom w:val="none" w:sz="0" w:space="0" w:color="auto"/>
        <w:right w:val="none" w:sz="0" w:space="0" w:color="auto"/>
      </w:divBdr>
    </w:div>
    <w:div w:id="84612284">
      <w:bodyDiv w:val="1"/>
      <w:marLeft w:val="0"/>
      <w:marRight w:val="0"/>
      <w:marTop w:val="0"/>
      <w:marBottom w:val="0"/>
      <w:divBdr>
        <w:top w:val="none" w:sz="0" w:space="0" w:color="auto"/>
        <w:left w:val="none" w:sz="0" w:space="0" w:color="auto"/>
        <w:bottom w:val="none" w:sz="0" w:space="0" w:color="auto"/>
        <w:right w:val="none" w:sz="0" w:space="0" w:color="auto"/>
      </w:divBdr>
    </w:div>
    <w:div w:id="120729774">
      <w:bodyDiv w:val="1"/>
      <w:marLeft w:val="0"/>
      <w:marRight w:val="0"/>
      <w:marTop w:val="0"/>
      <w:marBottom w:val="0"/>
      <w:divBdr>
        <w:top w:val="none" w:sz="0" w:space="0" w:color="auto"/>
        <w:left w:val="none" w:sz="0" w:space="0" w:color="auto"/>
        <w:bottom w:val="none" w:sz="0" w:space="0" w:color="auto"/>
        <w:right w:val="none" w:sz="0" w:space="0" w:color="auto"/>
      </w:divBdr>
    </w:div>
    <w:div w:id="174879516">
      <w:bodyDiv w:val="1"/>
      <w:marLeft w:val="0"/>
      <w:marRight w:val="0"/>
      <w:marTop w:val="0"/>
      <w:marBottom w:val="0"/>
      <w:divBdr>
        <w:top w:val="none" w:sz="0" w:space="0" w:color="auto"/>
        <w:left w:val="none" w:sz="0" w:space="0" w:color="auto"/>
        <w:bottom w:val="none" w:sz="0" w:space="0" w:color="auto"/>
        <w:right w:val="none" w:sz="0" w:space="0" w:color="auto"/>
      </w:divBdr>
    </w:div>
    <w:div w:id="199514773">
      <w:bodyDiv w:val="1"/>
      <w:marLeft w:val="0"/>
      <w:marRight w:val="0"/>
      <w:marTop w:val="0"/>
      <w:marBottom w:val="0"/>
      <w:divBdr>
        <w:top w:val="none" w:sz="0" w:space="0" w:color="auto"/>
        <w:left w:val="none" w:sz="0" w:space="0" w:color="auto"/>
        <w:bottom w:val="none" w:sz="0" w:space="0" w:color="auto"/>
        <w:right w:val="none" w:sz="0" w:space="0" w:color="auto"/>
      </w:divBdr>
    </w:div>
    <w:div w:id="202249900">
      <w:bodyDiv w:val="1"/>
      <w:marLeft w:val="0"/>
      <w:marRight w:val="0"/>
      <w:marTop w:val="0"/>
      <w:marBottom w:val="0"/>
      <w:divBdr>
        <w:top w:val="none" w:sz="0" w:space="0" w:color="auto"/>
        <w:left w:val="none" w:sz="0" w:space="0" w:color="auto"/>
        <w:bottom w:val="none" w:sz="0" w:space="0" w:color="auto"/>
        <w:right w:val="none" w:sz="0" w:space="0" w:color="auto"/>
      </w:divBdr>
    </w:div>
    <w:div w:id="211886697">
      <w:bodyDiv w:val="1"/>
      <w:marLeft w:val="0"/>
      <w:marRight w:val="0"/>
      <w:marTop w:val="0"/>
      <w:marBottom w:val="0"/>
      <w:divBdr>
        <w:top w:val="none" w:sz="0" w:space="0" w:color="auto"/>
        <w:left w:val="none" w:sz="0" w:space="0" w:color="auto"/>
        <w:bottom w:val="none" w:sz="0" w:space="0" w:color="auto"/>
        <w:right w:val="none" w:sz="0" w:space="0" w:color="auto"/>
      </w:divBdr>
    </w:div>
    <w:div w:id="237054245">
      <w:bodyDiv w:val="1"/>
      <w:marLeft w:val="0"/>
      <w:marRight w:val="0"/>
      <w:marTop w:val="0"/>
      <w:marBottom w:val="0"/>
      <w:divBdr>
        <w:top w:val="none" w:sz="0" w:space="0" w:color="auto"/>
        <w:left w:val="none" w:sz="0" w:space="0" w:color="auto"/>
        <w:bottom w:val="none" w:sz="0" w:space="0" w:color="auto"/>
        <w:right w:val="none" w:sz="0" w:space="0" w:color="auto"/>
      </w:divBdr>
    </w:div>
    <w:div w:id="267353205">
      <w:bodyDiv w:val="1"/>
      <w:marLeft w:val="0"/>
      <w:marRight w:val="0"/>
      <w:marTop w:val="0"/>
      <w:marBottom w:val="0"/>
      <w:divBdr>
        <w:top w:val="none" w:sz="0" w:space="0" w:color="auto"/>
        <w:left w:val="none" w:sz="0" w:space="0" w:color="auto"/>
        <w:bottom w:val="none" w:sz="0" w:space="0" w:color="auto"/>
        <w:right w:val="none" w:sz="0" w:space="0" w:color="auto"/>
      </w:divBdr>
    </w:div>
    <w:div w:id="290748019">
      <w:bodyDiv w:val="1"/>
      <w:marLeft w:val="0"/>
      <w:marRight w:val="0"/>
      <w:marTop w:val="0"/>
      <w:marBottom w:val="0"/>
      <w:divBdr>
        <w:top w:val="none" w:sz="0" w:space="0" w:color="auto"/>
        <w:left w:val="none" w:sz="0" w:space="0" w:color="auto"/>
        <w:bottom w:val="none" w:sz="0" w:space="0" w:color="auto"/>
        <w:right w:val="none" w:sz="0" w:space="0" w:color="auto"/>
      </w:divBdr>
    </w:div>
    <w:div w:id="290981829">
      <w:bodyDiv w:val="1"/>
      <w:marLeft w:val="0"/>
      <w:marRight w:val="0"/>
      <w:marTop w:val="0"/>
      <w:marBottom w:val="0"/>
      <w:divBdr>
        <w:top w:val="none" w:sz="0" w:space="0" w:color="auto"/>
        <w:left w:val="none" w:sz="0" w:space="0" w:color="auto"/>
        <w:bottom w:val="none" w:sz="0" w:space="0" w:color="auto"/>
        <w:right w:val="none" w:sz="0" w:space="0" w:color="auto"/>
      </w:divBdr>
    </w:div>
    <w:div w:id="318923819">
      <w:bodyDiv w:val="1"/>
      <w:marLeft w:val="0"/>
      <w:marRight w:val="0"/>
      <w:marTop w:val="0"/>
      <w:marBottom w:val="0"/>
      <w:divBdr>
        <w:top w:val="none" w:sz="0" w:space="0" w:color="auto"/>
        <w:left w:val="none" w:sz="0" w:space="0" w:color="auto"/>
        <w:bottom w:val="none" w:sz="0" w:space="0" w:color="auto"/>
        <w:right w:val="none" w:sz="0" w:space="0" w:color="auto"/>
      </w:divBdr>
    </w:div>
    <w:div w:id="568617094">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601037829">
      <w:bodyDiv w:val="1"/>
      <w:marLeft w:val="0"/>
      <w:marRight w:val="0"/>
      <w:marTop w:val="0"/>
      <w:marBottom w:val="0"/>
      <w:divBdr>
        <w:top w:val="none" w:sz="0" w:space="0" w:color="auto"/>
        <w:left w:val="none" w:sz="0" w:space="0" w:color="auto"/>
        <w:bottom w:val="none" w:sz="0" w:space="0" w:color="auto"/>
        <w:right w:val="none" w:sz="0" w:space="0" w:color="auto"/>
      </w:divBdr>
    </w:div>
    <w:div w:id="602148836">
      <w:bodyDiv w:val="1"/>
      <w:marLeft w:val="0"/>
      <w:marRight w:val="0"/>
      <w:marTop w:val="0"/>
      <w:marBottom w:val="0"/>
      <w:divBdr>
        <w:top w:val="none" w:sz="0" w:space="0" w:color="auto"/>
        <w:left w:val="none" w:sz="0" w:space="0" w:color="auto"/>
        <w:bottom w:val="none" w:sz="0" w:space="0" w:color="auto"/>
        <w:right w:val="none" w:sz="0" w:space="0" w:color="auto"/>
      </w:divBdr>
    </w:div>
    <w:div w:id="737359134">
      <w:bodyDiv w:val="1"/>
      <w:marLeft w:val="0"/>
      <w:marRight w:val="0"/>
      <w:marTop w:val="0"/>
      <w:marBottom w:val="0"/>
      <w:divBdr>
        <w:top w:val="none" w:sz="0" w:space="0" w:color="auto"/>
        <w:left w:val="none" w:sz="0" w:space="0" w:color="auto"/>
        <w:bottom w:val="none" w:sz="0" w:space="0" w:color="auto"/>
        <w:right w:val="none" w:sz="0" w:space="0" w:color="auto"/>
      </w:divBdr>
    </w:div>
    <w:div w:id="770510274">
      <w:bodyDiv w:val="1"/>
      <w:marLeft w:val="0"/>
      <w:marRight w:val="0"/>
      <w:marTop w:val="0"/>
      <w:marBottom w:val="0"/>
      <w:divBdr>
        <w:top w:val="none" w:sz="0" w:space="0" w:color="auto"/>
        <w:left w:val="none" w:sz="0" w:space="0" w:color="auto"/>
        <w:bottom w:val="none" w:sz="0" w:space="0" w:color="auto"/>
        <w:right w:val="none" w:sz="0" w:space="0" w:color="auto"/>
      </w:divBdr>
    </w:div>
    <w:div w:id="784424621">
      <w:bodyDiv w:val="1"/>
      <w:marLeft w:val="0"/>
      <w:marRight w:val="0"/>
      <w:marTop w:val="0"/>
      <w:marBottom w:val="0"/>
      <w:divBdr>
        <w:top w:val="none" w:sz="0" w:space="0" w:color="auto"/>
        <w:left w:val="none" w:sz="0" w:space="0" w:color="auto"/>
        <w:bottom w:val="none" w:sz="0" w:space="0" w:color="auto"/>
        <w:right w:val="none" w:sz="0" w:space="0" w:color="auto"/>
      </w:divBdr>
    </w:div>
    <w:div w:id="786506632">
      <w:bodyDiv w:val="1"/>
      <w:marLeft w:val="0"/>
      <w:marRight w:val="0"/>
      <w:marTop w:val="0"/>
      <w:marBottom w:val="0"/>
      <w:divBdr>
        <w:top w:val="none" w:sz="0" w:space="0" w:color="auto"/>
        <w:left w:val="none" w:sz="0" w:space="0" w:color="auto"/>
        <w:bottom w:val="none" w:sz="0" w:space="0" w:color="auto"/>
        <w:right w:val="none" w:sz="0" w:space="0" w:color="auto"/>
      </w:divBdr>
    </w:div>
    <w:div w:id="788666751">
      <w:bodyDiv w:val="1"/>
      <w:marLeft w:val="0"/>
      <w:marRight w:val="0"/>
      <w:marTop w:val="0"/>
      <w:marBottom w:val="0"/>
      <w:divBdr>
        <w:top w:val="none" w:sz="0" w:space="0" w:color="auto"/>
        <w:left w:val="none" w:sz="0" w:space="0" w:color="auto"/>
        <w:bottom w:val="none" w:sz="0" w:space="0" w:color="auto"/>
        <w:right w:val="none" w:sz="0" w:space="0" w:color="auto"/>
      </w:divBdr>
      <w:divsChild>
        <w:div w:id="976302308">
          <w:marLeft w:val="0"/>
          <w:marRight w:val="0"/>
          <w:marTop w:val="0"/>
          <w:marBottom w:val="0"/>
          <w:divBdr>
            <w:top w:val="none" w:sz="0" w:space="0" w:color="auto"/>
            <w:left w:val="none" w:sz="0" w:space="0" w:color="auto"/>
            <w:bottom w:val="none" w:sz="0" w:space="0" w:color="auto"/>
            <w:right w:val="none" w:sz="0" w:space="0" w:color="auto"/>
          </w:divBdr>
          <w:divsChild>
            <w:div w:id="1131630886">
              <w:marLeft w:val="0"/>
              <w:marRight w:val="0"/>
              <w:marTop w:val="0"/>
              <w:marBottom w:val="0"/>
              <w:divBdr>
                <w:top w:val="none" w:sz="0" w:space="0" w:color="auto"/>
                <w:left w:val="none" w:sz="0" w:space="0" w:color="auto"/>
                <w:bottom w:val="none" w:sz="0" w:space="0" w:color="auto"/>
                <w:right w:val="none" w:sz="0" w:space="0" w:color="auto"/>
              </w:divBdr>
              <w:divsChild>
                <w:div w:id="1548184612">
                  <w:marLeft w:val="0"/>
                  <w:marRight w:val="0"/>
                  <w:marTop w:val="0"/>
                  <w:marBottom w:val="0"/>
                  <w:divBdr>
                    <w:top w:val="none" w:sz="0" w:space="0" w:color="auto"/>
                    <w:left w:val="none" w:sz="0" w:space="0" w:color="auto"/>
                    <w:bottom w:val="none" w:sz="0" w:space="0" w:color="auto"/>
                    <w:right w:val="none" w:sz="0" w:space="0" w:color="auto"/>
                  </w:divBdr>
                  <w:divsChild>
                    <w:div w:id="12890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92855">
      <w:bodyDiv w:val="1"/>
      <w:marLeft w:val="0"/>
      <w:marRight w:val="0"/>
      <w:marTop w:val="0"/>
      <w:marBottom w:val="0"/>
      <w:divBdr>
        <w:top w:val="none" w:sz="0" w:space="0" w:color="auto"/>
        <w:left w:val="none" w:sz="0" w:space="0" w:color="auto"/>
        <w:bottom w:val="none" w:sz="0" w:space="0" w:color="auto"/>
        <w:right w:val="none" w:sz="0" w:space="0" w:color="auto"/>
      </w:divBdr>
    </w:div>
    <w:div w:id="994067940">
      <w:bodyDiv w:val="1"/>
      <w:marLeft w:val="0"/>
      <w:marRight w:val="0"/>
      <w:marTop w:val="0"/>
      <w:marBottom w:val="0"/>
      <w:divBdr>
        <w:top w:val="none" w:sz="0" w:space="0" w:color="auto"/>
        <w:left w:val="none" w:sz="0" w:space="0" w:color="auto"/>
        <w:bottom w:val="none" w:sz="0" w:space="0" w:color="auto"/>
        <w:right w:val="none" w:sz="0" w:space="0" w:color="auto"/>
      </w:divBdr>
    </w:div>
    <w:div w:id="1059749532">
      <w:bodyDiv w:val="1"/>
      <w:marLeft w:val="0"/>
      <w:marRight w:val="0"/>
      <w:marTop w:val="0"/>
      <w:marBottom w:val="0"/>
      <w:divBdr>
        <w:top w:val="none" w:sz="0" w:space="0" w:color="auto"/>
        <w:left w:val="none" w:sz="0" w:space="0" w:color="auto"/>
        <w:bottom w:val="none" w:sz="0" w:space="0" w:color="auto"/>
        <w:right w:val="none" w:sz="0" w:space="0" w:color="auto"/>
      </w:divBdr>
    </w:div>
    <w:div w:id="1105611107">
      <w:bodyDiv w:val="1"/>
      <w:marLeft w:val="0"/>
      <w:marRight w:val="0"/>
      <w:marTop w:val="0"/>
      <w:marBottom w:val="0"/>
      <w:divBdr>
        <w:top w:val="none" w:sz="0" w:space="0" w:color="auto"/>
        <w:left w:val="none" w:sz="0" w:space="0" w:color="auto"/>
        <w:bottom w:val="none" w:sz="0" w:space="0" w:color="auto"/>
        <w:right w:val="none" w:sz="0" w:space="0" w:color="auto"/>
      </w:divBdr>
    </w:div>
    <w:div w:id="1113019808">
      <w:bodyDiv w:val="1"/>
      <w:marLeft w:val="0"/>
      <w:marRight w:val="0"/>
      <w:marTop w:val="0"/>
      <w:marBottom w:val="0"/>
      <w:divBdr>
        <w:top w:val="none" w:sz="0" w:space="0" w:color="auto"/>
        <w:left w:val="none" w:sz="0" w:space="0" w:color="auto"/>
        <w:bottom w:val="none" w:sz="0" w:space="0" w:color="auto"/>
        <w:right w:val="none" w:sz="0" w:space="0" w:color="auto"/>
      </w:divBdr>
    </w:div>
    <w:div w:id="1143810283">
      <w:bodyDiv w:val="1"/>
      <w:marLeft w:val="0"/>
      <w:marRight w:val="0"/>
      <w:marTop w:val="0"/>
      <w:marBottom w:val="0"/>
      <w:divBdr>
        <w:top w:val="none" w:sz="0" w:space="0" w:color="auto"/>
        <w:left w:val="none" w:sz="0" w:space="0" w:color="auto"/>
        <w:bottom w:val="none" w:sz="0" w:space="0" w:color="auto"/>
        <w:right w:val="none" w:sz="0" w:space="0" w:color="auto"/>
      </w:divBdr>
    </w:div>
    <w:div w:id="1148478996">
      <w:bodyDiv w:val="1"/>
      <w:marLeft w:val="0"/>
      <w:marRight w:val="0"/>
      <w:marTop w:val="0"/>
      <w:marBottom w:val="0"/>
      <w:divBdr>
        <w:top w:val="none" w:sz="0" w:space="0" w:color="auto"/>
        <w:left w:val="none" w:sz="0" w:space="0" w:color="auto"/>
        <w:bottom w:val="none" w:sz="0" w:space="0" w:color="auto"/>
        <w:right w:val="none" w:sz="0" w:space="0" w:color="auto"/>
      </w:divBdr>
    </w:div>
    <w:div w:id="1173104225">
      <w:bodyDiv w:val="1"/>
      <w:marLeft w:val="0"/>
      <w:marRight w:val="0"/>
      <w:marTop w:val="0"/>
      <w:marBottom w:val="0"/>
      <w:divBdr>
        <w:top w:val="none" w:sz="0" w:space="0" w:color="auto"/>
        <w:left w:val="none" w:sz="0" w:space="0" w:color="auto"/>
        <w:bottom w:val="none" w:sz="0" w:space="0" w:color="auto"/>
        <w:right w:val="none" w:sz="0" w:space="0" w:color="auto"/>
      </w:divBdr>
    </w:div>
    <w:div w:id="1225415113">
      <w:bodyDiv w:val="1"/>
      <w:marLeft w:val="0"/>
      <w:marRight w:val="0"/>
      <w:marTop w:val="0"/>
      <w:marBottom w:val="0"/>
      <w:divBdr>
        <w:top w:val="none" w:sz="0" w:space="0" w:color="auto"/>
        <w:left w:val="none" w:sz="0" w:space="0" w:color="auto"/>
        <w:bottom w:val="none" w:sz="0" w:space="0" w:color="auto"/>
        <w:right w:val="none" w:sz="0" w:space="0" w:color="auto"/>
      </w:divBdr>
    </w:div>
    <w:div w:id="1262371077">
      <w:bodyDiv w:val="1"/>
      <w:marLeft w:val="0"/>
      <w:marRight w:val="0"/>
      <w:marTop w:val="0"/>
      <w:marBottom w:val="0"/>
      <w:divBdr>
        <w:top w:val="none" w:sz="0" w:space="0" w:color="auto"/>
        <w:left w:val="none" w:sz="0" w:space="0" w:color="auto"/>
        <w:bottom w:val="none" w:sz="0" w:space="0" w:color="auto"/>
        <w:right w:val="none" w:sz="0" w:space="0" w:color="auto"/>
      </w:divBdr>
    </w:div>
    <w:div w:id="1262757961">
      <w:bodyDiv w:val="1"/>
      <w:marLeft w:val="0"/>
      <w:marRight w:val="0"/>
      <w:marTop w:val="0"/>
      <w:marBottom w:val="0"/>
      <w:divBdr>
        <w:top w:val="none" w:sz="0" w:space="0" w:color="auto"/>
        <w:left w:val="none" w:sz="0" w:space="0" w:color="auto"/>
        <w:bottom w:val="none" w:sz="0" w:space="0" w:color="auto"/>
        <w:right w:val="none" w:sz="0" w:space="0" w:color="auto"/>
      </w:divBdr>
    </w:div>
    <w:div w:id="1431241505">
      <w:bodyDiv w:val="1"/>
      <w:marLeft w:val="0"/>
      <w:marRight w:val="0"/>
      <w:marTop w:val="0"/>
      <w:marBottom w:val="0"/>
      <w:divBdr>
        <w:top w:val="none" w:sz="0" w:space="0" w:color="auto"/>
        <w:left w:val="none" w:sz="0" w:space="0" w:color="auto"/>
        <w:bottom w:val="none" w:sz="0" w:space="0" w:color="auto"/>
        <w:right w:val="none" w:sz="0" w:space="0" w:color="auto"/>
      </w:divBdr>
    </w:div>
    <w:div w:id="1445467944">
      <w:bodyDiv w:val="1"/>
      <w:marLeft w:val="0"/>
      <w:marRight w:val="0"/>
      <w:marTop w:val="0"/>
      <w:marBottom w:val="0"/>
      <w:divBdr>
        <w:top w:val="none" w:sz="0" w:space="0" w:color="auto"/>
        <w:left w:val="none" w:sz="0" w:space="0" w:color="auto"/>
        <w:bottom w:val="none" w:sz="0" w:space="0" w:color="auto"/>
        <w:right w:val="none" w:sz="0" w:space="0" w:color="auto"/>
      </w:divBdr>
    </w:div>
    <w:div w:id="1575093346">
      <w:bodyDiv w:val="1"/>
      <w:marLeft w:val="0"/>
      <w:marRight w:val="0"/>
      <w:marTop w:val="0"/>
      <w:marBottom w:val="0"/>
      <w:divBdr>
        <w:top w:val="none" w:sz="0" w:space="0" w:color="auto"/>
        <w:left w:val="none" w:sz="0" w:space="0" w:color="auto"/>
        <w:bottom w:val="none" w:sz="0" w:space="0" w:color="auto"/>
        <w:right w:val="none" w:sz="0" w:space="0" w:color="auto"/>
      </w:divBdr>
    </w:div>
    <w:div w:id="1676689452">
      <w:bodyDiv w:val="1"/>
      <w:marLeft w:val="0"/>
      <w:marRight w:val="0"/>
      <w:marTop w:val="0"/>
      <w:marBottom w:val="0"/>
      <w:divBdr>
        <w:top w:val="none" w:sz="0" w:space="0" w:color="auto"/>
        <w:left w:val="none" w:sz="0" w:space="0" w:color="auto"/>
        <w:bottom w:val="none" w:sz="0" w:space="0" w:color="auto"/>
        <w:right w:val="none" w:sz="0" w:space="0" w:color="auto"/>
      </w:divBdr>
    </w:div>
    <w:div w:id="1720976177">
      <w:bodyDiv w:val="1"/>
      <w:marLeft w:val="0"/>
      <w:marRight w:val="0"/>
      <w:marTop w:val="0"/>
      <w:marBottom w:val="0"/>
      <w:divBdr>
        <w:top w:val="none" w:sz="0" w:space="0" w:color="auto"/>
        <w:left w:val="none" w:sz="0" w:space="0" w:color="auto"/>
        <w:bottom w:val="none" w:sz="0" w:space="0" w:color="auto"/>
        <w:right w:val="none" w:sz="0" w:space="0" w:color="auto"/>
      </w:divBdr>
    </w:div>
    <w:div w:id="1828788039">
      <w:bodyDiv w:val="1"/>
      <w:marLeft w:val="0"/>
      <w:marRight w:val="0"/>
      <w:marTop w:val="0"/>
      <w:marBottom w:val="0"/>
      <w:divBdr>
        <w:top w:val="none" w:sz="0" w:space="0" w:color="auto"/>
        <w:left w:val="none" w:sz="0" w:space="0" w:color="auto"/>
        <w:bottom w:val="none" w:sz="0" w:space="0" w:color="auto"/>
        <w:right w:val="none" w:sz="0" w:space="0" w:color="auto"/>
      </w:divBdr>
    </w:div>
    <w:div w:id="1959411611">
      <w:bodyDiv w:val="1"/>
      <w:marLeft w:val="0"/>
      <w:marRight w:val="0"/>
      <w:marTop w:val="0"/>
      <w:marBottom w:val="0"/>
      <w:divBdr>
        <w:top w:val="none" w:sz="0" w:space="0" w:color="auto"/>
        <w:left w:val="none" w:sz="0" w:space="0" w:color="auto"/>
        <w:bottom w:val="none" w:sz="0" w:space="0" w:color="auto"/>
        <w:right w:val="none" w:sz="0" w:space="0" w:color="auto"/>
      </w:divBdr>
    </w:div>
    <w:div w:id="1963227106">
      <w:bodyDiv w:val="1"/>
      <w:marLeft w:val="0"/>
      <w:marRight w:val="0"/>
      <w:marTop w:val="0"/>
      <w:marBottom w:val="0"/>
      <w:divBdr>
        <w:top w:val="none" w:sz="0" w:space="0" w:color="auto"/>
        <w:left w:val="none" w:sz="0" w:space="0" w:color="auto"/>
        <w:bottom w:val="none" w:sz="0" w:space="0" w:color="auto"/>
        <w:right w:val="none" w:sz="0" w:space="0" w:color="auto"/>
      </w:divBdr>
    </w:div>
    <w:div w:id="2047487343">
      <w:bodyDiv w:val="1"/>
      <w:marLeft w:val="0"/>
      <w:marRight w:val="0"/>
      <w:marTop w:val="0"/>
      <w:marBottom w:val="0"/>
      <w:divBdr>
        <w:top w:val="none" w:sz="0" w:space="0" w:color="auto"/>
        <w:left w:val="none" w:sz="0" w:space="0" w:color="auto"/>
        <w:bottom w:val="none" w:sz="0" w:space="0" w:color="auto"/>
        <w:right w:val="none" w:sz="0" w:space="0" w:color="auto"/>
      </w:divBdr>
    </w:div>
    <w:div w:id="2105228434">
      <w:bodyDiv w:val="1"/>
      <w:marLeft w:val="0"/>
      <w:marRight w:val="0"/>
      <w:marTop w:val="0"/>
      <w:marBottom w:val="0"/>
      <w:divBdr>
        <w:top w:val="none" w:sz="0" w:space="0" w:color="auto"/>
        <w:left w:val="none" w:sz="0" w:space="0" w:color="auto"/>
        <w:bottom w:val="none" w:sz="0" w:space="0" w:color="auto"/>
        <w:right w:val="none" w:sz="0" w:space="0" w:color="auto"/>
      </w:divBdr>
    </w:div>
    <w:div w:id="2129540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ARES_NUMBER xmlns="1b451768-c435-48a5-9920-1cecdbfdcf39">
      <Url xsi:nil="true"/>
      <Description xsi:nil="true"/>
    </EC_ARES_NUMBER>
    <EC_Collab_Status xmlns="1B451768-C435-48A5-9920-1CECDBFDCF39">Not Started</EC_Collab_Status>
    <EC_Collab_DocumentLanguage xmlns="1B451768-C435-48A5-9920-1CECDBFDCF39">EN</EC_Collab_DocumentLanguage>
    <EC_Collab_Reference xmlns="1B451768-C435-48A5-9920-1CECDBFDCF39" xsi:nil="true"/>
    <EC_ARES_DATE_TRANSFERRED xmlns="1b451768-c435-48a5-9920-1cecdbfdcf39" xsi:nil="true"/>
    <EC_ARES_TRANSFERRED_BY xmlns="1b451768-c435-48a5-9920-1cecdbfdcf39" xsi:nil="true"/>
    <Status xmlns="1B451768-C435-48A5-9920-1CECDBFDCF39">Draft</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76AD09C5B696E4685506A2D40AD062E" ma:contentTypeVersion="3" ma:contentTypeDescription="Create a new document in this library." ma:contentTypeScope="" ma:versionID="52fae04cdc9c350a145e278205cd43d1">
  <xsd:schema xmlns:xsd="http://www.w3.org/2001/XMLSchema" xmlns:xs="http://www.w3.org/2001/XMLSchema" xmlns:p="http://schemas.microsoft.com/office/2006/metadata/properties" xmlns:ns3="1B451768-C435-48A5-9920-1CECDBFDCF39" xmlns:ns4="1b451768-c435-48a5-9920-1cecdbfdcf39" targetNamespace="http://schemas.microsoft.com/office/2006/metadata/properties" ma:root="true" ma:fieldsID="08a3bac9f5efd9c3dea78b56f7f8a0a8" ns3:_="" ns4:_="">
    <xsd:import namespace="1B451768-C435-48A5-9920-1CECDBFDCF39"/>
    <xsd:import namespace="1b451768-c435-48a5-9920-1cecdbfdcf39"/>
    <xsd:element name="properties">
      <xsd:complexType>
        <xsd:sequence>
          <xsd:element name="documentManagement">
            <xsd:complexType>
              <xsd:all>
                <xsd:element ref="ns3:EC_Collab_Reference" minOccurs="0"/>
                <xsd:element ref="ns3:EC_Collab_DocumentLanguage"/>
                <xsd:element ref="ns3:EC_Collab_Status"/>
                <xsd:element ref="ns3:Status" minOccurs="0"/>
                <xsd:element ref="ns4:EC_ARES_NUMBER" minOccurs="0"/>
                <xsd:element ref="ns4:EC_ARES_DATE_TRANSFERRED" minOccurs="0"/>
                <xsd:element ref="ns4: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51768-C435-48A5-9920-1CECDBFDCF3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tatus" ma:index="15" nillable="true" ma:displayName="Status" ma:default="Draft"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1b451768-c435-48a5-9920-1cecdbfdcf39"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4D4F5-5295-4082-A886-CF70FD93AADE}">
  <ds:schemaRefs>
    <ds:schemaRef ds:uri="1B451768-C435-48A5-9920-1CECDBFDCF39"/>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1b451768-c435-48a5-9920-1cecdbfdcf39"/>
    <ds:schemaRef ds:uri="http://schemas.microsoft.com/office/2006/metadata/properties"/>
  </ds:schemaRefs>
</ds:datastoreItem>
</file>

<file path=customXml/itemProps2.xml><?xml version="1.0" encoding="utf-8"?>
<ds:datastoreItem xmlns:ds="http://schemas.openxmlformats.org/officeDocument/2006/customXml" ds:itemID="{89EAE52C-53AD-4AC0-B13A-041E98391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51768-C435-48A5-9920-1CECDBFDCF39"/>
    <ds:schemaRef ds:uri="1b451768-c435-48a5-9920-1cecdbfdc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8CC71-0399-424F-BEEB-D935592F2E0F}">
  <ds:schemaRefs>
    <ds:schemaRef ds:uri="http://schemas.microsoft.com/sharepoint/v3/contenttype/forms"/>
  </ds:schemaRefs>
</ds:datastoreItem>
</file>

<file path=customXml/itemProps4.xml><?xml version="1.0" encoding="utf-8"?>
<ds:datastoreItem xmlns:ds="http://schemas.openxmlformats.org/officeDocument/2006/customXml" ds:itemID="{ADA978FC-4EF3-42FE-93FA-E3DA0B848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5869</Words>
  <Characters>30580</Characters>
  <Application>Microsoft Office Word</Application>
  <DocSecurity>0</DocSecurity>
  <Lines>745</Lines>
  <Paragraphs>404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27</cp:revision>
  <cp:lastPrinted>2021-10-21T06:11:00Z</cp:lastPrinted>
  <dcterms:created xsi:type="dcterms:W3CDTF">2021-12-07T16:22:00Z</dcterms:created>
  <dcterms:modified xsi:type="dcterms:W3CDTF">2021-12-09T08:48:00Z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CPTemplateID">
    <vt:lpwstr>CP-008</vt:lpwstr>
  </property>
  <property fmtid="{D5CDD505-2E9C-101B-9397-08002B2CF9AE}" pid="8" name="_LW_INVALIDATED__LW_INVALIDATED__LW_INVALIDATED_ContentTypeId">
    <vt:lpwstr>0x010100258AA79CEB83498886A3A0868112325000576AD09C5B696E4685506A2D40AD062E</vt:lpwstr>
  </property>
</Properties>
</file>