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0974" w:rsidRPr="00DC621B" w:rsidRDefault="00F9467E" w:rsidP="00F9467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26AE2465-1E53-4892-A799-091F0ED14683" style="width:450.75pt;height:484.5pt">
            <v:imagedata r:id="rId11" o:title=""/>
          </v:shape>
        </w:pict>
      </w:r>
    </w:p>
    <w:bookmarkEnd w:id="0"/>
    <w:p w:rsidR="00325F23" w:rsidRPr="00DC621B" w:rsidRDefault="00325F23" w:rsidP="00325F23">
      <w:pPr>
        <w:rPr>
          <w:noProof/>
        </w:rPr>
        <w:sectPr w:rsidR="00325F23" w:rsidRPr="00DC621B" w:rsidSect="00F9467E">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6" w:h="16838"/>
          <w:pgMar w:top="1134" w:right="1417" w:bottom="1134" w:left="1417" w:header="709" w:footer="709" w:gutter="0"/>
          <w:pgNumType w:start="1"/>
          <w:cols w:space="720"/>
          <w:docGrid w:linePitch="326"/>
        </w:sectPr>
      </w:pPr>
    </w:p>
    <w:p w:rsidR="008A6107" w:rsidRPr="00DC621B" w:rsidRDefault="4C158E04" w:rsidP="009D744A">
      <w:pPr>
        <w:spacing w:after="0"/>
        <w:ind w:right="-28"/>
        <w:jc w:val="center"/>
        <w:rPr>
          <w:b/>
          <w:bCs/>
          <w:noProof/>
          <w:sz w:val="28"/>
          <w:szCs w:val="28"/>
        </w:rPr>
      </w:pPr>
      <w:bookmarkStart w:id="1" w:name="_GoBack"/>
      <w:bookmarkEnd w:id="1"/>
      <w:r w:rsidRPr="00DC621B">
        <w:rPr>
          <w:b/>
          <w:bCs/>
          <w:noProof/>
          <w:sz w:val="28"/>
          <w:szCs w:val="28"/>
        </w:rPr>
        <w:lastRenderedPageBreak/>
        <w:t xml:space="preserve">Table </w:t>
      </w:r>
      <w:r w:rsidR="008A6107" w:rsidRPr="00DC621B">
        <w:rPr>
          <w:b/>
          <w:bCs/>
          <w:noProof/>
          <w:sz w:val="28"/>
          <w:szCs w:val="28"/>
        </w:rPr>
        <w:t>of Contents</w:t>
      </w:r>
    </w:p>
    <w:sdt>
      <w:sdtPr>
        <w:rPr>
          <w:rFonts w:ascii="Times New Roman" w:eastAsia="Times New Roman" w:hAnsi="Times New Roman" w:cs="Times New Roman"/>
          <w:b w:val="0"/>
          <w:bCs w:val="0"/>
          <w:noProof/>
          <w:color w:val="auto"/>
          <w:sz w:val="2"/>
          <w:szCs w:val="20"/>
          <w:lang w:val="en-GB" w:eastAsia="en-US"/>
        </w:rPr>
        <w:id w:val="1325555137"/>
        <w:docPartObj>
          <w:docPartGallery w:val="Table of Contents"/>
          <w:docPartUnique/>
        </w:docPartObj>
      </w:sdtPr>
      <w:sdtEndPr>
        <w:rPr>
          <w:sz w:val="24"/>
        </w:rPr>
      </w:sdtEndPr>
      <w:sdtContent>
        <w:p w:rsidR="008A6107" w:rsidRPr="009D744A" w:rsidRDefault="008A6107" w:rsidP="00846892">
          <w:pPr>
            <w:pStyle w:val="TOCHeading"/>
            <w:numPr>
              <w:ilvl w:val="0"/>
              <w:numId w:val="0"/>
            </w:numPr>
            <w:spacing w:line="240" w:lineRule="auto"/>
            <w:rPr>
              <w:noProof/>
              <w:sz w:val="2"/>
              <w:lang w:val="en-GB"/>
            </w:rPr>
          </w:pPr>
        </w:p>
        <w:p w:rsidR="00FA7B3E" w:rsidRDefault="008A6107">
          <w:pPr>
            <w:pStyle w:val="TOC1"/>
            <w:rPr>
              <w:rFonts w:asciiTheme="minorHAnsi" w:eastAsiaTheme="minorEastAsia" w:hAnsiTheme="minorHAnsi" w:cstheme="minorBidi"/>
              <w:noProof/>
              <w:sz w:val="22"/>
              <w:szCs w:val="22"/>
              <w:lang w:val="en-US"/>
            </w:rPr>
          </w:pPr>
          <w:r w:rsidRPr="00DC621B">
            <w:rPr>
              <w:noProof/>
            </w:rPr>
            <w:fldChar w:fldCharType="begin"/>
          </w:r>
          <w:r w:rsidRPr="00DC621B">
            <w:rPr>
              <w:noProof/>
            </w:rPr>
            <w:instrText xml:space="preserve"> TOC \o "1-3" \h \z \u </w:instrText>
          </w:r>
          <w:r w:rsidRPr="00DC621B">
            <w:rPr>
              <w:noProof/>
            </w:rPr>
            <w:fldChar w:fldCharType="separate"/>
          </w:r>
          <w:hyperlink w:anchor="_Toc89882313" w:history="1">
            <w:r w:rsidR="00FA7B3E" w:rsidRPr="00407B2F">
              <w:rPr>
                <w:rStyle w:val="Hyperlink"/>
                <w:noProof/>
              </w:rPr>
              <w:t>1.</w:t>
            </w:r>
            <w:r w:rsidR="00FA7B3E">
              <w:rPr>
                <w:rFonts w:asciiTheme="minorHAnsi" w:eastAsiaTheme="minorEastAsia" w:hAnsiTheme="minorHAnsi" w:cstheme="minorBidi"/>
                <w:noProof/>
                <w:sz w:val="22"/>
                <w:szCs w:val="22"/>
                <w:lang w:val="en-US"/>
              </w:rPr>
              <w:tab/>
            </w:r>
            <w:r w:rsidR="00FA7B3E" w:rsidRPr="00407B2F">
              <w:rPr>
                <w:rStyle w:val="Hyperlink"/>
                <w:noProof/>
              </w:rPr>
              <w:t>Introduction</w:t>
            </w:r>
            <w:r w:rsidR="00FA7B3E">
              <w:rPr>
                <w:noProof/>
                <w:webHidden/>
              </w:rPr>
              <w:tab/>
            </w:r>
            <w:r w:rsidR="00FA7B3E">
              <w:rPr>
                <w:noProof/>
                <w:webHidden/>
              </w:rPr>
              <w:fldChar w:fldCharType="begin"/>
            </w:r>
            <w:r w:rsidR="00FA7B3E">
              <w:rPr>
                <w:noProof/>
                <w:webHidden/>
              </w:rPr>
              <w:instrText xml:space="preserve"> PAGEREF _Toc89882313 \h </w:instrText>
            </w:r>
            <w:r w:rsidR="00FA7B3E">
              <w:rPr>
                <w:noProof/>
                <w:webHidden/>
              </w:rPr>
            </w:r>
            <w:r w:rsidR="00FA7B3E">
              <w:rPr>
                <w:noProof/>
                <w:webHidden/>
              </w:rPr>
              <w:fldChar w:fldCharType="separate"/>
            </w:r>
            <w:r w:rsidR="00FA7B3E">
              <w:rPr>
                <w:noProof/>
                <w:webHidden/>
              </w:rPr>
              <w:t>1</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14" w:history="1">
            <w:r w:rsidR="00FA7B3E" w:rsidRPr="00407B2F">
              <w:rPr>
                <w:rStyle w:val="Hyperlink"/>
                <w:rFonts w:eastAsia="Calibri"/>
                <w:noProof/>
              </w:rPr>
              <w:t>1.1.</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Scope of the Evaluation</w:t>
            </w:r>
            <w:r w:rsidR="00FA7B3E">
              <w:rPr>
                <w:noProof/>
                <w:webHidden/>
              </w:rPr>
              <w:tab/>
            </w:r>
            <w:r w:rsidR="00FA7B3E">
              <w:rPr>
                <w:noProof/>
                <w:webHidden/>
              </w:rPr>
              <w:fldChar w:fldCharType="begin"/>
            </w:r>
            <w:r w:rsidR="00FA7B3E">
              <w:rPr>
                <w:noProof/>
                <w:webHidden/>
              </w:rPr>
              <w:instrText xml:space="preserve"> PAGEREF _Toc89882314 \h </w:instrText>
            </w:r>
            <w:r w:rsidR="00FA7B3E">
              <w:rPr>
                <w:noProof/>
                <w:webHidden/>
              </w:rPr>
            </w:r>
            <w:r w:rsidR="00FA7B3E">
              <w:rPr>
                <w:noProof/>
                <w:webHidden/>
              </w:rPr>
              <w:fldChar w:fldCharType="separate"/>
            </w:r>
            <w:r w:rsidR="00FA7B3E">
              <w:rPr>
                <w:noProof/>
                <w:webHidden/>
              </w:rPr>
              <w:t>1</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15" w:history="1">
            <w:r w:rsidR="00FA7B3E" w:rsidRPr="00407B2F">
              <w:rPr>
                <w:rStyle w:val="Hyperlink"/>
                <w:rFonts w:eastAsia="Calibri"/>
                <w:noProof/>
              </w:rPr>
              <w:t>1.2.</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Purpose of the Evaluation</w:t>
            </w:r>
            <w:r w:rsidR="00FA7B3E">
              <w:rPr>
                <w:noProof/>
                <w:webHidden/>
              </w:rPr>
              <w:tab/>
            </w:r>
            <w:r w:rsidR="00FA7B3E">
              <w:rPr>
                <w:noProof/>
                <w:webHidden/>
              </w:rPr>
              <w:fldChar w:fldCharType="begin"/>
            </w:r>
            <w:r w:rsidR="00FA7B3E">
              <w:rPr>
                <w:noProof/>
                <w:webHidden/>
              </w:rPr>
              <w:instrText xml:space="preserve"> PAGEREF _Toc89882315 \h </w:instrText>
            </w:r>
            <w:r w:rsidR="00FA7B3E">
              <w:rPr>
                <w:noProof/>
                <w:webHidden/>
              </w:rPr>
            </w:r>
            <w:r w:rsidR="00FA7B3E">
              <w:rPr>
                <w:noProof/>
                <w:webHidden/>
              </w:rPr>
              <w:fldChar w:fldCharType="separate"/>
            </w:r>
            <w:r w:rsidR="00FA7B3E">
              <w:rPr>
                <w:noProof/>
                <w:webHidden/>
              </w:rPr>
              <w:t>4</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16" w:history="1">
            <w:r w:rsidR="00FA7B3E" w:rsidRPr="00407B2F">
              <w:rPr>
                <w:rStyle w:val="Hyperlink"/>
                <w:noProof/>
              </w:rPr>
              <w:t>2.</w:t>
            </w:r>
            <w:r w:rsidR="00FA7B3E">
              <w:rPr>
                <w:rFonts w:asciiTheme="minorHAnsi" w:eastAsiaTheme="minorEastAsia" w:hAnsiTheme="minorHAnsi" w:cstheme="minorBidi"/>
                <w:noProof/>
                <w:sz w:val="22"/>
                <w:szCs w:val="22"/>
                <w:lang w:val="en-US"/>
              </w:rPr>
              <w:tab/>
            </w:r>
            <w:r w:rsidR="00FA7B3E" w:rsidRPr="00407B2F">
              <w:rPr>
                <w:rStyle w:val="Hyperlink"/>
                <w:noProof/>
              </w:rPr>
              <w:t>Background to the evaluated initiatives</w:t>
            </w:r>
            <w:r w:rsidR="00FA7B3E">
              <w:rPr>
                <w:noProof/>
                <w:webHidden/>
              </w:rPr>
              <w:tab/>
            </w:r>
            <w:r w:rsidR="00FA7B3E">
              <w:rPr>
                <w:noProof/>
                <w:webHidden/>
              </w:rPr>
              <w:fldChar w:fldCharType="begin"/>
            </w:r>
            <w:r w:rsidR="00FA7B3E">
              <w:rPr>
                <w:noProof/>
                <w:webHidden/>
              </w:rPr>
              <w:instrText xml:space="preserve"> PAGEREF _Toc89882316 \h </w:instrText>
            </w:r>
            <w:r w:rsidR="00FA7B3E">
              <w:rPr>
                <w:noProof/>
                <w:webHidden/>
              </w:rPr>
            </w:r>
            <w:r w:rsidR="00FA7B3E">
              <w:rPr>
                <w:noProof/>
                <w:webHidden/>
              </w:rPr>
              <w:fldChar w:fldCharType="separate"/>
            </w:r>
            <w:r w:rsidR="00FA7B3E">
              <w:rPr>
                <w:noProof/>
                <w:webHidden/>
              </w:rPr>
              <w:t>5</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17" w:history="1">
            <w:r w:rsidR="00FA7B3E" w:rsidRPr="00407B2F">
              <w:rPr>
                <w:rStyle w:val="Hyperlink"/>
                <w:noProof/>
              </w:rPr>
              <w:t>2.1.</w:t>
            </w:r>
            <w:r w:rsidR="00FA7B3E">
              <w:rPr>
                <w:rFonts w:asciiTheme="minorHAnsi" w:eastAsiaTheme="minorEastAsia" w:hAnsiTheme="minorHAnsi" w:cstheme="minorBidi"/>
                <w:noProof/>
                <w:sz w:val="22"/>
                <w:szCs w:val="22"/>
                <w:lang w:val="en-US"/>
              </w:rPr>
              <w:tab/>
            </w:r>
            <w:r w:rsidR="00FA7B3E" w:rsidRPr="00407B2F">
              <w:rPr>
                <w:rStyle w:val="Hyperlink"/>
                <w:noProof/>
              </w:rPr>
              <w:t>Objectives of the Third Gas Package</w:t>
            </w:r>
            <w:r w:rsidR="00FA7B3E">
              <w:rPr>
                <w:noProof/>
                <w:webHidden/>
              </w:rPr>
              <w:tab/>
            </w:r>
            <w:r w:rsidR="00FA7B3E">
              <w:rPr>
                <w:noProof/>
                <w:webHidden/>
              </w:rPr>
              <w:fldChar w:fldCharType="begin"/>
            </w:r>
            <w:r w:rsidR="00FA7B3E">
              <w:rPr>
                <w:noProof/>
                <w:webHidden/>
              </w:rPr>
              <w:instrText xml:space="preserve"> PAGEREF _Toc89882317 \h </w:instrText>
            </w:r>
            <w:r w:rsidR="00FA7B3E">
              <w:rPr>
                <w:noProof/>
                <w:webHidden/>
              </w:rPr>
            </w:r>
            <w:r w:rsidR="00FA7B3E">
              <w:rPr>
                <w:noProof/>
                <w:webHidden/>
              </w:rPr>
              <w:fldChar w:fldCharType="separate"/>
            </w:r>
            <w:r w:rsidR="00FA7B3E">
              <w:rPr>
                <w:noProof/>
                <w:webHidden/>
              </w:rPr>
              <w:t>5</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18" w:history="1">
            <w:r w:rsidR="00FA7B3E" w:rsidRPr="00407B2F">
              <w:rPr>
                <w:rStyle w:val="Hyperlink"/>
                <w:rFonts w:eastAsia="Calibri"/>
                <w:noProof/>
              </w:rPr>
              <w:t>2.2.</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 xml:space="preserve">Description of the </w:t>
            </w:r>
            <w:r w:rsidR="00FA7B3E" w:rsidRPr="00407B2F">
              <w:rPr>
                <w:rStyle w:val="Hyperlink"/>
                <w:noProof/>
              </w:rPr>
              <w:t>Third Gas Package</w:t>
            </w:r>
            <w:r w:rsidR="00FA7B3E">
              <w:rPr>
                <w:noProof/>
                <w:webHidden/>
              </w:rPr>
              <w:tab/>
            </w:r>
            <w:r w:rsidR="00FA7B3E">
              <w:rPr>
                <w:noProof/>
                <w:webHidden/>
              </w:rPr>
              <w:fldChar w:fldCharType="begin"/>
            </w:r>
            <w:r w:rsidR="00FA7B3E">
              <w:rPr>
                <w:noProof/>
                <w:webHidden/>
              </w:rPr>
              <w:instrText xml:space="preserve"> PAGEREF _Toc89882318 \h </w:instrText>
            </w:r>
            <w:r w:rsidR="00FA7B3E">
              <w:rPr>
                <w:noProof/>
                <w:webHidden/>
              </w:rPr>
            </w:r>
            <w:r w:rsidR="00FA7B3E">
              <w:rPr>
                <w:noProof/>
                <w:webHidden/>
              </w:rPr>
              <w:fldChar w:fldCharType="separate"/>
            </w:r>
            <w:r w:rsidR="00FA7B3E">
              <w:rPr>
                <w:noProof/>
                <w:webHidden/>
              </w:rPr>
              <w:t>7</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19" w:history="1">
            <w:r w:rsidR="00FA7B3E" w:rsidRPr="00407B2F">
              <w:rPr>
                <w:rStyle w:val="Hyperlink"/>
                <w:noProof/>
              </w:rPr>
              <w:t>3.</w:t>
            </w:r>
            <w:r w:rsidR="00FA7B3E">
              <w:rPr>
                <w:rFonts w:asciiTheme="minorHAnsi" w:eastAsiaTheme="minorEastAsia" w:hAnsiTheme="minorHAnsi" w:cstheme="minorBidi"/>
                <w:noProof/>
                <w:sz w:val="22"/>
                <w:szCs w:val="22"/>
                <w:lang w:val="en-US"/>
              </w:rPr>
              <w:tab/>
            </w:r>
            <w:r w:rsidR="00FA7B3E" w:rsidRPr="00407B2F">
              <w:rPr>
                <w:rStyle w:val="Hyperlink"/>
                <w:noProof/>
              </w:rPr>
              <w:t>Evaluation logic</w:t>
            </w:r>
            <w:r w:rsidR="00FA7B3E">
              <w:rPr>
                <w:noProof/>
                <w:webHidden/>
              </w:rPr>
              <w:tab/>
            </w:r>
            <w:r w:rsidR="00FA7B3E">
              <w:rPr>
                <w:noProof/>
                <w:webHidden/>
              </w:rPr>
              <w:fldChar w:fldCharType="begin"/>
            </w:r>
            <w:r w:rsidR="00FA7B3E">
              <w:rPr>
                <w:noProof/>
                <w:webHidden/>
              </w:rPr>
              <w:instrText xml:space="preserve"> PAGEREF _Toc89882319 \h </w:instrText>
            </w:r>
            <w:r w:rsidR="00FA7B3E">
              <w:rPr>
                <w:noProof/>
                <w:webHidden/>
              </w:rPr>
            </w:r>
            <w:r w:rsidR="00FA7B3E">
              <w:rPr>
                <w:noProof/>
                <w:webHidden/>
              </w:rPr>
              <w:fldChar w:fldCharType="separate"/>
            </w:r>
            <w:r w:rsidR="00FA7B3E">
              <w:rPr>
                <w:noProof/>
                <w:webHidden/>
              </w:rPr>
              <w:t>11</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20" w:history="1">
            <w:r w:rsidR="00FA7B3E" w:rsidRPr="00407B2F">
              <w:rPr>
                <w:rStyle w:val="Hyperlink"/>
                <w:noProof/>
              </w:rPr>
              <w:t>4.</w:t>
            </w:r>
            <w:r w:rsidR="00FA7B3E">
              <w:rPr>
                <w:rFonts w:asciiTheme="minorHAnsi" w:eastAsiaTheme="minorEastAsia" w:hAnsiTheme="minorHAnsi" w:cstheme="minorBidi"/>
                <w:noProof/>
                <w:sz w:val="22"/>
                <w:szCs w:val="22"/>
                <w:lang w:val="en-US"/>
              </w:rPr>
              <w:tab/>
            </w:r>
            <w:r w:rsidR="00FA7B3E" w:rsidRPr="00407B2F">
              <w:rPr>
                <w:rStyle w:val="Hyperlink"/>
                <w:noProof/>
              </w:rPr>
              <w:t>Evaluation method</w:t>
            </w:r>
            <w:r w:rsidR="00FA7B3E">
              <w:rPr>
                <w:noProof/>
                <w:webHidden/>
              </w:rPr>
              <w:tab/>
            </w:r>
            <w:r w:rsidR="00FA7B3E">
              <w:rPr>
                <w:noProof/>
                <w:webHidden/>
              </w:rPr>
              <w:fldChar w:fldCharType="begin"/>
            </w:r>
            <w:r w:rsidR="00FA7B3E">
              <w:rPr>
                <w:noProof/>
                <w:webHidden/>
              </w:rPr>
              <w:instrText xml:space="preserve"> PAGEREF _Toc89882320 \h </w:instrText>
            </w:r>
            <w:r w:rsidR="00FA7B3E">
              <w:rPr>
                <w:noProof/>
                <w:webHidden/>
              </w:rPr>
            </w:r>
            <w:r w:rsidR="00FA7B3E">
              <w:rPr>
                <w:noProof/>
                <w:webHidden/>
              </w:rPr>
              <w:fldChar w:fldCharType="separate"/>
            </w:r>
            <w:r w:rsidR="00FA7B3E">
              <w:rPr>
                <w:noProof/>
                <w:webHidden/>
              </w:rPr>
              <w:t>12</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21" w:history="1">
            <w:r w:rsidR="00FA7B3E" w:rsidRPr="00407B2F">
              <w:rPr>
                <w:rStyle w:val="Hyperlink"/>
                <w:noProof/>
              </w:rPr>
              <w:t>5.</w:t>
            </w:r>
            <w:r w:rsidR="00FA7B3E">
              <w:rPr>
                <w:rFonts w:asciiTheme="minorHAnsi" w:eastAsiaTheme="minorEastAsia" w:hAnsiTheme="minorHAnsi" w:cstheme="minorBidi"/>
                <w:noProof/>
                <w:sz w:val="22"/>
                <w:szCs w:val="22"/>
                <w:lang w:val="en-US"/>
              </w:rPr>
              <w:tab/>
            </w:r>
            <w:r w:rsidR="00FA7B3E" w:rsidRPr="00407B2F">
              <w:rPr>
                <w:rStyle w:val="Hyperlink"/>
                <w:noProof/>
              </w:rPr>
              <w:t>Implementation of the initiatives and state of play</w:t>
            </w:r>
            <w:r w:rsidR="00FA7B3E">
              <w:rPr>
                <w:noProof/>
                <w:webHidden/>
              </w:rPr>
              <w:tab/>
            </w:r>
            <w:r w:rsidR="00FA7B3E">
              <w:rPr>
                <w:noProof/>
                <w:webHidden/>
              </w:rPr>
              <w:fldChar w:fldCharType="begin"/>
            </w:r>
            <w:r w:rsidR="00FA7B3E">
              <w:rPr>
                <w:noProof/>
                <w:webHidden/>
              </w:rPr>
              <w:instrText xml:space="preserve"> PAGEREF _Toc89882321 \h </w:instrText>
            </w:r>
            <w:r w:rsidR="00FA7B3E">
              <w:rPr>
                <w:noProof/>
                <w:webHidden/>
              </w:rPr>
            </w:r>
            <w:r w:rsidR="00FA7B3E">
              <w:rPr>
                <w:noProof/>
                <w:webHidden/>
              </w:rPr>
              <w:fldChar w:fldCharType="separate"/>
            </w:r>
            <w:r w:rsidR="00FA7B3E">
              <w:rPr>
                <w:noProof/>
                <w:webHidden/>
              </w:rPr>
              <w:t>15</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22" w:history="1">
            <w:r w:rsidR="00FA7B3E" w:rsidRPr="00407B2F">
              <w:rPr>
                <w:rStyle w:val="Hyperlink"/>
                <w:noProof/>
              </w:rPr>
              <w:t>6.</w:t>
            </w:r>
            <w:r w:rsidR="00FA7B3E">
              <w:rPr>
                <w:rFonts w:asciiTheme="minorHAnsi" w:eastAsiaTheme="minorEastAsia" w:hAnsiTheme="minorHAnsi" w:cstheme="minorBidi"/>
                <w:noProof/>
                <w:sz w:val="22"/>
                <w:szCs w:val="22"/>
                <w:lang w:val="en-US"/>
              </w:rPr>
              <w:tab/>
            </w:r>
            <w:r w:rsidR="00FA7B3E" w:rsidRPr="00407B2F">
              <w:rPr>
                <w:rStyle w:val="Hyperlink"/>
                <w:noProof/>
              </w:rPr>
              <w:t>Answers to the Evaluation questions</w:t>
            </w:r>
            <w:r w:rsidR="00FA7B3E">
              <w:rPr>
                <w:noProof/>
                <w:webHidden/>
              </w:rPr>
              <w:tab/>
            </w:r>
            <w:r w:rsidR="00FA7B3E">
              <w:rPr>
                <w:noProof/>
                <w:webHidden/>
              </w:rPr>
              <w:fldChar w:fldCharType="begin"/>
            </w:r>
            <w:r w:rsidR="00FA7B3E">
              <w:rPr>
                <w:noProof/>
                <w:webHidden/>
              </w:rPr>
              <w:instrText xml:space="preserve"> PAGEREF _Toc89882322 \h </w:instrText>
            </w:r>
            <w:r w:rsidR="00FA7B3E">
              <w:rPr>
                <w:noProof/>
                <w:webHidden/>
              </w:rPr>
            </w:r>
            <w:r w:rsidR="00FA7B3E">
              <w:rPr>
                <w:noProof/>
                <w:webHidden/>
              </w:rPr>
              <w:fldChar w:fldCharType="separate"/>
            </w:r>
            <w:r w:rsidR="00FA7B3E">
              <w:rPr>
                <w:noProof/>
                <w:webHidden/>
              </w:rPr>
              <w:t>17</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23" w:history="1">
            <w:r w:rsidR="00FA7B3E" w:rsidRPr="00407B2F">
              <w:rPr>
                <w:rStyle w:val="Hyperlink"/>
                <w:rFonts w:eastAsia="Calibri"/>
                <w:noProof/>
              </w:rPr>
              <w:t>6.1.</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Effectiveness</w:t>
            </w:r>
            <w:r w:rsidR="00FA7B3E">
              <w:rPr>
                <w:noProof/>
                <w:webHidden/>
              </w:rPr>
              <w:tab/>
            </w:r>
            <w:r w:rsidR="00FA7B3E">
              <w:rPr>
                <w:noProof/>
                <w:webHidden/>
              </w:rPr>
              <w:fldChar w:fldCharType="begin"/>
            </w:r>
            <w:r w:rsidR="00FA7B3E">
              <w:rPr>
                <w:noProof/>
                <w:webHidden/>
              </w:rPr>
              <w:instrText xml:space="preserve"> PAGEREF _Toc89882323 \h </w:instrText>
            </w:r>
            <w:r w:rsidR="00FA7B3E">
              <w:rPr>
                <w:noProof/>
                <w:webHidden/>
              </w:rPr>
            </w:r>
            <w:r w:rsidR="00FA7B3E">
              <w:rPr>
                <w:noProof/>
                <w:webHidden/>
              </w:rPr>
              <w:fldChar w:fldCharType="separate"/>
            </w:r>
            <w:r w:rsidR="00FA7B3E">
              <w:rPr>
                <w:noProof/>
                <w:webHidden/>
              </w:rPr>
              <w:t>17</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24" w:history="1">
            <w:r w:rsidR="00FA7B3E" w:rsidRPr="00407B2F">
              <w:rPr>
                <w:rStyle w:val="Hyperlink"/>
                <w:rFonts w:eastAsia="Calibri"/>
                <w:noProof/>
                <w14:scene3d>
                  <w14:camera w14:prst="orthographicFront"/>
                  <w14:lightRig w14:rig="threePt" w14:dir="t">
                    <w14:rot w14:lat="0" w14:lon="0" w14:rev="0"/>
                  </w14:lightRig>
                </w14:scene3d>
              </w:rPr>
              <w:t>6.1.1.</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Market integration, competition and investments</w:t>
            </w:r>
            <w:r w:rsidR="00FA7B3E">
              <w:rPr>
                <w:noProof/>
                <w:webHidden/>
              </w:rPr>
              <w:tab/>
            </w:r>
            <w:r w:rsidR="00FA7B3E">
              <w:rPr>
                <w:noProof/>
                <w:webHidden/>
              </w:rPr>
              <w:fldChar w:fldCharType="begin"/>
            </w:r>
            <w:r w:rsidR="00FA7B3E">
              <w:rPr>
                <w:noProof/>
                <w:webHidden/>
              </w:rPr>
              <w:instrText xml:space="preserve"> PAGEREF _Toc89882324 \h </w:instrText>
            </w:r>
            <w:r w:rsidR="00FA7B3E">
              <w:rPr>
                <w:noProof/>
                <w:webHidden/>
              </w:rPr>
            </w:r>
            <w:r w:rsidR="00FA7B3E">
              <w:rPr>
                <w:noProof/>
                <w:webHidden/>
              </w:rPr>
              <w:fldChar w:fldCharType="separate"/>
            </w:r>
            <w:r w:rsidR="00FA7B3E">
              <w:rPr>
                <w:noProof/>
                <w:webHidden/>
              </w:rPr>
              <w:t>17</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25" w:history="1">
            <w:r w:rsidR="00FA7B3E" w:rsidRPr="00407B2F">
              <w:rPr>
                <w:rStyle w:val="Hyperlink"/>
                <w:rFonts w:eastAsia="Calibri"/>
                <w:noProof/>
                <w14:scene3d>
                  <w14:camera w14:prst="orthographicFront"/>
                  <w14:lightRig w14:rig="threePt" w14:dir="t">
                    <w14:rot w14:lat="0" w14:lon="0" w14:rev="0"/>
                  </w14:lightRig>
                </w14:scene3d>
              </w:rPr>
              <w:t>6.1.2.</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Consumer empowerment and protection</w:t>
            </w:r>
            <w:r w:rsidR="00FA7B3E">
              <w:rPr>
                <w:noProof/>
                <w:webHidden/>
              </w:rPr>
              <w:tab/>
            </w:r>
            <w:r w:rsidR="00FA7B3E">
              <w:rPr>
                <w:noProof/>
                <w:webHidden/>
              </w:rPr>
              <w:fldChar w:fldCharType="begin"/>
            </w:r>
            <w:r w:rsidR="00FA7B3E">
              <w:rPr>
                <w:noProof/>
                <w:webHidden/>
              </w:rPr>
              <w:instrText xml:space="preserve"> PAGEREF _Toc89882325 \h </w:instrText>
            </w:r>
            <w:r w:rsidR="00FA7B3E">
              <w:rPr>
                <w:noProof/>
                <w:webHidden/>
              </w:rPr>
            </w:r>
            <w:r w:rsidR="00FA7B3E">
              <w:rPr>
                <w:noProof/>
                <w:webHidden/>
              </w:rPr>
              <w:fldChar w:fldCharType="separate"/>
            </w:r>
            <w:r w:rsidR="00FA7B3E">
              <w:rPr>
                <w:noProof/>
                <w:webHidden/>
              </w:rPr>
              <w:t>26</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26" w:history="1">
            <w:r w:rsidR="00FA7B3E" w:rsidRPr="00407B2F">
              <w:rPr>
                <w:rStyle w:val="Hyperlink"/>
                <w:noProof/>
              </w:rPr>
              <w:t>6.2.</w:t>
            </w:r>
            <w:r w:rsidR="00FA7B3E">
              <w:rPr>
                <w:rFonts w:asciiTheme="minorHAnsi" w:eastAsiaTheme="minorEastAsia" w:hAnsiTheme="minorHAnsi" w:cstheme="minorBidi"/>
                <w:noProof/>
                <w:sz w:val="22"/>
                <w:szCs w:val="22"/>
                <w:lang w:val="en-US"/>
              </w:rPr>
              <w:tab/>
            </w:r>
            <w:r w:rsidR="00FA7B3E" w:rsidRPr="00407B2F">
              <w:rPr>
                <w:rStyle w:val="Hyperlink"/>
                <w:noProof/>
              </w:rPr>
              <w:t>Efficiency</w:t>
            </w:r>
            <w:r w:rsidR="00FA7B3E">
              <w:rPr>
                <w:noProof/>
                <w:webHidden/>
              </w:rPr>
              <w:tab/>
            </w:r>
            <w:r w:rsidR="00FA7B3E">
              <w:rPr>
                <w:noProof/>
                <w:webHidden/>
              </w:rPr>
              <w:fldChar w:fldCharType="begin"/>
            </w:r>
            <w:r w:rsidR="00FA7B3E">
              <w:rPr>
                <w:noProof/>
                <w:webHidden/>
              </w:rPr>
              <w:instrText xml:space="preserve"> PAGEREF _Toc89882326 \h </w:instrText>
            </w:r>
            <w:r w:rsidR="00FA7B3E">
              <w:rPr>
                <w:noProof/>
                <w:webHidden/>
              </w:rPr>
            </w:r>
            <w:r w:rsidR="00FA7B3E">
              <w:rPr>
                <w:noProof/>
                <w:webHidden/>
              </w:rPr>
              <w:fldChar w:fldCharType="separate"/>
            </w:r>
            <w:r w:rsidR="00FA7B3E">
              <w:rPr>
                <w:noProof/>
                <w:webHidden/>
              </w:rPr>
              <w:t>35</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27" w:history="1">
            <w:r w:rsidR="00FA7B3E" w:rsidRPr="00407B2F">
              <w:rPr>
                <w:rStyle w:val="Hyperlink"/>
                <w:noProof/>
              </w:rPr>
              <w:t>6.3.</w:t>
            </w:r>
            <w:r w:rsidR="00FA7B3E">
              <w:rPr>
                <w:rFonts w:asciiTheme="minorHAnsi" w:eastAsiaTheme="minorEastAsia" w:hAnsiTheme="minorHAnsi" w:cstheme="minorBidi"/>
                <w:noProof/>
                <w:sz w:val="22"/>
                <w:szCs w:val="22"/>
                <w:lang w:val="en-US"/>
              </w:rPr>
              <w:tab/>
            </w:r>
            <w:r w:rsidR="00FA7B3E" w:rsidRPr="00407B2F">
              <w:rPr>
                <w:rStyle w:val="Hyperlink"/>
                <w:noProof/>
              </w:rPr>
              <w:t>Relevance</w:t>
            </w:r>
            <w:r w:rsidR="00FA7B3E">
              <w:rPr>
                <w:noProof/>
                <w:webHidden/>
              </w:rPr>
              <w:tab/>
            </w:r>
            <w:r w:rsidR="00FA7B3E">
              <w:rPr>
                <w:noProof/>
                <w:webHidden/>
              </w:rPr>
              <w:fldChar w:fldCharType="begin"/>
            </w:r>
            <w:r w:rsidR="00FA7B3E">
              <w:rPr>
                <w:noProof/>
                <w:webHidden/>
              </w:rPr>
              <w:instrText xml:space="preserve"> PAGEREF _Toc89882327 \h </w:instrText>
            </w:r>
            <w:r w:rsidR="00FA7B3E">
              <w:rPr>
                <w:noProof/>
                <w:webHidden/>
              </w:rPr>
            </w:r>
            <w:r w:rsidR="00FA7B3E">
              <w:rPr>
                <w:noProof/>
                <w:webHidden/>
              </w:rPr>
              <w:fldChar w:fldCharType="separate"/>
            </w:r>
            <w:r w:rsidR="00FA7B3E">
              <w:rPr>
                <w:noProof/>
                <w:webHidden/>
              </w:rPr>
              <w:t>36</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28" w:history="1">
            <w:r w:rsidR="00FA7B3E" w:rsidRPr="00407B2F">
              <w:rPr>
                <w:rStyle w:val="Hyperlink"/>
                <w:noProof/>
                <w14:scene3d>
                  <w14:camera w14:prst="orthographicFront"/>
                  <w14:lightRig w14:rig="threePt" w14:dir="t">
                    <w14:rot w14:lat="0" w14:lon="0" w14:rev="0"/>
                  </w14:lightRig>
                </w14:scene3d>
              </w:rPr>
              <w:t>6.3.1.</w:t>
            </w:r>
            <w:r w:rsidR="00FA7B3E">
              <w:rPr>
                <w:rFonts w:asciiTheme="minorHAnsi" w:eastAsiaTheme="minorEastAsia" w:hAnsiTheme="minorHAnsi" w:cstheme="minorBidi"/>
                <w:noProof/>
                <w:sz w:val="22"/>
                <w:szCs w:val="22"/>
                <w:lang w:val="en-US"/>
              </w:rPr>
              <w:tab/>
            </w:r>
            <w:r w:rsidR="00FA7B3E" w:rsidRPr="00407B2F">
              <w:rPr>
                <w:rStyle w:val="Hyperlink"/>
                <w:noProof/>
              </w:rPr>
              <w:t>The 2009 market design is not fully adapted to the decarbonisation of our economy …</w:t>
            </w:r>
            <w:r w:rsidR="00FA7B3E">
              <w:rPr>
                <w:noProof/>
                <w:webHidden/>
              </w:rPr>
              <w:tab/>
            </w:r>
            <w:r w:rsidR="00FA7B3E">
              <w:rPr>
                <w:noProof/>
                <w:webHidden/>
              </w:rPr>
              <w:fldChar w:fldCharType="begin"/>
            </w:r>
            <w:r w:rsidR="00FA7B3E">
              <w:rPr>
                <w:noProof/>
                <w:webHidden/>
              </w:rPr>
              <w:instrText xml:space="preserve"> PAGEREF _Toc89882328 \h </w:instrText>
            </w:r>
            <w:r w:rsidR="00FA7B3E">
              <w:rPr>
                <w:noProof/>
                <w:webHidden/>
              </w:rPr>
            </w:r>
            <w:r w:rsidR="00FA7B3E">
              <w:rPr>
                <w:noProof/>
                <w:webHidden/>
              </w:rPr>
              <w:fldChar w:fldCharType="separate"/>
            </w:r>
            <w:r w:rsidR="00FA7B3E">
              <w:rPr>
                <w:noProof/>
                <w:webHidden/>
              </w:rPr>
              <w:t>37</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29" w:history="1">
            <w:r w:rsidR="00FA7B3E" w:rsidRPr="00407B2F">
              <w:rPr>
                <w:rStyle w:val="Hyperlink"/>
                <w:noProof/>
                <w14:scene3d>
                  <w14:camera w14:prst="orthographicFront"/>
                  <w14:lightRig w14:rig="threePt" w14:dir="t">
                    <w14:rot w14:lat="0" w14:lon="0" w14:rev="0"/>
                  </w14:lightRig>
                </w14:scene3d>
              </w:rPr>
              <w:t>6.3.2.</w:t>
            </w:r>
            <w:r w:rsidR="00FA7B3E">
              <w:rPr>
                <w:rFonts w:asciiTheme="minorHAnsi" w:eastAsiaTheme="minorEastAsia" w:hAnsiTheme="minorHAnsi" w:cstheme="minorBidi"/>
                <w:noProof/>
                <w:sz w:val="22"/>
                <w:szCs w:val="22"/>
                <w:lang w:val="en-US"/>
              </w:rPr>
              <w:tab/>
            </w:r>
            <w:r w:rsidR="00FA7B3E" w:rsidRPr="00407B2F">
              <w:rPr>
                <w:rStyle w:val="Hyperlink"/>
                <w:noProof/>
              </w:rPr>
              <w:t>…nor to changing market realities</w:t>
            </w:r>
            <w:r w:rsidR="00FA7B3E">
              <w:rPr>
                <w:noProof/>
                <w:webHidden/>
              </w:rPr>
              <w:tab/>
            </w:r>
            <w:r w:rsidR="00FA7B3E">
              <w:rPr>
                <w:noProof/>
                <w:webHidden/>
              </w:rPr>
              <w:fldChar w:fldCharType="begin"/>
            </w:r>
            <w:r w:rsidR="00FA7B3E">
              <w:rPr>
                <w:noProof/>
                <w:webHidden/>
              </w:rPr>
              <w:instrText xml:space="preserve"> PAGEREF _Toc89882329 \h </w:instrText>
            </w:r>
            <w:r w:rsidR="00FA7B3E">
              <w:rPr>
                <w:noProof/>
                <w:webHidden/>
              </w:rPr>
            </w:r>
            <w:r w:rsidR="00FA7B3E">
              <w:rPr>
                <w:noProof/>
                <w:webHidden/>
              </w:rPr>
              <w:fldChar w:fldCharType="separate"/>
            </w:r>
            <w:r w:rsidR="00FA7B3E">
              <w:rPr>
                <w:noProof/>
                <w:webHidden/>
              </w:rPr>
              <w:t>39</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0" w:history="1">
            <w:r w:rsidR="00FA7B3E" w:rsidRPr="00407B2F">
              <w:rPr>
                <w:rStyle w:val="Hyperlink"/>
                <w:noProof/>
                <w14:scene3d>
                  <w14:camera w14:prst="orthographicFront"/>
                  <w14:lightRig w14:rig="threePt" w14:dir="t">
                    <w14:rot w14:lat="0" w14:lon="0" w14:rev="0"/>
                  </w14:lightRig>
                </w14:scene3d>
              </w:rPr>
              <w:t>6.3.3.</w:t>
            </w:r>
            <w:r w:rsidR="00FA7B3E">
              <w:rPr>
                <w:rFonts w:asciiTheme="minorHAnsi" w:eastAsiaTheme="minorEastAsia" w:hAnsiTheme="minorHAnsi" w:cstheme="minorBidi"/>
                <w:noProof/>
                <w:sz w:val="22"/>
                <w:szCs w:val="22"/>
                <w:lang w:val="en-US"/>
              </w:rPr>
              <w:tab/>
            </w:r>
            <w:r w:rsidR="00FA7B3E" w:rsidRPr="00407B2F">
              <w:rPr>
                <w:rStyle w:val="Hyperlink"/>
                <w:noProof/>
              </w:rPr>
              <w:t>The Third Package does not provide regulatory certainty for the development and deployment of hydrogen</w:t>
            </w:r>
            <w:r w:rsidR="00FA7B3E">
              <w:rPr>
                <w:noProof/>
                <w:webHidden/>
              </w:rPr>
              <w:tab/>
            </w:r>
            <w:r w:rsidR="00FA7B3E">
              <w:rPr>
                <w:noProof/>
                <w:webHidden/>
              </w:rPr>
              <w:fldChar w:fldCharType="begin"/>
            </w:r>
            <w:r w:rsidR="00FA7B3E">
              <w:rPr>
                <w:noProof/>
                <w:webHidden/>
              </w:rPr>
              <w:instrText xml:space="preserve"> PAGEREF _Toc89882330 \h </w:instrText>
            </w:r>
            <w:r w:rsidR="00FA7B3E">
              <w:rPr>
                <w:noProof/>
                <w:webHidden/>
              </w:rPr>
            </w:r>
            <w:r w:rsidR="00FA7B3E">
              <w:rPr>
                <w:noProof/>
                <w:webHidden/>
              </w:rPr>
              <w:fldChar w:fldCharType="separate"/>
            </w:r>
            <w:r w:rsidR="00FA7B3E">
              <w:rPr>
                <w:noProof/>
                <w:webHidden/>
              </w:rPr>
              <w:t>40</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1" w:history="1">
            <w:r w:rsidR="00FA7B3E" w:rsidRPr="00407B2F">
              <w:rPr>
                <w:rStyle w:val="Hyperlink"/>
                <w:noProof/>
                <w14:scene3d>
                  <w14:camera w14:prst="orthographicFront"/>
                  <w14:lightRig w14:rig="threePt" w14:dir="t">
                    <w14:rot w14:lat="0" w14:lon="0" w14:rev="0"/>
                  </w14:lightRig>
                </w14:scene3d>
              </w:rPr>
              <w:t>6.3.4.</w:t>
            </w:r>
            <w:r w:rsidR="00FA7B3E">
              <w:rPr>
                <w:rFonts w:asciiTheme="minorHAnsi" w:eastAsiaTheme="minorEastAsia" w:hAnsiTheme="minorHAnsi" w:cstheme="minorBidi"/>
                <w:noProof/>
                <w:sz w:val="22"/>
                <w:szCs w:val="22"/>
                <w:lang w:val="en-US"/>
              </w:rPr>
              <w:tab/>
            </w:r>
            <w:r w:rsidR="00FA7B3E" w:rsidRPr="00407B2F">
              <w:rPr>
                <w:rStyle w:val="Hyperlink"/>
                <w:noProof/>
              </w:rPr>
              <w:t>Decarbonisation and the integration of renewable and decarbonised gases into the market</w:t>
            </w:r>
            <w:r w:rsidR="00FA7B3E">
              <w:rPr>
                <w:noProof/>
                <w:webHidden/>
              </w:rPr>
              <w:tab/>
            </w:r>
            <w:r w:rsidR="00FA7B3E">
              <w:rPr>
                <w:noProof/>
                <w:webHidden/>
              </w:rPr>
              <w:fldChar w:fldCharType="begin"/>
            </w:r>
            <w:r w:rsidR="00FA7B3E">
              <w:rPr>
                <w:noProof/>
                <w:webHidden/>
              </w:rPr>
              <w:instrText xml:space="preserve"> PAGEREF _Toc89882331 \h </w:instrText>
            </w:r>
            <w:r w:rsidR="00FA7B3E">
              <w:rPr>
                <w:noProof/>
                <w:webHidden/>
              </w:rPr>
            </w:r>
            <w:r w:rsidR="00FA7B3E">
              <w:rPr>
                <w:noProof/>
                <w:webHidden/>
              </w:rPr>
              <w:fldChar w:fldCharType="separate"/>
            </w:r>
            <w:r w:rsidR="00FA7B3E">
              <w:rPr>
                <w:noProof/>
                <w:webHidden/>
              </w:rPr>
              <w:t>43</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2" w:history="1">
            <w:r w:rsidR="00FA7B3E" w:rsidRPr="00407B2F">
              <w:rPr>
                <w:rStyle w:val="Hyperlink"/>
                <w:noProof/>
                <w14:scene3d>
                  <w14:camera w14:prst="orthographicFront"/>
                  <w14:lightRig w14:rig="threePt" w14:dir="t">
                    <w14:rot w14:lat="0" w14:lon="0" w14:rev="0"/>
                  </w14:lightRig>
                </w14:scene3d>
              </w:rPr>
              <w:t>6.3.5.</w:t>
            </w:r>
            <w:r w:rsidR="00FA7B3E">
              <w:rPr>
                <w:rFonts w:asciiTheme="minorHAnsi" w:eastAsiaTheme="minorEastAsia" w:hAnsiTheme="minorHAnsi" w:cstheme="minorBidi"/>
                <w:noProof/>
                <w:sz w:val="22"/>
                <w:szCs w:val="22"/>
                <w:lang w:val="en-US"/>
              </w:rPr>
              <w:tab/>
            </w:r>
            <w:r w:rsidR="00FA7B3E" w:rsidRPr="00407B2F">
              <w:rPr>
                <w:rStyle w:val="Hyperlink"/>
                <w:noProof/>
              </w:rPr>
              <w:t>Consumers participation and protection</w:t>
            </w:r>
            <w:r w:rsidR="00FA7B3E">
              <w:rPr>
                <w:noProof/>
                <w:webHidden/>
              </w:rPr>
              <w:tab/>
            </w:r>
            <w:r w:rsidR="00FA7B3E">
              <w:rPr>
                <w:noProof/>
                <w:webHidden/>
              </w:rPr>
              <w:fldChar w:fldCharType="begin"/>
            </w:r>
            <w:r w:rsidR="00FA7B3E">
              <w:rPr>
                <w:noProof/>
                <w:webHidden/>
              </w:rPr>
              <w:instrText xml:space="preserve"> PAGEREF _Toc89882332 \h </w:instrText>
            </w:r>
            <w:r w:rsidR="00FA7B3E">
              <w:rPr>
                <w:noProof/>
                <w:webHidden/>
              </w:rPr>
            </w:r>
            <w:r w:rsidR="00FA7B3E">
              <w:rPr>
                <w:noProof/>
                <w:webHidden/>
              </w:rPr>
              <w:fldChar w:fldCharType="separate"/>
            </w:r>
            <w:r w:rsidR="00FA7B3E">
              <w:rPr>
                <w:noProof/>
                <w:webHidden/>
              </w:rPr>
              <w:t>44</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33" w:history="1">
            <w:r w:rsidR="00FA7B3E" w:rsidRPr="00407B2F">
              <w:rPr>
                <w:rStyle w:val="Hyperlink"/>
                <w:rFonts w:eastAsia="Calibri"/>
                <w:noProof/>
              </w:rPr>
              <w:t>6.4.</w:t>
            </w:r>
            <w:r w:rsidR="00FA7B3E">
              <w:rPr>
                <w:rFonts w:asciiTheme="minorHAnsi" w:eastAsiaTheme="minorEastAsia" w:hAnsiTheme="minorHAnsi" w:cstheme="minorBidi"/>
                <w:noProof/>
                <w:sz w:val="22"/>
                <w:szCs w:val="22"/>
                <w:lang w:val="en-US"/>
              </w:rPr>
              <w:tab/>
            </w:r>
            <w:r w:rsidR="00FA7B3E" w:rsidRPr="00407B2F">
              <w:rPr>
                <w:rStyle w:val="Hyperlink"/>
                <w:rFonts w:eastAsia="Calibri"/>
                <w:noProof/>
              </w:rPr>
              <w:t>Coherence</w:t>
            </w:r>
            <w:r w:rsidR="00FA7B3E">
              <w:rPr>
                <w:noProof/>
                <w:webHidden/>
              </w:rPr>
              <w:tab/>
            </w:r>
            <w:r w:rsidR="00FA7B3E">
              <w:rPr>
                <w:noProof/>
                <w:webHidden/>
              </w:rPr>
              <w:fldChar w:fldCharType="begin"/>
            </w:r>
            <w:r w:rsidR="00FA7B3E">
              <w:rPr>
                <w:noProof/>
                <w:webHidden/>
              </w:rPr>
              <w:instrText xml:space="preserve"> PAGEREF _Toc89882333 \h </w:instrText>
            </w:r>
            <w:r w:rsidR="00FA7B3E">
              <w:rPr>
                <w:noProof/>
                <w:webHidden/>
              </w:rPr>
            </w:r>
            <w:r w:rsidR="00FA7B3E">
              <w:rPr>
                <w:noProof/>
                <w:webHidden/>
              </w:rPr>
              <w:fldChar w:fldCharType="separate"/>
            </w:r>
            <w:r w:rsidR="00FA7B3E">
              <w:rPr>
                <w:noProof/>
                <w:webHidden/>
              </w:rPr>
              <w:t>45</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4" w:history="1">
            <w:r w:rsidR="00FA7B3E" w:rsidRPr="00407B2F">
              <w:rPr>
                <w:rStyle w:val="Hyperlink"/>
                <w:noProof/>
                <w14:scene3d>
                  <w14:camera w14:prst="orthographicFront"/>
                  <w14:lightRig w14:rig="threePt" w14:dir="t">
                    <w14:rot w14:lat="0" w14:lon="0" w14:rev="0"/>
                  </w14:lightRig>
                </w14:scene3d>
              </w:rPr>
              <w:t>6.4.1.</w:t>
            </w:r>
            <w:r w:rsidR="00FA7B3E">
              <w:rPr>
                <w:rFonts w:asciiTheme="minorHAnsi" w:eastAsiaTheme="minorEastAsia" w:hAnsiTheme="minorHAnsi" w:cstheme="minorBidi"/>
                <w:noProof/>
                <w:sz w:val="22"/>
                <w:szCs w:val="22"/>
                <w:lang w:val="en-US"/>
              </w:rPr>
              <w:tab/>
            </w:r>
            <w:r w:rsidR="00FA7B3E" w:rsidRPr="00407B2F">
              <w:rPr>
                <w:rStyle w:val="Hyperlink"/>
                <w:noProof/>
              </w:rPr>
              <w:t>Internal Coherence</w:t>
            </w:r>
            <w:r w:rsidR="00FA7B3E">
              <w:rPr>
                <w:noProof/>
                <w:webHidden/>
              </w:rPr>
              <w:tab/>
            </w:r>
            <w:r w:rsidR="00FA7B3E">
              <w:rPr>
                <w:noProof/>
                <w:webHidden/>
              </w:rPr>
              <w:fldChar w:fldCharType="begin"/>
            </w:r>
            <w:r w:rsidR="00FA7B3E">
              <w:rPr>
                <w:noProof/>
                <w:webHidden/>
              </w:rPr>
              <w:instrText xml:space="preserve"> PAGEREF _Toc89882334 \h </w:instrText>
            </w:r>
            <w:r w:rsidR="00FA7B3E">
              <w:rPr>
                <w:noProof/>
                <w:webHidden/>
              </w:rPr>
            </w:r>
            <w:r w:rsidR="00FA7B3E">
              <w:rPr>
                <w:noProof/>
                <w:webHidden/>
              </w:rPr>
              <w:fldChar w:fldCharType="separate"/>
            </w:r>
            <w:r w:rsidR="00FA7B3E">
              <w:rPr>
                <w:noProof/>
                <w:webHidden/>
              </w:rPr>
              <w:t>46</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5" w:history="1">
            <w:r w:rsidR="00FA7B3E" w:rsidRPr="00407B2F">
              <w:rPr>
                <w:rStyle w:val="Hyperlink"/>
                <w:noProof/>
                <w14:scene3d>
                  <w14:camera w14:prst="orthographicFront"/>
                  <w14:lightRig w14:rig="threePt" w14:dir="t">
                    <w14:rot w14:lat="0" w14:lon="0" w14:rev="0"/>
                  </w14:lightRig>
                </w14:scene3d>
              </w:rPr>
              <w:t>6.4.2.</w:t>
            </w:r>
            <w:r w:rsidR="00FA7B3E">
              <w:rPr>
                <w:rFonts w:asciiTheme="minorHAnsi" w:eastAsiaTheme="minorEastAsia" w:hAnsiTheme="minorHAnsi" w:cstheme="minorBidi"/>
                <w:noProof/>
                <w:sz w:val="22"/>
                <w:szCs w:val="22"/>
                <w:lang w:val="en-US"/>
              </w:rPr>
              <w:tab/>
            </w:r>
            <w:r w:rsidR="00FA7B3E" w:rsidRPr="00407B2F">
              <w:rPr>
                <w:rStyle w:val="Hyperlink"/>
                <w:noProof/>
              </w:rPr>
              <w:t>External Coherence</w:t>
            </w:r>
            <w:r w:rsidR="00FA7B3E">
              <w:rPr>
                <w:noProof/>
                <w:webHidden/>
              </w:rPr>
              <w:tab/>
            </w:r>
            <w:r w:rsidR="00FA7B3E">
              <w:rPr>
                <w:noProof/>
                <w:webHidden/>
              </w:rPr>
              <w:fldChar w:fldCharType="begin"/>
            </w:r>
            <w:r w:rsidR="00FA7B3E">
              <w:rPr>
                <w:noProof/>
                <w:webHidden/>
              </w:rPr>
              <w:instrText xml:space="preserve"> PAGEREF _Toc89882335 \h </w:instrText>
            </w:r>
            <w:r w:rsidR="00FA7B3E">
              <w:rPr>
                <w:noProof/>
                <w:webHidden/>
              </w:rPr>
            </w:r>
            <w:r w:rsidR="00FA7B3E">
              <w:rPr>
                <w:noProof/>
                <w:webHidden/>
              </w:rPr>
              <w:fldChar w:fldCharType="separate"/>
            </w:r>
            <w:r w:rsidR="00FA7B3E">
              <w:rPr>
                <w:noProof/>
                <w:webHidden/>
              </w:rPr>
              <w:t>47</w:t>
            </w:r>
            <w:r w:rsidR="00FA7B3E">
              <w:rPr>
                <w:noProof/>
                <w:webHidden/>
              </w:rPr>
              <w:fldChar w:fldCharType="end"/>
            </w:r>
          </w:hyperlink>
        </w:p>
        <w:p w:rsidR="00FA7B3E" w:rsidRDefault="00F9467E">
          <w:pPr>
            <w:pStyle w:val="TOC2"/>
            <w:rPr>
              <w:rFonts w:asciiTheme="minorHAnsi" w:eastAsiaTheme="minorEastAsia" w:hAnsiTheme="minorHAnsi" w:cstheme="minorBidi"/>
              <w:noProof/>
              <w:sz w:val="22"/>
              <w:szCs w:val="22"/>
              <w:lang w:val="en-US"/>
            </w:rPr>
          </w:pPr>
          <w:hyperlink w:anchor="_Toc89882336" w:history="1">
            <w:r w:rsidR="00FA7B3E" w:rsidRPr="00407B2F">
              <w:rPr>
                <w:rStyle w:val="Hyperlink"/>
                <w:noProof/>
              </w:rPr>
              <w:t>6.5.</w:t>
            </w:r>
            <w:r w:rsidR="00FA7B3E">
              <w:rPr>
                <w:rFonts w:asciiTheme="minorHAnsi" w:eastAsiaTheme="minorEastAsia" w:hAnsiTheme="minorHAnsi" w:cstheme="minorBidi"/>
                <w:noProof/>
                <w:sz w:val="22"/>
                <w:szCs w:val="22"/>
                <w:lang w:val="en-US"/>
              </w:rPr>
              <w:tab/>
            </w:r>
            <w:r w:rsidR="00FA7B3E" w:rsidRPr="00407B2F">
              <w:rPr>
                <w:rStyle w:val="Hyperlink"/>
                <w:noProof/>
              </w:rPr>
              <w:t>EU value added</w:t>
            </w:r>
            <w:r w:rsidR="00FA7B3E">
              <w:rPr>
                <w:noProof/>
                <w:webHidden/>
              </w:rPr>
              <w:tab/>
            </w:r>
            <w:r w:rsidR="00FA7B3E">
              <w:rPr>
                <w:noProof/>
                <w:webHidden/>
              </w:rPr>
              <w:fldChar w:fldCharType="begin"/>
            </w:r>
            <w:r w:rsidR="00FA7B3E">
              <w:rPr>
                <w:noProof/>
                <w:webHidden/>
              </w:rPr>
              <w:instrText xml:space="preserve"> PAGEREF _Toc89882336 \h </w:instrText>
            </w:r>
            <w:r w:rsidR="00FA7B3E">
              <w:rPr>
                <w:noProof/>
                <w:webHidden/>
              </w:rPr>
            </w:r>
            <w:r w:rsidR="00FA7B3E">
              <w:rPr>
                <w:noProof/>
                <w:webHidden/>
              </w:rPr>
              <w:fldChar w:fldCharType="separate"/>
            </w:r>
            <w:r w:rsidR="00FA7B3E">
              <w:rPr>
                <w:noProof/>
                <w:webHidden/>
              </w:rPr>
              <w:t>54</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7" w:history="1">
            <w:r w:rsidR="00FA7B3E" w:rsidRPr="00407B2F">
              <w:rPr>
                <w:rStyle w:val="Hyperlink"/>
                <w:noProof/>
                <w14:scene3d>
                  <w14:camera w14:prst="orthographicFront"/>
                  <w14:lightRig w14:rig="threePt" w14:dir="t">
                    <w14:rot w14:lat="0" w14:lon="0" w14:rev="0"/>
                  </w14:lightRig>
                </w14:scene3d>
              </w:rPr>
              <w:t>6.5.1.</w:t>
            </w:r>
            <w:r w:rsidR="00FA7B3E">
              <w:rPr>
                <w:rFonts w:asciiTheme="minorHAnsi" w:eastAsiaTheme="minorEastAsia" w:hAnsiTheme="minorHAnsi" w:cstheme="minorBidi"/>
                <w:noProof/>
                <w:sz w:val="22"/>
                <w:szCs w:val="22"/>
                <w:lang w:val="en-US"/>
              </w:rPr>
              <w:tab/>
            </w:r>
            <w:r w:rsidR="00FA7B3E" w:rsidRPr="00407B2F">
              <w:rPr>
                <w:rStyle w:val="Hyperlink"/>
                <w:noProof/>
              </w:rPr>
              <w:t>Value added of EU market framework</w:t>
            </w:r>
            <w:r w:rsidR="00FA7B3E">
              <w:rPr>
                <w:noProof/>
                <w:webHidden/>
              </w:rPr>
              <w:tab/>
            </w:r>
            <w:r w:rsidR="00FA7B3E">
              <w:rPr>
                <w:noProof/>
                <w:webHidden/>
              </w:rPr>
              <w:fldChar w:fldCharType="begin"/>
            </w:r>
            <w:r w:rsidR="00FA7B3E">
              <w:rPr>
                <w:noProof/>
                <w:webHidden/>
              </w:rPr>
              <w:instrText xml:space="preserve"> PAGEREF _Toc89882337 \h </w:instrText>
            </w:r>
            <w:r w:rsidR="00FA7B3E">
              <w:rPr>
                <w:noProof/>
                <w:webHidden/>
              </w:rPr>
            </w:r>
            <w:r w:rsidR="00FA7B3E">
              <w:rPr>
                <w:noProof/>
                <w:webHidden/>
              </w:rPr>
              <w:fldChar w:fldCharType="separate"/>
            </w:r>
            <w:r w:rsidR="00FA7B3E">
              <w:rPr>
                <w:noProof/>
                <w:webHidden/>
              </w:rPr>
              <w:t>54</w:t>
            </w:r>
            <w:r w:rsidR="00FA7B3E">
              <w:rPr>
                <w:noProof/>
                <w:webHidden/>
              </w:rPr>
              <w:fldChar w:fldCharType="end"/>
            </w:r>
          </w:hyperlink>
        </w:p>
        <w:p w:rsidR="00FA7B3E" w:rsidRDefault="00F9467E">
          <w:pPr>
            <w:pStyle w:val="TOC3"/>
            <w:rPr>
              <w:rFonts w:asciiTheme="minorHAnsi" w:eastAsiaTheme="minorEastAsia" w:hAnsiTheme="minorHAnsi" w:cstheme="minorBidi"/>
              <w:noProof/>
              <w:sz w:val="22"/>
              <w:szCs w:val="22"/>
              <w:lang w:val="en-US"/>
            </w:rPr>
          </w:pPr>
          <w:hyperlink w:anchor="_Toc89882338" w:history="1">
            <w:r w:rsidR="00FA7B3E" w:rsidRPr="00407B2F">
              <w:rPr>
                <w:rStyle w:val="Hyperlink"/>
                <w:noProof/>
                <w14:scene3d>
                  <w14:camera w14:prst="orthographicFront"/>
                  <w14:lightRig w14:rig="threePt" w14:dir="t">
                    <w14:rot w14:lat="0" w14:lon="0" w14:rev="0"/>
                  </w14:lightRig>
                </w14:scene3d>
              </w:rPr>
              <w:t>6.5.2.</w:t>
            </w:r>
            <w:r w:rsidR="00FA7B3E">
              <w:rPr>
                <w:rFonts w:asciiTheme="minorHAnsi" w:eastAsiaTheme="minorEastAsia" w:hAnsiTheme="minorHAnsi" w:cstheme="minorBidi"/>
                <w:noProof/>
                <w:sz w:val="22"/>
                <w:szCs w:val="22"/>
                <w:lang w:val="en-US"/>
              </w:rPr>
              <w:tab/>
            </w:r>
            <w:r w:rsidR="00FA7B3E" w:rsidRPr="00407B2F">
              <w:rPr>
                <w:rStyle w:val="Hyperlink"/>
                <w:noProof/>
              </w:rPr>
              <w:t>Assessing the case for continuing EU-intervention</w:t>
            </w:r>
            <w:r w:rsidR="00FA7B3E">
              <w:rPr>
                <w:noProof/>
                <w:webHidden/>
              </w:rPr>
              <w:tab/>
            </w:r>
            <w:r w:rsidR="00FA7B3E">
              <w:rPr>
                <w:noProof/>
                <w:webHidden/>
              </w:rPr>
              <w:fldChar w:fldCharType="begin"/>
            </w:r>
            <w:r w:rsidR="00FA7B3E">
              <w:rPr>
                <w:noProof/>
                <w:webHidden/>
              </w:rPr>
              <w:instrText xml:space="preserve"> PAGEREF _Toc89882338 \h </w:instrText>
            </w:r>
            <w:r w:rsidR="00FA7B3E">
              <w:rPr>
                <w:noProof/>
                <w:webHidden/>
              </w:rPr>
            </w:r>
            <w:r w:rsidR="00FA7B3E">
              <w:rPr>
                <w:noProof/>
                <w:webHidden/>
              </w:rPr>
              <w:fldChar w:fldCharType="separate"/>
            </w:r>
            <w:r w:rsidR="00FA7B3E">
              <w:rPr>
                <w:noProof/>
                <w:webHidden/>
              </w:rPr>
              <w:t>58</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39" w:history="1">
            <w:r w:rsidR="00FA7B3E" w:rsidRPr="00407B2F">
              <w:rPr>
                <w:rStyle w:val="Hyperlink"/>
                <w:noProof/>
              </w:rPr>
              <w:t>7.</w:t>
            </w:r>
            <w:r w:rsidR="00FA7B3E">
              <w:rPr>
                <w:rFonts w:asciiTheme="minorHAnsi" w:eastAsiaTheme="minorEastAsia" w:hAnsiTheme="minorHAnsi" w:cstheme="minorBidi"/>
                <w:noProof/>
                <w:sz w:val="22"/>
                <w:szCs w:val="22"/>
                <w:lang w:val="en-US"/>
              </w:rPr>
              <w:tab/>
            </w:r>
            <w:r w:rsidR="00FA7B3E" w:rsidRPr="00407B2F">
              <w:rPr>
                <w:rStyle w:val="Hyperlink"/>
                <w:noProof/>
              </w:rPr>
              <w:t>Conclusions</w:t>
            </w:r>
            <w:r w:rsidR="00FA7B3E">
              <w:rPr>
                <w:noProof/>
                <w:webHidden/>
              </w:rPr>
              <w:tab/>
            </w:r>
            <w:r w:rsidR="00FA7B3E">
              <w:rPr>
                <w:noProof/>
                <w:webHidden/>
              </w:rPr>
              <w:fldChar w:fldCharType="begin"/>
            </w:r>
            <w:r w:rsidR="00FA7B3E">
              <w:rPr>
                <w:noProof/>
                <w:webHidden/>
              </w:rPr>
              <w:instrText xml:space="preserve"> PAGEREF _Toc89882339 \h </w:instrText>
            </w:r>
            <w:r w:rsidR="00FA7B3E">
              <w:rPr>
                <w:noProof/>
                <w:webHidden/>
              </w:rPr>
            </w:r>
            <w:r w:rsidR="00FA7B3E">
              <w:rPr>
                <w:noProof/>
                <w:webHidden/>
              </w:rPr>
              <w:fldChar w:fldCharType="separate"/>
            </w:r>
            <w:r w:rsidR="00FA7B3E">
              <w:rPr>
                <w:noProof/>
                <w:webHidden/>
              </w:rPr>
              <w:t>59</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40" w:history="1">
            <w:r w:rsidR="00FA7B3E" w:rsidRPr="00407B2F">
              <w:rPr>
                <w:rStyle w:val="Hyperlink"/>
                <w:i/>
                <w:iCs/>
                <w:noProof/>
              </w:rPr>
              <w:t>Annex 1</w:t>
            </w:r>
            <w:r w:rsidR="00FA7B3E" w:rsidRPr="00407B2F">
              <w:rPr>
                <w:rStyle w:val="Hyperlink"/>
                <w:i/>
                <w:noProof/>
              </w:rPr>
              <w:t xml:space="preserve"> </w:t>
            </w:r>
            <w:r w:rsidR="00FA7B3E" w:rsidRPr="00407B2F">
              <w:rPr>
                <w:rStyle w:val="Hyperlink"/>
                <w:noProof/>
              </w:rPr>
              <w:t>– Procedural information</w:t>
            </w:r>
            <w:r w:rsidR="00FA7B3E">
              <w:rPr>
                <w:noProof/>
                <w:webHidden/>
              </w:rPr>
              <w:tab/>
            </w:r>
            <w:r w:rsidR="00FA7B3E">
              <w:rPr>
                <w:noProof/>
                <w:webHidden/>
              </w:rPr>
              <w:fldChar w:fldCharType="begin"/>
            </w:r>
            <w:r w:rsidR="00FA7B3E">
              <w:rPr>
                <w:noProof/>
                <w:webHidden/>
              </w:rPr>
              <w:instrText xml:space="preserve"> PAGEREF _Toc89882340 \h </w:instrText>
            </w:r>
            <w:r w:rsidR="00FA7B3E">
              <w:rPr>
                <w:noProof/>
                <w:webHidden/>
              </w:rPr>
            </w:r>
            <w:r w:rsidR="00FA7B3E">
              <w:rPr>
                <w:noProof/>
                <w:webHidden/>
              </w:rPr>
              <w:fldChar w:fldCharType="separate"/>
            </w:r>
            <w:r w:rsidR="00FA7B3E">
              <w:rPr>
                <w:noProof/>
                <w:webHidden/>
              </w:rPr>
              <w:t>62</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41" w:history="1">
            <w:r w:rsidR="00FA7B3E" w:rsidRPr="00407B2F">
              <w:rPr>
                <w:rStyle w:val="Hyperlink"/>
                <w:i/>
                <w:iCs/>
                <w:noProof/>
              </w:rPr>
              <w:t>Annex 2</w:t>
            </w:r>
            <w:r w:rsidR="00FA7B3E" w:rsidRPr="00407B2F">
              <w:rPr>
                <w:rStyle w:val="Hyperlink"/>
                <w:noProof/>
              </w:rPr>
              <w:t xml:space="preserve"> </w:t>
            </w:r>
            <w:r w:rsidR="00FA7B3E" w:rsidRPr="00407B2F">
              <w:rPr>
                <w:rStyle w:val="Hyperlink"/>
                <w:i/>
                <w:iCs/>
                <w:noProof/>
              </w:rPr>
              <w:t>–</w:t>
            </w:r>
            <w:r w:rsidR="00FA7B3E" w:rsidRPr="00407B2F">
              <w:rPr>
                <w:rStyle w:val="Hyperlink"/>
                <w:i/>
                <w:noProof/>
              </w:rPr>
              <w:t xml:space="preserve"> </w:t>
            </w:r>
            <w:r w:rsidR="00FA7B3E" w:rsidRPr="00407B2F">
              <w:rPr>
                <w:rStyle w:val="Hyperlink"/>
                <w:noProof/>
              </w:rPr>
              <w:t>Stakeholder consultation</w:t>
            </w:r>
            <w:r w:rsidR="00FA7B3E">
              <w:rPr>
                <w:noProof/>
                <w:webHidden/>
              </w:rPr>
              <w:tab/>
            </w:r>
            <w:r w:rsidR="00FA7B3E">
              <w:rPr>
                <w:noProof/>
                <w:webHidden/>
              </w:rPr>
              <w:fldChar w:fldCharType="begin"/>
            </w:r>
            <w:r w:rsidR="00FA7B3E">
              <w:rPr>
                <w:noProof/>
                <w:webHidden/>
              </w:rPr>
              <w:instrText xml:space="preserve"> PAGEREF _Toc89882341 \h </w:instrText>
            </w:r>
            <w:r w:rsidR="00FA7B3E">
              <w:rPr>
                <w:noProof/>
                <w:webHidden/>
              </w:rPr>
            </w:r>
            <w:r w:rsidR="00FA7B3E">
              <w:rPr>
                <w:noProof/>
                <w:webHidden/>
              </w:rPr>
              <w:fldChar w:fldCharType="separate"/>
            </w:r>
            <w:r w:rsidR="00FA7B3E">
              <w:rPr>
                <w:noProof/>
                <w:webHidden/>
              </w:rPr>
              <w:t>62</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42" w:history="1">
            <w:r w:rsidR="00FA7B3E" w:rsidRPr="00407B2F">
              <w:rPr>
                <w:rStyle w:val="Hyperlink"/>
                <w:i/>
                <w:iCs/>
                <w:noProof/>
              </w:rPr>
              <w:t xml:space="preserve">Annex 3 – </w:t>
            </w:r>
            <w:r w:rsidR="00FA7B3E" w:rsidRPr="00407B2F">
              <w:rPr>
                <w:rStyle w:val="Hyperlink"/>
                <w:noProof/>
              </w:rPr>
              <w:t>Table of Synergies between Evaluation and Impact Assessment as well as relevant connected legal acts which require revision</w:t>
            </w:r>
            <w:r w:rsidR="00FA7B3E">
              <w:rPr>
                <w:noProof/>
                <w:webHidden/>
              </w:rPr>
              <w:tab/>
            </w:r>
            <w:r w:rsidR="00FA7B3E">
              <w:rPr>
                <w:noProof/>
                <w:webHidden/>
              </w:rPr>
              <w:fldChar w:fldCharType="begin"/>
            </w:r>
            <w:r w:rsidR="00FA7B3E">
              <w:rPr>
                <w:noProof/>
                <w:webHidden/>
              </w:rPr>
              <w:instrText xml:space="preserve"> PAGEREF _Toc89882342 \h </w:instrText>
            </w:r>
            <w:r w:rsidR="00FA7B3E">
              <w:rPr>
                <w:noProof/>
                <w:webHidden/>
              </w:rPr>
            </w:r>
            <w:r w:rsidR="00FA7B3E">
              <w:rPr>
                <w:noProof/>
                <w:webHidden/>
              </w:rPr>
              <w:fldChar w:fldCharType="separate"/>
            </w:r>
            <w:r w:rsidR="00FA7B3E">
              <w:rPr>
                <w:noProof/>
                <w:webHidden/>
              </w:rPr>
              <w:t>63</w:t>
            </w:r>
            <w:r w:rsidR="00FA7B3E">
              <w:rPr>
                <w:noProof/>
                <w:webHidden/>
              </w:rPr>
              <w:fldChar w:fldCharType="end"/>
            </w:r>
          </w:hyperlink>
        </w:p>
        <w:p w:rsidR="00FA7B3E" w:rsidRDefault="00F9467E">
          <w:pPr>
            <w:pStyle w:val="TOC1"/>
            <w:rPr>
              <w:rFonts w:asciiTheme="minorHAnsi" w:eastAsiaTheme="minorEastAsia" w:hAnsiTheme="minorHAnsi" w:cstheme="minorBidi"/>
              <w:noProof/>
              <w:sz w:val="22"/>
              <w:szCs w:val="22"/>
              <w:lang w:val="en-US"/>
            </w:rPr>
          </w:pPr>
          <w:hyperlink w:anchor="_Toc89882343" w:history="1">
            <w:r w:rsidR="00FA7B3E" w:rsidRPr="00407B2F">
              <w:rPr>
                <w:rStyle w:val="Hyperlink"/>
                <w:i/>
                <w:iCs/>
                <w:noProof/>
              </w:rPr>
              <w:t xml:space="preserve">Annex 4 </w:t>
            </w:r>
            <w:r w:rsidR="00FA7B3E" w:rsidRPr="00407B2F">
              <w:rPr>
                <w:rStyle w:val="Hyperlink"/>
                <w:iCs/>
                <w:noProof/>
              </w:rPr>
              <w:t>– Specific aspects of Retail market competition and consumer gas prices, products and services</w:t>
            </w:r>
            <w:r w:rsidR="00FA7B3E">
              <w:rPr>
                <w:noProof/>
                <w:webHidden/>
              </w:rPr>
              <w:tab/>
            </w:r>
            <w:r w:rsidR="00FA7B3E">
              <w:rPr>
                <w:noProof/>
                <w:webHidden/>
              </w:rPr>
              <w:fldChar w:fldCharType="begin"/>
            </w:r>
            <w:r w:rsidR="00FA7B3E">
              <w:rPr>
                <w:noProof/>
                <w:webHidden/>
              </w:rPr>
              <w:instrText xml:space="preserve"> PAGEREF _Toc89882343 \h </w:instrText>
            </w:r>
            <w:r w:rsidR="00FA7B3E">
              <w:rPr>
                <w:noProof/>
                <w:webHidden/>
              </w:rPr>
            </w:r>
            <w:r w:rsidR="00FA7B3E">
              <w:rPr>
                <w:noProof/>
                <w:webHidden/>
              </w:rPr>
              <w:fldChar w:fldCharType="separate"/>
            </w:r>
            <w:r w:rsidR="00FA7B3E">
              <w:rPr>
                <w:noProof/>
                <w:webHidden/>
              </w:rPr>
              <w:t>67</w:t>
            </w:r>
            <w:r w:rsidR="00FA7B3E">
              <w:rPr>
                <w:noProof/>
                <w:webHidden/>
              </w:rPr>
              <w:fldChar w:fldCharType="end"/>
            </w:r>
          </w:hyperlink>
        </w:p>
        <w:p w:rsidR="008A6107" w:rsidRPr="00DC621B" w:rsidRDefault="008A6107">
          <w:pPr>
            <w:rPr>
              <w:noProof/>
            </w:rPr>
          </w:pPr>
          <w:r w:rsidRPr="00DC621B">
            <w:rPr>
              <w:b/>
              <w:bCs/>
              <w:noProof/>
            </w:rPr>
            <w:lastRenderedPageBreak/>
            <w:fldChar w:fldCharType="end"/>
          </w:r>
        </w:p>
      </w:sdtContent>
    </w:sdt>
    <w:p w:rsidR="00C26AFA" w:rsidRDefault="00C26AFA" w:rsidP="009D744A">
      <w:pPr>
        <w:spacing w:after="0"/>
        <w:ind w:right="-28"/>
        <w:jc w:val="center"/>
        <w:rPr>
          <w:b/>
          <w:bCs/>
          <w:noProof/>
          <w:sz w:val="28"/>
          <w:szCs w:val="28"/>
        </w:rPr>
      </w:pPr>
      <w:r w:rsidRPr="009D744A">
        <w:rPr>
          <w:b/>
          <w:bCs/>
          <w:noProof/>
          <w:sz w:val="28"/>
          <w:szCs w:val="28"/>
        </w:rPr>
        <w:t>Table of Figures</w:t>
      </w:r>
    </w:p>
    <w:p w:rsidR="003A66A4" w:rsidRPr="009D744A" w:rsidRDefault="003A66A4" w:rsidP="009D744A">
      <w:pPr>
        <w:spacing w:after="0"/>
        <w:ind w:right="-28"/>
        <w:jc w:val="center"/>
        <w:rPr>
          <w:b/>
          <w:bCs/>
          <w:noProof/>
          <w:sz w:val="28"/>
          <w:szCs w:val="28"/>
        </w:rPr>
      </w:pPr>
    </w:p>
    <w:p w:rsidR="00FA7B3E" w:rsidRDefault="00CC3399">
      <w:pPr>
        <w:pStyle w:val="TableofFigures"/>
        <w:tabs>
          <w:tab w:val="right" w:leader="dot" w:pos="9062"/>
        </w:tabs>
        <w:rPr>
          <w:rFonts w:asciiTheme="minorHAnsi" w:eastAsiaTheme="minorEastAsia" w:hAnsiTheme="minorHAnsi" w:cstheme="minorBidi"/>
          <w:noProof/>
          <w:sz w:val="22"/>
          <w:szCs w:val="22"/>
          <w:lang w:val="en-US"/>
        </w:rPr>
      </w:pPr>
      <w:r w:rsidRPr="00DC621B">
        <w:rPr>
          <w:noProof/>
          <w:sz w:val="28"/>
          <w:szCs w:val="24"/>
        </w:rPr>
        <w:fldChar w:fldCharType="begin"/>
      </w:r>
      <w:r w:rsidRPr="00DC621B">
        <w:rPr>
          <w:noProof/>
          <w:sz w:val="28"/>
          <w:szCs w:val="24"/>
        </w:rPr>
        <w:instrText xml:space="preserve"> TOC \h \z \c "Figure" </w:instrText>
      </w:r>
      <w:r w:rsidRPr="00DC621B">
        <w:rPr>
          <w:noProof/>
          <w:sz w:val="28"/>
          <w:szCs w:val="24"/>
        </w:rPr>
        <w:fldChar w:fldCharType="separate"/>
      </w:r>
      <w:hyperlink w:anchor="_Toc89882413" w:history="1">
        <w:r w:rsidR="00FA7B3E" w:rsidRPr="004962EA">
          <w:rPr>
            <w:rStyle w:val="Hyperlink"/>
            <w:noProof/>
          </w:rPr>
          <w:t>Figure 1: Fitness Check evaluation logic</w:t>
        </w:r>
        <w:r w:rsidR="00FA7B3E">
          <w:rPr>
            <w:noProof/>
            <w:webHidden/>
          </w:rPr>
          <w:tab/>
        </w:r>
        <w:r w:rsidR="00FA7B3E">
          <w:rPr>
            <w:noProof/>
            <w:webHidden/>
          </w:rPr>
          <w:fldChar w:fldCharType="begin"/>
        </w:r>
        <w:r w:rsidR="00FA7B3E">
          <w:rPr>
            <w:noProof/>
            <w:webHidden/>
          </w:rPr>
          <w:instrText xml:space="preserve"> PAGEREF _Toc89882413 \h </w:instrText>
        </w:r>
        <w:r w:rsidR="00FA7B3E">
          <w:rPr>
            <w:noProof/>
            <w:webHidden/>
          </w:rPr>
        </w:r>
        <w:r w:rsidR="00FA7B3E">
          <w:rPr>
            <w:noProof/>
            <w:webHidden/>
          </w:rPr>
          <w:fldChar w:fldCharType="separate"/>
        </w:r>
        <w:r w:rsidR="00FA7B3E">
          <w:rPr>
            <w:noProof/>
            <w:webHidden/>
          </w:rPr>
          <w:t>12</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4" w:history="1">
        <w:r w:rsidR="00FA7B3E" w:rsidRPr="004962EA">
          <w:rPr>
            <w:rStyle w:val="Hyperlink"/>
            <w:noProof/>
          </w:rPr>
          <w:t>Figure 2: Average household gas price increase</w:t>
        </w:r>
        <w:r w:rsidR="00FA7B3E">
          <w:rPr>
            <w:noProof/>
            <w:webHidden/>
          </w:rPr>
          <w:tab/>
        </w:r>
        <w:r w:rsidR="00FA7B3E">
          <w:rPr>
            <w:noProof/>
            <w:webHidden/>
          </w:rPr>
          <w:fldChar w:fldCharType="begin"/>
        </w:r>
        <w:r w:rsidR="00FA7B3E">
          <w:rPr>
            <w:noProof/>
            <w:webHidden/>
          </w:rPr>
          <w:instrText xml:space="preserve"> PAGEREF _Toc89882414 \h </w:instrText>
        </w:r>
        <w:r w:rsidR="00FA7B3E">
          <w:rPr>
            <w:noProof/>
            <w:webHidden/>
          </w:rPr>
        </w:r>
        <w:r w:rsidR="00FA7B3E">
          <w:rPr>
            <w:noProof/>
            <w:webHidden/>
          </w:rPr>
          <w:fldChar w:fldCharType="separate"/>
        </w:r>
        <w:r w:rsidR="00FA7B3E">
          <w:rPr>
            <w:noProof/>
            <w:webHidden/>
          </w:rPr>
          <w:t>21</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5" w:history="1">
        <w:r w:rsidR="00FA7B3E" w:rsidRPr="004962EA">
          <w:rPr>
            <w:rStyle w:val="Hyperlink"/>
            <w:noProof/>
          </w:rPr>
          <w:t>Figure 3: Composition of the EU household gas price (DC)</w:t>
        </w:r>
        <w:r w:rsidR="00FA7B3E">
          <w:rPr>
            <w:noProof/>
            <w:webHidden/>
          </w:rPr>
          <w:tab/>
        </w:r>
        <w:r w:rsidR="00FA7B3E">
          <w:rPr>
            <w:noProof/>
            <w:webHidden/>
          </w:rPr>
          <w:fldChar w:fldCharType="begin"/>
        </w:r>
        <w:r w:rsidR="00FA7B3E">
          <w:rPr>
            <w:noProof/>
            <w:webHidden/>
          </w:rPr>
          <w:instrText xml:space="preserve"> PAGEREF _Toc89882415 \h </w:instrText>
        </w:r>
        <w:r w:rsidR="00FA7B3E">
          <w:rPr>
            <w:noProof/>
            <w:webHidden/>
          </w:rPr>
        </w:r>
        <w:r w:rsidR="00FA7B3E">
          <w:rPr>
            <w:noProof/>
            <w:webHidden/>
          </w:rPr>
          <w:fldChar w:fldCharType="separate"/>
        </w:r>
        <w:r w:rsidR="00FA7B3E">
          <w:rPr>
            <w:noProof/>
            <w:webHidden/>
          </w:rPr>
          <w:t>22</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6" w:history="1">
        <w:r w:rsidR="00FA7B3E" w:rsidRPr="004962EA">
          <w:rPr>
            <w:rStyle w:val="Hyperlink"/>
            <w:noProof/>
          </w:rPr>
          <w:t>Figure 4: Performance indicators – Difficulties of switching</w:t>
        </w:r>
        <w:r w:rsidR="00FA7B3E">
          <w:rPr>
            <w:noProof/>
            <w:webHidden/>
          </w:rPr>
          <w:tab/>
        </w:r>
        <w:r w:rsidR="00FA7B3E">
          <w:rPr>
            <w:noProof/>
            <w:webHidden/>
          </w:rPr>
          <w:fldChar w:fldCharType="begin"/>
        </w:r>
        <w:r w:rsidR="00FA7B3E">
          <w:rPr>
            <w:noProof/>
            <w:webHidden/>
          </w:rPr>
          <w:instrText xml:space="preserve"> PAGEREF _Toc89882416 \h </w:instrText>
        </w:r>
        <w:r w:rsidR="00FA7B3E">
          <w:rPr>
            <w:noProof/>
            <w:webHidden/>
          </w:rPr>
        </w:r>
        <w:r w:rsidR="00FA7B3E">
          <w:rPr>
            <w:noProof/>
            <w:webHidden/>
          </w:rPr>
          <w:fldChar w:fldCharType="separate"/>
        </w:r>
        <w:r w:rsidR="00FA7B3E">
          <w:rPr>
            <w:noProof/>
            <w:webHidden/>
          </w:rPr>
          <w:t>31</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7" w:history="1">
        <w:r w:rsidR="00FA7B3E" w:rsidRPr="004962EA">
          <w:rPr>
            <w:rStyle w:val="Hyperlink"/>
            <w:noProof/>
          </w:rPr>
          <w:t>Figure 5: Market shares of three largest gas suppliers for households by metering points and number of suppliers for households with a market share above 5% by metering points</w:t>
        </w:r>
        <w:r w:rsidR="00FA7B3E">
          <w:rPr>
            <w:noProof/>
            <w:webHidden/>
          </w:rPr>
          <w:tab/>
        </w:r>
        <w:r w:rsidR="00FA7B3E">
          <w:rPr>
            <w:noProof/>
            <w:webHidden/>
          </w:rPr>
          <w:fldChar w:fldCharType="begin"/>
        </w:r>
        <w:r w:rsidR="00FA7B3E">
          <w:rPr>
            <w:noProof/>
            <w:webHidden/>
          </w:rPr>
          <w:instrText xml:space="preserve"> PAGEREF _Toc89882417 \h </w:instrText>
        </w:r>
        <w:r w:rsidR="00FA7B3E">
          <w:rPr>
            <w:noProof/>
            <w:webHidden/>
          </w:rPr>
        </w:r>
        <w:r w:rsidR="00FA7B3E">
          <w:rPr>
            <w:noProof/>
            <w:webHidden/>
          </w:rPr>
          <w:fldChar w:fldCharType="separate"/>
        </w:r>
        <w:r w:rsidR="00FA7B3E">
          <w:rPr>
            <w:noProof/>
            <w:webHidden/>
          </w:rPr>
          <w:t>67</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8" w:history="1">
        <w:r w:rsidR="00FA7B3E" w:rsidRPr="004962EA">
          <w:rPr>
            <w:rStyle w:val="Hyperlink"/>
            <w:noProof/>
          </w:rPr>
          <w:t>Figure 6: Market share of the three largest suppliers in the market for households – Gas (by metering points, in %)</w:t>
        </w:r>
        <w:r w:rsidR="00FA7B3E">
          <w:rPr>
            <w:noProof/>
            <w:webHidden/>
          </w:rPr>
          <w:tab/>
        </w:r>
        <w:r w:rsidR="00FA7B3E">
          <w:rPr>
            <w:noProof/>
            <w:webHidden/>
          </w:rPr>
          <w:fldChar w:fldCharType="begin"/>
        </w:r>
        <w:r w:rsidR="00FA7B3E">
          <w:rPr>
            <w:noProof/>
            <w:webHidden/>
          </w:rPr>
          <w:instrText xml:space="preserve"> PAGEREF _Toc89882418 \h </w:instrText>
        </w:r>
        <w:r w:rsidR="00FA7B3E">
          <w:rPr>
            <w:noProof/>
            <w:webHidden/>
          </w:rPr>
        </w:r>
        <w:r w:rsidR="00FA7B3E">
          <w:rPr>
            <w:noProof/>
            <w:webHidden/>
          </w:rPr>
          <w:fldChar w:fldCharType="separate"/>
        </w:r>
        <w:r w:rsidR="00FA7B3E">
          <w:rPr>
            <w:noProof/>
            <w:webHidden/>
          </w:rPr>
          <w:t>67</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19" w:history="1">
        <w:r w:rsidR="00FA7B3E" w:rsidRPr="004962EA">
          <w:rPr>
            <w:rStyle w:val="Hyperlink"/>
            <w:noProof/>
          </w:rPr>
          <w:t>Figure 7: Number of Member States where the offer is available</w:t>
        </w:r>
        <w:r w:rsidR="00FA7B3E">
          <w:rPr>
            <w:noProof/>
            <w:webHidden/>
          </w:rPr>
          <w:tab/>
        </w:r>
        <w:r w:rsidR="00FA7B3E">
          <w:rPr>
            <w:noProof/>
            <w:webHidden/>
          </w:rPr>
          <w:fldChar w:fldCharType="begin"/>
        </w:r>
        <w:r w:rsidR="00FA7B3E">
          <w:rPr>
            <w:noProof/>
            <w:webHidden/>
          </w:rPr>
          <w:instrText xml:space="preserve"> PAGEREF _Toc89882419 \h </w:instrText>
        </w:r>
        <w:r w:rsidR="00FA7B3E">
          <w:rPr>
            <w:noProof/>
            <w:webHidden/>
          </w:rPr>
        </w:r>
        <w:r w:rsidR="00FA7B3E">
          <w:rPr>
            <w:noProof/>
            <w:webHidden/>
          </w:rPr>
          <w:fldChar w:fldCharType="separate"/>
        </w:r>
        <w:r w:rsidR="00FA7B3E">
          <w:rPr>
            <w:noProof/>
            <w:webHidden/>
          </w:rPr>
          <w:t>68</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0" w:history="1">
        <w:r w:rsidR="00FA7B3E" w:rsidRPr="004962EA">
          <w:rPr>
            <w:rStyle w:val="Hyperlink"/>
            <w:noProof/>
          </w:rPr>
          <w:t>Figure 8: Existence of price intervention in electricity and in natural gas in 2019</w:t>
        </w:r>
        <w:r w:rsidR="00FA7B3E">
          <w:rPr>
            <w:noProof/>
            <w:webHidden/>
          </w:rPr>
          <w:tab/>
        </w:r>
        <w:r w:rsidR="00FA7B3E">
          <w:rPr>
            <w:noProof/>
            <w:webHidden/>
          </w:rPr>
          <w:fldChar w:fldCharType="begin"/>
        </w:r>
        <w:r w:rsidR="00FA7B3E">
          <w:rPr>
            <w:noProof/>
            <w:webHidden/>
          </w:rPr>
          <w:instrText xml:space="preserve"> PAGEREF _Toc89882420 \h </w:instrText>
        </w:r>
        <w:r w:rsidR="00FA7B3E">
          <w:rPr>
            <w:noProof/>
            <w:webHidden/>
          </w:rPr>
        </w:r>
        <w:r w:rsidR="00FA7B3E">
          <w:rPr>
            <w:noProof/>
            <w:webHidden/>
          </w:rPr>
          <w:fldChar w:fldCharType="separate"/>
        </w:r>
        <w:r w:rsidR="00FA7B3E">
          <w:rPr>
            <w:noProof/>
            <w:webHidden/>
          </w:rPr>
          <w:t>69</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1" w:history="1">
        <w:r w:rsidR="00FA7B3E" w:rsidRPr="004962EA">
          <w:rPr>
            <w:rStyle w:val="Hyperlink"/>
            <w:noProof/>
          </w:rPr>
          <w:t>Figure 9: Performance indicators – Market foreclosure by price regulation</w:t>
        </w:r>
        <w:r w:rsidR="00FA7B3E">
          <w:rPr>
            <w:noProof/>
            <w:webHidden/>
          </w:rPr>
          <w:tab/>
        </w:r>
        <w:r w:rsidR="00FA7B3E">
          <w:rPr>
            <w:noProof/>
            <w:webHidden/>
          </w:rPr>
          <w:fldChar w:fldCharType="begin"/>
        </w:r>
        <w:r w:rsidR="00FA7B3E">
          <w:rPr>
            <w:noProof/>
            <w:webHidden/>
          </w:rPr>
          <w:instrText xml:space="preserve"> PAGEREF _Toc89882421 \h </w:instrText>
        </w:r>
        <w:r w:rsidR="00FA7B3E">
          <w:rPr>
            <w:noProof/>
            <w:webHidden/>
          </w:rPr>
        </w:r>
        <w:r w:rsidR="00FA7B3E">
          <w:rPr>
            <w:noProof/>
            <w:webHidden/>
          </w:rPr>
          <w:fldChar w:fldCharType="separate"/>
        </w:r>
        <w:r w:rsidR="00FA7B3E">
          <w:rPr>
            <w:noProof/>
            <w:webHidden/>
          </w:rPr>
          <w:t>69</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2" w:history="1">
        <w:r w:rsidR="00FA7B3E" w:rsidRPr="004962EA">
          <w:rPr>
            <w:rStyle w:val="Hyperlink"/>
            <w:noProof/>
          </w:rPr>
          <w:t>Figure 10: SoLR energy price compared to conventional energy prices in EU Member States and Norway – 2018</w:t>
        </w:r>
        <w:r w:rsidR="00FA7B3E">
          <w:rPr>
            <w:noProof/>
            <w:webHidden/>
          </w:rPr>
          <w:tab/>
        </w:r>
        <w:r w:rsidR="00FA7B3E">
          <w:rPr>
            <w:noProof/>
            <w:webHidden/>
          </w:rPr>
          <w:fldChar w:fldCharType="begin"/>
        </w:r>
        <w:r w:rsidR="00FA7B3E">
          <w:rPr>
            <w:noProof/>
            <w:webHidden/>
          </w:rPr>
          <w:instrText xml:space="preserve"> PAGEREF _Toc89882422 \h </w:instrText>
        </w:r>
        <w:r w:rsidR="00FA7B3E">
          <w:rPr>
            <w:noProof/>
            <w:webHidden/>
          </w:rPr>
        </w:r>
        <w:r w:rsidR="00FA7B3E">
          <w:rPr>
            <w:noProof/>
            <w:webHidden/>
          </w:rPr>
          <w:fldChar w:fldCharType="separate"/>
        </w:r>
        <w:r w:rsidR="00FA7B3E">
          <w:rPr>
            <w:noProof/>
            <w:webHidden/>
          </w:rPr>
          <w:t>70</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3" w:history="1">
        <w:r w:rsidR="00FA7B3E" w:rsidRPr="004962EA">
          <w:rPr>
            <w:rStyle w:val="Hyperlink"/>
            <w:noProof/>
          </w:rPr>
          <w:t>Figure 11: Entity determining the energy price for SoLR in EU Member States and Norway – 2018 (number of Member States)</w:t>
        </w:r>
        <w:r w:rsidR="00FA7B3E">
          <w:rPr>
            <w:noProof/>
            <w:webHidden/>
          </w:rPr>
          <w:tab/>
        </w:r>
        <w:r w:rsidR="00FA7B3E">
          <w:rPr>
            <w:noProof/>
            <w:webHidden/>
          </w:rPr>
          <w:fldChar w:fldCharType="begin"/>
        </w:r>
        <w:r w:rsidR="00FA7B3E">
          <w:rPr>
            <w:noProof/>
            <w:webHidden/>
          </w:rPr>
          <w:instrText xml:space="preserve"> PAGEREF _Toc89882423 \h </w:instrText>
        </w:r>
        <w:r w:rsidR="00FA7B3E">
          <w:rPr>
            <w:noProof/>
            <w:webHidden/>
          </w:rPr>
        </w:r>
        <w:r w:rsidR="00FA7B3E">
          <w:rPr>
            <w:noProof/>
            <w:webHidden/>
          </w:rPr>
          <w:fldChar w:fldCharType="separate"/>
        </w:r>
        <w:r w:rsidR="00FA7B3E">
          <w:rPr>
            <w:noProof/>
            <w:webHidden/>
          </w:rPr>
          <w:t>70</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4" w:history="1">
        <w:r w:rsidR="00FA7B3E" w:rsidRPr="004962EA">
          <w:rPr>
            <w:rStyle w:val="Hyperlink"/>
            <w:noProof/>
          </w:rPr>
          <w:t>Figure 12: Switching rates for gas household customers in 2018 and annual average 2013-2017 (%; by metering points) for selected countries</w:t>
        </w:r>
        <w:r w:rsidR="00FA7B3E">
          <w:rPr>
            <w:noProof/>
            <w:webHidden/>
          </w:rPr>
          <w:tab/>
        </w:r>
        <w:r w:rsidR="00FA7B3E">
          <w:rPr>
            <w:noProof/>
            <w:webHidden/>
          </w:rPr>
          <w:fldChar w:fldCharType="begin"/>
        </w:r>
        <w:r w:rsidR="00FA7B3E">
          <w:rPr>
            <w:noProof/>
            <w:webHidden/>
          </w:rPr>
          <w:instrText xml:space="preserve"> PAGEREF _Toc89882424 \h </w:instrText>
        </w:r>
        <w:r w:rsidR="00FA7B3E">
          <w:rPr>
            <w:noProof/>
            <w:webHidden/>
          </w:rPr>
        </w:r>
        <w:r w:rsidR="00FA7B3E">
          <w:rPr>
            <w:noProof/>
            <w:webHidden/>
          </w:rPr>
          <w:fldChar w:fldCharType="separate"/>
        </w:r>
        <w:r w:rsidR="00FA7B3E">
          <w:rPr>
            <w:noProof/>
            <w:webHidden/>
          </w:rPr>
          <w:t>71</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5" w:history="1">
        <w:r w:rsidR="00FA7B3E" w:rsidRPr="004962EA">
          <w:rPr>
            <w:rStyle w:val="Hyperlink"/>
            <w:noProof/>
          </w:rPr>
          <w:t>Figure 13: Performance indicators – comparability of offers</w:t>
        </w:r>
        <w:r w:rsidR="00FA7B3E">
          <w:rPr>
            <w:noProof/>
            <w:webHidden/>
          </w:rPr>
          <w:tab/>
        </w:r>
        <w:r w:rsidR="00FA7B3E">
          <w:rPr>
            <w:noProof/>
            <w:webHidden/>
          </w:rPr>
          <w:fldChar w:fldCharType="begin"/>
        </w:r>
        <w:r w:rsidR="00FA7B3E">
          <w:rPr>
            <w:noProof/>
            <w:webHidden/>
          </w:rPr>
          <w:instrText xml:space="preserve"> PAGEREF _Toc89882425 \h </w:instrText>
        </w:r>
        <w:r w:rsidR="00FA7B3E">
          <w:rPr>
            <w:noProof/>
            <w:webHidden/>
          </w:rPr>
        </w:r>
        <w:r w:rsidR="00FA7B3E">
          <w:rPr>
            <w:noProof/>
            <w:webHidden/>
          </w:rPr>
          <w:fldChar w:fldCharType="separate"/>
        </w:r>
        <w:r w:rsidR="00FA7B3E">
          <w:rPr>
            <w:noProof/>
            <w:webHidden/>
          </w:rPr>
          <w:t>72</w:t>
        </w:r>
        <w:r w:rsidR="00FA7B3E">
          <w:rPr>
            <w:noProof/>
            <w:webHidden/>
          </w:rPr>
          <w:fldChar w:fldCharType="end"/>
        </w:r>
      </w:hyperlink>
    </w:p>
    <w:p w:rsidR="00FA7B3E" w:rsidRDefault="00F9467E">
      <w:pPr>
        <w:pStyle w:val="TableofFigures"/>
        <w:tabs>
          <w:tab w:val="right" w:leader="dot" w:pos="9062"/>
        </w:tabs>
        <w:rPr>
          <w:rFonts w:asciiTheme="minorHAnsi" w:eastAsiaTheme="minorEastAsia" w:hAnsiTheme="minorHAnsi" w:cstheme="minorBidi"/>
          <w:noProof/>
          <w:sz w:val="22"/>
          <w:szCs w:val="22"/>
          <w:lang w:val="en-US"/>
        </w:rPr>
      </w:pPr>
      <w:hyperlink w:anchor="_Toc89882426" w:history="1">
        <w:r w:rsidR="00FA7B3E" w:rsidRPr="004962EA">
          <w:rPr>
            <w:rStyle w:val="Hyperlink"/>
            <w:noProof/>
          </w:rPr>
          <w:t>Figure 14: Measures in place to protect vulnerable consumers in EU MS and Norway – 2019 (number of MS)</w:t>
        </w:r>
        <w:r w:rsidR="00FA7B3E">
          <w:rPr>
            <w:noProof/>
            <w:webHidden/>
          </w:rPr>
          <w:tab/>
        </w:r>
        <w:r w:rsidR="00FA7B3E">
          <w:rPr>
            <w:noProof/>
            <w:webHidden/>
          </w:rPr>
          <w:fldChar w:fldCharType="begin"/>
        </w:r>
        <w:r w:rsidR="00FA7B3E">
          <w:rPr>
            <w:noProof/>
            <w:webHidden/>
          </w:rPr>
          <w:instrText xml:space="preserve"> PAGEREF _Toc89882426 \h </w:instrText>
        </w:r>
        <w:r w:rsidR="00FA7B3E">
          <w:rPr>
            <w:noProof/>
            <w:webHidden/>
          </w:rPr>
        </w:r>
        <w:r w:rsidR="00FA7B3E">
          <w:rPr>
            <w:noProof/>
            <w:webHidden/>
          </w:rPr>
          <w:fldChar w:fldCharType="separate"/>
        </w:r>
        <w:r w:rsidR="00FA7B3E">
          <w:rPr>
            <w:noProof/>
            <w:webHidden/>
          </w:rPr>
          <w:t>75</w:t>
        </w:r>
        <w:r w:rsidR="00FA7B3E">
          <w:rPr>
            <w:noProof/>
            <w:webHidden/>
          </w:rPr>
          <w:fldChar w:fldCharType="end"/>
        </w:r>
      </w:hyperlink>
    </w:p>
    <w:p w:rsidR="005755F2" w:rsidRPr="00DC621B" w:rsidRDefault="00CC3399" w:rsidP="008B53A7">
      <w:pPr>
        <w:spacing w:after="200"/>
        <w:jc w:val="left"/>
        <w:rPr>
          <w:noProof/>
          <w:sz w:val="28"/>
          <w:szCs w:val="24"/>
        </w:rPr>
        <w:sectPr w:rsidR="005755F2" w:rsidRPr="00DC621B" w:rsidSect="005755F2">
          <w:headerReference w:type="even" r:id="rId18"/>
          <w:headerReference w:type="default" r:id="rId19"/>
          <w:footerReference w:type="even" r:id="rId20"/>
          <w:footerReference w:type="default" r:id="rId21"/>
          <w:headerReference w:type="first" r:id="rId22"/>
          <w:footerReference w:type="first" r:id="rId23"/>
          <w:footnotePr>
            <w:numRestart w:val="eachSect"/>
          </w:footnotePr>
          <w:pgSz w:w="11906" w:h="16838"/>
          <w:pgMar w:top="1134" w:right="1417" w:bottom="1134" w:left="1417" w:header="709" w:footer="841" w:gutter="0"/>
          <w:pgNumType w:start="0"/>
          <w:cols w:space="720"/>
          <w:titlePg/>
          <w:docGrid w:linePitch="326"/>
        </w:sectPr>
      </w:pPr>
      <w:r w:rsidRPr="00DC621B">
        <w:rPr>
          <w:noProof/>
          <w:sz w:val="28"/>
          <w:szCs w:val="24"/>
        </w:rPr>
        <w:fldChar w:fldCharType="end"/>
      </w:r>
      <w:bookmarkStart w:id="2" w:name="_Toc455064628"/>
      <w:bookmarkStart w:id="3" w:name="_Toc455070070"/>
      <w:bookmarkStart w:id="4" w:name="_Toc455073976"/>
      <w:bookmarkStart w:id="5" w:name="_Toc455074305"/>
      <w:bookmarkStart w:id="6" w:name="_Toc455081984"/>
      <w:bookmarkStart w:id="7" w:name="_Toc455082076"/>
      <w:bookmarkStart w:id="8" w:name="_Toc455082948"/>
      <w:bookmarkStart w:id="9" w:name="_Toc455134297"/>
      <w:bookmarkStart w:id="10" w:name="_Toc455148821"/>
      <w:bookmarkStart w:id="11" w:name="_Toc455156706"/>
      <w:bookmarkStart w:id="12" w:name="_Toc455156862"/>
      <w:bookmarkStart w:id="13" w:name="_Toc455160032"/>
      <w:bookmarkStart w:id="14" w:name="_Toc456772806"/>
      <w:bookmarkStart w:id="15" w:name="_Toc76743523"/>
      <w:bookmarkStart w:id="16" w:name="_Toc77590784"/>
      <w:bookmarkStart w:id="17" w:name="_Toc77600942"/>
      <w:bookmarkStart w:id="18" w:name="_Toc77682200"/>
      <w:bookmarkStart w:id="19" w:name="_Toc412809023"/>
      <w:bookmarkStart w:id="20" w:name="_Toc412809358"/>
      <w:bookmarkStart w:id="21" w:name="_Toc412809689"/>
      <w:bookmarkStart w:id="22" w:name="_Toc412817948"/>
      <w:bookmarkStart w:id="23" w:name="_Toc412821532"/>
    </w:p>
    <w:p w:rsidR="009310F3" w:rsidRPr="00DC621B" w:rsidRDefault="00EB28D3" w:rsidP="00EB28D3">
      <w:pPr>
        <w:pStyle w:val="FootnoteText"/>
        <w:rPr>
          <w:noProof/>
        </w:rPr>
      </w:pPr>
      <w:bookmarkStart w:id="24" w:name="_Toc455064631"/>
      <w:bookmarkStart w:id="25" w:name="_Toc455070073"/>
      <w:bookmarkStart w:id="26" w:name="_Toc455073979"/>
      <w:bookmarkStart w:id="27" w:name="_Toc455074308"/>
      <w:bookmarkStart w:id="28" w:name="_Toc455081987"/>
      <w:bookmarkStart w:id="29" w:name="_Toc455082079"/>
      <w:bookmarkStart w:id="30" w:name="_Toc455082951"/>
      <w:bookmarkStart w:id="31" w:name="_Toc455134300"/>
      <w:bookmarkStart w:id="32" w:name="_Toc455148824"/>
      <w:bookmarkStart w:id="33" w:name="_Toc455156709"/>
      <w:bookmarkStart w:id="34" w:name="_Toc455156865"/>
      <w:bookmarkStart w:id="35" w:name="_Toc455160035"/>
      <w:bookmarkStart w:id="36" w:name="_Toc456772809"/>
      <w:bookmarkStart w:id="37" w:name="_Toc76743526"/>
      <w:bookmarkStart w:id="38" w:name="_Toc77590787"/>
      <w:bookmarkStart w:id="39" w:name="_Toc77600945"/>
      <w:bookmarkStart w:id="40" w:name="_Toc77682203"/>
      <w:bookmarkStart w:id="41" w:name="_Toc89688248"/>
      <w:bookmarkStart w:id="42" w:name="_Toc8988231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EB28D3">
        <w:t>1.</w:t>
      </w:r>
      <w:r w:rsidRPr="00EB28D3">
        <w:tab/>
      </w:r>
      <w:r w:rsidR="009310F3" w:rsidRPr="00DC621B">
        <w:rPr>
          <w:noProof/>
        </w:rPr>
        <w:t>Introduction</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9310F3" w:rsidRPr="00DC621B">
        <w:rPr>
          <w:noProof/>
        </w:rPr>
        <w:t xml:space="preserve"> </w:t>
      </w:r>
    </w:p>
    <w:p w:rsidR="009310F3" w:rsidRPr="00DC621B" w:rsidRDefault="009310F3" w:rsidP="007F7B3A">
      <w:pPr>
        <w:pStyle w:val="Heading2"/>
        <w:rPr>
          <w:rFonts w:eastAsia="Calibri"/>
          <w:noProof/>
        </w:rPr>
      </w:pPr>
      <w:bookmarkStart w:id="43" w:name="_Toc396143058"/>
      <w:bookmarkStart w:id="44" w:name="_Toc455064632"/>
      <w:bookmarkStart w:id="45" w:name="_Toc455070074"/>
      <w:bookmarkStart w:id="46" w:name="_Toc455073980"/>
      <w:bookmarkStart w:id="47" w:name="_Toc455074309"/>
      <w:bookmarkStart w:id="48" w:name="_Toc455081988"/>
      <w:bookmarkStart w:id="49" w:name="_Toc455082080"/>
      <w:bookmarkStart w:id="50" w:name="_Toc455082952"/>
      <w:bookmarkStart w:id="51" w:name="_Toc455134301"/>
      <w:bookmarkStart w:id="52" w:name="_Toc455148825"/>
      <w:bookmarkStart w:id="53" w:name="_Toc455156710"/>
      <w:bookmarkStart w:id="54" w:name="_Toc455156866"/>
      <w:bookmarkStart w:id="55" w:name="_Toc455160036"/>
      <w:bookmarkStart w:id="56" w:name="_Toc456772810"/>
      <w:bookmarkStart w:id="57" w:name="_Ref54876751"/>
      <w:bookmarkStart w:id="58" w:name="_Toc76743527"/>
      <w:bookmarkStart w:id="59" w:name="_Toc77590788"/>
      <w:bookmarkStart w:id="60" w:name="_Toc77600946"/>
      <w:bookmarkStart w:id="61" w:name="_Toc77682204"/>
      <w:bookmarkStart w:id="62" w:name="_Toc89688249"/>
      <w:bookmarkStart w:id="63" w:name="_Toc89882314"/>
      <w:r w:rsidRPr="00DC621B">
        <w:rPr>
          <w:rFonts w:eastAsia="Calibri"/>
          <w:noProof/>
        </w:rPr>
        <w:t xml:space="preserve">Scope of the </w:t>
      </w:r>
      <w:r w:rsidR="00185F32">
        <w:rPr>
          <w:rFonts w:eastAsia="Calibri"/>
          <w:noProof/>
        </w:rPr>
        <w:t>E</w:t>
      </w:r>
      <w:r w:rsidRPr="00DC621B">
        <w:rPr>
          <w:rFonts w:eastAsia="Calibri"/>
          <w:noProof/>
        </w:rPr>
        <w:t>valuation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9310F3" w:rsidRPr="00185F32" w:rsidRDefault="009310F3" w:rsidP="796E43CC">
      <w:pPr>
        <w:spacing w:before="240"/>
        <w:ind w:right="-28"/>
        <w:rPr>
          <w:noProof/>
        </w:rPr>
      </w:pPr>
      <w:r w:rsidRPr="00DC621B">
        <w:rPr>
          <w:noProof/>
        </w:rPr>
        <w:t>The</w:t>
      </w:r>
      <w:r w:rsidR="00185F32">
        <w:rPr>
          <w:noProof/>
        </w:rPr>
        <w:t xml:space="preserve"> E</w:t>
      </w:r>
      <w:r w:rsidRPr="00DC621B">
        <w:rPr>
          <w:noProof/>
        </w:rPr>
        <w:t xml:space="preserve">valuation covers </w:t>
      </w:r>
      <w:r w:rsidR="007C0207" w:rsidRPr="00DC621B">
        <w:rPr>
          <w:noProof/>
        </w:rPr>
        <w:t>two</w:t>
      </w:r>
      <w:r w:rsidRPr="00DC621B">
        <w:rPr>
          <w:noProof/>
        </w:rPr>
        <w:t xml:space="preserve"> EU Directives and Regulations concerning the </w:t>
      </w:r>
      <w:r w:rsidR="007C0207" w:rsidRPr="00DC621B">
        <w:rPr>
          <w:noProof/>
        </w:rPr>
        <w:t>gas</w:t>
      </w:r>
      <w:r w:rsidRPr="00DC621B">
        <w:rPr>
          <w:noProof/>
        </w:rPr>
        <w:t xml:space="preserve"> sector, </w:t>
      </w:r>
      <w:r w:rsidR="007C0207" w:rsidRPr="00DC621B">
        <w:rPr>
          <w:noProof/>
        </w:rPr>
        <w:t>which form the</w:t>
      </w:r>
      <w:r w:rsidRPr="00DC621B">
        <w:rPr>
          <w:noProof/>
        </w:rPr>
        <w:t xml:space="preserve"> so-called </w:t>
      </w:r>
      <w:r w:rsidR="00906B72" w:rsidRPr="00DC621B">
        <w:rPr>
          <w:noProof/>
        </w:rPr>
        <w:t>‘</w:t>
      </w:r>
      <w:r w:rsidRPr="00DC621B">
        <w:rPr>
          <w:noProof/>
        </w:rPr>
        <w:t xml:space="preserve">Third </w:t>
      </w:r>
      <w:r w:rsidR="007B74EC" w:rsidRPr="00DC621B">
        <w:rPr>
          <w:noProof/>
        </w:rPr>
        <w:t xml:space="preserve">Gas </w:t>
      </w:r>
      <w:r w:rsidR="007C0207" w:rsidRPr="00DC621B">
        <w:rPr>
          <w:noProof/>
        </w:rPr>
        <w:t>Package</w:t>
      </w:r>
      <w:r w:rsidR="00906B72" w:rsidRPr="00DC621B">
        <w:rPr>
          <w:noProof/>
        </w:rPr>
        <w:t>’</w:t>
      </w:r>
      <w:r w:rsidR="007C0207" w:rsidRPr="00DC621B">
        <w:rPr>
          <w:noProof/>
        </w:rPr>
        <w:t xml:space="preserve">. </w:t>
      </w:r>
      <w:r w:rsidRPr="00DC621B">
        <w:rPr>
          <w:noProof/>
        </w:rPr>
        <w:t>The main evaluated acts are:</w:t>
      </w:r>
    </w:p>
    <w:p w:rsidR="00615A4E" w:rsidRPr="00DC621B" w:rsidRDefault="007C0207" w:rsidP="002340E3">
      <w:pPr>
        <w:pStyle w:val="ListParagraph"/>
        <w:numPr>
          <w:ilvl w:val="0"/>
          <w:numId w:val="35"/>
        </w:numPr>
        <w:spacing w:before="240"/>
        <w:ind w:right="-28"/>
        <w:rPr>
          <w:noProof/>
        </w:rPr>
      </w:pPr>
      <w:r w:rsidRPr="00DC621B">
        <w:rPr>
          <w:noProof/>
        </w:rPr>
        <w:t xml:space="preserve">Directive 2009/73/EC of the European Parliament and of the Council of 13 July 2009 concerning common rules for the internal market in natural gas and repealing Directive 2003/55/EC, OJ L 211, 14.8.2009, p. 94–136 </w:t>
      </w:r>
      <w:r w:rsidR="009310F3" w:rsidRPr="00DC621B">
        <w:rPr>
          <w:noProof/>
        </w:rPr>
        <w:t xml:space="preserve">(henceforth the </w:t>
      </w:r>
      <w:r w:rsidRPr="00DC621B">
        <w:rPr>
          <w:noProof/>
        </w:rPr>
        <w:t>Gas</w:t>
      </w:r>
      <w:r w:rsidR="009310F3" w:rsidRPr="00DC621B">
        <w:rPr>
          <w:noProof/>
        </w:rPr>
        <w:t xml:space="preserve"> Directive)</w:t>
      </w:r>
      <w:r w:rsidR="008B1E25" w:rsidRPr="00DC621B">
        <w:rPr>
          <w:noProof/>
        </w:rPr>
        <w:t xml:space="preserve"> as amended by</w:t>
      </w:r>
      <w:r w:rsidR="00615A4E" w:rsidRPr="00DC621B">
        <w:rPr>
          <w:noProof/>
        </w:rPr>
        <w:t>:</w:t>
      </w:r>
    </w:p>
    <w:p w:rsidR="009310F3" w:rsidRPr="00DC621B" w:rsidRDefault="008B1E25" w:rsidP="00615A4E">
      <w:pPr>
        <w:pStyle w:val="ListParagraph"/>
        <w:numPr>
          <w:ilvl w:val="1"/>
          <w:numId w:val="35"/>
        </w:numPr>
        <w:spacing w:before="240"/>
        <w:ind w:right="-28"/>
        <w:rPr>
          <w:noProof/>
        </w:rPr>
      </w:pPr>
      <w:r w:rsidRPr="00DC621B">
        <w:rPr>
          <w:noProof/>
        </w:rPr>
        <w:t>Directive (EU) 2019/692</w:t>
      </w:r>
      <w:r w:rsidRPr="00DC621B">
        <w:rPr>
          <w:rStyle w:val="FootnoteReference"/>
          <w:noProof/>
        </w:rPr>
        <w:footnoteReference w:id="2"/>
      </w:r>
      <w:r w:rsidR="00906B72" w:rsidRPr="00DC621B">
        <w:rPr>
          <w:noProof/>
        </w:rPr>
        <w:t xml:space="preserve">: this amendment clarified the application of the Gas Directive with regard to interconnections </w:t>
      </w:r>
      <w:r w:rsidR="009D2DE2" w:rsidRPr="00DC621B">
        <w:rPr>
          <w:noProof/>
        </w:rPr>
        <w:t>with</w:t>
      </w:r>
      <w:r w:rsidR="00906B72" w:rsidRPr="00DC621B">
        <w:rPr>
          <w:noProof/>
        </w:rPr>
        <w:t xml:space="preserve"> Third Countries</w:t>
      </w:r>
      <w:r w:rsidR="009310F3" w:rsidRPr="00DC621B">
        <w:rPr>
          <w:noProof/>
        </w:rPr>
        <w:t xml:space="preserve">; </w:t>
      </w:r>
    </w:p>
    <w:p w:rsidR="00615A4E" w:rsidRPr="00DC621B" w:rsidRDefault="00615A4E" w:rsidP="00E024A4">
      <w:pPr>
        <w:pStyle w:val="ListParagraph"/>
        <w:numPr>
          <w:ilvl w:val="1"/>
          <w:numId w:val="35"/>
        </w:numPr>
        <w:spacing w:before="240"/>
        <w:ind w:right="-28"/>
        <w:rPr>
          <w:noProof/>
        </w:rPr>
      </w:pPr>
      <w:r w:rsidRPr="00DC621B">
        <w:rPr>
          <w:noProof/>
        </w:rPr>
        <w:t>Regulation (EU) 2018/1999</w:t>
      </w:r>
      <w:bookmarkStart w:id="64" w:name="_Ref54793348"/>
      <w:r w:rsidRPr="00DC621B">
        <w:rPr>
          <w:rStyle w:val="FootnoteReference"/>
          <w:noProof/>
        </w:rPr>
        <w:footnoteReference w:id="3"/>
      </w:r>
      <w:bookmarkEnd w:id="64"/>
      <w:r w:rsidR="00E024A4" w:rsidRPr="00DC621B">
        <w:rPr>
          <w:noProof/>
        </w:rPr>
        <w:t>: The Governance Regulation integrated, amended, replaced and withdrew certain planning, reporting and monitoring obligations currently contained in sectoral energy and climate Union legislative acts to ensure a streamlined and integrated approach to the main planning, reporting and monitoring strands. In this regard, it deleted Article 5 of Directive 2009/73/EC on monitoring of security of supply, and replaced Article 52 of Directive 2009/73/EC on Reporting.</w:t>
      </w:r>
      <w:r w:rsidR="00A55189" w:rsidRPr="00DC621B">
        <w:rPr>
          <w:noProof/>
        </w:rPr>
        <w:t xml:space="preserve"> </w:t>
      </w:r>
      <w:r w:rsidR="00E024A4" w:rsidRPr="00DC621B">
        <w:rPr>
          <w:noProof/>
        </w:rPr>
        <w:t xml:space="preserve">According to the amended Article 52, the Commission shall monitor and review the application of the Directive and submit an overall progress report to the European Parliament and to the Council as an annex to the </w:t>
      </w:r>
      <w:r w:rsidR="00624198" w:rsidRPr="00DC621B">
        <w:rPr>
          <w:noProof/>
        </w:rPr>
        <w:t xml:space="preserve">annual </w:t>
      </w:r>
      <w:r w:rsidR="00E024A4" w:rsidRPr="00DC621B">
        <w:rPr>
          <w:noProof/>
        </w:rPr>
        <w:t>State of the Energy Union Report.</w:t>
      </w:r>
    </w:p>
    <w:p w:rsidR="00615A4E" w:rsidRPr="00DC621B" w:rsidRDefault="007C0207">
      <w:pPr>
        <w:pStyle w:val="ListParagraph"/>
        <w:numPr>
          <w:ilvl w:val="0"/>
          <w:numId w:val="35"/>
        </w:numPr>
        <w:spacing w:before="240"/>
        <w:ind w:right="-28"/>
        <w:rPr>
          <w:noProof/>
        </w:rPr>
      </w:pPr>
      <w:r w:rsidRPr="00DC621B">
        <w:rPr>
          <w:noProof/>
        </w:rPr>
        <w:t>Regulation (EC) No 715/2009 of the European Parliament and of the Council of 13 July 2009 on conditions for access to the natural gas transmission networks and repealing Regulation (EC) No 1775/2005</w:t>
      </w:r>
      <w:r w:rsidR="009310F3" w:rsidRPr="00DC621B">
        <w:rPr>
          <w:noProof/>
        </w:rPr>
        <w:t xml:space="preserve">, OJ L 211, 14.8.2009, p. </w:t>
      </w:r>
      <w:r w:rsidRPr="00DC621B">
        <w:rPr>
          <w:noProof/>
        </w:rPr>
        <w:t>36–54</w:t>
      </w:r>
      <w:r w:rsidR="009310F3" w:rsidRPr="00DC621B">
        <w:rPr>
          <w:noProof/>
        </w:rPr>
        <w:t xml:space="preserve"> (henceforth </w:t>
      </w:r>
      <w:r w:rsidRPr="00DC621B">
        <w:rPr>
          <w:noProof/>
        </w:rPr>
        <w:t>Gas</w:t>
      </w:r>
      <w:r w:rsidR="009310F3" w:rsidRPr="00DC621B">
        <w:rPr>
          <w:noProof/>
        </w:rPr>
        <w:t xml:space="preserve"> Regulation</w:t>
      </w:r>
      <w:r w:rsidR="00615A4E" w:rsidRPr="00DC621B">
        <w:rPr>
          <w:noProof/>
        </w:rPr>
        <w:t>) as amended by:</w:t>
      </w:r>
    </w:p>
    <w:p w:rsidR="00615A4E" w:rsidRPr="00DC621B" w:rsidRDefault="00615A4E">
      <w:pPr>
        <w:pStyle w:val="ListParagraph"/>
        <w:numPr>
          <w:ilvl w:val="1"/>
          <w:numId w:val="35"/>
        </w:numPr>
        <w:spacing w:before="240"/>
        <w:ind w:right="-28"/>
        <w:rPr>
          <w:noProof/>
        </w:rPr>
      </w:pPr>
      <w:r w:rsidRPr="00DC621B">
        <w:rPr>
          <w:noProof/>
        </w:rPr>
        <w:t>Commission Decision 2010/685/EU</w:t>
      </w:r>
      <w:r w:rsidRPr="00DC621B">
        <w:rPr>
          <w:rStyle w:val="FootnoteReference"/>
          <w:noProof/>
        </w:rPr>
        <w:footnoteReference w:id="4"/>
      </w:r>
      <w:r w:rsidRPr="00DC621B">
        <w:rPr>
          <w:noProof/>
        </w:rPr>
        <w:tab/>
      </w:r>
    </w:p>
    <w:p w:rsidR="00615A4E" w:rsidRPr="00DC621B" w:rsidRDefault="00615A4E">
      <w:pPr>
        <w:pStyle w:val="ListParagraph"/>
        <w:numPr>
          <w:ilvl w:val="1"/>
          <w:numId w:val="35"/>
        </w:numPr>
        <w:spacing w:before="240"/>
        <w:ind w:right="-28"/>
        <w:rPr>
          <w:noProof/>
        </w:rPr>
      </w:pPr>
      <w:r w:rsidRPr="00DC621B">
        <w:rPr>
          <w:noProof/>
        </w:rPr>
        <w:t>Commission Decision 2012/490/EU</w:t>
      </w:r>
      <w:r w:rsidRPr="00DC621B">
        <w:rPr>
          <w:rStyle w:val="FootnoteReference"/>
          <w:noProof/>
        </w:rPr>
        <w:footnoteReference w:id="5"/>
      </w:r>
    </w:p>
    <w:p w:rsidR="00615A4E" w:rsidRPr="00DC621B" w:rsidRDefault="00615A4E">
      <w:pPr>
        <w:pStyle w:val="ListParagraph"/>
        <w:numPr>
          <w:ilvl w:val="1"/>
          <w:numId w:val="35"/>
        </w:numPr>
        <w:spacing w:before="240"/>
        <w:ind w:right="-28"/>
        <w:rPr>
          <w:noProof/>
        </w:rPr>
      </w:pPr>
      <w:r w:rsidRPr="00DC621B">
        <w:rPr>
          <w:noProof/>
        </w:rPr>
        <w:t>Regulation (EU) No 347/2013</w:t>
      </w:r>
      <w:r w:rsidRPr="00DC621B">
        <w:rPr>
          <w:rStyle w:val="FootnoteReference"/>
          <w:noProof/>
        </w:rPr>
        <w:footnoteReference w:id="6"/>
      </w:r>
      <w:r w:rsidRPr="00DC621B">
        <w:rPr>
          <w:noProof/>
        </w:rPr>
        <w:t xml:space="preserve"> </w:t>
      </w:r>
    </w:p>
    <w:p w:rsidR="00A67285" w:rsidRPr="00DC621B" w:rsidRDefault="00615A4E" w:rsidP="009D744A">
      <w:pPr>
        <w:pStyle w:val="ListParagraph"/>
        <w:numPr>
          <w:ilvl w:val="1"/>
          <w:numId w:val="35"/>
        </w:numPr>
        <w:spacing w:before="240" w:after="0"/>
        <w:ind w:left="1434" w:right="-28" w:hanging="357"/>
        <w:rPr>
          <w:noProof/>
        </w:rPr>
      </w:pPr>
      <w:r w:rsidRPr="00DC621B">
        <w:rPr>
          <w:noProof/>
        </w:rPr>
        <w:t>Commission Decision (EU) 2015/715</w:t>
      </w:r>
      <w:r w:rsidRPr="00DC621B">
        <w:rPr>
          <w:rStyle w:val="FootnoteReference"/>
          <w:noProof/>
        </w:rPr>
        <w:footnoteReference w:id="7"/>
      </w:r>
      <w:r w:rsidR="003E29B1" w:rsidRPr="00DC621B">
        <w:rPr>
          <w:noProof/>
        </w:rPr>
        <w:t xml:space="preserve"> </w:t>
      </w:r>
    </w:p>
    <w:p w:rsidR="00615A4E" w:rsidRPr="00DC621B" w:rsidRDefault="006F03DE" w:rsidP="009D744A">
      <w:pPr>
        <w:ind w:left="1440" w:right="-28"/>
        <w:rPr>
          <w:noProof/>
        </w:rPr>
      </w:pPr>
      <w:r w:rsidRPr="00DC621B">
        <w:rPr>
          <w:noProof/>
        </w:rPr>
        <w:t>T</w:t>
      </w:r>
      <w:r w:rsidR="00A67285" w:rsidRPr="00DC621B">
        <w:rPr>
          <w:noProof/>
        </w:rPr>
        <w:t>he Commission</w:t>
      </w:r>
      <w:r w:rsidR="003E29B1" w:rsidRPr="00DC621B">
        <w:rPr>
          <w:noProof/>
        </w:rPr>
        <w:t xml:space="preserve"> decision</w:t>
      </w:r>
      <w:r w:rsidR="00A67285" w:rsidRPr="00DC621B">
        <w:rPr>
          <w:noProof/>
        </w:rPr>
        <w:t>s</w:t>
      </w:r>
      <w:r w:rsidR="003E29B1" w:rsidRPr="00DC621B">
        <w:rPr>
          <w:noProof/>
        </w:rPr>
        <w:t xml:space="preserve"> amended Annex I of the Gas </w:t>
      </w:r>
      <w:r w:rsidR="00C72513" w:rsidRPr="00DC621B">
        <w:rPr>
          <w:noProof/>
        </w:rPr>
        <w:t>R</w:t>
      </w:r>
      <w:r w:rsidR="003E29B1" w:rsidRPr="00DC621B">
        <w:rPr>
          <w:noProof/>
        </w:rPr>
        <w:t xml:space="preserve">egulation by </w:t>
      </w:r>
      <w:r w:rsidR="00A67285" w:rsidRPr="00DC621B">
        <w:rPr>
          <w:noProof/>
        </w:rPr>
        <w:t xml:space="preserve">introducing more detailed rules on congestion management procedures and including transparency obligations to be published on a single EU wide platform to provide all interested stakeholders with information, </w:t>
      </w:r>
      <w:r w:rsidR="00A67285" w:rsidRPr="002916D9">
        <w:rPr>
          <w:i/>
          <w:noProof/>
        </w:rPr>
        <w:t>inter alia</w:t>
      </w:r>
      <w:r w:rsidR="00A67285" w:rsidRPr="00DC621B">
        <w:rPr>
          <w:noProof/>
        </w:rPr>
        <w:t>, on capacity contracted and available at relevant points, e.g. interconnection points between Member States</w:t>
      </w:r>
      <w:r w:rsidR="009303FC" w:rsidRPr="00DC621B">
        <w:rPr>
          <w:noProof/>
        </w:rPr>
        <w:t>.</w:t>
      </w:r>
    </w:p>
    <w:p w:rsidR="005F4263" w:rsidRPr="00DC621B" w:rsidRDefault="005F4263" w:rsidP="796E43CC">
      <w:pPr>
        <w:ind w:right="-29"/>
        <w:rPr>
          <w:noProof/>
          <w:szCs w:val="24"/>
        </w:rPr>
      </w:pPr>
      <w:r w:rsidRPr="00DC621B">
        <w:rPr>
          <w:noProof/>
        </w:rPr>
        <w:t xml:space="preserve">The Third Energy Package sets the legal basis for establishing more detailed common European rules in the form of gas </w:t>
      </w:r>
      <w:r w:rsidR="00A3395C">
        <w:rPr>
          <w:noProof/>
        </w:rPr>
        <w:t>n</w:t>
      </w:r>
      <w:r w:rsidRPr="00DC621B">
        <w:rPr>
          <w:noProof/>
        </w:rPr>
        <w:t xml:space="preserve">etwork </w:t>
      </w:r>
      <w:r w:rsidR="00A3395C">
        <w:rPr>
          <w:noProof/>
        </w:rPr>
        <w:t>c</w:t>
      </w:r>
      <w:r w:rsidRPr="00DC621B">
        <w:rPr>
          <w:noProof/>
        </w:rPr>
        <w:t xml:space="preserve">odes and </w:t>
      </w:r>
      <w:r w:rsidR="00A3395C">
        <w:rPr>
          <w:noProof/>
        </w:rPr>
        <w:t>f</w:t>
      </w:r>
      <w:r w:rsidRPr="00DC621B">
        <w:rPr>
          <w:noProof/>
        </w:rPr>
        <w:t xml:space="preserve">ramework </w:t>
      </w:r>
      <w:r w:rsidR="00A3395C">
        <w:rPr>
          <w:noProof/>
        </w:rPr>
        <w:t>g</w:t>
      </w:r>
      <w:r w:rsidRPr="00DC621B">
        <w:rPr>
          <w:noProof/>
        </w:rPr>
        <w:t xml:space="preserve">uidelines, with the aim to harmonise and coordinate the different processes of energy markets and systems. Since the entry into force of Regulation 715/2009 in 2011, </w:t>
      </w:r>
      <w:r w:rsidR="008515BE" w:rsidRPr="00DC621B">
        <w:rPr>
          <w:noProof/>
        </w:rPr>
        <w:t xml:space="preserve">four </w:t>
      </w:r>
      <w:r w:rsidR="00A3395C">
        <w:rPr>
          <w:noProof/>
        </w:rPr>
        <w:t>n</w:t>
      </w:r>
      <w:r w:rsidRPr="00DC621B">
        <w:rPr>
          <w:noProof/>
        </w:rPr>
        <w:t xml:space="preserve">etwork </w:t>
      </w:r>
      <w:r w:rsidR="00A3395C">
        <w:rPr>
          <w:noProof/>
        </w:rPr>
        <w:t>c</w:t>
      </w:r>
      <w:r w:rsidRPr="00DC621B">
        <w:rPr>
          <w:noProof/>
        </w:rPr>
        <w:t>odes have been adopted, covering capacity allocation mechanisms (CAM NC</w:t>
      </w:r>
      <w:r w:rsidRPr="00DC621B">
        <w:rPr>
          <w:rStyle w:val="FootnoteReference"/>
          <w:noProof/>
        </w:rPr>
        <w:footnoteReference w:id="8"/>
      </w:r>
      <w:r w:rsidRPr="00DC621B">
        <w:rPr>
          <w:noProof/>
        </w:rPr>
        <w:t>), gas balancing rules (BAL NC</w:t>
      </w:r>
      <w:r w:rsidRPr="00DC621B">
        <w:rPr>
          <w:rStyle w:val="FootnoteReference"/>
          <w:noProof/>
        </w:rPr>
        <w:footnoteReference w:id="9"/>
      </w:r>
      <w:r w:rsidRPr="00DC621B">
        <w:rPr>
          <w:noProof/>
        </w:rPr>
        <w:t>), interoperability between gas systems (IO NC</w:t>
      </w:r>
      <w:r w:rsidRPr="00DC621B">
        <w:rPr>
          <w:rStyle w:val="FootnoteReference"/>
          <w:noProof/>
        </w:rPr>
        <w:footnoteReference w:id="10"/>
      </w:r>
      <w:r w:rsidRPr="00DC621B">
        <w:rPr>
          <w:noProof/>
        </w:rPr>
        <w:t>), and transmission tariff structures (TAR NC</w:t>
      </w:r>
      <w:r w:rsidRPr="00DC621B">
        <w:rPr>
          <w:rStyle w:val="FootnoteReference"/>
          <w:noProof/>
        </w:rPr>
        <w:footnoteReference w:id="11"/>
      </w:r>
      <w:r w:rsidRPr="00DC621B">
        <w:rPr>
          <w:noProof/>
        </w:rPr>
        <w:t xml:space="preserve">). </w:t>
      </w:r>
      <w:r w:rsidR="008515BE" w:rsidRPr="00DC621B">
        <w:rPr>
          <w:noProof/>
        </w:rPr>
        <w:t>Additionally, the Guidelines on congestion management procedures (CMP) and Transparency annexed to the Gas Regulation, have been detailed out with several amendments</w:t>
      </w:r>
      <w:r w:rsidR="008515BE" w:rsidRPr="00DC621B">
        <w:rPr>
          <w:rStyle w:val="FootnoteReference"/>
          <w:noProof/>
        </w:rPr>
        <w:footnoteReference w:id="12"/>
      </w:r>
      <w:r w:rsidR="008515BE" w:rsidRPr="00DC621B">
        <w:rPr>
          <w:noProof/>
        </w:rPr>
        <w:t xml:space="preserve">. </w:t>
      </w:r>
      <w:r w:rsidRPr="00DC621B">
        <w:rPr>
          <w:noProof/>
        </w:rPr>
        <w:t xml:space="preserve">The harmonisation of these technical rules has both enhanced the market functioning at national level (in particular BAL NC) and further advanced the interconnection of national gas markets. Notably, CAM NC has fully harmonised the procedure and the calendar for the booking of transmission capacity, which fosters competition and accessibility of national markets. The most recently adopted TAR NC has introduced extensive publication requirements on gas tariff parameters and calculations, which provides additional transparency and tariff predictability for network users across the EU, while highlighting potential tariff outliers. Whereas the implementation of </w:t>
      </w:r>
      <w:r w:rsidR="00A3395C">
        <w:rPr>
          <w:noProof/>
        </w:rPr>
        <w:t>n</w:t>
      </w:r>
      <w:r w:rsidRPr="00DC621B">
        <w:rPr>
          <w:noProof/>
        </w:rPr>
        <w:t xml:space="preserve">etwork </w:t>
      </w:r>
      <w:r w:rsidR="00A3395C">
        <w:rPr>
          <w:noProof/>
        </w:rPr>
        <w:t>c</w:t>
      </w:r>
      <w:r w:rsidRPr="00DC621B">
        <w:rPr>
          <w:noProof/>
        </w:rPr>
        <w:t>odes is far advanced across Member States</w:t>
      </w:r>
      <w:r w:rsidRPr="00DC621B">
        <w:rPr>
          <w:rStyle w:val="FootnoteReference"/>
          <w:noProof/>
        </w:rPr>
        <w:footnoteReference w:id="13"/>
      </w:r>
      <w:r w:rsidRPr="00DC621B">
        <w:rPr>
          <w:noProof/>
        </w:rPr>
        <w:t>, the continued enforcement of these rules by the Commission remains crucial for the completion of the internal energy market.</w:t>
      </w:r>
    </w:p>
    <w:p w:rsidR="00EC75CD" w:rsidRPr="00DC621B" w:rsidRDefault="00695B2D" w:rsidP="796E43CC">
      <w:pPr>
        <w:ind w:right="-29"/>
        <w:rPr>
          <w:noProof/>
          <w:szCs w:val="24"/>
        </w:rPr>
      </w:pPr>
      <w:r w:rsidRPr="00DC621B">
        <w:rPr>
          <w:noProof/>
        </w:rPr>
        <w:t>By Directive 2019/692 of 17 April 2019, Directive 2009/73/EC was amended to clarify its applicability to gas interconnector pipelines between Member States and third countries. In addition to this clarification of the scope, the amendment added a derogation regime for existing interconnectors with third countries and procedural rules on the consultation of authorities of third countries on regulatory issues. Due to the recent entry into force (the deadline for transposition into national law expired on 24 February 2020), the</w:t>
      </w:r>
      <w:r w:rsidR="00906B72" w:rsidRPr="00DC621B">
        <w:rPr>
          <w:noProof/>
        </w:rPr>
        <w:t>se</w:t>
      </w:r>
      <w:r w:rsidRPr="00DC621B">
        <w:rPr>
          <w:noProof/>
        </w:rPr>
        <w:t xml:space="preserve"> amended provisions are excluded from the scope of the present </w:t>
      </w:r>
      <w:r w:rsidR="00185F32">
        <w:rPr>
          <w:noProof/>
        </w:rPr>
        <w:t>E</w:t>
      </w:r>
      <w:r w:rsidRPr="00DC621B">
        <w:rPr>
          <w:noProof/>
        </w:rPr>
        <w:t>valuation.</w:t>
      </w:r>
    </w:p>
    <w:p w:rsidR="005B1A9E" w:rsidRPr="00DC621B" w:rsidRDefault="005B1A9E" w:rsidP="005B1A9E">
      <w:pPr>
        <w:ind w:right="-29"/>
        <w:rPr>
          <w:noProof/>
        </w:rPr>
      </w:pPr>
      <w:r w:rsidRPr="00DC621B">
        <w:rPr>
          <w:noProof/>
        </w:rPr>
        <w:t>The revision of the Electricity Directive</w:t>
      </w:r>
      <w:r w:rsidRPr="00DC621B">
        <w:rPr>
          <w:rStyle w:val="FootnoteReference"/>
          <w:noProof/>
        </w:rPr>
        <w:footnoteReference w:id="14"/>
      </w:r>
      <w:r w:rsidRPr="00DC621B">
        <w:rPr>
          <w:noProof/>
        </w:rPr>
        <w:t xml:space="preserve"> and Electricity Regulation</w:t>
      </w:r>
      <w:r w:rsidRPr="00DC621B">
        <w:rPr>
          <w:rStyle w:val="FootnoteReference"/>
          <w:noProof/>
        </w:rPr>
        <w:footnoteReference w:id="15"/>
      </w:r>
      <w:r w:rsidRPr="00DC621B">
        <w:rPr>
          <w:noProof/>
        </w:rPr>
        <w:t xml:space="preserve"> adopted in 2019 as part of the Clean Energy Package reinforced the institutional framework of the Third Package to make it fit-for-purpose for the changes in the electricity sector (integration of renewables, decentralised electricity production, regionalisation, etc.). However, this has created differences in the institutional set-up between the electricity and gas sectors, which might lead to detrimental regulatory divergence and unnecessary complexity that could affect consumers, industry and regulators alike. Furthermore, some of the reasons for changes in the electricity sector, based on experience with applying the </w:t>
      </w:r>
      <w:r w:rsidR="0091727C">
        <w:rPr>
          <w:noProof/>
        </w:rPr>
        <w:t>T</w:t>
      </w:r>
      <w:r w:rsidRPr="00DC621B">
        <w:rPr>
          <w:noProof/>
        </w:rPr>
        <w:t xml:space="preserve">hird </w:t>
      </w:r>
      <w:r w:rsidR="0091727C">
        <w:rPr>
          <w:noProof/>
        </w:rPr>
        <w:t>P</w:t>
      </w:r>
      <w:r w:rsidRPr="00DC621B">
        <w:rPr>
          <w:noProof/>
        </w:rPr>
        <w:t>ackage legislation, equally apply to the parallel provisions in the gas sector and justify similar changes to those provisions.</w:t>
      </w:r>
    </w:p>
    <w:p w:rsidR="005B1A9E" w:rsidRPr="00DC621B" w:rsidRDefault="005B1A9E" w:rsidP="005B1A9E">
      <w:pPr>
        <w:ind w:right="-29"/>
        <w:rPr>
          <w:noProof/>
        </w:rPr>
      </w:pPr>
      <w:r w:rsidRPr="00DC621B">
        <w:rPr>
          <w:noProof/>
        </w:rPr>
        <w:t xml:space="preserve">The Recast Internal Electricity Market Directive reinforced ACER’s powers in order to diminish the fragmentation of the regulatory oversight at the EU level. To foster the independence of </w:t>
      </w:r>
      <w:r w:rsidR="001B1E7E" w:rsidRPr="00DC621B">
        <w:rPr>
          <w:noProof/>
        </w:rPr>
        <w:t xml:space="preserve">National Regulatory Authorities </w:t>
      </w:r>
      <w:r w:rsidR="001B1E7E">
        <w:rPr>
          <w:noProof/>
        </w:rPr>
        <w:t>(</w:t>
      </w:r>
      <w:r w:rsidRPr="00DC621B">
        <w:rPr>
          <w:noProof/>
        </w:rPr>
        <w:t>NRAs</w:t>
      </w:r>
      <w:r w:rsidR="001B1E7E">
        <w:rPr>
          <w:noProof/>
        </w:rPr>
        <w:t>)</w:t>
      </w:r>
      <w:r w:rsidRPr="00DC621B">
        <w:rPr>
          <w:noProof/>
        </w:rPr>
        <w:t>, new requirements for board members or top managers must ensure that their appointment is based on objective, transparent and published criteria. The appointment follows an independent and impartial procedure, aimed at selecting candidates with the necessary skills and experience for each position</w:t>
      </w:r>
      <w:r w:rsidRPr="00DC621B">
        <w:rPr>
          <w:rStyle w:val="FootnoteReference"/>
          <w:noProof/>
        </w:rPr>
        <w:footnoteReference w:id="16"/>
      </w:r>
      <w:r w:rsidR="007F5DE6">
        <w:rPr>
          <w:noProof/>
        </w:rPr>
        <w:t>.</w:t>
      </w:r>
      <w:r w:rsidRPr="00DC621B">
        <w:rPr>
          <w:noProof/>
        </w:rPr>
        <w:t xml:space="preserve"> For the same reasons, the directive requires that board members or top management can only be dismissed based on transparent criteria</w:t>
      </w:r>
      <w:r w:rsidRPr="00DC621B">
        <w:rPr>
          <w:rStyle w:val="FootnoteReference"/>
          <w:noProof/>
        </w:rPr>
        <w:footnoteReference w:id="17"/>
      </w:r>
      <w:r w:rsidRPr="00DC621B">
        <w:rPr>
          <w:noProof/>
        </w:rPr>
        <w:t xml:space="preserve"> and that specific provisions on conflict of interests are in place and confidentiality obligations extend beyond the mandate of board members or top management</w:t>
      </w:r>
      <w:r w:rsidRPr="00DC621B">
        <w:rPr>
          <w:rStyle w:val="FootnoteReference"/>
          <w:noProof/>
        </w:rPr>
        <w:footnoteReference w:id="18"/>
      </w:r>
      <w:r w:rsidR="007F5DE6">
        <w:rPr>
          <w:noProof/>
        </w:rPr>
        <w:t>.</w:t>
      </w:r>
      <w:r w:rsidRPr="00DC621B">
        <w:rPr>
          <w:noProof/>
        </w:rPr>
        <w:t xml:space="preserve"> </w:t>
      </w:r>
    </w:p>
    <w:p w:rsidR="005B1A9E" w:rsidRPr="00DC621B" w:rsidRDefault="005B1A9E" w:rsidP="005B1A9E">
      <w:pPr>
        <w:ind w:right="-29"/>
        <w:rPr>
          <w:noProof/>
        </w:rPr>
      </w:pPr>
      <w:r w:rsidRPr="00DC621B">
        <w:rPr>
          <w:noProof/>
        </w:rPr>
        <w:t>The Electricity Regulation</w:t>
      </w:r>
      <w:r w:rsidRPr="00DC621B">
        <w:rPr>
          <w:rStyle w:val="FootnoteReference"/>
          <w:noProof/>
        </w:rPr>
        <w:footnoteReference w:id="19"/>
      </w:r>
      <w:r w:rsidRPr="00DC621B">
        <w:rPr>
          <w:noProof/>
        </w:rPr>
        <w:t xml:space="preserve"> and ACER Regulation</w:t>
      </w:r>
      <w:r w:rsidRPr="00DC621B">
        <w:rPr>
          <w:rStyle w:val="FootnoteReference"/>
          <w:noProof/>
        </w:rPr>
        <w:footnoteReference w:id="20"/>
      </w:r>
      <w:r w:rsidRPr="00DC621B">
        <w:rPr>
          <w:noProof/>
        </w:rPr>
        <w:t xml:space="preserve"> adapted the procedures for establishing detailed regulatory rules on the operation of the market and networks (i.e. network codes and guidelines) to the requirements of the Treaty on Function</w:t>
      </w:r>
      <w:r w:rsidR="009E0DA3" w:rsidRPr="00DC621B">
        <w:rPr>
          <w:noProof/>
        </w:rPr>
        <w:t>ing of the European Union. They</w:t>
      </w:r>
      <w:r w:rsidRPr="00DC621B">
        <w:rPr>
          <w:noProof/>
        </w:rPr>
        <w:t xml:space="preserve"> also introduced provisions reflecting the increasing link between the distribution and transmission network levels in the regulatory framework (e.g. requirements for cooperation on network planning, Electricity Regulation Article 57).</w:t>
      </w:r>
    </w:p>
    <w:p w:rsidR="005B1A9E" w:rsidRPr="00DC621B" w:rsidRDefault="005B1A9E" w:rsidP="005B1A9E">
      <w:pPr>
        <w:ind w:right="-29"/>
        <w:rPr>
          <w:noProof/>
        </w:rPr>
      </w:pPr>
      <w:r w:rsidRPr="00DC621B">
        <w:rPr>
          <w:noProof/>
        </w:rPr>
        <w:t>The Electricity Regulation adapted the mission, tasks and the rules</w:t>
      </w:r>
      <w:r w:rsidR="001E45D2">
        <w:rPr>
          <w:noProof/>
        </w:rPr>
        <w:t xml:space="preserve"> by the</w:t>
      </w:r>
      <w:r w:rsidRPr="00DC621B">
        <w:rPr>
          <w:noProof/>
        </w:rPr>
        <w:t xml:space="preserve"> </w:t>
      </w:r>
      <w:r w:rsidR="001E45D2" w:rsidRPr="00DC621B">
        <w:rPr>
          <w:noProof/>
        </w:rPr>
        <w:t xml:space="preserve">European Network for Transmission System Operators for Electricity </w:t>
      </w:r>
      <w:r w:rsidR="001E45D2">
        <w:rPr>
          <w:noProof/>
        </w:rPr>
        <w:t>(</w:t>
      </w:r>
      <w:r w:rsidR="001E45D2" w:rsidRPr="00DC621B">
        <w:rPr>
          <w:noProof/>
        </w:rPr>
        <w:t>ENTSO-E</w:t>
      </w:r>
      <w:r w:rsidR="001E45D2">
        <w:rPr>
          <w:noProof/>
        </w:rPr>
        <w:t>)</w:t>
      </w:r>
      <w:r w:rsidR="001E45D2" w:rsidRPr="00DC621B">
        <w:rPr>
          <w:noProof/>
        </w:rPr>
        <w:t xml:space="preserve"> </w:t>
      </w:r>
      <w:r w:rsidRPr="00DC621B">
        <w:rPr>
          <w:noProof/>
        </w:rPr>
        <w:t>governing its transparency and oversight by ACER. It also formalised the role of Distribution System Operators (DSOs)</w:t>
      </w:r>
      <w:r w:rsidR="001854FB" w:rsidRPr="00DC621B">
        <w:rPr>
          <w:rStyle w:val="FootnoteReference"/>
          <w:noProof/>
        </w:rPr>
        <w:footnoteReference w:id="21"/>
      </w:r>
      <w:r w:rsidRPr="00DC621B">
        <w:rPr>
          <w:noProof/>
        </w:rPr>
        <w:t xml:space="preserve"> at European level by creating a single European DSO entity, rendering their participation effective and independent</w:t>
      </w:r>
      <w:r w:rsidRPr="00DC621B">
        <w:rPr>
          <w:rStyle w:val="FootnoteReference"/>
          <w:noProof/>
        </w:rPr>
        <w:footnoteReference w:id="22"/>
      </w:r>
      <w:r w:rsidR="00AD38A1">
        <w:rPr>
          <w:noProof/>
        </w:rPr>
        <w:t>,</w:t>
      </w:r>
      <w:r w:rsidRPr="00DC621B">
        <w:rPr>
          <w:noProof/>
        </w:rPr>
        <w:t xml:space="preserve"> The aim was to facilitate distributed resources to participate in the market by – among others – enabling DSOs to become more active at the European level and have increased responsibilities and tasks (similar to those of the </w:t>
      </w:r>
      <w:r w:rsidR="001E45D2" w:rsidRPr="00DC621B">
        <w:rPr>
          <w:noProof/>
        </w:rPr>
        <w:t xml:space="preserve">Transmission System Operators </w:t>
      </w:r>
      <w:r w:rsidR="001E45D2">
        <w:rPr>
          <w:noProof/>
        </w:rPr>
        <w:t>(</w:t>
      </w:r>
      <w:r w:rsidRPr="00DC621B">
        <w:rPr>
          <w:noProof/>
        </w:rPr>
        <w:t>TSOs</w:t>
      </w:r>
      <w:r w:rsidR="001E45D2">
        <w:rPr>
          <w:noProof/>
        </w:rPr>
        <w:t>)</w:t>
      </w:r>
      <w:r w:rsidRPr="00DC621B">
        <w:rPr>
          <w:noProof/>
        </w:rPr>
        <w:t>).</w:t>
      </w:r>
    </w:p>
    <w:p w:rsidR="005B1A9E" w:rsidRPr="00DC621B" w:rsidRDefault="00604DC8" w:rsidP="005B1A9E">
      <w:pPr>
        <w:ind w:right="-29"/>
        <w:rPr>
          <w:noProof/>
        </w:rPr>
      </w:pPr>
      <w:r w:rsidRPr="00DC621B">
        <w:rPr>
          <w:noProof/>
        </w:rPr>
        <w:t>The main market principles as set out in the electricity network codes and guidelines were also lifted-up into t</w:t>
      </w:r>
      <w:r w:rsidR="005B1A9E" w:rsidRPr="00DC621B">
        <w:rPr>
          <w:noProof/>
        </w:rPr>
        <w:t>he Electricity Regulation to increase transparency and reliability of the legal framework.</w:t>
      </w:r>
    </w:p>
    <w:p w:rsidR="009310F3" w:rsidRPr="00DC621B" w:rsidRDefault="009310F3" w:rsidP="796E43CC">
      <w:pPr>
        <w:rPr>
          <w:iCs/>
          <w:noProof/>
        </w:rPr>
      </w:pPr>
      <w:r w:rsidRPr="00DC621B">
        <w:rPr>
          <w:noProof/>
        </w:rPr>
        <w:t xml:space="preserve">The </w:t>
      </w:r>
      <w:r w:rsidR="00185F32">
        <w:rPr>
          <w:noProof/>
        </w:rPr>
        <w:t>E</w:t>
      </w:r>
      <w:r w:rsidRPr="00DC621B">
        <w:rPr>
          <w:noProof/>
        </w:rPr>
        <w:t xml:space="preserve">valuation is based on several comprehensive </w:t>
      </w:r>
      <w:r w:rsidRPr="00DC621B">
        <w:rPr>
          <w:b/>
          <w:bCs/>
          <w:noProof/>
        </w:rPr>
        <w:t>monitoring</w:t>
      </w:r>
      <w:r w:rsidRPr="00DC621B">
        <w:rPr>
          <w:noProof/>
        </w:rPr>
        <w:t xml:space="preserve"> </w:t>
      </w:r>
      <w:r w:rsidRPr="00DC621B">
        <w:rPr>
          <w:b/>
          <w:bCs/>
          <w:noProof/>
        </w:rPr>
        <w:t>reports</w:t>
      </w:r>
      <w:r w:rsidRPr="00DC621B">
        <w:rPr>
          <w:noProof/>
        </w:rPr>
        <w:t xml:space="preserve"> on the functioning of the implemented market legislation</w:t>
      </w:r>
      <w:r w:rsidRPr="00DC621B">
        <w:rPr>
          <w:rStyle w:val="FootnoteReference"/>
          <w:noProof/>
        </w:rPr>
        <w:footnoteReference w:id="23"/>
      </w:r>
      <w:r w:rsidR="00AD38A1">
        <w:rPr>
          <w:noProof/>
        </w:rPr>
        <w:t>,</w:t>
      </w:r>
      <w:r w:rsidRPr="00DC621B">
        <w:rPr>
          <w:noProof/>
        </w:rPr>
        <w:t xml:space="preserve"> as well as on </w:t>
      </w:r>
      <w:r w:rsidRPr="00DC621B">
        <w:rPr>
          <w:noProof/>
          <w:color w:val="000000"/>
        </w:rPr>
        <w:t xml:space="preserve">a number of specific </w:t>
      </w:r>
      <w:r w:rsidRPr="00DC621B">
        <w:rPr>
          <w:b/>
          <w:bCs/>
          <w:noProof/>
          <w:color w:val="000000"/>
        </w:rPr>
        <w:t>public consultations</w:t>
      </w:r>
      <w:r w:rsidRPr="00DC621B">
        <w:rPr>
          <w:noProof/>
          <w:color w:val="000000"/>
        </w:rPr>
        <w:t xml:space="preserve"> issued by the Commission to verify the effects of its legislation</w:t>
      </w:r>
      <w:r w:rsidR="0070235B" w:rsidRPr="00DC621B">
        <w:rPr>
          <w:rStyle w:val="FootnoteReference"/>
          <w:noProof/>
          <w:color w:val="000000"/>
        </w:rPr>
        <w:footnoteReference w:id="24"/>
      </w:r>
      <w:r w:rsidR="00AD38A1">
        <w:rPr>
          <w:noProof/>
          <w:color w:val="000000"/>
        </w:rPr>
        <w:t>.</w:t>
      </w:r>
      <w:r w:rsidRPr="00DC621B">
        <w:rPr>
          <w:i/>
          <w:iCs/>
          <w:noProof/>
        </w:rPr>
        <w:t xml:space="preserve"> </w:t>
      </w:r>
      <w:r w:rsidR="00407DFE" w:rsidRPr="00DC621B">
        <w:rPr>
          <w:noProof/>
        </w:rPr>
        <w:t>Furthermore, some external studies also included assessments of specific elements of the implemented market legislation</w:t>
      </w:r>
      <w:r w:rsidR="00407DFE" w:rsidRPr="00DC621B">
        <w:rPr>
          <w:rStyle w:val="FootnoteReference"/>
          <w:noProof/>
        </w:rPr>
        <w:footnoteReference w:id="25"/>
      </w:r>
      <w:r w:rsidR="00AD38A1">
        <w:rPr>
          <w:noProof/>
        </w:rPr>
        <w:t>.</w:t>
      </w:r>
      <w:r w:rsidR="00407DFE" w:rsidRPr="00DC621B">
        <w:rPr>
          <w:noProof/>
        </w:rPr>
        <w:t xml:space="preserve"> </w:t>
      </w:r>
      <w:r w:rsidRPr="00DC621B">
        <w:rPr>
          <w:noProof/>
        </w:rPr>
        <w:t>Other consultations</w:t>
      </w:r>
      <w:r w:rsidRPr="00DC621B">
        <w:rPr>
          <w:i/>
          <w:iCs/>
          <w:noProof/>
        </w:rPr>
        <w:t xml:space="preserve"> </w:t>
      </w:r>
      <w:r w:rsidRPr="00DC621B">
        <w:rPr>
          <w:noProof/>
        </w:rPr>
        <w:t>via public events</w:t>
      </w:r>
      <w:r w:rsidRPr="00DC621B">
        <w:rPr>
          <w:i/>
          <w:iCs/>
          <w:noProof/>
        </w:rPr>
        <w:t xml:space="preserve"> </w:t>
      </w:r>
      <w:r w:rsidRPr="00DC621B">
        <w:rPr>
          <w:noProof/>
        </w:rPr>
        <w:t xml:space="preserve">such as forums and conferences have also contributed to gather feedback from stakeholders on the functioning of the Third Energy Package. </w:t>
      </w:r>
      <w:r w:rsidRPr="00DC621B">
        <w:rPr>
          <w:noProof/>
          <w:lang w:eastAsia="en-GB"/>
        </w:rPr>
        <w:t xml:space="preserve">The </w:t>
      </w:r>
      <w:hyperlink r:id="rId24" w:history="1">
        <w:r w:rsidR="00D97525" w:rsidRPr="00DC621B">
          <w:rPr>
            <w:noProof/>
            <w:lang w:eastAsia="en-GB"/>
          </w:rPr>
          <w:t>Madrid</w:t>
        </w:r>
        <w:r w:rsidRPr="00DC621B">
          <w:rPr>
            <w:noProof/>
            <w:lang w:eastAsia="en-GB"/>
          </w:rPr>
          <w:t xml:space="preserve"> Forum</w:t>
        </w:r>
      </w:hyperlink>
      <w:r w:rsidRPr="00DC621B">
        <w:rPr>
          <w:noProof/>
          <w:lang w:eastAsia="en-GB"/>
        </w:rPr>
        <w:t xml:space="preserve"> was set up to discuss the creation of true internal gas markets in Europe</w:t>
      </w:r>
      <w:r w:rsidRPr="00DC621B">
        <w:rPr>
          <w:rStyle w:val="FootnoteReference"/>
          <w:noProof/>
          <w:lang w:eastAsia="en-GB"/>
        </w:rPr>
        <w:footnoteReference w:id="26"/>
      </w:r>
      <w:r w:rsidR="007F5DE6">
        <w:rPr>
          <w:noProof/>
          <w:lang w:eastAsia="en-GB"/>
        </w:rPr>
        <w:t>.</w:t>
      </w:r>
      <w:r w:rsidR="00CD2455" w:rsidRPr="00DC621B">
        <w:rPr>
          <w:noProof/>
          <w:lang w:eastAsia="en-GB"/>
        </w:rPr>
        <w:t xml:space="preserve"> </w:t>
      </w:r>
      <w:r w:rsidR="001359E0" w:rsidRPr="00DC621B">
        <w:rPr>
          <w:noProof/>
        </w:rPr>
        <w:t xml:space="preserve">The participants include </w:t>
      </w:r>
      <w:r w:rsidR="001B1E7E">
        <w:rPr>
          <w:noProof/>
        </w:rPr>
        <w:t>NRAs</w:t>
      </w:r>
      <w:r w:rsidR="001359E0" w:rsidRPr="00DC621B">
        <w:rPr>
          <w:noProof/>
        </w:rPr>
        <w:t xml:space="preserve">, EU national governments, transmission system operators, gas suppliers and traders, consumers, network users, and gas exchanges. </w:t>
      </w:r>
      <w:r w:rsidRPr="00DC621B">
        <w:rPr>
          <w:noProof/>
          <w:lang w:eastAsia="en-GB"/>
        </w:rPr>
        <w:t xml:space="preserve">The Third </w:t>
      </w:r>
      <w:r w:rsidR="00972538" w:rsidRPr="00DC621B">
        <w:rPr>
          <w:noProof/>
          <w:lang w:eastAsia="en-GB"/>
        </w:rPr>
        <w:t>Gas</w:t>
      </w:r>
      <w:r w:rsidRPr="00DC621B">
        <w:rPr>
          <w:noProof/>
          <w:lang w:eastAsia="en-GB"/>
        </w:rPr>
        <w:t xml:space="preserve"> Package and its implementation was discussed in this stakeholder forum at several occasions</w:t>
      </w:r>
      <w:r w:rsidR="0001425E" w:rsidRPr="00DC621B">
        <w:rPr>
          <w:rStyle w:val="FootnoteReference"/>
          <w:noProof/>
          <w:lang w:eastAsia="en-GB"/>
        </w:rPr>
        <w:footnoteReference w:id="27"/>
      </w:r>
      <w:r w:rsidR="007F5DE6">
        <w:rPr>
          <w:noProof/>
          <w:lang w:eastAsia="en-GB"/>
        </w:rPr>
        <w:t>.</w:t>
      </w:r>
    </w:p>
    <w:p w:rsidR="009310F3" w:rsidRPr="00DC621B" w:rsidRDefault="009310F3" w:rsidP="007F7B3A">
      <w:pPr>
        <w:pStyle w:val="Heading2"/>
        <w:rPr>
          <w:rFonts w:eastAsia="Calibri"/>
          <w:noProof/>
        </w:rPr>
      </w:pPr>
      <w:bookmarkStart w:id="65" w:name="_Toc456026806"/>
      <w:bookmarkStart w:id="66" w:name="_Toc456027862"/>
      <w:bookmarkStart w:id="67" w:name="_Toc456029367"/>
      <w:bookmarkStart w:id="68" w:name="_Toc456356732"/>
      <w:bookmarkStart w:id="69" w:name="_Toc456026807"/>
      <w:bookmarkStart w:id="70" w:name="_Toc456027863"/>
      <w:bookmarkStart w:id="71" w:name="_Toc456029368"/>
      <w:bookmarkStart w:id="72" w:name="_Toc456356733"/>
      <w:bookmarkStart w:id="73" w:name="_Toc454960939"/>
      <w:bookmarkStart w:id="74" w:name="_Toc454960940"/>
      <w:bookmarkStart w:id="75" w:name="_Toc454960941"/>
      <w:bookmarkStart w:id="76" w:name="_Toc454960942"/>
      <w:bookmarkStart w:id="77" w:name="_Toc454960945"/>
      <w:bookmarkStart w:id="78" w:name="_Toc454960946"/>
      <w:bookmarkStart w:id="79" w:name="_Toc454960947"/>
      <w:bookmarkStart w:id="80" w:name="_Toc396143059"/>
      <w:bookmarkStart w:id="81" w:name="_Toc455064633"/>
      <w:bookmarkStart w:id="82" w:name="_Toc455070075"/>
      <w:bookmarkStart w:id="83" w:name="_Toc455073981"/>
      <w:bookmarkStart w:id="84" w:name="_Toc455074310"/>
      <w:bookmarkStart w:id="85" w:name="_Toc455081989"/>
      <w:bookmarkStart w:id="86" w:name="_Toc455082081"/>
      <w:bookmarkStart w:id="87" w:name="_Toc455082953"/>
      <w:bookmarkStart w:id="88" w:name="_Toc455134302"/>
      <w:bookmarkStart w:id="89" w:name="_Toc455148826"/>
      <w:bookmarkStart w:id="90" w:name="_Toc455156711"/>
      <w:bookmarkStart w:id="91" w:name="_Toc455156867"/>
      <w:bookmarkStart w:id="92" w:name="_Toc455160037"/>
      <w:bookmarkStart w:id="93" w:name="_Toc456772811"/>
      <w:bookmarkStart w:id="94" w:name="_Toc76743528"/>
      <w:bookmarkStart w:id="95" w:name="_Toc77590789"/>
      <w:bookmarkStart w:id="96" w:name="_Toc77600947"/>
      <w:bookmarkStart w:id="97" w:name="_Toc77682205"/>
      <w:bookmarkStart w:id="98" w:name="_Toc89688250"/>
      <w:bookmarkStart w:id="99" w:name="_Toc89882315"/>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C621B">
        <w:rPr>
          <w:rFonts w:eastAsia="Calibri"/>
          <w:noProof/>
        </w:rPr>
        <w:t xml:space="preserve">Purpose of the </w:t>
      </w:r>
      <w:bookmarkEnd w:id="80"/>
      <w:r w:rsidR="00185F32">
        <w:rPr>
          <w:rFonts w:eastAsia="Calibri"/>
          <w:noProof/>
        </w:rPr>
        <w:t>E</w:t>
      </w:r>
      <w:r w:rsidRPr="00DC621B">
        <w:rPr>
          <w:rFonts w:eastAsia="Calibri"/>
          <w:noProof/>
        </w:rPr>
        <w:t>valuation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DC621B">
        <w:rPr>
          <w:rFonts w:eastAsia="Calibri"/>
          <w:noProof/>
        </w:rPr>
        <w:t xml:space="preserve"> </w:t>
      </w:r>
    </w:p>
    <w:p w:rsidR="009310F3" w:rsidRPr="00DC621B" w:rsidRDefault="009310F3" w:rsidP="796E43CC">
      <w:pPr>
        <w:spacing w:before="240"/>
        <w:ind w:right="-28"/>
        <w:rPr>
          <w:noProof/>
          <w:szCs w:val="24"/>
        </w:rPr>
      </w:pPr>
      <w:r w:rsidRPr="00DC621B">
        <w:rPr>
          <w:noProof/>
        </w:rPr>
        <w:t xml:space="preserve">This </w:t>
      </w:r>
      <w:r w:rsidR="00185F32">
        <w:rPr>
          <w:noProof/>
        </w:rPr>
        <w:t>E</w:t>
      </w:r>
      <w:r w:rsidRPr="00DC621B">
        <w:rPr>
          <w:noProof/>
        </w:rPr>
        <w:t xml:space="preserve">valuation provides the basis for the </w:t>
      </w:r>
      <w:r w:rsidR="00185F32">
        <w:rPr>
          <w:noProof/>
        </w:rPr>
        <w:t>I</w:t>
      </w:r>
      <w:r w:rsidRPr="00DC621B">
        <w:rPr>
          <w:noProof/>
        </w:rPr>
        <w:t xml:space="preserve">mpact </w:t>
      </w:r>
      <w:r w:rsidR="00185F32">
        <w:rPr>
          <w:noProof/>
        </w:rPr>
        <w:t>A</w:t>
      </w:r>
      <w:r w:rsidRPr="00DC621B">
        <w:rPr>
          <w:noProof/>
        </w:rPr>
        <w:t xml:space="preserve">ssessment for the initiative to review the existing EU </w:t>
      </w:r>
      <w:r w:rsidR="00D97525" w:rsidRPr="00DC621B">
        <w:rPr>
          <w:noProof/>
        </w:rPr>
        <w:t>gas</w:t>
      </w:r>
      <w:r w:rsidRPr="00DC621B">
        <w:rPr>
          <w:noProof/>
        </w:rPr>
        <w:t xml:space="preserve"> market design rules</w:t>
      </w:r>
      <w:r w:rsidR="00CD2455" w:rsidRPr="00DC621B">
        <w:rPr>
          <w:noProof/>
        </w:rPr>
        <w:t xml:space="preserve"> meanwhile also known as the ‘Hydrogen and gas markets decarbonisation package’</w:t>
      </w:r>
      <w:r w:rsidRPr="00DC621B">
        <w:rPr>
          <w:rStyle w:val="FootnoteReference"/>
          <w:noProof/>
        </w:rPr>
        <w:footnoteReference w:id="28"/>
      </w:r>
      <w:r w:rsidR="007F5DE6">
        <w:rPr>
          <w:noProof/>
        </w:rPr>
        <w:t>.</w:t>
      </w:r>
      <w:r w:rsidRPr="00DC621B">
        <w:rPr>
          <w:noProof/>
        </w:rPr>
        <w:t xml:space="preserve"> It seeks to contribute to the formulation of an adequate and effective policy response to the challenges </w:t>
      </w:r>
      <w:r w:rsidR="00D97525" w:rsidRPr="00DC621B">
        <w:rPr>
          <w:noProof/>
        </w:rPr>
        <w:t>gas</w:t>
      </w:r>
      <w:r w:rsidRPr="00DC621B">
        <w:rPr>
          <w:noProof/>
        </w:rPr>
        <w:t xml:space="preserve"> markets are currently facing</w:t>
      </w:r>
      <w:r w:rsidR="00D97525" w:rsidRPr="00DC621B">
        <w:rPr>
          <w:noProof/>
        </w:rPr>
        <w:t xml:space="preserve"> in contributing to the climate objectives of the EU</w:t>
      </w:r>
      <w:r w:rsidRPr="00DC621B">
        <w:rPr>
          <w:noProof/>
        </w:rPr>
        <w:t>.</w:t>
      </w:r>
    </w:p>
    <w:p w:rsidR="009310F3" w:rsidRPr="00DC621B" w:rsidRDefault="009310F3" w:rsidP="796E43CC">
      <w:pPr>
        <w:ind w:right="-29"/>
        <w:rPr>
          <w:noProof/>
          <w:szCs w:val="24"/>
        </w:rPr>
      </w:pPr>
      <w:r w:rsidRPr="00DC621B">
        <w:rPr>
          <w:noProof/>
        </w:rPr>
        <w:t xml:space="preserve">The </w:t>
      </w:r>
      <w:r w:rsidR="00185F32">
        <w:rPr>
          <w:noProof/>
        </w:rPr>
        <w:t>E</w:t>
      </w:r>
      <w:r w:rsidRPr="00DC621B">
        <w:rPr>
          <w:noProof/>
        </w:rPr>
        <w:t xml:space="preserve">valuation will assess whether the abovementioned EU rules introduced in 2009 have been successful in meeting their stated objectives, in particular achieving a better-functioning internal </w:t>
      </w:r>
      <w:r w:rsidR="00D97525" w:rsidRPr="00DC621B">
        <w:rPr>
          <w:noProof/>
        </w:rPr>
        <w:t>gas</w:t>
      </w:r>
      <w:r w:rsidRPr="00DC621B">
        <w:rPr>
          <w:noProof/>
        </w:rPr>
        <w:t xml:space="preserve"> market. The evaluation will analyse the effectiveness, efficiency, coherence, relevance and EU added value of the relevant measures in relation to the objectives strived </w:t>
      </w:r>
      <w:r w:rsidR="00E84BCF" w:rsidRPr="00DC621B">
        <w:rPr>
          <w:noProof/>
        </w:rPr>
        <w:t xml:space="preserve">for </w:t>
      </w:r>
      <w:r w:rsidRPr="00DC621B">
        <w:rPr>
          <w:noProof/>
        </w:rPr>
        <w:t xml:space="preserve">by the Third </w:t>
      </w:r>
      <w:r w:rsidR="003F7B2C" w:rsidRPr="00DC621B">
        <w:rPr>
          <w:noProof/>
        </w:rPr>
        <w:t>Gas</w:t>
      </w:r>
      <w:r w:rsidRPr="00DC621B">
        <w:rPr>
          <w:noProof/>
        </w:rPr>
        <w:t xml:space="preserve"> Package. In view of </w:t>
      </w:r>
      <w:r w:rsidR="00D97525" w:rsidRPr="00DC621B">
        <w:rPr>
          <w:noProof/>
        </w:rPr>
        <w:t xml:space="preserve">the increased climate ambition of the EU, </w:t>
      </w:r>
      <w:r w:rsidRPr="00DC621B">
        <w:rPr>
          <w:noProof/>
        </w:rPr>
        <w:t xml:space="preserve">the evaluation will also analyse the possible </w:t>
      </w:r>
      <w:r w:rsidR="00D97525" w:rsidRPr="00DC621B">
        <w:rPr>
          <w:noProof/>
        </w:rPr>
        <w:t>contribution of</w:t>
      </w:r>
      <w:r w:rsidRPr="00DC621B">
        <w:rPr>
          <w:noProof/>
        </w:rPr>
        <w:t xml:space="preserve"> EU </w:t>
      </w:r>
      <w:r w:rsidR="00D97525" w:rsidRPr="00DC621B">
        <w:rPr>
          <w:noProof/>
        </w:rPr>
        <w:t>gas</w:t>
      </w:r>
      <w:r w:rsidRPr="00DC621B">
        <w:rPr>
          <w:noProof/>
        </w:rPr>
        <w:t xml:space="preserve"> market regulation and verify to what extent the </w:t>
      </w:r>
      <w:r w:rsidR="00D97525" w:rsidRPr="00DC621B">
        <w:rPr>
          <w:noProof/>
        </w:rPr>
        <w:t>gas</w:t>
      </w:r>
      <w:r w:rsidRPr="00DC621B">
        <w:rPr>
          <w:noProof/>
        </w:rPr>
        <w:t xml:space="preserve"> market rules adopted in 2009 and the EU internal energy market framework are </w:t>
      </w:r>
      <w:r w:rsidR="00CD2455" w:rsidRPr="00DC621B">
        <w:rPr>
          <w:noProof/>
        </w:rPr>
        <w:t xml:space="preserve">still </w:t>
      </w:r>
      <w:r w:rsidRPr="00DC621B">
        <w:rPr>
          <w:noProof/>
        </w:rPr>
        <w:t xml:space="preserve">able to respond to the energy sector's new challenges and to meet current and future expectations on </w:t>
      </w:r>
      <w:r w:rsidR="00D97525" w:rsidRPr="00DC621B">
        <w:rPr>
          <w:noProof/>
        </w:rPr>
        <w:t>decarbonising the</w:t>
      </w:r>
      <w:r w:rsidRPr="00DC621B">
        <w:rPr>
          <w:noProof/>
        </w:rPr>
        <w:t xml:space="preserve"> Europe</w:t>
      </w:r>
      <w:r w:rsidR="00D97525" w:rsidRPr="00DC621B">
        <w:rPr>
          <w:noProof/>
        </w:rPr>
        <w:t>an economy</w:t>
      </w:r>
      <w:r w:rsidRPr="00DC621B">
        <w:rPr>
          <w:noProof/>
        </w:rPr>
        <w:t xml:space="preserve">. </w:t>
      </w:r>
    </w:p>
    <w:p w:rsidR="009310F3" w:rsidRPr="00DC621B" w:rsidRDefault="00EB28D3" w:rsidP="00EB28D3">
      <w:pPr>
        <w:pStyle w:val="FootnoteText"/>
        <w:rPr>
          <w:noProof/>
        </w:rPr>
      </w:pPr>
      <w:bookmarkStart w:id="100" w:name="_Toc455064634"/>
      <w:bookmarkStart w:id="101" w:name="_Toc455070076"/>
      <w:bookmarkStart w:id="102" w:name="_Toc455073982"/>
      <w:bookmarkStart w:id="103" w:name="_Toc455074311"/>
      <w:bookmarkStart w:id="104" w:name="_Toc455081990"/>
      <w:bookmarkStart w:id="105" w:name="_Toc455082082"/>
      <w:bookmarkStart w:id="106" w:name="_Toc455082954"/>
      <w:bookmarkStart w:id="107" w:name="_Toc455134303"/>
      <w:bookmarkStart w:id="108" w:name="_Toc455148827"/>
      <w:bookmarkStart w:id="109" w:name="_Toc455156712"/>
      <w:bookmarkStart w:id="110" w:name="_Toc455156868"/>
      <w:bookmarkStart w:id="111" w:name="_Toc455160038"/>
      <w:bookmarkStart w:id="112" w:name="_Toc456772812"/>
      <w:bookmarkStart w:id="113" w:name="_Toc76743529"/>
      <w:bookmarkStart w:id="114" w:name="_Toc77590790"/>
      <w:bookmarkStart w:id="115" w:name="_Toc77600948"/>
      <w:bookmarkStart w:id="116" w:name="_Toc77682206"/>
      <w:bookmarkStart w:id="117" w:name="_Toc89688251"/>
      <w:bookmarkStart w:id="118" w:name="_Toc89882316"/>
      <w:r w:rsidRPr="00EB28D3">
        <w:t>2.</w:t>
      </w:r>
      <w:r w:rsidRPr="00EB28D3">
        <w:tab/>
      </w:r>
      <w:r w:rsidR="009310F3" w:rsidRPr="00DC621B">
        <w:rPr>
          <w:noProof/>
        </w:rPr>
        <w:t>Background to the evaluated initiatives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9310F3" w:rsidRPr="00DC621B" w:rsidRDefault="00AA4F2C" w:rsidP="008F1290">
      <w:pPr>
        <w:pStyle w:val="Heading2"/>
        <w:rPr>
          <w:noProof/>
        </w:rPr>
      </w:pPr>
      <w:bookmarkStart w:id="119" w:name="_Toc454960950"/>
      <w:bookmarkStart w:id="120" w:name="_Toc89882317"/>
      <w:bookmarkStart w:id="121" w:name="_Toc455064635"/>
      <w:bookmarkStart w:id="122" w:name="_Toc455070077"/>
      <w:bookmarkStart w:id="123" w:name="_Toc455073983"/>
      <w:bookmarkStart w:id="124" w:name="_Toc455074312"/>
      <w:bookmarkStart w:id="125" w:name="_Toc455081991"/>
      <w:bookmarkStart w:id="126" w:name="_Toc455082083"/>
      <w:bookmarkStart w:id="127" w:name="_Toc455082955"/>
      <w:bookmarkStart w:id="128" w:name="_Toc455134304"/>
      <w:bookmarkStart w:id="129" w:name="_Toc455148828"/>
      <w:bookmarkStart w:id="130" w:name="_Toc455156713"/>
      <w:bookmarkStart w:id="131" w:name="_Toc455156869"/>
      <w:bookmarkStart w:id="132" w:name="_Toc455160039"/>
      <w:bookmarkStart w:id="133" w:name="_Toc456772813"/>
      <w:bookmarkStart w:id="134" w:name="_Toc76743530"/>
      <w:bookmarkStart w:id="135" w:name="_Toc77590791"/>
      <w:bookmarkStart w:id="136" w:name="_Toc77600949"/>
      <w:bookmarkStart w:id="137" w:name="_Toc77682207"/>
      <w:bookmarkStart w:id="138" w:name="_Toc89688252"/>
      <w:bookmarkEnd w:id="119"/>
      <w:r w:rsidRPr="00DC621B">
        <w:rPr>
          <w:noProof/>
        </w:rPr>
        <w:t>Objectives of the Third Gas Package</w:t>
      </w:r>
      <w:bookmarkEnd w:id="120"/>
      <w:r w:rsidRPr="00DC621B">
        <w:rPr>
          <w:noProof/>
        </w:rPr>
        <w:t xml:space="preserve">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9310F3" w:rsidRPr="00DC621B" w:rsidRDefault="009310F3">
      <w:pPr>
        <w:rPr>
          <w:noProof/>
        </w:rPr>
      </w:pPr>
      <w:r w:rsidRPr="00DC621B">
        <w:rPr>
          <w:noProof/>
        </w:rPr>
        <w:t>Prior to the EU</w:t>
      </w:r>
      <w:r w:rsidR="00185F32">
        <w:rPr>
          <w:noProof/>
        </w:rPr>
        <w:t>’</w:t>
      </w:r>
      <w:r w:rsidRPr="00DC621B">
        <w:rPr>
          <w:noProof/>
        </w:rPr>
        <w:t xml:space="preserve">s liberalisation initiatives, </w:t>
      </w:r>
      <w:r w:rsidR="00BE3713" w:rsidRPr="00DC621B">
        <w:rPr>
          <w:noProof/>
        </w:rPr>
        <w:t>gas</w:t>
      </w:r>
      <w:r w:rsidRPr="00DC621B">
        <w:rPr>
          <w:noProof/>
        </w:rPr>
        <w:t xml:space="preserve"> was produced, purchased, transported and sold mostly by domestic, state-controlled monopoly companies. Competition in </w:t>
      </w:r>
      <w:r w:rsidR="00BE3713" w:rsidRPr="00DC621B">
        <w:rPr>
          <w:noProof/>
        </w:rPr>
        <w:t>gas markets was almost absent</w:t>
      </w:r>
      <w:r w:rsidRPr="00DC621B">
        <w:rPr>
          <w:noProof/>
        </w:rPr>
        <w:t>. This, however, led to manifold problems in terms of cost-efficiency and security of supply.</w:t>
      </w:r>
    </w:p>
    <w:p w:rsidR="009310F3" w:rsidRPr="00DC621B" w:rsidRDefault="009310F3">
      <w:pPr>
        <w:rPr>
          <w:noProof/>
        </w:rPr>
      </w:pPr>
      <w:r w:rsidRPr="00DC621B">
        <w:rPr>
          <w:noProof/>
        </w:rPr>
        <w:t xml:space="preserve">The EU has taken the initiative to gradually liberalise EU energy markets and to create </w:t>
      </w:r>
      <w:r w:rsidR="00BE3713" w:rsidRPr="00DC621B">
        <w:rPr>
          <w:noProof/>
        </w:rPr>
        <w:t xml:space="preserve">an </w:t>
      </w:r>
      <w:r w:rsidRPr="00DC621B">
        <w:rPr>
          <w:noProof/>
        </w:rPr>
        <w:t xml:space="preserve">internal </w:t>
      </w:r>
      <w:r w:rsidR="00BE3713" w:rsidRPr="00DC621B">
        <w:rPr>
          <w:noProof/>
        </w:rPr>
        <w:t>gas</w:t>
      </w:r>
      <w:r w:rsidRPr="00DC621B">
        <w:rPr>
          <w:noProof/>
        </w:rPr>
        <w:t xml:space="preserve"> market. The process started with the adoption of the First </w:t>
      </w:r>
      <w:r w:rsidR="00BE3713" w:rsidRPr="00DC621B">
        <w:rPr>
          <w:noProof/>
        </w:rPr>
        <w:t>Gas</w:t>
      </w:r>
      <w:r w:rsidRPr="00DC621B">
        <w:rPr>
          <w:noProof/>
        </w:rPr>
        <w:t xml:space="preserve"> Directive in </w:t>
      </w:r>
      <w:r w:rsidR="0052303A" w:rsidRPr="00DC621B">
        <w:rPr>
          <w:noProof/>
        </w:rPr>
        <w:t>1998</w:t>
      </w:r>
      <w:r w:rsidRPr="00DC621B">
        <w:rPr>
          <w:rStyle w:val="FootnoteReference"/>
          <w:noProof/>
        </w:rPr>
        <w:footnoteReference w:id="29"/>
      </w:r>
      <w:r w:rsidR="00502D97">
        <w:rPr>
          <w:noProof/>
        </w:rPr>
        <w:t>.</w:t>
      </w:r>
      <w:r w:rsidRPr="00DC621B">
        <w:rPr>
          <w:noProof/>
        </w:rPr>
        <w:t xml:space="preserve"> The liberalisation initiative brought some first successes, but progress remained limited. In 2003, a Second </w:t>
      </w:r>
      <w:r w:rsidR="00BE3713" w:rsidRPr="00DC621B">
        <w:rPr>
          <w:noProof/>
        </w:rPr>
        <w:t>Gas</w:t>
      </w:r>
      <w:r w:rsidRPr="00DC621B">
        <w:rPr>
          <w:noProof/>
        </w:rPr>
        <w:t xml:space="preserve"> Package was therefore adopted to stimulate the development of competition in </w:t>
      </w:r>
      <w:r w:rsidR="00BE3713" w:rsidRPr="00DC621B">
        <w:rPr>
          <w:noProof/>
        </w:rPr>
        <w:t>gas</w:t>
      </w:r>
      <w:r w:rsidRPr="00DC621B">
        <w:rPr>
          <w:noProof/>
        </w:rPr>
        <w:t xml:space="preserve"> markets</w:t>
      </w:r>
      <w:r w:rsidRPr="00DC621B">
        <w:rPr>
          <w:rStyle w:val="FootnoteReference"/>
          <w:noProof/>
        </w:rPr>
        <w:footnoteReference w:id="30"/>
      </w:r>
      <w:r w:rsidR="00620844">
        <w:rPr>
          <w:noProof/>
        </w:rPr>
        <w:t>.</w:t>
      </w:r>
    </w:p>
    <w:p w:rsidR="009310F3" w:rsidRPr="00DC621B" w:rsidRDefault="009310F3" w:rsidP="796E43CC">
      <w:pPr>
        <w:rPr>
          <w:noProof/>
          <w:szCs w:val="24"/>
        </w:rPr>
      </w:pPr>
      <w:r w:rsidRPr="00DC621B">
        <w:rPr>
          <w:noProof/>
        </w:rPr>
        <w:t xml:space="preserve">Despite good progress in some individual countries, the Commission’s systematic </w:t>
      </w:r>
      <w:r w:rsidRPr="00DC621B">
        <w:rPr>
          <w:b/>
          <w:bCs/>
          <w:noProof/>
        </w:rPr>
        <w:t>sector inquiry</w:t>
      </w:r>
      <w:r w:rsidRPr="00DC621B">
        <w:rPr>
          <w:i/>
          <w:iCs/>
          <w:noProof/>
        </w:rPr>
        <w:t xml:space="preserve"> </w:t>
      </w:r>
      <w:r w:rsidRPr="00DC621B">
        <w:rPr>
          <w:noProof/>
        </w:rPr>
        <w:t>into the energy sector</w:t>
      </w:r>
      <w:r w:rsidRPr="00DC621B">
        <w:rPr>
          <w:i/>
          <w:iCs/>
          <w:noProof/>
        </w:rPr>
        <w:t xml:space="preserve"> </w:t>
      </w:r>
      <w:r w:rsidRPr="00DC621B">
        <w:rPr>
          <w:noProof/>
        </w:rPr>
        <w:t>from 2005-2007</w:t>
      </w:r>
      <w:r w:rsidRPr="00DC621B">
        <w:rPr>
          <w:rStyle w:val="FootnoteReference"/>
          <w:noProof/>
        </w:rPr>
        <w:footnoteReference w:id="31"/>
      </w:r>
      <w:r w:rsidRPr="00DC621B">
        <w:rPr>
          <w:noProof/>
        </w:rPr>
        <w:t xml:space="preserve"> revealed that </w:t>
      </w:r>
      <w:r w:rsidRPr="00DC621B">
        <w:rPr>
          <w:b/>
          <w:bCs/>
          <w:noProof/>
        </w:rPr>
        <w:t>significant obstacles</w:t>
      </w:r>
      <w:r w:rsidRPr="00DC621B">
        <w:rPr>
          <w:noProof/>
        </w:rPr>
        <w:t xml:space="preserve"> to competitive cross-border markets remained, and that consumers could still not fully benefit from liberalisation. Incumbent companies </w:t>
      </w:r>
      <w:r w:rsidR="00620844">
        <w:rPr>
          <w:noProof/>
        </w:rPr>
        <w:t>–</w:t>
      </w:r>
      <w:r w:rsidRPr="00DC621B">
        <w:rPr>
          <w:noProof/>
        </w:rPr>
        <w:t xml:space="preserve"> mostly still state owned </w:t>
      </w:r>
      <w:r w:rsidR="00620844">
        <w:rPr>
          <w:noProof/>
        </w:rPr>
        <w:t>–</w:t>
      </w:r>
      <w:r w:rsidRPr="00DC621B">
        <w:rPr>
          <w:noProof/>
        </w:rPr>
        <w:t xml:space="preserve"> had managed to maintain their dominant positions and tried to avoid competition from domestic and foreign companies. They notably used their control over their </w:t>
      </w:r>
      <w:r w:rsidR="00DA7DB2" w:rsidRPr="00DC621B">
        <w:rPr>
          <w:noProof/>
        </w:rPr>
        <w:t xml:space="preserve">networks </w:t>
      </w:r>
      <w:r w:rsidRPr="00DC621B">
        <w:rPr>
          <w:noProof/>
        </w:rPr>
        <w:t xml:space="preserve">to avoid competition from new energy suppliers. The results of the sector inquiry triggered the Commission’s proposal for a comprehensive Third </w:t>
      </w:r>
      <w:r w:rsidR="00DA7DB2" w:rsidRPr="00DC621B">
        <w:rPr>
          <w:noProof/>
        </w:rPr>
        <w:t xml:space="preserve">Energy </w:t>
      </w:r>
      <w:r w:rsidRPr="00DC621B">
        <w:rPr>
          <w:noProof/>
        </w:rPr>
        <w:t>Package. The new legislation mainly aimed at addressing the problems identified in the Sector Inquiry</w:t>
      </w:r>
      <w:r w:rsidRPr="00DC621B">
        <w:rPr>
          <w:rStyle w:val="FootnoteReference"/>
          <w:noProof/>
        </w:rPr>
        <w:footnoteReference w:id="32"/>
      </w:r>
      <w:r w:rsidR="00620844">
        <w:rPr>
          <w:noProof/>
        </w:rPr>
        <w:t>,</w:t>
      </w:r>
      <w:r w:rsidRPr="00DC621B">
        <w:rPr>
          <w:noProof/>
        </w:rPr>
        <w:t xml:space="preserve"> namely:</w:t>
      </w:r>
    </w:p>
    <w:p w:rsidR="009310F3" w:rsidRPr="00DC621B" w:rsidRDefault="0005095F" w:rsidP="00D646E3">
      <w:pPr>
        <w:pStyle w:val="ListParagraph"/>
        <w:numPr>
          <w:ilvl w:val="0"/>
          <w:numId w:val="370"/>
        </w:numPr>
        <w:rPr>
          <w:noProof/>
        </w:rPr>
      </w:pPr>
      <w:r>
        <w:rPr>
          <w:noProof/>
        </w:rPr>
        <w:t>m</w:t>
      </w:r>
      <w:r w:rsidR="009310F3" w:rsidRPr="00DC621B">
        <w:rPr>
          <w:noProof/>
        </w:rPr>
        <w:t>arket concentration and market power in wholesale and retail markets</w:t>
      </w:r>
      <w:r w:rsidR="00AA4F2C">
        <w:rPr>
          <w:noProof/>
        </w:rPr>
        <w:t>;</w:t>
      </w:r>
    </w:p>
    <w:p w:rsidR="009310F3" w:rsidRPr="00DC621B" w:rsidRDefault="0005095F" w:rsidP="00D646E3">
      <w:pPr>
        <w:pStyle w:val="ListParagraph"/>
        <w:numPr>
          <w:ilvl w:val="0"/>
          <w:numId w:val="370"/>
        </w:numPr>
        <w:rPr>
          <w:noProof/>
        </w:rPr>
      </w:pPr>
      <w:r>
        <w:rPr>
          <w:noProof/>
        </w:rPr>
        <w:t>v</w:t>
      </w:r>
      <w:r w:rsidR="009310F3" w:rsidRPr="00DC621B">
        <w:rPr>
          <w:noProof/>
        </w:rPr>
        <w:t>ertical foreclosure (in particular the inadequate unbundling of network and supply)</w:t>
      </w:r>
      <w:r w:rsidR="00AA4F2C">
        <w:rPr>
          <w:noProof/>
        </w:rPr>
        <w:t>;</w:t>
      </w:r>
    </w:p>
    <w:p w:rsidR="009310F3" w:rsidRPr="00DC621B" w:rsidRDefault="0005095F" w:rsidP="00D646E3">
      <w:pPr>
        <w:pStyle w:val="ListParagraph"/>
        <w:numPr>
          <w:ilvl w:val="0"/>
          <w:numId w:val="370"/>
        </w:numPr>
        <w:rPr>
          <w:noProof/>
        </w:rPr>
      </w:pPr>
      <w:r>
        <w:rPr>
          <w:noProof/>
        </w:rPr>
        <w:t>l</w:t>
      </w:r>
      <w:r w:rsidR="009310F3" w:rsidRPr="00DC621B">
        <w:rPr>
          <w:noProof/>
        </w:rPr>
        <w:t>ack of market integration (cross border and national)</w:t>
      </w:r>
      <w:r w:rsidR="00AA4F2C">
        <w:rPr>
          <w:noProof/>
        </w:rPr>
        <w:t>;</w:t>
      </w:r>
    </w:p>
    <w:p w:rsidR="009310F3" w:rsidRPr="00DC621B" w:rsidRDefault="0005095F" w:rsidP="00D646E3">
      <w:pPr>
        <w:pStyle w:val="ListParagraph"/>
        <w:numPr>
          <w:ilvl w:val="0"/>
          <w:numId w:val="370"/>
        </w:numPr>
        <w:rPr>
          <w:noProof/>
        </w:rPr>
      </w:pPr>
      <w:r>
        <w:rPr>
          <w:noProof/>
        </w:rPr>
        <w:t>l</w:t>
      </w:r>
      <w:r w:rsidR="009310F3" w:rsidRPr="00DC621B">
        <w:rPr>
          <w:noProof/>
        </w:rPr>
        <w:t>ack of transparency</w:t>
      </w:r>
      <w:r w:rsidR="00AA4F2C">
        <w:rPr>
          <w:noProof/>
        </w:rPr>
        <w:t>;</w:t>
      </w:r>
    </w:p>
    <w:p w:rsidR="009310F3" w:rsidRPr="00DC621B" w:rsidRDefault="0005095F" w:rsidP="00D646E3">
      <w:pPr>
        <w:pStyle w:val="ListParagraph"/>
        <w:numPr>
          <w:ilvl w:val="0"/>
          <w:numId w:val="370"/>
        </w:numPr>
        <w:rPr>
          <w:noProof/>
        </w:rPr>
      </w:pPr>
      <w:r>
        <w:rPr>
          <w:noProof/>
        </w:rPr>
        <w:t>i</w:t>
      </w:r>
      <w:r w:rsidR="009310F3" w:rsidRPr="00DC621B">
        <w:rPr>
          <w:noProof/>
        </w:rPr>
        <w:t>nsufficient independent regulatory oversight</w:t>
      </w:r>
      <w:r w:rsidR="00AA4F2C">
        <w:rPr>
          <w:noProof/>
        </w:rPr>
        <w:t>;</w:t>
      </w:r>
    </w:p>
    <w:p w:rsidR="009310F3" w:rsidRPr="00DC621B" w:rsidRDefault="0005095F" w:rsidP="00D646E3">
      <w:pPr>
        <w:pStyle w:val="ListParagraph"/>
        <w:numPr>
          <w:ilvl w:val="0"/>
          <w:numId w:val="370"/>
        </w:numPr>
        <w:rPr>
          <w:noProof/>
        </w:rPr>
      </w:pPr>
      <w:r>
        <w:rPr>
          <w:noProof/>
        </w:rPr>
        <w:t>d</w:t>
      </w:r>
      <w:r w:rsidR="009310F3" w:rsidRPr="00DC621B">
        <w:rPr>
          <w:noProof/>
        </w:rPr>
        <w:t>istorted price formation mechanisms (regulated prices and cross-subsidies)</w:t>
      </w:r>
      <w:r w:rsidR="00AA4F2C">
        <w:rPr>
          <w:noProof/>
        </w:rPr>
        <w:t>;</w:t>
      </w:r>
    </w:p>
    <w:p w:rsidR="009310F3" w:rsidRPr="00DC621B" w:rsidRDefault="0005095F" w:rsidP="00D646E3">
      <w:pPr>
        <w:pStyle w:val="ListParagraph"/>
        <w:numPr>
          <w:ilvl w:val="0"/>
          <w:numId w:val="370"/>
        </w:numPr>
        <w:rPr>
          <w:noProof/>
        </w:rPr>
      </w:pPr>
      <w:r>
        <w:rPr>
          <w:noProof/>
        </w:rPr>
        <w:t>d</w:t>
      </w:r>
      <w:r w:rsidR="009310F3" w:rsidRPr="00DC621B">
        <w:rPr>
          <w:noProof/>
        </w:rPr>
        <w:t xml:space="preserve">ownstream market foreclosure (access to consumers). </w:t>
      </w:r>
    </w:p>
    <w:p w:rsidR="009310F3" w:rsidRPr="00DC621B" w:rsidRDefault="009310F3">
      <w:pPr>
        <w:rPr>
          <w:noProof/>
        </w:rPr>
      </w:pPr>
      <w:r w:rsidRPr="00DC621B">
        <w:rPr>
          <w:noProof/>
        </w:rPr>
        <w:t>The identified problems harmed competition, leading to unnecessarily high prices and limiting choice for consumers. Incomplete and inefficient unbundling rules for TSOs</w:t>
      </w:r>
      <w:r w:rsidRPr="00DC621B">
        <w:rPr>
          <w:rStyle w:val="FootnoteReference"/>
          <w:noProof/>
        </w:rPr>
        <w:footnoteReference w:id="33"/>
      </w:r>
      <w:r w:rsidRPr="00DC621B">
        <w:rPr>
          <w:noProof/>
        </w:rPr>
        <w:t xml:space="preserve"> prescribed by the Second Directive resulted in structural conflict of interest. Insufficient unbundling of networks from the competitive parts of the sector (vertical integration) resulted in lack of investment in infrastructure and discriminatory conduct on the supply and production markets downstream and upstream from network activities. Consequently, the Commission recommended taking urgent action with regard to some key areas of the regulatory framework</w:t>
      </w:r>
      <w:r w:rsidRPr="00DC621B">
        <w:rPr>
          <w:rStyle w:val="FootnoteReference"/>
          <w:noProof/>
        </w:rPr>
        <w:footnoteReference w:id="34"/>
      </w:r>
      <w:r w:rsidR="00620844">
        <w:rPr>
          <w:noProof/>
        </w:rPr>
        <w:t>.</w:t>
      </w:r>
      <w:r w:rsidRPr="00DC621B">
        <w:rPr>
          <w:noProof/>
        </w:rPr>
        <w:t xml:space="preserve"> </w:t>
      </w:r>
    </w:p>
    <w:p w:rsidR="009310F3" w:rsidRPr="00DC621B" w:rsidRDefault="009310F3">
      <w:pPr>
        <w:rPr>
          <w:rFonts w:eastAsiaTheme="minorEastAsia"/>
          <w:noProof/>
        </w:rPr>
      </w:pPr>
      <w:r w:rsidRPr="00DC621B">
        <w:rPr>
          <w:noProof/>
        </w:rPr>
        <w:t xml:space="preserve">The overarching objective of the Third Energy Package was to complete the internal market for electricity and gas. Within this objective the EU intended to </w:t>
      </w:r>
      <w:r w:rsidRPr="00DC621B">
        <w:rPr>
          <w:b/>
          <w:bCs/>
          <w:noProof/>
        </w:rPr>
        <w:t>improve competition</w:t>
      </w:r>
      <w:r w:rsidRPr="00DC621B">
        <w:rPr>
          <w:noProof/>
        </w:rPr>
        <w:t xml:space="preserve"> in the </w:t>
      </w:r>
      <w:r w:rsidR="00BE3713" w:rsidRPr="00DC621B">
        <w:rPr>
          <w:noProof/>
        </w:rPr>
        <w:t>gas</w:t>
      </w:r>
      <w:r w:rsidRPr="00DC621B">
        <w:rPr>
          <w:noProof/>
        </w:rPr>
        <w:t xml:space="preserve"> sector through better regulation and unbundling aimed at removing obstacles resulting from the fact that most established national incumbent </w:t>
      </w:r>
      <w:r w:rsidR="00BE3713" w:rsidRPr="00DC621B">
        <w:rPr>
          <w:noProof/>
        </w:rPr>
        <w:t>gas</w:t>
      </w:r>
      <w:r w:rsidRPr="00DC621B">
        <w:rPr>
          <w:noProof/>
        </w:rPr>
        <w:t xml:space="preserve"> suppliers were vertically integrated</w:t>
      </w:r>
      <w:r w:rsidRPr="00DC621B">
        <w:rPr>
          <w:rStyle w:val="FootnoteReference"/>
          <w:noProof/>
        </w:rPr>
        <w:footnoteReference w:id="35"/>
      </w:r>
      <w:r w:rsidRPr="00DC621B">
        <w:rPr>
          <w:noProof/>
        </w:rPr>
        <w:t xml:space="preserve"> and could use the control over their </w:t>
      </w:r>
      <w:r w:rsidR="00E015AD" w:rsidRPr="00DC621B">
        <w:rPr>
          <w:noProof/>
        </w:rPr>
        <w:t>networks</w:t>
      </w:r>
      <w:r w:rsidRPr="00DC621B">
        <w:rPr>
          <w:noProof/>
        </w:rPr>
        <w:t xml:space="preserve"> to </w:t>
      </w:r>
      <w:r w:rsidR="00CD2455" w:rsidRPr="00DC621B">
        <w:rPr>
          <w:noProof/>
        </w:rPr>
        <w:t>fend o</w:t>
      </w:r>
      <w:r w:rsidRPr="00DC621B">
        <w:rPr>
          <w:noProof/>
        </w:rPr>
        <w:t>ff potential new competitors.</w:t>
      </w:r>
    </w:p>
    <w:p w:rsidR="009310F3" w:rsidRPr="00DC621B" w:rsidRDefault="009310F3" w:rsidP="796E43CC">
      <w:pPr>
        <w:rPr>
          <w:noProof/>
          <w:szCs w:val="24"/>
        </w:rPr>
      </w:pPr>
      <w:r w:rsidRPr="00DC621B">
        <w:rPr>
          <w:noProof/>
        </w:rPr>
        <w:t xml:space="preserve">The </w:t>
      </w:r>
      <w:r w:rsidRPr="00DC621B">
        <w:rPr>
          <w:rFonts w:eastAsiaTheme="minorEastAsia"/>
          <w:noProof/>
        </w:rPr>
        <w:t xml:space="preserve">Third Energy Package's </w:t>
      </w:r>
      <w:r w:rsidRPr="00DC621B">
        <w:rPr>
          <w:noProof/>
        </w:rPr>
        <w:t xml:space="preserve">objectives in the area of retail markets and consumer empowerment were: (i) to enable effective consumer choice and boost competition through the availability of transparent, comparable and reliable information on prices, costs, energy consumption, fuel mix and environmental impact of </w:t>
      </w:r>
      <w:r w:rsidR="00BE3713" w:rsidRPr="00DC621B">
        <w:rPr>
          <w:noProof/>
        </w:rPr>
        <w:t>gas</w:t>
      </w:r>
      <w:r w:rsidRPr="00DC621B">
        <w:rPr>
          <w:noProof/>
        </w:rPr>
        <w:t xml:space="preserve"> suppliers; and (ii) to enable/incentivize energy savings through sufficiently frequent feedback to consumers about (the cost of) their energy consumption. In order to guarantee consumer choice,</w:t>
      </w:r>
      <w:r w:rsidRPr="00DC621B">
        <w:rPr>
          <w:b/>
          <w:bCs/>
          <w:noProof/>
        </w:rPr>
        <w:t xml:space="preserve"> </w:t>
      </w:r>
      <w:r w:rsidRPr="00DC621B">
        <w:rPr>
          <w:noProof/>
        </w:rPr>
        <w:t>the Third Package</w:t>
      </w:r>
      <w:r w:rsidRPr="00DC621B">
        <w:rPr>
          <w:i/>
          <w:iCs/>
          <w:noProof/>
        </w:rPr>
        <w:t xml:space="preserve"> </w:t>
      </w:r>
      <w:r w:rsidRPr="00DC621B">
        <w:rPr>
          <w:noProof/>
        </w:rPr>
        <w:t>provides that all customers shall be free to buy electricity/natural gas from the supplier of their choice as from 1 July 2007</w:t>
      </w:r>
      <w:r w:rsidRPr="00DC621B">
        <w:rPr>
          <w:rStyle w:val="FootnoteReference"/>
          <w:noProof/>
        </w:rPr>
        <w:footnoteReference w:id="36"/>
      </w:r>
      <w:r w:rsidR="00620844">
        <w:rPr>
          <w:noProof/>
        </w:rPr>
        <w:t>.</w:t>
      </w:r>
      <w:r w:rsidRPr="00DC621B">
        <w:rPr>
          <w:noProof/>
        </w:rPr>
        <w:t xml:space="preserve"> </w:t>
      </w:r>
    </w:p>
    <w:p w:rsidR="009310F3" w:rsidRPr="00DC621B" w:rsidRDefault="009310F3">
      <w:pPr>
        <w:rPr>
          <w:rFonts w:eastAsiaTheme="minorEastAsia"/>
          <w:noProof/>
        </w:rPr>
      </w:pPr>
      <w:r w:rsidRPr="00DC621B">
        <w:rPr>
          <w:rFonts w:eastAsiaTheme="minorEastAsia"/>
          <w:noProof/>
        </w:rPr>
        <w:t>At the same time</w:t>
      </w:r>
      <w:r w:rsidR="00620844">
        <w:rPr>
          <w:rFonts w:eastAsiaTheme="minorEastAsia"/>
          <w:noProof/>
        </w:rPr>
        <w:t>,</w:t>
      </w:r>
      <w:r w:rsidRPr="00DC621B">
        <w:rPr>
          <w:rFonts w:eastAsiaTheme="minorEastAsia"/>
          <w:noProof/>
        </w:rPr>
        <w:t xml:space="preserve"> the Third Energy Package sought to ensure protection of vulnerable consumers. </w:t>
      </w:r>
      <w:r w:rsidRPr="00DC621B">
        <w:rPr>
          <w:noProof/>
          <w:lang w:eastAsia="en-GB"/>
        </w:rPr>
        <w:t>This objective was put in place to facilitate the decision by Member States to proceed with electricity and gas market liberalisation, as it was recognised by the legislators that actions to protect vulnerable consumers were needed in the context of liberalising the European energy market.</w:t>
      </w:r>
    </w:p>
    <w:p w:rsidR="009310F3" w:rsidRPr="00EB2CAF" w:rsidRDefault="009310F3" w:rsidP="796E43CC">
      <w:pPr>
        <w:ind w:right="-29"/>
        <w:rPr>
          <w:noProof/>
          <w:szCs w:val="24"/>
        </w:rPr>
      </w:pPr>
      <w:r w:rsidRPr="00DC621B">
        <w:rPr>
          <w:rFonts w:eastAsiaTheme="minorEastAsia"/>
          <w:noProof/>
        </w:rPr>
        <w:t xml:space="preserve">In a broader context, </w:t>
      </w:r>
      <w:r w:rsidRPr="00DC621B">
        <w:rPr>
          <w:noProof/>
        </w:rPr>
        <w:t xml:space="preserve">the Third Energy Package also served the overall goals as formulated in the EU’s 2020 Strategy (or so-called </w:t>
      </w:r>
      <w:r w:rsidR="00EB2CAF">
        <w:rPr>
          <w:noProof/>
        </w:rPr>
        <w:t>‘</w:t>
      </w:r>
      <w:r w:rsidRPr="00DC621B">
        <w:rPr>
          <w:noProof/>
        </w:rPr>
        <w:t>Lisbon strategy</w:t>
      </w:r>
      <w:r w:rsidR="00EB2CAF">
        <w:rPr>
          <w:noProof/>
        </w:rPr>
        <w:t>’</w:t>
      </w:r>
      <w:r w:rsidRPr="00DC621B">
        <w:rPr>
          <w:noProof/>
        </w:rPr>
        <w:t xml:space="preserve">) for </w:t>
      </w:r>
      <w:r w:rsidRPr="00DC621B">
        <w:rPr>
          <w:b/>
          <w:bCs/>
          <w:noProof/>
        </w:rPr>
        <w:t>smart</w:t>
      </w:r>
      <w:r w:rsidRPr="00DC621B">
        <w:rPr>
          <w:noProof/>
        </w:rPr>
        <w:t xml:space="preserve">, </w:t>
      </w:r>
      <w:r w:rsidRPr="00DC621B">
        <w:rPr>
          <w:b/>
          <w:bCs/>
          <w:noProof/>
        </w:rPr>
        <w:t>sustainable</w:t>
      </w:r>
      <w:r w:rsidRPr="00DC621B">
        <w:rPr>
          <w:noProof/>
        </w:rPr>
        <w:t xml:space="preserve"> and </w:t>
      </w:r>
      <w:r w:rsidRPr="00DC621B">
        <w:rPr>
          <w:b/>
          <w:bCs/>
          <w:noProof/>
        </w:rPr>
        <w:t>inclusive growth</w:t>
      </w:r>
      <w:r w:rsidRPr="00EB2CAF">
        <w:rPr>
          <w:rStyle w:val="FootnoteReference"/>
          <w:noProof/>
        </w:rPr>
        <w:footnoteReference w:id="37"/>
      </w:r>
      <w:r w:rsidR="00620844" w:rsidRPr="00C134D1">
        <w:rPr>
          <w:bCs/>
          <w:noProof/>
        </w:rPr>
        <w:t>.</w:t>
      </w:r>
    </w:p>
    <w:p w:rsidR="009310F3" w:rsidRPr="00DC621B" w:rsidRDefault="009310F3" w:rsidP="007F7B3A">
      <w:pPr>
        <w:pStyle w:val="Heading2"/>
        <w:rPr>
          <w:rFonts w:eastAsia="Calibri"/>
          <w:noProof/>
        </w:rPr>
      </w:pPr>
      <w:bookmarkStart w:id="139" w:name="_Toc89882318"/>
      <w:bookmarkStart w:id="140" w:name="_Toc455064638"/>
      <w:bookmarkStart w:id="141" w:name="_Toc455070080"/>
      <w:bookmarkStart w:id="142" w:name="_Toc455073986"/>
      <w:bookmarkStart w:id="143" w:name="_Toc455074315"/>
      <w:bookmarkStart w:id="144" w:name="_Toc455081994"/>
      <w:bookmarkStart w:id="145" w:name="_Toc455082086"/>
      <w:bookmarkStart w:id="146" w:name="_Toc455082958"/>
      <w:bookmarkStart w:id="147" w:name="_Toc455134307"/>
      <w:bookmarkStart w:id="148" w:name="_Toc455148831"/>
      <w:bookmarkStart w:id="149" w:name="_Toc455156716"/>
      <w:bookmarkStart w:id="150" w:name="_Toc455156872"/>
      <w:bookmarkStart w:id="151" w:name="_Toc455160042"/>
      <w:bookmarkStart w:id="152" w:name="_Toc456772816"/>
      <w:bookmarkStart w:id="153" w:name="_Toc76743532"/>
      <w:bookmarkStart w:id="154" w:name="_Toc77590793"/>
      <w:bookmarkStart w:id="155" w:name="_Toc77600951"/>
      <w:bookmarkStart w:id="156" w:name="_Toc77682209"/>
      <w:bookmarkStart w:id="157" w:name="_Toc89688254"/>
      <w:r w:rsidRPr="00DC621B">
        <w:rPr>
          <w:rFonts w:eastAsia="Calibri"/>
          <w:noProof/>
        </w:rPr>
        <w:t xml:space="preserve">Description of the </w:t>
      </w:r>
      <w:r w:rsidR="00AA4F2C" w:rsidRPr="00DC621B">
        <w:rPr>
          <w:noProof/>
        </w:rPr>
        <w:t>Third Gas Package</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DC621B">
        <w:rPr>
          <w:rFonts w:eastAsia="Calibri"/>
          <w:noProof/>
        </w:rPr>
        <w:t xml:space="preserve"> </w:t>
      </w:r>
    </w:p>
    <w:p w:rsidR="009310F3" w:rsidRPr="00DC621B" w:rsidRDefault="009310F3">
      <w:pPr>
        <w:rPr>
          <w:rFonts w:eastAsiaTheme="minorEastAsia"/>
          <w:noProof/>
        </w:rPr>
      </w:pPr>
      <w:r w:rsidRPr="00DC621B">
        <w:rPr>
          <w:rFonts w:eastAsiaTheme="minorEastAsia"/>
          <w:noProof/>
        </w:rPr>
        <w:t xml:space="preserve">The Third </w:t>
      </w:r>
      <w:r w:rsidR="00065C89" w:rsidRPr="00DC621B">
        <w:rPr>
          <w:rFonts w:eastAsiaTheme="minorEastAsia"/>
          <w:noProof/>
        </w:rPr>
        <w:t>Gas</w:t>
      </w:r>
      <w:r w:rsidRPr="00DC621B">
        <w:rPr>
          <w:rFonts w:eastAsiaTheme="minorEastAsia"/>
          <w:noProof/>
        </w:rPr>
        <w:t xml:space="preserve"> Package followed up on the liberalisation steps in the two </w:t>
      </w:r>
      <w:r w:rsidR="00EB2CAF">
        <w:rPr>
          <w:rFonts w:eastAsiaTheme="minorEastAsia"/>
          <w:noProof/>
        </w:rPr>
        <w:t>‘</w:t>
      </w:r>
      <w:r w:rsidRPr="00DC621B">
        <w:rPr>
          <w:rFonts w:eastAsiaTheme="minorEastAsia"/>
          <w:noProof/>
        </w:rPr>
        <w:t>packages</w:t>
      </w:r>
      <w:r w:rsidR="00EB2CAF">
        <w:rPr>
          <w:rFonts w:eastAsiaTheme="minorEastAsia"/>
          <w:noProof/>
        </w:rPr>
        <w:t>’</w:t>
      </w:r>
      <w:r w:rsidRPr="00DC621B">
        <w:rPr>
          <w:rFonts w:eastAsiaTheme="minorEastAsia"/>
          <w:noProof/>
        </w:rPr>
        <w:t xml:space="preserve"> from </w:t>
      </w:r>
      <w:r w:rsidR="00E015AD" w:rsidRPr="00DC621B">
        <w:rPr>
          <w:rFonts w:eastAsiaTheme="minorEastAsia"/>
          <w:noProof/>
        </w:rPr>
        <w:t xml:space="preserve">1998 </w:t>
      </w:r>
      <w:r w:rsidRPr="00DC621B">
        <w:rPr>
          <w:rFonts w:eastAsiaTheme="minorEastAsia"/>
          <w:noProof/>
        </w:rPr>
        <w:t xml:space="preserve">and 2003. It built upon key concepts established in the previous packages (e.g. Third Party Access </w:t>
      </w:r>
      <w:r w:rsidR="00161435" w:rsidRPr="00DC621B">
        <w:rPr>
          <w:rFonts w:eastAsiaTheme="minorEastAsia"/>
          <w:noProof/>
        </w:rPr>
        <w:t>(TPA)</w:t>
      </w:r>
      <w:r w:rsidRPr="00DC621B">
        <w:rPr>
          <w:rFonts w:eastAsiaTheme="minorEastAsia"/>
          <w:noProof/>
        </w:rPr>
        <w:t xml:space="preserve"> to networks, unbundling, regulatory oversight, right to choose a supplier) and developed these further in order to create a regulatory framework that would allow for integrated and competitive EU </w:t>
      </w:r>
      <w:r w:rsidR="00065C89" w:rsidRPr="00DC621B">
        <w:rPr>
          <w:rFonts w:eastAsiaTheme="minorEastAsia"/>
          <w:noProof/>
        </w:rPr>
        <w:t>gas</w:t>
      </w:r>
      <w:r w:rsidRPr="00DC621B">
        <w:rPr>
          <w:rFonts w:eastAsiaTheme="minorEastAsia"/>
          <w:noProof/>
        </w:rPr>
        <w:t xml:space="preserve"> wholesale and retail markets, to the benefit of consumers. </w:t>
      </w:r>
    </w:p>
    <w:p w:rsidR="009310F3" w:rsidRPr="00DC621B" w:rsidRDefault="009310F3">
      <w:pPr>
        <w:autoSpaceDE w:val="0"/>
        <w:autoSpaceDN w:val="0"/>
        <w:adjustRightInd w:val="0"/>
        <w:spacing w:after="0"/>
        <w:jc w:val="left"/>
        <w:rPr>
          <w:noProof/>
          <w:szCs w:val="24"/>
        </w:rPr>
      </w:pPr>
      <w:r w:rsidRPr="00DC621B">
        <w:rPr>
          <w:noProof/>
        </w:rPr>
        <w:t xml:space="preserve">The </w:t>
      </w:r>
      <w:r w:rsidRPr="00DC621B">
        <w:rPr>
          <w:noProof/>
          <w:szCs w:val="24"/>
        </w:rPr>
        <w:t xml:space="preserve">legislation of the Third </w:t>
      </w:r>
      <w:r w:rsidR="00AF2C37" w:rsidRPr="00DC621B">
        <w:rPr>
          <w:noProof/>
          <w:szCs w:val="24"/>
        </w:rPr>
        <w:t>Gas</w:t>
      </w:r>
      <w:r w:rsidRPr="00DC621B">
        <w:rPr>
          <w:noProof/>
          <w:szCs w:val="24"/>
        </w:rPr>
        <w:t xml:space="preserve"> Package covers five main areas:</w:t>
      </w:r>
    </w:p>
    <w:p w:rsidR="009310F3" w:rsidRPr="00DC621B" w:rsidRDefault="009310F3" w:rsidP="005715C2">
      <w:pPr>
        <w:numPr>
          <w:ilvl w:val="0"/>
          <w:numId w:val="37"/>
        </w:numPr>
        <w:tabs>
          <w:tab w:val="clear" w:pos="720"/>
          <w:tab w:val="num" w:pos="1003"/>
        </w:tabs>
        <w:spacing w:before="120"/>
        <w:ind w:right="-29"/>
        <w:rPr>
          <w:noProof/>
          <w:szCs w:val="24"/>
        </w:rPr>
      </w:pPr>
      <w:r w:rsidRPr="00DC621B">
        <w:rPr>
          <w:noProof/>
          <w:szCs w:val="24"/>
        </w:rPr>
        <w:t>unbundling energy suppliers from network operators</w:t>
      </w:r>
      <w:r w:rsidR="00AA4F2C">
        <w:rPr>
          <w:noProof/>
          <w:szCs w:val="24"/>
        </w:rPr>
        <w:t>;</w:t>
      </w:r>
    </w:p>
    <w:p w:rsidR="009310F3" w:rsidRPr="00DC621B" w:rsidRDefault="009310F3" w:rsidP="005715C2">
      <w:pPr>
        <w:numPr>
          <w:ilvl w:val="0"/>
          <w:numId w:val="37"/>
        </w:numPr>
        <w:tabs>
          <w:tab w:val="clear" w:pos="720"/>
          <w:tab w:val="num" w:pos="1003"/>
        </w:tabs>
        <w:ind w:right="-29"/>
        <w:rPr>
          <w:noProof/>
          <w:szCs w:val="24"/>
        </w:rPr>
      </w:pPr>
      <w:r w:rsidRPr="00DC621B">
        <w:rPr>
          <w:noProof/>
          <w:szCs w:val="24"/>
        </w:rPr>
        <w:t>strengthening the independence of regulators</w:t>
      </w:r>
      <w:r w:rsidR="00AA4F2C">
        <w:rPr>
          <w:noProof/>
          <w:szCs w:val="24"/>
        </w:rPr>
        <w:t>;</w:t>
      </w:r>
    </w:p>
    <w:p w:rsidR="009310F3" w:rsidRPr="00DC621B" w:rsidRDefault="009310F3" w:rsidP="005715C2">
      <w:pPr>
        <w:numPr>
          <w:ilvl w:val="0"/>
          <w:numId w:val="37"/>
        </w:numPr>
        <w:tabs>
          <w:tab w:val="clear" w:pos="720"/>
          <w:tab w:val="num" w:pos="1003"/>
        </w:tabs>
        <w:ind w:right="-29"/>
        <w:rPr>
          <w:noProof/>
          <w:szCs w:val="24"/>
        </w:rPr>
      </w:pPr>
      <w:r w:rsidRPr="00DC621B">
        <w:rPr>
          <w:noProof/>
          <w:szCs w:val="24"/>
        </w:rPr>
        <w:t>establishment of the Agency for the Cooperation of Energy Regulators (ACER)</w:t>
      </w:r>
      <w:r w:rsidR="00AA4F2C">
        <w:rPr>
          <w:noProof/>
          <w:szCs w:val="24"/>
        </w:rPr>
        <w:t>;</w:t>
      </w:r>
    </w:p>
    <w:p w:rsidR="009310F3" w:rsidRPr="00DC621B" w:rsidRDefault="009310F3" w:rsidP="005715C2">
      <w:pPr>
        <w:numPr>
          <w:ilvl w:val="0"/>
          <w:numId w:val="37"/>
        </w:numPr>
        <w:tabs>
          <w:tab w:val="clear" w:pos="720"/>
          <w:tab w:val="num" w:pos="1003"/>
        </w:tabs>
        <w:ind w:right="-29"/>
        <w:rPr>
          <w:noProof/>
          <w:szCs w:val="24"/>
        </w:rPr>
      </w:pPr>
      <w:r w:rsidRPr="00DC621B">
        <w:rPr>
          <w:noProof/>
          <w:szCs w:val="24"/>
        </w:rPr>
        <w:t>cross-border cooperation between transmission system operators and the creation of European Networks for Transmission System Operators</w:t>
      </w:r>
      <w:r w:rsidR="00AA4F2C">
        <w:rPr>
          <w:noProof/>
          <w:szCs w:val="24"/>
        </w:rPr>
        <w:t>;</w:t>
      </w:r>
    </w:p>
    <w:p w:rsidR="009310F3" w:rsidRPr="00DC621B" w:rsidRDefault="009310F3" w:rsidP="005715C2">
      <w:pPr>
        <w:numPr>
          <w:ilvl w:val="0"/>
          <w:numId w:val="37"/>
        </w:numPr>
        <w:tabs>
          <w:tab w:val="clear" w:pos="720"/>
          <w:tab w:val="num" w:pos="1003"/>
        </w:tabs>
        <w:ind w:right="-29"/>
        <w:rPr>
          <w:noProof/>
          <w:szCs w:val="24"/>
        </w:rPr>
      </w:pPr>
      <w:r w:rsidRPr="00DC621B">
        <w:rPr>
          <w:noProof/>
          <w:szCs w:val="24"/>
        </w:rPr>
        <w:t>open</w:t>
      </w:r>
      <w:r w:rsidR="00C508FA" w:rsidRPr="00DC621B">
        <w:rPr>
          <w:noProof/>
          <w:szCs w:val="24"/>
        </w:rPr>
        <w:t xml:space="preserve"> and</w:t>
      </w:r>
      <w:r w:rsidRPr="00DC621B">
        <w:rPr>
          <w:noProof/>
          <w:szCs w:val="24"/>
        </w:rPr>
        <w:t xml:space="preserve"> fair retail markets and consumer protection</w:t>
      </w:r>
      <w:r w:rsidR="0005095F">
        <w:rPr>
          <w:noProof/>
          <w:szCs w:val="24"/>
        </w:rPr>
        <w:t>.</w:t>
      </w:r>
    </w:p>
    <w:p w:rsidR="009310F3" w:rsidRPr="00DC621B" w:rsidRDefault="009310F3">
      <w:pPr>
        <w:ind w:right="-29"/>
        <w:rPr>
          <w:noProof/>
        </w:rPr>
      </w:pPr>
      <w:r w:rsidRPr="00DC621B">
        <w:rPr>
          <w:noProof/>
          <w:szCs w:val="24"/>
        </w:rPr>
        <w:t>(1)</w:t>
      </w:r>
      <w:r w:rsidRPr="00DC621B">
        <w:rPr>
          <w:b/>
          <w:noProof/>
          <w:szCs w:val="24"/>
        </w:rPr>
        <w:t xml:space="preserve"> </w:t>
      </w:r>
      <w:r w:rsidRPr="00C134D1">
        <w:rPr>
          <w:b/>
          <w:noProof/>
          <w:szCs w:val="24"/>
        </w:rPr>
        <w:t>Unbundling</w:t>
      </w:r>
      <w:r w:rsidRPr="00DC621B">
        <w:rPr>
          <w:noProof/>
        </w:rPr>
        <w:t xml:space="preserve"> is the separation of energy supply and generation from the operation of transmission or distribution networks. It is based on the </w:t>
      </w:r>
      <w:r w:rsidR="00161435" w:rsidRPr="00DC621B">
        <w:rPr>
          <w:noProof/>
        </w:rPr>
        <w:t xml:space="preserve">observation </w:t>
      </w:r>
      <w:r w:rsidRPr="00DC621B">
        <w:rPr>
          <w:noProof/>
        </w:rPr>
        <w:t xml:space="preserve">that if a single company operates a transmission or distribution network and generates or sells energy at the same time, it </w:t>
      </w:r>
      <w:r w:rsidR="00161435" w:rsidRPr="00DC621B">
        <w:rPr>
          <w:noProof/>
        </w:rPr>
        <w:t xml:space="preserve">will </w:t>
      </w:r>
      <w:r w:rsidRPr="00DC621B">
        <w:rPr>
          <w:noProof/>
        </w:rPr>
        <w:t xml:space="preserve">have an incentive to obstruct competitors' access to infrastructure or the market. This prevents fair competition in the market and can lead to higher prices for consumers. Under the Third Package, unbundling for </w:t>
      </w:r>
      <w:r w:rsidR="00AD38A1" w:rsidRPr="009D744A">
        <w:rPr>
          <w:noProof/>
          <w:u w:val="single"/>
        </w:rPr>
        <w:t>T</w:t>
      </w:r>
      <w:r w:rsidRPr="009D744A">
        <w:rPr>
          <w:noProof/>
          <w:u w:val="single"/>
        </w:rPr>
        <w:t xml:space="preserve">ransmission </w:t>
      </w:r>
      <w:r w:rsidR="00AD38A1" w:rsidRPr="009D744A">
        <w:rPr>
          <w:noProof/>
          <w:u w:val="single"/>
        </w:rPr>
        <w:t>S</w:t>
      </w:r>
      <w:r w:rsidRPr="009D744A">
        <w:rPr>
          <w:noProof/>
          <w:u w:val="single"/>
        </w:rPr>
        <w:t>ystem</w:t>
      </w:r>
      <w:r w:rsidR="00EB68AB" w:rsidRPr="009D744A">
        <w:rPr>
          <w:noProof/>
          <w:u w:val="single"/>
        </w:rPr>
        <w:t xml:space="preserve"> </w:t>
      </w:r>
      <w:r w:rsidR="00AD38A1" w:rsidRPr="009D744A">
        <w:rPr>
          <w:noProof/>
          <w:u w:val="single"/>
        </w:rPr>
        <w:t>O</w:t>
      </w:r>
      <w:r w:rsidRPr="009D744A">
        <w:rPr>
          <w:noProof/>
          <w:u w:val="single"/>
        </w:rPr>
        <w:t>perators</w:t>
      </w:r>
      <w:r w:rsidR="00EB68AB" w:rsidRPr="00DC621B">
        <w:rPr>
          <w:noProof/>
        </w:rPr>
        <w:t xml:space="preserve"> </w:t>
      </w:r>
      <w:r w:rsidRPr="00DC621B">
        <w:rPr>
          <w:noProof/>
        </w:rPr>
        <w:t>must take place in one of three ways, depending on the preferences of individual EU countries:</w:t>
      </w:r>
    </w:p>
    <w:p w:rsidR="009310F3" w:rsidRPr="00DC621B" w:rsidRDefault="009310F3" w:rsidP="009D744A">
      <w:pPr>
        <w:pStyle w:val="ListParagraph"/>
        <w:numPr>
          <w:ilvl w:val="0"/>
          <w:numId w:val="371"/>
        </w:numPr>
        <w:ind w:right="-29"/>
        <w:rPr>
          <w:noProof/>
        </w:rPr>
      </w:pPr>
      <w:r w:rsidRPr="00DC621B">
        <w:rPr>
          <w:noProof/>
        </w:rPr>
        <w:t xml:space="preserve">Ownership </w:t>
      </w:r>
      <w:r w:rsidR="006D3EFA" w:rsidRPr="00DC621B">
        <w:rPr>
          <w:noProof/>
        </w:rPr>
        <w:t>unbundling</w:t>
      </w:r>
      <w:r w:rsidRPr="00DC621B">
        <w:rPr>
          <w:noProof/>
        </w:rPr>
        <w:t xml:space="preserve"> where </w:t>
      </w:r>
      <w:r w:rsidR="000F0B3E" w:rsidRPr="00DC621B">
        <w:rPr>
          <w:noProof/>
        </w:rPr>
        <w:t>i</w:t>
      </w:r>
      <w:r w:rsidRPr="00DC621B">
        <w:rPr>
          <w:noProof/>
        </w:rPr>
        <w:t>ntegrated energy companies sell off their gas and electricity networks. In this case, no supply or production company is allowed to hold a majority share or interfere in the work of a transmission system operator</w:t>
      </w:r>
      <w:r w:rsidR="000F0B3E" w:rsidRPr="00DC621B">
        <w:rPr>
          <w:noProof/>
        </w:rPr>
        <w:t>;</w:t>
      </w:r>
    </w:p>
    <w:p w:rsidR="009310F3" w:rsidRPr="00DC621B" w:rsidRDefault="009310F3" w:rsidP="009D744A">
      <w:pPr>
        <w:pStyle w:val="ListParagraph"/>
        <w:numPr>
          <w:ilvl w:val="0"/>
          <w:numId w:val="371"/>
        </w:numPr>
        <w:ind w:right="-29"/>
        <w:rPr>
          <w:noProof/>
        </w:rPr>
      </w:pPr>
      <w:r w:rsidRPr="00DC621B">
        <w:rPr>
          <w:noProof/>
        </w:rPr>
        <w:t>Independent System Operator (ISO) where energy supply companies may still formally own gas or electricity transmission networks but must leave the entire operation, maintenance, and investment in the grid to an independent company</w:t>
      </w:r>
      <w:r w:rsidR="000F0B3E" w:rsidRPr="00DC621B">
        <w:rPr>
          <w:noProof/>
        </w:rPr>
        <w:t>;</w:t>
      </w:r>
    </w:p>
    <w:p w:rsidR="009310F3" w:rsidRPr="00DC621B" w:rsidRDefault="009310F3" w:rsidP="009D744A">
      <w:pPr>
        <w:pStyle w:val="ListParagraph"/>
        <w:numPr>
          <w:ilvl w:val="0"/>
          <w:numId w:val="371"/>
        </w:numPr>
        <w:ind w:right="-29"/>
        <w:rPr>
          <w:noProof/>
        </w:rPr>
      </w:pPr>
      <w:r w:rsidRPr="00DC621B">
        <w:rPr>
          <w:noProof/>
        </w:rPr>
        <w:t>Independent Transmission System Operator (ITO) where energy supply companies may still own and operate gas or electricity networks but must do so through a subsidiary. All important decisions must be taken independent of the parent company</w:t>
      </w:r>
      <w:r w:rsidR="00E015AD" w:rsidRPr="00DC621B">
        <w:rPr>
          <w:noProof/>
        </w:rPr>
        <w:t>.</w:t>
      </w:r>
    </w:p>
    <w:p w:rsidR="009310F3" w:rsidRPr="00DC621B" w:rsidRDefault="009310F3" w:rsidP="001E1429">
      <w:pPr>
        <w:rPr>
          <w:noProof/>
        </w:rPr>
      </w:pPr>
      <w:r w:rsidRPr="00DC621B">
        <w:rPr>
          <w:noProof/>
        </w:rPr>
        <w:t xml:space="preserve">The relevant provisions concerning </w:t>
      </w:r>
      <w:r w:rsidR="001B1E7E">
        <w:rPr>
          <w:noProof/>
          <w:u w:val="single"/>
        </w:rPr>
        <w:t>D</w:t>
      </w:r>
      <w:r w:rsidRPr="00DC621B">
        <w:rPr>
          <w:noProof/>
          <w:u w:val="single"/>
        </w:rPr>
        <w:t xml:space="preserve">istribution </w:t>
      </w:r>
      <w:r w:rsidR="001B1E7E">
        <w:rPr>
          <w:noProof/>
          <w:u w:val="single"/>
        </w:rPr>
        <w:t>S</w:t>
      </w:r>
      <w:r w:rsidRPr="00DC621B">
        <w:rPr>
          <w:noProof/>
          <w:u w:val="single"/>
        </w:rPr>
        <w:t xml:space="preserve">ystem </w:t>
      </w:r>
      <w:r w:rsidR="001B1E7E">
        <w:rPr>
          <w:noProof/>
          <w:u w:val="single"/>
        </w:rPr>
        <w:t>O</w:t>
      </w:r>
      <w:r w:rsidRPr="00DC621B">
        <w:rPr>
          <w:noProof/>
          <w:u w:val="single"/>
        </w:rPr>
        <w:t>perators</w:t>
      </w:r>
      <w:r w:rsidRPr="00DC621B">
        <w:rPr>
          <w:noProof/>
        </w:rPr>
        <w:t xml:space="preserve"> require legal unbundling of those operators that serve more than 100</w:t>
      </w:r>
      <w:r w:rsidR="00582DEB">
        <w:rPr>
          <w:noProof/>
        </w:rPr>
        <w:t xml:space="preserve"> </w:t>
      </w:r>
      <w:r w:rsidRPr="00DC621B">
        <w:rPr>
          <w:noProof/>
        </w:rPr>
        <w:t>000 customers. Member States may decide not to apply unbundling rules to DSOs serving less than 100</w:t>
      </w:r>
      <w:r w:rsidR="00582DEB">
        <w:rPr>
          <w:noProof/>
        </w:rPr>
        <w:t xml:space="preserve"> </w:t>
      </w:r>
      <w:r w:rsidRPr="00DC621B">
        <w:rPr>
          <w:noProof/>
        </w:rPr>
        <w:t xml:space="preserve">000 customers, in which cases only accounting unbundling applies. It is </w:t>
      </w:r>
      <w:r w:rsidR="0091513B" w:rsidRPr="00DC621B">
        <w:rPr>
          <w:noProof/>
        </w:rPr>
        <w:t xml:space="preserve">at </w:t>
      </w:r>
      <w:r w:rsidRPr="00DC621B">
        <w:rPr>
          <w:noProof/>
        </w:rPr>
        <w:t>the discretion of Member States whether or not to apply this threshold or to set a lower threshold.</w:t>
      </w:r>
    </w:p>
    <w:p w:rsidR="00116609" w:rsidRDefault="009310F3" w:rsidP="796E43CC">
      <w:pPr>
        <w:ind w:right="-29"/>
        <w:rPr>
          <w:noProof/>
        </w:rPr>
      </w:pPr>
      <w:r w:rsidRPr="00DC621B">
        <w:rPr>
          <w:noProof/>
        </w:rPr>
        <w:t xml:space="preserve">(2) A competitive internal energy market cannot exist without </w:t>
      </w:r>
      <w:r w:rsidRPr="00C134D1">
        <w:rPr>
          <w:b/>
          <w:iCs/>
          <w:noProof/>
        </w:rPr>
        <w:t>independent regulators</w:t>
      </w:r>
      <w:r w:rsidRPr="00DC621B">
        <w:rPr>
          <w:noProof/>
        </w:rPr>
        <w:t xml:space="preserve"> who ensure the application of the rules. The Commission's assessment of the role of regulators in 2007 showed a number of deficiencies: </w:t>
      </w:r>
      <w:r w:rsidR="001854FB">
        <w:rPr>
          <w:noProof/>
        </w:rPr>
        <w:t>T</w:t>
      </w:r>
      <w:r w:rsidRPr="00DC621B">
        <w:rPr>
          <w:noProof/>
        </w:rPr>
        <w:t xml:space="preserve">he effectiveness of regulators was frequently constrained by a lack of independence from government and insufficient powers. </w:t>
      </w:r>
      <w:r w:rsidR="000F0B3E" w:rsidRPr="00DC621B">
        <w:rPr>
          <w:noProof/>
        </w:rPr>
        <w:t>Consequently, u</w:t>
      </w:r>
      <w:r w:rsidRPr="00DC621B">
        <w:rPr>
          <w:noProof/>
        </w:rPr>
        <w:t xml:space="preserve">nder the Third Package, the requirements for national regulators have undergone a number of changes. Specifically: </w:t>
      </w:r>
    </w:p>
    <w:p w:rsidR="00116609" w:rsidRPr="00116609" w:rsidRDefault="001854FB" w:rsidP="009D744A">
      <w:pPr>
        <w:pStyle w:val="ListParagraph"/>
        <w:numPr>
          <w:ilvl w:val="0"/>
          <w:numId w:val="372"/>
        </w:numPr>
        <w:ind w:right="-29"/>
        <w:rPr>
          <w:noProof/>
          <w:szCs w:val="24"/>
        </w:rPr>
      </w:pPr>
      <w:r>
        <w:rPr>
          <w:noProof/>
        </w:rPr>
        <w:t>R</w:t>
      </w:r>
      <w:r w:rsidR="009310F3" w:rsidRPr="00DC621B">
        <w:rPr>
          <w:noProof/>
        </w:rPr>
        <w:t>egulators must be independent from both industry interests and government. They must be their own legal entity and have authority over their own budget. National governments must also supply them with sufficient resources to carry out their operations</w:t>
      </w:r>
      <w:r w:rsidR="009D744A">
        <w:rPr>
          <w:noProof/>
        </w:rPr>
        <w:t>;</w:t>
      </w:r>
    </w:p>
    <w:p w:rsidR="00116609" w:rsidRPr="00116609" w:rsidRDefault="00083398" w:rsidP="009D744A">
      <w:pPr>
        <w:pStyle w:val="ListParagraph"/>
        <w:numPr>
          <w:ilvl w:val="0"/>
          <w:numId w:val="372"/>
        </w:numPr>
        <w:ind w:right="-29"/>
        <w:rPr>
          <w:noProof/>
          <w:szCs w:val="24"/>
        </w:rPr>
      </w:pPr>
      <w:r>
        <w:rPr>
          <w:noProof/>
        </w:rPr>
        <w:t>Re</w:t>
      </w:r>
      <w:r w:rsidR="009310F3" w:rsidRPr="00DC621B">
        <w:rPr>
          <w:noProof/>
        </w:rPr>
        <w:t>gulators can issue binding decisions to companies and impose penalties on those that do not comply wi</w:t>
      </w:r>
      <w:r w:rsidR="00B2284F" w:rsidRPr="00DC621B">
        <w:rPr>
          <w:noProof/>
        </w:rPr>
        <w:t>th their legal obligations</w:t>
      </w:r>
      <w:r w:rsidR="009D744A">
        <w:rPr>
          <w:noProof/>
        </w:rPr>
        <w:t>;</w:t>
      </w:r>
    </w:p>
    <w:p w:rsidR="00116609" w:rsidRPr="00116609" w:rsidRDefault="00083398" w:rsidP="009D744A">
      <w:pPr>
        <w:pStyle w:val="ListParagraph"/>
        <w:numPr>
          <w:ilvl w:val="0"/>
          <w:numId w:val="372"/>
        </w:numPr>
        <w:ind w:right="-29"/>
        <w:rPr>
          <w:noProof/>
          <w:szCs w:val="24"/>
        </w:rPr>
      </w:pPr>
      <w:r>
        <w:rPr>
          <w:noProof/>
        </w:rPr>
        <w:t>G</w:t>
      </w:r>
      <w:r w:rsidR="009310F3" w:rsidRPr="00DC621B">
        <w:rPr>
          <w:noProof/>
        </w:rPr>
        <w:t>as network operators and suppliers are required to provide</w:t>
      </w:r>
      <w:r w:rsidR="0029129C" w:rsidRPr="00DC621B">
        <w:rPr>
          <w:noProof/>
        </w:rPr>
        <w:t xml:space="preserve"> accurate data to regulators</w:t>
      </w:r>
      <w:r w:rsidR="009D744A">
        <w:rPr>
          <w:noProof/>
        </w:rPr>
        <w:t>;</w:t>
      </w:r>
    </w:p>
    <w:p w:rsidR="009310F3" w:rsidRPr="00116609" w:rsidRDefault="00083398" w:rsidP="009D744A">
      <w:pPr>
        <w:pStyle w:val="ListParagraph"/>
        <w:numPr>
          <w:ilvl w:val="0"/>
          <w:numId w:val="372"/>
        </w:numPr>
        <w:ind w:right="-29"/>
        <w:rPr>
          <w:noProof/>
          <w:szCs w:val="24"/>
        </w:rPr>
      </w:pPr>
      <w:r>
        <w:rPr>
          <w:noProof/>
        </w:rPr>
        <w:t>R</w:t>
      </w:r>
      <w:r w:rsidR="009310F3" w:rsidRPr="00DC621B">
        <w:rPr>
          <w:noProof/>
        </w:rPr>
        <w:t>egulators from different EU countries must cooperate with each other to promote competition, the opening-up of the market, and an efficient and secure energy network system. In order to support the implementation of the Directive, the Commission issued an interpretative note on the energy regulatory authorities</w:t>
      </w:r>
      <w:r w:rsidR="009310F3" w:rsidRPr="00DC621B">
        <w:rPr>
          <w:rStyle w:val="FootnoteReference"/>
          <w:noProof/>
        </w:rPr>
        <w:footnoteReference w:id="38"/>
      </w:r>
      <w:r w:rsidR="00116609">
        <w:rPr>
          <w:noProof/>
        </w:rPr>
        <w:t>.</w:t>
      </w:r>
    </w:p>
    <w:p w:rsidR="009310F3" w:rsidRPr="00DC621B" w:rsidRDefault="009310F3">
      <w:pPr>
        <w:spacing w:after="0"/>
        <w:ind w:right="-29"/>
        <w:rPr>
          <w:noProof/>
        </w:rPr>
      </w:pPr>
      <w:r w:rsidRPr="00DC621B">
        <w:rPr>
          <w:noProof/>
        </w:rPr>
        <w:t xml:space="preserve">(3) In order to help the different national regulators cooperate and ensure the smooth functioning of the internal energy market, the EU established the </w:t>
      </w:r>
      <w:r w:rsidRPr="00C134D1">
        <w:rPr>
          <w:b/>
          <w:iCs/>
          <w:noProof/>
        </w:rPr>
        <w:t>Agency for the Cooperation of Energy Regulators (ACER)</w:t>
      </w:r>
      <w:r w:rsidRPr="00DC621B">
        <w:rPr>
          <w:noProof/>
        </w:rPr>
        <w:t>. ACER is independent from the Commission, national governments, and energy companies. Its work involves:</w:t>
      </w:r>
    </w:p>
    <w:p w:rsidR="009310F3" w:rsidRPr="00DC621B" w:rsidRDefault="009310F3" w:rsidP="009D744A">
      <w:pPr>
        <w:pStyle w:val="ListParagraph"/>
        <w:numPr>
          <w:ilvl w:val="0"/>
          <w:numId w:val="373"/>
        </w:numPr>
        <w:ind w:right="-29"/>
        <w:rPr>
          <w:noProof/>
        </w:rPr>
      </w:pPr>
      <w:r w:rsidRPr="00DC621B">
        <w:rPr>
          <w:noProof/>
        </w:rPr>
        <w:t>drafting guidelines for the operation of cross-border gas pipelines and electricity networks</w:t>
      </w:r>
      <w:r w:rsidR="00F47C05" w:rsidRPr="00DC621B">
        <w:rPr>
          <w:noProof/>
        </w:rPr>
        <w:t>;</w:t>
      </w:r>
    </w:p>
    <w:p w:rsidR="009310F3" w:rsidRPr="00DC621B" w:rsidRDefault="009310F3" w:rsidP="009D744A">
      <w:pPr>
        <w:pStyle w:val="ListParagraph"/>
        <w:numPr>
          <w:ilvl w:val="0"/>
          <w:numId w:val="373"/>
        </w:numPr>
        <w:ind w:right="-29"/>
        <w:rPr>
          <w:noProof/>
        </w:rPr>
      </w:pPr>
      <w:r w:rsidRPr="00DC621B">
        <w:rPr>
          <w:noProof/>
        </w:rPr>
        <w:t>reviewing the implementation of EU-wide network development plans</w:t>
      </w:r>
      <w:r w:rsidR="00F47C05" w:rsidRPr="00DC621B">
        <w:rPr>
          <w:noProof/>
        </w:rPr>
        <w:t>;</w:t>
      </w:r>
    </w:p>
    <w:p w:rsidR="009310F3" w:rsidRPr="00DC621B" w:rsidRDefault="009310F3" w:rsidP="009D744A">
      <w:pPr>
        <w:pStyle w:val="ListParagraph"/>
        <w:numPr>
          <w:ilvl w:val="0"/>
          <w:numId w:val="373"/>
        </w:numPr>
        <w:ind w:right="-29"/>
        <w:rPr>
          <w:noProof/>
        </w:rPr>
      </w:pPr>
      <w:r w:rsidRPr="00DC621B">
        <w:rPr>
          <w:noProof/>
        </w:rPr>
        <w:t>deciding on cross-border issues if national regulators cannot agree or if they ask it to intervene</w:t>
      </w:r>
      <w:r w:rsidR="00F47C05" w:rsidRPr="00DC621B">
        <w:rPr>
          <w:noProof/>
        </w:rPr>
        <w:t>;</w:t>
      </w:r>
    </w:p>
    <w:p w:rsidR="009310F3" w:rsidRPr="00DC621B" w:rsidRDefault="009310F3" w:rsidP="009D744A">
      <w:pPr>
        <w:pStyle w:val="ListParagraph"/>
        <w:numPr>
          <w:ilvl w:val="0"/>
          <w:numId w:val="373"/>
        </w:numPr>
        <w:ind w:right="-29"/>
        <w:rPr>
          <w:noProof/>
        </w:rPr>
      </w:pPr>
      <w:r w:rsidRPr="00DC621B">
        <w:rPr>
          <w:noProof/>
        </w:rPr>
        <w:t>monitoring the functioning of the internal market including retail prices, network access, and consumer rights</w:t>
      </w:r>
      <w:r w:rsidR="00F47C05" w:rsidRPr="00DC621B">
        <w:rPr>
          <w:noProof/>
        </w:rPr>
        <w:t>.</w:t>
      </w:r>
    </w:p>
    <w:p w:rsidR="00433805" w:rsidRPr="00DC621B" w:rsidRDefault="00433805">
      <w:pPr>
        <w:ind w:right="-29"/>
        <w:rPr>
          <w:rFonts w:eastAsia="Calibri"/>
          <w:noProof/>
        </w:rPr>
      </w:pPr>
      <w:r w:rsidRPr="00DC621B">
        <w:rPr>
          <w:rFonts w:eastAsia="Calibri"/>
          <w:noProof/>
        </w:rPr>
        <w:t>The functioning, role, and structure of ACE</w:t>
      </w:r>
      <w:r w:rsidR="00116609">
        <w:rPr>
          <w:rFonts w:eastAsia="Calibri"/>
          <w:noProof/>
        </w:rPr>
        <w:t>R</w:t>
      </w:r>
      <w:r w:rsidRPr="00DC621B">
        <w:rPr>
          <w:rFonts w:eastAsia="Calibri"/>
          <w:noProof/>
        </w:rPr>
        <w:t xml:space="preserve"> was most recently addressed in the recast of the ACER Regulation, and will not be part of this report except where specifically relevant to the evaluation of other areas.</w:t>
      </w:r>
    </w:p>
    <w:p w:rsidR="00A0325D" w:rsidRPr="00DC621B" w:rsidRDefault="009310F3" w:rsidP="00A0325D">
      <w:pPr>
        <w:ind w:right="-29"/>
        <w:rPr>
          <w:noProof/>
        </w:rPr>
      </w:pPr>
      <w:r w:rsidRPr="00DC621B">
        <w:rPr>
          <w:noProof/>
        </w:rPr>
        <w:t xml:space="preserve">(4) The Third </w:t>
      </w:r>
      <w:r w:rsidR="0091513B" w:rsidRPr="00DC621B">
        <w:rPr>
          <w:noProof/>
        </w:rPr>
        <w:t>Gas</w:t>
      </w:r>
      <w:r w:rsidRPr="00DC621B">
        <w:rPr>
          <w:noProof/>
        </w:rPr>
        <w:t xml:space="preserve"> Package also created a framework for the co-operation of TSOs by creating the </w:t>
      </w:r>
      <w:r w:rsidRPr="00C134D1">
        <w:rPr>
          <w:b/>
          <w:noProof/>
        </w:rPr>
        <w:t xml:space="preserve">European Network for Transmission System Operators for </w:t>
      </w:r>
      <w:r w:rsidR="0091513B" w:rsidRPr="00C134D1">
        <w:rPr>
          <w:b/>
          <w:noProof/>
        </w:rPr>
        <w:t>Gas</w:t>
      </w:r>
      <w:r w:rsidRPr="00C134D1">
        <w:rPr>
          <w:b/>
          <w:noProof/>
        </w:rPr>
        <w:t xml:space="preserve"> (ENTSO</w:t>
      </w:r>
      <w:r w:rsidR="0091513B" w:rsidRPr="00C134D1">
        <w:rPr>
          <w:b/>
          <w:noProof/>
        </w:rPr>
        <w:t>G</w:t>
      </w:r>
      <w:r w:rsidRPr="00C134D1">
        <w:rPr>
          <w:b/>
          <w:noProof/>
        </w:rPr>
        <w:t>)</w:t>
      </w:r>
      <w:r w:rsidRPr="00116609">
        <w:rPr>
          <w:noProof/>
        </w:rPr>
        <w:t>.</w:t>
      </w:r>
      <w:r w:rsidRPr="00C134D1">
        <w:rPr>
          <w:b/>
          <w:noProof/>
        </w:rPr>
        <w:t xml:space="preserve"> </w:t>
      </w:r>
      <w:r w:rsidRPr="00DC621B">
        <w:rPr>
          <w:noProof/>
        </w:rPr>
        <w:t xml:space="preserve">Before the reform, national transmission system operators were responsible for ensuring </w:t>
      </w:r>
      <w:r w:rsidR="0091513B" w:rsidRPr="00DC621B">
        <w:rPr>
          <w:noProof/>
        </w:rPr>
        <w:t>that</w:t>
      </w:r>
      <w:r w:rsidRPr="00DC621B">
        <w:rPr>
          <w:noProof/>
        </w:rPr>
        <w:t xml:space="preserve"> natural gas is effectively transported through pipelines in a secure manner, without any legal framework for the coordination of their activities</w:t>
      </w:r>
      <w:r w:rsidR="00C72E53" w:rsidRPr="00DC621B">
        <w:rPr>
          <w:noProof/>
        </w:rPr>
        <w:t xml:space="preserve"> on European level</w:t>
      </w:r>
      <w:r w:rsidRPr="00DC621B">
        <w:rPr>
          <w:noProof/>
        </w:rPr>
        <w:t xml:space="preserve">. Due to the cross-border nature of Europe's energy market, they must work together to ensure the optimal management of EU networks. </w:t>
      </w:r>
      <w:r w:rsidR="0030110F" w:rsidRPr="00DC621B">
        <w:rPr>
          <w:noProof/>
        </w:rPr>
        <w:t>ENTSOG supports the</w:t>
      </w:r>
      <w:r w:rsidRPr="00DC621B">
        <w:rPr>
          <w:noProof/>
        </w:rPr>
        <w:t xml:space="preserve"> develop</w:t>
      </w:r>
      <w:r w:rsidR="0030110F" w:rsidRPr="00DC621B">
        <w:rPr>
          <w:noProof/>
        </w:rPr>
        <w:t>ment of</w:t>
      </w:r>
      <w:r w:rsidRPr="00DC621B">
        <w:rPr>
          <w:noProof/>
        </w:rPr>
        <w:t xml:space="preserve"> network codes to harmonise the flow of gas </w:t>
      </w:r>
      <w:r w:rsidR="00C72E53" w:rsidRPr="00DC621B">
        <w:rPr>
          <w:noProof/>
        </w:rPr>
        <w:t xml:space="preserve">and enable efficient cross-border trade </w:t>
      </w:r>
      <w:r w:rsidRPr="00DC621B">
        <w:rPr>
          <w:noProof/>
        </w:rPr>
        <w:t xml:space="preserve">across different transmission systems. </w:t>
      </w:r>
      <w:r w:rsidR="0030110F" w:rsidRPr="00DC621B">
        <w:rPr>
          <w:noProof/>
        </w:rPr>
        <w:t xml:space="preserve">It </w:t>
      </w:r>
      <w:r w:rsidRPr="00DC621B">
        <w:rPr>
          <w:noProof/>
        </w:rPr>
        <w:t>also coordinate</w:t>
      </w:r>
      <w:r w:rsidR="0030110F" w:rsidRPr="00DC621B">
        <w:rPr>
          <w:noProof/>
        </w:rPr>
        <w:t>s</w:t>
      </w:r>
      <w:r w:rsidRPr="00DC621B">
        <w:rPr>
          <w:noProof/>
        </w:rPr>
        <w:t xml:space="preserve"> the planning of new network investments and monitor</w:t>
      </w:r>
      <w:r w:rsidR="0030110F" w:rsidRPr="00DC621B">
        <w:rPr>
          <w:noProof/>
        </w:rPr>
        <w:t>s</w:t>
      </w:r>
      <w:r w:rsidRPr="00DC621B">
        <w:rPr>
          <w:noProof/>
        </w:rPr>
        <w:t xml:space="preserve"> the development of new transmission capa</w:t>
      </w:r>
      <w:r w:rsidR="00A41D96" w:rsidRPr="00DC621B">
        <w:rPr>
          <w:noProof/>
        </w:rPr>
        <w:t>cities.</w:t>
      </w:r>
      <w:r w:rsidRPr="00DC621B">
        <w:rPr>
          <w:noProof/>
        </w:rPr>
        <w:t xml:space="preserve"> This includes publishing </w:t>
      </w:r>
      <w:r w:rsidR="00F13D3D" w:rsidRPr="00DC621B">
        <w:rPr>
          <w:noProof/>
        </w:rPr>
        <w:t xml:space="preserve">every two years </w:t>
      </w:r>
      <w:r w:rsidRPr="00DC621B">
        <w:rPr>
          <w:noProof/>
        </w:rPr>
        <w:t>a Europe</w:t>
      </w:r>
      <w:r w:rsidR="00A41D96" w:rsidRPr="00DC621B">
        <w:rPr>
          <w:noProof/>
        </w:rPr>
        <w:t>an</w:t>
      </w:r>
      <w:r w:rsidRPr="00DC621B">
        <w:rPr>
          <w:noProof/>
        </w:rPr>
        <w:t xml:space="preserve">-wide </w:t>
      </w:r>
      <w:r w:rsidR="00F13D3D" w:rsidRPr="00DC621B">
        <w:rPr>
          <w:noProof/>
        </w:rPr>
        <w:t>ten-year</w:t>
      </w:r>
      <w:r w:rsidR="00A41D96" w:rsidRPr="00DC621B">
        <w:rPr>
          <w:noProof/>
        </w:rPr>
        <w:t xml:space="preserve"> network</w:t>
      </w:r>
      <w:r w:rsidRPr="00DC621B">
        <w:rPr>
          <w:noProof/>
        </w:rPr>
        <w:t xml:space="preserve"> </w:t>
      </w:r>
      <w:r w:rsidR="00C72E53" w:rsidRPr="00DC621B">
        <w:rPr>
          <w:noProof/>
        </w:rPr>
        <w:t xml:space="preserve">development </w:t>
      </w:r>
      <w:r w:rsidRPr="00DC621B">
        <w:rPr>
          <w:noProof/>
        </w:rPr>
        <w:t xml:space="preserve">plan </w:t>
      </w:r>
      <w:r w:rsidR="007D6FB2" w:rsidRPr="00DC621B">
        <w:rPr>
          <w:noProof/>
        </w:rPr>
        <w:t xml:space="preserve">(TYNDP) </w:t>
      </w:r>
      <w:r w:rsidRPr="00DC621B">
        <w:rPr>
          <w:noProof/>
        </w:rPr>
        <w:t xml:space="preserve">to help identify </w:t>
      </w:r>
      <w:r w:rsidR="00C72E53" w:rsidRPr="00DC621B">
        <w:rPr>
          <w:noProof/>
        </w:rPr>
        <w:t xml:space="preserve">infrastructure </w:t>
      </w:r>
      <w:r w:rsidRPr="00DC621B">
        <w:rPr>
          <w:noProof/>
        </w:rPr>
        <w:t>gaps.</w:t>
      </w:r>
      <w:r w:rsidR="00812657" w:rsidRPr="00DC621B">
        <w:rPr>
          <w:noProof/>
        </w:rPr>
        <w:t xml:space="preserve"> </w:t>
      </w:r>
      <w:r w:rsidR="000C7F5E" w:rsidRPr="00DC621B">
        <w:rPr>
          <w:noProof/>
        </w:rPr>
        <w:t>The</w:t>
      </w:r>
      <w:r w:rsidR="000560A9" w:rsidRPr="00DC621B">
        <w:rPr>
          <w:noProof/>
        </w:rPr>
        <w:t>se</w:t>
      </w:r>
      <w:r w:rsidR="000C7F5E" w:rsidRPr="00DC621B">
        <w:rPr>
          <w:noProof/>
        </w:rPr>
        <w:t xml:space="preserve"> plans </w:t>
      </w:r>
      <w:r w:rsidR="000560A9" w:rsidRPr="00DC621B">
        <w:rPr>
          <w:noProof/>
        </w:rPr>
        <w:t>provide</w:t>
      </w:r>
      <w:r w:rsidR="000C7F5E" w:rsidRPr="00DC621B">
        <w:rPr>
          <w:noProof/>
        </w:rPr>
        <w:t xml:space="preserve"> the basis for identifying the project</w:t>
      </w:r>
      <w:r w:rsidR="000560A9" w:rsidRPr="00DC621B">
        <w:rPr>
          <w:noProof/>
        </w:rPr>
        <w:t>s</w:t>
      </w:r>
      <w:r w:rsidR="000C7F5E" w:rsidRPr="00DC621B">
        <w:rPr>
          <w:noProof/>
        </w:rPr>
        <w:t xml:space="preserve"> of common interest (PCI</w:t>
      </w:r>
      <w:r w:rsidR="000560A9" w:rsidRPr="00DC621B">
        <w:rPr>
          <w:noProof/>
        </w:rPr>
        <w:t>s</w:t>
      </w:r>
      <w:r w:rsidR="000C7F5E" w:rsidRPr="00DC621B">
        <w:rPr>
          <w:noProof/>
        </w:rPr>
        <w:t xml:space="preserve">) for </w:t>
      </w:r>
      <w:r w:rsidR="000560A9" w:rsidRPr="00DC621B">
        <w:rPr>
          <w:noProof/>
        </w:rPr>
        <w:t xml:space="preserve">enhancing </w:t>
      </w:r>
      <w:r w:rsidR="000C7F5E" w:rsidRPr="00DC621B">
        <w:rPr>
          <w:noProof/>
        </w:rPr>
        <w:t>cross-border network development</w:t>
      </w:r>
      <w:r w:rsidR="000560A9" w:rsidRPr="00DC621B">
        <w:rPr>
          <w:noProof/>
        </w:rPr>
        <w:t xml:space="preserve"> </w:t>
      </w:r>
      <w:r w:rsidR="00BF5E9D" w:rsidRPr="00DC621B">
        <w:rPr>
          <w:noProof/>
        </w:rPr>
        <w:t xml:space="preserve">under the framework of </w:t>
      </w:r>
      <w:r w:rsidR="000560A9" w:rsidRPr="00DC621B">
        <w:rPr>
          <w:noProof/>
        </w:rPr>
        <w:t>the Trans-European Network for Energy (TEN-E) Regulation</w:t>
      </w:r>
      <w:r w:rsidR="000560A9" w:rsidRPr="00DC621B">
        <w:rPr>
          <w:rStyle w:val="FootnoteReference"/>
          <w:noProof/>
        </w:rPr>
        <w:footnoteReference w:id="39"/>
      </w:r>
      <w:r w:rsidR="00116609">
        <w:rPr>
          <w:noProof/>
        </w:rPr>
        <w:t>.</w:t>
      </w:r>
    </w:p>
    <w:p w:rsidR="00C72E53" w:rsidRPr="00DC621B" w:rsidRDefault="00C72E53" w:rsidP="00A0325D">
      <w:pPr>
        <w:ind w:right="-29"/>
        <w:rPr>
          <w:noProof/>
        </w:rPr>
      </w:pPr>
      <w:r w:rsidRPr="00DC621B">
        <w:rPr>
          <w:noProof/>
        </w:rPr>
        <w:t>The</w:t>
      </w:r>
      <w:r w:rsidR="00812657" w:rsidRPr="00DC621B">
        <w:rPr>
          <w:noProof/>
        </w:rPr>
        <w:t xml:space="preserve"> </w:t>
      </w:r>
      <w:r w:rsidR="001F5253" w:rsidRPr="00DC621B">
        <w:rPr>
          <w:noProof/>
        </w:rPr>
        <w:t>TEN-E R</w:t>
      </w:r>
      <w:r w:rsidR="000560A9" w:rsidRPr="00DC621B">
        <w:rPr>
          <w:noProof/>
        </w:rPr>
        <w:t xml:space="preserve">egulation also </w:t>
      </w:r>
      <w:r w:rsidR="007D6FB2" w:rsidRPr="00DC621B">
        <w:rPr>
          <w:noProof/>
        </w:rPr>
        <w:t>mandates</w:t>
      </w:r>
      <w:r w:rsidR="000560A9" w:rsidRPr="00DC621B">
        <w:rPr>
          <w:noProof/>
        </w:rPr>
        <w:t xml:space="preserve"> both</w:t>
      </w:r>
      <w:r w:rsidR="007D6FB2" w:rsidRPr="00DC621B">
        <w:rPr>
          <w:noProof/>
        </w:rPr>
        <w:t xml:space="preserve"> </w:t>
      </w:r>
      <w:r w:rsidR="00812657" w:rsidRPr="00DC621B">
        <w:rPr>
          <w:noProof/>
        </w:rPr>
        <w:t xml:space="preserve">ENTSOG </w:t>
      </w:r>
      <w:r w:rsidR="007D6FB2" w:rsidRPr="00DC621B">
        <w:rPr>
          <w:noProof/>
        </w:rPr>
        <w:t xml:space="preserve">and </w:t>
      </w:r>
      <w:r w:rsidR="00812657" w:rsidRPr="00DC621B">
        <w:rPr>
          <w:noProof/>
        </w:rPr>
        <w:t>ENTSO</w:t>
      </w:r>
      <w:r w:rsidR="001E45D2">
        <w:rPr>
          <w:noProof/>
        </w:rPr>
        <w:t>-</w:t>
      </w:r>
      <w:r w:rsidR="00812657" w:rsidRPr="00DC621B">
        <w:rPr>
          <w:noProof/>
        </w:rPr>
        <w:t xml:space="preserve">E </w:t>
      </w:r>
      <w:r w:rsidR="007D6FB2" w:rsidRPr="00DC621B">
        <w:rPr>
          <w:noProof/>
        </w:rPr>
        <w:t xml:space="preserve">to </w:t>
      </w:r>
      <w:r w:rsidR="000C7F5E" w:rsidRPr="00DC621B">
        <w:rPr>
          <w:noProof/>
        </w:rPr>
        <w:t xml:space="preserve">jointly </w:t>
      </w:r>
      <w:r w:rsidR="007D6FB2" w:rsidRPr="00DC621B">
        <w:rPr>
          <w:noProof/>
        </w:rPr>
        <w:t xml:space="preserve">develop </w:t>
      </w:r>
      <w:r w:rsidR="000C7F5E" w:rsidRPr="00DC621B">
        <w:rPr>
          <w:noProof/>
        </w:rPr>
        <w:t>energy-system wide</w:t>
      </w:r>
      <w:r w:rsidR="007D6FB2" w:rsidRPr="00DC621B">
        <w:rPr>
          <w:noProof/>
        </w:rPr>
        <w:t xml:space="preserve"> scenario</w:t>
      </w:r>
      <w:r w:rsidR="000C7F5E" w:rsidRPr="00DC621B">
        <w:rPr>
          <w:noProof/>
        </w:rPr>
        <w:t>s</w:t>
      </w:r>
      <w:r w:rsidR="007D6FB2" w:rsidRPr="00DC621B">
        <w:rPr>
          <w:noProof/>
        </w:rPr>
        <w:t xml:space="preserve"> to be used in the</w:t>
      </w:r>
      <w:r w:rsidR="000C7F5E" w:rsidRPr="00DC621B">
        <w:rPr>
          <w:noProof/>
        </w:rPr>
        <w:t>ir</w:t>
      </w:r>
      <w:r w:rsidR="007D6FB2" w:rsidRPr="00DC621B">
        <w:rPr>
          <w:noProof/>
        </w:rPr>
        <w:t xml:space="preserve"> </w:t>
      </w:r>
      <w:r w:rsidR="000C7F5E" w:rsidRPr="00DC621B">
        <w:rPr>
          <w:noProof/>
        </w:rPr>
        <w:t xml:space="preserve">respective </w:t>
      </w:r>
      <w:r w:rsidR="007D6FB2" w:rsidRPr="00DC621B">
        <w:rPr>
          <w:noProof/>
        </w:rPr>
        <w:t>T</w:t>
      </w:r>
      <w:r w:rsidR="0029129C" w:rsidRPr="00DC621B">
        <w:rPr>
          <w:noProof/>
        </w:rPr>
        <w:t>Y</w:t>
      </w:r>
      <w:r w:rsidR="007D6FB2" w:rsidRPr="00DC621B">
        <w:rPr>
          <w:noProof/>
        </w:rPr>
        <w:t xml:space="preserve">NDPs. </w:t>
      </w:r>
      <w:r w:rsidR="000C7F5E" w:rsidRPr="00DC621B">
        <w:rPr>
          <w:noProof/>
        </w:rPr>
        <w:t xml:space="preserve">For this purpose, the two organisations are requested to submit </w:t>
      </w:r>
      <w:r w:rsidR="007D6FB2" w:rsidRPr="00DC621B">
        <w:rPr>
          <w:noProof/>
        </w:rPr>
        <w:t>consistent and interlinked market and network model</w:t>
      </w:r>
      <w:r w:rsidR="000C7F5E" w:rsidRPr="00DC621B">
        <w:rPr>
          <w:noProof/>
        </w:rPr>
        <w:t>s</w:t>
      </w:r>
      <w:r w:rsidR="007D6FB2" w:rsidRPr="00DC621B">
        <w:rPr>
          <w:noProof/>
        </w:rPr>
        <w:t xml:space="preserve"> for both electricity and gas transmission infrastructure</w:t>
      </w:r>
      <w:r w:rsidRPr="00DC621B">
        <w:rPr>
          <w:noProof/>
        </w:rPr>
        <w:t xml:space="preserve"> as of the end of 2016</w:t>
      </w:r>
      <w:r w:rsidR="007D6FB2" w:rsidRPr="00DC621B">
        <w:rPr>
          <w:noProof/>
        </w:rPr>
        <w:t>.</w:t>
      </w:r>
      <w:r w:rsidRPr="00DC621B">
        <w:rPr>
          <w:noProof/>
        </w:rPr>
        <w:t xml:space="preserve"> However, </w:t>
      </w:r>
      <w:r w:rsidRPr="00DC621B">
        <w:rPr>
          <w:rFonts w:eastAsiaTheme="minorEastAsia"/>
          <w:noProof/>
        </w:rPr>
        <w:t xml:space="preserve">ACER notes in its opinion on the ENTSOG TYNDP 2020 </w:t>
      </w:r>
      <w:r w:rsidR="00116609" w:rsidRPr="00C134D1">
        <w:rPr>
          <w:rFonts w:eastAsiaTheme="minorEastAsia"/>
          <w:noProof/>
        </w:rPr>
        <w:t>‘</w:t>
      </w:r>
      <w:r w:rsidRPr="00C134D1">
        <w:rPr>
          <w:rFonts w:eastAsiaTheme="minorEastAsia"/>
          <w:noProof/>
        </w:rPr>
        <w:t>that the implementation of the interlinked model is mostly limited to a joint ENTSO-E and ENTSOG TYNDP scenario development</w:t>
      </w:r>
      <w:r w:rsidR="00116609" w:rsidRPr="00C134D1">
        <w:rPr>
          <w:noProof/>
        </w:rPr>
        <w:t>’</w:t>
      </w:r>
      <w:r w:rsidRPr="00116609">
        <w:rPr>
          <w:rStyle w:val="FootnoteReference"/>
          <w:rFonts w:ascii="TimesNewRomanPSMT" w:eastAsiaTheme="minorEastAsia" w:hAnsi="TimesNewRomanPSMT" w:cs="TimesNewRomanPSMT"/>
          <w:noProof/>
        </w:rPr>
        <w:footnoteReference w:id="40"/>
      </w:r>
      <w:r w:rsidR="00116609">
        <w:rPr>
          <w:noProof/>
        </w:rPr>
        <w:t>.</w:t>
      </w:r>
    </w:p>
    <w:p w:rsidR="009310F3" w:rsidRPr="00DC621B" w:rsidRDefault="009310F3">
      <w:pPr>
        <w:rPr>
          <w:noProof/>
        </w:rPr>
      </w:pPr>
      <w:r w:rsidRPr="00DC621B">
        <w:rPr>
          <w:noProof/>
        </w:rPr>
        <w:t xml:space="preserve">(5) In order to pursue the objective of consumer empowerment, the Third </w:t>
      </w:r>
      <w:r w:rsidR="00821171" w:rsidRPr="00DC621B">
        <w:rPr>
          <w:noProof/>
        </w:rPr>
        <w:t xml:space="preserve">Gas </w:t>
      </w:r>
      <w:r w:rsidRPr="00DC621B">
        <w:rPr>
          <w:noProof/>
        </w:rPr>
        <w:t xml:space="preserve">Package contains provisions on a number of aspects related to gas supplies, such as </w:t>
      </w:r>
      <w:r w:rsidRPr="00C134D1">
        <w:rPr>
          <w:b/>
          <w:iCs/>
          <w:noProof/>
        </w:rPr>
        <w:t>switching and contract termination fees</w:t>
      </w:r>
      <w:r w:rsidRPr="00C134D1">
        <w:rPr>
          <w:b/>
          <w:noProof/>
        </w:rPr>
        <w:t xml:space="preserve">, </w:t>
      </w:r>
      <w:r w:rsidRPr="00C134D1">
        <w:rPr>
          <w:b/>
          <w:iCs/>
          <w:noProof/>
        </w:rPr>
        <w:t>billing</w:t>
      </w:r>
      <w:r w:rsidRPr="00DC621B">
        <w:rPr>
          <w:i/>
          <w:iCs/>
          <w:noProof/>
        </w:rPr>
        <w:t xml:space="preserve"> </w:t>
      </w:r>
      <w:r w:rsidRPr="00DC621B">
        <w:rPr>
          <w:noProof/>
        </w:rPr>
        <w:t xml:space="preserve">of electricity and gas consumption, the </w:t>
      </w:r>
      <w:r w:rsidRPr="00C134D1">
        <w:rPr>
          <w:b/>
          <w:noProof/>
        </w:rPr>
        <w:t>right to receive information on energy consumption</w:t>
      </w:r>
      <w:r w:rsidRPr="00DC621B">
        <w:rPr>
          <w:noProof/>
        </w:rPr>
        <w:t xml:space="preserve">, and </w:t>
      </w:r>
      <w:r w:rsidR="00116609">
        <w:rPr>
          <w:noProof/>
        </w:rPr>
        <w:t xml:space="preserve">to </w:t>
      </w:r>
      <w:r w:rsidRPr="00C134D1">
        <w:rPr>
          <w:b/>
          <w:noProof/>
        </w:rPr>
        <w:t>quickly and cheaply resolve disputes</w:t>
      </w:r>
      <w:r w:rsidRPr="00DC621B">
        <w:rPr>
          <w:noProof/>
        </w:rPr>
        <w:t>.</w:t>
      </w:r>
    </w:p>
    <w:p w:rsidR="009310F3" w:rsidRPr="00DC621B" w:rsidRDefault="009310F3">
      <w:pPr>
        <w:rPr>
          <w:noProof/>
        </w:rPr>
      </w:pPr>
      <w:r w:rsidRPr="00DC621B">
        <w:rPr>
          <w:noProof/>
        </w:rPr>
        <w:t xml:space="preserve">With regard to consumer protection, the Third </w:t>
      </w:r>
      <w:r w:rsidR="000D7958" w:rsidRPr="00DC621B">
        <w:rPr>
          <w:noProof/>
        </w:rPr>
        <w:t xml:space="preserve">Gas </w:t>
      </w:r>
      <w:r w:rsidRPr="00DC621B">
        <w:rPr>
          <w:noProof/>
        </w:rPr>
        <w:t xml:space="preserve">Package prescribes the Member States to define the concept of vulnerable consumers at national level, adopt the measures to protect such consumers and to address energy poverty. </w:t>
      </w:r>
    </w:p>
    <w:p w:rsidR="009310F3" w:rsidRPr="00DC621B" w:rsidRDefault="009310F3" w:rsidP="00A91F57">
      <w:pPr>
        <w:rPr>
          <w:noProof/>
        </w:rPr>
      </w:pPr>
      <w:r w:rsidRPr="00DC621B">
        <w:rPr>
          <w:noProof/>
        </w:rPr>
        <w:t>An important tool to enable competition and consumers</w:t>
      </w:r>
      <w:r w:rsidR="00AD38A1">
        <w:rPr>
          <w:noProof/>
        </w:rPr>
        <w:t>’</w:t>
      </w:r>
      <w:r w:rsidRPr="00DC621B">
        <w:rPr>
          <w:noProof/>
        </w:rPr>
        <w:t xml:space="preserve"> choice in the retail sector is the default prohibition of applying regulated prices</w:t>
      </w:r>
      <w:r w:rsidRPr="00DC621B">
        <w:rPr>
          <w:rStyle w:val="FootnoteReference"/>
          <w:noProof/>
        </w:rPr>
        <w:footnoteReference w:id="41"/>
      </w:r>
      <w:r w:rsidR="004A1667">
        <w:rPr>
          <w:noProof/>
        </w:rPr>
        <w:t>.</w:t>
      </w:r>
      <w:r w:rsidRPr="00DC621B">
        <w:rPr>
          <w:noProof/>
        </w:rPr>
        <w:t xml:space="preserve"> Regulated prices are unlawful under </w:t>
      </w:r>
      <w:r w:rsidR="00F13D3D" w:rsidRPr="00DC621B">
        <w:rPr>
          <w:noProof/>
        </w:rPr>
        <w:t xml:space="preserve">the </w:t>
      </w:r>
      <w:r w:rsidRPr="00DC621B">
        <w:rPr>
          <w:noProof/>
        </w:rPr>
        <w:t>current Gas Directive as interpreted by the Court of Justice</w:t>
      </w:r>
      <w:r w:rsidRPr="00DC621B">
        <w:rPr>
          <w:rStyle w:val="FootnoteReference"/>
          <w:noProof/>
        </w:rPr>
        <w:footnoteReference w:id="42"/>
      </w:r>
      <w:r w:rsidR="004A1667">
        <w:rPr>
          <w:noProof/>
        </w:rPr>
        <w:t>,</w:t>
      </w:r>
      <w:r w:rsidRPr="00DC621B">
        <w:rPr>
          <w:noProof/>
        </w:rPr>
        <w:t xml:space="preserve"> unless they form part of a public service obligation (PSO) imposed on undertakings </w:t>
      </w:r>
      <w:r w:rsidR="00F13D3D" w:rsidRPr="00DC621B">
        <w:rPr>
          <w:noProof/>
        </w:rPr>
        <w:t>in the</w:t>
      </w:r>
      <w:r w:rsidRPr="00DC621B">
        <w:rPr>
          <w:noProof/>
        </w:rPr>
        <w:t xml:space="preserve"> gas sector and fulfil specific conditions prescribed by the Third Package. </w:t>
      </w:r>
    </w:p>
    <w:p w:rsidR="008D12DF" w:rsidRDefault="001F5253" w:rsidP="001F5253">
      <w:pPr>
        <w:rPr>
          <w:noProof/>
          <w:color w:val="000000"/>
        </w:rPr>
      </w:pPr>
      <w:r w:rsidRPr="00DC621B">
        <w:rPr>
          <w:noProof/>
        </w:rPr>
        <w:t xml:space="preserve">Smart metering is an important measure to allow taking informed decisions by consumers. </w:t>
      </w:r>
      <w:r w:rsidRPr="00DC621B">
        <w:rPr>
          <w:noProof/>
          <w:color w:val="000000"/>
        </w:rPr>
        <w:t>In recognition hereof, provisions were included in the Gas Directive 2009/73/EC and in the Electricity Directive 2009/72/EC, as well as the Energy Efficiency Directive</w:t>
      </w:r>
      <w:r w:rsidR="008D12DF">
        <w:rPr>
          <w:noProof/>
          <w:color w:val="000000"/>
        </w:rPr>
        <w:t xml:space="preserve"> </w:t>
      </w:r>
      <w:r w:rsidR="008D12DF" w:rsidRPr="008D12DF">
        <w:rPr>
          <w:noProof/>
          <w:color w:val="000000"/>
        </w:rPr>
        <w:t>2012/27/EU</w:t>
      </w:r>
      <w:r w:rsidRPr="00DC621B">
        <w:rPr>
          <w:rStyle w:val="FootnoteReference"/>
          <w:noProof/>
          <w:color w:val="000000"/>
        </w:rPr>
        <w:footnoteReference w:id="43"/>
      </w:r>
      <w:r w:rsidR="004A1667">
        <w:rPr>
          <w:noProof/>
          <w:color w:val="000000"/>
        </w:rPr>
        <w:t>,</w:t>
      </w:r>
      <w:r w:rsidRPr="00DC621B">
        <w:rPr>
          <w:noProof/>
          <w:color w:val="000000"/>
        </w:rPr>
        <w:t xml:space="preserve"> fostering the smart metering roll-out and </w:t>
      </w:r>
      <w:r w:rsidRPr="00DC621B">
        <w:rPr>
          <w:b/>
          <w:bCs/>
          <w:noProof/>
          <w:color w:val="000000"/>
        </w:rPr>
        <w:t>targeting the active participation of consumers in the energy supply market,</w:t>
      </w:r>
      <w:r w:rsidRPr="00DC621B">
        <w:rPr>
          <w:noProof/>
          <w:color w:val="000000"/>
        </w:rPr>
        <w:t xml:space="preserve"> through</w:t>
      </w:r>
      <w:r w:rsidR="008D12DF">
        <w:rPr>
          <w:noProof/>
          <w:color w:val="000000"/>
        </w:rPr>
        <w:t>:</w:t>
      </w:r>
    </w:p>
    <w:p w:rsidR="008D12DF" w:rsidRDefault="001F5253" w:rsidP="009D744A">
      <w:pPr>
        <w:pStyle w:val="ListParagraph"/>
        <w:numPr>
          <w:ilvl w:val="0"/>
          <w:numId w:val="374"/>
        </w:numPr>
        <w:rPr>
          <w:noProof/>
          <w:color w:val="000000"/>
        </w:rPr>
      </w:pPr>
      <w:r w:rsidRPr="00C134D1">
        <w:rPr>
          <w:noProof/>
          <w:color w:val="000000"/>
        </w:rPr>
        <w:t>transparency provided by the meter (timely and accurate information on consumption: predictability of costs, awareness)</w:t>
      </w:r>
      <w:r w:rsidR="008D12DF">
        <w:rPr>
          <w:noProof/>
          <w:color w:val="000000"/>
        </w:rPr>
        <w:t>;</w:t>
      </w:r>
    </w:p>
    <w:p w:rsidR="008D12DF" w:rsidRDefault="001F5253" w:rsidP="009D744A">
      <w:pPr>
        <w:pStyle w:val="ListParagraph"/>
        <w:numPr>
          <w:ilvl w:val="0"/>
          <w:numId w:val="374"/>
        </w:numPr>
        <w:rPr>
          <w:noProof/>
          <w:color w:val="000000"/>
        </w:rPr>
      </w:pPr>
      <w:r w:rsidRPr="00C134D1">
        <w:rPr>
          <w:noProof/>
          <w:color w:val="000000"/>
        </w:rPr>
        <w:t>third party access to data and interoperability (facilitate competitive offers at the customer end, lower cost)</w:t>
      </w:r>
      <w:r w:rsidR="008D12DF">
        <w:rPr>
          <w:noProof/>
          <w:color w:val="000000"/>
        </w:rPr>
        <w:t>;</w:t>
      </w:r>
      <w:r w:rsidRPr="00C134D1">
        <w:rPr>
          <w:noProof/>
          <w:color w:val="000000"/>
        </w:rPr>
        <w:t xml:space="preserve"> and</w:t>
      </w:r>
      <w:r w:rsidR="009D744A">
        <w:rPr>
          <w:noProof/>
          <w:color w:val="000000"/>
        </w:rPr>
        <w:t>,</w:t>
      </w:r>
    </w:p>
    <w:p w:rsidR="001F5253" w:rsidRPr="00C134D1" w:rsidRDefault="001F5253" w:rsidP="009D744A">
      <w:pPr>
        <w:pStyle w:val="ListParagraph"/>
        <w:numPr>
          <w:ilvl w:val="0"/>
          <w:numId w:val="374"/>
        </w:numPr>
        <w:rPr>
          <w:noProof/>
          <w:color w:val="000000"/>
        </w:rPr>
      </w:pPr>
      <w:r w:rsidRPr="00C134D1">
        <w:rPr>
          <w:noProof/>
          <w:color w:val="000000"/>
        </w:rPr>
        <w:t>due regard to best practises (for instance installation of in-home displays, connection to home automation)</w:t>
      </w:r>
      <w:r w:rsidRPr="00DC621B">
        <w:rPr>
          <w:rStyle w:val="FootnoteReference"/>
          <w:noProof/>
          <w:color w:val="000000"/>
        </w:rPr>
        <w:footnoteReference w:id="44"/>
      </w:r>
      <w:r w:rsidR="00AD38A1">
        <w:rPr>
          <w:noProof/>
          <w:color w:val="000000"/>
        </w:rPr>
        <w:t>.</w:t>
      </w:r>
    </w:p>
    <w:p w:rsidR="009310F3" w:rsidRPr="00DC621B" w:rsidRDefault="009310F3">
      <w:pPr>
        <w:rPr>
          <w:rStyle w:val="Tablecaption50"/>
          <w:noProof/>
          <w:u w:val="none"/>
          <w:lang w:val="en-GB"/>
        </w:rPr>
      </w:pPr>
      <w:r w:rsidRPr="00DC621B">
        <w:rPr>
          <w:noProof/>
        </w:rPr>
        <w:t>The intervention logic table from the Impact Assessment for the Third Package</w:t>
      </w:r>
      <w:r w:rsidRPr="00DC621B">
        <w:rPr>
          <w:rStyle w:val="FootnoteReference"/>
          <w:noProof/>
          <w:color w:val="000000"/>
          <w:lang w:bidi="en-US"/>
        </w:rPr>
        <w:footnoteReference w:id="45"/>
      </w:r>
      <w:r w:rsidRPr="00DC621B">
        <w:rPr>
          <w:noProof/>
        </w:rPr>
        <w:t xml:space="preserve"> illustrates the </w:t>
      </w:r>
      <w:r w:rsidRPr="00DC621B">
        <w:rPr>
          <w:rStyle w:val="Tablecaption50"/>
          <w:noProof/>
          <w:u w:val="none"/>
          <w:lang w:val="en-GB" w:eastAsia="de-DE" w:bidi="de-DE"/>
        </w:rPr>
        <w:t xml:space="preserve">relationship </w:t>
      </w:r>
      <w:r w:rsidRPr="00DC621B">
        <w:rPr>
          <w:rStyle w:val="Tablecaption50"/>
          <w:noProof/>
          <w:u w:val="none"/>
          <w:lang w:val="en-GB"/>
        </w:rPr>
        <w:t xml:space="preserve">between the measures and the structural problems addressed by the respective measures. </w:t>
      </w:r>
    </w:p>
    <w:p w:rsidR="00EC1F02" w:rsidRPr="00DC621B" w:rsidRDefault="00EC1F02" w:rsidP="009D744A">
      <w:pPr>
        <w:pStyle w:val="Caption"/>
        <w:keepNext/>
        <w:spacing w:after="0"/>
        <w:ind w:left="426"/>
        <w:rPr>
          <w:noProof/>
          <w:sz w:val="20"/>
        </w:rPr>
      </w:pPr>
      <w:r w:rsidRPr="00DC621B">
        <w:rPr>
          <w:noProof/>
          <w:sz w:val="20"/>
        </w:rPr>
        <w:t xml:space="preserve">Table </w:t>
      </w:r>
      <w:r w:rsidRPr="00DC621B">
        <w:rPr>
          <w:noProof/>
          <w:sz w:val="20"/>
        </w:rPr>
        <w:fldChar w:fldCharType="begin"/>
      </w:r>
      <w:r w:rsidRPr="00DC621B">
        <w:rPr>
          <w:noProof/>
          <w:sz w:val="20"/>
        </w:rPr>
        <w:instrText xml:space="preserve"> SEQ Table \* ARABIC </w:instrText>
      </w:r>
      <w:r w:rsidRPr="00DC621B">
        <w:rPr>
          <w:noProof/>
          <w:sz w:val="20"/>
        </w:rPr>
        <w:fldChar w:fldCharType="separate"/>
      </w:r>
      <w:r w:rsidR="00EB2CAF">
        <w:rPr>
          <w:noProof/>
          <w:sz w:val="20"/>
        </w:rPr>
        <w:t>1</w:t>
      </w:r>
      <w:r w:rsidRPr="00DC621B">
        <w:rPr>
          <w:noProof/>
          <w:sz w:val="20"/>
        </w:rPr>
        <w:fldChar w:fldCharType="end"/>
      </w:r>
      <w:r w:rsidRPr="00DC621B">
        <w:rPr>
          <w:noProof/>
          <w:sz w:val="20"/>
        </w:rPr>
        <w:t>: Intervention logic table</w:t>
      </w:r>
    </w:p>
    <w:tbl>
      <w:tblPr>
        <w:tblW w:w="5000" w:type="pct"/>
        <w:tblLayout w:type="fixed"/>
        <w:tblLook w:val="04A0" w:firstRow="1" w:lastRow="0" w:firstColumn="1" w:lastColumn="0" w:noHBand="0" w:noVBand="1"/>
      </w:tblPr>
      <w:tblGrid>
        <w:gridCol w:w="1221"/>
        <w:gridCol w:w="1152"/>
        <w:gridCol w:w="1152"/>
        <w:gridCol w:w="1152"/>
        <w:gridCol w:w="1152"/>
        <w:gridCol w:w="1152"/>
        <w:gridCol w:w="1107"/>
        <w:gridCol w:w="45"/>
        <w:gridCol w:w="1155"/>
      </w:tblGrid>
      <w:tr w:rsidR="009310F3" w:rsidRPr="00DC621B" w:rsidTr="003C7BDA">
        <w:trPr>
          <w:gridAfter w:val="2"/>
          <w:wAfter w:w="646" w:type="pct"/>
          <w:trHeight w:val="315"/>
        </w:trPr>
        <w:tc>
          <w:tcPr>
            <w:tcW w:w="4354" w:type="pct"/>
            <w:gridSpan w:val="7"/>
            <w:tcBorders>
              <w:top w:val="nil"/>
              <w:left w:val="nil"/>
              <w:bottom w:val="single" w:sz="4" w:space="0" w:color="auto"/>
              <w:right w:val="nil"/>
            </w:tcBorders>
            <w:shd w:val="clear" w:color="auto" w:fill="auto"/>
            <w:noWrap/>
            <w:vAlign w:val="center"/>
            <w:hideMark/>
          </w:tcPr>
          <w:p w:rsidR="009310F3" w:rsidRPr="00DC621B" w:rsidRDefault="009310F3">
            <w:pPr>
              <w:keepNext/>
              <w:spacing w:after="0"/>
              <w:jc w:val="left"/>
              <w:rPr>
                <w:b/>
                <w:noProof/>
                <w:lang w:eastAsia="en-GB"/>
              </w:rPr>
            </w:pPr>
          </w:p>
        </w:tc>
      </w:tr>
      <w:tr w:rsidR="00B05F5D" w:rsidRPr="00DC621B" w:rsidTr="00C60832">
        <w:tblPrEx>
          <w:tblCellMar>
            <w:left w:w="10" w:type="dxa"/>
            <w:right w:w="10" w:type="dxa"/>
          </w:tblCellMar>
          <w:tblLook w:val="0000" w:firstRow="0" w:lastRow="0" w:firstColumn="0" w:lastColumn="0" w:noHBand="0" w:noVBand="0"/>
        </w:tblPrEx>
        <w:trPr>
          <w:trHeight w:hRule="exact" w:val="1613"/>
        </w:trPr>
        <w:tc>
          <w:tcPr>
            <w:tcW w:w="658" w:type="pct"/>
            <w:tcBorders>
              <w:top w:val="single" w:sz="4" w:space="0" w:color="auto"/>
              <w:left w:val="single" w:sz="4" w:space="0" w:color="auto"/>
            </w:tcBorders>
            <w:shd w:val="clear" w:color="auto" w:fill="FFCC9A"/>
            <w:vAlign w:val="center"/>
          </w:tcPr>
          <w:p w:rsidR="009310F3" w:rsidRPr="008D12DF" w:rsidRDefault="009310F3" w:rsidP="003C7BDA">
            <w:pPr>
              <w:pStyle w:val="Bodytext20"/>
              <w:shd w:val="clear" w:color="auto" w:fill="auto"/>
              <w:spacing w:before="0" w:after="0" w:line="240" w:lineRule="auto"/>
              <w:ind w:firstLine="0"/>
              <w:jc w:val="center"/>
              <w:rPr>
                <w:noProof/>
                <w:sz w:val="20"/>
                <w:szCs w:val="20"/>
              </w:rPr>
            </w:pPr>
            <w:r w:rsidRPr="008D12DF">
              <w:rPr>
                <w:rStyle w:val="Bodytext211pt"/>
                <w:rFonts w:eastAsiaTheme="minorEastAsia"/>
                <w:noProof/>
                <w:sz w:val="20"/>
                <w:szCs w:val="20"/>
                <w:lang w:val="en-GB"/>
              </w:rPr>
              <w:t>Problems</w:t>
            </w:r>
          </w:p>
          <w:p w:rsidR="009310F3" w:rsidRPr="008D12DF" w:rsidRDefault="009310F3" w:rsidP="003C7BDA">
            <w:pPr>
              <w:pStyle w:val="Bodytext20"/>
              <w:shd w:val="clear" w:color="auto" w:fill="auto"/>
              <w:spacing w:before="0" w:after="0" w:line="240" w:lineRule="auto"/>
              <w:ind w:firstLine="0"/>
              <w:jc w:val="center"/>
              <w:rPr>
                <w:noProof/>
                <w:sz w:val="20"/>
              </w:rPr>
            </w:pPr>
          </w:p>
          <w:p w:rsidR="009310F3" w:rsidRPr="008D12DF" w:rsidRDefault="009310F3" w:rsidP="003C7BDA">
            <w:pPr>
              <w:pStyle w:val="Bodytext20"/>
              <w:shd w:val="clear" w:color="auto" w:fill="auto"/>
              <w:spacing w:before="0" w:after="0" w:line="240" w:lineRule="auto"/>
              <w:ind w:firstLine="0"/>
              <w:jc w:val="center"/>
              <w:rPr>
                <w:noProof/>
                <w:sz w:val="20"/>
                <w:szCs w:val="20"/>
              </w:rPr>
            </w:pPr>
            <w:r w:rsidRPr="008D12DF">
              <w:rPr>
                <w:rStyle w:val="Bodytext211pt"/>
                <w:rFonts w:eastAsiaTheme="minorEastAsia"/>
                <w:noProof/>
                <w:sz w:val="20"/>
                <w:szCs w:val="20"/>
                <w:lang w:val="en-GB"/>
              </w:rPr>
              <w:t>Measures</w:t>
            </w:r>
          </w:p>
        </w:tc>
        <w:tc>
          <w:tcPr>
            <w:tcW w:w="620" w:type="pct"/>
            <w:tcBorders>
              <w:top w:val="single" w:sz="4" w:space="0" w:color="auto"/>
              <w:lef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Market</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concentration</w:t>
            </w:r>
          </w:p>
        </w:tc>
        <w:tc>
          <w:tcPr>
            <w:tcW w:w="620" w:type="pct"/>
            <w:tcBorders>
              <w:top w:val="single" w:sz="4" w:space="0" w:color="auto"/>
              <w:lef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Vertical</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foreclosure</w:t>
            </w:r>
          </w:p>
        </w:tc>
        <w:tc>
          <w:tcPr>
            <w:tcW w:w="620" w:type="pct"/>
            <w:tcBorders>
              <w:top w:val="single" w:sz="4" w:space="0" w:color="auto"/>
              <w:lef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Lack of market integration and cooperation</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95pt"/>
                <w:rFonts w:eastAsiaTheme="minorEastAsia"/>
                <w:noProof/>
                <w:sz w:val="20"/>
                <w:szCs w:val="20"/>
                <w:lang w:val="en-GB"/>
              </w:rPr>
              <w:t>(cross-border and national)</w:t>
            </w:r>
          </w:p>
        </w:tc>
        <w:tc>
          <w:tcPr>
            <w:tcW w:w="620" w:type="pct"/>
            <w:tcBorders>
              <w:top w:val="single" w:sz="4" w:space="0" w:color="auto"/>
              <w:left w:val="single" w:sz="4" w:space="0" w:color="auto"/>
            </w:tcBorders>
            <w:shd w:val="clear" w:color="auto" w:fill="FFCC9A"/>
            <w:vAlign w:val="center"/>
          </w:tcPr>
          <w:p w:rsidR="009310F3" w:rsidRPr="008D12DF" w:rsidRDefault="009310F3" w:rsidP="003C7BDA">
            <w:pPr>
              <w:pStyle w:val="Bodytext20"/>
              <w:shd w:val="clear" w:color="auto" w:fill="auto"/>
              <w:spacing w:before="0" w:after="0" w:line="240" w:lineRule="auto"/>
              <w:ind w:firstLine="0"/>
              <w:jc w:val="center"/>
              <w:rPr>
                <w:noProof/>
                <w:sz w:val="20"/>
                <w:szCs w:val="20"/>
              </w:rPr>
            </w:pPr>
            <w:r w:rsidRPr="008D12DF">
              <w:rPr>
                <w:rStyle w:val="Bodytext211pt"/>
                <w:rFonts w:eastAsiaTheme="minorEastAsia"/>
                <w:noProof/>
                <w:sz w:val="20"/>
                <w:szCs w:val="20"/>
                <w:lang w:val="en-GB"/>
              </w:rPr>
              <w:t>Lack of trans</w:t>
            </w:r>
            <w:r w:rsidR="008D12DF">
              <w:rPr>
                <w:rStyle w:val="Bodytext211pt"/>
                <w:rFonts w:eastAsiaTheme="minorEastAsia"/>
                <w:noProof/>
                <w:sz w:val="20"/>
                <w:szCs w:val="20"/>
                <w:lang w:val="en-GB"/>
              </w:rPr>
              <w:softHyphen/>
            </w:r>
            <w:r w:rsidRPr="008D12DF">
              <w:rPr>
                <w:rStyle w:val="Bodytext211pt"/>
                <w:rFonts w:eastAsiaTheme="minorEastAsia"/>
                <w:noProof/>
                <w:sz w:val="20"/>
                <w:szCs w:val="20"/>
                <w:lang w:val="en-GB"/>
              </w:rPr>
              <w:t xml:space="preserve">parency </w:t>
            </w:r>
            <w:r w:rsidRPr="008D12DF">
              <w:rPr>
                <w:rStyle w:val="Bodytext295pt"/>
                <w:rFonts w:eastAsiaTheme="minorEastAsia"/>
                <w:noProof/>
                <w:sz w:val="20"/>
                <w:szCs w:val="20"/>
                <w:lang w:val="en-GB"/>
              </w:rPr>
              <w:t>(insufficient info e.g. on generation &amp; capacities)</w:t>
            </w:r>
          </w:p>
        </w:tc>
        <w:tc>
          <w:tcPr>
            <w:tcW w:w="620" w:type="pct"/>
            <w:tcBorders>
              <w:top w:val="single" w:sz="4" w:space="0" w:color="auto"/>
              <w:lef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 xml:space="preserve">Distorted price formation </w:t>
            </w:r>
            <w:r w:rsidRPr="00AD2FD1">
              <w:rPr>
                <w:rStyle w:val="Bodytext295pt"/>
                <w:rFonts w:eastAsiaTheme="minorEastAsia"/>
                <w:noProof/>
                <w:sz w:val="20"/>
                <w:szCs w:val="20"/>
                <w:lang w:val="en-GB"/>
              </w:rPr>
              <w:t>(e.g. regulated prices, cross-subsidies)</w:t>
            </w:r>
          </w:p>
        </w:tc>
        <w:tc>
          <w:tcPr>
            <w:tcW w:w="620" w:type="pct"/>
            <w:gridSpan w:val="2"/>
            <w:tcBorders>
              <w:top w:val="single" w:sz="4" w:space="0" w:color="auto"/>
              <w:lef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Downstream</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market</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foreclosure</w:t>
            </w:r>
          </w:p>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95pt"/>
                <w:rFonts w:eastAsiaTheme="minorEastAsia"/>
                <w:noProof/>
                <w:sz w:val="20"/>
                <w:szCs w:val="20"/>
                <w:lang w:val="en-GB"/>
              </w:rPr>
              <w:t>(access to customers)</w:t>
            </w:r>
          </w:p>
        </w:tc>
        <w:tc>
          <w:tcPr>
            <w:tcW w:w="621" w:type="pct"/>
            <w:tcBorders>
              <w:top w:val="single" w:sz="4" w:space="0" w:color="auto"/>
              <w:left w:val="single" w:sz="4" w:space="0" w:color="auto"/>
              <w:right w:val="single" w:sz="4" w:space="0" w:color="auto"/>
            </w:tcBorders>
            <w:shd w:val="clear" w:color="auto" w:fill="FFCC9A"/>
            <w:vAlign w:val="center"/>
          </w:tcPr>
          <w:p w:rsidR="009310F3" w:rsidRPr="00AD2FD1" w:rsidRDefault="009310F3" w:rsidP="003C7BDA">
            <w:pPr>
              <w:pStyle w:val="Bodytext20"/>
              <w:shd w:val="clear" w:color="auto" w:fill="auto"/>
              <w:spacing w:before="0" w:after="0" w:line="240" w:lineRule="auto"/>
              <w:ind w:firstLine="0"/>
              <w:jc w:val="center"/>
              <w:rPr>
                <w:noProof/>
                <w:sz w:val="20"/>
                <w:szCs w:val="20"/>
              </w:rPr>
            </w:pPr>
            <w:r w:rsidRPr="00AD2FD1">
              <w:rPr>
                <w:rStyle w:val="Bodytext211pt"/>
                <w:rFonts w:eastAsiaTheme="minorEastAsia"/>
                <w:noProof/>
                <w:sz w:val="20"/>
                <w:szCs w:val="20"/>
                <w:lang w:val="en-GB"/>
              </w:rPr>
              <w:t>Secure grid investments &amp; cross-border connections</w:t>
            </w:r>
          </w:p>
        </w:tc>
      </w:tr>
      <w:tr w:rsidR="00B05F5D" w:rsidRPr="00DC621B" w:rsidTr="00C60832">
        <w:tblPrEx>
          <w:tblCellMar>
            <w:left w:w="10" w:type="dxa"/>
            <w:right w:w="10" w:type="dxa"/>
          </w:tblCellMar>
          <w:tblLook w:val="0000" w:firstRow="0" w:lastRow="0" w:firstColumn="0" w:lastColumn="0" w:noHBand="0" w:noVBand="0"/>
        </w:tblPrEx>
        <w:trPr>
          <w:trHeight w:hRule="exact" w:val="1065"/>
        </w:trPr>
        <w:tc>
          <w:tcPr>
            <w:tcW w:w="658" w:type="pct"/>
            <w:tcBorders>
              <w:top w:val="single" w:sz="4" w:space="0" w:color="auto"/>
              <w:left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TSO unbundling</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i</w:t>
            </w:r>
            <w:r w:rsidR="009310F3" w:rsidRPr="00DC621B">
              <w:rPr>
                <w:rStyle w:val="Bodytext295pt"/>
                <w:rFonts w:eastAsiaTheme="minorEastAsia"/>
                <w:noProof/>
                <w:lang w:val="en-GB"/>
              </w:rPr>
              <w:t>mproves TPA and thus market entry</w:t>
            </w:r>
          </w:p>
        </w:tc>
        <w:tc>
          <w:tcPr>
            <w:tcW w:w="620" w:type="pct"/>
            <w:tcBorders>
              <w:top w:val="single" w:sz="4" w:space="0" w:color="auto"/>
              <w:left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tackles problem at the root</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facilitates TSO cooperation and mergers</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eliminates</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preferential</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information</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flows</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eliminates cross subsidies</w:t>
            </w:r>
          </w:p>
        </w:tc>
        <w:tc>
          <w:tcPr>
            <w:tcW w:w="620" w:type="pct"/>
            <w:gridSpan w:val="2"/>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N/A</w:t>
            </w:r>
          </w:p>
        </w:tc>
        <w:tc>
          <w:tcPr>
            <w:tcW w:w="621" w:type="pct"/>
            <w:tcBorders>
              <w:top w:val="single" w:sz="4" w:space="0" w:color="auto"/>
              <w:left w:val="single" w:sz="4" w:space="0" w:color="auto"/>
              <w:righ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p</w:t>
            </w:r>
            <w:r w:rsidR="009310F3" w:rsidRPr="00DC621B">
              <w:rPr>
                <w:rStyle w:val="Bodytext295pt"/>
                <w:rFonts w:eastAsiaTheme="minorEastAsia"/>
                <w:noProof/>
                <w:lang w:val="en-GB"/>
              </w:rPr>
              <w:t>romotes e.g.</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inter</w:t>
            </w:r>
            <w:r w:rsidR="003649FA">
              <w:rPr>
                <w:rStyle w:val="Bodytext295pt"/>
                <w:rFonts w:eastAsiaTheme="minorEastAsia"/>
                <w:noProof/>
                <w:lang w:val="en-GB"/>
              </w:rPr>
              <w:softHyphen/>
            </w:r>
            <w:r w:rsidRPr="00DC621B">
              <w:rPr>
                <w:rStyle w:val="Bodytext295pt"/>
                <w:rFonts w:eastAsiaTheme="minorEastAsia"/>
                <w:noProof/>
                <w:lang w:val="en-GB"/>
              </w:rPr>
              <w:t>connection</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investment</w:t>
            </w:r>
          </w:p>
        </w:tc>
      </w:tr>
      <w:tr w:rsidR="00B05F5D" w:rsidRPr="00DC621B" w:rsidTr="00C60832">
        <w:tblPrEx>
          <w:tblCellMar>
            <w:left w:w="10" w:type="dxa"/>
            <w:right w:w="10" w:type="dxa"/>
          </w:tblCellMar>
          <w:tblLook w:val="0000" w:firstRow="0" w:lastRow="0" w:firstColumn="0" w:lastColumn="0" w:noHBand="0" w:noVBand="0"/>
        </w:tblPrEx>
        <w:trPr>
          <w:trHeight w:hRule="exact" w:val="1071"/>
        </w:trPr>
        <w:tc>
          <w:tcPr>
            <w:tcW w:w="658" w:type="pct"/>
            <w:tcBorders>
              <w:top w:val="single" w:sz="4" w:space="0" w:color="auto"/>
              <w:left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Strengthen NRA</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ensure level playing field;</w:t>
            </w:r>
          </w:p>
          <w:p w:rsidR="009310F3" w:rsidRPr="00DC621B" w:rsidRDefault="009310F3" w:rsidP="003C7BDA">
            <w:pPr>
              <w:pStyle w:val="Bodytext20"/>
              <w:shd w:val="clear" w:color="auto" w:fill="auto"/>
              <w:spacing w:before="0" w:after="0" w:line="240" w:lineRule="auto"/>
              <w:ind w:firstLine="0"/>
              <w:jc w:val="center"/>
              <w:rPr>
                <w:noProof/>
              </w:rPr>
            </w:pP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better monitor unbundling obligations</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monitor management of inter</w:t>
            </w:r>
            <w:r>
              <w:rPr>
                <w:rStyle w:val="Bodytext295pt"/>
                <w:rFonts w:eastAsiaTheme="minorEastAsia"/>
                <w:noProof/>
                <w:lang w:val="en-GB"/>
              </w:rPr>
              <w:softHyphen/>
            </w:r>
            <w:r w:rsidR="009310F3" w:rsidRPr="00DC621B">
              <w:rPr>
                <w:rStyle w:val="Bodytext295pt"/>
                <w:rFonts w:eastAsiaTheme="minorEastAsia"/>
                <w:noProof/>
                <w:lang w:val="en-GB"/>
              </w:rPr>
              <w:t>connection capacity</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monitor</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transparency</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obligations</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 xml:space="preserve">o monitor </w:t>
            </w:r>
            <w:r w:rsidR="41C8862B" w:rsidRPr="00DC621B">
              <w:rPr>
                <w:rStyle w:val="Bodytext295pt"/>
                <w:rFonts w:eastAsiaTheme="minorEastAsia"/>
                <w:noProof/>
                <w:lang w:val="en-GB"/>
              </w:rPr>
              <w:t>cross</w:t>
            </w:r>
            <w:r w:rsidR="009310F3" w:rsidRPr="00DC621B">
              <w:rPr>
                <w:rStyle w:val="Bodytext295pt"/>
                <w:rFonts w:eastAsiaTheme="minorEastAsia"/>
                <w:noProof/>
                <w:lang w:val="en-GB"/>
              </w:rPr>
              <w:t>-subsidies and determine tariffs</w:t>
            </w:r>
          </w:p>
        </w:tc>
        <w:tc>
          <w:tcPr>
            <w:tcW w:w="620" w:type="pct"/>
            <w:gridSpan w:val="2"/>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monitor access to customer data</w:t>
            </w:r>
          </w:p>
        </w:tc>
        <w:tc>
          <w:tcPr>
            <w:tcW w:w="621" w:type="pct"/>
            <w:tcBorders>
              <w:top w:val="single" w:sz="4" w:space="0" w:color="auto"/>
              <w:left w:val="single" w:sz="4" w:space="0" w:color="auto"/>
              <w:righ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monitor investment in grid &amp; generation</w:t>
            </w:r>
          </w:p>
        </w:tc>
      </w:tr>
      <w:tr w:rsidR="00B05F5D" w:rsidRPr="00DC621B" w:rsidTr="00C60832">
        <w:tblPrEx>
          <w:tblCellMar>
            <w:left w:w="10" w:type="dxa"/>
            <w:right w:w="10" w:type="dxa"/>
          </w:tblCellMar>
          <w:tblLook w:val="0000" w:firstRow="0" w:lastRow="0" w:firstColumn="0" w:lastColumn="0" w:noHBand="0" w:noVBand="0"/>
        </w:tblPrEx>
        <w:trPr>
          <w:trHeight w:hRule="exact" w:val="1065"/>
        </w:trPr>
        <w:tc>
          <w:tcPr>
            <w:tcW w:w="658" w:type="pct"/>
            <w:tcBorders>
              <w:top w:val="single" w:sz="4" w:space="0" w:color="auto"/>
              <w:left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ACER</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i</w:t>
            </w:r>
            <w:r w:rsidR="009310F3" w:rsidRPr="00DC621B">
              <w:rPr>
                <w:rStyle w:val="Bodytext295pt"/>
                <w:rFonts w:eastAsiaTheme="minorEastAsia"/>
                <w:noProof/>
                <w:lang w:val="en-GB"/>
              </w:rPr>
              <w:t>ndirect effect</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i</w:t>
            </w:r>
            <w:r w:rsidR="009310F3" w:rsidRPr="00DC621B">
              <w:rPr>
                <w:rStyle w:val="Bodytext295pt"/>
                <w:rFonts w:eastAsiaTheme="minorEastAsia"/>
                <w:noProof/>
                <w:lang w:val="en-GB"/>
              </w:rPr>
              <w:t>ndirect effect</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closes regulatory cross-border gap, oversees</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ETSO+/GTE+</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oversees</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ETSO+/GTE+</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i</w:t>
            </w:r>
            <w:r w:rsidR="009310F3" w:rsidRPr="00DC621B">
              <w:rPr>
                <w:rStyle w:val="Bodytext295pt"/>
                <w:rFonts w:eastAsiaTheme="minorEastAsia"/>
                <w:noProof/>
                <w:lang w:val="en-GB"/>
              </w:rPr>
              <w:t>ndirect effect</w:t>
            </w:r>
          </w:p>
        </w:tc>
        <w:tc>
          <w:tcPr>
            <w:tcW w:w="620" w:type="pct"/>
            <w:gridSpan w:val="2"/>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i</w:t>
            </w:r>
            <w:r w:rsidR="009310F3" w:rsidRPr="00DC621B">
              <w:rPr>
                <w:rStyle w:val="Bodytext295pt"/>
                <w:rFonts w:eastAsiaTheme="minorEastAsia"/>
                <w:noProof/>
                <w:lang w:val="en-GB"/>
              </w:rPr>
              <w:t>ndirect effect</w:t>
            </w:r>
          </w:p>
        </w:tc>
        <w:tc>
          <w:tcPr>
            <w:tcW w:w="621" w:type="pct"/>
            <w:tcBorders>
              <w:top w:val="single" w:sz="4" w:space="0" w:color="auto"/>
              <w:left w:val="single" w:sz="4" w:space="0" w:color="auto"/>
              <w:righ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assess cross</w:t>
            </w:r>
            <w:r w:rsidR="009310F3" w:rsidRPr="00DC621B">
              <w:rPr>
                <w:rStyle w:val="Bodytext295pt"/>
                <w:rFonts w:eastAsiaTheme="minorEastAsia"/>
                <w:noProof/>
                <w:lang w:val="en-GB"/>
              </w:rPr>
              <w:softHyphen/>
            </w:r>
            <w:r w:rsidR="004036A5" w:rsidRPr="00DC621B">
              <w:rPr>
                <w:rStyle w:val="Bodytext295pt"/>
                <w:rFonts w:eastAsiaTheme="minorEastAsia"/>
                <w:noProof/>
                <w:lang w:val="en-GB"/>
              </w:rPr>
              <w:t>-</w:t>
            </w:r>
            <w:r w:rsidR="009310F3" w:rsidRPr="00DC621B">
              <w:rPr>
                <w:rStyle w:val="Bodytext295pt"/>
                <w:rFonts w:eastAsiaTheme="minorEastAsia"/>
                <w:noProof/>
                <w:lang w:val="en-GB"/>
              </w:rPr>
              <w:t>border Art. 22 requests</w:t>
            </w:r>
          </w:p>
        </w:tc>
      </w:tr>
      <w:tr w:rsidR="00B05F5D" w:rsidRPr="00DC621B" w:rsidTr="00C60832">
        <w:tblPrEx>
          <w:tblCellMar>
            <w:left w:w="10" w:type="dxa"/>
            <w:right w:w="10" w:type="dxa"/>
          </w:tblCellMar>
          <w:tblLook w:val="0000" w:firstRow="0" w:lastRow="0" w:firstColumn="0" w:lastColumn="0" w:noHBand="0" w:noVBand="0"/>
        </w:tblPrEx>
        <w:trPr>
          <w:trHeight w:hRule="exact" w:val="1337"/>
        </w:trPr>
        <w:tc>
          <w:tcPr>
            <w:tcW w:w="658" w:type="pct"/>
            <w:tcBorders>
              <w:top w:val="single" w:sz="4" w:space="0" w:color="auto"/>
              <w:left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ENTSO</w:t>
            </w:r>
            <w:r w:rsidR="00B05F5D" w:rsidRPr="00DC621B">
              <w:rPr>
                <w:rStyle w:val="Bodytext211pt"/>
                <w:rFonts w:eastAsiaTheme="minorEastAsia"/>
                <w:noProof/>
                <w:sz w:val="20"/>
                <w:szCs w:val="20"/>
                <w:lang w:val="en-GB"/>
              </w:rPr>
              <w:t>G</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improve interconnection and create larger markets</w:t>
            </w:r>
          </w:p>
        </w:tc>
        <w:tc>
          <w:tcPr>
            <w:tcW w:w="620" w:type="pct"/>
            <w:tcBorders>
              <w:top w:val="single" w:sz="4" w:space="0" w:color="auto"/>
              <w:left w:val="single" w:sz="4" w:space="0" w:color="auto"/>
            </w:tcBorders>
            <w:shd w:val="clear" w:color="auto" w:fill="FEFF99"/>
            <w:vAlign w:val="center"/>
          </w:tcPr>
          <w:p w:rsidR="009310F3" w:rsidRPr="00DC621B" w:rsidRDefault="003649FA" w:rsidP="003649FA">
            <w:pPr>
              <w:pStyle w:val="Bodytext20"/>
              <w:shd w:val="clear" w:color="auto" w:fill="auto"/>
              <w:spacing w:before="0" w:after="0" w:line="240" w:lineRule="auto"/>
              <w:ind w:firstLine="0"/>
              <w:jc w:val="center"/>
              <w:rPr>
                <w:noProof/>
              </w:rPr>
            </w:pPr>
            <w:r>
              <w:rPr>
                <w:rStyle w:val="Bodytext295pt"/>
                <w:rFonts w:eastAsiaTheme="minorEastAsia"/>
                <w:noProof/>
                <w:lang w:val="en-GB"/>
              </w:rPr>
              <w:t>to</w:t>
            </w:r>
            <w:r w:rsidR="009310F3" w:rsidRPr="00DC621B">
              <w:rPr>
                <w:rStyle w:val="Bodytext295pt"/>
                <w:rFonts w:eastAsiaTheme="minorEastAsia"/>
                <w:noProof/>
                <w:lang w:val="en-GB"/>
              </w:rPr>
              <w:t xml:space="preserve"> develop common rules on TPA and grid connection</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develop market and technical codes, coordinate grid operation</w:t>
            </w:r>
          </w:p>
        </w:tc>
        <w:tc>
          <w:tcPr>
            <w:tcW w:w="620" w:type="pct"/>
            <w:tcBorders>
              <w:top w:val="single" w:sz="4" w:space="0" w:color="auto"/>
              <w:lef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develop market and technical codes, rules on trading &amp; transparency</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improve interconnection and thus liquidity</w:t>
            </w:r>
          </w:p>
        </w:tc>
        <w:tc>
          <w:tcPr>
            <w:tcW w:w="620" w:type="pct"/>
            <w:gridSpan w:val="2"/>
            <w:tcBorders>
              <w:top w:val="single" w:sz="4" w:space="0" w:color="auto"/>
              <w:lef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N/A</w:t>
            </w:r>
          </w:p>
        </w:tc>
        <w:tc>
          <w:tcPr>
            <w:tcW w:w="621" w:type="pct"/>
            <w:tcBorders>
              <w:top w:val="single" w:sz="4" w:space="0" w:color="auto"/>
              <w:left w:val="single" w:sz="4" w:space="0" w:color="auto"/>
              <w:right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10-year</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investment plan, security and reliability rules</w:t>
            </w:r>
          </w:p>
        </w:tc>
      </w:tr>
      <w:tr w:rsidR="00B05F5D" w:rsidRPr="00DC621B" w:rsidTr="00C60832">
        <w:tblPrEx>
          <w:tblCellMar>
            <w:left w:w="10" w:type="dxa"/>
            <w:right w:w="10" w:type="dxa"/>
          </w:tblCellMar>
          <w:tblLook w:val="0000" w:firstRow="0" w:lastRow="0" w:firstColumn="0" w:lastColumn="0" w:noHBand="0" w:noVBand="0"/>
        </w:tblPrEx>
        <w:trPr>
          <w:trHeight w:hRule="exact" w:val="1331"/>
        </w:trPr>
        <w:tc>
          <w:tcPr>
            <w:tcW w:w="658" w:type="pct"/>
            <w:tcBorders>
              <w:top w:val="single" w:sz="4" w:space="0" w:color="auto"/>
              <w:left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Transparency</w:t>
            </w:r>
          </w:p>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obligations</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facilitate market entry</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B05F5D" w:rsidRPr="00DC621B">
              <w:rPr>
                <w:rStyle w:val="Bodytext295pt"/>
                <w:rFonts w:eastAsiaTheme="minorEastAsia"/>
                <w:noProof/>
                <w:lang w:val="en-GB"/>
              </w:rPr>
              <w:t xml:space="preserve">o </w:t>
            </w:r>
            <w:r w:rsidR="009310F3" w:rsidRPr="00DC621B">
              <w:rPr>
                <w:rStyle w:val="Bodytext295pt"/>
                <w:rFonts w:eastAsiaTheme="minorEastAsia"/>
                <w:noProof/>
                <w:lang w:val="en-GB"/>
              </w:rPr>
              <w:t>overcome information advantage of</w:t>
            </w:r>
            <w:r w:rsidR="00B05F5D" w:rsidRPr="00DC621B">
              <w:rPr>
                <w:rStyle w:val="Bodytext295pt"/>
                <w:rFonts w:eastAsiaTheme="minorEastAsia"/>
                <w:noProof/>
                <w:lang w:val="en-GB"/>
              </w:rPr>
              <w:t xml:space="preserve"> </w:t>
            </w:r>
            <w:r w:rsidR="009310F3" w:rsidRPr="00DC621B">
              <w:rPr>
                <w:rStyle w:val="Bodytext295pt"/>
                <w:rFonts w:eastAsiaTheme="minorEastAsia"/>
                <w:noProof/>
                <w:lang w:val="en-GB"/>
              </w:rPr>
              <w:t>integrated groups</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 xml:space="preserve">o facilitate market </w:t>
            </w:r>
            <w:r w:rsidR="009310F3" w:rsidRPr="00DC621B">
              <w:rPr>
                <w:rStyle w:val="Bodytext295pt"/>
                <w:rFonts w:eastAsiaTheme="minorEastAsia"/>
                <w:noProof/>
                <w:lang w:val="en-GB" w:eastAsia="da-DK" w:bidi="da-DK"/>
              </w:rPr>
              <w:t>entry</w:t>
            </w:r>
          </w:p>
        </w:tc>
        <w:tc>
          <w:tcPr>
            <w:tcW w:w="620" w:type="pct"/>
            <w:tcBorders>
              <w:top w:val="single" w:sz="4" w:space="0" w:color="auto"/>
              <w:left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tackles problem at the root</w:t>
            </w:r>
          </w:p>
        </w:tc>
        <w:tc>
          <w:tcPr>
            <w:tcW w:w="620" w:type="pct"/>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reveal cause of price deformation</w:t>
            </w:r>
          </w:p>
        </w:tc>
        <w:tc>
          <w:tcPr>
            <w:tcW w:w="620" w:type="pct"/>
            <w:gridSpan w:val="2"/>
            <w:tcBorders>
              <w:top w:val="single" w:sz="4" w:space="0" w:color="auto"/>
              <w:left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overcome information advantage of integrated groups</w:t>
            </w:r>
          </w:p>
        </w:tc>
        <w:tc>
          <w:tcPr>
            <w:tcW w:w="621" w:type="pct"/>
            <w:tcBorders>
              <w:top w:val="single" w:sz="4" w:space="0" w:color="auto"/>
              <w:left w:val="single" w:sz="4" w:space="0" w:color="auto"/>
              <w:right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increase network security &amp; reliability</w:t>
            </w:r>
          </w:p>
        </w:tc>
      </w:tr>
      <w:tr w:rsidR="00B05F5D" w:rsidRPr="00DC621B" w:rsidTr="00C60832">
        <w:tblPrEx>
          <w:tblCellMar>
            <w:left w:w="10" w:type="dxa"/>
            <w:right w:w="10" w:type="dxa"/>
          </w:tblCellMar>
          <w:tblLook w:val="0000" w:firstRow="0" w:lastRow="0" w:firstColumn="0" w:lastColumn="0" w:noHBand="0" w:noVBand="0"/>
        </w:tblPrEx>
        <w:trPr>
          <w:trHeight w:hRule="exact" w:val="1699"/>
        </w:trPr>
        <w:tc>
          <w:tcPr>
            <w:tcW w:w="658" w:type="pct"/>
            <w:tcBorders>
              <w:top w:val="single" w:sz="4" w:space="0" w:color="auto"/>
              <w:left w:val="single" w:sz="4" w:space="0" w:color="auto"/>
              <w:bottom w:val="single" w:sz="4" w:space="0" w:color="auto"/>
            </w:tcBorders>
            <w:shd w:val="clear" w:color="auto" w:fill="FFCC9A"/>
            <w:vAlign w:val="center"/>
          </w:tcPr>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DSO</w:t>
            </w:r>
          </w:p>
          <w:p w:rsidR="009310F3" w:rsidRPr="00DC621B" w:rsidRDefault="009310F3" w:rsidP="003C7BDA">
            <w:pPr>
              <w:pStyle w:val="Bodytext20"/>
              <w:shd w:val="clear" w:color="auto" w:fill="auto"/>
              <w:spacing w:before="0" w:after="0" w:line="240" w:lineRule="auto"/>
              <w:ind w:firstLine="0"/>
              <w:jc w:val="center"/>
              <w:rPr>
                <w:noProof/>
                <w:sz w:val="20"/>
                <w:szCs w:val="20"/>
              </w:rPr>
            </w:pPr>
            <w:r w:rsidRPr="00DC621B">
              <w:rPr>
                <w:rStyle w:val="Bodytext211pt"/>
                <w:rFonts w:eastAsiaTheme="minorEastAsia"/>
                <w:noProof/>
                <w:sz w:val="20"/>
                <w:szCs w:val="20"/>
                <w:lang w:val="en-GB"/>
              </w:rPr>
              <w:t>unbundling</w:t>
            </w:r>
          </w:p>
        </w:tc>
        <w:tc>
          <w:tcPr>
            <w:tcW w:w="620" w:type="pct"/>
            <w:tcBorders>
              <w:top w:val="single" w:sz="4" w:space="0" w:color="auto"/>
              <w:left w:val="single" w:sz="4" w:space="0" w:color="auto"/>
              <w:bottom w:val="single" w:sz="4" w:space="0" w:color="auto"/>
            </w:tcBorders>
            <w:shd w:val="clear" w:color="auto" w:fill="FFFFFF" w:themeFill="background1"/>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o improve market entry</w:t>
            </w:r>
          </w:p>
        </w:tc>
        <w:tc>
          <w:tcPr>
            <w:tcW w:w="620" w:type="pct"/>
            <w:tcBorders>
              <w:top w:val="single" w:sz="4" w:space="0" w:color="auto"/>
              <w:left w:val="single" w:sz="4" w:space="0" w:color="auto"/>
              <w:bottom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strengthen resources of DSOs</w:t>
            </w:r>
          </w:p>
        </w:tc>
        <w:tc>
          <w:tcPr>
            <w:tcW w:w="620" w:type="pct"/>
            <w:tcBorders>
              <w:top w:val="single" w:sz="4" w:space="0" w:color="auto"/>
              <w:left w:val="single" w:sz="4" w:space="0" w:color="auto"/>
              <w:bottom w:val="single" w:sz="4" w:space="0" w:color="auto"/>
            </w:tcBorders>
            <w:shd w:val="clear" w:color="auto" w:fill="FFFFFF" w:themeFill="background1"/>
            <w:vAlign w:val="center"/>
          </w:tcPr>
          <w:p w:rsidR="009310F3" w:rsidRPr="00DC621B" w:rsidRDefault="009310F3" w:rsidP="003C7BDA">
            <w:pPr>
              <w:jc w:val="center"/>
              <w:rPr>
                <w:noProof/>
                <w:sz w:val="10"/>
                <w:szCs w:val="10"/>
              </w:rPr>
            </w:pPr>
          </w:p>
        </w:tc>
        <w:tc>
          <w:tcPr>
            <w:tcW w:w="620" w:type="pct"/>
            <w:tcBorders>
              <w:top w:val="single" w:sz="4" w:space="0" w:color="auto"/>
              <w:left w:val="single" w:sz="4" w:space="0" w:color="auto"/>
              <w:bottom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NRA to monitor</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transparency</w:t>
            </w:r>
          </w:p>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obligations</w:t>
            </w:r>
          </w:p>
        </w:tc>
        <w:tc>
          <w:tcPr>
            <w:tcW w:w="620" w:type="pct"/>
            <w:tcBorders>
              <w:top w:val="single" w:sz="4" w:space="0" w:color="auto"/>
              <w:left w:val="single" w:sz="4" w:space="0" w:color="auto"/>
              <w:bottom w:val="single" w:sz="4" w:space="0" w:color="auto"/>
            </w:tcBorders>
            <w:shd w:val="clear" w:color="auto" w:fill="FEFF99"/>
            <w:vAlign w:val="center"/>
          </w:tcPr>
          <w:p w:rsidR="009310F3" w:rsidRPr="00DC621B" w:rsidRDefault="003649FA" w:rsidP="003C7BDA">
            <w:pPr>
              <w:pStyle w:val="Bodytext20"/>
              <w:shd w:val="clear" w:color="auto" w:fill="auto"/>
              <w:spacing w:before="0" w:after="0" w:line="240" w:lineRule="auto"/>
              <w:ind w:firstLine="0"/>
              <w:jc w:val="center"/>
              <w:rPr>
                <w:noProof/>
              </w:rPr>
            </w:pPr>
            <w:r>
              <w:rPr>
                <w:rStyle w:val="Bodytext295pt"/>
                <w:rFonts w:eastAsiaTheme="minorEastAsia"/>
                <w:noProof/>
                <w:lang w:val="en-GB"/>
              </w:rPr>
              <w:t>t</w:t>
            </w:r>
            <w:r w:rsidR="009310F3" w:rsidRPr="00DC621B">
              <w:rPr>
                <w:rStyle w:val="Bodytext295pt"/>
                <w:rFonts w:eastAsiaTheme="minorEastAsia"/>
                <w:noProof/>
                <w:lang w:val="en-GB"/>
              </w:rPr>
              <w:t xml:space="preserve">o strengthen compliance </w:t>
            </w:r>
            <w:r w:rsidR="009310F3" w:rsidRPr="00DC621B">
              <w:rPr>
                <w:rStyle w:val="Bodytext295pt"/>
                <w:rFonts w:eastAsiaTheme="minorEastAsia"/>
                <w:noProof/>
                <w:lang w:val="en-GB" w:eastAsia="fr-FR" w:bidi="fr-FR"/>
              </w:rPr>
              <w:t xml:space="preserve">officers, </w:t>
            </w:r>
            <w:r w:rsidR="009310F3" w:rsidRPr="00DC621B">
              <w:rPr>
                <w:rStyle w:val="Bodytext295pt"/>
                <w:rFonts w:eastAsiaTheme="minorEastAsia"/>
                <w:noProof/>
                <w:lang w:val="en-GB"/>
              </w:rPr>
              <w:t>NRA to</w:t>
            </w:r>
            <w:r w:rsidR="00A35E88">
              <w:rPr>
                <w:rStyle w:val="Bodytext295pt"/>
                <w:rFonts w:eastAsiaTheme="minorEastAsia"/>
                <w:noProof/>
                <w:lang w:val="en-GB"/>
              </w:rPr>
              <w:t xml:space="preserve"> monitor cross-subsidies</w:t>
            </w:r>
          </w:p>
        </w:tc>
        <w:tc>
          <w:tcPr>
            <w:tcW w:w="620" w:type="pct"/>
            <w:gridSpan w:val="2"/>
            <w:tcBorders>
              <w:top w:val="single" w:sz="4" w:space="0" w:color="auto"/>
              <w:left w:val="single" w:sz="4" w:space="0" w:color="auto"/>
              <w:bottom w:val="single" w:sz="4" w:space="0" w:color="auto"/>
            </w:tcBorders>
            <w:shd w:val="clear" w:color="auto" w:fill="FEFF99"/>
            <w:vAlign w:val="center"/>
          </w:tcPr>
          <w:p w:rsidR="009310F3" w:rsidRPr="00DC621B" w:rsidRDefault="009310F3" w:rsidP="003C7BDA">
            <w:pPr>
              <w:pStyle w:val="Bodytext20"/>
              <w:shd w:val="clear" w:color="auto" w:fill="auto"/>
              <w:spacing w:before="0" w:after="0" w:line="240" w:lineRule="auto"/>
              <w:ind w:firstLine="0"/>
              <w:jc w:val="center"/>
              <w:rPr>
                <w:noProof/>
                <w:color w:val="FF0000"/>
              </w:rPr>
            </w:pPr>
            <w:r w:rsidRPr="00DC621B">
              <w:rPr>
                <w:rStyle w:val="Bodytext295pt"/>
                <w:rFonts w:eastAsiaTheme="minorEastAsia"/>
                <w:noProof/>
                <w:lang w:val="en-GB"/>
              </w:rPr>
              <w:t xml:space="preserve">to eliminate brand </w:t>
            </w:r>
            <w:r w:rsidR="41C8862B" w:rsidRPr="00DC621B">
              <w:rPr>
                <w:rStyle w:val="Bodytext295pt"/>
                <w:rFonts w:eastAsiaTheme="minorEastAsia"/>
                <w:noProof/>
                <w:lang w:val="en-GB"/>
              </w:rPr>
              <w:t>confusion</w:t>
            </w:r>
            <w:r w:rsidRPr="00DC621B">
              <w:rPr>
                <w:rStyle w:val="Bodytext295pt"/>
                <w:rFonts w:eastAsiaTheme="minorEastAsia"/>
                <w:noProof/>
                <w:lang w:val="en-GB"/>
              </w:rPr>
              <w:t>; NRA to</w:t>
            </w:r>
            <w:r w:rsidR="00A35E88">
              <w:rPr>
                <w:rStyle w:val="Bodytext295pt"/>
                <w:rFonts w:eastAsiaTheme="minorEastAsia"/>
                <w:noProof/>
                <w:lang w:val="en-GB"/>
              </w:rPr>
              <w:t xml:space="preserve"> monitor access to customer data</w:t>
            </w:r>
          </w:p>
        </w:tc>
        <w:tc>
          <w:tcPr>
            <w:tcW w:w="6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310F3" w:rsidRPr="00DC621B" w:rsidRDefault="009310F3" w:rsidP="003C7BDA">
            <w:pPr>
              <w:pStyle w:val="Bodytext20"/>
              <w:shd w:val="clear" w:color="auto" w:fill="auto"/>
              <w:spacing w:before="0" w:after="0" w:line="240" w:lineRule="auto"/>
              <w:ind w:firstLine="0"/>
              <w:jc w:val="center"/>
              <w:rPr>
                <w:noProof/>
              </w:rPr>
            </w:pPr>
            <w:r w:rsidRPr="00DC621B">
              <w:rPr>
                <w:rStyle w:val="Bodytext295pt"/>
                <w:rFonts w:eastAsiaTheme="minorEastAsia"/>
                <w:noProof/>
                <w:lang w:val="en-GB"/>
              </w:rPr>
              <w:t>N/A</w:t>
            </w:r>
          </w:p>
        </w:tc>
      </w:tr>
    </w:tbl>
    <w:p w:rsidR="00C60832" w:rsidRPr="006B7DAF" w:rsidRDefault="00C60832" w:rsidP="00C60832">
      <w:pPr>
        <w:spacing w:after="0"/>
        <w:rPr>
          <w:noProof/>
          <w:sz w:val="20"/>
        </w:rPr>
      </w:pPr>
      <w:bookmarkStart w:id="158" w:name="_Toc427147140"/>
      <w:bookmarkStart w:id="159" w:name="_Toc419284381"/>
      <w:bookmarkStart w:id="160" w:name="_Toc396143063"/>
      <w:bookmarkStart w:id="161" w:name="_Toc445900955"/>
      <w:bookmarkStart w:id="162" w:name="_Toc455064641"/>
      <w:bookmarkStart w:id="163" w:name="_Toc455070083"/>
      <w:bookmarkStart w:id="164" w:name="_Toc455073989"/>
      <w:bookmarkStart w:id="165" w:name="_Toc455074318"/>
      <w:bookmarkStart w:id="166" w:name="_Toc455081997"/>
      <w:bookmarkStart w:id="167" w:name="_Toc455082089"/>
      <w:bookmarkStart w:id="168" w:name="_Toc455082961"/>
      <w:bookmarkStart w:id="169" w:name="_Toc455134310"/>
      <w:bookmarkStart w:id="170" w:name="_Toc455148834"/>
      <w:bookmarkStart w:id="171" w:name="_Toc455156719"/>
      <w:bookmarkStart w:id="172" w:name="_Toc455156875"/>
      <w:bookmarkStart w:id="173" w:name="_Toc455160045"/>
      <w:bookmarkStart w:id="174" w:name="_Toc456772819"/>
      <w:bookmarkStart w:id="175" w:name="_Toc76743534"/>
      <w:bookmarkStart w:id="176" w:name="_Toc77590795"/>
      <w:bookmarkStart w:id="177" w:name="_Toc77600953"/>
      <w:bookmarkStart w:id="178" w:name="_Toc77682211"/>
      <w:bookmarkStart w:id="179" w:name="_Toc89688256"/>
      <w:bookmarkStart w:id="180" w:name="_Toc89882319"/>
      <w:r w:rsidRPr="006B7DAF">
        <w:rPr>
          <w:noProof/>
          <w:sz w:val="20"/>
        </w:rPr>
        <w:t>N/A mean</w:t>
      </w:r>
      <w:r>
        <w:rPr>
          <w:noProof/>
          <w:sz w:val="20"/>
        </w:rPr>
        <w:t>t</w:t>
      </w:r>
      <w:r w:rsidRPr="006B7DAF">
        <w:rPr>
          <w:noProof/>
          <w:sz w:val="20"/>
        </w:rPr>
        <w:t xml:space="preserve"> that a certain measure </w:t>
      </w:r>
      <w:r>
        <w:rPr>
          <w:noProof/>
          <w:sz w:val="20"/>
        </w:rPr>
        <w:t xml:space="preserve">was not deemed </w:t>
      </w:r>
      <w:r w:rsidRPr="006B7DAF">
        <w:rPr>
          <w:noProof/>
          <w:sz w:val="20"/>
        </w:rPr>
        <w:t xml:space="preserve">not </w:t>
      </w:r>
      <w:r>
        <w:rPr>
          <w:noProof/>
          <w:sz w:val="20"/>
        </w:rPr>
        <w:t xml:space="preserve">to </w:t>
      </w:r>
      <w:r w:rsidRPr="006B7DAF">
        <w:rPr>
          <w:noProof/>
          <w:sz w:val="20"/>
        </w:rPr>
        <w:t xml:space="preserve">have a direct effect on respective fundamental problem </w:t>
      </w:r>
    </w:p>
    <w:p w:rsidR="00C60832" w:rsidRPr="006B7DAF" w:rsidRDefault="00C60832" w:rsidP="00C60832">
      <w:pPr>
        <w:rPr>
          <w:noProof/>
          <w:sz w:val="20"/>
        </w:rPr>
      </w:pPr>
      <w:r w:rsidRPr="006B7DAF">
        <w:rPr>
          <w:noProof/>
          <w:sz w:val="20"/>
        </w:rPr>
        <w:t>Shaded fields indicate</w:t>
      </w:r>
      <w:r>
        <w:rPr>
          <w:noProof/>
          <w:sz w:val="20"/>
        </w:rPr>
        <w:t>d</w:t>
      </w:r>
      <w:r w:rsidRPr="006B7DAF">
        <w:rPr>
          <w:noProof/>
          <w:sz w:val="20"/>
        </w:rPr>
        <w:t xml:space="preserve"> </w:t>
      </w:r>
      <w:r>
        <w:rPr>
          <w:noProof/>
          <w:sz w:val="20"/>
        </w:rPr>
        <w:t>that m</w:t>
      </w:r>
      <w:r w:rsidRPr="006B7DAF">
        <w:rPr>
          <w:noProof/>
          <w:sz w:val="20"/>
        </w:rPr>
        <w:t xml:space="preserve">ore detailed measures </w:t>
      </w:r>
      <w:r>
        <w:rPr>
          <w:noProof/>
          <w:sz w:val="20"/>
        </w:rPr>
        <w:t>were</w:t>
      </w:r>
      <w:r w:rsidRPr="006B7DAF">
        <w:rPr>
          <w:noProof/>
          <w:sz w:val="20"/>
        </w:rPr>
        <w:t xml:space="preserve"> envisaged to tackle the respective problem</w:t>
      </w:r>
    </w:p>
    <w:p w:rsidR="009310F3" w:rsidRPr="00DC621B" w:rsidRDefault="00EB28D3" w:rsidP="00EB28D3">
      <w:pPr>
        <w:pStyle w:val="FootnoteText"/>
        <w:rPr>
          <w:noProof/>
        </w:rPr>
      </w:pPr>
      <w:r w:rsidRPr="00EB28D3">
        <w:t>3.</w:t>
      </w:r>
      <w:r w:rsidRPr="00EB28D3">
        <w:tab/>
      </w:r>
      <w:r w:rsidR="009310F3" w:rsidRPr="00DC621B">
        <w:rPr>
          <w:noProof/>
        </w:rPr>
        <w:t>Evaluation logic</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9310F3" w:rsidRPr="00DC621B" w:rsidRDefault="009310F3" w:rsidP="2A9EAAA8">
      <w:pPr>
        <w:autoSpaceDE w:val="0"/>
        <w:autoSpaceDN w:val="0"/>
        <w:adjustRightInd w:val="0"/>
        <w:spacing w:after="0"/>
        <w:rPr>
          <w:noProof/>
          <w:lang w:eastAsia="en-GB"/>
        </w:rPr>
      </w:pPr>
      <w:r w:rsidRPr="00DC621B">
        <w:rPr>
          <w:noProof/>
          <w:lang w:eastAsia="en-GB"/>
        </w:rPr>
        <w:t>The evaluation logic is framed under five different evaluation ca</w:t>
      </w:r>
      <w:r w:rsidRPr="003649FA">
        <w:rPr>
          <w:noProof/>
          <w:lang w:eastAsia="en-GB"/>
        </w:rPr>
        <w:t xml:space="preserve">tegories: Effectiveness, </w:t>
      </w:r>
      <w:r w:rsidRPr="00AD2FD1">
        <w:rPr>
          <w:noProof/>
          <w:lang w:eastAsia="en-GB"/>
        </w:rPr>
        <w:t xml:space="preserve">Efficiency, Relevance, Coherence and EU added Value (Figure </w:t>
      </w:r>
      <w:r w:rsidR="00AD38A1">
        <w:rPr>
          <w:noProof/>
          <w:lang w:eastAsia="en-GB"/>
        </w:rPr>
        <w:t>1</w:t>
      </w:r>
      <w:r w:rsidRPr="00AD2FD1">
        <w:rPr>
          <w:noProof/>
          <w:lang w:eastAsia="en-GB"/>
        </w:rPr>
        <w:t>).</w:t>
      </w:r>
      <w:r w:rsidRPr="00DC621B">
        <w:rPr>
          <w:noProof/>
          <w:lang w:eastAsia="en-GB"/>
        </w:rPr>
        <w:t xml:space="preserve"> </w:t>
      </w:r>
      <w:r w:rsidRPr="00C134D1">
        <w:rPr>
          <w:b/>
          <w:noProof/>
        </w:rPr>
        <w:t>Effectiveness</w:t>
      </w:r>
      <w:r w:rsidRPr="00DC621B">
        <w:rPr>
          <w:noProof/>
        </w:rPr>
        <w:t xml:space="preserve"> considers how successful the initiatives have been in achieving or progressing towards their objectives. This will be done by comparing the objectives with the actual effects generated by the initiatives (outputs, results, and impacts). </w:t>
      </w:r>
      <w:r w:rsidRPr="00C134D1">
        <w:rPr>
          <w:b/>
          <w:noProof/>
        </w:rPr>
        <w:t>Efficiency</w:t>
      </w:r>
      <w:r w:rsidRPr="00DC621B">
        <w:rPr>
          <w:noProof/>
        </w:rPr>
        <w:t xml:space="preserve"> considers the relationship between the resources used (inputs) and the effects generated by the Directives (outputs, results, and impacts). </w:t>
      </w:r>
      <w:r w:rsidRPr="00C134D1">
        <w:rPr>
          <w:b/>
          <w:noProof/>
          <w:lang w:eastAsia="en-GB"/>
        </w:rPr>
        <w:t>Relevance</w:t>
      </w:r>
      <w:r w:rsidRPr="00DC621B">
        <w:rPr>
          <w:noProof/>
          <w:lang w:eastAsia="en-GB"/>
        </w:rPr>
        <w:t xml:space="preserve"> looks at the relationship between the needs and problems of the </w:t>
      </w:r>
      <w:r w:rsidR="00D22621" w:rsidRPr="00DC621B">
        <w:rPr>
          <w:noProof/>
          <w:lang w:eastAsia="en-GB"/>
        </w:rPr>
        <w:t xml:space="preserve">gas </w:t>
      </w:r>
      <w:r w:rsidRPr="00DC621B">
        <w:rPr>
          <w:noProof/>
          <w:lang w:eastAsia="en-GB"/>
        </w:rPr>
        <w:t>sector and the objectives of the</w:t>
      </w:r>
      <w:r w:rsidR="00D05B20" w:rsidRPr="00DC621B">
        <w:rPr>
          <w:noProof/>
          <w:lang w:eastAsia="en-GB"/>
        </w:rPr>
        <w:t xml:space="preserve"> current</w:t>
      </w:r>
      <w:r w:rsidRPr="00DC621B">
        <w:rPr>
          <w:noProof/>
          <w:lang w:eastAsia="en-GB"/>
        </w:rPr>
        <w:t xml:space="preserve"> </w:t>
      </w:r>
      <w:r w:rsidR="00F13D3D" w:rsidRPr="00DC621B">
        <w:rPr>
          <w:noProof/>
          <w:lang w:eastAsia="en-GB"/>
        </w:rPr>
        <w:t>legislation</w:t>
      </w:r>
      <w:r w:rsidRPr="00DC621B">
        <w:rPr>
          <w:noProof/>
          <w:lang w:eastAsia="en-GB"/>
        </w:rPr>
        <w:t xml:space="preserve">. </w:t>
      </w:r>
      <w:r w:rsidRPr="00C134D1">
        <w:rPr>
          <w:b/>
          <w:noProof/>
        </w:rPr>
        <w:t>Coherence</w:t>
      </w:r>
      <w:r w:rsidRPr="00DC621B">
        <w:rPr>
          <w:noProof/>
        </w:rPr>
        <w:t xml:space="preserve"> looks for evidence of synergies or inconsistencies between the Directives and other EU </w:t>
      </w:r>
      <w:r w:rsidR="00F13D3D" w:rsidRPr="00DC621B">
        <w:rPr>
          <w:noProof/>
        </w:rPr>
        <w:t>policies that</w:t>
      </w:r>
      <w:r w:rsidRPr="00DC621B">
        <w:rPr>
          <w:noProof/>
        </w:rPr>
        <w:t xml:space="preserve"> are expected to work together. </w:t>
      </w:r>
      <w:r w:rsidRPr="00C134D1">
        <w:rPr>
          <w:b/>
          <w:noProof/>
        </w:rPr>
        <w:t>EU added value</w:t>
      </w:r>
      <w:r w:rsidRPr="00DC621B">
        <w:rPr>
          <w:noProof/>
        </w:rPr>
        <w:t xml:space="preserve"> assesses whether action continues to be justified at the EU level and looks for </w:t>
      </w:r>
      <w:r w:rsidR="00F13D3D" w:rsidRPr="00DC621B">
        <w:rPr>
          <w:noProof/>
        </w:rPr>
        <w:t>changes, which it can reasonably be argued,</w:t>
      </w:r>
      <w:r w:rsidRPr="00DC621B">
        <w:rPr>
          <w:noProof/>
        </w:rPr>
        <w:t xml:space="preserve"> are due to EU intervention, rather than any other factors. </w:t>
      </w:r>
      <w:r w:rsidRPr="00DC621B">
        <w:rPr>
          <w:noProof/>
          <w:lang w:eastAsia="en-GB"/>
        </w:rPr>
        <w:t>For each of these categories a series of questions</w:t>
      </w:r>
      <w:r w:rsidR="003E5DA5" w:rsidRPr="00DC621B">
        <w:rPr>
          <w:noProof/>
          <w:lang w:eastAsia="en-GB"/>
        </w:rPr>
        <w:t xml:space="preserve"> guide the evaluation</w:t>
      </w:r>
      <w:r w:rsidRPr="00DC621B">
        <w:rPr>
          <w:noProof/>
          <w:lang w:eastAsia="en-GB"/>
        </w:rPr>
        <w:t xml:space="preserve">. These questions are presented under Section </w:t>
      </w:r>
      <w:r w:rsidR="00B20B17">
        <w:rPr>
          <w:noProof/>
          <w:lang w:eastAsia="en-GB"/>
        </w:rPr>
        <w:t>6</w:t>
      </w:r>
      <w:r w:rsidRPr="00DC621B">
        <w:rPr>
          <w:noProof/>
          <w:lang w:eastAsia="en-GB"/>
        </w:rPr>
        <w:t xml:space="preserve"> for each category.</w:t>
      </w:r>
    </w:p>
    <w:p w:rsidR="00071243" w:rsidRPr="00DC621B" w:rsidRDefault="00071243" w:rsidP="2A9EAAA8">
      <w:pPr>
        <w:autoSpaceDE w:val="0"/>
        <w:autoSpaceDN w:val="0"/>
        <w:adjustRightInd w:val="0"/>
        <w:spacing w:after="0"/>
        <w:rPr>
          <w:noProof/>
          <w:szCs w:val="24"/>
        </w:rPr>
      </w:pPr>
    </w:p>
    <w:p w:rsidR="009310F3" w:rsidRPr="00DC621B" w:rsidRDefault="009310F3">
      <w:pPr>
        <w:autoSpaceDE w:val="0"/>
        <w:autoSpaceDN w:val="0"/>
        <w:adjustRightInd w:val="0"/>
        <w:spacing w:after="0"/>
        <w:jc w:val="center"/>
        <w:rPr>
          <w:b/>
          <w:noProof/>
          <w:szCs w:val="24"/>
        </w:rPr>
      </w:pPr>
    </w:p>
    <w:p w:rsidR="00EC1F02" w:rsidRPr="00DC621B" w:rsidRDefault="009310F3" w:rsidP="00EC1F02">
      <w:pPr>
        <w:keepNext/>
        <w:autoSpaceDE w:val="0"/>
        <w:autoSpaceDN w:val="0"/>
        <w:adjustRightInd w:val="0"/>
        <w:spacing w:after="0"/>
        <w:jc w:val="center"/>
        <w:rPr>
          <w:noProof/>
        </w:rPr>
      </w:pPr>
      <w:r w:rsidRPr="00DC621B">
        <w:rPr>
          <w:noProof/>
          <w:szCs w:val="24"/>
          <w:lang w:val="en-US"/>
        </w:rPr>
        <w:drawing>
          <wp:inline distT="0" distB="0" distL="0" distR="0" wp14:anchorId="28CC486F" wp14:editId="40038525">
            <wp:extent cx="4972939" cy="32960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808" r="14679"/>
                    <a:stretch/>
                  </pic:blipFill>
                  <pic:spPr bwMode="auto">
                    <a:xfrm>
                      <a:off x="0" y="0"/>
                      <a:ext cx="4980736" cy="3301261"/>
                    </a:xfrm>
                    <a:prstGeom prst="rect">
                      <a:avLst/>
                    </a:prstGeom>
                    <a:ln>
                      <a:noFill/>
                    </a:ln>
                    <a:extLst>
                      <a:ext uri="{53640926-AAD7-44D8-BBD7-CCE9431645EC}">
                        <a14:shadowObscured xmlns:a14="http://schemas.microsoft.com/office/drawing/2010/main"/>
                      </a:ext>
                    </a:extLst>
                  </pic:spPr>
                </pic:pic>
              </a:graphicData>
            </a:graphic>
          </wp:inline>
        </w:drawing>
      </w:r>
    </w:p>
    <w:p w:rsidR="009310F3" w:rsidRPr="00DC621B" w:rsidRDefault="00EC1F02" w:rsidP="009D744A">
      <w:pPr>
        <w:pStyle w:val="Caption"/>
        <w:ind w:left="426"/>
        <w:jc w:val="left"/>
        <w:rPr>
          <w:b w:val="0"/>
          <w:noProof/>
          <w:szCs w:val="24"/>
        </w:rPr>
      </w:pPr>
      <w:bookmarkStart w:id="181" w:name="_Toc77602798"/>
      <w:bookmarkStart w:id="182" w:name="_Toc77682860"/>
      <w:bookmarkStart w:id="183" w:name="_Toc89882413"/>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w:t>
      </w:r>
      <w:r w:rsidR="0002695B">
        <w:rPr>
          <w:noProof/>
        </w:rPr>
        <w:fldChar w:fldCharType="end"/>
      </w:r>
      <w:r w:rsidRPr="00DC621B">
        <w:rPr>
          <w:noProof/>
        </w:rPr>
        <w:t>: Fitness Check evaluation logic</w:t>
      </w:r>
      <w:bookmarkEnd w:id="181"/>
      <w:bookmarkEnd w:id="182"/>
      <w:bookmarkEnd w:id="183"/>
    </w:p>
    <w:p w:rsidR="009310F3" w:rsidRPr="00DC621B" w:rsidRDefault="00EB28D3" w:rsidP="00EB28D3">
      <w:pPr>
        <w:pStyle w:val="FootnoteText"/>
        <w:rPr>
          <w:noProof/>
        </w:rPr>
      </w:pPr>
      <w:bookmarkStart w:id="184" w:name="_Toc445805740"/>
      <w:bookmarkStart w:id="185" w:name="_Toc454960992"/>
      <w:bookmarkStart w:id="186" w:name="_Toc454960994"/>
      <w:bookmarkStart w:id="187" w:name="_Toc454960995"/>
      <w:bookmarkStart w:id="188" w:name="_Toc454960997"/>
      <w:bookmarkStart w:id="189" w:name="_Toc454960998"/>
      <w:bookmarkStart w:id="190" w:name="_Toc454960999"/>
      <w:bookmarkStart w:id="191" w:name="_Toc454961000"/>
      <w:bookmarkStart w:id="192" w:name="_Toc454961001"/>
      <w:bookmarkStart w:id="193" w:name="_Toc454961007"/>
      <w:bookmarkStart w:id="194" w:name="_Toc454961010"/>
      <w:bookmarkStart w:id="195" w:name="_Toc454961011"/>
      <w:bookmarkStart w:id="196" w:name="_Toc454961012"/>
      <w:bookmarkStart w:id="197" w:name="_Toc454961014"/>
      <w:bookmarkStart w:id="198" w:name="_Toc455064642"/>
      <w:bookmarkStart w:id="199" w:name="_Toc455070084"/>
      <w:bookmarkStart w:id="200" w:name="_Toc455073990"/>
      <w:bookmarkStart w:id="201" w:name="_Toc455074319"/>
      <w:bookmarkStart w:id="202" w:name="_Toc455081998"/>
      <w:bookmarkStart w:id="203" w:name="_Toc455082090"/>
      <w:bookmarkStart w:id="204" w:name="_Toc455082962"/>
      <w:bookmarkStart w:id="205" w:name="_Toc455134311"/>
      <w:bookmarkStart w:id="206" w:name="_Toc455148835"/>
      <w:bookmarkStart w:id="207" w:name="_Toc455156720"/>
      <w:bookmarkStart w:id="208" w:name="_Toc455156876"/>
      <w:bookmarkStart w:id="209" w:name="_Toc455160046"/>
      <w:bookmarkStart w:id="210" w:name="_Toc456772820"/>
      <w:bookmarkStart w:id="211" w:name="_Toc76743535"/>
      <w:bookmarkStart w:id="212" w:name="_Toc77590796"/>
      <w:bookmarkStart w:id="213" w:name="_Toc77600954"/>
      <w:bookmarkStart w:id="214" w:name="_Toc77682212"/>
      <w:bookmarkStart w:id="215" w:name="_Toc89688257"/>
      <w:bookmarkStart w:id="216" w:name="_Toc89882320"/>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B28D3">
        <w:t>4.</w:t>
      </w:r>
      <w:r w:rsidRPr="00EB28D3">
        <w:tab/>
      </w:r>
      <w:r w:rsidR="004C0DCF" w:rsidRPr="00DC621B">
        <w:rPr>
          <w:noProof/>
        </w:rPr>
        <w:t>Evaluation m</w:t>
      </w:r>
      <w:r w:rsidR="009310F3" w:rsidRPr="00DC621B">
        <w:rPr>
          <w:noProof/>
        </w:rPr>
        <w:t>ethod</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552C68" w:rsidRPr="00DC621B" w:rsidRDefault="00D22621" w:rsidP="00552C68">
      <w:pPr>
        <w:ind w:right="-29"/>
        <w:rPr>
          <w:rFonts w:eastAsia="Calibri"/>
          <w:noProof/>
        </w:rPr>
      </w:pPr>
      <w:r w:rsidRPr="00DC621B">
        <w:rPr>
          <w:rFonts w:eastAsia="Calibri"/>
          <w:noProof/>
        </w:rPr>
        <w:t xml:space="preserve">Detailed evaluations of the functioning </w:t>
      </w:r>
      <w:r w:rsidRPr="00AD38A1">
        <w:rPr>
          <w:rFonts w:eastAsia="Calibri"/>
          <w:noProof/>
        </w:rPr>
        <w:t>of the Internal Gas Market were carried</w:t>
      </w:r>
      <w:r w:rsidR="00AD2FD1" w:rsidRPr="00AD38A1">
        <w:rPr>
          <w:rFonts w:eastAsia="Calibri"/>
          <w:noProof/>
        </w:rPr>
        <w:t xml:space="preserve"> </w:t>
      </w:r>
      <w:r w:rsidRPr="00AD38A1">
        <w:rPr>
          <w:rFonts w:eastAsia="Calibri"/>
          <w:noProof/>
        </w:rPr>
        <w:t xml:space="preserve">out over the last years, such as the Commission study </w:t>
      </w:r>
      <w:r w:rsidR="00AD38A1" w:rsidRPr="00AD38A1">
        <w:rPr>
          <w:rFonts w:eastAsia="Calibri"/>
          <w:noProof/>
        </w:rPr>
        <w:t>‘</w:t>
      </w:r>
      <w:r w:rsidRPr="009D744A">
        <w:rPr>
          <w:rFonts w:eastAsia="Calibri"/>
          <w:noProof/>
        </w:rPr>
        <w:t>Potentials of sector coupling for decarbonisation: Assessing regulatory barriers in linking the gas and electricity sectors in the EU</w:t>
      </w:r>
      <w:r w:rsidR="00AD38A1" w:rsidRPr="009D744A">
        <w:rPr>
          <w:rFonts w:eastAsia="Calibri"/>
          <w:noProof/>
        </w:rPr>
        <w:t>’</w:t>
      </w:r>
      <w:r w:rsidRPr="009D744A">
        <w:rPr>
          <w:rFonts w:eastAsia="Calibri"/>
          <w:noProof/>
        </w:rPr>
        <w:t xml:space="preserve"> in</w:t>
      </w:r>
      <w:r w:rsidRPr="00DC621B">
        <w:rPr>
          <w:rFonts w:eastAsia="Calibri"/>
          <w:noProof/>
        </w:rPr>
        <w:t xml:space="preserve"> which the Commission identified a number of market failures that a fu</w:t>
      </w:r>
      <w:r w:rsidR="005D58E9" w:rsidRPr="00DC621B">
        <w:rPr>
          <w:rFonts w:eastAsia="Calibri"/>
          <w:noProof/>
        </w:rPr>
        <w:t>ture reform may need to address</w:t>
      </w:r>
      <w:r w:rsidR="005D58E9" w:rsidRPr="00DC621B">
        <w:rPr>
          <w:rStyle w:val="FootnoteReference"/>
          <w:rFonts w:eastAsia="Calibri"/>
          <w:noProof/>
        </w:rPr>
        <w:footnoteReference w:id="46"/>
      </w:r>
      <w:r w:rsidR="00AD2FD1">
        <w:rPr>
          <w:rFonts w:eastAsia="Calibri"/>
          <w:noProof/>
        </w:rPr>
        <w:t>.</w:t>
      </w:r>
      <w:r w:rsidRPr="00DC621B">
        <w:rPr>
          <w:rFonts w:eastAsia="Calibri"/>
          <w:noProof/>
        </w:rPr>
        <w:t xml:space="preserve"> </w:t>
      </w:r>
      <w:r w:rsidR="00871302" w:rsidRPr="00DC621B">
        <w:rPr>
          <w:rFonts w:eastAsia="Calibri"/>
          <w:noProof/>
        </w:rPr>
        <w:t xml:space="preserve">The Commission analysed as well the regulatory framework for </w:t>
      </w:r>
      <w:r w:rsidR="00C24546">
        <w:rPr>
          <w:rFonts w:eastAsia="Calibri"/>
          <w:noProof/>
        </w:rPr>
        <w:t>Liquified Natural Gas (</w:t>
      </w:r>
      <w:r w:rsidR="00871302" w:rsidRPr="00DC621B">
        <w:rPr>
          <w:rFonts w:eastAsia="Calibri"/>
          <w:noProof/>
        </w:rPr>
        <w:t>LNG</w:t>
      </w:r>
      <w:r w:rsidR="00C24546">
        <w:rPr>
          <w:rFonts w:eastAsia="Calibri"/>
          <w:noProof/>
        </w:rPr>
        <w:t>)</w:t>
      </w:r>
      <w:r w:rsidR="00871302" w:rsidRPr="00DC621B">
        <w:rPr>
          <w:rFonts w:eastAsia="Calibri"/>
          <w:noProof/>
        </w:rPr>
        <w:t xml:space="preserve"> terminals in the EU in which a number of market failures and barriers have been identified that might be addressed to improve the LNG regulatory framework in the EU. </w:t>
      </w:r>
      <w:r w:rsidR="00BC1168" w:rsidRPr="00DC621B">
        <w:rPr>
          <w:rFonts w:eastAsia="Calibri"/>
          <w:noProof/>
        </w:rPr>
        <w:t>In 2020, a comprehensive</w:t>
      </w:r>
      <w:r w:rsidR="005830DA" w:rsidRPr="00DC621B">
        <w:rPr>
          <w:rFonts w:eastAsia="Calibri"/>
          <w:noProof/>
        </w:rPr>
        <w:t xml:space="preserve"> regulatory study </w:t>
      </w:r>
      <w:r w:rsidR="00BC1168" w:rsidRPr="00DC621B">
        <w:rPr>
          <w:rFonts w:eastAsia="Calibri"/>
          <w:noProof/>
        </w:rPr>
        <w:t>has been conducted to identify and assess options for a potential EU regulatory framework for dedicated hydrogen networks and markets</w:t>
      </w:r>
      <w:r w:rsidR="00BC1168" w:rsidRPr="00DC621B">
        <w:rPr>
          <w:rStyle w:val="FootnoteReference"/>
          <w:rFonts w:eastAsia="Calibri"/>
          <w:noProof/>
        </w:rPr>
        <w:footnoteReference w:id="47"/>
      </w:r>
      <w:r w:rsidR="00AD2FD1">
        <w:rPr>
          <w:rFonts w:eastAsia="Calibri"/>
          <w:noProof/>
        </w:rPr>
        <w:t>.</w:t>
      </w:r>
      <w:r w:rsidR="00552C68" w:rsidRPr="00DC621B">
        <w:rPr>
          <w:rFonts w:eastAsia="Calibri"/>
          <w:noProof/>
        </w:rPr>
        <w:t xml:space="preserve"> </w:t>
      </w:r>
      <w:r w:rsidRPr="00DC621B">
        <w:rPr>
          <w:rFonts w:eastAsia="Calibri"/>
          <w:noProof/>
        </w:rPr>
        <w:t xml:space="preserve">Other EU institutions, notably </w:t>
      </w:r>
      <w:r w:rsidR="00AD2FD1">
        <w:rPr>
          <w:rFonts w:eastAsia="Calibri"/>
          <w:noProof/>
        </w:rPr>
        <w:t>ACER</w:t>
      </w:r>
      <w:r w:rsidRPr="00DC621B">
        <w:rPr>
          <w:rFonts w:eastAsia="Calibri"/>
          <w:noProof/>
        </w:rPr>
        <w:t xml:space="preserve">, are also regularly reviewing the functioning of the EU's gas markets and, in </w:t>
      </w:r>
      <w:r w:rsidRPr="00AD38A1">
        <w:rPr>
          <w:rFonts w:eastAsia="Calibri"/>
          <w:noProof/>
        </w:rPr>
        <w:t xml:space="preserve">its </w:t>
      </w:r>
      <w:r w:rsidR="00AD38A1" w:rsidRPr="00AD38A1">
        <w:rPr>
          <w:rFonts w:eastAsia="Calibri"/>
          <w:noProof/>
        </w:rPr>
        <w:t>‘</w:t>
      </w:r>
      <w:r w:rsidRPr="009D744A">
        <w:rPr>
          <w:rFonts w:eastAsia="Calibri"/>
          <w:noProof/>
        </w:rPr>
        <w:t>Bridge beyond 2025</w:t>
      </w:r>
      <w:r w:rsidR="00AD38A1" w:rsidRPr="009D744A">
        <w:rPr>
          <w:rFonts w:eastAsia="Calibri"/>
          <w:noProof/>
        </w:rPr>
        <w:t>’</w:t>
      </w:r>
      <w:r w:rsidRPr="00AD38A1">
        <w:rPr>
          <w:rFonts w:eastAsia="Calibri"/>
          <w:noProof/>
        </w:rPr>
        <w:t>, carried</w:t>
      </w:r>
      <w:r w:rsidR="00AD2FD1">
        <w:rPr>
          <w:rFonts w:eastAsia="Calibri"/>
          <w:noProof/>
        </w:rPr>
        <w:t xml:space="preserve"> </w:t>
      </w:r>
      <w:r w:rsidRPr="00DC621B">
        <w:rPr>
          <w:rFonts w:eastAsia="Calibri"/>
          <w:noProof/>
        </w:rPr>
        <w:t xml:space="preserve">out </w:t>
      </w:r>
      <w:r w:rsidR="0035646D" w:rsidRPr="00DC621B">
        <w:rPr>
          <w:rFonts w:eastAsia="Calibri"/>
          <w:noProof/>
        </w:rPr>
        <w:t>an assessment of</w:t>
      </w:r>
      <w:r w:rsidRPr="00DC621B">
        <w:rPr>
          <w:rFonts w:eastAsia="Calibri"/>
          <w:noProof/>
        </w:rPr>
        <w:t xml:space="preserve"> shortcomings of the current gas market design</w:t>
      </w:r>
      <w:r w:rsidRPr="00DC621B">
        <w:rPr>
          <w:rStyle w:val="FootnoteReference"/>
          <w:rFonts w:eastAsia="Calibri"/>
          <w:noProof/>
        </w:rPr>
        <w:footnoteReference w:id="48"/>
      </w:r>
      <w:r w:rsidR="00AD2FD1">
        <w:rPr>
          <w:rFonts w:eastAsia="Calibri"/>
          <w:noProof/>
        </w:rPr>
        <w:t>.</w:t>
      </w:r>
    </w:p>
    <w:p w:rsidR="001D45C6" w:rsidRPr="00DC621B" w:rsidRDefault="009310F3" w:rsidP="00552C68">
      <w:pPr>
        <w:ind w:right="-29"/>
        <w:rPr>
          <w:rFonts w:eastAsia="Calibri"/>
          <w:noProof/>
        </w:rPr>
      </w:pPr>
      <w:r w:rsidRPr="00DC621B">
        <w:rPr>
          <w:rFonts w:eastAsia="Calibri"/>
          <w:noProof/>
        </w:rPr>
        <w:t xml:space="preserve">Since 2001, the European Commission has reported on the progress and implementation of the internal </w:t>
      </w:r>
      <w:r w:rsidR="00F13D3D" w:rsidRPr="00DC621B">
        <w:rPr>
          <w:rFonts w:eastAsia="Calibri"/>
          <w:noProof/>
        </w:rPr>
        <w:t>gas</w:t>
      </w:r>
      <w:r w:rsidRPr="00DC621B">
        <w:rPr>
          <w:rFonts w:eastAsia="Calibri"/>
          <w:noProof/>
        </w:rPr>
        <w:t xml:space="preserve"> market. Indeed, since the adoption of the </w:t>
      </w:r>
      <w:r w:rsidR="00B72572" w:rsidRPr="00DC621B">
        <w:rPr>
          <w:rFonts w:eastAsia="Calibri"/>
          <w:noProof/>
        </w:rPr>
        <w:t>Gas</w:t>
      </w:r>
      <w:r w:rsidRPr="00DC621B">
        <w:rPr>
          <w:rFonts w:eastAsia="Calibri"/>
          <w:noProof/>
        </w:rPr>
        <w:t xml:space="preserve"> Directive, Article </w:t>
      </w:r>
      <w:r w:rsidR="004279BB" w:rsidRPr="00DC621B">
        <w:rPr>
          <w:rFonts w:eastAsia="Calibri"/>
          <w:noProof/>
        </w:rPr>
        <w:t xml:space="preserve">52 </w:t>
      </w:r>
      <w:r w:rsidRPr="00DC621B">
        <w:rPr>
          <w:rFonts w:eastAsia="Calibri"/>
          <w:noProof/>
        </w:rPr>
        <w:t>legally obliges the Commission to monitor the application of the Directive and to submit an overall progress report to the European Parliament and the Council. Such monitoring and reporting has been conducted yearly</w:t>
      </w:r>
      <w:r w:rsidRPr="00DC621B">
        <w:rPr>
          <w:rStyle w:val="FootnoteReference"/>
          <w:rFonts w:eastAsia="Calibri"/>
          <w:noProof/>
        </w:rPr>
        <w:footnoteReference w:id="49"/>
      </w:r>
      <w:r w:rsidR="00AD2FD1">
        <w:rPr>
          <w:rFonts w:eastAsia="Calibri"/>
          <w:noProof/>
        </w:rPr>
        <w:t>.</w:t>
      </w:r>
      <w:r w:rsidRPr="00DC621B">
        <w:rPr>
          <w:rFonts w:eastAsia="Calibri"/>
          <w:noProof/>
        </w:rPr>
        <w:t xml:space="preserve"> The findings and conclusions of these reports have fed into the present Evaluation. Moreover, several studies have been conducted by external experts on behalf of the European Commission to assess in detail different aspects of the implication</w:t>
      </w:r>
      <w:r w:rsidR="00B60B24" w:rsidRPr="00DC621B">
        <w:rPr>
          <w:rFonts w:eastAsia="Calibri"/>
          <w:noProof/>
        </w:rPr>
        <w:t>s</w:t>
      </w:r>
      <w:r w:rsidRPr="00DC621B">
        <w:rPr>
          <w:rFonts w:eastAsia="Calibri"/>
          <w:noProof/>
        </w:rPr>
        <w:t xml:space="preserve"> </w:t>
      </w:r>
      <w:r w:rsidR="006A1690" w:rsidRPr="00DC621B">
        <w:rPr>
          <w:rFonts w:eastAsia="Calibri"/>
          <w:noProof/>
        </w:rPr>
        <w:t>o</w:t>
      </w:r>
      <w:r w:rsidRPr="00DC621B">
        <w:rPr>
          <w:rFonts w:eastAsia="Calibri"/>
          <w:noProof/>
        </w:rPr>
        <w:t xml:space="preserve">f the Third Energy Package on the </w:t>
      </w:r>
      <w:r w:rsidR="007F5DB5" w:rsidRPr="00DC621B">
        <w:rPr>
          <w:rFonts w:eastAsia="Calibri"/>
          <w:noProof/>
        </w:rPr>
        <w:t>gas</w:t>
      </w:r>
      <w:r w:rsidRPr="00DC621B">
        <w:rPr>
          <w:rFonts w:eastAsia="Calibri"/>
          <w:noProof/>
        </w:rPr>
        <w:t xml:space="preserve"> market</w:t>
      </w:r>
      <w:r w:rsidRPr="00DC621B">
        <w:rPr>
          <w:rStyle w:val="FootnoteReference"/>
          <w:rFonts w:eastAsia="Calibri"/>
          <w:noProof/>
        </w:rPr>
        <w:footnoteReference w:id="50"/>
      </w:r>
      <w:r w:rsidR="00AD2FD1">
        <w:rPr>
          <w:rFonts w:eastAsia="Calibri"/>
          <w:noProof/>
        </w:rPr>
        <w:t>.</w:t>
      </w:r>
    </w:p>
    <w:p w:rsidR="009310F3" w:rsidRPr="00DC621B" w:rsidRDefault="00F4489B" w:rsidP="00023F90">
      <w:pPr>
        <w:ind w:right="-28"/>
        <w:rPr>
          <w:noProof/>
        </w:rPr>
      </w:pPr>
      <w:r w:rsidRPr="00DC621B">
        <w:rPr>
          <w:rFonts w:eastAsia="Calibri"/>
          <w:noProof/>
        </w:rPr>
        <w:t>The Governance Regulation (EU) 2018/1999</w:t>
      </w:r>
      <w:r w:rsidRPr="00DC621B">
        <w:rPr>
          <w:rStyle w:val="FootnoteReference"/>
          <w:rFonts w:eastAsia="Calibri"/>
          <w:noProof/>
        </w:rPr>
        <w:footnoteReference w:id="51"/>
      </w:r>
      <w:r w:rsidRPr="00DC621B">
        <w:rPr>
          <w:rFonts w:eastAsia="Calibri"/>
          <w:noProof/>
        </w:rPr>
        <w:t xml:space="preserve"> </w:t>
      </w:r>
      <w:r w:rsidRPr="00DC621B">
        <w:rPr>
          <w:noProof/>
        </w:rPr>
        <w:t xml:space="preserve">helps the EU meet its climate and energy policy goals until 2030 and beyond. An important tool are the integrated </w:t>
      </w:r>
      <w:r w:rsidR="001F48E3" w:rsidRPr="00DC621B">
        <w:rPr>
          <w:noProof/>
        </w:rPr>
        <w:t>N</w:t>
      </w:r>
      <w:r w:rsidRPr="00DC621B">
        <w:rPr>
          <w:noProof/>
        </w:rPr>
        <w:t>ational energy and climate plans</w:t>
      </w:r>
      <w:r w:rsidR="001F48E3" w:rsidRPr="00DC621B">
        <w:rPr>
          <w:noProof/>
        </w:rPr>
        <w:t xml:space="preserve"> (NECPs)</w:t>
      </w:r>
      <w:r w:rsidRPr="00DC621B">
        <w:rPr>
          <w:noProof/>
        </w:rPr>
        <w:t xml:space="preserve"> prepared by Member States. </w:t>
      </w:r>
      <w:hyperlink r:id="rId26" w:history="1">
        <w:r w:rsidRPr="00DC621B">
          <w:rPr>
            <w:noProof/>
          </w:rPr>
          <w:t>The plans cover the five dimensions</w:t>
        </w:r>
      </w:hyperlink>
      <w:r w:rsidR="00BD25F6" w:rsidRPr="00DC621B">
        <w:rPr>
          <w:rStyle w:val="FootnoteReference"/>
          <w:rFonts w:eastAsia="Calibri"/>
          <w:noProof/>
        </w:rPr>
        <w:footnoteReference w:id="52"/>
      </w:r>
      <w:r w:rsidRPr="00DC621B">
        <w:rPr>
          <w:rStyle w:val="FootnoteReference"/>
          <w:rFonts w:eastAsia="Calibri"/>
          <w:noProof/>
        </w:rPr>
        <w:t xml:space="preserve"> </w:t>
      </w:r>
      <w:r w:rsidRPr="00DC621B">
        <w:rPr>
          <w:noProof/>
        </w:rPr>
        <w:t>of the Energy Union, based on a common template, including market integration. Member States report on the current situation of their energy markets, relevant objectives and targets in the context of reaching the decarbonisation objective, as well as appropriate policies and measures. The provided information supports the Evaluation of the effectiveness of the Third Gas Package and the identification of issues for which the current rules are no longer sufficiently relevant.</w:t>
      </w:r>
      <w:r w:rsidR="00D44F93" w:rsidRPr="00DC621B">
        <w:rPr>
          <w:noProof/>
        </w:rPr>
        <w:t xml:space="preserve"> In line with the Regulation</w:t>
      </w:r>
      <w:r w:rsidR="00AD2FD1">
        <w:rPr>
          <w:noProof/>
        </w:rPr>
        <w:t>,</w:t>
      </w:r>
      <w:r w:rsidR="00D44F93" w:rsidRPr="00DC621B">
        <w:rPr>
          <w:noProof/>
        </w:rPr>
        <w:t xml:space="preserve"> Member States are also obliged to report biannually to the Commission on the status of implementation of their NECP by means of an integrated progress report covering all five dimension of the Energy Union including market integration. </w:t>
      </w:r>
    </w:p>
    <w:p w:rsidR="004279BB" w:rsidRPr="00DC621B" w:rsidRDefault="00F13D3D" w:rsidP="00130974">
      <w:pPr>
        <w:ind w:right="-28"/>
        <w:rPr>
          <w:rFonts w:eastAsia="Calibri"/>
          <w:noProof/>
        </w:rPr>
      </w:pPr>
      <w:r w:rsidRPr="00DC621B">
        <w:rPr>
          <w:rFonts w:eastAsia="Calibri"/>
          <w:noProof/>
        </w:rPr>
        <w:t>Key</w:t>
      </w:r>
      <w:r w:rsidR="009310F3" w:rsidRPr="00DC621B">
        <w:rPr>
          <w:rFonts w:eastAsia="Calibri"/>
          <w:noProof/>
        </w:rPr>
        <w:t xml:space="preserve"> data (such as raw market data) are based on data </w:t>
      </w:r>
      <w:r w:rsidR="009D2DE2" w:rsidRPr="00DC621B">
        <w:rPr>
          <w:rFonts w:eastAsia="Calibri"/>
          <w:noProof/>
        </w:rPr>
        <w:t xml:space="preserve">provided </w:t>
      </w:r>
      <w:r w:rsidR="009310F3" w:rsidRPr="00DC621B">
        <w:rPr>
          <w:rFonts w:eastAsia="Calibri"/>
          <w:noProof/>
        </w:rPr>
        <w:t xml:space="preserve">by ACER, which acts as primary collector of market data from EU Member States and carries a responsibility to make the data comparable across time and geographies. </w:t>
      </w:r>
      <w:r w:rsidR="004279BB" w:rsidRPr="00DC621B">
        <w:rPr>
          <w:rFonts w:eastAsia="Calibri"/>
          <w:noProof/>
        </w:rPr>
        <w:t>ACER publish</w:t>
      </w:r>
      <w:r w:rsidR="00624198" w:rsidRPr="00DC621B">
        <w:rPr>
          <w:rFonts w:eastAsia="Calibri"/>
          <w:noProof/>
        </w:rPr>
        <w:t>es</w:t>
      </w:r>
      <w:r w:rsidR="004279BB" w:rsidRPr="00DC621B">
        <w:rPr>
          <w:rFonts w:eastAsia="Calibri"/>
          <w:noProof/>
        </w:rPr>
        <w:t xml:space="preserve"> annually a report on the results of the monitoring on the electricity and natural gas </w:t>
      </w:r>
      <w:r w:rsidR="00604152" w:rsidRPr="00DC621B">
        <w:rPr>
          <w:rFonts w:eastAsia="Calibri"/>
          <w:noProof/>
        </w:rPr>
        <w:t xml:space="preserve">markets </w:t>
      </w:r>
      <w:r w:rsidR="004279BB" w:rsidRPr="00DC621B">
        <w:rPr>
          <w:rFonts w:eastAsia="Calibri"/>
          <w:noProof/>
        </w:rPr>
        <w:t>where it identifies any barriers to the completion of the internal markets for electricity and natural gas</w:t>
      </w:r>
      <w:r w:rsidR="004279BB" w:rsidRPr="00DC621B">
        <w:rPr>
          <w:rStyle w:val="FootnoteReference"/>
          <w:rFonts w:eastAsia="Calibri"/>
          <w:noProof/>
        </w:rPr>
        <w:footnoteReference w:id="53"/>
      </w:r>
      <w:r w:rsidR="00AD2FD1">
        <w:rPr>
          <w:rFonts w:eastAsia="Calibri"/>
          <w:noProof/>
        </w:rPr>
        <w:t>.</w:t>
      </w:r>
      <w:r w:rsidR="00510043" w:rsidRPr="00DC621B">
        <w:rPr>
          <w:rFonts w:eastAsia="Calibri"/>
          <w:noProof/>
        </w:rPr>
        <w:t xml:space="preserve"> </w:t>
      </w:r>
      <w:r w:rsidR="00510043" w:rsidRPr="00DC621B">
        <w:rPr>
          <w:noProof/>
        </w:rPr>
        <w:t>The provided information supports the Evaluation of the effectiveness of the Third Gas Package.</w:t>
      </w:r>
    </w:p>
    <w:p w:rsidR="00252275" w:rsidRPr="00DC621B" w:rsidRDefault="00530D8E" w:rsidP="00130974">
      <w:pPr>
        <w:ind w:right="-28"/>
        <w:rPr>
          <w:rFonts w:eastAsia="Calibri"/>
          <w:noProof/>
        </w:rPr>
      </w:pPr>
      <w:r w:rsidRPr="00DC621B">
        <w:rPr>
          <w:noProof/>
        </w:rPr>
        <w:t>The Commission r</w:t>
      </w:r>
      <w:r w:rsidR="00D837D9" w:rsidRPr="00DC621B">
        <w:rPr>
          <w:noProof/>
        </w:rPr>
        <w:t>a</w:t>
      </w:r>
      <w:r w:rsidRPr="00DC621B">
        <w:rPr>
          <w:noProof/>
        </w:rPr>
        <w:t xml:space="preserve">n multiple consultations to inform the EU </w:t>
      </w:r>
      <w:r w:rsidR="00D837D9" w:rsidRPr="00DC621B">
        <w:rPr>
          <w:noProof/>
        </w:rPr>
        <w:t>Communications</w:t>
      </w:r>
      <w:r w:rsidRPr="00DC621B">
        <w:rPr>
          <w:noProof/>
        </w:rPr>
        <w:t xml:space="preserve"> </w:t>
      </w:r>
      <w:r w:rsidR="00D837D9" w:rsidRPr="00DC621B">
        <w:rPr>
          <w:noProof/>
        </w:rPr>
        <w:t>on</w:t>
      </w:r>
      <w:r w:rsidRPr="00DC621B">
        <w:rPr>
          <w:noProof/>
        </w:rPr>
        <w:t xml:space="preserve"> </w:t>
      </w:r>
      <w:r w:rsidR="00D837D9" w:rsidRPr="00DC621B">
        <w:rPr>
          <w:noProof/>
        </w:rPr>
        <w:t>E</w:t>
      </w:r>
      <w:r w:rsidRPr="00DC621B">
        <w:rPr>
          <w:noProof/>
        </w:rPr>
        <w:t xml:space="preserve">nergy </w:t>
      </w:r>
      <w:r w:rsidR="00D837D9" w:rsidRPr="00DC621B">
        <w:rPr>
          <w:noProof/>
        </w:rPr>
        <w:t>S</w:t>
      </w:r>
      <w:r w:rsidRPr="00DC621B">
        <w:rPr>
          <w:noProof/>
        </w:rPr>
        <w:t xml:space="preserve">ystem </w:t>
      </w:r>
      <w:r w:rsidR="00D837D9" w:rsidRPr="00DC621B">
        <w:rPr>
          <w:noProof/>
        </w:rPr>
        <w:t>I</w:t>
      </w:r>
      <w:r w:rsidRPr="00DC621B">
        <w:rPr>
          <w:noProof/>
        </w:rPr>
        <w:t>ntegration</w:t>
      </w:r>
      <w:r w:rsidR="00D837D9" w:rsidRPr="00DC621B">
        <w:rPr>
          <w:noProof/>
        </w:rPr>
        <w:t xml:space="preserve"> and the Hydrogen Strategy, respectively</w:t>
      </w:r>
      <w:r w:rsidRPr="00DC621B">
        <w:rPr>
          <w:noProof/>
        </w:rPr>
        <w:t>. The consultation responses covered aspects relevant for the revision of the gas market regulatory framework and for the integration of the gas sector into an integrated energy system</w:t>
      </w:r>
      <w:r w:rsidRPr="00DC621B">
        <w:rPr>
          <w:rStyle w:val="FootnoteReference"/>
          <w:rFonts w:eastAsia="Calibri"/>
          <w:noProof/>
        </w:rPr>
        <w:footnoteReference w:id="54"/>
      </w:r>
      <w:r w:rsidR="00AD2FD1">
        <w:rPr>
          <w:noProof/>
        </w:rPr>
        <w:t>.</w:t>
      </w:r>
      <w:r w:rsidR="00252275" w:rsidRPr="00DC621B">
        <w:rPr>
          <w:rFonts w:eastAsia="Calibri"/>
          <w:noProof/>
        </w:rPr>
        <w:t xml:space="preserve"> The consultation in May and June 2020 on </w:t>
      </w:r>
      <w:r w:rsidR="00C15BAA">
        <w:rPr>
          <w:rFonts w:eastAsia="Calibri"/>
          <w:noProof/>
        </w:rPr>
        <w:t>‘</w:t>
      </w:r>
      <w:r w:rsidR="00252275" w:rsidRPr="00DC621B">
        <w:rPr>
          <w:rFonts w:eastAsia="Calibri"/>
          <w:noProof/>
        </w:rPr>
        <w:t>An EU Smart Sector Integration Strategy</w:t>
      </w:r>
      <w:r w:rsidR="00C15BAA">
        <w:rPr>
          <w:rFonts w:eastAsia="Calibri"/>
          <w:noProof/>
        </w:rPr>
        <w:t>’</w:t>
      </w:r>
      <w:r w:rsidR="00252275" w:rsidRPr="00DC621B">
        <w:rPr>
          <w:rStyle w:val="FootnoteReference"/>
          <w:rFonts w:eastAsia="Calibri"/>
          <w:noProof/>
        </w:rPr>
        <w:footnoteReference w:id="55"/>
      </w:r>
      <w:r w:rsidR="00252275" w:rsidRPr="00DC621B">
        <w:rPr>
          <w:rFonts w:eastAsia="Calibri"/>
          <w:noProof/>
        </w:rPr>
        <w:t xml:space="preserve">, based on a roadmap, received 156 </w:t>
      </w:r>
      <w:r w:rsidR="00252275" w:rsidRPr="00DC621B">
        <w:rPr>
          <w:noProof/>
        </w:rPr>
        <w:t>responses</w:t>
      </w:r>
      <w:r w:rsidR="00252275" w:rsidRPr="00DC621B">
        <w:rPr>
          <w:rFonts w:eastAsia="Calibri"/>
          <w:noProof/>
        </w:rPr>
        <w:t xml:space="preserve">. </w:t>
      </w:r>
    </w:p>
    <w:p w:rsidR="00A0325D" w:rsidRPr="00DC621B" w:rsidRDefault="00530D8E" w:rsidP="00130974">
      <w:pPr>
        <w:ind w:right="-28"/>
        <w:rPr>
          <w:rFonts w:eastAsia="Calibri"/>
          <w:noProof/>
        </w:rPr>
      </w:pPr>
      <w:r w:rsidRPr="00DC621B">
        <w:rPr>
          <w:rFonts w:eastAsia="Calibri"/>
          <w:noProof/>
        </w:rPr>
        <w:t>The Commission also organised a stakeholder consultation</w:t>
      </w:r>
      <w:r w:rsidRPr="00DC621B">
        <w:rPr>
          <w:rStyle w:val="FootnoteReference"/>
          <w:rFonts w:eastAsia="Calibri"/>
          <w:noProof/>
        </w:rPr>
        <w:footnoteReference w:id="56"/>
      </w:r>
      <w:r w:rsidRPr="00DC621B">
        <w:rPr>
          <w:rFonts w:eastAsia="Calibri"/>
          <w:noProof/>
        </w:rPr>
        <w:t xml:space="preserve"> on the review of the Renewable Energy Directive (Directive 2018/2001/EU) </w:t>
      </w:r>
      <w:r w:rsidR="00157139" w:rsidRPr="00DC621B">
        <w:rPr>
          <w:rFonts w:eastAsia="Calibri"/>
          <w:noProof/>
        </w:rPr>
        <w:t>between 17 November 2020 and</w:t>
      </w:r>
      <w:r w:rsidR="00A0325D" w:rsidRPr="00DC621B">
        <w:rPr>
          <w:rFonts w:eastAsia="Calibri"/>
          <w:noProof/>
        </w:rPr>
        <w:t xml:space="preserve"> 09 February 2021.</w:t>
      </w:r>
    </w:p>
    <w:p w:rsidR="00CF1B8E" w:rsidRPr="00DC621B" w:rsidRDefault="00CF1B8E" w:rsidP="00130974">
      <w:pPr>
        <w:ind w:right="-28"/>
        <w:rPr>
          <w:noProof/>
        </w:rPr>
      </w:pPr>
      <w:r w:rsidRPr="00DC621B">
        <w:rPr>
          <w:noProof/>
        </w:rPr>
        <w:t xml:space="preserve">The Commission’s public consultation on the Inception Impact </w:t>
      </w:r>
      <w:r w:rsidRPr="00AD38A1">
        <w:rPr>
          <w:noProof/>
        </w:rPr>
        <w:t>Assessment</w:t>
      </w:r>
      <w:r w:rsidRPr="00AD38A1">
        <w:rPr>
          <w:rStyle w:val="FootnoteReference"/>
          <w:noProof/>
        </w:rPr>
        <w:footnoteReference w:id="57"/>
      </w:r>
      <w:r w:rsidRPr="00AD38A1">
        <w:rPr>
          <w:noProof/>
        </w:rPr>
        <w:t xml:space="preserve"> for the </w:t>
      </w:r>
      <w:r w:rsidR="00AD38A1" w:rsidRPr="00AD38A1">
        <w:rPr>
          <w:noProof/>
        </w:rPr>
        <w:t>‘</w:t>
      </w:r>
      <w:r w:rsidRPr="009D744A">
        <w:rPr>
          <w:noProof/>
        </w:rPr>
        <w:t>Revision of EU rules on Hydrogen and Gas Market Decarbonisation Package</w:t>
      </w:r>
      <w:r w:rsidR="00AD38A1" w:rsidRPr="009D744A">
        <w:rPr>
          <w:noProof/>
        </w:rPr>
        <w:t>’</w:t>
      </w:r>
      <w:r w:rsidRPr="00AD38A1">
        <w:rPr>
          <w:rStyle w:val="FootnoteReference"/>
          <w:noProof/>
        </w:rPr>
        <w:footnoteReference w:id="58"/>
      </w:r>
      <w:r w:rsidRPr="00AD38A1">
        <w:rPr>
          <w:noProof/>
        </w:rPr>
        <w:t xml:space="preserve"> wa</w:t>
      </w:r>
      <w:r w:rsidRPr="00DC621B">
        <w:rPr>
          <w:noProof/>
        </w:rPr>
        <w:t xml:space="preserve">s open between 10 February and 10 March 2021 and received altogether 128 replies on the </w:t>
      </w:r>
      <w:r w:rsidR="00071243" w:rsidRPr="00DC621B">
        <w:rPr>
          <w:i/>
          <w:noProof/>
        </w:rPr>
        <w:t>‘</w:t>
      </w:r>
      <w:r w:rsidR="00AD2FD1" w:rsidRPr="00C134D1">
        <w:rPr>
          <w:noProof/>
        </w:rPr>
        <w:t>H</w:t>
      </w:r>
      <w:r w:rsidRPr="00C134D1">
        <w:rPr>
          <w:noProof/>
        </w:rPr>
        <w:t>ave your say</w:t>
      </w:r>
      <w:r w:rsidR="00071243" w:rsidRPr="00C134D1">
        <w:rPr>
          <w:noProof/>
        </w:rPr>
        <w:t>’</w:t>
      </w:r>
      <w:r w:rsidRPr="00C15BAA">
        <w:rPr>
          <w:noProof/>
        </w:rPr>
        <w:t xml:space="preserve"> platform of the European Commission. These were divided between</w:t>
      </w:r>
      <w:r w:rsidRPr="00DC621B">
        <w:rPr>
          <w:noProof/>
        </w:rPr>
        <w:t xml:space="preserve"> 113 business/industry representatives (companies and associations), five NGOs, two think-thanks, two NRA representatives (one national regulatory authority and the European association of NRAs), one European consumer association (BEUC), one national authority (non-EU Member State)</w:t>
      </w:r>
      <w:r w:rsidRPr="00DC621B">
        <w:rPr>
          <w:rStyle w:val="FootnoteReference"/>
          <w:noProof/>
        </w:rPr>
        <w:footnoteReference w:id="59"/>
      </w:r>
      <w:r w:rsidRPr="00DC621B">
        <w:rPr>
          <w:noProof/>
        </w:rPr>
        <w:t>, one research entity, one national trade union and the Energy Community Secretariat and one EU citizen. Within the industry group, we received responses from 30 national industry and business associations and 26 European industry and business associations (representing gas infrastructure operators, energy companies, industrial gas end-users, gas end-use appliance manufacturers, hydrogen industry and traders). Gas infrastructure operators were the group strongest represented (15 gas TSOs and their associations, five gas DSOs and their associations and one gas storage system operator).</w:t>
      </w:r>
    </w:p>
    <w:p w:rsidR="00CF1B8E" w:rsidRPr="00DC621B" w:rsidRDefault="00CF1B8E" w:rsidP="00130974">
      <w:pPr>
        <w:ind w:right="-28"/>
        <w:rPr>
          <w:noProof/>
        </w:rPr>
      </w:pPr>
      <w:r w:rsidRPr="00DC621B">
        <w:rPr>
          <w:noProof/>
        </w:rPr>
        <w:t>Stakeholders expressed general agreement with the Commission’s plan to revise the gas legislation (Gas Directive and Gas Regulation) and consider legislative proposals for the regulation of hydrogen infrastructure as a key element for achieving the increased greenhouse gas emissions reduction targets and to implement the European Green Deal.</w:t>
      </w:r>
    </w:p>
    <w:p w:rsidR="009310F3" w:rsidRPr="00DC621B" w:rsidRDefault="009310F3" w:rsidP="00130974">
      <w:pPr>
        <w:ind w:right="-28"/>
        <w:rPr>
          <w:noProof/>
        </w:rPr>
      </w:pPr>
      <w:r w:rsidRPr="00DC621B">
        <w:rPr>
          <w:rFonts w:eastAsia="Calibri"/>
          <w:noProof/>
        </w:rPr>
        <w:t xml:space="preserve">In addition, </w:t>
      </w:r>
      <w:r w:rsidR="00F13D3D" w:rsidRPr="00DC621B">
        <w:rPr>
          <w:rFonts w:eastAsia="Calibri"/>
          <w:noProof/>
        </w:rPr>
        <w:t>a</w:t>
      </w:r>
      <w:r w:rsidRPr="00DC621B">
        <w:rPr>
          <w:rFonts w:eastAsia="Calibri"/>
          <w:noProof/>
        </w:rPr>
        <w:t xml:space="preserve"> specific </w:t>
      </w:r>
      <w:r w:rsidR="00F13D3D" w:rsidRPr="00DC621B">
        <w:rPr>
          <w:rFonts w:eastAsia="Calibri"/>
          <w:noProof/>
        </w:rPr>
        <w:t>stakeholder consultation</w:t>
      </w:r>
      <w:r w:rsidRPr="00DC621B">
        <w:rPr>
          <w:noProof/>
          <w:vertAlign w:val="superscript"/>
        </w:rPr>
        <w:footnoteReference w:id="60"/>
      </w:r>
      <w:r w:rsidRPr="00DC621B">
        <w:rPr>
          <w:rFonts w:eastAsia="Calibri"/>
          <w:noProof/>
        </w:rPr>
        <w:t xml:space="preserve"> </w:t>
      </w:r>
      <w:r w:rsidR="00F13D3D" w:rsidRPr="00DC621B">
        <w:rPr>
          <w:rFonts w:eastAsia="Calibri"/>
          <w:noProof/>
        </w:rPr>
        <w:t>was</w:t>
      </w:r>
      <w:r w:rsidRPr="00DC621B">
        <w:rPr>
          <w:rFonts w:eastAsia="Calibri"/>
          <w:noProof/>
        </w:rPr>
        <w:t xml:space="preserve"> </w:t>
      </w:r>
      <w:r w:rsidR="00CF1B8E" w:rsidRPr="00DC621B">
        <w:rPr>
          <w:rFonts w:eastAsia="Calibri"/>
          <w:noProof/>
        </w:rPr>
        <w:t xml:space="preserve">open between </w:t>
      </w:r>
      <w:r w:rsidR="004C66A2" w:rsidRPr="00DC621B">
        <w:rPr>
          <w:rFonts w:eastAsia="Calibri"/>
          <w:noProof/>
        </w:rPr>
        <w:t>26 Ma</w:t>
      </w:r>
      <w:r w:rsidR="00CF1B8E" w:rsidRPr="00DC621B">
        <w:rPr>
          <w:rFonts w:eastAsia="Calibri"/>
          <w:noProof/>
        </w:rPr>
        <w:t>r</w:t>
      </w:r>
      <w:r w:rsidR="004C66A2" w:rsidRPr="00DC621B">
        <w:rPr>
          <w:rFonts w:eastAsia="Calibri"/>
          <w:noProof/>
        </w:rPr>
        <w:t xml:space="preserve">ch </w:t>
      </w:r>
      <w:r w:rsidR="00CF1B8E" w:rsidRPr="00DC621B">
        <w:rPr>
          <w:rFonts w:eastAsia="Calibri"/>
          <w:noProof/>
        </w:rPr>
        <w:t xml:space="preserve">and 18 June </w:t>
      </w:r>
      <w:r w:rsidR="004C66A2" w:rsidRPr="00DC621B">
        <w:rPr>
          <w:rFonts w:eastAsia="Calibri"/>
          <w:noProof/>
        </w:rPr>
        <w:t>2021</w:t>
      </w:r>
      <w:r w:rsidRPr="00DC621B">
        <w:rPr>
          <w:rFonts w:eastAsia="Calibri"/>
          <w:noProof/>
        </w:rPr>
        <w:t xml:space="preserve"> in the form of a </w:t>
      </w:r>
      <w:r w:rsidR="009A7BF3" w:rsidRPr="00DC621B">
        <w:rPr>
          <w:rFonts w:eastAsia="Calibri"/>
          <w:noProof/>
        </w:rPr>
        <w:t xml:space="preserve">questionnaire </w:t>
      </w:r>
      <w:r w:rsidRPr="00DC621B">
        <w:rPr>
          <w:rFonts w:eastAsia="Calibri"/>
          <w:noProof/>
        </w:rPr>
        <w:t xml:space="preserve">on the future initiative on </w:t>
      </w:r>
      <w:r w:rsidR="00F13D3D" w:rsidRPr="00DC621B">
        <w:rPr>
          <w:rFonts w:eastAsia="Calibri"/>
          <w:noProof/>
        </w:rPr>
        <w:t>gas</w:t>
      </w:r>
      <w:r w:rsidRPr="00DC621B">
        <w:rPr>
          <w:rFonts w:eastAsia="Calibri"/>
          <w:noProof/>
        </w:rPr>
        <w:t xml:space="preserve"> market design</w:t>
      </w:r>
      <w:r w:rsidR="00F13D3D" w:rsidRPr="00DC621B">
        <w:rPr>
          <w:noProof/>
        </w:rPr>
        <w:t xml:space="preserve">. </w:t>
      </w:r>
      <w:r w:rsidR="00291C73" w:rsidRPr="00DC621B">
        <w:rPr>
          <w:noProof/>
        </w:rPr>
        <w:t>Th</w:t>
      </w:r>
      <w:r w:rsidR="009A7BF3" w:rsidRPr="00DC621B">
        <w:rPr>
          <w:noProof/>
        </w:rPr>
        <w:t>is</w:t>
      </w:r>
      <w:r w:rsidR="00216EFC" w:rsidRPr="00DC621B">
        <w:rPr>
          <w:noProof/>
        </w:rPr>
        <w:t xml:space="preserve"> </w:t>
      </w:r>
      <w:r w:rsidRPr="00DC621B">
        <w:rPr>
          <w:noProof/>
        </w:rPr>
        <w:t xml:space="preserve">wide public consultation </w:t>
      </w:r>
      <w:r w:rsidR="00CF1B8E" w:rsidRPr="00DC621B">
        <w:rPr>
          <w:noProof/>
        </w:rPr>
        <w:t>gathered the views of</w:t>
      </w:r>
      <w:r w:rsidRPr="00DC621B">
        <w:rPr>
          <w:noProof/>
        </w:rPr>
        <w:t xml:space="preserve"> EU and Member States</w:t>
      </w:r>
      <w:r w:rsidR="00C62407">
        <w:rPr>
          <w:noProof/>
        </w:rPr>
        <w:t>’</w:t>
      </w:r>
      <w:r w:rsidRPr="00DC621B">
        <w:rPr>
          <w:noProof/>
        </w:rPr>
        <w:t xml:space="preserve"> authorities, energy market participants and their associations, SMEs, energy consumers, NGOs, </w:t>
      </w:r>
      <w:r w:rsidR="00CF1B8E" w:rsidRPr="00DC621B">
        <w:rPr>
          <w:noProof/>
        </w:rPr>
        <w:t>academia, international organisations, representatives of civil societies</w:t>
      </w:r>
      <w:r w:rsidRPr="00DC621B">
        <w:rPr>
          <w:noProof/>
        </w:rPr>
        <w:t xml:space="preserve"> and citizens. The public consultation on </w:t>
      </w:r>
      <w:r w:rsidR="00F36B3B" w:rsidRPr="00DC621B">
        <w:rPr>
          <w:noProof/>
        </w:rPr>
        <w:t xml:space="preserve">the revision of the gas market regulatory framework </w:t>
      </w:r>
      <w:r w:rsidRPr="00DC621B">
        <w:rPr>
          <w:noProof/>
        </w:rPr>
        <w:t>aimed at obtaining stakeholder</w:t>
      </w:r>
      <w:r w:rsidR="00C62407">
        <w:rPr>
          <w:noProof/>
        </w:rPr>
        <w:t>’</w:t>
      </w:r>
      <w:r w:rsidRPr="00DC621B">
        <w:rPr>
          <w:noProof/>
        </w:rPr>
        <w:t xml:space="preserve">s views on how fit the current regulatory framework is to meet the </w:t>
      </w:r>
      <w:r w:rsidR="00F36B3B" w:rsidRPr="00DC621B">
        <w:rPr>
          <w:noProof/>
        </w:rPr>
        <w:t xml:space="preserve">energy transition </w:t>
      </w:r>
      <w:r w:rsidRPr="00DC621B">
        <w:rPr>
          <w:noProof/>
        </w:rPr>
        <w:t xml:space="preserve">challenges that the market faces and on how the issues may need to be addressed in a </w:t>
      </w:r>
      <w:r w:rsidR="00F36B3B" w:rsidRPr="00DC621B">
        <w:rPr>
          <w:noProof/>
        </w:rPr>
        <w:t xml:space="preserve">revision </w:t>
      </w:r>
      <w:r w:rsidRPr="00DC621B">
        <w:rPr>
          <w:noProof/>
          <w:lang w:eastAsia="en-GB"/>
        </w:rPr>
        <w:t>of</w:t>
      </w:r>
      <w:r w:rsidRPr="00DC621B">
        <w:rPr>
          <w:noProof/>
        </w:rPr>
        <w:t xml:space="preserve"> the European </w:t>
      </w:r>
      <w:r w:rsidR="00F13D3D" w:rsidRPr="00DC621B">
        <w:rPr>
          <w:noProof/>
        </w:rPr>
        <w:t>gas</w:t>
      </w:r>
      <w:r w:rsidRPr="00DC621B">
        <w:rPr>
          <w:noProof/>
        </w:rPr>
        <w:t xml:space="preserve"> market</w:t>
      </w:r>
      <w:r w:rsidR="00F36B3B" w:rsidRPr="00DC621B">
        <w:rPr>
          <w:noProof/>
        </w:rPr>
        <w:t xml:space="preserve"> regulation</w:t>
      </w:r>
      <w:r w:rsidRPr="00DC621B">
        <w:rPr>
          <w:noProof/>
        </w:rPr>
        <w:t xml:space="preserve">. </w:t>
      </w:r>
    </w:p>
    <w:p w:rsidR="009310F3" w:rsidRPr="00DC621B" w:rsidRDefault="00EB28D3" w:rsidP="00EB28D3">
      <w:pPr>
        <w:pStyle w:val="FootnoteText"/>
        <w:rPr>
          <w:noProof/>
        </w:rPr>
      </w:pPr>
      <w:bookmarkStart w:id="217" w:name="_Toc454961016"/>
      <w:bookmarkStart w:id="218" w:name="_Toc448481322"/>
      <w:bookmarkStart w:id="219" w:name="_Toc448482448"/>
      <w:bookmarkStart w:id="220" w:name="_Toc448500389"/>
      <w:bookmarkStart w:id="221" w:name="_Toc448416250"/>
      <w:bookmarkStart w:id="222" w:name="_Toc448481326"/>
      <w:bookmarkStart w:id="223" w:name="_Toc448482452"/>
      <w:bookmarkStart w:id="224" w:name="_Toc454961031"/>
      <w:bookmarkStart w:id="225" w:name="_Toc454961033"/>
      <w:bookmarkStart w:id="226" w:name="_Toc454961034"/>
      <w:bookmarkStart w:id="227" w:name="_Toc454961038"/>
      <w:bookmarkStart w:id="228" w:name="_Toc454961039"/>
      <w:bookmarkStart w:id="229" w:name="_Toc454961041"/>
      <w:bookmarkStart w:id="230" w:name="_Toc455064643"/>
      <w:bookmarkStart w:id="231" w:name="_Toc455070085"/>
      <w:bookmarkStart w:id="232" w:name="_Toc455073991"/>
      <w:bookmarkStart w:id="233" w:name="_Toc455074320"/>
      <w:bookmarkStart w:id="234" w:name="_Toc455081999"/>
      <w:bookmarkStart w:id="235" w:name="_Toc455082091"/>
      <w:bookmarkStart w:id="236" w:name="_Toc455082963"/>
      <w:bookmarkStart w:id="237" w:name="_Toc455134312"/>
      <w:bookmarkStart w:id="238" w:name="_Toc455148836"/>
      <w:bookmarkStart w:id="239" w:name="_Toc455156721"/>
      <w:bookmarkStart w:id="240" w:name="_Toc455156877"/>
      <w:bookmarkStart w:id="241" w:name="_Toc455160047"/>
      <w:bookmarkStart w:id="242" w:name="_Toc456772821"/>
      <w:bookmarkStart w:id="243" w:name="_Toc76743536"/>
      <w:bookmarkStart w:id="244" w:name="_Toc77590797"/>
      <w:bookmarkStart w:id="245" w:name="_Toc77600955"/>
      <w:bookmarkStart w:id="246" w:name="_Toc77682213"/>
      <w:bookmarkStart w:id="247" w:name="_Toc89688258"/>
      <w:bookmarkStart w:id="248" w:name="_Toc89882321"/>
      <w:bookmarkEnd w:id="217"/>
      <w:bookmarkEnd w:id="218"/>
      <w:bookmarkEnd w:id="219"/>
      <w:bookmarkEnd w:id="220"/>
      <w:bookmarkEnd w:id="221"/>
      <w:bookmarkEnd w:id="222"/>
      <w:bookmarkEnd w:id="223"/>
      <w:bookmarkEnd w:id="224"/>
      <w:bookmarkEnd w:id="225"/>
      <w:bookmarkEnd w:id="226"/>
      <w:bookmarkEnd w:id="227"/>
      <w:bookmarkEnd w:id="228"/>
      <w:bookmarkEnd w:id="229"/>
      <w:r w:rsidRPr="00EB28D3">
        <w:t>5.</w:t>
      </w:r>
      <w:r w:rsidRPr="00EB28D3">
        <w:tab/>
      </w:r>
      <w:r w:rsidR="009310F3" w:rsidRPr="00DC621B">
        <w:rPr>
          <w:noProof/>
        </w:rPr>
        <w:t>Implementation of the initiatives and state of play</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9310F3" w:rsidRPr="00DC621B" w:rsidRDefault="009310F3">
      <w:pPr>
        <w:rPr>
          <w:noProof/>
        </w:rPr>
      </w:pPr>
      <w:r w:rsidRPr="00DC621B">
        <w:rPr>
          <w:noProof/>
        </w:rPr>
        <w:t>Given the complex nature of the Third Energy Package, the Commission has assisted Member States in the process of the implementation of the new rules, e.g. by discussing draft legislative measures and implementation solutions with the national governments and regulators (as well as with ACER, ENTSO</w:t>
      </w:r>
      <w:r w:rsidR="00236F93" w:rsidRPr="00DC621B">
        <w:rPr>
          <w:noProof/>
        </w:rPr>
        <w:t>G</w:t>
      </w:r>
      <w:r w:rsidRPr="00DC621B">
        <w:rPr>
          <w:noProof/>
        </w:rPr>
        <w:t xml:space="preserve"> and other stakeholders) on an on-going basis since its adoption. This intensive implementation cooperation has proven efficient to prevent deficiencies at national level at an early stage as well as to resolve existing incompatibilities between national and EU legislation. In order to facilitate the implementation of the Third Energy Package, the Commission has also issued a number of interpretative notes, providing guidance to national authorities and stakeholders concerned</w:t>
      </w:r>
      <w:r w:rsidRPr="00DC621B">
        <w:rPr>
          <w:noProof/>
          <w:vertAlign w:val="superscript"/>
        </w:rPr>
        <w:footnoteReference w:id="61"/>
      </w:r>
      <w:r w:rsidR="00C15BAA">
        <w:rPr>
          <w:noProof/>
        </w:rPr>
        <w:t>.</w:t>
      </w:r>
      <w:r w:rsidRPr="00DC621B">
        <w:rPr>
          <w:noProof/>
        </w:rPr>
        <w:t xml:space="preserve"> </w:t>
      </w:r>
    </w:p>
    <w:p w:rsidR="009310F3" w:rsidRPr="00DC621B" w:rsidRDefault="009310F3">
      <w:pPr>
        <w:rPr>
          <w:noProof/>
        </w:rPr>
      </w:pPr>
      <w:r w:rsidRPr="00DC621B">
        <w:rPr>
          <w:noProof/>
        </w:rPr>
        <w:t>In a first step (</w:t>
      </w:r>
      <w:r w:rsidR="006C0D42" w:rsidRPr="00DC621B">
        <w:rPr>
          <w:noProof/>
        </w:rPr>
        <w:t>‘</w:t>
      </w:r>
      <w:r w:rsidRPr="00C134D1">
        <w:rPr>
          <w:b/>
          <w:noProof/>
        </w:rPr>
        <w:t>transposition checks</w:t>
      </w:r>
      <w:r w:rsidR="006C0D42" w:rsidRPr="00C134D1">
        <w:rPr>
          <w:b/>
          <w:noProof/>
        </w:rPr>
        <w:t>’</w:t>
      </w:r>
      <w:r w:rsidRPr="00DC621B">
        <w:rPr>
          <w:noProof/>
        </w:rPr>
        <w:t>), the Commission</w:t>
      </w:r>
      <w:r w:rsidR="00BA3A87" w:rsidRPr="00DC621B">
        <w:rPr>
          <w:noProof/>
        </w:rPr>
        <w:t xml:space="preserve"> opened 19 infringement proceedings against 19 Member States to ensure full transposition of the </w:t>
      </w:r>
      <w:r w:rsidR="005F7192" w:rsidRPr="00DC621B">
        <w:rPr>
          <w:noProof/>
        </w:rPr>
        <w:t>Gas</w:t>
      </w:r>
      <w:r w:rsidR="00BA3A87" w:rsidRPr="00DC621B">
        <w:rPr>
          <w:noProof/>
        </w:rPr>
        <w:t xml:space="preserve"> Directive between September and November 2011. Non-resolved cases were followed up in 2012-2013 by sending reasoned opinions and referrals to Court. At present, all of the infringement proceedings for partial transposition of the </w:t>
      </w:r>
      <w:r w:rsidR="005F7192" w:rsidRPr="00DC621B">
        <w:rPr>
          <w:noProof/>
        </w:rPr>
        <w:t>Gas</w:t>
      </w:r>
      <w:r w:rsidR="00BA3A87" w:rsidRPr="00DC621B">
        <w:rPr>
          <w:noProof/>
        </w:rPr>
        <w:t xml:space="preserve"> Directive have been closed as the Member States achieved full transposition in the course of the proceedings. </w:t>
      </w:r>
    </w:p>
    <w:p w:rsidR="002F15AB" w:rsidRPr="00DC621B" w:rsidRDefault="009310F3">
      <w:pPr>
        <w:rPr>
          <w:noProof/>
        </w:rPr>
      </w:pPr>
      <w:r w:rsidRPr="00DC621B">
        <w:rPr>
          <w:noProof/>
        </w:rPr>
        <w:t>In a second step (</w:t>
      </w:r>
      <w:r w:rsidR="006C0D42" w:rsidRPr="00DC621B">
        <w:rPr>
          <w:noProof/>
        </w:rPr>
        <w:t>‘</w:t>
      </w:r>
      <w:r w:rsidRPr="00C134D1">
        <w:rPr>
          <w:b/>
          <w:noProof/>
        </w:rPr>
        <w:t>non-conformity checks</w:t>
      </w:r>
      <w:r w:rsidR="006C0D42" w:rsidRPr="00C134D1">
        <w:rPr>
          <w:b/>
          <w:noProof/>
        </w:rPr>
        <w:t>’</w:t>
      </w:r>
      <w:r w:rsidRPr="00DC621B">
        <w:rPr>
          <w:noProof/>
        </w:rPr>
        <w:t xml:space="preserve">), focus has been put on possible incorrect transpositions or EU law incompatible application of the Third </w:t>
      </w:r>
      <w:r w:rsidR="00236F93" w:rsidRPr="00DC621B">
        <w:rPr>
          <w:noProof/>
        </w:rPr>
        <w:t>Gas</w:t>
      </w:r>
      <w:r w:rsidRPr="00DC621B">
        <w:rPr>
          <w:noProof/>
        </w:rPr>
        <w:t xml:space="preserve"> Package. Priority was given to violations having the highest impact on the functioning of the internal market, e.g. incomplete unbundling of transmission activities from production or supply, violations of the principle of independence of national regulators, or disregard of consumer protection rules. On this basis, the Commission opened so-called </w:t>
      </w:r>
      <w:r w:rsidR="006C0D42" w:rsidRPr="00DC621B">
        <w:rPr>
          <w:noProof/>
        </w:rPr>
        <w:t>‘</w:t>
      </w:r>
      <w:r w:rsidRPr="00DC621B">
        <w:rPr>
          <w:noProof/>
        </w:rPr>
        <w:t>EU-Pilot</w:t>
      </w:r>
      <w:r w:rsidR="006C0D42" w:rsidRPr="00DC621B">
        <w:rPr>
          <w:noProof/>
        </w:rPr>
        <w:t>’</w:t>
      </w:r>
      <w:r w:rsidRPr="00DC621B">
        <w:rPr>
          <w:noProof/>
        </w:rPr>
        <w:t xml:space="preserve"> cases against a number of Member States</w:t>
      </w:r>
      <w:r w:rsidRPr="00DC621B">
        <w:rPr>
          <w:rStyle w:val="FootnoteReference"/>
          <w:noProof/>
        </w:rPr>
        <w:footnoteReference w:id="62"/>
      </w:r>
      <w:r w:rsidRPr="00DC621B">
        <w:rPr>
          <w:noProof/>
        </w:rPr>
        <w:t xml:space="preserve">. In parallel, it carried out a structured dialogue with the Member States so as to resolve the identified implementation problems. In many cases, such dialogue with national governments has brought satisfactory solutions and the </w:t>
      </w:r>
      <w:r w:rsidR="006C0D42" w:rsidRPr="00DC621B">
        <w:rPr>
          <w:noProof/>
        </w:rPr>
        <w:t>‘</w:t>
      </w:r>
      <w:r w:rsidRPr="00DC621B">
        <w:rPr>
          <w:noProof/>
        </w:rPr>
        <w:t>EU-Pilot</w:t>
      </w:r>
      <w:r w:rsidR="006C0D42" w:rsidRPr="00DC621B">
        <w:rPr>
          <w:noProof/>
        </w:rPr>
        <w:t>’</w:t>
      </w:r>
      <w:r w:rsidRPr="00DC621B">
        <w:rPr>
          <w:noProof/>
        </w:rPr>
        <w:t xml:space="preserve"> cases could be closed. However, as of </w:t>
      </w:r>
      <w:r w:rsidR="005A1826" w:rsidRPr="00DC621B">
        <w:rPr>
          <w:noProof/>
        </w:rPr>
        <w:t>9 November 2020</w:t>
      </w:r>
      <w:r w:rsidRPr="00DC621B">
        <w:rPr>
          <w:noProof/>
        </w:rPr>
        <w:t xml:space="preserve">, </w:t>
      </w:r>
      <w:r w:rsidR="006D0189">
        <w:rPr>
          <w:noProof/>
        </w:rPr>
        <w:t>seven</w:t>
      </w:r>
      <w:r w:rsidR="005A1826" w:rsidRPr="00DC621B">
        <w:rPr>
          <w:noProof/>
        </w:rPr>
        <w:t xml:space="preserve"> </w:t>
      </w:r>
      <w:r w:rsidRPr="00DC621B">
        <w:rPr>
          <w:noProof/>
        </w:rPr>
        <w:t xml:space="preserve">of these EU Pilot cases have resulted in infringement procedures where, </w:t>
      </w:r>
      <w:r w:rsidRPr="00DC621B">
        <w:rPr>
          <w:i/>
          <w:iCs/>
          <w:noProof/>
        </w:rPr>
        <w:t>inter alia</w:t>
      </w:r>
      <w:r w:rsidRPr="00DC621B">
        <w:rPr>
          <w:noProof/>
        </w:rPr>
        <w:t xml:space="preserve">, violation of EU </w:t>
      </w:r>
      <w:r w:rsidR="005D3023" w:rsidRPr="00DC621B">
        <w:rPr>
          <w:noProof/>
        </w:rPr>
        <w:t>gas</w:t>
      </w:r>
      <w:r w:rsidRPr="00DC621B">
        <w:rPr>
          <w:noProof/>
        </w:rPr>
        <w:t xml:space="preserve"> market rules is at stake.</w:t>
      </w:r>
    </w:p>
    <w:p w:rsidR="009310F3" w:rsidRPr="00DC621B" w:rsidRDefault="009310F3">
      <w:pPr>
        <w:rPr>
          <w:noProof/>
        </w:rPr>
      </w:pPr>
      <w:r w:rsidRPr="00DC621B">
        <w:rPr>
          <w:noProof/>
        </w:rPr>
        <w:t xml:space="preserve">In parallel to these systematic non-conformity procedures, the Commission has also acted on an </w:t>
      </w:r>
      <w:r w:rsidRPr="00DC621B">
        <w:rPr>
          <w:i/>
          <w:iCs/>
          <w:noProof/>
        </w:rPr>
        <w:t>ad hoc</w:t>
      </w:r>
      <w:r w:rsidRPr="00DC621B">
        <w:rPr>
          <w:noProof/>
        </w:rPr>
        <w:t xml:space="preserve"> basis, following up on specific non-conformity problems of which the Commission became aware through complaints from individuals or undertakings, or emanating from contacts with National Regulators or based on the Commission's own assessment. Here again, the Commission first opened EU-Pilot cases against the respective Member States. If the issue raised was not resolved at the EU-pilot phase, the Commission opened an infringement procedure. As of </w:t>
      </w:r>
      <w:r w:rsidR="005A1826" w:rsidRPr="00DC621B">
        <w:rPr>
          <w:noProof/>
        </w:rPr>
        <w:t>9 November 2020</w:t>
      </w:r>
      <w:r w:rsidRPr="00DC621B">
        <w:rPr>
          <w:noProof/>
        </w:rPr>
        <w:t xml:space="preserve">, </w:t>
      </w:r>
      <w:r w:rsidR="002113FF">
        <w:rPr>
          <w:noProof/>
        </w:rPr>
        <w:t>four</w:t>
      </w:r>
      <w:r w:rsidR="005A1826" w:rsidRPr="00DC621B">
        <w:rPr>
          <w:noProof/>
        </w:rPr>
        <w:t xml:space="preserve"> of </w:t>
      </w:r>
      <w:r w:rsidRPr="00DC621B">
        <w:rPr>
          <w:noProof/>
        </w:rPr>
        <w:t xml:space="preserve">such infringement procedures are still pending. </w:t>
      </w:r>
    </w:p>
    <w:p w:rsidR="00D71C36" w:rsidRPr="00DC621B" w:rsidRDefault="00D71C36" w:rsidP="00023F90">
      <w:pPr>
        <w:rPr>
          <w:noProof/>
        </w:rPr>
      </w:pPr>
      <w:r w:rsidRPr="00DC621B">
        <w:rPr>
          <w:noProof/>
        </w:rPr>
        <w:t xml:space="preserve">At the time of writing, some </w:t>
      </w:r>
      <w:r w:rsidR="007058AB" w:rsidRPr="00DC621B">
        <w:rPr>
          <w:noProof/>
        </w:rPr>
        <w:t>type of price intervention for household consumers</w:t>
      </w:r>
      <w:r w:rsidRPr="00DC621B">
        <w:rPr>
          <w:noProof/>
        </w:rPr>
        <w:t xml:space="preserve"> exists in 15</w:t>
      </w:r>
      <w:r w:rsidR="00552C68" w:rsidRPr="00DC621B">
        <w:rPr>
          <w:noProof/>
        </w:rPr>
        <w:t xml:space="preserve"> Member </w:t>
      </w:r>
      <w:r w:rsidRPr="00DC621B">
        <w:rPr>
          <w:noProof/>
        </w:rPr>
        <w:t>States</w:t>
      </w:r>
      <w:r w:rsidRPr="00DC621B">
        <w:rPr>
          <w:rStyle w:val="FootnoteReference"/>
          <w:noProof/>
        </w:rPr>
        <w:footnoteReference w:id="63"/>
      </w:r>
      <w:r w:rsidR="002113FF">
        <w:rPr>
          <w:noProof/>
        </w:rPr>
        <w:t>.</w:t>
      </w:r>
      <w:r w:rsidR="00A74DCF" w:rsidRPr="00DC621B">
        <w:rPr>
          <w:noProof/>
        </w:rPr>
        <w:t xml:space="preserve"> </w:t>
      </w:r>
      <w:r w:rsidRPr="00DC621B">
        <w:rPr>
          <w:noProof/>
        </w:rPr>
        <w:t>A regulated end-user price is considered as a price subject to regulation or control by public authorities (e.g. governments, NRAs), as opposed to being determined exclusively by supply and demand. This definition includes many different forms of price regulation, such as setting or approving prices, stand</w:t>
      </w:r>
      <w:r w:rsidRPr="00DC621B">
        <w:rPr>
          <w:noProof/>
        </w:rPr>
        <w:softHyphen/>
        <w:t xml:space="preserve">ardisation of prices or combinations thereof. </w:t>
      </w:r>
    </w:p>
    <w:p w:rsidR="00D71C36" w:rsidRPr="00DC621B" w:rsidRDefault="00D71C36" w:rsidP="00D71C36">
      <w:pPr>
        <w:rPr>
          <w:noProof/>
        </w:rPr>
      </w:pPr>
      <w:r w:rsidRPr="00DC621B">
        <w:rPr>
          <w:noProof/>
        </w:rPr>
        <w:t xml:space="preserve">Price regulation for </w:t>
      </w:r>
      <w:r w:rsidRPr="00DC621B">
        <w:rPr>
          <w:i/>
          <w:iCs/>
          <w:noProof/>
        </w:rPr>
        <w:t>non-households</w:t>
      </w:r>
      <w:r w:rsidRPr="00DC621B">
        <w:rPr>
          <w:noProof/>
        </w:rPr>
        <w:t xml:space="preserve"> has been challenged via infringements while price regulation for </w:t>
      </w:r>
      <w:r w:rsidRPr="00DC621B">
        <w:rPr>
          <w:i/>
          <w:iCs/>
          <w:noProof/>
        </w:rPr>
        <w:t>households</w:t>
      </w:r>
      <w:r w:rsidRPr="00DC621B">
        <w:rPr>
          <w:noProof/>
          <w:vertAlign w:val="superscript"/>
        </w:rPr>
        <w:footnoteReference w:id="64"/>
      </w:r>
      <w:r w:rsidRPr="00DC621B">
        <w:rPr>
          <w:noProof/>
        </w:rPr>
        <w:t xml:space="preserve"> has not been yet subject to infringement procedures. Price regulation for non-households has been challenged by the Commission as a priority due to the more important market distortion that the regulation of prices for large and potentially most active consumers represents – after all these consumers cover an important amount of energy sold on the market. </w:t>
      </w:r>
    </w:p>
    <w:p w:rsidR="00D71C36" w:rsidRPr="00DC621B" w:rsidRDefault="00D71C36" w:rsidP="00023F90">
      <w:pPr>
        <w:rPr>
          <w:noProof/>
        </w:rPr>
      </w:pPr>
      <w:r w:rsidRPr="00DC621B">
        <w:rPr>
          <w:noProof/>
        </w:rPr>
        <w:t>Regulation in Member States is often justified by social policy objectives and/or lack of conditions for fair competition. Deregulating household prices may be politically unpopular as refocussing the support only to those in need (such as energy poor) would reduce the access of middle and high income groups to the discounted prices. Therefore</w:t>
      </w:r>
      <w:r w:rsidR="002113FF">
        <w:rPr>
          <w:noProof/>
        </w:rPr>
        <w:t>,</w:t>
      </w:r>
      <w:r w:rsidRPr="00DC621B">
        <w:rPr>
          <w:noProof/>
        </w:rPr>
        <w:t xml:space="preserve"> an informal approach via bilateral consultations with Member States was initially preferred to discuss reasonable and sustainable alternatives to price regulation and accompanying measures. However, in the follow-up to informal consultations, the Commission will assess if the conditions for opening infringement actions against price regulation for households are present. </w:t>
      </w:r>
    </w:p>
    <w:p w:rsidR="009310F3" w:rsidRPr="00DC621B" w:rsidRDefault="009310F3" w:rsidP="796E43CC">
      <w:pPr>
        <w:rPr>
          <w:i/>
          <w:iCs/>
          <w:noProof/>
        </w:rPr>
      </w:pPr>
      <w:r w:rsidRPr="00DC621B">
        <w:rPr>
          <w:noProof/>
        </w:rPr>
        <w:t xml:space="preserve">The Commission published a detailed report on its enforcement activities in relation to the Third </w:t>
      </w:r>
      <w:r w:rsidR="00620CDA" w:rsidRPr="00DC621B">
        <w:rPr>
          <w:noProof/>
        </w:rPr>
        <w:t xml:space="preserve">Energy </w:t>
      </w:r>
      <w:r w:rsidRPr="00DC621B">
        <w:rPr>
          <w:noProof/>
        </w:rPr>
        <w:t xml:space="preserve">Package (see the document </w:t>
      </w:r>
      <w:r w:rsidR="006C0D42" w:rsidRPr="00DC621B">
        <w:rPr>
          <w:noProof/>
        </w:rPr>
        <w:t>‘</w:t>
      </w:r>
      <w:r w:rsidRPr="00DC621B">
        <w:rPr>
          <w:noProof/>
        </w:rPr>
        <w:t>Enforcement of the Third Internal Energy Market Package</w:t>
      </w:r>
      <w:r w:rsidRPr="00DC621B">
        <w:rPr>
          <w:i/>
          <w:iCs/>
          <w:noProof/>
        </w:rPr>
        <w:t xml:space="preserve"> </w:t>
      </w:r>
      <w:r w:rsidRPr="00DC621B">
        <w:rPr>
          <w:noProof/>
        </w:rPr>
        <w:t>(SWD(2014) 315 final</w:t>
      </w:r>
      <w:r w:rsidR="006C0D42" w:rsidRPr="00DC621B">
        <w:rPr>
          <w:noProof/>
        </w:rPr>
        <w:t>’</w:t>
      </w:r>
      <w:r w:rsidRPr="00DC621B">
        <w:rPr>
          <w:rStyle w:val="FootnoteReference"/>
          <w:noProof/>
        </w:rPr>
        <w:footnoteReference w:id="65"/>
      </w:r>
      <w:r w:rsidRPr="00DC621B">
        <w:rPr>
          <w:iCs/>
          <w:noProof/>
        </w:rPr>
        <w:t>)</w:t>
      </w:r>
      <w:r w:rsidRPr="00DC621B">
        <w:rPr>
          <w:i/>
          <w:iCs/>
          <w:noProof/>
        </w:rPr>
        <w:t>.</w:t>
      </w:r>
    </w:p>
    <w:p w:rsidR="006A20D9" w:rsidRPr="00DC621B" w:rsidRDefault="009310F3">
      <w:pPr>
        <w:rPr>
          <w:noProof/>
        </w:rPr>
      </w:pPr>
      <w:r w:rsidRPr="00DC621B">
        <w:rPr>
          <w:noProof/>
        </w:rPr>
        <w:t xml:space="preserve">The regulatory framework of the Third Package has also created new Commission competences to verify the implementation of EU market rules. It created a competence for the Commission to provide an opinion on draft decisions of national regulators who have to decide whether national TSOs can be considered as compliant with unbundling rules (so-called </w:t>
      </w:r>
      <w:r w:rsidR="006C0D42" w:rsidRPr="00DC621B">
        <w:rPr>
          <w:noProof/>
        </w:rPr>
        <w:t>‘</w:t>
      </w:r>
      <w:r w:rsidRPr="00DC621B">
        <w:rPr>
          <w:noProof/>
        </w:rPr>
        <w:t>certification</w:t>
      </w:r>
      <w:r w:rsidR="006C0D42" w:rsidRPr="00DC621B">
        <w:rPr>
          <w:noProof/>
        </w:rPr>
        <w:t>’</w:t>
      </w:r>
      <w:r w:rsidRPr="00DC621B">
        <w:rPr>
          <w:noProof/>
        </w:rPr>
        <w:t xml:space="preserve"> of TSOs, </w:t>
      </w:r>
      <w:r w:rsidR="0068042B" w:rsidRPr="00DC621B">
        <w:rPr>
          <w:noProof/>
        </w:rPr>
        <w:t>Articles 10 and 11 of the Gas Directive and Article 3 of the Gas Regulation</w:t>
      </w:r>
      <w:r w:rsidRPr="00DC621B">
        <w:rPr>
          <w:noProof/>
        </w:rPr>
        <w:t xml:space="preserve">). The Commission has provided opinions </w:t>
      </w:r>
      <w:r w:rsidR="0068042B" w:rsidRPr="00DC621B">
        <w:rPr>
          <w:noProof/>
        </w:rPr>
        <w:t xml:space="preserve">on </w:t>
      </w:r>
      <w:r w:rsidRPr="00DC621B">
        <w:rPr>
          <w:noProof/>
        </w:rPr>
        <w:t xml:space="preserve">more than </w:t>
      </w:r>
      <w:r w:rsidR="0068042B" w:rsidRPr="00DC621B">
        <w:rPr>
          <w:noProof/>
        </w:rPr>
        <w:t xml:space="preserve">60 preliminary certifications of TSOs for gas </w:t>
      </w:r>
      <w:r w:rsidRPr="00DC621B">
        <w:rPr>
          <w:noProof/>
        </w:rPr>
        <w:t xml:space="preserve">since </w:t>
      </w:r>
      <w:r w:rsidR="0068042B" w:rsidRPr="00DC621B">
        <w:rPr>
          <w:noProof/>
        </w:rPr>
        <w:t>2012</w:t>
      </w:r>
      <w:r w:rsidRPr="00DC621B">
        <w:rPr>
          <w:noProof/>
        </w:rPr>
        <w:t xml:space="preserve">. The Third Package gave the Commission also the competence to decide on the compatibility of national exemptions from EU rules in case of investments into major new infrastructure (see Article </w:t>
      </w:r>
      <w:r w:rsidR="0068042B" w:rsidRPr="00DC621B">
        <w:rPr>
          <w:noProof/>
        </w:rPr>
        <w:t xml:space="preserve">36 </w:t>
      </w:r>
      <w:r w:rsidR="005D3023" w:rsidRPr="00DC621B">
        <w:rPr>
          <w:noProof/>
        </w:rPr>
        <w:t>Gas</w:t>
      </w:r>
      <w:r w:rsidRPr="00DC621B">
        <w:rPr>
          <w:noProof/>
        </w:rPr>
        <w:t xml:space="preserve"> Regulation). To the extent pertinent, the experience gained from these ex-ante approval procedures will be fed into the </w:t>
      </w:r>
      <w:r w:rsidR="003F6848">
        <w:rPr>
          <w:noProof/>
        </w:rPr>
        <w:t>E</w:t>
      </w:r>
      <w:r w:rsidRPr="00DC621B">
        <w:rPr>
          <w:noProof/>
        </w:rPr>
        <w:t xml:space="preserve">valuation (see </w:t>
      </w:r>
      <w:r w:rsidR="00EC6ECB">
        <w:rPr>
          <w:noProof/>
        </w:rPr>
        <w:t>‘</w:t>
      </w:r>
      <w:r w:rsidRPr="00DC621B">
        <w:rPr>
          <w:noProof/>
        </w:rPr>
        <w:t>Effectiveness</w:t>
      </w:r>
      <w:r w:rsidR="00EC6ECB">
        <w:rPr>
          <w:noProof/>
        </w:rPr>
        <w:t>’</w:t>
      </w:r>
      <w:r w:rsidRPr="00DC621B">
        <w:rPr>
          <w:noProof/>
        </w:rPr>
        <w:t xml:space="preserve"> </w:t>
      </w:r>
      <w:r w:rsidR="00706E41">
        <w:rPr>
          <w:noProof/>
        </w:rPr>
        <w:t>S</w:t>
      </w:r>
      <w:r w:rsidRPr="00DC621B">
        <w:rPr>
          <w:noProof/>
        </w:rPr>
        <w:t>ection).</w:t>
      </w:r>
    </w:p>
    <w:p w:rsidR="006A20D9" w:rsidRPr="00DC621B" w:rsidRDefault="006A20D9" w:rsidP="796E43CC">
      <w:pPr>
        <w:ind w:right="-29"/>
        <w:rPr>
          <w:noProof/>
          <w:szCs w:val="24"/>
        </w:rPr>
      </w:pPr>
      <w:r w:rsidRPr="00DC621B">
        <w:rPr>
          <w:noProof/>
        </w:rPr>
        <w:t>The transposition deadline of Directive 2019/692 of 17 April 2019, that amended Directive 2009/73/EC to clarify its applicability to gas interconnector pipelines between Member States and third countries, expired on 24 February 2020. In the first step (</w:t>
      </w:r>
      <w:r w:rsidR="00EC6ECB">
        <w:rPr>
          <w:noProof/>
        </w:rPr>
        <w:t>‘</w:t>
      </w:r>
      <w:r w:rsidRPr="00DC621B">
        <w:rPr>
          <w:noProof/>
        </w:rPr>
        <w:t>transposition check</w:t>
      </w:r>
      <w:r w:rsidR="00EC6ECB">
        <w:rPr>
          <w:noProof/>
        </w:rPr>
        <w:t>’</w:t>
      </w:r>
      <w:r w:rsidRPr="00DC621B">
        <w:rPr>
          <w:noProof/>
        </w:rPr>
        <w:t xml:space="preserve">), the Commission opened 13 infringement proceedings against 13 Member States to ensure full transposition. </w:t>
      </w:r>
    </w:p>
    <w:p w:rsidR="009310F3" w:rsidRPr="00DC621B" w:rsidRDefault="00EB28D3" w:rsidP="00EB28D3">
      <w:pPr>
        <w:pStyle w:val="FootnoteText"/>
        <w:rPr>
          <w:noProof/>
        </w:rPr>
      </w:pPr>
      <w:bookmarkStart w:id="249" w:name="_Toc455064645"/>
      <w:bookmarkStart w:id="250" w:name="_Toc455070087"/>
      <w:bookmarkStart w:id="251" w:name="_Toc455073992"/>
      <w:bookmarkStart w:id="252" w:name="_Toc455074321"/>
      <w:bookmarkStart w:id="253" w:name="_Toc455082000"/>
      <w:bookmarkStart w:id="254" w:name="_Toc455082092"/>
      <w:bookmarkStart w:id="255" w:name="_Toc455082964"/>
      <w:bookmarkStart w:id="256" w:name="_Toc455134313"/>
      <w:bookmarkStart w:id="257" w:name="_Toc455148837"/>
      <w:bookmarkStart w:id="258" w:name="_Toc455156722"/>
      <w:bookmarkStart w:id="259" w:name="_Toc455156878"/>
      <w:bookmarkStart w:id="260" w:name="_Toc455160048"/>
      <w:bookmarkStart w:id="261" w:name="_Toc456772822"/>
      <w:bookmarkStart w:id="262" w:name="_Toc76743537"/>
      <w:bookmarkStart w:id="263" w:name="_Toc77590798"/>
      <w:bookmarkStart w:id="264" w:name="_Toc77600956"/>
      <w:bookmarkStart w:id="265" w:name="_Toc77682214"/>
      <w:bookmarkStart w:id="266" w:name="_Toc89688259"/>
      <w:bookmarkStart w:id="267" w:name="_Toc89882322"/>
      <w:r w:rsidRPr="00EB28D3">
        <w:t>6.</w:t>
      </w:r>
      <w:r w:rsidRPr="00EB28D3">
        <w:tab/>
      </w:r>
      <w:r w:rsidR="009310F3" w:rsidRPr="00DC621B">
        <w:rPr>
          <w:noProof/>
        </w:rPr>
        <w:t xml:space="preserve">Answers to the </w:t>
      </w:r>
      <w:r w:rsidR="003F6848">
        <w:rPr>
          <w:noProof/>
        </w:rPr>
        <w:t>E</w:t>
      </w:r>
      <w:r w:rsidR="009310F3" w:rsidRPr="00DC621B">
        <w:rPr>
          <w:noProof/>
        </w:rPr>
        <w:t>valuation questions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rsidR="009310F3" w:rsidRPr="00DC621B" w:rsidRDefault="009310F3">
      <w:pPr>
        <w:rPr>
          <w:noProof/>
        </w:rPr>
      </w:pPr>
      <w:r w:rsidRPr="00DC621B">
        <w:rPr>
          <w:rFonts w:eastAsia="Calibri"/>
          <w:noProof/>
        </w:rPr>
        <w:t xml:space="preserve">This section summarises the main findings in relation to the analysis of each of the </w:t>
      </w:r>
      <w:r w:rsidR="002651C7" w:rsidRPr="00DC621B">
        <w:rPr>
          <w:rFonts w:eastAsia="Calibri"/>
          <w:noProof/>
        </w:rPr>
        <w:t xml:space="preserve">key areas of the </w:t>
      </w:r>
      <w:r w:rsidR="003F6848">
        <w:rPr>
          <w:rFonts w:eastAsia="Calibri"/>
          <w:noProof/>
        </w:rPr>
        <w:t>E</w:t>
      </w:r>
      <w:r w:rsidR="002651C7" w:rsidRPr="00DC621B">
        <w:rPr>
          <w:rFonts w:eastAsia="Calibri"/>
          <w:noProof/>
        </w:rPr>
        <w:t>valuation</w:t>
      </w:r>
      <w:r w:rsidR="00236F93" w:rsidRPr="00DC621B">
        <w:rPr>
          <w:rFonts w:eastAsia="Calibri"/>
          <w:noProof/>
        </w:rPr>
        <w:t>.</w:t>
      </w:r>
      <w:r w:rsidR="002651C7" w:rsidRPr="00DC621B">
        <w:rPr>
          <w:noProof/>
        </w:rPr>
        <w:t xml:space="preserve"> Guiding questions indicate the focus of the </w:t>
      </w:r>
      <w:r w:rsidR="003F6848">
        <w:rPr>
          <w:noProof/>
        </w:rPr>
        <w:t>E</w:t>
      </w:r>
      <w:r w:rsidR="002651C7" w:rsidRPr="00DC621B">
        <w:rPr>
          <w:noProof/>
        </w:rPr>
        <w:t xml:space="preserve">valuation at the beginning of each section. </w:t>
      </w:r>
    </w:p>
    <w:p w:rsidR="009310F3" w:rsidRPr="00DC621B" w:rsidRDefault="009310F3" w:rsidP="007F7B3A">
      <w:pPr>
        <w:pStyle w:val="Heading2"/>
        <w:rPr>
          <w:rFonts w:eastAsia="Calibri"/>
          <w:noProof/>
        </w:rPr>
      </w:pPr>
      <w:bookmarkStart w:id="268" w:name="_Toc455064646"/>
      <w:bookmarkStart w:id="269" w:name="_Toc455070088"/>
      <w:bookmarkStart w:id="270" w:name="_Toc455073993"/>
      <w:bookmarkStart w:id="271" w:name="_Toc455074322"/>
      <w:bookmarkStart w:id="272" w:name="_Toc455082001"/>
      <w:bookmarkStart w:id="273" w:name="_Toc455082093"/>
      <w:bookmarkStart w:id="274" w:name="_Toc455082965"/>
      <w:bookmarkStart w:id="275" w:name="_Toc455134314"/>
      <w:bookmarkStart w:id="276" w:name="_Toc455148838"/>
      <w:bookmarkStart w:id="277" w:name="_Toc455156723"/>
      <w:bookmarkStart w:id="278" w:name="_Toc455156879"/>
      <w:bookmarkStart w:id="279" w:name="_Toc455160049"/>
      <w:bookmarkStart w:id="280" w:name="_Toc456772823"/>
      <w:bookmarkStart w:id="281" w:name="_Toc76743538"/>
      <w:bookmarkStart w:id="282" w:name="_Toc77590799"/>
      <w:bookmarkStart w:id="283" w:name="_Toc77600957"/>
      <w:bookmarkStart w:id="284" w:name="_Toc77682215"/>
      <w:bookmarkStart w:id="285" w:name="_Toc89688260"/>
      <w:bookmarkStart w:id="286" w:name="_Toc89882323"/>
      <w:r w:rsidRPr="00DC621B">
        <w:rPr>
          <w:rFonts w:eastAsia="Calibri"/>
          <w:noProof/>
        </w:rPr>
        <w:t>Effectiveness</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DC621B">
        <w:rPr>
          <w:rFonts w:eastAsia="Calibri"/>
          <w:noProof/>
        </w:rPr>
        <w:t xml:space="preserve"> </w:t>
      </w:r>
    </w:p>
    <w:p w:rsidR="009310F3" w:rsidRPr="00DC621B" w:rsidRDefault="009310F3" w:rsidP="796E43CC">
      <w:pPr>
        <w:rPr>
          <w:noProof/>
          <w:szCs w:val="24"/>
        </w:rPr>
      </w:pPr>
      <w:r w:rsidRPr="00DC621B">
        <w:rPr>
          <w:noProof/>
        </w:rPr>
        <w:t xml:space="preserve">The effectiveness evaluation aims at verifying whether the Third </w:t>
      </w:r>
      <w:r w:rsidR="00080F7C" w:rsidRPr="00DC621B">
        <w:rPr>
          <w:noProof/>
        </w:rPr>
        <w:t xml:space="preserve">Gas </w:t>
      </w:r>
      <w:r w:rsidRPr="00DC621B">
        <w:rPr>
          <w:noProof/>
        </w:rPr>
        <w:t xml:space="preserve">Package </w:t>
      </w:r>
      <w:r w:rsidR="00236F93" w:rsidRPr="00DC621B">
        <w:rPr>
          <w:noProof/>
        </w:rPr>
        <w:t>has</w:t>
      </w:r>
      <w:r w:rsidRPr="00DC621B">
        <w:rPr>
          <w:noProof/>
        </w:rPr>
        <w:t xml:space="preserve"> been achieving </w:t>
      </w:r>
      <w:r w:rsidR="00236F93" w:rsidRPr="00DC621B">
        <w:rPr>
          <w:noProof/>
        </w:rPr>
        <w:t>its</w:t>
      </w:r>
      <w:r w:rsidRPr="00DC621B">
        <w:rPr>
          <w:noProof/>
        </w:rPr>
        <w:t xml:space="preserve"> objectives. This is being done by comparing the intended objectives with the actual effects generated in the various areas under consideration. </w:t>
      </w:r>
    </w:p>
    <w:p w:rsidR="009310F3" w:rsidRPr="00DC621B" w:rsidRDefault="00E714CE">
      <w:pPr>
        <w:rPr>
          <w:rFonts w:eastAsia="Calibri"/>
          <w:noProof/>
        </w:rPr>
      </w:pPr>
      <w:r w:rsidRPr="00DC621B">
        <w:rPr>
          <w:noProof/>
        </w:rPr>
        <w:t>T</w:t>
      </w:r>
      <w:r w:rsidR="009310F3" w:rsidRPr="00DC621B">
        <w:rPr>
          <w:noProof/>
        </w:rPr>
        <w:t>wo aspects were analysed in particular, namely to what extent the new legislation removed competition problems, contributed to increased market integration, better coordination and stimulated grid investments (</w:t>
      </w:r>
      <w:r w:rsidR="00DB5C0B">
        <w:rPr>
          <w:noProof/>
        </w:rPr>
        <w:t>6</w:t>
      </w:r>
      <w:r w:rsidR="009310F3" w:rsidRPr="00DC621B">
        <w:rPr>
          <w:noProof/>
        </w:rPr>
        <w:t>.1.1.) and to what extent the new provisions improved the situation for consumers in terms of consumer protection (</w:t>
      </w:r>
      <w:r w:rsidR="00DB5C0B">
        <w:rPr>
          <w:noProof/>
        </w:rPr>
        <w:t>6</w:t>
      </w:r>
      <w:r w:rsidR="009310F3" w:rsidRPr="00DC621B">
        <w:rPr>
          <w:noProof/>
        </w:rPr>
        <w:t xml:space="preserve">.1.2.). </w:t>
      </w:r>
    </w:p>
    <w:p w:rsidR="009310F3" w:rsidRPr="00DC621B" w:rsidRDefault="009310F3" w:rsidP="009D744A">
      <w:pPr>
        <w:pStyle w:val="Heading3"/>
        <w:ind w:left="720"/>
        <w:rPr>
          <w:rFonts w:eastAsia="Calibri"/>
          <w:noProof/>
        </w:rPr>
      </w:pPr>
      <w:bookmarkStart w:id="287" w:name="_Toc455064647"/>
      <w:bookmarkStart w:id="288" w:name="_Toc455070089"/>
      <w:bookmarkStart w:id="289" w:name="_Toc455073994"/>
      <w:bookmarkStart w:id="290" w:name="_Toc455074323"/>
      <w:bookmarkStart w:id="291" w:name="_Toc455082002"/>
      <w:bookmarkStart w:id="292" w:name="_Toc455082094"/>
      <w:bookmarkStart w:id="293" w:name="_Toc455082966"/>
      <w:bookmarkStart w:id="294" w:name="_Toc455134315"/>
      <w:bookmarkStart w:id="295" w:name="_Toc455148839"/>
      <w:bookmarkStart w:id="296" w:name="_Toc455156724"/>
      <w:bookmarkStart w:id="297" w:name="_Toc455156880"/>
      <w:bookmarkStart w:id="298" w:name="_Toc455160050"/>
      <w:bookmarkStart w:id="299" w:name="_Toc456772824"/>
      <w:bookmarkStart w:id="300" w:name="_Toc76743539"/>
      <w:bookmarkStart w:id="301" w:name="_Toc77590800"/>
      <w:bookmarkStart w:id="302" w:name="_Toc77600958"/>
      <w:bookmarkStart w:id="303" w:name="_Toc77682216"/>
      <w:bookmarkStart w:id="304" w:name="_Toc89688261"/>
      <w:bookmarkStart w:id="305" w:name="_Toc89882324"/>
      <w:r w:rsidRPr="00DC621B">
        <w:rPr>
          <w:rFonts w:eastAsia="Calibri"/>
          <w:noProof/>
        </w:rPr>
        <w:t>Market integration, competition and investments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9310F3" w:rsidRPr="00DC621B" w:rsidRDefault="009310F3" w:rsidP="009D744A">
      <w:pPr>
        <w:numPr>
          <w:ilvl w:val="0"/>
          <w:numId w:val="361"/>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To what extent have </w:t>
      </w:r>
      <w:r w:rsidRPr="00DC621B">
        <w:rPr>
          <w:b/>
          <w:bCs/>
          <w:noProof/>
        </w:rPr>
        <w:t xml:space="preserve">wholesale markets </w:t>
      </w:r>
      <w:r w:rsidRPr="00DC621B">
        <w:rPr>
          <w:noProof/>
        </w:rPr>
        <w:t xml:space="preserve">become more competitive? </w:t>
      </w:r>
    </w:p>
    <w:p w:rsidR="009310F3" w:rsidRPr="00DC621B" w:rsidRDefault="009310F3" w:rsidP="009D744A">
      <w:pPr>
        <w:numPr>
          <w:ilvl w:val="0"/>
          <w:numId w:val="361"/>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To what extent has </w:t>
      </w:r>
      <w:r w:rsidRPr="00DC621B">
        <w:rPr>
          <w:b/>
          <w:bCs/>
          <w:noProof/>
        </w:rPr>
        <w:t>market integration</w:t>
      </w:r>
      <w:r w:rsidRPr="00DC621B">
        <w:rPr>
          <w:noProof/>
        </w:rPr>
        <w:t xml:space="preserve"> already been achieved? To what extent has </w:t>
      </w:r>
      <w:r w:rsidRPr="00DC621B">
        <w:rPr>
          <w:b/>
          <w:bCs/>
          <w:noProof/>
        </w:rPr>
        <w:t>cooperation</w:t>
      </w:r>
      <w:r w:rsidRPr="00DC621B">
        <w:rPr>
          <w:noProof/>
        </w:rPr>
        <w:t xml:space="preserve"> between TSOs and regulators evolved?</w:t>
      </w:r>
    </w:p>
    <w:p w:rsidR="009310F3" w:rsidRPr="00DC621B" w:rsidRDefault="009310F3" w:rsidP="009D744A">
      <w:pPr>
        <w:numPr>
          <w:ilvl w:val="0"/>
          <w:numId w:val="361"/>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What </w:t>
      </w:r>
      <w:r w:rsidRPr="00DC621B">
        <w:rPr>
          <w:b/>
          <w:bCs/>
          <w:noProof/>
        </w:rPr>
        <w:t>factors</w:t>
      </w:r>
      <w:r w:rsidRPr="00DC621B">
        <w:rPr>
          <w:noProof/>
        </w:rPr>
        <w:t xml:space="preserve"> contributed hereto in particular or prevented this? </w:t>
      </w:r>
    </w:p>
    <w:p w:rsidR="009310F3" w:rsidRPr="00DC621B" w:rsidRDefault="009310F3" w:rsidP="796E43CC">
      <w:pPr>
        <w:keepNext/>
        <w:rPr>
          <w:b/>
          <w:bCs/>
          <w:i/>
          <w:iCs/>
          <w:noProof/>
        </w:rPr>
      </w:pPr>
      <w:r w:rsidRPr="00DC621B">
        <w:rPr>
          <w:noProof/>
        </w:rPr>
        <w:br/>
      </w:r>
      <w:r w:rsidRPr="00DC621B">
        <w:rPr>
          <w:b/>
          <w:bCs/>
          <w:i/>
          <w:iCs/>
          <w:noProof/>
        </w:rPr>
        <w:t xml:space="preserve">Reduced competition and foreclosure problems through strengthened unbundling </w:t>
      </w:r>
    </w:p>
    <w:p w:rsidR="009310F3" w:rsidRPr="00DC621B" w:rsidRDefault="009310F3" w:rsidP="796E43CC">
      <w:pPr>
        <w:rPr>
          <w:noProof/>
          <w:szCs w:val="24"/>
        </w:rPr>
      </w:pPr>
      <w:r w:rsidRPr="00DC621B">
        <w:rPr>
          <w:noProof/>
        </w:rPr>
        <w:t xml:space="preserve">In order to further promote competition on the </w:t>
      </w:r>
      <w:r w:rsidR="00080F7C" w:rsidRPr="00DC621B">
        <w:rPr>
          <w:noProof/>
        </w:rPr>
        <w:t xml:space="preserve">energy gas </w:t>
      </w:r>
      <w:r w:rsidRPr="00DC621B">
        <w:rPr>
          <w:noProof/>
        </w:rPr>
        <w:t xml:space="preserve">markets, the Third Energy Package strengthened the unbundling rules to completely remove any conflict of interest between </w:t>
      </w:r>
      <w:r w:rsidR="00E714CE" w:rsidRPr="00DC621B">
        <w:rPr>
          <w:noProof/>
        </w:rPr>
        <w:t xml:space="preserve">producers and </w:t>
      </w:r>
      <w:r w:rsidRPr="00DC621B">
        <w:rPr>
          <w:noProof/>
        </w:rPr>
        <w:t xml:space="preserve">suppliers on the one hand and transmission system operators on the other hand. With the aim of ensuring structural independence of network operation, the Directive foresees three unbundling models: ownership unbundling, the independent system operator (ISO) and the independent transmission operator (ITO). </w:t>
      </w:r>
    </w:p>
    <w:p w:rsidR="009310F3" w:rsidRPr="00DC621B" w:rsidRDefault="009310F3" w:rsidP="796E43CC">
      <w:pPr>
        <w:rPr>
          <w:noProof/>
          <w:szCs w:val="24"/>
        </w:rPr>
      </w:pPr>
      <w:r w:rsidRPr="00DC621B">
        <w:rPr>
          <w:noProof/>
        </w:rPr>
        <w:t>Following the expiry of the transposition deadline on 3 March 2011, the Commission has systematically assessed all national transposition measures. As of</w:t>
      </w:r>
      <w:r w:rsidR="00AC57C7" w:rsidRPr="00DC621B">
        <w:rPr>
          <w:noProof/>
        </w:rPr>
        <w:t xml:space="preserve"> 1 January 2020</w:t>
      </w:r>
      <w:r w:rsidRPr="00DC621B">
        <w:rPr>
          <w:noProof/>
        </w:rPr>
        <w:t xml:space="preserve">, regarding </w:t>
      </w:r>
      <w:r w:rsidR="007E517C" w:rsidRPr="00DC621B">
        <w:rPr>
          <w:noProof/>
        </w:rPr>
        <w:t>gas</w:t>
      </w:r>
      <w:r w:rsidRPr="00DC621B">
        <w:rPr>
          <w:noProof/>
        </w:rPr>
        <w:t xml:space="preserve">, </w:t>
      </w:r>
      <w:r w:rsidR="00AC57C7" w:rsidRPr="00DC621B">
        <w:rPr>
          <w:noProof/>
        </w:rPr>
        <w:t xml:space="preserve">25 </w:t>
      </w:r>
      <w:r w:rsidRPr="00DC621B">
        <w:rPr>
          <w:noProof/>
        </w:rPr>
        <w:t xml:space="preserve">Member States had implemented </w:t>
      </w:r>
      <w:r w:rsidR="00AC57C7" w:rsidRPr="00DC621B">
        <w:rPr>
          <w:noProof/>
        </w:rPr>
        <w:t xml:space="preserve">the mandatory </w:t>
      </w:r>
      <w:r w:rsidRPr="00DC621B">
        <w:rPr>
          <w:noProof/>
        </w:rPr>
        <w:t>ownership unbundling</w:t>
      </w:r>
      <w:r w:rsidR="00AC57C7" w:rsidRPr="00DC621B">
        <w:rPr>
          <w:noProof/>
        </w:rPr>
        <w:t>. In addition,</w:t>
      </w:r>
      <w:r w:rsidR="007D170C" w:rsidRPr="00DC621B">
        <w:rPr>
          <w:noProof/>
        </w:rPr>
        <w:t xml:space="preserve"> ten</w:t>
      </w:r>
      <w:r w:rsidR="00AC57C7" w:rsidRPr="00DC621B">
        <w:rPr>
          <w:noProof/>
        </w:rPr>
        <w:t xml:space="preserve"> </w:t>
      </w:r>
      <w:r w:rsidRPr="00DC621B">
        <w:rPr>
          <w:noProof/>
        </w:rPr>
        <w:t xml:space="preserve">Member States had implemented </w:t>
      </w:r>
      <w:r w:rsidR="00AC57C7" w:rsidRPr="00DC621B">
        <w:rPr>
          <w:noProof/>
        </w:rPr>
        <w:t xml:space="preserve">also </w:t>
      </w:r>
      <w:r w:rsidRPr="00DC621B">
        <w:rPr>
          <w:noProof/>
        </w:rPr>
        <w:t xml:space="preserve">the ITO framework, and </w:t>
      </w:r>
      <w:r w:rsidR="00AC57C7" w:rsidRPr="00DC621B">
        <w:rPr>
          <w:noProof/>
        </w:rPr>
        <w:t xml:space="preserve">two </w:t>
      </w:r>
      <w:r w:rsidRPr="00DC621B">
        <w:rPr>
          <w:noProof/>
        </w:rPr>
        <w:t>Member State</w:t>
      </w:r>
      <w:r w:rsidR="007D170C" w:rsidRPr="00DC621B">
        <w:rPr>
          <w:noProof/>
        </w:rPr>
        <w:t>s</w:t>
      </w:r>
      <w:r w:rsidRPr="00DC621B">
        <w:rPr>
          <w:noProof/>
        </w:rPr>
        <w:t xml:space="preserve"> the ISO framework. </w:t>
      </w:r>
    </w:p>
    <w:p w:rsidR="009310F3" w:rsidRPr="00DC621B" w:rsidRDefault="009310F3" w:rsidP="796E43CC">
      <w:pPr>
        <w:rPr>
          <w:noProof/>
          <w:szCs w:val="24"/>
        </w:rPr>
      </w:pPr>
      <w:r w:rsidRPr="00DC621B">
        <w:rPr>
          <w:noProof/>
        </w:rPr>
        <w:t xml:space="preserve">Compliance with unbundling requirements is monitored at national level by the </w:t>
      </w:r>
      <w:r w:rsidR="001B1E7E">
        <w:rPr>
          <w:noProof/>
        </w:rPr>
        <w:t>NRAs</w:t>
      </w:r>
      <w:r w:rsidRPr="00DC621B">
        <w:rPr>
          <w:noProof/>
        </w:rPr>
        <w:t xml:space="preserve">, under a procedure set out in Articles </w:t>
      </w:r>
      <w:r w:rsidR="00695B2D" w:rsidRPr="00DC621B">
        <w:rPr>
          <w:noProof/>
        </w:rPr>
        <w:t xml:space="preserve">10 </w:t>
      </w:r>
      <w:r w:rsidRPr="00DC621B">
        <w:rPr>
          <w:noProof/>
        </w:rPr>
        <w:t xml:space="preserve">and </w:t>
      </w:r>
      <w:r w:rsidR="00695B2D" w:rsidRPr="00DC621B">
        <w:rPr>
          <w:noProof/>
        </w:rPr>
        <w:t xml:space="preserve">11 </w:t>
      </w:r>
      <w:r w:rsidRPr="00DC621B">
        <w:rPr>
          <w:noProof/>
        </w:rPr>
        <w:t xml:space="preserve">of the </w:t>
      </w:r>
      <w:r w:rsidR="007E517C" w:rsidRPr="00DC621B">
        <w:rPr>
          <w:noProof/>
        </w:rPr>
        <w:t>Gas</w:t>
      </w:r>
      <w:r w:rsidRPr="00DC621B">
        <w:rPr>
          <w:noProof/>
        </w:rPr>
        <w:t xml:space="preserve"> Directive</w:t>
      </w:r>
      <w:r w:rsidR="00695B2D" w:rsidRPr="00DC621B">
        <w:rPr>
          <w:noProof/>
        </w:rPr>
        <w:t xml:space="preserve"> and Article 3 of the Gas Regulation</w:t>
      </w:r>
      <w:r w:rsidRPr="00DC621B">
        <w:rPr>
          <w:noProof/>
        </w:rPr>
        <w:t xml:space="preserve">. Under this procedure, </w:t>
      </w:r>
      <w:r w:rsidR="001B1E7E">
        <w:rPr>
          <w:noProof/>
        </w:rPr>
        <w:t>NRAs</w:t>
      </w:r>
      <w:r w:rsidRPr="00DC621B">
        <w:rPr>
          <w:noProof/>
        </w:rPr>
        <w:t xml:space="preserve"> are required to submit their draft decisions on the certification of transmission system operators to the Commission. The Commission then adopts an Opinion on the draft decision within a period of two months. </w:t>
      </w:r>
      <w:r w:rsidR="001B1E7E">
        <w:rPr>
          <w:noProof/>
        </w:rPr>
        <w:t>NRAs</w:t>
      </w:r>
      <w:r w:rsidRPr="00DC621B">
        <w:rPr>
          <w:noProof/>
        </w:rPr>
        <w:t xml:space="preserve"> are obliged to take utmost account of the Commission</w:t>
      </w:r>
      <w:r w:rsidR="001163D4">
        <w:rPr>
          <w:noProof/>
        </w:rPr>
        <w:t>’</w:t>
      </w:r>
      <w:r w:rsidRPr="00DC621B">
        <w:rPr>
          <w:noProof/>
        </w:rPr>
        <w:t>s Opinion when adopting the final certification decision. This notification procedure ensures a high degree of consistency in the</w:t>
      </w:r>
      <w:r w:rsidR="00B52860" w:rsidRPr="00DC621B">
        <w:rPr>
          <w:noProof/>
        </w:rPr>
        <w:t xml:space="preserve"> interpretation of the rules on </w:t>
      </w:r>
      <w:r w:rsidR="008459C4" w:rsidRPr="00DC621B">
        <w:rPr>
          <w:noProof/>
        </w:rPr>
        <w:t>u</w:t>
      </w:r>
      <w:r w:rsidRPr="00DC621B">
        <w:rPr>
          <w:noProof/>
        </w:rPr>
        <w:t xml:space="preserve">nbundling for transmission system operators, and thereby increases legal certainty for Member States, transmission system operators and other stakeholders. The certification procedure pursuant to Article 10 of the </w:t>
      </w:r>
      <w:r w:rsidR="007E517C" w:rsidRPr="00DC621B">
        <w:rPr>
          <w:noProof/>
        </w:rPr>
        <w:t>Gas</w:t>
      </w:r>
      <w:r w:rsidRPr="00DC621B">
        <w:rPr>
          <w:noProof/>
        </w:rPr>
        <w:t xml:space="preserve"> Directive has been successfully implemented in practice. In the period of 3 March 2012</w:t>
      </w:r>
      <w:r w:rsidRPr="00DC621B">
        <w:rPr>
          <w:noProof/>
          <w:vertAlign w:val="superscript"/>
        </w:rPr>
        <w:footnoteReference w:id="66"/>
      </w:r>
      <w:r w:rsidRPr="00DC621B">
        <w:rPr>
          <w:noProof/>
        </w:rPr>
        <w:t xml:space="preserve"> until </w:t>
      </w:r>
      <w:r w:rsidR="006E3A70" w:rsidRPr="00DC621B">
        <w:rPr>
          <w:noProof/>
        </w:rPr>
        <w:t>March</w:t>
      </w:r>
      <w:r w:rsidR="00B52860" w:rsidRPr="00DC621B">
        <w:rPr>
          <w:noProof/>
        </w:rPr>
        <w:t xml:space="preserve"> </w:t>
      </w:r>
      <w:r w:rsidR="006E3A70" w:rsidRPr="00DC621B">
        <w:rPr>
          <w:noProof/>
        </w:rPr>
        <w:t>2021</w:t>
      </w:r>
      <w:r w:rsidRPr="00DC621B">
        <w:rPr>
          <w:noProof/>
        </w:rPr>
        <w:t xml:space="preserve">, the Commission has issued </w:t>
      </w:r>
      <w:r w:rsidR="00AC57C7" w:rsidRPr="00DC621B">
        <w:rPr>
          <w:noProof/>
        </w:rPr>
        <w:t>1</w:t>
      </w:r>
      <w:r w:rsidR="00E5709A" w:rsidRPr="00DC621B">
        <w:rPr>
          <w:noProof/>
        </w:rPr>
        <w:t>45</w:t>
      </w:r>
      <w:r w:rsidR="00AC57C7" w:rsidRPr="00DC621B">
        <w:rPr>
          <w:noProof/>
        </w:rPr>
        <w:t xml:space="preserve"> </w:t>
      </w:r>
      <w:r w:rsidRPr="00DC621B">
        <w:rPr>
          <w:noProof/>
        </w:rPr>
        <w:t xml:space="preserve">Opinions on draft certifications of </w:t>
      </w:r>
      <w:r w:rsidR="001B1E7E">
        <w:rPr>
          <w:noProof/>
        </w:rPr>
        <w:t>NRAs</w:t>
      </w:r>
      <w:r w:rsidRPr="00DC621B">
        <w:rPr>
          <w:noProof/>
        </w:rPr>
        <w:t xml:space="preserve"> from </w:t>
      </w:r>
      <w:r w:rsidR="00AC57C7" w:rsidRPr="00DC621B">
        <w:rPr>
          <w:noProof/>
        </w:rPr>
        <w:t xml:space="preserve">25 </w:t>
      </w:r>
      <w:r w:rsidRPr="00DC621B">
        <w:rPr>
          <w:noProof/>
        </w:rPr>
        <w:t>Member States</w:t>
      </w:r>
      <w:r w:rsidRPr="00DC621B">
        <w:rPr>
          <w:noProof/>
          <w:vertAlign w:val="superscript"/>
        </w:rPr>
        <w:footnoteReference w:id="67"/>
      </w:r>
      <w:r w:rsidR="00D02950">
        <w:rPr>
          <w:noProof/>
        </w:rPr>
        <w:t>.</w:t>
      </w:r>
      <w:r w:rsidRPr="00DC621B">
        <w:rPr>
          <w:noProof/>
        </w:rPr>
        <w:t xml:space="preserve"> Of these, </w:t>
      </w:r>
      <w:r w:rsidR="006E3A70" w:rsidRPr="00DC621B">
        <w:rPr>
          <w:noProof/>
        </w:rPr>
        <w:t xml:space="preserve">65 </w:t>
      </w:r>
      <w:r w:rsidRPr="00DC621B">
        <w:rPr>
          <w:noProof/>
        </w:rPr>
        <w:t xml:space="preserve">Opinions concerned transmission system operators for gas, and </w:t>
      </w:r>
      <w:r w:rsidR="006E3A70" w:rsidRPr="00DC621B">
        <w:rPr>
          <w:noProof/>
        </w:rPr>
        <w:t>80</w:t>
      </w:r>
      <w:r w:rsidR="00AC57C7" w:rsidRPr="00DC621B">
        <w:rPr>
          <w:noProof/>
        </w:rPr>
        <w:t xml:space="preserve"> </w:t>
      </w:r>
      <w:r w:rsidRPr="00DC621B">
        <w:rPr>
          <w:noProof/>
        </w:rPr>
        <w:t>concerned transmission system operators for electricity</w:t>
      </w:r>
      <w:r w:rsidRPr="00DC621B">
        <w:rPr>
          <w:rStyle w:val="FootnoteReference"/>
          <w:noProof/>
        </w:rPr>
        <w:footnoteReference w:id="68"/>
      </w:r>
      <w:r w:rsidR="00EC6ECB">
        <w:rPr>
          <w:noProof/>
        </w:rPr>
        <w:t>.</w:t>
      </w:r>
    </w:p>
    <w:p w:rsidR="009310F3" w:rsidRPr="00DC621B" w:rsidRDefault="009310F3" w:rsidP="001505F8">
      <w:pPr>
        <w:autoSpaceDE w:val="0"/>
        <w:autoSpaceDN w:val="0"/>
        <w:adjustRightInd w:val="0"/>
        <w:rPr>
          <w:rFonts w:eastAsiaTheme="minorEastAsia"/>
          <w:noProof/>
        </w:rPr>
      </w:pPr>
      <w:r w:rsidRPr="00DC621B">
        <w:rPr>
          <w:noProof/>
        </w:rPr>
        <w:t>The positive impact of the reinforced unbundling rules was confirmed by a specific evaluation, as required by Art</w:t>
      </w:r>
      <w:r w:rsidR="007F5DE6">
        <w:rPr>
          <w:noProof/>
        </w:rPr>
        <w:t>icle</w:t>
      </w:r>
      <w:r w:rsidRPr="00DC621B">
        <w:rPr>
          <w:noProof/>
        </w:rPr>
        <w:t xml:space="preserve"> </w:t>
      </w:r>
      <w:r w:rsidR="007E517C" w:rsidRPr="00DC621B">
        <w:rPr>
          <w:rFonts w:eastAsiaTheme="minorEastAsia"/>
          <w:noProof/>
        </w:rPr>
        <w:t>52</w:t>
      </w:r>
      <w:r w:rsidRPr="00DC621B">
        <w:rPr>
          <w:rFonts w:eastAsiaTheme="minorEastAsia"/>
          <w:noProof/>
        </w:rPr>
        <w:t xml:space="preserve">(3) of the </w:t>
      </w:r>
      <w:r w:rsidR="007E517C" w:rsidRPr="00DC621B">
        <w:rPr>
          <w:rFonts w:eastAsiaTheme="minorEastAsia"/>
          <w:noProof/>
        </w:rPr>
        <w:t>Gas</w:t>
      </w:r>
      <w:r w:rsidRPr="00DC621B">
        <w:rPr>
          <w:rFonts w:eastAsiaTheme="minorEastAsia"/>
          <w:noProof/>
        </w:rPr>
        <w:t xml:space="preserve"> Directive. </w:t>
      </w:r>
      <w:r w:rsidRPr="00DC621B">
        <w:rPr>
          <w:noProof/>
        </w:rPr>
        <w:t xml:space="preserve">In its report </w:t>
      </w:r>
      <w:r w:rsidRPr="00DC621B">
        <w:rPr>
          <w:rFonts w:eastAsiaTheme="minorEastAsia"/>
          <w:noProof/>
        </w:rPr>
        <w:t>on the ITO model from October 2014</w:t>
      </w:r>
      <w:r w:rsidRPr="00DC621B">
        <w:rPr>
          <w:rStyle w:val="FootnoteReference"/>
          <w:rFonts w:eastAsiaTheme="minorEastAsia"/>
          <w:noProof/>
        </w:rPr>
        <w:footnoteReference w:id="69"/>
      </w:r>
      <w:r w:rsidR="0076310A">
        <w:rPr>
          <w:rFonts w:eastAsiaTheme="minorEastAsia"/>
          <w:noProof/>
        </w:rPr>
        <w:t>,</w:t>
      </w:r>
      <w:r w:rsidRPr="00DC621B">
        <w:rPr>
          <w:rFonts w:eastAsiaTheme="minorEastAsia"/>
          <w:noProof/>
        </w:rPr>
        <w:t xml:space="preserve"> the Commission analysed in detail to what extent the new rules were capable of sufficiently and adequately ensuring the effective separation of transmission networks from generation and supply interests. According to the Commission</w:t>
      </w:r>
      <w:r w:rsidR="001163D4">
        <w:rPr>
          <w:rFonts w:eastAsiaTheme="minorEastAsia"/>
          <w:noProof/>
        </w:rPr>
        <w:t>’</w:t>
      </w:r>
      <w:r w:rsidRPr="00DC621B">
        <w:rPr>
          <w:rFonts w:eastAsiaTheme="minorEastAsia"/>
          <w:noProof/>
        </w:rPr>
        <w:t xml:space="preserve">s initial assessment, most requirements related to the ITO model seem to work in practice and </w:t>
      </w:r>
      <w:r w:rsidR="00457432" w:rsidRPr="00DC621B">
        <w:rPr>
          <w:rFonts w:eastAsiaTheme="minorEastAsia"/>
          <w:noProof/>
        </w:rPr>
        <w:t xml:space="preserve">can be </w:t>
      </w:r>
      <w:r w:rsidR="008752B7" w:rsidRPr="00DC621B">
        <w:rPr>
          <w:rFonts w:eastAsiaTheme="minorEastAsia"/>
          <w:noProof/>
        </w:rPr>
        <w:t>(</w:t>
      </w:r>
      <w:r w:rsidR="00457432" w:rsidRPr="00DC621B">
        <w:rPr>
          <w:rFonts w:eastAsiaTheme="minorEastAsia"/>
          <w:noProof/>
        </w:rPr>
        <w:t>but are not always</w:t>
      </w:r>
      <w:r w:rsidR="008752B7" w:rsidRPr="00DC621B">
        <w:rPr>
          <w:rFonts w:eastAsiaTheme="minorEastAsia"/>
          <w:noProof/>
        </w:rPr>
        <w:t>)</w:t>
      </w:r>
      <w:r w:rsidR="00457432" w:rsidRPr="00DC621B">
        <w:rPr>
          <w:rFonts w:eastAsiaTheme="minorEastAsia"/>
          <w:noProof/>
        </w:rPr>
        <w:t>,</w:t>
      </w:r>
      <w:r w:rsidRPr="00DC621B">
        <w:rPr>
          <w:rFonts w:eastAsiaTheme="minorEastAsia"/>
          <w:noProof/>
        </w:rPr>
        <w:t xml:space="preserve"> sufficient and adequate to ensure effective separation of the transmission business from </w:t>
      </w:r>
      <w:r w:rsidR="00810D39" w:rsidRPr="00DC621B">
        <w:rPr>
          <w:rFonts w:eastAsiaTheme="minorEastAsia"/>
          <w:noProof/>
        </w:rPr>
        <w:t xml:space="preserve">production </w:t>
      </w:r>
      <w:r w:rsidRPr="00DC621B">
        <w:rPr>
          <w:rFonts w:eastAsiaTheme="minorEastAsia"/>
          <w:noProof/>
        </w:rPr>
        <w:t>and supply activities in the day-to-day business. This assessment was notably based on the view of national regulators, the network users and compliance officers within the ITOs. The report confirmed that problems of network foreclosure, which had been an ongoing concern prior to the adoption of the Third Package</w:t>
      </w:r>
      <w:r w:rsidRPr="00DC621B">
        <w:rPr>
          <w:rStyle w:val="FootnoteReference"/>
          <w:rFonts w:eastAsiaTheme="minorEastAsia"/>
          <w:noProof/>
        </w:rPr>
        <w:footnoteReference w:id="70"/>
      </w:r>
      <w:r w:rsidRPr="00DC621B">
        <w:rPr>
          <w:rFonts w:eastAsiaTheme="minorEastAsia"/>
          <w:noProof/>
        </w:rPr>
        <w:t>, had become less frequent after the introduction of the reinforced unbundling rules.</w:t>
      </w:r>
      <w:r w:rsidR="002C4CF8" w:rsidRPr="00DC621B">
        <w:rPr>
          <w:rFonts w:eastAsiaTheme="minorEastAsia"/>
          <w:noProof/>
        </w:rPr>
        <w:t xml:space="preserve"> However, both the ITO and </w:t>
      </w:r>
      <w:r w:rsidR="002022AA" w:rsidRPr="00DC621B">
        <w:rPr>
          <w:rFonts w:eastAsiaTheme="minorEastAsia"/>
          <w:noProof/>
        </w:rPr>
        <w:t>(to lesser extent)</w:t>
      </w:r>
      <w:r w:rsidR="002C4CF8" w:rsidRPr="00DC621B">
        <w:rPr>
          <w:rFonts w:eastAsiaTheme="minorEastAsia"/>
          <w:noProof/>
        </w:rPr>
        <w:t xml:space="preserve"> the ISO models depend on behavioural safeguards which create additional regulatory costs for operators and </w:t>
      </w:r>
      <w:r w:rsidR="001B1E7E">
        <w:rPr>
          <w:rFonts w:eastAsiaTheme="minorEastAsia"/>
          <w:noProof/>
        </w:rPr>
        <w:t>NRAs</w:t>
      </w:r>
      <w:r w:rsidR="002C4CF8" w:rsidRPr="00DC621B">
        <w:rPr>
          <w:rFonts w:eastAsiaTheme="minorEastAsia"/>
          <w:noProof/>
        </w:rPr>
        <w:t xml:space="preserve">. Moreover, such behavioural safeguards are more reliant on the monitoring by national authorities than structural separation (as in the ownership unbundling model), which eliminates incentives for anti-competitive behaviour altogether. </w:t>
      </w:r>
    </w:p>
    <w:p w:rsidR="009310F3" w:rsidRPr="00DC621B" w:rsidRDefault="009310F3">
      <w:pPr>
        <w:rPr>
          <w:noProof/>
        </w:rPr>
      </w:pPr>
      <w:r w:rsidRPr="00DC621B">
        <w:rPr>
          <w:noProof/>
        </w:rPr>
        <w:t>With regard to DSO unbundling, the intervention mainly aimed at the unbundling of vertical integrated distribution companies with the objective to ensure non-discriminatory and transparent third party access in distribution networks, in order to promote competition in the energy market. There is no evidence that the intervention within the boundaries of the unbundling requirements, did not achieve the objective of promoting competition in the market.</w:t>
      </w:r>
    </w:p>
    <w:p w:rsidR="009310F3" w:rsidRPr="00DC621B" w:rsidRDefault="00FD083D" w:rsidP="00080F7C">
      <w:pPr>
        <w:rPr>
          <w:noProof/>
          <w:sz w:val="22"/>
        </w:rPr>
      </w:pPr>
      <w:r w:rsidRPr="00DC621B">
        <w:rPr>
          <w:noProof/>
        </w:rPr>
        <w:t>According to CEER</w:t>
      </w:r>
      <w:r w:rsidRPr="00DC621B">
        <w:rPr>
          <w:rStyle w:val="FootnoteReference"/>
          <w:noProof/>
        </w:rPr>
        <w:footnoteReference w:id="71"/>
      </w:r>
      <w:r w:rsidRPr="00DC621B">
        <w:rPr>
          <w:noProof/>
        </w:rPr>
        <w:t xml:space="preserve"> the number of DSOs varies from one or two in some Member States to several hundred in other countries. In 2019 there were 1</w:t>
      </w:r>
      <w:r w:rsidR="00835643">
        <w:rPr>
          <w:noProof/>
        </w:rPr>
        <w:t xml:space="preserve"> </w:t>
      </w:r>
      <w:r w:rsidRPr="00DC621B">
        <w:rPr>
          <w:noProof/>
        </w:rPr>
        <w:t>317 gas DSOs in the EU (data for 27 Member States). From these 1</w:t>
      </w:r>
      <w:r w:rsidR="00401170">
        <w:rPr>
          <w:noProof/>
        </w:rPr>
        <w:t xml:space="preserve"> </w:t>
      </w:r>
      <w:r w:rsidRPr="00DC621B">
        <w:rPr>
          <w:noProof/>
        </w:rPr>
        <w:t>200 fall under the 100</w:t>
      </w:r>
      <w:r w:rsidR="00401170">
        <w:rPr>
          <w:noProof/>
        </w:rPr>
        <w:t xml:space="preserve"> </w:t>
      </w:r>
      <w:r w:rsidRPr="00DC621B">
        <w:rPr>
          <w:noProof/>
        </w:rPr>
        <w:t>000 rule and according to Article 26(4) for these DSOs Member States are not obliged to implement unbundling provisions under Article 26 of the Gas Directive. That means that only 117 DSOs across EU have the obligation to be unbundled according to the rules included in the Gas Directive.</w:t>
      </w:r>
    </w:p>
    <w:p w:rsidR="009310F3" w:rsidRPr="00DC621B" w:rsidRDefault="009310F3" w:rsidP="796E43CC">
      <w:pPr>
        <w:keepNext/>
        <w:rPr>
          <w:b/>
          <w:bCs/>
          <w:i/>
          <w:iCs/>
          <w:noProof/>
        </w:rPr>
      </w:pPr>
      <w:r w:rsidRPr="00DC621B">
        <w:rPr>
          <w:b/>
          <w:bCs/>
          <w:i/>
          <w:iCs/>
          <w:noProof/>
        </w:rPr>
        <w:t xml:space="preserve">Increased liquidity and competition leading to </w:t>
      </w:r>
      <w:r w:rsidR="00993FAA" w:rsidRPr="00DC621B">
        <w:rPr>
          <w:b/>
          <w:bCs/>
          <w:i/>
          <w:iCs/>
          <w:noProof/>
        </w:rPr>
        <w:t>fairer</w:t>
      </w:r>
      <w:r w:rsidRPr="00DC621B">
        <w:rPr>
          <w:b/>
          <w:bCs/>
          <w:i/>
          <w:iCs/>
          <w:noProof/>
        </w:rPr>
        <w:t xml:space="preserve"> prices on wholesale markets</w:t>
      </w:r>
    </w:p>
    <w:p w:rsidR="009310F3" w:rsidRPr="00DC621B" w:rsidRDefault="009310F3" w:rsidP="796E43CC">
      <w:pPr>
        <w:rPr>
          <w:noProof/>
          <w:szCs w:val="24"/>
        </w:rPr>
      </w:pPr>
      <w:r w:rsidRPr="00DC621B">
        <w:rPr>
          <w:noProof/>
        </w:rPr>
        <w:t>The Commission</w:t>
      </w:r>
      <w:r w:rsidR="001163D4">
        <w:rPr>
          <w:noProof/>
        </w:rPr>
        <w:t>’</w:t>
      </w:r>
      <w:r w:rsidRPr="00DC621B">
        <w:rPr>
          <w:noProof/>
        </w:rPr>
        <w:t>s</w:t>
      </w:r>
      <w:r w:rsidR="001D658B" w:rsidRPr="00DC621B">
        <w:rPr>
          <w:rStyle w:val="FootnoteReference"/>
          <w:noProof/>
        </w:rPr>
        <w:footnoteReference w:id="72"/>
      </w:r>
      <w:r w:rsidR="007E517C" w:rsidRPr="00DC621B">
        <w:rPr>
          <w:noProof/>
        </w:rPr>
        <w:t xml:space="preserve"> and ACER’s</w:t>
      </w:r>
      <w:r w:rsidR="001D658B" w:rsidRPr="00DC621B">
        <w:rPr>
          <w:rStyle w:val="FootnoteReference"/>
          <w:noProof/>
        </w:rPr>
        <w:footnoteReference w:id="73"/>
      </w:r>
      <w:r w:rsidRPr="00DC621B">
        <w:rPr>
          <w:noProof/>
        </w:rPr>
        <w:t xml:space="preserve"> analyses of the development of the </w:t>
      </w:r>
      <w:r w:rsidR="007E517C" w:rsidRPr="00DC621B">
        <w:rPr>
          <w:noProof/>
        </w:rPr>
        <w:t>gas</w:t>
      </w:r>
      <w:r w:rsidRPr="00DC621B">
        <w:rPr>
          <w:noProof/>
        </w:rPr>
        <w:t xml:space="preserve"> market showed that the set of the different measures of the Third </w:t>
      </w:r>
      <w:r w:rsidR="007E517C" w:rsidRPr="00DC621B">
        <w:rPr>
          <w:noProof/>
        </w:rPr>
        <w:t>Gas</w:t>
      </w:r>
      <w:r w:rsidRPr="00DC621B">
        <w:rPr>
          <w:noProof/>
        </w:rPr>
        <w:t xml:space="preserve"> Package had a positive effect on liquidity and competition in the wholesale market.</w:t>
      </w:r>
    </w:p>
    <w:p w:rsidR="009310F3" w:rsidRPr="00DC621B" w:rsidRDefault="00993FAA" w:rsidP="003C0741">
      <w:pPr>
        <w:rPr>
          <w:noProof/>
          <w:szCs w:val="24"/>
        </w:rPr>
      </w:pPr>
      <w:r w:rsidRPr="00DC621B">
        <w:rPr>
          <w:noProof/>
        </w:rPr>
        <w:t xml:space="preserve">The number of active </w:t>
      </w:r>
      <w:r w:rsidR="00EF5C4D" w:rsidRPr="00DC621B">
        <w:rPr>
          <w:noProof/>
        </w:rPr>
        <w:t xml:space="preserve">suppliers </w:t>
      </w:r>
      <w:r w:rsidRPr="00DC621B">
        <w:rPr>
          <w:noProof/>
        </w:rPr>
        <w:t>and</w:t>
      </w:r>
      <w:r w:rsidR="008769C3" w:rsidRPr="00DC621B">
        <w:rPr>
          <w:noProof/>
        </w:rPr>
        <w:t xml:space="preserve"> traded volumes increased, while </w:t>
      </w:r>
      <w:r w:rsidRPr="00DC621B">
        <w:rPr>
          <w:noProof/>
        </w:rPr>
        <w:t xml:space="preserve">market concentration and </w:t>
      </w:r>
      <w:r w:rsidR="008769C3" w:rsidRPr="00DC621B">
        <w:rPr>
          <w:noProof/>
        </w:rPr>
        <w:t xml:space="preserve">price spreads between markets decreased. Developments on wholesale markets also benefitted European consumers. </w:t>
      </w:r>
      <w:r w:rsidRPr="00DC621B">
        <w:rPr>
          <w:noProof/>
        </w:rPr>
        <w:t>ACER estimates that since 2013, benefits for European consumers stemming from positive wholesale market developments are in the range of several billions per year</w:t>
      </w:r>
      <w:r w:rsidRPr="00DC621B">
        <w:rPr>
          <w:rStyle w:val="FootnoteReference"/>
          <w:noProof/>
        </w:rPr>
        <w:footnoteReference w:id="74"/>
      </w:r>
      <w:r w:rsidRPr="00DC621B">
        <w:rPr>
          <w:noProof/>
        </w:rPr>
        <w:t xml:space="preserve">. The main share of these gains are caused by a move away from oil-price indexation to gas-to-gas competition. </w:t>
      </w:r>
      <w:r w:rsidR="00EF5C4D" w:rsidRPr="00DC621B">
        <w:rPr>
          <w:noProof/>
        </w:rPr>
        <w:t>While the Third</w:t>
      </w:r>
      <w:r w:rsidR="00034555" w:rsidRPr="00DC621B">
        <w:rPr>
          <w:noProof/>
        </w:rPr>
        <w:t xml:space="preserve"> Gas</w:t>
      </w:r>
      <w:r w:rsidR="00EF5C4D" w:rsidRPr="00DC621B">
        <w:rPr>
          <w:noProof/>
        </w:rPr>
        <w:t xml:space="preserve"> Package and subsequent network codes proofed to be efficient and effective </w:t>
      </w:r>
      <w:r w:rsidR="005042E5" w:rsidRPr="00DC621B">
        <w:rPr>
          <w:noProof/>
        </w:rPr>
        <w:t xml:space="preserve">in </w:t>
      </w:r>
      <w:r w:rsidR="00EF5C4D" w:rsidRPr="00DC621B">
        <w:rPr>
          <w:noProof/>
        </w:rPr>
        <w:t>delivering on identified issues such as lack of market integration, high market concentration and market power, its relevance for the efforts to implement the European Green Deal are not focusing on how to extend the benefits of liquidity and competition to a decarbonised gas system.</w:t>
      </w:r>
    </w:p>
    <w:p w:rsidR="009310F3" w:rsidRPr="00DC621B" w:rsidRDefault="009310F3" w:rsidP="796E43CC">
      <w:pPr>
        <w:keepNext/>
        <w:rPr>
          <w:noProof/>
          <w:szCs w:val="24"/>
        </w:rPr>
      </w:pPr>
      <w:r w:rsidRPr="00DC621B">
        <w:rPr>
          <w:b/>
          <w:bCs/>
          <w:i/>
          <w:iCs/>
          <w:noProof/>
        </w:rPr>
        <w:t>Cooperation between TSOs increased…</w:t>
      </w:r>
      <w:r w:rsidRPr="00DC621B" w:rsidDel="00541AA4">
        <w:rPr>
          <w:b/>
          <w:bCs/>
          <w:i/>
          <w:iCs/>
          <w:noProof/>
        </w:rPr>
        <w:t xml:space="preserve"> </w:t>
      </w:r>
    </w:p>
    <w:p w:rsidR="00023C24" w:rsidRPr="00DC621B" w:rsidRDefault="009310F3" w:rsidP="00023C24">
      <w:pPr>
        <w:rPr>
          <w:noProof/>
        </w:rPr>
      </w:pPr>
      <w:r w:rsidRPr="00DC621B">
        <w:rPr>
          <w:noProof/>
        </w:rPr>
        <w:t xml:space="preserve">The creation of ENTSO-E and ENTSOG has intensified the cooperation between </w:t>
      </w:r>
      <w:r w:rsidR="005975F8" w:rsidRPr="00DC621B">
        <w:rPr>
          <w:noProof/>
        </w:rPr>
        <w:t xml:space="preserve">EU </w:t>
      </w:r>
      <w:r w:rsidRPr="00DC621B">
        <w:rPr>
          <w:noProof/>
        </w:rPr>
        <w:t xml:space="preserve">TSOs across Europe and within regions. The </w:t>
      </w:r>
      <w:r w:rsidR="00CA2F02" w:rsidRPr="00DC621B">
        <w:rPr>
          <w:noProof/>
        </w:rPr>
        <w:t xml:space="preserve">European Network for Transmission System Operators </w:t>
      </w:r>
      <w:r w:rsidR="00CA2F02">
        <w:rPr>
          <w:noProof/>
        </w:rPr>
        <w:t>(</w:t>
      </w:r>
      <w:r w:rsidRPr="00DC621B">
        <w:rPr>
          <w:noProof/>
        </w:rPr>
        <w:t>ENTSOs</w:t>
      </w:r>
      <w:r w:rsidR="00CA2F02">
        <w:rPr>
          <w:noProof/>
        </w:rPr>
        <w:t>)</w:t>
      </w:r>
      <w:r w:rsidRPr="00DC621B">
        <w:rPr>
          <w:noProof/>
        </w:rPr>
        <w:t xml:space="preserve"> have notably worked intensively on developing draft text proposals for so-called </w:t>
      </w:r>
      <w:r w:rsidR="00EB2CAF">
        <w:rPr>
          <w:noProof/>
        </w:rPr>
        <w:t>‘</w:t>
      </w:r>
      <w:r w:rsidRPr="00DC621B">
        <w:rPr>
          <w:noProof/>
        </w:rPr>
        <w:t>network codes</w:t>
      </w:r>
      <w:r w:rsidR="00EB2CAF">
        <w:rPr>
          <w:noProof/>
        </w:rPr>
        <w:t>’</w:t>
      </w:r>
      <w:r w:rsidRPr="00DC621B">
        <w:rPr>
          <w:noProof/>
        </w:rPr>
        <w:t xml:space="preserve">, i.e. implementing legislation for more coordinated </w:t>
      </w:r>
      <w:r w:rsidR="005975F8" w:rsidRPr="00DC621B">
        <w:rPr>
          <w:noProof/>
        </w:rPr>
        <w:t xml:space="preserve">network </w:t>
      </w:r>
      <w:r w:rsidRPr="00DC621B">
        <w:rPr>
          <w:noProof/>
        </w:rPr>
        <w:t>operation and trading rules. Based on the ENTSOs work and other stakeholders' input, the Commission was in a position to adopt a large number of implementing Regulations under comitology rules since 2009</w:t>
      </w:r>
      <w:r w:rsidRPr="00DC621B">
        <w:rPr>
          <w:noProof/>
          <w:vertAlign w:val="superscript"/>
        </w:rPr>
        <w:footnoteReference w:id="75"/>
      </w:r>
      <w:r w:rsidR="00EC6ECB">
        <w:rPr>
          <w:noProof/>
        </w:rPr>
        <w:t>.</w:t>
      </w:r>
      <w:r w:rsidRPr="00DC621B">
        <w:rPr>
          <w:noProof/>
        </w:rPr>
        <w:t xml:space="preserve"> ENTSO</w:t>
      </w:r>
      <w:r w:rsidR="007E517C" w:rsidRPr="00DC621B">
        <w:rPr>
          <w:noProof/>
        </w:rPr>
        <w:t>G</w:t>
      </w:r>
      <w:r w:rsidRPr="00DC621B">
        <w:rPr>
          <w:noProof/>
        </w:rPr>
        <w:t xml:space="preserve"> has also delivered the required input for a more coordinated infrastructure planning</w:t>
      </w:r>
      <w:r w:rsidRPr="00DC621B">
        <w:rPr>
          <w:rStyle w:val="FootnoteReference"/>
          <w:noProof/>
        </w:rPr>
        <w:footnoteReference w:id="76"/>
      </w:r>
      <w:r w:rsidR="00EC6ECB">
        <w:rPr>
          <w:noProof/>
        </w:rPr>
        <w:t>.</w:t>
      </w:r>
      <w:r w:rsidRPr="00DC621B">
        <w:rPr>
          <w:noProof/>
        </w:rPr>
        <w:t xml:space="preserve"> According to the results of the Commission's stakeholder consultations on the ENTSO</w:t>
      </w:r>
      <w:r w:rsidR="001163D4">
        <w:rPr>
          <w:noProof/>
        </w:rPr>
        <w:t>’</w:t>
      </w:r>
      <w:r w:rsidRPr="00DC621B">
        <w:rPr>
          <w:noProof/>
        </w:rPr>
        <w:t>s work on network codes (see the Consultation on the establishment of the annual priority lists for the development of network codes and guidelines</w:t>
      </w:r>
      <w:r w:rsidRPr="00DC621B">
        <w:rPr>
          <w:rStyle w:val="FootnoteReference"/>
          <w:noProof/>
        </w:rPr>
        <w:footnoteReference w:id="77"/>
      </w:r>
      <w:r w:rsidRPr="00DC621B">
        <w:rPr>
          <w:noProof/>
        </w:rPr>
        <w:t>)</w:t>
      </w:r>
      <w:r w:rsidRPr="00DC621B">
        <w:rPr>
          <w:noProof/>
          <w:sz w:val="20"/>
        </w:rPr>
        <w:t xml:space="preserve"> </w:t>
      </w:r>
      <w:r w:rsidRPr="00DC621B">
        <w:rPr>
          <w:noProof/>
        </w:rPr>
        <w:t>and the ENTSOs role in general, stakeholders consider the creation of the ENTSOs as a step into the right direction for more TSO cooperation. Also recent reports from ACER</w:t>
      </w:r>
      <w:r w:rsidRPr="00DC621B">
        <w:rPr>
          <w:rStyle w:val="FootnoteReference"/>
          <w:noProof/>
        </w:rPr>
        <w:footnoteReference w:id="78"/>
      </w:r>
      <w:r w:rsidRPr="00DC621B">
        <w:rPr>
          <w:noProof/>
        </w:rPr>
        <w:t xml:space="preserve"> confirm that both ENTSOs have achieved a good level of performance since their establishment by the Third Package. Implementing legislation adopted under the new Third Package provisions on </w:t>
      </w:r>
      <w:r w:rsidR="00457432" w:rsidRPr="00DC621B">
        <w:rPr>
          <w:noProof/>
        </w:rPr>
        <w:t>‘</w:t>
      </w:r>
      <w:r w:rsidRPr="00DC621B">
        <w:rPr>
          <w:noProof/>
        </w:rPr>
        <w:t>network codes</w:t>
      </w:r>
      <w:r w:rsidR="00457432" w:rsidRPr="00DC621B">
        <w:rPr>
          <w:noProof/>
        </w:rPr>
        <w:t>’</w:t>
      </w:r>
      <w:r w:rsidRPr="00DC621B">
        <w:rPr>
          <w:noProof/>
        </w:rPr>
        <w:t xml:space="preserve"> have further strengthened cooperation between TSOs. These network codes oblige TSOs to find common solutions for </w:t>
      </w:r>
      <w:r w:rsidR="007E517C" w:rsidRPr="00DC621B">
        <w:rPr>
          <w:noProof/>
        </w:rPr>
        <w:t>problems that</w:t>
      </w:r>
      <w:r w:rsidRPr="00DC621B">
        <w:rPr>
          <w:noProof/>
        </w:rPr>
        <w:t xml:space="preserve"> require action of several neighbouring TSOs (e.g</w:t>
      </w:r>
      <w:r w:rsidR="008515BE" w:rsidRPr="00DC621B">
        <w:rPr>
          <w:noProof/>
        </w:rPr>
        <w:t>. allocation of bundled capacity, scheduling and coordination of maintenance</w:t>
      </w:r>
      <w:r w:rsidR="00072B92" w:rsidRPr="00DC621B">
        <w:rPr>
          <w:noProof/>
        </w:rPr>
        <w:t>)</w:t>
      </w:r>
      <w:r w:rsidRPr="00DC621B">
        <w:rPr>
          <w:noProof/>
        </w:rPr>
        <w:t xml:space="preserve">. </w:t>
      </w:r>
    </w:p>
    <w:p w:rsidR="00023C24" w:rsidRPr="00DC621B" w:rsidRDefault="00DE6FA9" w:rsidP="00023C24">
      <w:pPr>
        <w:rPr>
          <w:b/>
          <w:bCs/>
          <w:i/>
          <w:iCs/>
          <w:noProof/>
        </w:rPr>
      </w:pPr>
      <w:r w:rsidRPr="00DC621B">
        <w:rPr>
          <w:b/>
          <w:bCs/>
          <w:i/>
          <w:iCs/>
          <w:noProof/>
        </w:rPr>
        <w:t>Consumer gas prices vary significantly for non-market related reasons, and have risen steadily for households</w:t>
      </w:r>
    </w:p>
    <w:p w:rsidR="00DE6FA9" w:rsidRPr="00DC621B" w:rsidRDefault="00DE6FA9" w:rsidP="00023C24">
      <w:pPr>
        <w:rPr>
          <w:noProof/>
        </w:rPr>
      </w:pPr>
      <w:r w:rsidRPr="00DC621B">
        <w:rPr>
          <w:noProof/>
        </w:rPr>
        <w:t>With regards to retail markets, gas prices still vary significantly from Member State to Member State for nonmarket reasons, and prices have risen steadily for households since 2009</w:t>
      </w:r>
      <w:r w:rsidRPr="00DC621B">
        <w:rPr>
          <w:rStyle w:val="FootnoteReference"/>
          <w:noProof/>
        </w:rPr>
        <w:footnoteReference w:id="79"/>
      </w:r>
      <w:r w:rsidRPr="00DC621B">
        <w:rPr>
          <w:noProof/>
          <w:vertAlign w:val="superscript"/>
        </w:rPr>
        <w:t xml:space="preserve"> </w:t>
      </w:r>
      <w:r w:rsidRPr="00DC621B">
        <w:rPr>
          <w:noProof/>
        </w:rPr>
        <w:t>(</w:t>
      </w:r>
      <w:r w:rsidR="00DC621B" w:rsidRPr="00DC621B">
        <w:rPr>
          <w:bCs/>
          <w:noProof/>
        </w:rPr>
        <w:t>F</w:t>
      </w:r>
      <w:r w:rsidR="00582588" w:rsidRPr="00DC621B">
        <w:rPr>
          <w:bCs/>
          <w:noProof/>
        </w:rPr>
        <w:t>igure 2</w:t>
      </w:r>
      <w:r w:rsidRPr="00DC621B">
        <w:rPr>
          <w:noProof/>
        </w:rPr>
        <w:t>), primarily as a result of a significant increases in non-contestable charges in recent years (network charges, taxes and levies), but also a more recent increase of the energy component</w:t>
      </w:r>
      <w:r w:rsidRPr="00DC621B">
        <w:rPr>
          <w:rStyle w:val="FootnoteReference"/>
          <w:noProof/>
        </w:rPr>
        <w:footnoteReference w:id="80"/>
      </w:r>
      <w:r w:rsidR="00EC6ECB">
        <w:rPr>
          <w:noProof/>
        </w:rPr>
        <w:t>.</w:t>
      </w:r>
      <w:r w:rsidRPr="00DC621B">
        <w:rPr>
          <w:noProof/>
        </w:rPr>
        <w:t xml:space="preserve"> The taxes and levies component has been the most significant driver of retail price developments over the last decade</w:t>
      </w:r>
      <w:r w:rsidRPr="00DC621B">
        <w:rPr>
          <w:rStyle w:val="FootnoteReference"/>
          <w:noProof/>
        </w:rPr>
        <w:footnoteReference w:id="81"/>
      </w:r>
      <w:r w:rsidR="00EC6ECB">
        <w:rPr>
          <w:noProof/>
        </w:rPr>
        <w:t>.</w:t>
      </w:r>
      <w:r w:rsidRPr="00DC621B">
        <w:rPr>
          <w:noProof/>
        </w:rPr>
        <w:t xml:space="preserve"> The next section analyses in greater detail which specific policies and fiscal instruments were driving this increase. </w:t>
      </w:r>
    </w:p>
    <w:p w:rsidR="00EC1F02" w:rsidRPr="00DC621B" w:rsidRDefault="00DE6FA9" w:rsidP="00CC3399">
      <w:pPr>
        <w:keepNext/>
        <w:jc w:val="center"/>
        <w:rPr>
          <w:noProof/>
        </w:rPr>
      </w:pPr>
      <w:r w:rsidRPr="00DC621B">
        <w:rPr>
          <w:noProof/>
          <w:lang w:val="en-US"/>
        </w:rPr>
        <w:drawing>
          <wp:inline distT="0" distB="0" distL="0" distR="0" wp14:anchorId="6217B1F8" wp14:editId="4213713A">
            <wp:extent cx="5988148" cy="2082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008247" cy="2089791"/>
                    </a:xfrm>
                    <a:prstGeom prst="rect">
                      <a:avLst/>
                    </a:prstGeom>
                  </pic:spPr>
                </pic:pic>
              </a:graphicData>
            </a:graphic>
          </wp:inline>
        </w:drawing>
      </w:r>
    </w:p>
    <w:p w:rsidR="00AF5642" w:rsidRPr="00DC621B" w:rsidRDefault="00EC1F02" w:rsidP="00D646E3">
      <w:pPr>
        <w:pStyle w:val="Caption"/>
        <w:ind w:left="426"/>
        <w:jc w:val="left"/>
        <w:rPr>
          <w:noProof/>
        </w:rPr>
      </w:pPr>
      <w:bookmarkStart w:id="306" w:name="_Toc89882414"/>
      <w:bookmarkStart w:id="307" w:name="_Toc77602799"/>
      <w:bookmarkStart w:id="308" w:name="_Toc77682861"/>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2</w:t>
      </w:r>
      <w:r w:rsidR="0002695B">
        <w:rPr>
          <w:noProof/>
        </w:rPr>
        <w:fldChar w:fldCharType="end"/>
      </w:r>
      <w:r w:rsidRPr="00DC621B">
        <w:rPr>
          <w:noProof/>
        </w:rPr>
        <w:t>: Average household gas price increase</w:t>
      </w:r>
      <w:bookmarkEnd w:id="306"/>
      <w:bookmarkEnd w:id="307"/>
      <w:bookmarkEnd w:id="308"/>
    </w:p>
    <w:p w:rsidR="00AF5642" w:rsidRPr="00DC621B" w:rsidRDefault="00DE6FA9" w:rsidP="00AF5642">
      <w:pPr>
        <w:pStyle w:val="Caption"/>
        <w:rPr>
          <w:b w:val="0"/>
          <w:bCs w:val="0"/>
          <w:noProof/>
          <w:color w:val="auto"/>
          <w:sz w:val="24"/>
          <w:szCs w:val="20"/>
        </w:rPr>
      </w:pPr>
      <w:r w:rsidRPr="00DC621B">
        <w:rPr>
          <w:b w:val="0"/>
          <w:bCs w:val="0"/>
          <w:noProof/>
          <w:color w:val="auto"/>
          <w:sz w:val="24"/>
          <w:szCs w:val="20"/>
        </w:rPr>
        <w:t xml:space="preserve">The first observation on </w:t>
      </w:r>
      <w:r w:rsidRPr="00DC621B">
        <w:rPr>
          <w:bCs w:val="0"/>
          <w:noProof/>
          <w:color w:val="auto"/>
          <w:sz w:val="24"/>
          <w:szCs w:val="20"/>
        </w:rPr>
        <w:t xml:space="preserve">gas consumer prices is that these vary significantly between different </w:t>
      </w:r>
      <w:r w:rsidR="00582588" w:rsidRPr="00DC621B">
        <w:rPr>
          <w:bCs w:val="0"/>
          <w:noProof/>
          <w:color w:val="auto"/>
          <w:sz w:val="24"/>
          <w:szCs w:val="20"/>
        </w:rPr>
        <w:t>Member States</w:t>
      </w:r>
      <w:r w:rsidRPr="00DC621B">
        <w:rPr>
          <w:b w:val="0"/>
          <w:bCs w:val="0"/>
          <w:noProof/>
          <w:color w:val="auto"/>
          <w:sz w:val="24"/>
          <w:szCs w:val="20"/>
        </w:rPr>
        <w:t>. Household gas prices in 2019 remained lowest in Romania (3.4 euro cents/kWh post-tax), and highest in Sweden (11.8 euro cents/kWh), where considerably higher taxes and charges are levied. A wide range of factors contribute to this, including the sources and kinds of energy consumed, the level of regulatory intervention in price setting, differing levels of competition and the different taxes and levies applied</w:t>
      </w:r>
      <w:r w:rsidRPr="00DC621B">
        <w:rPr>
          <w:b w:val="0"/>
          <w:bCs w:val="0"/>
          <w:noProof/>
          <w:color w:val="auto"/>
          <w:sz w:val="24"/>
          <w:szCs w:val="20"/>
          <w:vertAlign w:val="superscript"/>
        </w:rPr>
        <w:footnoteReference w:id="82"/>
      </w:r>
      <w:r w:rsidR="00EC6ECB">
        <w:rPr>
          <w:b w:val="0"/>
          <w:bCs w:val="0"/>
          <w:noProof/>
          <w:color w:val="auto"/>
          <w:sz w:val="24"/>
          <w:szCs w:val="20"/>
        </w:rPr>
        <w:t>.</w:t>
      </w:r>
    </w:p>
    <w:p w:rsidR="00AF5642" w:rsidRPr="00DC621B" w:rsidRDefault="00DE6FA9" w:rsidP="00AF5642">
      <w:pPr>
        <w:pStyle w:val="Caption"/>
        <w:rPr>
          <w:b w:val="0"/>
          <w:bCs w:val="0"/>
          <w:noProof/>
          <w:color w:val="auto"/>
          <w:sz w:val="24"/>
          <w:szCs w:val="20"/>
        </w:rPr>
      </w:pPr>
      <w:r w:rsidRPr="00DC621B">
        <w:rPr>
          <w:b w:val="0"/>
          <w:bCs w:val="0"/>
          <w:noProof/>
          <w:color w:val="auto"/>
          <w:sz w:val="24"/>
          <w:szCs w:val="20"/>
        </w:rPr>
        <w:t xml:space="preserve">The second observation is that </w:t>
      </w:r>
      <w:r w:rsidRPr="00DC621B">
        <w:rPr>
          <w:bCs w:val="0"/>
          <w:noProof/>
          <w:color w:val="auto"/>
          <w:sz w:val="24"/>
          <w:szCs w:val="20"/>
        </w:rPr>
        <w:t>industrial consumers pay, in general, two to three times less for their gas than household consumers do</w:t>
      </w:r>
      <w:r w:rsidRPr="00DC621B">
        <w:rPr>
          <w:b w:val="0"/>
          <w:bCs w:val="0"/>
          <w:noProof/>
          <w:color w:val="auto"/>
          <w:sz w:val="24"/>
          <w:szCs w:val="20"/>
          <w:vertAlign w:val="superscript"/>
        </w:rPr>
        <w:footnoteReference w:id="83"/>
      </w:r>
      <w:r w:rsidR="00EC6ECB">
        <w:rPr>
          <w:b w:val="0"/>
          <w:bCs w:val="0"/>
          <w:noProof/>
          <w:color w:val="auto"/>
          <w:sz w:val="24"/>
          <w:szCs w:val="20"/>
        </w:rPr>
        <w:t>.</w:t>
      </w:r>
      <w:r w:rsidRPr="00DC621B">
        <w:rPr>
          <w:b w:val="0"/>
          <w:bCs w:val="0"/>
          <w:noProof/>
          <w:color w:val="auto"/>
          <w:sz w:val="24"/>
          <w:szCs w:val="20"/>
        </w:rPr>
        <w:t xml:space="preserve"> This is due to a number of factors, including industry</w:t>
      </w:r>
      <w:r w:rsidR="001163D4">
        <w:rPr>
          <w:b w:val="0"/>
          <w:bCs w:val="0"/>
          <w:noProof/>
          <w:color w:val="auto"/>
          <w:sz w:val="24"/>
          <w:szCs w:val="20"/>
        </w:rPr>
        <w:t>’</w:t>
      </w:r>
      <w:r w:rsidRPr="00DC621B">
        <w:rPr>
          <w:b w:val="0"/>
          <w:bCs w:val="0"/>
          <w:noProof/>
          <w:color w:val="auto"/>
          <w:sz w:val="24"/>
          <w:szCs w:val="20"/>
        </w:rPr>
        <w:t xml:space="preserve">s greater ability to benefit from scale economies (higher levels of consumption), the fact that industry is less burdened by non-contestable charges, and the fact that industry may benefit from better market information and bargaining power vis-à-vis suppliers than household consumers. </w:t>
      </w:r>
    </w:p>
    <w:p w:rsidR="00DE6FA9" w:rsidRPr="00DC621B" w:rsidRDefault="00DE6FA9" w:rsidP="00AF5642">
      <w:pPr>
        <w:pStyle w:val="Caption"/>
        <w:rPr>
          <w:b w:val="0"/>
          <w:bCs w:val="0"/>
          <w:noProof/>
          <w:color w:val="auto"/>
          <w:sz w:val="24"/>
          <w:szCs w:val="20"/>
        </w:rPr>
      </w:pPr>
      <w:r w:rsidRPr="00DC621B">
        <w:rPr>
          <w:b w:val="0"/>
          <w:bCs w:val="0"/>
          <w:noProof/>
          <w:color w:val="auto"/>
          <w:sz w:val="24"/>
          <w:szCs w:val="20"/>
        </w:rPr>
        <w:t xml:space="preserve">The third pertinent observation, illustrated in the figures </w:t>
      </w:r>
      <w:r w:rsidR="00591EA2" w:rsidRPr="00DC621B">
        <w:rPr>
          <w:b w:val="0"/>
          <w:bCs w:val="0"/>
          <w:noProof/>
          <w:color w:val="auto"/>
          <w:sz w:val="24"/>
          <w:szCs w:val="20"/>
        </w:rPr>
        <w:t xml:space="preserve">below </w:t>
      </w:r>
      <w:r w:rsidRPr="00DC621B">
        <w:rPr>
          <w:b w:val="0"/>
          <w:bCs w:val="0"/>
          <w:noProof/>
          <w:color w:val="auto"/>
          <w:sz w:val="24"/>
          <w:szCs w:val="20"/>
        </w:rPr>
        <w:t>(</w:t>
      </w:r>
      <w:r w:rsidR="00DC621B" w:rsidRPr="00DC621B">
        <w:rPr>
          <w:b w:val="0"/>
          <w:bCs w:val="0"/>
          <w:noProof/>
          <w:color w:val="auto"/>
          <w:sz w:val="24"/>
          <w:szCs w:val="20"/>
        </w:rPr>
        <w:t>F</w:t>
      </w:r>
      <w:r w:rsidRPr="00DC621B">
        <w:rPr>
          <w:b w:val="0"/>
          <w:bCs w:val="0"/>
          <w:noProof/>
          <w:color w:val="auto"/>
          <w:sz w:val="24"/>
          <w:szCs w:val="20"/>
        </w:rPr>
        <w:t xml:space="preserve">igure </w:t>
      </w:r>
      <w:r w:rsidR="00582588" w:rsidRPr="00DC621B">
        <w:rPr>
          <w:b w:val="0"/>
          <w:bCs w:val="0"/>
          <w:noProof/>
          <w:color w:val="auto"/>
          <w:sz w:val="24"/>
          <w:szCs w:val="20"/>
        </w:rPr>
        <w:t>3</w:t>
      </w:r>
      <w:r w:rsidRPr="00DC621B">
        <w:rPr>
          <w:b w:val="0"/>
          <w:bCs w:val="0"/>
          <w:noProof/>
          <w:color w:val="auto"/>
          <w:sz w:val="24"/>
          <w:szCs w:val="20"/>
        </w:rPr>
        <w:t xml:space="preserve">), is that </w:t>
      </w:r>
      <w:r w:rsidRPr="00DC621B">
        <w:rPr>
          <w:bCs w:val="0"/>
          <w:noProof/>
          <w:color w:val="auto"/>
          <w:sz w:val="24"/>
          <w:szCs w:val="20"/>
        </w:rPr>
        <w:t>gas prices for household consumers rose steadily between 2010 and 2019</w:t>
      </w:r>
      <w:r w:rsidRPr="00DC621B">
        <w:rPr>
          <w:b w:val="0"/>
          <w:bCs w:val="0"/>
          <w:noProof/>
          <w:color w:val="auto"/>
          <w:sz w:val="24"/>
          <w:szCs w:val="20"/>
        </w:rPr>
        <w:t>. Post-tax prices for gas supplied to households increased on average by 2.1%</w:t>
      </w:r>
      <w:r w:rsidRPr="00DC621B">
        <w:rPr>
          <w:b w:val="0"/>
          <w:bCs w:val="0"/>
          <w:noProof/>
          <w:color w:val="auto"/>
          <w:sz w:val="24"/>
          <w:szCs w:val="20"/>
          <w:vertAlign w:val="superscript"/>
        </w:rPr>
        <w:footnoteReference w:id="84"/>
      </w:r>
      <w:r w:rsidR="00EC6ECB">
        <w:rPr>
          <w:b w:val="0"/>
          <w:bCs w:val="0"/>
          <w:noProof/>
          <w:color w:val="auto"/>
          <w:sz w:val="24"/>
          <w:szCs w:val="20"/>
        </w:rPr>
        <w:t>.</w:t>
      </w:r>
      <w:r w:rsidR="00AF5642" w:rsidRPr="00DC621B">
        <w:rPr>
          <w:b w:val="0"/>
          <w:bCs w:val="0"/>
          <w:noProof/>
          <w:color w:val="auto"/>
          <w:sz w:val="24"/>
          <w:szCs w:val="20"/>
        </w:rPr>
        <w:t xml:space="preserve"> </w:t>
      </w:r>
      <w:r w:rsidRPr="00DC621B">
        <w:rPr>
          <w:b w:val="0"/>
          <w:bCs w:val="0"/>
          <w:noProof/>
          <w:color w:val="auto"/>
          <w:sz w:val="24"/>
          <w:szCs w:val="20"/>
        </w:rPr>
        <w:t xml:space="preserve">An analysis of the price components reveals the main drivers of rising household prices in the period 2010-2019. </w:t>
      </w:r>
      <w:r w:rsidR="00951750" w:rsidRPr="00DC621B">
        <w:rPr>
          <w:b w:val="0"/>
          <w:bCs w:val="0"/>
          <w:noProof/>
          <w:color w:val="auto"/>
          <w:sz w:val="24"/>
          <w:szCs w:val="20"/>
        </w:rPr>
        <w:t>Data</w:t>
      </w:r>
      <w:r w:rsidRPr="00DC621B">
        <w:rPr>
          <w:b w:val="0"/>
          <w:bCs w:val="0"/>
          <w:noProof/>
          <w:color w:val="auto"/>
          <w:sz w:val="24"/>
          <w:szCs w:val="20"/>
        </w:rPr>
        <w:t xml:space="preserve"> show that household gas prices were greatly influenced by non-contestable charges (i.e. taxation and network charges) in most M</w:t>
      </w:r>
      <w:r w:rsidR="00582588" w:rsidRPr="00DC621B">
        <w:rPr>
          <w:b w:val="0"/>
          <w:bCs w:val="0"/>
          <w:noProof/>
          <w:color w:val="auto"/>
          <w:sz w:val="24"/>
          <w:szCs w:val="20"/>
        </w:rPr>
        <w:t xml:space="preserve">ember </w:t>
      </w:r>
      <w:r w:rsidRPr="00DC621B">
        <w:rPr>
          <w:b w:val="0"/>
          <w:bCs w:val="0"/>
          <w:noProof/>
          <w:color w:val="auto"/>
          <w:sz w:val="24"/>
          <w:szCs w:val="20"/>
        </w:rPr>
        <w:t>S</w:t>
      </w:r>
      <w:r w:rsidR="00582588" w:rsidRPr="00DC621B">
        <w:rPr>
          <w:b w:val="0"/>
          <w:bCs w:val="0"/>
          <w:noProof/>
          <w:color w:val="auto"/>
          <w:sz w:val="24"/>
          <w:szCs w:val="20"/>
        </w:rPr>
        <w:t>tates</w:t>
      </w:r>
      <w:r w:rsidRPr="00DC621B">
        <w:rPr>
          <w:b w:val="0"/>
          <w:bCs w:val="0"/>
          <w:noProof/>
          <w:color w:val="auto"/>
          <w:sz w:val="24"/>
          <w:szCs w:val="20"/>
        </w:rPr>
        <w:t xml:space="preserve"> during this period</w:t>
      </w:r>
      <w:r w:rsidR="00951750" w:rsidRPr="00DC621B">
        <w:rPr>
          <w:b w:val="0"/>
          <w:bCs w:val="0"/>
          <w:noProof/>
          <w:color w:val="auto"/>
          <w:sz w:val="24"/>
          <w:szCs w:val="20"/>
        </w:rPr>
        <w:t xml:space="preserve"> (</w:t>
      </w:r>
      <w:r w:rsidR="00DC621B" w:rsidRPr="00DC621B">
        <w:rPr>
          <w:b w:val="0"/>
          <w:bCs w:val="0"/>
          <w:noProof/>
          <w:color w:val="auto"/>
          <w:sz w:val="24"/>
          <w:szCs w:val="20"/>
        </w:rPr>
        <w:t>F</w:t>
      </w:r>
      <w:r w:rsidR="00CC3399" w:rsidRPr="00DC621B">
        <w:rPr>
          <w:b w:val="0"/>
          <w:bCs w:val="0"/>
          <w:noProof/>
          <w:color w:val="auto"/>
          <w:sz w:val="24"/>
          <w:szCs w:val="20"/>
        </w:rPr>
        <w:t>igure 3</w:t>
      </w:r>
      <w:r w:rsidR="00951750" w:rsidRPr="00DC621B">
        <w:rPr>
          <w:b w:val="0"/>
          <w:bCs w:val="0"/>
          <w:noProof/>
          <w:color w:val="auto"/>
          <w:sz w:val="24"/>
          <w:szCs w:val="20"/>
        </w:rPr>
        <w:t>)</w:t>
      </w:r>
      <w:r w:rsidRPr="00DC621B">
        <w:rPr>
          <w:b w:val="0"/>
          <w:bCs w:val="0"/>
          <w:noProof/>
          <w:color w:val="auto"/>
          <w:sz w:val="24"/>
          <w:szCs w:val="20"/>
        </w:rPr>
        <w:t xml:space="preserve">. </w:t>
      </w:r>
    </w:p>
    <w:p w:rsidR="00CC3399" w:rsidRPr="00DC621B" w:rsidRDefault="00DE6FA9" w:rsidP="00CC3399">
      <w:pPr>
        <w:keepNext/>
        <w:rPr>
          <w:noProof/>
        </w:rPr>
      </w:pPr>
      <w:r w:rsidRPr="00DC621B">
        <w:rPr>
          <w:noProof/>
          <w:lang w:val="en-US"/>
        </w:rPr>
        <w:drawing>
          <wp:inline distT="0" distB="0" distL="0" distR="0" wp14:anchorId="7EEB9AC1" wp14:editId="2F9CD267">
            <wp:extent cx="5050302" cy="1592137"/>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03094" cy="1608780"/>
                    </a:xfrm>
                    <a:prstGeom prst="rect">
                      <a:avLst/>
                    </a:prstGeom>
                  </pic:spPr>
                </pic:pic>
              </a:graphicData>
            </a:graphic>
          </wp:inline>
        </w:drawing>
      </w:r>
    </w:p>
    <w:p w:rsidR="00DE6FA9" w:rsidRPr="00DC621B" w:rsidRDefault="00CC3399" w:rsidP="00CC3399">
      <w:pPr>
        <w:pStyle w:val="Caption"/>
        <w:jc w:val="center"/>
        <w:rPr>
          <w:noProof/>
        </w:rPr>
      </w:pPr>
      <w:bookmarkStart w:id="309" w:name="_Toc77602800"/>
      <w:bookmarkStart w:id="310" w:name="_Toc77682862"/>
      <w:bookmarkStart w:id="311" w:name="_Toc89882415"/>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3</w:t>
      </w:r>
      <w:r w:rsidR="0002695B">
        <w:rPr>
          <w:noProof/>
        </w:rPr>
        <w:fldChar w:fldCharType="end"/>
      </w:r>
      <w:r w:rsidRPr="00DC621B">
        <w:rPr>
          <w:noProof/>
        </w:rPr>
        <w:t>: Composition of the EU household gas price (DC)</w:t>
      </w:r>
      <w:bookmarkEnd w:id="309"/>
      <w:bookmarkEnd w:id="310"/>
      <w:bookmarkEnd w:id="311"/>
    </w:p>
    <w:p w:rsidR="00DE6FA9" w:rsidRPr="00DC621B" w:rsidRDefault="00DE6FA9" w:rsidP="796E43CC">
      <w:pPr>
        <w:keepNext/>
        <w:rPr>
          <w:noProof/>
          <w:szCs w:val="24"/>
        </w:rPr>
      </w:pPr>
      <w:r w:rsidRPr="00DC621B">
        <w:rPr>
          <w:noProof/>
        </w:rPr>
        <w:t xml:space="preserve">The composition of gas prices changed from 2010 until 2019. The energy component increased at an annual rate of 0.8% and reached 30 </w:t>
      </w:r>
      <w:r w:rsidR="005D541B">
        <w:rPr>
          <w:noProof/>
        </w:rPr>
        <w:t>EUR</w:t>
      </w:r>
      <w:r w:rsidRPr="00DC621B">
        <w:rPr>
          <w:noProof/>
        </w:rPr>
        <w:t>/MWh in 2019, whilst the network charges and taxes increased annually for household gas consumers by 2.6% and 3.6%, respectively</w:t>
      </w:r>
      <w:r w:rsidRPr="00EC6ECB">
        <w:rPr>
          <w:rStyle w:val="FootnoteReference"/>
          <w:noProof/>
        </w:rPr>
        <w:footnoteReference w:id="85"/>
      </w:r>
      <w:r w:rsidR="00EC6ECB" w:rsidRPr="00C134D1">
        <w:rPr>
          <w:bCs/>
          <w:noProof/>
        </w:rPr>
        <w:t>.</w:t>
      </w:r>
      <w:r w:rsidRPr="00DC621B">
        <w:rPr>
          <w:noProof/>
        </w:rPr>
        <w:t xml:space="preserve"> In 2019, these non-contestable charges make up, on average, 55% of the total household gas bill. Taxes and levies remain as such the most important cause of differences in retail prices across Member States due to the varied nature of Member States’ policies and fiscal instruments affecting the taxation of gas consumption</w:t>
      </w:r>
      <w:r w:rsidRPr="00DC621B">
        <w:rPr>
          <w:rStyle w:val="FootnoteReference"/>
          <w:noProof/>
        </w:rPr>
        <w:footnoteReference w:id="86"/>
      </w:r>
      <w:r w:rsidR="00EC6ECB">
        <w:rPr>
          <w:noProof/>
        </w:rPr>
        <w:t>.</w:t>
      </w:r>
    </w:p>
    <w:p w:rsidR="00DE6FA9" w:rsidRPr="00DC621B" w:rsidRDefault="00DE6FA9" w:rsidP="796E43CC">
      <w:pPr>
        <w:rPr>
          <w:b/>
          <w:bCs/>
          <w:i/>
          <w:iCs/>
          <w:noProof/>
        </w:rPr>
      </w:pPr>
      <w:r w:rsidRPr="00DC621B">
        <w:rPr>
          <w:b/>
          <w:bCs/>
          <w:i/>
          <w:iCs/>
          <w:noProof/>
        </w:rPr>
        <w:t>Retail gas markets for households remain concentrated in most Member States</w:t>
      </w:r>
    </w:p>
    <w:p w:rsidR="00DE6FA9" w:rsidRPr="00DC621B" w:rsidRDefault="00DE6FA9" w:rsidP="00023C24">
      <w:pPr>
        <w:rPr>
          <w:noProof/>
        </w:rPr>
      </w:pPr>
      <w:r w:rsidRPr="00DC621B">
        <w:rPr>
          <w:noProof/>
        </w:rPr>
        <w:t xml:space="preserve">Overall, the </w:t>
      </w:r>
      <w:r w:rsidR="00FF4FF4" w:rsidRPr="00DC621B">
        <w:rPr>
          <w:noProof/>
        </w:rPr>
        <w:t xml:space="preserve">average market share of the three largest supplier </w:t>
      </w:r>
      <w:r w:rsidRPr="00DC621B">
        <w:rPr>
          <w:noProof/>
        </w:rPr>
        <w:t>seems to show a downward trend. However, performances by the Member States are rather differentiated</w:t>
      </w:r>
      <w:r w:rsidRPr="00DC621B">
        <w:rPr>
          <w:rStyle w:val="FootnoteReference"/>
          <w:noProof/>
        </w:rPr>
        <w:footnoteReference w:id="87"/>
      </w:r>
      <w:r w:rsidR="00EC6ECB">
        <w:rPr>
          <w:noProof/>
        </w:rPr>
        <w:t>.</w:t>
      </w:r>
    </w:p>
    <w:p w:rsidR="00DE6FA9" w:rsidRPr="00DC621B" w:rsidRDefault="00DE6FA9" w:rsidP="796E43CC">
      <w:pPr>
        <w:rPr>
          <w:noProof/>
        </w:rPr>
      </w:pPr>
      <w:r w:rsidRPr="00DC621B">
        <w:rPr>
          <w:noProof/>
        </w:rPr>
        <w:t>Member States like Germany, Italy, Czech Republic</w:t>
      </w:r>
      <w:r w:rsidR="00D24F1C" w:rsidRPr="00DC621B">
        <w:rPr>
          <w:noProof/>
        </w:rPr>
        <w:t xml:space="preserve"> </w:t>
      </w:r>
      <w:r w:rsidRPr="00DC621B">
        <w:rPr>
          <w:noProof/>
        </w:rPr>
        <w:t>and Romania have a high number of suppliers with a market share below 1% on the gas market. For some Member States such as Germany and Italy, this implies the numerous presence of local or regional suppliers. However, for countries such as Czech Republic and Romania, such a logic does not hold, as all of the suppliers are active nationwide.</w:t>
      </w:r>
    </w:p>
    <w:p w:rsidR="00DE6FA9" w:rsidRPr="00DC621B" w:rsidRDefault="00DE6FA9" w:rsidP="796E43CC">
      <w:pPr>
        <w:rPr>
          <w:noProof/>
        </w:rPr>
      </w:pPr>
      <w:r w:rsidRPr="00DC621B">
        <w:rPr>
          <w:noProof/>
        </w:rPr>
        <w:t>The cumulative market shares of the three largest gas suppliers for households is more than 70% in the majority of countries, including those with a large number of nationwide suppliers</w:t>
      </w:r>
      <w:r w:rsidR="00A60536" w:rsidRPr="00DC621B">
        <w:rPr>
          <w:rStyle w:val="FootnoteReference"/>
          <w:noProof/>
        </w:rPr>
        <w:footnoteReference w:id="88"/>
      </w:r>
      <w:r w:rsidR="00EC6ECB">
        <w:rPr>
          <w:noProof/>
        </w:rPr>
        <w:t>.</w:t>
      </w:r>
      <w:r w:rsidR="00A60536" w:rsidRPr="00DC621B">
        <w:rPr>
          <w:noProof/>
        </w:rPr>
        <w:t xml:space="preserve"> </w:t>
      </w:r>
      <w:r w:rsidRPr="00DC621B">
        <w:rPr>
          <w:noProof/>
        </w:rPr>
        <w:t xml:space="preserve">As a result, the retail household market for small competitors is above 30% in only </w:t>
      </w:r>
      <w:r w:rsidR="005D541B">
        <w:rPr>
          <w:noProof/>
        </w:rPr>
        <w:t>five</w:t>
      </w:r>
      <w:r w:rsidRPr="00DC621B">
        <w:rPr>
          <w:noProof/>
        </w:rPr>
        <w:t xml:space="preserve"> out of 25 countries in gas, while the rest of the market is held by three dominant suppliers. CR3</w:t>
      </w:r>
      <w:r w:rsidR="004858D7" w:rsidRPr="00DC621B">
        <w:rPr>
          <w:rStyle w:val="FootnoteReference"/>
          <w:noProof/>
        </w:rPr>
        <w:footnoteReference w:id="89"/>
      </w:r>
      <w:r w:rsidRPr="00DC621B">
        <w:rPr>
          <w:noProof/>
        </w:rPr>
        <w:t xml:space="preserve"> values above 70% and low numbers of main suppliers are indicative of possible competition problems.</w:t>
      </w:r>
    </w:p>
    <w:p w:rsidR="00023C24" w:rsidRPr="00DC621B" w:rsidRDefault="00DE6FA9" w:rsidP="00951750">
      <w:pPr>
        <w:rPr>
          <w:noProof/>
        </w:rPr>
      </w:pPr>
      <w:r w:rsidRPr="00DC621B">
        <w:rPr>
          <w:noProof/>
        </w:rPr>
        <w:t xml:space="preserve">As regards the general trend, data </w:t>
      </w:r>
      <w:r w:rsidR="00333959" w:rsidRPr="00DC621B">
        <w:rPr>
          <w:noProof/>
        </w:rPr>
        <w:t xml:space="preserve">suggests </w:t>
      </w:r>
      <w:r w:rsidRPr="00DC621B">
        <w:rPr>
          <w:noProof/>
        </w:rPr>
        <w:t>that there has been little change in these CR3 values since 2009, with decreases of 10% or more recorded only in the Czech Republic’s and Spanish gas household markets. The comparable CR3 data for retail markets for non-households show that non-household markets are much less concentrated than household markets in many Member States.</w:t>
      </w:r>
      <w:r w:rsidR="00023C24" w:rsidRPr="00DC621B">
        <w:rPr>
          <w:noProof/>
        </w:rPr>
        <w:t xml:space="preserve"> </w:t>
      </w:r>
    </w:p>
    <w:p w:rsidR="00DE6FA9" w:rsidRPr="00DC621B" w:rsidRDefault="00DE6FA9" w:rsidP="00951750">
      <w:pPr>
        <w:rPr>
          <w:noProof/>
          <w:szCs w:val="24"/>
        </w:rPr>
      </w:pPr>
      <w:r w:rsidRPr="00DC621B">
        <w:rPr>
          <w:noProof/>
        </w:rPr>
        <w:t>To summarize, retail gas markets for households are highly concentrated in more than 2/3 of M</w:t>
      </w:r>
      <w:r w:rsidR="008E1E86" w:rsidRPr="00DC621B">
        <w:rPr>
          <w:noProof/>
        </w:rPr>
        <w:t xml:space="preserve">ember </w:t>
      </w:r>
      <w:r w:rsidRPr="00DC621B">
        <w:rPr>
          <w:noProof/>
        </w:rPr>
        <w:t>S</w:t>
      </w:r>
      <w:r w:rsidR="008E1E86" w:rsidRPr="00DC621B">
        <w:rPr>
          <w:noProof/>
        </w:rPr>
        <w:t>tates</w:t>
      </w:r>
      <w:r w:rsidRPr="00DC621B">
        <w:rPr>
          <w:noProof/>
        </w:rPr>
        <w:t xml:space="preserve"> – a situation that has remained largely unchanged for the last years. In the non-household sector, market concentration is less pronounced, although still generally high.</w:t>
      </w:r>
    </w:p>
    <w:p w:rsidR="00DE6FA9" w:rsidRPr="00DC621B" w:rsidRDefault="00DE6FA9" w:rsidP="796E43CC">
      <w:pPr>
        <w:keepNext/>
        <w:rPr>
          <w:noProof/>
          <w:szCs w:val="24"/>
        </w:rPr>
      </w:pPr>
      <w:r w:rsidRPr="00DC621B">
        <w:rPr>
          <w:b/>
          <w:bCs/>
          <w:i/>
          <w:iCs/>
          <w:noProof/>
        </w:rPr>
        <w:t>Whilst the variety of products is improving in some dimensions, it is lagging in others</w:t>
      </w:r>
    </w:p>
    <w:p w:rsidR="00DE6FA9" w:rsidRPr="00DC621B" w:rsidRDefault="00DE6FA9" w:rsidP="00611460">
      <w:pPr>
        <w:keepNext/>
        <w:rPr>
          <w:b/>
          <w:bCs/>
          <w:noProof/>
          <w:sz w:val="20"/>
        </w:rPr>
      </w:pPr>
      <w:r w:rsidRPr="00DC621B">
        <w:rPr>
          <w:noProof/>
        </w:rPr>
        <w:t xml:space="preserve">Although low prices are the most commonly thought of way for firms to attract consumers, firms may also seek to distinguish their products by other means. </w:t>
      </w:r>
      <w:r w:rsidR="00FF4FF4" w:rsidRPr="00DC621B">
        <w:rPr>
          <w:noProof/>
        </w:rPr>
        <w:t xml:space="preserve">Whilst </w:t>
      </w:r>
      <w:r w:rsidRPr="00DC621B">
        <w:rPr>
          <w:noProof/>
        </w:rPr>
        <w:t xml:space="preserve">challenging to quantify precisely, the data suggest that </w:t>
      </w:r>
      <w:r w:rsidR="001163D4">
        <w:rPr>
          <w:noProof/>
        </w:rPr>
        <w:t>‘</w:t>
      </w:r>
      <w:r w:rsidRPr="00DC621B">
        <w:rPr>
          <w:noProof/>
        </w:rPr>
        <w:t>choice</w:t>
      </w:r>
      <w:r w:rsidR="001163D4">
        <w:rPr>
          <w:noProof/>
        </w:rPr>
        <w:t>’</w:t>
      </w:r>
      <w:r w:rsidRPr="00DC621B">
        <w:rPr>
          <w:noProof/>
        </w:rPr>
        <w:t xml:space="preserve"> for consumers in European capitals widened between 2012-2014</w:t>
      </w:r>
      <w:r w:rsidRPr="00DC621B">
        <w:rPr>
          <w:rStyle w:val="FootnoteReference"/>
          <w:noProof/>
        </w:rPr>
        <w:footnoteReference w:id="90"/>
      </w:r>
      <w:r w:rsidRPr="00DC621B">
        <w:rPr>
          <w:noProof/>
        </w:rPr>
        <w:t xml:space="preserve"> and 2018-2019</w:t>
      </w:r>
      <w:r w:rsidRPr="00DC621B">
        <w:rPr>
          <w:rStyle w:val="FootnoteReference"/>
          <w:noProof/>
        </w:rPr>
        <w:footnoteReference w:id="91"/>
      </w:r>
      <w:r w:rsidRPr="00DC621B">
        <w:rPr>
          <w:noProof/>
        </w:rPr>
        <w:t>. The increasing diversity and variety of offers is a sign of more innovation in the sector, and helps raise consumer interest in the market.</w:t>
      </w:r>
    </w:p>
    <w:p w:rsidR="00572CD4" w:rsidRPr="00DC621B" w:rsidRDefault="00FC6166" w:rsidP="00572CD4">
      <w:pPr>
        <w:keepNext/>
        <w:rPr>
          <w:noProof/>
        </w:rPr>
      </w:pPr>
      <w:r w:rsidRPr="00DC621B">
        <w:rPr>
          <w:noProof/>
        </w:rPr>
        <w:t>Although</w:t>
      </w:r>
      <w:r w:rsidR="00572CD4" w:rsidRPr="00DC621B">
        <w:rPr>
          <w:noProof/>
        </w:rPr>
        <w:t xml:space="preserve"> </w:t>
      </w:r>
      <w:r w:rsidR="008E1E86" w:rsidRPr="00DC621B">
        <w:rPr>
          <w:noProof/>
        </w:rPr>
        <w:t xml:space="preserve">fixed, mixed, variable, online and green offers </w:t>
      </w:r>
      <w:r w:rsidR="00572CD4" w:rsidRPr="00DC621B">
        <w:rPr>
          <w:noProof/>
        </w:rPr>
        <w:t xml:space="preserve">are still the most available products on the European gas markets, recent data suggests a downwards trend between 2018 and 2019 in availability of </w:t>
      </w:r>
      <w:r w:rsidR="008E1E86" w:rsidRPr="00DC621B">
        <w:rPr>
          <w:noProof/>
        </w:rPr>
        <w:t>these products</w:t>
      </w:r>
      <w:r w:rsidR="004A3DBF" w:rsidRPr="00DC621B">
        <w:rPr>
          <w:noProof/>
        </w:rPr>
        <w:t xml:space="preserve">. </w:t>
      </w:r>
      <w:r w:rsidR="00572CD4" w:rsidRPr="00DC621B">
        <w:rPr>
          <w:noProof/>
        </w:rPr>
        <w:t xml:space="preserve">The type of pricing of the offer (i.e. fixed, spot-based or variable) remains one of the most visible features of energy products. </w:t>
      </w:r>
      <w:r w:rsidR="00733F38" w:rsidRPr="00DC621B">
        <w:rPr>
          <w:noProof/>
        </w:rPr>
        <w:t>Whilst</w:t>
      </w:r>
      <w:r w:rsidR="00572CD4" w:rsidRPr="00DC621B">
        <w:rPr>
          <w:noProof/>
        </w:rPr>
        <w:t xml:space="preserve"> there is diversity in this dimension, there is certainly scope for improvement. Fixed-price offers still account for the majority of all gas offers in Europe.</w:t>
      </w:r>
    </w:p>
    <w:p w:rsidR="00DE6FA9" w:rsidRPr="00DC621B" w:rsidRDefault="00DE6FA9" w:rsidP="00DE6FA9">
      <w:pPr>
        <w:keepNext/>
        <w:rPr>
          <w:noProof/>
        </w:rPr>
      </w:pPr>
      <w:r w:rsidRPr="00DC621B">
        <w:rPr>
          <w:noProof/>
        </w:rPr>
        <w:t>Furthermore, there are positive developments observable in terms of availability of offer type in the Member States. There were ten more types of offers available in 2019 in comparison to 2018, with social offers being increasingly available in Member States (from two to eight Member States by 2019). In addition, Member States have also reported the introduction of offers with different pricing options, monetary or additional service</w:t>
      </w:r>
      <w:r w:rsidRPr="00DC621B">
        <w:rPr>
          <w:rStyle w:val="FootnoteReference"/>
          <w:noProof/>
        </w:rPr>
        <w:footnoteReference w:id="92"/>
      </w:r>
      <w:r w:rsidR="00EC6ECB">
        <w:rPr>
          <w:noProof/>
        </w:rPr>
        <w:t>.</w:t>
      </w:r>
    </w:p>
    <w:p w:rsidR="00DE6FA9" w:rsidRPr="00DC621B" w:rsidRDefault="00DE6FA9" w:rsidP="00023F90">
      <w:pPr>
        <w:keepNext/>
        <w:rPr>
          <w:noProof/>
        </w:rPr>
      </w:pPr>
      <w:r w:rsidRPr="00DC621B">
        <w:rPr>
          <w:b/>
          <w:bCs/>
          <w:i/>
          <w:iCs/>
          <w:noProof/>
        </w:rPr>
        <w:t>Many Member States still practice some form of price regulation</w:t>
      </w:r>
      <w:r w:rsidR="00733F38" w:rsidRPr="00DC621B">
        <w:rPr>
          <w:rStyle w:val="FootnoteReference"/>
          <w:noProof/>
        </w:rPr>
        <w:footnoteReference w:id="93"/>
      </w:r>
    </w:p>
    <w:p w:rsidR="00DE6FA9" w:rsidRPr="00DC621B" w:rsidRDefault="00DE6FA9" w:rsidP="796E43CC">
      <w:pPr>
        <w:rPr>
          <w:noProof/>
        </w:rPr>
      </w:pPr>
      <w:r w:rsidRPr="00DC621B">
        <w:rPr>
          <w:noProof/>
        </w:rPr>
        <w:t>Today, regulated offers are present in 15</w:t>
      </w:r>
      <w:r w:rsidRPr="00DC621B">
        <w:rPr>
          <w:rStyle w:val="FootnoteReference"/>
          <w:noProof/>
        </w:rPr>
        <w:footnoteReference w:id="94"/>
      </w:r>
      <w:r w:rsidRPr="00DC621B">
        <w:rPr>
          <w:noProof/>
        </w:rPr>
        <w:t xml:space="preserve"> out of 27 gas markets</w:t>
      </w:r>
      <w:r w:rsidR="009A4AA3" w:rsidRPr="00DC621B">
        <w:rPr>
          <w:rStyle w:val="FootnoteReference"/>
          <w:noProof/>
        </w:rPr>
        <w:footnoteReference w:id="95"/>
      </w:r>
      <w:r w:rsidR="00EC6ECB">
        <w:rPr>
          <w:noProof/>
        </w:rPr>
        <w:t>.</w:t>
      </w:r>
      <w:r w:rsidRPr="00DC621B">
        <w:rPr>
          <w:noProof/>
        </w:rPr>
        <w:t xml:space="preserve"> The regulation of gas prices limits consumer choice,</w:t>
      </w:r>
      <w:r w:rsidRPr="00DC621B">
        <w:rPr>
          <w:b/>
          <w:bCs/>
          <w:noProof/>
        </w:rPr>
        <w:t xml:space="preserve"> </w:t>
      </w:r>
      <w:r w:rsidRPr="00DC621B">
        <w:rPr>
          <w:noProof/>
        </w:rPr>
        <w:t>restricts competition, and discourages investment</w:t>
      </w:r>
      <w:r w:rsidR="008E1E86" w:rsidRPr="00DC621B">
        <w:rPr>
          <w:noProof/>
        </w:rPr>
        <w:t>s</w:t>
      </w:r>
      <w:r w:rsidRPr="00DC621B">
        <w:rPr>
          <w:noProof/>
        </w:rPr>
        <w:t xml:space="preserve">. This is particularly true for markets where retail end-user prices are set below costs (i.e. without taking into consideration wholesale market prices and other supply costs). In general, EU gas markets show a higher penetration of price regulation among residual customers and </w:t>
      </w:r>
      <w:r w:rsidR="00733F38" w:rsidRPr="00DC621B">
        <w:rPr>
          <w:noProof/>
        </w:rPr>
        <w:t xml:space="preserve">low </w:t>
      </w:r>
      <w:r w:rsidRPr="00DC621B">
        <w:rPr>
          <w:noProof/>
        </w:rPr>
        <w:t>mark-up</w:t>
      </w:r>
      <w:r w:rsidR="00733F38" w:rsidRPr="00DC621B">
        <w:rPr>
          <w:noProof/>
        </w:rPr>
        <w:t>s</w:t>
      </w:r>
      <w:r w:rsidRPr="00DC621B">
        <w:rPr>
          <w:noProof/>
        </w:rPr>
        <w:t xml:space="preserve"> of the regulated offer because regulated prices are more commonly set below competitive levels</w:t>
      </w:r>
      <w:r w:rsidRPr="00DC621B">
        <w:rPr>
          <w:rStyle w:val="FootnoteReference"/>
          <w:noProof/>
        </w:rPr>
        <w:footnoteReference w:id="96"/>
      </w:r>
      <w:r w:rsidR="00EC6ECB">
        <w:rPr>
          <w:noProof/>
        </w:rPr>
        <w:t>.</w:t>
      </w:r>
      <w:r w:rsidRPr="00DC621B">
        <w:rPr>
          <w:noProof/>
        </w:rPr>
        <w:t xml:space="preserve"> </w:t>
      </w:r>
      <w:r w:rsidR="00733F38" w:rsidRPr="00DC621B">
        <w:rPr>
          <w:noProof/>
        </w:rPr>
        <w:t>Data</w:t>
      </w:r>
      <w:r w:rsidRPr="00DC621B">
        <w:rPr>
          <w:noProof/>
        </w:rPr>
        <w:t xml:space="preserve"> shows that the combination of the high share of the customers with regulated price and the low margin of the regulated offer may lead to market foreclosure in Latvia, Hungary, Romania, Croatia, Bulgaria, Slovakia and Poland. In five countries, price regulation leaves some space for market competition but may prevent entry by reducing the contestable part of the market</w:t>
      </w:r>
      <w:r w:rsidRPr="00DC621B">
        <w:rPr>
          <w:rStyle w:val="FootnoteReference"/>
          <w:noProof/>
        </w:rPr>
        <w:footnoteReference w:id="97"/>
      </w:r>
      <w:r w:rsidR="00EC6ECB">
        <w:rPr>
          <w:noProof/>
        </w:rPr>
        <w:t>.</w:t>
      </w:r>
    </w:p>
    <w:p w:rsidR="00DE6FA9" w:rsidRPr="00DC621B" w:rsidRDefault="00DE6FA9" w:rsidP="796E43CC">
      <w:pPr>
        <w:rPr>
          <w:noProof/>
        </w:rPr>
      </w:pPr>
      <w:r w:rsidRPr="00DC621B">
        <w:rPr>
          <w:noProof/>
        </w:rPr>
        <w:t>Infringement procedures have been launched to address the most serious market distortions created by the regulation of prices in favour of larger and potentially most active consumers, including industry sector and commercial and public services,</w:t>
      </w:r>
      <w:r w:rsidRPr="00DC621B">
        <w:rPr>
          <w:noProof/>
          <w:sz w:val="20"/>
        </w:rPr>
        <w:t xml:space="preserve"> </w:t>
      </w:r>
      <w:r w:rsidRPr="00DC621B">
        <w:rPr>
          <w:noProof/>
        </w:rPr>
        <w:t>who use the majority of the energy sold on the European market (53% of the total gas consumption in 2017)</w:t>
      </w:r>
      <w:r w:rsidRPr="00DC621B">
        <w:rPr>
          <w:rStyle w:val="FootnoteReference"/>
          <w:noProof/>
        </w:rPr>
        <w:footnoteReference w:id="98"/>
      </w:r>
      <w:r w:rsidR="00EC6ECB">
        <w:rPr>
          <w:noProof/>
        </w:rPr>
        <w:t>.</w:t>
      </w:r>
      <w:r w:rsidRPr="00DC621B">
        <w:rPr>
          <w:noProof/>
        </w:rPr>
        <w:t xml:space="preserve"> In parallel, the Commission has opted initially for an informal approach via bilateral consultations with Member States to discuss reasonable and sustainable alternatives to price regulation and accompanying support for vulnerable consumers. However, infringement actions against price regulation for households are not excluded in the follow-up to informal consultations. </w:t>
      </w:r>
    </w:p>
    <w:p w:rsidR="00CE5C79" w:rsidRPr="00DC621B" w:rsidRDefault="007E517C" w:rsidP="00CE5C79">
      <w:pPr>
        <w:spacing w:before="200"/>
        <w:rPr>
          <w:rFonts w:eastAsia="Calibri"/>
          <w:b/>
          <w:bCs/>
          <w:i/>
          <w:iCs/>
          <w:noProof/>
        </w:rPr>
      </w:pPr>
      <w:r w:rsidRPr="00DC621B">
        <w:rPr>
          <w:rFonts w:eastAsia="Calibri"/>
          <w:b/>
          <w:bCs/>
          <w:i/>
          <w:iCs/>
          <w:noProof/>
        </w:rPr>
        <w:t>Investments (pipelines)</w:t>
      </w:r>
    </w:p>
    <w:p w:rsidR="00A237CC" w:rsidRPr="00DC621B" w:rsidRDefault="00886A07" w:rsidP="00023F90">
      <w:pPr>
        <w:keepNext/>
        <w:rPr>
          <w:rFonts w:eastAsia="Calibri"/>
          <w:b/>
          <w:bCs/>
          <w:i/>
          <w:iCs/>
          <w:noProof/>
        </w:rPr>
      </w:pPr>
      <w:r w:rsidRPr="00DC621B">
        <w:rPr>
          <w:noProof/>
        </w:rPr>
        <w:t xml:space="preserve">The 2011 </w:t>
      </w:r>
      <w:r w:rsidR="00185F32">
        <w:rPr>
          <w:noProof/>
        </w:rPr>
        <w:t>I</w:t>
      </w:r>
      <w:r w:rsidRPr="00DC621B">
        <w:rPr>
          <w:noProof/>
        </w:rPr>
        <w:t xml:space="preserve">mpact </w:t>
      </w:r>
      <w:r w:rsidR="00185F32">
        <w:rPr>
          <w:noProof/>
        </w:rPr>
        <w:t>A</w:t>
      </w:r>
      <w:r w:rsidR="00A237CC" w:rsidRPr="00DC621B">
        <w:rPr>
          <w:noProof/>
        </w:rPr>
        <w:t>ssessment</w:t>
      </w:r>
      <w:r w:rsidRPr="00DC621B">
        <w:rPr>
          <w:noProof/>
        </w:rPr>
        <w:t xml:space="preserve"> for the TEN-E Regulation identified an investment need</w:t>
      </w:r>
      <w:r w:rsidR="00A237CC" w:rsidRPr="00DC621B">
        <w:rPr>
          <w:noProof/>
        </w:rPr>
        <w:t xml:space="preserve"> for</w:t>
      </w:r>
      <w:r w:rsidRPr="00DC621B">
        <w:rPr>
          <w:noProof/>
        </w:rPr>
        <w:t xml:space="preserve"> gas networks in </w:t>
      </w:r>
      <w:r w:rsidR="00A237CC" w:rsidRPr="00DC621B">
        <w:rPr>
          <w:noProof/>
        </w:rPr>
        <w:t>the period 2011-2020 of</w:t>
      </w:r>
      <w:r w:rsidRPr="00DC621B">
        <w:rPr>
          <w:noProof/>
        </w:rPr>
        <w:t xml:space="preserve"> EUR 89 billion, with EUR 67.8 billion not yet having received a final investment decision even though the projects are very important to enhancing the security of gas supply. (Significantly) more than EUR 10 billion worth of projects were at risk. </w:t>
      </w:r>
      <w:r w:rsidR="00A237CC" w:rsidRPr="00DC621B">
        <w:rPr>
          <w:noProof/>
        </w:rPr>
        <w:t xml:space="preserve">The </w:t>
      </w:r>
      <w:r w:rsidR="007A580A" w:rsidRPr="00DC621B">
        <w:rPr>
          <w:noProof/>
        </w:rPr>
        <w:t xml:space="preserve">study supporting the </w:t>
      </w:r>
      <w:r w:rsidR="00185F32">
        <w:rPr>
          <w:noProof/>
        </w:rPr>
        <w:t>I</w:t>
      </w:r>
      <w:r w:rsidR="00A237CC" w:rsidRPr="00DC621B">
        <w:rPr>
          <w:noProof/>
        </w:rPr>
        <w:t xml:space="preserve">mpact </w:t>
      </w:r>
      <w:r w:rsidR="00185F32">
        <w:rPr>
          <w:noProof/>
        </w:rPr>
        <w:t>A</w:t>
      </w:r>
      <w:r w:rsidR="00A237CC" w:rsidRPr="00DC621B">
        <w:rPr>
          <w:noProof/>
        </w:rPr>
        <w:t xml:space="preserve">ssessment for the revision of the TEN-E Regulation found that the </w:t>
      </w:r>
      <w:r w:rsidRPr="00DC621B">
        <w:rPr>
          <w:noProof/>
        </w:rPr>
        <w:t>total amount of funding</w:t>
      </w:r>
      <w:r w:rsidR="007A580A" w:rsidRPr="00DC621B">
        <w:rPr>
          <w:noProof/>
        </w:rPr>
        <w:t xml:space="preserve"> realised</w:t>
      </w:r>
      <w:r w:rsidRPr="00DC621B">
        <w:rPr>
          <w:noProof/>
        </w:rPr>
        <w:t xml:space="preserve"> for gas PCI projects summed up to EUR 1</w:t>
      </w:r>
      <w:r w:rsidR="005D541B">
        <w:rPr>
          <w:noProof/>
        </w:rPr>
        <w:t xml:space="preserve"> </w:t>
      </w:r>
      <w:r w:rsidRPr="00DC621B">
        <w:rPr>
          <w:noProof/>
        </w:rPr>
        <w:t>500 million</w:t>
      </w:r>
      <w:r w:rsidRPr="00DC621B">
        <w:rPr>
          <w:rStyle w:val="FootnoteReference"/>
          <w:noProof/>
        </w:rPr>
        <w:footnoteReference w:id="99"/>
      </w:r>
      <w:r w:rsidR="00EC6ECB">
        <w:rPr>
          <w:noProof/>
        </w:rPr>
        <w:t>.</w:t>
      </w:r>
      <w:r w:rsidRPr="00DC621B">
        <w:rPr>
          <w:noProof/>
        </w:rPr>
        <w:t xml:space="preserve"> </w:t>
      </w:r>
    </w:p>
    <w:p w:rsidR="00A237CC" w:rsidRPr="00DC621B" w:rsidRDefault="00A237CC" w:rsidP="00130974">
      <w:pPr>
        <w:keepNext/>
        <w:rPr>
          <w:noProof/>
        </w:rPr>
      </w:pPr>
      <w:r w:rsidRPr="00DC621B">
        <w:rPr>
          <w:noProof/>
        </w:rPr>
        <w:t xml:space="preserve">The reasons for investing into infrastructure are different and ranged from market driven investments, to security of supply required investment (e.g. to enable physical reverse flow or to reach the N-1 infrastructure standard) to investments identified in national network development plans as required for the system on the basis of gas demand and supply scenarios that were expected to materialise. </w:t>
      </w:r>
    </w:p>
    <w:p w:rsidR="00886A07" w:rsidRPr="00DC621B" w:rsidRDefault="00A237CC" w:rsidP="796E43CC">
      <w:pPr>
        <w:spacing w:after="200"/>
        <w:rPr>
          <w:rFonts w:eastAsia="Calibri"/>
          <w:b/>
          <w:bCs/>
          <w:i/>
          <w:iCs/>
          <w:noProof/>
        </w:rPr>
      </w:pPr>
      <w:r w:rsidRPr="00DC621B">
        <w:rPr>
          <w:noProof/>
        </w:rPr>
        <w:t>While there is little indication for underinvestment, some stakeholders rather point to an overestimation of gas demand, which led to overinvestments including a risk of future stranded assets. I</w:t>
      </w:r>
      <w:r w:rsidR="002D3955" w:rsidRPr="00DC621B">
        <w:rPr>
          <w:noProof/>
        </w:rPr>
        <w:t>n any case</w:t>
      </w:r>
      <w:r w:rsidR="00C12C4D" w:rsidRPr="00DC621B">
        <w:rPr>
          <w:noProof/>
        </w:rPr>
        <w:t>,</w:t>
      </w:r>
      <w:r w:rsidR="002D3955" w:rsidRPr="00DC621B">
        <w:rPr>
          <w:noProof/>
        </w:rPr>
        <w:t xml:space="preserve"> the rules on network investment effectively prevented underinvestment.</w:t>
      </w:r>
    </w:p>
    <w:p w:rsidR="00CE5C79" w:rsidRPr="00DC621B" w:rsidRDefault="007E517C" w:rsidP="00202717">
      <w:pPr>
        <w:spacing w:before="120" w:after="0"/>
        <w:jc w:val="left"/>
        <w:rPr>
          <w:rFonts w:eastAsia="Calibri"/>
          <w:b/>
          <w:bCs/>
          <w:i/>
          <w:iCs/>
          <w:noProof/>
        </w:rPr>
      </w:pPr>
      <w:r w:rsidRPr="00DC621B">
        <w:rPr>
          <w:rFonts w:eastAsia="Calibri"/>
          <w:b/>
          <w:bCs/>
          <w:i/>
          <w:iCs/>
          <w:noProof/>
        </w:rPr>
        <w:t>Investments (renewable and decarbonised gases)</w:t>
      </w:r>
    </w:p>
    <w:p w:rsidR="00202717" w:rsidRPr="00DC621B" w:rsidRDefault="00202717" w:rsidP="00202717">
      <w:pPr>
        <w:spacing w:before="120" w:after="0"/>
        <w:jc w:val="left"/>
        <w:rPr>
          <w:rFonts w:eastAsia="Calibri"/>
          <w:b/>
          <w:bCs/>
          <w:noProof/>
        </w:rPr>
      </w:pPr>
      <w:r w:rsidRPr="00DC621B">
        <w:rPr>
          <w:rFonts w:eastAsia="Calibri"/>
          <w:b/>
          <w:bCs/>
          <w:noProof/>
        </w:rPr>
        <w:t>Investments in biogas and biomethane</w:t>
      </w:r>
    </w:p>
    <w:p w:rsidR="00CE5C79" w:rsidRPr="00DC621B" w:rsidRDefault="00202717" w:rsidP="003C0741">
      <w:pPr>
        <w:autoSpaceDE w:val="0"/>
        <w:autoSpaceDN w:val="0"/>
        <w:adjustRightInd w:val="0"/>
        <w:spacing w:before="120" w:after="0"/>
        <w:rPr>
          <w:rFonts w:eastAsia="Calibri"/>
          <w:noProof/>
        </w:rPr>
      </w:pPr>
      <w:r w:rsidRPr="00DC621B">
        <w:rPr>
          <w:rFonts w:eastAsia="Calibri"/>
          <w:noProof/>
        </w:rPr>
        <w:t xml:space="preserve">Investments in biogas production has seen a significant growth in the last 10 years in Europe, mainly driven by favourable </w:t>
      </w:r>
      <w:r w:rsidR="00660CF7" w:rsidRPr="00DC621B">
        <w:rPr>
          <w:rFonts w:eastAsia="Calibri"/>
          <w:noProof/>
        </w:rPr>
        <w:t xml:space="preserve">renewable energy sources (RES) </w:t>
      </w:r>
      <w:r w:rsidRPr="00DC621B">
        <w:rPr>
          <w:rFonts w:eastAsia="Calibri"/>
          <w:noProof/>
        </w:rPr>
        <w:t xml:space="preserve">support schemes in place in several European Union Member States. </w:t>
      </w:r>
      <w:r w:rsidR="0026416B" w:rsidRPr="00DC621B">
        <w:rPr>
          <w:rFonts w:eastAsia="Calibri"/>
          <w:noProof/>
        </w:rPr>
        <w:t>The EU energy and climate policies</w:t>
      </w:r>
      <w:r w:rsidR="00195124" w:rsidRPr="00DC621B">
        <w:rPr>
          <w:rFonts w:eastAsia="Calibri"/>
          <w:noProof/>
        </w:rPr>
        <w:t>, together with positive policy framework conditions, programmes, administrative procedures and financial support (feed-in tariffs, investment support, etc.),</w:t>
      </w:r>
      <w:r w:rsidR="0026416B" w:rsidRPr="00DC621B">
        <w:rPr>
          <w:rFonts w:eastAsia="Calibri"/>
          <w:noProof/>
        </w:rPr>
        <w:t xml:space="preserve"> have generally encouraged</w:t>
      </w:r>
      <w:r w:rsidR="00195124" w:rsidRPr="00DC621B">
        <w:rPr>
          <w:rFonts w:eastAsia="Calibri"/>
          <w:noProof/>
        </w:rPr>
        <w:t xml:space="preserve"> the development of biogas markets. This have favoured in several </w:t>
      </w:r>
      <w:r w:rsidR="009460CB" w:rsidRPr="00DC621B">
        <w:rPr>
          <w:rFonts w:eastAsia="Calibri"/>
          <w:noProof/>
        </w:rPr>
        <w:t>Member States</w:t>
      </w:r>
      <w:r w:rsidR="00195124" w:rsidRPr="00DC621B">
        <w:rPr>
          <w:rFonts w:eastAsia="Calibri"/>
          <w:noProof/>
        </w:rPr>
        <w:t xml:space="preserve"> the development of biogas plants for energy production.</w:t>
      </w:r>
      <w:r w:rsidRPr="00DC621B">
        <w:rPr>
          <w:rFonts w:eastAsia="Calibri"/>
          <w:noProof/>
        </w:rPr>
        <w:t xml:space="preserve"> </w:t>
      </w:r>
      <w:r w:rsidR="00195124" w:rsidRPr="00DC621B">
        <w:rPr>
          <w:rFonts w:eastAsia="Calibri"/>
          <w:noProof/>
        </w:rPr>
        <w:t>As a matter of fact, m</w:t>
      </w:r>
      <w:r w:rsidRPr="00DC621B">
        <w:rPr>
          <w:rFonts w:eastAsia="Calibri"/>
          <w:noProof/>
        </w:rPr>
        <w:t xml:space="preserve">ost of the biogas in the EU is </w:t>
      </w:r>
      <w:r w:rsidR="00195124" w:rsidRPr="00DC621B">
        <w:rPr>
          <w:rFonts w:eastAsia="Calibri"/>
          <w:noProof/>
        </w:rPr>
        <w:t xml:space="preserve">currently </w:t>
      </w:r>
      <w:r w:rsidRPr="00DC621B">
        <w:rPr>
          <w:rFonts w:eastAsia="Calibri"/>
          <w:noProof/>
        </w:rPr>
        <w:t xml:space="preserve">used as a fuel for electricity generation, in electricity only or </w:t>
      </w:r>
      <w:r w:rsidR="004A20D5" w:rsidRPr="00DC621B">
        <w:rPr>
          <w:rFonts w:eastAsia="Calibri"/>
          <w:noProof/>
        </w:rPr>
        <w:t xml:space="preserve">in </w:t>
      </w:r>
      <w:r w:rsidRPr="00DC621B">
        <w:rPr>
          <w:rFonts w:eastAsia="Calibri"/>
          <w:noProof/>
        </w:rPr>
        <w:t xml:space="preserve">combined heat and power plants with the effort toward the maximum use of heat aiming to increase the income and to improve the economics of the biogas plants. A combination of factors, including the advancement of biogas upgrading technology, poor economics of electricity biogas plants and the new opportunities for the use in the transport sector, has resulted in a shift from electricity and heat production to upgrading biogas to biomethane. This has created new opportunities and opened the competition between various biogas uses. Biomethane could be used as fuel in Natural Gas-powered Vehicles (NGVs) or injected into the natural gas grid as a substitute for natural gas to supply traditional end-users (power plants, industries and households). However, there is no harmonized EU framework enabling direct participation of biomethane production on the gas market as well as there is no obligation upon gas networks operators to connect and accept biomethane or other renewable or low-carbon gases. Therefore, in so far investments in biogas and biomethane have been driven by national policies based on renewable energy targets with no EU rules on how to enable direct renewable gases penetration of the gas market. </w:t>
      </w:r>
    </w:p>
    <w:p w:rsidR="009310F3" w:rsidRPr="00DC621B" w:rsidRDefault="009310F3" w:rsidP="796E43CC">
      <w:pPr>
        <w:spacing w:before="200"/>
        <w:rPr>
          <w:rFonts w:eastAsia="Calibri"/>
          <w:b/>
          <w:bCs/>
          <w:i/>
          <w:iCs/>
          <w:noProof/>
        </w:rPr>
      </w:pPr>
      <w:r w:rsidRPr="00DC621B">
        <w:rPr>
          <w:rFonts w:eastAsia="Calibri"/>
          <w:b/>
          <w:bCs/>
          <w:i/>
          <w:iCs/>
          <w:noProof/>
        </w:rPr>
        <w:t>Conclusions</w:t>
      </w:r>
    </w:p>
    <w:p w:rsidR="009310F3" w:rsidRPr="00DC621B" w:rsidRDefault="009310F3">
      <w:pPr>
        <w:spacing w:before="200"/>
        <w:rPr>
          <w:rFonts w:eastAsia="Calibri"/>
          <w:noProof/>
        </w:rPr>
      </w:pPr>
      <w:r w:rsidRPr="00DC621B">
        <w:rPr>
          <w:rFonts w:eastAsia="Calibri"/>
          <w:noProof/>
        </w:rPr>
        <w:t>Overall, the Third Package partially fulfilled its original mission and created a stable market-based approach on which however further legislation should be built. In particular, it can be concluded that:</w:t>
      </w:r>
    </w:p>
    <w:p w:rsidR="009310F3" w:rsidRPr="00DC621B" w:rsidRDefault="009310F3" w:rsidP="009D744A">
      <w:pPr>
        <w:pStyle w:val="ListParagraph"/>
        <w:numPr>
          <w:ilvl w:val="0"/>
          <w:numId w:val="375"/>
        </w:numPr>
        <w:spacing w:before="200"/>
        <w:rPr>
          <w:bCs/>
          <w:noProof/>
        </w:rPr>
      </w:pPr>
      <w:r w:rsidRPr="00DC621B">
        <w:rPr>
          <w:bCs/>
          <w:noProof/>
        </w:rPr>
        <w:t>The strengthening of unbundling rules has had a positive effect on competition with new players entering the market, except in some Member States where the incumbent still holds a dominant position</w:t>
      </w:r>
      <w:r w:rsidR="009D744A">
        <w:rPr>
          <w:bCs/>
          <w:noProof/>
        </w:rPr>
        <w:t>;</w:t>
      </w:r>
      <w:r w:rsidRPr="00DC621B">
        <w:rPr>
          <w:bCs/>
          <w:noProof/>
        </w:rPr>
        <w:t xml:space="preserve"> </w:t>
      </w:r>
    </w:p>
    <w:p w:rsidR="009310F3" w:rsidRPr="00DC621B" w:rsidRDefault="008E79E2" w:rsidP="009D744A">
      <w:pPr>
        <w:pStyle w:val="ListParagraph"/>
        <w:numPr>
          <w:ilvl w:val="0"/>
          <w:numId w:val="375"/>
        </w:numPr>
        <w:spacing w:before="200"/>
        <w:rPr>
          <w:bCs/>
          <w:noProof/>
        </w:rPr>
      </w:pPr>
      <w:r w:rsidRPr="00DC621B">
        <w:rPr>
          <w:bCs/>
          <w:noProof/>
        </w:rPr>
        <w:t>Market integration has improved; h</w:t>
      </w:r>
      <w:r w:rsidR="009310F3" w:rsidRPr="00DC621B">
        <w:rPr>
          <w:bCs/>
          <w:noProof/>
        </w:rPr>
        <w:t>owever, obstacles to fu</w:t>
      </w:r>
      <w:r w:rsidRPr="00DC621B">
        <w:rPr>
          <w:bCs/>
          <w:noProof/>
        </w:rPr>
        <w:t>rther integration still exist</w:t>
      </w:r>
      <w:r w:rsidR="005E69C9" w:rsidRPr="00DC621B">
        <w:rPr>
          <w:bCs/>
          <w:noProof/>
        </w:rPr>
        <w:t xml:space="preserve">. While tariff structures and the methodology has become more transparent, structural differences as well as tariff pancaking affects the cost for cross-border trade. Missing definitions or clear rules on the integration of </w:t>
      </w:r>
      <w:r w:rsidR="001B1E7E">
        <w:rPr>
          <w:bCs/>
          <w:noProof/>
        </w:rPr>
        <w:t>DSOs</w:t>
      </w:r>
      <w:r w:rsidR="005E69C9" w:rsidRPr="00DC621B">
        <w:rPr>
          <w:bCs/>
          <w:noProof/>
        </w:rPr>
        <w:t xml:space="preserve"> has delayed and in some cases prevented access on a level playing field to the wholesale market</w:t>
      </w:r>
      <w:r w:rsidR="009D744A">
        <w:rPr>
          <w:bCs/>
          <w:noProof/>
        </w:rPr>
        <w:t>;</w:t>
      </w:r>
    </w:p>
    <w:p w:rsidR="009310F3" w:rsidRPr="00DC621B" w:rsidRDefault="009310F3" w:rsidP="009D744A">
      <w:pPr>
        <w:pStyle w:val="ListParagraph"/>
        <w:numPr>
          <w:ilvl w:val="0"/>
          <w:numId w:val="375"/>
        </w:numPr>
        <w:spacing w:before="200"/>
        <w:rPr>
          <w:bCs/>
          <w:noProof/>
        </w:rPr>
      </w:pPr>
      <w:r w:rsidRPr="00DC621B">
        <w:rPr>
          <w:bCs/>
          <w:noProof/>
        </w:rPr>
        <w:t>Cooperation between TSOs and between regulators has improved, but needs to evolve further</w:t>
      </w:r>
      <w:r w:rsidR="009D744A">
        <w:rPr>
          <w:bCs/>
          <w:noProof/>
        </w:rPr>
        <w:t>;</w:t>
      </w:r>
    </w:p>
    <w:p w:rsidR="009310F3" w:rsidRPr="00DC621B" w:rsidRDefault="009310F3" w:rsidP="009D744A">
      <w:pPr>
        <w:pStyle w:val="ListParagraph"/>
        <w:numPr>
          <w:ilvl w:val="0"/>
          <w:numId w:val="375"/>
        </w:numPr>
        <w:spacing w:before="200"/>
        <w:rPr>
          <w:noProof/>
        </w:rPr>
      </w:pPr>
      <w:r w:rsidRPr="00DC621B">
        <w:rPr>
          <w:rFonts w:eastAsia="Calibri"/>
          <w:bCs/>
          <w:noProof/>
        </w:rPr>
        <w:t>Retail level competition has progressed in some Member States, while it remains</w:t>
      </w:r>
      <w:r w:rsidRPr="00DC621B">
        <w:rPr>
          <w:rFonts w:eastAsia="Calibri"/>
          <w:b/>
          <w:bCs/>
          <w:noProof/>
        </w:rPr>
        <w:t xml:space="preserve"> </w:t>
      </w:r>
      <w:r w:rsidRPr="00DC621B">
        <w:rPr>
          <w:rFonts w:eastAsia="Calibri"/>
          <w:noProof/>
        </w:rPr>
        <w:t>limited in others, mainly where price regulation is still in place</w:t>
      </w:r>
      <w:r w:rsidR="00B94A2B" w:rsidRPr="00DC621B">
        <w:rPr>
          <w:rFonts w:eastAsia="Calibri"/>
          <w:noProof/>
        </w:rPr>
        <w:t xml:space="preserve"> with negative impact also on</w:t>
      </w:r>
      <w:r w:rsidR="00AC655F" w:rsidRPr="00DC621B">
        <w:rPr>
          <w:noProof/>
        </w:rPr>
        <w:t xml:space="preserve"> lower switching</w:t>
      </w:r>
      <w:r w:rsidR="00B94A2B" w:rsidRPr="00DC621B">
        <w:rPr>
          <w:noProof/>
        </w:rPr>
        <w:t xml:space="preserve"> and consumer satisfaction. </w:t>
      </w:r>
      <w:r w:rsidRPr="00DC621B">
        <w:rPr>
          <w:rFonts w:eastAsia="Calibri"/>
          <w:noProof/>
        </w:rPr>
        <w:t>Overall, the linkage between wholesale and retail markets could be improved to enable the pass-through of the price signals to the consumers and trigger demand response</w:t>
      </w:r>
      <w:r w:rsidR="009D744A">
        <w:rPr>
          <w:rFonts w:eastAsia="Calibri"/>
          <w:noProof/>
        </w:rPr>
        <w:t>;</w:t>
      </w:r>
      <w:r w:rsidRPr="00DC621B">
        <w:rPr>
          <w:rFonts w:eastAsia="Calibri"/>
          <w:noProof/>
        </w:rPr>
        <w:t xml:space="preserve"> </w:t>
      </w:r>
    </w:p>
    <w:p w:rsidR="00023C24" w:rsidRPr="00DC621B" w:rsidRDefault="00AC655F" w:rsidP="009D744A">
      <w:pPr>
        <w:pStyle w:val="ListParagraph"/>
        <w:numPr>
          <w:ilvl w:val="0"/>
          <w:numId w:val="375"/>
        </w:numPr>
        <w:spacing w:before="200"/>
        <w:rPr>
          <w:noProof/>
        </w:rPr>
      </w:pPr>
      <w:r w:rsidRPr="00DC621B">
        <w:rPr>
          <w:noProof/>
        </w:rPr>
        <w:t>The largely unchanged high concentration in the more than 2/3 of Member States’</w:t>
      </w:r>
      <w:r w:rsidR="004D466F">
        <w:rPr>
          <w:noProof/>
        </w:rPr>
        <w:t xml:space="preserve"> </w:t>
      </w:r>
      <w:r w:rsidR="00D24F1C" w:rsidRPr="00DC621B">
        <w:rPr>
          <w:noProof/>
        </w:rPr>
        <w:t xml:space="preserve">retail gas markets for households </w:t>
      </w:r>
      <w:r w:rsidRPr="00DC621B">
        <w:rPr>
          <w:noProof/>
        </w:rPr>
        <w:t>over</w:t>
      </w:r>
      <w:r w:rsidR="00D24F1C" w:rsidRPr="00DC621B">
        <w:rPr>
          <w:noProof/>
        </w:rPr>
        <w:t xml:space="preserve"> last years</w:t>
      </w:r>
      <w:r w:rsidRPr="00DC621B">
        <w:rPr>
          <w:noProof/>
        </w:rPr>
        <w:t xml:space="preserve"> has resulted in the ris</w:t>
      </w:r>
      <w:r w:rsidR="00B94A2B" w:rsidRPr="00DC621B">
        <w:rPr>
          <w:noProof/>
        </w:rPr>
        <w:t>ing of</w:t>
      </w:r>
      <w:r w:rsidR="00D24F1C" w:rsidRPr="00DC621B">
        <w:rPr>
          <w:noProof/>
        </w:rPr>
        <w:t xml:space="preserve"> gas prices for household consumers </w:t>
      </w:r>
      <w:r w:rsidRPr="00DC621B">
        <w:rPr>
          <w:noProof/>
        </w:rPr>
        <w:t xml:space="preserve">who pay on average </w:t>
      </w:r>
      <w:r w:rsidR="00D24F1C" w:rsidRPr="00DC621B">
        <w:rPr>
          <w:noProof/>
        </w:rPr>
        <w:t xml:space="preserve">two to three times </w:t>
      </w:r>
      <w:r w:rsidRPr="00DC621B">
        <w:rPr>
          <w:noProof/>
        </w:rPr>
        <w:t>more</w:t>
      </w:r>
      <w:r w:rsidR="00D24F1C" w:rsidRPr="00DC621B">
        <w:rPr>
          <w:noProof/>
        </w:rPr>
        <w:t xml:space="preserve"> than </w:t>
      </w:r>
      <w:r w:rsidRPr="00DC621B">
        <w:rPr>
          <w:noProof/>
        </w:rPr>
        <w:t xml:space="preserve">industrial </w:t>
      </w:r>
      <w:r w:rsidR="00D24F1C" w:rsidRPr="00DC621B">
        <w:rPr>
          <w:noProof/>
        </w:rPr>
        <w:t>consumers</w:t>
      </w:r>
      <w:r w:rsidR="00023C24" w:rsidRPr="00DC621B">
        <w:rPr>
          <w:noProof/>
        </w:rPr>
        <w:t>.</w:t>
      </w:r>
    </w:p>
    <w:p w:rsidR="009310F3" w:rsidRPr="009D744A" w:rsidRDefault="009310F3" w:rsidP="00D646E3">
      <w:pPr>
        <w:pStyle w:val="Heading3"/>
        <w:ind w:left="720"/>
        <w:rPr>
          <w:rFonts w:eastAsia="Calibri"/>
          <w:noProof/>
        </w:rPr>
      </w:pPr>
      <w:bookmarkStart w:id="312" w:name="_Toc454961050"/>
      <w:bookmarkStart w:id="313" w:name="_Toc455064648"/>
      <w:bookmarkStart w:id="314" w:name="_Toc455070090"/>
      <w:bookmarkStart w:id="315" w:name="_Toc455073995"/>
      <w:bookmarkStart w:id="316" w:name="_Toc455074324"/>
      <w:bookmarkStart w:id="317" w:name="_Toc455082003"/>
      <w:bookmarkStart w:id="318" w:name="_Toc455082095"/>
      <w:bookmarkStart w:id="319" w:name="_Toc455082967"/>
      <w:bookmarkStart w:id="320" w:name="_Toc455134316"/>
      <w:bookmarkStart w:id="321" w:name="_Toc455148840"/>
      <w:bookmarkStart w:id="322" w:name="_Toc455156725"/>
      <w:bookmarkStart w:id="323" w:name="_Toc455156881"/>
      <w:bookmarkStart w:id="324" w:name="_Toc455160051"/>
      <w:bookmarkStart w:id="325" w:name="_Toc456772825"/>
      <w:bookmarkStart w:id="326" w:name="_Toc76743540"/>
      <w:bookmarkStart w:id="327" w:name="_Toc77590801"/>
      <w:bookmarkStart w:id="328" w:name="_Toc77600959"/>
      <w:bookmarkStart w:id="329" w:name="_Toc77682217"/>
      <w:bookmarkStart w:id="330" w:name="_Toc89688262"/>
      <w:bookmarkStart w:id="331" w:name="_Toc89882325"/>
      <w:bookmarkEnd w:id="312"/>
      <w:r w:rsidRPr="009D744A">
        <w:rPr>
          <w:rFonts w:eastAsia="Calibri"/>
          <w:noProof/>
        </w:rPr>
        <w:t>Consumer empowerment and protection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2F7976" w:rsidRPr="00DC621B" w:rsidRDefault="002F7976" w:rsidP="009D744A">
      <w:pPr>
        <w:numPr>
          <w:ilvl w:val="0"/>
          <w:numId w:val="362"/>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To what extent have consumers been properly empowered, including been given </w:t>
      </w:r>
      <w:r w:rsidRPr="00DC621B">
        <w:rPr>
          <w:b/>
          <w:bCs/>
          <w:noProof/>
        </w:rPr>
        <w:t>effective freedom of choice</w:t>
      </w:r>
      <w:r w:rsidRPr="00DC621B">
        <w:rPr>
          <w:noProof/>
        </w:rPr>
        <w:t xml:space="preserve"> to purchase gas from their supplier of choice;</w:t>
      </w:r>
    </w:p>
    <w:p w:rsidR="002F7976" w:rsidRPr="00DC621B" w:rsidRDefault="002F7976" w:rsidP="009D744A">
      <w:pPr>
        <w:numPr>
          <w:ilvl w:val="0"/>
          <w:numId w:val="362"/>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Are consumers sufficiently </w:t>
      </w:r>
      <w:r w:rsidRPr="00DC621B">
        <w:rPr>
          <w:b/>
          <w:bCs/>
          <w:noProof/>
        </w:rPr>
        <w:t>protected</w:t>
      </w:r>
      <w:r w:rsidRPr="00DC621B">
        <w:rPr>
          <w:noProof/>
        </w:rPr>
        <w:t>, what is the level of consumer satisfaction?</w:t>
      </w:r>
    </w:p>
    <w:p w:rsidR="002F7976" w:rsidRPr="00DC621B" w:rsidRDefault="002F7976" w:rsidP="796E43CC">
      <w:pPr>
        <w:rPr>
          <w:noProof/>
          <w:szCs w:val="24"/>
        </w:rPr>
      </w:pPr>
      <w:r w:rsidRPr="00DC621B">
        <w:rPr>
          <w:noProof/>
        </w:rPr>
        <w:t xml:space="preserve">This </w:t>
      </w:r>
      <w:r w:rsidR="003F6848">
        <w:rPr>
          <w:noProof/>
        </w:rPr>
        <w:t>E</w:t>
      </w:r>
      <w:r w:rsidRPr="00DC621B">
        <w:rPr>
          <w:noProof/>
        </w:rPr>
        <w:t>valuation addresses four aspects of the existing acquis that cover consumer engagement and protection: the measures for easy and timely access to the appropriate tools and information for consumers to get actively engaged in the market; the provisions to protect vulnerable and energy poor consumers; the measures on fees related to switching energy suppliers; and the measures on billing.</w:t>
      </w:r>
    </w:p>
    <w:p w:rsidR="002F7976" w:rsidRPr="00DC621B" w:rsidRDefault="002F7976" w:rsidP="796E43CC">
      <w:pPr>
        <w:rPr>
          <w:b/>
          <w:bCs/>
          <w:i/>
          <w:iCs/>
          <w:noProof/>
        </w:rPr>
      </w:pPr>
      <w:r w:rsidRPr="00DC621B">
        <w:rPr>
          <w:b/>
          <w:bCs/>
          <w:i/>
          <w:iCs/>
          <w:noProof/>
        </w:rPr>
        <w:t xml:space="preserve">Consumer satisfaction and engagement in gas markets has improved in the last years </w:t>
      </w:r>
    </w:p>
    <w:p w:rsidR="002F7976" w:rsidRPr="00DC621B" w:rsidRDefault="002F7976" w:rsidP="008B4989">
      <w:pPr>
        <w:rPr>
          <w:noProof/>
          <w:lang w:eastAsia="en-GB"/>
        </w:rPr>
      </w:pPr>
      <w:r w:rsidRPr="00DC621B">
        <w:rPr>
          <w:noProof/>
        </w:rPr>
        <w:t xml:space="preserve">Although subjective, consumer satisfaction is a valuable indicator on the extent to which competition in the market is working for customers and whether suppliers are responding adequately to changing consumer preferences. </w:t>
      </w:r>
      <w:r w:rsidRPr="00DC621B">
        <w:rPr>
          <w:noProof/>
          <w:color w:val="404040"/>
          <w:shd w:val="clear" w:color="auto" w:fill="FFFFFF"/>
          <w:lang w:eastAsia="en-GB"/>
        </w:rPr>
        <w:t>According to the new Market Monitoring Survey</w:t>
      </w:r>
      <w:r w:rsidR="0064043A">
        <w:rPr>
          <w:noProof/>
          <w:color w:val="404040"/>
          <w:shd w:val="clear" w:color="auto" w:fill="FFFFFF"/>
          <w:lang w:eastAsia="en-GB"/>
        </w:rPr>
        <w:t xml:space="preserve"> (MMS)</w:t>
      </w:r>
      <w:r w:rsidRPr="00DC621B">
        <w:rPr>
          <w:noProof/>
          <w:color w:val="404040"/>
          <w:shd w:val="clear" w:color="auto" w:fill="FFFFFF"/>
          <w:vertAlign w:val="superscript"/>
          <w:lang w:eastAsia="en-GB"/>
        </w:rPr>
        <w:footnoteReference w:id="100"/>
      </w:r>
      <w:r w:rsidRPr="00DC621B">
        <w:rPr>
          <w:noProof/>
          <w:color w:val="404040"/>
          <w:shd w:val="clear" w:color="auto" w:fill="FFFFFF"/>
          <w:lang w:eastAsia="en-GB"/>
        </w:rPr>
        <w:t>, in the g</w:t>
      </w:r>
      <w:r w:rsidRPr="00DC621B">
        <w:rPr>
          <w:noProof/>
          <w:lang w:eastAsia="en-GB"/>
        </w:rPr>
        <w:t xml:space="preserve">as services market a strong majority of EU27 consumers (82%) </w:t>
      </w:r>
      <w:r w:rsidRPr="00DC621B">
        <w:rPr>
          <w:b/>
          <w:bCs/>
          <w:noProof/>
          <w:lang w:eastAsia="en-GB"/>
        </w:rPr>
        <w:t>trust</w:t>
      </w:r>
      <w:r w:rsidRPr="00DC621B">
        <w:rPr>
          <w:noProof/>
          <w:lang w:eastAsia="en-GB"/>
        </w:rPr>
        <w:t xml:space="preserve"> their providers. This is in line with the average across all surveyed markets (81%, in the electricity market trust counts 77%). This figure varies to an extent by Member State, from a high of 93% (in Greece) to a low of 70% (in Italy and Romania). </w:t>
      </w:r>
    </w:p>
    <w:p w:rsidR="002F7976" w:rsidRPr="00DC621B" w:rsidRDefault="002F7976" w:rsidP="008B4989">
      <w:pPr>
        <w:rPr>
          <w:noProof/>
          <w:lang w:eastAsia="en-GB"/>
        </w:rPr>
      </w:pPr>
      <w:r w:rsidRPr="00DC621B">
        <w:rPr>
          <w:noProof/>
          <w:lang w:eastAsia="en-GB"/>
        </w:rPr>
        <w:t>89% of EU consumers report positive experiences of making purchases in the gas market, with no notable differences between countries or sociodemographic subgroups. This percentage is below the average of other markets (92%), and above the 86% of the electricity services market. Such 89% positive opinion by consumers on their gas provider ranks this market 12</w:t>
      </w:r>
      <w:r w:rsidRPr="00DC621B">
        <w:rPr>
          <w:noProof/>
          <w:vertAlign w:val="superscript"/>
          <w:lang w:eastAsia="en-GB"/>
        </w:rPr>
        <w:t>th</w:t>
      </w:r>
      <w:r w:rsidRPr="00DC621B">
        <w:rPr>
          <w:noProof/>
          <w:lang w:eastAsia="en-GB"/>
        </w:rPr>
        <w:t xml:space="preserve"> out of 22 surveyed markets for services across the EU. There seems to be thus a negative trend if compared to the MMS 2018, where it ranked 9</w:t>
      </w:r>
      <w:r w:rsidRPr="00DC621B">
        <w:rPr>
          <w:noProof/>
          <w:vertAlign w:val="superscript"/>
          <w:lang w:eastAsia="en-GB"/>
        </w:rPr>
        <w:t>th</w:t>
      </w:r>
      <w:r w:rsidRPr="00DC621B">
        <w:rPr>
          <w:noProof/>
          <w:lang w:eastAsia="en-GB"/>
        </w:rPr>
        <w:t xml:space="preserve"> out of then 25 markets, though the criteria of the two surveys do not entirely co</w:t>
      </w:r>
      <w:r w:rsidR="008B4989" w:rsidRPr="00DC621B">
        <w:rPr>
          <w:noProof/>
          <w:lang w:eastAsia="en-GB"/>
        </w:rPr>
        <w:t>i</w:t>
      </w:r>
      <w:r w:rsidRPr="00DC621B">
        <w:rPr>
          <w:noProof/>
          <w:lang w:eastAsia="en-GB"/>
        </w:rPr>
        <w:t>ncide so any comparison is only relatively reliable.</w:t>
      </w:r>
    </w:p>
    <w:p w:rsidR="002F7976" w:rsidRPr="00DC621B" w:rsidRDefault="004D466F" w:rsidP="008B4989">
      <w:pPr>
        <w:rPr>
          <w:noProof/>
          <w:lang w:eastAsia="en-GB"/>
        </w:rPr>
      </w:pPr>
      <w:r>
        <w:rPr>
          <w:noProof/>
          <w:lang w:eastAsia="en-GB"/>
        </w:rPr>
        <w:t>89%</w:t>
      </w:r>
      <w:r w:rsidR="002F7976" w:rsidRPr="00DC621B">
        <w:rPr>
          <w:noProof/>
          <w:lang w:eastAsia="en-GB"/>
        </w:rPr>
        <w:t xml:space="preserve"> of consumers say that </w:t>
      </w:r>
      <w:r w:rsidR="002F7976" w:rsidRPr="00DC621B">
        <w:rPr>
          <w:b/>
          <w:bCs/>
          <w:noProof/>
          <w:lang w:eastAsia="en-GB"/>
        </w:rPr>
        <w:t>price</w:t>
      </w:r>
      <w:r w:rsidR="002F7976" w:rsidRPr="00DC621B">
        <w:rPr>
          <w:noProof/>
          <w:lang w:eastAsia="en-GB"/>
        </w:rPr>
        <w:t xml:space="preserve"> is important to them when choosing gas services. In comparison, </w:t>
      </w:r>
      <w:r w:rsidR="002F7976" w:rsidRPr="00DC621B">
        <w:rPr>
          <w:b/>
          <w:bCs/>
          <w:noProof/>
          <w:lang w:eastAsia="en-GB"/>
        </w:rPr>
        <w:t>78% say the likely environmental impact</w:t>
      </w:r>
      <w:r w:rsidR="002F7976" w:rsidRPr="00DC621B">
        <w:rPr>
          <w:noProof/>
          <w:lang w:eastAsia="en-GB"/>
        </w:rPr>
        <w:t xml:space="preserve"> of services is important. (</w:t>
      </w:r>
      <w:r>
        <w:rPr>
          <w:noProof/>
          <w:lang w:eastAsia="en-GB"/>
        </w:rPr>
        <w:t>F</w:t>
      </w:r>
      <w:r w:rsidR="002F7976" w:rsidRPr="00DC621B">
        <w:rPr>
          <w:noProof/>
          <w:lang w:eastAsia="en-GB"/>
        </w:rPr>
        <w:t>or electricity, it is 77%</w:t>
      </w:r>
      <w:r>
        <w:rPr>
          <w:noProof/>
          <w:lang w:eastAsia="en-GB"/>
        </w:rPr>
        <w:t>.</w:t>
      </w:r>
      <w:r w:rsidR="002F7976" w:rsidRPr="00DC621B">
        <w:rPr>
          <w:noProof/>
          <w:lang w:eastAsia="en-GB"/>
        </w:rPr>
        <w:t xml:space="preserve">) </w:t>
      </w:r>
    </w:p>
    <w:p w:rsidR="002F7976" w:rsidRPr="00DC621B" w:rsidRDefault="002F7976" w:rsidP="008B4989">
      <w:pPr>
        <w:rPr>
          <w:noProof/>
          <w:lang w:eastAsia="en-GB"/>
        </w:rPr>
      </w:pPr>
      <w:r w:rsidRPr="00DC621B">
        <w:rPr>
          <w:noProof/>
          <w:lang w:eastAsia="en-GB"/>
        </w:rPr>
        <w:t xml:space="preserve">Across all surveyed markets, 9% of EU27 consumers </w:t>
      </w:r>
      <w:r w:rsidRPr="00DC621B">
        <w:rPr>
          <w:b/>
          <w:bCs/>
          <w:noProof/>
          <w:lang w:eastAsia="en-GB"/>
        </w:rPr>
        <w:t>have experienced a problem</w:t>
      </w:r>
      <w:r w:rsidRPr="00DC621B">
        <w:rPr>
          <w:noProof/>
          <w:lang w:eastAsia="en-GB"/>
        </w:rPr>
        <w:t xml:space="preserve"> (either with the product/service bought or with the retailer/provider/operator) that they felt gave cause for complaint. This percentage </w:t>
      </w:r>
      <w:r w:rsidR="00023C24" w:rsidRPr="00DC621B">
        <w:rPr>
          <w:noProof/>
          <w:lang w:eastAsia="en-GB"/>
        </w:rPr>
        <w:t xml:space="preserve">is </w:t>
      </w:r>
      <w:r w:rsidRPr="00DC621B">
        <w:rPr>
          <w:noProof/>
          <w:lang w:eastAsia="en-GB"/>
        </w:rPr>
        <w:t xml:space="preserve">of 7% for gas services. The figure is highest in Italy (14%) and Portugal (13%), and lowest in Estonia (1%). Looking at experience of problems more generally, whether or not these gave grounds for complaint, the most common is difficulties accessing support from providers (e.g. difficulties getting in contact with them), reported by 10% of consumers who have purchased gas services. This is closely followed by incorrect or unclear pricing, and inaccurate or misleading information about services both reported by 9% of consumers. </w:t>
      </w:r>
    </w:p>
    <w:p w:rsidR="002F7976" w:rsidRPr="00DC621B" w:rsidRDefault="002F7976" w:rsidP="00023C24">
      <w:pPr>
        <w:rPr>
          <w:noProof/>
          <w:lang w:eastAsia="en-GB"/>
        </w:rPr>
      </w:pPr>
      <w:r w:rsidRPr="00DC621B">
        <w:rPr>
          <w:noProof/>
          <w:lang w:eastAsia="en-GB"/>
        </w:rPr>
        <w:t>Of all those who have experienced a problem, approaching a third (31%) suffered financial detriment as a result and 80% suffered other, non-financial impacts. The non-financial impacts were most commonly a loss of time (75%) or anger/frustration (60%). Two-thirds (66%) of all those who have experienced a problem in the market have gone on to make a complaint – most commonly to the service provider (53%). Just over half (55%) of all those who have made a complaint report being satisfied with the outcome.</w:t>
      </w:r>
    </w:p>
    <w:p w:rsidR="002F7976" w:rsidRPr="00DC621B" w:rsidRDefault="002F7976" w:rsidP="00023C24">
      <w:pPr>
        <w:rPr>
          <w:noProof/>
          <w:lang w:eastAsia="en-GB"/>
        </w:rPr>
      </w:pPr>
      <w:r w:rsidRPr="00DC621B">
        <w:rPr>
          <w:noProof/>
        </w:rPr>
        <w:t xml:space="preserve">Consumers have demonstrated an interest in </w:t>
      </w:r>
      <w:r w:rsidRPr="00DC621B">
        <w:rPr>
          <w:b/>
          <w:bCs/>
          <w:noProof/>
        </w:rPr>
        <w:t>bundled products</w:t>
      </w:r>
      <w:r w:rsidRPr="00DC621B">
        <w:rPr>
          <w:noProof/>
        </w:rPr>
        <w:t xml:space="preserve"> in recent years (offers increased for gas in the 2018-2019 period).</w:t>
      </w:r>
      <w:r w:rsidRPr="00DC621B">
        <w:rPr>
          <w:noProof/>
          <w:lang w:eastAsia="en-GB"/>
        </w:rPr>
        <w:t xml:space="preserve"> From the MMS survey, 22% of EU27 consumers have purchased gas services in combination with other, similar services (such as electricity services). This figure ranges from a high of 60% in Belgium to a low of </w:t>
      </w:r>
      <w:r w:rsidR="00516AFB">
        <w:rPr>
          <w:noProof/>
          <w:lang w:eastAsia="en-GB"/>
        </w:rPr>
        <w:t>8%</w:t>
      </w:r>
      <w:r w:rsidRPr="00DC621B">
        <w:rPr>
          <w:noProof/>
          <w:lang w:eastAsia="en-GB"/>
        </w:rPr>
        <w:t xml:space="preserve"> in Slovenia. </w:t>
      </w:r>
      <w:r w:rsidR="00516AFB">
        <w:rPr>
          <w:noProof/>
          <w:lang w:eastAsia="en-GB"/>
        </w:rPr>
        <w:t>8%</w:t>
      </w:r>
      <w:r w:rsidRPr="00DC621B">
        <w:rPr>
          <w:noProof/>
          <w:lang w:eastAsia="en-GB"/>
        </w:rPr>
        <w:t xml:space="preserve"> of EU27 consumers have bought gas services in combination with other, non-similar products or services.</w:t>
      </w:r>
    </w:p>
    <w:p w:rsidR="002F7976" w:rsidRPr="00DC621B" w:rsidRDefault="002F7976" w:rsidP="796E43CC">
      <w:pPr>
        <w:autoSpaceDE w:val="0"/>
        <w:autoSpaceDN w:val="0"/>
        <w:adjustRightInd w:val="0"/>
        <w:rPr>
          <w:rFonts w:eastAsia="Calibri"/>
          <w:b/>
          <w:bCs/>
          <w:i/>
          <w:iCs/>
          <w:noProof/>
        </w:rPr>
      </w:pPr>
      <w:r w:rsidRPr="00DC621B">
        <w:rPr>
          <w:b/>
          <w:bCs/>
          <w:i/>
          <w:iCs/>
          <w:noProof/>
        </w:rPr>
        <w:t>S</w:t>
      </w:r>
      <w:r w:rsidRPr="00DC621B">
        <w:rPr>
          <w:rFonts w:eastAsia="Calibri"/>
          <w:b/>
          <w:bCs/>
          <w:i/>
          <w:iCs/>
          <w:noProof/>
        </w:rPr>
        <w:t>low and uneven deployment of smart metering</w:t>
      </w:r>
    </w:p>
    <w:p w:rsidR="002F7976" w:rsidRPr="00DC621B" w:rsidRDefault="002F7976" w:rsidP="002F7976">
      <w:pPr>
        <w:rPr>
          <w:rFonts w:eastAsia="SimSun"/>
          <w:noProof/>
          <w:color w:val="000000" w:themeColor="text1"/>
          <w:lang w:eastAsia="nl-NL"/>
        </w:rPr>
      </w:pPr>
      <w:r w:rsidRPr="00DC621B">
        <w:rPr>
          <w:noProof/>
          <w:color w:val="000000"/>
        </w:rPr>
        <w:t>The Third Energy Package promoted the rollout of smart metering for gas</w:t>
      </w:r>
      <w:r w:rsidRPr="00DC621B">
        <w:rPr>
          <w:rStyle w:val="FootnoteReference"/>
          <w:noProof/>
          <w:color w:val="000000"/>
        </w:rPr>
        <w:footnoteReference w:id="101"/>
      </w:r>
      <w:r w:rsidRPr="00DC621B">
        <w:rPr>
          <w:noProof/>
          <w:color w:val="000000"/>
        </w:rPr>
        <w:t xml:space="preserve">, to assist the active participation of consumers and the modernisation of the energy market. The aim of the co-legislators was </w:t>
      </w:r>
      <w:r w:rsidRPr="00DC621B">
        <w:rPr>
          <w:noProof/>
          <w:color w:val="000000"/>
          <w:lang w:eastAsia="en-GB"/>
        </w:rPr>
        <w:t>not to enforce an EU-wide smart metering deployment, but to encourage it only in those situations where it is economically reasonable, cost-effective and beneficial, and therefore appropriate</w:t>
      </w:r>
      <w:r w:rsidRPr="00DC621B">
        <w:rPr>
          <w:rStyle w:val="FootnoteReference"/>
          <w:noProof/>
          <w:color w:val="000000"/>
          <w:lang w:eastAsia="en-GB"/>
        </w:rPr>
        <w:footnoteReference w:id="102"/>
      </w:r>
      <w:r w:rsidRPr="00DC621B">
        <w:rPr>
          <w:noProof/>
          <w:color w:val="000000"/>
          <w:lang w:eastAsia="en-GB"/>
        </w:rPr>
        <w:t xml:space="preserve">. </w:t>
      </w:r>
      <w:r w:rsidR="00950A83" w:rsidRPr="00DC621B">
        <w:rPr>
          <w:noProof/>
          <w:color w:val="000000"/>
          <w:lang w:eastAsia="en-GB"/>
        </w:rPr>
        <w:t>T</w:t>
      </w:r>
      <w:r w:rsidRPr="00DC621B">
        <w:rPr>
          <w:noProof/>
          <w:color w:val="000000"/>
          <w:lang w:eastAsia="en-GB"/>
        </w:rPr>
        <w:t xml:space="preserve">he related provisions </w:t>
      </w:r>
      <w:r w:rsidRPr="00DC621B">
        <w:rPr>
          <w:noProof/>
          <w:color w:val="000000"/>
        </w:rPr>
        <w:t>instructed: (i) the deployment potentially subject to a Cost-Benefit-Analysis; but also (ii) the function of the systems to be rolled-out, namely to be interoperable, with due regard to standards and able to support the active participation of consumers in the energy market. Complementary functional requirements were also introduced in the Energy Efficiency Directive</w:t>
      </w:r>
      <w:r w:rsidRPr="00DC621B">
        <w:rPr>
          <w:rStyle w:val="FootnoteReference"/>
          <w:noProof/>
          <w:color w:val="000000"/>
        </w:rPr>
        <w:footnoteReference w:id="103"/>
      </w:r>
      <w:r w:rsidRPr="00DC621B">
        <w:rPr>
          <w:noProof/>
          <w:color w:val="000000"/>
        </w:rPr>
        <w:t xml:space="preserve"> for the metering systems to make a substantial contribution to energy efficiency and serve consumers</w:t>
      </w:r>
      <w:r w:rsidR="001163D4">
        <w:rPr>
          <w:noProof/>
          <w:color w:val="000000"/>
        </w:rPr>
        <w:t>’</w:t>
      </w:r>
      <w:r w:rsidRPr="00DC621B">
        <w:rPr>
          <w:noProof/>
          <w:color w:val="000000"/>
        </w:rPr>
        <w:t xml:space="preserve"> needs and their active participation. To guide Member States in their choices and assist them in meeting these obligations in the field, the Commission also tabled guidelines in non-binding Recommendations</w:t>
      </w:r>
      <w:bookmarkStart w:id="332" w:name="_Ref70358104"/>
      <w:r w:rsidRPr="00DC621B">
        <w:rPr>
          <w:rStyle w:val="FootnoteReference"/>
          <w:noProof/>
          <w:color w:val="000000"/>
        </w:rPr>
        <w:footnoteReference w:id="104"/>
      </w:r>
      <w:bookmarkEnd w:id="332"/>
      <w:r w:rsidR="009A4E98" w:rsidRPr="00DC621B">
        <w:rPr>
          <w:noProof/>
          <w:color w:val="000000"/>
          <w:vertAlign w:val="superscript"/>
        </w:rPr>
        <w:t>,</w:t>
      </w:r>
      <w:bookmarkStart w:id="333" w:name="_Ref70358122"/>
      <w:r w:rsidRPr="00DC621B">
        <w:rPr>
          <w:rStyle w:val="FootnoteReference"/>
          <w:noProof/>
        </w:rPr>
        <w:footnoteReference w:id="105"/>
      </w:r>
      <w:bookmarkEnd w:id="333"/>
      <w:r w:rsidRPr="00DC621B">
        <w:rPr>
          <w:noProof/>
          <w:color w:val="000000"/>
        </w:rPr>
        <w:t xml:space="preserve"> and issued </w:t>
      </w:r>
      <w:r w:rsidRPr="00DC621B">
        <w:rPr>
          <w:rFonts w:eastAsia="SimSun"/>
          <w:noProof/>
          <w:color w:val="000000"/>
          <w:lang w:eastAsia="nl-NL"/>
        </w:rPr>
        <w:t>related standardisation mandates</w:t>
      </w:r>
      <w:r w:rsidRPr="00DC621B">
        <w:rPr>
          <w:rStyle w:val="FootnoteReference"/>
          <w:rFonts w:eastAsia="SimSun"/>
          <w:noProof/>
          <w:color w:val="000000"/>
          <w:lang w:eastAsia="nl-NL"/>
        </w:rPr>
        <w:footnoteReference w:id="106"/>
      </w:r>
      <w:r w:rsidR="00F2069F">
        <w:rPr>
          <w:rFonts w:eastAsia="SimSun"/>
          <w:noProof/>
          <w:color w:val="000000"/>
          <w:lang w:eastAsia="nl-NL"/>
        </w:rPr>
        <w:t>.</w:t>
      </w:r>
      <w:r w:rsidRPr="00DC621B">
        <w:rPr>
          <w:rFonts w:eastAsia="SimSun"/>
          <w:noProof/>
          <w:color w:val="000000"/>
          <w:lang w:eastAsia="nl-NL"/>
        </w:rPr>
        <w:t xml:space="preserve"> </w:t>
      </w:r>
    </w:p>
    <w:p w:rsidR="00950A83" w:rsidRPr="00DC621B" w:rsidRDefault="002F7976" w:rsidP="002F7976">
      <w:pPr>
        <w:rPr>
          <w:noProof/>
          <w:color w:val="000000"/>
          <w:lang w:eastAsia="en-GB"/>
        </w:rPr>
      </w:pPr>
      <w:r w:rsidRPr="00DC621B">
        <w:rPr>
          <w:noProof/>
          <w:color w:val="000000"/>
        </w:rPr>
        <w:t>To date</w:t>
      </w:r>
      <w:r w:rsidR="00486CAD">
        <w:rPr>
          <w:noProof/>
          <w:color w:val="000000"/>
        </w:rPr>
        <w:t>,</w:t>
      </w:r>
      <w:r w:rsidRPr="00DC621B">
        <w:rPr>
          <w:noProof/>
          <w:color w:val="000000"/>
        </w:rPr>
        <w:t xml:space="preserve"> the implementation of gas smart metering in the EU is </w:t>
      </w:r>
      <w:r w:rsidRPr="00DC621B">
        <w:rPr>
          <w:noProof/>
        </w:rPr>
        <w:t>progressing in a rather conservative manner, at different speeds and operational environments across the Member States</w:t>
      </w:r>
      <w:r w:rsidRPr="00DC621B">
        <w:rPr>
          <w:noProof/>
          <w:color w:val="000000"/>
          <w:lang w:eastAsia="en-GB"/>
        </w:rPr>
        <w:t xml:space="preserve"> that are the ones deciding whether, and under which conditions, they proceed with deployment. Member States do that usually following a Cost-Benefit-Analysis</w:t>
      </w:r>
      <w:bookmarkStart w:id="334" w:name="_Ref76407265"/>
      <w:r w:rsidRPr="00DC621B">
        <w:rPr>
          <w:rStyle w:val="FootnoteReference"/>
          <w:noProof/>
          <w:color w:val="000000"/>
          <w:lang w:eastAsia="en-GB"/>
        </w:rPr>
        <w:footnoteReference w:id="107"/>
      </w:r>
      <w:bookmarkEnd w:id="334"/>
      <w:r w:rsidRPr="00DC621B">
        <w:rPr>
          <w:noProof/>
          <w:color w:val="000000"/>
          <w:vertAlign w:val="superscript"/>
          <w:lang w:eastAsia="en-GB"/>
        </w:rPr>
        <w:t>,</w:t>
      </w:r>
      <w:bookmarkStart w:id="335" w:name="_Ref76402886"/>
      <w:r w:rsidRPr="00DC621B">
        <w:rPr>
          <w:rStyle w:val="FootnoteReference"/>
          <w:noProof/>
          <w:color w:val="000000"/>
          <w:lang w:eastAsia="en-GB"/>
        </w:rPr>
        <w:footnoteReference w:id="108"/>
      </w:r>
      <w:bookmarkEnd w:id="335"/>
      <w:r w:rsidRPr="00DC621B">
        <w:rPr>
          <w:noProof/>
          <w:color w:val="000000"/>
          <w:vertAlign w:val="superscript"/>
          <w:lang w:eastAsia="en-GB"/>
        </w:rPr>
        <w:t xml:space="preserve"> </w:t>
      </w:r>
      <w:r w:rsidRPr="00DC621B">
        <w:rPr>
          <w:noProof/>
          <w:color w:val="000000"/>
          <w:lang w:eastAsia="en-GB"/>
        </w:rPr>
        <w:t xml:space="preserve">which in many cases turns out unfavourable for a large-scale implementation given that </w:t>
      </w:r>
      <w:r w:rsidRPr="00DC621B">
        <w:rPr>
          <w:b/>
          <w:noProof/>
          <w:color w:val="000000"/>
          <w:lang w:eastAsia="en-GB"/>
        </w:rPr>
        <w:t xml:space="preserve">the business case for gas smart metering </w:t>
      </w:r>
      <w:r w:rsidRPr="00DC621B">
        <w:rPr>
          <w:noProof/>
          <w:color w:val="000000"/>
          <w:lang w:eastAsia="en-GB"/>
        </w:rPr>
        <w:t xml:space="preserve">is </w:t>
      </w:r>
      <w:r w:rsidRPr="00DC621B">
        <w:rPr>
          <w:b/>
          <w:noProof/>
          <w:color w:val="000000"/>
          <w:lang w:eastAsia="en-GB"/>
        </w:rPr>
        <w:t xml:space="preserve">more challenging </w:t>
      </w:r>
      <w:r w:rsidRPr="00DC621B">
        <w:rPr>
          <w:noProof/>
          <w:color w:val="000000"/>
          <w:lang w:eastAsia="en-GB"/>
        </w:rPr>
        <w:t xml:space="preserve">to make </w:t>
      </w:r>
      <w:r w:rsidRPr="00DC621B">
        <w:rPr>
          <w:b/>
          <w:noProof/>
          <w:color w:val="000000"/>
          <w:lang w:eastAsia="en-GB"/>
        </w:rPr>
        <w:t>than that for electricity</w:t>
      </w:r>
      <w:r w:rsidR="001A54A6" w:rsidRPr="00DC621B">
        <w:rPr>
          <w:rStyle w:val="FootnoteReference"/>
          <w:noProof/>
          <w:color w:val="000000"/>
          <w:lang w:eastAsia="en-GB"/>
        </w:rPr>
        <w:footnoteReference w:id="109"/>
      </w:r>
      <w:r w:rsidR="00F2069F" w:rsidRPr="00C134D1">
        <w:rPr>
          <w:noProof/>
          <w:color w:val="000000"/>
          <w:lang w:eastAsia="en-GB"/>
        </w:rPr>
        <w:t>.</w:t>
      </w:r>
      <w:r w:rsidRPr="00F2069F">
        <w:rPr>
          <w:noProof/>
          <w:color w:val="000000"/>
          <w:lang w:eastAsia="en-GB"/>
        </w:rPr>
        <w:t xml:space="preserve"> </w:t>
      </w:r>
      <w:r w:rsidRPr="00DC621B">
        <w:rPr>
          <w:noProof/>
        </w:rPr>
        <w:t xml:space="preserve">Accordingly, no penetration target </w:t>
      </w:r>
      <w:r w:rsidR="001A54A6" w:rsidRPr="00DC621B">
        <w:rPr>
          <w:noProof/>
        </w:rPr>
        <w:t xml:space="preserve">is </w:t>
      </w:r>
      <w:r w:rsidRPr="00DC621B">
        <w:rPr>
          <w:noProof/>
        </w:rPr>
        <w:t>set in the legislation so far</w:t>
      </w:r>
      <w:r w:rsidR="001A54A6" w:rsidRPr="00DC621B">
        <w:rPr>
          <w:noProof/>
        </w:rPr>
        <w:t>,</w:t>
      </w:r>
      <w:r w:rsidRPr="00DC621B">
        <w:rPr>
          <w:noProof/>
        </w:rPr>
        <w:t xml:space="preserve"> nor </w:t>
      </w:r>
      <w:r w:rsidR="001A54A6" w:rsidRPr="00DC621B">
        <w:rPr>
          <w:noProof/>
        </w:rPr>
        <w:t xml:space="preserve">a </w:t>
      </w:r>
      <w:r w:rsidRPr="00DC621B">
        <w:rPr>
          <w:noProof/>
        </w:rPr>
        <w:t>fixed timeline for deployment</w:t>
      </w:r>
      <w:r w:rsidRPr="00DC621B">
        <w:rPr>
          <w:noProof/>
          <w:color w:val="000000"/>
          <w:lang w:eastAsia="en-GB"/>
        </w:rPr>
        <w:t>, unlike electricity</w:t>
      </w:r>
      <w:r w:rsidRPr="00DC621B">
        <w:rPr>
          <w:rStyle w:val="FootnoteReference"/>
          <w:noProof/>
          <w:color w:val="000000"/>
          <w:lang w:eastAsia="en-GB"/>
        </w:rPr>
        <w:footnoteReference w:id="110"/>
      </w:r>
      <w:r w:rsidR="00F2069F">
        <w:rPr>
          <w:noProof/>
          <w:color w:val="000000"/>
          <w:lang w:eastAsia="en-GB"/>
        </w:rPr>
        <w:t>.</w:t>
      </w:r>
    </w:p>
    <w:p w:rsidR="002F7976" w:rsidRPr="00DC621B" w:rsidRDefault="002F7976" w:rsidP="062AB5CE">
      <w:pPr>
        <w:rPr>
          <w:noProof/>
        </w:rPr>
      </w:pPr>
      <w:r w:rsidRPr="00DC621B">
        <w:rPr>
          <w:noProof/>
          <w:color w:val="000000"/>
          <w:lang w:eastAsia="en-GB"/>
        </w:rPr>
        <w:t>The rollout of gas smart metering in Europe reached only</w:t>
      </w:r>
      <w:r w:rsidRPr="00DC621B">
        <w:rPr>
          <w:rStyle w:val="FootnoteReference"/>
          <w:noProof/>
          <w:color w:val="000000"/>
          <w:lang w:eastAsia="en-GB"/>
        </w:rPr>
        <w:t xml:space="preserve"> </w:t>
      </w:r>
      <w:r w:rsidRPr="00DC621B">
        <w:rPr>
          <w:noProof/>
          <w:color w:val="000000"/>
          <w:lang w:eastAsia="en-GB"/>
        </w:rPr>
        <w:t>a 27% penetration rate in the EU-28 by 2020</w:t>
      </w:r>
      <w:r w:rsidR="009A4E98" w:rsidRPr="00DC621B">
        <w:rPr>
          <w:noProof/>
          <w:color w:val="000000"/>
          <w:vertAlign w:val="superscript"/>
          <w:lang w:eastAsia="en-GB"/>
        </w:rPr>
        <w:fldChar w:fldCharType="begin"/>
      </w:r>
      <w:r w:rsidR="009A4E98" w:rsidRPr="00DC621B">
        <w:rPr>
          <w:noProof/>
          <w:color w:val="000000"/>
          <w:vertAlign w:val="superscript"/>
          <w:lang w:eastAsia="en-GB"/>
        </w:rPr>
        <w:instrText xml:space="preserve"> NOTEREF _Ref76402886 \h  \* MERGEFORMAT </w:instrText>
      </w:r>
      <w:r w:rsidR="009A4E98" w:rsidRPr="00DC621B">
        <w:rPr>
          <w:noProof/>
          <w:color w:val="000000"/>
          <w:vertAlign w:val="superscript"/>
          <w:lang w:eastAsia="en-GB"/>
        </w:rPr>
      </w:r>
      <w:r w:rsidR="009A4E98" w:rsidRPr="00DC621B">
        <w:rPr>
          <w:noProof/>
          <w:color w:val="000000"/>
          <w:vertAlign w:val="superscript"/>
          <w:lang w:eastAsia="en-GB"/>
        </w:rPr>
        <w:fldChar w:fldCharType="separate"/>
      </w:r>
      <w:r w:rsidR="00EB2CAF">
        <w:rPr>
          <w:noProof/>
          <w:color w:val="000000"/>
          <w:vertAlign w:val="superscript"/>
          <w:lang w:eastAsia="en-GB"/>
        </w:rPr>
        <w:t>120</w:t>
      </w:r>
      <w:r w:rsidR="009A4E98" w:rsidRPr="00DC621B">
        <w:rPr>
          <w:noProof/>
          <w:color w:val="000000"/>
          <w:vertAlign w:val="superscript"/>
          <w:lang w:eastAsia="en-GB"/>
        </w:rPr>
        <w:fldChar w:fldCharType="end"/>
      </w:r>
      <w:r w:rsidR="00F2069F">
        <w:rPr>
          <w:noProof/>
          <w:color w:val="000000"/>
          <w:lang w:eastAsia="en-GB"/>
        </w:rPr>
        <w:t xml:space="preserve">, </w:t>
      </w:r>
      <w:r w:rsidRPr="00DC621B">
        <w:rPr>
          <w:noProof/>
          <w:color w:val="000000"/>
          <w:lang w:eastAsia="en-GB"/>
        </w:rPr>
        <w:t>despite Member States’ earlier announcements</w:t>
      </w:r>
      <w:r w:rsidR="001A54A6" w:rsidRPr="00DC621B">
        <w:rPr>
          <w:noProof/>
          <w:color w:val="000000"/>
          <w:vertAlign w:val="superscript"/>
          <w:lang w:eastAsia="en-GB"/>
        </w:rPr>
        <w:fldChar w:fldCharType="begin"/>
      </w:r>
      <w:r w:rsidR="001A54A6" w:rsidRPr="00DC621B">
        <w:rPr>
          <w:noProof/>
          <w:color w:val="000000"/>
          <w:vertAlign w:val="superscript"/>
          <w:lang w:eastAsia="en-GB"/>
        </w:rPr>
        <w:instrText xml:space="preserve"> NOTEREF _Ref76407265 \h  \* MERGEFORMAT </w:instrText>
      </w:r>
      <w:r w:rsidR="001A54A6" w:rsidRPr="00DC621B">
        <w:rPr>
          <w:noProof/>
          <w:color w:val="000000"/>
          <w:vertAlign w:val="superscript"/>
          <w:lang w:eastAsia="en-GB"/>
        </w:rPr>
      </w:r>
      <w:r w:rsidR="001A54A6" w:rsidRPr="00DC621B">
        <w:rPr>
          <w:noProof/>
          <w:color w:val="000000"/>
          <w:vertAlign w:val="superscript"/>
          <w:lang w:eastAsia="en-GB"/>
        </w:rPr>
        <w:fldChar w:fldCharType="separate"/>
      </w:r>
      <w:r w:rsidR="00EB2CAF">
        <w:rPr>
          <w:noProof/>
          <w:color w:val="000000"/>
          <w:vertAlign w:val="superscript"/>
          <w:lang w:eastAsia="en-GB"/>
        </w:rPr>
        <w:t>119</w:t>
      </w:r>
      <w:r w:rsidR="001A54A6" w:rsidRPr="00DC621B">
        <w:rPr>
          <w:noProof/>
          <w:color w:val="000000"/>
          <w:vertAlign w:val="superscript"/>
          <w:lang w:eastAsia="en-GB"/>
        </w:rPr>
        <w:fldChar w:fldCharType="end"/>
      </w:r>
      <w:r w:rsidR="001A54A6" w:rsidRPr="00DC621B">
        <w:rPr>
          <w:noProof/>
          <w:color w:val="000000"/>
          <w:lang w:eastAsia="en-GB"/>
        </w:rPr>
        <w:t xml:space="preserve"> </w:t>
      </w:r>
      <w:bookmarkStart w:id="336" w:name="_Ref70265558"/>
      <w:r w:rsidRPr="00DC621B">
        <w:rPr>
          <w:noProof/>
          <w:color w:val="000000"/>
          <w:lang w:eastAsia="en-GB"/>
        </w:rPr>
        <w:t>and following the lowering of targets in a number of occasions and changes in national deployment programme</w:t>
      </w:r>
      <w:r w:rsidR="00D42446" w:rsidRPr="00DC621B">
        <w:rPr>
          <w:noProof/>
          <w:color w:val="000000"/>
          <w:lang w:eastAsia="en-GB"/>
        </w:rPr>
        <w:t>s</w:t>
      </w:r>
      <w:bookmarkEnd w:id="336"/>
      <w:r w:rsidR="009A4E98" w:rsidRPr="00DC621B">
        <w:rPr>
          <w:noProof/>
          <w:color w:val="000000"/>
          <w:vertAlign w:val="superscript"/>
          <w:lang w:eastAsia="en-GB"/>
        </w:rPr>
        <w:fldChar w:fldCharType="begin"/>
      </w:r>
      <w:r w:rsidR="009A4E98" w:rsidRPr="00DC621B">
        <w:rPr>
          <w:noProof/>
          <w:color w:val="000000"/>
          <w:vertAlign w:val="superscript"/>
          <w:lang w:eastAsia="en-GB"/>
        </w:rPr>
        <w:instrText xml:space="preserve"> NOTEREF _Ref76402886 \h  \* MERGEFORMAT </w:instrText>
      </w:r>
      <w:r w:rsidR="009A4E98" w:rsidRPr="00DC621B">
        <w:rPr>
          <w:noProof/>
          <w:color w:val="000000"/>
          <w:vertAlign w:val="superscript"/>
          <w:lang w:eastAsia="en-GB"/>
        </w:rPr>
      </w:r>
      <w:r w:rsidR="009A4E98" w:rsidRPr="00DC621B">
        <w:rPr>
          <w:noProof/>
          <w:color w:val="000000"/>
          <w:vertAlign w:val="superscript"/>
          <w:lang w:eastAsia="en-GB"/>
        </w:rPr>
        <w:fldChar w:fldCharType="separate"/>
      </w:r>
      <w:r w:rsidR="00EB2CAF">
        <w:rPr>
          <w:noProof/>
          <w:color w:val="000000"/>
          <w:vertAlign w:val="superscript"/>
          <w:lang w:eastAsia="en-GB"/>
        </w:rPr>
        <w:t>120</w:t>
      </w:r>
      <w:r w:rsidR="009A4E98" w:rsidRPr="00DC621B">
        <w:rPr>
          <w:noProof/>
          <w:color w:val="000000"/>
          <w:vertAlign w:val="superscript"/>
          <w:lang w:eastAsia="en-GB"/>
        </w:rPr>
        <w:fldChar w:fldCharType="end"/>
      </w:r>
      <w:r w:rsidR="00F2069F">
        <w:rPr>
          <w:noProof/>
          <w:color w:val="000000"/>
          <w:lang w:eastAsia="en-GB"/>
        </w:rPr>
        <w:t xml:space="preserve">, </w:t>
      </w:r>
      <w:r w:rsidRPr="00DC621B">
        <w:rPr>
          <w:noProof/>
          <w:color w:val="000000"/>
          <w:lang w:eastAsia="en-GB"/>
        </w:rPr>
        <w:t>In this slow-paced deployment</w:t>
      </w:r>
      <w:bookmarkStart w:id="337" w:name="_Ref70353970"/>
      <w:bookmarkStart w:id="338" w:name="_Ref70266330"/>
      <w:r w:rsidRPr="00DC621B">
        <w:rPr>
          <w:noProof/>
          <w:color w:val="000000"/>
          <w:vertAlign w:val="superscript"/>
          <w:lang w:eastAsia="en-GB"/>
        </w:rPr>
        <w:footnoteReference w:id="111"/>
      </w:r>
      <w:bookmarkEnd w:id="337"/>
      <w:r w:rsidRPr="00DC621B">
        <w:rPr>
          <w:noProof/>
          <w:color w:val="000000"/>
          <w:lang w:eastAsia="en-GB"/>
        </w:rPr>
        <w:t xml:space="preserve">, </w:t>
      </w:r>
      <w:r w:rsidR="00052AB4" w:rsidRPr="00DC621B">
        <w:rPr>
          <w:noProof/>
          <w:color w:val="000000"/>
          <w:lang w:eastAsia="en-GB"/>
        </w:rPr>
        <w:t xml:space="preserve">few </w:t>
      </w:r>
      <w:r w:rsidRPr="00DC621B">
        <w:rPr>
          <w:noProof/>
          <w:color w:val="000000"/>
          <w:lang w:eastAsia="en-GB"/>
        </w:rPr>
        <w:t>Member States only are currently proceeding with large-scale rollouts, namely France, Italy, Luxembourg and the Netherlands</w:t>
      </w:r>
      <w:r w:rsidRPr="00DC621B">
        <w:rPr>
          <w:noProof/>
          <w:color w:val="000000"/>
          <w:vertAlign w:val="superscript"/>
          <w:lang w:eastAsia="en-GB"/>
        </w:rPr>
        <w:footnoteReference w:id="112"/>
      </w:r>
      <w:bookmarkEnd w:id="338"/>
      <w:r w:rsidRPr="00DC621B">
        <w:rPr>
          <w:noProof/>
          <w:color w:val="000000"/>
          <w:lang w:eastAsia="en-GB"/>
        </w:rPr>
        <w:t>. Installations of gas smart meters have also started in other countries but at different speed and level of ambition</w:t>
      </w:r>
      <w:r w:rsidR="008A4CF6" w:rsidRPr="00DC621B">
        <w:rPr>
          <w:noProof/>
          <w:color w:val="000000"/>
          <w:lang w:eastAsia="en-GB"/>
        </w:rPr>
        <w:t>,</w:t>
      </w:r>
      <w:r w:rsidRPr="00DC621B">
        <w:rPr>
          <w:noProof/>
          <w:color w:val="000000"/>
          <w:lang w:eastAsia="en-GB"/>
        </w:rPr>
        <w:t xml:space="preserve"> namely in Germany, Estonia, Ireland</w:t>
      </w:r>
      <w:r w:rsidRPr="00DC621B">
        <w:rPr>
          <w:noProof/>
          <w:color w:val="000000"/>
          <w:vertAlign w:val="superscript"/>
          <w:lang w:eastAsia="en-GB"/>
        </w:rPr>
        <w:footnoteReference w:id="113"/>
      </w:r>
      <w:r w:rsidRPr="00DC621B">
        <w:rPr>
          <w:noProof/>
          <w:color w:val="000000"/>
          <w:lang w:eastAsia="en-GB"/>
        </w:rPr>
        <w:t xml:space="preserve"> and Poland. The rest of the Member States </w:t>
      </w:r>
      <w:r w:rsidRPr="00DC621B">
        <w:rPr>
          <w:noProof/>
        </w:rPr>
        <w:t>concluded for now that the costs outweigh the benefits; others intend to install gas smart metering only under certain conditions or have reached no decision yet</w:t>
      </w:r>
      <w:r w:rsidRPr="00DC621B">
        <w:rPr>
          <w:noProof/>
          <w:color w:val="000000"/>
          <w:vertAlign w:val="superscript"/>
          <w:lang w:eastAsia="en-GB"/>
        </w:rPr>
        <w:footnoteReference w:id="114"/>
      </w:r>
      <w:r w:rsidR="00F2069F">
        <w:rPr>
          <w:noProof/>
        </w:rPr>
        <w:t>.</w:t>
      </w:r>
      <w:r w:rsidRPr="00DC621B">
        <w:rPr>
          <w:noProof/>
          <w:color w:val="000000"/>
          <w:lang w:eastAsia="en-GB"/>
        </w:rPr>
        <w:t xml:space="preserve"> </w:t>
      </w:r>
    </w:p>
    <w:p w:rsidR="002F7976" w:rsidRPr="00DC621B" w:rsidRDefault="00DF0CBC" w:rsidP="004A20D5">
      <w:pPr>
        <w:rPr>
          <w:rFonts w:eastAsiaTheme="minorEastAsia"/>
          <w:noProof/>
        </w:rPr>
      </w:pPr>
      <w:r w:rsidRPr="00DC621B">
        <w:rPr>
          <w:noProof/>
          <w:color w:val="000000"/>
        </w:rPr>
        <w:t>T</w:t>
      </w:r>
      <w:r w:rsidR="002F7976" w:rsidRPr="00DC621B">
        <w:rPr>
          <w:noProof/>
          <w:color w:val="000000"/>
        </w:rPr>
        <w:t xml:space="preserve">he successful rollout is </w:t>
      </w:r>
      <w:r w:rsidRPr="00DC621B">
        <w:rPr>
          <w:noProof/>
          <w:color w:val="000000"/>
        </w:rPr>
        <w:t>to large extent</w:t>
      </w:r>
      <w:r w:rsidR="002F7976" w:rsidRPr="00DC621B">
        <w:rPr>
          <w:noProof/>
          <w:color w:val="000000"/>
        </w:rPr>
        <w:t xml:space="preserve"> controlled by Member States that decide on the deployment conditions and the respective arrangements. This</w:t>
      </w:r>
      <w:r w:rsidR="002F7976" w:rsidRPr="00DC621B">
        <w:rPr>
          <w:noProof/>
          <w:color w:val="000000"/>
          <w:kern w:val="24"/>
          <w:lang w:eastAsia="en-GB"/>
        </w:rPr>
        <w:t xml:space="preserve"> calls for setting up well in advance c</w:t>
      </w:r>
      <w:r w:rsidR="00D42446" w:rsidRPr="00DC621B">
        <w:rPr>
          <w:noProof/>
          <w:color w:val="000000"/>
          <w:kern w:val="24"/>
          <w:lang w:eastAsia="en-GB"/>
        </w:rPr>
        <w:t>lear roles and responsibilities</w:t>
      </w:r>
      <w:r w:rsidR="002F7976" w:rsidRPr="00DC621B">
        <w:rPr>
          <w:noProof/>
          <w:color w:val="000000"/>
          <w:kern w:val="24"/>
          <w:lang w:eastAsia="en-GB"/>
        </w:rPr>
        <w:t>.</w:t>
      </w:r>
      <w:r w:rsidR="002F7976" w:rsidRPr="00DC621B">
        <w:rPr>
          <w:noProof/>
          <w:color w:val="000000"/>
        </w:rPr>
        <w:t xml:space="preserve"> In most cases, the DSOs are (or expected to be) the responsible party for the implementation, ownership of smart meters as well as the </w:t>
      </w:r>
      <w:r w:rsidR="002F7976" w:rsidRPr="00DC621B">
        <w:rPr>
          <w:b/>
          <w:bCs/>
          <w:noProof/>
          <w:color w:val="000000"/>
        </w:rPr>
        <w:t>data handling</w:t>
      </w:r>
      <w:r w:rsidR="002F7976" w:rsidRPr="00DC621B">
        <w:rPr>
          <w:noProof/>
          <w:color w:val="000000"/>
        </w:rPr>
        <w:t xml:space="preserve"> when countries proceed with a rollout. These are </w:t>
      </w:r>
      <w:r w:rsidR="002F7976" w:rsidRPr="00DC621B">
        <w:rPr>
          <w:noProof/>
          <w:color w:val="000000"/>
          <w:kern w:val="24"/>
          <w:lang w:eastAsia="en-GB"/>
        </w:rPr>
        <w:t xml:space="preserve">extra responsibilities </w:t>
      </w:r>
      <w:r w:rsidR="00803AB7" w:rsidRPr="00DC621B">
        <w:rPr>
          <w:noProof/>
          <w:color w:val="000000"/>
          <w:kern w:val="24"/>
          <w:lang w:eastAsia="en-GB"/>
        </w:rPr>
        <w:t>for</w:t>
      </w:r>
      <w:r w:rsidR="002F7976" w:rsidRPr="00DC621B">
        <w:rPr>
          <w:noProof/>
          <w:color w:val="000000"/>
          <w:kern w:val="24"/>
          <w:lang w:eastAsia="en-GB"/>
        </w:rPr>
        <w:t xml:space="preserve"> </w:t>
      </w:r>
      <w:r w:rsidRPr="00DC621B">
        <w:rPr>
          <w:noProof/>
          <w:color w:val="000000"/>
          <w:kern w:val="24"/>
          <w:lang w:eastAsia="en-GB"/>
        </w:rPr>
        <w:t>DSOs</w:t>
      </w:r>
      <w:r w:rsidR="00803AB7" w:rsidRPr="00DC621B">
        <w:rPr>
          <w:noProof/>
          <w:color w:val="000000"/>
          <w:kern w:val="24"/>
          <w:lang w:eastAsia="en-GB"/>
        </w:rPr>
        <w:t>. They</w:t>
      </w:r>
      <w:r w:rsidR="002F7976" w:rsidRPr="00DC621B">
        <w:rPr>
          <w:noProof/>
          <w:color w:val="000000"/>
          <w:kern w:val="24"/>
          <w:lang w:eastAsia="en-GB"/>
        </w:rPr>
        <w:t xml:space="preserve"> should be </w:t>
      </w:r>
      <w:r w:rsidR="00803AB7" w:rsidRPr="00DC621B">
        <w:rPr>
          <w:noProof/>
          <w:color w:val="000000"/>
          <w:kern w:val="24"/>
          <w:lang w:eastAsia="en-GB"/>
        </w:rPr>
        <w:t xml:space="preserve">performed </w:t>
      </w:r>
      <w:r w:rsidR="002F7976" w:rsidRPr="00DC621B">
        <w:rPr>
          <w:noProof/>
          <w:color w:val="000000"/>
          <w:kern w:val="24"/>
          <w:lang w:eastAsia="en-GB"/>
        </w:rPr>
        <w:t xml:space="preserve">in a </w:t>
      </w:r>
      <w:r w:rsidRPr="00DC621B">
        <w:rPr>
          <w:noProof/>
          <w:color w:val="000000"/>
          <w:kern w:val="24"/>
          <w:lang w:eastAsia="en-GB"/>
        </w:rPr>
        <w:t xml:space="preserve">transparent and </w:t>
      </w:r>
      <w:r w:rsidR="002F7976" w:rsidRPr="00DC621B">
        <w:rPr>
          <w:noProof/>
          <w:color w:val="000000"/>
          <w:kern w:val="24"/>
          <w:lang w:eastAsia="en-GB"/>
        </w:rPr>
        <w:t>non-discriminatory way, given the increasing importance of metering data</w:t>
      </w:r>
      <w:r w:rsidRPr="00DC621B">
        <w:rPr>
          <w:noProof/>
          <w:color w:val="000000"/>
          <w:kern w:val="24"/>
          <w:lang w:eastAsia="en-GB"/>
        </w:rPr>
        <w:t xml:space="preserve">, and </w:t>
      </w:r>
      <w:r w:rsidR="00803AB7" w:rsidRPr="00DC621B">
        <w:rPr>
          <w:noProof/>
          <w:color w:val="000000" w:themeColor="text1"/>
          <w:spacing w:val="-2"/>
          <w:lang w:eastAsia="en-GB"/>
        </w:rPr>
        <w:t>with due respect to</w:t>
      </w:r>
      <w:r w:rsidR="002F7976" w:rsidRPr="00DC621B">
        <w:rPr>
          <w:noProof/>
          <w:color w:val="000000" w:themeColor="text1"/>
          <w:spacing w:val="-2"/>
          <w:lang w:eastAsia="en-GB"/>
        </w:rPr>
        <w:t xml:space="preserve"> applicable rules, such as the General Data Protection </w:t>
      </w:r>
      <w:r w:rsidR="002F7976" w:rsidRPr="00F2069F">
        <w:rPr>
          <w:noProof/>
          <w:color w:val="000000" w:themeColor="text1"/>
          <w:spacing w:val="-2"/>
          <w:lang w:eastAsia="en-GB"/>
        </w:rPr>
        <w:t>Regulation</w:t>
      </w:r>
      <w:bookmarkStart w:id="339" w:name="_Ref39916723"/>
      <w:r w:rsidR="002F7976" w:rsidRPr="00C134D1">
        <w:rPr>
          <w:rFonts w:eastAsiaTheme="minorEastAsia"/>
          <w:noProof/>
          <w:szCs w:val="22"/>
          <w:vertAlign w:val="superscript"/>
        </w:rPr>
        <w:footnoteReference w:id="115"/>
      </w:r>
      <w:bookmarkEnd w:id="339"/>
      <w:r w:rsidR="002F7976" w:rsidRPr="00C134D1">
        <w:rPr>
          <w:noProof/>
          <w:color w:val="000000" w:themeColor="text1"/>
          <w:spacing w:val="-2"/>
          <w:sz w:val="28"/>
          <w:lang w:eastAsia="en-GB"/>
        </w:rPr>
        <w:t xml:space="preserve"> </w:t>
      </w:r>
      <w:r w:rsidR="002F7976" w:rsidRPr="00F2069F">
        <w:rPr>
          <w:noProof/>
          <w:color w:val="000000" w:themeColor="text1"/>
          <w:spacing w:val="-2"/>
          <w:lang w:eastAsia="en-GB"/>
        </w:rPr>
        <w:t>when</w:t>
      </w:r>
      <w:r w:rsidR="002F7976" w:rsidRPr="00DC621B">
        <w:rPr>
          <w:noProof/>
          <w:color w:val="000000" w:themeColor="text1"/>
          <w:spacing w:val="-2"/>
          <w:lang w:eastAsia="en-GB"/>
        </w:rPr>
        <w:t xml:space="preserve"> data is identified as personal. This </w:t>
      </w:r>
      <w:r w:rsidR="002F7976" w:rsidRPr="00DC621B">
        <w:rPr>
          <w:noProof/>
          <w:color w:val="000000"/>
          <w:kern w:val="24"/>
          <w:lang w:eastAsia="en-GB"/>
        </w:rPr>
        <w:t>is clearly instructed in the new Electricity Directive</w:t>
      </w:r>
      <w:r w:rsidR="002F7976" w:rsidRPr="00DC621B">
        <w:rPr>
          <w:rStyle w:val="FootnoteReference"/>
          <w:noProof/>
          <w:color w:val="000000"/>
          <w:kern w:val="24"/>
          <w:lang w:eastAsia="en-GB"/>
        </w:rPr>
        <w:footnoteReference w:id="116"/>
      </w:r>
      <w:r w:rsidR="00F2069F">
        <w:rPr>
          <w:noProof/>
          <w:color w:val="000000"/>
          <w:kern w:val="24"/>
          <w:lang w:eastAsia="en-GB"/>
        </w:rPr>
        <w:t>;</w:t>
      </w:r>
      <w:r w:rsidR="002F7976" w:rsidRPr="00DC621B">
        <w:rPr>
          <w:noProof/>
          <w:color w:val="000000"/>
          <w:kern w:val="24"/>
          <w:lang w:eastAsia="en-GB"/>
        </w:rPr>
        <w:t xml:space="preserve"> there is nothing similar currently enforced for gas. </w:t>
      </w:r>
      <w:r w:rsidR="002F7976" w:rsidRPr="00DC621B">
        <w:rPr>
          <w:rFonts w:eastAsiaTheme="minorEastAsia"/>
          <w:noProof/>
        </w:rPr>
        <w:t xml:space="preserve">However, the Third Energy Package entitles consumers to receive their </w:t>
      </w:r>
      <w:r w:rsidR="002F7976" w:rsidRPr="00DC621B">
        <w:rPr>
          <w:rFonts w:eastAsiaTheme="minorEastAsia"/>
          <w:b/>
          <w:bCs/>
          <w:noProof/>
        </w:rPr>
        <w:t>consumption data</w:t>
      </w:r>
      <w:r w:rsidR="002F7976" w:rsidRPr="00DC621B">
        <w:rPr>
          <w:rFonts w:eastAsiaTheme="minorEastAsia"/>
          <w:noProof/>
        </w:rPr>
        <w:t xml:space="preserve"> from electricity and gas undertakings, and allow </w:t>
      </w:r>
      <w:r w:rsidR="002F7976" w:rsidRPr="00DC621B">
        <w:rPr>
          <w:rFonts w:eastAsiaTheme="minorEastAsia"/>
          <w:b/>
          <w:bCs/>
          <w:noProof/>
        </w:rPr>
        <w:t>access to it by a third party of their choice</w:t>
      </w:r>
      <w:r w:rsidR="002F7976" w:rsidRPr="00DC621B">
        <w:rPr>
          <w:rFonts w:eastAsiaTheme="minorEastAsia"/>
          <w:noProof/>
        </w:rPr>
        <w:t>, free of charge</w:t>
      </w:r>
      <w:r w:rsidR="002F7976" w:rsidRPr="00DC621B">
        <w:rPr>
          <w:rFonts w:eastAsiaTheme="minorEastAsia"/>
          <w:noProof/>
          <w:vertAlign w:val="superscript"/>
        </w:rPr>
        <w:footnoteReference w:id="117"/>
      </w:r>
      <w:r w:rsidR="002F7976" w:rsidRPr="00DC621B">
        <w:rPr>
          <w:rFonts w:eastAsiaTheme="minorEastAsia"/>
          <w:noProof/>
        </w:rPr>
        <w:t xml:space="preserve">. In addition, </w:t>
      </w:r>
      <w:r w:rsidR="001B1E7E">
        <w:rPr>
          <w:rFonts w:eastAsiaTheme="minorEastAsia"/>
          <w:noProof/>
        </w:rPr>
        <w:t>NRAs</w:t>
      </w:r>
      <w:r w:rsidR="002F7976" w:rsidRPr="00DC621B">
        <w:rPr>
          <w:rFonts w:eastAsiaTheme="minorEastAsia"/>
          <w:noProof/>
        </w:rPr>
        <w:t xml:space="preserve"> must provide an easily understandable and harmonised framework for accessing the respective data</w:t>
      </w:r>
      <w:r w:rsidR="002F7976" w:rsidRPr="00DC621B">
        <w:rPr>
          <w:rFonts w:eastAsiaTheme="minorEastAsia"/>
          <w:noProof/>
          <w:vertAlign w:val="superscript"/>
        </w:rPr>
        <w:footnoteReference w:id="118"/>
      </w:r>
      <w:r w:rsidR="00F2069F">
        <w:rPr>
          <w:rFonts w:eastAsiaTheme="minorEastAsia"/>
          <w:noProof/>
        </w:rPr>
        <w:t>.</w:t>
      </w:r>
      <w:r w:rsidR="002F7976" w:rsidRPr="00DC621B">
        <w:rPr>
          <w:rFonts w:eastAsiaTheme="minorEastAsia"/>
          <w:noProof/>
        </w:rPr>
        <w:t xml:space="preserve"> </w:t>
      </w:r>
    </w:p>
    <w:p w:rsidR="002F7976" w:rsidRPr="00DC621B" w:rsidRDefault="002F7976" w:rsidP="002F7976">
      <w:pPr>
        <w:rPr>
          <w:b/>
          <w:bCs/>
          <w:noProof/>
          <w:color w:val="000000" w:themeColor="text1"/>
          <w:lang w:eastAsia="en-GB"/>
        </w:rPr>
      </w:pPr>
      <w:r w:rsidRPr="00DC621B">
        <w:rPr>
          <w:rFonts w:eastAsiaTheme="minorEastAsia"/>
          <w:noProof/>
        </w:rPr>
        <w:t>With the introduction of smart meters, this data is more granular and further enriched</w:t>
      </w:r>
      <w:r w:rsidR="007B1583" w:rsidRPr="00DC621B">
        <w:rPr>
          <w:rFonts w:eastAsiaTheme="minorEastAsia"/>
          <w:noProof/>
        </w:rPr>
        <w:t>,</w:t>
      </w:r>
      <w:r w:rsidRPr="00DC621B">
        <w:rPr>
          <w:rFonts w:eastAsiaTheme="minorEastAsia"/>
          <w:noProof/>
        </w:rPr>
        <w:t xml:space="preserve"> enabling service providers to offer to consumers broader value propositions beyond energy supply. To do that, </w:t>
      </w:r>
      <w:r w:rsidR="00803AB7" w:rsidRPr="00DC621B">
        <w:rPr>
          <w:rFonts w:eastAsiaTheme="minorEastAsia"/>
          <w:noProof/>
        </w:rPr>
        <w:t>they</w:t>
      </w:r>
      <w:r w:rsidRPr="00DC621B">
        <w:rPr>
          <w:rFonts w:eastAsiaTheme="minorEastAsia"/>
          <w:noProof/>
        </w:rPr>
        <w:t xml:space="preserve"> need to access/exchange the data</w:t>
      </w:r>
      <w:r w:rsidRPr="00DC621B">
        <w:rPr>
          <w:noProof/>
          <w:color w:val="000000" w:themeColor="text1"/>
          <w:spacing w:val="-2"/>
          <w:lang w:eastAsia="en-GB"/>
        </w:rPr>
        <w:t xml:space="preserve"> in an </w:t>
      </w:r>
      <w:r w:rsidR="00803AB7" w:rsidRPr="00DC621B">
        <w:rPr>
          <w:noProof/>
          <w:color w:val="000000" w:themeColor="text1"/>
          <w:spacing w:val="-2"/>
          <w:lang w:eastAsia="en-GB"/>
        </w:rPr>
        <w:t xml:space="preserve">easy, safe and secure </w:t>
      </w:r>
      <w:r w:rsidRPr="00DC621B">
        <w:rPr>
          <w:noProof/>
          <w:color w:val="000000" w:themeColor="text1"/>
          <w:spacing w:val="-2"/>
          <w:lang w:eastAsia="en-GB"/>
        </w:rPr>
        <w:t>way. In this context, the new Electricity Directive</w:t>
      </w:r>
      <w:r w:rsidRPr="00DC621B">
        <w:rPr>
          <w:noProof/>
          <w:color w:val="000000" w:themeColor="text1"/>
          <w:spacing w:val="-2"/>
          <w:vertAlign w:val="superscript"/>
          <w:lang w:eastAsia="en-GB"/>
        </w:rPr>
        <w:footnoteReference w:id="119"/>
      </w:r>
      <w:r w:rsidRPr="00DC621B">
        <w:rPr>
          <w:noProof/>
          <w:color w:val="000000" w:themeColor="text1"/>
          <w:spacing w:val="-2"/>
          <w:lang w:eastAsia="en-GB"/>
        </w:rPr>
        <w:t xml:space="preserve"> sets a comprehensive framework for data management</w:t>
      </w:r>
      <w:bookmarkStart w:id="340" w:name="_Ref39493275"/>
      <w:r w:rsidRPr="00DC621B">
        <w:rPr>
          <w:noProof/>
          <w:color w:val="000000" w:themeColor="text1"/>
          <w:spacing w:val="-2"/>
          <w:vertAlign w:val="superscript"/>
          <w:lang w:eastAsia="en-GB"/>
        </w:rPr>
        <w:footnoteReference w:id="120"/>
      </w:r>
      <w:bookmarkEnd w:id="340"/>
      <w:r w:rsidR="00803AB7" w:rsidRPr="00DC621B">
        <w:rPr>
          <w:noProof/>
          <w:color w:val="000000" w:themeColor="text1"/>
          <w:spacing w:val="-2"/>
          <w:lang w:eastAsia="en-GB"/>
        </w:rPr>
        <w:t xml:space="preserve"> S</w:t>
      </w:r>
      <w:r w:rsidRPr="00DC621B">
        <w:rPr>
          <w:noProof/>
          <w:color w:val="000000" w:themeColor="text1"/>
          <w:spacing w:val="-2"/>
          <w:lang w:eastAsia="en-GB"/>
        </w:rPr>
        <w:t xml:space="preserve">uch </w:t>
      </w:r>
      <w:r w:rsidRPr="00DC621B">
        <w:rPr>
          <w:b/>
          <w:bCs/>
          <w:noProof/>
          <w:color w:val="000000" w:themeColor="text1"/>
          <w:spacing w:val="-2"/>
          <w:lang w:eastAsia="en-GB"/>
        </w:rPr>
        <w:t xml:space="preserve">clear </w:t>
      </w:r>
      <w:r w:rsidR="00803AB7" w:rsidRPr="00DC621B">
        <w:rPr>
          <w:b/>
          <w:bCs/>
          <w:noProof/>
          <w:color w:val="000000" w:themeColor="text1"/>
          <w:spacing w:val="-2"/>
          <w:lang w:eastAsia="en-GB"/>
        </w:rPr>
        <w:t xml:space="preserve">rules </w:t>
      </w:r>
      <w:r w:rsidRPr="00DC621B">
        <w:rPr>
          <w:b/>
          <w:bCs/>
          <w:noProof/>
          <w:color w:val="000000" w:themeColor="text1"/>
          <w:spacing w:val="-2"/>
          <w:lang w:eastAsia="en-GB"/>
        </w:rPr>
        <w:t>for handling (smart) meter data</w:t>
      </w:r>
      <w:r w:rsidRPr="00DC621B">
        <w:rPr>
          <w:noProof/>
          <w:color w:val="000000" w:themeColor="text1"/>
          <w:spacing w:val="-2"/>
          <w:lang w:eastAsia="en-GB"/>
        </w:rPr>
        <w:t xml:space="preserve"> and data required to run certain processes</w:t>
      </w:r>
      <w:r w:rsidR="00803AB7" w:rsidRPr="00DC621B">
        <w:rPr>
          <w:noProof/>
          <w:color w:val="000000" w:themeColor="text1"/>
          <w:spacing w:val="-2"/>
          <w:lang w:eastAsia="en-GB"/>
        </w:rPr>
        <w:t>,</w:t>
      </w:r>
      <w:r w:rsidRPr="00DC621B">
        <w:rPr>
          <w:noProof/>
          <w:color w:val="000000" w:themeColor="text1"/>
          <w:spacing w:val="-2"/>
          <w:lang w:eastAsia="en-GB"/>
        </w:rPr>
        <w:t xml:space="preserve"> are </w:t>
      </w:r>
      <w:r w:rsidRPr="00DC621B">
        <w:rPr>
          <w:b/>
          <w:bCs/>
          <w:noProof/>
          <w:color w:val="000000" w:themeColor="text1"/>
          <w:spacing w:val="-2"/>
          <w:lang w:eastAsia="en-GB"/>
        </w:rPr>
        <w:t xml:space="preserve">currently lacking in the gas provisions. </w:t>
      </w:r>
    </w:p>
    <w:p w:rsidR="002F7976" w:rsidRPr="00DC621B" w:rsidRDefault="002F7976" w:rsidP="002F7976">
      <w:pPr>
        <w:rPr>
          <w:noProof/>
          <w:color w:val="000000" w:themeColor="text1"/>
          <w:lang w:eastAsia="en-GB"/>
        </w:rPr>
      </w:pPr>
      <w:r w:rsidRPr="00DC621B">
        <w:rPr>
          <w:noProof/>
          <w:color w:val="000000"/>
          <w:kern w:val="24"/>
          <w:lang w:eastAsia="en-GB"/>
        </w:rPr>
        <w:t xml:space="preserve">Equipped with the right tools (smart meters) and with access to timely and accurate data, consumers can actually get actively involved in the gas market, if they wish so. Prior to that though they need to trust and feel at ease with such a perspective. </w:t>
      </w:r>
      <w:r w:rsidRPr="00DC621B">
        <w:rPr>
          <w:b/>
          <w:bCs/>
          <w:noProof/>
          <w:color w:val="000000"/>
          <w:kern w:val="24"/>
          <w:lang w:eastAsia="en-GB"/>
        </w:rPr>
        <w:t>Consumer acceptance</w:t>
      </w:r>
      <w:r w:rsidRPr="00DC621B">
        <w:rPr>
          <w:noProof/>
          <w:color w:val="000000"/>
          <w:kern w:val="24"/>
          <w:lang w:eastAsia="en-GB"/>
        </w:rPr>
        <w:t xml:space="preserve"> of smart metering is a prerequisite for this, and a key element for the success of a rollout. </w:t>
      </w:r>
      <w:r w:rsidR="00113156" w:rsidRPr="00DC621B">
        <w:rPr>
          <w:noProof/>
          <w:color w:val="000000"/>
        </w:rPr>
        <w:t>To this respect, p</w:t>
      </w:r>
      <w:r w:rsidR="00803AB7" w:rsidRPr="00DC621B">
        <w:rPr>
          <w:noProof/>
          <w:color w:val="000000"/>
        </w:rPr>
        <w:t>ilot projects confirm the need for</w:t>
      </w:r>
      <w:r w:rsidR="00DF0CBC" w:rsidRPr="00DC621B">
        <w:rPr>
          <w:noProof/>
          <w:color w:val="000000"/>
        </w:rPr>
        <w:t xml:space="preserve"> tailored</w:t>
      </w:r>
      <w:r w:rsidR="00803AB7" w:rsidRPr="00DC621B">
        <w:rPr>
          <w:noProof/>
          <w:color w:val="000000"/>
        </w:rPr>
        <w:t>-</w:t>
      </w:r>
      <w:r w:rsidR="00DF0CBC" w:rsidRPr="00DC621B">
        <w:rPr>
          <w:noProof/>
          <w:color w:val="000000"/>
        </w:rPr>
        <w:t>made</w:t>
      </w:r>
      <w:r w:rsidRPr="00DC621B">
        <w:rPr>
          <w:noProof/>
          <w:color w:val="000000"/>
        </w:rPr>
        <w:t xml:space="preserve"> </w:t>
      </w:r>
      <w:r w:rsidRPr="00DC621B">
        <w:rPr>
          <w:b/>
          <w:bCs/>
          <w:noProof/>
          <w:color w:val="000000"/>
        </w:rPr>
        <w:t>communication campaigns</w:t>
      </w:r>
      <w:r w:rsidRPr="00DC621B">
        <w:rPr>
          <w:noProof/>
          <w:color w:val="000000"/>
        </w:rPr>
        <w:t xml:space="preserve"> with targeted messages</w:t>
      </w:r>
      <w:r w:rsidR="002D752E" w:rsidRPr="00DC621B">
        <w:rPr>
          <w:rStyle w:val="FootnoteReference"/>
          <w:noProof/>
        </w:rPr>
        <w:footnoteReference w:id="121"/>
      </w:r>
      <w:r w:rsidR="00F2069F">
        <w:rPr>
          <w:noProof/>
          <w:color w:val="000000"/>
        </w:rPr>
        <w:t>.</w:t>
      </w:r>
      <w:r w:rsidR="00F660EF" w:rsidRPr="00DC621B">
        <w:rPr>
          <w:noProof/>
          <w:color w:val="000000"/>
        </w:rPr>
        <w:t xml:space="preserve"> </w:t>
      </w:r>
      <w:r w:rsidR="00113156" w:rsidRPr="00DC621B">
        <w:rPr>
          <w:noProof/>
          <w:color w:val="000000" w:themeColor="text1"/>
        </w:rPr>
        <w:t>These c</w:t>
      </w:r>
      <w:r w:rsidR="003D1BC5" w:rsidRPr="00DC621B">
        <w:rPr>
          <w:noProof/>
          <w:color w:val="000000" w:themeColor="text1"/>
        </w:rPr>
        <w:t>ould</w:t>
      </w:r>
      <w:r w:rsidR="00113156" w:rsidRPr="00DC621B">
        <w:rPr>
          <w:noProof/>
          <w:color w:val="000000" w:themeColor="text1"/>
        </w:rPr>
        <w:t xml:space="preserve"> help increase </w:t>
      </w:r>
      <w:r w:rsidR="796E43CC" w:rsidRPr="00DC621B">
        <w:rPr>
          <w:noProof/>
          <w:color w:val="000000" w:themeColor="text1"/>
        </w:rPr>
        <w:t>the effectiveness of the respective smart metering provisions.</w:t>
      </w:r>
    </w:p>
    <w:p w:rsidR="002F7976" w:rsidRPr="00DC621B" w:rsidRDefault="002F7976" w:rsidP="008A4CF6">
      <w:pPr>
        <w:rPr>
          <w:b/>
          <w:bCs/>
          <w:i/>
          <w:iCs/>
          <w:noProof/>
        </w:rPr>
      </w:pPr>
      <w:r w:rsidRPr="00DC621B">
        <w:rPr>
          <w:b/>
          <w:bCs/>
          <w:i/>
          <w:iCs/>
          <w:noProof/>
        </w:rPr>
        <w:t>Switching and exit fees</w:t>
      </w:r>
    </w:p>
    <w:p w:rsidR="004F5AA6" w:rsidRPr="00DC621B" w:rsidRDefault="004F5AA6" w:rsidP="008A4CF6">
      <w:pPr>
        <w:rPr>
          <w:noProof/>
        </w:rPr>
      </w:pPr>
      <w:r w:rsidRPr="00DC621B">
        <w:rPr>
          <w:noProof/>
        </w:rPr>
        <w:t xml:space="preserve">The </w:t>
      </w:r>
      <w:r w:rsidRPr="00DC621B">
        <w:rPr>
          <w:b/>
          <w:bCs/>
          <w:noProof/>
        </w:rPr>
        <w:t>switching rate</w:t>
      </w:r>
      <w:r w:rsidRPr="00DC621B">
        <w:rPr>
          <w:rStyle w:val="FootnoteReference"/>
          <w:noProof/>
        </w:rPr>
        <w:footnoteReference w:id="122"/>
      </w:r>
      <w:r w:rsidRPr="00DC621B">
        <w:rPr>
          <w:noProof/>
        </w:rPr>
        <w:t xml:space="preserve"> is an important indicator of consumer engagement and of the choice available on the retail market. Although switching is affected by multiple factors such as regulated prices</w:t>
      </w:r>
      <w:r w:rsidRPr="00DC621B">
        <w:rPr>
          <w:rStyle w:val="FootnoteReference"/>
          <w:noProof/>
        </w:rPr>
        <w:footnoteReference w:id="123"/>
      </w:r>
      <w:r w:rsidR="00F2069F">
        <w:rPr>
          <w:noProof/>
        </w:rPr>
        <w:t>,</w:t>
      </w:r>
      <w:r w:rsidRPr="00DC621B">
        <w:rPr>
          <w:noProof/>
        </w:rPr>
        <w:t xml:space="preserve"> the difference in price between offers on the market and trust in new suppliers</w:t>
      </w:r>
      <w:r w:rsidR="00E94E9E" w:rsidRPr="00DC621B">
        <w:rPr>
          <w:noProof/>
        </w:rPr>
        <w:t>,</w:t>
      </w:r>
      <w:r w:rsidRPr="00DC621B">
        <w:rPr>
          <w:noProof/>
        </w:rPr>
        <w:t xml:space="preserve"> the switching rate is an </w:t>
      </w:r>
      <w:r w:rsidRPr="00DC621B">
        <w:rPr>
          <w:b/>
          <w:noProof/>
        </w:rPr>
        <w:t>important quantitative indicator</w:t>
      </w:r>
      <w:r w:rsidRPr="00DC621B">
        <w:rPr>
          <w:noProof/>
        </w:rPr>
        <w:t xml:space="preserve"> of the effectiveness of the Gas Directive provisions. </w:t>
      </w:r>
    </w:p>
    <w:p w:rsidR="004F5AA6" w:rsidRPr="00DC621B" w:rsidRDefault="00F931F4" w:rsidP="008A4CF6">
      <w:pPr>
        <w:rPr>
          <w:noProof/>
          <w:sz w:val="22"/>
          <w:szCs w:val="22"/>
        </w:rPr>
      </w:pPr>
      <w:r w:rsidRPr="00DC621B">
        <w:rPr>
          <w:noProof/>
          <w:szCs w:val="24"/>
        </w:rPr>
        <w:t xml:space="preserve">Even though </w:t>
      </w:r>
      <w:r w:rsidRPr="00DC621B">
        <w:rPr>
          <w:noProof/>
        </w:rPr>
        <w:t>consumer rights related to switching were already strengthened to an extent through the Third Energy Package</w:t>
      </w:r>
      <w:r w:rsidRPr="00DC621B">
        <w:rPr>
          <w:rStyle w:val="FootnoteReference"/>
          <w:noProof/>
        </w:rPr>
        <w:footnoteReference w:id="124"/>
      </w:r>
      <w:r w:rsidR="00F2069F">
        <w:rPr>
          <w:noProof/>
        </w:rPr>
        <w:t>,</w:t>
      </w:r>
      <w:r w:rsidRPr="00DC621B">
        <w:rPr>
          <w:noProof/>
        </w:rPr>
        <w:t xml:space="preserve"> these still lag behind the electricity sector.</w:t>
      </w:r>
      <w:r w:rsidRPr="00DC621B">
        <w:rPr>
          <w:noProof/>
          <w:szCs w:val="24"/>
        </w:rPr>
        <w:t xml:space="preserve"> </w:t>
      </w:r>
      <w:r w:rsidR="004F5AA6" w:rsidRPr="00DC621B">
        <w:rPr>
          <w:noProof/>
          <w:szCs w:val="24"/>
        </w:rPr>
        <w:t xml:space="preserve">In recent years, the switching rates </w:t>
      </w:r>
      <w:r w:rsidR="004F5AA6" w:rsidRPr="00DC621B">
        <w:rPr>
          <w:b/>
          <w:bCs/>
          <w:noProof/>
          <w:szCs w:val="24"/>
        </w:rPr>
        <w:t xml:space="preserve">have increased overall </w:t>
      </w:r>
      <w:r w:rsidR="004F5AA6" w:rsidRPr="00DC621B">
        <w:rPr>
          <w:noProof/>
          <w:szCs w:val="24"/>
        </w:rPr>
        <w:t>and consumer trust and experience with regard to the gas sector has generally improved</w:t>
      </w:r>
      <w:r w:rsidR="004F5AA6" w:rsidRPr="00DC621B">
        <w:rPr>
          <w:noProof/>
          <w:szCs w:val="24"/>
          <w:vertAlign w:val="superscript"/>
        </w:rPr>
        <w:footnoteReference w:id="125"/>
      </w:r>
      <w:r w:rsidR="004F5AA6" w:rsidRPr="00DC621B">
        <w:rPr>
          <w:noProof/>
          <w:szCs w:val="24"/>
        </w:rPr>
        <w:t>. Nevertheless, switching remains inconsistent among countries and still forms one of the main retail barriers</w:t>
      </w:r>
      <w:r w:rsidR="004F5AA6" w:rsidRPr="00DC621B">
        <w:rPr>
          <w:rStyle w:val="FootnoteReference"/>
          <w:noProof/>
          <w:szCs w:val="24"/>
        </w:rPr>
        <w:footnoteReference w:id="126"/>
      </w:r>
      <w:r w:rsidR="004F5AA6" w:rsidRPr="00DC621B">
        <w:rPr>
          <w:noProof/>
          <w:szCs w:val="24"/>
        </w:rPr>
        <w:t xml:space="preserve"> </w:t>
      </w:r>
      <w:r w:rsidR="004F5AA6" w:rsidRPr="00DC621B">
        <w:rPr>
          <w:b/>
          <w:bCs/>
          <w:noProof/>
          <w:szCs w:val="24"/>
        </w:rPr>
        <w:t xml:space="preserve">with conflicting data about </w:t>
      </w:r>
      <w:r w:rsidR="009B0F52" w:rsidRPr="00DC621B">
        <w:rPr>
          <w:b/>
          <w:bCs/>
          <w:noProof/>
          <w:szCs w:val="24"/>
        </w:rPr>
        <w:t xml:space="preserve">consumer </w:t>
      </w:r>
      <w:r w:rsidR="004F5AA6" w:rsidRPr="00DC621B">
        <w:rPr>
          <w:b/>
          <w:bCs/>
          <w:noProof/>
          <w:szCs w:val="24"/>
        </w:rPr>
        <w:t>satisfaction with the switching process</w:t>
      </w:r>
      <w:r w:rsidR="004F5AA6" w:rsidRPr="00DC621B">
        <w:rPr>
          <w:noProof/>
          <w:szCs w:val="24"/>
        </w:rPr>
        <w:t>.</w:t>
      </w:r>
      <w:r w:rsidR="004F5AA6" w:rsidRPr="00DC621B">
        <w:rPr>
          <w:noProof/>
          <w:sz w:val="22"/>
          <w:szCs w:val="22"/>
        </w:rPr>
        <w:t xml:space="preserve"> </w:t>
      </w:r>
      <w:r w:rsidR="004F5AA6" w:rsidRPr="00DC621B">
        <w:rPr>
          <w:noProof/>
          <w:szCs w:val="24"/>
        </w:rPr>
        <w:t xml:space="preserve">To facilitate further consumer engagement in the gas market and improve consumer experience, it is necessary to </w:t>
      </w:r>
      <w:r w:rsidR="00023C24" w:rsidRPr="00DC621B">
        <w:rPr>
          <w:noProof/>
          <w:szCs w:val="24"/>
        </w:rPr>
        <w:t>strengthen</w:t>
      </w:r>
      <w:r w:rsidR="004F5AA6" w:rsidRPr="00DC621B">
        <w:rPr>
          <w:noProof/>
          <w:szCs w:val="24"/>
        </w:rPr>
        <w:t xml:space="preserve"> consumer rights related to switching</w:t>
      </w:r>
      <w:r w:rsidR="00E95658" w:rsidRPr="00DC621B">
        <w:rPr>
          <w:noProof/>
          <w:szCs w:val="24"/>
        </w:rPr>
        <w:t>.</w:t>
      </w:r>
    </w:p>
    <w:p w:rsidR="004F5AA6" w:rsidRPr="00DC621B" w:rsidRDefault="004F5AA6">
      <w:pPr>
        <w:rPr>
          <w:noProof/>
        </w:rPr>
      </w:pPr>
      <w:r w:rsidRPr="00DC621B">
        <w:rPr>
          <w:noProof/>
        </w:rPr>
        <w:t xml:space="preserve">According to the new </w:t>
      </w:r>
      <w:r w:rsidRPr="00DC621B">
        <w:rPr>
          <w:b/>
          <w:bCs/>
          <w:noProof/>
        </w:rPr>
        <w:t>Market Monitoring Survey 2020 on gas services</w:t>
      </w:r>
      <w:r w:rsidRPr="00DC621B">
        <w:rPr>
          <w:noProof/>
        </w:rPr>
        <w:t xml:space="preserve">, 12% of consumers in the gas services market have </w:t>
      </w:r>
      <w:r w:rsidRPr="00DC621B">
        <w:rPr>
          <w:b/>
          <w:bCs/>
          <w:noProof/>
        </w:rPr>
        <w:t>switched</w:t>
      </w:r>
      <w:r w:rsidRPr="00DC621B">
        <w:rPr>
          <w:noProof/>
        </w:rPr>
        <w:t xml:space="preserve"> provider in the last year</w:t>
      </w:r>
      <w:r w:rsidR="00E95658" w:rsidRPr="00DC621B">
        <w:rPr>
          <w:rStyle w:val="FootnoteReference"/>
          <w:noProof/>
        </w:rPr>
        <w:footnoteReference w:id="127"/>
      </w:r>
      <w:r w:rsidR="00F2069F">
        <w:rPr>
          <w:noProof/>
        </w:rPr>
        <w:t>.</w:t>
      </w:r>
      <w:r w:rsidRPr="00DC621B">
        <w:rPr>
          <w:noProof/>
        </w:rPr>
        <w:t xml:space="preserve"> </w:t>
      </w:r>
      <w:r w:rsidR="00F931F4" w:rsidRPr="00DC621B">
        <w:rPr>
          <w:noProof/>
        </w:rPr>
        <w:t>S</w:t>
      </w:r>
      <w:r w:rsidRPr="00DC621B">
        <w:rPr>
          <w:noProof/>
        </w:rPr>
        <w:t>witching rates are driven by consumer engagement and incentives in the way of competitive offers</w:t>
      </w:r>
      <w:r w:rsidRPr="00DC621B">
        <w:rPr>
          <w:rStyle w:val="FootnoteReference"/>
          <w:noProof/>
        </w:rPr>
        <w:footnoteReference w:id="128"/>
      </w:r>
      <w:r w:rsidR="00F2069F">
        <w:rPr>
          <w:noProof/>
        </w:rPr>
        <w:t>.</w:t>
      </w:r>
      <w:r w:rsidRPr="00DC621B">
        <w:rPr>
          <w:noProof/>
        </w:rPr>
        <w:t xml:space="preserve"> </w:t>
      </w:r>
      <w:r w:rsidR="0031216E" w:rsidRPr="00DC621B">
        <w:rPr>
          <w:noProof/>
        </w:rPr>
        <w:t>However, de</w:t>
      </w:r>
      <w:r w:rsidR="0031216E" w:rsidRPr="00DC621B">
        <w:rPr>
          <w:bCs/>
          <w:noProof/>
        </w:rPr>
        <w:t>spite an overall increase in recent years,</w:t>
      </w:r>
      <w:r w:rsidR="0031216E" w:rsidRPr="00DC621B">
        <w:rPr>
          <w:b/>
          <w:bCs/>
          <w:noProof/>
        </w:rPr>
        <w:t xml:space="preserve"> external as well as internal switching rates</w:t>
      </w:r>
      <w:r w:rsidR="0031216E" w:rsidRPr="00DC621B">
        <w:rPr>
          <w:noProof/>
        </w:rPr>
        <w:t xml:space="preserve"> for household consumers </w:t>
      </w:r>
      <w:r w:rsidR="0031216E" w:rsidRPr="00DC621B">
        <w:rPr>
          <w:bCs/>
          <w:noProof/>
        </w:rPr>
        <w:t xml:space="preserve">vary </w:t>
      </w:r>
      <w:r w:rsidR="0031216E" w:rsidRPr="00DC621B">
        <w:rPr>
          <w:noProof/>
        </w:rPr>
        <w:t>significantly across Member States</w:t>
      </w:r>
      <w:r w:rsidR="0031216E" w:rsidRPr="00DC621B">
        <w:rPr>
          <w:rStyle w:val="FootnoteReference"/>
          <w:noProof/>
        </w:rPr>
        <w:footnoteReference w:id="129"/>
      </w:r>
      <w:r w:rsidR="00F2069F">
        <w:rPr>
          <w:noProof/>
        </w:rPr>
        <w:t>.</w:t>
      </w:r>
      <w:r w:rsidR="0031216E" w:rsidRPr="00DC621B">
        <w:rPr>
          <w:noProof/>
        </w:rPr>
        <w:t xml:space="preserve"> </w:t>
      </w:r>
      <w:r w:rsidR="00CA5C0B" w:rsidRPr="00DC621B">
        <w:rPr>
          <w:noProof/>
        </w:rPr>
        <w:t>C</w:t>
      </w:r>
      <w:r w:rsidRPr="00DC621B">
        <w:rPr>
          <w:noProof/>
        </w:rPr>
        <w:t>ountries such as the UK, Belgium, Finland, Ireland, the Netherlands and Portugal had around 10-20% switching rate</w:t>
      </w:r>
      <w:r w:rsidRPr="00DC621B">
        <w:rPr>
          <w:rStyle w:val="FootnoteReference"/>
          <w:noProof/>
        </w:rPr>
        <w:footnoteReference w:id="130"/>
      </w:r>
      <w:r w:rsidR="00F2069F">
        <w:rPr>
          <w:noProof/>
        </w:rPr>
        <w:t>.</w:t>
      </w:r>
      <w:r w:rsidRPr="00DC621B">
        <w:rPr>
          <w:noProof/>
        </w:rPr>
        <w:t xml:space="preserve"> However, there are countries, like Poland, Luxembourg, and Croatia where the </w:t>
      </w:r>
      <w:r w:rsidRPr="00DC621B">
        <w:rPr>
          <w:b/>
          <w:noProof/>
        </w:rPr>
        <w:t>switching rate still remains below 1%</w:t>
      </w:r>
      <w:r w:rsidRPr="00DC621B">
        <w:rPr>
          <w:rStyle w:val="FootnoteReference"/>
          <w:noProof/>
        </w:rPr>
        <w:footnoteReference w:id="131"/>
      </w:r>
      <w:r w:rsidR="00F2069F">
        <w:rPr>
          <w:noProof/>
        </w:rPr>
        <w:t>.</w:t>
      </w:r>
      <w:r w:rsidR="00C33789" w:rsidRPr="00DC621B">
        <w:rPr>
          <w:noProof/>
        </w:rPr>
        <w:t xml:space="preserve"> </w:t>
      </w:r>
      <w:r w:rsidRPr="00DC621B">
        <w:rPr>
          <w:noProof/>
        </w:rPr>
        <w:t xml:space="preserve">The inconsistent data among switching rates across Member States points to a need to strengthen consumer rights with regard to switching and incentivise consumer engagement in the market. </w:t>
      </w:r>
    </w:p>
    <w:p w:rsidR="004F5AA6" w:rsidRPr="00DC621B" w:rsidRDefault="004F5AA6" w:rsidP="00023C24">
      <w:pPr>
        <w:rPr>
          <w:noProof/>
          <w:szCs w:val="24"/>
        </w:rPr>
      </w:pPr>
      <w:r w:rsidRPr="00DC621B">
        <w:rPr>
          <w:noProof/>
        </w:rPr>
        <w:t xml:space="preserve">Across Member States, the </w:t>
      </w:r>
      <w:r w:rsidRPr="00DC621B">
        <w:rPr>
          <w:b/>
          <w:bCs/>
          <w:noProof/>
        </w:rPr>
        <w:t>number of types of gas offers</w:t>
      </w:r>
      <w:r w:rsidRPr="00DC621B">
        <w:rPr>
          <w:noProof/>
        </w:rPr>
        <w:t xml:space="preserve">, where fixed ones prevail, is </w:t>
      </w:r>
      <w:r w:rsidRPr="00DC621B">
        <w:rPr>
          <w:b/>
          <w:bCs/>
          <w:noProof/>
        </w:rPr>
        <w:t>generally lower than for electricity products</w:t>
      </w:r>
      <w:r w:rsidRPr="00DC621B">
        <w:rPr>
          <w:noProof/>
        </w:rPr>
        <w:t>. Nevertheless, the trend is positive in this segment. Data from 2018 collected by CEER shows that consumers in 14 out of 23 countries had the choice between five or more different type</w:t>
      </w:r>
      <w:r w:rsidR="00081FA0" w:rsidRPr="00DC621B">
        <w:rPr>
          <w:noProof/>
        </w:rPr>
        <w:t>s</w:t>
      </w:r>
      <w:r w:rsidRPr="00DC621B">
        <w:rPr>
          <w:noProof/>
        </w:rPr>
        <w:t xml:space="preserve"> of offers, compared with 11</w:t>
      </w:r>
      <w:r w:rsidR="00B83901">
        <w:rPr>
          <w:noProof/>
        </w:rPr>
        <w:t xml:space="preserve"> countries</w:t>
      </w:r>
      <w:r w:rsidRPr="00DC621B">
        <w:rPr>
          <w:noProof/>
        </w:rPr>
        <w:t xml:space="preserve"> in 2017. To further illustrate the positive trend, ten types of offers were made available in more MS in 2019 than in 2018</w:t>
      </w:r>
      <w:r w:rsidRPr="00DC621B">
        <w:rPr>
          <w:rStyle w:val="FootnoteReference"/>
          <w:noProof/>
        </w:rPr>
        <w:footnoteReference w:id="132"/>
      </w:r>
      <w:r w:rsidR="00F2069F">
        <w:rPr>
          <w:noProof/>
        </w:rPr>
        <w:t>.</w:t>
      </w:r>
      <w:r w:rsidRPr="00DC621B" w:rsidDel="008B0CA8">
        <w:rPr>
          <w:noProof/>
        </w:rPr>
        <w:t xml:space="preserve"> </w:t>
      </w:r>
    </w:p>
    <w:p w:rsidR="004F5AA6" w:rsidRPr="009D744A" w:rsidRDefault="004F5AA6" w:rsidP="00023C24">
      <w:pPr>
        <w:rPr>
          <w:iCs/>
          <w:noProof/>
        </w:rPr>
      </w:pPr>
      <w:r w:rsidRPr="00DC621B">
        <w:rPr>
          <w:noProof/>
        </w:rPr>
        <w:t xml:space="preserve">With regard to </w:t>
      </w:r>
      <w:r w:rsidRPr="00DC621B">
        <w:rPr>
          <w:b/>
          <w:bCs/>
          <w:noProof/>
        </w:rPr>
        <w:t>customer satisfaction</w:t>
      </w:r>
      <w:r w:rsidRPr="00DC621B">
        <w:rPr>
          <w:noProof/>
        </w:rPr>
        <w:t xml:space="preserve"> with the switching process, there is clear room for improvement. While consumer satisfaction and trust in the gas sector in general has improved, consumers report issues with the switching process.</w:t>
      </w:r>
      <w:r w:rsidR="00C33789" w:rsidRPr="00DC621B">
        <w:rPr>
          <w:i/>
          <w:iCs/>
          <w:noProof/>
        </w:rPr>
        <w:t xml:space="preserve"> </w:t>
      </w:r>
      <w:r w:rsidRPr="00DC621B">
        <w:rPr>
          <w:noProof/>
        </w:rPr>
        <w:t xml:space="preserve">In the </w:t>
      </w:r>
      <w:r w:rsidR="009F1EC6">
        <w:rPr>
          <w:noProof/>
        </w:rPr>
        <w:t>‘</w:t>
      </w:r>
      <w:r w:rsidRPr="009D744A">
        <w:rPr>
          <w:bCs/>
          <w:noProof/>
        </w:rPr>
        <w:t>Market Monitoring Survey 2020</w:t>
      </w:r>
      <w:r w:rsidR="009F1EC6" w:rsidRPr="009D744A">
        <w:rPr>
          <w:bCs/>
          <w:noProof/>
        </w:rPr>
        <w:t>’</w:t>
      </w:r>
      <w:r w:rsidRPr="009F1EC6">
        <w:rPr>
          <w:noProof/>
        </w:rPr>
        <w:t xml:space="preserve">, customers reported a </w:t>
      </w:r>
      <w:r w:rsidRPr="009F1EC6">
        <w:rPr>
          <w:b/>
          <w:bCs/>
          <w:noProof/>
        </w:rPr>
        <w:t>positive experience with the gas services in general</w:t>
      </w:r>
      <w:r w:rsidRPr="009F1EC6">
        <w:rPr>
          <w:rStyle w:val="FootnoteReference"/>
          <w:noProof/>
        </w:rPr>
        <w:footnoteReference w:id="133"/>
      </w:r>
      <w:r w:rsidR="00F2069F" w:rsidRPr="009F1EC6">
        <w:rPr>
          <w:noProof/>
        </w:rPr>
        <w:t>.</w:t>
      </w:r>
      <w:r w:rsidRPr="009F1EC6" w:rsidDel="008B0CA8">
        <w:rPr>
          <w:noProof/>
        </w:rPr>
        <w:t xml:space="preserve"> </w:t>
      </w:r>
    </w:p>
    <w:p w:rsidR="00CC3399" w:rsidRPr="00DC621B" w:rsidRDefault="004F5AA6" w:rsidP="00CC3399">
      <w:pPr>
        <w:rPr>
          <w:noProof/>
        </w:rPr>
      </w:pPr>
      <w:r w:rsidRPr="009F1EC6">
        <w:rPr>
          <w:noProof/>
        </w:rPr>
        <w:t xml:space="preserve">At the same time, data collected in the </w:t>
      </w:r>
      <w:r w:rsidR="009F1EC6" w:rsidRPr="009F1EC6">
        <w:rPr>
          <w:noProof/>
        </w:rPr>
        <w:t>‘</w:t>
      </w:r>
      <w:r w:rsidRPr="009D744A">
        <w:rPr>
          <w:bCs/>
          <w:noProof/>
        </w:rPr>
        <w:t>Barriers in retail energy market study</w:t>
      </w:r>
      <w:r w:rsidR="009F1EC6" w:rsidRPr="009D744A">
        <w:rPr>
          <w:bCs/>
          <w:noProof/>
        </w:rPr>
        <w:t>’</w:t>
      </w:r>
      <w:r w:rsidRPr="00DC621B">
        <w:rPr>
          <w:i/>
          <w:noProof/>
        </w:rPr>
        <w:t xml:space="preserve"> </w:t>
      </w:r>
      <w:r w:rsidRPr="00DC621B">
        <w:rPr>
          <w:noProof/>
        </w:rPr>
        <w:t xml:space="preserve">shows </w:t>
      </w:r>
      <w:r w:rsidRPr="00DC621B">
        <w:rPr>
          <w:bCs/>
          <w:noProof/>
        </w:rPr>
        <w:t>consumer</w:t>
      </w:r>
      <w:r w:rsidRPr="00DC621B">
        <w:rPr>
          <w:bCs/>
          <w:i/>
          <w:noProof/>
        </w:rPr>
        <w:t xml:space="preserve"> </w:t>
      </w:r>
      <w:r w:rsidRPr="00DC621B">
        <w:rPr>
          <w:b/>
          <w:noProof/>
        </w:rPr>
        <w:t>dissatisfaction with the switching process</w:t>
      </w:r>
      <w:r w:rsidRPr="00DC621B">
        <w:rPr>
          <w:noProof/>
        </w:rPr>
        <w:t xml:space="preserve"> in the gas sector and </w:t>
      </w:r>
      <w:r w:rsidRPr="00DC621B">
        <w:rPr>
          <w:b/>
          <w:noProof/>
        </w:rPr>
        <w:t>difficulties with switching</w:t>
      </w:r>
      <w:r w:rsidRPr="00DC621B">
        <w:rPr>
          <w:noProof/>
        </w:rPr>
        <w:t xml:space="preserve"> (see below </w:t>
      </w:r>
      <w:r w:rsidR="00DC621B" w:rsidRPr="00DC621B">
        <w:rPr>
          <w:noProof/>
        </w:rPr>
        <w:t>F</w:t>
      </w:r>
      <w:r w:rsidRPr="00DC621B">
        <w:rPr>
          <w:noProof/>
        </w:rPr>
        <w:t xml:space="preserve">igure </w:t>
      </w:r>
      <w:r w:rsidR="00E94E9E" w:rsidRPr="00DC621B">
        <w:rPr>
          <w:noProof/>
        </w:rPr>
        <w:t>4</w:t>
      </w:r>
      <w:r w:rsidRPr="00DC621B">
        <w:rPr>
          <w:noProof/>
        </w:rPr>
        <w:t xml:space="preserve">). </w:t>
      </w:r>
      <w:r w:rsidR="00C33789" w:rsidRPr="00DC621B">
        <w:rPr>
          <w:noProof/>
        </w:rPr>
        <w:t>On</w:t>
      </w:r>
      <w:r w:rsidRPr="00DC621B">
        <w:rPr>
          <w:noProof/>
        </w:rPr>
        <w:t xml:space="preserve"> average, approximately </w:t>
      </w:r>
      <w:r w:rsidRPr="00DC621B">
        <w:rPr>
          <w:b/>
          <w:noProof/>
        </w:rPr>
        <w:t>60% of the customers had a bad experience or expressed a negative opinion on the switching process</w:t>
      </w:r>
      <w:r w:rsidRPr="00DC621B">
        <w:rPr>
          <w:noProof/>
        </w:rPr>
        <w:t xml:space="preserve"> in both markets. In the gas markets, seven</w:t>
      </w:r>
      <w:r w:rsidRPr="00DC621B">
        <w:rPr>
          <w:i/>
          <w:iCs/>
          <w:noProof/>
        </w:rPr>
        <w:t xml:space="preserve"> </w:t>
      </w:r>
      <w:r w:rsidRPr="00DC621B">
        <w:rPr>
          <w:noProof/>
        </w:rPr>
        <w:t>countries had high barriers (close to or above 9 points), while two countries (Belgium and Netherlands) had low barriers (ca. 3 points)</w:t>
      </w:r>
      <w:r w:rsidRPr="00DC621B">
        <w:rPr>
          <w:rStyle w:val="FootnoteReference"/>
          <w:noProof/>
        </w:rPr>
        <w:footnoteReference w:id="134"/>
      </w:r>
      <w:r w:rsidR="00F2069F">
        <w:rPr>
          <w:noProof/>
        </w:rPr>
        <w:t>.</w:t>
      </w:r>
      <w:r w:rsidRPr="00DC621B">
        <w:rPr>
          <w:noProof/>
        </w:rPr>
        <w:t xml:space="preserve"> </w:t>
      </w:r>
    </w:p>
    <w:p w:rsidR="00CC3399" w:rsidRPr="00DC621B" w:rsidRDefault="004F5AA6" w:rsidP="009D744A">
      <w:pPr>
        <w:keepNext/>
        <w:spacing w:after="0"/>
        <w:jc w:val="center"/>
        <w:rPr>
          <w:noProof/>
        </w:rPr>
      </w:pPr>
      <w:r w:rsidRPr="00DC621B">
        <w:rPr>
          <w:noProof/>
          <w:lang w:val="en-US"/>
        </w:rPr>
        <w:drawing>
          <wp:inline distT="0" distB="0" distL="0" distR="0" wp14:anchorId="2E408FA9" wp14:editId="7DD422DA">
            <wp:extent cx="5404003" cy="3703320"/>
            <wp:effectExtent l="0" t="0" r="635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9">
                      <a:extLst>
                        <a:ext uri="{28A0092B-C50C-407E-A947-70E740481C1C}">
                          <a14:useLocalDpi xmlns:a14="http://schemas.microsoft.com/office/drawing/2010/main" val="0"/>
                        </a:ext>
                      </a:extLst>
                    </a:blip>
                    <a:srcRect t="6674" b="2048"/>
                    <a:stretch/>
                  </pic:blipFill>
                  <pic:spPr bwMode="auto">
                    <a:xfrm>
                      <a:off x="0" y="0"/>
                      <a:ext cx="5416256" cy="3711717"/>
                    </a:xfrm>
                    <a:prstGeom prst="rect">
                      <a:avLst/>
                    </a:prstGeom>
                    <a:ln>
                      <a:noFill/>
                    </a:ln>
                    <a:extLst>
                      <a:ext uri="{53640926-AAD7-44D8-BBD7-CCE9431645EC}">
                        <a14:shadowObscured xmlns:a14="http://schemas.microsoft.com/office/drawing/2010/main"/>
                      </a:ext>
                    </a:extLst>
                  </pic:spPr>
                </pic:pic>
              </a:graphicData>
            </a:graphic>
          </wp:inline>
        </w:drawing>
      </w:r>
    </w:p>
    <w:p w:rsidR="004F5AA6" w:rsidRPr="00DC621B" w:rsidRDefault="00CC3399" w:rsidP="009D744A">
      <w:pPr>
        <w:pStyle w:val="Caption"/>
        <w:ind w:left="426"/>
        <w:jc w:val="left"/>
        <w:rPr>
          <w:b w:val="0"/>
          <w:noProof/>
        </w:rPr>
      </w:pPr>
      <w:bookmarkStart w:id="341" w:name="_Toc77602801"/>
      <w:bookmarkStart w:id="342" w:name="_Toc77682863"/>
      <w:bookmarkStart w:id="343" w:name="_Toc89882416"/>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4</w:t>
      </w:r>
      <w:r w:rsidR="0002695B">
        <w:rPr>
          <w:noProof/>
        </w:rPr>
        <w:fldChar w:fldCharType="end"/>
      </w:r>
      <w:r w:rsidRPr="00DC621B">
        <w:rPr>
          <w:noProof/>
        </w:rPr>
        <w:t xml:space="preserve">: Performance indicators </w:t>
      </w:r>
      <w:r w:rsidR="00DC621B" w:rsidRPr="00DC621B">
        <w:rPr>
          <w:noProof/>
        </w:rPr>
        <w:t xml:space="preserve">– </w:t>
      </w:r>
      <w:r w:rsidRPr="00DC621B">
        <w:rPr>
          <w:noProof/>
        </w:rPr>
        <w:t>Difficulties of switching</w:t>
      </w:r>
      <w:r w:rsidR="004F5AA6" w:rsidRPr="00DC621B">
        <w:rPr>
          <w:rStyle w:val="FootnoteReference"/>
          <w:b w:val="0"/>
          <w:bCs w:val="0"/>
          <w:noProof/>
        </w:rPr>
        <w:footnoteReference w:id="135"/>
      </w:r>
      <w:bookmarkEnd w:id="341"/>
      <w:bookmarkEnd w:id="342"/>
      <w:bookmarkEnd w:id="343"/>
    </w:p>
    <w:p w:rsidR="004F5AA6" w:rsidRPr="00DC621B" w:rsidRDefault="004F5AA6" w:rsidP="003C7BDA">
      <w:pPr>
        <w:rPr>
          <w:noProof/>
        </w:rPr>
      </w:pPr>
      <w:r w:rsidRPr="00DC621B">
        <w:rPr>
          <w:noProof/>
        </w:rPr>
        <w:t>Reasons for consumers not to switch vary, ranging from regulatory barriers (such as regulated prices) to behavioural aspects (e.g. lack of trust in new suppliers or perceived time-consuming procedures)</w:t>
      </w:r>
      <w:r w:rsidRPr="00DC621B">
        <w:rPr>
          <w:rStyle w:val="FootnoteReference"/>
          <w:noProof/>
        </w:rPr>
        <w:footnoteReference w:id="136"/>
      </w:r>
      <w:r w:rsidR="00F2069F">
        <w:rPr>
          <w:noProof/>
        </w:rPr>
        <w:t>.</w:t>
      </w:r>
      <w:r w:rsidR="00C33789" w:rsidRPr="00DC621B">
        <w:rPr>
          <w:i/>
          <w:iCs/>
          <w:noProof/>
        </w:rPr>
        <w:t xml:space="preserve"> </w:t>
      </w:r>
      <w:r w:rsidRPr="00DC621B">
        <w:rPr>
          <w:noProof/>
        </w:rPr>
        <w:t xml:space="preserve">An important factor that enables consumer empowerment and improves switching behaviour is the </w:t>
      </w:r>
      <w:r w:rsidRPr="00DC621B">
        <w:rPr>
          <w:b/>
          <w:noProof/>
        </w:rPr>
        <w:t>availability of clear and transparent information</w:t>
      </w:r>
      <w:r w:rsidRPr="00DC621B">
        <w:rPr>
          <w:noProof/>
        </w:rPr>
        <w:t xml:space="preserve"> of energy supply prices and </w:t>
      </w:r>
      <w:r w:rsidRPr="00DC621B">
        <w:rPr>
          <w:b/>
          <w:noProof/>
        </w:rPr>
        <w:t>effective tools to</w:t>
      </w:r>
      <w:r w:rsidRPr="00DC621B">
        <w:rPr>
          <w:b/>
          <w:i/>
          <w:iCs/>
          <w:noProof/>
        </w:rPr>
        <w:t xml:space="preserve"> </w:t>
      </w:r>
      <w:r w:rsidRPr="00DC621B">
        <w:rPr>
          <w:b/>
          <w:noProof/>
        </w:rPr>
        <w:t>compare</w:t>
      </w:r>
      <w:r w:rsidRPr="00DC621B">
        <w:rPr>
          <w:b/>
          <w:i/>
          <w:iCs/>
          <w:noProof/>
        </w:rPr>
        <w:t xml:space="preserve"> </w:t>
      </w:r>
      <w:r w:rsidRPr="00DC621B">
        <w:rPr>
          <w:b/>
          <w:noProof/>
        </w:rPr>
        <w:t>offers</w:t>
      </w:r>
      <w:r w:rsidRPr="00DC621B">
        <w:rPr>
          <w:i/>
          <w:iCs/>
          <w:noProof/>
        </w:rPr>
        <w:t xml:space="preserve">. </w:t>
      </w:r>
      <w:r w:rsidRPr="00DC621B">
        <w:rPr>
          <w:noProof/>
        </w:rPr>
        <w:t xml:space="preserve">Data suggests that comparison websites cover both the electricity and gas markets, and the offers are communicated in a similar way. </w:t>
      </w:r>
    </w:p>
    <w:p w:rsidR="004F5AA6" w:rsidRPr="00DC621B" w:rsidRDefault="004F5AA6" w:rsidP="003C7BDA">
      <w:pPr>
        <w:rPr>
          <w:noProof/>
        </w:rPr>
      </w:pPr>
      <w:r w:rsidRPr="00DC621B">
        <w:rPr>
          <w:noProof/>
        </w:rPr>
        <w:t xml:space="preserve">Price Comparison Tools (PCTs) have risen across the EU in 2018: </w:t>
      </w:r>
      <w:r w:rsidR="00F2069F">
        <w:rPr>
          <w:noProof/>
        </w:rPr>
        <w:t>A</w:t>
      </w:r>
      <w:r w:rsidRPr="00DC621B">
        <w:rPr>
          <w:noProof/>
        </w:rPr>
        <w:t xml:space="preserve">lmost </w:t>
      </w:r>
      <w:r w:rsidRPr="00DC621B">
        <w:rPr>
          <w:b/>
          <w:noProof/>
        </w:rPr>
        <w:t>64% of European consumers had used a comparison tools to switch suppliers</w:t>
      </w:r>
      <w:r w:rsidR="00C33789" w:rsidRPr="00DC621B">
        <w:rPr>
          <w:rStyle w:val="FootnoteReference"/>
          <w:noProof/>
        </w:rPr>
        <w:footnoteReference w:id="137"/>
      </w:r>
      <w:r w:rsidR="00F2069F">
        <w:rPr>
          <w:noProof/>
        </w:rPr>
        <w:t>.</w:t>
      </w:r>
      <w:r w:rsidRPr="00DC621B">
        <w:rPr>
          <w:noProof/>
        </w:rPr>
        <w:t xml:space="preserve"> However, European countries show </w:t>
      </w:r>
      <w:r w:rsidRPr="00DC621B">
        <w:rPr>
          <w:b/>
          <w:noProof/>
        </w:rPr>
        <w:t>heterogeneous results in terms of uptake of PCTs</w:t>
      </w:r>
      <w:r w:rsidR="00C33789" w:rsidRPr="00DC621B">
        <w:rPr>
          <w:b/>
          <w:noProof/>
        </w:rPr>
        <w:t xml:space="preserve"> in the gas sector</w:t>
      </w:r>
      <w:r w:rsidRPr="00DC621B">
        <w:rPr>
          <w:noProof/>
        </w:rPr>
        <w:t xml:space="preserve">. As an example, in four countries (Bulgaria, Cyprus, Hungary and Malta) consumers do not have access to comparison tools for energy offers, while in others, several PCTs are in place. In the Netherlands 25 prices </w:t>
      </w:r>
      <w:r w:rsidR="009E4A78" w:rsidRPr="00DC621B">
        <w:rPr>
          <w:noProof/>
        </w:rPr>
        <w:t>comparison tools were reported</w:t>
      </w:r>
      <w:r w:rsidRPr="00DC621B">
        <w:rPr>
          <w:rStyle w:val="FootnoteReference"/>
          <w:noProof/>
        </w:rPr>
        <w:footnoteReference w:id="138"/>
      </w:r>
      <w:r w:rsidR="00F2069F">
        <w:rPr>
          <w:noProof/>
        </w:rPr>
        <w:t>.</w:t>
      </w:r>
      <w:r w:rsidRPr="00DC621B">
        <w:rPr>
          <w:noProof/>
        </w:rPr>
        <w:t xml:space="preserve"> </w:t>
      </w:r>
    </w:p>
    <w:p w:rsidR="004F5AA6" w:rsidRPr="00DC621B" w:rsidRDefault="004F5AA6" w:rsidP="00023C24">
      <w:pPr>
        <w:rPr>
          <w:noProof/>
        </w:rPr>
      </w:pPr>
      <w:r w:rsidRPr="00DC621B">
        <w:rPr>
          <w:b/>
          <w:noProof/>
        </w:rPr>
        <w:t>Consumer experience with comparability of prices is generally positive</w:t>
      </w:r>
      <w:r w:rsidRPr="00DC621B">
        <w:rPr>
          <w:noProof/>
        </w:rPr>
        <w:t xml:space="preserve">. Three in five (61%) consumers report finding it </w:t>
      </w:r>
      <w:r w:rsidRPr="00DC621B">
        <w:rPr>
          <w:bCs/>
          <w:noProof/>
        </w:rPr>
        <w:t>easy to</w:t>
      </w:r>
      <w:r w:rsidRPr="00DC621B">
        <w:rPr>
          <w:noProof/>
        </w:rPr>
        <w:t xml:space="preserve"> </w:t>
      </w:r>
      <w:r w:rsidRPr="00DC621B">
        <w:rPr>
          <w:bCs/>
          <w:noProof/>
        </w:rPr>
        <w:t>compare</w:t>
      </w:r>
      <w:r w:rsidRPr="00DC621B">
        <w:rPr>
          <w:noProof/>
        </w:rPr>
        <w:t xml:space="preserve"> the services of different gas providers, though the figure </w:t>
      </w:r>
      <w:r w:rsidRPr="00DC621B">
        <w:rPr>
          <w:b/>
          <w:noProof/>
        </w:rPr>
        <w:t>varies widely by Member State</w:t>
      </w:r>
      <w:r w:rsidRPr="00DC621B">
        <w:rPr>
          <w:noProof/>
        </w:rPr>
        <w:t>, from a high of 82% in Portugal to a low of 31% in Denmark. Among consumers who report finding it difficult to compare services, 45% say the total price of different services is not always clear and a similar proportion say it is difficult to know how services compare on aspects other than price (42%), or that service specifications are either not provided, are unclear or differ between providers (41%)</w:t>
      </w:r>
      <w:r w:rsidRPr="00DC621B">
        <w:rPr>
          <w:rStyle w:val="FootnoteReference"/>
          <w:noProof/>
        </w:rPr>
        <w:footnoteReference w:id="139"/>
      </w:r>
      <w:r w:rsidR="00F2069F">
        <w:rPr>
          <w:noProof/>
        </w:rPr>
        <w:t>.</w:t>
      </w:r>
      <w:r w:rsidRPr="00DC621B">
        <w:rPr>
          <w:noProof/>
        </w:rPr>
        <w:t xml:space="preserve"> </w:t>
      </w:r>
    </w:p>
    <w:p w:rsidR="004F5AA6" w:rsidRPr="00DC621B" w:rsidRDefault="009E4A78" w:rsidP="00023C24">
      <w:pPr>
        <w:rPr>
          <w:noProof/>
        </w:rPr>
      </w:pPr>
      <w:r w:rsidRPr="00DC621B">
        <w:rPr>
          <w:noProof/>
        </w:rPr>
        <w:t>Studies</w:t>
      </w:r>
      <w:r w:rsidR="004F5AA6" w:rsidRPr="00DC621B">
        <w:rPr>
          <w:noProof/>
        </w:rPr>
        <w:t xml:space="preserve"> also showed that </w:t>
      </w:r>
      <w:r w:rsidRPr="00DC621B">
        <w:rPr>
          <w:b/>
          <w:noProof/>
        </w:rPr>
        <w:t>vulnerable</w:t>
      </w:r>
      <w:r w:rsidR="004F5AA6" w:rsidRPr="00DC621B">
        <w:rPr>
          <w:b/>
          <w:noProof/>
        </w:rPr>
        <w:t xml:space="preserve"> groups</w:t>
      </w:r>
      <w:r w:rsidR="004F5AA6" w:rsidRPr="00DC621B">
        <w:rPr>
          <w:noProof/>
        </w:rPr>
        <w:t xml:space="preserve"> of consumers were more likely to state that </w:t>
      </w:r>
      <w:r w:rsidRPr="00DC621B">
        <w:rPr>
          <w:b/>
          <w:noProof/>
        </w:rPr>
        <w:t>comparing offers</w:t>
      </w:r>
      <w:r w:rsidR="004F5AA6" w:rsidRPr="00DC621B">
        <w:rPr>
          <w:b/>
          <w:noProof/>
        </w:rPr>
        <w:t xml:space="preserve"> had been difficult</w:t>
      </w:r>
      <w:r w:rsidR="004F5AA6" w:rsidRPr="00DC621B">
        <w:rPr>
          <w:noProof/>
        </w:rPr>
        <w:t>. 35% of those in the group with respondents for whom it was not easy at all to make ends meet, answered that it had been very or rather difficult to compare the information on contract duration, while among those who stated that it was very easy to make ends meet, 28% expressed this view</w:t>
      </w:r>
      <w:r w:rsidR="004F5AA6" w:rsidRPr="00DC621B">
        <w:rPr>
          <w:rStyle w:val="FootnoteReference"/>
          <w:noProof/>
        </w:rPr>
        <w:footnoteReference w:id="140"/>
      </w:r>
      <w:r w:rsidR="00F2069F">
        <w:rPr>
          <w:noProof/>
        </w:rPr>
        <w:t>.</w:t>
      </w:r>
    </w:p>
    <w:p w:rsidR="004F5AA6" w:rsidRPr="00DC621B" w:rsidRDefault="004F5AA6" w:rsidP="00023C24">
      <w:pPr>
        <w:rPr>
          <w:noProof/>
        </w:rPr>
      </w:pPr>
      <w:r w:rsidRPr="00DC621B">
        <w:rPr>
          <w:noProof/>
        </w:rPr>
        <w:t xml:space="preserve">Respondents’ evaluations of the ease of comparing offers varied by the type of channel they had used to compare offers. Respondents </w:t>
      </w:r>
      <w:r w:rsidRPr="00DC621B">
        <w:rPr>
          <w:b/>
          <w:noProof/>
        </w:rPr>
        <w:t xml:space="preserve">who had used </w:t>
      </w:r>
      <w:r w:rsidR="00C24546">
        <w:rPr>
          <w:b/>
          <w:noProof/>
        </w:rPr>
        <w:t>PCTs</w:t>
      </w:r>
      <w:r w:rsidRPr="00DC621B">
        <w:rPr>
          <w:noProof/>
        </w:rPr>
        <w:t xml:space="preserve"> to look for alternative deals tended to be most likely to </w:t>
      </w:r>
      <w:r w:rsidRPr="00DC621B">
        <w:rPr>
          <w:b/>
          <w:noProof/>
        </w:rPr>
        <w:t>think that comparing energy offers had been easy</w:t>
      </w:r>
      <w:r w:rsidRPr="00DC621B">
        <w:rPr>
          <w:noProof/>
        </w:rPr>
        <w:t>, while respondents who had received offers via door-to-door and other channels were less likely to describe comparisons as easy</w:t>
      </w:r>
      <w:r w:rsidRPr="00DC621B">
        <w:rPr>
          <w:rStyle w:val="FootnoteReference"/>
          <w:noProof/>
        </w:rPr>
        <w:footnoteReference w:id="141"/>
      </w:r>
      <w:r w:rsidR="00F2069F">
        <w:rPr>
          <w:noProof/>
        </w:rPr>
        <w:t>.</w:t>
      </w:r>
    </w:p>
    <w:p w:rsidR="004F5AA6" w:rsidRPr="00DC621B" w:rsidRDefault="004F5AA6" w:rsidP="004F5AA6">
      <w:pPr>
        <w:rPr>
          <w:noProof/>
          <w:szCs w:val="24"/>
        </w:rPr>
      </w:pPr>
      <w:r w:rsidRPr="00DC621B">
        <w:rPr>
          <w:b/>
          <w:bCs/>
          <w:noProof/>
        </w:rPr>
        <w:t>Contract exit fees represent a salient potential barrier to switching</w:t>
      </w:r>
      <w:r w:rsidRPr="00DC621B">
        <w:rPr>
          <w:noProof/>
        </w:rPr>
        <w:t xml:space="preserve">, since they tend to increase the threshold for consumers to switch due to the perceived diminished potential savings available. Concerning </w:t>
      </w:r>
      <w:r w:rsidRPr="00DC621B">
        <w:rPr>
          <w:b/>
          <w:bCs/>
          <w:noProof/>
        </w:rPr>
        <w:t>switching fees</w:t>
      </w:r>
      <w:r w:rsidRPr="00DC621B">
        <w:rPr>
          <w:noProof/>
        </w:rPr>
        <w:t>, current provisions already ensure that the switching process itself is mostly free for consumers</w:t>
      </w:r>
      <w:r w:rsidRPr="00DC621B">
        <w:rPr>
          <w:rStyle w:val="FootnoteReference"/>
          <w:noProof/>
        </w:rPr>
        <w:footnoteReference w:id="142"/>
      </w:r>
      <w:r w:rsidR="00F2069F">
        <w:rPr>
          <w:noProof/>
        </w:rPr>
        <w:t>;</w:t>
      </w:r>
      <w:r w:rsidRPr="00DC621B">
        <w:rPr>
          <w:noProof/>
        </w:rPr>
        <w:t xml:space="preserve"> however, contractual conditions may differ and include additional charges, such as </w:t>
      </w:r>
      <w:r w:rsidRPr="00DC621B">
        <w:rPr>
          <w:bCs/>
          <w:noProof/>
          <w:szCs w:val="24"/>
        </w:rPr>
        <w:t>termination fees or administrative costs</w:t>
      </w:r>
      <w:r w:rsidRPr="00DC621B">
        <w:rPr>
          <w:noProof/>
          <w:szCs w:val="24"/>
        </w:rPr>
        <w:t xml:space="preserve">. </w:t>
      </w:r>
      <w:r w:rsidR="00C24546">
        <w:rPr>
          <w:bCs/>
          <w:noProof/>
          <w:szCs w:val="24"/>
        </w:rPr>
        <w:t>PCTs</w:t>
      </w:r>
      <w:r w:rsidRPr="00DC621B">
        <w:rPr>
          <w:bCs/>
          <w:noProof/>
          <w:szCs w:val="24"/>
        </w:rPr>
        <w:t xml:space="preserve"> that do not cover termination fees are </w:t>
      </w:r>
      <w:r w:rsidRPr="00DC621B">
        <w:rPr>
          <w:noProof/>
          <w:szCs w:val="24"/>
        </w:rPr>
        <w:t xml:space="preserve">therefore </w:t>
      </w:r>
      <w:r w:rsidRPr="00DC621B">
        <w:rPr>
          <w:bCs/>
          <w:noProof/>
          <w:szCs w:val="24"/>
        </w:rPr>
        <w:t>incomplete</w:t>
      </w:r>
      <w:r w:rsidRPr="00DC621B">
        <w:rPr>
          <w:rStyle w:val="FootnoteReference"/>
          <w:noProof/>
          <w:szCs w:val="24"/>
        </w:rPr>
        <w:footnoteReference w:id="143"/>
      </w:r>
      <w:r w:rsidR="00F2069F">
        <w:rPr>
          <w:noProof/>
          <w:szCs w:val="24"/>
        </w:rPr>
        <w:t>.</w:t>
      </w:r>
      <w:r w:rsidRPr="00DC621B">
        <w:rPr>
          <w:noProof/>
          <w:szCs w:val="24"/>
        </w:rPr>
        <w:t xml:space="preserve"> </w:t>
      </w:r>
    </w:p>
    <w:p w:rsidR="004F5AA6" w:rsidRPr="00DC621B" w:rsidRDefault="004F5AA6" w:rsidP="00D667A9">
      <w:pPr>
        <w:rPr>
          <w:noProof/>
          <w:szCs w:val="24"/>
        </w:rPr>
      </w:pPr>
      <w:r w:rsidRPr="00DC621B">
        <w:rPr>
          <w:noProof/>
        </w:rPr>
        <w:t xml:space="preserve">From </w:t>
      </w:r>
      <w:r w:rsidRPr="00DC621B">
        <w:rPr>
          <w:bCs/>
          <w:noProof/>
        </w:rPr>
        <w:t>the MMS 2020 survey</w:t>
      </w:r>
      <w:r w:rsidRPr="00DC621B">
        <w:rPr>
          <w:b/>
          <w:bCs/>
          <w:noProof/>
        </w:rPr>
        <w:t xml:space="preserve">, </w:t>
      </w:r>
      <w:r w:rsidRPr="00DC621B">
        <w:rPr>
          <w:bCs/>
          <w:noProof/>
        </w:rPr>
        <w:t xml:space="preserve">among consumers who report finding it difficult to compare </w:t>
      </w:r>
      <w:r w:rsidRPr="00DC621B">
        <w:rPr>
          <w:bCs/>
          <w:noProof/>
          <w:szCs w:val="24"/>
        </w:rPr>
        <w:t>services</w:t>
      </w:r>
      <w:r w:rsidR="007F3225" w:rsidRPr="00DC621B">
        <w:rPr>
          <w:noProof/>
          <w:szCs w:val="24"/>
        </w:rPr>
        <w:t xml:space="preserve"> </w:t>
      </w:r>
      <w:r w:rsidR="00F2069F">
        <w:rPr>
          <w:noProof/>
          <w:szCs w:val="24"/>
        </w:rPr>
        <w:t>–</w:t>
      </w:r>
      <w:r w:rsidRPr="00DC621B">
        <w:rPr>
          <w:noProof/>
          <w:szCs w:val="24"/>
        </w:rPr>
        <w:t xml:space="preserve"> 45% say the </w:t>
      </w:r>
      <w:r w:rsidRPr="00DC621B">
        <w:rPr>
          <w:b/>
          <w:bCs/>
          <w:noProof/>
          <w:szCs w:val="24"/>
        </w:rPr>
        <w:t>total price of different services is not always</w:t>
      </w:r>
      <w:r w:rsidRPr="00DC621B">
        <w:rPr>
          <w:noProof/>
          <w:szCs w:val="24"/>
        </w:rPr>
        <w:t xml:space="preserve"> clear and a similar proportion say it is difficult to know </w:t>
      </w:r>
      <w:r w:rsidRPr="00DC621B">
        <w:rPr>
          <w:b/>
          <w:bCs/>
          <w:noProof/>
          <w:szCs w:val="24"/>
        </w:rPr>
        <w:t>how services compare on aspects other than price</w:t>
      </w:r>
      <w:r w:rsidRPr="00DC621B">
        <w:rPr>
          <w:noProof/>
          <w:szCs w:val="24"/>
        </w:rPr>
        <w:t xml:space="preserve"> (42%), or that service specifications are either not provided, are unclear or </w:t>
      </w:r>
      <w:r w:rsidRPr="00DC621B">
        <w:rPr>
          <w:b/>
          <w:bCs/>
          <w:noProof/>
          <w:szCs w:val="24"/>
        </w:rPr>
        <w:t>differ between providers</w:t>
      </w:r>
      <w:r w:rsidRPr="00DC621B">
        <w:rPr>
          <w:noProof/>
          <w:szCs w:val="24"/>
        </w:rPr>
        <w:t xml:space="preserve"> (41%). </w:t>
      </w:r>
    </w:p>
    <w:p w:rsidR="004F5AA6" w:rsidRPr="009D744A" w:rsidRDefault="004F5AA6" w:rsidP="00D667A9">
      <w:pPr>
        <w:rPr>
          <w:b/>
          <w:i/>
          <w:iCs/>
          <w:noProof/>
        </w:rPr>
      </w:pPr>
      <w:r w:rsidRPr="009D744A">
        <w:rPr>
          <w:b/>
          <w:i/>
          <w:iCs/>
          <w:noProof/>
        </w:rPr>
        <w:t xml:space="preserve">Technical switching times </w:t>
      </w:r>
    </w:p>
    <w:p w:rsidR="004F5AA6" w:rsidRPr="00DC621B" w:rsidRDefault="004F5AA6" w:rsidP="00D667A9">
      <w:pPr>
        <w:rPr>
          <w:bCs/>
          <w:iCs/>
          <w:noProof/>
        </w:rPr>
      </w:pPr>
      <w:r w:rsidRPr="00DC621B">
        <w:rPr>
          <w:b/>
          <w:noProof/>
        </w:rPr>
        <w:t>Most Member Stats have legal maximum durations for switching in place</w:t>
      </w:r>
      <w:r w:rsidRPr="00DC621B">
        <w:rPr>
          <w:noProof/>
        </w:rPr>
        <w:t>, usually within three weeks</w:t>
      </w:r>
      <w:r w:rsidRPr="00DC621B">
        <w:rPr>
          <w:rStyle w:val="FootnoteReference"/>
          <w:noProof/>
        </w:rPr>
        <w:footnoteReference w:id="144"/>
      </w:r>
      <w:r w:rsidR="00F2069F">
        <w:rPr>
          <w:noProof/>
        </w:rPr>
        <w:t>.</w:t>
      </w:r>
      <w:r w:rsidRPr="00DC621B">
        <w:rPr>
          <w:noProof/>
        </w:rPr>
        <w:t xml:space="preserve"> In 2019, eight countries did not have a specification on the timeframe (max</w:t>
      </w:r>
      <w:r w:rsidR="00F2069F">
        <w:rPr>
          <w:noProof/>
        </w:rPr>
        <w:t>.</w:t>
      </w:r>
      <w:r w:rsidRPr="00DC621B">
        <w:rPr>
          <w:noProof/>
        </w:rPr>
        <w:t xml:space="preserve"> </w:t>
      </w:r>
      <w:r w:rsidR="00E304E2">
        <w:rPr>
          <w:noProof/>
        </w:rPr>
        <w:t>three</w:t>
      </w:r>
      <w:r w:rsidRPr="00DC621B">
        <w:rPr>
          <w:noProof/>
        </w:rPr>
        <w:t xml:space="preserve"> weeks) of the switching period </w:t>
      </w:r>
      <w:r w:rsidR="00E304E2" w:rsidRPr="00DC621B">
        <w:rPr>
          <w:noProof/>
        </w:rPr>
        <w:t xml:space="preserve">in their national legislation </w:t>
      </w:r>
      <w:r w:rsidRPr="00DC621B">
        <w:rPr>
          <w:noProof/>
        </w:rPr>
        <w:t xml:space="preserve">and five countries reported a timeframe of </w:t>
      </w:r>
      <w:r w:rsidR="00E304E2">
        <w:rPr>
          <w:noProof/>
        </w:rPr>
        <w:t>one</w:t>
      </w:r>
      <w:r w:rsidRPr="00DC621B">
        <w:rPr>
          <w:noProof/>
        </w:rPr>
        <w:t xml:space="preserve"> month</w:t>
      </w:r>
      <w:r w:rsidRPr="00DC621B">
        <w:rPr>
          <w:rStyle w:val="FootnoteReference"/>
          <w:noProof/>
        </w:rPr>
        <w:footnoteReference w:id="145"/>
      </w:r>
      <w:r w:rsidR="00F2069F">
        <w:rPr>
          <w:noProof/>
        </w:rPr>
        <w:t>.</w:t>
      </w:r>
      <w:r w:rsidRPr="00DC621B">
        <w:rPr>
          <w:noProof/>
        </w:rPr>
        <w:t xml:space="preserve"> The </w:t>
      </w:r>
      <w:r w:rsidRPr="00DC621B">
        <w:rPr>
          <w:b/>
          <w:noProof/>
        </w:rPr>
        <w:t>duration for technical switching of supplier is available in 9</w:t>
      </w:r>
      <w:r w:rsidRPr="00DC621B">
        <w:rPr>
          <w:noProof/>
        </w:rPr>
        <w:t xml:space="preserve"> Member States and range from one to 15 days</w:t>
      </w:r>
      <w:r w:rsidRPr="00DC621B">
        <w:rPr>
          <w:rStyle w:val="FootnoteReference"/>
          <w:noProof/>
        </w:rPr>
        <w:footnoteReference w:id="146"/>
      </w:r>
      <w:r w:rsidR="00F2069F">
        <w:rPr>
          <w:noProof/>
        </w:rPr>
        <w:t>.</w:t>
      </w:r>
    </w:p>
    <w:p w:rsidR="004F5AA6" w:rsidRPr="00DC621B" w:rsidRDefault="004F5AA6" w:rsidP="00D667A9">
      <w:pPr>
        <w:rPr>
          <w:noProof/>
        </w:rPr>
      </w:pPr>
      <w:r w:rsidRPr="00DC621B">
        <w:rPr>
          <w:noProof/>
        </w:rPr>
        <w:t>In comparison to the Electricity Directive, according to which the process of technical switching should take no longer than 24 hours by 2026</w:t>
      </w:r>
      <w:r w:rsidRPr="00DC621B">
        <w:rPr>
          <w:noProof/>
          <w:vertAlign w:val="superscript"/>
        </w:rPr>
        <w:footnoteReference w:id="147"/>
      </w:r>
      <w:r w:rsidR="00F2069F">
        <w:rPr>
          <w:noProof/>
        </w:rPr>
        <w:t>,</w:t>
      </w:r>
      <w:r w:rsidRPr="00DC621B">
        <w:rPr>
          <w:noProof/>
        </w:rPr>
        <w:t xml:space="preserve"> the Gas Directive does not set a limit for technical switching. </w:t>
      </w:r>
    </w:p>
    <w:p w:rsidR="004F5AA6" w:rsidRPr="009D744A" w:rsidRDefault="004F5AA6" w:rsidP="00023C24">
      <w:pPr>
        <w:rPr>
          <w:b/>
          <w:noProof/>
        </w:rPr>
      </w:pPr>
      <w:r w:rsidRPr="009D744A">
        <w:rPr>
          <w:b/>
          <w:i/>
          <w:iCs/>
          <w:noProof/>
        </w:rPr>
        <w:t>Collective switching</w:t>
      </w:r>
    </w:p>
    <w:p w:rsidR="004F5AA6" w:rsidRPr="00DC621B" w:rsidRDefault="004F5AA6" w:rsidP="00023C24">
      <w:pPr>
        <w:rPr>
          <w:noProof/>
        </w:rPr>
      </w:pPr>
      <w:r w:rsidRPr="00DC621B">
        <w:rPr>
          <w:noProof/>
        </w:rPr>
        <w:t xml:space="preserve">Collective switching can serve as a powerful tool to stimulate switching, as well as to improve competition on the market by removing barriers for new entrants. The right to collective switching is </w:t>
      </w:r>
      <w:r w:rsidRPr="00DC621B">
        <w:rPr>
          <w:b/>
          <w:noProof/>
        </w:rPr>
        <w:t>currently not granted in the Gas Directive</w:t>
      </w:r>
      <w:r w:rsidRPr="00DC621B">
        <w:rPr>
          <w:noProof/>
        </w:rPr>
        <w:t xml:space="preserve"> in comparison to the already established consumer right in electricity. Consumers could benefit from collective switching rights explicitly granted for their gas supply so that they can choose the best</w:t>
      </w:r>
      <w:r w:rsidR="00F177AC" w:rsidRPr="00DC621B">
        <w:rPr>
          <w:noProof/>
        </w:rPr>
        <w:t xml:space="preserve"> offer</w:t>
      </w:r>
      <w:r w:rsidRPr="00DC621B">
        <w:rPr>
          <w:noProof/>
        </w:rPr>
        <w:t xml:space="preserve">. </w:t>
      </w:r>
    </w:p>
    <w:p w:rsidR="002F7976" w:rsidRPr="00DC621B" w:rsidRDefault="002F7976" w:rsidP="00D667A9">
      <w:pPr>
        <w:rPr>
          <w:b/>
          <w:bCs/>
          <w:i/>
          <w:iCs/>
          <w:noProof/>
        </w:rPr>
      </w:pPr>
      <w:r w:rsidRPr="00DC621B">
        <w:rPr>
          <w:b/>
          <w:bCs/>
          <w:i/>
          <w:iCs/>
          <w:noProof/>
        </w:rPr>
        <w:t>Billing</w:t>
      </w:r>
    </w:p>
    <w:p w:rsidR="008A53DE" w:rsidRPr="00DC621B" w:rsidRDefault="009A0A20" w:rsidP="00D667A9">
      <w:pPr>
        <w:rPr>
          <w:noProof/>
        </w:rPr>
      </w:pPr>
      <w:r w:rsidRPr="00DC621B">
        <w:rPr>
          <w:b/>
          <w:noProof/>
        </w:rPr>
        <w:t>Transparent bills</w:t>
      </w:r>
      <w:r w:rsidR="008A53DE" w:rsidRPr="00DC621B">
        <w:rPr>
          <w:b/>
          <w:noProof/>
        </w:rPr>
        <w:t xml:space="preserve"> and billing information</w:t>
      </w:r>
      <w:r w:rsidR="008A53DE" w:rsidRPr="00DC621B">
        <w:rPr>
          <w:noProof/>
        </w:rPr>
        <w:t xml:space="preserve"> </w:t>
      </w:r>
      <w:r w:rsidRPr="00DC621B">
        <w:rPr>
          <w:noProof/>
        </w:rPr>
        <w:t>are</w:t>
      </w:r>
      <w:r w:rsidR="008A53DE" w:rsidRPr="00DC621B">
        <w:rPr>
          <w:noProof/>
        </w:rPr>
        <w:t xml:space="preserve"> essential </w:t>
      </w:r>
      <w:r w:rsidRPr="00DC621B">
        <w:rPr>
          <w:noProof/>
        </w:rPr>
        <w:t>to enabling</w:t>
      </w:r>
      <w:r w:rsidR="008A53DE" w:rsidRPr="00DC621B">
        <w:rPr>
          <w:noProof/>
        </w:rPr>
        <w:t xml:space="preserve"> consumers to regulate their consumption, compare offers and switch suppliers. Certain rights related to billing and contractual conditions are already provided by the Gas Directive and Energy Efficiency Directive</w:t>
      </w:r>
      <w:r w:rsidR="008A53DE" w:rsidRPr="00DC621B">
        <w:rPr>
          <w:rStyle w:val="FootnoteReference"/>
          <w:noProof/>
        </w:rPr>
        <w:footnoteReference w:id="148"/>
      </w:r>
      <w:r w:rsidR="00F2069F">
        <w:rPr>
          <w:noProof/>
        </w:rPr>
        <w:t>.</w:t>
      </w:r>
      <w:r w:rsidR="008A53DE" w:rsidRPr="00DC621B">
        <w:rPr>
          <w:noProof/>
        </w:rPr>
        <w:t xml:space="preserve"> However, these are elementary compared to the current electricity market provisions, as set out in the Electricity Directive</w:t>
      </w:r>
      <w:r w:rsidR="004A3F38" w:rsidRPr="00DC621B">
        <w:rPr>
          <w:noProof/>
        </w:rPr>
        <w:t>,</w:t>
      </w:r>
      <w:r w:rsidRPr="00DC621B">
        <w:rPr>
          <w:noProof/>
        </w:rPr>
        <w:t xml:space="preserve"> and bills and billing information remain the most common consumer concern</w:t>
      </w:r>
      <w:r w:rsidRPr="00DC621B">
        <w:rPr>
          <w:rStyle w:val="FootnoteReference"/>
          <w:noProof/>
        </w:rPr>
        <w:footnoteReference w:id="149"/>
      </w:r>
      <w:r w:rsidR="00F2069F">
        <w:rPr>
          <w:noProof/>
        </w:rPr>
        <w:t>.</w:t>
      </w:r>
    </w:p>
    <w:p w:rsidR="0031216E" w:rsidRPr="00DC621B" w:rsidRDefault="008A53DE" w:rsidP="008A53DE">
      <w:pPr>
        <w:rPr>
          <w:noProof/>
        </w:rPr>
      </w:pPr>
      <w:r w:rsidRPr="00DC621B">
        <w:rPr>
          <w:noProof/>
        </w:rPr>
        <w:t>The composition of the final gas bill for household consumers continues to vary greatly across the EU, and consumers in many Member States have expressed low satisfaction with the comparability and clarity of gas billing information</w:t>
      </w:r>
      <w:r w:rsidR="00304772" w:rsidRPr="00DC621B">
        <w:rPr>
          <w:rStyle w:val="FootnoteReference"/>
          <w:noProof/>
        </w:rPr>
        <w:footnoteReference w:id="150"/>
      </w:r>
      <w:r w:rsidR="00F2069F">
        <w:rPr>
          <w:noProof/>
        </w:rPr>
        <w:t>.</w:t>
      </w:r>
      <w:r w:rsidR="00304BC0" w:rsidRPr="00DC621B">
        <w:rPr>
          <w:noProof/>
        </w:rPr>
        <w:t xml:space="preserve"> </w:t>
      </w:r>
      <w:r w:rsidRPr="00DC621B">
        <w:rPr>
          <w:noProof/>
        </w:rPr>
        <w:t xml:space="preserve">The Gas Directive entitles consumers to have access to relevant data, but it does not specify </w:t>
      </w:r>
      <w:r w:rsidRPr="00DC621B">
        <w:rPr>
          <w:b/>
          <w:noProof/>
        </w:rPr>
        <w:t>minimum requirements for the content of bills for</w:t>
      </w:r>
      <w:r w:rsidRPr="00DC621B">
        <w:rPr>
          <w:noProof/>
        </w:rPr>
        <w:t xml:space="preserve"> gas supply</w:t>
      </w:r>
      <w:r w:rsidR="00304BC0" w:rsidRPr="00DC621B">
        <w:rPr>
          <w:rStyle w:val="FootnoteReference"/>
          <w:noProof/>
        </w:rPr>
        <w:footnoteReference w:id="151"/>
      </w:r>
      <w:r w:rsidR="00304BC0" w:rsidRPr="00DC621B">
        <w:rPr>
          <w:noProof/>
        </w:rPr>
        <w:t xml:space="preserve"> alike </w:t>
      </w:r>
      <w:r w:rsidR="008548D0" w:rsidRPr="00DC621B">
        <w:rPr>
          <w:noProof/>
        </w:rPr>
        <w:t>regarding frequency of bills</w:t>
      </w:r>
      <w:r w:rsidR="00304BC0" w:rsidRPr="00DC621B">
        <w:rPr>
          <w:noProof/>
        </w:rPr>
        <w:t>.</w:t>
      </w:r>
    </w:p>
    <w:p w:rsidR="002F7976" w:rsidRPr="00DC621B" w:rsidRDefault="002F7976" w:rsidP="00304BC0">
      <w:pPr>
        <w:rPr>
          <w:b/>
          <w:bCs/>
          <w:i/>
          <w:iCs/>
          <w:noProof/>
        </w:rPr>
      </w:pPr>
      <w:r w:rsidRPr="00DC621B">
        <w:rPr>
          <w:b/>
          <w:bCs/>
          <w:i/>
          <w:iCs/>
          <w:noProof/>
        </w:rPr>
        <w:t>Vulnerable and energy poor consumers</w:t>
      </w:r>
    </w:p>
    <w:p w:rsidR="00F14EDB" w:rsidRPr="00DC621B" w:rsidRDefault="00F14EDB" w:rsidP="00304BC0">
      <w:pPr>
        <w:rPr>
          <w:noProof/>
        </w:rPr>
      </w:pPr>
      <w:r w:rsidRPr="00DC621B">
        <w:rPr>
          <w:noProof/>
        </w:rPr>
        <w:t>Energy poverty continues to be a major challenge for the Union and one of the biggest concerns in view of the upcoming reinforcement of climate and energy legislation to meet the 2050 climate targets, in view of the decarbonisation’s distributional impacts on vulnerable low and middle income households that will be hit hardest.</w:t>
      </w:r>
    </w:p>
    <w:p w:rsidR="002F7976" w:rsidRPr="00DC621B" w:rsidRDefault="002F7976" w:rsidP="00304BC0">
      <w:pPr>
        <w:rPr>
          <w:noProof/>
        </w:rPr>
      </w:pPr>
      <w:r w:rsidRPr="00DC621B">
        <w:rPr>
          <w:noProof/>
        </w:rPr>
        <w:t>Article 3(3) and (4) of the Gas Directive sets out provisions for the protection of vulnerable consumers. Member States are required to establish a definition of vulnerable consumers and to adopt appropriate protection measures and safeguards. In particular, Member States are required to take appropriate measures to protect final customers in remote areas who are connected to the gas system.</w:t>
      </w:r>
      <w:r w:rsidRPr="00DC621B">
        <w:rPr>
          <w:b/>
          <w:bCs/>
          <w:i/>
          <w:iCs/>
          <w:noProof/>
        </w:rPr>
        <w:t xml:space="preserve"> </w:t>
      </w:r>
      <w:r w:rsidRPr="00DC621B">
        <w:rPr>
          <w:noProof/>
        </w:rPr>
        <w:t>In order to adequately address energy poverty, including in the broader context of poverty, Article 3 of the Gas Directive states that Member States shall take appropriate measures, such as formulating national energy action plans</w:t>
      </w:r>
      <w:r w:rsidRPr="00DC621B">
        <w:rPr>
          <w:rStyle w:val="FootnoteReference"/>
          <w:noProof/>
        </w:rPr>
        <w:footnoteReference w:id="152"/>
      </w:r>
      <w:r w:rsidR="00C542FC">
        <w:rPr>
          <w:noProof/>
        </w:rPr>
        <w:t>,</w:t>
      </w:r>
      <w:r w:rsidRPr="00DC621B">
        <w:rPr>
          <w:noProof/>
        </w:rPr>
        <w:t xml:space="preserve"> providing social security benefits to ensure the necessary gas supply to vulnerable customers, or providing for support for energy efficiency improvements.</w:t>
      </w:r>
    </w:p>
    <w:p w:rsidR="002F7976" w:rsidRPr="00DC621B" w:rsidRDefault="002F7976" w:rsidP="00304BC0">
      <w:pPr>
        <w:rPr>
          <w:noProof/>
        </w:rPr>
      </w:pPr>
      <w:r w:rsidRPr="00DC621B">
        <w:rPr>
          <w:noProof/>
        </w:rPr>
        <w:t xml:space="preserve">Given the absence of a common EU definition of consumer vulnerability and energy poverty, however, the implementation of the consumer protection provisions has resulted in an uneven level of consumer protection across the EU Member States. Some Member States have defined in their legislation the concept of the </w:t>
      </w:r>
      <w:r w:rsidR="00D562D0">
        <w:rPr>
          <w:noProof/>
        </w:rPr>
        <w:t>‘</w:t>
      </w:r>
      <w:r w:rsidRPr="00DC621B">
        <w:rPr>
          <w:noProof/>
        </w:rPr>
        <w:t>vulnerable consumer</w:t>
      </w:r>
      <w:r w:rsidR="00312C27">
        <w:rPr>
          <w:noProof/>
        </w:rPr>
        <w:t>’</w:t>
      </w:r>
      <w:r w:rsidRPr="00DC621B">
        <w:rPr>
          <w:noProof/>
        </w:rPr>
        <w:t xml:space="preserve"> and have adopted corresponding measures to protect those belonging to this category. Such measures have tended to be predominantly at the level of welfare provision and social policy, and not so much at the level of specific energy policy measures. They were nonetheless successful in making more visible and effective the fight against energy poverty in the concerned</w:t>
      </w:r>
      <w:r w:rsidR="00304BC0" w:rsidRPr="00DC621B">
        <w:rPr>
          <w:noProof/>
        </w:rPr>
        <w:t xml:space="preserve"> </w:t>
      </w:r>
      <w:r w:rsidRPr="00DC621B">
        <w:rPr>
          <w:noProof/>
        </w:rPr>
        <w:t xml:space="preserve">Member States. </w:t>
      </w:r>
    </w:p>
    <w:p w:rsidR="002F7976" w:rsidRPr="00DC621B" w:rsidRDefault="002F7976" w:rsidP="796E43CC">
      <w:pPr>
        <w:rPr>
          <w:i/>
          <w:iCs/>
          <w:noProof/>
        </w:rPr>
      </w:pPr>
      <w:r w:rsidRPr="00DC621B">
        <w:rPr>
          <w:i/>
          <w:iCs/>
          <w:noProof/>
        </w:rPr>
        <w:t>State of play indicators and def</w:t>
      </w:r>
      <w:r w:rsidR="00304BC0" w:rsidRPr="00DC621B">
        <w:rPr>
          <w:i/>
          <w:iCs/>
          <w:noProof/>
        </w:rPr>
        <w:t>i</w:t>
      </w:r>
      <w:r w:rsidRPr="00DC621B">
        <w:rPr>
          <w:i/>
          <w:iCs/>
          <w:noProof/>
        </w:rPr>
        <w:t>nition</w:t>
      </w:r>
    </w:p>
    <w:p w:rsidR="002F7976" w:rsidRPr="00DC621B" w:rsidRDefault="002F7976" w:rsidP="00304BC0">
      <w:pPr>
        <w:rPr>
          <w:noProof/>
        </w:rPr>
      </w:pPr>
      <w:r w:rsidRPr="00DC621B">
        <w:rPr>
          <w:noProof/>
        </w:rPr>
        <w:t>Income levels belong to the defining criteria of vulnerability in 19 and 14 M</w:t>
      </w:r>
      <w:r w:rsidR="00F14EDB" w:rsidRPr="00DC621B">
        <w:rPr>
          <w:noProof/>
        </w:rPr>
        <w:t>ember States</w:t>
      </w:r>
      <w:r w:rsidRPr="00DC621B">
        <w:rPr>
          <w:noProof/>
        </w:rPr>
        <w:t xml:space="preserve"> in electricity and gas respectively, followed by critical dependency for health reasons in 11 and six MS and age in nine and seven M</w:t>
      </w:r>
      <w:r w:rsidR="00F14EDB" w:rsidRPr="00DC621B">
        <w:rPr>
          <w:noProof/>
        </w:rPr>
        <w:t>ember States</w:t>
      </w:r>
      <w:r w:rsidRPr="00DC621B">
        <w:rPr>
          <w:noProof/>
        </w:rPr>
        <w:t>. Many NRAs reported a combination of the listed determinants as well as specific ones, such as mental and/or physical disabilities, larger family size, unemployment or remote locality. Especially in M</w:t>
      </w:r>
      <w:r w:rsidR="00F14EDB" w:rsidRPr="00DC621B">
        <w:rPr>
          <w:noProof/>
        </w:rPr>
        <w:t>ember States</w:t>
      </w:r>
      <w:r w:rsidRPr="00DC621B">
        <w:rPr>
          <w:noProof/>
        </w:rPr>
        <w:t xml:space="preserve"> with implicit definitions of the concept of vulnerable consumers, e.g. A</w:t>
      </w:r>
      <w:r w:rsidR="00F14EDB" w:rsidRPr="00DC621B">
        <w:rPr>
          <w:noProof/>
        </w:rPr>
        <w:t>ustria</w:t>
      </w:r>
      <w:r w:rsidRPr="00DC621B">
        <w:rPr>
          <w:noProof/>
        </w:rPr>
        <w:t>, determining criteria are closely bound to eligibility criteria for ear-marked social benefits.</w:t>
      </w:r>
    </w:p>
    <w:p w:rsidR="002F7976" w:rsidRPr="00DC621B" w:rsidRDefault="002F7976" w:rsidP="00304BC0">
      <w:pPr>
        <w:rPr>
          <w:noProof/>
        </w:rPr>
      </w:pPr>
      <w:r w:rsidRPr="00DC621B">
        <w:rPr>
          <w:noProof/>
        </w:rPr>
        <w:t>Since precise data on the topic remains limited,</w:t>
      </w:r>
      <w:r w:rsidR="00C661AC" w:rsidRPr="00DC621B">
        <w:rPr>
          <w:noProof/>
        </w:rPr>
        <w:t xml:space="preserve"> </w:t>
      </w:r>
      <w:r w:rsidR="00025019" w:rsidRPr="00DC621B">
        <w:rPr>
          <w:noProof/>
        </w:rPr>
        <w:t>l</w:t>
      </w:r>
      <w:r w:rsidRPr="00DC621B">
        <w:rPr>
          <w:noProof/>
        </w:rPr>
        <w:t xml:space="preserve">evels of energy poverty remain significant and a lack of clarity on the most appropriate means of tackling consumer vulnerability and energy poverty persists and constitutes to be a barrier to the further deepening of the internal energy market. In particular, </w:t>
      </w:r>
      <w:r w:rsidRPr="00DC621B">
        <w:rPr>
          <w:iCs/>
          <w:noProof/>
        </w:rPr>
        <w:t>the need to address the problem seems pressing given that some form of retail energy price regulation, in some cases intended to protect vulnerable and energy poor consumers</w:t>
      </w:r>
      <w:r w:rsidR="00B72448" w:rsidRPr="00DC621B">
        <w:rPr>
          <w:rStyle w:val="FootnoteReference"/>
          <w:iCs/>
          <w:noProof/>
        </w:rPr>
        <w:footnoteReference w:id="153"/>
      </w:r>
      <w:r w:rsidR="00C542FC">
        <w:rPr>
          <w:iCs/>
          <w:noProof/>
        </w:rPr>
        <w:t>,</w:t>
      </w:r>
      <w:r w:rsidRPr="00DC621B">
        <w:rPr>
          <w:iCs/>
          <w:noProof/>
        </w:rPr>
        <w:t xml:space="preserve"> still exists in some M</w:t>
      </w:r>
      <w:r w:rsidR="00E94E9E" w:rsidRPr="00DC621B">
        <w:rPr>
          <w:iCs/>
          <w:noProof/>
        </w:rPr>
        <w:t xml:space="preserve">ember </w:t>
      </w:r>
      <w:r w:rsidRPr="00DC621B">
        <w:rPr>
          <w:iCs/>
          <w:noProof/>
        </w:rPr>
        <w:t>S</w:t>
      </w:r>
      <w:r w:rsidR="00E94E9E" w:rsidRPr="00DC621B">
        <w:rPr>
          <w:iCs/>
          <w:noProof/>
        </w:rPr>
        <w:t>tates</w:t>
      </w:r>
      <w:r w:rsidRPr="00DC621B">
        <w:rPr>
          <w:rStyle w:val="FootnoteReference"/>
          <w:iCs/>
          <w:noProof/>
        </w:rPr>
        <w:footnoteReference w:id="154"/>
      </w:r>
      <w:r w:rsidRPr="00DC621B">
        <w:rPr>
          <w:iCs/>
          <w:noProof/>
        </w:rPr>
        <w:t>, and levels of market concentration remain high in some liberalised markets</w:t>
      </w:r>
      <w:r w:rsidRPr="00DC621B">
        <w:rPr>
          <w:noProof/>
        </w:rPr>
        <w:t>. As much as well-</w:t>
      </w:r>
      <w:r w:rsidR="00025019" w:rsidRPr="00DC621B">
        <w:rPr>
          <w:noProof/>
        </w:rPr>
        <w:t>t</w:t>
      </w:r>
      <w:r w:rsidRPr="00DC621B">
        <w:rPr>
          <w:noProof/>
        </w:rPr>
        <w:t xml:space="preserve">argeted direct interventions in the price of supply of energy to energy-poor/vulnerable consumers (e.g. Belgium, Spain, </w:t>
      </w:r>
      <w:r w:rsidR="00F14EDB" w:rsidRPr="00DC621B">
        <w:rPr>
          <w:noProof/>
        </w:rPr>
        <w:t xml:space="preserve">and </w:t>
      </w:r>
      <w:r w:rsidRPr="00DC621B">
        <w:rPr>
          <w:noProof/>
        </w:rPr>
        <w:t xml:space="preserve">Portugal) can be good practices, badly designed </w:t>
      </w:r>
      <w:r w:rsidR="00025019" w:rsidRPr="00DC621B">
        <w:rPr>
          <w:noProof/>
        </w:rPr>
        <w:t>interventions</w:t>
      </w:r>
      <w:r w:rsidRPr="00DC621B">
        <w:rPr>
          <w:noProof/>
        </w:rPr>
        <w:t xml:space="preserve"> can distort markets. The same applies for energy vouchers, credit line sand </w:t>
      </w:r>
      <w:r w:rsidR="00025019" w:rsidRPr="00DC621B">
        <w:rPr>
          <w:noProof/>
        </w:rPr>
        <w:t>subsidies</w:t>
      </w:r>
      <w:r w:rsidRPr="00DC621B">
        <w:rPr>
          <w:noProof/>
        </w:rPr>
        <w:t xml:space="preserve"> or tax exemptions or reductions for structural solutions</w:t>
      </w:r>
      <w:r w:rsidRPr="00DC621B">
        <w:rPr>
          <w:rStyle w:val="FootnoteReference"/>
          <w:noProof/>
        </w:rPr>
        <w:footnoteReference w:id="155"/>
      </w:r>
      <w:r w:rsidR="00C542FC">
        <w:rPr>
          <w:noProof/>
        </w:rPr>
        <w:t>.</w:t>
      </w:r>
    </w:p>
    <w:p w:rsidR="00F177AC" w:rsidRPr="00DC621B" w:rsidRDefault="00F177AC" w:rsidP="00F177AC">
      <w:pPr>
        <w:rPr>
          <w:noProof/>
        </w:rPr>
      </w:pPr>
      <w:bookmarkStart w:id="344" w:name="_Toc454961052"/>
      <w:bookmarkStart w:id="345" w:name="_Toc455064649"/>
      <w:bookmarkStart w:id="346" w:name="_Toc455070091"/>
      <w:bookmarkStart w:id="347" w:name="_Toc455073996"/>
      <w:bookmarkStart w:id="348" w:name="_Toc455074325"/>
      <w:bookmarkStart w:id="349" w:name="_Toc455082004"/>
      <w:bookmarkStart w:id="350" w:name="_Toc455082096"/>
      <w:bookmarkStart w:id="351" w:name="_Toc455082968"/>
      <w:bookmarkStart w:id="352" w:name="_Toc455134317"/>
      <w:bookmarkStart w:id="353" w:name="_Toc455148841"/>
      <w:bookmarkStart w:id="354" w:name="_Toc455156726"/>
      <w:bookmarkStart w:id="355" w:name="_Toc455156882"/>
      <w:bookmarkStart w:id="356" w:name="_Toc455160052"/>
      <w:bookmarkEnd w:id="344"/>
      <w:r w:rsidRPr="00DC621B">
        <w:rPr>
          <w:noProof/>
        </w:rPr>
        <w:t xml:space="preserve">Switching rates are inconsistent among countries and data show dissatisfaction with the switching process and difficulties with switching. </w:t>
      </w:r>
      <w:r w:rsidR="00C24546">
        <w:rPr>
          <w:noProof/>
        </w:rPr>
        <w:t>PCTs</w:t>
      </w:r>
      <w:r w:rsidRPr="00DC621B">
        <w:rPr>
          <w:noProof/>
        </w:rPr>
        <w:t xml:space="preserve">, an important factor to enable consumers to switch, show inconsistent uptake among Member States. Consumer experience with </w:t>
      </w:r>
      <w:r w:rsidR="00C24546">
        <w:rPr>
          <w:noProof/>
        </w:rPr>
        <w:t>PCTs</w:t>
      </w:r>
      <w:r w:rsidRPr="00DC621B">
        <w:rPr>
          <w:noProof/>
        </w:rPr>
        <w:t xml:space="preserve"> is generally positive, but contract termination and switching fees continue to be an obstacle. Some countries still do not have in place a maximum timeframe of 3 weeks for switching and, compared to the electricity sector, some rights such as technical switching times or collective switching are missing.</w:t>
      </w:r>
    </w:p>
    <w:p w:rsidR="009310F3" w:rsidRPr="00DC621B" w:rsidRDefault="00F177AC" w:rsidP="00820E55">
      <w:pPr>
        <w:rPr>
          <w:noProof/>
        </w:rPr>
      </w:pPr>
      <w:r w:rsidRPr="00DC621B">
        <w:rPr>
          <w:noProof/>
        </w:rPr>
        <w:t xml:space="preserve">Bills remain one of the largest consumer concerns and the composition of the final gas bills is not consistent among Member States. Minimum requirements and frequency of billing, as e.g. provided for in the Electricity Directive, are missing in the gas sector. </w:t>
      </w:r>
      <w:bookmarkStart w:id="357" w:name="_Toc455064650"/>
      <w:bookmarkStart w:id="358" w:name="_Toc455070092"/>
      <w:bookmarkStart w:id="359" w:name="_Toc455073997"/>
      <w:bookmarkStart w:id="360" w:name="_Toc455074326"/>
      <w:bookmarkStart w:id="361" w:name="_Toc455082005"/>
      <w:bookmarkStart w:id="362" w:name="_Toc455082097"/>
      <w:bookmarkStart w:id="363" w:name="_Toc455082969"/>
      <w:bookmarkStart w:id="364" w:name="_Toc455134318"/>
      <w:bookmarkStart w:id="365" w:name="_Toc455148842"/>
      <w:bookmarkStart w:id="366" w:name="_Toc455156727"/>
      <w:bookmarkStart w:id="367" w:name="_Toc455156883"/>
      <w:bookmarkStart w:id="368" w:name="_Toc455160053"/>
      <w:bookmarkEnd w:id="345"/>
      <w:bookmarkEnd w:id="346"/>
      <w:bookmarkEnd w:id="347"/>
      <w:bookmarkEnd w:id="348"/>
      <w:bookmarkEnd w:id="349"/>
      <w:bookmarkEnd w:id="350"/>
      <w:bookmarkEnd w:id="351"/>
      <w:bookmarkEnd w:id="352"/>
      <w:bookmarkEnd w:id="353"/>
      <w:bookmarkEnd w:id="354"/>
      <w:bookmarkEnd w:id="355"/>
      <w:bookmarkEnd w:id="356"/>
    </w:p>
    <w:p w:rsidR="009310F3" w:rsidRPr="00DC621B" w:rsidRDefault="009310F3" w:rsidP="007F7B3A">
      <w:pPr>
        <w:pStyle w:val="Heading2"/>
        <w:rPr>
          <w:noProof/>
        </w:rPr>
      </w:pPr>
      <w:bookmarkStart w:id="369" w:name="_Toc456772827"/>
      <w:bookmarkStart w:id="370" w:name="_Toc76743541"/>
      <w:bookmarkStart w:id="371" w:name="_Toc77590802"/>
      <w:bookmarkStart w:id="372" w:name="_Toc77600960"/>
      <w:bookmarkStart w:id="373" w:name="_Toc77682218"/>
      <w:bookmarkStart w:id="374" w:name="_Toc89688263"/>
      <w:bookmarkStart w:id="375" w:name="_Toc89882326"/>
      <w:r w:rsidRPr="00DC621B">
        <w:rPr>
          <w:noProof/>
        </w:rPr>
        <w:t>Efficiency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9310F3" w:rsidRPr="00DC621B" w:rsidRDefault="009310F3" w:rsidP="009D744A">
      <w:pPr>
        <w:pStyle w:val="ListParagraph"/>
        <w:numPr>
          <w:ilvl w:val="0"/>
          <w:numId w:val="363"/>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noProof/>
        </w:rPr>
      </w:pPr>
      <w:r w:rsidRPr="00DC621B">
        <w:rPr>
          <w:noProof/>
        </w:rPr>
        <w:t>In qualitative terms, to what extent are the costs proportionate to the benefits achieved?</w:t>
      </w:r>
    </w:p>
    <w:p w:rsidR="009310F3" w:rsidRPr="00DC621B" w:rsidRDefault="009310F3" w:rsidP="009D744A">
      <w:pPr>
        <w:pStyle w:val="ListParagraph"/>
        <w:numPr>
          <w:ilvl w:val="0"/>
          <w:numId w:val="363"/>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noProof/>
        </w:rPr>
      </w:pPr>
      <w:r w:rsidRPr="00DC621B">
        <w:rPr>
          <w:noProof/>
        </w:rPr>
        <w:t>Are there areas where there is potential to reduce inefficiencies particularly regulatory burden and simplify the intervention?</w:t>
      </w:r>
    </w:p>
    <w:p w:rsidR="009310F3" w:rsidRPr="00DC621B" w:rsidRDefault="009310F3" w:rsidP="009D744A">
      <w:pPr>
        <w:pStyle w:val="ListParagraph"/>
        <w:numPr>
          <w:ilvl w:val="0"/>
          <w:numId w:val="363"/>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noProof/>
        </w:rPr>
      </w:pPr>
      <w:r w:rsidRPr="00DC621B">
        <w:rPr>
          <w:noProof/>
        </w:rPr>
        <w:t>Are there areas where the current regulatory framework for the EU</w:t>
      </w:r>
      <w:r w:rsidR="001163D4">
        <w:rPr>
          <w:noProof/>
        </w:rPr>
        <w:t>’</w:t>
      </w:r>
      <w:r w:rsidRPr="00DC621B">
        <w:rPr>
          <w:noProof/>
        </w:rPr>
        <w:t xml:space="preserve">s </w:t>
      </w:r>
      <w:r w:rsidR="008E79E2" w:rsidRPr="00DC621B">
        <w:rPr>
          <w:noProof/>
        </w:rPr>
        <w:t>gas</w:t>
      </w:r>
      <w:r w:rsidRPr="00DC621B">
        <w:rPr>
          <w:noProof/>
        </w:rPr>
        <w:t xml:space="preserve"> markets could be streamlined and optimised? </w:t>
      </w:r>
    </w:p>
    <w:p w:rsidR="00DF18CC" w:rsidRPr="00DC621B" w:rsidRDefault="009310F3">
      <w:pPr>
        <w:rPr>
          <w:noProof/>
        </w:rPr>
      </w:pPr>
      <w:r w:rsidRPr="00DC621B">
        <w:rPr>
          <w:noProof/>
        </w:rPr>
        <w:t>Undoubtedly, the detailed rules for TSOs, DSOs, and suppliers, and in particular the respective monitoring obligations for national regulators, led to some additional administrative costs for undertakings (e.g. for unbundling compliance monitoring</w:t>
      </w:r>
      <w:r w:rsidR="004F5F2E" w:rsidRPr="00DC621B">
        <w:rPr>
          <w:noProof/>
        </w:rPr>
        <w:t xml:space="preserve"> and reporting obligations towards the NRAs</w:t>
      </w:r>
      <w:r w:rsidRPr="00DC621B">
        <w:rPr>
          <w:noProof/>
        </w:rPr>
        <w:t xml:space="preserve"> and for </w:t>
      </w:r>
      <w:r w:rsidR="004F5F2E" w:rsidRPr="00DC621B">
        <w:rPr>
          <w:noProof/>
        </w:rPr>
        <w:t xml:space="preserve">NRAs </w:t>
      </w:r>
      <w:r w:rsidRPr="00DC621B">
        <w:rPr>
          <w:noProof/>
        </w:rPr>
        <w:t>(e.g. through increased tasks in monitoring and deciding on implementation details of the Third Package). This constituted a significant additional burden given the moderate size of many NRAs. Half of the 28 NRAs have less than 100 staff members</w:t>
      </w:r>
      <w:r w:rsidRPr="00DC621B">
        <w:rPr>
          <w:rStyle w:val="FootnoteReference"/>
          <w:noProof/>
        </w:rPr>
        <w:footnoteReference w:id="156"/>
      </w:r>
      <w:r w:rsidRPr="00DC621B">
        <w:rPr>
          <w:noProof/>
        </w:rPr>
        <w:t xml:space="preserve">. </w:t>
      </w:r>
      <w:r w:rsidR="008E2BE9" w:rsidRPr="00DC621B">
        <w:rPr>
          <w:noProof/>
        </w:rPr>
        <w:t>This ratio did not change structurally. In 2019</w:t>
      </w:r>
      <w:r w:rsidR="00E1696E">
        <w:rPr>
          <w:noProof/>
        </w:rPr>
        <w:t>,</w:t>
      </w:r>
      <w:r w:rsidR="008E2BE9" w:rsidRPr="00DC621B">
        <w:rPr>
          <w:noProof/>
        </w:rPr>
        <w:t xml:space="preserve"> the number of NRAs with less than 100 staff dedicated to energy regulation was 14 out of 24 NRA reporting data</w:t>
      </w:r>
      <w:r w:rsidR="008E2BE9" w:rsidRPr="00DC621B">
        <w:rPr>
          <w:rStyle w:val="FootnoteReference"/>
          <w:noProof/>
        </w:rPr>
        <w:footnoteReference w:id="157"/>
      </w:r>
      <w:r w:rsidR="00C542FC">
        <w:rPr>
          <w:noProof/>
        </w:rPr>
        <w:t>.</w:t>
      </w:r>
      <w:r w:rsidR="00F346EB">
        <w:rPr>
          <w:noProof/>
        </w:rPr>
        <w:t xml:space="preserve"> </w:t>
      </w:r>
      <w:r w:rsidRPr="00DC621B">
        <w:rPr>
          <w:noProof/>
        </w:rPr>
        <w:t>Generally, the level of resources available to different NRAs varies considerably. As underlined by the Court of Auditors</w:t>
      </w:r>
      <w:r w:rsidRPr="00DC621B">
        <w:rPr>
          <w:rStyle w:val="FootnoteReference"/>
          <w:noProof/>
        </w:rPr>
        <w:footnoteReference w:id="158"/>
      </w:r>
      <w:r w:rsidR="00BE4B73" w:rsidRPr="00DC621B">
        <w:rPr>
          <w:noProof/>
        </w:rPr>
        <w:t xml:space="preserve"> in 2015</w:t>
      </w:r>
      <w:r w:rsidRPr="00DC621B">
        <w:rPr>
          <w:noProof/>
        </w:rPr>
        <w:t>, the number of people dealing with energy issues in NRAs visited during their audit ranged from 21 (Estonia) to more than 200</w:t>
      </w:r>
      <w:r w:rsidR="00BE4B73" w:rsidRPr="00DC621B">
        <w:rPr>
          <w:noProof/>
        </w:rPr>
        <w:t xml:space="preserve"> at the time</w:t>
      </w:r>
      <w:r w:rsidRPr="00DC621B">
        <w:rPr>
          <w:noProof/>
        </w:rPr>
        <w:t xml:space="preserve">. </w:t>
      </w:r>
      <w:r w:rsidR="00DD7E93" w:rsidRPr="00DC621B">
        <w:rPr>
          <w:noProof/>
        </w:rPr>
        <w:t>In 2019</w:t>
      </w:r>
      <w:r w:rsidR="005C21C3">
        <w:rPr>
          <w:noProof/>
        </w:rPr>
        <w:t>,</w:t>
      </w:r>
      <w:r w:rsidR="00DD7E93" w:rsidRPr="00DC621B">
        <w:rPr>
          <w:noProof/>
        </w:rPr>
        <w:t xml:space="preserve"> these numbers ranged from 16 (Cyprus) to more than 350</w:t>
      </w:r>
      <w:r w:rsidR="00DD7E93" w:rsidRPr="00DC621B">
        <w:rPr>
          <w:rStyle w:val="FootnoteReference"/>
          <w:noProof/>
        </w:rPr>
        <w:footnoteReference w:id="159"/>
      </w:r>
      <w:r w:rsidR="00C542FC">
        <w:rPr>
          <w:noProof/>
        </w:rPr>
        <w:t>.</w:t>
      </w:r>
    </w:p>
    <w:p w:rsidR="009310F3" w:rsidRPr="00DC621B" w:rsidRDefault="009310F3">
      <w:pPr>
        <w:rPr>
          <w:noProof/>
        </w:rPr>
      </w:pPr>
      <w:r w:rsidRPr="00DC621B">
        <w:rPr>
          <w:noProof/>
        </w:rPr>
        <w:t xml:space="preserve">Certain regulatory measures contained in the Third Package have had a cost for </w:t>
      </w:r>
      <w:r w:rsidR="008E79E2" w:rsidRPr="00DC621B">
        <w:rPr>
          <w:noProof/>
        </w:rPr>
        <w:t>gas</w:t>
      </w:r>
      <w:r w:rsidRPr="00DC621B">
        <w:rPr>
          <w:noProof/>
        </w:rPr>
        <w:t xml:space="preserve"> stakeholders. The implementation of the unbundling requirements for all TSOs certainly entailed costs for these companies. However</w:t>
      </w:r>
      <w:r w:rsidR="005C21C3">
        <w:rPr>
          <w:noProof/>
        </w:rPr>
        <w:t>,</w:t>
      </w:r>
      <w:r w:rsidRPr="00DC621B">
        <w:rPr>
          <w:noProof/>
        </w:rPr>
        <w:t xml:space="preserve"> these are difficult to quantify and no detailed aggregated data on the cost of these organisational changes required by the unbundling measures exist. The Commission</w:t>
      </w:r>
      <w:r w:rsidR="001163D4">
        <w:rPr>
          <w:noProof/>
        </w:rPr>
        <w:t>’</w:t>
      </w:r>
      <w:r w:rsidRPr="00DC621B">
        <w:rPr>
          <w:noProof/>
        </w:rPr>
        <w:t>s report on the impact of its unbundling reform</w:t>
      </w:r>
      <w:r w:rsidRPr="00DC621B">
        <w:rPr>
          <w:rFonts w:eastAsiaTheme="minorEastAsia"/>
          <w:noProof/>
        </w:rPr>
        <w:t xml:space="preserve"> from October 2014</w:t>
      </w:r>
      <w:r w:rsidRPr="00DC621B">
        <w:rPr>
          <w:rStyle w:val="FootnoteReference"/>
          <w:rFonts w:eastAsiaTheme="minorEastAsia"/>
          <w:noProof/>
        </w:rPr>
        <w:footnoteReference w:id="160"/>
      </w:r>
      <w:r w:rsidR="003662EE" w:rsidRPr="00DC621B">
        <w:rPr>
          <w:rFonts w:eastAsiaTheme="minorEastAsia"/>
          <w:noProof/>
        </w:rPr>
        <w:t xml:space="preserve"> </w:t>
      </w:r>
      <w:r w:rsidRPr="00DC621B">
        <w:rPr>
          <w:rFonts w:eastAsiaTheme="minorEastAsia"/>
          <w:noProof/>
        </w:rPr>
        <w:t xml:space="preserve">showed that </w:t>
      </w:r>
      <w:r w:rsidRPr="00DC621B">
        <w:rPr>
          <w:noProof/>
        </w:rPr>
        <w:t xml:space="preserve">cost effects did not play a significant role for stakeholders. The possibility for a Member State to choose between three unbundling models has provided some flexibility which may have contributed to keep the costs related to the organisation changes relatively limited. Indeed, it may be assumed that the Member States have opted for the unbundling model which was the closest to the existing organisational structure of their TSOs. </w:t>
      </w:r>
    </w:p>
    <w:p w:rsidR="009310F3" w:rsidRPr="00DC621B" w:rsidRDefault="009310F3">
      <w:pPr>
        <w:rPr>
          <w:noProof/>
        </w:rPr>
      </w:pPr>
      <w:r w:rsidRPr="00DC621B">
        <w:rPr>
          <w:noProof/>
        </w:rPr>
        <w:t>ENTSO</w:t>
      </w:r>
      <w:r w:rsidR="008E79E2" w:rsidRPr="00DC621B">
        <w:rPr>
          <w:noProof/>
        </w:rPr>
        <w:t>G</w:t>
      </w:r>
      <w:r w:rsidRPr="00DC621B">
        <w:rPr>
          <w:noProof/>
        </w:rPr>
        <w:t xml:space="preserve"> is financed almost exclusively by fees collected from its members i.e. the TSOs. ENTSO</w:t>
      </w:r>
      <w:r w:rsidR="008E79E2" w:rsidRPr="00DC621B">
        <w:rPr>
          <w:noProof/>
        </w:rPr>
        <w:t>G</w:t>
      </w:r>
      <w:r w:rsidRPr="00DC621B">
        <w:rPr>
          <w:noProof/>
        </w:rPr>
        <w:t xml:space="preserve"> also holds as </w:t>
      </w:r>
      <w:r w:rsidR="008E79E2" w:rsidRPr="00DC621B">
        <w:rPr>
          <w:noProof/>
        </w:rPr>
        <w:t>observers</w:t>
      </w:r>
      <w:r w:rsidRPr="00DC621B">
        <w:rPr>
          <w:noProof/>
        </w:rPr>
        <w:t xml:space="preserve"> TSOs from the Energy Community from countries which are not part of the EU. The fees paid by the TSOs to ENTSO</w:t>
      </w:r>
      <w:r w:rsidR="008E79E2" w:rsidRPr="00DC621B">
        <w:rPr>
          <w:noProof/>
        </w:rPr>
        <w:t>G</w:t>
      </w:r>
      <w:r w:rsidRPr="00DC621B">
        <w:rPr>
          <w:noProof/>
        </w:rPr>
        <w:t xml:space="preserve"> appear to be of an acceptable level and justified by the benefits that the TSOs enjoy from the existence of such an organisation whose task is</w:t>
      </w:r>
      <w:r w:rsidR="005C21C3">
        <w:rPr>
          <w:noProof/>
        </w:rPr>
        <w:t>,</w:t>
      </w:r>
      <w:r w:rsidRPr="00DC621B">
        <w:rPr>
          <w:noProof/>
        </w:rPr>
        <w:t xml:space="preserve"> </w:t>
      </w:r>
      <w:r w:rsidRPr="009D744A">
        <w:rPr>
          <w:i/>
          <w:noProof/>
        </w:rPr>
        <w:t>inter alia</w:t>
      </w:r>
      <w:r w:rsidR="005C21C3">
        <w:rPr>
          <w:i/>
          <w:noProof/>
        </w:rPr>
        <w:t>,</w:t>
      </w:r>
      <w:r w:rsidRPr="00DC621B">
        <w:rPr>
          <w:noProof/>
        </w:rPr>
        <w:t xml:space="preserve"> to defend their interests. </w:t>
      </w:r>
    </w:p>
    <w:p w:rsidR="009310F3" w:rsidRPr="00DC621B" w:rsidRDefault="009310F3" w:rsidP="00820E55">
      <w:pPr>
        <w:rPr>
          <w:b/>
          <w:noProof/>
        </w:rPr>
      </w:pPr>
      <w:r w:rsidRPr="00DC621B">
        <w:rPr>
          <w:b/>
          <w:bCs/>
          <w:noProof/>
        </w:rPr>
        <w:t>Overall, it can be concluded that the new rules of the Third Energy Package have generated additional administrative costs for undertakings and regulators. However</w:t>
      </w:r>
      <w:r w:rsidR="00BC44D6" w:rsidRPr="00DC621B">
        <w:rPr>
          <w:b/>
          <w:bCs/>
          <w:noProof/>
        </w:rPr>
        <w:t>,</w:t>
      </w:r>
      <w:r w:rsidRPr="00DC621B">
        <w:rPr>
          <w:b/>
          <w:bCs/>
          <w:noProof/>
        </w:rPr>
        <w:t xml:space="preserve"> these are not perceived as too heavy by stakeholders and appear to be counterbalanced by the benefits they generate notably through the increase in competition in the sector. </w:t>
      </w:r>
    </w:p>
    <w:p w:rsidR="009310F3" w:rsidRPr="00DC621B" w:rsidRDefault="009310F3" w:rsidP="007F7B3A">
      <w:pPr>
        <w:pStyle w:val="Heading2"/>
        <w:rPr>
          <w:noProof/>
        </w:rPr>
      </w:pPr>
      <w:bookmarkStart w:id="376" w:name="_Toc455064651"/>
      <w:bookmarkStart w:id="377" w:name="_Toc455070093"/>
      <w:bookmarkStart w:id="378" w:name="_Toc455073998"/>
      <w:bookmarkStart w:id="379" w:name="_Toc455074327"/>
      <w:bookmarkStart w:id="380" w:name="_Toc455082006"/>
      <w:bookmarkStart w:id="381" w:name="_Toc455082098"/>
      <w:bookmarkStart w:id="382" w:name="_Toc455082970"/>
      <w:bookmarkStart w:id="383" w:name="_Toc455134319"/>
      <w:bookmarkStart w:id="384" w:name="_Toc455148843"/>
      <w:bookmarkStart w:id="385" w:name="_Toc455156728"/>
      <w:bookmarkStart w:id="386" w:name="_Toc455156884"/>
      <w:bookmarkStart w:id="387" w:name="_Toc455160054"/>
      <w:bookmarkStart w:id="388" w:name="_Toc456772828"/>
      <w:bookmarkStart w:id="389" w:name="_Toc76743542"/>
      <w:bookmarkStart w:id="390" w:name="_Toc77590803"/>
      <w:bookmarkStart w:id="391" w:name="_Toc77600961"/>
      <w:bookmarkStart w:id="392" w:name="_Toc77682219"/>
      <w:bookmarkStart w:id="393" w:name="_Toc89688264"/>
      <w:bookmarkStart w:id="394" w:name="_Toc89882327"/>
      <w:r w:rsidRPr="00DC621B">
        <w:rPr>
          <w:noProof/>
        </w:rPr>
        <w:t>Relevance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9310F3" w:rsidRPr="00DC621B" w:rsidRDefault="009310F3" w:rsidP="796E43CC">
      <w:pPr>
        <w:rPr>
          <w:noProof/>
        </w:rPr>
      </w:pPr>
      <w:r w:rsidRPr="00DC621B">
        <w:rPr>
          <w:noProof/>
        </w:rPr>
        <w:t xml:space="preserve">The </w:t>
      </w:r>
      <w:r w:rsidR="003F6848">
        <w:rPr>
          <w:noProof/>
        </w:rPr>
        <w:t>E</w:t>
      </w:r>
      <w:r w:rsidRPr="00DC621B">
        <w:rPr>
          <w:noProof/>
        </w:rPr>
        <w:t>valuation of the effectiveness and efficiency of the Third Electricity Package showed that the new rules clearly had a positive effect on markets and for consumers. However, with a view to some fundamental changes</w:t>
      </w:r>
      <w:r w:rsidRPr="00DC621B">
        <w:rPr>
          <w:b/>
          <w:bCs/>
          <w:noProof/>
        </w:rPr>
        <w:t xml:space="preserve"> </w:t>
      </w:r>
      <w:r w:rsidRPr="00DC621B">
        <w:rPr>
          <w:noProof/>
        </w:rPr>
        <w:t xml:space="preserve">in </w:t>
      </w:r>
      <w:r w:rsidR="004A6179" w:rsidRPr="00DC621B">
        <w:rPr>
          <w:noProof/>
        </w:rPr>
        <w:t>gas</w:t>
      </w:r>
      <w:r w:rsidRPr="00DC621B">
        <w:rPr>
          <w:noProof/>
        </w:rPr>
        <w:t xml:space="preserve"> markets since 2009, the </w:t>
      </w:r>
      <w:r w:rsidR="003F6848">
        <w:rPr>
          <w:noProof/>
        </w:rPr>
        <w:t>E</w:t>
      </w:r>
      <w:r w:rsidRPr="00DC621B">
        <w:rPr>
          <w:noProof/>
        </w:rPr>
        <w:t>valuation needs to</w:t>
      </w:r>
      <w:r w:rsidRPr="00DC621B" w:rsidDel="004B600B">
        <w:rPr>
          <w:noProof/>
        </w:rPr>
        <w:t xml:space="preserve"> </w:t>
      </w:r>
      <w:r w:rsidRPr="00DC621B">
        <w:rPr>
          <w:noProof/>
        </w:rPr>
        <w:t xml:space="preserve">assess if the Third Package framework is still sufficient to deal effectively with future challenges of the sector. </w:t>
      </w:r>
    </w:p>
    <w:p w:rsidR="008B2877" w:rsidRPr="00DC621B" w:rsidRDefault="008B2877" w:rsidP="796E43CC">
      <w:pPr>
        <w:rPr>
          <w:noProof/>
          <w:szCs w:val="24"/>
        </w:rPr>
      </w:pPr>
      <w:r w:rsidRPr="00DC621B">
        <w:rPr>
          <w:noProof/>
        </w:rPr>
        <w:t>With the 2030 Climate Target Plan</w:t>
      </w:r>
      <w:r w:rsidRPr="00DC621B">
        <w:rPr>
          <w:rStyle w:val="FootnoteReference"/>
          <w:noProof/>
        </w:rPr>
        <w:footnoteReference w:id="161"/>
      </w:r>
      <w:r w:rsidR="00C542FC">
        <w:rPr>
          <w:noProof/>
        </w:rPr>
        <w:t>,</w:t>
      </w:r>
      <w:r w:rsidRPr="00DC621B">
        <w:rPr>
          <w:noProof/>
        </w:rPr>
        <w:t xml:space="preserve"> the Commission proposed in September 2020 to raise the EU</w:t>
      </w:r>
      <w:r w:rsidR="005C21C3">
        <w:rPr>
          <w:noProof/>
        </w:rPr>
        <w:t>’</w:t>
      </w:r>
      <w:r w:rsidRPr="00DC621B">
        <w:rPr>
          <w:noProof/>
        </w:rPr>
        <w:t xml:space="preserve">s ambition on reducing </w:t>
      </w:r>
      <w:r w:rsidR="00063835" w:rsidRPr="00DC621B">
        <w:rPr>
          <w:noProof/>
        </w:rPr>
        <w:t>GHG</w:t>
      </w:r>
      <w:r w:rsidRPr="00DC621B">
        <w:rPr>
          <w:noProof/>
        </w:rPr>
        <w:t xml:space="preserve"> emissions to </w:t>
      </w:r>
      <w:r w:rsidRPr="00DC621B">
        <w:rPr>
          <w:b/>
          <w:bCs/>
          <w:noProof/>
        </w:rPr>
        <w:t>at leas</w:t>
      </w:r>
      <w:r w:rsidR="00063835" w:rsidRPr="00DC621B">
        <w:rPr>
          <w:b/>
          <w:bCs/>
          <w:noProof/>
        </w:rPr>
        <w:t xml:space="preserve">t 55% below 1990 levels by 2030, </w:t>
      </w:r>
      <w:r w:rsidRPr="00DC621B">
        <w:rPr>
          <w:noProof/>
        </w:rPr>
        <w:t>d</w:t>
      </w:r>
      <w:r w:rsidR="00063835" w:rsidRPr="00DC621B">
        <w:rPr>
          <w:noProof/>
        </w:rPr>
        <w:t>elivering</w:t>
      </w:r>
      <w:r w:rsidRPr="00DC621B">
        <w:rPr>
          <w:noProof/>
        </w:rPr>
        <w:t xml:space="preserve"> on the commitment made in the Communication on the European Green Deal</w:t>
      </w:r>
      <w:r w:rsidRPr="00DC621B">
        <w:rPr>
          <w:rStyle w:val="FootnoteReference"/>
          <w:noProof/>
        </w:rPr>
        <w:footnoteReference w:id="162"/>
      </w:r>
      <w:r w:rsidR="00C542FC">
        <w:rPr>
          <w:noProof/>
        </w:rPr>
        <w:t>,</w:t>
      </w:r>
      <w:r w:rsidRPr="00DC621B">
        <w:rPr>
          <w:noProof/>
        </w:rPr>
        <w:t xml:space="preserve"> which sets out a renew growth strategy to</w:t>
      </w:r>
      <w:r w:rsidRPr="00DC621B">
        <w:rPr>
          <w:rFonts w:eastAsia="Calibri"/>
          <w:noProof/>
        </w:rPr>
        <w:t xml:space="preserve"> make Europe the first climate neutral continent in the world by 2050.</w:t>
      </w:r>
      <w:r w:rsidR="00CE5C79" w:rsidRPr="00DC621B">
        <w:rPr>
          <w:rFonts w:eastAsia="Calibri"/>
          <w:noProof/>
        </w:rPr>
        <w:t xml:space="preserve"> In June 2021, the European </w:t>
      </w:r>
      <w:r w:rsidR="00D71586" w:rsidRPr="00DC621B">
        <w:rPr>
          <w:rFonts w:eastAsia="Calibri"/>
          <w:noProof/>
        </w:rPr>
        <w:t>P</w:t>
      </w:r>
      <w:r w:rsidR="00CE5C79" w:rsidRPr="00DC621B">
        <w:rPr>
          <w:rFonts w:eastAsia="Calibri"/>
          <w:noProof/>
        </w:rPr>
        <w:t xml:space="preserve">arliament </w:t>
      </w:r>
      <w:r w:rsidR="00186102" w:rsidRPr="00DC621B">
        <w:rPr>
          <w:rFonts w:eastAsia="Calibri"/>
          <w:noProof/>
        </w:rPr>
        <w:t xml:space="preserve">and the European Council </w:t>
      </w:r>
      <w:r w:rsidR="00CE5C79" w:rsidRPr="00DC621B">
        <w:rPr>
          <w:rFonts w:eastAsia="Calibri"/>
          <w:noProof/>
        </w:rPr>
        <w:t xml:space="preserve">approved the </w:t>
      </w:r>
      <w:r w:rsidR="00D71586" w:rsidRPr="00DC621B">
        <w:rPr>
          <w:rFonts w:eastAsia="Calibri"/>
          <w:noProof/>
        </w:rPr>
        <w:t xml:space="preserve">first </w:t>
      </w:r>
      <w:r w:rsidR="00CE5C79" w:rsidRPr="00DC621B">
        <w:rPr>
          <w:rFonts w:eastAsia="Calibri"/>
          <w:noProof/>
        </w:rPr>
        <w:t>European Climate law, w</w:t>
      </w:r>
      <w:r w:rsidR="00D71586" w:rsidRPr="00DC621B">
        <w:rPr>
          <w:rFonts w:eastAsia="Calibri"/>
          <w:noProof/>
        </w:rPr>
        <w:t>h</w:t>
      </w:r>
      <w:r w:rsidR="00CE5C79" w:rsidRPr="00DC621B">
        <w:rPr>
          <w:rFonts w:eastAsia="Calibri"/>
          <w:noProof/>
        </w:rPr>
        <w:t>i</w:t>
      </w:r>
      <w:r w:rsidR="00D71586" w:rsidRPr="00DC621B">
        <w:rPr>
          <w:rFonts w:eastAsia="Calibri"/>
          <w:noProof/>
        </w:rPr>
        <w:t>ch embeds into EU law legally binding target</w:t>
      </w:r>
      <w:r w:rsidR="00186102" w:rsidRPr="00DC621B">
        <w:rPr>
          <w:rFonts w:eastAsia="Calibri"/>
          <w:noProof/>
        </w:rPr>
        <w:t>s</w:t>
      </w:r>
      <w:r w:rsidR="00D71586" w:rsidRPr="00DC621B">
        <w:rPr>
          <w:rFonts w:eastAsia="Calibri"/>
          <w:noProof/>
        </w:rPr>
        <w:t xml:space="preserve"> </w:t>
      </w:r>
      <w:r w:rsidR="00186102" w:rsidRPr="00DC621B">
        <w:rPr>
          <w:rFonts w:eastAsia="Calibri"/>
          <w:noProof/>
        </w:rPr>
        <w:t>for</w:t>
      </w:r>
      <w:r w:rsidR="00D71586" w:rsidRPr="00DC621B">
        <w:rPr>
          <w:rFonts w:eastAsia="Calibri"/>
          <w:noProof/>
        </w:rPr>
        <w:t xml:space="preserve"> net zero greenhouse gas emissions by 2050 and sets targets to reduce EU emissions by 55% by 2030.</w:t>
      </w:r>
    </w:p>
    <w:p w:rsidR="008B2877" w:rsidRPr="00DC621B" w:rsidRDefault="008B2877" w:rsidP="008B2877">
      <w:pPr>
        <w:ind w:right="-29"/>
        <w:rPr>
          <w:b/>
          <w:bCs/>
          <w:noProof/>
          <w:sz w:val="23"/>
          <w:szCs w:val="23"/>
        </w:rPr>
      </w:pPr>
      <w:r w:rsidRPr="00DC621B">
        <w:rPr>
          <w:rFonts w:eastAsia="Calibri"/>
          <w:noProof/>
        </w:rPr>
        <w:t>The transition to a climate-neutral society requires from energy markets to adapt</w:t>
      </w:r>
      <w:r w:rsidR="0078231D" w:rsidRPr="00DC621B">
        <w:rPr>
          <w:rFonts w:eastAsia="Calibri"/>
          <w:noProof/>
        </w:rPr>
        <w:t xml:space="preserve"> in</w:t>
      </w:r>
      <w:r w:rsidRPr="00DC621B">
        <w:rPr>
          <w:rFonts w:eastAsia="Calibri"/>
          <w:noProof/>
        </w:rPr>
        <w:t xml:space="preserve"> support</w:t>
      </w:r>
      <w:r w:rsidR="00512CF3" w:rsidRPr="00DC621B">
        <w:rPr>
          <w:rFonts w:eastAsia="Calibri"/>
          <w:noProof/>
        </w:rPr>
        <w:t xml:space="preserve"> </w:t>
      </w:r>
      <w:r w:rsidR="0078231D" w:rsidRPr="00DC621B">
        <w:rPr>
          <w:rFonts w:eastAsia="Calibri"/>
          <w:noProof/>
        </w:rPr>
        <w:t xml:space="preserve">of </w:t>
      </w:r>
      <w:r w:rsidRPr="00DC621B">
        <w:rPr>
          <w:rFonts w:eastAsia="Calibri"/>
          <w:noProof/>
        </w:rPr>
        <w:t xml:space="preserve">the decarbonisation of the </w:t>
      </w:r>
      <w:r w:rsidR="00736ADE" w:rsidRPr="00DC621B">
        <w:rPr>
          <w:rFonts w:eastAsia="Calibri"/>
          <w:noProof/>
        </w:rPr>
        <w:t xml:space="preserve">whole </w:t>
      </w:r>
      <w:r w:rsidRPr="00DC621B">
        <w:rPr>
          <w:rFonts w:eastAsia="Calibri"/>
          <w:noProof/>
        </w:rPr>
        <w:t>energy system</w:t>
      </w:r>
      <w:r w:rsidR="00512CF3" w:rsidRPr="00DC621B">
        <w:rPr>
          <w:rFonts w:eastAsia="Calibri"/>
          <w:noProof/>
        </w:rPr>
        <w:t>,</w:t>
      </w:r>
      <w:r w:rsidR="00A24CC7" w:rsidRPr="00DC621B">
        <w:rPr>
          <w:rFonts w:eastAsia="Calibri"/>
          <w:noProof/>
        </w:rPr>
        <w:t xml:space="preserve"> while remaining affordable, safe, competitive, and secure</w:t>
      </w:r>
      <w:r w:rsidRPr="00DC621B">
        <w:rPr>
          <w:rFonts w:eastAsia="Calibri"/>
          <w:noProof/>
        </w:rPr>
        <w:t>. A fully integrated and well-func</w:t>
      </w:r>
      <w:r w:rsidR="00586E3F" w:rsidRPr="00DC621B">
        <w:rPr>
          <w:rFonts w:eastAsia="Calibri"/>
          <w:noProof/>
        </w:rPr>
        <w:t xml:space="preserve">tioning internal energy market </w:t>
      </w:r>
      <w:r w:rsidR="00736ADE" w:rsidRPr="00DC621B">
        <w:rPr>
          <w:rFonts w:eastAsia="Calibri"/>
          <w:noProof/>
        </w:rPr>
        <w:t>is</w:t>
      </w:r>
      <w:r w:rsidR="009424E6" w:rsidRPr="00DC621B">
        <w:rPr>
          <w:rFonts w:eastAsia="Calibri"/>
          <w:noProof/>
        </w:rPr>
        <w:t xml:space="preserve"> the most efficient means of </w:t>
      </w:r>
      <w:r w:rsidR="00736ADE" w:rsidRPr="00DC621B">
        <w:rPr>
          <w:rFonts w:eastAsia="Calibri"/>
          <w:noProof/>
        </w:rPr>
        <w:t>ensuring affordable energy prices, necessary price signals for investments in green energy, securing energy supplies and enabling the least cost path to climate neutrality.</w:t>
      </w:r>
    </w:p>
    <w:p w:rsidR="008B2877" w:rsidRPr="00DC621B" w:rsidRDefault="005E1F3E" w:rsidP="008B2877">
      <w:pPr>
        <w:ind w:right="-29"/>
        <w:rPr>
          <w:rFonts w:eastAsia="Calibri"/>
          <w:noProof/>
        </w:rPr>
      </w:pPr>
      <w:r w:rsidRPr="00DC621B">
        <w:rPr>
          <w:noProof/>
        </w:rPr>
        <w:t xml:space="preserve">The surge of the COVID-19 </w:t>
      </w:r>
      <w:r w:rsidR="00A24CC7" w:rsidRPr="00DC621B">
        <w:rPr>
          <w:noProof/>
        </w:rPr>
        <w:t>pandemic</w:t>
      </w:r>
      <w:r w:rsidRPr="00DC621B">
        <w:rPr>
          <w:noProof/>
        </w:rPr>
        <w:t xml:space="preserve"> </w:t>
      </w:r>
      <w:r w:rsidR="00512CF3" w:rsidRPr="00DC621B">
        <w:rPr>
          <w:noProof/>
        </w:rPr>
        <w:t xml:space="preserve">has further </w:t>
      </w:r>
      <w:r w:rsidR="00A24CC7" w:rsidRPr="00DC621B">
        <w:rPr>
          <w:noProof/>
        </w:rPr>
        <w:t>demonstrated the crucial role of the energy sector in the EU</w:t>
      </w:r>
      <w:r w:rsidR="005C21C3">
        <w:rPr>
          <w:noProof/>
        </w:rPr>
        <w:t>’</w:t>
      </w:r>
      <w:r w:rsidR="00A24CC7" w:rsidRPr="00DC621B">
        <w:rPr>
          <w:noProof/>
        </w:rPr>
        <w:t>s economic recovery.</w:t>
      </w:r>
      <w:r w:rsidRPr="00DC621B">
        <w:rPr>
          <w:noProof/>
        </w:rPr>
        <w:t xml:space="preserve"> </w:t>
      </w:r>
      <w:r w:rsidR="008B2877" w:rsidRPr="00DC621B">
        <w:rPr>
          <w:noProof/>
        </w:rPr>
        <w:t>The Commission’s recovery plan</w:t>
      </w:r>
      <w:r w:rsidR="008B2877" w:rsidRPr="00DC621B">
        <w:rPr>
          <w:rStyle w:val="FootnoteReference"/>
          <w:noProof/>
        </w:rPr>
        <w:footnoteReference w:id="163"/>
      </w:r>
      <w:r w:rsidR="008B2877" w:rsidRPr="00DC621B">
        <w:rPr>
          <w:noProof/>
          <w:sz w:val="18"/>
          <w:szCs w:val="18"/>
        </w:rPr>
        <w:t xml:space="preserve"> </w:t>
      </w:r>
      <w:r w:rsidR="008B2877" w:rsidRPr="00DC621B">
        <w:rPr>
          <w:noProof/>
        </w:rPr>
        <w:t>presented on 27 May 2020 highlights the need to better integrate the energy system</w:t>
      </w:r>
      <w:r w:rsidR="005C21C3">
        <w:rPr>
          <w:noProof/>
        </w:rPr>
        <w:t xml:space="preserve"> </w:t>
      </w:r>
      <w:r w:rsidR="008B2877" w:rsidRPr="00DC621B">
        <w:rPr>
          <w:noProof/>
        </w:rPr>
        <w:t>as part of its efforts to unlock investment in key clean technologies and value chains and increase economy-wide resilience</w:t>
      </w:r>
      <w:r w:rsidR="008B2877" w:rsidRPr="00DC621B">
        <w:rPr>
          <w:noProof/>
          <w:sz w:val="23"/>
          <w:szCs w:val="23"/>
        </w:rPr>
        <w:t>.</w:t>
      </w:r>
    </w:p>
    <w:p w:rsidR="004A6179" w:rsidRPr="00DC621B" w:rsidRDefault="009310F3" w:rsidP="009D744A">
      <w:pPr>
        <w:pStyle w:val="Heading3"/>
        <w:ind w:left="720"/>
        <w:rPr>
          <w:noProof/>
        </w:rPr>
      </w:pPr>
      <w:bookmarkStart w:id="395" w:name="_Toc456356755"/>
      <w:bookmarkStart w:id="396" w:name="_Toc456356758"/>
      <w:bookmarkStart w:id="397" w:name="_Toc456356766"/>
      <w:bookmarkStart w:id="398" w:name="_Toc76743543"/>
      <w:bookmarkStart w:id="399" w:name="_Toc77590804"/>
      <w:bookmarkStart w:id="400" w:name="_Toc77600962"/>
      <w:bookmarkStart w:id="401" w:name="_Toc77682220"/>
      <w:bookmarkStart w:id="402" w:name="_Toc89688265"/>
      <w:bookmarkStart w:id="403" w:name="_Toc89882328"/>
      <w:bookmarkStart w:id="404" w:name="_Toc455148844"/>
      <w:bookmarkStart w:id="405" w:name="_Toc455156729"/>
      <w:bookmarkStart w:id="406" w:name="_Toc455156885"/>
      <w:bookmarkStart w:id="407" w:name="_Toc455160055"/>
      <w:bookmarkStart w:id="408" w:name="_Toc455134320"/>
      <w:bookmarkStart w:id="409" w:name="_Toc456772829"/>
      <w:bookmarkEnd w:id="395"/>
      <w:bookmarkEnd w:id="396"/>
      <w:bookmarkEnd w:id="397"/>
      <w:r w:rsidRPr="00DC621B">
        <w:rPr>
          <w:noProof/>
        </w:rPr>
        <w:t>The 2009 market de</w:t>
      </w:r>
      <w:r w:rsidR="004A6179" w:rsidRPr="00DC621B">
        <w:rPr>
          <w:noProof/>
        </w:rPr>
        <w:t>sign is not fully adapted to the decarbonisation of our economy …</w:t>
      </w:r>
      <w:bookmarkEnd w:id="398"/>
      <w:bookmarkEnd w:id="399"/>
      <w:bookmarkEnd w:id="400"/>
      <w:bookmarkEnd w:id="401"/>
      <w:bookmarkEnd w:id="402"/>
      <w:bookmarkEnd w:id="403"/>
    </w:p>
    <w:p w:rsidR="00AD67F7" w:rsidRPr="00DC621B" w:rsidRDefault="00AD67F7">
      <w:pPr>
        <w:rPr>
          <w:rFonts w:cstheme="minorBidi"/>
          <w:noProof/>
        </w:rPr>
      </w:pPr>
      <w:r w:rsidRPr="00DC621B">
        <w:rPr>
          <w:rFonts w:cstheme="minorBidi"/>
          <w:noProof/>
        </w:rPr>
        <w:t>Whilst the Third Energy Package applies to all gases that can safely be injected into the gas network, it is not necessarily suited for the decarbonisation of gas</w:t>
      </w:r>
      <w:r w:rsidR="006A0F02" w:rsidRPr="00DC621B">
        <w:rPr>
          <w:rFonts w:cstheme="minorBidi"/>
          <w:noProof/>
        </w:rPr>
        <w:t>es and their local production and i</w:t>
      </w:r>
      <w:r w:rsidRPr="00DC621B">
        <w:rPr>
          <w:rFonts w:cstheme="minorBidi"/>
          <w:noProof/>
        </w:rPr>
        <w:t xml:space="preserve">t neither applies to networks transporting pure hydrogen. </w:t>
      </w:r>
    </w:p>
    <w:p w:rsidR="00AD67F7" w:rsidRPr="00DC621B" w:rsidRDefault="007F7CA8" w:rsidP="796E43CC">
      <w:pPr>
        <w:rPr>
          <w:noProof/>
          <w:szCs w:val="22"/>
        </w:rPr>
      </w:pPr>
      <w:r w:rsidRPr="00DC621B">
        <w:rPr>
          <w:noProof/>
        </w:rPr>
        <w:t>H</w:t>
      </w:r>
      <w:r w:rsidR="00AD67F7" w:rsidRPr="00DC621B">
        <w:rPr>
          <w:noProof/>
        </w:rPr>
        <w:t>ydrogen is generally perceived as a promising energy carrier and feedstock to support the EU’s decarbonisation efforts</w:t>
      </w:r>
      <w:r w:rsidRPr="00DC621B">
        <w:rPr>
          <w:noProof/>
        </w:rPr>
        <w:t xml:space="preserve"> if decarbonised</w:t>
      </w:r>
      <w:r w:rsidR="00AD67F7" w:rsidRPr="00DC621B">
        <w:rPr>
          <w:noProof/>
        </w:rPr>
        <w:t xml:space="preserve">. This is a new development and </w:t>
      </w:r>
      <w:r w:rsidR="00AD67F7" w:rsidRPr="00DC621B">
        <w:rPr>
          <w:b/>
          <w:bCs/>
          <w:noProof/>
        </w:rPr>
        <w:t>significant uncertainties remain as to the actual deployment of clean hydrogen</w:t>
      </w:r>
      <w:r w:rsidR="00AD67F7" w:rsidRPr="00DC621B">
        <w:rPr>
          <w:noProof/>
        </w:rPr>
        <w:t xml:space="preserve"> in terms of production pathways (electrolysis-based vs</w:t>
      </w:r>
      <w:r w:rsidR="00630BD4">
        <w:rPr>
          <w:noProof/>
        </w:rPr>
        <w:t>.</w:t>
      </w:r>
      <w:r w:rsidR="00AD67F7" w:rsidRPr="00DC621B">
        <w:rPr>
          <w:noProof/>
        </w:rPr>
        <w:t xml:space="preserve"> gas-based</w:t>
      </w:r>
      <w:r w:rsidR="004F47F0" w:rsidRPr="00DC621B">
        <w:rPr>
          <w:noProof/>
        </w:rPr>
        <w:t xml:space="preserve"> with carbon capture and storage or usage technologies</w:t>
      </w:r>
      <w:r w:rsidR="00AD67F7" w:rsidRPr="00DC621B">
        <w:rPr>
          <w:noProof/>
        </w:rPr>
        <w:t>), geographical location of hydrogen production, sectors and geographical location of hydrogen consumption, and the predominant means of its transportation (pipelines, ships</w:t>
      </w:r>
      <w:r w:rsidR="007609F2" w:rsidRPr="00DC621B">
        <w:rPr>
          <w:noProof/>
        </w:rPr>
        <w:t>, etc).</w:t>
      </w:r>
    </w:p>
    <w:p w:rsidR="00AD67F7" w:rsidRPr="00DC621B" w:rsidRDefault="00902F0D" w:rsidP="00820E55">
      <w:pPr>
        <w:rPr>
          <w:noProof/>
          <w:szCs w:val="22"/>
        </w:rPr>
      </w:pPr>
      <w:r w:rsidRPr="00DC621B">
        <w:rPr>
          <w:noProof/>
        </w:rPr>
        <w:t>Although</w:t>
      </w:r>
      <w:r w:rsidR="00AD67F7" w:rsidRPr="00DC621B">
        <w:rPr>
          <w:noProof/>
        </w:rPr>
        <w:t xml:space="preserve"> no </w:t>
      </w:r>
      <w:r w:rsidR="00BD6112" w:rsidRPr="00DC621B">
        <w:rPr>
          <w:noProof/>
        </w:rPr>
        <w:t>developed</w:t>
      </w:r>
      <w:r w:rsidR="00AD67F7" w:rsidRPr="00DC621B">
        <w:rPr>
          <w:noProof/>
        </w:rPr>
        <w:t xml:space="preserve"> hydrogen market exists </w:t>
      </w:r>
      <w:r w:rsidR="00F41EFF" w:rsidRPr="00DC621B">
        <w:rPr>
          <w:noProof/>
        </w:rPr>
        <w:t xml:space="preserve">yet </w:t>
      </w:r>
      <w:r w:rsidR="00AD67F7" w:rsidRPr="00DC621B">
        <w:rPr>
          <w:noProof/>
        </w:rPr>
        <w:t>in Europe</w:t>
      </w:r>
      <w:r w:rsidR="005E7D42" w:rsidRPr="00DC621B">
        <w:rPr>
          <w:noProof/>
        </w:rPr>
        <w:t>,</w:t>
      </w:r>
      <w:r w:rsidR="00AD67F7" w:rsidRPr="00DC621B">
        <w:rPr>
          <w:noProof/>
        </w:rPr>
        <w:t xml:space="preserve"> </w:t>
      </w:r>
      <w:r w:rsidRPr="00DC621B">
        <w:rPr>
          <w:noProof/>
        </w:rPr>
        <w:t>w</w:t>
      </w:r>
      <w:r w:rsidR="00AD67F7" w:rsidRPr="00DC621B">
        <w:rPr>
          <w:noProof/>
        </w:rPr>
        <w:t xml:space="preserve">orking on a transparent, contestable market framework based on clear rules is expected to be beneficial already at </w:t>
      </w:r>
      <w:r w:rsidRPr="00DC621B">
        <w:rPr>
          <w:noProof/>
        </w:rPr>
        <w:t xml:space="preserve">an </w:t>
      </w:r>
      <w:r w:rsidR="00AD67F7" w:rsidRPr="00DC621B">
        <w:rPr>
          <w:noProof/>
        </w:rPr>
        <w:t xml:space="preserve">early stage </w:t>
      </w:r>
      <w:r w:rsidRPr="00DC621B">
        <w:rPr>
          <w:noProof/>
        </w:rPr>
        <w:t>of development. This is because</w:t>
      </w:r>
      <w:r w:rsidR="00AD67F7" w:rsidRPr="00DC621B">
        <w:rPr>
          <w:noProof/>
        </w:rPr>
        <w:t xml:space="preserve">: </w:t>
      </w:r>
    </w:p>
    <w:p w:rsidR="00AD67F7" w:rsidRPr="00DC621B" w:rsidRDefault="00620F18" w:rsidP="009D744A">
      <w:pPr>
        <w:pStyle w:val="ListParagraph"/>
        <w:numPr>
          <w:ilvl w:val="0"/>
          <w:numId w:val="376"/>
        </w:numPr>
        <w:spacing w:after="0"/>
        <w:rPr>
          <w:noProof/>
        </w:rPr>
      </w:pPr>
      <w:r>
        <w:rPr>
          <w:noProof/>
        </w:rPr>
        <w:t>a</w:t>
      </w:r>
      <w:r w:rsidR="00AD67F7" w:rsidRPr="00DC621B">
        <w:rPr>
          <w:noProof/>
        </w:rPr>
        <w:t>ll decarbonisation scenarios show that clean hydrogen, in particular renewable, will play an important role in the not too distant future</w:t>
      </w:r>
      <w:r w:rsidR="00AD67F7" w:rsidRPr="00DC621B">
        <w:rPr>
          <w:rStyle w:val="FootnoteReference"/>
          <w:noProof/>
        </w:rPr>
        <w:footnoteReference w:id="164"/>
      </w:r>
      <w:r w:rsidR="00AD67F7" w:rsidRPr="00DC621B">
        <w:rPr>
          <w:noProof/>
        </w:rPr>
        <w:t xml:space="preserve"> – it is thus not a question of whether but a question of when precisely this will happen;</w:t>
      </w:r>
    </w:p>
    <w:p w:rsidR="00AD67F7" w:rsidRPr="00DC621B" w:rsidRDefault="00620F18" w:rsidP="009D744A">
      <w:pPr>
        <w:pStyle w:val="ListParagraph"/>
        <w:numPr>
          <w:ilvl w:val="0"/>
          <w:numId w:val="376"/>
        </w:numPr>
        <w:spacing w:after="0"/>
        <w:rPr>
          <w:noProof/>
        </w:rPr>
      </w:pPr>
      <w:r>
        <w:rPr>
          <w:noProof/>
        </w:rPr>
        <w:t>i</w:t>
      </w:r>
      <w:r w:rsidR="00AD67F7" w:rsidRPr="00DC621B">
        <w:rPr>
          <w:noProof/>
        </w:rPr>
        <w:t>nvestment decisions are expected to be taken in the years towards 2030; national strategies including on clean hydrogen are currently being developed and Member States are looking to the Commission for guidance</w:t>
      </w:r>
      <w:r w:rsidR="00AD67F7" w:rsidRPr="00DC621B">
        <w:rPr>
          <w:rStyle w:val="FootnoteReference"/>
          <w:noProof/>
        </w:rPr>
        <w:footnoteReference w:id="165"/>
      </w:r>
      <w:r w:rsidR="00C542FC">
        <w:rPr>
          <w:noProof/>
        </w:rPr>
        <w:t>;</w:t>
      </w:r>
      <w:r w:rsidR="00AD67F7" w:rsidRPr="00DC621B">
        <w:rPr>
          <w:noProof/>
        </w:rPr>
        <w:t xml:space="preserve"> </w:t>
      </w:r>
    </w:p>
    <w:p w:rsidR="00AD67F7" w:rsidRPr="00DC621B" w:rsidRDefault="00620F18" w:rsidP="009D744A">
      <w:pPr>
        <w:pStyle w:val="ListParagraph"/>
        <w:numPr>
          <w:ilvl w:val="0"/>
          <w:numId w:val="376"/>
        </w:numPr>
        <w:spacing w:after="0"/>
        <w:rPr>
          <w:noProof/>
        </w:rPr>
      </w:pPr>
      <w:r>
        <w:rPr>
          <w:noProof/>
        </w:rPr>
        <w:t>s</w:t>
      </w:r>
      <w:r w:rsidR="00AD67F7" w:rsidRPr="00DC621B">
        <w:rPr>
          <w:noProof/>
        </w:rPr>
        <w:t>etting the principles and objectives of regulation early on provides for investment security;</w:t>
      </w:r>
    </w:p>
    <w:p w:rsidR="00AD67F7" w:rsidRPr="00DC621B" w:rsidRDefault="00620F18" w:rsidP="009D744A">
      <w:pPr>
        <w:pStyle w:val="ListParagraph"/>
        <w:numPr>
          <w:ilvl w:val="0"/>
          <w:numId w:val="376"/>
        </w:numPr>
        <w:spacing w:after="0"/>
        <w:rPr>
          <w:noProof/>
        </w:rPr>
      </w:pPr>
      <w:r>
        <w:rPr>
          <w:noProof/>
        </w:rPr>
        <w:t>t</w:t>
      </w:r>
      <w:r w:rsidR="00AD67F7" w:rsidRPr="00DC621B">
        <w:rPr>
          <w:noProof/>
        </w:rPr>
        <w:t xml:space="preserve">he draft </w:t>
      </w:r>
      <w:r w:rsidR="009F1EC6">
        <w:rPr>
          <w:noProof/>
        </w:rPr>
        <w:t>‘</w:t>
      </w:r>
      <w:r w:rsidR="00AD67F7" w:rsidRPr="00D646E3">
        <w:rPr>
          <w:noProof/>
        </w:rPr>
        <w:t xml:space="preserve">EU Hydrogen Strategy for </w:t>
      </w:r>
      <w:r w:rsidR="00AD67F7" w:rsidRPr="009D744A">
        <w:rPr>
          <w:iCs/>
          <w:noProof/>
        </w:rPr>
        <w:t>a climate-neutral economy</w:t>
      </w:r>
      <w:r w:rsidR="009F1EC6" w:rsidRPr="009D744A">
        <w:rPr>
          <w:iCs/>
          <w:noProof/>
        </w:rPr>
        <w:t>’</w:t>
      </w:r>
      <w:r w:rsidR="00AD67F7" w:rsidRPr="009F1EC6">
        <w:rPr>
          <w:noProof/>
        </w:rPr>
        <w:t xml:space="preserve"> recognises</w:t>
      </w:r>
      <w:r w:rsidR="00AD67F7" w:rsidRPr="00DC621B">
        <w:rPr>
          <w:noProof/>
        </w:rPr>
        <w:t xml:space="preserve"> the need for planning </w:t>
      </w:r>
      <w:r w:rsidR="00B30C81" w:rsidRPr="00DC621B">
        <w:rPr>
          <w:noProof/>
        </w:rPr>
        <w:t>transportation</w:t>
      </w:r>
      <w:r w:rsidR="00AD67F7" w:rsidRPr="00DC621B">
        <w:rPr>
          <w:noProof/>
        </w:rPr>
        <w:t xml:space="preserve"> infrastructure already in the first phase of building a hydrogen economy i.e. before 2025 and the first availability of this infrastructure already in the second phase i.e. between 2025 and 2030</w:t>
      </w:r>
      <w:r w:rsidR="00AD67F7" w:rsidRPr="00DC621B">
        <w:rPr>
          <w:rStyle w:val="FootnoteReference"/>
          <w:noProof/>
        </w:rPr>
        <w:footnoteReference w:id="166"/>
      </w:r>
      <w:r w:rsidR="00C542FC">
        <w:rPr>
          <w:noProof/>
        </w:rPr>
        <w:t>;</w:t>
      </w:r>
    </w:p>
    <w:p w:rsidR="00C661AC" w:rsidRPr="00DC621B" w:rsidRDefault="00620F18" w:rsidP="009D744A">
      <w:pPr>
        <w:pStyle w:val="ListParagraph"/>
        <w:numPr>
          <w:ilvl w:val="0"/>
          <w:numId w:val="376"/>
        </w:numPr>
        <w:spacing w:after="0"/>
        <w:rPr>
          <w:noProof/>
        </w:rPr>
      </w:pPr>
      <w:r>
        <w:rPr>
          <w:noProof/>
        </w:rPr>
        <w:t>t</w:t>
      </w:r>
      <w:r w:rsidR="00AD67F7" w:rsidRPr="00DC621B">
        <w:rPr>
          <w:noProof/>
        </w:rPr>
        <w:t xml:space="preserve">he use of pipelines </w:t>
      </w:r>
      <w:r w:rsidR="00BD6112" w:rsidRPr="00DC621B">
        <w:rPr>
          <w:noProof/>
        </w:rPr>
        <w:t xml:space="preserve">and possibly other type of </w:t>
      </w:r>
      <w:r w:rsidR="00B30C81" w:rsidRPr="00DC621B">
        <w:rPr>
          <w:noProof/>
        </w:rPr>
        <w:t xml:space="preserve">hydrogen </w:t>
      </w:r>
      <w:r w:rsidR="00BD6112" w:rsidRPr="00DC621B">
        <w:rPr>
          <w:noProof/>
        </w:rPr>
        <w:t xml:space="preserve">infrastructure such as large scale storage and import terminals, </w:t>
      </w:r>
      <w:r w:rsidR="00AD67F7" w:rsidRPr="00DC621B">
        <w:rPr>
          <w:noProof/>
        </w:rPr>
        <w:t>requires rules securing competition</w:t>
      </w:r>
      <w:r w:rsidR="00AD67F7" w:rsidRPr="00DC621B">
        <w:rPr>
          <w:rStyle w:val="FootnoteReference"/>
          <w:noProof/>
        </w:rPr>
        <w:footnoteReference w:id="167"/>
      </w:r>
      <w:r w:rsidR="00AD67F7" w:rsidRPr="00DC621B">
        <w:rPr>
          <w:noProof/>
        </w:rPr>
        <w:t xml:space="preserve"> as they </w:t>
      </w:r>
      <w:r w:rsidR="00B30C81" w:rsidRPr="00DC621B">
        <w:rPr>
          <w:noProof/>
        </w:rPr>
        <w:t xml:space="preserve">can </w:t>
      </w:r>
      <w:r w:rsidR="00AD67F7" w:rsidRPr="00DC621B">
        <w:rPr>
          <w:noProof/>
        </w:rPr>
        <w:t xml:space="preserve">constitute a natural monopoly; setting basic rules now can avoid the costly ex-post interventions that were needed in the gas and electricity markets; </w:t>
      </w:r>
    </w:p>
    <w:p w:rsidR="00C661AC" w:rsidRPr="00DC621B" w:rsidRDefault="00620F18" w:rsidP="009D744A">
      <w:pPr>
        <w:pStyle w:val="ListParagraph"/>
        <w:numPr>
          <w:ilvl w:val="0"/>
          <w:numId w:val="376"/>
        </w:numPr>
        <w:contextualSpacing w:val="0"/>
        <w:rPr>
          <w:noProof/>
        </w:rPr>
      </w:pPr>
      <w:r>
        <w:rPr>
          <w:noProof/>
        </w:rPr>
        <w:t>i</w:t>
      </w:r>
      <w:r w:rsidR="00AD67F7" w:rsidRPr="00DC621B">
        <w:rPr>
          <w:noProof/>
        </w:rPr>
        <w:t xml:space="preserve">f the Commission proposes rules for a regulatory framework on clean hydrogen </w:t>
      </w:r>
      <w:r w:rsidR="003B468A" w:rsidRPr="00DC621B">
        <w:rPr>
          <w:noProof/>
        </w:rPr>
        <w:t xml:space="preserve">late </w:t>
      </w:r>
      <w:r w:rsidR="00AD67F7" w:rsidRPr="00DC621B">
        <w:rPr>
          <w:noProof/>
        </w:rPr>
        <w:t xml:space="preserve">2021 at the earliest, usually such rules could be expected to become binding in Member States not earlier than 2024/2025, i.e. at the start of phase 2 and when important investment decision to prepare this phase need to have been taken already. </w:t>
      </w:r>
    </w:p>
    <w:p w:rsidR="00AD67F7" w:rsidRPr="00DC621B" w:rsidRDefault="00405621" w:rsidP="796E43CC">
      <w:pPr>
        <w:rPr>
          <w:noProof/>
          <w:szCs w:val="22"/>
        </w:rPr>
      </w:pPr>
      <w:r w:rsidRPr="00DC621B">
        <w:rPr>
          <w:noProof/>
        </w:rPr>
        <w:t xml:space="preserve">Important developments are also expected for </w:t>
      </w:r>
      <w:r w:rsidR="003B468A" w:rsidRPr="00DC621B">
        <w:rPr>
          <w:noProof/>
        </w:rPr>
        <w:t xml:space="preserve">other </w:t>
      </w:r>
      <w:r w:rsidRPr="00DC621B">
        <w:rPr>
          <w:b/>
          <w:bCs/>
          <w:noProof/>
        </w:rPr>
        <w:t>renewable gases</w:t>
      </w:r>
      <w:r w:rsidRPr="00DC621B">
        <w:rPr>
          <w:noProof/>
        </w:rPr>
        <w:t xml:space="preserve">. </w:t>
      </w:r>
      <w:r w:rsidR="00AD67F7" w:rsidRPr="00DC621B">
        <w:rPr>
          <w:noProof/>
        </w:rPr>
        <w:t xml:space="preserve">The most significant production of renewable gases in the EU </w:t>
      </w:r>
      <w:r w:rsidR="003F389C" w:rsidRPr="00DC621B">
        <w:rPr>
          <w:noProof/>
        </w:rPr>
        <w:t xml:space="preserve">is currently </w:t>
      </w:r>
      <w:r w:rsidR="00F64977" w:rsidRPr="00DC621B">
        <w:rPr>
          <w:noProof/>
        </w:rPr>
        <w:t xml:space="preserve">provided by </w:t>
      </w:r>
      <w:r w:rsidR="00AD67F7" w:rsidRPr="00DC621B">
        <w:rPr>
          <w:noProof/>
        </w:rPr>
        <w:t>biogas and biomethane</w:t>
      </w:r>
      <w:r w:rsidR="00AD67F7" w:rsidRPr="00DC621B">
        <w:rPr>
          <w:rStyle w:val="FootnoteReference"/>
          <w:noProof/>
        </w:rPr>
        <w:footnoteReference w:id="168"/>
      </w:r>
      <w:r w:rsidR="00AD67F7" w:rsidRPr="00DC621B">
        <w:rPr>
          <w:noProof/>
        </w:rPr>
        <w:t xml:space="preserve"> with some 17 bcm annually</w:t>
      </w:r>
      <w:r w:rsidR="007F1AF8" w:rsidRPr="00DC621B">
        <w:rPr>
          <w:noProof/>
        </w:rPr>
        <w:t xml:space="preserve"> (against around 400 bcm of total market)</w:t>
      </w:r>
      <w:r w:rsidR="00AD67F7" w:rsidRPr="00DC621B">
        <w:rPr>
          <w:noProof/>
        </w:rPr>
        <w:t xml:space="preserve">. There were </w:t>
      </w:r>
      <w:r w:rsidR="00BF1A4F" w:rsidRPr="00DC621B">
        <w:rPr>
          <w:noProof/>
        </w:rPr>
        <w:t>16</w:t>
      </w:r>
      <w:r w:rsidR="00D077A0">
        <w:rPr>
          <w:noProof/>
        </w:rPr>
        <w:t> </w:t>
      </w:r>
      <w:r w:rsidR="00BF1A4F" w:rsidRPr="00DC621B">
        <w:rPr>
          <w:noProof/>
        </w:rPr>
        <w:t>859</w:t>
      </w:r>
      <w:r w:rsidR="00AD67F7" w:rsidRPr="00DC621B">
        <w:rPr>
          <w:noProof/>
        </w:rPr>
        <w:t xml:space="preserve"> biogas installations in 201</w:t>
      </w:r>
      <w:r w:rsidR="00BF1A4F" w:rsidRPr="00DC621B">
        <w:rPr>
          <w:noProof/>
        </w:rPr>
        <w:t>9</w:t>
      </w:r>
      <w:r w:rsidR="00AD67F7" w:rsidRPr="00DC621B">
        <w:rPr>
          <w:rStyle w:val="FootnoteReference"/>
          <w:noProof/>
        </w:rPr>
        <w:footnoteReference w:id="169"/>
      </w:r>
      <w:r w:rsidR="00AD67F7" w:rsidRPr="00DC621B">
        <w:rPr>
          <w:noProof/>
        </w:rPr>
        <w:t xml:space="preserve"> and currently some 5</w:t>
      </w:r>
      <w:r w:rsidR="00BF1A4F" w:rsidRPr="00DC621B">
        <w:rPr>
          <w:noProof/>
        </w:rPr>
        <w:t>5</w:t>
      </w:r>
      <w:r w:rsidR="00AD67F7" w:rsidRPr="00DC621B">
        <w:rPr>
          <w:noProof/>
        </w:rPr>
        <w:t xml:space="preserve">0 biomethane plants in the EU are connected to the gas grid. Biogas is mainly used </w:t>
      </w:r>
      <w:r w:rsidR="00C54FB0" w:rsidRPr="00DC621B">
        <w:rPr>
          <w:noProof/>
        </w:rPr>
        <w:t xml:space="preserve">today </w:t>
      </w:r>
      <w:r w:rsidR="00AD67F7" w:rsidRPr="00DC621B">
        <w:rPr>
          <w:noProof/>
        </w:rPr>
        <w:t>for producing electricity and heat supported by support schemes</w:t>
      </w:r>
      <w:r w:rsidR="00AD67F7" w:rsidRPr="00DC621B">
        <w:rPr>
          <w:rStyle w:val="FootnoteReference"/>
          <w:noProof/>
        </w:rPr>
        <w:footnoteReference w:id="170"/>
      </w:r>
      <w:r w:rsidR="00C542FC">
        <w:rPr>
          <w:noProof/>
        </w:rPr>
        <w:t>.</w:t>
      </w:r>
      <w:r w:rsidR="00AD67F7" w:rsidRPr="00DC621B">
        <w:rPr>
          <w:noProof/>
        </w:rPr>
        <w:t xml:space="preserve"> </w:t>
      </w:r>
      <w:r w:rsidR="00C54FB0" w:rsidRPr="00DC621B">
        <w:rPr>
          <w:noProof/>
        </w:rPr>
        <w:t>However</w:t>
      </w:r>
      <w:r w:rsidR="00AD67F7" w:rsidRPr="00DC621B">
        <w:rPr>
          <w:noProof/>
        </w:rPr>
        <w:t xml:space="preserve">, </w:t>
      </w:r>
      <w:r w:rsidR="00E721F9" w:rsidRPr="00DC621B">
        <w:rPr>
          <w:noProof/>
        </w:rPr>
        <w:t xml:space="preserve">once support schemes end, </w:t>
      </w:r>
      <w:r w:rsidR="003D507B" w:rsidRPr="00DC621B">
        <w:rPr>
          <w:noProof/>
        </w:rPr>
        <w:t xml:space="preserve">it is foreseeable that </w:t>
      </w:r>
      <w:r w:rsidR="00AD67F7" w:rsidRPr="00DC621B">
        <w:rPr>
          <w:noProof/>
        </w:rPr>
        <w:t xml:space="preserve">existing biogas plants may decide to invest into upgrading biogas to biomethane </w:t>
      </w:r>
      <w:r w:rsidR="00E721F9" w:rsidRPr="00DC621B">
        <w:rPr>
          <w:noProof/>
        </w:rPr>
        <w:t>for</w:t>
      </w:r>
      <w:r w:rsidR="00AD67F7" w:rsidRPr="00DC621B">
        <w:rPr>
          <w:noProof/>
        </w:rPr>
        <w:t xml:space="preserve"> inject</w:t>
      </w:r>
      <w:r w:rsidR="00E721F9" w:rsidRPr="00DC621B">
        <w:rPr>
          <w:noProof/>
        </w:rPr>
        <w:t>ion</w:t>
      </w:r>
      <w:r w:rsidR="00AD67F7" w:rsidRPr="00DC621B">
        <w:rPr>
          <w:noProof/>
        </w:rPr>
        <w:t xml:space="preserve"> into the gas grid.</w:t>
      </w:r>
      <w:r w:rsidR="00AD67F7" w:rsidRPr="00DC621B">
        <w:rPr>
          <w:rStyle w:val="FootnoteReference"/>
          <w:noProof/>
        </w:rPr>
        <w:footnoteReference w:id="171"/>
      </w:r>
      <w:r w:rsidR="00AD67F7" w:rsidRPr="00DC621B">
        <w:rPr>
          <w:noProof/>
          <w:sz w:val="28"/>
          <w:szCs w:val="28"/>
        </w:rPr>
        <w:t xml:space="preserve"> </w:t>
      </w:r>
    </w:p>
    <w:p w:rsidR="00AD67F7" w:rsidRPr="00DC621B" w:rsidRDefault="00AD67F7" w:rsidP="001505F8">
      <w:pPr>
        <w:rPr>
          <w:noProof/>
          <w:szCs w:val="22"/>
        </w:rPr>
      </w:pPr>
      <w:r w:rsidRPr="00DC621B">
        <w:rPr>
          <w:noProof/>
        </w:rPr>
        <w:t xml:space="preserve">Investments in new plants are expected to increase biogas and biomethane production significantly. Estimates range from 33 </w:t>
      </w:r>
      <w:r w:rsidR="00E721F9" w:rsidRPr="00DC621B">
        <w:rPr>
          <w:noProof/>
        </w:rPr>
        <w:t xml:space="preserve">to </w:t>
      </w:r>
      <w:r w:rsidRPr="00DC621B">
        <w:rPr>
          <w:noProof/>
        </w:rPr>
        <w:t xml:space="preserve">50 bcm by 2030 and </w:t>
      </w:r>
      <w:r w:rsidRPr="00DC621B" w:rsidDel="00DB2649">
        <w:rPr>
          <w:noProof/>
        </w:rPr>
        <w:t>50</w:t>
      </w:r>
      <w:r w:rsidRPr="00DC621B">
        <w:rPr>
          <w:noProof/>
        </w:rPr>
        <w:t xml:space="preserve"> </w:t>
      </w:r>
      <w:r w:rsidR="00E721F9" w:rsidRPr="00DC621B">
        <w:rPr>
          <w:noProof/>
        </w:rPr>
        <w:t>to</w:t>
      </w:r>
      <w:r w:rsidR="00D077A0">
        <w:rPr>
          <w:noProof/>
        </w:rPr>
        <w:t xml:space="preserve"> </w:t>
      </w:r>
      <w:r w:rsidRPr="00DC621B">
        <w:rPr>
          <w:noProof/>
        </w:rPr>
        <w:t xml:space="preserve">140 bcm </w:t>
      </w:r>
      <w:r w:rsidR="00D077A0">
        <w:rPr>
          <w:noProof/>
        </w:rPr>
        <w:t>by</w:t>
      </w:r>
      <w:r w:rsidR="00D077A0" w:rsidRPr="00DC621B">
        <w:rPr>
          <w:noProof/>
        </w:rPr>
        <w:t xml:space="preserve"> </w:t>
      </w:r>
      <w:r w:rsidRPr="00DC621B">
        <w:rPr>
          <w:noProof/>
        </w:rPr>
        <w:t>2050</w:t>
      </w:r>
      <w:r w:rsidRPr="00DC621B">
        <w:rPr>
          <w:rStyle w:val="FootnoteReference"/>
          <w:noProof/>
        </w:rPr>
        <w:footnoteReference w:id="172"/>
      </w:r>
      <w:r w:rsidR="00C542FC">
        <w:rPr>
          <w:noProof/>
        </w:rPr>
        <w:t>.</w:t>
      </w:r>
      <w:r w:rsidRPr="00DC621B">
        <w:rPr>
          <w:noProof/>
        </w:rPr>
        <w:t xml:space="preserve"> A </w:t>
      </w:r>
      <w:r w:rsidR="00D06E49" w:rsidRPr="00DC621B">
        <w:rPr>
          <w:noProof/>
        </w:rPr>
        <w:t xml:space="preserve">2016 </w:t>
      </w:r>
      <w:r w:rsidRPr="00DC621B">
        <w:rPr>
          <w:noProof/>
        </w:rPr>
        <w:t xml:space="preserve">study </w:t>
      </w:r>
      <w:r w:rsidR="00D06E49" w:rsidRPr="00DC621B">
        <w:rPr>
          <w:noProof/>
        </w:rPr>
        <w:t>by</w:t>
      </w:r>
      <w:r w:rsidRPr="00DC621B">
        <w:rPr>
          <w:noProof/>
        </w:rPr>
        <w:t xml:space="preserve"> DG ENER</w:t>
      </w:r>
      <w:r w:rsidRPr="00DC621B">
        <w:rPr>
          <w:rStyle w:val="FootnoteReference"/>
          <w:noProof/>
        </w:rPr>
        <w:footnoteReference w:id="173"/>
      </w:r>
      <w:r w:rsidRPr="00DC621B">
        <w:rPr>
          <w:noProof/>
        </w:rPr>
        <w:t xml:space="preserve"> found that until 2030 the production of 18 bcm renewable gases could be doubled if the potential </w:t>
      </w:r>
      <w:r w:rsidR="00D06E49" w:rsidRPr="00DC621B">
        <w:rPr>
          <w:noProof/>
        </w:rPr>
        <w:t>is optimally utilized</w:t>
      </w:r>
      <w:r w:rsidRPr="00DC621B">
        <w:rPr>
          <w:noProof/>
        </w:rPr>
        <w:t>. One of the main recommendations of this study for EU regulation was to ensure that EU rules enable biomethane cross-border trade.</w:t>
      </w:r>
    </w:p>
    <w:p w:rsidR="00AD67F7" w:rsidRPr="00DC621B" w:rsidRDefault="00AD67F7" w:rsidP="004036A5">
      <w:pPr>
        <w:rPr>
          <w:noProof/>
          <w:szCs w:val="22"/>
        </w:rPr>
      </w:pPr>
      <w:r w:rsidRPr="00DC621B">
        <w:rPr>
          <w:noProof/>
        </w:rPr>
        <w:t xml:space="preserve">The </w:t>
      </w:r>
      <w:r w:rsidR="00405621" w:rsidRPr="00DC621B">
        <w:rPr>
          <w:noProof/>
        </w:rPr>
        <w:t xml:space="preserve">current gas market design cannot fully accommodate the increasingly important role that renewable gases will play in the </w:t>
      </w:r>
      <w:r w:rsidR="00D06E49" w:rsidRPr="00DC621B">
        <w:rPr>
          <w:noProof/>
        </w:rPr>
        <w:t>system</w:t>
      </w:r>
      <w:r w:rsidR="00405621" w:rsidRPr="00DC621B">
        <w:rPr>
          <w:noProof/>
        </w:rPr>
        <w:t xml:space="preserve">. The </w:t>
      </w:r>
      <w:r w:rsidRPr="00DC621B">
        <w:rPr>
          <w:noProof/>
        </w:rPr>
        <w:t xml:space="preserve">vast majority of today’s biomethane plants are connected at the distribution level without the possibility to inject gas from the distribution to the transmission level. As distribution grids have limited possibilities for physical balancing, in practice, an injection at the distribution level requires consumption by consumers connected to that local grid. In cases of high over-supply at distribution level and lack of arrangements between DSOs and TSOs allowing </w:t>
      </w:r>
      <w:r w:rsidR="00C542FC">
        <w:rPr>
          <w:noProof/>
        </w:rPr>
        <w:t>‘</w:t>
      </w:r>
      <w:r w:rsidRPr="00DC621B">
        <w:rPr>
          <w:noProof/>
        </w:rPr>
        <w:t>virtual</w:t>
      </w:r>
      <w:r w:rsidR="00C542FC">
        <w:rPr>
          <w:noProof/>
        </w:rPr>
        <w:t>’</w:t>
      </w:r>
      <w:r w:rsidRPr="00DC621B">
        <w:rPr>
          <w:noProof/>
        </w:rPr>
        <w:t xml:space="preserve"> trade, biomethane producers are deprived </w:t>
      </w:r>
      <w:r w:rsidR="00675D1D" w:rsidRPr="00DC621B">
        <w:rPr>
          <w:noProof/>
        </w:rPr>
        <w:t xml:space="preserve">of </w:t>
      </w:r>
      <w:r w:rsidRPr="00DC621B">
        <w:rPr>
          <w:noProof/>
        </w:rPr>
        <w:t xml:space="preserve">access to wholesale markets and cross-border trade. This distorts the level playing field vis-à-vis other gas producers and is a barrier to scaling up renewable gas production. </w:t>
      </w:r>
    </w:p>
    <w:p w:rsidR="009310F3" w:rsidRPr="00DC621B" w:rsidRDefault="004A6179" w:rsidP="009D744A">
      <w:pPr>
        <w:pStyle w:val="Heading3"/>
        <w:ind w:left="720"/>
        <w:rPr>
          <w:noProof/>
        </w:rPr>
      </w:pPr>
      <w:bookmarkStart w:id="410" w:name="_Toc76743544"/>
      <w:bookmarkStart w:id="411" w:name="_Toc77590805"/>
      <w:bookmarkStart w:id="412" w:name="_Toc77600963"/>
      <w:bookmarkStart w:id="413" w:name="_Toc77682221"/>
      <w:bookmarkStart w:id="414" w:name="_Toc89688266"/>
      <w:bookmarkStart w:id="415" w:name="_Toc89882329"/>
      <w:r w:rsidRPr="00DC621B">
        <w:rPr>
          <w:noProof/>
        </w:rPr>
        <w:t xml:space="preserve">…nor to changing </w:t>
      </w:r>
      <w:r w:rsidR="009310F3" w:rsidRPr="00DC621B">
        <w:rPr>
          <w:noProof/>
        </w:rPr>
        <w:t>market realit</w:t>
      </w:r>
      <w:bookmarkEnd w:id="404"/>
      <w:bookmarkEnd w:id="405"/>
      <w:bookmarkEnd w:id="406"/>
      <w:bookmarkEnd w:id="407"/>
      <w:r w:rsidR="009310F3" w:rsidRPr="00DC621B">
        <w:rPr>
          <w:noProof/>
        </w:rPr>
        <w:t>ies</w:t>
      </w:r>
      <w:bookmarkStart w:id="416" w:name="_Toc454961059"/>
      <w:bookmarkStart w:id="417" w:name="_Toc455148846"/>
      <w:bookmarkStart w:id="418" w:name="_Toc455156731"/>
      <w:bookmarkStart w:id="419" w:name="_Toc455156887"/>
      <w:bookmarkStart w:id="420" w:name="_Toc455160057"/>
      <w:bookmarkEnd w:id="408"/>
      <w:bookmarkEnd w:id="409"/>
      <w:bookmarkEnd w:id="410"/>
      <w:bookmarkEnd w:id="411"/>
      <w:bookmarkEnd w:id="412"/>
      <w:bookmarkEnd w:id="413"/>
      <w:bookmarkEnd w:id="414"/>
      <w:bookmarkEnd w:id="415"/>
      <w:bookmarkEnd w:id="416"/>
      <w:bookmarkEnd w:id="417"/>
      <w:bookmarkEnd w:id="418"/>
      <w:bookmarkEnd w:id="419"/>
      <w:bookmarkEnd w:id="420"/>
    </w:p>
    <w:p w:rsidR="007F5A9B" w:rsidRDefault="007F5A9B">
      <w:pPr>
        <w:rPr>
          <w:rFonts w:cstheme="minorBidi"/>
          <w:noProof/>
        </w:rPr>
      </w:pPr>
      <w:r w:rsidRPr="00DC621B">
        <w:rPr>
          <w:rFonts w:cstheme="minorBidi"/>
          <w:noProof/>
        </w:rPr>
        <w:t>Decarbonisation of the gas sector will need to happen across Member States. In this process, both fuel switching and the development of renewable and decarbonised gases could benefit from a pooling of supply and demand beyond existing market areas. Particularly for the upscaling of renewable and decarbonised gas production, larger market areas provide better conditions because they allow the exploitation of economies of scale through easier trading and access to a larger consumer base.</w:t>
      </w:r>
      <w:r w:rsidR="004F47F0" w:rsidRPr="00DC621B">
        <w:rPr>
          <w:rFonts w:cstheme="minorBidi"/>
          <w:noProof/>
        </w:rPr>
        <w:t xml:space="preserve"> Additionally, overall gas demand is expected to decrease, which requires a larger area to be covered</w:t>
      </w:r>
      <w:r w:rsidR="00ED6FA0" w:rsidRPr="00DC621B">
        <w:rPr>
          <w:rFonts w:cstheme="minorBidi"/>
          <w:noProof/>
        </w:rPr>
        <w:t xml:space="preserve"> to reach comparable demand supporting a liquid market</w:t>
      </w:r>
      <w:r w:rsidR="004F47F0" w:rsidRPr="00DC621B">
        <w:rPr>
          <w:rFonts w:cstheme="minorBidi"/>
          <w:noProof/>
        </w:rPr>
        <w:t xml:space="preserve">. </w:t>
      </w:r>
    </w:p>
    <w:p w:rsidR="00A82D61" w:rsidRPr="00DC621B" w:rsidRDefault="00357D4D" w:rsidP="00D646E3">
      <w:pPr>
        <w:rPr>
          <w:b/>
          <w:bCs/>
          <w:noProof/>
        </w:rPr>
      </w:pPr>
      <w:r w:rsidRPr="00D646E3">
        <w:rPr>
          <w:rFonts w:cstheme="minorBidi"/>
          <w:b/>
          <w:i/>
          <w:noProof/>
        </w:rPr>
        <w:t>Gas quality management</w:t>
      </w:r>
    </w:p>
    <w:p w:rsidR="007F5A9B" w:rsidRPr="00DC621B" w:rsidRDefault="00512CF3">
      <w:pPr>
        <w:rPr>
          <w:rFonts w:cstheme="minorBidi"/>
          <w:noProof/>
        </w:rPr>
      </w:pPr>
      <w:r w:rsidRPr="00DC621B">
        <w:rPr>
          <w:rFonts w:cstheme="minorBidi"/>
          <w:noProof/>
        </w:rPr>
        <w:t>In the current framework,</w:t>
      </w:r>
      <w:r w:rsidRPr="00DC621B">
        <w:rPr>
          <w:rFonts w:cstheme="minorBidi"/>
          <w:b/>
          <w:bCs/>
          <w:noProof/>
        </w:rPr>
        <w:t xml:space="preserve"> </w:t>
      </w:r>
      <w:r w:rsidR="00D96431" w:rsidRPr="00DC621B">
        <w:rPr>
          <w:rFonts w:cstheme="minorBidi"/>
          <w:b/>
          <w:bCs/>
          <w:noProof/>
        </w:rPr>
        <w:t>g</w:t>
      </w:r>
      <w:r w:rsidR="007F5A9B" w:rsidRPr="00DC621B">
        <w:rPr>
          <w:rFonts w:cstheme="minorBidi"/>
          <w:b/>
          <w:bCs/>
          <w:noProof/>
        </w:rPr>
        <w:t>as quality standards</w:t>
      </w:r>
      <w:r w:rsidR="007F5A9B" w:rsidRPr="00DC621B">
        <w:rPr>
          <w:rFonts w:cstheme="minorBidi"/>
          <w:noProof/>
        </w:rPr>
        <w:t xml:space="preserve"> are not binding on EU-wide scale and therefore gas quality differences can be a barrier to (cross-border) trade. Injection of growing volumes of decarbonised gases, in particular biogas and the blending of hydrogen into the </w:t>
      </w:r>
      <w:r w:rsidR="003F530B" w:rsidRPr="00DC621B">
        <w:rPr>
          <w:rFonts w:cstheme="minorBidi"/>
          <w:noProof/>
        </w:rPr>
        <w:t xml:space="preserve">existing </w:t>
      </w:r>
      <w:r w:rsidR="007F5A9B" w:rsidRPr="00DC621B">
        <w:rPr>
          <w:rFonts w:cstheme="minorBidi"/>
          <w:noProof/>
        </w:rPr>
        <w:t>gas network as well as further diversification of supply sources, including LNG, will change the quality of gas consumed in Europe</w:t>
      </w:r>
      <w:r w:rsidR="003D507B" w:rsidRPr="00DC621B">
        <w:rPr>
          <w:rFonts w:cstheme="minorBidi"/>
          <w:noProof/>
        </w:rPr>
        <w:t>. This</w:t>
      </w:r>
      <w:r w:rsidR="007F5A9B" w:rsidRPr="00DC621B">
        <w:rPr>
          <w:rFonts w:cstheme="minorBidi"/>
          <w:noProof/>
        </w:rPr>
        <w:t xml:space="preserve"> </w:t>
      </w:r>
      <w:r w:rsidR="003C0441" w:rsidRPr="00DC621B">
        <w:rPr>
          <w:rFonts w:cstheme="minorBidi"/>
          <w:noProof/>
        </w:rPr>
        <w:t xml:space="preserve">will </w:t>
      </w:r>
      <w:r w:rsidR="003D507B" w:rsidRPr="00DC621B">
        <w:rPr>
          <w:rFonts w:cstheme="minorBidi"/>
          <w:noProof/>
        </w:rPr>
        <w:t xml:space="preserve">affect </w:t>
      </w:r>
      <w:r w:rsidR="007F5A9B" w:rsidRPr="00DC621B">
        <w:rPr>
          <w:rFonts w:cstheme="minorBidi"/>
          <w:noProof/>
        </w:rPr>
        <w:t>the design of gas infrastructure and end-user applications, as well as industrial processes using gas as feedstock.</w:t>
      </w:r>
    </w:p>
    <w:p w:rsidR="007F5A9B" w:rsidRPr="00DC621B" w:rsidRDefault="007F5A9B">
      <w:pPr>
        <w:rPr>
          <w:rFonts w:cstheme="minorBidi"/>
          <w:noProof/>
        </w:rPr>
      </w:pPr>
      <w:r w:rsidRPr="00DC621B">
        <w:rPr>
          <w:rFonts w:cstheme="minorBidi"/>
          <w:noProof/>
        </w:rPr>
        <w:t xml:space="preserve">Such changes have important repercussions on the role and responsibilities of different actors (e.g. system operators, producers and network users) along the value chain in measuring, managing, and ensuring gas quality. </w:t>
      </w:r>
      <w:r w:rsidR="00D75EEC" w:rsidRPr="00DC621B">
        <w:rPr>
          <w:rFonts w:cstheme="minorBidi"/>
          <w:noProof/>
        </w:rPr>
        <w:t>At present</w:t>
      </w:r>
      <w:r w:rsidRPr="00DC621B">
        <w:rPr>
          <w:rFonts w:cstheme="minorBidi"/>
          <w:noProof/>
        </w:rPr>
        <w:t xml:space="preserve">, the </w:t>
      </w:r>
      <w:r w:rsidR="00D75150" w:rsidRPr="00DC621B">
        <w:rPr>
          <w:rFonts w:cstheme="minorBidi"/>
          <w:noProof/>
        </w:rPr>
        <w:t>process to manage cross-border restrictions due to gas quality differences</w:t>
      </w:r>
      <w:r w:rsidR="00D75150" w:rsidRPr="00DC621B">
        <w:rPr>
          <w:rStyle w:val="FootnoteReference"/>
          <w:rFonts w:cstheme="minorBidi"/>
          <w:noProof/>
        </w:rPr>
        <w:footnoteReference w:id="174"/>
      </w:r>
      <w:r w:rsidR="00D75150" w:rsidRPr="00DC621B">
        <w:rPr>
          <w:rFonts w:cstheme="minorBidi"/>
          <w:noProof/>
        </w:rPr>
        <w:t xml:space="preserve"> </w:t>
      </w:r>
      <w:r w:rsidRPr="00DC621B">
        <w:rPr>
          <w:rFonts w:cstheme="minorBidi"/>
          <w:noProof/>
        </w:rPr>
        <w:t>is lengthy and not effective. With more gas injected at distribution level the process will become even more complex, involving new actors and additional quality measurement and management. The future regulatory framework needs to address fundamental issues of gas quality and its standardisation, such as the acceptance of gases with diverging gas quality injected into the grid at transmission and distribution levels and their cross-border tradability.</w:t>
      </w:r>
    </w:p>
    <w:p w:rsidR="007F5A9B" w:rsidRDefault="007F5A9B">
      <w:pPr>
        <w:rPr>
          <w:rFonts w:cstheme="minorBidi"/>
          <w:noProof/>
        </w:rPr>
      </w:pPr>
      <w:r w:rsidRPr="00DC621B">
        <w:rPr>
          <w:rFonts w:cstheme="minorBidi"/>
          <w:noProof/>
        </w:rPr>
        <w:t xml:space="preserve">The possible integration of growing volumes of </w:t>
      </w:r>
      <w:r w:rsidRPr="00DC621B">
        <w:rPr>
          <w:rFonts w:cstheme="minorBidi"/>
          <w:b/>
          <w:bCs/>
          <w:noProof/>
        </w:rPr>
        <w:t>hydrogen blended into the gas network</w:t>
      </w:r>
      <w:r w:rsidRPr="00DC621B">
        <w:rPr>
          <w:rFonts w:cstheme="minorBidi"/>
          <w:noProof/>
        </w:rPr>
        <w:t xml:space="preserve"> would change the quality of gas transported in the pipeline network. The design of any future hydrogen regulatory framework containing rules on hydrogen blending levels </w:t>
      </w:r>
      <w:r w:rsidR="005E7D42" w:rsidRPr="00DC621B">
        <w:rPr>
          <w:rFonts w:cstheme="minorBidi"/>
          <w:noProof/>
        </w:rPr>
        <w:t>–</w:t>
      </w:r>
      <w:r w:rsidRPr="00DC621B">
        <w:rPr>
          <w:rFonts w:cstheme="minorBidi"/>
          <w:noProof/>
        </w:rPr>
        <w:t xml:space="preserve"> be it at Member State or at EU-level </w:t>
      </w:r>
      <w:r w:rsidR="005E7D42" w:rsidRPr="00DC621B">
        <w:rPr>
          <w:rFonts w:cstheme="minorBidi"/>
          <w:noProof/>
        </w:rPr>
        <w:t>–</w:t>
      </w:r>
      <w:r w:rsidRPr="00DC621B">
        <w:rPr>
          <w:rFonts w:cstheme="minorBidi"/>
          <w:noProof/>
        </w:rPr>
        <w:t xml:space="preserve"> will strongly influence gas qualities in the network and consequently the discussion on gas quality standardisation in the EU. Hydrogen blending obligations will aggravate the issue of technical feasibility of adjusting the quality and increase the cost of handling the differences in gas quality specification. </w:t>
      </w:r>
    </w:p>
    <w:p w:rsidR="00D96431" w:rsidRPr="00DC621B" w:rsidRDefault="00D96431" w:rsidP="00D646E3">
      <w:pPr>
        <w:rPr>
          <w:b/>
          <w:bCs/>
          <w:noProof/>
        </w:rPr>
      </w:pPr>
      <w:r w:rsidRPr="00D646E3" w:rsidDel="00357D4D">
        <w:rPr>
          <w:rFonts w:cstheme="minorBidi"/>
          <w:b/>
          <w:i/>
          <w:noProof/>
        </w:rPr>
        <w:t>Role of LNG</w:t>
      </w:r>
    </w:p>
    <w:p w:rsidR="008611E4" w:rsidRPr="00DC621B" w:rsidRDefault="008611E4" w:rsidP="796E43CC">
      <w:pPr>
        <w:rPr>
          <w:noProof/>
          <w:szCs w:val="22"/>
        </w:rPr>
      </w:pPr>
      <w:r w:rsidRPr="00DC621B">
        <w:rPr>
          <w:b/>
          <w:bCs/>
          <w:noProof/>
        </w:rPr>
        <w:t>LNG in Europe</w:t>
      </w:r>
      <w:r w:rsidRPr="00DC621B">
        <w:rPr>
          <w:noProof/>
        </w:rPr>
        <w:t xml:space="preserve"> has helped diversify supply, thereby strengthening our security of supply, and bringing price competition and flexibility in the supply of gas. This is especially relevant due to the significant increase of LNG imports to the EU in the recent years. At the same time</w:t>
      </w:r>
      <w:r w:rsidR="0091727C">
        <w:rPr>
          <w:noProof/>
        </w:rPr>
        <w:t>,</w:t>
      </w:r>
      <w:r w:rsidRPr="00DC621B">
        <w:rPr>
          <w:noProof/>
        </w:rPr>
        <w:t xml:space="preserve"> the existing capacity of LNG terminals is not being used to its full potential. </w:t>
      </w:r>
    </w:p>
    <w:p w:rsidR="008611E4" w:rsidRPr="00DC621B" w:rsidRDefault="008611E4" w:rsidP="796E43CC">
      <w:pPr>
        <w:rPr>
          <w:noProof/>
          <w:szCs w:val="22"/>
        </w:rPr>
      </w:pPr>
      <w:r w:rsidRPr="00DC621B">
        <w:rPr>
          <w:noProof/>
        </w:rPr>
        <w:t xml:space="preserve">The Third </w:t>
      </w:r>
      <w:r w:rsidR="0091727C">
        <w:rPr>
          <w:noProof/>
        </w:rPr>
        <w:t xml:space="preserve">Energy </w:t>
      </w:r>
      <w:r w:rsidRPr="00DC621B">
        <w:rPr>
          <w:noProof/>
        </w:rPr>
        <w:t xml:space="preserve">Package regulatory framework for LNG leaves a wide margin of discretion </w:t>
      </w:r>
      <w:r w:rsidR="00B368DC" w:rsidRPr="00DC621B">
        <w:rPr>
          <w:noProof/>
        </w:rPr>
        <w:t>to</w:t>
      </w:r>
      <w:r w:rsidRPr="00DC621B">
        <w:rPr>
          <w:noProof/>
        </w:rPr>
        <w:t xml:space="preserve"> Member States (e.g. no strict unbundling provisions – Member States designate the LNG System Operators, access negotiated or regulated, </w:t>
      </w:r>
      <w:r w:rsidR="001C671D" w:rsidRPr="00DC621B">
        <w:rPr>
          <w:noProof/>
        </w:rPr>
        <w:t xml:space="preserve">with possible </w:t>
      </w:r>
      <w:r w:rsidRPr="00DC621B">
        <w:rPr>
          <w:noProof/>
        </w:rPr>
        <w:t xml:space="preserve">exemptions). At the same time, LNG terminals are used inefficiently with sometimes high booking ratios but low rate of utilisation/accessibility </w:t>
      </w:r>
      <w:r w:rsidR="001C671D" w:rsidRPr="00DC621B">
        <w:rPr>
          <w:noProof/>
        </w:rPr>
        <w:t>as</w:t>
      </w:r>
      <w:r w:rsidR="00263421" w:rsidRPr="00DC621B">
        <w:rPr>
          <w:noProof/>
        </w:rPr>
        <w:t xml:space="preserve"> </w:t>
      </w:r>
      <w:r w:rsidRPr="00DC621B">
        <w:rPr>
          <w:noProof/>
        </w:rPr>
        <w:t xml:space="preserve">utilisation rate </w:t>
      </w:r>
      <w:r w:rsidR="001C671D" w:rsidRPr="00DC621B">
        <w:rPr>
          <w:noProof/>
        </w:rPr>
        <w:t xml:space="preserve">stands </w:t>
      </w:r>
      <w:r w:rsidRPr="00DC621B">
        <w:rPr>
          <w:noProof/>
        </w:rPr>
        <w:t>currently at 27%</w:t>
      </w:r>
      <w:r w:rsidR="008661E5" w:rsidRPr="00DC621B">
        <w:rPr>
          <w:rStyle w:val="FootnoteReference"/>
          <w:noProof/>
        </w:rPr>
        <w:footnoteReference w:id="175"/>
      </w:r>
      <w:r w:rsidRPr="00DC621B">
        <w:rPr>
          <w:noProof/>
        </w:rPr>
        <w:t xml:space="preserve"> in Europe. Rules on capacity allocation, utilisation of unused capacity and congestions management (set in </w:t>
      </w:r>
      <w:r w:rsidR="00A3395C">
        <w:rPr>
          <w:noProof/>
        </w:rPr>
        <w:t>n</w:t>
      </w:r>
      <w:r w:rsidRPr="00DC621B">
        <w:rPr>
          <w:noProof/>
        </w:rPr>
        <w:t xml:space="preserve">etwork </w:t>
      </w:r>
      <w:r w:rsidR="00A3395C">
        <w:rPr>
          <w:noProof/>
        </w:rPr>
        <w:t>c</w:t>
      </w:r>
      <w:r w:rsidRPr="00DC621B">
        <w:rPr>
          <w:noProof/>
        </w:rPr>
        <w:t xml:space="preserve">odes – CAM and CMP) are not applicable to the LNG facilities. In accordance with the </w:t>
      </w:r>
      <w:r w:rsidR="00A3395C">
        <w:rPr>
          <w:noProof/>
        </w:rPr>
        <w:t>t</w:t>
      </w:r>
      <w:r w:rsidRPr="00DC621B">
        <w:rPr>
          <w:noProof/>
        </w:rPr>
        <w:t xml:space="preserve">ariff </w:t>
      </w:r>
      <w:r w:rsidR="00A3395C">
        <w:rPr>
          <w:noProof/>
        </w:rPr>
        <w:t>n</w:t>
      </w:r>
      <w:r w:rsidRPr="00DC621B">
        <w:rPr>
          <w:noProof/>
        </w:rPr>
        <w:t xml:space="preserve">etwork </w:t>
      </w:r>
      <w:r w:rsidR="00A3395C">
        <w:rPr>
          <w:noProof/>
        </w:rPr>
        <w:t>c</w:t>
      </w:r>
      <w:r w:rsidRPr="00DC621B">
        <w:rPr>
          <w:noProof/>
        </w:rPr>
        <w:t>ode (TAR NC)</w:t>
      </w:r>
      <w:r w:rsidR="0091727C">
        <w:rPr>
          <w:noProof/>
        </w:rPr>
        <w:t>,</w:t>
      </w:r>
      <w:r w:rsidRPr="00DC621B">
        <w:rPr>
          <w:noProof/>
        </w:rPr>
        <w:t xml:space="preserve"> discounts may be applied by the regulators to the transmission tariffs on the entry points from LNG facilities to the respective entry exit zones of the Member States.</w:t>
      </w:r>
    </w:p>
    <w:p w:rsidR="008D3140" w:rsidRPr="00DC621B" w:rsidRDefault="008611E4" w:rsidP="00820E55">
      <w:pPr>
        <w:rPr>
          <w:noProof/>
        </w:rPr>
      </w:pPr>
      <w:r w:rsidRPr="00DC621B">
        <w:rPr>
          <w:noProof/>
        </w:rPr>
        <w:t>There are still some barriers and gaps that could be addressed in order to ensure the optimal use of existing LNG terminals</w:t>
      </w:r>
      <w:r w:rsidR="001C671D" w:rsidRPr="00DC621B">
        <w:rPr>
          <w:noProof/>
        </w:rPr>
        <w:t>,</w:t>
      </w:r>
      <w:r w:rsidRPr="00DC621B">
        <w:rPr>
          <w:noProof/>
        </w:rPr>
        <w:t xml:space="preserve"> </w:t>
      </w:r>
      <w:r w:rsidR="001C671D" w:rsidRPr="00DC621B">
        <w:rPr>
          <w:noProof/>
        </w:rPr>
        <w:t>notably</w:t>
      </w:r>
      <w:r w:rsidRPr="00DC621B">
        <w:rPr>
          <w:noProof/>
        </w:rPr>
        <w:t xml:space="preserve"> </w:t>
      </w:r>
      <w:r w:rsidR="001C671D" w:rsidRPr="00DC621B">
        <w:rPr>
          <w:noProof/>
        </w:rPr>
        <w:t>with regards to</w:t>
      </w:r>
      <w:r w:rsidRPr="00DC621B">
        <w:rPr>
          <w:noProof/>
        </w:rPr>
        <w:t xml:space="preserve"> capacity allocation, tariff structures, transparency, products flexibility</w:t>
      </w:r>
      <w:r w:rsidR="001C671D" w:rsidRPr="00DC621B">
        <w:rPr>
          <w:noProof/>
        </w:rPr>
        <w:t>,</w:t>
      </w:r>
      <w:r w:rsidRPr="00DC621B">
        <w:rPr>
          <w:noProof/>
        </w:rPr>
        <w:t xml:space="preserve"> </w:t>
      </w:r>
      <w:r w:rsidR="001C671D" w:rsidRPr="00DC621B">
        <w:rPr>
          <w:noProof/>
        </w:rPr>
        <w:t>and</w:t>
      </w:r>
      <w:r w:rsidRPr="00DC621B">
        <w:rPr>
          <w:noProof/>
        </w:rPr>
        <w:t xml:space="preserve"> exemption regime. </w:t>
      </w:r>
      <w:r w:rsidR="001C671D" w:rsidRPr="00DC621B">
        <w:rPr>
          <w:noProof/>
        </w:rPr>
        <w:t xml:space="preserve">Improving </w:t>
      </w:r>
      <w:r w:rsidRPr="00DC621B">
        <w:rPr>
          <w:noProof/>
        </w:rPr>
        <w:t xml:space="preserve">these areas </w:t>
      </w:r>
      <w:r w:rsidR="001C671D" w:rsidRPr="00DC621B">
        <w:rPr>
          <w:noProof/>
        </w:rPr>
        <w:t>of</w:t>
      </w:r>
      <w:r w:rsidRPr="00DC621B">
        <w:rPr>
          <w:noProof/>
        </w:rPr>
        <w:t xml:space="preserve"> the exiting framework would positively impact </w:t>
      </w:r>
      <w:r w:rsidR="00F70BBF" w:rsidRPr="00DC621B">
        <w:rPr>
          <w:noProof/>
        </w:rPr>
        <w:t xml:space="preserve">on </w:t>
      </w:r>
      <w:r w:rsidRPr="00DC621B">
        <w:rPr>
          <w:noProof/>
        </w:rPr>
        <w:t xml:space="preserve">terminal utilisation rates and competition on the gas market. </w:t>
      </w:r>
      <w:r w:rsidR="00F70BBF" w:rsidRPr="00DC621B">
        <w:rPr>
          <w:noProof/>
        </w:rPr>
        <w:t>These r</w:t>
      </w:r>
      <w:r w:rsidR="001C671D" w:rsidRPr="00DC621B">
        <w:rPr>
          <w:noProof/>
        </w:rPr>
        <w:t>egulatory improvements</w:t>
      </w:r>
      <w:r w:rsidR="0047268B" w:rsidRPr="00DC621B">
        <w:rPr>
          <w:noProof/>
        </w:rPr>
        <w:t xml:space="preserve"> have also</w:t>
      </w:r>
      <w:r w:rsidRPr="00DC621B">
        <w:rPr>
          <w:noProof/>
        </w:rPr>
        <w:t xml:space="preserve"> the potential to </w:t>
      </w:r>
      <w:r w:rsidR="0047268B" w:rsidRPr="00DC621B">
        <w:rPr>
          <w:noProof/>
        </w:rPr>
        <w:t xml:space="preserve">further </w:t>
      </w:r>
      <w:r w:rsidRPr="00DC621B">
        <w:rPr>
          <w:noProof/>
        </w:rPr>
        <w:t>support the decarbonisation of the EU gas market by enhancing the liquidity, transparency and flexibility in the internal gas market and ensuring a more efficient usage of existing infrastructure</w:t>
      </w:r>
      <w:r w:rsidR="00D252A2" w:rsidRPr="00DC621B">
        <w:rPr>
          <w:noProof/>
        </w:rPr>
        <w:t>.</w:t>
      </w:r>
      <w:r w:rsidR="00995816" w:rsidRPr="00DC621B">
        <w:rPr>
          <w:noProof/>
        </w:rPr>
        <w:t xml:space="preserve"> </w:t>
      </w:r>
    </w:p>
    <w:p w:rsidR="00D077A0" w:rsidRDefault="009310F3" w:rsidP="00820E55">
      <w:pPr>
        <w:spacing w:after="0"/>
        <w:rPr>
          <w:noProof/>
        </w:rPr>
      </w:pPr>
      <w:r w:rsidRPr="00DC621B">
        <w:rPr>
          <w:noProof/>
        </w:rPr>
        <w:t xml:space="preserve">Overall, the rules of the Third Energy Package appear to be insufficient </w:t>
      </w:r>
      <w:bookmarkStart w:id="421" w:name="_Toc455134323"/>
      <w:bookmarkStart w:id="422" w:name="_Toc455148847"/>
      <w:bookmarkStart w:id="423" w:name="_Toc455156732"/>
      <w:bookmarkStart w:id="424" w:name="_Toc455156888"/>
      <w:bookmarkStart w:id="425" w:name="_Toc455160058"/>
      <w:r w:rsidR="00B848D1" w:rsidRPr="00DC621B">
        <w:rPr>
          <w:noProof/>
        </w:rPr>
        <w:t xml:space="preserve">to </w:t>
      </w:r>
      <w:r w:rsidR="00485CCD" w:rsidRPr="00DC621B">
        <w:rPr>
          <w:noProof/>
        </w:rPr>
        <w:t>meet</w:t>
      </w:r>
      <w:r w:rsidR="006E0120" w:rsidRPr="00DC621B">
        <w:rPr>
          <w:noProof/>
        </w:rPr>
        <w:t xml:space="preserve"> the new climate targets and to ensure an effective and cost-efficient transition to a cleaner energy system. Different rules appear </w:t>
      </w:r>
      <w:r w:rsidR="00ED6FA0" w:rsidRPr="00DC621B">
        <w:rPr>
          <w:noProof/>
        </w:rPr>
        <w:t xml:space="preserve">to be </w:t>
      </w:r>
      <w:r w:rsidR="006E0120" w:rsidRPr="00DC621B">
        <w:rPr>
          <w:noProof/>
        </w:rPr>
        <w:t xml:space="preserve">needed to ensure in particular </w:t>
      </w:r>
      <w:r w:rsidR="00ED6FA0" w:rsidRPr="00DC621B">
        <w:rPr>
          <w:noProof/>
        </w:rPr>
        <w:t>a level playing field for</w:t>
      </w:r>
      <w:r w:rsidR="006E0120" w:rsidRPr="00DC621B">
        <w:rPr>
          <w:noProof/>
        </w:rPr>
        <w:t xml:space="preserve"> the </w:t>
      </w:r>
      <w:r w:rsidR="00566954" w:rsidRPr="00DC621B">
        <w:rPr>
          <w:noProof/>
        </w:rPr>
        <w:t xml:space="preserve">market </w:t>
      </w:r>
      <w:r w:rsidR="00485CCD" w:rsidRPr="00DC621B">
        <w:rPr>
          <w:noProof/>
        </w:rPr>
        <w:t>up-take</w:t>
      </w:r>
      <w:r w:rsidR="006E0120" w:rsidRPr="00DC621B">
        <w:rPr>
          <w:noProof/>
        </w:rPr>
        <w:t xml:space="preserve"> of renewable and low carbon gases and to</w:t>
      </w:r>
      <w:r w:rsidR="00B848D1" w:rsidRPr="00DC621B">
        <w:rPr>
          <w:noProof/>
        </w:rPr>
        <w:t xml:space="preserve"> </w:t>
      </w:r>
      <w:r w:rsidR="006E0120" w:rsidRPr="00DC621B">
        <w:rPr>
          <w:noProof/>
        </w:rPr>
        <w:t xml:space="preserve">unlock the potential of emerging market realities. </w:t>
      </w:r>
      <w:bookmarkStart w:id="426" w:name="_Toc76718106"/>
      <w:bookmarkStart w:id="427" w:name="_Toc456772830"/>
      <w:bookmarkStart w:id="428" w:name="_Toc76743545"/>
      <w:bookmarkEnd w:id="426"/>
      <w:r w:rsidRPr="00DC621B">
        <w:rPr>
          <w:noProof/>
        </w:rPr>
        <w:t xml:space="preserve">The Third Package does not provide regulatory </w:t>
      </w:r>
      <w:bookmarkEnd w:id="421"/>
      <w:bookmarkEnd w:id="422"/>
      <w:bookmarkEnd w:id="423"/>
      <w:bookmarkEnd w:id="424"/>
      <w:bookmarkEnd w:id="425"/>
      <w:bookmarkEnd w:id="427"/>
      <w:r w:rsidR="004A6179" w:rsidRPr="00DC621B">
        <w:rPr>
          <w:noProof/>
        </w:rPr>
        <w:t>certain</w:t>
      </w:r>
      <w:r w:rsidR="000509AA" w:rsidRPr="00DC621B">
        <w:rPr>
          <w:noProof/>
        </w:rPr>
        <w:t>ty for the development and depl</w:t>
      </w:r>
      <w:r w:rsidR="004A6179" w:rsidRPr="00DC621B">
        <w:rPr>
          <w:noProof/>
        </w:rPr>
        <w:t>o</w:t>
      </w:r>
      <w:r w:rsidR="000509AA" w:rsidRPr="00DC621B">
        <w:rPr>
          <w:noProof/>
        </w:rPr>
        <w:t>y</w:t>
      </w:r>
      <w:r w:rsidR="004A6179" w:rsidRPr="00DC621B">
        <w:rPr>
          <w:noProof/>
        </w:rPr>
        <w:t>ment of hydrogen</w:t>
      </w:r>
      <w:bookmarkEnd w:id="428"/>
      <w:r w:rsidR="001505F8" w:rsidRPr="00DC621B">
        <w:rPr>
          <w:noProof/>
        </w:rPr>
        <w:t>.</w:t>
      </w:r>
    </w:p>
    <w:p w:rsidR="00C542FC" w:rsidRPr="00DC621B" w:rsidRDefault="00C542FC" w:rsidP="00D077A0">
      <w:pPr>
        <w:spacing w:after="0"/>
        <w:rPr>
          <w:noProof/>
        </w:rPr>
      </w:pPr>
    </w:p>
    <w:p w:rsidR="001505F8" w:rsidRPr="00DC621B" w:rsidRDefault="001505F8" w:rsidP="009D744A">
      <w:pPr>
        <w:pStyle w:val="Heading3"/>
        <w:ind w:left="720"/>
        <w:rPr>
          <w:noProof/>
        </w:rPr>
      </w:pPr>
      <w:bookmarkStart w:id="429" w:name="_Toc77682222"/>
      <w:bookmarkStart w:id="430" w:name="_Toc89688267"/>
      <w:bookmarkStart w:id="431" w:name="_Toc89882330"/>
      <w:r w:rsidRPr="00DC621B">
        <w:rPr>
          <w:noProof/>
        </w:rPr>
        <w:t>The Third Package does not provide regulatory certainty for the development and deployment of hydrogen</w:t>
      </w:r>
      <w:bookmarkEnd w:id="429"/>
      <w:bookmarkEnd w:id="430"/>
      <w:bookmarkEnd w:id="431"/>
    </w:p>
    <w:p w:rsidR="00A90903" w:rsidRPr="00DC621B" w:rsidRDefault="00A90903" w:rsidP="00820E55">
      <w:pPr>
        <w:rPr>
          <w:noProof/>
        </w:rPr>
      </w:pPr>
      <w:r w:rsidRPr="00DC621B">
        <w:rPr>
          <w:noProof/>
        </w:rPr>
        <w:t>To achieve the EU decarboni</w:t>
      </w:r>
      <w:r w:rsidR="005E7D42" w:rsidRPr="00DC621B">
        <w:rPr>
          <w:noProof/>
        </w:rPr>
        <w:t>s</w:t>
      </w:r>
      <w:r w:rsidRPr="00DC621B">
        <w:rPr>
          <w:noProof/>
        </w:rPr>
        <w:t xml:space="preserve">ation goals by 2050, it will be necessary to gradually replace natural gas </w:t>
      </w:r>
      <w:r w:rsidR="00C91CCE" w:rsidRPr="00DC621B">
        <w:rPr>
          <w:noProof/>
        </w:rPr>
        <w:t>with</w:t>
      </w:r>
      <w:r w:rsidRPr="00DC621B">
        <w:rPr>
          <w:noProof/>
        </w:rPr>
        <w:t xml:space="preserve"> </w:t>
      </w:r>
      <w:r w:rsidR="0039350F" w:rsidRPr="00DC621B">
        <w:rPr>
          <w:noProof/>
        </w:rPr>
        <w:t xml:space="preserve">renewable and low-carbon </w:t>
      </w:r>
      <w:r w:rsidRPr="00DC621B">
        <w:rPr>
          <w:noProof/>
        </w:rPr>
        <w:t>gases. A large potential to achieve th</w:t>
      </w:r>
      <w:r w:rsidR="00FB7D06" w:rsidRPr="00DC621B">
        <w:rPr>
          <w:noProof/>
        </w:rPr>
        <w:t>is</w:t>
      </w:r>
      <w:r w:rsidRPr="00DC621B">
        <w:rPr>
          <w:noProof/>
        </w:rPr>
        <w:t xml:space="preserve"> objective lies with hydrogen. </w:t>
      </w:r>
      <w:r w:rsidR="00CD1076" w:rsidRPr="00DC621B">
        <w:rPr>
          <w:noProof/>
        </w:rPr>
        <w:t>As</w:t>
      </w:r>
      <w:r w:rsidRPr="00DC621B">
        <w:rPr>
          <w:noProof/>
        </w:rPr>
        <w:t xml:space="preserve"> a gaseous energy carrier</w:t>
      </w:r>
      <w:r w:rsidR="00CD1076" w:rsidRPr="00DC621B">
        <w:rPr>
          <w:noProof/>
        </w:rPr>
        <w:t>, hydrogen can be deployed</w:t>
      </w:r>
      <w:r w:rsidRPr="00DC621B">
        <w:rPr>
          <w:noProof/>
        </w:rPr>
        <w:t xml:space="preserve"> in hard-to-decarbonize sectors for which low carbon and renewable alternatives are scarce or non-existent and where direct electrification is </w:t>
      </w:r>
      <w:r w:rsidR="00F70BBF" w:rsidRPr="00DC621B">
        <w:rPr>
          <w:noProof/>
        </w:rPr>
        <w:t xml:space="preserve">currently </w:t>
      </w:r>
      <w:r w:rsidRPr="00DC621B">
        <w:rPr>
          <w:noProof/>
        </w:rPr>
        <w:t>challenging. In addition, hydrogen can contribute to energy system integration by linking the electricity and gas system. It can be used to manage a European electricity system increasingly based on renewables by offloading electricity grids in times of abundant electricity supply and by providing an option for large scale and long term (electricity) storage.</w:t>
      </w:r>
    </w:p>
    <w:p w:rsidR="00DB3D95" w:rsidRPr="00DC621B" w:rsidRDefault="00A90903" w:rsidP="00DB3D95">
      <w:pPr>
        <w:rPr>
          <w:rFonts w:eastAsiaTheme="minorHAnsi"/>
          <w:noProof/>
          <w:szCs w:val="22"/>
        </w:rPr>
      </w:pPr>
      <w:r w:rsidRPr="00DC621B">
        <w:rPr>
          <w:noProof/>
        </w:rPr>
        <w:t xml:space="preserve">In order to realize climate neutrality in 2050, the share of hydrogen in Europe’s energy mix is projected to grow. In </w:t>
      </w:r>
      <w:r w:rsidR="005B1895" w:rsidRPr="00DC621B">
        <w:rPr>
          <w:noProof/>
        </w:rPr>
        <w:t>the</w:t>
      </w:r>
      <w:r w:rsidRPr="00DC621B">
        <w:rPr>
          <w:noProof/>
        </w:rPr>
        <w:t xml:space="preserve"> strategic vision for a climate-neutral EU</w:t>
      </w:r>
      <w:r w:rsidRPr="00DC621B">
        <w:rPr>
          <w:rStyle w:val="FootnoteReference"/>
          <w:noProof/>
        </w:rPr>
        <w:footnoteReference w:id="176"/>
      </w:r>
      <w:r w:rsidR="00C542FC">
        <w:rPr>
          <w:noProof/>
        </w:rPr>
        <w:t>,</w:t>
      </w:r>
      <w:r w:rsidR="00C91CCE" w:rsidRPr="00DC621B">
        <w:rPr>
          <w:noProof/>
        </w:rPr>
        <w:t xml:space="preserve"> </w:t>
      </w:r>
      <w:r w:rsidRPr="00DC621B">
        <w:rPr>
          <w:noProof/>
        </w:rPr>
        <w:t>the share of hydrogen in Europe’s energy mix is expected to increase from the current less than 2%</w:t>
      </w:r>
      <w:r w:rsidRPr="00DC621B">
        <w:rPr>
          <w:rStyle w:val="FootnoteReference"/>
          <w:noProof/>
        </w:rPr>
        <w:footnoteReference w:id="177"/>
      </w:r>
      <w:r w:rsidRPr="00DC621B">
        <w:rPr>
          <w:noProof/>
        </w:rPr>
        <w:t xml:space="preserve"> to 13-14% by 2050</w:t>
      </w:r>
      <w:r w:rsidRPr="00DC621B">
        <w:rPr>
          <w:rStyle w:val="FootnoteReference"/>
          <w:noProof/>
        </w:rPr>
        <w:footnoteReference w:id="178"/>
      </w:r>
      <w:r w:rsidR="00C542FC">
        <w:rPr>
          <w:noProof/>
        </w:rPr>
        <w:t>.</w:t>
      </w:r>
      <w:r w:rsidRPr="00DC621B">
        <w:rPr>
          <w:noProof/>
        </w:rPr>
        <w:t xml:space="preserve"> According to the Climate</w:t>
      </w:r>
      <w:r w:rsidR="00A435C8" w:rsidRPr="00DC621B">
        <w:rPr>
          <w:noProof/>
        </w:rPr>
        <w:t xml:space="preserve"> Target Plan Impact Assessment, which</w:t>
      </w:r>
      <w:r w:rsidRPr="00DC621B">
        <w:rPr>
          <w:noProof/>
        </w:rPr>
        <w:t xml:space="preserve"> outlines </w:t>
      </w:r>
      <w:r w:rsidR="00A435C8" w:rsidRPr="00DC621B">
        <w:rPr>
          <w:noProof/>
        </w:rPr>
        <w:t xml:space="preserve">the </w:t>
      </w:r>
      <w:r w:rsidRPr="00DC621B">
        <w:rPr>
          <w:noProof/>
        </w:rPr>
        <w:t>policy options to cut greenhouse gas emissions by at least 55% by 2030, hydrogen will have to represent a significant share of gases in the energy mix in any of the more pertinent policy scenarios. Alongside these projections, Member States have developed national strategies on the deployment of hydrogen and</w:t>
      </w:r>
      <w:r w:rsidR="00A435C8" w:rsidRPr="00DC621B">
        <w:rPr>
          <w:noProof/>
        </w:rPr>
        <w:t xml:space="preserve"> </w:t>
      </w:r>
      <w:r w:rsidRPr="00DC621B">
        <w:rPr>
          <w:noProof/>
        </w:rPr>
        <w:t>have requested the European Commission to create regulatory guidance</w:t>
      </w:r>
      <w:r w:rsidR="0083306C" w:rsidRPr="00DC621B">
        <w:rPr>
          <w:rStyle w:val="FootnoteReference"/>
          <w:noProof/>
        </w:rPr>
        <w:footnoteReference w:id="179"/>
      </w:r>
      <w:r w:rsidRPr="00DC621B">
        <w:rPr>
          <w:noProof/>
        </w:rPr>
        <w:t>.</w:t>
      </w:r>
    </w:p>
    <w:p w:rsidR="00A90903" w:rsidRPr="00DC621B" w:rsidRDefault="00DB3D95" w:rsidP="001505F8">
      <w:pPr>
        <w:rPr>
          <w:noProof/>
          <w:szCs w:val="24"/>
        </w:rPr>
      </w:pPr>
      <w:r w:rsidRPr="00DC621B">
        <w:rPr>
          <w:noProof/>
        </w:rPr>
        <w:t>T</w:t>
      </w:r>
      <w:r w:rsidR="00A90903" w:rsidRPr="00DC621B">
        <w:rPr>
          <w:noProof/>
        </w:rPr>
        <w:t>he European Commission has set out its vision on actions needed to realize an integrated energy system and the further development and deployment of hydrogen in its Communication</w:t>
      </w:r>
      <w:r w:rsidR="00703C51" w:rsidRPr="00DC621B">
        <w:rPr>
          <w:noProof/>
        </w:rPr>
        <w:t>s</w:t>
      </w:r>
      <w:r w:rsidR="00A90903" w:rsidRPr="00DC621B">
        <w:rPr>
          <w:noProof/>
        </w:rPr>
        <w:t xml:space="preserve"> on Energy System Integration and Hydrogen</w:t>
      </w:r>
      <w:r w:rsidR="00A90903" w:rsidRPr="00DC621B">
        <w:rPr>
          <w:rStyle w:val="FootnoteReference"/>
          <w:noProof/>
        </w:rPr>
        <w:footnoteReference w:id="180"/>
      </w:r>
      <w:r w:rsidR="00C542FC">
        <w:rPr>
          <w:noProof/>
        </w:rPr>
        <w:t>.</w:t>
      </w:r>
    </w:p>
    <w:p w:rsidR="008D3140" w:rsidRPr="00DC621B" w:rsidRDefault="00A90903" w:rsidP="00390354">
      <w:pPr>
        <w:ind w:right="-28"/>
        <w:rPr>
          <w:noProof/>
        </w:rPr>
      </w:pPr>
      <w:r w:rsidRPr="00DC621B">
        <w:rPr>
          <w:noProof/>
        </w:rPr>
        <w:t>EU Member States have a different potential for the production of renewable and low carbon hydrogen. Consequently,</w:t>
      </w:r>
      <w:r w:rsidR="00DB3D95" w:rsidRPr="00DC621B">
        <w:rPr>
          <w:noProof/>
        </w:rPr>
        <w:t xml:space="preserve"> an internal market for hydrogen and a </w:t>
      </w:r>
      <w:r w:rsidRPr="00DC621B">
        <w:rPr>
          <w:noProof/>
        </w:rPr>
        <w:t xml:space="preserve">suitable European market framework </w:t>
      </w:r>
      <w:r w:rsidR="00DB3D95" w:rsidRPr="00DC621B">
        <w:rPr>
          <w:noProof/>
        </w:rPr>
        <w:t xml:space="preserve">to support it may well be </w:t>
      </w:r>
      <w:r w:rsidRPr="00DC621B">
        <w:rPr>
          <w:noProof/>
        </w:rPr>
        <w:t>necessary for hydrogen to play its role as an energy carrier an</w:t>
      </w:r>
      <w:r w:rsidR="00A435C8" w:rsidRPr="00DC621B">
        <w:rPr>
          <w:noProof/>
        </w:rPr>
        <w:t>d</w:t>
      </w:r>
      <w:r w:rsidRPr="00DC621B">
        <w:rPr>
          <w:noProof/>
        </w:rPr>
        <w:t xml:space="preserve"> enabler of energy system integration in the EU. </w:t>
      </w:r>
      <w:r w:rsidR="00DB3D95" w:rsidRPr="00DC621B">
        <w:rPr>
          <w:noProof/>
        </w:rPr>
        <w:t xml:space="preserve">However, the Third Gas Package applies to all gases that can be safely injected into the gas network, which include hydrogen blended safely into the natural gas system but </w:t>
      </w:r>
      <w:r w:rsidR="00E37F9D" w:rsidRPr="00DC621B">
        <w:rPr>
          <w:noProof/>
        </w:rPr>
        <w:t>does not apply to</w:t>
      </w:r>
      <w:r w:rsidR="00DB3D95" w:rsidRPr="00DC621B">
        <w:rPr>
          <w:noProof/>
        </w:rPr>
        <w:t xml:space="preserve"> dedicated hydrogen infrastructure. Gas market rules apply therefore neither to newly build hydrogen networks nor to natural gas networks that could be retrofitted in the future to transport pure hydrogen. Thus, </w:t>
      </w:r>
      <w:r w:rsidR="00FD3BA5" w:rsidRPr="00DC621B">
        <w:rPr>
          <w:noProof/>
        </w:rPr>
        <w:t>t</w:t>
      </w:r>
      <w:r w:rsidRPr="00DC621B">
        <w:rPr>
          <w:noProof/>
        </w:rPr>
        <w:t xml:space="preserve">he current </w:t>
      </w:r>
      <w:r w:rsidR="00E319D8" w:rsidRPr="00DC621B">
        <w:rPr>
          <w:noProof/>
        </w:rPr>
        <w:t>framework</w:t>
      </w:r>
      <w:r w:rsidR="00FD3BA5" w:rsidRPr="00DC621B">
        <w:rPr>
          <w:noProof/>
        </w:rPr>
        <w:t xml:space="preserve"> </w:t>
      </w:r>
      <w:r w:rsidR="00DB3D95" w:rsidRPr="00DC621B">
        <w:rPr>
          <w:noProof/>
        </w:rPr>
        <w:t xml:space="preserve">cannot facilitate </w:t>
      </w:r>
      <w:r w:rsidRPr="00DC621B">
        <w:rPr>
          <w:noProof/>
        </w:rPr>
        <w:t xml:space="preserve">the large deployment of hydrogen as an independent energy carrier via dedicated pure hydrogen networks. </w:t>
      </w:r>
    </w:p>
    <w:p w:rsidR="008C6EFD" w:rsidRPr="00DC621B" w:rsidRDefault="00DB3D95" w:rsidP="009946CD">
      <w:pPr>
        <w:ind w:right="-28"/>
        <w:rPr>
          <w:rFonts w:eastAsiaTheme="minorHAnsi"/>
          <w:noProof/>
          <w:szCs w:val="22"/>
        </w:rPr>
      </w:pPr>
      <w:r w:rsidRPr="00DC621B">
        <w:rPr>
          <w:rFonts w:eastAsiaTheme="minorHAnsi"/>
          <w:noProof/>
          <w:szCs w:val="22"/>
        </w:rPr>
        <w:t xml:space="preserve">At the same time, </w:t>
      </w:r>
      <w:r w:rsidR="008C6EFD" w:rsidRPr="00DC621B">
        <w:rPr>
          <w:rFonts w:eastAsiaTheme="minorHAnsi"/>
          <w:noProof/>
          <w:szCs w:val="22"/>
        </w:rPr>
        <w:t xml:space="preserve">Member States may take national initiatives based on national strategies, but these efforts are likely to be dispersed, resulting in uncoordinated and weak cross-border </w:t>
      </w:r>
      <w:r w:rsidR="008C6EFD" w:rsidRPr="00DC621B">
        <w:rPr>
          <w:noProof/>
        </w:rPr>
        <w:t>integration</w:t>
      </w:r>
      <w:r w:rsidR="008C6EFD" w:rsidRPr="00DC621B">
        <w:rPr>
          <w:rFonts w:eastAsiaTheme="minorHAnsi"/>
          <w:noProof/>
          <w:szCs w:val="22"/>
        </w:rPr>
        <w:t xml:space="preserve"> and network development. </w:t>
      </w:r>
      <w:r w:rsidRPr="00DC621B">
        <w:rPr>
          <w:rFonts w:eastAsiaTheme="minorHAnsi"/>
          <w:noProof/>
          <w:szCs w:val="22"/>
        </w:rPr>
        <w:t xml:space="preserve">In the absence of infrastructure and well-functioning markets, </w:t>
      </w:r>
      <w:r w:rsidR="008C6EFD" w:rsidRPr="00DC621B">
        <w:rPr>
          <w:rFonts w:eastAsiaTheme="minorHAnsi"/>
          <w:noProof/>
          <w:szCs w:val="22"/>
        </w:rPr>
        <w:t xml:space="preserve">some </w:t>
      </w:r>
      <w:r w:rsidR="007E728E" w:rsidRPr="00DC621B">
        <w:rPr>
          <w:rFonts w:eastAsiaTheme="minorHAnsi"/>
          <w:noProof/>
          <w:szCs w:val="22"/>
        </w:rPr>
        <w:t>Member states</w:t>
      </w:r>
      <w:r w:rsidRPr="00DC621B">
        <w:rPr>
          <w:rFonts w:eastAsiaTheme="minorHAnsi"/>
          <w:noProof/>
          <w:szCs w:val="22"/>
        </w:rPr>
        <w:t xml:space="preserve"> </w:t>
      </w:r>
      <w:r w:rsidR="008C6EFD" w:rsidRPr="00DC621B">
        <w:rPr>
          <w:rFonts w:eastAsiaTheme="minorHAnsi"/>
          <w:noProof/>
          <w:szCs w:val="22"/>
        </w:rPr>
        <w:t>will have no or limited access to hydrogen storage and import facilitates</w:t>
      </w:r>
      <w:r w:rsidRPr="00DC621B">
        <w:rPr>
          <w:rFonts w:eastAsiaTheme="minorHAnsi"/>
          <w:noProof/>
          <w:szCs w:val="22"/>
        </w:rPr>
        <w:t xml:space="preserve"> as geographical and geological circumstances are vary among Member States.</w:t>
      </w:r>
    </w:p>
    <w:p w:rsidR="00A90903" w:rsidRPr="00DC621B" w:rsidRDefault="00F07DD9" w:rsidP="00390354">
      <w:pPr>
        <w:ind w:right="-28"/>
        <w:rPr>
          <w:rFonts w:eastAsia="Calibri"/>
          <w:noProof/>
        </w:rPr>
      </w:pPr>
      <w:r w:rsidRPr="00DC621B">
        <w:rPr>
          <w:noProof/>
        </w:rPr>
        <w:t xml:space="preserve">Moreover, </w:t>
      </w:r>
      <w:r w:rsidR="00594169" w:rsidRPr="00DC621B">
        <w:rPr>
          <w:noProof/>
        </w:rPr>
        <w:t xml:space="preserve">the </w:t>
      </w:r>
      <w:r w:rsidRPr="00DC621B">
        <w:rPr>
          <w:noProof/>
        </w:rPr>
        <w:t xml:space="preserve">existing </w:t>
      </w:r>
      <w:r w:rsidR="00594169" w:rsidRPr="00DC621B">
        <w:rPr>
          <w:noProof/>
        </w:rPr>
        <w:t>provisions</w:t>
      </w:r>
      <w:r w:rsidRPr="00DC621B">
        <w:rPr>
          <w:noProof/>
        </w:rPr>
        <w:t xml:space="preserve"> do not include </w:t>
      </w:r>
      <w:r w:rsidR="00594169" w:rsidRPr="00DC621B">
        <w:rPr>
          <w:noProof/>
        </w:rPr>
        <w:t>rule</w:t>
      </w:r>
      <w:r w:rsidRPr="00DC621B">
        <w:rPr>
          <w:noProof/>
        </w:rPr>
        <w:t xml:space="preserve">s </w:t>
      </w:r>
      <w:r w:rsidR="00C44B77" w:rsidRPr="00DC621B">
        <w:rPr>
          <w:noProof/>
        </w:rPr>
        <w:t>on</w:t>
      </w:r>
      <w:r w:rsidR="00960072" w:rsidRPr="00DC621B">
        <w:rPr>
          <w:noProof/>
        </w:rPr>
        <w:t xml:space="preserve"> </w:t>
      </w:r>
      <w:r w:rsidR="00594169" w:rsidRPr="00DC621B">
        <w:rPr>
          <w:noProof/>
        </w:rPr>
        <w:t xml:space="preserve">unbundling </w:t>
      </w:r>
      <w:r w:rsidR="00C44B77" w:rsidRPr="00DC621B">
        <w:rPr>
          <w:noProof/>
        </w:rPr>
        <w:t>the</w:t>
      </w:r>
      <w:r w:rsidR="00594169" w:rsidRPr="00DC621B">
        <w:rPr>
          <w:noProof/>
        </w:rPr>
        <w:t xml:space="preserve"> network-related activities between natural gas and pure hydrogen infrastructure. </w:t>
      </w:r>
      <w:r w:rsidR="00B4142B" w:rsidRPr="00DC621B">
        <w:rPr>
          <w:noProof/>
        </w:rPr>
        <w:t xml:space="preserve">The level of separation between network activities, </w:t>
      </w:r>
      <w:r w:rsidR="00601FA5" w:rsidRPr="00DC621B">
        <w:rPr>
          <w:noProof/>
        </w:rPr>
        <w:t xml:space="preserve">i.e. </w:t>
      </w:r>
      <w:r w:rsidR="00075B12" w:rsidRPr="00DC621B">
        <w:rPr>
          <w:noProof/>
        </w:rPr>
        <w:t>to what extent</w:t>
      </w:r>
      <w:r w:rsidR="00B4142B" w:rsidRPr="00DC621B">
        <w:rPr>
          <w:noProof/>
        </w:rPr>
        <w:t xml:space="preserve"> these regulated activities can be kept within the same asset base, is expected to be an important aspect of the regulatory framework for hydrogen. Different regimes can influence </w:t>
      </w:r>
      <w:r w:rsidR="008A160A" w:rsidRPr="00DC621B">
        <w:rPr>
          <w:noProof/>
        </w:rPr>
        <w:t>the re</w:t>
      </w:r>
      <w:r w:rsidR="00960072" w:rsidRPr="00DC621B">
        <w:rPr>
          <w:noProof/>
        </w:rPr>
        <w:t>-</w:t>
      </w:r>
      <w:r w:rsidR="008A160A" w:rsidRPr="00DC621B">
        <w:rPr>
          <w:noProof/>
        </w:rPr>
        <w:t>purposing of existing natural gas assets and the potential synergies between the natural gas and the hydrogen sectors. Important consequences are also expected to materialize in the cost-reflectiv</w:t>
      </w:r>
      <w:r w:rsidR="003378E3" w:rsidRPr="00DC621B">
        <w:rPr>
          <w:noProof/>
        </w:rPr>
        <w:t>ity</w:t>
      </w:r>
      <w:r w:rsidR="008A160A" w:rsidRPr="00DC621B">
        <w:rPr>
          <w:noProof/>
        </w:rPr>
        <w:t xml:space="preserve"> of network tariffs (i.e. distributional effect of cross-subsidisation) and in the cross-border integration of dedicated hydrogen networks.</w:t>
      </w:r>
    </w:p>
    <w:p w:rsidR="00263421" w:rsidRPr="00DC621B" w:rsidRDefault="008A160A" w:rsidP="00BB002C">
      <w:pPr>
        <w:ind w:right="-29"/>
        <w:rPr>
          <w:noProof/>
        </w:rPr>
      </w:pPr>
      <w:r w:rsidRPr="00DC621B">
        <w:rPr>
          <w:rFonts w:eastAsia="Calibri"/>
          <w:noProof/>
        </w:rPr>
        <w:t>A</w:t>
      </w:r>
      <w:r w:rsidR="002053BB" w:rsidRPr="00DC621B">
        <w:rPr>
          <w:rFonts w:eastAsia="Calibri"/>
          <w:noProof/>
        </w:rPr>
        <w:t xml:space="preserve">lready in earlier phases of hydrogen deployment, pipelines are expected to be the most cost-effective means for hydrogen transportation with high potential cost savings in the repurposing of existing natural gas networks. </w:t>
      </w:r>
      <w:r w:rsidR="002608DE" w:rsidRPr="00DC621B">
        <w:rPr>
          <w:rFonts w:eastAsia="Calibri"/>
          <w:noProof/>
        </w:rPr>
        <w:t xml:space="preserve">However, the </w:t>
      </w:r>
      <w:r w:rsidR="002608DE" w:rsidRPr="00DC621B">
        <w:rPr>
          <w:noProof/>
        </w:rPr>
        <w:t xml:space="preserve">tendency towards insufficient competition, which results from the existence of natural monopolies </w:t>
      </w:r>
      <w:r w:rsidR="00CB7303" w:rsidRPr="00DC621B">
        <w:rPr>
          <w:noProof/>
        </w:rPr>
        <w:t>in</w:t>
      </w:r>
      <w:r w:rsidR="002608DE" w:rsidRPr="00DC621B">
        <w:rPr>
          <w:noProof/>
        </w:rPr>
        <w:t xml:space="preserve"> energy </w:t>
      </w:r>
      <w:r w:rsidR="0030434C" w:rsidRPr="00DC621B">
        <w:rPr>
          <w:noProof/>
        </w:rPr>
        <w:t>networks</w:t>
      </w:r>
      <w:r w:rsidR="00AB1A35" w:rsidRPr="00DC621B">
        <w:rPr>
          <w:noProof/>
        </w:rPr>
        <w:t>,</w:t>
      </w:r>
      <w:r w:rsidR="002608DE" w:rsidRPr="00DC621B">
        <w:rPr>
          <w:noProof/>
        </w:rPr>
        <w:t xml:space="preserve"> can</w:t>
      </w:r>
      <w:r w:rsidR="006462B6" w:rsidRPr="00DC621B">
        <w:rPr>
          <w:noProof/>
        </w:rPr>
        <w:t xml:space="preserve"> be expected to arise equally within a future hydrogen market and</w:t>
      </w:r>
      <w:r w:rsidR="002608DE" w:rsidRPr="00DC621B">
        <w:rPr>
          <w:noProof/>
        </w:rPr>
        <w:t xml:space="preserve"> significantly hamper the entry of new players </w:t>
      </w:r>
      <w:r w:rsidR="006462B6" w:rsidRPr="00DC621B">
        <w:rPr>
          <w:noProof/>
        </w:rPr>
        <w:t xml:space="preserve">in upstream (hydrogen production) and downstream (hydrogen consumption) parts of the hydrogen value chain </w:t>
      </w:r>
      <w:r w:rsidR="002608DE" w:rsidRPr="00DC621B">
        <w:rPr>
          <w:noProof/>
        </w:rPr>
        <w:t xml:space="preserve">and the achievement of competitive market outcomes. </w:t>
      </w:r>
      <w:r w:rsidR="004875C9" w:rsidRPr="00DC621B">
        <w:rPr>
          <w:rFonts w:eastAsia="Calibri"/>
          <w:noProof/>
        </w:rPr>
        <w:t xml:space="preserve">To </w:t>
      </w:r>
      <w:r w:rsidR="00CB7303" w:rsidRPr="00DC621B">
        <w:rPr>
          <w:rFonts w:eastAsia="Calibri"/>
          <w:noProof/>
        </w:rPr>
        <w:t>avoid</w:t>
      </w:r>
      <w:r w:rsidR="004875C9" w:rsidRPr="00DC621B">
        <w:rPr>
          <w:rFonts w:eastAsia="Calibri"/>
          <w:noProof/>
        </w:rPr>
        <w:t xml:space="preserve"> market foreclosures and </w:t>
      </w:r>
      <w:r w:rsidR="00CB7303" w:rsidRPr="00DC621B">
        <w:rPr>
          <w:rFonts w:eastAsia="Calibri"/>
          <w:noProof/>
        </w:rPr>
        <w:t>inefficiencies</w:t>
      </w:r>
      <w:r w:rsidR="004875C9" w:rsidRPr="00DC621B">
        <w:rPr>
          <w:rFonts w:eastAsia="Calibri"/>
          <w:noProof/>
        </w:rPr>
        <w:t>, e</w:t>
      </w:r>
      <w:r w:rsidR="002053BB" w:rsidRPr="00DC621B">
        <w:rPr>
          <w:noProof/>
        </w:rPr>
        <w:t xml:space="preserve">arly regulatory intervention </w:t>
      </w:r>
      <w:r w:rsidR="005C21C3">
        <w:rPr>
          <w:noProof/>
        </w:rPr>
        <w:t>–</w:t>
      </w:r>
      <w:r w:rsidR="002053BB" w:rsidRPr="00DC621B">
        <w:rPr>
          <w:noProof/>
        </w:rPr>
        <w:t xml:space="preserve"> along the principles of an open and competitive market as laid down in the current gas market framework, (e.g. neutrality of network operation, third party access, cost reflective prices and network planning) </w:t>
      </w:r>
      <w:r w:rsidR="00CB7303" w:rsidRPr="00DC621B">
        <w:rPr>
          <w:noProof/>
        </w:rPr>
        <w:t>–</w:t>
      </w:r>
      <w:r w:rsidR="002053BB" w:rsidRPr="00DC621B">
        <w:rPr>
          <w:noProof/>
        </w:rPr>
        <w:t xml:space="preserve"> </w:t>
      </w:r>
      <w:r w:rsidR="008C6EFD" w:rsidRPr="00DC621B">
        <w:rPr>
          <w:noProof/>
        </w:rPr>
        <w:t xml:space="preserve">may </w:t>
      </w:r>
      <w:r w:rsidRPr="00DC621B">
        <w:rPr>
          <w:noProof/>
        </w:rPr>
        <w:t xml:space="preserve">therefore </w:t>
      </w:r>
      <w:r w:rsidR="008C6EFD" w:rsidRPr="00DC621B">
        <w:rPr>
          <w:noProof/>
        </w:rPr>
        <w:t xml:space="preserve">be </w:t>
      </w:r>
      <w:r w:rsidR="00CB7303" w:rsidRPr="00DC621B">
        <w:rPr>
          <w:noProof/>
        </w:rPr>
        <w:t>needed</w:t>
      </w:r>
      <w:r w:rsidR="002053BB" w:rsidRPr="00DC621B">
        <w:rPr>
          <w:noProof/>
        </w:rPr>
        <w:t>.</w:t>
      </w:r>
    </w:p>
    <w:p w:rsidR="00A90903" w:rsidRPr="00DC621B" w:rsidRDefault="00A90903" w:rsidP="00BB002C">
      <w:pPr>
        <w:ind w:right="-29"/>
        <w:rPr>
          <w:noProof/>
          <w:szCs w:val="24"/>
        </w:rPr>
      </w:pPr>
      <w:r w:rsidRPr="00DC621B">
        <w:rPr>
          <w:noProof/>
        </w:rPr>
        <w:t>Tailoring the current gas market rules towards the option of pure hydrogen networks creates regulatory certainty and clarity that is needed for investments in the development of hydrogen. In addition, it prevents costly ex-post harmonization interventions</w:t>
      </w:r>
      <w:r w:rsidR="00DF60D5" w:rsidRPr="00DC621B">
        <w:rPr>
          <w:noProof/>
        </w:rPr>
        <w:t xml:space="preserve"> and mitigate</w:t>
      </w:r>
      <w:r w:rsidR="003B05C8" w:rsidRPr="00DC621B">
        <w:rPr>
          <w:noProof/>
        </w:rPr>
        <w:t>s</w:t>
      </w:r>
      <w:r w:rsidR="00DF60D5" w:rsidRPr="00DC621B">
        <w:rPr>
          <w:noProof/>
        </w:rPr>
        <w:t xml:space="preserve"> the risks of sunk-investments</w:t>
      </w:r>
      <w:r w:rsidRPr="00DC621B">
        <w:rPr>
          <w:noProof/>
        </w:rPr>
        <w:t xml:space="preserve">. The following </w:t>
      </w:r>
      <w:r w:rsidR="00A5774D" w:rsidRPr="00DC621B">
        <w:rPr>
          <w:noProof/>
        </w:rPr>
        <w:t xml:space="preserve">elements </w:t>
      </w:r>
      <w:r w:rsidRPr="00DC621B">
        <w:rPr>
          <w:noProof/>
        </w:rPr>
        <w:t xml:space="preserve">of the Third Gas Package could </w:t>
      </w:r>
      <w:r w:rsidR="007D7BF6" w:rsidRPr="00DC621B">
        <w:rPr>
          <w:noProof/>
        </w:rPr>
        <w:t xml:space="preserve">help to </w:t>
      </w:r>
      <w:r w:rsidRPr="00DC621B">
        <w:rPr>
          <w:noProof/>
        </w:rPr>
        <w:t xml:space="preserve">enable the development of a competitive and liquid cross-border hydrogen market. The </w:t>
      </w:r>
      <w:r w:rsidR="001E45D2">
        <w:rPr>
          <w:noProof/>
        </w:rPr>
        <w:t>I</w:t>
      </w:r>
      <w:r w:rsidRPr="00DC621B">
        <w:rPr>
          <w:noProof/>
        </w:rPr>
        <w:t xml:space="preserve">mpact </w:t>
      </w:r>
      <w:r w:rsidR="001E45D2">
        <w:rPr>
          <w:noProof/>
        </w:rPr>
        <w:t>A</w:t>
      </w:r>
      <w:r w:rsidRPr="00DC621B">
        <w:rPr>
          <w:noProof/>
        </w:rPr>
        <w:t xml:space="preserve">ssessment that is published alongside this </w:t>
      </w:r>
      <w:r w:rsidR="001E45D2">
        <w:rPr>
          <w:noProof/>
        </w:rPr>
        <w:t>E</w:t>
      </w:r>
      <w:r w:rsidRPr="00DC621B">
        <w:rPr>
          <w:noProof/>
        </w:rPr>
        <w:t>valuation</w:t>
      </w:r>
      <w:r w:rsidR="003F6848">
        <w:rPr>
          <w:noProof/>
        </w:rPr>
        <w:t xml:space="preserve"> </w:t>
      </w:r>
      <w:r w:rsidRPr="00DC621B">
        <w:rPr>
          <w:noProof/>
        </w:rPr>
        <w:t xml:space="preserve">provides for a deeper </w:t>
      </w:r>
      <w:r w:rsidR="007D7BF6" w:rsidRPr="00DC621B">
        <w:rPr>
          <w:noProof/>
        </w:rPr>
        <w:t xml:space="preserve">and wider </w:t>
      </w:r>
      <w:r w:rsidRPr="00DC621B">
        <w:rPr>
          <w:noProof/>
        </w:rPr>
        <w:t>analysis on the options for a regulatory framework for hydrogen</w:t>
      </w:r>
      <w:r w:rsidRPr="00DC621B">
        <w:rPr>
          <w:rStyle w:val="FootnoteReference"/>
          <w:noProof/>
        </w:rPr>
        <w:footnoteReference w:id="181"/>
      </w:r>
      <w:r w:rsidR="00C542FC">
        <w:rPr>
          <w:noProof/>
        </w:rPr>
        <w:t>.</w:t>
      </w:r>
    </w:p>
    <w:p w:rsidR="00A90903" w:rsidRPr="00DC621B" w:rsidRDefault="00A90903" w:rsidP="00BB002C">
      <w:pPr>
        <w:pStyle w:val="ListParagraph"/>
        <w:numPr>
          <w:ilvl w:val="0"/>
          <w:numId w:val="335"/>
        </w:numPr>
        <w:spacing w:after="160"/>
        <w:rPr>
          <w:noProof/>
        </w:rPr>
      </w:pPr>
      <w:r w:rsidRPr="00DC621B">
        <w:rPr>
          <w:i/>
          <w:noProof/>
        </w:rPr>
        <w:t xml:space="preserve">Unbundling supply and </w:t>
      </w:r>
      <w:r w:rsidR="00601FA5" w:rsidRPr="00DC621B">
        <w:rPr>
          <w:i/>
          <w:noProof/>
        </w:rPr>
        <w:t xml:space="preserve">production </w:t>
      </w:r>
      <w:r w:rsidRPr="00DC621B">
        <w:rPr>
          <w:i/>
          <w:noProof/>
        </w:rPr>
        <w:t xml:space="preserve">from the operation of networks and network access. </w:t>
      </w:r>
      <w:r w:rsidRPr="00DC621B">
        <w:rPr>
          <w:noProof/>
        </w:rPr>
        <w:t xml:space="preserve">The Third Gas Package </w:t>
      </w:r>
      <w:r w:rsidR="00705E40" w:rsidRPr="00DC621B">
        <w:rPr>
          <w:noProof/>
        </w:rPr>
        <w:t xml:space="preserve">further pursued </w:t>
      </w:r>
      <w:r w:rsidRPr="00DC621B">
        <w:rPr>
          <w:noProof/>
        </w:rPr>
        <w:t xml:space="preserve">the separation of energy supply and generation </w:t>
      </w:r>
      <w:r w:rsidR="000A491B" w:rsidRPr="00DC621B">
        <w:rPr>
          <w:noProof/>
        </w:rPr>
        <w:t xml:space="preserve">activities </w:t>
      </w:r>
      <w:r w:rsidRPr="00DC621B">
        <w:rPr>
          <w:noProof/>
        </w:rPr>
        <w:t xml:space="preserve">from the operation of </w:t>
      </w:r>
      <w:r w:rsidR="00075B12" w:rsidRPr="00DC621B">
        <w:rPr>
          <w:noProof/>
        </w:rPr>
        <w:t>networks</w:t>
      </w:r>
      <w:r w:rsidRPr="00DC621B">
        <w:rPr>
          <w:noProof/>
        </w:rPr>
        <w:t xml:space="preserve">. </w:t>
      </w:r>
      <w:r w:rsidR="00EB6102" w:rsidRPr="00DC621B">
        <w:rPr>
          <w:noProof/>
        </w:rPr>
        <w:t>Applying unbundling principles to the hydrogen chain, namely</w:t>
      </w:r>
      <w:r w:rsidRPr="00DC621B">
        <w:rPr>
          <w:noProof/>
        </w:rPr>
        <w:t xml:space="preserve"> </w:t>
      </w:r>
      <w:r w:rsidR="00EB6102" w:rsidRPr="00DC621B">
        <w:rPr>
          <w:noProof/>
        </w:rPr>
        <w:t xml:space="preserve">separating </w:t>
      </w:r>
      <w:r w:rsidRPr="00DC621B">
        <w:rPr>
          <w:noProof/>
        </w:rPr>
        <w:t>hydrogen production, trade and supply activities from network-related activities</w:t>
      </w:r>
      <w:r w:rsidR="00EB6102" w:rsidRPr="00DC621B">
        <w:rPr>
          <w:noProof/>
        </w:rPr>
        <w:t>,</w:t>
      </w:r>
      <w:r w:rsidRPr="00DC621B">
        <w:rPr>
          <w:noProof/>
        </w:rPr>
        <w:t xml:space="preserve"> could ensure fair competition </w:t>
      </w:r>
      <w:r w:rsidR="000A491B" w:rsidRPr="00DC621B">
        <w:rPr>
          <w:noProof/>
        </w:rPr>
        <w:t xml:space="preserve">and avoid foreclosures </w:t>
      </w:r>
      <w:r w:rsidRPr="00DC621B">
        <w:rPr>
          <w:noProof/>
        </w:rPr>
        <w:t>in a future hydrogen market</w:t>
      </w:r>
      <w:r w:rsidR="008C6EFD" w:rsidRPr="00DC621B">
        <w:rPr>
          <w:noProof/>
        </w:rPr>
        <w:t>. Similar considerations may exist for other types of hydrogen infrastructure, such as large-scale storage and import terminals</w:t>
      </w:r>
      <w:r w:rsidR="009D744A">
        <w:rPr>
          <w:noProof/>
        </w:rPr>
        <w:t>;</w:t>
      </w:r>
      <w:r w:rsidR="000A491B" w:rsidRPr="00DC621B">
        <w:rPr>
          <w:noProof/>
        </w:rPr>
        <w:t xml:space="preserve"> </w:t>
      </w:r>
    </w:p>
    <w:p w:rsidR="00601FA5" w:rsidRPr="00DC621B" w:rsidRDefault="00A90903" w:rsidP="00601FA5">
      <w:pPr>
        <w:pStyle w:val="ListParagraph"/>
        <w:numPr>
          <w:ilvl w:val="0"/>
          <w:numId w:val="335"/>
        </w:numPr>
        <w:spacing w:after="0"/>
        <w:rPr>
          <w:i/>
          <w:noProof/>
        </w:rPr>
      </w:pPr>
      <w:r w:rsidRPr="00DC621B">
        <w:rPr>
          <w:i/>
          <w:noProof/>
        </w:rPr>
        <w:t xml:space="preserve">Tariffs-setting: </w:t>
      </w:r>
      <w:r w:rsidRPr="00DC621B">
        <w:rPr>
          <w:noProof/>
        </w:rPr>
        <w:t xml:space="preserve">According to the Third Gas Package, energy network access charges should be cost-reflective (e.g. tariffs should reflect the actual network costs caused by each network user) and applicable to all users on a non-discriminatory basis. </w:t>
      </w:r>
      <w:r w:rsidR="007A25AA" w:rsidRPr="00DC621B">
        <w:rPr>
          <w:noProof/>
        </w:rPr>
        <w:t xml:space="preserve">In addition, tariffs should be remunerative for network operators in order to invest adequately in </w:t>
      </w:r>
      <w:r w:rsidR="00370BFD" w:rsidRPr="00DC621B">
        <w:rPr>
          <w:noProof/>
        </w:rPr>
        <w:t>(new) infrastructure.</w:t>
      </w:r>
      <w:r w:rsidR="007A25AA" w:rsidRPr="00DC621B">
        <w:rPr>
          <w:noProof/>
        </w:rPr>
        <w:t xml:space="preserve"> </w:t>
      </w:r>
      <w:r w:rsidR="00712DD4" w:rsidRPr="00DC621B">
        <w:rPr>
          <w:noProof/>
        </w:rPr>
        <w:t xml:space="preserve">However, </w:t>
      </w:r>
      <w:r w:rsidR="00232C6B" w:rsidRPr="00DC621B">
        <w:rPr>
          <w:noProof/>
        </w:rPr>
        <w:t>applying the same le</w:t>
      </w:r>
      <w:r w:rsidR="00263421" w:rsidRPr="00DC621B">
        <w:rPr>
          <w:noProof/>
        </w:rPr>
        <w:t>vels of regulatory intervention</w:t>
      </w:r>
      <w:r w:rsidR="00232C6B" w:rsidRPr="00DC621B">
        <w:rPr>
          <w:noProof/>
        </w:rPr>
        <w:t xml:space="preserve"> </w:t>
      </w:r>
      <w:r w:rsidR="00712DD4" w:rsidRPr="00DC621B">
        <w:rPr>
          <w:noProof/>
        </w:rPr>
        <w:t>to hydrogen</w:t>
      </w:r>
      <w:r w:rsidR="00232C6B" w:rsidRPr="00DC621B">
        <w:rPr>
          <w:noProof/>
        </w:rPr>
        <w:t xml:space="preserve"> tariffs</w:t>
      </w:r>
      <w:r w:rsidR="00712DD4" w:rsidRPr="00DC621B">
        <w:rPr>
          <w:noProof/>
        </w:rPr>
        <w:t xml:space="preserve"> c</w:t>
      </w:r>
      <w:r w:rsidR="00232C6B" w:rsidRPr="00DC621B">
        <w:rPr>
          <w:noProof/>
        </w:rPr>
        <w:t>an</w:t>
      </w:r>
      <w:r w:rsidR="00712DD4" w:rsidRPr="00DC621B">
        <w:rPr>
          <w:noProof/>
        </w:rPr>
        <w:t xml:space="preserve"> be counterproductive for </w:t>
      </w:r>
      <w:r w:rsidR="00232C6B" w:rsidRPr="00DC621B">
        <w:rPr>
          <w:noProof/>
        </w:rPr>
        <w:t>such an</w:t>
      </w:r>
      <w:r w:rsidR="00712DD4" w:rsidRPr="00DC621B">
        <w:rPr>
          <w:noProof/>
        </w:rPr>
        <w:t xml:space="preserve"> infant market</w:t>
      </w:r>
      <w:r w:rsidR="00232C6B" w:rsidRPr="00DC621B">
        <w:rPr>
          <w:noProof/>
        </w:rPr>
        <w:t>, especially in its early phases</w:t>
      </w:r>
      <w:r w:rsidR="00712DD4" w:rsidRPr="00DC621B">
        <w:rPr>
          <w:noProof/>
        </w:rPr>
        <w:t>. Tariff</w:t>
      </w:r>
      <w:r w:rsidR="00AF703E" w:rsidRPr="00DC621B">
        <w:rPr>
          <w:noProof/>
        </w:rPr>
        <w:t xml:space="preserve"> principles will need to be </w:t>
      </w:r>
      <w:r w:rsidR="008A2E88" w:rsidRPr="00DC621B">
        <w:rPr>
          <w:noProof/>
        </w:rPr>
        <w:t xml:space="preserve">carefully </w:t>
      </w:r>
      <w:r w:rsidR="00AF703E" w:rsidRPr="00DC621B">
        <w:rPr>
          <w:noProof/>
        </w:rPr>
        <w:t xml:space="preserve">developed for </w:t>
      </w:r>
      <w:r w:rsidR="00232C6B" w:rsidRPr="00DC621B">
        <w:rPr>
          <w:noProof/>
        </w:rPr>
        <w:t>the</w:t>
      </w:r>
      <w:r w:rsidR="00AF703E" w:rsidRPr="00DC621B">
        <w:rPr>
          <w:noProof/>
        </w:rPr>
        <w:t xml:space="preserve"> future hydrogen market</w:t>
      </w:r>
      <w:r w:rsidR="0063360C" w:rsidRPr="00DC621B">
        <w:rPr>
          <w:noProof/>
        </w:rPr>
        <w:t xml:space="preserve">, </w:t>
      </w:r>
      <w:r w:rsidR="00712DD4" w:rsidRPr="00DC621B">
        <w:rPr>
          <w:noProof/>
        </w:rPr>
        <w:t>striking a balance between</w:t>
      </w:r>
      <w:r w:rsidR="0063360C" w:rsidRPr="00DC621B">
        <w:rPr>
          <w:noProof/>
        </w:rPr>
        <w:t xml:space="preserve"> the</w:t>
      </w:r>
      <w:r w:rsidR="008A2E88" w:rsidRPr="00DC621B">
        <w:rPr>
          <w:noProof/>
        </w:rPr>
        <w:t xml:space="preserve"> impacts </w:t>
      </w:r>
      <w:r w:rsidR="00712DD4" w:rsidRPr="00DC621B">
        <w:rPr>
          <w:noProof/>
        </w:rPr>
        <w:t xml:space="preserve">of </w:t>
      </w:r>
      <w:r w:rsidR="00232C6B" w:rsidRPr="00DC621B">
        <w:rPr>
          <w:noProof/>
        </w:rPr>
        <w:t>regulatory interventions on</w:t>
      </w:r>
      <w:r w:rsidR="00FF4D22" w:rsidRPr="00DC621B">
        <w:rPr>
          <w:noProof/>
        </w:rPr>
        <w:t xml:space="preserve"> </w:t>
      </w:r>
      <w:r w:rsidR="008A2E88" w:rsidRPr="00DC621B">
        <w:rPr>
          <w:noProof/>
        </w:rPr>
        <w:t>market structure</w:t>
      </w:r>
      <w:r w:rsidR="00232C6B" w:rsidRPr="00DC621B">
        <w:rPr>
          <w:noProof/>
        </w:rPr>
        <w:t>s</w:t>
      </w:r>
      <w:r w:rsidR="00FF4D22" w:rsidRPr="00DC621B">
        <w:rPr>
          <w:noProof/>
        </w:rPr>
        <w:t xml:space="preserve"> –</w:t>
      </w:r>
      <w:r w:rsidR="008A2E88" w:rsidRPr="00DC621B">
        <w:rPr>
          <w:noProof/>
        </w:rPr>
        <w:t xml:space="preserve"> </w:t>
      </w:r>
      <w:r w:rsidR="00FF4D22" w:rsidRPr="00DC621B">
        <w:rPr>
          <w:noProof/>
        </w:rPr>
        <w:t xml:space="preserve">particularly in regards of price transparency and cost reflectivity </w:t>
      </w:r>
      <w:r w:rsidR="005C21C3">
        <w:rPr>
          <w:noProof/>
        </w:rPr>
        <w:t>–</w:t>
      </w:r>
      <w:r w:rsidR="00FF4D22" w:rsidRPr="00DC621B">
        <w:rPr>
          <w:noProof/>
        </w:rPr>
        <w:t xml:space="preserve"> </w:t>
      </w:r>
      <w:r w:rsidR="008A2E88" w:rsidRPr="00DC621B">
        <w:rPr>
          <w:noProof/>
        </w:rPr>
        <w:t xml:space="preserve">and investments incentives for new </w:t>
      </w:r>
      <w:r w:rsidR="008C6EFD" w:rsidRPr="00DC621B">
        <w:rPr>
          <w:noProof/>
        </w:rPr>
        <w:t xml:space="preserve">hydrogen </w:t>
      </w:r>
      <w:r w:rsidR="008A2E88" w:rsidRPr="00DC621B">
        <w:rPr>
          <w:noProof/>
        </w:rPr>
        <w:t>infrastructure</w:t>
      </w:r>
      <w:r w:rsidR="009D744A">
        <w:rPr>
          <w:noProof/>
        </w:rPr>
        <w:t>;</w:t>
      </w:r>
      <w:r w:rsidR="00601FA5" w:rsidRPr="00DC621B">
        <w:rPr>
          <w:i/>
          <w:noProof/>
        </w:rPr>
        <w:t xml:space="preserve"> </w:t>
      </w:r>
    </w:p>
    <w:p w:rsidR="00601FA5" w:rsidRPr="00DC621B" w:rsidRDefault="00601FA5" w:rsidP="00601FA5">
      <w:pPr>
        <w:pStyle w:val="ListParagraph"/>
        <w:numPr>
          <w:ilvl w:val="0"/>
          <w:numId w:val="335"/>
        </w:numPr>
        <w:spacing w:after="0"/>
        <w:rPr>
          <w:i/>
          <w:noProof/>
        </w:rPr>
      </w:pPr>
      <w:r w:rsidRPr="00DC621B">
        <w:rPr>
          <w:i/>
          <w:iCs/>
          <w:noProof/>
        </w:rPr>
        <w:t>Network planning:</w:t>
      </w:r>
      <w:r w:rsidRPr="00DC621B">
        <w:rPr>
          <w:noProof/>
        </w:rPr>
        <w:t xml:space="preserve"> </w:t>
      </w:r>
      <w:r w:rsidR="001C13DD" w:rsidRPr="00DC621B">
        <w:rPr>
          <w:noProof/>
        </w:rPr>
        <w:t>Network Planning on European level was meant to ensure greater transparency. Additionally, projects could apply for PCI status only if included in the Community plan, which builds upon national plans where these are required. National plans are required for ITO and ISO certified TSOs and meant to avoid underinvestment.</w:t>
      </w:r>
      <w:r w:rsidRPr="00DC621B">
        <w:rPr>
          <w:noProof/>
        </w:rPr>
        <w:t xml:space="preserve"> Including hydrogen infrastructure in network planning processes could facilitate the cost-effective roll out of hydrogen networks in areas where hydrogen supply and demand will arise. The proposed revision of the TEN-E Regulation aims to create a support framework for developing an EU-wide infrastructure in the long-run by making hydrogen projects eligible for a PCI status</w:t>
      </w:r>
      <w:r w:rsidR="009D744A">
        <w:rPr>
          <w:noProof/>
        </w:rPr>
        <w:t>;</w:t>
      </w:r>
    </w:p>
    <w:p w:rsidR="00A90903" w:rsidRPr="00DC621B" w:rsidRDefault="00A90903" w:rsidP="00BB002C">
      <w:pPr>
        <w:pStyle w:val="ListParagraph"/>
        <w:numPr>
          <w:ilvl w:val="0"/>
          <w:numId w:val="335"/>
        </w:numPr>
        <w:spacing w:after="160"/>
        <w:rPr>
          <w:noProof/>
        </w:rPr>
      </w:pPr>
      <w:r w:rsidRPr="00DC621B">
        <w:rPr>
          <w:i/>
          <w:noProof/>
        </w:rPr>
        <w:t>Creation of regulatory ove</w:t>
      </w:r>
      <w:r w:rsidR="006462B6" w:rsidRPr="00DC621B">
        <w:rPr>
          <w:i/>
          <w:noProof/>
        </w:rPr>
        <w:t xml:space="preserve">rsight: </w:t>
      </w:r>
      <w:r w:rsidRPr="00DC621B">
        <w:rPr>
          <w:noProof/>
        </w:rPr>
        <w:t xml:space="preserve">A competitive internal hydrogen market </w:t>
      </w:r>
      <w:r w:rsidR="00601FA5" w:rsidRPr="00DC621B">
        <w:rPr>
          <w:noProof/>
        </w:rPr>
        <w:t xml:space="preserve">governed by rules such as may result from the above consideration </w:t>
      </w:r>
      <w:r w:rsidRPr="00DC621B">
        <w:rPr>
          <w:noProof/>
        </w:rPr>
        <w:t xml:space="preserve">cannot exist without independent regulators who ensure the application of market rules. </w:t>
      </w:r>
    </w:p>
    <w:p w:rsidR="002C4D5D" w:rsidRPr="00DC621B" w:rsidRDefault="002C4D5D" w:rsidP="002C4D5D">
      <w:pPr>
        <w:rPr>
          <w:b/>
          <w:bCs/>
          <w:noProof/>
          <w:lang w:eastAsia="nl-NL"/>
        </w:rPr>
      </w:pPr>
      <w:bookmarkStart w:id="432" w:name="_Toc456772831"/>
      <w:r w:rsidRPr="00DC621B">
        <w:rPr>
          <w:b/>
          <w:bCs/>
          <w:i/>
          <w:iCs/>
          <w:noProof/>
          <w:lang w:eastAsia="nl-NL"/>
        </w:rPr>
        <w:t xml:space="preserve">Price regulation continues to be possible under current </w:t>
      </w:r>
      <w:r w:rsidR="002457FF" w:rsidRPr="00DC621B">
        <w:rPr>
          <w:b/>
          <w:bCs/>
          <w:i/>
          <w:iCs/>
          <w:noProof/>
          <w:lang w:eastAsia="nl-NL"/>
        </w:rPr>
        <w:t>EU acquis</w:t>
      </w:r>
      <w:r w:rsidRPr="00DC621B">
        <w:rPr>
          <w:b/>
          <w:bCs/>
          <w:i/>
          <w:iCs/>
          <w:noProof/>
          <w:lang w:eastAsia="nl-NL"/>
        </w:rPr>
        <w:t>, includ</w:t>
      </w:r>
      <w:r w:rsidR="002457FF" w:rsidRPr="00DC621B">
        <w:rPr>
          <w:b/>
          <w:bCs/>
          <w:i/>
          <w:iCs/>
          <w:noProof/>
          <w:lang w:eastAsia="nl-NL"/>
        </w:rPr>
        <w:t>ing for non-household customers</w:t>
      </w:r>
      <w:r w:rsidRPr="00DC621B">
        <w:rPr>
          <w:b/>
          <w:bCs/>
          <w:i/>
          <w:iCs/>
          <w:noProof/>
          <w:lang w:eastAsia="nl-NL"/>
        </w:rPr>
        <w:t xml:space="preserve"> despite its distortive effects in the gas market</w:t>
      </w:r>
    </w:p>
    <w:p w:rsidR="00C10DC2" w:rsidRPr="00DC621B" w:rsidRDefault="00FF4FF4" w:rsidP="00025019">
      <w:pPr>
        <w:rPr>
          <w:noProof/>
        </w:rPr>
      </w:pPr>
      <w:r w:rsidRPr="00DC621B">
        <w:rPr>
          <w:noProof/>
        </w:rPr>
        <w:t>U</w:t>
      </w:r>
      <w:r w:rsidR="004125E4" w:rsidRPr="00DC621B">
        <w:rPr>
          <w:noProof/>
        </w:rPr>
        <w:t xml:space="preserve">nder current Article 3 of the Third Gas Package, price regulation continues to be allowed, under specified conditions and </w:t>
      </w:r>
      <w:r w:rsidR="002457FF" w:rsidRPr="00DC621B">
        <w:rPr>
          <w:noProof/>
        </w:rPr>
        <w:t xml:space="preserve">in accordance with Federutility </w:t>
      </w:r>
      <w:r w:rsidR="004125E4" w:rsidRPr="00DC621B">
        <w:rPr>
          <w:noProof/>
        </w:rPr>
        <w:t>case-law.</w:t>
      </w:r>
      <w:r w:rsidR="002457FF" w:rsidRPr="00DC621B">
        <w:rPr>
          <w:noProof/>
        </w:rPr>
        <w:t xml:space="preserve"> </w:t>
      </w:r>
      <w:r w:rsidR="00333959" w:rsidRPr="00DC621B">
        <w:rPr>
          <w:noProof/>
        </w:rPr>
        <w:t>Concordantly,</w:t>
      </w:r>
      <w:r w:rsidR="004125E4" w:rsidRPr="00DC621B">
        <w:rPr>
          <w:noProof/>
        </w:rPr>
        <w:t xml:space="preserve"> d</w:t>
      </w:r>
      <w:r w:rsidR="002C4D5D" w:rsidRPr="00DC621B">
        <w:rPr>
          <w:noProof/>
        </w:rPr>
        <w:t>istortive retail price regulation continues to remain in place in different forms across various Member States in the EU</w:t>
      </w:r>
      <w:r w:rsidR="002457FF" w:rsidRPr="00DC621B">
        <w:rPr>
          <w:rStyle w:val="FootnoteReference"/>
          <w:noProof/>
        </w:rPr>
        <w:footnoteReference w:id="182"/>
      </w:r>
      <w:r w:rsidR="00A178D8">
        <w:rPr>
          <w:noProof/>
        </w:rPr>
        <w:t>.</w:t>
      </w:r>
    </w:p>
    <w:p w:rsidR="00C10DC2" w:rsidRPr="00DC621B" w:rsidRDefault="00333959" w:rsidP="00C10DC2">
      <w:pPr>
        <w:rPr>
          <w:noProof/>
        </w:rPr>
      </w:pPr>
      <w:r w:rsidRPr="00DC621B">
        <w:rPr>
          <w:noProof/>
        </w:rPr>
        <w:t>In</w:t>
      </w:r>
      <w:r w:rsidR="00EB7263" w:rsidRPr="00DC621B">
        <w:rPr>
          <w:noProof/>
        </w:rPr>
        <w:t xml:space="preserve"> the context of</w:t>
      </w:r>
      <w:r w:rsidR="004C6B29" w:rsidRPr="00DC621B">
        <w:rPr>
          <w:noProof/>
        </w:rPr>
        <w:t xml:space="preserve"> supplier of last resort (SoLR)</w:t>
      </w:r>
      <w:r w:rsidR="00EB7263" w:rsidRPr="00DC621B">
        <w:rPr>
          <w:noProof/>
        </w:rPr>
        <w:t xml:space="preserve"> schemes, </w:t>
      </w:r>
      <w:r w:rsidR="004C6B29" w:rsidRPr="00DC621B">
        <w:rPr>
          <w:noProof/>
        </w:rPr>
        <w:t>all but seven</w:t>
      </w:r>
      <w:r w:rsidR="00EB7263" w:rsidRPr="00DC621B">
        <w:rPr>
          <w:noProof/>
        </w:rPr>
        <w:t xml:space="preserve"> Member States </w:t>
      </w:r>
      <w:r w:rsidR="00532DB5" w:rsidRPr="00DC621B">
        <w:rPr>
          <w:noProof/>
        </w:rPr>
        <w:t xml:space="preserve">out of 23 screened Member States </w:t>
      </w:r>
      <w:r w:rsidR="00EB7263" w:rsidRPr="00DC621B">
        <w:rPr>
          <w:noProof/>
        </w:rPr>
        <w:t>intervene in the price</w:t>
      </w:r>
      <w:r w:rsidR="004C6B29" w:rsidRPr="00DC621B">
        <w:rPr>
          <w:noProof/>
        </w:rPr>
        <w:t xml:space="preserve"> setting</w:t>
      </w:r>
      <w:r w:rsidR="00EB7263" w:rsidRPr="00DC621B">
        <w:rPr>
          <w:noProof/>
        </w:rPr>
        <w:t xml:space="preserve"> in some fashion</w:t>
      </w:r>
      <w:r w:rsidR="002457FF" w:rsidRPr="00DC621B">
        <w:rPr>
          <w:rStyle w:val="FootnoteReference"/>
          <w:noProof/>
        </w:rPr>
        <w:footnoteReference w:id="183"/>
      </w:r>
      <w:r w:rsidR="00C542FC">
        <w:rPr>
          <w:noProof/>
        </w:rPr>
        <w:t>.</w:t>
      </w:r>
      <w:r w:rsidR="002457FF" w:rsidRPr="00DC621B">
        <w:rPr>
          <w:noProof/>
        </w:rPr>
        <w:t xml:space="preserve"> </w:t>
      </w:r>
      <w:r w:rsidR="00C10DC2" w:rsidRPr="00DC621B">
        <w:rPr>
          <w:noProof/>
        </w:rPr>
        <w:t>Whilst primarily focussed on households in most Member States</w:t>
      </w:r>
      <w:r w:rsidR="00C10DC2" w:rsidRPr="00DC621B">
        <w:rPr>
          <w:rStyle w:val="FootnoteReference"/>
          <w:noProof/>
        </w:rPr>
        <w:footnoteReference w:id="184"/>
      </w:r>
      <w:r w:rsidR="00C542FC">
        <w:rPr>
          <w:noProof/>
        </w:rPr>
        <w:t>,</w:t>
      </w:r>
      <w:r w:rsidR="00C10DC2" w:rsidRPr="00DC621B">
        <w:rPr>
          <w:noProof/>
        </w:rPr>
        <w:t xml:space="preserve"> there are some countries such as Italy and Hungary </w:t>
      </w:r>
      <w:r w:rsidR="004125E4" w:rsidRPr="00DC621B">
        <w:rPr>
          <w:noProof/>
        </w:rPr>
        <w:t xml:space="preserve">with schemes in place </w:t>
      </w:r>
      <w:r w:rsidR="00C10DC2" w:rsidRPr="00DC621B">
        <w:rPr>
          <w:noProof/>
        </w:rPr>
        <w:t>that target enterprises.</w:t>
      </w:r>
    </w:p>
    <w:p w:rsidR="002C4D5D" w:rsidRPr="00DC621B" w:rsidRDefault="002C4D5D" w:rsidP="00025019">
      <w:pPr>
        <w:rPr>
          <w:noProof/>
        </w:rPr>
      </w:pPr>
      <w:r w:rsidRPr="00DC621B">
        <w:rPr>
          <w:noProof/>
        </w:rPr>
        <w:t xml:space="preserve">In general, it is recommended that price regulation </w:t>
      </w:r>
      <w:r w:rsidR="0006733E">
        <w:rPr>
          <w:noProof/>
        </w:rPr>
        <w:t xml:space="preserve">shall </w:t>
      </w:r>
      <w:r w:rsidRPr="00DC621B">
        <w:rPr>
          <w:noProof/>
        </w:rPr>
        <w:t xml:space="preserve">be avoided all together because it is considered as a major barrier for the completion of the internal energy market. More information on the effectiveness of price regulation can be found under </w:t>
      </w:r>
      <w:r w:rsidR="00706E41">
        <w:rPr>
          <w:noProof/>
        </w:rPr>
        <w:t>S</w:t>
      </w:r>
      <w:r w:rsidRPr="00DC621B">
        <w:rPr>
          <w:noProof/>
        </w:rPr>
        <w:t xml:space="preserve">ection </w:t>
      </w:r>
      <w:r w:rsidR="00A178D8">
        <w:rPr>
          <w:noProof/>
        </w:rPr>
        <w:t>6</w:t>
      </w:r>
      <w:r w:rsidRPr="00DC621B">
        <w:rPr>
          <w:noProof/>
        </w:rPr>
        <w:t>.1.1. on market integration, competition and investments.</w:t>
      </w:r>
    </w:p>
    <w:p w:rsidR="009310F3" w:rsidRPr="00DC621B" w:rsidRDefault="004A6179" w:rsidP="00D646E3">
      <w:pPr>
        <w:pStyle w:val="Heading3"/>
        <w:ind w:left="720"/>
        <w:rPr>
          <w:noProof/>
        </w:rPr>
      </w:pPr>
      <w:bookmarkStart w:id="433" w:name="_Toc76743546"/>
      <w:bookmarkStart w:id="434" w:name="_Toc77590806"/>
      <w:bookmarkStart w:id="435" w:name="_Toc77600964"/>
      <w:bookmarkStart w:id="436" w:name="_Toc77682223"/>
      <w:bookmarkStart w:id="437" w:name="_Toc89688268"/>
      <w:bookmarkStart w:id="438" w:name="_Toc89882331"/>
      <w:bookmarkStart w:id="439" w:name="_Toc455134325"/>
      <w:bookmarkStart w:id="440" w:name="_Toc455148849"/>
      <w:bookmarkStart w:id="441" w:name="_Toc455156734"/>
      <w:bookmarkStart w:id="442" w:name="_Toc455156890"/>
      <w:bookmarkStart w:id="443" w:name="_Toc455160060"/>
      <w:bookmarkStart w:id="444" w:name="_Toc456772832"/>
      <w:bookmarkEnd w:id="432"/>
      <w:r w:rsidRPr="00DC621B">
        <w:rPr>
          <w:noProof/>
        </w:rPr>
        <w:t>Decarbonisation and the integration of renewable and decarbonised gases into the</w:t>
      </w:r>
      <w:r w:rsidR="009310F3" w:rsidRPr="00DC621B">
        <w:rPr>
          <w:noProof/>
        </w:rPr>
        <w:t xml:space="preserve"> market</w:t>
      </w:r>
      <w:bookmarkEnd w:id="433"/>
      <w:bookmarkEnd w:id="434"/>
      <w:bookmarkEnd w:id="435"/>
      <w:bookmarkEnd w:id="436"/>
      <w:bookmarkEnd w:id="437"/>
      <w:bookmarkEnd w:id="438"/>
      <w:r w:rsidR="009310F3" w:rsidRPr="00DC621B">
        <w:rPr>
          <w:noProof/>
        </w:rPr>
        <w:t xml:space="preserve"> </w:t>
      </w:r>
      <w:bookmarkEnd w:id="439"/>
      <w:bookmarkEnd w:id="440"/>
      <w:bookmarkEnd w:id="441"/>
      <w:bookmarkEnd w:id="442"/>
      <w:bookmarkEnd w:id="443"/>
      <w:bookmarkEnd w:id="444"/>
    </w:p>
    <w:p w:rsidR="00D42D66" w:rsidRPr="00DC621B" w:rsidRDefault="00D42D66">
      <w:pPr>
        <w:rPr>
          <w:rFonts w:cstheme="minorBidi"/>
          <w:noProof/>
        </w:rPr>
      </w:pPr>
      <w:r w:rsidRPr="00DC621B">
        <w:rPr>
          <w:rFonts w:cstheme="minorBidi"/>
          <w:noProof/>
        </w:rPr>
        <w:t>Today, natural gas supply (imported and indigenous production) flows from the transmission system directly to large consumers and to distribution systems, from where it reaches decentralised end-consumers. The current market organisation and the generally accepted ACER Gas Target Model</w:t>
      </w:r>
      <w:r w:rsidRPr="00DC621B">
        <w:rPr>
          <w:rStyle w:val="FootnoteReference"/>
          <w:rFonts w:cstheme="minorBidi"/>
          <w:noProof/>
        </w:rPr>
        <w:footnoteReference w:id="185"/>
      </w:r>
      <w:r w:rsidRPr="00DC621B">
        <w:rPr>
          <w:rFonts w:cstheme="minorBidi"/>
          <w:noProof/>
        </w:rPr>
        <w:t xml:space="preserve"> follow the logic of these physical flows. </w:t>
      </w:r>
    </w:p>
    <w:p w:rsidR="00D42D66" w:rsidRPr="00DC621B" w:rsidRDefault="00D42D66">
      <w:pPr>
        <w:rPr>
          <w:rFonts w:cstheme="minorBidi"/>
          <w:noProof/>
        </w:rPr>
      </w:pPr>
      <w:r w:rsidRPr="00DC621B">
        <w:rPr>
          <w:rFonts w:cstheme="minorBidi"/>
          <w:noProof/>
        </w:rPr>
        <w:t>With increasing production of renewable and decarbonised gases, more production facilities could be connected at the distribution level. The current market organisation does not necessarily foresee participation of the distribution level in the wholesale market. The tradability of decentrally produced gases is hence limited, blocking (smaller) facilities from becoming active components of the energy system.</w:t>
      </w:r>
    </w:p>
    <w:p w:rsidR="00D42D66" w:rsidRPr="00DC621B" w:rsidRDefault="00D42D66">
      <w:pPr>
        <w:rPr>
          <w:rFonts w:cstheme="minorBidi"/>
          <w:noProof/>
        </w:rPr>
      </w:pPr>
      <w:r w:rsidRPr="00DC621B">
        <w:rPr>
          <w:noProof/>
        </w:rPr>
        <w:t>Although Article 8 of the Gas Directive and Article 20 of the RED</w:t>
      </w:r>
      <w:r w:rsidR="0006733E">
        <w:rPr>
          <w:noProof/>
        </w:rPr>
        <w:t xml:space="preserve"> </w:t>
      </w:r>
      <w:r w:rsidRPr="00DC621B">
        <w:rPr>
          <w:noProof/>
        </w:rPr>
        <w:t>II are requiring that transmission and distribution operators publish technical and financial conditions to connect to the networks,</w:t>
      </w:r>
      <w:r w:rsidRPr="00DC621B">
        <w:rPr>
          <w:rFonts w:cstheme="minorBidi"/>
          <w:noProof/>
        </w:rPr>
        <w:t xml:space="preserve"> the current EU market organisation does not require inclusion of the plants connected at the distribution level to the wholesale market. R</w:t>
      </w:r>
      <w:r w:rsidRPr="00DC621B">
        <w:rPr>
          <w:noProof/>
        </w:rPr>
        <w:t>ules on the flow from the distribution to the transmission level, i.e. physical reverse flow, do not exist at EU level either.</w:t>
      </w:r>
      <w:r w:rsidRPr="00DC621B">
        <w:rPr>
          <w:rFonts w:cstheme="minorBidi"/>
          <w:noProof/>
        </w:rPr>
        <w:t xml:space="preserve"> </w:t>
      </w:r>
      <w:r w:rsidRPr="00DC621B">
        <w:rPr>
          <w:noProof/>
        </w:rPr>
        <w:t>However, such rules exist in those Member States most successful in the role-out and scaling-up of biomethane and biogas. In Denmark and Germany</w:t>
      </w:r>
      <w:r w:rsidR="0006733E">
        <w:rPr>
          <w:noProof/>
        </w:rPr>
        <w:t>,</w:t>
      </w:r>
      <w:r w:rsidRPr="00DC621B">
        <w:rPr>
          <w:noProof/>
        </w:rPr>
        <w:t xml:space="preserve"> the distribution level is part of the entry-exit system and the balancing zone.</w:t>
      </w:r>
    </w:p>
    <w:p w:rsidR="009310F3" w:rsidRPr="00DC621B" w:rsidRDefault="009310F3" w:rsidP="00D646E3">
      <w:pPr>
        <w:pStyle w:val="Heading3"/>
        <w:ind w:left="720"/>
        <w:rPr>
          <w:noProof/>
        </w:rPr>
      </w:pPr>
      <w:bookmarkStart w:id="445" w:name="_Toc455064654"/>
      <w:bookmarkStart w:id="446" w:name="_Toc455070096"/>
      <w:bookmarkStart w:id="447" w:name="_Toc455074001"/>
      <w:bookmarkStart w:id="448" w:name="_Toc455074330"/>
      <w:bookmarkStart w:id="449" w:name="_Toc455082009"/>
      <w:bookmarkStart w:id="450" w:name="_Toc455082101"/>
      <w:bookmarkStart w:id="451" w:name="_Toc455082973"/>
      <w:bookmarkStart w:id="452" w:name="_Toc455134326"/>
      <w:bookmarkStart w:id="453" w:name="_Toc455148850"/>
      <w:bookmarkStart w:id="454" w:name="_Toc455156735"/>
      <w:bookmarkStart w:id="455" w:name="_Toc455156891"/>
      <w:bookmarkStart w:id="456" w:name="_Toc455160061"/>
      <w:bookmarkStart w:id="457" w:name="_Toc456772833"/>
      <w:bookmarkStart w:id="458" w:name="_Toc76743547"/>
      <w:bookmarkStart w:id="459" w:name="_Toc77590807"/>
      <w:bookmarkStart w:id="460" w:name="_Toc77600965"/>
      <w:bookmarkStart w:id="461" w:name="_Toc77682224"/>
      <w:bookmarkStart w:id="462" w:name="_Toc89688269"/>
      <w:bookmarkStart w:id="463" w:name="_Toc89882332"/>
      <w:r w:rsidRPr="00DC621B">
        <w:rPr>
          <w:noProof/>
        </w:rPr>
        <w:t>Consumers participation and protection</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2C4D5D" w:rsidRPr="00DC621B" w:rsidRDefault="002C4D5D" w:rsidP="00025019">
      <w:pPr>
        <w:rPr>
          <w:noProof/>
        </w:rPr>
      </w:pPr>
      <w:r w:rsidRPr="00DC621B">
        <w:rPr>
          <w:noProof/>
          <w:lang w:eastAsia="en-GB"/>
        </w:rPr>
        <w:t>Several consumer related provisions of the Gas Directive have been surpassed by developments and could benefit from being updated in order to align consumer protection in gas with electricity sector and tackle new emerging challenges of the sector.</w:t>
      </w:r>
      <w:r w:rsidRPr="00DC621B">
        <w:rPr>
          <w:noProof/>
        </w:rPr>
        <w:t xml:space="preserve"> In the gas sector, </w:t>
      </w:r>
      <w:r w:rsidR="00743DD5" w:rsidRPr="00DC621B">
        <w:rPr>
          <w:noProof/>
        </w:rPr>
        <w:t>measures</w:t>
      </w:r>
      <w:r w:rsidRPr="00DC621B">
        <w:rPr>
          <w:noProof/>
        </w:rPr>
        <w:t xml:space="preserve"> at the national level </w:t>
      </w:r>
      <w:r w:rsidR="00743DD5" w:rsidRPr="00DC621B">
        <w:rPr>
          <w:noProof/>
        </w:rPr>
        <w:t xml:space="preserve">are not consistent across member States </w:t>
      </w:r>
      <w:r w:rsidRPr="00DC621B">
        <w:rPr>
          <w:noProof/>
        </w:rPr>
        <w:t>with regards transparency and clarity of information of energy bills, creating unbalanced protection of consumers across the EU. Moreover, the increase in the amount of information provided in gas bills has not necessarily translated into more clarity of the energy bills</w:t>
      </w:r>
      <w:r w:rsidRPr="00DC621B">
        <w:rPr>
          <w:rStyle w:val="FootnoteReference"/>
          <w:noProof/>
        </w:rPr>
        <w:footnoteReference w:id="186"/>
      </w:r>
      <w:r w:rsidR="00C542FC">
        <w:rPr>
          <w:noProof/>
        </w:rPr>
        <w:t>.</w:t>
      </w:r>
      <w:r w:rsidRPr="00DC621B">
        <w:rPr>
          <w:noProof/>
        </w:rPr>
        <w:t xml:space="preserve"> In addition, comparison tools have been set up in</w:t>
      </w:r>
      <w:r w:rsidR="00743DD5" w:rsidRPr="00DC621B">
        <w:rPr>
          <w:noProof/>
        </w:rPr>
        <w:t xml:space="preserve"> several Member States, however, uptake remains inconsistent across countries. </w:t>
      </w:r>
    </w:p>
    <w:p w:rsidR="00B02102" w:rsidRPr="00DC621B" w:rsidRDefault="002C4D5D" w:rsidP="00025019">
      <w:pPr>
        <w:rPr>
          <w:noProof/>
          <w:lang w:eastAsia="en-GB"/>
        </w:rPr>
      </w:pPr>
      <w:r w:rsidRPr="00DC621B">
        <w:rPr>
          <w:noProof/>
        </w:rPr>
        <w:t xml:space="preserve">Similarly, there is also diversity in national practices when it comes to easy, safe and secure access to consumption data by final customers (and third parties of their choice), and therefore to necessary tools for their empowerment and active participation in the market. This becomes more pertinent with the introduction of gas smart meters, usually owned by DSOs, and the enriching of the respective metering data, calling for clear, transparent and non-discriminatory rules for access to data, independently of the data management model used. At the same time, </w:t>
      </w:r>
      <w:r w:rsidRPr="00DC621B">
        <w:rPr>
          <w:noProof/>
          <w:lang w:eastAsia="en-GB"/>
        </w:rPr>
        <w:t>the existing gas smart metering provisions remain relevant, although parts of them could benefit from being revisited/updated. For example, one could consider introducing a requirement to revise at regular intervals, or in response to technological and market developments, those negative assessments for the rollout of smart metering, given the noted positive trend on accrued benefits and lower costs, or to set a penetration target for the positively assessed cases.</w:t>
      </w:r>
      <w:r w:rsidR="0B1503CD" w:rsidRPr="00DC621B">
        <w:rPr>
          <w:noProof/>
          <w:lang w:eastAsia="en-GB"/>
        </w:rPr>
        <w:t xml:space="preserve"> </w:t>
      </w:r>
    </w:p>
    <w:p w:rsidR="00025019" w:rsidRPr="00DC621B" w:rsidRDefault="00B02102" w:rsidP="009E5067">
      <w:pPr>
        <w:rPr>
          <w:noProof/>
        </w:rPr>
      </w:pPr>
      <w:r w:rsidRPr="00DC621B">
        <w:rPr>
          <w:noProof/>
          <w:lang w:eastAsia="en-GB"/>
        </w:rPr>
        <w:t xml:space="preserve">Overall, </w:t>
      </w:r>
      <w:r w:rsidRPr="00DC621B">
        <w:rPr>
          <w:noProof/>
        </w:rPr>
        <w:t>the</w:t>
      </w:r>
      <w:r w:rsidR="002C4D5D" w:rsidRPr="00DC621B">
        <w:rPr>
          <w:noProof/>
        </w:rPr>
        <w:t xml:space="preserve"> decarbonisation, rapid digitalization, and technology developments are reshaping the functioning of the sector. Member States and their regulatory bodies, service providers, consumer organizations and consumers are thus being forced to adapt to all these changes and redefine their roles. An intervention to up-date current rules looks, therefore, highly relevant</w:t>
      </w:r>
      <w:r w:rsidR="004236E7">
        <w:rPr>
          <w:noProof/>
        </w:rPr>
        <w:t>.</w:t>
      </w:r>
    </w:p>
    <w:p w:rsidR="002C4D5D" w:rsidRPr="00DC621B" w:rsidRDefault="002C4D5D" w:rsidP="00025019">
      <w:pPr>
        <w:rPr>
          <w:noProof/>
          <w:szCs w:val="24"/>
        </w:rPr>
      </w:pPr>
      <w:r w:rsidRPr="00DC621B">
        <w:rPr>
          <w:noProof/>
        </w:rPr>
        <w:t>Since 2000</w:t>
      </w:r>
      <w:r w:rsidR="004236E7">
        <w:rPr>
          <w:noProof/>
        </w:rPr>
        <w:t>,</w:t>
      </w:r>
      <w:r w:rsidRPr="00DC621B">
        <w:rPr>
          <w:noProof/>
        </w:rPr>
        <w:t xml:space="preserve"> expenditure on energy services for the poorest households in the EU has increased by 50%, reaching almost 9% of their total budget on average. And in 2014, the gap in the share of expenditure spent on domestic energy services between the average and the poorest households increased to </w:t>
      </w:r>
      <w:r w:rsidR="004236E7">
        <w:rPr>
          <w:noProof/>
        </w:rPr>
        <w:t>3%</w:t>
      </w:r>
      <w:r w:rsidRPr="00DC621B">
        <w:rPr>
          <w:noProof/>
        </w:rPr>
        <w:t>. These developments have provoked strong political interest in the issues of consumer vulnerability and energy poverty, and may suggest that the existing provisions on these topics in the acquis need to be revisited to be relevant in the current context. Consumer vulnerability will remain relevant as some drivers of vulnerability are permanent. Energy poverty problem is likely to grow in the future if no policy measures are adopted.</w:t>
      </w:r>
      <w:r w:rsidR="001C2EB2" w:rsidRPr="00DC621B">
        <w:rPr>
          <w:noProof/>
        </w:rPr>
        <w:t xml:space="preserve"> </w:t>
      </w:r>
      <w:r w:rsidR="00FF4CE4" w:rsidRPr="00DC621B">
        <w:rPr>
          <w:noProof/>
          <w:szCs w:val="24"/>
        </w:rPr>
        <w:t>About</w:t>
      </w:r>
      <w:r w:rsidR="001C2EB2" w:rsidRPr="00DC621B">
        <w:rPr>
          <w:noProof/>
          <w:szCs w:val="24"/>
        </w:rPr>
        <w:t xml:space="preserve"> 34 million Europeans reported an inability to keep their homes adequately warm in 2018, and 6.9% of the Union population have said that they cannot afford to heat their home sufficiently in a 2019 EU-wide survey</w:t>
      </w:r>
      <w:r w:rsidR="001C2EB2" w:rsidRPr="00DC621B">
        <w:rPr>
          <w:rStyle w:val="FootnoteReference"/>
          <w:noProof/>
          <w:szCs w:val="24"/>
        </w:rPr>
        <w:footnoteReference w:id="187"/>
      </w:r>
      <w:r w:rsidR="00C542FC">
        <w:rPr>
          <w:noProof/>
          <w:szCs w:val="24"/>
        </w:rPr>
        <w:t>.</w:t>
      </w:r>
    </w:p>
    <w:p w:rsidR="009310F3" w:rsidRPr="00DC621B" w:rsidRDefault="009310F3" w:rsidP="007F7B3A">
      <w:pPr>
        <w:pStyle w:val="Heading2"/>
        <w:rPr>
          <w:rFonts w:eastAsia="Calibri"/>
          <w:noProof/>
        </w:rPr>
      </w:pPr>
      <w:bookmarkStart w:id="464" w:name="_Toc455133027"/>
      <w:bookmarkStart w:id="465" w:name="_Toc455133258"/>
      <w:bookmarkStart w:id="466" w:name="_Toc455133414"/>
      <w:bookmarkStart w:id="467" w:name="_Toc455133870"/>
      <w:bookmarkStart w:id="468" w:name="_Toc455134171"/>
      <w:bookmarkStart w:id="469" w:name="_Toc455134509"/>
      <w:bookmarkStart w:id="470" w:name="_Toc455148851"/>
      <w:bookmarkStart w:id="471" w:name="_Toc455149408"/>
      <w:bookmarkStart w:id="472" w:name="_Toc455151514"/>
      <w:bookmarkStart w:id="473" w:name="_Toc455153852"/>
      <w:bookmarkStart w:id="474" w:name="_Toc455156133"/>
      <w:bookmarkStart w:id="475" w:name="_Toc455156736"/>
      <w:bookmarkStart w:id="476" w:name="_Toc455156892"/>
      <w:bookmarkStart w:id="477" w:name="_Toc455160062"/>
      <w:bookmarkStart w:id="478" w:name="_Toc455133029"/>
      <w:bookmarkStart w:id="479" w:name="_Toc455133260"/>
      <w:bookmarkStart w:id="480" w:name="_Toc455133416"/>
      <w:bookmarkStart w:id="481" w:name="_Toc455133872"/>
      <w:bookmarkStart w:id="482" w:name="_Toc455134173"/>
      <w:bookmarkStart w:id="483" w:name="_Toc455134511"/>
      <w:bookmarkStart w:id="484" w:name="_Toc455148853"/>
      <w:bookmarkStart w:id="485" w:name="_Toc455149410"/>
      <w:bookmarkStart w:id="486" w:name="_Toc455151516"/>
      <w:bookmarkStart w:id="487" w:name="_Toc455153854"/>
      <w:bookmarkStart w:id="488" w:name="_Toc455156135"/>
      <w:bookmarkStart w:id="489" w:name="_Toc455156738"/>
      <w:bookmarkStart w:id="490" w:name="_Toc455156894"/>
      <w:bookmarkStart w:id="491" w:name="_Toc454961067"/>
      <w:bookmarkStart w:id="492" w:name="_Toc454961070"/>
      <w:bookmarkStart w:id="493" w:name="_Toc455064658"/>
      <w:bookmarkStart w:id="494" w:name="_Toc455070100"/>
      <w:bookmarkStart w:id="495" w:name="_Toc455074005"/>
      <w:bookmarkStart w:id="496" w:name="_Toc455074334"/>
      <w:bookmarkStart w:id="497" w:name="_Toc455082013"/>
      <w:bookmarkStart w:id="498" w:name="_Toc455082105"/>
      <w:bookmarkStart w:id="499" w:name="_Toc455082977"/>
      <w:bookmarkStart w:id="500" w:name="_Toc455134330"/>
      <w:bookmarkStart w:id="501" w:name="_Toc455148872"/>
      <w:bookmarkStart w:id="502" w:name="_Toc455156757"/>
      <w:bookmarkStart w:id="503" w:name="_Toc455156913"/>
      <w:bookmarkStart w:id="504" w:name="_Toc455160066"/>
      <w:bookmarkStart w:id="505" w:name="_Toc456772836"/>
      <w:bookmarkStart w:id="506" w:name="_Toc76743549"/>
      <w:bookmarkStart w:id="507" w:name="_Toc77590808"/>
      <w:bookmarkStart w:id="508" w:name="_Toc77600966"/>
      <w:bookmarkStart w:id="509" w:name="_Toc77682225"/>
      <w:bookmarkStart w:id="510" w:name="_Toc89688270"/>
      <w:bookmarkStart w:id="511" w:name="_Toc8988233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DC621B">
        <w:rPr>
          <w:rFonts w:eastAsia="Calibri"/>
          <w:noProof/>
        </w:rPr>
        <w:t>Coherence</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A94BA9" w:rsidRPr="00DC621B" w:rsidRDefault="009310F3" w:rsidP="796E43CC">
      <w:pPr>
        <w:rPr>
          <w:noProof/>
        </w:rPr>
      </w:pPr>
      <w:r w:rsidRPr="00DC621B">
        <w:rPr>
          <w:noProof/>
        </w:rPr>
        <w:t xml:space="preserve">Under this section the </w:t>
      </w:r>
      <w:r w:rsidR="003F6848">
        <w:rPr>
          <w:noProof/>
        </w:rPr>
        <w:t>E</w:t>
      </w:r>
      <w:r w:rsidRPr="00DC621B">
        <w:rPr>
          <w:noProof/>
        </w:rPr>
        <w:t>valuation aims at verifying both internal and external coherence of the Third Energy Package. The former (internal coherence) includes consistency and interdependence of various regulatory measures adopted under the Third Package</w:t>
      </w:r>
      <w:r w:rsidR="00A94BA9" w:rsidRPr="00DC621B">
        <w:rPr>
          <w:noProof/>
        </w:rPr>
        <w:t xml:space="preserve">: </w:t>
      </w:r>
    </w:p>
    <w:p w:rsidR="00A94BA9" w:rsidRPr="00DC621B" w:rsidRDefault="00A3395C" w:rsidP="00DE35C2">
      <w:pPr>
        <w:pStyle w:val="ListParagraph"/>
        <w:numPr>
          <w:ilvl w:val="0"/>
          <w:numId w:val="31"/>
        </w:numPr>
        <w:spacing w:after="0"/>
        <w:rPr>
          <w:rStyle w:val="Strong"/>
          <w:b w:val="0"/>
          <w:bCs w:val="0"/>
          <w:noProof/>
        </w:rPr>
      </w:pPr>
      <w:r>
        <w:rPr>
          <w:rStyle w:val="Strong"/>
          <w:b w:val="0"/>
          <w:bCs w:val="0"/>
          <w:noProof/>
        </w:rPr>
        <w:t>n</w:t>
      </w:r>
      <w:r w:rsidR="00A94BA9" w:rsidRPr="00DC621B">
        <w:rPr>
          <w:rStyle w:val="Strong"/>
          <w:b w:val="0"/>
          <w:bCs w:val="0"/>
          <w:noProof/>
        </w:rPr>
        <w:t xml:space="preserve">etwork </w:t>
      </w:r>
      <w:r>
        <w:rPr>
          <w:rStyle w:val="Strong"/>
          <w:b w:val="0"/>
          <w:bCs w:val="0"/>
          <w:noProof/>
        </w:rPr>
        <w:t>c</w:t>
      </w:r>
      <w:r w:rsidR="00A94BA9" w:rsidRPr="00DC621B">
        <w:rPr>
          <w:rStyle w:val="Strong"/>
          <w:b w:val="0"/>
          <w:bCs w:val="0"/>
          <w:noProof/>
        </w:rPr>
        <w:t xml:space="preserve">odes and </w:t>
      </w:r>
      <w:r>
        <w:rPr>
          <w:rStyle w:val="Strong"/>
          <w:b w:val="0"/>
          <w:bCs w:val="0"/>
          <w:noProof/>
        </w:rPr>
        <w:t>g</w:t>
      </w:r>
      <w:r w:rsidR="00A94BA9" w:rsidRPr="00DC621B">
        <w:rPr>
          <w:rStyle w:val="Strong"/>
          <w:b w:val="0"/>
          <w:bCs w:val="0"/>
          <w:noProof/>
        </w:rPr>
        <w:t>uidelines:</w:t>
      </w:r>
    </w:p>
    <w:p w:rsidR="00A94BA9" w:rsidRPr="00DC621B" w:rsidRDefault="00A94BA9" w:rsidP="00D646E3">
      <w:pPr>
        <w:pStyle w:val="ListParagraph"/>
        <w:numPr>
          <w:ilvl w:val="1"/>
          <w:numId w:val="379"/>
        </w:numPr>
        <w:rPr>
          <w:noProof/>
        </w:rPr>
      </w:pPr>
      <w:r w:rsidRPr="00DC621B">
        <w:rPr>
          <w:noProof/>
        </w:rPr>
        <w:t>Commission Regulation (EU) 2017/459 of 16 March 2017 establishing a network code on capacity allocation mechanisms in gas transmission systems and repealing Regulation (EU) No 984/2013</w:t>
      </w:r>
      <w:r w:rsidRPr="00DC621B">
        <w:rPr>
          <w:rStyle w:val="FootnoteReference"/>
          <w:noProof/>
        </w:rPr>
        <w:footnoteReference w:id="188"/>
      </w:r>
      <w:r w:rsidR="00C542FC">
        <w:rPr>
          <w:noProof/>
        </w:rPr>
        <w:t>;</w:t>
      </w:r>
    </w:p>
    <w:p w:rsidR="00A94BA9" w:rsidRPr="00DC621B" w:rsidRDefault="00A94BA9" w:rsidP="00D646E3">
      <w:pPr>
        <w:pStyle w:val="ListParagraph"/>
        <w:numPr>
          <w:ilvl w:val="1"/>
          <w:numId w:val="379"/>
        </w:numPr>
        <w:rPr>
          <w:noProof/>
        </w:rPr>
      </w:pPr>
      <w:r w:rsidRPr="00DC621B">
        <w:rPr>
          <w:noProof/>
        </w:rPr>
        <w:t xml:space="preserve">Commission Regulation (EU) No 312/2014 of 26 March 2014 establishing a </w:t>
      </w:r>
      <w:r w:rsidR="00A3395C">
        <w:rPr>
          <w:noProof/>
        </w:rPr>
        <w:t>n</w:t>
      </w:r>
      <w:r w:rsidRPr="00DC621B">
        <w:rPr>
          <w:noProof/>
        </w:rPr>
        <w:t xml:space="preserve">etwork </w:t>
      </w:r>
      <w:r w:rsidR="00A3395C">
        <w:rPr>
          <w:noProof/>
        </w:rPr>
        <w:t>c</w:t>
      </w:r>
      <w:r w:rsidRPr="00DC621B">
        <w:rPr>
          <w:noProof/>
        </w:rPr>
        <w:t xml:space="preserve">ode on </w:t>
      </w:r>
      <w:r w:rsidR="00A3395C">
        <w:rPr>
          <w:noProof/>
        </w:rPr>
        <w:t>g</w:t>
      </w:r>
      <w:r w:rsidRPr="00DC621B">
        <w:rPr>
          <w:noProof/>
        </w:rPr>
        <w:t xml:space="preserve">as </w:t>
      </w:r>
      <w:r w:rsidR="00A3395C">
        <w:rPr>
          <w:noProof/>
        </w:rPr>
        <w:t>b</w:t>
      </w:r>
      <w:r w:rsidRPr="00DC621B">
        <w:rPr>
          <w:noProof/>
        </w:rPr>
        <w:t xml:space="preserve">alancing of </w:t>
      </w:r>
      <w:r w:rsidR="00A3395C">
        <w:rPr>
          <w:noProof/>
        </w:rPr>
        <w:t>t</w:t>
      </w:r>
      <w:r w:rsidRPr="00DC621B">
        <w:rPr>
          <w:noProof/>
        </w:rPr>
        <w:t xml:space="preserve">ransmission </w:t>
      </w:r>
      <w:r w:rsidR="00A3395C">
        <w:rPr>
          <w:noProof/>
        </w:rPr>
        <w:t>n</w:t>
      </w:r>
      <w:r w:rsidRPr="00DC621B">
        <w:rPr>
          <w:noProof/>
        </w:rPr>
        <w:t>etworks</w:t>
      </w:r>
      <w:r w:rsidRPr="00DC621B">
        <w:rPr>
          <w:rStyle w:val="FootnoteReference"/>
          <w:noProof/>
        </w:rPr>
        <w:footnoteReference w:id="189"/>
      </w:r>
      <w:r w:rsidR="00C542FC">
        <w:rPr>
          <w:noProof/>
        </w:rPr>
        <w:t>;</w:t>
      </w:r>
    </w:p>
    <w:p w:rsidR="003220AB" w:rsidRPr="00DC621B" w:rsidRDefault="003220AB" w:rsidP="00D646E3">
      <w:pPr>
        <w:pStyle w:val="ListParagraph"/>
        <w:numPr>
          <w:ilvl w:val="1"/>
          <w:numId w:val="379"/>
        </w:numPr>
        <w:rPr>
          <w:noProof/>
        </w:rPr>
      </w:pPr>
      <w:r w:rsidRPr="00DC621B">
        <w:rPr>
          <w:noProof/>
        </w:rPr>
        <w:t>Commission Decision 2010/685/EU of 10 November 2010</w:t>
      </w:r>
      <w:r w:rsidR="00886860" w:rsidRPr="00DC621B">
        <w:rPr>
          <w:noProof/>
        </w:rPr>
        <w:t xml:space="preserve"> on amending Chapter 3 of Annex I to Regulation (EC) 715/2009</w:t>
      </w:r>
      <w:r w:rsidRPr="00DC621B">
        <w:rPr>
          <w:noProof/>
        </w:rPr>
        <w:t xml:space="preserve"> (Transparency)</w:t>
      </w:r>
      <w:r w:rsidR="00886860" w:rsidRPr="00DC621B">
        <w:rPr>
          <w:rStyle w:val="FootnoteReference"/>
          <w:noProof/>
        </w:rPr>
        <w:footnoteReference w:id="190"/>
      </w:r>
      <w:r w:rsidR="004236E7">
        <w:rPr>
          <w:noProof/>
        </w:rPr>
        <w:t>;</w:t>
      </w:r>
    </w:p>
    <w:p w:rsidR="00886860" w:rsidRPr="00DC621B" w:rsidRDefault="003375D6" w:rsidP="00D646E3">
      <w:pPr>
        <w:pStyle w:val="ListParagraph"/>
        <w:numPr>
          <w:ilvl w:val="1"/>
          <w:numId w:val="379"/>
        </w:numPr>
        <w:rPr>
          <w:noProof/>
        </w:rPr>
      </w:pPr>
      <w:r w:rsidRPr="00DC621B">
        <w:rPr>
          <w:noProof/>
        </w:rPr>
        <w:t>Commission Decision 2012/490/EU of 24 August 2012 on amending Annex I to Regulation (EC) No 715/2009 (Congestion Management Procedures)</w:t>
      </w:r>
      <w:r w:rsidRPr="00DC621B">
        <w:rPr>
          <w:rStyle w:val="FootnoteReference"/>
          <w:noProof/>
        </w:rPr>
        <w:footnoteReference w:id="191"/>
      </w:r>
      <w:r w:rsidR="00C542FC">
        <w:rPr>
          <w:noProof/>
        </w:rPr>
        <w:t>;</w:t>
      </w:r>
    </w:p>
    <w:p w:rsidR="00A94BA9" w:rsidRPr="00DC621B" w:rsidRDefault="00886860" w:rsidP="00D646E3">
      <w:pPr>
        <w:pStyle w:val="ListParagraph"/>
        <w:numPr>
          <w:ilvl w:val="1"/>
          <w:numId w:val="379"/>
        </w:numPr>
        <w:rPr>
          <w:noProof/>
        </w:rPr>
      </w:pPr>
      <w:r w:rsidRPr="00DC621B">
        <w:rPr>
          <w:rFonts w:eastAsiaTheme="minorEastAsia"/>
          <w:b/>
          <w:bCs/>
          <w:noProof/>
          <w:color w:val="000000"/>
          <w:sz w:val="19"/>
          <w:szCs w:val="19"/>
        </w:rPr>
        <w:t xml:space="preserve"> </w:t>
      </w:r>
      <w:r w:rsidRPr="00DC621B">
        <w:rPr>
          <w:noProof/>
        </w:rPr>
        <w:t>Commission Decision (EU) 2015/715 of 30 April 2015</w:t>
      </w:r>
      <w:r w:rsidRPr="00DC621B">
        <w:rPr>
          <w:rStyle w:val="FootnoteReference"/>
          <w:noProof/>
        </w:rPr>
        <w:footnoteReference w:id="192"/>
      </w:r>
      <w:r w:rsidR="00C542FC">
        <w:rPr>
          <w:noProof/>
        </w:rPr>
        <w:t xml:space="preserve"> </w:t>
      </w:r>
      <w:r w:rsidR="00A94BA9" w:rsidRPr="00DC621B">
        <w:rPr>
          <w:noProof/>
        </w:rPr>
        <w:t>Commission Regulation (EU) 2015/703 of 30 April 2015 establishing a network code on interoperability and data exchange rules</w:t>
      </w:r>
      <w:r w:rsidR="00A94BA9" w:rsidRPr="00DC621B">
        <w:rPr>
          <w:rStyle w:val="FootnoteReference"/>
          <w:noProof/>
        </w:rPr>
        <w:footnoteReference w:id="193"/>
      </w:r>
      <w:r w:rsidR="00C542FC">
        <w:rPr>
          <w:noProof/>
        </w:rPr>
        <w:t>;</w:t>
      </w:r>
    </w:p>
    <w:p w:rsidR="00A20245" w:rsidRPr="00DC621B" w:rsidRDefault="00A94BA9" w:rsidP="00D646E3">
      <w:pPr>
        <w:pStyle w:val="ListParagraph"/>
        <w:numPr>
          <w:ilvl w:val="1"/>
          <w:numId w:val="379"/>
        </w:numPr>
        <w:rPr>
          <w:noProof/>
        </w:rPr>
      </w:pPr>
      <w:r w:rsidRPr="00DC621B">
        <w:rPr>
          <w:noProof/>
        </w:rPr>
        <w:t>Commission Regulation (EU) 2017/460 of 16 March 2017 establishing a network code on harmonised transmission tariff structures for gas</w:t>
      </w:r>
      <w:r w:rsidRPr="00DC621B">
        <w:rPr>
          <w:rStyle w:val="FootnoteReference"/>
          <w:noProof/>
        </w:rPr>
        <w:footnoteReference w:id="194"/>
      </w:r>
      <w:r w:rsidR="004236E7">
        <w:rPr>
          <w:noProof/>
        </w:rPr>
        <w:t>;</w:t>
      </w:r>
    </w:p>
    <w:p w:rsidR="00BB002C" w:rsidRPr="00DC621B" w:rsidRDefault="00FD3BAB" w:rsidP="00D646E3">
      <w:pPr>
        <w:pStyle w:val="ListParagraph"/>
        <w:numPr>
          <w:ilvl w:val="1"/>
          <w:numId w:val="379"/>
        </w:numPr>
        <w:rPr>
          <w:noProof/>
        </w:rPr>
      </w:pPr>
      <w:r w:rsidRPr="00DC621B">
        <w:rPr>
          <w:noProof/>
        </w:rPr>
        <w:t>Regulation (EU) 2019/942 of the European Parliament and of the Council of 5 June 2019 establishing a European Union Agency for the Cooperation of Energy Regulators (ACER Regulation)</w:t>
      </w:r>
      <w:r w:rsidRPr="00DC621B">
        <w:rPr>
          <w:rStyle w:val="FootnoteReference"/>
          <w:noProof/>
        </w:rPr>
        <w:footnoteReference w:id="195"/>
      </w:r>
      <w:r w:rsidR="00630BD4">
        <w:rPr>
          <w:noProof/>
        </w:rPr>
        <w:t>.</w:t>
      </w:r>
    </w:p>
    <w:p w:rsidR="009310F3" w:rsidRPr="00DC621B" w:rsidRDefault="009310F3">
      <w:pPr>
        <w:rPr>
          <w:noProof/>
        </w:rPr>
      </w:pPr>
      <w:r w:rsidRPr="00DC621B">
        <w:rPr>
          <w:noProof/>
        </w:rPr>
        <w:t>The latter (external coherence</w:t>
      </w:r>
      <w:r w:rsidR="00A94BA9" w:rsidRPr="00DC621B">
        <w:rPr>
          <w:noProof/>
        </w:rPr>
        <w:t>)</w:t>
      </w:r>
      <w:r w:rsidRPr="00DC621B">
        <w:rPr>
          <w:noProof/>
        </w:rPr>
        <w:t xml:space="preserve">, in turn, means checking coherence of the Third Package with other pieces of legislation relevant for the energy sector namely: </w:t>
      </w:r>
    </w:p>
    <w:p w:rsidR="001734E2" w:rsidRPr="00DC621B" w:rsidRDefault="001734E2" w:rsidP="00D646E3">
      <w:pPr>
        <w:pStyle w:val="ListParagraph"/>
        <w:numPr>
          <w:ilvl w:val="0"/>
          <w:numId w:val="31"/>
        </w:numPr>
        <w:spacing w:after="0"/>
        <w:ind w:left="714" w:hanging="357"/>
        <w:rPr>
          <w:rStyle w:val="Strong"/>
          <w:b w:val="0"/>
          <w:bCs w:val="0"/>
          <w:noProof/>
        </w:rPr>
      </w:pPr>
      <w:r w:rsidRPr="00DC621B">
        <w:rPr>
          <w:noProof/>
        </w:rPr>
        <w:t>Regulation (EU) 2017/1938 of the European Parliament and of the Council of 25 October 2017 concerning measures to safeguard the security of gas supply and repealing Regulation (EU) No 994/2010</w:t>
      </w:r>
      <w:r w:rsidRPr="00DC621B">
        <w:rPr>
          <w:rStyle w:val="Strong"/>
          <w:b w:val="0"/>
          <w:bCs w:val="0"/>
          <w:noProof/>
        </w:rPr>
        <w:t xml:space="preserve"> (Gas SoS Regulation)</w:t>
      </w:r>
      <w:r w:rsidRPr="00DC621B">
        <w:rPr>
          <w:rStyle w:val="FootnoteReference"/>
          <w:noProof/>
        </w:rPr>
        <w:footnoteReference w:id="196"/>
      </w:r>
      <w:r w:rsidR="00630BD4">
        <w:rPr>
          <w:rStyle w:val="Strong"/>
          <w:b w:val="0"/>
          <w:bCs w:val="0"/>
          <w:noProof/>
        </w:rPr>
        <w:t>;</w:t>
      </w:r>
      <w:r w:rsidRPr="00DC621B">
        <w:rPr>
          <w:rStyle w:val="Strong"/>
          <w:b w:val="0"/>
          <w:bCs w:val="0"/>
          <w:noProof/>
        </w:rPr>
        <w:t xml:space="preserve"> </w:t>
      </w:r>
    </w:p>
    <w:p w:rsidR="001734E2" w:rsidRPr="00DC621B" w:rsidRDefault="001734E2" w:rsidP="008B5F6D">
      <w:pPr>
        <w:pStyle w:val="ListParagraph"/>
        <w:rPr>
          <w:bCs/>
          <w:noProof/>
        </w:rPr>
      </w:pPr>
    </w:p>
    <w:p w:rsidR="0027792F" w:rsidRPr="00DC621B" w:rsidRDefault="00E925E9" w:rsidP="00743DD5">
      <w:pPr>
        <w:pStyle w:val="ListParagraph"/>
        <w:numPr>
          <w:ilvl w:val="0"/>
          <w:numId w:val="31"/>
        </w:numPr>
        <w:rPr>
          <w:rStyle w:val="Strong"/>
          <w:b w:val="0"/>
          <w:bCs w:val="0"/>
          <w:noProof/>
        </w:rPr>
      </w:pPr>
      <w:r w:rsidRPr="00DC621B">
        <w:rPr>
          <w:noProof/>
        </w:rPr>
        <w:t>Directive (EU) 2018/2001 of the European Parliament and of the Council of 11 December 2018 on the promotion of the use of energy from renewable sources</w:t>
      </w:r>
      <w:r w:rsidRPr="00DC621B" w:rsidDel="00E925E9">
        <w:rPr>
          <w:rStyle w:val="Strong"/>
          <w:b w:val="0"/>
          <w:bCs w:val="0"/>
          <w:noProof/>
        </w:rPr>
        <w:t xml:space="preserve"> </w:t>
      </w:r>
      <w:r w:rsidR="009310F3" w:rsidRPr="00DC621B">
        <w:rPr>
          <w:rStyle w:val="Strong"/>
          <w:b w:val="0"/>
          <w:bCs w:val="0"/>
          <w:noProof/>
        </w:rPr>
        <w:t>(</w:t>
      </w:r>
      <w:r w:rsidRPr="00DC621B">
        <w:rPr>
          <w:rStyle w:val="Strong"/>
          <w:b w:val="0"/>
          <w:bCs w:val="0"/>
          <w:noProof/>
        </w:rPr>
        <w:t>RED</w:t>
      </w:r>
      <w:r w:rsidR="007A34CA">
        <w:rPr>
          <w:rStyle w:val="Strong"/>
          <w:b w:val="0"/>
          <w:bCs w:val="0"/>
          <w:noProof/>
        </w:rPr>
        <w:t> </w:t>
      </w:r>
      <w:r w:rsidRPr="00DC621B">
        <w:rPr>
          <w:rStyle w:val="Strong"/>
          <w:b w:val="0"/>
          <w:bCs w:val="0"/>
          <w:noProof/>
        </w:rPr>
        <w:t>II</w:t>
      </w:r>
      <w:r w:rsidR="009310F3" w:rsidRPr="00DC621B">
        <w:rPr>
          <w:rStyle w:val="Strong"/>
          <w:b w:val="0"/>
          <w:bCs w:val="0"/>
          <w:noProof/>
        </w:rPr>
        <w:t>)</w:t>
      </w:r>
      <w:r w:rsidRPr="00DC621B">
        <w:rPr>
          <w:rStyle w:val="FootnoteReference"/>
          <w:noProof/>
        </w:rPr>
        <w:footnoteReference w:id="197"/>
      </w:r>
      <w:r w:rsidR="00630BD4">
        <w:rPr>
          <w:rStyle w:val="Strong"/>
          <w:b w:val="0"/>
          <w:bCs w:val="0"/>
          <w:noProof/>
        </w:rPr>
        <w:t>;</w:t>
      </w:r>
    </w:p>
    <w:p w:rsidR="005C21C3" w:rsidRDefault="005C21C3" w:rsidP="005C21C3">
      <w:pPr>
        <w:pStyle w:val="ListParagraph"/>
        <w:rPr>
          <w:noProof/>
        </w:rPr>
      </w:pPr>
    </w:p>
    <w:p w:rsidR="001734E2" w:rsidRPr="00DC621B" w:rsidRDefault="00D94E54" w:rsidP="00743DD5">
      <w:pPr>
        <w:pStyle w:val="ListParagraph"/>
        <w:numPr>
          <w:ilvl w:val="0"/>
          <w:numId w:val="31"/>
        </w:numPr>
        <w:rPr>
          <w:rStyle w:val="Strong"/>
          <w:b w:val="0"/>
          <w:bCs w:val="0"/>
          <w:noProof/>
        </w:rPr>
      </w:pPr>
      <w:r w:rsidRPr="00DC621B">
        <w:rPr>
          <w:noProof/>
        </w:rPr>
        <w:t>Directive (EU) 2018/2002 of the European Parliament and of the Council of 11 December 2018 amending Directive 2012/27/EU on energy efficiency</w:t>
      </w:r>
      <w:r w:rsidR="009310F3" w:rsidRPr="00DC621B">
        <w:rPr>
          <w:rStyle w:val="Strong"/>
          <w:b w:val="0"/>
          <w:bCs w:val="0"/>
          <w:noProof/>
        </w:rPr>
        <w:t xml:space="preserve"> (Energy Efficiency Directive)</w:t>
      </w:r>
      <w:r w:rsidRPr="00DC621B">
        <w:rPr>
          <w:rStyle w:val="FootnoteReference"/>
          <w:noProof/>
        </w:rPr>
        <w:footnoteReference w:id="198"/>
      </w:r>
      <w:r w:rsidR="00630BD4">
        <w:rPr>
          <w:rStyle w:val="Strong"/>
          <w:b w:val="0"/>
          <w:bCs w:val="0"/>
          <w:noProof/>
        </w:rPr>
        <w:t>.</w:t>
      </w:r>
      <w:r w:rsidR="009310F3" w:rsidRPr="00DC621B">
        <w:rPr>
          <w:rStyle w:val="Strong"/>
          <w:b w:val="0"/>
          <w:bCs w:val="0"/>
          <w:noProof/>
        </w:rPr>
        <w:t xml:space="preserve"> </w:t>
      </w:r>
    </w:p>
    <w:p w:rsidR="005C21C3" w:rsidRDefault="005C21C3" w:rsidP="00D646E3">
      <w:pPr>
        <w:pStyle w:val="ListParagraph"/>
        <w:rPr>
          <w:noProof/>
        </w:rPr>
      </w:pPr>
      <w:bookmarkStart w:id="512" w:name="_Toc455064659"/>
      <w:bookmarkStart w:id="513" w:name="_Toc455070101"/>
      <w:bookmarkStart w:id="514" w:name="_Toc455074006"/>
      <w:bookmarkStart w:id="515" w:name="_Toc455074335"/>
      <w:bookmarkStart w:id="516" w:name="_Toc455082014"/>
      <w:bookmarkStart w:id="517" w:name="_Toc455082106"/>
      <w:bookmarkStart w:id="518" w:name="_Toc455082978"/>
      <w:bookmarkStart w:id="519" w:name="_Toc455134331"/>
      <w:bookmarkStart w:id="520" w:name="_Toc455148873"/>
      <w:bookmarkStart w:id="521" w:name="_Toc455156758"/>
      <w:bookmarkStart w:id="522" w:name="_Toc455156914"/>
      <w:bookmarkStart w:id="523" w:name="_Toc455160067"/>
      <w:bookmarkStart w:id="524" w:name="_Toc456772837"/>
      <w:bookmarkStart w:id="525" w:name="_Toc76743550"/>
      <w:bookmarkStart w:id="526" w:name="_Toc77590809"/>
      <w:bookmarkStart w:id="527" w:name="_Toc77600967"/>
      <w:bookmarkStart w:id="528" w:name="_Toc77682226"/>
      <w:bookmarkStart w:id="529" w:name="_Toc89688271"/>
    </w:p>
    <w:p w:rsidR="009310F3" w:rsidRPr="00DC621B" w:rsidRDefault="009310F3" w:rsidP="009D744A">
      <w:pPr>
        <w:pStyle w:val="Heading3"/>
        <w:ind w:left="720"/>
        <w:rPr>
          <w:noProof/>
        </w:rPr>
      </w:pPr>
      <w:bookmarkStart w:id="530" w:name="_Toc89882334"/>
      <w:r w:rsidRPr="00DC621B">
        <w:rPr>
          <w:noProof/>
        </w:rPr>
        <w:t>Internal Coherence</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rsidR="009310F3" w:rsidRPr="00DC621B" w:rsidRDefault="009310F3" w:rsidP="009D744A">
      <w:pPr>
        <w:numPr>
          <w:ilvl w:val="0"/>
          <w:numId w:val="366"/>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Are the various measures comprised in the </w:t>
      </w:r>
      <w:r w:rsidRPr="00DC621B">
        <w:rPr>
          <w:b/>
          <w:bCs/>
          <w:noProof/>
        </w:rPr>
        <w:t>Third Package</w:t>
      </w:r>
      <w:r w:rsidRPr="00DC621B">
        <w:rPr>
          <w:noProof/>
        </w:rPr>
        <w:t xml:space="preserve"> </w:t>
      </w:r>
      <w:r w:rsidRPr="00DC621B">
        <w:rPr>
          <w:b/>
          <w:bCs/>
          <w:noProof/>
        </w:rPr>
        <w:t>properly working together</w:t>
      </w:r>
      <w:r w:rsidRPr="00DC621B">
        <w:rPr>
          <w:noProof/>
        </w:rPr>
        <w:t xml:space="preserve"> or not? </w:t>
      </w:r>
    </w:p>
    <w:p w:rsidR="009310F3" w:rsidRPr="00DC621B" w:rsidRDefault="009310F3" w:rsidP="009D744A">
      <w:pPr>
        <w:numPr>
          <w:ilvl w:val="0"/>
          <w:numId w:val="366"/>
        </w:numPr>
        <w:pBdr>
          <w:top w:val="single" w:sz="4" w:space="1" w:color="auto"/>
          <w:left w:val="single" w:sz="4" w:space="4" w:color="auto"/>
          <w:bottom w:val="single" w:sz="4" w:space="1" w:color="auto"/>
          <w:right w:val="single" w:sz="4" w:space="4" w:color="auto"/>
        </w:pBdr>
        <w:shd w:val="clear" w:color="auto" w:fill="C6D9F1" w:themeFill="text2" w:themeFillTint="33"/>
        <w:ind w:left="426"/>
        <w:rPr>
          <w:noProof/>
        </w:rPr>
      </w:pPr>
      <w:r w:rsidRPr="00DC621B">
        <w:rPr>
          <w:noProof/>
        </w:rPr>
        <w:t xml:space="preserve">Does the </w:t>
      </w:r>
      <w:r w:rsidRPr="00DC621B">
        <w:rPr>
          <w:b/>
          <w:bCs/>
          <w:noProof/>
        </w:rPr>
        <w:t>ineffectiveness of certain measures compromise the effectiveness</w:t>
      </w:r>
      <w:r w:rsidRPr="00DC621B">
        <w:rPr>
          <w:noProof/>
        </w:rPr>
        <w:t xml:space="preserve"> of other components?</w:t>
      </w:r>
    </w:p>
    <w:p w:rsidR="009310F3" w:rsidRPr="00DC621B" w:rsidRDefault="009310F3" w:rsidP="00457BB7">
      <w:pPr>
        <w:rPr>
          <w:rFonts w:eastAsia="Calibri"/>
          <w:b/>
          <w:bCs/>
          <w:noProof/>
        </w:rPr>
      </w:pPr>
      <w:r w:rsidRPr="00DC621B">
        <w:rPr>
          <w:rFonts w:eastAsia="Calibri"/>
          <w:b/>
          <w:bCs/>
          <w:noProof/>
        </w:rPr>
        <w:t xml:space="preserve">General speaking, the Third Energy Package provisions </w:t>
      </w:r>
      <w:r w:rsidR="000D0177" w:rsidRPr="00DC621B">
        <w:rPr>
          <w:rFonts w:eastAsia="Calibri"/>
          <w:b/>
          <w:bCs/>
          <w:noProof/>
        </w:rPr>
        <w:t>have worked</w:t>
      </w:r>
      <w:r w:rsidRPr="00DC621B">
        <w:rPr>
          <w:rFonts w:eastAsia="Calibri"/>
          <w:b/>
          <w:bCs/>
          <w:noProof/>
        </w:rPr>
        <w:t xml:space="preserve"> together well.</w:t>
      </w:r>
      <w:r w:rsidR="008A6A52" w:rsidRPr="00DC621B">
        <w:rPr>
          <w:rFonts w:eastAsia="Calibri"/>
          <w:b/>
          <w:bCs/>
          <w:noProof/>
        </w:rPr>
        <w:t xml:space="preserve"> </w:t>
      </w:r>
      <w:r w:rsidR="008A6A52" w:rsidRPr="00DC621B">
        <w:rPr>
          <w:rFonts w:eastAsia="Calibri"/>
          <w:noProof/>
        </w:rPr>
        <w:t xml:space="preserve">ENTSOG and ACER monitoring reports on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implementation do not identify that the norms and rules contained in the different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odes are not working jointly. Rather, they complement each other. For example,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on </w:t>
      </w:r>
      <w:r w:rsidR="00A3395C">
        <w:rPr>
          <w:rFonts w:eastAsia="Calibri"/>
          <w:noProof/>
        </w:rPr>
        <w:t>i</w:t>
      </w:r>
      <w:r w:rsidR="008A6A52" w:rsidRPr="00DC621B">
        <w:rPr>
          <w:rFonts w:eastAsia="Calibri"/>
          <w:noProof/>
        </w:rPr>
        <w:t xml:space="preserve">nteroperability sets out communication standards and protocols, which support the implementation of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on </w:t>
      </w:r>
      <w:r w:rsidR="00A3395C">
        <w:rPr>
          <w:rFonts w:eastAsia="Calibri"/>
          <w:noProof/>
        </w:rPr>
        <w:t>ca</w:t>
      </w:r>
      <w:r w:rsidR="008A6A52" w:rsidRPr="00DC621B">
        <w:rPr>
          <w:rFonts w:eastAsia="Calibri"/>
          <w:noProof/>
        </w:rPr>
        <w:t xml:space="preserve">pacity </w:t>
      </w:r>
      <w:r w:rsidR="00A3395C">
        <w:rPr>
          <w:rFonts w:eastAsia="Calibri"/>
          <w:noProof/>
        </w:rPr>
        <w:t>a</w:t>
      </w:r>
      <w:r w:rsidR="008A6A52" w:rsidRPr="00DC621B">
        <w:rPr>
          <w:rFonts w:eastAsia="Calibri"/>
          <w:noProof/>
        </w:rPr>
        <w:t xml:space="preserve">llocation or rules for the allocation of gas quantities, which are necessary for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on </w:t>
      </w:r>
      <w:r w:rsidR="00A3395C">
        <w:rPr>
          <w:rFonts w:eastAsia="Calibri"/>
          <w:noProof/>
        </w:rPr>
        <w:t>b</w:t>
      </w:r>
      <w:r w:rsidR="008A6A52" w:rsidRPr="00DC621B">
        <w:rPr>
          <w:rFonts w:eastAsia="Calibri"/>
          <w:noProof/>
        </w:rPr>
        <w:t xml:space="preserve">alancing.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on </w:t>
      </w:r>
      <w:r w:rsidR="00A3395C">
        <w:rPr>
          <w:rFonts w:eastAsia="Calibri"/>
          <w:noProof/>
        </w:rPr>
        <w:t>t</w:t>
      </w:r>
      <w:r w:rsidR="008A6A52" w:rsidRPr="00DC621B">
        <w:rPr>
          <w:rFonts w:eastAsia="Calibri"/>
          <w:noProof/>
        </w:rPr>
        <w:t xml:space="preserve">ransmission tariff structures, on the other hand, is relevant to provide the starting price for the capacity auction as detailed out in the </w:t>
      </w:r>
      <w:r w:rsidR="00A3395C">
        <w:rPr>
          <w:rFonts w:eastAsia="Calibri"/>
          <w:noProof/>
        </w:rPr>
        <w:t>n</w:t>
      </w:r>
      <w:r w:rsidR="008A6A52" w:rsidRPr="00DC621B">
        <w:rPr>
          <w:rFonts w:eastAsia="Calibri"/>
          <w:noProof/>
        </w:rPr>
        <w:t xml:space="preserve">etwork </w:t>
      </w:r>
      <w:r w:rsidR="00A3395C">
        <w:rPr>
          <w:rFonts w:eastAsia="Calibri"/>
          <w:noProof/>
        </w:rPr>
        <w:t>c</w:t>
      </w:r>
      <w:r w:rsidR="008A6A52" w:rsidRPr="00DC621B">
        <w:rPr>
          <w:rFonts w:eastAsia="Calibri"/>
          <w:noProof/>
        </w:rPr>
        <w:t xml:space="preserve">ode on </w:t>
      </w:r>
      <w:r w:rsidR="00A3395C">
        <w:rPr>
          <w:rFonts w:eastAsia="Calibri"/>
          <w:noProof/>
        </w:rPr>
        <w:t>c</w:t>
      </w:r>
      <w:r w:rsidR="008A6A52" w:rsidRPr="00DC621B">
        <w:rPr>
          <w:rFonts w:eastAsia="Calibri"/>
          <w:noProof/>
        </w:rPr>
        <w:t xml:space="preserve">apacity </w:t>
      </w:r>
      <w:r w:rsidR="00A3395C">
        <w:rPr>
          <w:rFonts w:eastAsia="Calibri"/>
          <w:noProof/>
        </w:rPr>
        <w:t>a</w:t>
      </w:r>
      <w:r w:rsidR="008A6A52" w:rsidRPr="00DC621B">
        <w:rPr>
          <w:rFonts w:eastAsia="Calibri"/>
          <w:noProof/>
        </w:rPr>
        <w:t xml:space="preserve">llocation. </w:t>
      </w:r>
    </w:p>
    <w:p w:rsidR="009310F3" w:rsidRPr="00DC621B" w:rsidRDefault="009310F3">
      <w:pPr>
        <w:rPr>
          <w:rFonts w:eastAsia="Calibri"/>
          <w:noProof/>
        </w:rPr>
      </w:pPr>
      <w:r w:rsidRPr="00DC621B">
        <w:rPr>
          <w:rFonts w:eastAsia="Calibri"/>
          <w:noProof/>
        </w:rPr>
        <w:t xml:space="preserve">However, the Commission has spotted several provisions which would need to be either deleted because </w:t>
      </w:r>
      <w:r w:rsidR="00857571" w:rsidRPr="00DC621B">
        <w:rPr>
          <w:rFonts w:eastAsia="Calibri"/>
          <w:noProof/>
        </w:rPr>
        <w:t xml:space="preserve">they are </w:t>
      </w:r>
      <w:r w:rsidRPr="00DC621B">
        <w:rPr>
          <w:rFonts w:eastAsia="Calibri"/>
          <w:noProof/>
        </w:rPr>
        <w:t xml:space="preserve">obsolete or </w:t>
      </w:r>
      <w:r w:rsidR="00857571" w:rsidRPr="00DC621B">
        <w:rPr>
          <w:rFonts w:eastAsia="Calibri"/>
          <w:noProof/>
        </w:rPr>
        <w:t xml:space="preserve">were </w:t>
      </w:r>
      <w:r w:rsidRPr="00DC621B">
        <w:rPr>
          <w:rFonts w:eastAsia="Calibri"/>
          <w:noProof/>
        </w:rPr>
        <w:t>never used</w:t>
      </w:r>
      <w:r w:rsidR="00857571" w:rsidRPr="00DC621B">
        <w:rPr>
          <w:rFonts w:eastAsia="Calibri"/>
          <w:noProof/>
        </w:rPr>
        <w:t>,</w:t>
      </w:r>
      <w:r w:rsidRPr="00DC621B">
        <w:rPr>
          <w:rFonts w:eastAsia="Calibri"/>
          <w:noProof/>
        </w:rPr>
        <w:t xml:space="preserve"> or modified because </w:t>
      </w:r>
      <w:r w:rsidR="00857571" w:rsidRPr="00DC621B">
        <w:rPr>
          <w:rFonts w:eastAsia="Calibri"/>
          <w:noProof/>
        </w:rPr>
        <w:t xml:space="preserve">they are </w:t>
      </w:r>
      <w:r w:rsidRPr="00DC621B">
        <w:rPr>
          <w:rFonts w:eastAsia="Calibri"/>
          <w:noProof/>
        </w:rPr>
        <w:t xml:space="preserve">unclear or confusing. </w:t>
      </w:r>
    </w:p>
    <w:p w:rsidR="00C569F5" w:rsidRPr="00DC621B" w:rsidRDefault="009310F3">
      <w:pPr>
        <w:rPr>
          <w:rFonts w:eastAsia="Calibri"/>
          <w:noProof/>
        </w:rPr>
      </w:pPr>
      <w:r w:rsidRPr="00DC621B">
        <w:rPr>
          <w:rFonts w:eastAsia="Calibri"/>
          <w:noProof/>
        </w:rPr>
        <w:t>More precisely, regarding ACER, the re</w:t>
      </w:r>
      <w:r w:rsidR="001E7026" w:rsidRPr="00DC621B">
        <w:rPr>
          <w:rFonts w:eastAsia="Calibri"/>
          <w:noProof/>
        </w:rPr>
        <w:t xml:space="preserve">port prepared by ACER in 2014, </w:t>
      </w:r>
      <w:r w:rsidR="00C542FC">
        <w:rPr>
          <w:rFonts w:eastAsia="Calibri"/>
          <w:noProof/>
        </w:rPr>
        <w:t>‘</w:t>
      </w:r>
      <w:r w:rsidRPr="00DC621B">
        <w:rPr>
          <w:rFonts w:eastAsia="Calibri"/>
          <w:noProof/>
        </w:rPr>
        <w:t>Energy Regulation: A B</w:t>
      </w:r>
      <w:r w:rsidR="001E7026" w:rsidRPr="00DC621B">
        <w:rPr>
          <w:rFonts w:eastAsia="Calibri"/>
          <w:noProof/>
        </w:rPr>
        <w:t>ridge to 2025 Conclusions Paper</w:t>
      </w:r>
      <w:r w:rsidR="00C542FC">
        <w:rPr>
          <w:rFonts w:eastAsia="Calibri"/>
          <w:noProof/>
        </w:rPr>
        <w:t>’</w:t>
      </w:r>
      <w:r w:rsidRPr="00DC621B">
        <w:rPr>
          <w:rStyle w:val="FootnoteReference"/>
          <w:rFonts w:eastAsia="Calibri"/>
          <w:noProof/>
        </w:rPr>
        <w:footnoteReference w:id="199"/>
      </w:r>
      <w:r w:rsidRPr="00DC621B">
        <w:rPr>
          <w:rFonts w:eastAsia="Calibri"/>
          <w:noProof/>
        </w:rPr>
        <w:t xml:space="preserve"> recommends that the Agency be given adequate powers to fulfil effectively the important monitoring responsibilities assigned to it in the ACER Regulation, in particular, in respect of information gathering. There seem</w:t>
      </w:r>
      <w:r w:rsidR="00C569F5" w:rsidRPr="00DC621B">
        <w:rPr>
          <w:rFonts w:eastAsia="Calibri"/>
          <w:noProof/>
        </w:rPr>
        <w:t>ed</w:t>
      </w:r>
      <w:r w:rsidRPr="00DC621B">
        <w:rPr>
          <w:rFonts w:eastAsia="Calibri"/>
          <w:noProof/>
        </w:rPr>
        <w:t xml:space="preserve"> to be a mismatch between the monitoring tasks and the powers of the Agency to request information from NRAs, TSOs, and ENTSOs.</w:t>
      </w:r>
    </w:p>
    <w:p w:rsidR="009310F3" w:rsidRPr="00DC621B" w:rsidRDefault="00C569F5">
      <w:pPr>
        <w:rPr>
          <w:rFonts w:eastAsia="Calibri"/>
          <w:noProof/>
        </w:rPr>
      </w:pPr>
      <w:r w:rsidRPr="00DC621B">
        <w:rPr>
          <w:rFonts w:eastAsia="Calibri"/>
          <w:noProof/>
        </w:rPr>
        <w:t xml:space="preserve">The recast ACER Regulation </w:t>
      </w:r>
      <w:r w:rsidR="00B06D1C" w:rsidRPr="00DC621B">
        <w:rPr>
          <w:rFonts w:eastAsia="Calibri"/>
          <w:noProof/>
        </w:rPr>
        <w:t xml:space="preserve">strengthens the Agency’s powers to request information, both in the electricity and in the gas sectors. </w:t>
      </w:r>
    </w:p>
    <w:p w:rsidR="009310F3" w:rsidRPr="00DC621B" w:rsidRDefault="009310F3">
      <w:pPr>
        <w:rPr>
          <w:rFonts w:eastAsia="Calibri"/>
          <w:noProof/>
          <w:highlight w:val="yellow"/>
        </w:rPr>
      </w:pPr>
      <w:r w:rsidRPr="00DC621B">
        <w:rPr>
          <w:noProof/>
          <w:lang w:eastAsia="en-GB"/>
        </w:rPr>
        <w:t>With regard to protection of vulnerable consumers, the main discrepancy between the Electricity and Gas Directive arises from Universal Services (Article 3(3) of the Electricity Directive). The right to universal service does not exist for gas. This limits some provisions related to the protection of vulnerable consumers in the gas sector. Member States are not obliged to ensure certain protection to all vulnerable consumers, but only to those already connected to the gas system. The reason is that a piped gas network for consumers is not available throughout every EU MS.</w:t>
      </w:r>
      <w:r w:rsidRPr="00DC621B">
        <w:rPr>
          <w:rFonts w:eastAsia="Calibri"/>
          <w:noProof/>
          <w:highlight w:val="yellow"/>
        </w:rPr>
        <w:t xml:space="preserve"> </w:t>
      </w:r>
    </w:p>
    <w:p w:rsidR="009310F3" w:rsidRPr="00DC621B" w:rsidRDefault="009310F3">
      <w:pPr>
        <w:rPr>
          <w:rFonts w:eastAsia="Calibri"/>
          <w:noProof/>
        </w:rPr>
      </w:pPr>
      <w:r w:rsidRPr="00DC621B">
        <w:rPr>
          <w:rFonts w:eastAsia="Calibri"/>
          <w:noProof/>
        </w:rPr>
        <w:t>The Third Package</w:t>
      </w:r>
      <w:r w:rsidR="005C21C3">
        <w:rPr>
          <w:rFonts w:eastAsia="Calibri"/>
          <w:noProof/>
        </w:rPr>
        <w:t>’</w:t>
      </w:r>
      <w:r w:rsidRPr="00DC621B">
        <w:rPr>
          <w:rFonts w:eastAsia="Calibri"/>
          <w:noProof/>
        </w:rPr>
        <w:t xml:space="preserve">s provision on allowing regulated prices in specific cases adhere to difficulties with carrying out the overarching objectives of the EU regulatory framework: introducing competition and enabling consumer choice. </w:t>
      </w:r>
    </w:p>
    <w:p w:rsidR="00A15AC1" w:rsidRPr="00DC621B" w:rsidRDefault="00A15AC1" w:rsidP="796E43CC">
      <w:pPr>
        <w:rPr>
          <w:noProof/>
        </w:rPr>
      </w:pPr>
      <w:r w:rsidRPr="00DC621B">
        <w:rPr>
          <w:rFonts w:eastAsia="Calibri"/>
          <w:noProof/>
        </w:rPr>
        <w:t xml:space="preserve">The 2019 revision of the Electricity Directive, Electricity Regulation and ACER Regulation </w:t>
      </w:r>
      <w:r w:rsidR="0038615E" w:rsidRPr="00DC621B">
        <w:rPr>
          <w:rFonts w:eastAsia="Calibri"/>
          <w:noProof/>
        </w:rPr>
        <w:t>strengthened</w:t>
      </w:r>
      <w:r w:rsidRPr="00DC621B">
        <w:rPr>
          <w:rFonts w:eastAsia="Calibri"/>
          <w:noProof/>
        </w:rPr>
        <w:t xml:space="preserve"> the comprehensive institutional framework, including reinforcing </w:t>
      </w:r>
      <w:r w:rsidRPr="00DC621B">
        <w:rPr>
          <w:noProof/>
        </w:rPr>
        <w:t xml:space="preserve">ENTSO-E’s governance, ensuring the involvement of electricity DSOs in relevant processes and adapting the roles and responsibilities of NRAs to the new electricity market design. </w:t>
      </w:r>
      <w:r w:rsidR="0038615E" w:rsidRPr="00DC621B">
        <w:rPr>
          <w:noProof/>
        </w:rPr>
        <w:t>However, the majority of these changes were limited to the electricity sector legislation, creating a regulatory divergence between the regulatory framework for electricity and for gas. This might lead to detrimental effects and to unnecessary complexity affecting market participants, end-consumers and authorities alike.</w:t>
      </w:r>
    </w:p>
    <w:p w:rsidR="009310F3" w:rsidRPr="00DC621B" w:rsidRDefault="009310F3" w:rsidP="009D744A">
      <w:pPr>
        <w:pStyle w:val="Heading3"/>
        <w:ind w:left="720"/>
        <w:rPr>
          <w:noProof/>
        </w:rPr>
      </w:pPr>
      <w:bookmarkStart w:id="531" w:name="_Toc455064660"/>
      <w:bookmarkStart w:id="532" w:name="_Toc455070102"/>
      <w:bookmarkStart w:id="533" w:name="_Toc455074007"/>
      <w:bookmarkStart w:id="534" w:name="_Toc455074336"/>
      <w:bookmarkStart w:id="535" w:name="_Toc455082015"/>
      <w:bookmarkStart w:id="536" w:name="_Toc455082107"/>
      <w:bookmarkStart w:id="537" w:name="_Toc455082979"/>
      <w:bookmarkStart w:id="538" w:name="_Toc455134332"/>
      <w:bookmarkStart w:id="539" w:name="_Toc455148874"/>
      <w:bookmarkStart w:id="540" w:name="_Toc455156759"/>
      <w:bookmarkStart w:id="541" w:name="_Toc455156915"/>
      <w:bookmarkStart w:id="542" w:name="_Toc455160068"/>
      <w:bookmarkStart w:id="543" w:name="_Toc456772838"/>
      <w:bookmarkStart w:id="544" w:name="_Toc77590810"/>
      <w:bookmarkStart w:id="545" w:name="_Toc77600968"/>
      <w:bookmarkStart w:id="546" w:name="_Toc77682227"/>
      <w:bookmarkStart w:id="547" w:name="_Toc89688272"/>
      <w:bookmarkStart w:id="548" w:name="_Toc89882335"/>
      <w:r w:rsidRPr="00DC621B">
        <w:rPr>
          <w:noProof/>
        </w:rPr>
        <w:t>External Coherence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tbl>
      <w:tblPr>
        <w:tblW w:w="9734"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34"/>
      </w:tblGrid>
      <w:tr w:rsidR="00696804" w:rsidRPr="00DC621B" w:rsidTr="009D744A">
        <w:trPr>
          <w:trHeight w:val="1114"/>
        </w:trPr>
        <w:tc>
          <w:tcPr>
            <w:tcW w:w="9734" w:type="dxa"/>
            <w:shd w:val="clear" w:color="auto" w:fill="C6D9F1" w:themeFill="text2" w:themeFillTint="33"/>
          </w:tcPr>
          <w:p w:rsidR="00696804" w:rsidRPr="00DC621B" w:rsidRDefault="00696804" w:rsidP="009D744A">
            <w:pPr>
              <w:spacing w:after="0"/>
              <w:ind w:left="227"/>
              <w:rPr>
                <w:rFonts w:asciiTheme="majorBidi" w:hAnsiTheme="majorBidi" w:cstheme="majorBidi"/>
                <w:noProof/>
              </w:rPr>
            </w:pPr>
            <w:r w:rsidRPr="009D744A">
              <w:rPr>
                <w:rFonts w:asciiTheme="majorBidi" w:hAnsiTheme="majorBidi" w:cstheme="majorBidi"/>
                <w:noProof/>
                <w:shd w:val="clear" w:color="auto" w:fill="C6D9F1" w:themeFill="text2" w:themeFillTint="33"/>
              </w:rPr>
              <w:t>Coherence with Regulation (EU) 2017/1938 of the European Parliament and of the Council of 25 October 2017 concerning measures to safeguard the security of gas supply and repealing Regulation</w:t>
            </w:r>
            <w:r w:rsidRPr="00DC621B">
              <w:rPr>
                <w:rFonts w:asciiTheme="majorBidi" w:hAnsiTheme="majorBidi" w:cstheme="majorBidi"/>
                <w:noProof/>
              </w:rPr>
              <w:t xml:space="preserve"> (EU) No 994/2010</w:t>
            </w:r>
            <w:r w:rsidRPr="00DC621B">
              <w:rPr>
                <w:rStyle w:val="Strong"/>
                <w:rFonts w:asciiTheme="majorBidi" w:hAnsiTheme="majorBidi" w:cstheme="majorBidi"/>
                <w:noProof/>
              </w:rPr>
              <w:t xml:space="preserve"> (Gas SoS Regulation);</w:t>
            </w:r>
          </w:p>
        </w:tc>
      </w:tr>
    </w:tbl>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Guaranteeing the security of gas supply in a spirit of solidarity is one of the principles inspiring the provisions of the Third Package (see </w:t>
      </w:r>
      <w:r w:rsidR="003A7D37">
        <w:rPr>
          <w:rFonts w:asciiTheme="majorBidi" w:hAnsiTheme="majorBidi" w:cstheme="majorBidi"/>
          <w:noProof/>
        </w:rPr>
        <w:t>R</w:t>
      </w:r>
      <w:r w:rsidRPr="00DC621B">
        <w:rPr>
          <w:rFonts w:asciiTheme="majorBidi" w:hAnsiTheme="majorBidi" w:cstheme="majorBidi"/>
          <w:noProof/>
        </w:rPr>
        <w:t>ecital</w:t>
      </w:r>
      <w:r w:rsidR="009F1EC6">
        <w:rPr>
          <w:rFonts w:asciiTheme="majorBidi" w:hAnsiTheme="majorBidi" w:cstheme="majorBidi"/>
          <w:noProof/>
        </w:rPr>
        <w:t xml:space="preserve"> 1</w:t>
      </w:r>
      <w:r w:rsidRPr="00DC621B">
        <w:rPr>
          <w:rFonts w:asciiTheme="majorBidi" w:hAnsiTheme="majorBidi" w:cstheme="majorBidi"/>
          <w:noProof/>
        </w:rPr>
        <w:t xml:space="preserve"> of gas directive and gas Regulation).</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Guaranteeing the </w:t>
      </w:r>
      <w:r w:rsidRPr="00DC621B">
        <w:rPr>
          <w:rFonts w:asciiTheme="majorBidi" w:hAnsiTheme="majorBidi" w:cstheme="majorBidi"/>
          <w:b/>
          <w:bCs/>
          <w:noProof/>
        </w:rPr>
        <w:t>security of gas supply is a guiding objective</w:t>
      </w:r>
      <w:r w:rsidRPr="00DC621B">
        <w:rPr>
          <w:rFonts w:asciiTheme="majorBidi" w:hAnsiTheme="majorBidi" w:cstheme="majorBidi"/>
          <w:noProof/>
        </w:rPr>
        <w:t xml:space="preserve"> behind quite a number of new provisions introduced by the Third Package in 2009, such as:</w:t>
      </w:r>
    </w:p>
    <w:p w:rsidR="00696804" w:rsidRPr="00DC621B" w:rsidRDefault="00083398" w:rsidP="009D744A">
      <w:pPr>
        <w:pStyle w:val="ListParagraph"/>
        <w:numPr>
          <w:ilvl w:val="0"/>
          <w:numId w:val="377"/>
        </w:numPr>
        <w:rPr>
          <w:rFonts w:asciiTheme="majorBidi" w:hAnsiTheme="majorBidi" w:cstheme="majorBidi"/>
          <w:noProof/>
        </w:rPr>
      </w:pPr>
      <w:r>
        <w:rPr>
          <w:rFonts w:asciiTheme="majorBidi" w:hAnsiTheme="majorBidi" w:cstheme="majorBidi"/>
          <w:noProof/>
        </w:rPr>
        <w:t>t</w:t>
      </w:r>
      <w:r w:rsidR="00696804" w:rsidRPr="00DC621B">
        <w:rPr>
          <w:rFonts w:asciiTheme="majorBidi" w:hAnsiTheme="majorBidi" w:cstheme="majorBidi"/>
          <w:noProof/>
        </w:rPr>
        <w:t>he need for common minimum standards for public service requirements, which take into account, in particular, the security of supply concerns (</w:t>
      </w:r>
      <w:r w:rsidR="003A7D37">
        <w:rPr>
          <w:rFonts w:asciiTheme="majorBidi" w:hAnsiTheme="majorBidi" w:cstheme="majorBidi"/>
          <w:noProof/>
        </w:rPr>
        <w:t>Re</w:t>
      </w:r>
      <w:r w:rsidR="00696804" w:rsidRPr="00DC621B">
        <w:rPr>
          <w:rFonts w:asciiTheme="majorBidi" w:hAnsiTheme="majorBidi" w:cstheme="majorBidi"/>
          <w:noProof/>
        </w:rPr>
        <w:t>cital 44</w:t>
      </w:r>
      <w:r w:rsidR="00FA7B3E">
        <w:rPr>
          <w:rFonts w:asciiTheme="majorBidi" w:hAnsiTheme="majorBidi" w:cstheme="majorBidi"/>
          <w:noProof/>
        </w:rPr>
        <w:t xml:space="preserve"> Gas Directive</w:t>
      </w:r>
      <w:r w:rsidR="00696804" w:rsidRPr="00DC621B">
        <w:rPr>
          <w:rFonts w:asciiTheme="majorBidi" w:hAnsiTheme="majorBidi" w:cstheme="majorBidi"/>
          <w:noProof/>
        </w:rPr>
        <w:t>)</w:t>
      </w:r>
      <w:r>
        <w:rPr>
          <w:rFonts w:asciiTheme="majorBidi" w:hAnsiTheme="majorBidi" w:cstheme="majorBidi"/>
          <w:noProof/>
        </w:rPr>
        <w:t>;</w:t>
      </w:r>
    </w:p>
    <w:p w:rsidR="00696804" w:rsidRPr="00DC621B" w:rsidRDefault="00083398" w:rsidP="009D744A">
      <w:pPr>
        <w:pStyle w:val="ListParagraph"/>
        <w:numPr>
          <w:ilvl w:val="0"/>
          <w:numId w:val="377"/>
        </w:numPr>
        <w:rPr>
          <w:rFonts w:asciiTheme="majorBidi" w:hAnsiTheme="majorBidi" w:cstheme="majorBidi"/>
          <w:noProof/>
        </w:rPr>
      </w:pPr>
      <w:r>
        <w:rPr>
          <w:rFonts w:asciiTheme="majorBidi" w:hAnsiTheme="majorBidi" w:cstheme="majorBidi"/>
          <w:noProof/>
        </w:rPr>
        <w:t>c</w:t>
      </w:r>
      <w:r w:rsidR="00696804" w:rsidRPr="00DC621B">
        <w:rPr>
          <w:rFonts w:asciiTheme="majorBidi" w:hAnsiTheme="majorBidi" w:cstheme="majorBidi"/>
          <w:noProof/>
        </w:rPr>
        <w:t>reating the conditions for new investments needed to guarantee the security of gas supply (Art</w:t>
      </w:r>
      <w:r w:rsidR="007F5DE6">
        <w:rPr>
          <w:rFonts w:asciiTheme="majorBidi" w:hAnsiTheme="majorBidi" w:cstheme="majorBidi"/>
          <w:noProof/>
        </w:rPr>
        <w:t>icle</w:t>
      </w:r>
      <w:r w:rsidR="00767D32">
        <w:rPr>
          <w:rFonts w:asciiTheme="majorBidi" w:hAnsiTheme="majorBidi" w:cstheme="majorBidi"/>
          <w:noProof/>
        </w:rPr>
        <w:t>s</w:t>
      </w:r>
      <w:r w:rsidR="00696804" w:rsidRPr="00DC621B">
        <w:rPr>
          <w:rFonts w:asciiTheme="majorBidi" w:hAnsiTheme="majorBidi" w:cstheme="majorBidi"/>
          <w:noProof/>
        </w:rPr>
        <w:t xml:space="preserve"> 17, 22 Gas Directive);</w:t>
      </w:r>
    </w:p>
    <w:p w:rsidR="00696804" w:rsidRPr="00DC621B" w:rsidRDefault="00083398" w:rsidP="009D744A">
      <w:pPr>
        <w:pStyle w:val="ListParagraph"/>
        <w:numPr>
          <w:ilvl w:val="0"/>
          <w:numId w:val="377"/>
        </w:numPr>
        <w:rPr>
          <w:rFonts w:asciiTheme="majorBidi" w:hAnsiTheme="majorBidi" w:cstheme="majorBidi"/>
          <w:noProof/>
        </w:rPr>
      </w:pPr>
      <w:r>
        <w:rPr>
          <w:rFonts w:asciiTheme="majorBidi" w:hAnsiTheme="majorBidi" w:cstheme="majorBidi"/>
          <w:noProof/>
        </w:rPr>
        <w:t>t</w:t>
      </w:r>
      <w:r w:rsidR="00696804" w:rsidRPr="00DC621B">
        <w:rPr>
          <w:rFonts w:asciiTheme="majorBidi" w:hAnsiTheme="majorBidi" w:cstheme="majorBidi"/>
          <w:noProof/>
        </w:rPr>
        <w:t>he need for increased cooperation between Member States, NRAs and TSOs, essential for the SoS;</w:t>
      </w:r>
    </w:p>
    <w:p w:rsidR="00696804" w:rsidRPr="00DC621B" w:rsidRDefault="00083398" w:rsidP="009D744A">
      <w:pPr>
        <w:pStyle w:val="ListParagraph"/>
        <w:numPr>
          <w:ilvl w:val="0"/>
          <w:numId w:val="377"/>
        </w:numPr>
        <w:rPr>
          <w:rFonts w:asciiTheme="majorBidi" w:hAnsiTheme="majorBidi" w:cstheme="majorBidi"/>
          <w:noProof/>
        </w:rPr>
      </w:pPr>
      <w:r>
        <w:rPr>
          <w:rFonts w:asciiTheme="majorBidi" w:hAnsiTheme="majorBidi" w:cstheme="majorBidi"/>
          <w:noProof/>
        </w:rPr>
        <w:t>t</w:t>
      </w:r>
      <w:r w:rsidR="00696804" w:rsidRPr="00DC621B">
        <w:rPr>
          <w:rFonts w:asciiTheme="majorBidi" w:hAnsiTheme="majorBidi" w:cstheme="majorBidi"/>
          <w:noProof/>
        </w:rPr>
        <w:t xml:space="preserve">he need to assess the independence of network operation, the level of the Community’s and individual Member States’ dependence on energy supply from third countries, and the treatment of both domestic and foreign trade and investment in energy in a particular third country (see </w:t>
      </w:r>
      <w:r w:rsidR="003A7D37">
        <w:rPr>
          <w:rFonts w:asciiTheme="majorBidi" w:hAnsiTheme="majorBidi" w:cstheme="majorBidi"/>
          <w:noProof/>
        </w:rPr>
        <w:t>R</w:t>
      </w:r>
      <w:r w:rsidR="00696804" w:rsidRPr="00DC621B">
        <w:rPr>
          <w:rFonts w:asciiTheme="majorBidi" w:hAnsiTheme="majorBidi" w:cstheme="majorBidi"/>
          <w:noProof/>
        </w:rPr>
        <w:t>ecital 22; Article 11 Gas Directive)</w:t>
      </w:r>
      <w:r>
        <w:rPr>
          <w:rFonts w:asciiTheme="majorBidi" w:hAnsiTheme="majorBidi" w:cstheme="majorBidi"/>
          <w:noProof/>
        </w:rPr>
        <w:t>;</w:t>
      </w:r>
    </w:p>
    <w:p w:rsidR="00696804" w:rsidRPr="00DC621B" w:rsidRDefault="00083398" w:rsidP="009D744A">
      <w:pPr>
        <w:pStyle w:val="ListParagraph"/>
        <w:numPr>
          <w:ilvl w:val="0"/>
          <w:numId w:val="377"/>
        </w:numPr>
        <w:rPr>
          <w:rFonts w:asciiTheme="majorBidi" w:hAnsiTheme="majorBidi" w:cstheme="majorBidi"/>
          <w:noProof/>
        </w:rPr>
      </w:pPr>
      <w:r>
        <w:rPr>
          <w:rFonts w:asciiTheme="majorBidi" w:hAnsiTheme="majorBidi" w:cstheme="majorBidi"/>
          <w:noProof/>
        </w:rPr>
        <w:t>t</w:t>
      </w:r>
      <w:r w:rsidR="00696804" w:rsidRPr="00DC621B">
        <w:rPr>
          <w:rFonts w:asciiTheme="majorBidi" w:hAnsiTheme="majorBidi" w:cstheme="majorBidi"/>
          <w:noProof/>
        </w:rPr>
        <w:t>he need to take into account the expected the impact of new infrastructures on the security of supply, which would justify granting exemptions to the mandatory third party access to certain cross border infrastructures (Art</w:t>
      </w:r>
      <w:r w:rsidR="007F5DE6">
        <w:rPr>
          <w:rFonts w:asciiTheme="majorBidi" w:hAnsiTheme="majorBidi" w:cstheme="majorBidi"/>
          <w:noProof/>
        </w:rPr>
        <w:t>icle</w:t>
      </w:r>
      <w:r w:rsidR="00696804" w:rsidRPr="00DC621B">
        <w:rPr>
          <w:rFonts w:asciiTheme="majorBidi" w:hAnsiTheme="majorBidi" w:cstheme="majorBidi"/>
          <w:noProof/>
        </w:rPr>
        <w:t xml:space="preserve"> 36</w:t>
      </w:r>
      <w:r w:rsidR="00FA7B3E">
        <w:rPr>
          <w:rFonts w:asciiTheme="majorBidi" w:hAnsiTheme="majorBidi" w:cstheme="majorBidi"/>
          <w:noProof/>
        </w:rPr>
        <w:t xml:space="preserve"> Gas Directive</w:t>
      </w:r>
      <w:r w:rsidR="00696804" w:rsidRPr="00DC621B">
        <w:rPr>
          <w:rFonts w:asciiTheme="majorBidi" w:hAnsiTheme="majorBidi" w:cstheme="majorBidi"/>
          <w:noProof/>
        </w:rPr>
        <w:t xml:space="preserve">). </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At the time of the legislative proposal (in 2007), Member States had just finalised the transposition and implementation of </w:t>
      </w:r>
      <w:r w:rsidRPr="00DC621B">
        <w:rPr>
          <w:rFonts w:asciiTheme="majorBidi" w:hAnsiTheme="majorBidi" w:cstheme="majorBidi"/>
          <w:b/>
          <w:bCs/>
          <w:noProof/>
        </w:rPr>
        <w:t>Directive 2005/67</w:t>
      </w:r>
      <w:r w:rsidRPr="00DC621B">
        <w:rPr>
          <w:noProof/>
        </w:rPr>
        <w:t xml:space="preserve"> </w:t>
      </w:r>
      <w:r w:rsidRPr="00DC621B">
        <w:rPr>
          <w:rFonts w:asciiTheme="majorBidi" w:hAnsiTheme="majorBidi" w:cstheme="majorBidi"/>
          <w:noProof/>
        </w:rPr>
        <w:t xml:space="preserve">of 26 April 2004 concerning measures to safeguard security of natural gas supply (transposition deadline was 19 May 2006). This directive had established the grounds for Member States coordination within a </w:t>
      </w:r>
      <w:r w:rsidR="007A34CA">
        <w:rPr>
          <w:rFonts w:asciiTheme="majorBidi" w:hAnsiTheme="majorBidi" w:cstheme="majorBidi"/>
          <w:noProof/>
        </w:rPr>
        <w:t>‘</w:t>
      </w:r>
      <w:r w:rsidRPr="00DC621B">
        <w:rPr>
          <w:rFonts w:asciiTheme="majorBidi" w:hAnsiTheme="majorBidi" w:cstheme="majorBidi"/>
          <w:noProof/>
        </w:rPr>
        <w:t>Gas Coordination Group</w:t>
      </w:r>
      <w:r w:rsidR="007A34CA">
        <w:rPr>
          <w:rFonts w:asciiTheme="majorBidi" w:hAnsiTheme="majorBidi" w:cstheme="majorBidi"/>
          <w:noProof/>
        </w:rPr>
        <w:t>’</w:t>
      </w:r>
      <w:r w:rsidRPr="00DC621B">
        <w:rPr>
          <w:rFonts w:asciiTheme="majorBidi" w:hAnsiTheme="majorBidi" w:cstheme="majorBidi"/>
          <w:noProof/>
        </w:rPr>
        <w:t xml:space="preserve"> and had defined a </w:t>
      </w:r>
      <w:r w:rsidR="007A34CA">
        <w:rPr>
          <w:rFonts w:asciiTheme="majorBidi" w:hAnsiTheme="majorBidi" w:cstheme="majorBidi"/>
          <w:noProof/>
        </w:rPr>
        <w:t>‘</w:t>
      </w:r>
      <w:r w:rsidRPr="00DC621B">
        <w:rPr>
          <w:rFonts w:asciiTheme="majorBidi" w:hAnsiTheme="majorBidi" w:cstheme="majorBidi"/>
          <w:noProof/>
        </w:rPr>
        <w:t>Community mechanism</w:t>
      </w:r>
      <w:r w:rsidR="007A34CA">
        <w:rPr>
          <w:rFonts w:asciiTheme="majorBidi" w:hAnsiTheme="majorBidi" w:cstheme="majorBidi"/>
          <w:noProof/>
        </w:rPr>
        <w:t>’</w:t>
      </w:r>
      <w:r w:rsidRPr="00DC621B">
        <w:rPr>
          <w:rFonts w:asciiTheme="majorBidi" w:hAnsiTheme="majorBidi" w:cstheme="majorBidi"/>
          <w:noProof/>
        </w:rPr>
        <w:t xml:space="preserve"> in case of supply disruption.</w:t>
      </w:r>
    </w:p>
    <w:p w:rsidR="00696804" w:rsidRPr="00DC621B" w:rsidRDefault="00696804">
      <w:pPr>
        <w:rPr>
          <w:rFonts w:asciiTheme="majorBidi" w:hAnsiTheme="majorBidi" w:cstheme="majorBidi"/>
          <w:noProof/>
        </w:rPr>
      </w:pPr>
      <w:r w:rsidRPr="00DC621B">
        <w:rPr>
          <w:rFonts w:asciiTheme="majorBidi" w:hAnsiTheme="majorBidi" w:cstheme="majorBidi"/>
          <w:noProof/>
        </w:rPr>
        <w:t>Directive 2004/67 was later repealed and replaced by Regulation (EU) No 994/2010 of the European Parliament and of the Council of 20 October 2010 concerning measures to safeguard security of gas supply, which in turn was repealed and replaced by the current rules on security of gas supply, the Gas SoS Regulation.</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The </w:t>
      </w:r>
      <w:r w:rsidR="00767D32">
        <w:rPr>
          <w:rFonts w:asciiTheme="majorBidi" w:hAnsiTheme="majorBidi" w:cstheme="majorBidi"/>
          <w:noProof/>
        </w:rPr>
        <w:t>E</w:t>
      </w:r>
      <w:r w:rsidRPr="00DC621B">
        <w:rPr>
          <w:rFonts w:asciiTheme="majorBidi" w:hAnsiTheme="majorBidi" w:cstheme="majorBidi"/>
          <w:noProof/>
        </w:rPr>
        <w:t xml:space="preserve">xplanatory </w:t>
      </w:r>
      <w:r w:rsidR="00767D32">
        <w:rPr>
          <w:rFonts w:asciiTheme="majorBidi" w:hAnsiTheme="majorBidi" w:cstheme="majorBidi"/>
          <w:noProof/>
        </w:rPr>
        <w:t>M</w:t>
      </w:r>
      <w:r w:rsidRPr="00DC621B">
        <w:rPr>
          <w:rFonts w:asciiTheme="majorBidi" w:hAnsiTheme="majorBidi" w:cstheme="majorBidi"/>
          <w:noProof/>
        </w:rPr>
        <w:t xml:space="preserve">emorandum to the Third Package refers to the scope of the obligations contained in Directive 2004/67/EC, which required Member States to report on the security of gas supply situation and on the regulatory framework to enhance investment in infrastructure. On this basis, the Third Package strengthened these basic obligations, e.g. by foreseeing the need for ENTSOG to make system adequacy forecasts for every summer and winter as well </w:t>
      </w:r>
      <w:r w:rsidR="00AD1C5F" w:rsidRPr="00DC621B">
        <w:rPr>
          <w:rFonts w:asciiTheme="majorBidi" w:hAnsiTheme="majorBidi" w:cstheme="majorBidi"/>
          <w:noProof/>
        </w:rPr>
        <w:t>as</w:t>
      </w:r>
      <w:r w:rsidRPr="00DC621B">
        <w:rPr>
          <w:rFonts w:asciiTheme="majorBidi" w:hAnsiTheme="majorBidi" w:cstheme="majorBidi"/>
          <w:noProof/>
        </w:rPr>
        <w:t xml:space="preserve"> for the long term (winter and summer outlooks and TYNDP).</w:t>
      </w:r>
    </w:p>
    <w:p w:rsidR="00696804" w:rsidRPr="00DC621B" w:rsidRDefault="00696804">
      <w:pPr>
        <w:rPr>
          <w:rFonts w:asciiTheme="majorBidi" w:hAnsiTheme="majorBidi" w:cstheme="majorBidi"/>
          <w:noProof/>
        </w:rPr>
      </w:pPr>
      <w:r w:rsidRPr="00DC621B">
        <w:rPr>
          <w:rFonts w:asciiTheme="majorBidi" w:hAnsiTheme="majorBidi" w:cstheme="majorBidi"/>
          <w:noProof/>
        </w:rPr>
        <w:t>The Third Package recognised the limitations of Directive 2004/67, which set up a coordination platform, but did not foresaw regional cooperation in case of severe supply disruptions. In view of the fact that the Directive’s effectiveness was still to be examined (as per Article 10 of Directive 2004/67), the Third Package did not envisage amending it, but limited itself to introduce the obligation for Member States to cooperate in order to promote regional and bilateral solidarity (</w:t>
      </w:r>
      <w:r w:rsidRPr="00DC621B">
        <w:rPr>
          <w:rFonts w:asciiTheme="majorBidi" w:hAnsiTheme="majorBidi" w:cstheme="majorBidi"/>
          <w:b/>
          <w:bCs/>
          <w:noProof/>
        </w:rPr>
        <w:t xml:space="preserve">Article 6, on </w:t>
      </w:r>
      <w:r w:rsidR="00C542FC">
        <w:rPr>
          <w:rFonts w:asciiTheme="majorBidi" w:hAnsiTheme="majorBidi" w:cstheme="majorBidi"/>
          <w:b/>
          <w:bCs/>
          <w:noProof/>
        </w:rPr>
        <w:t>‘</w:t>
      </w:r>
      <w:r w:rsidRPr="00DC621B">
        <w:rPr>
          <w:rFonts w:asciiTheme="majorBidi" w:hAnsiTheme="majorBidi" w:cstheme="majorBidi"/>
          <w:b/>
          <w:bCs/>
          <w:noProof/>
        </w:rPr>
        <w:t>Regional solidarity</w:t>
      </w:r>
      <w:r w:rsidR="00C542FC">
        <w:rPr>
          <w:rFonts w:asciiTheme="majorBidi" w:hAnsiTheme="majorBidi" w:cstheme="majorBidi"/>
          <w:b/>
          <w:bCs/>
          <w:noProof/>
        </w:rPr>
        <w:t>’</w:t>
      </w:r>
      <w:r w:rsidRPr="00DC621B">
        <w:rPr>
          <w:rFonts w:asciiTheme="majorBidi" w:hAnsiTheme="majorBidi" w:cstheme="majorBidi"/>
          <w:b/>
          <w:bCs/>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Such regional cooperation was meant to cover situations resulting or likely to result in the short term in a severe disruption of supply affecting a Member State and would cover: </w:t>
      </w:r>
      <w:r w:rsidRPr="00DC621B">
        <w:rPr>
          <w:rFonts w:asciiTheme="majorBidi" w:hAnsiTheme="majorBidi" w:cstheme="majorBidi"/>
          <w:b/>
          <w:bCs/>
          <w:noProof/>
        </w:rPr>
        <w:t>(a) coordination of national emergency measures; (b) identification and development of the necessary energy interconnections; (c) the conditions and practical modalities for mutual assistance.</w:t>
      </w:r>
      <w:r w:rsidRPr="00DC621B">
        <w:rPr>
          <w:rFonts w:asciiTheme="majorBidi" w:hAnsiTheme="majorBidi" w:cstheme="majorBidi"/>
          <w:noProof/>
        </w:rPr>
        <w:t xml:space="preserve"> In addition, the Commission might adopt </w:t>
      </w:r>
      <w:r w:rsidRPr="00DC621B">
        <w:rPr>
          <w:rFonts w:asciiTheme="majorBidi" w:hAnsiTheme="majorBidi" w:cstheme="majorBidi"/>
          <w:i/>
          <w:iCs/>
          <w:noProof/>
        </w:rPr>
        <w:t>Guidelines for regional cooperation in a spirit of solidarity</w:t>
      </w:r>
      <w:r w:rsidRPr="00DC621B">
        <w:rPr>
          <w:rFonts w:asciiTheme="majorBidi" w:hAnsiTheme="majorBidi" w:cstheme="majorBidi"/>
          <w:noProof/>
        </w:rPr>
        <w:t>. These guidelines were never adopted.</w:t>
      </w:r>
    </w:p>
    <w:p w:rsidR="00696804" w:rsidRPr="00DC621B" w:rsidRDefault="00696804">
      <w:pPr>
        <w:rPr>
          <w:rFonts w:asciiTheme="majorBidi" w:hAnsiTheme="majorBidi" w:cstheme="majorBidi"/>
          <w:noProof/>
        </w:rPr>
      </w:pPr>
      <w:r w:rsidRPr="00DC621B">
        <w:rPr>
          <w:rFonts w:asciiTheme="majorBidi" w:hAnsiTheme="majorBidi" w:cstheme="majorBidi"/>
          <w:noProof/>
        </w:rPr>
        <w:t>Instead, the</w:t>
      </w:r>
      <w:r w:rsidRPr="00DC621B">
        <w:rPr>
          <w:rFonts w:asciiTheme="majorBidi" w:hAnsiTheme="majorBidi" w:cstheme="majorBidi"/>
          <w:b/>
          <w:bCs/>
          <w:noProof/>
        </w:rPr>
        <w:t xml:space="preserve"> Gas SoS Regulation</w:t>
      </w:r>
      <w:r w:rsidRPr="00DC621B">
        <w:rPr>
          <w:rFonts w:asciiTheme="majorBidi" w:hAnsiTheme="majorBidi" w:cstheme="majorBidi"/>
          <w:noProof/>
        </w:rPr>
        <w:t xml:space="preserve"> translated into concrete provisions what such regional solidarity would mean in practice, by identifying the main gas supply corridors and – on this basis </w:t>
      </w:r>
      <w:r w:rsidR="005C21C3">
        <w:rPr>
          <w:rFonts w:asciiTheme="majorBidi" w:hAnsiTheme="majorBidi" w:cstheme="majorBidi"/>
          <w:noProof/>
        </w:rPr>
        <w:t>–</w:t>
      </w:r>
      <w:r w:rsidRPr="00DC621B">
        <w:rPr>
          <w:rFonts w:asciiTheme="majorBidi" w:hAnsiTheme="majorBidi" w:cstheme="majorBidi"/>
          <w:noProof/>
        </w:rPr>
        <w:t xml:space="preserve"> creating joint risk groups within which Member States work together to identify and assess all risk factors related to the relevant gas supply corridor. The starting point of the work of the joint risk groups is the EU wide simulation to be carried out by ENTSOG (which plays an important role under the Gas SoS Regulation as well)</w:t>
      </w:r>
      <w:r w:rsidRPr="00DC621B">
        <w:rPr>
          <w:rStyle w:val="FootnoteReference"/>
          <w:rFonts w:asciiTheme="majorBidi" w:hAnsiTheme="majorBidi" w:cstheme="majorBidi"/>
          <w:noProof/>
        </w:rPr>
        <w:footnoteReference w:id="200"/>
      </w:r>
      <w:r w:rsidR="00C542FC">
        <w:rPr>
          <w:rFonts w:asciiTheme="majorBidi" w:hAnsiTheme="majorBidi" w:cstheme="majorBidi"/>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The Gas SoS Regulation also introduced the concept of </w:t>
      </w:r>
      <w:r w:rsidR="00364A40">
        <w:rPr>
          <w:rFonts w:asciiTheme="majorBidi" w:hAnsiTheme="majorBidi" w:cstheme="majorBidi"/>
          <w:noProof/>
        </w:rPr>
        <w:t>‘</w:t>
      </w:r>
      <w:r w:rsidRPr="00DC621B">
        <w:rPr>
          <w:rFonts w:asciiTheme="majorBidi" w:hAnsiTheme="majorBidi" w:cstheme="majorBidi"/>
          <w:b/>
          <w:bCs/>
          <w:noProof/>
        </w:rPr>
        <w:t>solidarity protected customer</w:t>
      </w:r>
      <w:r w:rsidR="00364A40">
        <w:rPr>
          <w:rFonts w:asciiTheme="majorBidi" w:hAnsiTheme="majorBidi" w:cstheme="majorBidi"/>
          <w:b/>
          <w:bCs/>
          <w:noProof/>
        </w:rPr>
        <w:t>’</w:t>
      </w:r>
      <w:r w:rsidRPr="00DC621B">
        <w:rPr>
          <w:rFonts w:asciiTheme="majorBidi" w:hAnsiTheme="majorBidi" w:cstheme="majorBidi"/>
          <w:noProof/>
        </w:rPr>
        <w:t xml:space="preserve"> (Article 2(6)) and put in place a mechanism to guarantee that in case of emergency, the scarce gas available be shared to guarantee the needs of households and other users considered as solidarity protected. The </w:t>
      </w:r>
      <w:r w:rsidRPr="00DC621B">
        <w:rPr>
          <w:rFonts w:asciiTheme="majorBidi" w:hAnsiTheme="majorBidi" w:cstheme="majorBidi"/>
          <w:b/>
          <w:bCs/>
          <w:noProof/>
        </w:rPr>
        <w:t>legal, technical and financial arrangements</w:t>
      </w:r>
      <w:r w:rsidRPr="00DC621B">
        <w:rPr>
          <w:rFonts w:asciiTheme="majorBidi" w:hAnsiTheme="majorBidi" w:cstheme="majorBidi"/>
          <w:noProof/>
        </w:rPr>
        <w:t xml:space="preserve"> to make </w:t>
      </w:r>
      <w:r w:rsidR="00364A40">
        <w:rPr>
          <w:rFonts w:asciiTheme="majorBidi" w:hAnsiTheme="majorBidi" w:cstheme="majorBidi"/>
          <w:noProof/>
        </w:rPr>
        <w:t>‘</w:t>
      </w:r>
      <w:r w:rsidRPr="00DC621B">
        <w:rPr>
          <w:rFonts w:asciiTheme="majorBidi" w:hAnsiTheme="majorBidi" w:cstheme="majorBidi"/>
          <w:noProof/>
        </w:rPr>
        <w:t>solidarity gas</w:t>
      </w:r>
      <w:r w:rsidR="00364A40">
        <w:rPr>
          <w:rFonts w:asciiTheme="majorBidi" w:hAnsiTheme="majorBidi" w:cstheme="majorBidi"/>
          <w:noProof/>
        </w:rPr>
        <w:t>’</w:t>
      </w:r>
      <w:r w:rsidRPr="00DC621B">
        <w:rPr>
          <w:rFonts w:asciiTheme="majorBidi" w:hAnsiTheme="majorBidi" w:cstheme="majorBidi"/>
          <w:noProof/>
        </w:rPr>
        <w:t xml:space="preserve"> possible are to be agreed bilaterally between Member States</w:t>
      </w:r>
      <w:r w:rsidRPr="00DC621B">
        <w:rPr>
          <w:rStyle w:val="FootnoteReference"/>
          <w:rFonts w:asciiTheme="majorBidi" w:hAnsiTheme="majorBidi" w:cstheme="majorBidi"/>
          <w:noProof/>
        </w:rPr>
        <w:footnoteReference w:id="201"/>
      </w:r>
      <w:r w:rsidRPr="00DC621B">
        <w:rPr>
          <w:rFonts w:asciiTheme="majorBidi" w:hAnsiTheme="majorBidi" w:cstheme="majorBidi"/>
          <w:noProof/>
        </w:rPr>
        <w:t xml:space="preserve">. During the discussions of these arrangements (currently still under preparation) Member States encountered a number of difficulties, in particular related to the interaction between the normal functioning of the internal market rules and the introduction of </w:t>
      </w:r>
      <w:r w:rsidRPr="00DC621B">
        <w:rPr>
          <w:rFonts w:asciiTheme="majorBidi" w:hAnsiTheme="majorBidi" w:cstheme="majorBidi"/>
          <w:i/>
          <w:iCs/>
          <w:noProof/>
        </w:rPr>
        <w:t>ad hoc</w:t>
      </w:r>
      <w:r w:rsidRPr="00DC621B">
        <w:rPr>
          <w:rFonts w:asciiTheme="majorBidi" w:hAnsiTheme="majorBidi" w:cstheme="majorBidi"/>
          <w:noProof/>
        </w:rPr>
        <w:t xml:space="preserve"> measures resulting from the solidarity arrangements, as well as on finding the appropriate price mechanism for the </w:t>
      </w:r>
      <w:r w:rsidR="00364A40">
        <w:rPr>
          <w:rFonts w:asciiTheme="majorBidi" w:hAnsiTheme="majorBidi" w:cstheme="majorBidi"/>
          <w:noProof/>
        </w:rPr>
        <w:t>‘</w:t>
      </w:r>
      <w:r w:rsidRPr="00DC621B">
        <w:rPr>
          <w:rFonts w:asciiTheme="majorBidi" w:hAnsiTheme="majorBidi" w:cstheme="majorBidi"/>
          <w:noProof/>
        </w:rPr>
        <w:t>solidarity gas</w:t>
      </w:r>
      <w:r w:rsidR="00364A40">
        <w:rPr>
          <w:rFonts w:asciiTheme="majorBidi" w:hAnsiTheme="majorBidi" w:cstheme="majorBidi"/>
          <w:noProof/>
        </w:rPr>
        <w:t>’</w:t>
      </w:r>
      <w:r w:rsidRPr="00DC621B">
        <w:rPr>
          <w:rFonts w:asciiTheme="majorBidi" w:hAnsiTheme="majorBidi" w:cstheme="majorBidi"/>
          <w:noProof/>
        </w:rPr>
        <w:t xml:space="preserve">. </w:t>
      </w:r>
    </w:p>
    <w:p w:rsidR="00696804" w:rsidRPr="00DC621B" w:rsidRDefault="00696804">
      <w:pPr>
        <w:rPr>
          <w:rFonts w:asciiTheme="majorBidi" w:hAnsiTheme="majorBidi" w:cstheme="majorBidi"/>
          <w:caps/>
          <w:noProof/>
        </w:rPr>
      </w:pPr>
      <w:r w:rsidRPr="00DC621B">
        <w:rPr>
          <w:rFonts w:asciiTheme="majorBidi" w:hAnsiTheme="majorBidi" w:cstheme="majorBidi"/>
          <w:noProof/>
        </w:rPr>
        <w:t xml:space="preserve">Another difficulty raised concerns the </w:t>
      </w:r>
      <w:r w:rsidRPr="00DC621B">
        <w:rPr>
          <w:rFonts w:asciiTheme="majorBidi" w:hAnsiTheme="majorBidi" w:cstheme="majorBidi"/>
          <w:b/>
          <w:bCs/>
          <w:noProof/>
        </w:rPr>
        <w:t xml:space="preserve">role and responsibility of the National Regulatory Authority </w:t>
      </w:r>
      <w:r w:rsidRPr="00DC621B">
        <w:rPr>
          <w:rFonts w:asciiTheme="majorBidi" w:hAnsiTheme="majorBidi" w:cstheme="majorBidi"/>
          <w:noProof/>
        </w:rPr>
        <w:t>in monitoring the respect of the bilateral solidarity arrangements in case of emergency. The role of the NRA and ACER on security of supply is not clearly defined in the Third Package, but Article 41(1) requires the NRA to be responsible for (a) fixing or approving, in accordance with transparent criteria, transmission or distribution tariffs or their methodologies; (b) ensuring compliance of transmission and distribution system operators, and where relevant, system owners, as well as of any natural gas undertakings, with their obligations under the gas Directive and other relevant Community legislation, including as regards cross-border issues; (c)</w:t>
      </w:r>
      <w:r w:rsidR="00E7761B">
        <w:rPr>
          <w:rFonts w:asciiTheme="majorBidi" w:hAnsiTheme="majorBidi" w:cstheme="majorBidi"/>
          <w:bCs/>
          <w:noProof/>
          <w:szCs w:val="24"/>
        </w:rPr>
        <w:t xml:space="preserve"> </w:t>
      </w:r>
      <w:r w:rsidRPr="00DC621B">
        <w:rPr>
          <w:rFonts w:asciiTheme="majorBidi" w:hAnsiTheme="majorBidi" w:cstheme="majorBidi"/>
          <w:noProof/>
        </w:rPr>
        <w:t xml:space="preserve">cooperating in regard to cross-border issues with the regulatory authority or authorities of the Member States concerned and with the Agency; </w:t>
      </w:r>
      <w:r w:rsidR="00E7761B">
        <w:rPr>
          <w:rFonts w:asciiTheme="majorBidi" w:hAnsiTheme="majorBidi" w:cstheme="majorBidi"/>
          <w:noProof/>
        </w:rPr>
        <w:t xml:space="preserve">and </w:t>
      </w:r>
      <w:r w:rsidRPr="00DC621B">
        <w:rPr>
          <w:rFonts w:asciiTheme="majorBidi" w:hAnsiTheme="majorBidi" w:cstheme="majorBidi"/>
          <w:noProof/>
        </w:rPr>
        <w:t>(</w:t>
      </w:r>
      <w:r w:rsidR="00E7761B">
        <w:rPr>
          <w:rFonts w:asciiTheme="majorBidi" w:hAnsiTheme="majorBidi" w:cstheme="majorBidi"/>
          <w:noProof/>
        </w:rPr>
        <w:t>d</w:t>
      </w:r>
      <w:r w:rsidRPr="00DC621B">
        <w:rPr>
          <w:rFonts w:asciiTheme="majorBidi" w:hAnsiTheme="majorBidi" w:cstheme="majorBidi"/>
          <w:noProof/>
        </w:rPr>
        <w:t xml:space="preserve">) monitoring the implementation of rules relating to the roles and responsibilities of </w:t>
      </w:r>
      <w:r w:rsidR="001B1E7E">
        <w:rPr>
          <w:rFonts w:asciiTheme="majorBidi" w:hAnsiTheme="majorBidi" w:cstheme="majorBidi"/>
          <w:noProof/>
        </w:rPr>
        <w:t>TSOs</w:t>
      </w:r>
      <w:r w:rsidRPr="00DC621B">
        <w:rPr>
          <w:rFonts w:asciiTheme="majorBidi" w:hAnsiTheme="majorBidi" w:cstheme="majorBidi"/>
          <w:noProof/>
        </w:rPr>
        <w:t xml:space="preserve">, </w:t>
      </w:r>
      <w:r w:rsidR="001B1E7E">
        <w:rPr>
          <w:rFonts w:asciiTheme="majorBidi" w:hAnsiTheme="majorBidi" w:cstheme="majorBidi"/>
          <w:noProof/>
        </w:rPr>
        <w:t>DSOs</w:t>
      </w:r>
      <w:r w:rsidRPr="00DC621B">
        <w:rPr>
          <w:rFonts w:asciiTheme="majorBidi" w:hAnsiTheme="majorBidi" w:cstheme="majorBidi"/>
          <w:noProof/>
        </w:rPr>
        <w:t xml:space="preserve">, suppliers and customers and other market parties pursuant to Regulation (EC) No 715/2009; at the same time, the Gas SoS Regulation requires Member States to designate a </w:t>
      </w:r>
      <w:r w:rsidR="00364A40">
        <w:rPr>
          <w:rFonts w:asciiTheme="majorBidi" w:hAnsiTheme="majorBidi" w:cstheme="majorBidi"/>
          <w:noProof/>
        </w:rPr>
        <w:t>‘</w:t>
      </w:r>
      <w:r w:rsidRPr="00DC621B">
        <w:rPr>
          <w:rFonts w:asciiTheme="majorBidi" w:hAnsiTheme="majorBidi" w:cstheme="majorBidi"/>
          <w:noProof/>
        </w:rPr>
        <w:t>Competent authority</w:t>
      </w:r>
      <w:r w:rsidR="00364A40">
        <w:rPr>
          <w:rFonts w:asciiTheme="majorBidi" w:hAnsiTheme="majorBidi" w:cstheme="majorBidi"/>
          <w:noProof/>
        </w:rPr>
        <w:t>’</w:t>
      </w:r>
      <w:r w:rsidRPr="00DC621B">
        <w:rPr>
          <w:rFonts w:asciiTheme="majorBidi" w:hAnsiTheme="majorBidi" w:cstheme="majorBidi"/>
          <w:noProof/>
        </w:rPr>
        <w:t xml:space="preserve"> for the implementation of the Regulation, which only in some cases is the NRA.</w:t>
      </w:r>
    </w:p>
    <w:p w:rsidR="00696804" w:rsidRPr="00DC621B" w:rsidRDefault="00696804">
      <w:pPr>
        <w:rPr>
          <w:rFonts w:asciiTheme="majorBidi" w:hAnsiTheme="majorBidi" w:cstheme="majorBidi"/>
          <w:noProof/>
        </w:rPr>
      </w:pPr>
      <w:r w:rsidRPr="00DC621B">
        <w:rPr>
          <w:rFonts w:asciiTheme="majorBidi" w:hAnsiTheme="majorBidi" w:cstheme="majorBidi"/>
          <w:noProof/>
        </w:rPr>
        <w:t>The Gas Directive kept some provisions that existed already in th</w:t>
      </w:r>
      <w:r w:rsidR="00E7761B">
        <w:rPr>
          <w:rFonts w:asciiTheme="majorBidi" w:hAnsiTheme="majorBidi" w:cstheme="majorBidi"/>
          <w:noProof/>
        </w:rPr>
        <w:t xml:space="preserve">e Second </w:t>
      </w:r>
      <w:r w:rsidRPr="00DC621B">
        <w:rPr>
          <w:rFonts w:asciiTheme="majorBidi" w:hAnsiTheme="majorBidi" w:cstheme="majorBidi"/>
          <w:noProof/>
        </w:rPr>
        <w:t xml:space="preserve">Package (and in earlier texts) that were directly meant to accommodate the need for </w:t>
      </w:r>
      <w:r w:rsidRPr="00DC621B">
        <w:rPr>
          <w:rFonts w:asciiTheme="majorBidi" w:hAnsiTheme="majorBidi" w:cstheme="majorBidi"/>
          <w:i/>
          <w:iCs/>
          <w:noProof/>
        </w:rPr>
        <w:t>ad hoc</w:t>
      </w:r>
      <w:r w:rsidRPr="00DC621B">
        <w:rPr>
          <w:rFonts w:asciiTheme="majorBidi" w:hAnsiTheme="majorBidi" w:cstheme="majorBidi"/>
          <w:noProof/>
        </w:rPr>
        <w:t xml:space="preserve"> action to prevent potential gas supply disruptions and to manage emergencies.</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This is the case of </w:t>
      </w:r>
      <w:r w:rsidRPr="00DC621B">
        <w:rPr>
          <w:rFonts w:asciiTheme="majorBidi" w:hAnsiTheme="majorBidi" w:cstheme="majorBidi"/>
          <w:b/>
          <w:bCs/>
          <w:noProof/>
        </w:rPr>
        <w:t>Article 5 (</w:t>
      </w:r>
      <w:r w:rsidR="00364A40">
        <w:rPr>
          <w:rFonts w:asciiTheme="majorBidi" w:hAnsiTheme="majorBidi" w:cstheme="majorBidi"/>
          <w:b/>
          <w:bCs/>
          <w:noProof/>
        </w:rPr>
        <w:t>‘</w:t>
      </w:r>
      <w:r w:rsidRPr="00DC621B">
        <w:rPr>
          <w:rFonts w:asciiTheme="majorBidi" w:hAnsiTheme="majorBidi" w:cstheme="majorBidi"/>
          <w:b/>
          <w:bCs/>
          <w:noProof/>
        </w:rPr>
        <w:t>Monitoring of security of supply</w:t>
      </w:r>
      <w:r w:rsidR="00364A40">
        <w:rPr>
          <w:rFonts w:asciiTheme="majorBidi" w:hAnsiTheme="majorBidi" w:cstheme="majorBidi"/>
          <w:b/>
          <w:bCs/>
          <w:noProof/>
        </w:rPr>
        <w:t>’</w:t>
      </w:r>
      <w:r w:rsidRPr="00DC621B">
        <w:rPr>
          <w:rFonts w:asciiTheme="majorBidi" w:hAnsiTheme="majorBidi" w:cstheme="majorBidi"/>
          <w:b/>
          <w:bCs/>
          <w:noProof/>
        </w:rPr>
        <w:t>),</w:t>
      </w:r>
      <w:r w:rsidRPr="00DC621B">
        <w:rPr>
          <w:rFonts w:asciiTheme="majorBidi" w:hAnsiTheme="majorBidi" w:cstheme="majorBidi"/>
          <w:noProof/>
        </w:rPr>
        <w:t xml:space="preserve"> which, to the extent that it included reporting obligations, was deleted in 2018 by Regulation (EU) 2018/1999 (Governance Regulation). As explained in the Fitness check that preceded the Commission’s proposal, this reporting obligation was considered as overlapping with the obligations under the gas SoS Regulation</w:t>
      </w:r>
      <w:r w:rsidRPr="00DC621B">
        <w:rPr>
          <w:rStyle w:val="FootnoteReference"/>
          <w:rFonts w:asciiTheme="majorBidi" w:hAnsiTheme="majorBidi" w:cstheme="majorBidi"/>
          <w:noProof/>
        </w:rPr>
        <w:footnoteReference w:id="202"/>
      </w:r>
      <w:r w:rsidR="00364A40">
        <w:rPr>
          <w:rFonts w:asciiTheme="majorBidi" w:hAnsiTheme="majorBidi" w:cstheme="majorBidi"/>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Special attention deserves </w:t>
      </w:r>
      <w:r w:rsidRPr="00DC621B">
        <w:rPr>
          <w:rFonts w:asciiTheme="majorBidi" w:hAnsiTheme="majorBidi" w:cstheme="majorBidi"/>
          <w:b/>
          <w:bCs/>
          <w:noProof/>
        </w:rPr>
        <w:t>Article 46 of the Gas Directive</w:t>
      </w:r>
      <w:r w:rsidRPr="00364A40">
        <w:rPr>
          <w:rFonts w:asciiTheme="majorBidi" w:hAnsiTheme="majorBidi" w:cstheme="majorBidi"/>
          <w:b/>
          <w:bCs/>
          <w:noProof/>
        </w:rPr>
        <w:t xml:space="preserve">, </w:t>
      </w:r>
      <w:r w:rsidRPr="00C134D1">
        <w:rPr>
          <w:rFonts w:asciiTheme="majorBidi" w:hAnsiTheme="majorBidi" w:cstheme="majorBidi"/>
          <w:b/>
          <w:bCs/>
          <w:iCs/>
          <w:noProof/>
        </w:rPr>
        <w:t xml:space="preserve">on </w:t>
      </w:r>
      <w:r w:rsidR="00364A40" w:rsidRPr="00C134D1">
        <w:rPr>
          <w:rFonts w:asciiTheme="majorBidi" w:hAnsiTheme="majorBidi" w:cstheme="majorBidi"/>
          <w:b/>
          <w:bCs/>
          <w:iCs/>
          <w:noProof/>
        </w:rPr>
        <w:t>‘</w:t>
      </w:r>
      <w:r w:rsidRPr="00C134D1">
        <w:rPr>
          <w:rFonts w:asciiTheme="majorBidi" w:hAnsiTheme="majorBidi" w:cstheme="majorBidi"/>
          <w:b/>
          <w:bCs/>
          <w:iCs/>
          <w:noProof/>
        </w:rPr>
        <w:t>Safeguard measures</w:t>
      </w:r>
      <w:r w:rsidR="00364A40" w:rsidRPr="00C134D1">
        <w:rPr>
          <w:rFonts w:asciiTheme="majorBidi" w:hAnsiTheme="majorBidi" w:cstheme="majorBidi"/>
          <w:b/>
          <w:bCs/>
          <w:iCs/>
          <w:noProof/>
        </w:rPr>
        <w:t>’</w:t>
      </w:r>
      <w:r w:rsidRPr="00DC621B">
        <w:rPr>
          <w:rStyle w:val="FootnoteReference"/>
          <w:rFonts w:asciiTheme="majorBidi" w:hAnsiTheme="majorBidi" w:cstheme="majorBidi"/>
          <w:b/>
          <w:bCs/>
          <w:iCs/>
          <w:noProof/>
        </w:rPr>
        <w:footnoteReference w:id="203"/>
      </w:r>
      <w:r w:rsidRPr="00DC621B">
        <w:rPr>
          <w:rFonts w:asciiTheme="majorBidi" w:hAnsiTheme="majorBidi" w:cstheme="majorBidi"/>
          <w:b/>
          <w:bCs/>
          <w:iCs/>
          <w:noProof/>
        </w:rPr>
        <w:t>.</w:t>
      </w:r>
      <w:r w:rsidRPr="00DC621B">
        <w:rPr>
          <w:rFonts w:asciiTheme="majorBidi" w:hAnsiTheme="majorBidi" w:cstheme="majorBidi"/>
          <w:i/>
          <w:iCs/>
          <w:noProof/>
        </w:rPr>
        <w:t xml:space="preserve"> </w:t>
      </w:r>
      <w:r w:rsidRPr="00DC621B">
        <w:rPr>
          <w:rFonts w:asciiTheme="majorBidi" w:hAnsiTheme="majorBidi" w:cstheme="majorBidi"/>
          <w:noProof/>
        </w:rPr>
        <w:t xml:space="preserve">This article reflects the consideration that, in case of crisis, Member States should be able to derogate to the internal market rules, subject to some requirements. The provisions of this article were also superseded by the evolution of the </w:t>
      </w:r>
      <w:r w:rsidRPr="00DC621B">
        <w:rPr>
          <w:rFonts w:asciiTheme="majorBidi" w:hAnsiTheme="majorBidi" w:cstheme="majorBidi"/>
          <w:i/>
          <w:iCs/>
          <w:noProof/>
        </w:rPr>
        <w:t>lex specialis</w:t>
      </w:r>
      <w:r w:rsidRPr="00DC621B">
        <w:rPr>
          <w:rFonts w:asciiTheme="majorBidi" w:hAnsiTheme="majorBidi" w:cstheme="majorBidi"/>
          <w:noProof/>
        </w:rPr>
        <w:t xml:space="preserve"> on </w:t>
      </w:r>
      <w:r w:rsidR="00E7761B">
        <w:rPr>
          <w:rFonts w:asciiTheme="majorBidi" w:hAnsiTheme="majorBidi" w:cstheme="majorBidi"/>
          <w:noProof/>
        </w:rPr>
        <w:t>s</w:t>
      </w:r>
      <w:r w:rsidRPr="00DC621B">
        <w:rPr>
          <w:rFonts w:asciiTheme="majorBidi" w:hAnsiTheme="majorBidi" w:cstheme="majorBidi"/>
          <w:noProof/>
        </w:rPr>
        <w:t xml:space="preserve">ecurity of supply, which foresees the ex-ante identification in the national emergency plans of any non-market based measure to be applied in case of emergency, as well as the appropriate governance for notifying such measures in case of emergency and monitoring the impact and justification of such measures (see Articles 10, 11 and 12 of the Gas SoS Regulation). Under </w:t>
      </w:r>
      <w:r w:rsidRPr="00DC621B">
        <w:rPr>
          <w:rFonts w:asciiTheme="majorBidi" w:hAnsiTheme="majorBidi" w:cstheme="majorBidi"/>
          <w:b/>
          <w:bCs/>
          <w:noProof/>
        </w:rPr>
        <w:t xml:space="preserve">Article 41(1)(t), </w:t>
      </w:r>
      <w:r w:rsidRPr="00DC621B">
        <w:rPr>
          <w:rFonts w:asciiTheme="majorBidi" w:hAnsiTheme="majorBidi" w:cstheme="majorBidi"/>
          <w:noProof/>
        </w:rPr>
        <w:t xml:space="preserve">the NRA shall have the duty to monitor the implementation of these safeguard measures. </w:t>
      </w:r>
    </w:p>
    <w:p w:rsidR="00696804" w:rsidRPr="00DC621B" w:rsidRDefault="00696804">
      <w:pPr>
        <w:rPr>
          <w:rFonts w:asciiTheme="majorBidi" w:hAnsiTheme="majorBidi" w:cstheme="majorBidi"/>
          <w:noProof/>
        </w:rPr>
      </w:pPr>
      <w:r w:rsidRPr="00DC621B">
        <w:rPr>
          <w:rFonts w:asciiTheme="majorBidi" w:hAnsiTheme="majorBidi" w:cstheme="majorBidi"/>
          <w:noProof/>
        </w:rPr>
        <w:t>The provisions of the Third Package on security of supply in general, and on emergency preparedness in particular, are therefore based on a legal set up that evolved dramatically – based on the experience – already at the end of 2010 and which strengthened in 2017 the regional approach to security of gas supply, and translated into concrete obligations the solidarity principle that in the meantime has been enshrined in the Treaty itself.</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On their turn, the current rules on Security of Gas Supply (in the sense of emergency preparedness), rely on the consideration that the security of gas supply is, as a matter of principle, guaranteed by </w:t>
      </w:r>
      <w:r w:rsidR="00C51CAF" w:rsidRPr="00DC621B">
        <w:rPr>
          <w:rFonts w:asciiTheme="majorBidi" w:hAnsiTheme="majorBidi" w:cstheme="majorBidi"/>
          <w:noProof/>
        </w:rPr>
        <w:t>well-functioning</w:t>
      </w:r>
      <w:r w:rsidRPr="00DC621B">
        <w:rPr>
          <w:rFonts w:asciiTheme="majorBidi" w:hAnsiTheme="majorBidi" w:cstheme="majorBidi"/>
          <w:noProof/>
        </w:rPr>
        <w:t xml:space="preserve">, competitive, transparent, integrated and well interconnected gas markets. This is clearly stated in its Article 1: </w:t>
      </w:r>
      <w:r w:rsidR="007A34CA">
        <w:rPr>
          <w:rFonts w:asciiTheme="majorBidi" w:hAnsiTheme="majorBidi" w:cstheme="majorBidi"/>
          <w:i/>
          <w:iCs/>
          <w:noProof/>
        </w:rPr>
        <w:t>‘</w:t>
      </w:r>
      <w:r w:rsidRPr="00DC621B">
        <w:rPr>
          <w:rFonts w:asciiTheme="majorBidi" w:hAnsiTheme="majorBidi" w:cstheme="majorBidi"/>
          <w:i/>
          <w:iCs/>
          <w:noProof/>
        </w:rPr>
        <w:t>This Regulation establishes provisions aiming to safeguard the security of gas supply in the Union by ensuring the proper and continuous functioning of the internal market in natural gas (‘gas’), by allowing for exceptional measures to be implemented when the market can no longer deliver the gas supplies required, including solidarity measure of a last resort, and by providing for the clear definition and attribution of responsibilities among natural gas undertakings, the Member States and the Union regarding both preventive action and the reaction to concrete disruptions of gas supply</w:t>
      </w:r>
      <w:r w:rsidRPr="00DC621B">
        <w:rPr>
          <w:rFonts w:asciiTheme="majorBidi" w:hAnsiTheme="majorBidi" w:cstheme="majorBidi"/>
          <w:noProof/>
        </w:rPr>
        <w:t>.</w:t>
      </w:r>
      <w:r w:rsidR="007A34CA">
        <w:rPr>
          <w:rFonts w:asciiTheme="majorBidi" w:hAnsiTheme="majorBidi" w:cstheme="majorBidi"/>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To achieve its objectives, the Regulation introduces minimum standards on infrastructure and supply, and adds to the internal market rules those tools that are needed to identify risks (national and regional risk assessments), prevent them from happening (preventive action plans) and take the appropriate measures to remove or limit the impact in case of crisis (emergency plans). A main novelty of the 2017 Regulation was the so called solidarity mechanism, which obliges Member States – under some conditions, where a neighbouring country is in emergency state – to reduce the consumption of gas by </w:t>
      </w:r>
      <w:r w:rsidR="001E7026" w:rsidRPr="00DC621B">
        <w:rPr>
          <w:rFonts w:asciiTheme="majorBidi" w:hAnsiTheme="majorBidi" w:cstheme="majorBidi"/>
          <w:noProof/>
        </w:rPr>
        <w:t>non-solidarity</w:t>
      </w:r>
      <w:r w:rsidRPr="00DC621B">
        <w:rPr>
          <w:rFonts w:asciiTheme="majorBidi" w:hAnsiTheme="majorBidi" w:cstheme="majorBidi"/>
          <w:noProof/>
        </w:rPr>
        <w:t xml:space="preserve"> protected customers in order to supply the necessary gas to the solidarity protected customers of the neigh</w:t>
      </w:r>
      <w:r w:rsidR="00364A40">
        <w:rPr>
          <w:rFonts w:asciiTheme="majorBidi" w:hAnsiTheme="majorBidi" w:cstheme="majorBidi"/>
          <w:noProof/>
        </w:rPr>
        <w:t>b</w:t>
      </w:r>
      <w:r w:rsidRPr="00DC621B">
        <w:rPr>
          <w:rFonts w:asciiTheme="majorBidi" w:hAnsiTheme="majorBidi" w:cstheme="majorBidi"/>
          <w:noProof/>
        </w:rPr>
        <w:t>ouring Member State.</w:t>
      </w:r>
    </w:p>
    <w:p w:rsidR="00696804" w:rsidRPr="00DC621B" w:rsidRDefault="00696804">
      <w:pPr>
        <w:rPr>
          <w:rFonts w:asciiTheme="majorBidi" w:hAnsiTheme="majorBidi" w:cstheme="majorBidi"/>
          <w:i/>
          <w:iCs/>
          <w:noProof/>
        </w:rPr>
      </w:pPr>
      <w:r w:rsidRPr="00DC621B">
        <w:rPr>
          <w:rFonts w:asciiTheme="majorBidi" w:hAnsiTheme="majorBidi" w:cstheme="majorBidi"/>
          <w:noProof/>
        </w:rPr>
        <w:t xml:space="preserve">The rationale behind the current EU gas SoS rules is summarised in </w:t>
      </w:r>
      <w:r w:rsidR="003A7D37">
        <w:rPr>
          <w:rFonts w:asciiTheme="majorBidi" w:hAnsiTheme="majorBidi" w:cstheme="majorBidi"/>
          <w:noProof/>
        </w:rPr>
        <w:t>R</w:t>
      </w:r>
      <w:r w:rsidRPr="00DC621B">
        <w:rPr>
          <w:rFonts w:asciiTheme="majorBidi" w:hAnsiTheme="majorBidi" w:cstheme="majorBidi"/>
          <w:noProof/>
        </w:rPr>
        <w:t xml:space="preserve">ecital 31 of the Gas SoS Regulation, as follows: </w:t>
      </w:r>
      <w:r w:rsidR="007A34CA">
        <w:rPr>
          <w:rFonts w:asciiTheme="majorBidi" w:hAnsiTheme="majorBidi" w:cstheme="majorBidi"/>
          <w:i/>
          <w:iCs/>
          <w:noProof/>
        </w:rPr>
        <w:t>‘</w:t>
      </w:r>
      <w:r w:rsidRPr="00DC621B">
        <w:rPr>
          <w:rFonts w:asciiTheme="majorBidi" w:hAnsiTheme="majorBidi" w:cstheme="majorBidi"/>
          <w:i/>
          <w:iCs/>
          <w:noProof/>
        </w:rPr>
        <w:t>This Regulation lays down security of supply standards that are sufficiently harmonised and cover at least the situation that occurred in January 2009 when gas supply from Russia was disrupted. Those standards take account of the difference between Member States, public service obligations and customer protection measures, as referred to in Article 3 of Directive 2009/73/EC. Security of supply standards should be stable, so as to provide the necessary legal certainty, should be clearly defined, and should not impose unreasonable and disproportionate burdens on natural gas undertakings. They should also guarantee equal access for the Union natural gas undertakings to national customers. Member States should establish measures that will, in an effective and proportionate manner, ensure that natural gas undertakings comply with such a standard, including the possibility to establish fines on suppliers, where they consider it to be appropriate.</w:t>
      </w:r>
      <w:r w:rsidR="007A34CA">
        <w:rPr>
          <w:rFonts w:asciiTheme="majorBidi" w:hAnsiTheme="majorBidi" w:cstheme="majorBidi"/>
          <w:i/>
          <w:iCs/>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While the Gas SoS Regulation takes duly into account the existence of the Third Package rules, the fact is that the latter – and in particular the subsequent network codes and guidelines – does no longer reflect the mechanisms of the security of supply rules.</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A total of 21 definitions in Article 2 of the Gas SoS Regulation refer to those in Article 2 of Directive 2009/73. Only five definitions are new; they are needed for some notions that were introduced by the SoS rules in 2010 and 2017 (therefore not taken into account in the Gas Directive). These five </w:t>
      </w:r>
      <w:r w:rsidR="00D562D0">
        <w:rPr>
          <w:rFonts w:asciiTheme="majorBidi" w:hAnsiTheme="majorBidi" w:cstheme="majorBidi"/>
          <w:noProof/>
        </w:rPr>
        <w:t>‘</w:t>
      </w:r>
      <w:r w:rsidRPr="00DC621B">
        <w:rPr>
          <w:rFonts w:asciiTheme="majorBidi" w:hAnsiTheme="majorBidi" w:cstheme="majorBidi"/>
          <w:noProof/>
        </w:rPr>
        <w:t>new</w:t>
      </w:r>
      <w:r w:rsidR="00D562D0">
        <w:rPr>
          <w:rFonts w:asciiTheme="majorBidi" w:hAnsiTheme="majorBidi" w:cstheme="majorBidi"/>
          <w:noProof/>
        </w:rPr>
        <w:t>’</w:t>
      </w:r>
      <w:r w:rsidRPr="00DC621B">
        <w:rPr>
          <w:rFonts w:asciiTheme="majorBidi" w:hAnsiTheme="majorBidi" w:cstheme="majorBidi"/>
          <w:noProof/>
        </w:rPr>
        <w:t xml:space="preserve"> definitions concern: </w:t>
      </w:r>
      <w:r w:rsidR="00364A40">
        <w:rPr>
          <w:rFonts w:asciiTheme="majorBidi" w:hAnsiTheme="majorBidi" w:cstheme="majorBidi"/>
          <w:b/>
          <w:bCs/>
          <w:noProof/>
        </w:rPr>
        <w:t>‘</w:t>
      </w:r>
      <w:r w:rsidRPr="00DC621B">
        <w:rPr>
          <w:rFonts w:asciiTheme="majorBidi" w:hAnsiTheme="majorBidi" w:cstheme="majorBidi"/>
          <w:b/>
          <w:bCs/>
          <w:noProof/>
        </w:rPr>
        <w:t>essential social service</w:t>
      </w:r>
      <w:r w:rsidR="00364A40">
        <w:rPr>
          <w:rFonts w:asciiTheme="majorBidi" w:hAnsiTheme="majorBidi" w:cstheme="majorBidi"/>
          <w:b/>
          <w:bCs/>
          <w:noProof/>
        </w:rPr>
        <w:t>’</w:t>
      </w:r>
      <w:r w:rsidRPr="00DC621B">
        <w:rPr>
          <w:rFonts w:asciiTheme="majorBidi" w:hAnsiTheme="majorBidi" w:cstheme="majorBidi"/>
          <w:b/>
          <w:bCs/>
          <w:noProof/>
        </w:rPr>
        <w:t xml:space="preserve"> (Art</w:t>
      </w:r>
      <w:r w:rsidR="007F5DE6">
        <w:rPr>
          <w:rFonts w:asciiTheme="majorBidi" w:hAnsiTheme="majorBidi" w:cstheme="majorBidi"/>
          <w:b/>
          <w:bCs/>
          <w:noProof/>
        </w:rPr>
        <w:t>icle</w:t>
      </w:r>
      <w:r w:rsidRPr="00DC621B">
        <w:rPr>
          <w:rFonts w:asciiTheme="majorBidi" w:hAnsiTheme="majorBidi" w:cstheme="majorBidi"/>
          <w:b/>
          <w:bCs/>
          <w:noProof/>
        </w:rPr>
        <w:t xml:space="preserve"> 2(4)), </w:t>
      </w:r>
      <w:r w:rsidR="00364A40">
        <w:rPr>
          <w:rFonts w:asciiTheme="majorBidi" w:hAnsiTheme="majorBidi" w:cstheme="majorBidi"/>
          <w:b/>
          <w:bCs/>
          <w:noProof/>
        </w:rPr>
        <w:t>‘</w:t>
      </w:r>
      <w:r w:rsidRPr="00DC621B">
        <w:rPr>
          <w:rFonts w:asciiTheme="majorBidi" w:hAnsiTheme="majorBidi" w:cstheme="majorBidi"/>
          <w:b/>
          <w:bCs/>
          <w:noProof/>
        </w:rPr>
        <w:t>protected customer</w:t>
      </w:r>
      <w:r w:rsidR="00364A40">
        <w:rPr>
          <w:rFonts w:asciiTheme="majorBidi" w:hAnsiTheme="majorBidi" w:cstheme="majorBidi"/>
          <w:b/>
          <w:bCs/>
          <w:noProof/>
        </w:rPr>
        <w:t>’</w:t>
      </w:r>
      <w:r w:rsidRPr="00DC621B">
        <w:rPr>
          <w:rFonts w:asciiTheme="majorBidi" w:hAnsiTheme="majorBidi" w:cstheme="majorBidi"/>
          <w:b/>
          <w:bCs/>
          <w:noProof/>
        </w:rPr>
        <w:t xml:space="preserve"> (Art</w:t>
      </w:r>
      <w:r w:rsidR="007F5DE6">
        <w:rPr>
          <w:rFonts w:asciiTheme="majorBidi" w:hAnsiTheme="majorBidi" w:cstheme="majorBidi"/>
          <w:b/>
          <w:bCs/>
          <w:noProof/>
        </w:rPr>
        <w:t>icle</w:t>
      </w:r>
      <w:r w:rsidRPr="00DC621B">
        <w:rPr>
          <w:rFonts w:asciiTheme="majorBidi" w:hAnsiTheme="majorBidi" w:cstheme="majorBidi"/>
          <w:b/>
          <w:bCs/>
          <w:noProof/>
        </w:rPr>
        <w:t xml:space="preserve"> 2(5)), </w:t>
      </w:r>
      <w:r w:rsidR="00364A40">
        <w:rPr>
          <w:rFonts w:asciiTheme="majorBidi" w:hAnsiTheme="majorBidi" w:cstheme="majorBidi"/>
          <w:b/>
          <w:bCs/>
          <w:noProof/>
        </w:rPr>
        <w:t>‘</w:t>
      </w:r>
      <w:r w:rsidRPr="00DC621B">
        <w:rPr>
          <w:rFonts w:asciiTheme="majorBidi" w:hAnsiTheme="majorBidi" w:cstheme="majorBidi"/>
          <w:b/>
          <w:bCs/>
          <w:noProof/>
        </w:rPr>
        <w:t>solidarity protected customer</w:t>
      </w:r>
      <w:r w:rsidR="00364A40">
        <w:rPr>
          <w:rFonts w:asciiTheme="majorBidi" w:hAnsiTheme="majorBidi" w:cstheme="majorBidi"/>
          <w:b/>
          <w:bCs/>
          <w:noProof/>
        </w:rPr>
        <w:t>’</w:t>
      </w:r>
      <w:r w:rsidRPr="00DC621B">
        <w:rPr>
          <w:rFonts w:asciiTheme="majorBidi" w:hAnsiTheme="majorBidi" w:cstheme="majorBidi"/>
          <w:b/>
          <w:bCs/>
          <w:noProof/>
        </w:rPr>
        <w:t xml:space="preserve"> (Art</w:t>
      </w:r>
      <w:r w:rsidR="007F5DE6">
        <w:rPr>
          <w:rFonts w:asciiTheme="majorBidi" w:hAnsiTheme="majorBidi" w:cstheme="majorBidi"/>
          <w:b/>
          <w:bCs/>
          <w:noProof/>
        </w:rPr>
        <w:t>icle</w:t>
      </w:r>
      <w:r w:rsidRPr="00DC621B">
        <w:rPr>
          <w:rFonts w:asciiTheme="majorBidi" w:hAnsiTheme="majorBidi" w:cstheme="majorBidi"/>
          <w:b/>
          <w:bCs/>
          <w:noProof/>
        </w:rPr>
        <w:t xml:space="preserve"> 2(6)), </w:t>
      </w:r>
      <w:r w:rsidR="00364A40">
        <w:rPr>
          <w:rFonts w:asciiTheme="majorBidi" w:hAnsiTheme="majorBidi" w:cstheme="majorBidi"/>
          <w:b/>
          <w:bCs/>
          <w:noProof/>
        </w:rPr>
        <w:t>‘</w:t>
      </w:r>
      <w:r w:rsidRPr="00DC621B">
        <w:rPr>
          <w:rFonts w:asciiTheme="majorBidi" w:hAnsiTheme="majorBidi" w:cstheme="majorBidi"/>
          <w:b/>
          <w:bCs/>
          <w:noProof/>
        </w:rPr>
        <w:t>competent authority</w:t>
      </w:r>
      <w:r w:rsidR="00364A40">
        <w:rPr>
          <w:rFonts w:asciiTheme="majorBidi" w:hAnsiTheme="majorBidi" w:cstheme="majorBidi"/>
          <w:b/>
          <w:bCs/>
          <w:noProof/>
        </w:rPr>
        <w:t>’</w:t>
      </w:r>
      <w:r w:rsidRPr="00DC621B">
        <w:rPr>
          <w:rFonts w:asciiTheme="majorBidi" w:hAnsiTheme="majorBidi" w:cstheme="majorBidi"/>
          <w:b/>
          <w:bCs/>
          <w:noProof/>
        </w:rPr>
        <w:t xml:space="preserve"> (Art</w:t>
      </w:r>
      <w:r w:rsidR="007F5DE6">
        <w:rPr>
          <w:rFonts w:asciiTheme="majorBidi" w:hAnsiTheme="majorBidi" w:cstheme="majorBidi"/>
          <w:b/>
          <w:bCs/>
          <w:noProof/>
        </w:rPr>
        <w:t>icle</w:t>
      </w:r>
      <w:r w:rsidRPr="00DC621B">
        <w:rPr>
          <w:rFonts w:asciiTheme="majorBidi" w:hAnsiTheme="majorBidi" w:cstheme="majorBidi"/>
          <w:b/>
          <w:bCs/>
          <w:noProof/>
        </w:rPr>
        <w:t xml:space="preserve"> 2(4)) and </w:t>
      </w:r>
      <w:r w:rsidR="00364A40">
        <w:rPr>
          <w:rFonts w:asciiTheme="majorBidi" w:hAnsiTheme="majorBidi" w:cstheme="majorBidi"/>
          <w:b/>
          <w:bCs/>
          <w:noProof/>
        </w:rPr>
        <w:t>‘</w:t>
      </w:r>
      <w:r w:rsidRPr="00DC621B">
        <w:rPr>
          <w:rFonts w:asciiTheme="majorBidi" w:hAnsiTheme="majorBidi" w:cstheme="majorBidi"/>
          <w:b/>
          <w:bCs/>
          <w:noProof/>
        </w:rPr>
        <w:t>emergency supply corridors</w:t>
      </w:r>
      <w:r w:rsidR="00364A40">
        <w:rPr>
          <w:rFonts w:asciiTheme="majorBidi" w:hAnsiTheme="majorBidi" w:cstheme="majorBidi"/>
          <w:b/>
          <w:bCs/>
          <w:noProof/>
        </w:rPr>
        <w:t>’</w:t>
      </w:r>
      <w:r w:rsidRPr="00DC621B">
        <w:rPr>
          <w:rFonts w:asciiTheme="majorBidi" w:hAnsiTheme="majorBidi" w:cstheme="majorBidi"/>
          <w:b/>
          <w:bCs/>
          <w:noProof/>
        </w:rPr>
        <w:t>.</w:t>
      </w:r>
      <w:r w:rsidRPr="00DC621B">
        <w:rPr>
          <w:rFonts w:asciiTheme="majorBidi" w:hAnsiTheme="majorBidi" w:cstheme="majorBidi"/>
          <w:noProof/>
        </w:rPr>
        <w:t xml:space="preserve"> These </w:t>
      </w:r>
      <w:r w:rsidRPr="00DC621B">
        <w:rPr>
          <w:rFonts w:asciiTheme="majorBidi" w:hAnsiTheme="majorBidi" w:cstheme="majorBidi"/>
          <w:i/>
          <w:iCs/>
          <w:noProof/>
        </w:rPr>
        <w:t>ad hoc</w:t>
      </w:r>
      <w:r w:rsidRPr="00DC621B">
        <w:rPr>
          <w:rFonts w:asciiTheme="majorBidi" w:hAnsiTheme="majorBidi" w:cstheme="majorBidi"/>
          <w:noProof/>
        </w:rPr>
        <w:t xml:space="preserve"> notions seem therefore meant only for the purposes of the security of supply Regulation, but – to the extent that some of them may justify some intervention in the market</w:t>
      </w:r>
      <w:r w:rsidR="00E56CE2">
        <w:rPr>
          <w:rFonts w:asciiTheme="majorBidi" w:hAnsiTheme="majorBidi" w:cstheme="majorBidi"/>
          <w:noProof/>
        </w:rPr>
        <w:t xml:space="preserve"> –</w:t>
      </w:r>
      <w:r w:rsidRPr="00DC621B">
        <w:rPr>
          <w:rFonts w:asciiTheme="majorBidi" w:hAnsiTheme="majorBidi" w:cstheme="majorBidi"/>
          <w:noProof/>
        </w:rPr>
        <w:t xml:space="preserve">, they might need to be taken into consideration within the internal market rules, and – in particular – when </w:t>
      </w:r>
      <w:r w:rsidR="00820E55" w:rsidRPr="00DC621B">
        <w:rPr>
          <w:rFonts w:asciiTheme="majorBidi" w:hAnsiTheme="majorBidi" w:cstheme="majorBidi"/>
          <w:noProof/>
        </w:rPr>
        <w:t>developing</w:t>
      </w:r>
      <w:r w:rsidRPr="00DC621B">
        <w:rPr>
          <w:rFonts w:asciiTheme="majorBidi" w:hAnsiTheme="majorBidi" w:cstheme="majorBidi"/>
          <w:noProof/>
        </w:rPr>
        <w:t xml:space="preserve"> network codes and guidelines.</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This is the case e.g. of the definition of </w:t>
      </w:r>
      <w:r w:rsidRPr="00DC621B">
        <w:rPr>
          <w:rFonts w:asciiTheme="majorBidi" w:hAnsiTheme="majorBidi" w:cstheme="majorBidi"/>
          <w:b/>
          <w:bCs/>
          <w:noProof/>
        </w:rPr>
        <w:t>protected customers</w:t>
      </w:r>
      <w:r w:rsidRPr="00DC621B">
        <w:rPr>
          <w:rFonts w:asciiTheme="majorBidi" w:hAnsiTheme="majorBidi" w:cstheme="majorBidi"/>
          <w:noProof/>
        </w:rPr>
        <w:t xml:space="preserve">, that determines that appropriate preventive measures are foreseen to guarantee the supply to these customers in specific cases that may impact the gas supply (so called </w:t>
      </w:r>
      <w:r w:rsidR="00364A40">
        <w:rPr>
          <w:rFonts w:asciiTheme="majorBidi" w:hAnsiTheme="majorBidi" w:cstheme="majorBidi"/>
          <w:noProof/>
        </w:rPr>
        <w:t>‘</w:t>
      </w:r>
      <w:r w:rsidRPr="00DC621B">
        <w:rPr>
          <w:rFonts w:asciiTheme="majorBidi" w:hAnsiTheme="majorBidi" w:cstheme="majorBidi"/>
          <w:b/>
          <w:bCs/>
          <w:noProof/>
        </w:rPr>
        <w:t>supply standard</w:t>
      </w:r>
      <w:r w:rsidR="00364A40">
        <w:rPr>
          <w:rFonts w:asciiTheme="majorBidi" w:hAnsiTheme="majorBidi" w:cstheme="majorBidi"/>
          <w:noProof/>
        </w:rPr>
        <w:t>’</w:t>
      </w:r>
      <w:r w:rsidRPr="00DC621B">
        <w:rPr>
          <w:rFonts w:asciiTheme="majorBidi" w:hAnsiTheme="majorBidi" w:cstheme="majorBidi"/>
          <w:noProof/>
        </w:rPr>
        <w:t>)</w:t>
      </w:r>
      <w:r w:rsidRPr="00DC621B">
        <w:rPr>
          <w:rStyle w:val="FootnoteReference"/>
          <w:rFonts w:asciiTheme="majorBidi" w:hAnsiTheme="majorBidi" w:cstheme="majorBidi"/>
          <w:noProof/>
        </w:rPr>
        <w:footnoteReference w:id="204"/>
      </w:r>
      <w:r w:rsidR="00364A40">
        <w:rPr>
          <w:rFonts w:asciiTheme="majorBidi" w:hAnsiTheme="majorBidi" w:cstheme="majorBidi"/>
          <w:noProof/>
        </w:rPr>
        <w:t>.</w:t>
      </w:r>
      <w:r w:rsidRPr="00DC621B">
        <w:rPr>
          <w:rFonts w:asciiTheme="majorBidi" w:hAnsiTheme="majorBidi" w:cstheme="majorBidi"/>
          <w:noProof/>
        </w:rPr>
        <w:t xml:space="preserve"> Article 2(5) leaves some room for manoeuver to Member States when identifying the group of protected customers. The definition of these at national level is important, though, because it may determine the declaration of an </w:t>
      </w:r>
      <w:r w:rsidR="00364A40">
        <w:rPr>
          <w:rFonts w:asciiTheme="majorBidi" w:hAnsiTheme="majorBidi" w:cstheme="majorBidi"/>
          <w:noProof/>
        </w:rPr>
        <w:t>‘</w:t>
      </w:r>
      <w:r w:rsidRPr="00DC621B">
        <w:rPr>
          <w:rFonts w:asciiTheme="majorBidi" w:hAnsiTheme="majorBidi" w:cstheme="majorBidi"/>
          <w:noProof/>
        </w:rPr>
        <w:t>emergency state</w:t>
      </w:r>
      <w:r w:rsidR="00364A40">
        <w:rPr>
          <w:rFonts w:asciiTheme="majorBidi" w:hAnsiTheme="majorBidi" w:cstheme="majorBidi"/>
          <w:noProof/>
        </w:rPr>
        <w:t>’</w:t>
      </w:r>
      <w:r w:rsidRPr="00DC621B">
        <w:rPr>
          <w:rFonts w:asciiTheme="majorBidi" w:hAnsiTheme="majorBidi" w:cstheme="majorBidi"/>
          <w:noProof/>
        </w:rPr>
        <w:t xml:space="preserve"> by a Member State and the introduction of </w:t>
      </w:r>
      <w:r w:rsidR="00364A40">
        <w:rPr>
          <w:rFonts w:asciiTheme="majorBidi" w:hAnsiTheme="majorBidi" w:cstheme="majorBidi"/>
          <w:noProof/>
        </w:rPr>
        <w:t>‘</w:t>
      </w:r>
      <w:r w:rsidRPr="00DC621B">
        <w:rPr>
          <w:rFonts w:asciiTheme="majorBidi" w:hAnsiTheme="majorBidi" w:cstheme="majorBidi"/>
          <w:noProof/>
        </w:rPr>
        <w:t>non-market based measures</w:t>
      </w:r>
      <w:r w:rsidR="00364A40">
        <w:rPr>
          <w:rFonts w:asciiTheme="majorBidi" w:hAnsiTheme="majorBidi" w:cstheme="majorBidi"/>
          <w:noProof/>
        </w:rPr>
        <w:t>’</w:t>
      </w:r>
      <w:r w:rsidRPr="00DC621B">
        <w:rPr>
          <w:rFonts w:asciiTheme="majorBidi" w:hAnsiTheme="majorBidi" w:cstheme="majorBidi"/>
          <w:noProof/>
        </w:rPr>
        <w:t xml:space="preserve">. The Regulation requires that such measures be clearly defined, transparent, proportionate, non-discriminatory and verifiable, shall not unduly distort competition or the effective functioning of the internal market in gas and shall not endanger the security of gas supply of other Member States or of the Union (Article 8(1)). But these requirements are mainly appropriate for an </w:t>
      </w:r>
      <w:r w:rsidRPr="00DC621B">
        <w:rPr>
          <w:rFonts w:asciiTheme="majorBidi" w:hAnsiTheme="majorBidi" w:cstheme="majorBidi"/>
          <w:i/>
          <w:iCs/>
          <w:noProof/>
        </w:rPr>
        <w:t xml:space="preserve">ex-ante </w:t>
      </w:r>
      <w:r w:rsidRPr="00DC621B">
        <w:rPr>
          <w:rFonts w:asciiTheme="majorBidi" w:hAnsiTheme="majorBidi" w:cstheme="majorBidi"/>
          <w:noProof/>
        </w:rPr>
        <w:t xml:space="preserve">check of the relevant national preventive action plans and preventive plans. In case of market tightness, the different scope of the group of </w:t>
      </w:r>
      <w:r w:rsidR="00364A40">
        <w:rPr>
          <w:rFonts w:asciiTheme="majorBidi" w:hAnsiTheme="majorBidi" w:cstheme="majorBidi"/>
          <w:noProof/>
        </w:rPr>
        <w:t>‘</w:t>
      </w:r>
      <w:r w:rsidRPr="00DC621B">
        <w:rPr>
          <w:rFonts w:asciiTheme="majorBidi" w:hAnsiTheme="majorBidi" w:cstheme="majorBidi"/>
          <w:noProof/>
        </w:rPr>
        <w:t>protected customers</w:t>
      </w:r>
      <w:r w:rsidR="00364A40">
        <w:rPr>
          <w:rFonts w:asciiTheme="majorBidi" w:hAnsiTheme="majorBidi" w:cstheme="majorBidi"/>
          <w:noProof/>
        </w:rPr>
        <w:t>’</w:t>
      </w:r>
      <w:r w:rsidRPr="00DC621B">
        <w:rPr>
          <w:rFonts w:asciiTheme="majorBidi" w:hAnsiTheme="majorBidi" w:cstheme="majorBidi"/>
          <w:noProof/>
        </w:rPr>
        <w:t xml:space="preserve"> in different Member States may imply the introduction of non-market based measures at an early stage.</w:t>
      </w:r>
    </w:p>
    <w:p w:rsidR="00696804" w:rsidRPr="00DC621B" w:rsidRDefault="00696804">
      <w:pPr>
        <w:rPr>
          <w:rFonts w:asciiTheme="majorBidi" w:hAnsiTheme="majorBidi" w:cstheme="majorBidi"/>
          <w:noProof/>
          <w:u w:val="words"/>
        </w:rPr>
      </w:pPr>
      <w:r w:rsidRPr="00DC621B">
        <w:rPr>
          <w:rFonts w:asciiTheme="majorBidi" w:hAnsiTheme="majorBidi" w:cstheme="majorBidi"/>
          <w:noProof/>
        </w:rPr>
        <w:t xml:space="preserve">Closely linked to the supply standard (as well as to the infrastructure standard defined in Article 5) is also the notion of </w:t>
      </w:r>
      <w:r w:rsidRPr="00DC621B">
        <w:rPr>
          <w:rFonts w:asciiTheme="majorBidi" w:hAnsiTheme="majorBidi" w:cstheme="majorBidi"/>
          <w:b/>
          <w:bCs/>
          <w:noProof/>
        </w:rPr>
        <w:t>public service obligation</w:t>
      </w:r>
      <w:r w:rsidRPr="00DC621B">
        <w:rPr>
          <w:rFonts w:asciiTheme="majorBidi" w:hAnsiTheme="majorBidi" w:cstheme="majorBidi"/>
          <w:noProof/>
        </w:rPr>
        <w:t>. The Regulation (</w:t>
      </w:r>
      <w:r w:rsidR="003A7D37">
        <w:rPr>
          <w:rFonts w:asciiTheme="majorBidi" w:hAnsiTheme="majorBidi" w:cstheme="majorBidi"/>
          <w:noProof/>
        </w:rPr>
        <w:t>R</w:t>
      </w:r>
      <w:r w:rsidRPr="00DC621B">
        <w:rPr>
          <w:rFonts w:asciiTheme="majorBidi" w:hAnsiTheme="majorBidi" w:cstheme="majorBidi"/>
          <w:noProof/>
        </w:rPr>
        <w:t xml:space="preserve">ecital 31) refers to the provisions in Article 3 of the Gas Directive. Member States have to indicate in their National Preventive Action Plans the existing </w:t>
      </w:r>
      <w:r w:rsidR="00C24546">
        <w:rPr>
          <w:rFonts w:asciiTheme="majorBidi" w:hAnsiTheme="majorBidi" w:cstheme="majorBidi"/>
          <w:noProof/>
        </w:rPr>
        <w:t>PSOs</w:t>
      </w:r>
      <w:r w:rsidRPr="00DC621B">
        <w:rPr>
          <w:rFonts w:asciiTheme="majorBidi" w:hAnsiTheme="majorBidi" w:cstheme="majorBidi"/>
          <w:noProof/>
        </w:rPr>
        <w:t xml:space="preserve"> related to the security of supply and briefly describe them. This should include clearly who has to comply with such obligations and how, as well as how and when those </w:t>
      </w:r>
      <w:r w:rsidR="00C24546">
        <w:rPr>
          <w:rFonts w:asciiTheme="majorBidi" w:hAnsiTheme="majorBidi" w:cstheme="majorBidi"/>
          <w:noProof/>
        </w:rPr>
        <w:t>PSOs</w:t>
      </w:r>
      <w:r w:rsidRPr="00DC621B">
        <w:rPr>
          <w:rFonts w:asciiTheme="majorBidi" w:hAnsiTheme="majorBidi" w:cstheme="majorBidi"/>
          <w:noProof/>
        </w:rPr>
        <w:t xml:space="preserve"> would be triggered, if applicable. In its opinions on some national plans, the Commission has highlighted its doubts on some preventive measures, their potential impact on cross border trade and on the internal market in general and their potential lack of justification from the security of supply point of view.</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Article 11 of the Gas SoS Regulation deals with the procedure for declaring a crisis, and in particular the </w:t>
      </w:r>
      <w:r w:rsidRPr="00DC621B">
        <w:rPr>
          <w:rFonts w:asciiTheme="majorBidi" w:hAnsiTheme="majorBidi" w:cstheme="majorBidi"/>
          <w:b/>
          <w:bCs/>
          <w:noProof/>
        </w:rPr>
        <w:t>three crisis levels</w:t>
      </w:r>
      <w:r w:rsidRPr="00DC621B">
        <w:rPr>
          <w:rFonts w:asciiTheme="majorBidi" w:hAnsiTheme="majorBidi" w:cstheme="majorBidi"/>
          <w:noProof/>
        </w:rPr>
        <w:t xml:space="preserve">: early warning, alert level and emergency level; as mentioned, the latter justifies the adoption of non-market based measures. The declaration of </w:t>
      </w:r>
      <w:r w:rsidRPr="00DC621B">
        <w:rPr>
          <w:rFonts w:asciiTheme="majorBidi" w:hAnsiTheme="majorBidi" w:cstheme="majorBidi"/>
          <w:b/>
          <w:bCs/>
          <w:noProof/>
        </w:rPr>
        <w:t>emergency level by one Member State may trigger the solidarity mechanism</w:t>
      </w:r>
      <w:r w:rsidRPr="00DC621B">
        <w:rPr>
          <w:rFonts w:asciiTheme="majorBidi" w:hAnsiTheme="majorBidi" w:cstheme="majorBidi"/>
          <w:noProof/>
        </w:rPr>
        <w:t xml:space="preserve"> (Article 13), which may lead a neighbouring Member State to reduce the gas supply to its non-solidarity protected customers and share the available gas with the solidarity protected customers in a first Member State. The needed </w:t>
      </w:r>
      <w:r w:rsidR="00364A40">
        <w:rPr>
          <w:rFonts w:asciiTheme="majorBidi" w:hAnsiTheme="majorBidi" w:cstheme="majorBidi"/>
          <w:noProof/>
        </w:rPr>
        <w:t>‘</w:t>
      </w:r>
      <w:r w:rsidRPr="00DC621B">
        <w:rPr>
          <w:rFonts w:asciiTheme="majorBidi" w:hAnsiTheme="majorBidi" w:cstheme="majorBidi"/>
          <w:noProof/>
        </w:rPr>
        <w:t>solidarity gas</w:t>
      </w:r>
      <w:r w:rsidR="00364A40">
        <w:rPr>
          <w:rFonts w:asciiTheme="majorBidi" w:hAnsiTheme="majorBidi" w:cstheme="majorBidi"/>
          <w:noProof/>
        </w:rPr>
        <w:t>’</w:t>
      </w:r>
      <w:r w:rsidRPr="00DC621B">
        <w:rPr>
          <w:rFonts w:asciiTheme="majorBidi" w:hAnsiTheme="majorBidi" w:cstheme="majorBidi"/>
          <w:noProof/>
        </w:rPr>
        <w:t xml:space="preserve"> may be obtained through market based mechanisms, such as ad hoc tenders or interruptibility contracts; if needed, non-market based measures should be applied, including enforced load shedding.</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Several provisions thus of the Gas SoS Regulation may therefore have an impact on the normal functioning of the internal market, where the security of supply is at stake. They require clear responsibilities at national level and clear technical rules in order for everyone to be able to react when needed. </w:t>
      </w:r>
    </w:p>
    <w:p w:rsidR="00696804" w:rsidRPr="00DC621B" w:rsidRDefault="00696804">
      <w:pPr>
        <w:rPr>
          <w:rFonts w:asciiTheme="majorBidi" w:hAnsiTheme="majorBidi" w:cstheme="majorBidi"/>
          <w:b/>
          <w:bCs/>
          <w:noProof/>
        </w:rPr>
      </w:pPr>
      <w:r w:rsidRPr="00DC621B">
        <w:rPr>
          <w:rFonts w:asciiTheme="majorBidi" w:hAnsiTheme="majorBidi" w:cstheme="majorBidi"/>
          <w:noProof/>
        </w:rPr>
        <w:t xml:space="preserve">Despite the close link between security of supply, market rules and system operation, </w:t>
      </w:r>
      <w:r w:rsidRPr="00DC621B">
        <w:rPr>
          <w:rFonts w:asciiTheme="majorBidi" w:hAnsiTheme="majorBidi" w:cstheme="majorBidi"/>
          <w:b/>
          <w:bCs/>
          <w:noProof/>
        </w:rPr>
        <w:t xml:space="preserve">the Third Package and the </w:t>
      </w:r>
      <w:r w:rsidR="00A3395C">
        <w:rPr>
          <w:rFonts w:asciiTheme="majorBidi" w:hAnsiTheme="majorBidi" w:cstheme="majorBidi"/>
          <w:b/>
          <w:bCs/>
          <w:noProof/>
        </w:rPr>
        <w:t>n</w:t>
      </w:r>
      <w:r w:rsidRPr="00DC621B">
        <w:rPr>
          <w:rFonts w:asciiTheme="majorBidi" w:hAnsiTheme="majorBidi" w:cstheme="majorBidi"/>
          <w:b/>
          <w:bCs/>
          <w:noProof/>
        </w:rPr>
        <w:t xml:space="preserve">etwork </w:t>
      </w:r>
      <w:r w:rsidR="00A3395C">
        <w:rPr>
          <w:rFonts w:asciiTheme="majorBidi" w:hAnsiTheme="majorBidi" w:cstheme="majorBidi"/>
          <w:b/>
          <w:bCs/>
          <w:noProof/>
        </w:rPr>
        <w:t>c</w:t>
      </w:r>
      <w:r w:rsidRPr="00DC621B">
        <w:rPr>
          <w:rFonts w:asciiTheme="majorBidi" w:hAnsiTheme="majorBidi" w:cstheme="majorBidi"/>
          <w:b/>
          <w:bCs/>
          <w:noProof/>
        </w:rPr>
        <w:t xml:space="preserve">odes and </w:t>
      </w:r>
      <w:r w:rsidR="00A3395C">
        <w:rPr>
          <w:rFonts w:asciiTheme="majorBidi" w:hAnsiTheme="majorBidi" w:cstheme="majorBidi"/>
          <w:b/>
          <w:bCs/>
          <w:noProof/>
        </w:rPr>
        <w:t>g</w:t>
      </w:r>
      <w:r w:rsidRPr="00DC621B">
        <w:rPr>
          <w:rFonts w:asciiTheme="majorBidi" w:hAnsiTheme="majorBidi" w:cstheme="majorBidi"/>
          <w:b/>
          <w:bCs/>
          <w:noProof/>
        </w:rPr>
        <w:t>uidelines developed over the past years do not duly take into consideration the evolution of the security of supply rules since 2009.</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Commission Regulation (EU) No 312/2014 establishing a </w:t>
      </w:r>
      <w:r w:rsidR="00A3395C">
        <w:rPr>
          <w:rFonts w:asciiTheme="majorBidi" w:hAnsiTheme="majorBidi" w:cstheme="majorBidi"/>
          <w:noProof/>
        </w:rPr>
        <w:t>n</w:t>
      </w:r>
      <w:r w:rsidRPr="00DC621B">
        <w:rPr>
          <w:rFonts w:asciiTheme="majorBidi" w:hAnsiTheme="majorBidi" w:cstheme="majorBidi"/>
          <w:noProof/>
        </w:rPr>
        <w:t xml:space="preserve">etwork </w:t>
      </w:r>
      <w:r w:rsidR="00A3395C">
        <w:rPr>
          <w:rFonts w:asciiTheme="majorBidi" w:hAnsiTheme="majorBidi" w:cstheme="majorBidi"/>
          <w:noProof/>
        </w:rPr>
        <w:t>c</w:t>
      </w:r>
      <w:r w:rsidRPr="00DC621B">
        <w:rPr>
          <w:rFonts w:asciiTheme="majorBidi" w:hAnsiTheme="majorBidi" w:cstheme="majorBidi"/>
          <w:noProof/>
        </w:rPr>
        <w:t xml:space="preserve">ode on </w:t>
      </w:r>
      <w:r w:rsidR="00A3395C">
        <w:rPr>
          <w:rFonts w:asciiTheme="majorBidi" w:hAnsiTheme="majorBidi" w:cstheme="majorBidi"/>
          <w:noProof/>
        </w:rPr>
        <w:t>g</w:t>
      </w:r>
      <w:r w:rsidRPr="00DC621B">
        <w:rPr>
          <w:rFonts w:asciiTheme="majorBidi" w:hAnsiTheme="majorBidi" w:cstheme="majorBidi"/>
          <w:noProof/>
        </w:rPr>
        <w:t xml:space="preserve">as </w:t>
      </w:r>
      <w:r w:rsidR="00A3395C">
        <w:rPr>
          <w:rFonts w:asciiTheme="majorBidi" w:hAnsiTheme="majorBidi" w:cstheme="majorBidi"/>
          <w:noProof/>
        </w:rPr>
        <w:t>b</w:t>
      </w:r>
      <w:r w:rsidRPr="00DC621B">
        <w:rPr>
          <w:rFonts w:asciiTheme="majorBidi" w:hAnsiTheme="majorBidi" w:cstheme="majorBidi"/>
          <w:noProof/>
        </w:rPr>
        <w:t>alancing of Transmission Networks sets out gas balancing rules, including network-related rules on nomination procedures, imbalance charges, settlement processes associated with the daily imbalance charge and operational balancing between transmission system operators’ networks. It applies to balancing zones within the borders of the Union. However, its Article</w:t>
      </w:r>
      <w:r w:rsidR="00E56CE2">
        <w:rPr>
          <w:rFonts w:asciiTheme="majorBidi" w:hAnsiTheme="majorBidi" w:cstheme="majorBidi"/>
          <w:noProof/>
        </w:rPr>
        <w:t> </w:t>
      </w:r>
      <w:r w:rsidRPr="00DC621B">
        <w:rPr>
          <w:rFonts w:asciiTheme="majorBidi" w:hAnsiTheme="majorBidi" w:cstheme="majorBidi"/>
          <w:noProof/>
        </w:rPr>
        <w:t xml:space="preserve">2(4) clarifies that </w:t>
      </w:r>
      <w:r w:rsidR="00364A40">
        <w:rPr>
          <w:rFonts w:asciiTheme="majorBidi" w:hAnsiTheme="majorBidi" w:cstheme="majorBidi"/>
          <w:i/>
          <w:iCs/>
          <w:noProof/>
        </w:rPr>
        <w:t>‘t</w:t>
      </w:r>
      <w:r w:rsidRPr="00DC621B">
        <w:rPr>
          <w:rFonts w:asciiTheme="majorBidi" w:hAnsiTheme="majorBidi" w:cstheme="majorBidi"/>
          <w:i/>
          <w:iCs/>
          <w:noProof/>
        </w:rPr>
        <w:t>his Regulation shall not apply in emergency situations where the transmission system operator shall implement specific measures defined under the applicable national rules and on the basis of Regulation (EU) No 994/2010 of the European Parliament and of the Council of 20 October 2010 concerning measures to safeguard security of gas supply, as appropriate</w:t>
      </w:r>
      <w:r w:rsidR="00364A40">
        <w:rPr>
          <w:rFonts w:asciiTheme="majorBidi" w:hAnsiTheme="majorBidi" w:cstheme="majorBidi"/>
          <w:i/>
          <w:iCs/>
          <w:noProof/>
        </w:rPr>
        <w:t>.</w:t>
      </w:r>
      <w:r w:rsidR="00C24546">
        <w:rPr>
          <w:rFonts w:asciiTheme="majorBidi" w:hAnsiTheme="majorBidi" w:cstheme="majorBidi"/>
          <w:i/>
          <w:iCs/>
          <w:noProof/>
        </w:rPr>
        <w:t>’</w:t>
      </w:r>
    </w:p>
    <w:p w:rsidR="00696804" w:rsidRPr="00DC621B" w:rsidRDefault="00696804">
      <w:pPr>
        <w:rPr>
          <w:rFonts w:asciiTheme="majorBidi" w:hAnsiTheme="majorBidi" w:cstheme="majorBidi"/>
          <w:noProof/>
        </w:rPr>
      </w:pPr>
      <w:r w:rsidRPr="00DC621B">
        <w:rPr>
          <w:rFonts w:asciiTheme="majorBidi" w:hAnsiTheme="majorBidi" w:cstheme="majorBidi"/>
          <w:noProof/>
        </w:rPr>
        <w:t xml:space="preserve">Only Commission Regulation (EU) 2015/703 establishing a </w:t>
      </w:r>
      <w:r w:rsidR="00A3395C">
        <w:rPr>
          <w:rFonts w:asciiTheme="majorBidi" w:hAnsiTheme="majorBidi" w:cstheme="majorBidi"/>
          <w:noProof/>
        </w:rPr>
        <w:t>N</w:t>
      </w:r>
      <w:r w:rsidRPr="00DC621B">
        <w:rPr>
          <w:rFonts w:asciiTheme="majorBidi" w:hAnsiTheme="majorBidi" w:cstheme="majorBidi"/>
          <w:noProof/>
        </w:rPr>
        <w:t xml:space="preserve">etwork code on interoperability and data exchange rules contains, in its Article 6 (on </w:t>
      </w:r>
      <w:r w:rsidR="00364A40">
        <w:rPr>
          <w:rFonts w:asciiTheme="majorBidi" w:hAnsiTheme="majorBidi" w:cstheme="majorBidi"/>
          <w:noProof/>
        </w:rPr>
        <w:t>‘</w:t>
      </w:r>
      <w:r w:rsidRPr="00DC621B">
        <w:rPr>
          <w:rFonts w:asciiTheme="majorBidi" w:hAnsiTheme="majorBidi" w:cstheme="majorBidi"/>
          <w:noProof/>
        </w:rPr>
        <w:t>Rules for flow control</w:t>
      </w:r>
      <w:r w:rsidR="00364A40">
        <w:rPr>
          <w:rFonts w:asciiTheme="majorBidi" w:hAnsiTheme="majorBidi" w:cstheme="majorBidi"/>
          <w:noProof/>
        </w:rPr>
        <w:t>’</w:t>
      </w:r>
      <w:r w:rsidRPr="00DC621B">
        <w:rPr>
          <w:rFonts w:asciiTheme="majorBidi" w:hAnsiTheme="majorBidi" w:cstheme="majorBidi"/>
          <w:noProof/>
        </w:rPr>
        <w:t xml:space="preserve">, point 14) a reference to the fact that </w:t>
      </w:r>
      <w:r w:rsidR="00364A40">
        <w:rPr>
          <w:rFonts w:asciiTheme="majorBidi" w:hAnsiTheme="majorBidi" w:cstheme="majorBidi"/>
          <w:noProof/>
        </w:rPr>
        <w:t>‘</w:t>
      </w:r>
      <w:r w:rsidRPr="00DC621B">
        <w:rPr>
          <w:rFonts w:asciiTheme="majorBidi" w:hAnsiTheme="majorBidi" w:cstheme="majorBidi"/>
          <w:i/>
          <w:iCs/>
          <w:noProof/>
        </w:rPr>
        <w:t>a transmission system operator may decide to alter the quantity of gas or the gas flow direction or both, if this is needed, in order to: (a) comply with provisions laid down in national or Union safety legislation applicable to the interconnection point; (b)</w:t>
      </w:r>
      <w:r w:rsidR="00D0731C">
        <w:rPr>
          <w:rFonts w:asciiTheme="majorBidi" w:hAnsiTheme="majorBidi" w:cstheme="majorBidi"/>
          <w:i/>
          <w:iCs/>
          <w:noProof/>
        </w:rPr>
        <w:t xml:space="preserve"> </w:t>
      </w:r>
      <w:r w:rsidRPr="00DC621B">
        <w:rPr>
          <w:rFonts w:asciiTheme="majorBidi" w:hAnsiTheme="majorBidi" w:cstheme="majorBidi"/>
          <w:i/>
          <w:iCs/>
          <w:noProof/>
        </w:rPr>
        <w:t>comply with requirements laid down in Emergency Plans and Preventive Action Plans developed in accordance with Regulation (EU) No 994/2010 of the European Parliament and of the Council (7); (c)</w:t>
      </w:r>
      <w:r w:rsidRPr="00DC621B">
        <w:rPr>
          <w:rFonts w:asciiTheme="majorBidi" w:hAnsiTheme="majorBidi" w:cstheme="majorBidi"/>
          <w:i/>
          <w:iCs/>
          <w:noProof/>
          <w:szCs w:val="24"/>
        </w:rPr>
        <w:tab/>
      </w:r>
      <w:r w:rsidRPr="00DC621B">
        <w:rPr>
          <w:rFonts w:asciiTheme="majorBidi" w:hAnsiTheme="majorBidi" w:cstheme="majorBidi"/>
          <w:i/>
          <w:iCs/>
          <w:noProof/>
        </w:rPr>
        <w:t>react in case the operator's system is affected by an exceptional event</w:t>
      </w:r>
      <w:r w:rsidRPr="00DC621B">
        <w:rPr>
          <w:rFonts w:asciiTheme="majorBidi" w:hAnsiTheme="majorBidi" w:cstheme="majorBidi"/>
          <w:noProof/>
        </w:rPr>
        <w:t>.</w:t>
      </w:r>
      <w:r w:rsidR="00364A40">
        <w:rPr>
          <w:rFonts w:asciiTheme="majorBidi" w:hAnsiTheme="majorBidi" w:cstheme="majorBidi"/>
          <w:noProof/>
        </w:rPr>
        <w:t>’</w:t>
      </w:r>
    </w:p>
    <w:p w:rsidR="00AD1C5F" w:rsidRPr="00DC621B" w:rsidRDefault="00696804" w:rsidP="00023F90">
      <w:pPr>
        <w:keepNext/>
        <w:rPr>
          <w:rFonts w:asciiTheme="majorBidi" w:hAnsiTheme="majorBidi" w:cstheme="majorBidi"/>
          <w:noProof/>
        </w:rPr>
      </w:pPr>
      <w:r w:rsidRPr="00DC621B">
        <w:rPr>
          <w:rFonts w:asciiTheme="majorBidi" w:hAnsiTheme="majorBidi" w:cstheme="majorBidi"/>
          <w:b/>
          <w:bCs/>
          <w:noProof/>
        </w:rPr>
        <w:t>Conclusion</w:t>
      </w:r>
      <w:r w:rsidRPr="00DC621B">
        <w:rPr>
          <w:rFonts w:asciiTheme="majorBidi" w:hAnsiTheme="majorBidi" w:cstheme="majorBidi"/>
          <w:noProof/>
        </w:rPr>
        <w:t xml:space="preserve"> </w:t>
      </w:r>
    </w:p>
    <w:p w:rsidR="00696804" w:rsidRPr="00DC621B" w:rsidRDefault="00696804">
      <w:pPr>
        <w:rPr>
          <w:rFonts w:asciiTheme="majorBidi" w:hAnsiTheme="majorBidi" w:cstheme="majorBidi"/>
          <w:noProof/>
        </w:rPr>
      </w:pPr>
      <w:r w:rsidRPr="00DC621B">
        <w:rPr>
          <w:rFonts w:asciiTheme="majorBidi" w:hAnsiTheme="majorBidi" w:cstheme="majorBidi"/>
          <w:b/>
          <w:bCs/>
          <w:noProof/>
        </w:rPr>
        <w:t>The Third Package, and in particular its Article 6, on regional solidarity, represented an important step forward that contained the embryo of subsequent EU rules on security of gas supply. Its provisions were quickly superseded by Regulation (EU) No 994/2010 and further developed by the Gas SoS Regulation</w:t>
      </w:r>
      <w:r w:rsidR="00AD1C5F" w:rsidRPr="00DC621B">
        <w:rPr>
          <w:rFonts w:asciiTheme="majorBidi" w:hAnsiTheme="majorBidi" w:cstheme="majorBidi"/>
          <w:b/>
          <w:bCs/>
          <w:noProof/>
        </w:rPr>
        <w:t xml:space="preserve"> (EU) 2017/1938</w:t>
      </w:r>
      <w:r w:rsidRPr="00DC621B">
        <w:rPr>
          <w:rFonts w:asciiTheme="majorBidi" w:hAnsiTheme="majorBidi" w:cstheme="majorBidi"/>
          <w:b/>
          <w:bCs/>
          <w:noProof/>
        </w:rPr>
        <w:t xml:space="preserve">. </w:t>
      </w:r>
    </w:p>
    <w:tbl>
      <w:tblPr>
        <w:tblW w:w="944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2"/>
      </w:tblGrid>
      <w:tr w:rsidR="0028459D" w:rsidRPr="00DC621B" w:rsidTr="002A0899">
        <w:trPr>
          <w:trHeight w:val="1114"/>
        </w:trPr>
        <w:tc>
          <w:tcPr>
            <w:tcW w:w="9442" w:type="dxa"/>
            <w:shd w:val="clear" w:color="auto" w:fill="C6D9F1" w:themeFill="text2" w:themeFillTint="33"/>
            <w:vAlign w:val="center"/>
          </w:tcPr>
          <w:p w:rsidR="0028459D" w:rsidRPr="00DC621B" w:rsidRDefault="0028459D" w:rsidP="003F1AEA">
            <w:pPr>
              <w:ind w:left="283" w:right="501"/>
              <w:rPr>
                <w:noProof/>
                <w:color w:val="444444"/>
                <w:sz w:val="27"/>
                <w:szCs w:val="27"/>
                <w:shd w:val="clear" w:color="auto" w:fill="FFFFFF"/>
              </w:rPr>
            </w:pPr>
            <w:r w:rsidRPr="00DC621B">
              <w:rPr>
                <w:rFonts w:asciiTheme="majorBidi" w:hAnsiTheme="majorBidi" w:cstheme="majorBidi"/>
                <w:noProof/>
              </w:rPr>
              <w:t xml:space="preserve">Coherence </w:t>
            </w:r>
            <w:r w:rsidRPr="009D744A">
              <w:rPr>
                <w:rFonts w:asciiTheme="majorBidi" w:hAnsiTheme="majorBidi" w:cstheme="majorBidi"/>
                <w:noProof/>
                <w:shd w:val="clear" w:color="auto" w:fill="C6D9F1" w:themeFill="text2" w:themeFillTint="33"/>
              </w:rPr>
              <w:t xml:space="preserve">with </w:t>
            </w:r>
            <w:r w:rsidRPr="009D744A">
              <w:rPr>
                <w:noProof/>
                <w:shd w:val="clear" w:color="auto" w:fill="C6D9F1" w:themeFill="text2" w:themeFillTint="33"/>
              </w:rPr>
              <w:t>Directive (EU) 2018/2001 of the European Parliament and of the Council of 11 December 2018 on the promotion of the use of energy from renewable sources</w:t>
            </w:r>
            <w:r w:rsidRPr="009D744A">
              <w:rPr>
                <w:noProof/>
                <w:color w:val="444444"/>
                <w:sz w:val="27"/>
                <w:szCs w:val="27"/>
                <w:shd w:val="clear" w:color="auto" w:fill="C6D9F1" w:themeFill="text2" w:themeFillTint="33"/>
              </w:rPr>
              <w:t xml:space="preserve"> (</w:t>
            </w:r>
            <w:r w:rsidRPr="009D744A">
              <w:rPr>
                <w:rFonts w:asciiTheme="majorBidi" w:hAnsiTheme="majorBidi" w:cstheme="majorBidi"/>
                <w:b/>
                <w:bCs/>
                <w:noProof/>
                <w:shd w:val="clear" w:color="auto" w:fill="C6D9F1" w:themeFill="text2" w:themeFillTint="33"/>
              </w:rPr>
              <w:t>R</w:t>
            </w:r>
            <w:r w:rsidR="00BB002C" w:rsidRPr="009D744A">
              <w:rPr>
                <w:rFonts w:asciiTheme="majorBidi" w:hAnsiTheme="majorBidi" w:cstheme="majorBidi"/>
                <w:b/>
                <w:bCs/>
                <w:noProof/>
                <w:shd w:val="clear" w:color="auto" w:fill="C6D9F1" w:themeFill="text2" w:themeFillTint="33"/>
              </w:rPr>
              <w:t xml:space="preserve">enewable </w:t>
            </w:r>
            <w:r w:rsidRPr="009D744A">
              <w:rPr>
                <w:rFonts w:asciiTheme="majorBidi" w:hAnsiTheme="majorBidi" w:cstheme="majorBidi"/>
                <w:b/>
                <w:bCs/>
                <w:noProof/>
                <w:shd w:val="clear" w:color="auto" w:fill="C6D9F1" w:themeFill="text2" w:themeFillTint="33"/>
              </w:rPr>
              <w:t>E</w:t>
            </w:r>
            <w:r w:rsidR="00BB002C" w:rsidRPr="009D744A">
              <w:rPr>
                <w:rFonts w:asciiTheme="majorBidi" w:hAnsiTheme="majorBidi" w:cstheme="majorBidi"/>
                <w:b/>
                <w:bCs/>
                <w:noProof/>
                <w:shd w:val="clear" w:color="auto" w:fill="C6D9F1" w:themeFill="text2" w:themeFillTint="33"/>
              </w:rPr>
              <w:t xml:space="preserve">nergy </w:t>
            </w:r>
            <w:r w:rsidRPr="009D744A">
              <w:rPr>
                <w:rFonts w:asciiTheme="majorBidi" w:hAnsiTheme="majorBidi" w:cstheme="majorBidi"/>
                <w:b/>
                <w:bCs/>
                <w:noProof/>
                <w:shd w:val="clear" w:color="auto" w:fill="C6D9F1" w:themeFill="text2" w:themeFillTint="33"/>
              </w:rPr>
              <w:t>D</w:t>
            </w:r>
            <w:r w:rsidR="00BB002C" w:rsidRPr="009D744A">
              <w:rPr>
                <w:rFonts w:asciiTheme="majorBidi" w:hAnsiTheme="majorBidi" w:cstheme="majorBidi"/>
                <w:b/>
                <w:bCs/>
                <w:noProof/>
                <w:shd w:val="clear" w:color="auto" w:fill="C6D9F1" w:themeFill="text2" w:themeFillTint="33"/>
              </w:rPr>
              <w:t>irective</w:t>
            </w:r>
            <w:r w:rsidRPr="009D744A">
              <w:rPr>
                <w:noProof/>
                <w:color w:val="444444"/>
                <w:sz w:val="27"/>
                <w:szCs w:val="27"/>
                <w:shd w:val="clear" w:color="auto" w:fill="C6D9F1" w:themeFill="text2" w:themeFillTint="33"/>
              </w:rPr>
              <w:t>)</w:t>
            </w:r>
          </w:p>
        </w:tc>
      </w:tr>
    </w:tbl>
    <w:p w:rsidR="006275B7" w:rsidRPr="00DC621B" w:rsidRDefault="00052CE2" w:rsidP="00820E55">
      <w:pPr>
        <w:spacing w:before="120"/>
        <w:rPr>
          <w:noProof/>
        </w:rPr>
      </w:pPr>
      <w:r w:rsidRPr="00DC621B">
        <w:rPr>
          <w:noProof/>
        </w:rPr>
        <w:t xml:space="preserve">Recast RES Directive </w:t>
      </w:r>
      <w:r w:rsidR="0038109A" w:rsidRPr="00DC621B">
        <w:rPr>
          <w:noProof/>
        </w:rPr>
        <w:t xml:space="preserve">has </w:t>
      </w:r>
      <w:r w:rsidRPr="00DC621B">
        <w:rPr>
          <w:noProof/>
        </w:rPr>
        <w:t xml:space="preserve">introduced more detailed rules for </w:t>
      </w:r>
      <w:r w:rsidR="006E6A89" w:rsidRPr="00DC621B">
        <w:rPr>
          <w:noProof/>
        </w:rPr>
        <w:t xml:space="preserve">the authorisation, certification and licensing of renewable energy </w:t>
      </w:r>
      <w:r w:rsidRPr="00DC621B">
        <w:rPr>
          <w:noProof/>
        </w:rPr>
        <w:t>that that should be implemented in</w:t>
      </w:r>
      <w:r w:rsidR="006E6A89" w:rsidRPr="00DC621B">
        <w:rPr>
          <w:noProof/>
        </w:rPr>
        <w:t xml:space="preserve"> objective, transparent, non-discriminatory and proportionate </w:t>
      </w:r>
      <w:r w:rsidRPr="00DC621B">
        <w:rPr>
          <w:noProof/>
        </w:rPr>
        <w:t>manner and should take into account particularities of individual renewable energy technologies</w:t>
      </w:r>
      <w:r w:rsidR="006E6A89" w:rsidRPr="00DC621B">
        <w:rPr>
          <w:noProof/>
        </w:rPr>
        <w:t>.</w:t>
      </w:r>
      <w:r w:rsidR="00ED7696" w:rsidRPr="00DC621B">
        <w:rPr>
          <w:noProof/>
        </w:rPr>
        <w:t xml:space="preserve"> Directive 2012/27/EU </w:t>
      </w:r>
      <w:r w:rsidR="00003EF4" w:rsidRPr="00DC621B">
        <w:rPr>
          <w:noProof/>
        </w:rPr>
        <w:t xml:space="preserve">on energy efficiency </w:t>
      </w:r>
      <w:r w:rsidR="00ED7696" w:rsidRPr="00DC621B">
        <w:rPr>
          <w:noProof/>
        </w:rPr>
        <w:t xml:space="preserve">provides for guarantees of origin for proving the origin of electricity produced from high-efficiency cogeneration plants. Guarantees of origin issued for the purposes of this Directive have the sole function of showing to a final customer that a given share or quantity of energy was produced from renewable sources. Guarantees of origin which are currently in place for renewable electricity are under recast Directive extended to cover also renewable gases. Extending the guarantees of origin system to energy from non-renewable sources is an option for Member States. This should provide a consistent means of proving to final customers the origin of renewable gas such as biomethane and should facilitate greater cross-border trade in such gas. It is now also possible </w:t>
      </w:r>
      <w:r w:rsidR="000C27D4" w:rsidRPr="00DC621B">
        <w:rPr>
          <w:noProof/>
        </w:rPr>
        <w:t>to create</w:t>
      </w:r>
      <w:r w:rsidR="00ED7696" w:rsidRPr="00DC621B">
        <w:rPr>
          <w:noProof/>
        </w:rPr>
        <w:t xml:space="preserve"> guarantees of origin for other renewable gas</w:t>
      </w:r>
      <w:r w:rsidR="000C27D4" w:rsidRPr="00DC621B">
        <w:rPr>
          <w:noProof/>
        </w:rPr>
        <w:t>,</w:t>
      </w:r>
      <w:r w:rsidR="00ED7696" w:rsidRPr="00DC621B">
        <w:rPr>
          <w:noProof/>
        </w:rPr>
        <w:t xml:space="preserve"> such as hydrogen.</w:t>
      </w:r>
      <w:r w:rsidR="00582576" w:rsidRPr="00DC621B">
        <w:rPr>
          <w:noProof/>
        </w:rPr>
        <w:t xml:space="preserve"> Furthermore, the directive introduces a legal framework for renewable energy communities empowering SMEs, local authorities and citizens located in proximity of the production installations to take control over their renewable energy production and supply. </w:t>
      </w:r>
    </w:p>
    <w:tbl>
      <w:tblPr>
        <w:tblW w:w="9442" w:type="dxa"/>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42"/>
      </w:tblGrid>
      <w:tr w:rsidR="006275B7" w:rsidRPr="00DC621B" w:rsidTr="002A0899">
        <w:trPr>
          <w:trHeight w:val="1114"/>
        </w:trPr>
        <w:tc>
          <w:tcPr>
            <w:tcW w:w="9442" w:type="dxa"/>
            <w:shd w:val="clear" w:color="auto" w:fill="C6D9F1" w:themeFill="text2" w:themeFillTint="33"/>
            <w:vAlign w:val="center"/>
          </w:tcPr>
          <w:p w:rsidR="006275B7" w:rsidRPr="00DC621B" w:rsidRDefault="00AC0210" w:rsidP="001163D4">
            <w:pPr>
              <w:ind w:left="283" w:right="211"/>
              <w:rPr>
                <w:noProof/>
                <w:color w:val="444444"/>
                <w:sz w:val="27"/>
                <w:szCs w:val="27"/>
                <w:shd w:val="clear" w:color="auto" w:fill="FFFFFF"/>
              </w:rPr>
            </w:pPr>
            <w:r w:rsidRPr="00DC621B">
              <w:rPr>
                <w:rFonts w:asciiTheme="majorBidi" w:hAnsiTheme="majorBidi" w:cstheme="majorBidi"/>
                <w:noProof/>
              </w:rPr>
              <w:t xml:space="preserve">Coherence with </w:t>
            </w:r>
            <w:r w:rsidR="006275B7" w:rsidRPr="00DC621B">
              <w:rPr>
                <w:rFonts w:asciiTheme="majorBidi" w:hAnsiTheme="majorBidi" w:cstheme="majorBidi"/>
                <w:noProof/>
              </w:rPr>
              <w:t>Directive (EU) 2018/2002 of the European Parliament and of the Council of 11 December 2018 amending Directive 2012/27/EU on energy efficien</w:t>
            </w:r>
            <w:r w:rsidR="00C9656A" w:rsidRPr="00DC621B">
              <w:rPr>
                <w:rFonts w:asciiTheme="majorBidi" w:hAnsiTheme="majorBidi" w:cstheme="majorBidi"/>
                <w:noProof/>
              </w:rPr>
              <w:t>cy (</w:t>
            </w:r>
            <w:r w:rsidR="006275B7" w:rsidRPr="00DC621B">
              <w:rPr>
                <w:rFonts w:asciiTheme="majorBidi" w:hAnsiTheme="majorBidi" w:cstheme="majorBidi"/>
                <w:b/>
                <w:noProof/>
              </w:rPr>
              <w:t>Energy Efficiency Directive</w:t>
            </w:r>
            <w:r w:rsidR="006275B7" w:rsidRPr="00DC621B">
              <w:rPr>
                <w:rFonts w:asciiTheme="majorBidi" w:hAnsiTheme="majorBidi" w:cstheme="majorBidi"/>
                <w:noProof/>
              </w:rPr>
              <w:t xml:space="preserve">) </w:t>
            </w:r>
          </w:p>
        </w:tc>
      </w:tr>
    </w:tbl>
    <w:p w:rsidR="0013053A" w:rsidRPr="00DC621B" w:rsidRDefault="002859FA" w:rsidP="00820E55">
      <w:pPr>
        <w:spacing w:before="120"/>
        <w:rPr>
          <w:noProof/>
        </w:rPr>
      </w:pPr>
      <w:r w:rsidRPr="00DC621B">
        <w:rPr>
          <w:noProof/>
        </w:rPr>
        <w:t>Provisions under Articles 9-11 (for electricity) of the EED have been transferred to the Electricity Directive</w:t>
      </w:r>
      <w:r w:rsidR="00F346EB">
        <w:rPr>
          <w:noProof/>
        </w:rPr>
        <w:t xml:space="preserve"> </w:t>
      </w:r>
      <w:r w:rsidRPr="00DC621B">
        <w:rPr>
          <w:noProof/>
        </w:rPr>
        <w:t>as part of the Clean Energy for all Europeans Package in 2018, which allowed to address the existing overlaps in relation to metering and billing rules between the two Directives. The amended EED requires assessing the need to do the same by end 2021 where appropriate for the provisions related to gas.</w:t>
      </w:r>
    </w:p>
    <w:p w:rsidR="009310F3" w:rsidRPr="00DC621B" w:rsidRDefault="009310F3" w:rsidP="007F7B3A">
      <w:pPr>
        <w:pStyle w:val="Heading2"/>
        <w:rPr>
          <w:noProof/>
        </w:rPr>
      </w:pPr>
      <w:bookmarkStart w:id="549" w:name="_Toc455064662"/>
      <w:bookmarkStart w:id="550" w:name="_Toc455070104"/>
      <w:bookmarkStart w:id="551" w:name="_Toc455074009"/>
      <w:bookmarkStart w:id="552" w:name="_Toc455074338"/>
      <w:bookmarkStart w:id="553" w:name="_Toc455082017"/>
      <w:bookmarkStart w:id="554" w:name="_Toc455082109"/>
      <w:bookmarkStart w:id="555" w:name="_Toc455082981"/>
      <w:bookmarkStart w:id="556" w:name="_Toc455134334"/>
      <w:bookmarkStart w:id="557" w:name="_Toc455148876"/>
      <w:bookmarkStart w:id="558" w:name="_Toc455156761"/>
      <w:bookmarkStart w:id="559" w:name="_Toc455156917"/>
      <w:bookmarkStart w:id="560" w:name="_Toc455160070"/>
      <w:bookmarkStart w:id="561" w:name="_Toc456772840"/>
      <w:bookmarkStart w:id="562" w:name="_Toc76743551"/>
      <w:bookmarkStart w:id="563" w:name="_Toc77590811"/>
      <w:bookmarkStart w:id="564" w:name="_Toc77600969"/>
      <w:bookmarkStart w:id="565" w:name="_Toc77682228"/>
      <w:bookmarkStart w:id="566" w:name="_Toc89688273"/>
      <w:bookmarkStart w:id="567" w:name="_Toc89882336"/>
      <w:r w:rsidRPr="00DC621B">
        <w:rPr>
          <w:noProof/>
        </w:rPr>
        <w:t>EU value added</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A868E5" w:rsidRPr="00DC621B" w:rsidRDefault="009310F3">
      <w:pPr>
        <w:rPr>
          <w:noProof/>
        </w:rPr>
      </w:pPr>
      <w:r w:rsidRPr="00DC621B">
        <w:rPr>
          <w:noProof/>
        </w:rPr>
        <w:t>This section aims to determine value resulting from the Third Package (as determined by ‘Effectiveness</w:t>
      </w:r>
      <w:r w:rsidR="00B20B17">
        <w:rPr>
          <w:noProof/>
        </w:rPr>
        <w:t>’</w:t>
      </w:r>
      <w:r w:rsidRPr="00DC621B">
        <w:rPr>
          <w:noProof/>
        </w:rPr>
        <w:t xml:space="preserve"> and </w:t>
      </w:r>
      <w:r w:rsidR="00B20B17">
        <w:rPr>
          <w:noProof/>
        </w:rPr>
        <w:t>‘</w:t>
      </w:r>
      <w:r w:rsidRPr="00DC621B">
        <w:rPr>
          <w:noProof/>
        </w:rPr>
        <w:t xml:space="preserve">Efficiency’ </w:t>
      </w:r>
      <w:r w:rsidR="00706E41">
        <w:rPr>
          <w:noProof/>
        </w:rPr>
        <w:t>S</w:t>
      </w:r>
      <w:r w:rsidRPr="00DC621B">
        <w:rPr>
          <w:noProof/>
        </w:rPr>
        <w:t>ection</w:t>
      </w:r>
      <w:r w:rsidR="00B20B17">
        <w:rPr>
          <w:noProof/>
        </w:rPr>
        <w:t>s</w:t>
      </w:r>
      <w:r w:rsidRPr="00DC621B">
        <w:rPr>
          <w:noProof/>
        </w:rPr>
        <w:t>) compared to what could have been achieved by Member States at national and/or regional levels. It includes the added value of the institutional bodies established at EU level by the Third Package: ENTSO</w:t>
      </w:r>
      <w:r w:rsidR="00A32BF7" w:rsidRPr="00DC621B">
        <w:rPr>
          <w:noProof/>
        </w:rPr>
        <w:t>G</w:t>
      </w:r>
      <w:r w:rsidRPr="00DC621B">
        <w:rPr>
          <w:noProof/>
        </w:rPr>
        <w:t xml:space="preserve"> and ACER. </w:t>
      </w:r>
    </w:p>
    <w:p w:rsidR="009310F3" w:rsidRPr="00DC621B" w:rsidRDefault="009310F3" w:rsidP="009D744A">
      <w:pPr>
        <w:pStyle w:val="Heading3"/>
        <w:ind w:left="720"/>
        <w:rPr>
          <w:noProof/>
        </w:rPr>
      </w:pPr>
      <w:bookmarkStart w:id="568" w:name="_Toc455064663"/>
      <w:bookmarkStart w:id="569" w:name="_Toc455070105"/>
      <w:bookmarkStart w:id="570" w:name="_Toc455074010"/>
      <w:bookmarkStart w:id="571" w:name="_Toc455074339"/>
      <w:bookmarkStart w:id="572" w:name="_Toc455082018"/>
      <w:bookmarkStart w:id="573" w:name="_Toc455082110"/>
      <w:bookmarkStart w:id="574" w:name="_Toc455082982"/>
      <w:bookmarkStart w:id="575" w:name="_Toc455134335"/>
      <w:bookmarkStart w:id="576" w:name="_Toc455148877"/>
      <w:bookmarkStart w:id="577" w:name="_Toc455156762"/>
      <w:bookmarkStart w:id="578" w:name="_Toc455156918"/>
      <w:bookmarkStart w:id="579" w:name="_Toc455160071"/>
      <w:bookmarkStart w:id="580" w:name="_Toc456772841"/>
      <w:bookmarkStart w:id="581" w:name="_Toc76743552"/>
      <w:bookmarkStart w:id="582" w:name="_Toc77590812"/>
      <w:bookmarkStart w:id="583" w:name="_Toc77600970"/>
      <w:bookmarkStart w:id="584" w:name="_Toc77682229"/>
      <w:bookmarkStart w:id="585" w:name="_Toc89688274"/>
      <w:bookmarkStart w:id="586" w:name="_Toc89882337"/>
      <w:r w:rsidRPr="00DC621B">
        <w:rPr>
          <w:noProof/>
        </w:rPr>
        <w:t>Value added of EU market framework</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rsidR="009310F3" w:rsidRPr="00DC621B" w:rsidRDefault="009310F3" w:rsidP="002A0899">
      <w:pPr>
        <w:numPr>
          <w:ilvl w:val="0"/>
          <w:numId w:val="7"/>
        </w:numPr>
        <w:pBdr>
          <w:top w:val="single" w:sz="4" w:space="1" w:color="auto"/>
          <w:left w:val="single" w:sz="4" w:space="12" w:color="auto"/>
          <w:bottom w:val="single" w:sz="4" w:space="1" w:color="auto"/>
          <w:right w:val="single" w:sz="4" w:space="20" w:color="auto"/>
        </w:pBdr>
        <w:shd w:val="clear" w:color="auto" w:fill="C6D9F1" w:themeFill="text2" w:themeFillTint="33"/>
        <w:ind w:left="567" w:right="284" w:hanging="357"/>
        <w:rPr>
          <w:noProof/>
        </w:rPr>
      </w:pPr>
      <w:r w:rsidRPr="00DC621B">
        <w:rPr>
          <w:noProof/>
        </w:rPr>
        <w:t xml:space="preserve">What is the additional value </w:t>
      </w:r>
      <w:r w:rsidRPr="00DC621B">
        <w:rPr>
          <w:b/>
          <w:bCs/>
          <w:noProof/>
        </w:rPr>
        <w:t xml:space="preserve">resulting from the Third Package </w:t>
      </w:r>
      <w:r w:rsidRPr="00DC621B">
        <w:rPr>
          <w:noProof/>
        </w:rPr>
        <w:t>compared to what could be achieved by Member States at national and/or regional levels?</w:t>
      </w:r>
    </w:p>
    <w:p w:rsidR="009310F3" w:rsidRPr="00DC621B" w:rsidRDefault="009310F3" w:rsidP="008B5743">
      <w:pPr>
        <w:rPr>
          <w:rFonts w:eastAsiaTheme="minorEastAsia"/>
          <w:noProof/>
        </w:rPr>
      </w:pPr>
      <w:r w:rsidRPr="00DC621B">
        <w:rPr>
          <w:rFonts w:eastAsiaTheme="minorEastAsia"/>
          <w:b/>
          <w:bCs/>
          <w:i/>
          <w:iCs/>
          <w:noProof/>
        </w:rPr>
        <w:t xml:space="preserve">Unbundling </w:t>
      </w:r>
    </w:p>
    <w:p w:rsidR="009310F3" w:rsidRPr="00DC621B" w:rsidRDefault="009310F3" w:rsidP="008B5743">
      <w:pPr>
        <w:rPr>
          <w:rFonts w:eastAsiaTheme="minorEastAsia"/>
          <w:noProof/>
        </w:rPr>
      </w:pPr>
      <w:r w:rsidRPr="00DC621B">
        <w:rPr>
          <w:rFonts w:eastAsiaTheme="minorEastAsia"/>
          <w:noProof/>
        </w:rPr>
        <w:t xml:space="preserve">The legal and functional unbundling of TSOs that were vertically integrated with production and supply activities, provided for under the Second Package, did not succeed in ensuring equal access to the networks for all suppliers. Reinforced common rules on TSO unbundling introduced by the Third Package in order to foster competition on the </w:t>
      </w:r>
      <w:r w:rsidR="008B5743" w:rsidRPr="00DC621B">
        <w:rPr>
          <w:rFonts w:eastAsiaTheme="minorEastAsia"/>
          <w:noProof/>
        </w:rPr>
        <w:t xml:space="preserve">network </w:t>
      </w:r>
      <w:r w:rsidRPr="00DC621B">
        <w:rPr>
          <w:rFonts w:eastAsiaTheme="minorEastAsia"/>
          <w:noProof/>
        </w:rPr>
        <w:t xml:space="preserve">could only be adopted at EU level. Common unbundling rules were needed to ensure a level playing field. </w:t>
      </w:r>
    </w:p>
    <w:p w:rsidR="009310F3" w:rsidRPr="00DC621B" w:rsidRDefault="009310F3" w:rsidP="008B5743">
      <w:pPr>
        <w:rPr>
          <w:rFonts w:eastAsiaTheme="minorEastAsia"/>
          <w:noProof/>
        </w:rPr>
      </w:pPr>
      <w:r w:rsidRPr="00DC621B">
        <w:rPr>
          <w:rFonts w:eastAsiaTheme="minorEastAsia"/>
          <w:noProof/>
        </w:rPr>
        <w:t xml:space="preserve">With regard to DSOs, the large majority of the Member States have not set unbundling requirements beyond those of the </w:t>
      </w:r>
      <w:r w:rsidR="00A32BF7" w:rsidRPr="00DC621B">
        <w:rPr>
          <w:rFonts w:eastAsiaTheme="minorEastAsia"/>
          <w:noProof/>
        </w:rPr>
        <w:t>Gas</w:t>
      </w:r>
      <w:r w:rsidRPr="00DC621B">
        <w:rPr>
          <w:rFonts w:eastAsiaTheme="minorEastAsia"/>
          <w:noProof/>
        </w:rPr>
        <w:t xml:space="preserve"> Directive, demonstrating that the intervention was necessary in order to structure the EU energy sector in such way so as to pursue the wider objectives of the internal market, to promote competition and economic growth. </w:t>
      </w:r>
    </w:p>
    <w:p w:rsidR="009310F3" w:rsidRPr="00DC621B" w:rsidRDefault="009310F3" w:rsidP="008B5743">
      <w:pPr>
        <w:rPr>
          <w:b/>
          <w:bCs/>
          <w:i/>
          <w:iCs/>
          <w:noProof/>
        </w:rPr>
      </w:pPr>
      <w:r w:rsidRPr="00DC621B">
        <w:rPr>
          <w:b/>
          <w:bCs/>
          <w:i/>
          <w:iCs/>
          <w:noProof/>
        </w:rPr>
        <w:t xml:space="preserve">Access to cross-border infrastructure </w:t>
      </w:r>
    </w:p>
    <w:p w:rsidR="009310F3" w:rsidRPr="00DC621B" w:rsidRDefault="009310F3" w:rsidP="008B5743">
      <w:pPr>
        <w:rPr>
          <w:rFonts w:eastAsiaTheme="minorEastAsia"/>
          <w:noProof/>
        </w:rPr>
      </w:pPr>
      <w:r w:rsidRPr="00DC621B">
        <w:rPr>
          <w:noProof/>
        </w:rPr>
        <w:t>At the time the Third Package was adopted</w:t>
      </w:r>
      <w:r w:rsidR="00010030">
        <w:rPr>
          <w:noProof/>
        </w:rPr>
        <w:t>,</w:t>
      </w:r>
      <w:r w:rsidRPr="00DC621B">
        <w:rPr>
          <w:noProof/>
        </w:rPr>
        <w:t xml:space="preserve"> </w:t>
      </w:r>
      <w:r w:rsidRPr="00DC621B">
        <w:rPr>
          <w:rFonts w:eastAsiaTheme="minorEastAsia"/>
          <w:noProof/>
        </w:rPr>
        <w:t>the legal framework did not allow for a proper and efficient regulation of the cross bo</w:t>
      </w:r>
      <w:r w:rsidR="00A32BF7" w:rsidRPr="00DC621B">
        <w:rPr>
          <w:rFonts w:eastAsiaTheme="minorEastAsia"/>
          <w:noProof/>
        </w:rPr>
        <w:t xml:space="preserve">rder issues relating to gas </w:t>
      </w:r>
      <w:r w:rsidRPr="00DC621B">
        <w:rPr>
          <w:rFonts w:eastAsiaTheme="minorEastAsia"/>
          <w:noProof/>
        </w:rPr>
        <w:t>network access. The fact that access to cross border interconnectors was often granted in a preferential manner showed that rules were insufficient</w:t>
      </w:r>
      <w:r w:rsidR="00AD1C5F" w:rsidRPr="00DC621B">
        <w:rPr>
          <w:rFonts w:eastAsiaTheme="minorEastAsia"/>
          <w:noProof/>
        </w:rPr>
        <w:t xml:space="preserve"> despite the principle of non-discriminatory access which was </w:t>
      </w:r>
      <w:r w:rsidR="00D54788" w:rsidRPr="00DC621B">
        <w:rPr>
          <w:rFonts w:eastAsiaTheme="minorEastAsia"/>
          <w:noProof/>
        </w:rPr>
        <w:t>already</w:t>
      </w:r>
      <w:r w:rsidR="00AD1C5F" w:rsidRPr="00DC621B">
        <w:rPr>
          <w:rFonts w:eastAsiaTheme="minorEastAsia"/>
          <w:noProof/>
        </w:rPr>
        <w:t xml:space="preserve"> included in Article 18 of the Second Package</w:t>
      </w:r>
      <w:r w:rsidRPr="00DC621B">
        <w:rPr>
          <w:rFonts w:eastAsiaTheme="minorEastAsia"/>
          <w:noProof/>
        </w:rPr>
        <w:t xml:space="preserve">. </w:t>
      </w:r>
      <w:r w:rsidRPr="00DC621B">
        <w:rPr>
          <w:noProof/>
        </w:rPr>
        <w:t xml:space="preserve">This is why the Third Package aimed at a modification of existing EU legislation and at the creation of new frameworks for cross-border co-operation which could legally and practically only be achieved at the European level. The challenges could not be addressed as efficiently by individual Member States. Fostering a more efficient and integrated EU </w:t>
      </w:r>
      <w:r w:rsidR="00423C1F" w:rsidRPr="00DC621B">
        <w:rPr>
          <w:noProof/>
        </w:rPr>
        <w:t xml:space="preserve">gas </w:t>
      </w:r>
      <w:r w:rsidRPr="00DC621B">
        <w:rPr>
          <w:noProof/>
        </w:rPr>
        <w:t xml:space="preserve">market </w:t>
      </w:r>
      <w:r w:rsidRPr="00DC621B">
        <w:rPr>
          <w:rFonts w:eastAsiaTheme="minorEastAsia"/>
          <w:noProof/>
        </w:rPr>
        <w:t>and ensuring a more co-ordinated policy response to security of supply clearly required harmonised and coordinated approaches by all Member States.</w:t>
      </w:r>
    </w:p>
    <w:p w:rsidR="009310F3" w:rsidRPr="00DC621B" w:rsidRDefault="009310F3" w:rsidP="008B5743">
      <w:pPr>
        <w:rPr>
          <w:rFonts w:eastAsiaTheme="minorEastAsia"/>
          <w:noProof/>
        </w:rPr>
      </w:pPr>
      <w:r w:rsidRPr="00DC621B">
        <w:rPr>
          <w:rFonts w:eastAsiaTheme="minorEastAsia"/>
          <w:noProof/>
        </w:rPr>
        <w:t>The</w:t>
      </w:r>
      <w:r w:rsidR="00423C1F" w:rsidRPr="00DC621B">
        <w:rPr>
          <w:rFonts w:eastAsiaTheme="minorEastAsia"/>
          <w:noProof/>
        </w:rPr>
        <w:t xml:space="preserve"> reduction of price spreads </w:t>
      </w:r>
      <w:r w:rsidR="00AD1C5F" w:rsidRPr="00DC621B">
        <w:rPr>
          <w:rFonts w:eastAsiaTheme="minorEastAsia"/>
          <w:noProof/>
        </w:rPr>
        <w:t xml:space="preserve">between Member States </w:t>
      </w:r>
      <w:r w:rsidR="00423C1F" w:rsidRPr="00DC621B">
        <w:rPr>
          <w:rFonts w:eastAsiaTheme="minorEastAsia"/>
          <w:noProof/>
        </w:rPr>
        <w:t>as a result of an</w:t>
      </w:r>
      <w:r w:rsidRPr="00DC621B">
        <w:rPr>
          <w:rFonts w:eastAsiaTheme="minorEastAsia"/>
          <w:noProof/>
        </w:rPr>
        <w:t xml:space="preserve"> increase </w:t>
      </w:r>
      <w:r w:rsidR="00423C1F" w:rsidRPr="00DC621B">
        <w:rPr>
          <w:rFonts w:eastAsiaTheme="minorEastAsia"/>
          <w:noProof/>
        </w:rPr>
        <w:t xml:space="preserve">of </w:t>
      </w:r>
      <w:r w:rsidRPr="00DC621B">
        <w:rPr>
          <w:rFonts w:eastAsiaTheme="minorEastAsia"/>
          <w:noProof/>
        </w:rPr>
        <w:t xml:space="preserve">cross-border trade clearly shows that the Third Package has meant a major step in regulating cross-border interconnectors. This is clearly an issue that could only be regulated at EU level. </w:t>
      </w:r>
      <w:r w:rsidR="00AD1C5F" w:rsidRPr="00DC621B">
        <w:rPr>
          <w:rFonts w:eastAsiaTheme="minorEastAsia"/>
          <w:noProof/>
        </w:rPr>
        <w:t>Additionally, the requirement to have at least a virtual reverse flow possibility, meaning that gas could be traded in both directions even if this was not possible from a physical perspective</w:t>
      </w:r>
      <w:r w:rsidR="00071FF3" w:rsidRPr="00DC621B">
        <w:rPr>
          <w:rFonts w:eastAsiaTheme="minorEastAsia"/>
          <w:noProof/>
        </w:rPr>
        <w:t xml:space="preserve"> efficiently led to additional cross-border capacity without significant investment needs</w:t>
      </w:r>
      <w:r w:rsidR="00071FF3" w:rsidRPr="00DC621B">
        <w:rPr>
          <w:rStyle w:val="FootnoteReference"/>
          <w:rFonts w:eastAsiaTheme="minorEastAsia"/>
          <w:noProof/>
        </w:rPr>
        <w:footnoteReference w:id="205"/>
      </w:r>
      <w:r w:rsidR="00071FF3" w:rsidRPr="00DC621B">
        <w:rPr>
          <w:rFonts w:eastAsiaTheme="minorEastAsia"/>
          <w:noProof/>
        </w:rPr>
        <w:t>.</w:t>
      </w:r>
    </w:p>
    <w:p w:rsidR="009310F3" w:rsidRPr="00DC621B" w:rsidRDefault="009310F3" w:rsidP="008B5743">
      <w:pPr>
        <w:rPr>
          <w:rFonts w:eastAsiaTheme="minorEastAsia"/>
          <w:noProof/>
        </w:rPr>
      </w:pPr>
      <w:r w:rsidRPr="00DC621B">
        <w:rPr>
          <w:rFonts w:eastAsiaTheme="minorEastAsia"/>
          <w:noProof/>
        </w:rPr>
        <w:t>Similarly, as Member States</w:t>
      </w:r>
      <w:r w:rsidR="00620F18">
        <w:rPr>
          <w:rFonts w:eastAsiaTheme="minorEastAsia"/>
          <w:noProof/>
        </w:rPr>
        <w:t>’</w:t>
      </w:r>
      <w:r w:rsidRPr="00DC621B">
        <w:rPr>
          <w:rFonts w:eastAsiaTheme="minorEastAsia"/>
          <w:noProof/>
        </w:rPr>
        <w:t xml:space="preserve"> networks became increasingly interconnected via infrastructure, there was a need for more cooperation between neighbouring TSOs. This could only be achieved by supranational measures. This is especially true as regards the need for a coordinated approach to infrastructure development in particular with relevance for security of supply. This has called for the development of ENTSO</w:t>
      </w:r>
      <w:r w:rsidR="00A32BF7" w:rsidRPr="00DC621B">
        <w:rPr>
          <w:rFonts w:eastAsiaTheme="minorEastAsia"/>
          <w:noProof/>
        </w:rPr>
        <w:t>G</w:t>
      </w:r>
      <w:r w:rsidRPr="00DC621B">
        <w:rPr>
          <w:rFonts w:eastAsiaTheme="minorEastAsia"/>
          <w:noProof/>
        </w:rPr>
        <w:t xml:space="preserve"> and the establishment of a</w:t>
      </w:r>
      <w:r w:rsidR="00010030">
        <w:rPr>
          <w:rFonts w:eastAsiaTheme="minorEastAsia"/>
          <w:noProof/>
        </w:rPr>
        <w:t xml:space="preserve"> TYNDP</w:t>
      </w:r>
      <w:r w:rsidRPr="00DC621B">
        <w:rPr>
          <w:rFonts w:eastAsiaTheme="minorEastAsia"/>
          <w:noProof/>
        </w:rPr>
        <w:t>. The coordination rules for TSOs and NRAs introduced by the Third Package were needed to avoid fragmented uncoordinated decisions</w:t>
      </w:r>
      <w:r w:rsidR="00A32BF7" w:rsidRPr="00DC621B">
        <w:rPr>
          <w:rFonts w:eastAsiaTheme="minorEastAsia"/>
          <w:noProof/>
        </w:rPr>
        <w:t>,</w:t>
      </w:r>
      <w:r w:rsidRPr="00DC621B">
        <w:rPr>
          <w:rFonts w:eastAsiaTheme="minorEastAsia"/>
          <w:noProof/>
        </w:rPr>
        <w:t xml:space="preserve"> which could hamper the effective functioning of the internal market. </w:t>
      </w:r>
    </w:p>
    <w:p w:rsidR="00333959" w:rsidRPr="00DC621B" w:rsidRDefault="005A1806" w:rsidP="008B5743">
      <w:pPr>
        <w:rPr>
          <w:rFonts w:eastAsiaTheme="minorEastAsia"/>
          <w:b/>
          <w:bCs/>
          <w:i/>
          <w:iCs/>
          <w:noProof/>
        </w:rPr>
      </w:pPr>
      <w:r w:rsidRPr="00DC621B">
        <w:rPr>
          <w:rFonts w:eastAsiaTheme="minorEastAsia"/>
          <w:noProof/>
        </w:rPr>
        <w:t xml:space="preserve">In addition, the more technical </w:t>
      </w:r>
      <w:r w:rsidR="00A3395C">
        <w:rPr>
          <w:rFonts w:eastAsiaTheme="minorEastAsia"/>
          <w:noProof/>
        </w:rPr>
        <w:t>n</w:t>
      </w:r>
      <w:r w:rsidRPr="00DC621B">
        <w:rPr>
          <w:rFonts w:eastAsiaTheme="minorEastAsia"/>
          <w:noProof/>
        </w:rPr>
        <w:t xml:space="preserve">etwork </w:t>
      </w:r>
      <w:r w:rsidR="00A3395C">
        <w:rPr>
          <w:rFonts w:eastAsiaTheme="minorEastAsia"/>
          <w:noProof/>
        </w:rPr>
        <w:t>c</w:t>
      </w:r>
      <w:r w:rsidRPr="00DC621B">
        <w:rPr>
          <w:rFonts w:eastAsiaTheme="minorEastAsia"/>
          <w:noProof/>
        </w:rPr>
        <w:t>odes led to a further harmonisation on access to cross-border infrastructure by introducing a harmonised allocation methodology by way of auctions to allocate capacity</w:t>
      </w:r>
      <w:r w:rsidR="00071FF3" w:rsidRPr="00DC621B">
        <w:rPr>
          <w:rFonts w:eastAsiaTheme="minorEastAsia"/>
          <w:noProof/>
        </w:rPr>
        <w:t xml:space="preserve"> and by requiring the standardised offer of so-called bundled capacity products that enabled a transport of gas between the market areas’ virtual trading points instead of virtually stopping at the border and handing the gas over there</w:t>
      </w:r>
      <w:r w:rsidRPr="00DC621B">
        <w:rPr>
          <w:rFonts w:eastAsiaTheme="minorEastAsia"/>
          <w:noProof/>
        </w:rPr>
        <w:t xml:space="preserve">. </w:t>
      </w:r>
    </w:p>
    <w:p w:rsidR="00333959" w:rsidRPr="00DC621B" w:rsidRDefault="006F03DE" w:rsidP="008B5743">
      <w:pPr>
        <w:rPr>
          <w:rFonts w:eastAsiaTheme="minorEastAsia"/>
          <w:b/>
          <w:bCs/>
          <w:i/>
          <w:iCs/>
          <w:noProof/>
        </w:rPr>
      </w:pPr>
      <w:r w:rsidRPr="00DC621B">
        <w:rPr>
          <w:rFonts w:eastAsiaTheme="minorEastAsia"/>
          <w:b/>
          <w:bCs/>
          <w:i/>
          <w:iCs/>
          <w:noProof/>
        </w:rPr>
        <w:t>Price regulation</w:t>
      </w:r>
    </w:p>
    <w:p w:rsidR="00333959" w:rsidRPr="00DC621B" w:rsidRDefault="00333959" w:rsidP="00333959">
      <w:pPr>
        <w:rPr>
          <w:noProof/>
        </w:rPr>
      </w:pPr>
      <w:r w:rsidRPr="00DC621B">
        <w:rPr>
          <w:noProof/>
        </w:rPr>
        <w:t xml:space="preserve">The regulation of retail prices of gas for industrial consumers has been largely successfully tackled since the Second Package. Furthermore, </w:t>
      </w:r>
      <w:r w:rsidR="003F29B4" w:rsidRPr="00DC621B">
        <w:rPr>
          <w:noProof/>
        </w:rPr>
        <w:t xml:space="preserve">a considerable amount of </w:t>
      </w:r>
      <w:r w:rsidRPr="00DC621B">
        <w:rPr>
          <w:noProof/>
        </w:rPr>
        <w:t>Member States have liberalised price regulation for households and SMEs.</w:t>
      </w:r>
      <w:r w:rsidR="002C4BA1" w:rsidRPr="00DC621B">
        <w:rPr>
          <w:noProof/>
        </w:rPr>
        <w:t xml:space="preserve"> In turn, the phase out of price regulation has contributed to increased competition at the retail market level, a decline in the average share of the three largest suppliers and a widening of consumer choice.</w:t>
      </w:r>
      <w:r w:rsidR="003F29B4" w:rsidRPr="00DC621B">
        <w:rPr>
          <w:noProof/>
        </w:rPr>
        <w:t xml:space="preserve"> However, despite considerable progress made, price regulation continues to be in place in many Member States (see </w:t>
      </w:r>
      <w:r w:rsidR="00706E41">
        <w:rPr>
          <w:noProof/>
        </w:rPr>
        <w:t>S</w:t>
      </w:r>
      <w:r w:rsidR="003F29B4" w:rsidRPr="00DC621B">
        <w:rPr>
          <w:noProof/>
        </w:rPr>
        <w:t xml:space="preserve">ection </w:t>
      </w:r>
      <w:r w:rsidR="00A178D8">
        <w:rPr>
          <w:noProof/>
        </w:rPr>
        <w:t>6</w:t>
      </w:r>
      <w:r w:rsidR="003F29B4" w:rsidRPr="00DC621B">
        <w:rPr>
          <w:noProof/>
        </w:rPr>
        <w:t>.1.1.).</w:t>
      </w:r>
    </w:p>
    <w:p w:rsidR="00FF4FF4" w:rsidRPr="00DC621B" w:rsidRDefault="006069F3" w:rsidP="008B5743">
      <w:pPr>
        <w:rPr>
          <w:rFonts w:eastAsiaTheme="minorEastAsia"/>
          <w:b/>
          <w:bCs/>
          <w:i/>
          <w:iCs/>
          <w:noProof/>
        </w:rPr>
      </w:pPr>
      <w:r w:rsidRPr="00DC621B">
        <w:rPr>
          <w:rFonts w:eastAsiaTheme="minorEastAsia"/>
          <w:b/>
          <w:bCs/>
          <w:i/>
          <w:iCs/>
          <w:noProof/>
        </w:rPr>
        <w:t xml:space="preserve">Consumer </w:t>
      </w:r>
      <w:r w:rsidR="007F7B3A" w:rsidRPr="00DC621B">
        <w:rPr>
          <w:rFonts w:eastAsiaTheme="minorEastAsia"/>
          <w:b/>
          <w:bCs/>
          <w:i/>
          <w:iCs/>
          <w:noProof/>
        </w:rPr>
        <w:t>empowerment</w:t>
      </w:r>
      <w:r w:rsidR="000B560D" w:rsidRPr="00DC621B">
        <w:rPr>
          <w:rFonts w:eastAsiaTheme="minorEastAsia"/>
          <w:b/>
          <w:bCs/>
          <w:i/>
          <w:iCs/>
          <w:noProof/>
        </w:rPr>
        <w:t xml:space="preserve"> and protection</w:t>
      </w:r>
      <w:r w:rsidR="000B560D" w:rsidRPr="00DC621B" w:rsidDel="003570D9">
        <w:rPr>
          <w:rFonts w:eastAsiaTheme="minorEastAsia"/>
          <w:b/>
          <w:bCs/>
          <w:i/>
          <w:iCs/>
          <w:noProof/>
        </w:rPr>
        <w:t xml:space="preserve"> </w:t>
      </w:r>
    </w:p>
    <w:p w:rsidR="000B560D" w:rsidRPr="00DC621B" w:rsidRDefault="000B560D" w:rsidP="008B5743">
      <w:pPr>
        <w:rPr>
          <w:rFonts w:eastAsiaTheme="minorEastAsia"/>
          <w:bCs/>
          <w:i/>
          <w:iCs/>
          <w:noProof/>
        </w:rPr>
      </w:pPr>
      <w:r w:rsidRPr="00DC621B">
        <w:rPr>
          <w:rFonts w:eastAsiaTheme="minorEastAsia"/>
          <w:i/>
          <w:noProof/>
        </w:rPr>
        <w:t xml:space="preserve">Metering and billing; access to data </w:t>
      </w:r>
      <w:r w:rsidR="0039053C" w:rsidRPr="00DC621B">
        <w:rPr>
          <w:rFonts w:eastAsiaTheme="minorEastAsia"/>
          <w:bCs/>
          <w:i/>
          <w:iCs/>
          <w:noProof/>
        </w:rPr>
        <w:t>and switching</w:t>
      </w:r>
    </w:p>
    <w:p w:rsidR="000B560D" w:rsidRPr="00DC621B" w:rsidRDefault="000B560D" w:rsidP="006069F3">
      <w:pPr>
        <w:rPr>
          <w:noProof/>
          <w:lang w:eastAsia="en-GB"/>
        </w:rPr>
      </w:pPr>
      <w:r w:rsidRPr="00DC621B">
        <w:rPr>
          <w:noProof/>
          <w:lang w:eastAsia="en-GB"/>
        </w:rPr>
        <w:t>In a single market for energy</w:t>
      </w:r>
      <w:r w:rsidR="00AE76E6">
        <w:rPr>
          <w:noProof/>
          <w:lang w:eastAsia="en-GB"/>
        </w:rPr>
        <w:t>,</w:t>
      </w:r>
      <w:r w:rsidRPr="00DC621B">
        <w:rPr>
          <w:noProof/>
          <w:lang w:eastAsia="en-GB"/>
        </w:rPr>
        <w:t xml:space="preserve"> there is a strong case for suppliers being subject to similar if not identical obligations and rules, and for consumers to enjoy the same basic rights and be provided with comparable and recognisable information wherever they live and wherever they purchase their energy from. More generally, the delivery of a New Deal for energy consumers</w:t>
      </w:r>
      <w:r w:rsidR="008C26EC">
        <w:rPr>
          <w:rStyle w:val="FootnoteReference"/>
          <w:noProof/>
          <w:lang w:eastAsia="en-GB"/>
        </w:rPr>
        <w:footnoteReference w:id="206"/>
      </w:r>
      <w:r w:rsidRPr="00DC621B">
        <w:rPr>
          <w:noProof/>
          <w:lang w:eastAsia="en-GB"/>
        </w:rPr>
        <w:t xml:space="preserve"> as part of the Energy Union includes providing consumers with frequent access to partially standardised, meaningful, accurate and understandable </w:t>
      </w:r>
      <w:r w:rsidRPr="00DC621B">
        <w:rPr>
          <w:b/>
          <w:bCs/>
          <w:noProof/>
          <w:lang w:eastAsia="en-GB"/>
        </w:rPr>
        <w:t>information on consumption and related costs</w:t>
      </w:r>
      <w:r w:rsidRPr="00DC621B">
        <w:rPr>
          <w:noProof/>
          <w:lang w:eastAsia="en-GB"/>
        </w:rPr>
        <w:t xml:space="preserve">. Guaranteeing certain minimum standards in terms of the frequency and content of billing and billing information therefore contributes to realising the Energy Union and meeting EU goals on energy efficiency and greenhouse gas reductions. </w:t>
      </w:r>
      <w:r w:rsidR="0039053C" w:rsidRPr="00DC621B">
        <w:rPr>
          <w:noProof/>
          <w:lang w:eastAsia="en-GB"/>
        </w:rPr>
        <w:t xml:space="preserve">In addition to minimum standards for billing, </w:t>
      </w:r>
      <w:r w:rsidR="0037336C" w:rsidRPr="00DC621B">
        <w:rPr>
          <w:noProof/>
          <w:lang w:eastAsia="en-GB"/>
        </w:rPr>
        <w:t>the guarantee of equal standards regarding further</w:t>
      </w:r>
      <w:r w:rsidR="0039053C" w:rsidRPr="00DC621B">
        <w:rPr>
          <w:noProof/>
          <w:lang w:eastAsia="en-GB"/>
        </w:rPr>
        <w:t xml:space="preserve"> rights </w:t>
      </w:r>
      <w:r w:rsidR="0037336C" w:rsidRPr="00DC621B">
        <w:rPr>
          <w:noProof/>
          <w:lang w:eastAsia="en-GB"/>
        </w:rPr>
        <w:t>that facilitate</w:t>
      </w:r>
      <w:r w:rsidR="0039053C" w:rsidRPr="00DC621B">
        <w:rPr>
          <w:noProof/>
          <w:lang w:eastAsia="en-GB"/>
        </w:rPr>
        <w:t xml:space="preserve"> switching (e.g. transparent comparison tools, minimum switching times or </w:t>
      </w:r>
      <w:r w:rsidR="0037336C" w:rsidRPr="00DC621B">
        <w:rPr>
          <w:noProof/>
          <w:lang w:eastAsia="en-GB"/>
        </w:rPr>
        <w:t>absence of termination fees) would bring considerable benefits to consumers across the EU</w:t>
      </w:r>
      <w:r w:rsidR="00596EA8" w:rsidRPr="00DC621B">
        <w:rPr>
          <w:noProof/>
          <w:lang w:eastAsia="en-GB"/>
        </w:rPr>
        <w:t>.</w:t>
      </w:r>
    </w:p>
    <w:p w:rsidR="008E1078" w:rsidRPr="00DC621B" w:rsidRDefault="000B560D" w:rsidP="006069F3">
      <w:pPr>
        <w:rPr>
          <w:noProof/>
        </w:rPr>
      </w:pPr>
      <w:r w:rsidRPr="00DC621B">
        <w:rPr>
          <w:noProof/>
        </w:rPr>
        <w:t xml:space="preserve">The provisions addressing consumer information, and </w:t>
      </w:r>
      <w:r w:rsidRPr="00DC621B">
        <w:rPr>
          <w:b/>
          <w:bCs/>
          <w:noProof/>
        </w:rPr>
        <w:t>access to data</w:t>
      </w:r>
      <w:r w:rsidRPr="00DC621B">
        <w:rPr>
          <w:noProof/>
        </w:rPr>
        <w:t>, in the Gas Directive are essential for protecting consumers in the internal energy market at the retail level, and empowering them at the same time by enabling for them choices. They play an important role in ensuring the benefits of the internal market in energy can be enjoyed by all consumers, and help to create a level</w:t>
      </w:r>
      <w:r w:rsidR="00AE76E6">
        <w:rPr>
          <w:noProof/>
        </w:rPr>
        <w:t xml:space="preserve"> </w:t>
      </w:r>
      <w:r w:rsidRPr="00DC621B">
        <w:rPr>
          <w:noProof/>
        </w:rPr>
        <w:t xml:space="preserve">playing field for suppliers and other retail market actors across the EU. Whereas there are currently still very few if any examples of cross-border supply in the retail market, a common base of energy consumer rights is a precondition for that to develop over time. The delivery of such </w:t>
      </w:r>
      <w:r w:rsidRPr="00DC621B">
        <w:rPr>
          <w:b/>
          <w:noProof/>
        </w:rPr>
        <w:t>cross-border services</w:t>
      </w:r>
      <w:r w:rsidRPr="00DC621B">
        <w:rPr>
          <w:noProof/>
        </w:rPr>
        <w:t xml:space="preserve"> could be further facilitated by setting up, and accordingly mandating that as it is currently the case for electricity, </w:t>
      </w:r>
      <w:r w:rsidRPr="00DC621B">
        <w:rPr>
          <w:b/>
          <w:bCs/>
          <w:noProof/>
        </w:rPr>
        <w:t>interoperable arrangements</w:t>
      </w:r>
      <w:r w:rsidRPr="00DC621B">
        <w:rPr>
          <w:noProof/>
        </w:rPr>
        <w:t xml:space="preserve"> within the EU for the easy, safe and secure </w:t>
      </w:r>
      <w:r w:rsidRPr="00DC621B">
        <w:rPr>
          <w:b/>
          <w:bCs/>
          <w:noProof/>
        </w:rPr>
        <w:t>access and exchange of data</w:t>
      </w:r>
      <w:r w:rsidRPr="00DC621B">
        <w:rPr>
          <w:noProof/>
        </w:rPr>
        <w:t xml:space="preserve"> among eligible parties, while fostering the development of novel energy services and products that benefit EU consumers and businesses alike. </w:t>
      </w:r>
    </w:p>
    <w:p w:rsidR="009310F3" w:rsidRPr="00DC621B" w:rsidRDefault="0027075E" w:rsidP="00820E55">
      <w:pPr>
        <w:rPr>
          <w:noProof/>
          <w:lang w:eastAsia="en-GB"/>
        </w:rPr>
      </w:pPr>
      <w:r w:rsidRPr="00DC621B">
        <w:rPr>
          <w:noProof/>
          <w:lang w:eastAsia="en-GB"/>
        </w:rPr>
        <w:t>W</w:t>
      </w:r>
      <w:r w:rsidR="000B560D" w:rsidRPr="00DC621B">
        <w:rPr>
          <w:noProof/>
          <w:lang w:eastAsia="en-GB"/>
        </w:rPr>
        <w:t xml:space="preserve">hile some Member States had already been protecting their vulnerable energy </w:t>
      </w:r>
      <w:r w:rsidR="003F57DE" w:rsidRPr="00DC621B">
        <w:rPr>
          <w:noProof/>
          <w:lang w:eastAsia="en-GB"/>
        </w:rPr>
        <w:t>customers and energy poor households</w:t>
      </w:r>
      <w:r w:rsidR="000B560D" w:rsidRPr="00DC621B">
        <w:rPr>
          <w:noProof/>
          <w:lang w:eastAsia="en-GB"/>
        </w:rPr>
        <w:t xml:space="preserve"> prior to the EU intervention, others have taken action as a result of the EU intervention.</w:t>
      </w:r>
      <w:r w:rsidR="000B560D" w:rsidRPr="00DC621B">
        <w:rPr>
          <w:noProof/>
        </w:rPr>
        <w:t xml:space="preserve"> The </w:t>
      </w:r>
      <w:r w:rsidR="00071FF3" w:rsidRPr="00DC621B">
        <w:rPr>
          <w:noProof/>
        </w:rPr>
        <w:t xml:space="preserve">introduction </w:t>
      </w:r>
      <w:r w:rsidR="000B560D" w:rsidRPr="00DC621B">
        <w:rPr>
          <w:noProof/>
        </w:rPr>
        <w:t>o</w:t>
      </w:r>
      <w:r w:rsidR="00071FF3" w:rsidRPr="00DC621B">
        <w:rPr>
          <w:noProof/>
        </w:rPr>
        <w:t>f</w:t>
      </w:r>
      <w:r w:rsidR="000B560D" w:rsidRPr="00DC621B">
        <w:rPr>
          <w:noProof/>
        </w:rPr>
        <w:t xml:space="preserve"> the concept of the </w:t>
      </w:r>
      <w:r w:rsidR="00364A40">
        <w:rPr>
          <w:noProof/>
        </w:rPr>
        <w:t>‘</w:t>
      </w:r>
      <w:r w:rsidR="000B560D" w:rsidRPr="00DC621B">
        <w:rPr>
          <w:noProof/>
        </w:rPr>
        <w:t xml:space="preserve">vulnerable </w:t>
      </w:r>
      <w:r w:rsidR="00CD52AA" w:rsidRPr="00DC621B">
        <w:rPr>
          <w:noProof/>
        </w:rPr>
        <w:t>customer</w:t>
      </w:r>
      <w:r w:rsidR="00364A40">
        <w:rPr>
          <w:noProof/>
        </w:rPr>
        <w:t>’</w:t>
      </w:r>
      <w:r w:rsidR="003F57DE" w:rsidRPr="00DC621B">
        <w:rPr>
          <w:noProof/>
        </w:rPr>
        <w:t xml:space="preserve"> and </w:t>
      </w:r>
      <w:r w:rsidR="00364A40">
        <w:rPr>
          <w:noProof/>
        </w:rPr>
        <w:t>‘</w:t>
      </w:r>
      <w:r w:rsidR="003F57DE" w:rsidRPr="00DC621B">
        <w:rPr>
          <w:noProof/>
        </w:rPr>
        <w:t>energy poverty</w:t>
      </w:r>
      <w:r w:rsidR="00364A40">
        <w:rPr>
          <w:noProof/>
        </w:rPr>
        <w:t>’</w:t>
      </w:r>
      <w:r w:rsidR="000B560D" w:rsidRPr="00DC621B">
        <w:rPr>
          <w:noProof/>
        </w:rPr>
        <w:t xml:space="preserve"> by some Member States has been clearly instrumental to the adoption of measures contributing to addressing </w:t>
      </w:r>
      <w:r w:rsidR="003F57DE" w:rsidRPr="00DC621B">
        <w:rPr>
          <w:noProof/>
        </w:rPr>
        <w:t>the issue.</w:t>
      </w:r>
    </w:p>
    <w:p w:rsidR="009310F3" w:rsidRPr="00DC621B" w:rsidRDefault="009310F3" w:rsidP="008E1078">
      <w:pPr>
        <w:rPr>
          <w:b/>
          <w:bCs/>
          <w:i/>
          <w:iCs/>
          <w:noProof/>
        </w:rPr>
      </w:pPr>
      <w:r w:rsidRPr="00DC621B">
        <w:rPr>
          <w:b/>
          <w:bCs/>
          <w:i/>
          <w:iCs/>
          <w:noProof/>
        </w:rPr>
        <w:t>Conclusions</w:t>
      </w:r>
    </w:p>
    <w:p w:rsidR="009310F3" w:rsidRPr="00DC621B" w:rsidRDefault="009310F3" w:rsidP="00C73169">
      <w:pPr>
        <w:rPr>
          <w:b/>
          <w:bCs/>
          <w:noProof/>
        </w:rPr>
      </w:pPr>
      <w:r w:rsidRPr="00DC621B">
        <w:rPr>
          <w:b/>
          <w:bCs/>
          <w:noProof/>
        </w:rPr>
        <w:t xml:space="preserve">Overall, it can be concluded that the subjects covered by the examined legislation such as unbundling, cross-border cooperation, interconnectors, are </w:t>
      </w:r>
      <w:r w:rsidR="00A32BF7" w:rsidRPr="00DC621B">
        <w:rPr>
          <w:b/>
          <w:bCs/>
          <w:noProof/>
        </w:rPr>
        <w:t>topics that</w:t>
      </w:r>
      <w:r w:rsidRPr="00DC621B">
        <w:rPr>
          <w:b/>
          <w:bCs/>
          <w:noProof/>
        </w:rPr>
        <w:t xml:space="preserve"> legally and practically could only be regulated at EU level. </w:t>
      </w:r>
      <w:r w:rsidR="00A32BF7" w:rsidRPr="00DC621B">
        <w:rPr>
          <w:b/>
          <w:bCs/>
          <w:noProof/>
        </w:rPr>
        <w:t>Similarly,</w:t>
      </w:r>
      <w:r w:rsidRPr="00DC621B">
        <w:rPr>
          <w:b/>
          <w:bCs/>
          <w:noProof/>
        </w:rPr>
        <w:t xml:space="preserve"> cooperation between neighbouring TSOs and NRAs needed to avoid fragmented uncoordinated decisions. Regulation could only happen at supranational level. </w:t>
      </w:r>
    </w:p>
    <w:p w:rsidR="009310F3" w:rsidRDefault="0027075E">
      <w:pPr>
        <w:rPr>
          <w:b/>
          <w:bCs/>
          <w:noProof/>
        </w:rPr>
      </w:pPr>
      <w:r w:rsidRPr="00DC621B">
        <w:rPr>
          <w:b/>
          <w:bCs/>
          <w:noProof/>
        </w:rPr>
        <w:t>Only a common EU legislative</w:t>
      </w:r>
      <w:r w:rsidR="009310F3" w:rsidRPr="00DC621B">
        <w:rPr>
          <w:b/>
          <w:bCs/>
          <w:noProof/>
        </w:rPr>
        <w:t xml:space="preserve"> approach to metering and billing </w:t>
      </w:r>
      <w:r w:rsidRPr="00DC621B">
        <w:rPr>
          <w:b/>
          <w:bCs/>
          <w:noProof/>
        </w:rPr>
        <w:t>and overall to</w:t>
      </w:r>
      <w:r w:rsidR="009310F3" w:rsidRPr="00DC621B">
        <w:rPr>
          <w:b/>
          <w:bCs/>
          <w:noProof/>
        </w:rPr>
        <w:t xml:space="preserve"> consumer protection</w:t>
      </w:r>
      <w:r w:rsidR="004F229B" w:rsidRPr="00DC621B">
        <w:rPr>
          <w:b/>
          <w:bCs/>
          <w:noProof/>
        </w:rPr>
        <w:t xml:space="preserve"> and empowerment</w:t>
      </w:r>
      <w:r w:rsidR="009310F3" w:rsidRPr="00DC621B">
        <w:rPr>
          <w:b/>
          <w:bCs/>
          <w:noProof/>
        </w:rPr>
        <w:t xml:space="preserve"> provisions </w:t>
      </w:r>
      <w:r w:rsidRPr="00DC621B">
        <w:rPr>
          <w:b/>
          <w:bCs/>
          <w:noProof/>
        </w:rPr>
        <w:t xml:space="preserve">would consistently </w:t>
      </w:r>
      <w:r w:rsidR="009310F3" w:rsidRPr="00DC621B">
        <w:rPr>
          <w:b/>
          <w:bCs/>
          <w:noProof/>
        </w:rPr>
        <w:t xml:space="preserve">safeguard the level playing field for suppliers and provide equal rights for energy consumers. It also facilitates providing cross-border services. </w:t>
      </w:r>
      <w:bookmarkStart w:id="587" w:name="_Toc455070650"/>
      <w:bookmarkEnd w:id="587"/>
    </w:p>
    <w:p w:rsidR="009310F3" w:rsidRPr="00DC621B" w:rsidRDefault="002916D9" w:rsidP="009D744A">
      <w:pPr>
        <w:pStyle w:val="ListParagraph"/>
        <w:numPr>
          <w:ilvl w:val="0"/>
          <w:numId w:val="378"/>
        </w:numPr>
        <w:pBdr>
          <w:top w:val="single" w:sz="4" w:space="1" w:color="auto"/>
          <w:left w:val="single" w:sz="4" w:space="4" w:color="auto"/>
          <w:bottom w:val="single" w:sz="4" w:space="1" w:color="auto"/>
          <w:right w:val="single" w:sz="4" w:space="4" w:color="auto"/>
        </w:pBdr>
        <w:shd w:val="clear" w:color="auto" w:fill="C6D9F1" w:themeFill="text2" w:themeFillTint="33"/>
        <w:ind w:left="357" w:hanging="357"/>
        <w:rPr>
          <w:noProof/>
        </w:rPr>
      </w:pPr>
      <w:r w:rsidRPr="002916D9">
        <w:rPr>
          <w:noProof/>
        </w:rPr>
        <w:t xml:space="preserve">What is the </w:t>
      </w:r>
      <w:r w:rsidRPr="009D744A">
        <w:rPr>
          <w:b/>
          <w:noProof/>
        </w:rPr>
        <w:t>value added of ENTSOG and ACER</w:t>
      </w:r>
      <w:r w:rsidRPr="00D646E3" w:rsidDel="003B7E12">
        <w:rPr>
          <w:noProof/>
        </w:rPr>
        <w:t>?</w:t>
      </w:r>
    </w:p>
    <w:p w:rsidR="009310F3" w:rsidRPr="00DC621B" w:rsidRDefault="009310F3" w:rsidP="796E43CC">
      <w:pPr>
        <w:rPr>
          <w:noProof/>
          <w:szCs w:val="24"/>
        </w:rPr>
      </w:pPr>
      <w:r w:rsidRPr="00DC621B">
        <w:rPr>
          <w:noProof/>
        </w:rPr>
        <w:t>The regulatory framework and rule-making process for energy policy has been enriched in the Third Energy Package by creating ACER and ENTSO</w:t>
      </w:r>
      <w:r w:rsidR="00A32BF7" w:rsidRPr="00DC621B">
        <w:rPr>
          <w:noProof/>
        </w:rPr>
        <w:t>G</w:t>
      </w:r>
      <w:r w:rsidRPr="00DC621B">
        <w:rPr>
          <w:noProof/>
        </w:rPr>
        <w:t>. ACER provides a framework for institutionalised cooperation between national regulators. ENTSO</w:t>
      </w:r>
      <w:r w:rsidR="00A32BF7" w:rsidRPr="00DC621B">
        <w:rPr>
          <w:noProof/>
        </w:rPr>
        <w:t>G</w:t>
      </w:r>
      <w:r w:rsidRPr="00DC621B">
        <w:rPr>
          <w:noProof/>
        </w:rPr>
        <w:t xml:space="preserve">, in turn, constitutes a cooperation platform for transmission system operators. </w:t>
      </w:r>
    </w:p>
    <w:p w:rsidR="009310F3" w:rsidRPr="00DC621B" w:rsidRDefault="009310F3" w:rsidP="008E1078">
      <w:pPr>
        <w:rPr>
          <w:rFonts w:eastAsiaTheme="minorEastAsia"/>
          <w:noProof/>
        </w:rPr>
      </w:pPr>
      <w:r w:rsidRPr="00DC621B">
        <w:rPr>
          <w:noProof/>
        </w:rPr>
        <w:t>Both ACER and ENTSO</w:t>
      </w:r>
      <w:r w:rsidR="00A32BF7" w:rsidRPr="00DC621B">
        <w:rPr>
          <w:noProof/>
        </w:rPr>
        <w:t>G</w:t>
      </w:r>
      <w:r w:rsidRPr="00DC621B">
        <w:rPr>
          <w:noProof/>
        </w:rPr>
        <w:t xml:space="preserve"> have become important partners in discussions on regulatory issues and fulfil a useful task in the coordination of NRAs and TSOs, respectively. They are both crucial actors in the </w:t>
      </w:r>
      <w:r w:rsidR="004D4D55" w:rsidRPr="00DC621B">
        <w:rPr>
          <w:noProof/>
        </w:rPr>
        <w:t xml:space="preserve">development </w:t>
      </w:r>
      <w:r w:rsidRPr="00DC621B">
        <w:rPr>
          <w:noProof/>
        </w:rPr>
        <w:t xml:space="preserve">process of the network codes. </w:t>
      </w:r>
      <w:r w:rsidRPr="00DC621B">
        <w:rPr>
          <w:rFonts w:eastAsiaTheme="minorEastAsia"/>
          <w:noProof/>
        </w:rPr>
        <w:t xml:space="preserve">In its Communication </w:t>
      </w:r>
      <w:r w:rsidRPr="00DC621B">
        <w:rPr>
          <w:rFonts w:eastAsiaTheme="minorEastAsia"/>
          <w:i/>
          <w:iCs/>
          <w:noProof/>
        </w:rPr>
        <w:t>Delivering the internal electricity market and making the most of public intervention</w:t>
      </w:r>
      <w:r w:rsidR="00DC2CD3" w:rsidRPr="00DC621B">
        <w:rPr>
          <w:rStyle w:val="FootnoteReference"/>
          <w:rFonts w:eastAsiaTheme="minorEastAsia"/>
          <w:i/>
          <w:iCs/>
          <w:noProof/>
        </w:rPr>
        <w:footnoteReference w:id="207"/>
      </w:r>
      <w:r w:rsidRPr="00DC621B">
        <w:rPr>
          <w:rFonts w:eastAsiaTheme="minorEastAsia"/>
          <w:i/>
          <w:iCs/>
          <w:noProof/>
        </w:rPr>
        <w:t xml:space="preserve">, </w:t>
      </w:r>
      <w:r w:rsidRPr="00DC621B">
        <w:rPr>
          <w:rFonts w:eastAsiaTheme="minorEastAsia"/>
          <w:noProof/>
        </w:rPr>
        <w:t xml:space="preserve">the Commission underlined that ACER and the ENTSOs have played a key role in the progress towards a functioning internal energy market. </w:t>
      </w:r>
      <w:r w:rsidR="00A32BF7" w:rsidRPr="00DC621B">
        <w:rPr>
          <w:rFonts w:eastAsiaTheme="minorEastAsia"/>
          <w:noProof/>
        </w:rPr>
        <w:t>In 2014, t</w:t>
      </w:r>
      <w:r w:rsidRPr="00DC621B">
        <w:rPr>
          <w:rFonts w:eastAsiaTheme="minorEastAsia"/>
          <w:noProof/>
        </w:rPr>
        <w:t xml:space="preserve">he Commission made an </w:t>
      </w:r>
      <w:r w:rsidR="003F6848">
        <w:rPr>
          <w:rFonts w:eastAsiaTheme="minorEastAsia"/>
          <w:noProof/>
        </w:rPr>
        <w:t>E</w:t>
      </w:r>
      <w:r w:rsidRPr="00DC621B">
        <w:rPr>
          <w:rFonts w:eastAsiaTheme="minorEastAsia"/>
          <w:noProof/>
        </w:rPr>
        <w:t xml:space="preserve">valuation on the first years of </w:t>
      </w:r>
      <w:r w:rsidR="00560F42" w:rsidRPr="00DC621B">
        <w:rPr>
          <w:rFonts w:eastAsiaTheme="minorEastAsia"/>
          <w:noProof/>
        </w:rPr>
        <w:t xml:space="preserve">the </w:t>
      </w:r>
      <w:r w:rsidRPr="00DC621B">
        <w:rPr>
          <w:rFonts w:eastAsiaTheme="minorEastAsia"/>
          <w:noProof/>
        </w:rPr>
        <w:t>functioning of ACER and has concluded that the agency has become a credible and respected institution playing a prominent role in the EU regulatory arena and focusing on the right priorities</w:t>
      </w:r>
      <w:r w:rsidRPr="00DC621B">
        <w:rPr>
          <w:rStyle w:val="FootnoteReference"/>
          <w:rFonts w:eastAsiaTheme="minorEastAsia"/>
          <w:noProof/>
        </w:rPr>
        <w:footnoteReference w:id="208"/>
      </w:r>
      <w:r w:rsidRPr="00DC621B">
        <w:rPr>
          <w:rFonts w:eastAsiaTheme="minorEastAsia"/>
          <w:noProof/>
        </w:rPr>
        <w:t>.</w:t>
      </w:r>
    </w:p>
    <w:p w:rsidR="009310F3" w:rsidRPr="00DC621B" w:rsidRDefault="00F90DB7" w:rsidP="008E1078">
      <w:pPr>
        <w:rPr>
          <w:rFonts w:eastAsiaTheme="minorEastAsia"/>
          <w:noProof/>
        </w:rPr>
      </w:pPr>
      <w:r w:rsidRPr="00DC621B">
        <w:rPr>
          <w:rFonts w:eastAsiaTheme="minorEastAsia"/>
          <w:noProof/>
        </w:rPr>
        <w:t>An external evaluation of ACER was conducted in 2014</w:t>
      </w:r>
      <w:r w:rsidRPr="00DC621B">
        <w:rPr>
          <w:rStyle w:val="FootnoteReference"/>
          <w:rFonts w:eastAsiaTheme="minorEastAsia"/>
          <w:noProof/>
        </w:rPr>
        <w:footnoteReference w:id="209"/>
      </w:r>
      <w:r w:rsidR="00364A40">
        <w:rPr>
          <w:rFonts w:eastAsiaTheme="minorEastAsia"/>
          <w:noProof/>
        </w:rPr>
        <w:t>,</w:t>
      </w:r>
      <w:r w:rsidR="007B0379" w:rsidRPr="00DC621B">
        <w:rPr>
          <w:rFonts w:eastAsiaTheme="minorEastAsia"/>
          <w:noProof/>
        </w:rPr>
        <w:t xml:space="preserve"> followed in 2016 by the </w:t>
      </w:r>
      <w:r w:rsidR="003F6848">
        <w:rPr>
          <w:rFonts w:eastAsiaTheme="minorEastAsia"/>
          <w:noProof/>
        </w:rPr>
        <w:t>E</w:t>
      </w:r>
      <w:r w:rsidR="00AC0210" w:rsidRPr="00DC621B">
        <w:rPr>
          <w:rFonts w:eastAsiaTheme="minorEastAsia"/>
          <w:noProof/>
        </w:rPr>
        <w:t>valuation of the internal energy market</w:t>
      </w:r>
      <w:r w:rsidR="00AC0210" w:rsidRPr="00DC621B">
        <w:rPr>
          <w:rStyle w:val="FootnoteReference"/>
          <w:rFonts w:eastAsiaTheme="minorEastAsia"/>
          <w:noProof/>
        </w:rPr>
        <w:footnoteReference w:id="210"/>
      </w:r>
      <w:r w:rsidR="00AC0210" w:rsidRPr="00DC621B">
        <w:rPr>
          <w:rFonts w:eastAsiaTheme="minorEastAsia"/>
          <w:noProof/>
        </w:rPr>
        <w:t xml:space="preserve"> and the </w:t>
      </w:r>
      <w:r w:rsidR="00185F32">
        <w:rPr>
          <w:rFonts w:eastAsiaTheme="minorEastAsia"/>
          <w:noProof/>
        </w:rPr>
        <w:t>I</w:t>
      </w:r>
      <w:r w:rsidR="00AC0210" w:rsidRPr="00DC621B">
        <w:rPr>
          <w:rFonts w:eastAsiaTheme="minorEastAsia"/>
          <w:noProof/>
        </w:rPr>
        <w:t xml:space="preserve">mpact </w:t>
      </w:r>
      <w:r w:rsidR="00185F32">
        <w:rPr>
          <w:rFonts w:eastAsiaTheme="minorEastAsia"/>
          <w:noProof/>
        </w:rPr>
        <w:t>A</w:t>
      </w:r>
      <w:r w:rsidR="00AC0210" w:rsidRPr="00DC621B">
        <w:rPr>
          <w:rFonts w:eastAsiaTheme="minorEastAsia"/>
          <w:noProof/>
        </w:rPr>
        <w:t>ssessment</w:t>
      </w:r>
      <w:r w:rsidR="007B0379" w:rsidRPr="00DC621B">
        <w:rPr>
          <w:rStyle w:val="FootnoteReference"/>
          <w:rFonts w:eastAsiaTheme="minorEastAsia"/>
          <w:noProof/>
        </w:rPr>
        <w:footnoteReference w:id="211"/>
      </w:r>
      <w:r w:rsidR="00AC0210" w:rsidRPr="00DC621B">
        <w:rPr>
          <w:rFonts w:eastAsiaTheme="minorEastAsia"/>
          <w:noProof/>
        </w:rPr>
        <w:t xml:space="preserve"> </w:t>
      </w:r>
      <w:r w:rsidR="007B0379" w:rsidRPr="00DC621B">
        <w:rPr>
          <w:rFonts w:eastAsiaTheme="minorEastAsia"/>
          <w:noProof/>
        </w:rPr>
        <w:t>for the Clean Energy Package, which further assessed</w:t>
      </w:r>
      <w:r w:rsidR="00AC0210" w:rsidRPr="00DC621B">
        <w:rPr>
          <w:rFonts w:eastAsiaTheme="minorEastAsia"/>
          <w:noProof/>
        </w:rPr>
        <w:t xml:space="preserve"> </w:t>
      </w:r>
      <w:r w:rsidR="007B0379" w:rsidRPr="00DC621B">
        <w:rPr>
          <w:rFonts w:eastAsiaTheme="minorEastAsia"/>
          <w:noProof/>
        </w:rPr>
        <w:t>the impacts of the ACER regulation</w:t>
      </w:r>
      <w:r w:rsidRPr="00DC621B">
        <w:rPr>
          <w:rFonts w:eastAsiaTheme="minorEastAsia"/>
          <w:noProof/>
        </w:rPr>
        <w:t xml:space="preserve">. </w:t>
      </w:r>
      <w:r w:rsidR="007B0379" w:rsidRPr="00DC621B">
        <w:rPr>
          <w:rFonts w:eastAsiaTheme="minorEastAsia"/>
          <w:noProof/>
        </w:rPr>
        <w:t>These reports</w:t>
      </w:r>
      <w:r w:rsidR="009310F3" w:rsidRPr="00DC621B">
        <w:rPr>
          <w:rFonts w:eastAsiaTheme="minorEastAsia"/>
          <w:noProof/>
        </w:rPr>
        <w:t xml:space="preserve"> concluded that ACER’s governance and management structure is widely considered to be appropriate for the Agency</w:t>
      </w:r>
      <w:r w:rsidR="00620F18">
        <w:rPr>
          <w:rFonts w:eastAsiaTheme="minorEastAsia"/>
          <w:noProof/>
        </w:rPr>
        <w:t>’</w:t>
      </w:r>
      <w:r w:rsidR="009310F3" w:rsidRPr="00DC621B">
        <w:rPr>
          <w:rFonts w:eastAsiaTheme="minorEastAsia"/>
          <w:noProof/>
        </w:rPr>
        <w:t xml:space="preserve">s current role. </w:t>
      </w:r>
      <w:r w:rsidR="007B0379" w:rsidRPr="00DC621B">
        <w:rPr>
          <w:rFonts w:eastAsiaTheme="minorEastAsia"/>
          <w:noProof/>
        </w:rPr>
        <w:t>The analyses</w:t>
      </w:r>
      <w:r w:rsidR="009310F3" w:rsidRPr="00DC621B">
        <w:rPr>
          <w:rFonts w:eastAsiaTheme="minorEastAsia"/>
          <w:noProof/>
        </w:rPr>
        <w:t xml:space="preserve"> also concluded that the Agency’s working methods represent significant value added thanks to numerous informal interactions with associations and other stakeholders. Also their on-going publishing of all relevant documents is highly appreciated from the market participants. In 2014 the vast majority of stakeholders consulted for this ACER </w:t>
      </w:r>
      <w:r w:rsidR="003F6848">
        <w:rPr>
          <w:rFonts w:eastAsiaTheme="minorEastAsia"/>
          <w:noProof/>
        </w:rPr>
        <w:t>E</w:t>
      </w:r>
      <w:r w:rsidR="009310F3" w:rsidRPr="00DC621B">
        <w:rPr>
          <w:rFonts w:eastAsiaTheme="minorEastAsia"/>
          <w:noProof/>
        </w:rPr>
        <w:t>valuation reported the Agency to be understaffed. However, the Agency was able to carry out most of the activities planned in the work plans. The</w:t>
      </w:r>
      <w:r w:rsidR="007B0379" w:rsidRPr="00DC621B">
        <w:rPr>
          <w:rFonts w:eastAsiaTheme="minorEastAsia"/>
          <w:noProof/>
        </w:rPr>
        <w:t>se</w:t>
      </w:r>
      <w:r w:rsidR="009310F3" w:rsidRPr="00DC621B">
        <w:rPr>
          <w:rFonts w:eastAsiaTheme="minorEastAsia"/>
          <w:noProof/>
        </w:rPr>
        <w:t xml:space="preserve"> report</w:t>
      </w:r>
      <w:r w:rsidR="007B0379" w:rsidRPr="00DC621B">
        <w:rPr>
          <w:rFonts w:eastAsiaTheme="minorEastAsia"/>
          <w:noProof/>
        </w:rPr>
        <w:t>s</w:t>
      </w:r>
      <w:r w:rsidR="009310F3" w:rsidRPr="00DC621B">
        <w:rPr>
          <w:rFonts w:eastAsiaTheme="minorEastAsia"/>
          <w:noProof/>
        </w:rPr>
        <w:t xml:space="preserve"> also concluded that deliverables produced by ACER bring value to all stakeholders by informing them of key market and regulatory developments. </w:t>
      </w:r>
      <w:r w:rsidRPr="00DC621B">
        <w:rPr>
          <w:rFonts w:eastAsiaTheme="minorEastAsia"/>
          <w:noProof/>
        </w:rPr>
        <w:t>Stakeholders’ view that ACER is understaffed was highlighted again in 2020 by a report from the European Court of Auditors</w:t>
      </w:r>
      <w:r w:rsidRPr="00DC621B">
        <w:rPr>
          <w:rStyle w:val="FootnoteReference"/>
          <w:rFonts w:eastAsiaTheme="minorEastAsia"/>
          <w:noProof/>
        </w:rPr>
        <w:footnoteReference w:id="212"/>
      </w:r>
      <w:r w:rsidRPr="00DC621B">
        <w:rPr>
          <w:rFonts w:eastAsiaTheme="minorEastAsia"/>
          <w:noProof/>
        </w:rPr>
        <w:t>.</w:t>
      </w:r>
    </w:p>
    <w:p w:rsidR="00F90DB7" w:rsidRPr="00DC621B" w:rsidRDefault="00F90DB7" w:rsidP="00F90DB7">
      <w:pPr>
        <w:rPr>
          <w:rFonts w:eastAsiaTheme="minorEastAsia"/>
          <w:noProof/>
        </w:rPr>
      </w:pPr>
      <w:r w:rsidRPr="00DC621B">
        <w:rPr>
          <w:rFonts w:eastAsiaTheme="minorEastAsia"/>
          <w:noProof/>
        </w:rPr>
        <w:t>The Commission</w:t>
      </w:r>
      <w:r w:rsidRPr="00DC621B">
        <w:rPr>
          <w:rStyle w:val="FootnoteReference"/>
          <w:rFonts w:eastAsiaTheme="minorEastAsia"/>
          <w:noProof/>
        </w:rPr>
        <w:footnoteReference w:id="213"/>
      </w:r>
      <w:r w:rsidRPr="00DC621B">
        <w:rPr>
          <w:rFonts w:eastAsiaTheme="minorEastAsia"/>
          <w:noProof/>
        </w:rPr>
        <w:t xml:space="preserve"> assessed in 2021, based on a report by an independent expert, whether the financial and human resources available to ACER allow it to fulfil its role under the ACER Regulation of working towards an internal energy market and of contributing to energy security to the benefit of consumers in the Union. This assessment</w:t>
      </w:r>
      <w:r w:rsidRPr="00DC621B">
        <w:rPr>
          <w:rStyle w:val="FootnoteReference"/>
          <w:rFonts w:eastAsiaTheme="minorEastAsia"/>
          <w:noProof/>
        </w:rPr>
        <w:footnoteReference w:id="214"/>
      </w:r>
      <w:r w:rsidRPr="00DC621B">
        <w:rPr>
          <w:rFonts w:eastAsiaTheme="minorEastAsia"/>
          <w:noProof/>
        </w:rPr>
        <w:t xml:space="preserve"> stated</w:t>
      </w:r>
      <w:r w:rsidR="00F346EB">
        <w:rPr>
          <w:rFonts w:eastAsiaTheme="minorEastAsia"/>
          <w:noProof/>
        </w:rPr>
        <w:t xml:space="preserve"> </w:t>
      </w:r>
      <w:r w:rsidRPr="00DC621B">
        <w:rPr>
          <w:rFonts w:eastAsiaTheme="minorEastAsia"/>
          <w:noProof/>
        </w:rPr>
        <w:t>that for ACER to be properly resourced for its tasks under current EU legislation, 25 additional posts are needed for strengthening its legal expertise, reinforce teams working on electricity market integration and for implementing Regulation (EU) 1227/2011 (REMIT). The required additional financial resources, including for 15 of the 25 additional posts, can be covered by income from fees for ACER tasks under (REMIT).</w:t>
      </w:r>
    </w:p>
    <w:p w:rsidR="009310F3" w:rsidRPr="00DC621B" w:rsidRDefault="009310F3" w:rsidP="796E43CC">
      <w:pPr>
        <w:rPr>
          <w:noProof/>
          <w:szCs w:val="22"/>
        </w:rPr>
      </w:pPr>
      <w:r w:rsidRPr="00DC621B">
        <w:rPr>
          <w:noProof/>
        </w:rPr>
        <w:t>As regards ENTSO</w:t>
      </w:r>
      <w:r w:rsidR="00A32BF7" w:rsidRPr="00DC621B">
        <w:rPr>
          <w:noProof/>
        </w:rPr>
        <w:t>G</w:t>
      </w:r>
      <w:r w:rsidRPr="00DC621B">
        <w:rPr>
          <w:noProof/>
        </w:rPr>
        <w:t>, improving security of supply by strengthening incentives for investment in transmission and distribution capacities required a tighter cooperation between national TSOs. Through the setting up of ENTSO</w:t>
      </w:r>
      <w:r w:rsidR="00A32BF7" w:rsidRPr="00DC621B">
        <w:rPr>
          <w:noProof/>
        </w:rPr>
        <w:t>G</w:t>
      </w:r>
      <w:r w:rsidRPr="00DC621B">
        <w:rPr>
          <w:noProof/>
        </w:rPr>
        <w:t xml:space="preserve">, the Third Package made this cooperation easier and smoother. Such an EU-wide structure could only be created thanks to EU intervention. </w:t>
      </w:r>
    </w:p>
    <w:p w:rsidR="009310F3" w:rsidRPr="00DC621B" w:rsidRDefault="009310F3" w:rsidP="00613FF6">
      <w:pPr>
        <w:rPr>
          <w:rFonts w:eastAsiaTheme="minorEastAsia"/>
          <w:noProof/>
        </w:rPr>
      </w:pPr>
      <w:r w:rsidRPr="00DC621B">
        <w:rPr>
          <w:noProof/>
        </w:rPr>
        <w:t xml:space="preserve">However, the implementation of the Third Package has highlighted the existence of a number of shortcomings concerning the framework applicable to ACER and the ENTSOs. See notably </w:t>
      </w:r>
      <w:r w:rsidR="00706E41">
        <w:rPr>
          <w:noProof/>
        </w:rPr>
        <w:t>S</w:t>
      </w:r>
      <w:r w:rsidRPr="00DC621B">
        <w:rPr>
          <w:noProof/>
        </w:rPr>
        <w:t xml:space="preserve">ection </w:t>
      </w:r>
      <w:r w:rsidR="00A178D8">
        <w:rPr>
          <w:noProof/>
        </w:rPr>
        <w:t>6</w:t>
      </w:r>
      <w:r w:rsidR="00DE36C7" w:rsidRPr="00DC621B">
        <w:rPr>
          <w:noProof/>
        </w:rPr>
        <w:t>.1.1. (refer</w:t>
      </w:r>
      <w:r w:rsidR="004D4D55" w:rsidRPr="00DC621B">
        <w:rPr>
          <w:noProof/>
        </w:rPr>
        <w:t>e</w:t>
      </w:r>
      <w:r w:rsidR="00DE36C7" w:rsidRPr="00DC621B">
        <w:rPr>
          <w:noProof/>
        </w:rPr>
        <w:t xml:space="preserve">nce to increased TSO cooperation </w:t>
      </w:r>
      <w:r w:rsidR="00706E41">
        <w:rPr>
          <w:noProof/>
        </w:rPr>
        <w:t>S</w:t>
      </w:r>
      <w:r w:rsidR="00DE36C7" w:rsidRPr="00DC621B">
        <w:rPr>
          <w:noProof/>
        </w:rPr>
        <w:t xml:space="preserve">ection) </w:t>
      </w:r>
      <w:r w:rsidRPr="00DC621B">
        <w:rPr>
          <w:noProof/>
        </w:rPr>
        <w:t>on the need to reinforce the independence and transparency requirements applicable to ENTSO</w:t>
      </w:r>
      <w:r w:rsidR="00A32BF7" w:rsidRPr="00DC621B">
        <w:rPr>
          <w:noProof/>
        </w:rPr>
        <w:t>G</w:t>
      </w:r>
      <w:r w:rsidRPr="00DC621B">
        <w:rPr>
          <w:noProof/>
        </w:rPr>
        <w:t xml:space="preserve"> and the possible conflict of interest in ENTSO</w:t>
      </w:r>
      <w:r w:rsidR="00A32BF7" w:rsidRPr="00DC621B">
        <w:rPr>
          <w:noProof/>
        </w:rPr>
        <w:t>G</w:t>
      </w:r>
      <w:r w:rsidRPr="00DC621B">
        <w:rPr>
          <w:noProof/>
        </w:rPr>
        <w:t>’s role.</w:t>
      </w:r>
    </w:p>
    <w:p w:rsidR="00077A72" w:rsidRPr="00DC621B" w:rsidRDefault="005D7210" w:rsidP="00C73169">
      <w:pPr>
        <w:rPr>
          <w:noProof/>
        </w:rPr>
      </w:pPr>
      <w:r w:rsidRPr="00DC621B">
        <w:rPr>
          <w:rFonts w:cs="FreeSans"/>
          <w:noProof/>
        </w:rPr>
        <w:t>I</w:t>
      </w:r>
      <w:r w:rsidR="009310F3" w:rsidRPr="00DC621B">
        <w:rPr>
          <w:rFonts w:cs="FreeSans"/>
          <w:noProof/>
        </w:rPr>
        <w:t>n some instances, fragmented national regulatory oversight has proved to be inefficient for cross-border issues related to the gas system.</w:t>
      </w:r>
      <w:r w:rsidR="00585A63" w:rsidRPr="00DC621B">
        <w:rPr>
          <w:rFonts w:cs="FreeSans"/>
          <w:noProof/>
        </w:rPr>
        <w:t xml:space="preserve"> </w:t>
      </w:r>
      <w:r w:rsidR="009310F3" w:rsidRPr="00DC621B">
        <w:rPr>
          <w:rFonts w:cs="FreeSans"/>
          <w:noProof/>
        </w:rPr>
        <w:t>The</w:t>
      </w:r>
      <w:r w:rsidR="009310F3" w:rsidRPr="00DC621B">
        <w:rPr>
          <w:noProof/>
        </w:rPr>
        <w:t xml:space="preserve"> lack of a stronger governance and regulatory framework for cross-border issues constitute</w:t>
      </w:r>
      <w:r w:rsidR="00291C73" w:rsidRPr="00DC621B">
        <w:rPr>
          <w:noProof/>
        </w:rPr>
        <w:t>d</w:t>
      </w:r>
      <w:r w:rsidR="009310F3" w:rsidRPr="00DC621B">
        <w:rPr>
          <w:noProof/>
        </w:rPr>
        <w:t xml:space="preserve"> a barrier for the integration of the energy markets</w:t>
      </w:r>
      <w:r w:rsidR="009310F3" w:rsidRPr="00DC621B">
        <w:rPr>
          <w:rStyle w:val="FootnoteReference"/>
          <w:noProof/>
        </w:rPr>
        <w:footnoteReference w:id="215"/>
      </w:r>
      <w:r w:rsidR="00364A40">
        <w:rPr>
          <w:noProof/>
        </w:rPr>
        <w:t>.</w:t>
      </w:r>
      <w:r w:rsidR="009310F3" w:rsidRPr="00DC621B">
        <w:rPr>
          <w:noProof/>
        </w:rPr>
        <w:t xml:space="preserve"> In this regard, there </w:t>
      </w:r>
      <w:r w:rsidR="00291C73" w:rsidRPr="00DC621B">
        <w:rPr>
          <w:noProof/>
        </w:rPr>
        <w:t>was</w:t>
      </w:r>
      <w:r w:rsidR="009310F3" w:rsidRPr="00DC621B">
        <w:rPr>
          <w:noProof/>
        </w:rPr>
        <w:t xml:space="preserve"> consensus among market parties and stakeholders that ACER should indeed be enabled to more efficiently oversee the development of the internal energy market and deal with cross-border issues</w:t>
      </w:r>
      <w:r w:rsidR="00291C73" w:rsidRPr="00DC621B">
        <w:rPr>
          <w:noProof/>
        </w:rPr>
        <w:t>, both in the electricity and gas sectors</w:t>
      </w:r>
      <w:r w:rsidR="009310F3" w:rsidRPr="00DC621B">
        <w:rPr>
          <w:noProof/>
        </w:rPr>
        <w:t xml:space="preserve">. </w:t>
      </w:r>
      <w:r w:rsidR="00F90DB7" w:rsidRPr="00DC621B">
        <w:rPr>
          <w:noProof/>
        </w:rPr>
        <w:t xml:space="preserve">Therefore, ACER’s oversight role was strengthened in the recast ACER Regulation and recast Electricity Directive as far as ENTSO-E, the EU DSO entity and the Regional Coordination Centres are concerned. </w:t>
      </w:r>
    </w:p>
    <w:p w:rsidR="009310F3" w:rsidRPr="00DC621B" w:rsidRDefault="009310F3" w:rsidP="0070024B">
      <w:pPr>
        <w:rPr>
          <w:b/>
          <w:bCs/>
          <w:noProof/>
        </w:rPr>
      </w:pPr>
      <w:r w:rsidRPr="00DC621B">
        <w:rPr>
          <w:b/>
          <w:bCs/>
          <w:noProof/>
        </w:rPr>
        <w:t>Overall, ACER and ENTSO</w:t>
      </w:r>
      <w:r w:rsidR="00A32BF7" w:rsidRPr="00DC621B">
        <w:rPr>
          <w:b/>
          <w:bCs/>
          <w:noProof/>
        </w:rPr>
        <w:t>G</w:t>
      </w:r>
      <w:r w:rsidRPr="00DC621B">
        <w:rPr>
          <w:b/>
          <w:bCs/>
          <w:noProof/>
        </w:rPr>
        <w:t xml:space="preserve"> have become key partners in discussions on regulatory issues and fulfil a useful task in the coordination of NRAs and TSOs, respectively. However, a number of shortcomings concerning their framework have been identified which need to be resolved. </w:t>
      </w:r>
      <w:bookmarkStart w:id="588" w:name="_Toc455134339"/>
      <w:bookmarkStart w:id="589" w:name="_Toc455148880"/>
      <w:bookmarkStart w:id="590" w:name="_Toc455156765"/>
      <w:bookmarkStart w:id="591" w:name="_Toc455156921"/>
      <w:bookmarkStart w:id="592" w:name="_Toc455160074"/>
    </w:p>
    <w:p w:rsidR="009310F3" w:rsidRPr="00DC621B" w:rsidRDefault="009310F3" w:rsidP="009D744A">
      <w:pPr>
        <w:pStyle w:val="Heading3"/>
        <w:ind w:left="720"/>
        <w:rPr>
          <w:noProof/>
        </w:rPr>
      </w:pPr>
      <w:bookmarkStart w:id="593" w:name="_Toc456772843"/>
      <w:bookmarkStart w:id="594" w:name="_Toc77590813"/>
      <w:bookmarkStart w:id="595" w:name="_Toc77600971"/>
      <w:bookmarkStart w:id="596" w:name="_Toc77682230"/>
      <w:bookmarkStart w:id="597" w:name="_Toc89688275"/>
      <w:bookmarkStart w:id="598" w:name="_Toc89882338"/>
      <w:bookmarkStart w:id="599" w:name="_Toc76743553"/>
      <w:r w:rsidRPr="00DC621B">
        <w:rPr>
          <w:noProof/>
        </w:rPr>
        <w:t>Assessing the case for continuing EU-intervention</w:t>
      </w:r>
      <w:bookmarkEnd w:id="593"/>
      <w:bookmarkEnd w:id="594"/>
      <w:bookmarkEnd w:id="595"/>
      <w:bookmarkEnd w:id="596"/>
      <w:bookmarkEnd w:id="597"/>
      <w:bookmarkEnd w:id="598"/>
      <w:r w:rsidRPr="00DC621B">
        <w:rPr>
          <w:noProof/>
        </w:rPr>
        <w:t xml:space="preserve"> </w:t>
      </w:r>
      <w:bookmarkEnd w:id="588"/>
      <w:bookmarkEnd w:id="589"/>
      <w:bookmarkEnd w:id="590"/>
      <w:bookmarkEnd w:id="591"/>
      <w:bookmarkEnd w:id="592"/>
      <w:bookmarkEnd w:id="599"/>
    </w:p>
    <w:p w:rsidR="00630CCA" w:rsidRPr="009D744A" w:rsidRDefault="009310F3" w:rsidP="003F1AEA">
      <w:pPr>
        <w:numPr>
          <w:ilvl w:val="0"/>
          <w:numId w:val="7"/>
        </w:numPr>
        <w:pBdr>
          <w:top w:val="single" w:sz="4" w:space="1" w:color="auto"/>
          <w:left w:val="single" w:sz="4" w:space="4" w:color="auto"/>
          <w:bottom w:val="single" w:sz="4" w:space="1" w:color="auto"/>
          <w:right w:val="single" w:sz="4" w:space="4" w:color="auto"/>
        </w:pBdr>
        <w:shd w:val="clear" w:color="auto" w:fill="C6D9F1" w:themeFill="text2" w:themeFillTint="33"/>
        <w:ind w:left="643" w:right="141"/>
        <w:rPr>
          <w:iCs/>
          <w:noProof/>
        </w:rPr>
      </w:pPr>
      <w:r w:rsidRPr="009D744A">
        <w:rPr>
          <w:iCs/>
          <w:noProof/>
        </w:rPr>
        <w:t xml:space="preserve">To what extent do the </w:t>
      </w:r>
      <w:r w:rsidRPr="009D744A">
        <w:rPr>
          <w:b/>
          <w:bCs/>
          <w:iCs/>
          <w:noProof/>
        </w:rPr>
        <w:t>objectives</w:t>
      </w:r>
      <w:r w:rsidRPr="009D744A">
        <w:rPr>
          <w:iCs/>
          <w:noProof/>
        </w:rPr>
        <w:t xml:space="preserve"> addressed by the Third Package </w:t>
      </w:r>
      <w:r w:rsidRPr="009D744A">
        <w:rPr>
          <w:b/>
          <w:bCs/>
          <w:iCs/>
          <w:noProof/>
        </w:rPr>
        <w:t>continue</w:t>
      </w:r>
      <w:r w:rsidRPr="009D744A">
        <w:rPr>
          <w:iCs/>
          <w:noProof/>
        </w:rPr>
        <w:t xml:space="preserve"> to require EU-intervention? </w:t>
      </w:r>
      <w:bookmarkStart w:id="600" w:name="_Toc456368376"/>
      <w:bookmarkStart w:id="601" w:name="_Toc454961081"/>
      <w:bookmarkStart w:id="602" w:name="_Toc455064667"/>
      <w:bookmarkStart w:id="603" w:name="_Toc455070109"/>
      <w:bookmarkStart w:id="604" w:name="_Toc455074014"/>
      <w:bookmarkStart w:id="605" w:name="_Toc455074343"/>
      <w:bookmarkStart w:id="606" w:name="_Toc455082022"/>
      <w:bookmarkStart w:id="607" w:name="_Toc455082114"/>
      <w:bookmarkStart w:id="608" w:name="_Toc455082986"/>
      <w:bookmarkStart w:id="609" w:name="_Toc455134340"/>
      <w:bookmarkStart w:id="610" w:name="_Toc455148881"/>
      <w:bookmarkStart w:id="611" w:name="_Toc455156766"/>
      <w:bookmarkStart w:id="612" w:name="_Toc455156922"/>
      <w:bookmarkStart w:id="613" w:name="_Toc455160075"/>
      <w:bookmarkStart w:id="614" w:name="_Toc456772844"/>
      <w:bookmarkEnd w:id="600"/>
      <w:bookmarkEnd w:id="601"/>
    </w:p>
    <w:p w:rsidR="00AB5A4E" w:rsidRPr="00DC621B" w:rsidRDefault="00630CCA" w:rsidP="004C1011">
      <w:pPr>
        <w:rPr>
          <w:noProof/>
        </w:rPr>
      </w:pPr>
      <w:r w:rsidRPr="00DC621B">
        <w:rPr>
          <w:noProof/>
        </w:rPr>
        <w:t xml:space="preserve">Despite the positive developments generated by the examined legislation, there is still limited coordination between national TSOs, often restricted to very specific subjects or situations. Similarly, </w:t>
      </w:r>
      <w:r w:rsidR="00AB5A4E" w:rsidRPr="00DC621B">
        <w:rPr>
          <w:noProof/>
        </w:rPr>
        <w:t>without further harmonisation and legislation at EU level, existing regulatory barriers and uncertainties are likely to lower the use of renewable gases</w:t>
      </w:r>
      <w:r w:rsidR="007F7B3A" w:rsidRPr="00DC621B">
        <w:rPr>
          <w:noProof/>
        </w:rPr>
        <w:t xml:space="preserve"> and their</w:t>
      </w:r>
      <w:r w:rsidR="00AB5A4E" w:rsidRPr="00DC621B">
        <w:rPr>
          <w:noProof/>
        </w:rPr>
        <w:t xml:space="preserve"> cross-border trade, which might be compensated by higher natural gas imports.</w:t>
      </w:r>
    </w:p>
    <w:p w:rsidR="00630CCA" w:rsidRPr="00DC621B" w:rsidRDefault="00630CCA" w:rsidP="004C1011">
      <w:pPr>
        <w:rPr>
          <w:noProof/>
          <w:highlight w:val="yellow"/>
        </w:rPr>
      </w:pPr>
      <w:r w:rsidRPr="00DC621B">
        <w:rPr>
          <w:noProof/>
        </w:rPr>
        <w:t>I</w:t>
      </w:r>
      <w:r w:rsidR="00A20245" w:rsidRPr="00DC621B">
        <w:rPr>
          <w:noProof/>
        </w:rPr>
        <w:t xml:space="preserve">ndeed, the increasing contribution that </w:t>
      </w:r>
      <w:r w:rsidRPr="00DC621B">
        <w:rPr>
          <w:noProof/>
        </w:rPr>
        <w:t xml:space="preserve">decentralised </w:t>
      </w:r>
      <w:r w:rsidR="00A20245" w:rsidRPr="00DC621B">
        <w:rPr>
          <w:noProof/>
        </w:rPr>
        <w:t xml:space="preserve">production of </w:t>
      </w:r>
      <w:r w:rsidR="000B560D" w:rsidRPr="00DC621B">
        <w:rPr>
          <w:noProof/>
        </w:rPr>
        <w:t xml:space="preserve">renewable gas </w:t>
      </w:r>
      <w:r w:rsidR="00A20245" w:rsidRPr="00DC621B">
        <w:rPr>
          <w:noProof/>
        </w:rPr>
        <w:t>can provide to the decarbonisation of the gas system</w:t>
      </w:r>
      <w:r w:rsidRPr="00DC621B">
        <w:rPr>
          <w:noProof/>
        </w:rPr>
        <w:t xml:space="preserve"> cal</w:t>
      </w:r>
      <w:r w:rsidR="000B560D" w:rsidRPr="00DC621B">
        <w:rPr>
          <w:noProof/>
        </w:rPr>
        <w:t>ls for continued EU action to</w:t>
      </w:r>
      <w:r w:rsidRPr="00DC621B">
        <w:rPr>
          <w:noProof/>
        </w:rPr>
        <w:t xml:space="preserve"> improve the functioning of the internal </w:t>
      </w:r>
      <w:r w:rsidR="009C5C7F" w:rsidRPr="00DC621B">
        <w:rPr>
          <w:noProof/>
        </w:rPr>
        <w:t>gas</w:t>
      </w:r>
      <w:r w:rsidRPr="00DC621B">
        <w:rPr>
          <w:noProof/>
        </w:rPr>
        <w:t xml:space="preserve"> market and enable maximum cross-border trading </w:t>
      </w:r>
      <w:r w:rsidR="008605F8" w:rsidRPr="00DC621B">
        <w:rPr>
          <w:noProof/>
        </w:rPr>
        <w:t xml:space="preserve">and cost-efficient integration </w:t>
      </w:r>
      <w:r w:rsidRPr="00DC621B">
        <w:rPr>
          <w:noProof/>
        </w:rPr>
        <w:t>to happen</w:t>
      </w:r>
      <w:r w:rsidR="001A0801" w:rsidRPr="00DC621B">
        <w:rPr>
          <w:noProof/>
        </w:rPr>
        <w:t xml:space="preserve"> also for decentrally produced gases</w:t>
      </w:r>
      <w:r w:rsidRPr="00DC621B">
        <w:rPr>
          <w:noProof/>
        </w:rPr>
        <w:t xml:space="preserve">. </w:t>
      </w:r>
    </w:p>
    <w:p w:rsidR="00AB5A4E" w:rsidRPr="00DC621B" w:rsidRDefault="00AD0C8A" w:rsidP="00A868E5">
      <w:pPr>
        <w:rPr>
          <w:noProof/>
        </w:rPr>
      </w:pPr>
      <w:r w:rsidRPr="00DC621B">
        <w:rPr>
          <w:noProof/>
        </w:rPr>
        <w:t>In view of the current efforts at European and national level to promote use of renewable hydrogen as a replacement f</w:t>
      </w:r>
      <w:r w:rsidR="00E02E29" w:rsidRPr="00DC621B">
        <w:rPr>
          <w:noProof/>
        </w:rPr>
        <w:t xml:space="preserve">or fossil fuels, Member States </w:t>
      </w:r>
      <w:r w:rsidR="00572DD6" w:rsidRPr="00DC621B">
        <w:rPr>
          <w:noProof/>
        </w:rPr>
        <w:t>c</w:t>
      </w:r>
      <w:r w:rsidRPr="00DC621B">
        <w:rPr>
          <w:noProof/>
        </w:rPr>
        <w:t>ould be incentivised to adopt rules on the transport of hydrogen dedicated pipelines at national level. This creates the risk of a fragmented regulatory landscape across the EU, which could hamper the integration of national hydrogen networks and markets, thereby preventing</w:t>
      </w:r>
      <w:r w:rsidR="00E02E29" w:rsidRPr="00DC621B">
        <w:rPr>
          <w:noProof/>
        </w:rPr>
        <w:t xml:space="preserve"> </w:t>
      </w:r>
      <w:r w:rsidR="008A7F7C" w:rsidRPr="00DC621B">
        <w:rPr>
          <w:noProof/>
        </w:rPr>
        <w:t xml:space="preserve">reaping the </w:t>
      </w:r>
      <w:r w:rsidR="00572DD6" w:rsidRPr="00DC621B">
        <w:rPr>
          <w:noProof/>
        </w:rPr>
        <w:t xml:space="preserve">cost </w:t>
      </w:r>
      <w:r w:rsidR="008A7F7C" w:rsidRPr="00DC621B">
        <w:rPr>
          <w:noProof/>
        </w:rPr>
        <w:t>benefits of trade</w:t>
      </w:r>
      <w:r w:rsidR="00572DD6" w:rsidRPr="00DC621B">
        <w:rPr>
          <w:noProof/>
        </w:rPr>
        <w:t xml:space="preserve"> in hydrogen</w:t>
      </w:r>
      <w:r w:rsidR="008A7F7C" w:rsidRPr="00DC621B">
        <w:rPr>
          <w:noProof/>
        </w:rPr>
        <w:t>.</w:t>
      </w:r>
      <w:r w:rsidRPr="00DC621B">
        <w:rPr>
          <w:noProof/>
        </w:rPr>
        <w:t xml:space="preserve"> Harmonising rules for hydrogen networks at a later stage (i.e. after national legislation is in place) would lead to increased administrative burden for Member States and higher regulatory costs for companies, especially where long-term investments in hydrogen production and transport infrastructure are concerned.</w:t>
      </w:r>
    </w:p>
    <w:p w:rsidR="00D61D3D" w:rsidRPr="00DC621B" w:rsidRDefault="00D61D3D" w:rsidP="00A868E5">
      <w:pPr>
        <w:rPr>
          <w:noProof/>
        </w:rPr>
      </w:pPr>
      <w:r w:rsidRPr="00DC621B">
        <w:rPr>
          <w:noProof/>
        </w:rPr>
        <w:t>National policy interventions in the gas sector have direct impact on neighbouring Member States. This even more than in the past as the increasing cross-border trade, the spread of decentralised generation and more enhanced consumer participation increases spillover effects. No State can effectively act alone and the externalities of unilateral action have become more important. This clearly calls for a continuation of EU action to reach the objectives of the Third Energy Package</w:t>
      </w:r>
      <w:r w:rsidR="00A80F86" w:rsidRPr="00DC621B">
        <w:rPr>
          <w:noProof/>
        </w:rPr>
        <w:t>.</w:t>
      </w:r>
    </w:p>
    <w:p w:rsidR="009310F3" w:rsidRPr="00DC621B" w:rsidRDefault="00EB28D3" w:rsidP="00EB28D3">
      <w:pPr>
        <w:pStyle w:val="FootnoteText"/>
        <w:rPr>
          <w:noProof/>
        </w:rPr>
      </w:pPr>
      <w:bookmarkStart w:id="615" w:name="_Toc76743554"/>
      <w:bookmarkStart w:id="616" w:name="_Toc77590814"/>
      <w:bookmarkStart w:id="617" w:name="_Toc77600972"/>
      <w:bookmarkStart w:id="618" w:name="_Toc77682231"/>
      <w:bookmarkStart w:id="619" w:name="_Toc89688276"/>
      <w:bookmarkStart w:id="620" w:name="_Toc89882339"/>
      <w:r w:rsidRPr="00EB28D3">
        <w:t>7.</w:t>
      </w:r>
      <w:r w:rsidRPr="00EB28D3">
        <w:tab/>
      </w:r>
      <w:r w:rsidR="009310F3" w:rsidRPr="00DC621B">
        <w:rPr>
          <w:noProof/>
        </w:rPr>
        <w:t>Conclusions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9310F3" w:rsidRPr="00DC621B" w:rsidRDefault="009310F3" w:rsidP="796E43CC">
      <w:pPr>
        <w:ind w:right="-29"/>
        <w:rPr>
          <w:noProof/>
          <w:szCs w:val="24"/>
        </w:rPr>
      </w:pPr>
      <w:r w:rsidRPr="00DC621B">
        <w:rPr>
          <w:rFonts w:eastAsia="Calibri"/>
          <w:noProof/>
        </w:rPr>
        <w:t xml:space="preserve">In this </w:t>
      </w:r>
      <w:r w:rsidR="003F6848">
        <w:rPr>
          <w:rFonts w:eastAsia="Calibri"/>
          <w:noProof/>
        </w:rPr>
        <w:t>E</w:t>
      </w:r>
      <w:r w:rsidR="004A6179" w:rsidRPr="00DC621B">
        <w:rPr>
          <w:rFonts w:eastAsia="Calibri"/>
          <w:noProof/>
        </w:rPr>
        <w:t>valuation,</w:t>
      </w:r>
      <w:r w:rsidRPr="00DC621B">
        <w:rPr>
          <w:rFonts w:eastAsia="Calibri"/>
          <w:noProof/>
        </w:rPr>
        <w:t xml:space="preserve"> the Commission services have assessed if the Third </w:t>
      </w:r>
      <w:r w:rsidR="004A6179" w:rsidRPr="00DC621B">
        <w:rPr>
          <w:rFonts w:eastAsia="Calibri"/>
          <w:noProof/>
        </w:rPr>
        <w:t>Gas</w:t>
      </w:r>
      <w:r w:rsidRPr="00DC621B">
        <w:rPr>
          <w:rFonts w:eastAsia="Calibri"/>
          <w:noProof/>
        </w:rPr>
        <w:t xml:space="preserve"> Package </w:t>
      </w:r>
      <w:r w:rsidR="004A6179" w:rsidRPr="00DC621B">
        <w:rPr>
          <w:rFonts w:eastAsia="Calibri"/>
          <w:noProof/>
        </w:rPr>
        <w:t>is</w:t>
      </w:r>
      <w:r w:rsidRPr="00DC621B">
        <w:rPr>
          <w:rFonts w:eastAsia="Calibri"/>
          <w:noProof/>
        </w:rPr>
        <w:t xml:space="preserve"> fit for purpose by examining </w:t>
      </w:r>
      <w:r w:rsidR="004A6179" w:rsidRPr="00DC621B">
        <w:rPr>
          <w:rFonts w:eastAsia="Calibri"/>
          <w:noProof/>
        </w:rPr>
        <w:t>its</w:t>
      </w:r>
      <w:r w:rsidRPr="00DC621B">
        <w:rPr>
          <w:rFonts w:eastAsia="Calibri"/>
          <w:noProof/>
        </w:rPr>
        <w:t xml:space="preserve"> performance against five criteria: relevance, effectiveness, efficiency, coherence and EU added value. The results of the </w:t>
      </w:r>
      <w:r w:rsidR="003F6848">
        <w:rPr>
          <w:rFonts w:eastAsia="Calibri"/>
          <w:noProof/>
        </w:rPr>
        <w:t>E</w:t>
      </w:r>
      <w:r w:rsidRPr="00DC621B">
        <w:rPr>
          <w:rFonts w:eastAsia="Calibri"/>
          <w:noProof/>
        </w:rPr>
        <w:t>valuation will be used by the Commission to inform future decisions in relation to EU energy policy. In particular, t</w:t>
      </w:r>
      <w:r w:rsidRPr="00DC621B">
        <w:rPr>
          <w:noProof/>
        </w:rPr>
        <w:t xml:space="preserve">his </w:t>
      </w:r>
      <w:r w:rsidR="003F6848">
        <w:rPr>
          <w:noProof/>
        </w:rPr>
        <w:t>E</w:t>
      </w:r>
      <w:r w:rsidRPr="00DC621B">
        <w:rPr>
          <w:noProof/>
        </w:rPr>
        <w:t xml:space="preserve">valuation provides the basis for the </w:t>
      </w:r>
      <w:r w:rsidR="00185F32">
        <w:rPr>
          <w:noProof/>
        </w:rPr>
        <w:t>I</w:t>
      </w:r>
      <w:r w:rsidRPr="00DC621B">
        <w:rPr>
          <w:noProof/>
        </w:rPr>
        <w:t xml:space="preserve">mpact </w:t>
      </w:r>
      <w:r w:rsidR="00185F32">
        <w:rPr>
          <w:noProof/>
        </w:rPr>
        <w:t>A</w:t>
      </w:r>
      <w:r w:rsidRPr="00DC621B">
        <w:rPr>
          <w:noProof/>
        </w:rPr>
        <w:t xml:space="preserve">ssessment for the initiative to review the existing EU </w:t>
      </w:r>
      <w:r w:rsidR="00A32BF7" w:rsidRPr="00DC621B">
        <w:rPr>
          <w:noProof/>
        </w:rPr>
        <w:t>gas</w:t>
      </w:r>
      <w:r w:rsidRPr="00DC621B">
        <w:rPr>
          <w:noProof/>
        </w:rPr>
        <w:t xml:space="preserve"> market </w:t>
      </w:r>
      <w:r w:rsidR="00A32BF7" w:rsidRPr="00DC621B">
        <w:rPr>
          <w:noProof/>
        </w:rPr>
        <w:t>rules</w:t>
      </w:r>
      <w:r w:rsidRPr="00DC621B">
        <w:rPr>
          <w:noProof/>
        </w:rPr>
        <w:t xml:space="preserve">. </w:t>
      </w:r>
    </w:p>
    <w:p w:rsidR="009310F3" w:rsidRPr="00DC621B" w:rsidRDefault="009310F3" w:rsidP="796E43CC">
      <w:pPr>
        <w:ind w:right="-29"/>
        <w:rPr>
          <w:noProof/>
          <w:szCs w:val="24"/>
        </w:rPr>
      </w:pPr>
      <w:r w:rsidRPr="00DC621B">
        <w:rPr>
          <w:noProof/>
        </w:rPr>
        <w:t>The main results of the Evaluation can be summarised as follows:</w:t>
      </w:r>
    </w:p>
    <w:p w:rsidR="000B560D" w:rsidRPr="009D744A" w:rsidRDefault="000B560D">
      <w:pPr>
        <w:ind w:left="283" w:right="-29"/>
        <w:rPr>
          <w:rFonts w:eastAsia="Calibri"/>
          <w:b/>
          <w:i/>
          <w:iCs/>
          <w:noProof/>
        </w:rPr>
      </w:pPr>
      <w:bookmarkStart w:id="621" w:name="_Toc455064668"/>
      <w:bookmarkStart w:id="622" w:name="_Toc455070110"/>
      <w:bookmarkStart w:id="623" w:name="_Toc455074015"/>
      <w:bookmarkStart w:id="624" w:name="_Toc455074344"/>
      <w:bookmarkStart w:id="625" w:name="_Toc455082023"/>
      <w:bookmarkStart w:id="626" w:name="_Toc455082115"/>
      <w:bookmarkStart w:id="627" w:name="_Toc455082987"/>
      <w:bookmarkStart w:id="628" w:name="_Toc455134341"/>
      <w:bookmarkStart w:id="629" w:name="_Toc455148882"/>
      <w:bookmarkStart w:id="630" w:name="_Toc455156767"/>
      <w:bookmarkStart w:id="631" w:name="_Toc455156923"/>
      <w:bookmarkStart w:id="632" w:name="_Toc455160076"/>
      <w:bookmarkStart w:id="633" w:name="_Toc456356783"/>
      <w:bookmarkStart w:id="634" w:name="_Toc456366400"/>
      <w:bookmarkStart w:id="635" w:name="_Toc456366858"/>
      <w:bookmarkEnd w:id="19"/>
      <w:bookmarkEnd w:id="20"/>
      <w:bookmarkEnd w:id="21"/>
      <w:bookmarkEnd w:id="22"/>
      <w:bookmarkEnd w:id="23"/>
      <w:r w:rsidRPr="009D744A">
        <w:rPr>
          <w:rFonts w:eastAsia="Calibri"/>
          <w:b/>
          <w:i/>
          <w:iCs/>
          <w:noProof/>
        </w:rPr>
        <w:t>Effectiveness</w:t>
      </w:r>
    </w:p>
    <w:p w:rsidR="000B560D" w:rsidRPr="00DC621B" w:rsidRDefault="000B560D">
      <w:pPr>
        <w:ind w:left="283" w:right="-29"/>
        <w:rPr>
          <w:rFonts w:eastAsia="Calibri"/>
          <w:i/>
          <w:iCs/>
          <w:noProof/>
        </w:rPr>
      </w:pPr>
      <w:r w:rsidRPr="00DC621B">
        <w:rPr>
          <w:noProof/>
        </w:rPr>
        <w:t>The various public consultations conducted</w:t>
      </w:r>
      <w:r w:rsidR="00CF61A6" w:rsidRPr="00DC621B">
        <w:rPr>
          <w:noProof/>
        </w:rPr>
        <w:t>,</w:t>
      </w:r>
      <w:r w:rsidRPr="00DC621B">
        <w:rPr>
          <w:noProof/>
        </w:rPr>
        <w:t xml:space="preserve"> as well as the studies used</w:t>
      </w:r>
      <w:r w:rsidR="00CF61A6" w:rsidRPr="00DC621B">
        <w:rPr>
          <w:noProof/>
        </w:rPr>
        <w:t>,</w:t>
      </w:r>
      <w:r w:rsidRPr="00DC621B">
        <w:rPr>
          <w:noProof/>
        </w:rPr>
        <w:t xml:space="preserve"> provide a good picture of the effectiveness of the analysed legislation. Based on these elements it can be concluded that the reinforcement of unbundling requirements has had a positive effect on competition with new players entering the </w:t>
      </w:r>
      <w:r w:rsidR="00DD1ACD" w:rsidRPr="00DC621B">
        <w:rPr>
          <w:noProof/>
        </w:rPr>
        <w:t>gas</w:t>
      </w:r>
      <w:r w:rsidRPr="00DC621B">
        <w:rPr>
          <w:noProof/>
        </w:rPr>
        <w:t xml:space="preserve"> market. However</w:t>
      </w:r>
      <w:r w:rsidR="00196565">
        <w:rPr>
          <w:noProof/>
        </w:rPr>
        <w:t>,</w:t>
      </w:r>
      <w:r w:rsidRPr="00DC621B">
        <w:rPr>
          <w:noProof/>
        </w:rPr>
        <w:t xml:space="preserve"> in some Member States the incumbent still holds a dominant position. Market integration has improved with a clear increase in cross-border trade since 2009. Cooperation between TSOs and regulators </w:t>
      </w:r>
      <w:r w:rsidR="002077D6" w:rsidRPr="00DC621B">
        <w:rPr>
          <w:noProof/>
        </w:rPr>
        <w:t xml:space="preserve">in the cross-border context </w:t>
      </w:r>
      <w:r w:rsidRPr="00DC621B">
        <w:rPr>
          <w:noProof/>
        </w:rPr>
        <w:t xml:space="preserve">has improved, but </w:t>
      </w:r>
      <w:r w:rsidR="002077D6" w:rsidRPr="00DC621B">
        <w:rPr>
          <w:noProof/>
        </w:rPr>
        <w:t>might prove to be</w:t>
      </w:r>
      <w:r w:rsidRPr="00DC621B">
        <w:rPr>
          <w:noProof/>
        </w:rPr>
        <w:t xml:space="preserve"> insufficient</w:t>
      </w:r>
      <w:r w:rsidR="002077D6" w:rsidRPr="00DC621B">
        <w:rPr>
          <w:noProof/>
        </w:rPr>
        <w:t xml:space="preserve"> in view of future challenges towards the decarbonisation of the </w:t>
      </w:r>
      <w:r w:rsidR="00BF68ED" w:rsidRPr="00DC621B">
        <w:rPr>
          <w:noProof/>
        </w:rPr>
        <w:t xml:space="preserve">gas </w:t>
      </w:r>
      <w:r w:rsidR="002077D6" w:rsidRPr="00DC621B">
        <w:rPr>
          <w:noProof/>
        </w:rPr>
        <w:t xml:space="preserve">sector, notably in regards of </w:t>
      </w:r>
      <w:r w:rsidR="005E7D42" w:rsidRPr="00DC621B">
        <w:rPr>
          <w:noProof/>
        </w:rPr>
        <w:t xml:space="preserve">cross-border </w:t>
      </w:r>
      <w:r w:rsidR="002077D6" w:rsidRPr="00DC621B">
        <w:rPr>
          <w:noProof/>
        </w:rPr>
        <w:t>gas quality management and market mergers</w:t>
      </w:r>
      <w:r w:rsidRPr="00DC621B">
        <w:rPr>
          <w:noProof/>
        </w:rPr>
        <w:t xml:space="preserve">. On the retail side, competition still needs to significantly improve to ensure that the full benefits of market integration are passed on to EU consumers. Our </w:t>
      </w:r>
      <w:r w:rsidR="003F6848">
        <w:rPr>
          <w:noProof/>
        </w:rPr>
        <w:t>E</w:t>
      </w:r>
      <w:r w:rsidRPr="00DC621B">
        <w:rPr>
          <w:noProof/>
        </w:rPr>
        <w:t xml:space="preserve">valuation has identified price regulation as one of the major reasons for status quo or little progress in this area. </w:t>
      </w:r>
      <w:r w:rsidR="00B8336C" w:rsidRPr="00DC621B">
        <w:rPr>
          <w:noProof/>
        </w:rPr>
        <w:t xml:space="preserve">Moreover, consumers are still deprived from </w:t>
      </w:r>
      <w:r w:rsidR="00C213C9" w:rsidRPr="00DC621B">
        <w:rPr>
          <w:noProof/>
        </w:rPr>
        <w:t xml:space="preserve">the </w:t>
      </w:r>
      <w:r w:rsidR="00B8336C" w:rsidRPr="00DC621B">
        <w:rPr>
          <w:noProof/>
        </w:rPr>
        <w:t>necessary tools to get actively involved in the market</w:t>
      </w:r>
      <w:r w:rsidR="00C213C9" w:rsidRPr="00DC621B">
        <w:rPr>
          <w:noProof/>
        </w:rPr>
        <w:t>, as</w:t>
      </w:r>
      <w:r w:rsidR="00B8336C" w:rsidRPr="00DC621B">
        <w:rPr>
          <w:noProof/>
        </w:rPr>
        <w:t xml:space="preserve"> </w:t>
      </w:r>
      <w:r w:rsidR="00C213C9" w:rsidRPr="00DC621B">
        <w:rPr>
          <w:noProof/>
        </w:rPr>
        <w:t xml:space="preserve">gas </w:t>
      </w:r>
      <w:r w:rsidR="00B8336C" w:rsidRPr="00DC621B">
        <w:rPr>
          <w:noProof/>
        </w:rPr>
        <w:t>smart metering remains limited</w:t>
      </w:r>
      <w:r w:rsidR="00DF6457" w:rsidRPr="00DC621B">
        <w:rPr>
          <w:noProof/>
        </w:rPr>
        <w:t>, and still challenging to prove its economic feasibility,</w:t>
      </w:r>
      <w:r w:rsidR="00B8336C" w:rsidRPr="00DC621B">
        <w:rPr>
          <w:noProof/>
        </w:rPr>
        <w:t xml:space="preserve"> and the current measures ineffective </w:t>
      </w:r>
      <w:r w:rsidR="001C5813" w:rsidRPr="00DC621B">
        <w:rPr>
          <w:noProof/>
        </w:rPr>
        <w:t>when it comes to</w:t>
      </w:r>
      <w:r w:rsidR="00B8336C" w:rsidRPr="00DC621B">
        <w:rPr>
          <w:noProof/>
        </w:rPr>
        <w:t xml:space="preserve"> </w:t>
      </w:r>
      <w:r w:rsidR="00DF6457" w:rsidRPr="00DC621B">
        <w:rPr>
          <w:noProof/>
        </w:rPr>
        <w:t>non-discriminatory</w:t>
      </w:r>
      <w:r w:rsidR="00B8336C" w:rsidRPr="00DC621B">
        <w:rPr>
          <w:noProof/>
        </w:rPr>
        <w:t xml:space="preserve"> access to data </w:t>
      </w:r>
      <w:r w:rsidR="00C213C9" w:rsidRPr="00DC621B">
        <w:rPr>
          <w:noProof/>
        </w:rPr>
        <w:t>and to</w:t>
      </w:r>
      <w:r w:rsidR="007249C4" w:rsidRPr="00DC621B">
        <w:rPr>
          <w:noProof/>
        </w:rPr>
        <w:t xml:space="preserve"> sufficient information sharing</w:t>
      </w:r>
      <w:r w:rsidR="00B8336C" w:rsidRPr="00DC621B">
        <w:rPr>
          <w:noProof/>
        </w:rPr>
        <w:t xml:space="preserve">. </w:t>
      </w:r>
      <w:r w:rsidRPr="00DC621B">
        <w:rPr>
          <w:noProof/>
        </w:rPr>
        <w:t xml:space="preserve">Consumer protection provisions in the analysed legislation prove to </w:t>
      </w:r>
      <w:r w:rsidR="007D1B10" w:rsidRPr="00DC621B">
        <w:rPr>
          <w:noProof/>
        </w:rPr>
        <w:t xml:space="preserve">only </w:t>
      </w:r>
      <w:r w:rsidRPr="00DC621B">
        <w:rPr>
          <w:noProof/>
        </w:rPr>
        <w:t xml:space="preserve">be partially fit for purpose. Member States have defined the notion of vulnerable consumers and adopted measures to protect them. However, their protection is uneven between Member States. Energy poverty is growing across the EU. </w:t>
      </w:r>
    </w:p>
    <w:p w:rsidR="000B560D" w:rsidRPr="009D744A" w:rsidRDefault="000B560D" w:rsidP="0025236B">
      <w:pPr>
        <w:ind w:left="283" w:right="-29"/>
        <w:rPr>
          <w:rFonts w:eastAsia="Calibri"/>
          <w:b/>
          <w:i/>
          <w:iCs/>
          <w:noProof/>
        </w:rPr>
      </w:pPr>
      <w:r w:rsidRPr="009D744A">
        <w:rPr>
          <w:rFonts w:eastAsia="Calibri"/>
          <w:b/>
          <w:i/>
          <w:iCs/>
          <w:noProof/>
        </w:rPr>
        <w:t xml:space="preserve">Efficiency </w:t>
      </w:r>
    </w:p>
    <w:p w:rsidR="00EC6311" w:rsidRPr="00DC621B" w:rsidRDefault="000B560D">
      <w:pPr>
        <w:ind w:left="283" w:right="-28"/>
        <w:rPr>
          <w:noProof/>
        </w:rPr>
      </w:pPr>
      <w:r w:rsidRPr="00DC621B">
        <w:rPr>
          <w:noProof/>
        </w:rPr>
        <w:t>There is limited quantitative information available at the EU scale to underpin an assessment of administrative burden and, more generally, of efficiency of the legislation analysed. Overall, it can be concluded that the new rules of the Third Energy Package have generated additional administrative costs for undertakings and regulators. However these are not perceived as too heavy by stakeholders and appear to be counterbalanced by the benefits they generate notably through the increase in competition in the sector</w:t>
      </w:r>
      <w:r w:rsidR="008E1537" w:rsidRPr="00DC621B">
        <w:rPr>
          <w:noProof/>
        </w:rPr>
        <w:t xml:space="preserve"> and welfare gains mainly based on change to gas-to-gas competitive pricing</w:t>
      </w:r>
      <w:r w:rsidRPr="00DC621B">
        <w:rPr>
          <w:noProof/>
        </w:rPr>
        <w:t xml:space="preserve">. </w:t>
      </w:r>
    </w:p>
    <w:p w:rsidR="000B560D" w:rsidRPr="009D744A" w:rsidRDefault="000B560D">
      <w:pPr>
        <w:ind w:left="283" w:right="-28"/>
        <w:rPr>
          <w:rFonts w:eastAsia="Calibri"/>
          <w:b/>
          <w:i/>
          <w:iCs/>
          <w:noProof/>
        </w:rPr>
      </w:pPr>
      <w:r w:rsidRPr="009D744A">
        <w:rPr>
          <w:rFonts w:eastAsia="Calibri"/>
          <w:b/>
          <w:i/>
          <w:iCs/>
          <w:noProof/>
        </w:rPr>
        <w:t>Relevance</w:t>
      </w:r>
    </w:p>
    <w:p w:rsidR="000C27D4" w:rsidRPr="00DC621B" w:rsidRDefault="00DD1ACD" w:rsidP="796E43CC">
      <w:pPr>
        <w:ind w:left="283" w:right="-28"/>
        <w:rPr>
          <w:noProof/>
        </w:rPr>
      </w:pPr>
      <w:r w:rsidRPr="00DC621B">
        <w:rPr>
          <w:noProof/>
        </w:rPr>
        <w:t>Gas</w:t>
      </w:r>
      <w:r w:rsidR="000B560D" w:rsidRPr="00DC621B">
        <w:rPr>
          <w:noProof/>
        </w:rPr>
        <w:t xml:space="preserve"> markets have changed significantly in the last </w:t>
      </w:r>
      <w:r w:rsidRPr="00DC621B">
        <w:rPr>
          <w:noProof/>
        </w:rPr>
        <w:t>twelve</w:t>
      </w:r>
      <w:r w:rsidR="000B560D" w:rsidRPr="00DC621B">
        <w:rPr>
          <w:noProof/>
        </w:rPr>
        <w:t xml:space="preserve"> years. The market-oriented rules of the Third Energy Package are still highly pertinent to cope effectively with the challenges of the new market. Market-based energy prices that are able to take into account the rapid changes of demand </w:t>
      </w:r>
      <w:r w:rsidR="008E1537" w:rsidRPr="00DC621B">
        <w:rPr>
          <w:noProof/>
        </w:rPr>
        <w:t>enable more market based and hence more efficient allocation of resources as well as gas flow changes in case of scarcity, improving security of supply</w:t>
      </w:r>
      <w:r w:rsidR="000B560D" w:rsidRPr="00DC621B">
        <w:rPr>
          <w:noProof/>
        </w:rPr>
        <w:t xml:space="preserve">. </w:t>
      </w:r>
    </w:p>
    <w:p w:rsidR="00EC6311" w:rsidRPr="00DC621B" w:rsidRDefault="00E13002" w:rsidP="796E43CC">
      <w:pPr>
        <w:ind w:left="283" w:right="-28"/>
        <w:rPr>
          <w:noProof/>
        </w:rPr>
      </w:pPr>
      <w:r w:rsidRPr="00DC621B">
        <w:rPr>
          <w:noProof/>
        </w:rPr>
        <w:t>However</w:t>
      </w:r>
      <w:r w:rsidR="00EC393F">
        <w:rPr>
          <w:noProof/>
        </w:rPr>
        <w:t>,</w:t>
      </w:r>
      <w:r w:rsidRPr="00DC621B">
        <w:rPr>
          <w:noProof/>
        </w:rPr>
        <w:t xml:space="preserve"> the existing rules are not able to </w:t>
      </w:r>
      <w:r w:rsidR="004B1934" w:rsidRPr="00DC621B">
        <w:rPr>
          <w:noProof/>
        </w:rPr>
        <w:t>cater to</w:t>
      </w:r>
      <w:r w:rsidRPr="00DC621B">
        <w:rPr>
          <w:noProof/>
        </w:rPr>
        <w:t xml:space="preserve"> the decarbonisation</w:t>
      </w:r>
      <w:r w:rsidR="004B1934" w:rsidRPr="00DC621B">
        <w:rPr>
          <w:noProof/>
        </w:rPr>
        <w:t xml:space="preserve"> of the energy system</w:t>
      </w:r>
      <w:r w:rsidRPr="00DC621B">
        <w:rPr>
          <w:noProof/>
        </w:rPr>
        <w:t xml:space="preserve"> </w:t>
      </w:r>
      <w:r w:rsidR="004B1934" w:rsidRPr="00DC621B">
        <w:rPr>
          <w:noProof/>
        </w:rPr>
        <w:t xml:space="preserve">nor </w:t>
      </w:r>
      <w:r w:rsidR="00DC7747" w:rsidRPr="00DC621B">
        <w:rPr>
          <w:noProof/>
        </w:rPr>
        <w:t xml:space="preserve">to </w:t>
      </w:r>
      <w:r w:rsidR="004B1934" w:rsidRPr="00DC621B">
        <w:rPr>
          <w:noProof/>
        </w:rPr>
        <w:t xml:space="preserve">the emergence of new </w:t>
      </w:r>
      <w:r w:rsidR="00EC6311" w:rsidRPr="00DC621B">
        <w:rPr>
          <w:noProof/>
        </w:rPr>
        <w:t xml:space="preserve">promising </w:t>
      </w:r>
      <w:r w:rsidR="004B1934" w:rsidRPr="00DC621B">
        <w:rPr>
          <w:noProof/>
        </w:rPr>
        <w:t xml:space="preserve">energy carriers and market realities. </w:t>
      </w:r>
      <w:r w:rsidR="00DC7747" w:rsidRPr="00DC621B">
        <w:rPr>
          <w:noProof/>
        </w:rPr>
        <w:t xml:space="preserve">Different </w:t>
      </w:r>
      <w:r w:rsidR="000A5F3F" w:rsidRPr="00DC621B">
        <w:rPr>
          <w:noProof/>
        </w:rPr>
        <w:t xml:space="preserve">or additional </w:t>
      </w:r>
      <w:r w:rsidR="00DC7747" w:rsidRPr="00DC621B">
        <w:rPr>
          <w:noProof/>
        </w:rPr>
        <w:t xml:space="preserve">rules are needed to ensure in particular the emergence of markets </w:t>
      </w:r>
      <w:r w:rsidR="00EC6311" w:rsidRPr="00DC621B">
        <w:rPr>
          <w:noProof/>
        </w:rPr>
        <w:t xml:space="preserve">and infrastructure </w:t>
      </w:r>
      <w:r w:rsidR="00DC7747" w:rsidRPr="00DC621B">
        <w:rPr>
          <w:noProof/>
        </w:rPr>
        <w:t>for renewables and low carbon gases, notably hydrogen.</w:t>
      </w:r>
      <w:r w:rsidR="009A5C4D" w:rsidRPr="00DC621B">
        <w:rPr>
          <w:noProof/>
        </w:rPr>
        <w:t xml:space="preserve"> Given the expected similarities between the </w:t>
      </w:r>
      <w:r w:rsidR="000A5F3F" w:rsidRPr="00DC621B">
        <w:rPr>
          <w:noProof/>
        </w:rPr>
        <w:t>characteristics of the future hydrogen market and the existing gas market, its future regulatory framework can build upon the existing principles that regulate the current gas market.</w:t>
      </w:r>
      <w:r w:rsidR="00DC7747" w:rsidRPr="00DC621B">
        <w:rPr>
          <w:noProof/>
        </w:rPr>
        <w:t xml:space="preserve"> </w:t>
      </w:r>
      <w:r w:rsidR="000B560D" w:rsidRPr="00DC621B">
        <w:rPr>
          <w:noProof/>
        </w:rPr>
        <w:t xml:space="preserve">Regarding the institutional framework, it appears that the challenges the EU </w:t>
      </w:r>
      <w:r w:rsidR="00DD1ACD" w:rsidRPr="00DC621B">
        <w:rPr>
          <w:noProof/>
        </w:rPr>
        <w:t>energy</w:t>
      </w:r>
      <w:r w:rsidR="000B560D" w:rsidRPr="00DC621B">
        <w:rPr>
          <w:noProof/>
        </w:rPr>
        <w:t xml:space="preserve"> system will be facing in the medium to long term cannot be addressed and optimally managed by individual TSOs</w:t>
      </w:r>
      <w:r w:rsidR="008E1537" w:rsidRPr="00DC621B">
        <w:rPr>
          <w:noProof/>
        </w:rPr>
        <w:t xml:space="preserve"> focusing on a single energy vector</w:t>
      </w:r>
      <w:r w:rsidR="000B560D" w:rsidRPr="00DC621B">
        <w:rPr>
          <w:noProof/>
        </w:rPr>
        <w:t xml:space="preserve">, rendering the current legal framework concerning system </w:t>
      </w:r>
      <w:r w:rsidR="008E1537" w:rsidRPr="00DC621B">
        <w:rPr>
          <w:noProof/>
        </w:rPr>
        <w:t>planning</w:t>
      </w:r>
      <w:r w:rsidR="000B560D" w:rsidRPr="00DC621B">
        <w:rPr>
          <w:noProof/>
        </w:rPr>
        <w:t xml:space="preserve"> unsuitable</w:t>
      </w:r>
      <w:r w:rsidR="00DD1ACD" w:rsidRPr="00DC621B">
        <w:rPr>
          <w:noProof/>
        </w:rPr>
        <w:t>.</w:t>
      </w:r>
      <w:r w:rsidR="000B560D" w:rsidRPr="00DC621B">
        <w:rPr>
          <w:noProof/>
        </w:rPr>
        <w:t xml:space="preserve"> </w:t>
      </w:r>
    </w:p>
    <w:p w:rsidR="000B560D" w:rsidRPr="00DC621B" w:rsidRDefault="000B560D" w:rsidP="796E43CC">
      <w:pPr>
        <w:ind w:left="283" w:right="-28"/>
        <w:rPr>
          <w:noProof/>
        </w:rPr>
      </w:pPr>
      <w:r w:rsidRPr="00DC621B">
        <w:rPr>
          <w:noProof/>
        </w:rPr>
        <w:t>In the area of retail markets and consumer empowerment, the objective of enabling consumers to actively participate in</w:t>
      </w:r>
      <w:r w:rsidR="00B62D2D" w:rsidRPr="00DC621B">
        <w:rPr>
          <w:noProof/>
        </w:rPr>
        <w:t xml:space="preserve"> the market will remain the key</w:t>
      </w:r>
      <w:r w:rsidRPr="00DC621B">
        <w:rPr>
          <w:noProof/>
        </w:rPr>
        <w:t xml:space="preserve"> multi-dimensional challenge. Firstly, further progress is needed in the area of billing information, comparison tools and consumers</w:t>
      </w:r>
      <w:r w:rsidR="001163D4">
        <w:rPr>
          <w:noProof/>
        </w:rPr>
        <w:t>’</w:t>
      </w:r>
      <w:r w:rsidRPr="00DC621B">
        <w:rPr>
          <w:noProof/>
        </w:rPr>
        <w:t xml:space="preserve"> ability to easily switch suppliers or easily and safely access their consumption data or make it available to third parties of their choice. In consequence</w:t>
      </w:r>
      <w:r w:rsidR="698FA489" w:rsidRPr="00DC621B">
        <w:rPr>
          <w:noProof/>
        </w:rPr>
        <w:t>,</w:t>
      </w:r>
      <w:r w:rsidRPr="00DC621B">
        <w:rPr>
          <w:noProof/>
        </w:rPr>
        <w:t xml:space="preserve"> smart metering deployment – a key development facilitating consumer empowerment in the above-mentioned areas – remains a very relevant policy area, but nevertheless its cost-effectiveness and overall feasibility </w:t>
      </w:r>
      <w:r w:rsidR="39FD98C6" w:rsidRPr="00DC621B">
        <w:rPr>
          <w:noProof/>
        </w:rPr>
        <w:t>continues to be</w:t>
      </w:r>
      <w:r w:rsidRPr="00DC621B">
        <w:rPr>
          <w:noProof/>
        </w:rPr>
        <w:t xml:space="preserve"> more challenging than for electricity. Also, the functions of DSOs need further definition and enhanced regulatory oversight in order to deploy</w:t>
      </w:r>
      <w:r w:rsidR="005C21C3">
        <w:rPr>
          <w:noProof/>
        </w:rPr>
        <w:t>,</w:t>
      </w:r>
      <w:r w:rsidRPr="00DC621B">
        <w:rPr>
          <w:noProof/>
        </w:rPr>
        <w:t xml:space="preserve"> </w:t>
      </w:r>
      <w:r w:rsidRPr="009D744A">
        <w:rPr>
          <w:i/>
          <w:noProof/>
        </w:rPr>
        <w:t>inter alia</w:t>
      </w:r>
      <w:r w:rsidR="005C21C3">
        <w:rPr>
          <w:i/>
          <w:noProof/>
        </w:rPr>
        <w:t>,</w:t>
      </w:r>
      <w:r w:rsidRPr="00DC621B">
        <w:rPr>
          <w:noProof/>
        </w:rPr>
        <w:t xml:space="preserve"> non-discriminatory management of consumer data. Progress towards lifting regulated prices blocking competition and consumers</w:t>
      </w:r>
      <w:r w:rsidR="001163D4">
        <w:rPr>
          <w:noProof/>
        </w:rPr>
        <w:t>’</w:t>
      </w:r>
      <w:r w:rsidRPr="00DC621B">
        <w:rPr>
          <w:noProof/>
        </w:rPr>
        <w:t xml:space="preserve"> choice should also continue. Last, but not least, consumer vulnerability will remain relevant as some drivers of vulnerability are permanent. </w:t>
      </w:r>
    </w:p>
    <w:p w:rsidR="000B560D" w:rsidRPr="009D744A" w:rsidRDefault="000B560D" w:rsidP="009D744A">
      <w:pPr>
        <w:keepNext/>
        <w:ind w:left="284" w:right="-28"/>
        <w:rPr>
          <w:rFonts w:eastAsia="Calibri"/>
          <w:b/>
          <w:i/>
          <w:iCs/>
          <w:noProof/>
        </w:rPr>
      </w:pPr>
      <w:r w:rsidRPr="009D744A">
        <w:rPr>
          <w:rFonts w:eastAsia="Calibri"/>
          <w:b/>
          <w:i/>
          <w:iCs/>
          <w:noProof/>
        </w:rPr>
        <w:t>Coherence</w:t>
      </w:r>
    </w:p>
    <w:p w:rsidR="00B62D2D" w:rsidRPr="00DC621B" w:rsidRDefault="000B560D" w:rsidP="00B62D2D">
      <w:pPr>
        <w:ind w:left="283" w:right="-29"/>
        <w:rPr>
          <w:noProof/>
        </w:rPr>
      </w:pPr>
      <w:r w:rsidRPr="00DC621B">
        <w:rPr>
          <w:noProof/>
        </w:rPr>
        <w:t>General speaking, the Third Energy Package provisions are working together well. However, the Commission has spotted several provisions which would need to be either deleted because obsolete or never used or modifie</w:t>
      </w:r>
      <w:r w:rsidR="00C9656A" w:rsidRPr="00DC621B">
        <w:rPr>
          <w:noProof/>
        </w:rPr>
        <w:t xml:space="preserve">d </w:t>
      </w:r>
      <w:r w:rsidR="00AB5A4E" w:rsidRPr="00DC621B">
        <w:rPr>
          <w:noProof/>
        </w:rPr>
        <w:t xml:space="preserve">because unclear or confusing. </w:t>
      </w:r>
      <w:r w:rsidR="00B62D2D" w:rsidRPr="00DC621B">
        <w:rPr>
          <w:noProof/>
        </w:rPr>
        <w:t xml:space="preserve">Intervention </w:t>
      </w:r>
      <w:r w:rsidR="00403EAF" w:rsidRPr="00DC621B">
        <w:rPr>
          <w:noProof/>
        </w:rPr>
        <w:t>will be</w:t>
      </w:r>
      <w:r w:rsidR="00B62D2D" w:rsidRPr="00DC621B">
        <w:rPr>
          <w:noProof/>
        </w:rPr>
        <w:t xml:space="preserve"> </w:t>
      </w:r>
      <w:r w:rsidR="000539DA" w:rsidRPr="00DC621B">
        <w:rPr>
          <w:noProof/>
        </w:rPr>
        <w:t xml:space="preserve">for instance </w:t>
      </w:r>
      <w:r w:rsidR="00B62D2D" w:rsidRPr="00DC621B">
        <w:rPr>
          <w:noProof/>
        </w:rPr>
        <w:t xml:space="preserve">required to harmonise the </w:t>
      </w:r>
      <w:r w:rsidR="000539DA" w:rsidRPr="00DC621B">
        <w:rPr>
          <w:noProof/>
        </w:rPr>
        <w:t xml:space="preserve">different </w:t>
      </w:r>
      <w:r w:rsidR="00B62D2D" w:rsidRPr="00DC621B">
        <w:rPr>
          <w:noProof/>
        </w:rPr>
        <w:t>provisions concerning energy security</w:t>
      </w:r>
      <w:r w:rsidR="000539DA" w:rsidRPr="00DC621B">
        <w:rPr>
          <w:noProof/>
        </w:rPr>
        <w:t xml:space="preserve"> in the gas sector</w:t>
      </w:r>
      <w:r w:rsidR="00B62D2D" w:rsidRPr="00DC621B">
        <w:rPr>
          <w:noProof/>
        </w:rPr>
        <w:t>.</w:t>
      </w:r>
    </w:p>
    <w:p w:rsidR="00B62D2D" w:rsidRPr="00DC621B" w:rsidRDefault="005E2318">
      <w:pPr>
        <w:ind w:left="283" w:right="-29"/>
        <w:rPr>
          <w:noProof/>
        </w:rPr>
      </w:pPr>
      <w:r w:rsidRPr="00DC621B">
        <w:rPr>
          <w:noProof/>
        </w:rPr>
        <w:t>Amendments</w:t>
      </w:r>
      <w:r w:rsidR="00AB5A4E" w:rsidRPr="00DC621B">
        <w:rPr>
          <w:noProof/>
        </w:rPr>
        <w:t xml:space="preserve"> will </w:t>
      </w:r>
      <w:r w:rsidRPr="00DC621B">
        <w:rPr>
          <w:noProof/>
        </w:rPr>
        <w:t>also prove</w:t>
      </w:r>
      <w:r w:rsidR="00AB5A4E" w:rsidRPr="00DC621B">
        <w:rPr>
          <w:noProof/>
        </w:rPr>
        <w:t xml:space="preserve"> necessary in view of a further alignment </w:t>
      </w:r>
      <w:r w:rsidR="00822F20" w:rsidRPr="00DC621B">
        <w:rPr>
          <w:noProof/>
        </w:rPr>
        <w:t>and harmonisation of</w:t>
      </w:r>
      <w:r w:rsidRPr="00DC621B">
        <w:rPr>
          <w:noProof/>
        </w:rPr>
        <w:t xml:space="preserve"> Gas rules </w:t>
      </w:r>
      <w:r w:rsidR="00AB5A4E" w:rsidRPr="00DC621B">
        <w:rPr>
          <w:noProof/>
        </w:rPr>
        <w:t xml:space="preserve">with the regulatory framework </w:t>
      </w:r>
      <w:r w:rsidR="00B72448" w:rsidRPr="00DC621B">
        <w:rPr>
          <w:noProof/>
        </w:rPr>
        <w:t xml:space="preserve">developed in the </w:t>
      </w:r>
      <w:r w:rsidR="002744E7" w:rsidRPr="00DC621B">
        <w:rPr>
          <w:noProof/>
        </w:rPr>
        <w:t>C</w:t>
      </w:r>
      <w:r w:rsidR="00B72448" w:rsidRPr="00DC621B">
        <w:rPr>
          <w:noProof/>
        </w:rPr>
        <w:t xml:space="preserve">lean Energy </w:t>
      </w:r>
      <w:r w:rsidR="002744E7" w:rsidRPr="00DC621B">
        <w:rPr>
          <w:noProof/>
        </w:rPr>
        <w:t>P</w:t>
      </w:r>
      <w:r w:rsidR="00B72448" w:rsidRPr="00DC621B">
        <w:rPr>
          <w:noProof/>
        </w:rPr>
        <w:t>ackage for</w:t>
      </w:r>
      <w:r w:rsidR="00AB5A4E" w:rsidRPr="00DC621B">
        <w:rPr>
          <w:noProof/>
        </w:rPr>
        <w:t xml:space="preserve"> the Electricity sector.</w:t>
      </w:r>
    </w:p>
    <w:p w:rsidR="000B560D" w:rsidRPr="009D744A" w:rsidRDefault="000B560D">
      <w:pPr>
        <w:ind w:left="283" w:right="-29"/>
        <w:rPr>
          <w:rFonts w:eastAsia="Calibri"/>
          <w:b/>
          <w:i/>
          <w:iCs/>
          <w:noProof/>
        </w:rPr>
      </w:pPr>
      <w:r w:rsidRPr="009D744A">
        <w:rPr>
          <w:rFonts w:eastAsia="Calibri"/>
          <w:b/>
          <w:i/>
          <w:iCs/>
          <w:noProof/>
        </w:rPr>
        <w:t>EU-added value</w:t>
      </w:r>
    </w:p>
    <w:p w:rsidR="000B560D" w:rsidRPr="00DC621B" w:rsidRDefault="000B560D">
      <w:pPr>
        <w:ind w:left="283" w:right="-29"/>
        <w:rPr>
          <w:rFonts w:eastAsia="Calibri"/>
          <w:noProof/>
        </w:rPr>
      </w:pPr>
      <w:r w:rsidRPr="00DC621B">
        <w:rPr>
          <w:noProof/>
        </w:rPr>
        <w:t xml:space="preserve">Overall, the needs and rationale for EU level action through the </w:t>
      </w:r>
      <w:r w:rsidR="00447BFC" w:rsidRPr="00DC621B">
        <w:rPr>
          <w:noProof/>
        </w:rPr>
        <w:t>gas</w:t>
      </w:r>
      <w:r w:rsidRPr="00DC621B">
        <w:rPr>
          <w:noProof/>
        </w:rPr>
        <w:t xml:space="preserve"> legislation remain valid. The transnational nature of the subjects covered such as cross-border cooperation and interconnectors justify EU level action as an effective way to achieve the objectives of the Third Energy Package. These are topics which legally and practically could only be regulated at EU level. Similarly cooperation between neighbouring TSOs and NRAs </w:t>
      </w:r>
      <w:r w:rsidR="00024D10" w:rsidRPr="00DC621B">
        <w:rPr>
          <w:noProof/>
        </w:rPr>
        <w:t xml:space="preserve">are </w:t>
      </w:r>
      <w:r w:rsidRPr="00DC621B">
        <w:rPr>
          <w:noProof/>
        </w:rPr>
        <w:t>needed to avoid fragmented uncoordinated decisions. ACER and ENTSO</w:t>
      </w:r>
      <w:r w:rsidR="00447BFC" w:rsidRPr="00DC621B">
        <w:rPr>
          <w:noProof/>
        </w:rPr>
        <w:t>G</w:t>
      </w:r>
      <w:r w:rsidRPr="00DC621B">
        <w:rPr>
          <w:noProof/>
        </w:rPr>
        <w:t xml:space="preserve"> have become key partners in discussions on regulatory issues and fulfil a useful task in the coordination of NRAs and TSOs, respectively. EU-wide framework for introducing competition on retail markets and enabling consumers</w:t>
      </w:r>
      <w:r w:rsidR="001163D4">
        <w:rPr>
          <w:noProof/>
        </w:rPr>
        <w:t>’</w:t>
      </w:r>
      <w:r w:rsidRPr="00DC621B">
        <w:rPr>
          <w:noProof/>
        </w:rPr>
        <w:t xml:space="preserve"> choice is beneficial for providing level playing field for energy </w:t>
      </w:r>
      <w:r w:rsidR="00447BFC" w:rsidRPr="00DC621B">
        <w:rPr>
          <w:noProof/>
        </w:rPr>
        <w:t>producers</w:t>
      </w:r>
      <w:r w:rsidRPr="00DC621B">
        <w:rPr>
          <w:noProof/>
        </w:rPr>
        <w:t xml:space="preserve"> and suppliers as well as to benefit the consumers. It also facilitates providing cross-border services. </w:t>
      </w:r>
    </w:p>
    <w:p w:rsidR="009310F3" w:rsidRPr="00DC621B" w:rsidRDefault="00584AFB" w:rsidP="00C134D1">
      <w:pPr>
        <w:ind w:left="283" w:right="-29"/>
        <w:rPr>
          <w:noProof/>
        </w:rPr>
      </w:pPr>
      <w:r w:rsidRPr="00DC621B">
        <w:rPr>
          <w:noProof/>
        </w:rPr>
        <w:t>The current regulatory framework for gas does not anticipate the deployment of hydrogen as an independent energy carrier via dedicated hydrogen networks</w:t>
      </w:r>
      <w:r w:rsidR="000E2F7A" w:rsidRPr="00DC621B">
        <w:rPr>
          <w:noProof/>
        </w:rPr>
        <w:t>.</w:t>
      </w:r>
      <w:r w:rsidRPr="00DC621B">
        <w:rPr>
          <w:noProof/>
        </w:rPr>
        <w:t xml:space="preserve"> There are no rules on the operation of new hydrogen networks or the repurposing of natural gas networks for the future transport of hydrogen. Apart from a potential use of the regulated natural gas network for hydrogen transport, similarities between the expected hydrogen market and the existing gas market (large number of producers and consumers; reliance on networks for transport and market access, consumption and production in different Member States), provides a useful indication for the types of competition concerns and possible market failures that may aris</w:t>
      </w:r>
      <w:r w:rsidR="000E2F7A" w:rsidRPr="00DC621B">
        <w:rPr>
          <w:noProof/>
        </w:rPr>
        <w:t xml:space="preserve">e in a cross border hydrogen network, and that justify EU regulation. </w:t>
      </w:r>
    </w:p>
    <w:p w:rsidR="009310F3" w:rsidRPr="00DC621B" w:rsidRDefault="009310F3" w:rsidP="00EB28D3">
      <w:pPr>
        <w:pStyle w:val="FootnoteText"/>
        <w:rPr>
          <w:noProof/>
        </w:rPr>
      </w:pPr>
      <w:r w:rsidRPr="00DC621B">
        <w:rPr>
          <w:noProof/>
        </w:rPr>
        <w:br w:type="page"/>
      </w:r>
      <w:r w:rsidR="00EB28D3" w:rsidRPr="00EB28D3">
        <w:t>8.</w:t>
      </w:r>
      <w:r w:rsidR="00EB28D3" w:rsidRPr="00EB28D3">
        <w:tab/>
      </w:r>
    </w:p>
    <w:p w:rsidR="009310F3" w:rsidRPr="00DC621B" w:rsidRDefault="009310F3" w:rsidP="002744E7">
      <w:pPr>
        <w:pStyle w:val="Heading1"/>
        <w:numPr>
          <w:ilvl w:val="0"/>
          <w:numId w:val="0"/>
        </w:numPr>
        <w:ind w:left="142"/>
        <w:rPr>
          <w:noProof/>
        </w:rPr>
      </w:pPr>
      <w:bookmarkStart w:id="636" w:name="_Toc456772845"/>
      <w:bookmarkStart w:id="637" w:name="_Toc76743555"/>
      <w:bookmarkStart w:id="638" w:name="_Toc77590815"/>
      <w:bookmarkStart w:id="639" w:name="_Toc77600973"/>
      <w:bookmarkStart w:id="640" w:name="_Toc77682232"/>
      <w:bookmarkStart w:id="641" w:name="_Toc89688277"/>
      <w:bookmarkStart w:id="642" w:name="_Toc89882340"/>
      <w:r w:rsidRPr="00DC621B">
        <w:rPr>
          <w:i/>
          <w:iCs/>
          <w:noProof/>
        </w:rPr>
        <w:t>Annex 1</w:t>
      </w:r>
      <w:r w:rsidRPr="00DC621B">
        <w:rPr>
          <w:i/>
          <w:noProof/>
        </w:rPr>
        <w:t xml:space="preserve"> </w:t>
      </w:r>
      <w:r w:rsidR="004C0DCF" w:rsidRPr="00DC621B">
        <w:rPr>
          <w:noProof/>
        </w:rPr>
        <w:t>– Procedural i</w:t>
      </w:r>
      <w:r w:rsidRPr="00DC621B">
        <w:rPr>
          <w:noProof/>
        </w:rPr>
        <w:t>nformation</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1A0801" w:rsidRDefault="001A0801" w:rsidP="001A0801">
      <w:pPr>
        <w:rPr>
          <w:rFonts w:eastAsia="Calibri"/>
          <w:noProof/>
        </w:rPr>
      </w:pPr>
      <w:r w:rsidRPr="00DC621B">
        <w:rPr>
          <w:rFonts w:eastAsia="Calibri"/>
          <w:noProof/>
        </w:rPr>
        <w:t xml:space="preserve">For a detailed description of the procedural information, please refer to Annex 1 of the Impact Assessment. </w:t>
      </w:r>
    </w:p>
    <w:p w:rsidR="00706E41" w:rsidRPr="00DC621B" w:rsidRDefault="00706E41" w:rsidP="001A0801">
      <w:pPr>
        <w:rPr>
          <w:rFonts w:eastAsia="Calibri"/>
          <w:noProof/>
        </w:rPr>
      </w:pPr>
    </w:p>
    <w:p w:rsidR="009310F3" w:rsidRPr="00DC621B" w:rsidRDefault="009310F3" w:rsidP="002744E7">
      <w:pPr>
        <w:pStyle w:val="Heading1"/>
        <w:numPr>
          <w:ilvl w:val="0"/>
          <w:numId w:val="0"/>
        </w:numPr>
        <w:ind w:left="142"/>
        <w:rPr>
          <w:noProof/>
        </w:rPr>
      </w:pPr>
      <w:bookmarkStart w:id="643" w:name="_Toc455064669"/>
      <w:bookmarkStart w:id="644" w:name="_Toc455070111"/>
      <w:bookmarkStart w:id="645" w:name="_Toc455074016"/>
      <w:bookmarkStart w:id="646" w:name="_Toc455074345"/>
      <w:bookmarkStart w:id="647" w:name="_Toc455082024"/>
      <w:bookmarkStart w:id="648" w:name="_Toc455082116"/>
      <w:bookmarkStart w:id="649" w:name="_Toc455082988"/>
      <w:bookmarkStart w:id="650" w:name="_Toc455134342"/>
      <w:bookmarkStart w:id="651" w:name="_Toc455148883"/>
      <w:bookmarkStart w:id="652" w:name="_Toc455156768"/>
      <w:bookmarkStart w:id="653" w:name="_Toc455156924"/>
      <w:bookmarkStart w:id="654" w:name="_Toc455160077"/>
      <w:bookmarkStart w:id="655" w:name="_Toc456356784"/>
      <w:bookmarkStart w:id="656" w:name="_Toc456366401"/>
      <w:bookmarkStart w:id="657" w:name="_Toc456366859"/>
      <w:bookmarkStart w:id="658" w:name="_Toc456772846"/>
      <w:bookmarkStart w:id="659" w:name="_Toc76743556"/>
      <w:bookmarkStart w:id="660" w:name="_Toc77590816"/>
      <w:bookmarkStart w:id="661" w:name="_Toc77600974"/>
      <w:bookmarkStart w:id="662" w:name="_Toc77682233"/>
      <w:bookmarkStart w:id="663" w:name="_Toc89688278"/>
      <w:bookmarkStart w:id="664" w:name="_Toc89882341"/>
      <w:r w:rsidRPr="00DC621B">
        <w:rPr>
          <w:i/>
          <w:iCs/>
          <w:noProof/>
        </w:rPr>
        <w:t>Annex 2</w:t>
      </w:r>
      <w:r w:rsidR="002744E7" w:rsidRPr="00DC621B">
        <w:rPr>
          <w:noProof/>
        </w:rPr>
        <w:t xml:space="preserve"> </w:t>
      </w:r>
      <w:r w:rsidR="002744E7" w:rsidRPr="00DC621B">
        <w:rPr>
          <w:i/>
          <w:iCs/>
          <w:noProof/>
        </w:rPr>
        <w:t>–</w:t>
      </w:r>
      <w:r w:rsidRPr="00DC621B">
        <w:rPr>
          <w:i/>
          <w:noProof/>
        </w:rPr>
        <w:t xml:space="preserve"> </w:t>
      </w:r>
      <w:r w:rsidRPr="00DC621B">
        <w:rPr>
          <w:noProof/>
        </w:rPr>
        <w:t>Stakeho</w:t>
      </w:r>
      <w:r w:rsidR="00740B8D" w:rsidRPr="00DC621B">
        <w:rPr>
          <w:noProof/>
        </w:rPr>
        <w:t>lder c</w:t>
      </w:r>
      <w:r w:rsidRPr="00DC621B">
        <w:rPr>
          <w:noProof/>
        </w:rPr>
        <w:t>onsultation</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9310F3" w:rsidRPr="00DC621B" w:rsidRDefault="009310F3">
      <w:pPr>
        <w:rPr>
          <w:rFonts w:eastAsia="Calibri"/>
          <w:noProof/>
        </w:rPr>
      </w:pPr>
      <w:r w:rsidRPr="00DC621B">
        <w:rPr>
          <w:rFonts w:eastAsia="Calibri"/>
          <w:noProof/>
        </w:rPr>
        <w:t>For a detailed description and summary of the stakeholder consultations used for this</w:t>
      </w:r>
      <w:r w:rsidR="00E57001">
        <w:rPr>
          <w:rFonts w:eastAsia="Calibri"/>
          <w:noProof/>
        </w:rPr>
        <w:t xml:space="preserve"> </w:t>
      </w:r>
      <w:r w:rsidR="003F6848">
        <w:rPr>
          <w:rFonts w:eastAsia="Calibri"/>
          <w:noProof/>
        </w:rPr>
        <w:t>E</w:t>
      </w:r>
      <w:r w:rsidRPr="00DC621B">
        <w:rPr>
          <w:rFonts w:eastAsia="Calibri"/>
          <w:noProof/>
        </w:rPr>
        <w:t xml:space="preserve">valuation, please refer to Annex 2 of the Impact Assessment. </w:t>
      </w:r>
    </w:p>
    <w:p w:rsidR="00F33530" w:rsidRPr="00DC621B" w:rsidRDefault="00F33530">
      <w:pPr>
        <w:rPr>
          <w:rFonts w:eastAsia="Calibri"/>
          <w:noProof/>
        </w:rPr>
      </w:pPr>
    </w:p>
    <w:p w:rsidR="007D42BD" w:rsidRPr="00DC621B" w:rsidRDefault="007D42BD">
      <w:pPr>
        <w:spacing w:after="200" w:line="276" w:lineRule="auto"/>
        <w:jc w:val="left"/>
        <w:rPr>
          <w:b/>
          <w:i/>
          <w:smallCaps/>
          <w:noProof/>
        </w:rPr>
      </w:pPr>
      <w:r w:rsidRPr="00DC621B">
        <w:rPr>
          <w:i/>
          <w:noProof/>
        </w:rPr>
        <w:br w:type="page"/>
      </w:r>
    </w:p>
    <w:p w:rsidR="00F33530" w:rsidRPr="00DC621B" w:rsidRDefault="00F33530" w:rsidP="002744E7">
      <w:pPr>
        <w:pStyle w:val="Heading1"/>
        <w:numPr>
          <w:ilvl w:val="0"/>
          <w:numId w:val="0"/>
        </w:numPr>
        <w:ind w:left="142"/>
        <w:rPr>
          <w:iCs/>
          <w:noProof/>
        </w:rPr>
      </w:pPr>
      <w:bookmarkStart w:id="665" w:name="_Toc76743557"/>
      <w:bookmarkStart w:id="666" w:name="_Toc77590817"/>
      <w:bookmarkStart w:id="667" w:name="_Toc77600975"/>
      <w:bookmarkStart w:id="668" w:name="_Toc77682234"/>
      <w:bookmarkStart w:id="669" w:name="_Toc89688279"/>
      <w:bookmarkStart w:id="670" w:name="_Toc89882342"/>
      <w:r w:rsidRPr="00DC621B">
        <w:rPr>
          <w:i/>
          <w:iCs/>
          <w:noProof/>
        </w:rPr>
        <w:t xml:space="preserve">Annex </w:t>
      </w:r>
      <w:r w:rsidR="007156CC" w:rsidRPr="00DC621B">
        <w:rPr>
          <w:i/>
          <w:iCs/>
          <w:noProof/>
        </w:rPr>
        <w:t>3</w:t>
      </w:r>
      <w:r w:rsidRPr="00DC621B">
        <w:rPr>
          <w:i/>
          <w:iCs/>
          <w:noProof/>
        </w:rPr>
        <w:t xml:space="preserve"> – </w:t>
      </w:r>
      <w:bookmarkEnd w:id="665"/>
      <w:bookmarkEnd w:id="666"/>
      <w:bookmarkEnd w:id="667"/>
      <w:bookmarkEnd w:id="668"/>
      <w:r w:rsidR="00F32665" w:rsidRPr="00DC621B">
        <w:rPr>
          <w:noProof/>
        </w:rPr>
        <w:t>Table of Synergies between Evaluation and Impact Assessment as well as relevant connected legal acts which require revision</w:t>
      </w:r>
      <w:bookmarkEnd w:id="669"/>
      <w:bookmarkEnd w:id="670"/>
    </w:p>
    <w:tbl>
      <w:tblPr>
        <w:tblStyle w:val="TableGrid"/>
        <w:tblW w:w="5000" w:type="pct"/>
        <w:tblLook w:val="04A0" w:firstRow="1" w:lastRow="0" w:firstColumn="1" w:lastColumn="0" w:noHBand="0" w:noVBand="1"/>
      </w:tblPr>
      <w:tblGrid>
        <w:gridCol w:w="1683"/>
        <w:gridCol w:w="1901"/>
        <w:gridCol w:w="1902"/>
        <w:gridCol w:w="1902"/>
        <w:gridCol w:w="1900"/>
      </w:tblGrid>
      <w:tr w:rsidR="00F32665" w:rsidRPr="00DC621B" w:rsidTr="00D646E3">
        <w:trPr>
          <w:tblHeader/>
        </w:trPr>
        <w:tc>
          <w:tcPr>
            <w:tcW w:w="865" w:type="pct"/>
            <w:shd w:val="clear" w:color="auto" w:fill="C6D9F1" w:themeFill="text2" w:themeFillTint="33"/>
          </w:tcPr>
          <w:p w:rsidR="00F32665" w:rsidRPr="00DC621B" w:rsidRDefault="00F32665" w:rsidP="009D744A">
            <w:pPr>
              <w:jc w:val="center"/>
              <w:rPr>
                <w:rFonts w:eastAsia="Calibri"/>
                <w:b/>
                <w:bCs/>
                <w:noProof/>
              </w:rPr>
            </w:pPr>
            <w:r w:rsidRPr="00DC621B">
              <w:rPr>
                <w:rFonts w:eastAsia="Calibri"/>
                <w:b/>
                <w:bCs/>
                <w:noProof/>
              </w:rPr>
              <w:t>Areas</w:t>
            </w:r>
          </w:p>
        </w:tc>
        <w:tc>
          <w:tcPr>
            <w:tcW w:w="1034" w:type="pct"/>
            <w:shd w:val="clear" w:color="auto" w:fill="C6D9F1" w:themeFill="text2" w:themeFillTint="33"/>
          </w:tcPr>
          <w:p w:rsidR="00F32665" w:rsidRPr="00DC621B" w:rsidRDefault="00F32665" w:rsidP="009D744A">
            <w:pPr>
              <w:jc w:val="center"/>
              <w:rPr>
                <w:rFonts w:eastAsia="Calibri"/>
                <w:b/>
                <w:bCs/>
                <w:noProof/>
              </w:rPr>
            </w:pPr>
            <w:r w:rsidRPr="00DC621B">
              <w:rPr>
                <w:rFonts w:eastAsia="Calibri"/>
                <w:b/>
                <w:bCs/>
                <w:noProof/>
              </w:rPr>
              <w:t>Articles in existing acts</w:t>
            </w:r>
          </w:p>
        </w:tc>
        <w:tc>
          <w:tcPr>
            <w:tcW w:w="1034" w:type="pct"/>
            <w:shd w:val="clear" w:color="auto" w:fill="C6D9F1" w:themeFill="text2" w:themeFillTint="33"/>
          </w:tcPr>
          <w:p w:rsidR="00F32665" w:rsidRPr="00DC621B" w:rsidRDefault="00F32665" w:rsidP="009D744A">
            <w:pPr>
              <w:jc w:val="center"/>
              <w:rPr>
                <w:b/>
                <w:noProof/>
              </w:rPr>
            </w:pPr>
            <w:r w:rsidRPr="00DC621B">
              <w:rPr>
                <w:b/>
                <w:noProof/>
              </w:rPr>
              <w:t xml:space="preserve">Where covered in the </w:t>
            </w:r>
            <w:r w:rsidR="00185F32">
              <w:rPr>
                <w:b/>
                <w:noProof/>
              </w:rPr>
              <w:t>E</w:t>
            </w:r>
            <w:r w:rsidRPr="00DC621B">
              <w:rPr>
                <w:b/>
                <w:noProof/>
              </w:rPr>
              <w:t>valuation</w:t>
            </w:r>
          </w:p>
        </w:tc>
        <w:tc>
          <w:tcPr>
            <w:tcW w:w="1034" w:type="pct"/>
            <w:shd w:val="clear" w:color="auto" w:fill="C6D9F1" w:themeFill="text2" w:themeFillTint="33"/>
          </w:tcPr>
          <w:p w:rsidR="00F32665" w:rsidRPr="00DC621B" w:rsidRDefault="00F32665" w:rsidP="009D744A">
            <w:pPr>
              <w:jc w:val="center"/>
              <w:rPr>
                <w:b/>
                <w:noProof/>
              </w:rPr>
            </w:pPr>
            <w:r w:rsidRPr="00DC621B">
              <w:rPr>
                <w:b/>
                <w:noProof/>
                <w:szCs w:val="24"/>
              </w:rPr>
              <w:t xml:space="preserve">Where covered in the </w:t>
            </w:r>
            <w:r w:rsidR="00185F32">
              <w:rPr>
                <w:b/>
                <w:noProof/>
                <w:szCs w:val="24"/>
              </w:rPr>
              <w:t>I</w:t>
            </w:r>
            <w:r w:rsidRPr="00DC621B">
              <w:rPr>
                <w:b/>
                <w:noProof/>
                <w:szCs w:val="24"/>
              </w:rPr>
              <w:t xml:space="preserve">mpact </w:t>
            </w:r>
            <w:r w:rsidR="00185F32">
              <w:rPr>
                <w:b/>
                <w:noProof/>
                <w:szCs w:val="24"/>
              </w:rPr>
              <w:t>A</w:t>
            </w:r>
            <w:r w:rsidRPr="00DC621B">
              <w:rPr>
                <w:b/>
                <w:noProof/>
                <w:szCs w:val="24"/>
              </w:rPr>
              <w:t>ssessment</w:t>
            </w:r>
          </w:p>
        </w:tc>
        <w:tc>
          <w:tcPr>
            <w:tcW w:w="1034" w:type="pct"/>
            <w:shd w:val="clear" w:color="auto" w:fill="C6D9F1" w:themeFill="text2" w:themeFillTint="33"/>
          </w:tcPr>
          <w:p w:rsidR="00F32665" w:rsidRPr="00DC621B" w:rsidRDefault="00F32665" w:rsidP="009D744A">
            <w:pPr>
              <w:jc w:val="center"/>
              <w:rPr>
                <w:b/>
                <w:noProof/>
              </w:rPr>
            </w:pPr>
            <w:r w:rsidRPr="00DC621B">
              <w:rPr>
                <w:b/>
                <w:noProof/>
                <w:szCs w:val="24"/>
              </w:rPr>
              <w:t xml:space="preserve">Relevant Legal </w:t>
            </w:r>
            <w:r w:rsidR="00185F32">
              <w:rPr>
                <w:b/>
                <w:noProof/>
                <w:szCs w:val="24"/>
              </w:rPr>
              <w:t>A</w:t>
            </w:r>
            <w:r w:rsidRPr="00DC621B">
              <w:rPr>
                <w:b/>
                <w:noProof/>
                <w:szCs w:val="24"/>
              </w:rPr>
              <w:t>ct to be revised</w:t>
            </w:r>
          </w:p>
        </w:tc>
      </w:tr>
      <w:tr w:rsidR="00F32665" w:rsidRPr="00DC621B" w:rsidTr="001F2DE9">
        <w:trPr>
          <w:trHeight w:val="1078"/>
        </w:trPr>
        <w:tc>
          <w:tcPr>
            <w:tcW w:w="865" w:type="pct"/>
            <w:vAlign w:val="center"/>
          </w:tcPr>
          <w:p w:rsidR="00F32665" w:rsidRPr="00DC621B" w:rsidRDefault="00F32665" w:rsidP="00B71626">
            <w:pPr>
              <w:jc w:val="left"/>
              <w:rPr>
                <w:rFonts w:eastAsia="Calibri"/>
                <w:b/>
                <w:noProof/>
              </w:rPr>
            </w:pPr>
            <w:r w:rsidRPr="00DC621B">
              <w:rPr>
                <w:rFonts w:eastAsia="Calibri"/>
                <w:b/>
                <w:noProof/>
              </w:rPr>
              <w:t>Subject matter, scope and definitions</w:t>
            </w:r>
          </w:p>
        </w:tc>
        <w:tc>
          <w:tcPr>
            <w:tcW w:w="1034" w:type="pct"/>
          </w:tcPr>
          <w:p w:rsidR="00F32665" w:rsidRPr="00DC621B" w:rsidRDefault="00F32665" w:rsidP="00B71626">
            <w:pPr>
              <w:rPr>
                <w:rFonts w:eastAsia="Calibri"/>
                <w:noProof/>
              </w:rPr>
            </w:pPr>
            <w:r w:rsidRPr="00DC621B">
              <w:rPr>
                <w:rFonts w:eastAsia="Calibri"/>
                <w:b/>
                <w:bCs/>
                <w:noProof/>
              </w:rPr>
              <w:t>Directive 2009/73/EC</w:t>
            </w:r>
          </w:p>
          <w:p w:rsidR="00F32665" w:rsidRPr="00DC621B" w:rsidRDefault="00F32665" w:rsidP="00B71626">
            <w:pPr>
              <w:rPr>
                <w:noProof/>
                <w:sz w:val="22"/>
              </w:rPr>
            </w:pPr>
            <w:r w:rsidRPr="00DC621B">
              <w:rPr>
                <w:rFonts w:eastAsia="Calibri"/>
                <w:noProof/>
                <w:sz w:val="22"/>
              </w:rPr>
              <w:t>Article</w:t>
            </w:r>
            <w:r w:rsidRPr="00DC621B">
              <w:rPr>
                <w:b/>
                <w:bCs/>
                <w:noProof/>
                <w:sz w:val="22"/>
              </w:rPr>
              <w:t xml:space="preserve"> </w:t>
            </w:r>
            <w:r w:rsidRPr="00DC621B">
              <w:rPr>
                <w:noProof/>
                <w:sz w:val="22"/>
              </w:rPr>
              <w:t>1: Scope – Include new gases</w:t>
            </w:r>
          </w:p>
          <w:p w:rsidR="00F32665" w:rsidRPr="00DC621B" w:rsidRDefault="00F32665" w:rsidP="00D646E3">
            <w:pPr>
              <w:jc w:val="left"/>
              <w:rPr>
                <w:noProof/>
                <w:sz w:val="22"/>
              </w:rPr>
            </w:pPr>
            <w:r w:rsidRPr="00DC621B">
              <w:rPr>
                <w:noProof/>
                <w:sz w:val="22"/>
              </w:rPr>
              <w:t xml:space="preserve">Article 2: Definitions </w:t>
            </w:r>
          </w:p>
          <w:p w:rsidR="00F32665" w:rsidRPr="00DC621B" w:rsidRDefault="00F32665" w:rsidP="00B71626">
            <w:pPr>
              <w:rPr>
                <w:b/>
                <w:bCs/>
                <w:noProof/>
              </w:rPr>
            </w:pPr>
            <w:r w:rsidRPr="00DC621B">
              <w:rPr>
                <w:b/>
                <w:bCs/>
                <w:noProof/>
              </w:rPr>
              <w:t>Regulation 715/2009</w:t>
            </w:r>
          </w:p>
          <w:p w:rsidR="00F32665" w:rsidRPr="00DC621B" w:rsidRDefault="00F32665" w:rsidP="00B71626">
            <w:pPr>
              <w:rPr>
                <w:noProof/>
                <w:sz w:val="22"/>
              </w:rPr>
            </w:pPr>
            <w:r w:rsidRPr="00DC621B">
              <w:rPr>
                <w:rFonts w:eastAsia="Calibri"/>
                <w:noProof/>
                <w:sz w:val="22"/>
              </w:rPr>
              <w:t>Article</w:t>
            </w:r>
            <w:r w:rsidRPr="00DC621B">
              <w:rPr>
                <w:b/>
                <w:bCs/>
                <w:noProof/>
                <w:sz w:val="22"/>
              </w:rPr>
              <w:t xml:space="preserve"> </w:t>
            </w:r>
            <w:r w:rsidRPr="00DC621B">
              <w:rPr>
                <w:noProof/>
                <w:sz w:val="22"/>
              </w:rPr>
              <w:t xml:space="preserve">1: Scope </w:t>
            </w:r>
          </w:p>
          <w:p w:rsidR="00F32665" w:rsidRPr="00DC621B" w:rsidRDefault="00F32665" w:rsidP="00D646E3">
            <w:pPr>
              <w:jc w:val="left"/>
              <w:rPr>
                <w:noProof/>
              </w:rPr>
            </w:pPr>
            <w:r w:rsidRPr="00DC621B">
              <w:rPr>
                <w:noProof/>
                <w:sz w:val="22"/>
              </w:rPr>
              <w:t>Article 2: Definitions</w:t>
            </w:r>
          </w:p>
        </w:tc>
        <w:tc>
          <w:tcPr>
            <w:tcW w:w="1034" w:type="pct"/>
            <w:vAlign w:val="center"/>
          </w:tcPr>
          <w:p w:rsidR="00F32665" w:rsidRPr="00DC621B" w:rsidRDefault="00F32665" w:rsidP="00B71626">
            <w:pPr>
              <w:jc w:val="left"/>
              <w:rPr>
                <w:noProof/>
              </w:rPr>
            </w:pPr>
            <w:r w:rsidRPr="00DC621B">
              <w:rPr>
                <w:noProof/>
              </w:rPr>
              <w:t>Chapter 1, paragraph 1.</w:t>
            </w:r>
            <w:r w:rsidR="00522EE4">
              <w:rPr>
                <w:noProof/>
              </w:rPr>
              <w:t>1</w:t>
            </w:r>
          </w:p>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paragraphs </w:t>
            </w:r>
            <w:r w:rsidR="00A178D8">
              <w:rPr>
                <w:noProof/>
              </w:rPr>
              <w:t>6</w:t>
            </w:r>
            <w:r w:rsidRPr="00DC621B">
              <w:rPr>
                <w:noProof/>
              </w:rPr>
              <w:t xml:space="preserve">.3.1, </w:t>
            </w:r>
            <w:r w:rsidR="00A178D8">
              <w:rPr>
                <w:noProof/>
              </w:rPr>
              <w:t>6</w:t>
            </w:r>
            <w:r w:rsidRPr="00DC621B">
              <w:rPr>
                <w:noProof/>
              </w:rPr>
              <w:t xml:space="preserve">.3.3 </w:t>
            </w:r>
          </w:p>
        </w:tc>
        <w:tc>
          <w:tcPr>
            <w:tcW w:w="1034" w:type="pct"/>
            <w:vAlign w:val="center"/>
          </w:tcPr>
          <w:p w:rsidR="00F32665" w:rsidRPr="00C134D1" w:rsidRDefault="00F32665" w:rsidP="00F32665">
            <w:pPr>
              <w:jc w:val="left"/>
              <w:rPr>
                <w:noProof/>
                <w:szCs w:val="24"/>
                <w:lang w:val="fr-BE"/>
              </w:rPr>
            </w:pPr>
            <w:r w:rsidRPr="00C134D1">
              <w:rPr>
                <w:noProof/>
                <w:szCs w:val="24"/>
                <w:lang w:val="fr-BE"/>
              </w:rPr>
              <w:t>Chapter 1, paragraphs 1.2,1.4,1.5</w:t>
            </w:r>
          </w:p>
          <w:p w:rsidR="00F32665" w:rsidRPr="00C134D1" w:rsidRDefault="00F32665" w:rsidP="00F32665">
            <w:pPr>
              <w:jc w:val="left"/>
              <w:rPr>
                <w:noProof/>
                <w:szCs w:val="24"/>
                <w:lang w:val="fr-BE"/>
              </w:rPr>
            </w:pPr>
            <w:r w:rsidRPr="00C134D1">
              <w:rPr>
                <w:noProof/>
                <w:szCs w:val="24"/>
                <w:lang w:val="fr-BE"/>
              </w:rPr>
              <w:t>Chapter 4, paragraphs 4.1, 4.2</w:t>
            </w:r>
          </w:p>
          <w:p w:rsidR="00F32665" w:rsidRPr="00C134D1" w:rsidRDefault="00F32665" w:rsidP="00F430AE">
            <w:pPr>
              <w:jc w:val="left"/>
              <w:rPr>
                <w:noProof/>
                <w:szCs w:val="24"/>
                <w:lang w:val="fr-BE"/>
              </w:rPr>
            </w:pPr>
            <w:r w:rsidRPr="00C134D1">
              <w:rPr>
                <w:noProof/>
                <w:szCs w:val="24"/>
                <w:lang w:val="fr-BE"/>
              </w:rPr>
              <w:t>Chapter 7, paragraph 7.5</w:t>
            </w:r>
          </w:p>
          <w:p w:rsidR="00F32665" w:rsidRPr="00C134D1" w:rsidRDefault="00F32665" w:rsidP="00F430AE">
            <w:pPr>
              <w:jc w:val="left"/>
              <w:rPr>
                <w:noProof/>
                <w:lang w:val="fr-BE"/>
              </w:rPr>
            </w:pPr>
          </w:p>
        </w:tc>
        <w:tc>
          <w:tcPr>
            <w:tcW w:w="1034" w:type="pct"/>
            <w:vAlign w:val="center"/>
          </w:tcPr>
          <w:p w:rsidR="00F32665" w:rsidRPr="002A0899" w:rsidRDefault="00F32665" w:rsidP="00F430AE">
            <w:pPr>
              <w:jc w:val="left"/>
              <w:rPr>
                <w:b/>
                <w:noProof/>
              </w:rPr>
            </w:pPr>
            <w:r w:rsidRPr="002A0899">
              <w:rPr>
                <w:b/>
                <w:noProof/>
                <w:szCs w:val="24"/>
              </w:rPr>
              <w:t>Gas Directive and Gas Regulation</w:t>
            </w:r>
          </w:p>
        </w:tc>
      </w:tr>
      <w:tr w:rsidR="00F32665" w:rsidRPr="00DC621B" w:rsidTr="001F2DE9">
        <w:trPr>
          <w:trHeight w:val="2276"/>
        </w:trPr>
        <w:tc>
          <w:tcPr>
            <w:tcW w:w="865" w:type="pct"/>
            <w:vAlign w:val="center"/>
          </w:tcPr>
          <w:p w:rsidR="00F32665" w:rsidRPr="00DC621B" w:rsidRDefault="00F32665" w:rsidP="00B71626">
            <w:pPr>
              <w:jc w:val="left"/>
              <w:rPr>
                <w:b/>
                <w:noProof/>
              </w:rPr>
            </w:pPr>
            <w:r w:rsidRPr="00DC621B">
              <w:rPr>
                <w:b/>
                <w:noProof/>
              </w:rPr>
              <w:t>Promotion of market integration for renewable and low carbon gases</w:t>
            </w:r>
          </w:p>
        </w:tc>
        <w:tc>
          <w:tcPr>
            <w:tcW w:w="1034" w:type="pct"/>
          </w:tcPr>
          <w:p w:rsidR="00F32665" w:rsidRPr="00DC621B" w:rsidRDefault="00F32665" w:rsidP="00B71626">
            <w:pPr>
              <w:rPr>
                <w:rFonts w:eastAsia="Calibri"/>
                <w:noProof/>
              </w:rPr>
            </w:pPr>
            <w:r w:rsidRPr="00DC621B">
              <w:rPr>
                <w:rFonts w:eastAsia="Calibri"/>
                <w:b/>
                <w:bCs/>
                <w:noProof/>
              </w:rPr>
              <w:t>Directive 2009/73/EC</w:t>
            </w:r>
          </w:p>
          <w:p w:rsidR="00F32665" w:rsidRPr="00DC621B" w:rsidRDefault="00F32665" w:rsidP="00B71626">
            <w:pPr>
              <w:rPr>
                <w:noProof/>
                <w:sz w:val="22"/>
              </w:rPr>
            </w:pPr>
            <w:r w:rsidRPr="00DC621B">
              <w:rPr>
                <w:noProof/>
                <w:sz w:val="22"/>
              </w:rPr>
              <w:t>Article 13: review the tasks of transmission, storage and/or LNG system operators</w:t>
            </w:r>
          </w:p>
          <w:p w:rsidR="00F32665" w:rsidRPr="00DC621B" w:rsidRDefault="00F32665" w:rsidP="00B71626">
            <w:pPr>
              <w:rPr>
                <w:noProof/>
                <w:sz w:val="22"/>
              </w:rPr>
            </w:pPr>
            <w:r w:rsidRPr="00DC621B">
              <w:rPr>
                <w:noProof/>
                <w:sz w:val="22"/>
              </w:rPr>
              <w:t>Article 25: review tasks of DSOs</w:t>
            </w:r>
          </w:p>
          <w:p w:rsidR="00F32665" w:rsidRPr="00DC621B" w:rsidRDefault="00F32665" w:rsidP="00B71626">
            <w:pPr>
              <w:rPr>
                <w:noProof/>
                <w:sz w:val="22"/>
              </w:rPr>
            </w:pPr>
            <w:r w:rsidRPr="00DC621B">
              <w:rPr>
                <w:noProof/>
                <w:sz w:val="22"/>
              </w:rPr>
              <w:t>Article 47 and 48 – level playing field – PSOs , take-or-pay delete</w:t>
            </w:r>
          </w:p>
          <w:p w:rsidR="00F32665" w:rsidRPr="00DC621B" w:rsidRDefault="00F32665" w:rsidP="00B71626">
            <w:pPr>
              <w:rPr>
                <w:b/>
                <w:bCs/>
                <w:noProof/>
              </w:rPr>
            </w:pPr>
            <w:r w:rsidRPr="00DC621B">
              <w:rPr>
                <w:b/>
                <w:bCs/>
                <w:noProof/>
              </w:rPr>
              <w:t>Regulation 715/2009</w:t>
            </w:r>
          </w:p>
          <w:p w:rsidR="00F32665" w:rsidRPr="00DC621B" w:rsidRDefault="00F32665" w:rsidP="00B71626">
            <w:pPr>
              <w:rPr>
                <w:noProof/>
                <w:sz w:val="20"/>
              </w:rPr>
            </w:pPr>
            <w:r w:rsidRPr="00DC621B">
              <w:rPr>
                <w:noProof/>
                <w:sz w:val="22"/>
              </w:rPr>
              <w:t xml:space="preserve">Article 4 , 5 , 8: review ENTSOG- DSOs tasks </w:t>
            </w:r>
          </w:p>
          <w:p w:rsidR="00F32665" w:rsidRPr="00DC621B" w:rsidRDefault="00F32665" w:rsidP="00B71626">
            <w:pPr>
              <w:rPr>
                <w:rFonts w:eastAsia="Calibri"/>
                <w:b/>
                <w:bCs/>
                <w:noProof/>
              </w:rPr>
            </w:pPr>
            <w:r w:rsidRPr="00DC621B">
              <w:rPr>
                <w:noProof/>
                <w:sz w:val="22"/>
              </w:rPr>
              <w:t>Article 13: tariffs for access to network, cross-subsidisation</w:t>
            </w:r>
          </w:p>
        </w:tc>
        <w:tc>
          <w:tcPr>
            <w:tcW w:w="1034" w:type="pct"/>
            <w:vAlign w:val="center"/>
          </w:tcPr>
          <w:p w:rsidR="00F32665" w:rsidRPr="00DC621B" w:rsidRDefault="00F32665" w:rsidP="00B71626">
            <w:pPr>
              <w:jc w:val="left"/>
              <w:rPr>
                <w:noProof/>
              </w:rPr>
            </w:pPr>
            <w:r w:rsidRPr="00DC621B">
              <w:rPr>
                <w:noProof/>
              </w:rPr>
              <w:t>Chapter 1, paragraph 1.</w:t>
            </w:r>
            <w:r w:rsidR="00522EE4">
              <w:rPr>
                <w:noProof/>
              </w:rPr>
              <w:t>1</w:t>
            </w:r>
          </w:p>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paragraphs </w:t>
            </w:r>
            <w:r w:rsidR="00A178D8">
              <w:rPr>
                <w:noProof/>
              </w:rPr>
              <w:t>6</w:t>
            </w:r>
            <w:r w:rsidRPr="00DC621B">
              <w:rPr>
                <w:noProof/>
              </w:rPr>
              <w:t xml:space="preserve">.3.1, </w:t>
            </w:r>
            <w:r w:rsidR="00A178D8">
              <w:rPr>
                <w:noProof/>
              </w:rPr>
              <w:t>6</w:t>
            </w:r>
            <w:r w:rsidRPr="00DC621B">
              <w:rPr>
                <w:noProof/>
              </w:rPr>
              <w:t xml:space="preserve">.3.4 </w:t>
            </w:r>
          </w:p>
        </w:tc>
        <w:tc>
          <w:tcPr>
            <w:tcW w:w="1034" w:type="pct"/>
            <w:vAlign w:val="center"/>
          </w:tcPr>
          <w:p w:rsidR="00F32665" w:rsidRPr="00DC621B" w:rsidRDefault="00F32665" w:rsidP="00F32665">
            <w:pPr>
              <w:jc w:val="left"/>
              <w:rPr>
                <w:noProof/>
                <w:szCs w:val="24"/>
              </w:rPr>
            </w:pPr>
            <w:r w:rsidRPr="00DC621B">
              <w:rPr>
                <w:noProof/>
                <w:szCs w:val="24"/>
              </w:rPr>
              <w:t>Problem Area II</w:t>
            </w:r>
          </w:p>
          <w:p w:rsidR="00F32665" w:rsidRPr="00DC621B" w:rsidRDefault="00F32665" w:rsidP="00F32665">
            <w:pPr>
              <w:jc w:val="left"/>
              <w:rPr>
                <w:noProof/>
                <w:szCs w:val="24"/>
              </w:rPr>
            </w:pPr>
            <w:r w:rsidRPr="00DC621B">
              <w:rPr>
                <w:noProof/>
                <w:szCs w:val="24"/>
              </w:rPr>
              <w:t>Chapter 2, paragraphs 2.1, 2.2</w:t>
            </w:r>
          </w:p>
          <w:p w:rsidR="00F32665" w:rsidRPr="00C134D1" w:rsidRDefault="00F32665" w:rsidP="00F32665">
            <w:pPr>
              <w:jc w:val="left"/>
              <w:rPr>
                <w:noProof/>
                <w:szCs w:val="24"/>
                <w:lang w:val="fr-BE"/>
              </w:rPr>
            </w:pPr>
            <w:r w:rsidRPr="00C134D1">
              <w:rPr>
                <w:noProof/>
                <w:szCs w:val="24"/>
                <w:lang w:val="fr-BE"/>
              </w:rPr>
              <w:t>Chapter</w:t>
            </w:r>
            <w:r w:rsidR="00364A40">
              <w:rPr>
                <w:noProof/>
                <w:szCs w:val="24"/>
                <w:lang w:val="fr-BE"/>
              </w:rPr>
              <w:t xml:space="preserve"> </w:t>
            </w:r>
            <w:r w:rsidRPr="00C134D1">
              <w:rPr>
                <w:noProof/>
                <w:szCs w:val="24"/>
                <w:lang w:val="fr-BE"/>
              </w:rPr>
              <w:t>5, paragraphs 5.1, 5.2</w:t>
            </w:r>
          </w:p>
          <w:p w:rsidR="00F32665" w:rsidRPr="00C134D1" w:rsidRDefault="00F32665" w:rsidP="00F430AE">
            <w:pPr>
              <w:jc w:val="left"/>
              <w:rPr>
                <w:noProof/>
                <w:szCs w:val="24"/>
                <w:lang w:val="fr-BE"/>
              </w:rPr>
            </w:pPr>
            <w:r w:rsidRPr="00C134D1">
              <w:rPr>
                <w:noProof/>
                <w:szCs w:val="24"/>
                <w:lang w:val="fr-BE"/>
              </w:rPr>
              <w:t>Chapter 6, paragraphs 6.1, 6.2, 6.7</w:t>
            </w:r>
          </w:p>
          <w:p w:rsidR="00F32665" w:rsidRPr="00C134D1" w:rsidRDefault="00F32665" w:rsidP="00F430AE">
            <w:pPr>
              <w:jc w:val="left"/>
              <w:rPr>
                <w:noProof/>
                <w:szCs w:val="24"/>
                <w:lang w:val="fr-BE"/>
              </w:rPr>
            </w:pPr>
            <w:r w:rsidRPr="00C134D1">
              <w:rPr>
                <w:noProof/>
                <w:szCs w:val="24"/>
                <w:lang w:val="fr-BE"/>
              </w:rPr>
              <w:t>Chapter 7, paragraphs 7.1, 7.2, 7.7</w:t>
            </w:r>
          </w:p>
          <w:p w:rsidR="00F32665" w:rsidRPr="00DC621B" w:rsidRDefault="00F32665">
            <w:pPr>
              <w:jc w:val="left"/>
              <w:rPr>
                <w:noProof/>
                <w:szCs w:val="24"/>
              </w:rPr>
            </w:pPr>
            <w:r w:rsidRPr="00DC621B">
              <w:rPr>
                <w:noProof/>
                <w:szCs w:val="24"/>
              </w:rPr>
              <w:t>Chapter 8, paragraphs 8.1, 8.2, 8.5</w:t>
            </w:r>
          </w:p>
          <w:p w:rsidR="00F32665" w:rsidRPr="00DC621B" w:rsidRDefault="00F32665">
            <w:pPr>
              <w:jc w:val="left"/>
              <w:rPr>
                <w:noProof/>
              </w:rPr>
            </w:pPr>
            <w:r w:rsidRPr="00DC621B">
              <w:rPr>
                <w:noProof/>
                <w:szCs w:val="24"/>
              </w:rPr>
              <w:t>Chapter 9, paragraphs 9.1, 9.2</w:t>
            </w:r>
          </w:p>
        </w:tc>
        <w:tc>
          <w:tcPr>
            <w:tcW w:w="1034" w:type="pct"/>
            <w:vAlign w:val="center"/>
          </w:tcPr>
          <w:p w:rsidR="00F32665" w:rsidRPr="002A0899" w:rsidRDefault="00F32665">
            <w:pPr>
              <w:jc w:val="left"/>
              <w:rPr>
                <w:b/>
                <w:noProof/>
                <w:szCs w:val="24"/>
              </w:rPr>
            </w:pPr>
            <w:r w:rsidRPr="002A0899">
              <w:rPr>
                <w:b/>
                <w:noProof/>
                <w:szCs w:val="24"/>
              </w:rPr>
              <w:t>Gas Directive and Gas Regulation</w:t>
            </w:r>
            <w:r w:rsidRPr="002A0899" w:rsidDel="00F346EB">
              <w:rPr>
                <w:b/>
                <w:noProof/>
                <w:szCs w:val="24"/>
              </w:rPr>
              <w:t xml:space="preserve"> </w:t>
            </w:r>
          </w:p>
          <w:p w:rsidR="00F32665" w:rsidRPr="002A0899" w:rsidRDefault="00F32665">
            <w:pPr>
              <w:jc w:val="left"/>
              <w:rPr>
                <w:b/>
                <w:noProof/>
                <w:szCs w:val="24"/>
              </w:rPr>
            </w:pPr>
            <w:r w:rsidRPr="002A0899">
              <w:rPr>
                <w:b/>
                <w:noProof/>
                <w:szCs w:val="24"/>
              </w:rPr>
              <w:t>TEN-E Regulation</w:t>
            </w:r>
          </w:p>
          <w:p w:rsidR="00F32665" w:rsidRPr="002A0899" w:rsidRDefault="00F32665">
            <w:pPr>
              <w:jc w:val="left"/>
              <w:rPr>
                <w:b/>
                <w:noProof/>
                <w:szCs w:val="24"/>
              </w:rPr>
            </w:pPr>
            <w:r w:rsidRPr="002A0899">
              <w:rPr>
                <w:b/>
                <w:noProof/>
                <w:szCs w:val="24"/>
              </w:rPr>
              <w:t>Renewables Energy Directive</w:t>
            </w:r>
          </w:p>
          <w:p w:rsidR="00F32665" w:rsidRPr="002A0899" w:rsidRDefault="00F32665">
            <w:pPr>
              <w:jc w:val="left"/>
              <w:rPr>
                <w:b/>
                <w:noProof/>
              </w:rPr>
            </w:pPr>
            <w:r w:rsidRPr="002A0899">
              <w:rPr>
                <w:b/>
                <w:noProof/>
                <w:szCs w:val="24"/>
              </w:rPr>
              <w:t>Energy Effiency Directive</w:t>
            </w:r>
          </w:p>
        </w:tc>
      </w:tr>
      <w:tr w:rsidR="00F32665" w:rsidRPr="00DC621B" w:rsidTr="001F2DE9">
        <w:trPr>
          <w:trHeight w:val="2276"/>
        </w:trPr>
        <w:tc>
          <w:tcPr>
            <w:tcW w:w="865" w:type="pct"/>
            <w:vAlign w:val="center"/>
          </w:tcPr>
          <w:p w:rsidR="00F32665" w:rsidRPr="00DC621B" w:rsidRDefault="00F32665" w:rsidP="00B71626">
            <w:pPr>
              <w:jc w:val="left"/>
              <w:rPr>
                <w:b/>
                <w:noProof/>
              </w:rPr>
            </w:pPr>
            <w:r w:rsidRPr="00DC621B">
              <w:rPr>
                <w:b/>
                <w:noProof/>
              </w:rPr>
              <w:t>Security of supply and risk preparedness</w:t>
            </w:r>
          </w:p>
        </w:tc>
        <w:tc>
          <w:tcPr>
            <w:tcW w:w="1034" w:type="pct"/>
          </w:tcPr>
          <w:p w:rsidR="00F32665" w:rsidRPr="00DC621B" w:rsidRDefault="00F32665" w:rsidP="00D646E3">
            <w:pPr>
              <w:jc w:val="left"/>
              <w:rPr>
                <w:rFonts w:eastAsia="Calibri"/>
                <w:noProof/>
              </w:rPr>
            </w:pPr>
            <w:r w:rsidRPr="00DC621B">
              <w:rPr>
                <w:rFonts w:eastAsia="Calibri"/>
                <w:b/>
                <w:bCs/>
                <w:noProof/>
              </w:rPr>
              <w:t>Directive 2009/73/EC</w:t>
            </w:r>
          </w:p>
          <w:p w:rsidR="00F32665" w:rsidRPr="00DC621B" w:rsidRDefault="00F32665" w:rsidP="00D646E3">
            <w:pPr>
              <w:jc w:val="left"/>
              <w:rPr>
                <w:noProof/>
                <w:sz w:val="22"/>
              </w:rPr>
            </w:pPr>
            <w:r w:rsidRPr="00DC621B">
              <w:rPr>
                <w:noProof/>
                <w:sz w:val="22"/>
              </w:rPr>
              <w:t>Article 3: PSOs (links to SOS, regulated prices and RES PSOs)</w:t>
            </w:r>
          </w:p>
          <w:p w:rsidR="00F32665" w:rsidRPr="00DC621B" w:rsidRDefault="00F32665" w:rsidP="00D646E3">
            <w:pPr>
              <w:jc w:val="left"/>
              <w:rPr>
                <w:noProof/>
                <w:sz w:val="22"/>
              </w:rPr>
            </w:pPr>
            <w:r w:rsidRPr="00DC621B">
              <w:rPr>
                <w:noProof/>
                <w:sz w:val="22"/>
              </w:rPr>
              <w:t xml:space="preserve">Article 5 and 6: Alignment with SOS Regulation </w:t>
            </w:r>
          </w:p>
          <w:p w:rsidR="00F32665" w:rsidRPr="00DC621B" w:rsidRDefault="00F32665" w:rsidP="00D646E3">
            <w:pPr>
              <w:jc w:val="left"/>
              <w:rPr>
                <w:noProof/>
                <w:sz w:val="22"/>
              </w:rPr>
            </w:pPr>
            <w:r w:rsidRPr="00DC621B">
              <w:rPr>
                <w:noProof/>
                <w:sz w:val="22"/>
              </w:rPr>
              <w:t>Article 41(1)t: Duties and powers of the regulatory authority – monitoring the implementation of safeguard measures</w:t>
            </w:r>
          </w:p>
          <w:p w:rsidR="00F32665" w:rsidRPr="00DC621B" w:rsidRDefault="00F32665" w:rsidP="00D646E3">
            <w:pPr>
              <w:jc w:val="left"/>
              <w:rPr>
                <w:noProof/>
                <w:sz w:val="22"/>
              </w:rPr>
            </w:pPr>
            <w:r w:rsidRPr="00DC621B">
              <w:rPr>
                <w:noProof/>
                <w:sz w:val="22"/>
              </w:rPr>
              <w:t>Article 46: Safeguard measures</w:t>
            </w:r>
          </w:p>
          <w:p w:rsidR="00F32665" w:rsidRPr="00DC621B" w:rsidRDefault="00F32665" w:rsidP="00D646E3">
            <w:pPr>
              <w:jc w:val="left"/>
              <w:rPr>
                <w:b/>
                <w:bCs/>
                <w:noProof/>
              </w:rPr>
            </w:pPr>
            <w:r w:rsidRPr="00DC621B">
              <w:rPr>
                <w:b/>
                <w:bCs/>
                <w:noProof/>
              </w:rPr>
              <w:t>Regulation 715/2009</w:t>
            </w:r>
          </w:p>
          <w:p w:rsidR="00F32665" w:rsidRPr="00DC621B" w:rsidRDefault="00F32665" w:rsidP="00D646E3">
            <w:pPr>
              <w:jc w:val="left"/>
              <w:rPr>
                <w:noProof/>
              </w:rPr>
            </w:pPr>
            <w:r w:rsidRPr="00DC621B">
              <w:rPr>
                <w:noProof/>
                <w:sz w:val="22"/>
              </w:rPr>
              <w:t>Article 8: review tasks of ENTSOG on cybersecurity</w:t>
            </w:r>
          </w:p>
        </w:tc>
        <w:tc>
          <w:tcPr>
            <w:tcW w:w="1034" w:type="pct"/>
            <w:vAlign w:val="center"/>
          </w:tcPr>
          <w:p w:rsidR="00F32665" w:rsidRPr="00C134D1" w:rsidRDefault="00F32665" w:rsidP="00B71626">
            <w:pPr>
              <w:jc w:val="left"/>
              <w:rPr>
                <w:noProof/>
                <w:lang w:val="fr-BE"/>
              </w:rPr>
            </w:pPr>
            <w:r w:rsidRPr="00C134D1">
              <w:rPr>
                <w:noProof/>
                <w:lang w:val="fr-BE"/>
              </w:rPr>
              <w:t>Chapter 1,</w:t>
            </w:r>
            <w:r w:rsidR="004A2E68" w:rsidRPr="00C134D1">
              <w:rPr>
                <w:noProof/>
                <w:lang w:val="fr-BE"/>
              </w:rPr>
              <w:t xml:space="preserve"> </w:t>
            </w:r>
            <w:r w:rsidRPr="00C134D1">
              <w:rPr>
                <w:noProof/>
                <w:lang w:val="fr-BE"/>
              </w:rPr>
              <w:t>paragraph 1.</w:t>
            </w:r>
            <w:r w:rsidR="00522EE4">
              <w:rPr>
                <w:noProof/>
                <w:lang w:val="fr-BE"/>
              </w:rPr>
              <w:t>1</w:t>
            </w:r>
          </w:p>
          <w:p w:rsidR="00F32665" w:rsidRPr="00C134D1" w:rsidRDefault="00F32665" w:rsidP="00B71626">
            <w:pPr>
              <w:jc w:val="left"/>
              <w:rPr>
                <w:noProof/>
                <w:lang w:val="fr-BE"/>
              </w:rPr>
            </w:pPr>
            <w:r w:rsidRPr="00C134D1">
              <w:rPr>
                <w:noProof/>
                <w:lang w:val="fr-BE"/>
              </w:rPr>
              <w:t>Chapter 3, paragraph 3.2.1;</w:t>
            </w:r>
          </w:p>
          <w:p w:rsidR="00F32665" w:rsidRPr="00C134D1" w:rsidRDefault="00F32665" w:rsidP="00A178D8">
            <w:pPr>
              <w:jc w:val="left"/>
              <w:rPr>
                <w:noProof/>
                <w:lang w:val="fr-BE"/>
              </w:rPr>
            </w:pPr>
            <w:r w:rsidRPr="00C134D1">
              <w:rPr>
                <w:noProof/>
                <w:lang w:val="fr-BE"/>
              </w:rPr>
              <w:t xml:space="preserve">Chapter </w:t>
            </w:r>
            <w:r w:rsidR="00A178D8">
              <w:rPr>
                <w:noProof/>
                <w:lang w:val="fr-BE"/>
              </w:rPr>
              <w:t>6</w:t>
            </w:r>
            <w:r w:rsidRPr="00C134D1">
              <w:rPr>
                <w:noProof/>
                <w:lang w:val="fr-BE"/>
              </w:rPr>
              <w:t xml:space="preserve">, paragraphs </w:t>
            </w:r>
            <w:r w:rsidR="00A178D8">
              <w:rPr>
                <w:noProof/>
                <w:lang w:val="fr-BE"/>
              </w:rPr>
              <w:t>6</w:t>
            </w:r>
            <w:r w:rsidRPr="00C134D1">
              <w:rPr>
                <w:noProof/>
                <w:lang w:val="fr-BE"/>
              </w:rPr>
              <w:t xml:space="preserve">.3.4, </w:t>
            </w:r>
            <w:r w:rsidR="00A178D8">
              <w:rPr>
                <w:noProof/>
                <w:lang w:val="fr-BE"/>
              </w:rPr>
              <w:t>6</w:t>
            </w:r>
            <w:r w:rsidRPr="00C134D1">
              <w:rPr>
                <w:noProof/>
                <w:lang w:val="fr-BE"/>
              </w:rPr>
              <w:t>.4.2</w:t>
            </w:r>
          </w:p>
        </w:tc>
        <w:tc>
          <w:tcPr>
            <w:tcW w:w="1034" w:type="pct"/>
            <w:vAlign w:val="center"/>
          </w:tcPr>
          <w:p w:rsidR="00F32665" w:rsidRPr="00DC621B" w:rsidRDefault="00F32665" w:rsidP="00F32665">
            <w:pPr>
              <w:jc w:val="left"/>
              <w:rPr>
                <w:noProof/>
                <w:szCs w:val="24"/>
              </w:rPr>
            </w:pPr>
            <w:r w:rsidRPr="00DC621B">
              <w:rPr>
                <w:noProof/>
                <w:szCs w:val="24"/>
              </w:rPr>
              <w:t>Problem Area III</w:t>
            </w:r>
          </w:p>
          <w:p w:rsidR="00F32665" w:rsidRPr="00DC621B" w:rsidRDefault="00F32665" w:rsidP="00F32665">
            <w:pPr>
              <w:jc w:val="left"/>
              <w:rPr>
                <w:noProof/>
                <w:szCs w:val="24"/>
              </w:rPr>
            </w:pPr>
            <w:r w:rsidRPr="00DC621B">
              <w:rPr>
                <w:noProof/>
                <w:szCs w:val="24"/>
              </w:rPr>
              <w:t>Chapter 2, paragraphs 2.2, 2.3</w:t>
            </w:r>
          </w:p>
          <w:p w:rsidR="00F32665" w:rsidRPr="00C134D1" w:rsidRDefault="004A2E68" w:rsidP="00F32665">
            <w:pPr>
              <w:jc w:val="left"/>
              <w:rPr>
                <w:noProof/>
                <w:szCs w:val="24"/>
                <w:lang w:val="fr-BE"/>
              </w:rPr>
            </w:pPr>
            <w:r w:rsidRPr="00C134D1">
              <w:rPr>
                <w:noProof/>
                <w:szCs w:val="24"/>
                <w:lang w:val="fr-BE"/>
              </w:rPr>
              <w:t>Chapter 5, paragrap</w:t>
            </w:r>
            <w:r w:rsidR="00F32665" w:rsidRPr="00C134D1">
              <w:rPr>
                <w:noProof/>
                <w:szCs w:val="24"/>
                <w:lang w:val="fr-BE"/>
              </w:rPr>
              <w:t>hs 5.2.1, 5.3</w:t>
            </w:r>
          </w:p>
          <w:p w:rsidR="00F32665" w:rsidRPr="00C134D1" w:rsidRDefault="00F32665" w:rsidP="00F430AE">
            <w:pPr>
              <w:jc w:val="left"/>
              <w:rPr>
                <w:noProof/>
                <w:szCs w:val="24"/>
                <w:lang w:val="fr-BE"/>
              </w:rPr>
            </w:pPr>
            <w:r w:rsidRPr="00C134D1">
              <w:rPr>
                <w:noProof/>
                <w:szCs w:val="24"/>
                <w:lang w:val="fr-BE"/>
              </w:rPr>
              <w:t>Chapter 6, paragraphs 6.2</w:t>
            </w:r>
          </w:p>
          <w:p w:rsidR="00F32665" w:rsidRPr="00C134D1" w:rsidRDefault="00F32665" w:rsidP="00F430AE">
            <w:pPr>
              <w:jc w:val="left"/>
              <w:rPr>
                <w:noProof/>
                <w:szCs w:val="24"/>
                <w:lang w:val="fr-BE"/>
              </w:rPr>
            </w:pPr>
            <w:r w:rsidRPr="00C134D1">
              <w:rPr>
                <w:noProof/>
                <w:szCs w:val="24"/>
                <w:lang w:val="fr-BE"/>
              </w:rPr>
              <w:t>Chapter 7,</w:t>
            </w:r>
            <w:r w:rsidRPr="00C134D1">
              <w:rPr>
                <w:strike/>
                <w:noProof/>
                <w:szCs w:val="24"/>
                <w:lang w:val="fr-BE"/>
              </w:rPr>
              <w:t xml:space="preserve"> </w:t>
            </w:r>
            <w:r w:rsidRPr="00C134D1">
              <w:rPr>
                <w:noProof/>
                <w:szCs w:val="24"/>
                <w:lang w:val="fr-BE"/>
              </w:rPr>
              <w:t>paragraph 7.5.1</w:t>
            </w:r>
          </w:p>
          <w:p w:rsidR="00F32665" w:rsidRPr="00DC621B" w:rsidRDefault="00F32665">
            <w:pPr>
              <w:jc w:val="left"/>
              <w:rPr>
                <w:noProof/>
              </w:rPr>
            </w:pPr>
            <w:r w:rsidRPr="00DC621B">
              <w:rPr>
                <w:noProof/>
                <w:szCs w:val="24"/>
              </w:rPr>
              <w:t>Chapter 8, paragraph 8.2</w:t>
            </w:r>
          </w:p>
        </w:tc>
        <w:tc>
          <w:tcPr>
            <w:tcW w:w="1034" w:type="pct"/>
            <w:vAlign w:val="center"/>
          </w:tcPr>
          <w:p w:rsidR="00F32665" w:rsidRPr="002A0899" w:rsidRDefault="00F32665">
            <w:pPr>
              <w:jc w:val="left"/>
              <w:rPr>
                <w:b/>
                <w:noProof/>
                <w:szCs w:val="24"/>
              </w:rPr>
            </w:pPr>
            <w:r w:rsidRPr="002A0899">
              <w:rPr>
                <w:b/>
                <w:noProof/>
                <w:szCs w:val="24"/>
              </w:rPr>
              <w:t xml:space="preserve">Gas Directive and Gas Regulation </w:t>
            </w:r>
          </w:p>
          <w:p w:rsidR="00F32665" w:rsidRPr="002A0899" w:rsidRDefault="00F32665">
            <w:pPr>
              <w:jc w:val="left"/>
              <w:rPr>
                <w:b/>
                <w:noProof/>
                <w:szCs w:val="24"/>
              </w:rPr>
            </w:pPr>
            <w:r w:rsidRPr="002A0899">
              <w:rPr>
                <w:b/>
                <w:noProof/>
                <w:szCs w:val="24"/>
              </w:rPr>
              <w:t>Security of Supply Regulation</w:t>
            </w:r>
          </w:p>
          <w:p w:rsidR="00F32665" w:rsidRPr="002A0899" w:rsidRDefault="00F32665">
            <w:pPr>
              <w:jc w:val="left"/>
              <w:rPr>
                <w:b/>
                <w:noProof/>
              </w:rPr>
            </w:pPr>
            <w:r w:rsidRPr="002A0899">
              <w:rPr>
                <w:b/>
                <w:noProof/>
                <w:szCs w:val="24"/>
              </w:rPr>
              <w:t>Renewables Energy Directive</w:t>
            </w:r>
          </w:p>
        </w:tc>
      </w:tr>
      <w:tr w:rsidR="00F32665" w:rsidRPr="00DC621B" w:rsidTr="001F2DE9">
        <w:tc>
          <w:tcPr>
            <w:tcW w:w="865" w:type="pct"/>
            <w:vAlign w:val="center"/>
          </w:tcPr>
          <w:p w:rsidR="00F32665" w:rsidRPr="00DC621B" w:rsidRDefault="00F32665" w:rsidP="00196A37">
            <w:pPr>
              <w:jc w:val="left"/>
              <w:rPr>
                <w:b/>
                <w:noProof/>
              </w:rPr>
            </w:pPr>
            <w:r w:rsidRPr="00DC621B">
              <w:rPr>
                <w:b/>
                <w:noProof/>
              </w:rPr>
              <w:t>Regional cooperation and market mergers</w:t>
            </w:r>
          </w:p>
        </w:tc>
        <w:tc>
          <w:tcPr>
            <w:tcW w:w="1034" w:type="pct"/>
          </w:tcPr>
          <w:p w:rsidR="00F32665" w:rsidRPr="00DC621B" w:rsidRDefault="00F32665" w:rsidP="00D646E3">
            <w:pPr>
              <w:jc w:val="left"/>
              <w:rPr>
                <w:rFonts w:eastAsia="Calibri"/>
                <w:noProof/>
              </w:rPr>
            </w:pPr>
            <w:r w:rsidRPr="00DC621B">
              <w:rPr>
                <w:rFonts w:eastAsia="Calibri"/>
                <w:b/>
                <w:bCs/>
                <w:noProof/>
              </w:rPr>
              <w:t>Directive 2009/73/EC</w:t>
            </w:r>
          </w:p>
          <w:p w:rsidR="00F32665" w:rsidRPr="00DC621B" w:rsidRDefault="00F32665" w:rsidP="00D646E3">
            <w:pPr>
              <w:jc w:val="left"/>
              <w:rPr>
                <w:noProof/>
                <w:sz w:val="22"/>
              </w:rPr>
            </w:pPr>
            <w:r w:rsidRPr="00DC621B">
              <w:rPr>
                <w:noProof/>
                <w:sz w:val="22"/>
              </w:rPr>
              <w:t>Article 7.4: unbundling and market mergers, NRAs oversight and certification in merged markets</w:t>
            </w:r>
          </w:p>
          <w:p w:rsidR="00F32665" w:rsidRPr="00DC621B" w:rsidRDefault="00F32665" w:rsidP="00D646E3">
            <w:pPr>
              <w:jc w:val="left"/>
              <w:rPr>
                <w:b/>
                <w:bCs/>
                <w:noProof/>
              </w:rPr>
            </w:pPr>
            <w:r w:rsidRPr="00DC621B">
              <w:rPr>
                <w:b/>
                <w:bCs/>
                <w:noProof/>
              </w:rPr>
              <w:t>Regulation 715/2009</w:t>
            </w:r>
          </w:p>
          <w:p w:rsidR="00F32665" w:rsidRPr="00DC621B" w:rsidRDefault="00F32665" w:rsidP="00D646E3">
            <w:pPr>
              <w:jc w:val="left"/>
              <w:rPr>
                <w:noProof/>
              </w:rPr>
            </w:pPr>
            <w:r w:rsidRPr="00DC621B">
              <w:rPr>
                <w:noProof/>
                <w:sz w:val="22"/>
              </w:rPr>
              <w:t>Article 12: regional cooperation of TSOs</w:t>
            </w:r>
          </w:p>
        </w:tc>
        <w:tc>
          <w:tcPr>
            <w:tcW w:w="1034" w:type="pct"/>
            <w:vAlign w:val="center"/>
          </w:tcPr>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paragraphs </w:t>
            </w:r>
            <w:r w:rsidR="00A178D8">
              <w:rPr>
                <w:noProof/>
              </w:rPr>
              <w:t>6</w:t>
            </w:r>
            <w:r w:rsidRPr="00DC621B">
              <w:rPr>
                <w:noProof/>
              </w:rPr>
              <w:t>.1.1, 7.3.2</w:t>
            </w:r>
          </w:p>
        </w:tc>
        <w:tc>
          <w:tcPr>
            <w:tcW w:w="1034" w:type="pct"/>
            <w:vAlign w:val="center"/>
          </w:tcPr>
          <w:p w:rsidR="00F32665" w:rsidRPr="00DC621B" w:rsidRDefault="00F32665" w:rsidP="00F32665">
            <w:pPr>
              <w:jc w:val="left"/>
              <w:rPr>
                <w:noProof/>
                <w:szCs w:val="24"/>
              </w:rPr>
            </w:pPr>
            <w:r w:rsidRPr="00DC621B">
              <w:rPr>
                <w:noProof/>
                <w:szCs w:val="24"/>
              </w:rPr>
              <w:t xml:space="preserve">Problem Area III </w:t>
            </w:r>
          </w:p>
          <w:p w:rsidR="00F32665" w:rsidRPr="00DC621B" w:rsidRDefault="00F32665" w:rsidP="00F32665">
            <w:pPr>
              <w:jc w:val="left"/>
              <w:rPr>
                <w:noProof/>
                <w:szCs w:val="24"/>
              </w:rPr>
            </w:pPr>
            <w:r w:rsidRPr="00DC621B">
              <w:rPr>
                <w:noProof/>
                <w:szCs w:val="24"/>
              </w:rPr>
              <w:t>Chapter 2, paragraph 2.2.1.2</w:t>
            </w:r>
          </w:p>
          <w:p w:rsidR="00F32665" w:rsidRPr="00DC621B" w:rsidRDefault="00F32665" w:rsidP="00F32665">
            <w:pPr>
              <w:jc w:val="left"/>
              <w:rPr>
                <w:noProof/>
              </w:rPr>
            </w:pPr>
            <w:r w:rsidRPr="00DC621B">
              <w:rPr>
                <w:noProof/>
                <w:szCs w:val="24"/>
              </w:rPr>
              <w:t>Chapter 6, paragraph 6.7</w:t>
            </w:r>
          </w:p>
        </w:tc>
        <w:tc>
          <w:tcPr>
            <w:tcW w:w="1034" w:type="pct"/>
            <w:vAlign w:val="center"/>
          </w:tcPr>
          <w:p w:rsidR="00F32665" w:rsidRPr="002A0899" w:rsidRDefault="00F32665" w:rsidP="00F430AE">
            <w:pPr>
              <w:jc w:val="left"/>
              <w:rPr>
                <w:b/>
                <w:noProof/>
                <w:szCs w:val="24"/>
              </w:rPr>
            </w:pPr>
            <w:r w:rsidRPr="002A0899">
              <w:rPr>
                <w:b/>
                <w:noProof/>
                <w:szCs w:val="24"/>
              </w:rPr>
              <w:t>Gas Directive and Gas Regulation</w:t>
            </w:r>
          </w:p>
          <w:p w:rsidR="00F32665" w:rsidRPr="002A0899" w:rsidRDefault="00F32665" w:rsidP="00F430AE">
            <w:pPr>
              <w:jc w:val="left"/>
              <w:rPr>
                <w:b/>
                <w:noProof/>
              </w:rPr>
            </w:pPr>
            <w:r w:rsidRPr="002A0899">
              <w:rPr>
                <w:b/>
                <w:noProof/>
                <w:szCs w:val="24"/>
              </w:rPr>
              <w:t>Electricity Directive</w:t>
            </w:r>
          </w:p>
        </w:tc>
      </w:tr>
      <w:tr w:rsidR="00F32665" w:rsidRPr="00DC621B" w:rsidTr="001F2DE9">
        <w:tc>
          <w:tcPr>
            <w:tcW w:w="865" w:type="pct"/>
            <w:vAlign w:val="center"/>
          </w:tcPr>
          <w:p w:rsidR="00F32665" w:rsidRPr="00DC621B" w:rsidRDefault="00F32665" w:rsidP="00B71626">
            <w:pPr>
              <w:jc w:val="left"/>
              <w:rPr>
                <w:b/>
                <w:noProof/>
              </w:rPr>
            </w:pPr>
            <w:r w:rsidRPr="00DC621B">
              <w:rPr>
                <w:b/>
                <w:noProof/>
              </w:rPr>
              <w:t>Gas quality</w:t>
            </w:r>
          </w:p>
        </w:tc>
        <w:tc>
          <w:tcPr>
            <w:tcW w:w="1034" w:type="pct"/>
          </w:tcPr>
          <w:p w:rsidR="00F32665" w:rsidRPr="00DC621B" w:rsidRDefault="00F32665" w:rsidP="00D646E3">
            <w:pPr>
              <w:jc w:val="left"/>
              <w:rPr>
                <w:rFonts w:eastAsia="Calibri"/>
                <w:noProof/>
              </w:rPr>
            </w:pPr>
            <w:r w:rsidRPr="00DC621B">
              <w:rPr>
                <w:rFonts w:eastAsia="Calibri"/>
                <w:b/>
                <w:noProof/>
              </w:rPr>
              <w:t>Directive 2009/73/EC</w:t>
            </w:r>
          </w:p>
          <w:p w:rsidR="00F32665" w:rsidRPr="00DC621B" w:rsidRDefault="00F32665" w:rsidP="00D646E3">
            <w:pPr>
              <w:jc w:val="left"/>
              <w:rPr>
                <w:noProof/>
                <w:sz w:val="22"/>
              </w:rPr>
            </w:pPr>
            <w:r w:rsidRPr="00DC621B">
              <w:rPr>
                <w:noProof/>
                <w:sz w:val="22"/>
              </w:rPr>
              <w:t xml:space="preserve">Article 8: technical rules –gas quality </w:t>
            </w:r>
          </w:p>
          <w:p w:rsidR="00F32665" w:rsidRPr="00DC621B" w:rsidRDefault="00F32665" w:rsidP="00D646E3">
            <w:pPr>
              <w:jc w:val="left"/>
              <w:rPr>
                <w:noProof/>
                <w:sz w:val="22"/>
              </w:rPr>
            </w:pPr>
            <w:r w:rsidRPr="00DC621B">
              <w:rPr>
                <w:noProof/>
                <w:sz w:val="22"/>
              </w:rPr>
              <w:t>Article 13: review tasks of TSOs</w:t>
            </w:r>
          </w:p>
          <w:p w:rsidR="00F32665" w:rsidRPr="00DC621B" w:rsidRDefault="00F32665" w:rsidP="00D646E3">
            <w:pPr>
              <w:jc w:val="left"/>
              <w:rPr>
                <w:noProof/>
                <w:sz w:val="22"/>
              </w:rPr>
            </w:pPr>
            <w:r w:rsidRPr="00DC621B">
              <w:rPr>
                <w:noProof/>
                <w:sz w:val="22"/>
              </w:rPr>
              <w:t>Article 25: review tasks of DSOs</w:t>
            </w:r>
          </w:p>
          <w:p w:rsidR="00F32665" w:rsidRPr="00DC621B" w:rsidRDefault="00F32665" w:rsidP="00D646E3">
            <w:pPr>
              <w:jc w:val="left"/>
              <w:rPr>
                <w:i/>
                <w:noProof/>
                <w:sz w:val="22"/>
              </w:rPr>
            </w:pPr>
            <w:r w:rsidRPr="00DC621B">
              <w:rPr>
                <w:noProof/>
                <w:sz w:val="22"/>
              </w:rPr>
              <w:t>Article 41: review duties and powers of the regulatory authority</w:t>
            </w:r>
            <w:r w:rsidRPr="00DC621B">
              <w:rPr>
                <w:i/>
                <w:noProof/>
                <w:sz w:val="22"/>
              </w:rPr>
              <w:t xml:space="preserve"> </w:t>
            </w:r>
          </w:p>
          <w:p w:rsidR="00F32665" w:rsidRPr="00DC621B" w:rsidRDefault="00F32665" w:rsidP="00D646E3">
            <w:pPr>
              <w:jc w:val="left"/>
              <w:rPr>
                <w:b/>
                <w:noProof/>
              </w:rPr>
            </w:pPr>
            <w:r w:rsidRPr="00DC621B">
              <w:rPr>
                <w:b/>
                <w:noProof/>
              </w:rPr>
              <w:t>Regulation 715/2009</w:t>
            </w:r>
          </w:p>
          <w:p w:rsidR="00F32665" w:rsidRPr="00DC621B" w:rsidRDefault="00F32665" w:rsidP="00D646E3">
            <w:pPr>
              <w:jc w:val="left"/>
              <w:rPr>
                <w:noProof/>
                <w:sz w:val="22"/>
              </w:rPr>
            </w:pPr>
            <w:r w:rsidRPr="00DC621B">
              <w:rPr>
                <w:noProof/>
                <w:sz w:val="22"/>
              </w:rPr>
              <w:t xml:space="preserve">Article 8: review tasks of ENTSOG and areas for </w:t>
            </w:r>
            <w:r w:rsidR="00A3395C">
              <w:rPr>
                <w:noProof/>
                <w:sz w:val="22"/>
              </w:rPr>
              <w:t>n</w:t>
            </w:r>
            <w:r w:rsidRPr="00DC621B">
              <w:rPr>
                <w:noProof/>
                <w:sz w:val="22"/>
              </w:rPr>
              <w:t xml:space="preserve">etwork </w:t>
            </w:r>
            <w:r w:rsidR="00A3395C">
              <w:rPr>
                <w:noProof/>
                <w:sz w:val="22"/>
              </w:rPr>
              <w:t>c</w:t>
            </w:r>
            <w:r w:rsidRPr="00DC621B">
              <w:rPr>
                <w:noProof/>
                <w:sz w:val="22"/>
              </w:rPr>
              <w:t xml:space="preserve">odes </w:t>
            </w:r>
          </w:p>
          <w:p w:rsidR="00F32665" w:rsidRPr="00DC621B" w:rsidRDefault="00F32665" w:rsidP="00D646E3">
            <w:pPr>
              <w:jc w:val="left"/>
              <w:rPr>
                <w:noProof/>
              </w:rPr>
            </w:pPr>
            <w:r w:rsidRPr="00DC621B">
              <w:rPr>
                <w:noProof/>
                <w:sz w:val="22"/>
              </w:rPr>
              <w:t>Article 18: review TSO level transparency requirements and include DSO level transparency related to gas quality</w:t>
            </w:r>
          </w:p>
        </w:tc>
        <w:tc>
          <w:tcPr>
            <w:tcW w:w="1034" w:type="pct"/>
            <w:vAlign w:val="center"/>
          </w:tcPr>
          <w:p w:rsidR="00F32665" w:rsidRPr="00DC621B" w:rsidRDefault="00F32665" w:rsidP="00196A37">
            <w:pPr>
              <w:jc w:val="left"/>
              <w:rPr>
                <w:noProof/>
              </w:rPr>
            </w:pPr>
            <w:r w:rsidRPr="00DC621B">
              <w:rPr>
                <w:noProof/>
              </w:rPr>
              <w:t>Chapter 1, paragraph 1.</w:t>
            </w:r>
            <w:r w:rsidR="00522EE4">
              <w:rPr>
                <w:noProof/>
              </w:rPr>
              <w:t>1</w:t>
            </w:r>
            <w:r w:rsidRPr="00DC621B">
              <w:rPr>
                <w:noProof/>
              </w:rPr>
              <w:t xml:space="preserve"> </w:t>
            </w:r>
          </w:p>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 </w:t>
            </w:r>
            <w:r w:rsidR="00A178D8">
              <w:rPr>
                <w:noProof/>
              </w:rPr>
              <w:t>6</w:t>
            </w:r>
            <w:r w:rsidRPr="00DC621B">
              <w:rPr>
                <w:noProof/>
              </w:rPr>
              <w:t>.3.2</w:t>
            </w:r>
          </w:p>
        </w:tc>
        <w:tc>
          <w:tcPr>
            <w:tcW w:w="1034" w:type="pct"/>
            <w:vAlign w:val="center"/>
          </w:tcPr>
          <w:p w:rsidR="00F32665" w:rsidRPr="00DC621B" w:rsidRDefault="00F32665" w:rsidP="00F32665">
            <w:pPr>
              <w:jc w:val="left"/>
              <w:rPr>
                <w:noProof/>
                <w:szCs w:val="24"/>
              </w:rPr>
            </w:pPr>
            <w:r w:rsidRPr="00DC621B">
              <w:rPr>
                <w:noProof/>
                <w:szCs w:val="24"/>
              </w:rPr>
              <w:t>Problem Area I, II</w:t>
            </w:r>
          </w:p>
          <w:p w:rsidR="00F32665" w:rsidRPr="00DC621B" w:rsidRDefault="00F32665" w:rsidP="00F430AE">
            <w:pPr>
              <w:jc w:val="left"/>
              <w:rPr>
                <w:noProof/>
                <w:szCs w:val="24"/>
              </w:rPr>
            </w:pPr>
            <w:r w:rsidRPr="00DC621B">
              <w:rPr>
                <w:noProof/>
                <w:szCs w:val="24"/>
              </w:rPr>
              <w:t>Chapter 6, paragraphs 6.1.2,</w:t>
            </w:r>
          </w:p>
          <w:p w:rsidR="00F32665" w:rsidRPr="00DC621B" w:rsidRDefault="00F32665" w:rsidP="00F430AE">
            <w:pPr>
              <w:jc w:val="left"/>
              <w:rPr>
                <w:noProof/>
              </w:rPr>
            </w:pPr>
            <w:r w:rsidRPr="00DC621B">
              <w:rPr>
                <w:noProof/>
                <w:szCs w:val="24"/>
              </w:rPr>
              <w:t>6.2</w:t>
            </w:r>
          </w:p>
        </w:tc>
        <w:tc>
          <w:tcPr>
            <w:tcW w:w="1034" w:type="pct"/>
            <w:vAlign w:val="center"/>
          </w:tcPr>
          <w:p w:rsidR="00F32665" w:rsidRPr="002A0899" w:rsidRDefault="00F32665">
            <w:pPr>
              <w:jc w:val="left"/>
              <w:rPr>
                <w:b/>
                <w:noProof/>
                <w:szCs w:val="24"/>
              </w:rPr>
            </w:pPr>
            <w:r w:rsidRPr="002A0899">
              <w:rPr>
                <w:b/>
                <w:noProof/>
                <w:szCs w:val="24"/>
              </w:rPr>
              <w:t>Gas Directive and Gas Regulation</w:t>
            </w:r>
          </w:p>
          <w:p w:rsidR="00F32665" w:rsidRPr="002A0899" w:rsidRDefault="00F32665">
            <w:pPr>
              <w:jc w:val="left"/>
              <w:rPr>
                <w:b/>
                <w:noProof/>
              </w:rPr>
            </w:pPr>
          </w:p>
        </w:tc>
      </w:tr>
      <w:tr w:rsidR="00F32665" w:rsidRPr="00DC621B" w:rsidTr="001F2DE9">
        <w:tc>
          <w:tcPr>
            <w:tcW w:w="865" w:type="pct"/>
            <w:vAlign w:val="center"/>
          </w:tcPr>
          <w:p w:rsidR="00F32665" w:rsidRPr="00DC621B" w:rsidRDefault="00F32665" w:rsidP="00AB1DA4">
            <w:pPr>
              <w:jc w:val="left"/>
              <w:rPr>
                <w:noProof/>
              </w:rPr>
            </w:pPr>
            <w:r w:rsidRPr="00DC621B">
              <w:rPr>
                <w:b/>
                <w:noProof/>
              </w:rPr>
              <w:t>LNG</w:t>
            </w:r>
          </w:p>
        </w:tc>
        <w:tc>
          <w:tcPr>
            <w:tcW w:w="1034" w:type="pct"/>
          </w:tcPr>
          <w:p w:rsidR="00F32665" w:rsidRPr="00DC621B" w:rsidRDefault="00F32665" w:rsidP="007D2D39">
            <w:pPr>
              <w:rPr>
                <w:rFonts w:eastAsia="Calibri"/>
                <w:noProof/>
              </w:rPr>
            </w:pPr>
            <w:r w:rsidRPr="00DC621B">
              <w:rPr>
                <w:rFonts w:eastAsia="Calibri"/>
                <w:b/>
                <w:bCs/>
                <w:noProof/>
              </w:rPr>
              <w:t>Directive 2009/73/EC</w:t>
            </w:r>
          </w:p>
          <w:p w:rsidR="00F32665" w:rsidRPr="00DC621B" w:rsidRDefault="00F32665" w:rsidP="00D646E3">
            <w:pPr>
              <w:jc w:val="left"/>
              <w:rPr>
                <w:noProof/>
                <w:sz w:val="22"/>
              </w:rPr>
            </w:pPr>
            <w:r w:rsidRPr="00D646E3">
              <w:rPr>
                <w:noProof/>
                <w:sz w:val="22"/>
              </w:rPr>
              <w:t>A</w:t>
            </w:r>
            <w:r w:rsidRPr="00E57001">
              <w:rPr>
                <w:noProof/>
                <w:sz w:val="22"/>
              </w:rPr>
              <w:t>r</w:t>
            </w:r>
            <w:r w:rsidRPr="00DC621B">
              <w:rPr>
                <w:noProof/>
                <w:sz w:val="22"/>
              </w:rPr>
              <w:t>ticle 13: review tasks of system operators</w:t>
            </w:r>
          </w:p>
          <w:p w:rsidR="00F32665" w:rsidRPr="00DC621B" w:rsidRDefault="00F32665" w:rsidP="00D646E3">
            <w:pPr>
              <w:jc w:val="left"/>
              <w:rPr>
                <w:noProof/>
                <w:sz w:val="22"/>
              </w:rPr>
            </w:pPr>
            <w:r w:rsidRPr="00DC621B">
              <w:rPr>
                <w:noProof/>
                <w:sz w:val="22"/>
              </w:rPr>
              <w:t>Article 36: Include new criteria for LNG new infrastructure</w:t>
            </w:r>
          </w:p>
          <w:p w:rsidR="00F32665" w:rsidRPr="00DC621B" w:rsidRDefault="00F32665" w:rsidP="00004C23">
            <w:pPr>
              <w:rPr>
                <w:b/>
                <w:bCs/>
                <w:noProof/>
              </w:rPr>
            </w:pPr>
            <w:r w:rsidRPr="00DC621B">
              <w:rPr>
                <w:b/>
                <w:bCs/>
                <w:noProof/>
              </w:rPr>
              <w:t>Regulation 715/2009</w:t>
            </w:r>
          </w:p>
          <w:p w:rsidR="00F32665" w:rsidRPr="00DC621B" w:rsidRDefault="00F32665" w:rsidP="00D646E3">
            <w:pPr>
              <w:jc w:val="left"/>
              <w:rPr>
                <w:noProof/>
                <w:sz w:val="22"/>
              </w:rPr>
            </w:pPr>
            <w:r w:rsidRPr="00DC621B">
              <w:rPr>
                <w:noProof/>
                <w:sz w:val="22"/>
              </w:rPr>
              <w:t xml:space="preserve">Article 15 – TPA for Storage and LNGs </w:t>
            </w:r>
          </w:p>
          <w:p w:rsidR="00F32665" w:rsidRPr="00DC621B" w:rsidRDefault="00F32665" w:rsidP="00D646E3">
            <w:pPr>
              <w:jc w:val="left"/>
              <w:rPr>
                <w:noProof/>
              </w:rPr>
            </w:pPr>
            <w:r w:rsidRPr="00DC621B">
              <w:rPr>
                <w:noProof/>
                <w:sz w:val="22"/>
              </w:rPr>
              <w:t>Article 18, 19: transparency of LNG and storages DSOs – include transparency platforms</w:t>
            </w:r>
          </w:p>
        </w:tc>
        <w:tc>
          <w:tcPr>
            <w:tcW w:w="1034" w:type="pct"/>
            <w:vAlign w:val="center"/>
          </w:tcPr>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 </w:t>
            </w:r>
            <w:r w:rsidR="00A178D8">
              <w:rPr>
                <w:noProof/>
              </w:rPr>
              <w:t>6</w:t>
            </w:r>
            <w:r w:rsidRPr="00DC621B">
              <w:rPr>
                <w:noProof/>
              </w:rPr>
              <w:t>.3.2</w:t>
            </w:r>
          </w:p>
        </w:tc>
        <w:tc>
          <w:tcPr>
            <w:tcW w:w="1034" w:type="pct"/>
            <w:vAlign w:val="center"/>
          </w:tcPr>
          <w:p w:rsidR="00F32665" w:rsidRPr="00DC621B" w:rsidRDefault="00F32665" w:rsidP="00F32665">
            <w:pPr>
              <w:jc w:val="left"/>
              <w:rPr>
                <w:noProof/>
                <w:szCs w:val="24"/>
              </w:rPr>
            </w:pPr>
            <w:r w:rsidRPr="00DC621B">
              <w:rPr>
                <w:noProof/>
                <w:szCs w:val="24"/>
              </w:rPr>
              <w:t xml:space="preserve">Problem Area II </w:t>
            </w:r>
          </w:p>
          <w:p w:rsidR="00F32665" w:rsidRPr="00DC621B" w:rsidRDefault="00F32665" w:rsidP="00F32665">
            <w:pPr>
              <w:jc w:val="left"/>
              <w:rPr>
                <w:noProof/>
                <w:szCs w:val="24"/>
              </w:rPr>
            </w:pPr>
            <w:r w:rsidRPr="00DC621B">
              <w:rPr>
                <w:noProof/>
                <w:szCs w:val="24"/>
              </w:rPr>
              <w:t>Chapter 2, paragraph 2.2.1.5</w:t>
            </w:r>
          </w:p>
          <w:p w:rsidR="00F32665" w:rsidRPr="00DC621B" w:rsidRDefault="00F32665" w:rsidP="00F32665">
            <w:pPr>
              <w:jc w:val="left"/>
              <w:rPr>
                <w:noProof/>
              </w:rPr>
            </w:pPr>
            <w:r w:rsidRPr="00DC621B">
              <w:rPr>
                <w:noProof/>
                <w:szCs w:val="24"/>
              </w:rPr>
              <w:t>Chapter 5, paragraph 5.2</w:t>
            </w:r>
          </w:p>
        </w:tc>
        <w:tc>
          <w:tcPr>
            <w:tcW w:w="1034" w:type="pct"/>
            <w:vAlign w:val="center"/>
          </w:tcPr>
          <w:p w:rsidR="00F32665" w:rsidRPr="002A0899" w:rsidRDefault="00F32665" w:rsidP="00F430AE">
            <w:pPr>
              <w:jc w:val="left"/>
              <w:rPr>
                <w:b/>
                <w:noProof/>
                <w:szCs w:val="24"/>
              </w:rPr>
            </w:pPr>
            <w:r w:rsidRPr="002A0899">
              <w:rPr>
                <w:b/>
                <w:noProof/>
                <w:szCs w:val="24"/>
              </w:rPr>
              <w:t>Gas Directive and Gas Regulation</w:t>
            </w:r>
          </w:p>
          <w:p w:rsidR="00F32665" w:rsidRPr="00DC621B" w:rsidRDefault="00F32665" w:rsidP="00F430AE">
            <w:pPr>
              <w:jc w:val="left"/>
              <w:rPr>
                <w:noProof/>
              </w:rPr>
            </w:pPr>
            <w:r w:rsidRPr="002A0899">
              <w:rPr>
                <w:b/>
                <w:noProof/>
                <w:szCs w:val="24"/>
              </w:rPr>
              <w:t>Renewables Energy Directive</w:t>
            </w:r>
          </w:p>
        </w:tc>
      </w:tr>
      <w:tr w:rsidR="00F32665" w:rsidRPr="00DC621B" w:rsidTr="001F2DE9">
        <w:tc>
          <w:tcPr>
            <w:tcW w:w="865" w:type="pct"/>
          </w:tcPr>
          <w:p w:rsidR="00F32665" w:rsidRPr="00DC621B" w:rsidRDefault="00F32665" w:rsidP="00B71626">
            <w:pPr>
              <w:rPr>
                <w:noProof/>
              </w:rPr>
            </w:pPr>
            <w:r w:rsidRPr="00DC621B">
              <w:rPr>
                <w:b/>
                <w:noProof/>
              </w:rPr>
              <w:t>Network Planning</w:t>
            </w:r>
          </w:p>
        </w:tc>
        <w:tc>
          <w:tcPr>
            <w:tcW w:w="1034" w:type="pct"/>
          </w:tcPr>
          <w:p w:rsidR="00F32665" w:rsidRPr="00DC621B" w:rsidRDefault="00F32665" w:rsidP="00B71626">
            <w:pPr>
              <w:rPr>
                <w:rFonts w:eastAsia="Calibri"/>
                <w:noProof/>
              </w:rPr>
            </w:pPr>
            <w:r w:rsidRPr="00DC621B">
              <w:rPr>
                <w:rFonts w:eastAsia="Calibri"/>
                <w:b/>
                <w:bCs/>
                <w:noProof/>
              </w:rPr>
              <w:t>Directive 2009/73/EC</w:t>
            </w:r>
          </w:p>
          <w:p w:rsidR="00F32665" w:rsidRPr="00DC621B" w:rsidRDefault="00F32665" w:rsidP="00D646E3">
            <w:pPr>
              <w:jc w:val="left"/>
              <w:rPr>
                <w:noProof/>
              </w:rPr>
            </w:pPr>
            <w:r w:rsidRPr="00DC621B">
              <w:rPr>
                <w:noProof/>
                <w:sz w:val="22"/>
              </w:rPr>
              <w:t xml:space="preserve">Article 14, 18, 20, 21, 22, 23, 35 and 41: Network planning of ISO and ITO amend and expand to other TSOs, connection rules, refusal of access </w:t>
            </w:r>
          </w:p>
        </w:tc>
        <w:tc>
          <w:tcPr>
            <w:tcW w:w="1034" w:type="pct"/>
            <w:vAlign w:val="center"/>
          </w:tcPr>
          <w:p w:rsidR="00F32665" w:rsidRPr="00DC621B" w:rsidRDefault="00F32665" w:rsidP="00C143D1">
            <w:pPr>
              <w:jc w:val="left"/>
              <w:rPr>
                <w:noProof/>
              </w:rPr>
            </w:pPr>
            <w:r w:rsidRPr="00DC621B">
              <w:rPr>
                <w:noProof/>
              </w:rPr>
              <w:t>Chapter 1, paragraph 1.</w:t>
            </w:r>
            <w:r w:rsidR="00522EE4">
              <w:rPr>
                <w:noProof/>
              </w:rPr>
              <w:t>1</w:t>
            </w:r>
          </w:p>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 </w:t>
            </w:r>
            <w:r w:rsidR="00A178D8">
              <w:rPr>
                <w:noProof/>
              </w:rPr>
              <w:t>6</w:t>
            </w:r>
            <w:r w:rsidRPr="00DC621B">
              <w:rPr>
                <w:noProof/>
              </w:rPr>
              <w:t>.3.3</w:t>
            </w:r>
          </w:p>
        </w:tc>
        <w:tc>
          <w:tcPr>
            <w:tcW w:w="1034" w:type="pct"/>
            <w:vAlign w:val="center"/>
          </w:tcPr>
          <w:p w:rsidR="00F32665" w:rsidRPr="00D646E3" w:rsidRDefault="00F32665" w:rsidP="00F32665">
            <w:pPr>
              <w:jc w:val="left"/>
              <w:rPr>
                <w:noProof/>
                <w:szCs w:val="24"/>
              </w:rPr>
            </w:pPr>
            <w:r w:rsidRPr="00D646E3">
              <w:rPr>
                <w:noProof/>
                <w:szCs w:val="24"/>
              </w:rPr>
              <w:t xml:space="preserve">Problem </w:t>
            </w:r>
            <w:r w:rsidR="00E57001" w:rsidRPr="00D646E3">
              <w:rPr>
                <w:noProof/>
                <w:szCs w:val="24"/>
              </w:rPr>
              <w:t>A</w:t>
            </w:r>
            <w:r w:rsidRPr="00D646E3">
              <w:rPr>
                <w:noProof/>
                <w:szCs w:val="24"/>
              </w:rPr>
              <w:t xml:space="preserve">rea III </w:t>
            </w:r>
          </w:p>
          <w:p w:rsidR="00F32665" w:rsidRPr="00D646E3" w:rsidRDefault="00F32665" w:rsidP="00F32665">
            <w:pPr>
              <w:jc w:val="left"/>
              <w:rPr>
                <w:noProof/>
                <w:szCs w:val="24"/>
              </w:rPr>
            </w:pPr>
            <w:r w:rsidRPr="00D646E3">
              <w:rPr>
                <w:noProof/>
                <w:szCs w:val="24"/>
              </w:rPr>
              <w:t>Chapter 2, paragraph 2.3</w:t>
            </w:r>
          </w:p>
          <w:p w:rsidR="00F32665" w:rsidRPr="00C134D1" w:rsidRDefault="00F32665" w:rsidP="00F32665">
            <w:pPr>
              <w:jc w:val="left"/>
              <w:rPr>
                <w:noProof/>
                <w:szCs w:val="24"/>
                <w:lang w:val="fr-BE"/>
              </w:rPr>
            </w:pPr>
            <w:r w:rsidRPr="00C134D1">
              <w:rPr>
                <w:noProof/>
                <w:szCs w:val="24"/>
                <w:lang w:val="fr-BE"/>
              </w:rPr>
              <w:t>Chapter 5, paragraphs 5.1, 5.3</w:t>
            </w:r>
          </w:p>
          <w:p w:rsidR="00F32665" w:rsidRPr="00C134D1" w:rsidRDefault="00F32665" w:rsidP="00F430AE">
            <w:pPr>
              <w:jc w:val="left"/>
              <w:rPr>
                <w:noProof/>
                <w:szCs w:val="24"/>
                <w:lang w:val="fr-BE"/>
              </w:rPr>
            </w:pPr>
            <w:r w:rsidRPr="00C134D1">
              <w:rPr>
                <w:noProof/>
                <w:szCs w:val="24"/>
                <w:lang w:val="fr-BE"/>
              </w:rPr>
              <w:t>Chapter 6, paragraph 6.3</w:t>
            </w:r>
          </w:p>
          <w:p w:rsidR="00F32665" w:rsidRPr="00C134D1" w:rsidRDefault="00F32665">
            <w:pPr>
              <w:jc w:val="left"/>
              <w:rPr>
                <w:noProof/>
                <w:szCs w:val="24"/>
                <w:lang w:val="fr-BE"/>
              </w:rPr>
            </w:pPr>
            <w:r w:rsidRPr="00C134D1">
              <w:rPr>
                <w:noProof/>
                <w:szCs w:val="24"/>
                <w:lang w:val="fr-BE"/>
              </w:rPr>
              <w:t>Chapter 7, paragraph 7.3</w:t>
            </w:r>
          </w:p>
          <w:p w:rsidR="00F32665" w:rsidRPr="00DC621B" w:rsidRDefault="00F32665">
            <w:pPr>
              <w:jc w:val="left"/>
              <w:rPr>
                <w:noProof/>
              </w:rPr>
            </w:pPr>
            <w:r w:rsidRPr="00DC621B">
              <w:rPr>
                <w:noProof/>
                <w:szCs w:val="24"/>
              </w:rPr>
              <w:t>Chapter 8, paragraph 8.3</w:t>
            </w:r>
          </w:p>
        </w:tc>
        <w:tc>
          <w:tcPr>
            <w:tcW w:w="1034" w:type="pct"/>
            <w:vAlign w:val="center"/>
          </w:tcPr>
          <w:p w:rsidR="00F32665" w:rsidRPr="00DC621B" w:rsidRDefault="00F32665">
            <w:pPr>
              <w:jc w:val="left"/>
              <w:rPr>
                <w:noProof/>
                <w:szCs w:val="24"/>
              </w:rPr>
            </w:pPr>
            <w:r w:rsidRPr="00DC621B">
              <w:rPr>
                <w:noProof/>
                <w:szCs w:val="24"/>
              </w:rPr>
              <w:t>TEN-E Regulation</w:t>
            </w:r>
          </w:p>
          <w:p w:rsidR="00F32665" w:rsidRPr="00DC621B" w:rsidRDefault="00F32665">
            <w:pPr>
              <w:jc w:val="left"/>
              <w:rPr>
                <w:noProof/>
                <w:szCs w:val="24"/>
              </w:rPr>
            </w:pPr>
            <w:r w:rsidRPr="00DC621B">
              <w:rPr>
                <w:noProof/>
                <w:szCs w:val="24"/>
              </w:rPr>
              <w:t>Renewables Energy Directive</w:t>
            </w:r>
          </w:p>
          <w:p w:rsidR="00F32665" w:rsidRPr="00DC621B" w:rsidRDefault="00F32665">
            <w:pPr>
              <w:jc w:val="left"/>
              <w:rPr>
                <w:noProof/>
              </w:rPr>
            </w:pPr>
            <w:r w:rsidRPr="00DC621B">
              <w:rPr>
                <w:noProof/>
                <w:szCs w:val="24"/>
              </w:rPr>
              <w:t>Electricity Directive</w:t>
            </w:r>
          </w:p>
        </w:tc>
      </w:tr>
      <w:tr w:rsidR="00F32665" w:rsidRPr="00DC621B" w:rsidTr="001F2DE9">
        <w:tc>
          <w:tcPr>
            <w:tcW w:w="865" w:type="pct"/>
            <w:vAlign w:val="center"/>
          </w:tcPr>
          <w:p w:rsidR="00F32665" w:rsidRPr="00DC621B" w:rsidRDefault="00F32665" w:rsidP="00C143D1">
            <w:pPr>
              <w:rPr>
                <w:noProof/>
              </w:rPr>
            </w:pPr>
            <w:r w:rsidRPr="00DC621B">
              <w:rPr>
                <w:b/>
                <w:noProof/>
              </w:rPr>
              <w:t>Consumer empowerment and protection</w:t>
            </w:r>
          </w:p>
        </w:tc>
        <w:tc>
          <w:tcPr>
            <w:tcW w:w="1034" w:type="pct"/>
          </w:tcPr>
          <w:p w:rsidR="00F32665" w:rsidRPr="00DC621B" w:rsidRDefault="00F32665" w:rsidP="00D646E3">
            <w:pPr>
              <w:jc w:val="left"/>
              <w:rPr>
                <w:rFonts w:eastAsia="Calibri"/>
                <w:noProof/>
              </w:rPr>
            </w:pPr>
            <w:r w:rsidRPr="00DC621B">
              <w:rPr>
                <w:rFonts w:eastAsia="Calibri"/>
                <w:b/>
                <w:bCs/>
                <w:noProof/>
              </w:rPr>
              <w:t>Directive 2009/73/EC</w:t>
            </w:r>
          </w:p>
          <w:p w:rsidR="00F32665" w:rsidRPr="00DC621B" w:rsidRDefault="00F32665" w:rsidP="00C143D1">
            <w:pPr>
              <w:rPr>
                <w:noProof/>
                <w:sz w:val="22"/>
              </w:rPr>
            </w:pPr>
            <w:r w:rsidRPr="00DC621B">
              <w:rPr>
                <w:noProof/>
                <w:sz w:val="22"/>
              </w:rPr>
              <w:t>Article 3: PSO</w:t>
            </w:r>
          </w:p>
          <w:p w:rsidR="00F32665" w:rsidRPr="00DC621B" w:rsidRDefault="00F32665" w:rsidP="00D646E3">
            <w:pPr>
              <w:jc w:val="left"/>
              <w:rPr>
                <w:noProof/>
                <w:sz w:val="22"/>
              </w:rPr>
            </w:pPr>
            <w:r w:rsidRPr="00DC621B">
              <w:rPr>
                <w:noProof/>
                <w:sz w:val="22"/>
              </w:rPr>
              <w:t>Article 45: consumers, energy poverty</w:t>
            </w:r>
          </w:p>
          <w:p w:rsidR="00F32665" w:rsidRPr="00DC621B" w:rsidRDefault="00F32665" w:rsidP="00D646E3">
            <w:pPr>
              <w:jc w:val="left"/>
              <w:rPr>
                <w:noProof/>
                <w:sz w:val="22"/>
              </w:rPr>
            </w:pPr>
            <w:r w:rsidRPr="00DC621B">
              <w:rPr>
                <w:noProof/>
                <w:sz w:val="22"/>
              </w:rPr>
              <w:t>Article 28 – closed networks, energy communities</w:t>
            </w:r>
            <w:r w:rsidRPr="00DC621B" w:rsidDel="00F346EB">
              <w:rPr>
                <w:noProof/>
                <w:sz w:val="22"/>
              </w:rPr>
              <w:t xml:space="preserve"> </w:t>
            </w:r>
          </w:p>
          <w:p w:rsidR="00F32665" w:rsidRPr="00DC621B" w:rsidRDefault="00F32665" w:rsidP="00D646E3">
            <w:pPr>
              <w:jc w:val="left"/>
              <w:rPr>
                <w:noProof/>
              </w:rPr>
            </w:pPr>
            <w:r w:rsidRPr="00DC621B">
              <w:rPr>
                <w:noProof/>
                <w:sz w:val="22"/>
              </w:rPr>
              <w:t>Annex I – consumer protection</w:t>
            </w:r>
          </w:p>
        </w:tc>
        <w:tc>
          <w:tcPr>
            <w:tcW w:w="1034" w:type="pct"/>
            <w:vAlign w:val="center"/>
          </w:tcPr>
          <w:p w:rsidR="00F32665" w:rsidRPr="00DC621B" w:rsidRDefault="00F32665" w:rsidP="00A178D8">
            <w:pPr>
              <w:jc w:val="left"/>
              <w:rPr>
                <w:noProof/>
              </w:rPr>
            </w:pPr>
            <w:r w:rsidRPr="00DC621B">
              <w:rPr>
                <w:noProof/>
              </w:rPr>
              <w:t xml:space="preserve">Chapter </w:t>
            </w:r>
            <w:r w:rsidR="00A178D8">
              <w:rPr>
                <w:noProof/>
              </w:rPr>
              <w:t>6</w:t>
            </w:r>
            <w:r w:rsidRPr="00DC621B">
              <w:rPr>
                <w:noProof/>
              </w:rPr>
              <w:t xml:space="preserve">, paragraphs </w:t>
            </w:r>
            <w:r w:rsidR="00A178D8">
              <w:rPr>
                <w:noProof/>
              </w:rPr>
              <w:t>6</w:t>
            </w:r>
            <w:r w:rsidRPr="00DC621B">
              <w:rPr>
                <w:noProof/>
              </w:rPr>
              <w:t xml:space="preserve">.1.2, </w:t>
            </w:r>
            <w:r w:rsidR="00A178D8">
              <w:rPr>
                <w:noProof/>
              </w:rPr>
              <w:t>6</w:t>
            </w:r>
            <w:r w:rsidRPr="00DC621B">
              <w:rPr>
                <w:noProof/>
              </w:rPr>
              <w:t>.3.5</w:t>
            </w:r>
          </w:p>
        </w:tc>
        <w:tc>
          <w:tcPr>
            <w:tcW w:w="1034" w:type="pct"/>
            <w:vAlign w:val="center"/>
          </w:tcPr>
          <w:p w:rsidR="00F32665" w:rsidRPr="00DC621B" w:rsidRDefault="00F32665" w:rsidP="00F32665">
            <w:pPr>
              <w:jc w:val="left"/>
              <w:rPr>
                <w:noProof/>
                <w:szCs w:val="24"/>
              </w:rPr>
            </w:pPr>
            <w:r w:rsidRPr="00DC621B">
              <w:rPr>
                <w:noProof/>
                <w:szCs w:val="24"/>
              </w:rPr>
              <w:t xml:space="preserve">Problem Area IV </w:t>
            </w:r>
          </w:p>
          <w:p w:rsidR="00F32665" w:rsidRPr="00DC621B" w:rsidRDefault="00F32665" w:rsidP="00F32665">
            <w:pPr>
              <w:jc w:val="left"/>
              <w:rPr>
                <w:noProof/>
                <w:szCs w:val="24"/>
              </w:rPr>
            </w:pPr>
            <w:r w:rsidRPr="00DC621B">
              <w:rPr>
                <w:noProof/>
                <w:szCs w:val="24"/>
              </w:rPr>
              <w:t>Chapter 2, paragraph 2.4</w:t>
            </w:r>
          </w:p>
          <w:p w:rsidR="00F32665" w:rsidRPr="00C134D1" w:rsidRDefault="00F32665" w:rsidP="00F32665">
            <w:pPr>
              <w:jc w:val="left"/>
              <w:rPr>
                <w:noProof/>
                <w:szCs w:val="24"/>
                <w:lang w:val="fr-BE"/>
              </w:rPr>
            </w:pPr>
            <w:r w:rsidRPr="00C134D1">
              <w:rPr>
                <w:noProof/>
                <w:szCs w:val="24"/>
                <w:lang w:val="fr-BE"/>
              </w:rPr>
              <w:t>Chapter 5, paragraph 5.4</w:t>
            </w:r>
          </w:p>
          <w:p w:rsidR="00F32665" w:rsidRPr="00C134D1" w:rsidRDefault="00F32665" w:rsidP="00F430AE">
            <w:pPr>
              <w:jc w:val="left"/>
              <w:rPr>
                <w:noProof/>
                <w:szCs w:val="24"/>
                <w:lang w:val="fr-BE"/>
              </w:rPr>
            </w:pPr>
            <w:r w:rsidRPr="00C134D1">
              <w:rPr>
                <w:noProof/>
                <w:szCs w:val="24"/>
                <w:lang w:val="fr-BE"/>
              </w:rPr>
              <w:t>Chapter 6, paragraph 6.4</w:t>
            </w:r>
          </w:p>
          <w:p w:rsidR="00F32665" w:rsidRPr="00C134D1" w:rsidRDefault="00F32665">
            <w:pPr>
              <w:jc w:val="left"/>
              <w:rPr>
                <w:noProof/>
                <w:szCs w:val="24"/>
                <w:lang w:val="fr-BE"/>
              </w:rPr>
            </w:pPr>
            <w:r w:rsidRPr="00C134D1">
              <w:rPr>
                <w:noProof/>
                <w:szCs w:val="24"/>
                <w:lang w:val="fr-BE"/>
              </w:rPr>
              <w:t>Chapter 7, paragraph 7.4</w:t>
            </w:r>
          </w:p>
          <w:p w:rsidR="00F32665" w:rsidRPr="00DC621B" w:rsidRDefault="00F32665">
            <w:pPr>
              <w:jc w:val="left"/>
              <w:rPr>
                <w:noProof/>
              </w:rPr>
            </w:pPr>
            <w:r w:rsidRPr="00DC621B">
              <w:rPr>
                <w:noProof/>
                <w:szCs w:val="24"/>
              </w:rPr>
              <w:t>Chapter 8, paragraph 8.4</w:t>
            </w:r>
          </w:p>
        </w:tc>
        <w:tc>
          <w:tcPr>
            <w:tcW w:w="1034" w:type="pct"/>
            <w:vAlign w:val="center"/>
          </w:tcPr>
          <w:p w:rsidR="00F32665" w:rsidRPr="00DC621B" w:rsidRDefault="00F32665">
            <w:pPr>
              <w:jc w:val="left"/>
              <w:rPr>
                <w:noProof/>
                <w:szCs w:val="24"/>
              </w:rPr>
            </w:pPr>
            <w:r w:rsidRPr="00DC621B">
              <w:rPr>
                <w:noProof/>
                <w:szCs w:val="24"/>
              </w:rPr>
              <w:t>Gas Directive and Gas Regulation</w:t>
            </w:r>
          </w:p>
          <w:p w:rsidR="00F32665" w:rsidRPr="00DC621B" w:rsidRDefault="00F32665">
            <w:pPr>
              <w:jc w:val="left"/>
              <w:rPr>
                <w:noProof/>
                <w:szCs w:val="24"/>
              </w:rPr>
            </w:pPr>
          </w:p>
          <w:p w:rsidR="00F32665" w:rsidRPr="00DC621B" w:rsidRDefault="00F32665">
            <w:pPr>
              <w:jc w:val="left"/>
              <w:rPr>
                <w:noProof/>
              </w:rPr>
            </w:pPr>
            <w:r w:rsidRPr="00DC621B">
              <w:rPr>
                <w:noProof/>
                <w:szCs w:val="24"/>
              </w:rPr>
              <w:t>Electricity Directive</w:t>
            </w:r>
          </w:p>
        </w:tc>
      </w:tr>
      <w:tr w:rsidR="00F32665" w:rsidRPr="00DC621B" w:rsidTr="001F2DE9">
        <w:tc>
          <w:tcPr>
            <w:tcW w:w="865" w:type="pct"/>
            <w:vAlign w:val="center"/>
          </w:tcPr>
          <w:p w:rsidR="00F32665" w:rsidRPr="00DC621B" w:rsidRDefault="00F32665" w:rsidP="00C143D1">
            <w:pPr>
              <w:rPr>
                <w:b/>
                <w:noProof/>
              </w:rPr>
            </w:pPr>
            <w:r w:rsidRPr="00DC621B">
              <w:rPr>
                <w:b/>
                <w:noProof/>
              </w:rPr>
              <w:t>Regulatory oversight</w:t>
            </w:r>
          </w:p>
          <w:p w:rsidR="00F32665" w:rsidRPr="00DC621B" w:rsidRDefault="00F32665" w:rsidP="007A34CA">
            <w:pPr>
              <w:rPr>
                <w:noProof/>
              </w:rPr>
            </w:pPr>
            <w:r w:rsidRPr="00DC621B">
              <w:rPr>
                <w:b/>
                <w:noProof/>
              </w:rPr>
              <w:t>(</w:t>
            </w:r>
            <w:r w:rsidR="007A34CA">
              <w:rPr>
                <w:b/>
                <w:noProof/>
              </w:rPr>
              <w:t>‘</w:t>
            </w:r>
            <w:r w:rsidRPr="00DC621B">
              <w:rPr>
                <w:b/>
                <w:noProof/>
              </w:rPr>
              <w:t>mirroring</w:t>
            </w:r>
            <w:r w:rsidR="007A34CA">
              <w:rPr>
                <w:b/>
                <w:noProof/>
              </w:rPr>
              <w:t>’</w:t>
            </w:r>
            <w:r w:rsidRPr="00DC621B">
              <w:rPr>
                <w:b/>
                <w:noProof/>
              </w:rPr>
              <w:t>)</w:t>
            </w:r>
          </w:p>
        </w:tc>
        <w:tc>
          <w:tcPr>
            <w:tcW w:w="1034" w:type="pct"/>
          </w:tcPr>
          <w:p w:rsidR="00F32665" w:rsidRPr="00DC621B" w:rsidRDefault="00F32665" w:rsidP="00AB1DA4">
            <w:pPr>
              <w:rPr>
                <w:rFonts w:eastAsia="Calibri"/>
                <w:noProof/>
              </w:rPr>
            </w:pPr>
            <w:r w:rsidRPr="00DC621B">
              <w:rPr>
                <w:rFonts w:eastAsia="Calibri"/>
                <w:b/>
                <w:bCs/>
                <w:noProof/>
              </w:rPr>
              <w:t>Directive 2009/73/EC</w:t>
            </w:r>
          </w:p>
          <w:p w:rsidR="00F32665" w:rsidRPr="00DC621B" w:rsidRDefault="00F32665" w:rsidP="00D646E3">
            <w:pPr>
              <w:jc w:val="left"/>
              <w:rPr>
                <w:noProof/>
                <w:sz w:val="22"/>
              </w:rPr>
            </w:pPr>
            <w:r w:rsidRPr="00DC621B">
              <w:rPr>
                <w:noProof/>
                <w:sz w:val="22"/>
              </w:rPr>
              <w:t>Article 40, 41, 42, 43, 44 – powers of NRAs</w:t>
            </w:r>
            <w:r w:rsidR="00F346EB">
              <w:rPr>
                <w:noProof/>
                <w:sz w:val="22"/>
              </w:rPr>
              <w:t xml:space="preserve"> </w:t>
            </w:r>
            <w:r w:rsidRPr="00DC621B">
              <w:rPr>
                <w:noProof/>
                <w:sz w:val="22"/>
              </w:rPr>
              <w:t>Gas Directive</w:t>
            </w:r>
          </w:p>
          <w:p w:rsidR="00F32665" w:rsidRPr="00DC621B" w:rsidRDefault="00F32665" w:rsidP="00C143D1">
            <w:pPr>
              <w:rPr>
                <w:b/>
                <w:bCs/>
                <w:noProof/>
              </w:rPr>
            </w:pPr>
            <w:r w:rsidRPr="00DC621B">
              <w:rPr>
                <w:b/>
                <w:bCs/>
                <w:noProof/>
              </w:rPr>
              <w:t>Regulation 715/2009</w:t>
            </w:r>
          </w:p>
          <w:p w:rsidR="00F32665" w:rsidRPr="00DC621B" w:rsidRDefault="00F32665" w:rsidP="00D646E3">
            <w:pPr>
              <w:jc w:val="left"/>
              <w:rPr>
                <w:noProof/>
              </w:rPr>
            </w:pPr>
            <w:r w:rsidRPr="00DC621B">
              <w:rPr>
                <w:noProof/>
                <w:sz w:val="22"/>
              </w:rPr>
              <w:t xml:space="preserve">Article 9  – ACER </w:t>
            </w:r>
          </w:p>
        </w:tc>
        <w:tc>
          <w:tcPr>
            <w:tcW w:w="1034" w:type="pct"/>
            <w:vAlign w:val="center"/>
          </w:tcPr>
          <w:p w:rsidR="00F32665" w:rsidRPr="00DC621B" w:rsidRDefault="00F32665" w:rsidP="00C143D1">
            <w:pPr>
              <w:jc w:val="left"/>
              <w:rPr>
                <w:noProof/>
              </w:rPr>
            </w:pPr>
            <w:r w:rsidRPr="00DC621B">
              <w:rPr>
                <w:noProof/>
              </w:rPr>
              <w:t>Chapter 2, paragraph</w:t>
            </w:r>
            <w:r w:rsidR="00522EE4">
              <w:rPr>
                <w:noProof/>
              </w:rPr>
              <w:t>s</w:t>
            </w:r>
            <w:r w:rsidRPr="00DC621B">
              <w:rPr>
                <w:noProof/>
              </w:rPr>
              <w:t xml:space="preserve"> 2.</w:t>
            </w:r>
            <w:r w:rsidRPr="00DC621B" w:rsidDel="00522EE4">
              <w:rPr>
                <w:noProof/>
              </w:rPr>
              <w:t>1</w:t>
            </w:r>
            <w:r w:rsidR="00522EE4">
              <w:rPr>
                <w:noProof/>
              </w:rPr>
              <w:t>, 2.2</w:t>
            </w:r>
            <w:r w:rsidRPr="00DC621B">
              <w:rPr>
                <w:noProof/>
              </w:rPr>
              <w:t xml:space="preserve"> </w:t>
            </w:r>
          </w:p>
          <w:p w:rsidR="00F32665" w:rsidRPr="00DC621B" w:rsidRDefault="00F32665" w:rsidP="00522EE4">
            <w:pPr>
              <w:jc w:val="left"/>
              <w:rPr>
                <w:noProof/>
              </w:rPr>
            </w:pPr>
            <w:r w:rsidRPr="00DC621B">
              <w:rPr>
                <w:noProof/>
              </w:rPr>
              <w:t xml:space="preserve">Chapter </w:t>
            </w:r>
            <w:r w:rsidR="00522EE4">
              <w:rPr>
                <w:noProof/>
              </w:rPr>
              <w:t>6</w:t>
            </w:r>
            <w:r w:rsidRPr="00DC621B">
              <w:rPr>
                <w:noProof/>
              </w:rPr>
              <w:t xml:space="preserve">, paragraph </w:t>
            </w:r>
            <w:r w:rsidR="00522EE4">
              <w:rPr>
                <w:noProof/>
              </w:rPr>
              <w:t>6</w:t>
            </w:r>
            <w:r w:rsidRPr="00DC621B">
              <w:rPr>
                <w:noProof/>
              </w:rPr>
              <w:t>.5.1</w:t>
            </w:r>
          </w:p>
        </w:tc>
        <w:tc>
          <w:tcPr>
            <w:tcW w:w="1034" w:type="pct"/>
          </w:tcPr>
          <w:p w:rsidR="00F32665" w:rsidRPr="00DC621B" w:rsidRDefault="00F32665" w:rsidP="00F32665">
            <w:pPr>
              <w:jc w:val="left"/>
              <w:rPr>
                <w:noProof/>
                <w:szCs w:val="24"/>
              </w:rPr>
            </w:pPr>
          </w:p>
          <w:p w:rsidR="00F32665" w:rsidRPr="00DC621B" w:rsidRDefault="00F32665" w:rsidP="00F32665">
            <w:pPr>
              <w:jc w:val="left"/>
              <w:rPr>
                <w:noProof/>
                <w:szCs w:val="24"/>
              </w:rPr>
            </w:pPr>
            <w:r w:rsidRPr="00DC621B">
              <w:rPr>
                <w:noProof/>
                <w:szCs w:val="24"/>
              </w:rPr>
              <w:t>Chapter 4, paragraph 3.2, 3.3</w:t>
            </w:r>
          </w:p>
          <w:p w:rsidR="00F32665" w:rsidRPr="00DC621B" w:rsidRDefault="00F32665" w:rsidP="00F32665">
            <w:pPr>
              <w:jc w:val="left"/>
              <w:rPr>
                <w:noProof/>
              </w:rPr>
            </w:pPr>
            <w:r w:rsidRPr="00DC621B">
              <w:rPr>
                <w:noProof/>
                <w:szCs w:val="24"/>
              </w:rPr>
              <w:t>Chapter 9, paragraph 9.5</w:t>
            </w:r>
          </w:p>
        </w:tc>
        <w:tc>
          <w:tcPr>
            <w:tcW w:w="1034" w:type="pct"/>
            <w:vAlign w:val="center"/>
          </w:tcPr>
          <w:p w:rsidR="00F32665" w:rsidRPr="00DC621B" w:rsidRDefault="00F32665" w:rsidP="00F32665">
            <w:pPr>
              <w:jc w:val="left"/>
              <w:rPr>
                <w:noProof/>
              </w:rPr>
            </w:pPr>
            <w:r w:rsidRPr="00DC621B">
              <w:rPr>
                <w:noProof/>
                <w:szCs w:val="24"/>
              </w:rPr>
              <w:t>Gas Directive, Gas Regulation and ACER Regulation</w:t>
            </w:r>
          </w:p>
        </w:tc>
      </w:tr>
    </w:tbl>
    <w:p w:rsidR="00F33530" w:rsidRPr="00706E41" w:rsidDel="00C2658F" w:rsidRDefault="002F6C3D" w:rsidP="00706E41">
      <w:pPr>
        <w:pStyle w:val="Heading1"/>
        <w:numPr>
          <w:ilvl w:val="0"/>
          <w:numId w:val="0"/>
        </w:numPr>
        <w:ind w:left="142"/>
        <w:rPr>
          <w:iCs/>
          <w:noProof/>
        </w:rPr>
      </w:pPr>
      <w:r w:rsidRPr="00DC621B">
        <w:rPr>
          <w:noProof/>
        </w:rPr>
        <w:t xml:space="preserve"> </w:t>
      </w:r>
      <w:bookmarkStart w:id="671" w:name="_Toc77600976"/>
      <w:bookmarkStart w:id="672" w:name="_Toc77682235"/>
      <w:bookmarkStart w:id="673" w:name="_Toc89688280"/>
      <w:bookmarkStart w:id="674" w:name="_Toc89882343"/>
      <w:r w:rsidR="00026C5F" w:rsidRPr="00D646E3">
        <w:rPr>
          <w:i/>
          <w:noProof/>
        </w:rPr>
        <w:t xml:space="preserve">Annex 4 </w:t>
      </w:r>
      <w:r w:rsidR="00026C5F" w:rsidRPr="00706E41">
        <w:rPr>
          <w:iCs/>
          <w:noProof/>
        </w:rPr>
        <w:t xml:space="preserve">– </w:t>
      </w:r>
      <w:r w:rsidR="00C2658F" w:rsidRPr="00706E41">
        <w:rPr>
          <w:iCs/>
          <w:noProof/>
        </w:rPr>
        <w:t>Specific aspects of Retail market competition and consumer gas prices, products and services</w:t>
      </w:r>
      <w:bookmarkStart w:id="675" w:name="_Toc77601084"/>
      <w:bookmarkEnd w:id="671"/>
      <w:bookmarkEnd w:id="672"/>
      <w:bookmarkEnd w:id="673"/>
      <w:bookmarkEnd w:id="674"/>
    </w:p>
    <w:bookmarkEnd w:id="675"/>
    <w:p w:rsidR="00AB1F6E" w:rsidRPr="00DC621B" w:rsidRDefault="00AB1F6E" w:rsidP="00740E1C">
      <w:pPr>
        <w:pStyle w:val="ListParagraph"/>
        <w:keepNext/>
        <w:numPr>
          <w:ilvl w:val="0"/>
          <w:numId w:val="352"/>
        </w:numPr>
        <w:spacing w:line="259" w:lineRule="auto"/>
        <w:jc w:val="left"/>
        <w:rPr>
          <w:bCs/>
          <w:noProof/>
          <w:szCs w:val="24"/>
          <w:u w:val="single"/>
        </w:rPr>
      </w:pPr>
      <w:r w:rsidRPr="00DC621B">
        <w:rPr>
          <w:bCs/>
          <w:noProof/>
          <w:szCs w:val="24"/>
          <w:u w:val="single"/>
        </w:rPr>
        <w:t>Market concentration</w:t>
      </w:r>
    </w:p>
    <w:p w:rsidR="00AB1F6E" w:rsidRPr="00DC621B" w:rsidRDefault="00F01DBE" w:rsidP="00AB1F6E">
      <w:pPr>
        <w:rPr>
          <w:noProof/>
        </w:rPr>
      </w:pPr>
      <w:r w:rsidRPr="00DC621B">
        <w:rPr>
          <w:noProof/>
        </w:rPr>
        <w:t>The figures below show a high concentration in retail gas markets for households in the majority of the Member States, measured by the concentration ratio CR3</w:t>
      </w:r>
      <w:r w:rsidRPr="00DC621B">
        <w:rPr>
          <w:rStyle w:val="FootnoteReference"/>
          <w:noProof/>
        </w:rPr>
        <w:footnoteReference w:id="216"/>
      </w:r>
      <w:r w:rsidR="00364A40">
        <w:rPr>
          <w:noProof/>
        </w:rPr>
        <w:t>.</w:t>
      </w:r>
    </w:p>
    <w:p w:rsidR="00AB1F6E" w:rsidRPr="00DC621B" w:rsidRDefault="00AB1F6E" w:rsidP="00740E1C">
      <w:pPr>
        <w:jc w:val="center"/>
        <w:rPr>
          <w:b/>
          <w:bCs/>
          <w:noProof/>
        </w:rPr>
      </w:pPr>
      <w:r w:rsidRPr="00DC621B">
        <w:rPr>
          <w:noProof/>
          <w:lang w:val="en-US"/>
        </w:rPr>
        <w:drawing>
          <wp:inline distT="0" distB="0" distL="0" distR="0" wp14:anchorId="4E4A0AF1" wp14:editId="0992A23C">
            <wp:extent cx="4589647" cy="219807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8181" cy="2216532"/>
                    </a:xfrm>
                    <a:prstGeom prst="rect">
                      <a:avLst/>
                    </a:prstGeom>
                  </pic:spPr>
                </pic:pic>
              </a:graphicData>
            </a:graphic>
          </wp:inline>
        </w:drawing>
      </w:r>
    </w:p>
    <w:p w:rsidR="00E57001" w:rsidRPr="00E57001" w:rsidRDefault="00AB1F6E" w:rsidP="00FA7B3E">
      <w:pPr>
        <w:pStyle w:val="Caption"/>
        <w:ind w:left="426"/>
        <w:rPr>
          <w:noProof/>
        </w:rPr>
      </w:pPr>
      <w:bookmarkStart w:id="676" w:name="_Toc77682864"/>
      <w:bookmarkStart w:id="677" w:name="_Toc89882417"/>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5</w:t>
      </w:r>
      <w:r w:rsidR="0002695B">
        <w:rPr>
          <w:noProof/>
        </w:rPr>
        <w:fldChar w:fldCharType="end"/>
      </w:r>
      <w:r w:rsidR="00371D15" w:rsidRPr="00DC621B">
        <w:rPr>
          <w:noProof/>
        </w:rPr>
        <w:t>:</w:t>
      </w:r>
      <w:r w:rsidRPr="00DC621B">
        <w:rPr>
          <w:noProof/>
        </w:rPr>
        <w:t xml:space="preserve"> Market shares of three largest gas suppliers for households by metering points and number of suppliers for households with a market share above 5% by metering points</w:t>
      </w:r>
      <w:bookmarkEnd w:id="676"/>
      <w:bookmarkEnd w:id="677"/>
    </w:p>
    <w:p w:rsidR="00B20B17" w:rsidRPr="00DC621B" w:rsidRDefault="00B20B17" w:rsidP="00B20B17">
      <w:pPr>
        <w:rPr>
          <w:noProof/>
        </w:rPr>
      </w:pPr>
      <w:r w:rsidRPr="00DC621B">
        <w:rPr>
          <w:noProof/>
        </w:rPr>
        <w:t>The decline in average market share of the three largest supplier has declined continuous</w:t>
      </w:r>
      <w:r>
        <w:rPr>
          <w:noProof/>
        </w:rPr>
        <w:t>ly</w:t>
      </w:r>
      <w:r w:rsidRPr="00DC621B">
        <w:rPr>
          <w:noProof/>
        </w:rPr>
        <w:t xml:space="preserve"> between 2011 and 2015 from 87</w:t>
      </w:r>
      <w:r>
        <w:rPr>
          <w:noProof/>
        </w:rPr>
        <w:t>.</w:t>
      </w:r>
      <w:r w:rsidRPr="00DC621B">
        <w:rPr>
          <w:noProof/>
        </w:rPr>
        <w:t>1% to 84</w:t>
      </w:r>
      <w:r>
        <w:rPr>
          <w:noProof/>
        </w:rPr>
        <w:t>.</w:t>
      </w:r>
      <w:r w:rsidRPr="00DC621B">
        <w:rPr>
          <w:noProof/>
        </w:rPr>
        <w:t>5%, with a slight increase in 2016 to 84</w:t>
      </w:r>
      <w:r>
        <w:rPr>
          <w:noProof/>
        </w:rPr>
        <w:t>.</w:t>
      </w:r>
      <w:r w:rsidRPr="00DC621B">
        <w:rPr>
          <w:noProof/>
        </w:rPr>
        <w:t>6%.</w:t>
      </w:r>
    </w:p>
    <w:p w:rsidR="00AB1F6E" w:rsidRPr="00DC621B" w:rsidRDefault="00AB1F6E" w:rsidP="00D646E3">
      <w:pPr>
        <w:ind w:firstLine="720"/>
        <w:jc w:val="center"/>
        <w:rPr>
          <w:noProof/>
          <w:u w:val="single"/>
        </w:rPr>
      </w:pPr>
      <w:r w:rsidRPr="00DC621B">
        <w:rPr>
          <w:noProof/>
          <w:lang w:val="en-US"/>
        </w:rPr>
        <w:drawing>
          <wp:inline distT="0" distB="0" distL="0" distR="0" wp14:anchorId="596693BD" wp14:editId="4F3E9F7D">
            <wp:extent cx="4717992" cy="287801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9685" cy="2909548"/>
                    </a:xfrm>
                    <a:prstGeom prst="rect">
                      <a:avLst/>
                    </a:prstGeom>
                  </pic:spPr>
                </pic:pic>
              </a:graphicData>
            </a:graphic>
          </wp:inline>
        </w:drawing>
      </w:r>
    </w:p>
    <w:p w:rsidR="00AB1F6E" w:rsidRPr="00DC621B" w:rsidRDefault="00AB1F6E" w:rsidP="00D646E3">
      <w:pPr>
        <w:pStyle w:val="Caption"/>
        <w:ind w:left="142"/>
        <w:rPr>
          <w:noProof/>
        </w:rPr>
      </w:pPr>
      <w:bookmarkStart w:id="678" w:name="_Toc89882418"/>
      <w:bookmarkStart w:id="679" w:name="_Toc77682865"/>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6</w:t>
      </w:r>
      <w:r w:rsidR="0002695B">
        <w:rPr>
          <w:noProof/>
        </w:rPr>
        <w:fldChar w:fldCharType="end"/>
      </w:r>
      <w:r w:rsidR="00371D15" w:rsidRPr="00DC621B">
        <w:rPr>
          <w:noProof/>
        </w:rPr>
        <w:t>:</w:t>
      </w:r>
      <w:r w:rsidRPr="00DC621B">
        <w:rPr>
          <w:noProof/>
        </w:rPr>
        <w:t xml:space="preserve"> Market share of the three largest suppliers in the market for households – Gas (by metering points, in %)</w:t>
      </w:r>
      <w:bookmarkEnd w:id="678"/>
      <w:bookmarkEnd w:id="679"/>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Market services and products</w:t>
      </w:r>
    </w:p>
    <w:p w:rsidR="00AB1F6E" w:rsidRPr="00DC621B" w:rsidRDefault="00AB1F6E" w:rsidP="00AB1F6E">
      <w:pPr>
        <w:rPr>
          <w:noProof/>
        </w:rPr>
      </w:pPr>
      <w:r w:rsidRPr="00DC621B">
        <w:rPr>
          <w:noProof/>
        </w:rPr>
        <w:t>Although low prices are the most commonly thought of way for firms to attract consumers, firms may also seek to distinguish their products by other means. These may include quality of service, convenience, an environmentally sustainable product, or any other non-price aspect that adds value for consumer</w:t>
      </w:r>
      <w:r w:rsidR="007D09B4">
        <w:rPr>
          <w:noProof/>
        </w:rPr>
        <w:t>s</w:t>
      </w:r>
      <w:r w:rsidRPr="00DC621B">
        <w:rPr>
          <w:noProof/>
        </w:rPr>
        <w:t>. The diversity of products available in a market is therefore also a good indication of the health of competition.</w:t>
      </w:r>
    </w:p>
    <w:p w:rsidR="007D09B4" w:rsidRDefault="00AB1F6E" w:rsidP="00D646E3">
      <w:pPr>
        <w:rPr>
          <w:noProof/>
        </w:rPr>
      </w:pPr>
      <w:r w:rsidRPr="00DC621B">
        <w:rPr>
          <w:noProof/>
        </w:rPr>
        <w:t xml:space="preserve">By the end of 2014, in total, almost one quarter of gas offers were marketed as green. Dual-fuel offers (electricity and gas), comprised more than 35% of all offers on </w:t>
      </w:r>
      <w:r w:rsidR="00C24546">
        <w:rPr>
          <w:noProof/>
        </w:rPr>
        <w:t>PCTs</w:t>
      </w:r>
      <w:r w:rsidRPr="00DC621B">
        <w:rPr>
          <w:noProof/>
        </w:rPr>
        <w:t xml:space="preserve"> in Amsterdam, Brussels, Dublin, Lisbon, London and Paris – capitals with traditionally higher consumption of gas. And at the end of 2014, 12% of all gas offers presented in the </w:t>
      </w:r>
      <w:r w:rsidR="00C24546">
        <w:rPr>
          <w:noProof/>
        </w:rPr>
        <w:t>PCTs</w:t>
      </w:r>
      <w:r w:rsidRPr="00DC621B">
        <w:rPr>
          <w:noProof/>
        </w:rPr>
        <w:t xml:space="preserve"> across Europe included an additional service</w:t>
      </w:r>
      <w:r w:rsidRPr="00DC621B">
        <w:rPr>
          <w:rStyle w:val="FootnoteReference"/>
          <w:noProof/>
        </w:rPr>
        <w:footnoteReference w:id="217"/>
      </w:r>
      <w:r w:rsidR="00364A40">
        <w:rPr>
          <w:noProof/>
        </w:rPr>
        <w:t>,</w:t>
      </w:r>
      <w:r w:rsidRPr="00DC621B">
        <w:rPr>
          <w:noProof/>
        </w:rPr>
        <w:t xml:space="preserve"> up from 4% and 7% respectively from just the previous year</w:t>
      </w:r>
      <w:r w:rsidRPr="00DC621B">
        <w:rPr>
          <w:rStyle w:val="FootnoteReference"/>
          <w:noProof/>
        </w:rPr>
        <w:footnoteReference w:id="218"/>
      </w:r>
      <w:r w:rsidR="00364A40">
        <w:rPr>
          <w:noProof/>
        </w:rPr>
        <w:t>.</w:t>
      </w:r>
    </w:p>
    <w:p w:rsidR="00AB1F6E" w:rsidRPr="00DC621B" w:rsidRDefault="00AB1F6E" w:rsidP="00D646E3">
      <w:pPr>
        <w:rPr>
          <w:noProof/>
        </w:rPr>
      </w:pPr>
      <w:r w:rsidRPr="00DC621B">
        <w:rPr>
          <w:noProof/>
        </w:rPr>
        <w:t>Despite these early strides made by green offers on the gas market by the end of 2014, more recent data suggests a downwards trend between 2018 and 2019 in availability of fixed, mixed, variable, online and green offers (</w:t>
      </w:r>
      <w:r w:rsidR="00DC621B" w:rsidRPr="00DC621B">
        <w:rPr>
          <w:noProof/>
        </w:rPr>
        <w:t>F</w:t>
      </w:r>
      <w:r w:rsidRPr="00DC621B">
        <w:rPr>
          <w:noProof/>
        </w:rPr>
        <w:t xml:space="preserve">igure </w:t>
      </w:r>
      <w:r w:rsidR="007D09B4">
        <w:rPr>
          <w:noProof/>
        </w:rPr>
        <w:t>7</w:t>
      </w:r>
      <w:r w:rsidRPr="00DC621B">
        <w:rPr>
          <w:noProof/>
        </w:rPr>
        <w:t>).</w:t>
      </w:r>
    </w:p>
    <w:p w:rsidR="00AB1F6E" w:rsidRPr="00DC621B" w:rsidRDefault="00AB1F6E" w:rsidP="001C4954">
      <w:pPr>
        <w:keepNext/>
        <w:jc w:val="center"/>
        <w:rPr>
          <w:noProof/>
          <w:szCs w:val="24"/>
        </w:rPr>
      </w:pPr>
      <w:r w:rsidRPr="00DC621B">
        <w:rPr>
          <w:noProof/>
          <w:lang w:val="en-US"/>
        </w:rPr>
        <w:drawing>
          <wp:inline distT="0" distB="0" distL="0" distR="0" wp14:anchorId="3079527B" wp14:editId="395E0AE1">
            <wp:extent cx="5174960" cy="35623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5347" cy="3576384"/>
                    </a:xfrm>
                    <a:prstGeom prst="rect">
                      <a:avLst/>
                    </a:prstGeom>
                  </pic:spPr>
                </pic:pic>
              </a:graphicData>
            </a:graphic>
          </wp:inline>
        </w:drawing>
      </w:r>
    </w:p>
    <w:p w:rsidR="00AB1F6E" w:rsidRPr="00DC621B" w:rsidRDefault="00AB1F6E" w:rsidP="00D646E3">
      <w:pPr>
        <w:pStyle w:val="Caption"/>
        <w:ind w:left="426"/>
        <w:jc w:val="left"/>
        <w:rPr>
          <w:noProof/>
        </w:rPr>
      </w:pPr>
      <w:bookmarkStart w:id="680" w:name="_Toc89882419"/>
      <w:bookmarkStart w:id="681" w:name="_Toc77682866"/>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7</w:t>
      </w:r>
      <w:r w:rsidR="0002695B">
        <w:rPr>
          <w:noProof/>
        </w:rPr>
        <w:fldChar w:fldCharType="end"/>
      </w:r>
      <w:r w:rsidR="00371D15" w:rsidRPr="00DC621B">
        <w:rPr>
          <w:noProof/>
        </w:rPr>
        <w:t>:</w:t>
      </w:r>
      <w:r w:rsidRPr="00DC621B">
        <w:rPr>
          <w:noProof/>
        </w:rPr>
        <w:t xml:space="preserve"> Number of Member States where the offer is available</w:t>
      </w:r>
      <w:bookmarkEnd w:id="680"/>
      <w:bookmarkEnd w:id="681"/>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Retail price regulation</w:t>
      </w:r>
    </w:p>
    <w:p w:rsidR="00AB1F6E" w:rsidRPr="00DC621B" w:rsidRDefault="00AB1F6E" w:rsidP="00AB1F6E">
      <w:pPr>
        <w:rPr>
          <w:noProof/>
        </w:rPr>
      </w:pPr>
      <w:r w:rsidRPr="00DC621B">
        <w:rPr>
          <w:noProof/>
        </w:rPr>
        <w:t xml:space="preserve">Distortive retail price regulation continues to remain in place in different forms across various Member States in the EU, with some Member States intervening in consumers’ energy prices. Figure </w:t>
      </w:r>
      <w:r w:rsidR="007D09B4">
        <w:rPr>
          <w:noProof/>
        </w:rPr>
        <w:t>8</w:t>
      </w:r>
      <w:r w:rsidRPr="00DC621B">
        <w:rPr>
          <w:noProof/>
        </w:rPr>
        <w:t xml:space="preserve"> shows the level of price intervention in both electricity and gas across the EU.</w:t>
      </w:r>
    </w:p>
    <w:p w:rsidR="00AB1F6E" w:rsidRPr="00DC621B" w:rsidRDefault="00AB1F6E" w:rsidP="00D646E3">
      <w:pPr>
        <w:jc w:val="center"/>
        <w:rPr>
          <w:rFonts w:ascii="Arial" w:hAnsi="Arial" w:cs="Arial"/>
          <w:noProof/>
          <w:lang w:eastAsia="en-GB"/>
        </w:rPr>
      </w:pPr>
      <w:r w:rsidRPr="00DC621B">
        <w:rPr>
          <w:noProof/>
          <w:lang w:val="en-US"/>
        </w:rPr>
        <w:drawing>
          <wp:inline distT="0" distB="0" distL="0" distR="0" wp14:anchorId="67D43D8A" wp14:editId="5449D53C">
            <wp:extent cx="5486400" cy="26711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6673" cy="2685910"/>
                    </a:xfrm>
                    <a:prstGeom prst="rect">
                      <a:avLst/>
                    </a:prstGeom>
                  </pic:spPr>
                </pic:pic>
              </a:graphicData>
            </a:graphic>
          </wp:inline>
        </w:drawing>
      </w:r>
    </w:p>
    <w:p w:rsidR="00AB1F6E" w:rsidRPr="00DC621B" w:rsidRDefault="00AB1F6E" w:rsidP="00D646E3">
      <w:pPr>
        <w:pStyle w:val="Caption"/>
        <w:keepNext/>
        <w:ind w:left="426"/>
        <w:jc w:val="left"/>
        <w:rPr>
          <w:noProof/>
        </w:rPr>
      </w:pPr>
      <w:bookmarkStart w:id="682" w:name="_Toc89882420"/>
      <w:bookmarkStart w:id="683" w:name="_Toc77682867"/>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8</w:t>
      </w:r>
      <w:r w:rsidR="0002695B">
        <w:rPr>
          <w:noProof/>
        </w:rPr>
        <w:fldChar w:fldCharType="end"/>
      </w:r>
      <w:r w:rsidR="00371D15" w:rsidRPr="00DC621B">
        <w:rPr>
          <w:noProof/>
        </w:rPr>
        <w:t>:</w:t>
      </w:r>
      <w:r w:rsidRPr="00DC621B">
        <w:rPr>
          <w:noProof/>
        </w:rPr>
        <w:t xml:space="preserve"> Existence of price intervention in electricity and in natural gas in 2019</w:t>
      </w:r>
      <w:bookmarkEnd w:id="682"/>
      <w:bookmarkEnd w:id="683"/>
    </w:p>
    <w:p w:rsidR="007D09B4" w:rsidRPr="00DC621B" w:rsidRDefault="00AB1F6E" w:rsidP="00AB1F6E">
      <w:pPr>
        <w:rPr>
          <w:noProof/>
        </w:rPr>
      </w:pPr>
      <w:r w:rsidRPr="00DC621B">
        <w:rPr>
          <w:noProof/>
        </w:rPr>
        <w:t>Artificially low regulated prices (even without pushing them below costs) limit market entry and innovation, prompt consumers to disengage from the switching process and consequently hinder competition in retail markets. In addition, they may increase investor uncertainty and impact the long-term security of supply. Furthermore, regulated prices (even when set above costs) can act as a pricing focal point which competing suppliers are able to cluster around and – at least in markets featuring strong consumer inertia – can also consider</w:t>
      </w:r>
      <w:r w:rsidRPr="00DC621B">
        <w:rPr>
          <w:noProof/>
        </w:rPr>
        <w:softHyphen/>
        <w:t xml:space="preserve">ably dilute competition and foreclose markets as indicated in </w:t>
      </w:r>
      <w:r w:rsidR="00DC621B" w:rsidRPr="00DC621B">
        <w:rPr>
          <w:noProof/>
        </w:rPr>
        <w:t>F</w:t>
      </w:r>
      <w:r w:rsidRPr="00DC621B">
        <w:rPr>
          <w:noProof/>
        </w:rPr>
        <w:t xml:space="preserve">igure </w:t>
      </w:r>
      <w:r w:rsidR="007D09B4">
        <w:rPr>
          <w:noProof/>
        </w:rPr>
        <w:t>9</w:t>
      </w:r>
      <w:r w:rsidRPr="00DC621B">
        <w:rPr>
          <w:noProof/>
        </w:rPr>
        <w:t xml:space="preserve"> below.</w:t>
      </w:r>
    </w:p>
    <w:p w:rsidR="00AB1F6E" w:rsidRPr="00DC621B" w:rsidRDefault="00AB1F6E" w:rsidP="00D646E3">
      <w:pPr>
        <w:jc w:val="center"/>
        <w:rPr>
          <w:noProof/>
        </w:rPr>
      </w:pPr>
      <w:r w:rsidRPr="00DC621B">
        <w:rPr>
          <w:noProof/>
          <w:lang w:val="en-US"/>
        </w:rPr>
        <w:drawing>
          <wp:inline distT="0" distB="0" distL="0" distR="0" wp14:anchorId="2F865389" wp14:editId="4F3F8875">
            <wp:extent cx="3994150" cy="2913691"/>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0622" cy="2947592"/>
                    </a:xfrm>
                    <a:prstGeom prst="rect">
                      <a:avLst/>
                    </a:prstGeom>
                  </pic:spPr>
                </pic:pic>
              </a:graphicData>
            </a:graphic>
          </wp:inline>
        </w:drawing>
      </w:r>
    </w:p>
    <w:p w:rsidR="00AB1F6E" w:rsidRPr="00DC621B" w:rsidRDefault="00AB1F6E" w:rsidP="00D646E3">
      <w:pPr>
        <w:pStyle w:val="Caption"/>
        <w:spacing w:after="0"/>
        <w:ind w:left="426"/>
        <w:jc w:val="left"/>
        <w:rPr>
          <w:noProof/>
        </w:rPr>
      </w:pPr>
      <w:bookmarkStart w:id="684" w:name="_Toc77682868"/>
      <w:bookmarkStart w:id="685" w:name="_Toc89882421"/>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9</w:t>
      </w:r>
      <w:r w:rsidR="0002695B">
        <w:rPr>
          <w:noProof/>
        </w:rPr>
        <w:fldChar w:fldCharType="end"/>
      </w:r>
      <w:r w:rsidR="00371D15" w:rsidRPr="00DC621B">
        <w:rPr>
          <w:noProof/>
        </w:rPr>
        <w:t xml:space="preserve">: </w:t>
      </w:r>
      <w:r w:rsidRPr="00DC621B">
        <w:rPr>
          <w:noProof/>
        </w:rPr>
        <w:t>Performance indicators – Market foreclosure by price regulation</w:t>
      </w:r>
      <w:bookmarkEnd w:id="684"/>
      <w:bookmarkEnd w:id="685"/>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Supplier of last resort schemes</w:t>
      </w:r>
    </w:p>
    <w:p w:rsidR="00AB1F6E" w:rsidRPr="00DC621B" w:rsidRDefault="00AB1F6E" w:rsidP="00AB1F6E">
      <w:pPr>
        <w:rPr>
          <w:noProof/>
        </w:rPr>
      </w:pPr>
      <w:r w:rsidRPr="00DC621B">
        <w:rPr>
          <w:noProof/>
        </w:rPr>
        <w:t xml:space="preserve">In case of supplier’s bankruptcy, consumers tend to pay more than before they were served by a SoLR. Indeed, Figure </w:t>
      </w:r>
      <w:r w:rsidR="007D09B4">
        <w:rPr>
          <w:noProof/>
        </w:rPr>
        <w:t>10</w:t>
      </w:r>
      <w:r w:rsidRPr="00DC621B">
        <w:rPr>
          <w:noProof/>
        </w:rPr>
        <w:t xml:space="preserve"> below confirms that gas prices in the context of a SoLR scheme tend, on average, to be higher than the prices paid by consumers served by non-S</w:t>
      </w:r>
      <w:r w:rsidR="007D682A">
        <w:rPr>
          <w:noProof/>
        </w:rPr>
        <w:t>o</w:t>
      </w:r>
      <w:r w:rsidRPr="00DC621B">
        <w:rPr>
          <w:noProof/>
        </w:rPr>
        <w:t>LR suppliers in the majority of Member States</w:t>
      </w:r>
      <w:r w:rsidRPr="00DC621B">
        <w:rPr>
          <w:rStyle w:val="FootnoteReference"/>
          <w:noProof/>
        </w:rPr>
        <w:footnoteReference w:id="219"/>
      </w:r>
      <w:r w:rsidR="00364A40">
        <w:rPr>
          <w:noProof/>
        </w:rPr>
        <w:t>.</w:t>
      </w:r>
      <w:r w:rsidRPr="00DC621B">
        <w:rPr>
          <w:noProof/>
        </w:rPr>
        <w:t xml:space="preserve"> </w:t>
      </w:r>
    </w:p>
    <w:p w:rsidR="00AB1F6E" w:rsidRPr="00DC621B" w:rsidRDefault="00AB1F6E" w:rsidP="00855EF8">
      <w:pPr>
        <w:jc w:val="center"/>
        <w:rPr>
          <w:noProof/>
        </w:rPr>
      </w:pPr>
      <w:r w:rsidRPr="00DC621B">
        <w:rPr>
          <w:noProof/>
          <w:lang w:val="en-US"/>
        </w:rPr>
        <w:drawing>
          <wp:inline distT="0" distB="0" distL="0" distR="0" wp14:anchorId="5362DA9A" wp14:editId="12692794">
            <wp:extent cx="5238750" cy="268232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04322" cy="2715894"/>
                    </a:xfrm>
                    <a:prstGeom prst="rect">
                      <a:avLst/>
                    </a:prstGeom>
                  </pic:spPr>
                </pic:pic>
              </a:graphicData>
            </a:graphic>
          </wp:inline>
        </w:drawing>
      </w:r>
    </w:p>
    <w:p w:rsidR="00AB1F6E" w:rsidRPr="00DC621B" w:rsidRDefault="00AB1F6E" w:rsidP="00855EF8">
      <w:pPr>
        <w:pStyle w:val="Caption"/>
        <w:ind w:left="426"/>
        <w:jc w:val="left"/>
        <w:rPr>
          <w:noProof/>
        </w:rPr>
      </w:pPr>
      <w:bookmarkStart w:id="686" w:name="_Toc89882422"/>
      <w:bookmarkStart w:id="687" w:name="_Toc77682869"/>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10</w:t>
      </w:r>
      <w:r w:rsidR="0002695B">
        <w:rPr>
          <w:noProof/>
        </w:rPr>
        <w:fldChar w:fldCharType="end"/>
      </w:r>
      <w:r w:rsidR="00371D15" w:rsidRPr="00DC621B">
        <w:rPr>
          <w:noProof/>
        </w:rPr>
        <w:t>:</w:t>
      </w:r>
      <w:r w:rsidRPr="00DC621B">
        <w:rPr>
          <w:noProof/>
        </w:rPr>
        <w:t xml:space="preserve"> SoLR energy price compared to conventional energy prices in EU Member States and Norway – 2018</w:t>
      </w:r>
      <w:bookmarkEnd w:id="686"/>
      <w:bookmarkEnd w:id="687"/>
    </w:p>
    <w:p w:rsidR="00AB1F6E" w:rsidRPr="00DC621B" w:rsidRDefault="00AB1F6E" w:rsidP="00AB1F6E">
      <w:pPr>
        <w:rPr>
          <w:noProof/>
        </w:rPr>
      </w:pPr>
      <w:r w:rsidRPr="00DC621B">
        <w:rPr>
          <w:noProof/>
        </w:rPr>
        <w:t>In addition, all but seven Member States intervene in price setting of the SoLR in some fashion (</w:t>
      </w:r>
      <w:r w:rsidR="00DC621B" w:rsidRPr="00DC621B">
        <w:rPr>
          <w:noProof/>
        </w:rPr>
        <w:t>F</w:t>
      </w:r>
      <w:r w:rsidRPr="00DC621B">
        <w:rPr>
          <w:noProof/>
        </w:rPr>
        <w:t xml:space="preserve">igure </w:t>
      </w:r>
      <w:r w:rsidR="007D09B4">
        <w:rPr>
          <w:noProof/>
        </w:rPr>
        <w:t>11</w:t>
      </w:r>
      <w:r w:rsidRPr="00DC621B">
        <w:rPr>
          <w:noProof/>
        </w:rPr>
        <w:t xml:space="preserve">). </w:t>
      </w:r>
    </w:p>
    <w:p w:rsidR="00AB1F6E" w:rsidRPr="00DC621B" w:rsidRDefault="00AB1F6E" w:rsidP="00855EF8">
      <w:pPr>
        <w:jc w:val="center"/>
        <w:rPr>
          <w:noProof/>
        </w:rPr>
      </w:pPr>
      <w:r w:rsidRPr="00DC621B">
        <w:rPr>
          <w:noProof/>
          <w:lang w:val="en-US"/>
        </w:rPr>
        <w:drawing>
          <wp:inline distT="0" distB="0" distL="0" distR="0" wp14:anchorId="6720263D" wp14:editId="5767EB51">
            <wp:extent cx="5099050" cy="2374161"/>
            <wp:effectExtent l="0" t="0" r="635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3956" cy="2399726"/>
                    </a:xfrm>
                    <a:prstGeom prst="rect">
                      <a:avLst/>
                    </a:prstGeom>
                  </pic:spPr>
                </pic:pic>
              </a:graphicData>
            </a:graphic>
          </wp:inline>
        </w:drawing>
      </w:r>
    </w:p>
    <w:p w:rsidR="00AB1F6E" w:rsidRPr="00DC621B" w:rsidRDefault="00AB1F6E" w:rsidP="00FA7B3E">
      <w:pPr>
        <w:pStyle w:val="Caption"/>
        <w:ind w:left="426"/>
        <w:jc w:val="left"/>
        <w:rPr>
          <w:noProof/>
        </w:rPr>
      </w:pPr>
      <w:bookmarkStart w:id="688" w:name="_Toc89882423"/>
      <w:bookmarkStart w:id="689" w:name="_Toc77682870"/>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11</w:t>
      </w:r>
      <w:r w:rsidR="0002695B">
        <w:rPr>
          <w:noProof/>
        </w:rPr>
        <w:fldChar w:fldCharType="end"/>
      </w:r>
      <w:r w:rsidR="00371D15" w:rsidRPr="00DC621B">
        <w:rPr>
          <w:noProof/>
        </w:rPr>
        <w:t>:</w:t>
      </w:r>
      <w:r w:rsidRPr="00DC621B">
        <w:rPr>
          <w:noProof/>
        </w:rPr>
        <w:t xml:space="preserve"> Entity determining the energy price for SoLR in EU Member States and Norway – 2018 (number of Member States)</w:t>
      </w:r>
      <w:bookmarkEnd w:id="688"/>
      <w:bookmarkEnd w:id="689"/>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Switching</w:t>
      </w:r>
    </w:p>
    <w:p w:rsidR="00AB1F6E" w:rsidRPr="00DC621B" w:rsidRDefault="00AB1F6E" w:rsidP="00AB1F6E">
      <w:pPr>
        <w:rPr>
          <w:i/>
          <w:noProof/>
        </w:rPr>
      </w:pPr>
      <w:r w:rsidRPr="00DC621B">
        <w:rPr>
          <w:i/>
          <w:noProof/>
        </w:rPr>
        <w:t xml:space="preserve">Existing consumer rights </w:t>
      </w:r>
    </w:p>
    <w:p w:rsidR="00AB1F6E" w:rsidRPr="00DC621B" w:rsidRDefault="00AB1F6E" w:rsidP="00AB1F6E">
      <w:pPr>
        <w:rPr>
          <w:noProof/>
        </w:rPr>
      </w:pPr>
      <w:r w:rsidRPr="00DC621B">
        <w:rPr>
          <w:noProof/>
        </w:rPr>
        <w:t xml:space="preserve">Consumer rights related to switching were already strengthened to an extent through the Third Energy Package. The Gas Directive currently grants consumers the right to </w:t>
      </w:r>
      <w:r w:rsidRPr="00DC621B">
        <w:rPr>
          <w:b/>
          <w:bCs/>
          <w:noProof/>
        </w:rPr>
        <w:t>switch suppliers within three weeks</w:t>
      </w:r>
      <w:r w:rsidRPr="00DC621B">
        <w:rPr>
          <w:noProof/>
        </w:rPr>
        <w:t xml:space="preserve"> (Art</w:t>
      </w:r>
      <w:r w:rsidR="00CC0A5C">
        <w:rPr>
          <w:noProof/>
        </w:rPr>
        <w:t>icle</w:t>
      </w:r>
      <w:r w:rsidRPr="00DC621B">
        <w:rPr>
          <w:noProof/>
        </w:rPr>
        <w:t xml:space="preserve"> 3(6)) and </w:t>
      </w:r>
      <w:r w:rsidRPr="00DC621B">
        <w:rPr>
          <w:b/>
          <w:bCs/>
          <w:noProof/>
        </w:rPr>
        <w:t xml:space="preserve">free of charge </w:t>
      </w:r>
      <w:r w:rsidRPr="00DC621B">
        <w:rPr>
          <w:noProof/>
        </w:rPr>
        <w:t xml:space="preserve">(Annex I, point 1(e)). Customers can </w:t>
      </w:r>
      <w:r w:rsidRPr="00DC621B">
        <w:rPr>
          <w:b/>
          <w:bCs/>
          <w:noProof/>
        </w:rPr>
        <w:t>freely withdraw from contracts</w:t>
      </w:r>
      <w:r w:rsidRPr="00DC621B">
        <w:rPr>
          <w:noProof/>
        </w:rPr>
        <w:t xml:space="preserve"> if they do not accept modified contractual conditions (Annex I, point 1(b)).</w:t>
      </w:r>
      <w:r w:rsidRPr="00DC621B" w:rsidDel="00F346EB">
        <w:rPr>
          <w:noProof/>
        </w:rPr>
        <w:t xml:space="preserve"> </w:t>
      </w:r>
      <w:r w:rsidRPr="00DC621B">
        <w:rPr>
          <w:noProof/>
        </w:rPr>
        <w:t xml:space="preserve">Members States must ensure that eligible customers are able to </w:t>
      </w:r>
      <w:r w:rsidRPr="00DC621B">
        <w:rPr>
          <w:b/>
          <w:bCs/>
          <w:noProof/>
        </w:rPr>
        <w:t xml:space="preserve">easily switch to new a supplier </w:t>
      </w:r>
      <w:r w:rsidRPr="00DC621B">
        <w:rPr>
          <w:noProof/>
        </w:rPr>
        <w:t>(Recital 3).</w:t>
      </w:r>
      <w:r w:rsidRPr="00DC621B" w:rsidDel="00F346EB">
        <w:rPr>
          <w:noProof/>
        </w:rPr>
        <w:t xml:space="preserve"> </w:t>
      </w:r>
    </w:p>
    <w:p w:rsidR="00AB1F6E" w:rsidRPr="00DC621B" w:rsidRDefault="00AB1F6E" w:rsidP="00AB1F6E">
      <w:pPr>
        <w:rPr>
          <w:i/>
          <w:noProof/>
        </w:rPr>
      </w:pPr>
      <w:r w:rsidRPr="00DC621B">
        <w:rPr>
          <w:i/>
          <w:noProof/>
        </w:rPr>
        <w:t>Switching rates</w:t>
      </w:r>
    </w:p>
    <w:p w:rsidR="00AB1F6E" w:rsidRPr="00DC621B" w:rsidRDefault="00AB1F6E" w:rsidP="00AB1F6E">
      <w:pPr>
        <w:rPr>
          <w:noProof/>
        </w:rPr>
      </w:pPr>
      <w:r w:rsidRPr="00DC621B">
        <w:rPr>
          <w:noProof/>
        </w:rPr>
        <w:t xml:space="preserve">The following figure shows that while </w:t>
      </w:r>
      <w:r w:rsidRPr="00DC621B">
        <w:rPr>
          <w:b/>
          <w:noProof/>
        </w:rPr>
        <w:t>ex</w:t>
      </w:r>
      <w:r w:rsidRPr="00DC621B">
        <w:rPr>
          <w:b/>
          <w:bCs/>
          <w:noProof/>
        </w:rPr>
        <w:t>ternal switching rates have generally increased since 2013</w:t>
      </w:r>
      <w:r w:rsidRPr="00DC621B">
        <w:rPr>
          <w:noProof/>
        </w:rPr>
        <w:t xml:space="preserve">, the </w:t>
      </w:r>
      <w:r w:rsidRPr="00DC621B">
        <w:rPr>
          <w:b/>
          <w:bCs/>
          <w:noProof/>
        </w:rPr>
        <w:t>comparison does not show a clear trend</w:t>
      </w:r>
      <w:r w:rsidRPr="00DC621B">
        <w:rPr>
          <w:noProof/>
        </w:rPr>
        <w:t xml:space="preserve">. In some countries, switching rates for gas household customers in 2018 were higher than the average from 2013 to 2017, while in others it is the other way around. </w:t>
      </w:r>
    </w:p>
    <w:p w:rsidR="00AB1F6E" w:rsidRPr="00DC621B" w:rsidRDefault="00AB1F6E" w:rsidP="00855EF8">
      <w:pPr>
        <w:jc w:val="center"/>
        <w:rPr>
          <w:noProof/>
        </w:rPr>
      </w:pPr>
      <w:r w:rsidRPr="00DC621B">
        <w:rPr>
          <w:noProof/>
          <w:lang w:val="en-US"/>
        </w:rPr>
        <w:drawing>
          <wp:inline distT="0" distB="0" distL="0" distR="0" wp14:anchorId="48BB779D" wp14:editId="5AE89F2B">
            <wp:extent cx="3557954" cy="3109681"/>
            <wp:effectExtent l="0" t="0" r="4445"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3613563" cy="3158283"/>
                    </a:xfrm>
                    <a:prstGeom prst="rect">
                      <a:avLst/>
                    </a:prstGeom>
                  </pic:spPr>
                </pic:pic>
              </a:graphicData>
            </a:graphic>
          </wp:inline>
        </w:drawing>
      </w:r>
    </w:p>
    <w:p w:rsidR="00371D15" w:rsidRPr="00DC621B" w:rsidRDefault="00371D15" w:rsidP="00855EF8">
      <w:pPr>
        <w:pStyle w:val="Caption"/>
        <w:keepNext/>
        <w:ind w:left="426"/>
        <w:jc w:val="left"/>
        <w:rPr>
          <w:noProof/>
        </w:rPr>
      </w:pPr>
      <w:bookmarkStart w:id="690" w:name="_Toc77682871"/>
      <w:bookmarkStart w:id="691" w:name="_Toc89882424"/>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12</w:t>
      </w:r>
      <w:r w:rsidR="0002695B">
        <w:rPr>
          <w:noProof/>
        </w:rPr>
        <w:fldChar w:fldCharType="end"/>
      </w:r>
      <w:r w:rsidRPr="00DC621B">
        <w:rPr>
          <w:noProof/>
        </w:rPr>
        <w:t>: Switching rates for gas household customers in 2018 and annual average 2013-2017 (%; by metering points) for selected countries</w:t>
      </w:r>
      <w:r w:rsidRPr="00DC621B">
        <w:rPr>
          <w:noProof/>
          <w:vertAlign w:val="superscript"/>
        </w:rPr>
        <w:footnoteReference w:id="220"/>
      </w:r>
      <w:bookmarkEnd w:id="690"/>
      <w:bookmarkEnd w:id="691"/>
    </w:p>
    <w:p w:rsidR="00AB1F6E" w:rsidRPr="00DC621B" w:rsidRDefault="00AB1F6E" w:rsidP="00AB1F6E">
      <w:pPr>
        <w:rPr>
          <w:noProof/>
        </w:rPr>
      </w:pPr>
      <w:r w:rsidRPr="00DC621B">
        <w:rPr>
          <w:noProof/>
        </w:rPr>
        <w:t xml:space="preserve">With regard to </w:t>
      </w:r>
      <w:r w:rsidRPr="00DC621B">
        <w:rPr>
          <w:b/>
          <w:noProof/>
        </w:rPr>
        <w:t>i</w:t>
      </w:r>
      <w:r w:rsidRPr="00DC621B">
        <w:rPr>
          <w:b/>
          <w:bCs/>
          <w:noProof/>
        </w:rPr>
        <w:t>nternal switching</w:t>
      </w:r>
      <w:r w:rsidRPr="00DC621B">
        <w:rPr>
          <w:rStyle w:val="FootnoteReference"/>
          <w:noProof/>
        </w:rPr>
        <w:footnoteReference w:id="221"/>
      </w:r>
      <w:r w:rsidRPr="00DC621B">
        <w:rPr>
          <w:noProof/>
        </w:rPr>
        <w:t xml:space="preserve">, less data is available but CEER’s 2018 Market Monitoring Report suggests that, as for external switching, </w:t>
      </w:r>
      <w:r w:rsidRPr="00DC621B">
        <w:rPr>
          <w:b/>
          <w:bCs/>
          <w:noProof/>
        </w:rPr>
        <w:t>rates across MS differ considerably</w:t>
      </w:r>
      <w:r w:rsidRPr="00DC621B">
        <w:rPr>
          <w:rStyle w:val="FootnoteReference"/>
          <w:noProof/>
        </w:rPr>
        <w:footnoteReference w:id="222"/>
      </w:r>
      <w:r w:rsidR="009827AC">
        <w:rPr>
          <w:noProof/>
        </w:rPr>
        <w:t>.</w:t>
      </w:r>
    </w:p>
    <w:p w:rsidR="00AB1F6E" w:rsidRPr="00DC621B" w:rsidRDefault="00AB1F6E" w:rsidP="00AB1F6E">
      <w:pPr>
        <w:rPr>
          <w:i/>
          <w:noProof/>
        </w:rPr>
      </w:pPr>
      <w:r w:rsidRPr="00DC621B">
        <w:rPr>
          <w:i/>
          <w:noProof/>
        </w:rPr>
        <w:t xml:space="preserve">Consumer satisfaction </w:t>
      </w:r>
    </w:p>
    <w:p w:rsidR="00AB1F6E" w:rsidRPr="00DC621B" w:rsidRDefault="00AB1F6E" w:rsidP="00AB1F6E">
      <w:pPr>
        <w:rPr>
          <w:noProof/>
        </w:rPr>
      </w:pPr>
      <w:r w:rsidRPr="00DC621B">
        <w:rPr>
          <w:noProof/>
        </w:rPr>
        <w:t xml:space="preserve">In the </w:t>
      </w:r>
      <w:r w:rsidRPr="00DC621B">
        <w:rPr>
          <w:bCs/>
          <w:i/>
          <w:noProof/>
        </w:rPr>
        <w:t>Market Monitoring Survey 2020</w:t>
      </w:r>
      <w:r w:rsidRPr="00DC621B">
        <w:rPr>
          <w:noProof/>
        </w:rPr>
        <w:t xml:space="preserve">, 82% of consumers indicated trust in gas services market and 89% reported a positive </w:t>
      </w:r>
      <w:r w:rsidRPr="00DC621B">
        <w:rPr>
          <w:b/>
          <w:noProof/>
        </w:rPr>
        <w:t>experiences</w:t>
      </w:r>
      <w:r w:rsidRPr="00DC621B">
        <w:rPr>
          <w:noProof/>
        </w:rPr>
        <w:t xml:space="preserve"> of making purchases in the market, with no notable differences between countries</w:t>
      </w:r>
      <w:r w:rsidRPr="00DC621B">
        <w:rPr>
          <w:rStyle w:val="FootnoteReference"/>
          <w:noProof/>
        </w:rPr>
        <w:footnoteReference w:id="223"/>
      </w:r>
      <w:r w:rsidR="009827AC">
        <w:rPr>
          <w:noProof/>
        </w:rPr>
        <w:t>.</w:t>
      </w:r>
      <w:r w:rsidRPr="00DC621B" w:rsidDel="008B0CA8">
        <w:rPr>
          <w:noProof/>
        </w:rPr>
        <w:t xml:space="preserve"> </w:t>
      </w:r>
    </w:p>
    <w:p w:rsidR="00AB1F6E" w:rsidRPr="00DC621B" w:rsidRDefault="00AB1F6E" w:rsidP="00AB1F6E">
      <w:pPr>
        <w:rPr>
          <w:i/>
          <w:noProof/>
        </w:rPr>
      </w:pPr>
      <w:r w:rsidRPr="00DC621B">
        <w:rPr>
          <w:i/>
          <w:noProof/>
        </w:rPr>
        <w:t>Price comparison tools</w:t>
      </w:r>
    </w:p>
    <w:p w:rsidR="00AB1F6E" w:rsidRPr="00DC621B" w:rsidRDefault="00AB1F6E" w:rsidP="00AB1F6E">
      <w:pPr>
        <w:spacing w:after="0"/>
        <w:rPr>
          <w:noProof/>
        </w:rPr>
      </w:pPr>
      <w:r w:rsidRPr="00DC621B">
        <w:rPr>
          <w:noProof/>
        </w:rPr>
        <w:t xml:space="preserve">Regarding the </w:t>
      </w:r>
      <w:r w:rsidRPr="00DC621B">
        <w:rPr>
          <w:b/>
          <w:noProof/>
        </w:rPr>
        <w:t>comparability of utility offers for natural gas</w:t>
      </w:r>
      <w:r w:rsidRPr="00DC621B">
        <w:rPr>
          <w:noProof/>
        </w:rPr>
        <w:t xml:space="preserve">, the following graph from the </w:t>
      </w:r>
      <w:r w:rsidRPr="00DC621B">
        <w:rPr>
          <w:i/>
          <w:iCs/>
          <w:noProof/>
        </w:rPr>
        <w:t>European Barriers in Retail Energy Markets</w:t>
      </w:r>
      <w:r w:rsidRPr="00DC621B">
        <w:rPr>
          <w:noProof/>
        </w:rPr>
        <w:t xml:space="preserve"> study shows that the top performer is Portugal, as many reliable comparison websites are available, and this is reflected in customers’ opinions as well. Austria, Ireland, France, Estonia and Germany are also amongst the best performers</w:t>
      </w:r>
      <w:r w:rsidRPr="00DC621B">
        <w:rPr>
          <w:rStyle w:val="FootnoteReference"/>
          <w:noProof/>
        </w:rPr>
        <w:footnoteReference w:id="224"/>
      </w:r>
      <w:r w:rsidR="009827AC">
        <w:rPr>
          <w:noProof/>
        </w:rPr>
        <w:t>.</w:t>
      </w:r>
      <w:r w:rsidRPr="00DC621B">
        <w:rPr>
          <w:noProof/>
        </w:rPr>
        <w:t xml:space="preserve"> </w:t>
      </w:r>
    </w:p>
    <w:p w:rsidR="00AB1F6E" w:rsidRPr="00DC621B" w:rsidRDefault="00AB1F6E" w:rsidP="00AB1F6E">
      <w:pPr>
        <w:spacing w:after="0"/>
        <w:rPr>
          <w:i/>
          <w:iCs/>
          <w:noProof/>
        </w:rPr>
      </w:pPr>
    </w:p>
    <w:p w:rsidR="00AB1F6E" w:rsidRPr="00DC621B" w:rsidRDefault="00AB1F6E" w:rsidP="00855EF8">
      <w:pPr>
        <w:spacing w:after="0"/>
        <w:ind w:left="720" w:hanging="720"/>
        <w:jc w:val="center"/>
        <w:rPr>
          <w:b/>
          <w:bCs/>
          <w:noProof/>
        </w:rPr>
      </w:pPr>
      <w:r w:rsidRPr="00DC621B">
        <w:rPr>
          <w:noProof/>
        </w:rPr>
        <w:t xml:space="preserve"> </w:t>
      </w:r>
      <w:r w:rsidRPr="00DC621B">
        <w:rPr>
          <w:noProof/>
          <w:lang w:val="en-US"/>
        </w:rPr>
        <w:drawing>
          <wp:inline distT="0" distB="0" distL="0" distR="0" wp14:anchorId="292F2C5C" wp14:editId="11C582F1">
            <wp:extent cx="5586911" cy="3786554"/>
            <wp:effectExtent l="0" t="0" r="0" b="4445"/>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637875" cy="3821095"/>
                    </a:xfrm>
                    <a:prstGeom prst="rect">
                      <a:avLst/>
                    </a:prstGeom>
                  </pic:spPr>
                </pic:pic>
              </a:graphicData>
            </a:graphic>
          </wp:inline>
        </w:drawing>
      </w:r>
    </w:p>
    <w:p w:rsidR="00AB1F6E" w:rsidRPr="00DC621B" w:rsidRDefault="00AB1F6E" w:rsidP="00855EF8">
      <w:pPr>
        <w:pStyle w:val="Caption"/>
        <w:keepNext/>
        <w:ind w:left="426"/>
        <w:jc w:val="left"/>
        <w:rPr>
          <w:noProof/>
        </w:rPr>
      </w:pPr>
      <w:bookmarkStart w:id="692" w:name="_Toc89882425"/>
      <w:bookmarkStart w:id="693" w:name="_Toc77682872"/>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13</w:t>
      </w:r>
      <w:r w:rsidR="0002695B">
        <w:rPr>
          <w:noProof/>
        </w:rPr>
        <w:fldChar w:fldCharType="end"/>
      </w:r>
      <w:r w:rsidR="00371D15" w:rsidRPr="00DC621B">
        <w:rPr>
          <w:noProof/>
        </w:rPr>
        <w:t>:</w:t>
      </w:r>
      <w:r w:rsidRPr="00DC621B">
        <w:rPr>
          <w:noProof/>
        </w:rPr>
        <w:t xml:space="preserve"> Performance indicators – comparability of offers</w:t>
      </w:r>
      <w:bookmarkEnd w:id="692"/>
      <w:bookmarkEnd w:id="693"/>
    </w:p>
    <w:p w:rsidR="00AB1F6E" w:rsidRPr="00DC621B" w:rsidRDefault="00AB1F6E" w:rsidP="00855EF8">
      <w:pPr>
        <w:spacing w:after="200" w:line="276" w:lineRule="auto"/>
        <w:jc w:val="left"/>
        <w:rPr>
          <w:i/>
          <w:noProof/>
        </w:rPr>
      </w:pPr>
      <w:r w:rsidRPr="00DC621B">
        <w:rPr>
          <w:i/>
          <w:noProof/>
        </w:rPr>
        <w:t>Technical switching times</w:t>
      </w:r>
    </w:p>
    <w:p w:rsidR="00CC0A5C" w:rsidRPr="00DC621B" w:rsidRDefault="00AB1F6E" w:rsidP="00AB1F6E">
      <w:pPr>
        <w:rPr>
          <w:noProof/>
        </w:rPr>
      </w:pPr>
      <w:r w:rsidRPr="00DC621B">
        <w:rPr>
          <w:noProof/>
        </w:rPr>
        <w:t>Although the duration of 24 hours may not be viable in the gas sector due to its technical specificities, a shorter period could be considered and embedded in the Gas Directive to speed up the process of switching.</w:t>
      </w:r>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 xml:space="preserve">Billing </w:t>
      </w:r>
    </w:p>
    <w:p w:rsidR="00AB1F6E" w:rsidRPr="00DC621B" w:rsidRDefault="00AB1F6E" w:rsidP="00AB1F6E">
      <w:pPr>
        <w:rPr>
          <w:noProof/>
        </w:rPr>
      </w:pPr>
      <w:r w:rsidRPr="00DC621B">
        <w:rPr>
          <w:noProof/>
        </w:rPr>
        <w:t xml:space="preserve">The information to be provided in consumer bills is </w:t>
      </w:r>
      <w:r w:rsidRPr="00DC621B">
        <w:rPr>
          <w:b/>
          <w:noProof/>
        </w:rPr>
        <w:t>partly regulated in the Gas Directive</w:t>
      </w:r>
      <w:r w:rsidRPr="00DC621B">
        <w:rPr>
          <w:noProof/>
        </w:rPr>
        <w:t xml:space="preserve">. These requirements are of general nature, as they do not address comprehensively all the information that consumers should receive in their bills for gas supply. Under the Directive, consumers are currently entitled to </w:t>
      </w:r>
      <w:r w:rsidRPr="00DC621B">
        <w:rPr>
          <w:b/>
          <w:noProof/>
        </w:rPr>
        <w:t>receive all relevant consumption data</w:t>
      </w:r>
      <w:r w:rsidRPr="00DC621B">
        <w:rPr>
          <w:noProof/>
        </w:rPr>
        <w:t xml:space="preserve"> (Art</w:t>
      </w:r>
      <w:r w:rsidR="00CC0A5C">
        <w:rPr>
          <w:noProof/>
        </w:rPr>
        <w:t>icle</w:t>
      </w:r>
      <w:r w:rsidRPr="00DC621B">
        <w:rPr>
          <w:noProof/>
        </w:rPr>
        <w:t xml:space="preserve"> 3(6)) and </w:t>
      </w:r>
      <w:r w:rsidRPr="00DC621B">
        <w:rPr>
          <w:b/>
          <w:noProof/>
        </w:rPr>
        <w:t>transparent information on applicable prices and tariffs and on standard terms and conditions,</w:t>
      </w:r>
      <w:r w:rsidRPr="00DC621B">
        <w:rPr>
          <w:noProof/>
        </w:rPr>
        <w:t xml:space="preserve"> in respect of access to and use of gas services (Annex I, point 1(c)). </w:t>
      </w:r>
      <w:r w:rsidRPr="00DC621B">
        <w:rPr>
          <w:b/>
          <w:noProof/>
        </w:rPr>
        <w:t>A wide choice of payment methods</w:t>
      </w:r>
      <w:r w:rsidRPr="00DC621B">
        <w:rPr>
          <w:noProof/>
        </w:rPr>
        <w:t xml:space="preserve"> should be available to consumers (Annex I, point 1(d</w:t>
      </w:r>
      <w:r w:rsidR="009827AC">
        <w:rPr>
          <w:noProof/>
        </w:rPr>
        <w:t>)</w:t>
      </w:r>
      <w:r w:rsidRPr="00DC621B">
        <w:rPr>
          <w:noProof/>
        </w:rPr>
        <w:t>(2)).</w:t>
      </w:r>
    </w:p>
    <w:p w:rsidR="00AB1F6E" w:rsidRPr="00DC621B" w:rsidRDefault="00AB1F6E" w:rsidP="00AB1F6E">
      <w:pPr>
        <w:rPr>
          <w:noProof/>
        </w:rPr>
      </w:pPr>
      <w:r w:rsidRPr="00DC621B">
        <w:rPr>
          <w:noProof/>
        </w:rPr>
        <w:t xml:space="preserve">Additional requirements </w:t>
      </w:r>
      <w:r w:rsidRPr="00DC621B">
        <w:rPr>
          <w:b/>
          <w:noProof/>
        </w:rPr>
        <w:t>relating to</w:t>
      </w:r>
      <w:r w:rsidRPr="00DC621B" w:rsidDel="00CC0A5C">
        <w:rPr>
          <w:b/>
          <w:noProof/>
        </w:rPr>
        <w:t xml:space="preserve"> </w:t>
      </w:r>
      <w:r w:rsidRPr="00DC621B">
        <w:rPr>
          <w:b/>
          <w:noProof/>
        </w:rPr>
        <w:t>natural gas</w:t>
      </w:r>
      <w:r w:rsidRPr="00DC621B">
        <w:rPr>
          <w:noProof/>
        </w:rPr>
        <w:t xml:space="preserve"> are included in the </w:t>
      </w:r>
      <w:r w:rsidRPr="00DC621B">
        <w:rPr>
          <w:b/>
          <w:noProof/>
        </w:rPr>
        <w:t>Energy Efficiency Directive</w:t>
      </w:r>
      <w:r w:rsidRPr="00DC621B">
        <w:rPr>
          <w:rStyle w:val="FootnoteReference"/>
          <w:noProof/>
        </w:rPr>
        <w:footnoteReference w:id="225"/>
      </w:r>
      <w:r w:rsidRPr="00DC621B">
        <w:rPr>
          <w:b/>
          <w:noProof/>
        </w:rPr>
        <w:t xml:space="preserve">, which grants final customers the right to receive all their bills and billing information for </w:t>
      </w:r>
      <w:r w:rsidRPr="00DC621B">
        <w:rPr>
          <w:noProof/>
        </w:rPr>
        <w:t xml:space="preserve">energy free of charge, as well </w:t>
      </w:r>
      <w:r w:rsidRPr="00DC621B">
        <w:rPr>
          <w:b/>
          <w:noProof/>
        </w:rPr>
        <w:t xml:space="preserve">as access to their consumption data </w:t>
      </w:r>
      <w:r w:rsidRPr="00DC621B">
        <w:rPr>
          <w:noProof/>
        </w:rPr>
        <w:t>in an appropriate way and free of charge (Art</w:t>
      </w:r>
      <w:r w:rsidR="00CC0A5C">
        <w:rPr>
          <w:noProof/>
        </w:rPr>
        <w:t>icle</w:t>
      </w:r>
      <w:r w:rsidRPr="00DC621B">
        <w:rPr>
          <w:noProof/>
        </w:rPr>
        <w:t xml:space="preserve"> 11). It requires bills and billing information to be reliable, accurate and based on actual consumption. Annex VII of the EED provides minimum requirements for billing and billing information for natural gas.</w:t>
      </w:r>
    </w:p>
    <w:p w:rsidR="00AB1F6E" w:rsidRPr="00DC621B" w:rsidRDefault="00AB1F6E" w:rsidP="00AB1F6E">
      <w:pPr>
        <w:rPr>
          <w:noProof/>
        </w:rPr>
      </w:pPr>
      <w:r w:rsidRPr="00DC621B">
        <w:rPr>
          <w:noProof/>
        </w:rPr>
        <w:t xml:space="preserve">In comparison, electricity bills and billing information must display, among others, a </w:t>
      </w:r>
      <w:r w:rsidRPr="00855EF8">
        <w:rPr>
          <w:b/>
          <w:noProof/>
        </w:rPr>
        <w:t xml:space="preserve">breakdown of the price, availability and the benefits of switching, </w:t>
      </w:r>
      <w:r w:rsidRPr="00937A44">
        <w:rPr>
          <w:b/>
          <w:noProof/>
        </w:rPr>
        <w:t xml:space="preserve">information on </w:t>
      </w:r>
      <w:r w:rsidR="00CC0A5C" w:rsidRPr="00937A44">
        <w:rPr>
          <w:b/>
          <w:noProof/>
        </w:rPr>
        <w:t>customers’</w:t>
      </w:r>
      <w:r w:rsidRPr="00937A44">
        <w:rPr>
          <w:b/>
          <w:noProof/>
        </w:rPr>
        <w:t xml:space="preserve"> rights with regard to dispute settlement, on historical consumption</w:t>
      </w:r>
      <w:r w:rsidRPr="00D646E3">
        <w:rPr>
          <w:rStyle w:val="FootnoteReference"/>
          <w:b/>
          <w:noProof/>
        </w:rPr>
        <w:footnoteReference w:id="226"/>
      </w:r>
      <w:r w:rsidR="009827AC" w:rsidRPr="00D646E3">
        <w:rPr>
          <w:b/>
          <w:noProof/>
        </w:rPr>
        <w:t>,</w:t>
      </w:r>
      <w:r w:rsidRPr="00937A44">
        <w:rPr>
          <w:b/>
          <w:noProof/>
        </w:rPr>
        <w:t xml:space="preserve"> disclosure of energy source </w:t>
      </w:r>
      <w:r w:rsidRPr="00D646E3">
        <w:rPr>
          <w:b/>
          <w:noProof/>
        </w:rPr>
        <w:t>and a</w:t>
      </w:r>
      <w:r w:rsidRPr="00937A44">
        <w:rPr>
          <w:b/>
          <w:noProof/>
        </w:rPr>
        <w:t xml:space="preserve"> link to </w:t>
      </w:r>
      <w:r w:rsidR="00C24546" w:rsidRPr="00937A44">
        <w:rPr>
          <w:b/>
          <w:noProof/>
        </w:rPr>
        <w:t>PCTs</w:t>
      </w:r>
      <w:r w:rsidRPr="00DC621B">
        <w:rPr>
          <w:noProof/>
        </w:rPr>
        <w:t>. These measures are essential for enabling consumer engagement, incentivising energy savings and boosting market competition</w:t>
      </w:r>
      <w:r w:rsidR="00CC0A5C">
        <w:rPr>
          <w:noProof/>
        </w:rPr>
        <w:t>.</w:t>
      </w:r>
    </w:p>
    <w:p w:rsidR="00937A44" w:rsidRDefault="00937A44" w:rsidP="00BC4515">
      <w:pPr>
        <w:pStyle w:val="ListParagraph"/>
        <w:spacing w:after="160" w:line="259" w:lineRule="auto"/>
        <w:ind w:left="360"/>
        <w:jc w:val="left"/>
        <w:rPr>
          <w:noProof/>
          <w:u w:val="single"/>
        </w:rPr>
      </w:pPr>
    </w:p>
    <w:p w:rsidR="00AB1F6E" w:rsidRPr="00DC621B" w:rsidRDefault="00AB1F6E" w:rsidP="00740E1C">
      <w:pPr>
        <w:pStyle w:val="ListParagraph"/>
        <w:numPr>
          <w:ilvl w:val="0"/>
          <w:numId w:val="352"/>
        </w:numPr>
        <w:spacing w:after="160" w:line="259" w:lineRule="auto"/>
        <w:jc w:val="left"/>
        <w:rPr>
          <w:noProof/>
          <w:u w:val="single"/>
        </w:rPr>
      </w:pPr>
      <w:r w:rsidRPr="00DC621B">
        <w:rPr>
          <w:noProof/>
          <w:u w:val="single"/>
        </w:rPr>
        <w:t>Vulnerable customers and energy poverty</w:t>
      </w:r>
    </w:p>
    <w:p w:rsidR="00AB1F6E" w:rsidRPr="00DC621B" w:rsidRDefault="00AB1F6E" w:rsidP="00AB1F6E">
      <w:pPr>
        <w:rPr>
          <w:noProof/>
        </w:rPr>
      </w:pPr>
      <w:r w:rsidRPr="00DC621B">
        <w:rPr>
          <w:noProof/>
        </w:rPr>
        <w:t xml:space="preserve">The uneven level of protection regarding energy poverty across the EU Member States was more pronounced when the Third Energy Package was fully in force where obligations for measures in the Gas Directive suffer from caveats and are not accompanied by any common definition or a requirement for defining the concept at national level. Essentially, the Third Energy Package referred to energy poverty as a type of consumer vulnerability. This categorisation led for several years to an incorrect expectation that a single set of policy measures from Member States can address both problems simultaneously. </w:t>
      </w:r>
    </w:p>
    <w:p w:rsidR="00AB1F6E" w:rsidRPr="00DC621B" w:rsidRDefault="00AB1F6E" w:rsidP="00AB1F6E">
      <w:pPr>
        <w:rPr>
          <w:noProof/>
        </w:rPr>
      </w:pPr>
      <w:r w:rsidRPr="00DC621B">
        <w:rPr>
          <w:noProof/>
        </w:rPr>
        <w:t xml:space="preserve">In 2019, the co-legislators agreed to make energy poverty a key concern of the Clean Energy for all Europeans Package, designed to facilitate a fair energy transition. It build on the requirements of the Gas Directive to push for an increase in structural remedies to the problem and ensure that energy poverty is addressed as exhaustively and as comprehensively as possible in the mix of energy policy measures implemented under the </w:t>
      </w:r>
      <w:r w:rsidR="00C24546">
        <w:rPr>
          <w:noProof/>
        </w:rPr>
        <w:t>NECPs</w:t>
      </w:r>
      <w:r w:rsidRPr="00DC621B">
        <w:rPr>
          <w:noProof/>
        </w:rPr>
        <w:t>, as required by new governance framework</w:t>
      </w:r>
      <w:r w:rsidRPr="00DC621B">
        <w:rPr>
          <w:rStyle w:val="FootnoteReference"/>
          <w:noProof/>
        </w:rPr>
        <w:footnoteReference w:id="227"/>
      </w:r>
      <w:r w:rsidRPr="00DC621B">
        <w:rPr>
          <w:noProof/>
        </w:rPr>
        <w:t xml:space="preserve">. </w:t>
      </w:r>
    </w:p>
    <w:p w:rsidR="00AB1F6E" w:rsidRPr="00DC621B" w:rsidRDefault="00AB1F6E" w:rsidP="00AB1F6E">
      <w:pPr>
        <w:pStyle w:val="BodyText"/>
        <w:rPr>
          <w:noProof/>
        </w:rPr>
      </w:pPr>
      <w:r w:rsidRPr="00DC621B">
        <w:rPr>
          <w:noProof/>
        </w:rPr>
        <w:t>Articles 28 and 29 of the new Electricity Directive follow the same wording as Article 3(3) and (4) of the Gas Directive, however</w:t>
      </w:r>
      <w:r w:rsidR="00C63B03">
        <w:rPr>
          <w:noProof/>
        </w:rPr>
        <w:t>,</w:t>
      </w:r>
      <w:r w:rsidRPr="00DC621B">
        <w:rPr>
          <w:noProof/>
        </w:rPr>
        <w:t xml:space="preserve"> a significant new element is that it requires the number of households in energy poverty to be quantified and suggests possible criteria</w:t>
      </w:r>
      <w:r w:rsidRPr="00DC621B">
        <w:rPr>
          <w:rStyle w:val="FootnoteReference"/>
          <w:noProof/>
        </w:rPr>
        <w:footnoteReference w:id="228"/>
      </w:r>
      <w:r w:rsidRPr="00DC621B">
        <w:rPr>
          <w:noProof/>
        </w:rPr>
        <w:t>.</w:t>
      </w:r>
    </w:p>
    <w:p w:rsidR="00AB1F6E" w:rsidRPr="00DC621B" w:rsidRDefault="00AB1F6E" w:rsidP="00AB1F6E">
      <w:pPr>
        <w:rPr>
          <w:noProof/>
        </w:rPr>
      </w:pPr>
      <w:r w:rsidRPr="00DC621B">
        <w:rPr>
          <w:noProof/>
        </w:rPr>
        <w:t>In light of the role of the Governance framework in tracking of energy poverty policies and measures across Member States, a first assessment of the final NECPs gives a recent overview of situations as recorded in 2020.</w:t>
      </w:r>
    </w:p>
    <w:p w:rsidR="00AB1F6E" w:rsidRPr="00DC621B" w:rsidRDefault="00C63B03" w:rsidP="00AB1F6E">
      <w:pPr>
        <w:rPr>
          <w:noProof/>
        </w:rPr>
      </w:pPr>
      <w:r>
        <w:rPr>
          <w:noProof/>
        </w:rPr>
        <w:t>The</w:t>
      </w:r>
      <w:r w:rsidR="00AB1F6E" w:rsidRPr="00DC621B">
        <w:rPr>
          <w:noProof/>
        </w:rPr>
        <w:t xml:space="preserve"> iterated EU-wide assessment issued on 17 September 2020</w:t>
      </w:r>
      <w:r w:rsidR="00AB1F6E" w:rsidRPr="00DC621B">
        <w:rPr>
          <w:rStyle w:val="FootnoteReference"/>
          <w:noProof/>
        </w:rPr>
        <w:footnoteReference w:id="229"/>
      </w:r>
      <w:r w:rsidR="00AB1F6E" w:rsidRPr="00DC621B">
        <w:rPr>
          <w:noProof/>
        </w:rPr>
        <w:t xml:space="preserve"> concluded that, overall, energy poverty could have figured more prominently. The more pressing requirement was the need to start energy poverty assessments by indicating the number of households in energy poverty as well as their main characteristics (composition, income levels, etc.) and their potential geographic concentration. In concrete areas of energy policy, Member States were recommended to further elaborate on the role of public bodies’ buildings and explore more deeply the ways in which energy efficiency policies could address energy poverty in the final plans. Furthermore, Member States were communicated that national strategies to tackle energy poverty could benefit from a more structured approach ensuring better safeguards for consumer empowerment, protection and awareness. Some NECPs did not include the mention of an existing, or plans for the future design of, a dedicated regulatory framework addressing the issue of energy poverty.</w:t>
      </w:r>
    </w:p>
    <w:p w:rsidR="00AB1F6E" w:rsidRPr="00DC621B" w:rsidRDefault="00AB1F6E" w:rsidP="00AB1F6E">
      <w:pPr>
        <w:rPr>
          <w:noProof/>
        </w:rPr>
      </w:pPr>
      <w:r w:rsidRPr="00DC621B">
        <w:rPr>
          <w:noProof/>
        </w:rPr>
        <w:t>Elaborating on the assessments carried out of each individual the plans, the Commiss</w:t>
      </w:r>
      <w:r w:rsidR="009827AC">
        <w:rPr>
          <w:noProof/>
        </w:rPr>
        <w:t>i</w:t>
      </w:r>
      <w:r w:rsidRPr="00DC621B">
        <w:rPr>
          <w:noProof/>
        </w:rPr>
        <w:t>on’s Energy Poverty Guidance</w:t>
      </w:r>
      <w:r w:rsidRPr="00DC621B">
        <w:rPr>
          <w:rStyle w:val="FootnoteReference"/>
          <w:noProof/>
        </w:rPr>
        <w:footnoteReference w:id="230"/>
      </w:r>
      <w:r w:rsidRPr="00DC621B">
        <w:rPr>
          <w:noProof/>
        </w:rPr>
        <w:t xml:space="preserve"> summarised that Member States have adopted different approaches to the definitions of energy vulnerability and energy poverty. Most have not defined energy poverty; public interventions (such as helping households that receive subsistence allowances to pay their energy bills) are based on criteria unrelated to energy. However, several countries have used indicators described as </w:t>
      </w:r>
      <w:r w:rsidR="00C63B03">
        <w:rPr>
          <w:noProof/>
        </w:rPr>
        <w:t>‘</w:t>
      </w:r>
      <w:r w:rsidRPr="00DC621B">
        <w:rPr>
          <w:noProof/>
        </w:rPr>
        <w:t>proxies</w:t>
      </w:r>
      <w:r w:rsidR="00C63B03">
        <w:rPr>
          <w:noProof/>
        </w:rPr>
        <w:t>’</w:t>
      </w:r>
      <w:r w:rsidRPr="00DC621B">
        <w:rPr>
          <w:noProof/>
        </w:rPr>
        <w:t>, to define the problem. At the same time, many of them take the view that there is not necessarily an energy poverty issue. Accordingly, they treat energy poverty not as an energy policy issue, but rather as part of general poverty, which they tackle through general social policy measures, with varying degrees of importance being attached to energy efficiency. These countries include Denmark, Estonia, Finland, Germany, Luxembourg, the Netherlands, Slovenia and Sweden.</w:t>
      </w:r>
    </w:p>
    <w:p w:rsidR="00AB1F6E" w:rsidRPr="00DC621B" w:rsidRDefault="00AB1F6E" w:rsidP="005823F9">
      <w:pPr>
        <w:keepNext/>
        <w:spacing w:after="0"/>
        <w:rPr>
          <w:noProof/>
        </w:rPr>
      </w:pPr>
      <w:r w:rsidRPr="00DC621B">
        <w:rPr>
          <w:noProof/>
          <w:lang w:val="en-US"/>
        </w:rPr>
        <w:drawing>
          <wp:inline distT="0" distB="0" distL="0" distR="0" wp14:anchorId="613D0FE5" wp14:editId="7E97B4CE">
            <wp:extent cx="6194827" cy="3017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00581" cy="3020323"/>
                    </a:xfrm>
                    <a:prstGeom prst="rect">
                      <a:avLst/>
                    </a:prstGeom>
                  </pic:spPr>
                </pic:pic>
              </a:graphicData>
            </a:graphic>
          </wp:inline>
        </w:drawing>
      </w:r>
    </w:p>
    <w:p w:rsidR="00AB1F6E" w:rsidRPr="00DC621B" w:rsidRDefault="00AB1F6E" w:rsidP="00D646E3">
      <w:pPr>
        <w:pStyle w:val="Caption"/>
        <w:keepNext/>
        <w:ind w:left="426"/>
        <w:jc w:val="left"/>
        <w:rPr>
          <w:b w:val="0"/>
          <w:bCs w:val="0"/>
          <w:i/>
          <w:iCs/>
          <w:noProof/>
        </w:rPr>
      </w:pPr>
      <w:bookmarkStart w:id="694" w:name="_Toc76733390"/>
      <w:bookmarkStart w:id="695" w:name="_Toc77682873"/>
      <w:bookmarkStart w:id="696" w:name="_Toc89882426"/>
      <w:r w:rsidRPr="00DC621B">
        <w:rPr>
          <w:noProof/>
        </w:rPr>
        <w:t xml:space="preserve">Figure </w:t>
      </w:r>
      <w:r w:rsidR="0002695B">
        <w:rPr>
          <w:noProof/>
        </w:rPr>
        <w:fldChar w:fldCharType="begin"/>
      </w:r>
      <w:r w:rsidR="0002695B">
        <w:rPr>
          <w:noProof/>
        </w:rPr>
        <w:instrText xml:space="preserve"> SEQ Figure \* ARABIC </w:instrText>
      </w:r>
      <w:r w:rsidR="0002695B">
        <w:rPr>
          <w:noProof/>
        </w:rPr>
        <w:fldChar w:fldCharType="separate"/>
      </w:r>
      <w:r w:rsidR="00EB2CAF">
        <w:rPr>
          <w:noProof/>
        </w:rPr>
        <w:t>14</w:t>
      </w:r>
      <w:r w:rsidR="0002695B">
        <w:rPr>
          <w:noProof/>
        </w:rPr>
        <w:fldChar w:fldCharType="end"/>
      </w:r>
      <w:r w:rsidR="00371D15" w:rsidRPr="00DC621B">
        <w:rPr>
          <w:noProof/>
        </w:rPr>
        <w:t>:</w:t>
      </w:r>
      <w:r w:rsidRPr="00DC621B">
        <w:rPr>
          <w:noProof/>
        </w:rPr>
        <w:t xml:space="preserve"> Measures in place to protect vulnerable consumers in EU MS and Norway – 2019 (number of MS)</w:t>
      </w:r>
      <w:r w:rsidRPr="00DC621B">
        <w:rPr>
          <w:rStyle w:val="FootnoteReference"/>
          <w:b w:val="0"/>
          <w:bCs w:val="0"/>
          <w:noProof/>
        </w:rPr>
        <w:footnoteReference w:id="231"/>
      </w:r>
      <w:bookmarkEnd w:id="694"/>
      <w:bookmarkEnd w:id="695"/>
      <w:bookmarkEnd w:id="696"/>
    </w:p>
    <w:p w:rsidR="00F33530" w:rsidRPr="00DC621B" w:rsidRDefault="00AB1F6E" w:rsidP="00F33530">
      <w:pPr>
        <w:rPr>
          <w:rFonts w:eastAsia="Calibri"/>
          <w:noProof/>
        </w:rPr>
      </w:pPr>
      <w:r w:rsidRPr="00DC621B">
        <w:rPr>
          <w:noProof/>
        </w:rPr>
        <w:t xml:space="preserve">MS most frequently apply restrictions to disconnection due to non-payment in order to protect vulnerable consumers. Some MS also maintain special energy prices for such groups. Other measures </w:t>
      </w:r>
      <w:r w:rsidR="009827AC">
        <w:rPr>
          <w:noProof/>
        </w:rPr>
        <w:t>–</w:t>
      </w:r>
      <w:r w:rsidRPr="00DC621B">
        <w:rPr>
          <w:noProof/>
        </w:rPr>
        <w:t xml:space="preserve"> such as (non)earmarked social benefits to cover energy costs, exemptions from parts of the energy costs (especially funding contributions to renewable energy or energy efficiency) or (partial) grants for replacing old appliances with new, more energy efficient ones – have gained popularity in a few countries.</w:t>
      </w:r>
    </w:p>
    <w:sectPr w:rsidR="00F33530" w:rsidRPr="00DC621B" w:rsidSect="00A77D56">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6" w:h="16838"/>
      <w:pgMar w:top="1134" w:right="1417" w:bottom="1134" w:left="1417" w:header="709" w:footer="84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077" w:rsidRDefault="00880077" w:rsidP="00E86DAA">
      <w:pPr>
        <w:spacing w:after="0"/>
      </w:pPr>
      <w:r>
        <w:separator/>
      </w:r>
    </w:p>
    <w:p w:rsidR="00880077" w:rsidRDefault="00880077"/>
  </w:endnote>
  <w:endnote w:type="continuationSeparator" w:id="0">
    <w:p w:rsidR="00880077" w:rsidRDefault="00880077" w:rsidP="00E86DAA">
      <w:pPr>
        <w:spacing w:after="0"/>
      </w:pPr>
      <w:r>
        <w:continuationSeparator/>
      </w:r>
    </w:p>
    <w:p w:rsidR="00880077" w:rsidRDefault="00880077"/>
  </w:endnote>
  <w:endnote w:type="continuationNotice" w:id="1">
    <w:p w:rsidR="00880077" w:rsidRDefault="00880077">
      <w:pPr>
        <w:spacing w:after="0"/>
      </w:pPr>
    </w:p>
    <w:p w:rsidR="00880077" w:rsidRDefault="00880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eeSans">
    <w:altName w:val="EC Square Sans Pro 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FooterCoverPage"/>
      <w:rPr>
        <w:rFonts w:ascii="Arial" w:hAnsi="Arial" w:cs="Arial"/>
        <w:b/>
        <w:sz w:val="48"/>
      </w:rPr>
    </w:pPr>
    <w:r w:rsidRPr="00F9467E">
      <w:rPr>
        <w:rFonts w:ascii="Arial" w:hAnsi="Arial" w:cs="Arial"/>
        <w:b/>
        <w:sz w:val="48"/>
      </w:rPr>
      <w:t>EN</w:t>
    </w:r>
    <w:r w:rsidRPr="00F9467E">
      <w:rPr>
        <w:rFonts w:ascii="Arial" w:hAnsi="Arial" w:cs="Arial"/>
        <w:b/>
        <w:sz w:val="48"/>
      </w:rPr>
      <w:tab/>
    </w:r>
    <w:r w:rsidRPr="00F9467E">
      <w:rPr>
        <w:rFonts w:ascii="Arial" w:hAnsi="Arial" w:cs="Arial"/>
        <w:b/>
        <w:sz w:val="48"/>
      </w:rPr>
      <w:tab/>
    </w:r>
    <w:r w:rsidRPr="00F9467E">
      <w:tab/>
    </w:r>
    <w:r w:rsidRPr="00F9467E">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Pr="005755F2" w:rsidRDefault="00C62407" w:rsidP="005755F2">
    <w:pPr>
      <w:pStyle w:val="FooterCoverPage"/>
      <w:rPr>
        <w:rFonts w:ascii="Arial" w:hAnsi="Arial" w:cs="Arial"/>
        <w:b/>
        <w:sz w:val="48"/>
      </w:rPr>
    </w:pPr>
    <w:r w:rsidRPr="00E83E4C">
      <w:rPr>
        <w:rFonts w:ascii="Arial" w:hAnsi="Arial" w:cs="Arial"/>
        <w:b/>
        <w:sz w:val="48"/>
      </w:rPr>
      <w:t>EN</w:t>
    </w:r>
    <w:r w:rsidRPr="00E83E4C">
      <w:rPr>
        <w:rFonts w:ascii="Arial" w:hAnsi="Arial" w:cs="Arial"/>
        <w:b/>
        <w:sz w:val="48"/>
      </w:rPr>
      <w:tab/>
    </w:r>
    <w:r w:rsidRPr="00E83E4C">
      <w:rPr>
        <w:rFonts w:ascii="Arial" w:hAnsi="Arial" w:cs="Arial"/>
        <w:b/>
        <w:sz w:val="48"/>
      </w:rPr>
      <w:tab/>
    </w:r>
    <w:r w:rsidRPr="00E83E4C">
      <w:tab/>
    </w:r>
    <w:r w:rsidRPr="00E83E4C">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Pr="005755F2" w:rsidRDefault="00C62407" w:rsidP="005755F2">
    <w:pPr>
      <w:pStyle w:val="FooterCoverPage"/>
      <w:rPr>
        <w:rFonts w:ascii="Arial" w:hAnsi="Arial" w:cs="Arial"/>
        <w:b/>
        <w:sz w:val="48"/>
      </w:rPr>
    </w:pPr>
    <w:r w:rsidRPr="00E83E4C">
      <w:rPr>
        <w:rFonts w:ascii="Arial" w:hAnsi="Arial" w:cs="Arial"/>
        <w:b/>
        <w:sz w:val="48"/>
      </w:rPr>
      <w:t>EN</w:t>
    </w:r>
    <w:r w:rsidRPr="00E83E4C">
      <w:rPr>
        <w:rFonts w:ascii="Arial" w:hAnsi="Arial" w:cs="Arial"/>
        <w:b/>
        <w:sz w:val="48"/>
      </w:rPr>
      <w:tab/>
    </w:r>
    <w:r w:rsidRPr="00E83E4C">
      <w:rPr>
        <w:rFonts w:ascii="Arial" w:hAnsi="Arial" w:cs="Arial"/>
        <w:b/>
        <w:sz w:val="48"/>
      </w:rPr>
      <w:tab/>
    </w:r>
    <w:r w:rsidRPr="00E83E4C">
      <w:tab/>
    </w:r>
    <w:r w:rsidRPr="00E83E4C">
      <w:rPr>
        <w:rFonts w:ascii="Arial" w:hAnsi="Arial" w:cs="Arial"/>
        <w:b/>
        <w:sz w:val="48"/>
      </w:rPr>
      <w:t>EN</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3675740"/>
      <w:docPartObj>
        <w:docPartGallery w:val="Page Numbers (Bottom of Page)"/>
        <w:docPartUnique/>
      </w:docPartObj>
    </w:sdtPr>
    <w:sdtEndPr>
      <w:rPr>
        <w:noProof/>
      </w:rPr>
    </w:sdtEndPr>
    <w:sdtContent>
      <w:p w:rsidR="00C62407" w:rsidRDefault="00C62407">
        <w:pPr>
          <w:pStyle w:val="Footer"/>
          <w:jc w:val="center"/>
        </w:pPr>
        <w:r>
          <w:fldChar w:fldCharType="begin"/>
        </w:r>
        <w:r>
          <w:instrText xml:space="preserve"> PAGE   \* MERGEFORMAT </w:instrText>
        </w:r>
        <w:r>
          <w:fldChar w:fldCharType="separate"/>
        </w:r>
        <w:r w:rsidR="00F9467E">
          <w:rPr>
            <w:noProof/>
          </w:rPr>
          <w:t>1</w:t>
        </w:r>
        <w:r>
          <w:rPr>
            <w:noProof/>
          </w:rPr>
          <w:fldChar w:fldCharType="end"/>
        </w:r>
      </w:p>
    </w:sdtContent>
  </w:sdt>
  <w:p w:rsidR="00C62407" w:rsidRPr="005755F2" w:rsidRDefault="00C62407" w:rsidP="005755F2">
    <w:pPr>
      <w:pStyle w:val="FooterCoverPage"/>
      <w:rPr>
        <w:rFonts w:ascii="Arial" w:hAnsi="Arial" w:cs="Arial"/>
        <w:b/>
        <w:sz w:val="48"/>
      </w:rPr>
    </w:pPr>
    <w:r w:rsidRPr="00E83E4C">
      <w:rPr>
        <w:rFonts w:ascii="Arial" w:hAnsi="Arial" w:cs="Arial"/>
        <w:b/>
        <w:sz w:val="48"/>
      </w:rPr>
      <w:t>EN</w:t>
    </w:r>
    <w:r w:rsidRPr="00E83E4C">
      <w:rPr>
        <w:rFonts w:ascii="Arial" w:hAnsi="Arial" w:cs="Arial"/>
        <w:b/>
        <w:sz w:val="48"/>
      </w:rPr>
      <w:tab/>
    </w:r>
    <w:r w:rsidRPr="00E83E4C">
      <w:rPr>
        <w:rFonts w:ascii="Arial" w:hAnsi="Arial" w:cs="Arial"/>
        <w:b/>
        <w:sz w:val="48"/>
      </w:rPr>
      <w:tab/>
    </w:r>
    <w:r w:rsidRPr="00E83E4C">
      <w:tab/>
    </w:r>
    <w:r w:rsidRPr="00E83E4C">
      <w:rPr>
        <w:rFonts w:ascii="Arial" w:hAnsi="Arial" w:cs="Arial"/>
        <w:b/>
        <w:sz w:val="48"/>
      </w:rPr>
      <w:t>EN</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4480777"/>
      <w:docPartObj>
        <w:docPartGallery w:val="Page Numbers (Bottom of Page)"/>
        <w:docPartUnique/>
      </w:docPartObj>
    </w:sdtPr>
    <w:sdtEndPr>
      <w:rPr>
        <w:noProof/>
      </w:rPr>
    </w:sdtEndPr>
    <w:sdtContent>
      <w:p w:rsidR="00C62407" w:rsidRDefault="00C6240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62407" w:rsidRDefault="00C62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077" w:rsidRDefault="00880077" w:rsidP="00E86DAA">
      <w:pPr>
        <w:spacing w:after="0"/>
      </w:pPr>
      <w:r>
        <w:separator/>
      </w:r>
    </w:p>
    <w:p w:rsidR="00880077" w:rsidRDefault="00880077"/>
  </w:footnote>
  <w:footnote w:type="continuationSeparator" w:id="0">
    <w:p w:rsidR="00880077" w:rsidRDefault="00880077" w:rsidP="00E86DAA">
      <w:pPr>
        <w:spacing w:after="0"/>
      </w:pPr>
      <w:r>
        <w:continuationSeparator/>
      </w:r>
    </w:p>
    <w:p w:rsidR="00880077" w:rsidRDefault="00880077"/>
  </w:footnote>
  <w:footnote w:type="continuationNotice" w:id="1">
    <w:p w:rsidR="00880077" w:rsidRDefault="00880077">
      <w:pPr>
        <w:spacing w:after="0"/>
      </w:pPr>
    </w:p>
    <w:p w:rsidR="00880077" w:rsidRDefault="00880077"/>
  </w:footnote>
  <w:footnote w:id="2">
    <w:p w:rsidR="00C62407" w:rsidRPr="00AD38A1"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Directive (EU) 2019/692 of the European Parliament and</w:t>
      </w:r>
      <w:r>
        <w:rPr>
          <w:sz w:val="18"/>
          <w:szCs w:val="18"/>
        </w:rPr>
        <w:t xml:space="preserve"> </w:t>
      </w:r>
      <w:r w:rsidRPr="00924973">
        <w:rPr>
          <w:sz w:val="18"/>
          <w:szCs w:val="18"/>
        </w:rPr>
        <w:t>the Council of 17 April 2019 amending Directive 2009/73/</w:t>
      </w:r>
      <w:r w:rsidRPr="007F5DE6">
        <w:rPr>
          <w:sz w:val="18"/>
          <w:szCs w:val="18"/>
        </w:rPr>
        <w:t xml:space="preserve">EC </w:t>
      </w:r>
      <w:r w:rsidRPr="00C134D1">
        <w:rPr>
          <w:sz w:val="18"/>
          <w:szCs w:val="18"/>
        </w:rPr>
        <w:t>concerning</w:t>
      </w:r>
      <w:r w:rsidRPr="00924973">
        <w:rPr>
          <w:sz w:val="18"/>
          <w:szCs w:val="18"/>
        </w:rPr>
        <w:t xml:space="preserve"> common </w:t>
      </w:r>
      <w:r w:rsidRPr="00AD38A1">
        <w:rPr>
          <w:sz w:val="18"/>
          <w:szCs w:val="18"/>
        </w:rPr>
        <w:t xml:space="preserve">rules for the internal market in natural gas: </w:t>
      </w:r>
      <w:hyperlink r:id="rId1" w:history="1">
        <w:r w:rsidRPr="00AD38A1">
          <w:rPr>
            <w:rStyle w:val="Hyperlink"/>
            <w:sz w:val="18"/>
            <w:szCs w:val="18"/>
          </w:rPr>
          <w:t>https://eur-lex.europa.eu/legal-content/EN/TXT/?uri=uriserv:OJ.L_.2019.117.01.0001.01.ENG</w:t>
        </w:r>
      </w:hyperlink>
      <w:r w:rsidRPr="00AD38A1">
        <w:rPr>
          <w:sz w:val="18"/>
          <w:szCs w:val="18"/>
        </w:rPr>
        <w:t xml:space="preserve"> </w:t>
      </w:r>
    </w:p>
  </w:footnote>
  <w:footnote w:id="3">
    <w:p w:rsidR="00C62407" w:rsidRPr="00924973" w:rsidRDefault="00C62407" w:rsidP="001F2DE9">
      <w:pPr>
        <w:pStyle w:val="FootnoteText"/>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t>Regulation (EU) 2018/1999 of the European</w:t>
      </w:r>
      <w:r w:rsidRPr="00924973">
        <w:rPr>
          <w:sz w:val="18"/>
          <w:szCs w:val="18"/>
        </w:rPr>
        <w:t xml:space="preserve"> Parliament and of the Council of 11 December 2018 on the Governance of the Energy Union and Climate Action, amending Regulations (EC) No 663/2009 and (EC) No 715/2009 of the European </w:t>
      </w:r>
      <w:r w:rsidRPr="00C134D1">
        <w:rPr>
          <w:sz w:val="18"/>
          <w:szCs w:val="18"/>
        </w:rPr>
        <w:t>Parliament</w:t>
      </w:r>
      <w:r w:rsidRPr="00A51923">
        <w:rPr>
          <w:sz w:val="18"/>
          <w:szCs w:val="18"/>
        </w:rPr>
        <w:t xml:space="preserve"> and</w:t>
      </w:r>
      <w:r w:rsidRPr="00924973">
        <w:rPr>
          <w:sz w:val="18"/>
          <w:szCs w:val="18"/>
        </w:rPr>
        <w:t xml:space="preserve"> of the Council, Directives 94/22/EC, 98/70/EC, 2009/31/EC, 2009/73/EC, 2010/31/EU, 2012/27/EU and 2013/30/EU of the European Parliament and of the Council, Council Directives 2009/119/EC and (EU) 2015/652 and repealing Regulation (EU) No 525/2013 of the European Parliament and of the Council: </w:t>
      </w:r>
      <w:hyperlink r:id="rId2" w:history="1">
        <w:r w:rsidRPr="00924973">
          <w:rPr>
            <w:rStyle w:val="Hyperlink"/>
            <w:sz w:val="18"/>
            <w:szCs w:val="18"/>
          </w:rPr>
          <w:t>https://eur-lex.europa.eu/legal-content/EN/TXT/?uri=celex%3A32018R1999</w:t>
        </w:r>
      </w:hyperlink>
      <w:r w:rsidRPr="00924973">
        <w:rPr>
          <w:sz w:val="18"/>
          <w:szCs w:val="18"/>
        </w:rPr>
        <w:t xml:space="preserve"> </w:t>
      </w:r>
    </w:p>
  </w:footnote>
  <w:footnote w:id="4">
    <w:p w:rsidR="00C62407" w:rsidRPr="00C62407" w:rsidRDefault="00C62407" w:rsidP="001F2DE9">
      <w:pPr>
        <w:pStyle w:val="FootnoteText"/>
        <w:rPr>
          <w:rStyle w:val="Hyperlink"/>
          <w:sz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2010/685/EU: Commission Decision of 10 November 2010 amending Chapter 3 of Annex I to Regulation (EC) No 715/2009 of </w:t>
      </w:r>
      <w:r w:rsidRPr="003A66A4">
        <w:rPr>
          <w:sz w:val="18"/>
          <w:szCs w:val="18"/>
        </w:rPr>
        <w:t xml:space="preserve">the </w:t>
      </w:r>
      <w:r w:rsidRPr="00D646E3">
        <w:rPr>
          <w:sz w:val="18"/>
          <w:szCs w:val="18"/>
        </w:rPr>
        <w:t>European</w:t>
      </w:r>
      <w:r w:rsidRPr="003A66A4">
        <w:rPr>
          <w:sz w:val="18"/>
          <w:szCs w:val="18"/>
        </w:rPr>
        <w:t xml:space="preserve"> Parliament</w:t>
      </w:r>
      <w:r w:rsidRPr="00924973">
        <w:rPr>
          <w:sz w:val="18"/>
          <w:szCs w:val="18"/>
        </w:rPr>
        <w:t xml:space="preserve"> and of the Council on conditions for access to the natural gas transmission networks: </w:t>
      </w:r>
      <w:r w:rsidRPr="00C62407">
        <w:rPr>
          <w:rStyle w:val="Hyperlink"/>
          <w:sz w:val="18"/>
        </w:rPr>
        <w:t>https://eur-lex.europa.eu/eli/dec/2010/685/</w:t>
      </w:r>
      <w:r w:rsidRPr="00C62407" w:rsidDel="002C14EB">
        <w:rPr>
          <w:rStyle w:val="Hyperlink"/>
          <w:sz w:val="18"/>
        </w:rPr>
        <w:t>oj</w:t>
      </w:r>
    </w:p>
  </w:footnote>
  <w:footnote w:id="5">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2012/490/EU: Commission Decision of 24 August 2012 on amending Annex I to Regulation (EC) No 715/2009 of the </w:t>
      </w:r>
      <w:r w:rsidRPr="003A66A4">
        <w:rPr>
          <w:sz w:val="18"/>
          <w:szCs w:val="18"/>
        </w:rPr>
        <w:t xml:space="preserve">European </w:t>
      </w:r>
      <w:r w:rsidRPr="00D646E3">
        <w:rPr>
          <w:sz w:val="18"/>
          <w:szCs w:val="18"/>
        </w:rPr>
        <w:t>Parliament</w:t>
      </w:r>
      <w:r w:rsidRPr="003A66A4">
        <w:rPr>
          <w:sz w:val="18"/>
          <w:szCs w:val="18"/>
        </w:rPr>
        <w:t xml:space="preserve"> and</w:t>
      </w:r>
      <w:r w:rsidRPr="00924973">
        <w:rPr>
          <w:sz w:val="18"/>
          <w:szCs w:val="18"/>
        </w:rPr>
        <w:t xml:space="preserve"> of the Council on conditions for access to the natural gas transmission networks: </w:t>
      </w:r>
      <w:r w:rsidRPr="00C62407">
        <w:rPr>
          <w:rStyle w:val="Hyperlink"/>
          <w:sz w:val="18"/>
        </w:rPr>
        <w:t>https://eur-lex.europa.eu/eli/dec/2012/490/</w:t>
      </w:r>
      <w:r w:rsidRPr="00C62407" w:rsidDel="002C14EB">
        <w:rPr>
          <w:rStyle w:val="Hyperlink"/>
          <w:sz w:val="18"/>
        </w:rPr>
        <w:t>oj</w:t>
      </w:r>
    </w:p>
  </w:footnote>
  <w:footnote w:id="6">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Regulation (EU) No 347/2013 of the European Parliament and of the Council of 17 April 2013 on guidelines for trans-</w:t>
      </w:r>
      <w:r w:rsidRPr="00A3395C">
        <w:rPr>
          <w:sz w:val="18"/>
          <w:szCs w:val="18"/>
        </w:rPr>
        <w:t xml:space="preserve">European </w:t>
      </w:r>
      <w:r w:rsidRPr="00D646E3">
        <w:rPr>
          <w:sz w:val="18"/>
          <w:szCs w:val="18"/>
        </w:rPr>
        <w:t>energy</w:t>
      </w:r>
      <w:r w:rsidRPr="00924973">
        <w:rPr>
          <w:sz w:val="18"/>
          <w:szCs w:val="18"/>
        </w:rPr>
        <w:t xml:space="preserve"> infrastructure and repealing Decision No 1364/2006/EC and amending Regulations (EC) No 713/2009, (EC) No 714/2009 and (EC) No 715/2009: https://eur-lex.europa.eu/eli/reg/2013/347/</w:t>
      </w:r>
      <w:r w:rsidRPr="00924973" w:rsidDel="002C14EB">
        <w:rPr>
          <w:sz w:val="18"/>
          <w:szCs w:val="18"/>
        </w:rPr>
        <w:t>oj</w:t>
      </w:r>
    </w:p>
  </w:footnote>
  <w:footnote w:id="7">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Commission Decision (EU) 2015/715 of 30 April 2015 amending Annex I to Regulation (EC) No 715/2009 of the European Parliament and of the Council on conditions for access to the natural gas transmission networks: https://eur-lex.europa.eu/eli/dec/2015/715/</w:t>
      </w:r>
      <w:r w:rsidRPr="00924973" w:rsidDel="002C14EB">
        <w:rPr>
          <w:sz w:val="18"/>
          <w:szCs w:val="18"/>
        </w:rPr>
        <w:t>oj</w:t>
      </w:r>
    </w:p>
  </w:footnote>
  <w:footnote w:id="8">
    <w:p w:rsidR="00C62407" w:rsidRPr="00924973" w:rsidRDefault="00C62407" w:rsidP="001F2DE9">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Commission Regulation (EU) 2017/459 of 16 March 2017 establishing a network code on capacity allocation mechanisms in gas transmission systems and repealing Regulation (EU) No 984/2013: https://eur-lex.europa.eu/eli/reg/2017/459/</w:t>
      </w:r>
      <w:r w:rsidRPr="00924973" w:rsidDel="002C14EB">
        <w:rPr>
          <w:sz w:val="18"/>
          <w:szCs w:val="18"/>
        </w:rPr>
        <w:t>oj</w:t>
      </w:r>
    </w:p>
  </w:footnote>
  <w:footnote w:id="9">
    <w:p w:rsidR="00C62407" w:rsidRPr="00924973" w:rsidRDefault="00C62407" w:rsidP="001F2DE9">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Commission Regulation (EU) No 312/2014 of 26 March 2014 establishing a </w:t>
      </w:r>
      <w:r>
        <w:rPr>
          <w:sz w:val="18"/>
          <w:szCs w:val="18"/>
        </w:rPr>
        <w:t>n</w:t>
      </w:r>
      <w:r w:rsidRPr="00924973">
        <w:rPr>
          <w:sz w:val="18"/>
          <w:szCs w:val="18"/>
        </w:rPr>
        <w:t xml:space="preserve">etwork </w:t>
      </w:r>
      <w:r>
        <w:rPr>
          <w:sz w:val="18"/>
          <w:szCs w:val="18"/>
        </w:rPr>
        <w:t>c</w:t>
      </w:r>
      <w:r w:rsidRPr="00924973">
        <w:rPr>
          <w:sz w:val="18"/>
          <w:szCs w:val="18"/>
        </w:rPr>
        <w:t xml:space="preserve">ode on </w:t>
      </w:r>
      <w:r>
        <w:rPr>
          <w:sz w:val="18"/>
          <w:szCs w:val="18"/>
        </w:rPr>
        <w:t>g</w:t>
      </w:r>
      <w:r w:rsidRPr="00924973">
        <w:rPr>
          <w:sz w:val="18"/>
          <w:szCs w:val="18"/>
        </w:rPr>
        <w:t xml:space="preserve">as </w:t>
      </w:r>
      <w:r>
        <w:rPr>
          <w:sz w:val="18"/>
          <w:szCs w:val="18"/>
        </w:rPr>
        <w:t>b</w:t>
      </w:r>
      <w:r w:rsidRPr="00924973">
        <w:rPr>
          <w:sz w:val="18"/>
          <w:szCs w:val="18"/>
        </w:rPr>
        <w:t xml:space="preserve">alancing of </w:t>
      </w:r>
      <w:r>
        <w:rPr>
          <w:sz w:val="18"/>
          <w:szCs w:val="18"/>
        </w:rPr>
        <w:t>t</w:t>
      </w:r>
      <w:r w:rsidRPr="00924973">
        <w:rPr>
          <w:sz w:val="18"/>
          <w:szCs w:val="18"/>
        </w:rPr>
        <w:t xml:space="preserve">ransmission </w:t>
      </w:r>
      <w:r>
        <w:rPr>
          <w:sz w:val="18"/>
          <w:szCs w:val="18"/>
        </w:rPr>
        <w:t>n</w:t>
      </w:r>
      <w:r w:rsidRPr="00924973">
        <w:rPr>
          <w:sz w:val="18"/>
          <w:szCs w:val="18"/>
        </w:rPr>
        <w:t>etworks: https://eur-lex.europa.eu/eli/reg/2014/312/</w:t>
      </w:r>
      <w:r w:rsidRPr="00924973" w:rsidDel="002C14EB">
        <w:rPr>
          <w:sz w:val="18"/>
          <w:szCs w:val="18"/>
        </w:rPr>
        <w:t>oj</w:t>
      </w:r>
    </w:p>
  </w:footnote>
  <w:footnote w:id="10">
    <w:p w:rsidR="00C62407" w:rsidRPr="00924973" w:rsidRDefault="00C62407" w:rsidP="001F2DE9">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Commission Regulation (EU) 2015/703 of 30 April 2015 establishing a network code on interoperability and data exchange rules: https://eur-lex.europa.eu/eli/reg/2015/703/</w:t>
      </w:r>
      <w:r w:rsidRPr="00924973" w:rsidDel="002C14EB">
        <w:rPr>
          <w:sz w:val="18"/>
          <w:szCs w:val="18"/>
        </w:rPr>
        <w:t>oj</w:t>
      </w:r>
    </w:p>
  </w:footnote>
  <w:footnote w:id="11">
    <w:p w:rsidR="00C62407" w:rsidRPr="00924973" w:rsidRDefault="00C62407" w:rsidP="001F2DE9">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Commission Regulation (EU) 2017/460 of 16 March 2017 establishing a network code on harmonised transmission tariff structures for gas: https://eur-lex.europa.eu/eli/reg/2017/460/</w:t>
      </w:r>
      <w:r w:rsidRPr="00924973" w:rsidDel="002C14EB">
        <w:rPr>
          <w:sz w:val="18"/>
          <w:szCs w:val="18"/>
        </w:rPr>
        <w:t>oj</w:t>
      </w:r>
    </w:p>
  </w:footnote>
  <w:footnote w:id="12">
    <w:p w:rsidR="00C62407" w:rsidRPr="00924973" w:rsidRDefault="00C62407" w:rsidP="000B3940">
      <w:pPr>
        <w:pStyle w:val="FootnoteText"/>
        <w:rPr>
          <w:rFonts w:eastAsiaTheme="minorEastAsia"/>
          <w:sz w:val="18"/>
          <w:szCs w:val="18"/>
          <w:lang w:val="en-US" w:eastAsia="en-US"/>
        </w:rPr>
      </w:pPr>
      <w:r w:rsidRPr="00924973">
        <w:rPr>
          <w:rStyle w:val="FootnoteReference"/>
          <w:sz w:val="18"/>
          <w:szCs w:val="18"/>
        </w:rPr>
        <w:footnoteRef/>
      </w:r>
      <w:r w:rsidRPr="00924973">
        <w:rPr>
          <w:sz w:val="18"/>
          <w:szCs w:val="18"/>
        </w:rPr>
        <w:t xml:space="preserve"> </w:t>
      </w:r>
      <w:r>
        <w:rPr>
          <w:sz w:val="18"/>
          <w:szCs w:val="18"/>
        </w:rPr>
        <w:tab/>
      </w:r>
      <w:r w:rsidRPr="00924973">
        <w:rPr>
          <w:rFonts w:eastAsiaTheme="minorEastAsia"/>
          <w:sz w:val="18"/>
          <w:szCs w:val="18"/>
          <w:lang w:val="en-US" w:eastAsia="en-US"/>
        </w:rPr>
        <w:t xml:space="preserve">Commission Decision 2010/685/EU of 10 November 2010, Commission Decision 2012/490/EU of 24 August 2012 and </w:t>
      </w:r>
      <w:r w:rsidRPr="000B3940">
        <w:rPr>
          <w:sz w:val="18"/>
          <w:szCs w:val="18"/>
        </w:rPr>
        <w:t>Commission</w:t>
      </w:r>
      <w:r w:rsidRPr="00924973">
        <w:rPr>
          <w:rFonts w:eastAsiaTheme="minorEastAsia"/>
          <w:sz w:val="18"/>
          <w:szCs w:val="18"/>
          <w:lang w:val="en-US" w:eastAsia="en-US"/>
        </w:rPr>
        <w:t xml:space="preserve"> Decision (EU) 2015/715 of 30 April 2015</w:t>
      </w:r>
      <w:r>
        <w:rPr>
          <w:rFonts w:eastAsiaTheme="minorEastAsia"/>
          <w:sz w:val="18"/>
          <w:szCs w:val="18"/>
          <w:lang w:val="en-US" w:eastAsia="en-US"/>
        </w:rPr>
        <w:t>.</w:t>
      </w:r>
    </w:p>
  </w:footnote>
  <w:footnote w:id="13">
    <w:p w:rsidR="00C62407" w:rsidRPr="00924973" w:rsidRDefault="00C62407" w:rsidP="000B3940">
      <w:pPr>
        <w:pStyle w:val="FootnoteText"/>
        <w:rPr>
          <w:sz w:val="18"/>
          <w:szCs w:val="18"/>
          <w:lang w:val="en-US"/>
        </w:rPr>
      </w:pPr>
      <w:r w:rsidRPr="00924973">
        <w:rPr>
          <w:rStyle w:val="FootnoteReference"/>
          <w:sz w:val="18"/>
          <w:szCs w:val="18"/>
        </w:rPr>
        <w:footnoteRef/>
      </w:r>
      <w:r w:rsidRPr="00924973">
        <w:rPr>
          <w:sz w:val="18"/>
          <w:szCs w:val="18"/>
          <w:lang w:val="en-US"/>
        </w:rPr>
        <w:t xml:space="preserve"> </w:t>
      </w:r>
      <w:r>
        <w:rPr>
          <w:sz w:val="18"/>
          <w:szCs w:val="18"/>
          <w:lang w:val="en-US"/>
        </w:rPr>
        <w:tab/>
      </w:r>
      <w:r w:rsidRPr="00924973">
        <w:rPr>
          <w:sz w:val="18"/>
          <w:szCs w:val="18"/>
          <w:lang w:val="en-US"/>
        </w:rPr>
        <w:t xml:space="preserve">Cf. ACER Implementation Reports on individual </w:t>
      </w:r>
      <w:r>
        <w:rPr>
          <w:sz w:val="18"/>
          <w:szCs w:val="18"/>
          <w:lang w:val="en-US"/>
        </w:rPr>
        <w:t>n</w:t>
      </w:r>
      <w:r w:rsidRPr="00924973">
        <w:rPr>
          <w:sz w:val="18"/>
          <w:szCs w:val="18"/>
          <w:lang w:val="en-US"/>
        </w:rPr>
        <w:t xml:space="preserve">etwork </w:t>
      </w:r>
      <w:r>
        <w:rPr>
          <w:sz w:val="18"/>
          <w:szCs w:val="18"/>
          <w:lang w:val="en-US"/>
        </w:rPr>
        <w:t>c</w:t>
      </w:r>
      <w:r w:rsidRPr="00924973">
        <w:rPr>
          <w:sz w:val="18"/>
          <w:szCs w:val="18"/>
          <w:lang w:val="en-US"/>
        </w:rPr>
        <w:t xml:space="preserve">odes at </w:t>
      </w:r>
      <w:hyperlink r:id="rId3" w:history="1">
        <w:r w:rsidRPr="00924973">
          <w:rPr>
            <w:rStyle w:val="Hyperlink"/>
            <w:sz w:val="18"/>
            <w:szCs w:val="18"/>
            <w:lang w:val="en-US"/>
          </w:rPr>
          <w:t>https://acer.europa.eu/Official_documents/Publications/Pages/Publication.aspx</w:t>
        </w:r>
      </w:hyperlink>
      <w:r w:rsidRPr="00924973">
        <w:rPr>
          <w:sz w:val="18"/>
          <w:szCs w:val="18"/>
          <w:lang w:val="en-US"/>
        </w:rPr>
        <w:t>.</w:t>
      </w:r>
    </w:p>
  </w:footnote>
  <w:footnote w:id="14">
    <w:p w:rsidR="00C62407" w:rsidRPr="007F5DE6"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lang w:val="en-IE"/>
        </w:rPr>
        <w:t xml:space="preserve">Directive (EU) 2019/944 of the European Parliament and of the Council of 5 June 2019 on common rules for the internal market for </w:t>
      </w:r>
      <w:r w:rsidRPr="000B3940">
        <w:rPr>
          <w:sz w:val="18"/>
          <w:szCs w:val="18"/>
        </w:rPr>
        <w:t>electricity</w:t>
      </w:r>
      <w:r w:rsidRPr="00924973">
        <w:rPr>
          <w:sz w:val="18"/>
          <w:szCs w:val="18"/>
          <w:lang w:val="en-IE"/>
        </w:rPr>
        <w:t xml:space="preserve"> and amending </w:t>
      </w:r>
      <w:r w:rsidRPr="007F5DE6">
        <w:rPr>
          <w:sz w:val="18"/>
          <w:szCs w:val="18"/>
          <w:lang w:val="en-IE"/>
        </w:rPr>
        <w:t xml:space="preserve">Directive 2012/27/EU (hereinafter Electricity Directive), </w:t>
      </w:r>
      <w:r w:rsidRPr="00C134D1">
        <w:rPr>
          <w:iCs/>
          <w:sz w:val="18"/>
          <w:lang w:val="en-IE"/>
        </w:rPr>
        <w:t>OJ L 158, 14.6.2019, p. 125–199</w:t>
      </w:r>
      <w:r w:rsidRPr="00C134D1">
        <w:rPr>
          <w:rStyle w:val="Emphasis"/>
          <w:i w:val="0"/>
          <w:color w:val="444444"/>
          <w:sz w:val="18"/>
          <w:szCs w:val="18"/>
          <w:shd w:val="clear" w:color="auto" w:fill="FFFFFF"/>
        </w:rPr>
        <w:t>.</w:t>
      </w:r>
    </w:p>
  </w:footnote>
  <w:footnote w:id="15">
    <w:p w:rsidR="00C62407" w:rsidRPr="00924973" w:rsidRDefault="00C62407" w:rsidP="00951EA4">
      <w:pPr>
        <w:pStyle w:val="FootnoteText"/>
        <w:rPr>
          <w:sz w:val="18"/>
          <w:szCs w:val="18"/>
          <w:lang w:val="en-IE"/>
        </w:rPr>
      </w:pPr>
      <w:r w:rsidRPr="007F5DE6">
        <w:rPr>
          <w:rStyle w:val="FootnoteReference"/>
          <w:sz w:val="18"/>
          <w:szCs w:val="18"/>
        </w:rPr>
        <w:footnoteRef/>
      </w:r>
      <w:r w:rsidRPr="007F5DE6">
        <w:rPr>
          <w:sz w:val="18"/>
          <w:szCs w:val="18"/>
        </w:rPr>
        <w:t xml:space="preserve"> </w:t>
      </w:r>
      <w:r w:rsidRPr="007F5DE6">
        <w:rPr>
          <w:sz w:val="18"/>
          <w:szCs w:val="18"/>
        </w:rPr>
        <w:tab/>
        <w:t>Regulation (EU) 2019/943 of the European Parliament and of the Council of 5 June 2019 on the internal market for electricity</w:t>
      </w:r>
      <w:r w:rsidRPr="00C134D1">
        <w:rPr>
          <w:sz w:val="18"/>
          <w:szCs w:val="18"/>
        </w:rPr>
        <w:t>, OJ L 158, 14.6.2019, p. 54–124</w:t>
      </w:r>
      <w:r w:rsidRPr="007F5DE6">
        <w:rPr>
          <w:sz w:val="18"/>
          <w:szCs w:val="18"/>
        </w:rPr>
        <w:t>.</w:t>
      </w:r>
    </w:p>
  </w:footnote>
  <w:footnote w:id="16">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lang w:val="en-IE"/>
        </w:rPr>
        <w:t xml:space="preserve">Art. 57(5)e </w:t>
      </w:r>
      <w:r w:rsidRPr="00924973">
        <w:rPr>
          <w:sz w:val="18"/>
          <w:szCs w:val="18"/>
        </w:rPr>
        <w:t>Electricity Directive.</w:t>
      </w:r>
    </w:p>
  </w:footnote>
  <w:footnote w:id="17">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lang w:val="en-IE"/>
        </w:rPr>
        <w:t xml:space="preserve">Art. 57(5)g </w:t>
      </w:r>
      <w:r w:rsidRPr="00924973">
        <w:rPr>
          <w:sz w:val="18"/>
          <w:szCs w:val="18"/>
        </w:rPr>
        <w:t>Electricity Directive.</w:t>
      </w:r>
    </w:p>
  </w:footnote>
  <w:footnote w:id="18">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sz w:val="18"/>
          <w:szCs w:val="18"/>
        </w:rPr>
        <w:t>Art. 57(5)f Electricity Directive.</w:t>
      </w:r>
    </w:p>
  </w:footnote>
  <w:footnote w:id="19">
    <w:p w:rsidR="00C62407" w:rsidRPr="00924973" w:rsidRDefault="00C62407" w:rsidP="001F2DE9">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lang w:val="en-IE"/>
        </w:rPr>
        <w:t>Art</w:t>
      </w:r>
      <w:r>
        <w:rPr>
          <w:sz w:val="18"/>
          <w:szCs w:val="18"/>
          <w:lang w:val="en-IE"/>
        </w:rPr>
        <w:t>.</w:t>
      </w:r>
      <w:r w:rsidRPr="00924973">
        <w:rPr>
          <w:sz w:val="18"/>
          <w:szCs w:val="18"/>
          <w:lang w:val="en-IE"/>
        </w:rPr>
        <w:t xml:space="preserve"> 58</w:t>
      </w:r>
      <w:r>
        <w:rPr>
          <w:sz w:val="18"/>
          <w:szCs w:val="18"/>
          <w:lang w:val="en-IE"/>
        </w:rPr>
        <w:t>-</w:t>
      </w:r>
      <w:r w:rsidRPr="00924973">
        <w:rPr>
          <w:sz w:val="18"/>
          <w:szCs w:val="18"/>
          <w:lang w:val="en-IE"/>
        </w:rPr>
        <w:t>60 Electricity Regulation</w:t>
      </w:r>
      <w:r>
        <w:rPr>
          <w:sz w:val="18"/>
          <w:szCs w:val="18"/>
          <w:lang w:val="en-IE"/>
        </w:rPr>
        <w:t>.</w:t>
      </w:r>
    </w:p>
  </w:footnote>
  <w:footnote w:id="20">
    <w:p w:rsidR="00C62407" w:rsidRPr="001B1E7E" w:rsidRDefault="00C62407" w:rsidP="00E27E1A">
      <w:pPr>
        <w:pStyle w:val="FootnoteText"/>
        <w:ind w:left="0" w:firstLine="0"/>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Art</w:t>
      </w:r>
      <w:r>
        <w:rPr>
          <w:sz w:val="18"/>
          <w:szCs w:val="18"/>
        </w:rPr>
        <w:t>.</w:t>
      </w:r>
      <w:r w:rsidRPr="00924973">
        <w:rPr>
          <w:sz w:val="18"/>
          <w:szCs w:val="18"/>
        </w:rPr>
        <w:t xml:space="preserve"> 5 ACER </w:t>
      </w:r>
      <w:r w:rsidRPr="001B1E7E">
        <w:rPr>
          <w:sz w:val="18"/>
          <w:szCs w:val="18"/>
        </w:rPr>
        <w:t xml:space="preserve">Regulation, </w:t>
      </w:r>
      <w:r w:rsidRPr="00D646E3">
        <w:rPr>
          <w:sz w:val="18"/>
          <w:szCs w:val="18"/>
        </w:rPr>
        <w:t>Agency for the Cooperation of Energy Regulators</w:t>
      </w:r>
      <w:r w:rsidRPr="001B1E7E">
        <w:rPr>
          <w:sz w:val="18"/>
          <w:szCs w:val="18"/>
        </w:rPr>
        <w:t>.</w:t>
      </w:r>
    </w:p>
  </w:footnote>
  <w:footnote w:id="21">
    <w:p w:rsidR="00C62407" w:rsidRPr="00AD38A1" w:rsidRDefault="00C62407" w:rsidP="001854FB">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AD38A1">
        <w:rPr>
          <w:sz w:val="18"/>
          <w:szCs w:val="18"/>
        </w:rPr>
        <w:t xml:space="preserve">Transmission System Operators (TSOs) maintain high pressure grids which transport gas over long distances. Distribution </w:t>
      </w:r>
      <w:r w:rsidRPr="00D646E3">
        <w:rPr>
          <w:rStyle w:val="FootnoteReference"/>
          <w:sz w:val="18"/>
          <w:szCs w:val="18"/>
          <w:vertAlign w:val="baseline"/>
        </w:rPr>
        <w:t>System</w:t>
      </w:r>
      <w:r w:rsidRPr="00AD38A1">
        <w:rPr>
          <w:sz w:val="18"/>
          <w:szCs w:val="18"/>
        </w:rPr>
        <w:t xml:space="preserve"> Operators (DSOs) are usually smaller networks, often at regional or local level, mainly for the distribution to end customers. Unbundling requirements exist also for DSOs (basically legal, functional and accounting unbundling for all DSOs with more than 100 000 customers). </w:t>
      </w:r>
    </w:p>
  </w:footnote>
  <w:footnote w:id="22">
    <w:p w:rsidR="00C62407" w:rsidRPr="00AD38A1" w:rsidRDefault="00C62407" w:rsidP="00E27E1A">
      <w:pPr>
        <w:pStyle w:val="FootnoteText"/>
        <w:ind w:left="0" w:firstLine="0"/>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t>Art. 52-55 Electricity Regulation.</w:t>
      </w:r>
    </w:p>
  </w:footnote>
  <w:footnote w:id="23">
    <w:p w:rsidR="00C62407" w:rsidRPr="00AD38A1" w:rsidRDefault="00C62407" w:rsidP="001F2DE9">
      <w:pPr>
        <w:pStyle w:val="FootnoteText"/>
        <w:rPr>
          <w:rStyle w:val="Hyperlink"/>
          <w:sz w:val="18"/>
          <w:szCs w:val="18"/>
        </w:rPr>
      </w:pPr>
      <w:r w:rsidRPr="00AD38A1">
        <w:rPr>
          <w:rStyle w:val="FootnoteReference"/>
          <w:sz w:val="18"/>
          <w:szCs w:val="18"/>
        </w:rPr>
        <w:footnoteRef/>
      </w:r>
      <w:r w:rsidRPr="00AD38A1">
        <w:rPr>
          <w:sz w:val="18"/>
          <w:szCs w:val="18"/>
        </w:rPr>
        <w:t xml:space="preserve"> </w:t>
      </w:r>
      <w:r w:rsidRPr="00AD38A1">
        <w:rPr>
          <w:sz w:val="18"/>
          <w:szCs w:val="18"/>
        </w:rPr>
        <w:tab/>
        <w:t xml:space="preserve">See the ‘Progress report on the internal market’ annexing the ‘2020 report on the State of the Energy Union pursuant to </w:t>
      </w:r>
      <w:r w:rsidRPr="00AD38A1">
        <w:rPr>
          <w:rFonts w:eastAsiaTheme="minorEastAsia"/>
          <w:sz w:val="18"/>
          <w:szCs w:val="18"/>
          <w:lang w:val="en-US" w:eastAsia="en-US"/>
        </w:rPr>
        <w:t>Regulation</w:t>
      </w:r>
      <w:r w:rsidRPr="00AD38A1">
        <w:rPr>
          <w:sz w:val="18"/>
          <w:szCs w:val="18"/>
        </w:rPr>
        <w:t xml:space="preserve"> (EU) 2018/1999 on Governance of the Energy Union and Climate Action’ COM(2020) 950 final.</w:t>
      </w:r>
    </w:p>
  </w:footnote>
  <w:footnote w:id="24">
    <w:p w:rsidR="00C62407" w:rsidRPr="00AD38A1" w:rsidRDefault="00C62407" w:rsidP="001F2DE9">
      <w:pPr>
        <w:pStyle w:val="FootnoteText"/>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r>
      <w:r w:rsidRPr="00AD38A1">
        <w:rPr>
          <w:rFonts w:eastAsiaTheme="minorEastAsia"/>
          <w:sz w:val="18"/>
          <w:szCs w:val="18"/>
          <w:lang w:val="en-US" w:eastAsia="en-US"/>
        </w:rPr>
        <w:t>Powering</w:t>
      </w:r>
      <w:r w:rsidRPr="00AD38A1">
        <w:rPr>
          <w:sz w:val="18"/>
          <w:szCs w:val="18"/>
        </w:rPr>
        <w:t xml:space="preserve"> a climate-neutral economy: An EU Strategy for Energy System Integration, COM(2020) 299 final, Brussels, 8.7.2020, </w:t>
      </w:r>
      <w:hyperlink r:id="rId4" w:history="1">
        <w:r w:rsidRPr="00AD38A1">
          <w:rPr>
            <w:rStyle w:val="Hyperlink"/>
            <w:sz w:val="18"/>
            <w:szCs w:val="18"/>
          </w:rPr>
          <w:t>https://eur-lex.europa.eu/legal-content/EN/TXT/PDF/?uri=CELEX:52020DC0299&amp;from=EN</w:t>
        </w:r>
      </w:hyperlink>
      <w:r w:rsidRPr="00AD38A1">
        <w:rPr>
          <w:sz w:val="18"/>
          <w:szCs w:val="18"/>
        </w:rPr>
        <w:t xml:space="preserve">; A hydrogen strategy for a climate-neutral Europe, COM(2020) 301 final, Brussels, 8.7.2020, </w:t>
      </w:r>
      <w:hyperlink r:id="rId5" w:history="1">
        <w:r w:rsidRPr="00AD38A1">
          <w:rPr>
            <w:rStyle w:val="Hyperlink"/>
            <w:sz w:val="18"/>
            <w:szCs w:val="18"/>
          </w:rPr>
          <w:t>https://eur-lex.europa.eu/legal-content/EN/TXT/PDF/?uri=CELEX:52020DC0301&amp;from=EN</w:t>
        </w:r>
      </w:hyperlink>
      <w:r w:rsidRPr="00AD38A1">
        <w:rPr>
          <w:sz w:val="18"/>
          <w:szCs w:val="18"/>
        </w:rPr>
        <w:t xml:space="preserve">; EU renewable energy rules – review, </w:t>
      </w:r>
      <w:hyperlink r:id="rId6" w:history="1">
        <w:r w:rsidRPr="00AD38A1">
          <w:rPr>
            <w:rStyle w:val="Hyperlink"/>
            <w:sz w:val="18"/>
            <w:szCs w:val="18"/>
          </w:rPr>
          <w:t>EU renewable energy rules – review (europa.eu)</w:t>
        </w:r>
      </w:hyperlink>
      <w:r w:rsidRPr="00AD38A1">
        <w:rPr>
          <w:sz w:val="18"/>
          <w:szCs w:val="18"/>
        </w:rPr>
        <w:t>.</w:t>
      </w:r>
      <w:r w:rsidRPr="00AD38A1">
        <w:rPr>
          <w:rStyle w:val="Hyperlink"/>
          <w:sz w:val="18"/>
          <w:szCs w:val="18"/>
        </w:rPr>
        <w:t>https://eur-lex.europa.eu/legal-content/EN/TXT/PDF/?uri=CELEX:52020DC0301&amp;from=EN</w:t>
      </w:r>
      <w:r w:rsidRPr="00AD38A1">
        <w:rPr>
          <w:sz w:val="18"/>
          <w:szCs w:val="18"/>
        </w:rPr>
        <w:t>; EU renewable energy rules – review, .</w:t>
      </w:r>
      <w:r w:rsidRPr="00AD38A1">
        <w:rPr>
          <w:rStyle w:val="Hyperlink"/>
          <w:sz w:val="18"/>
          <w:szCs w:val="18"/>
        </w:rPr>
        <w:t>https://eur-lex.europa.eu/legal-content/EN/TXT/PDF/?uri=CELEX:52020DC0301&amp;from=EN</w:t>
      </w:r>
      <w:r w:rsidRPr="00AD38A1">
        <w:rPr>
          <w:sz w:val="18"/>
          <w:szCs w:val="18"/>
        </w:rPr>
        <w:t xml:space="preserve">; EU renewable energy rules – review, </w:t>
      </w:r>
      <w:r w:rsidRPr="00AD38A1">
        <w:rPr>
          <w:rStyle w:val="Hyperlink"/>
          <w:sz w:val="18"/>
          <w:szCs w:val="18"/>
        </w:rPr>
        <w:t>https://eur-lex.europa.eu/legal-content/EN/TXT/PDF/?uri=CELEX:52020DC0301&amp;from=EN</w:t>
      </w:r>
      <w:r w:rsidRPr="00AD38A1">
        <w:rPr>
          <w:sz w:val="18"/>
          <w:szCs w:val="18"/>
        </w:rPr>
        <w:t>; EU renewable energy rules – review.</w:t>
      </w:r>
    </w:p>
  </w:footnote>
  <w:footnote w:id="25">
    <w:p w:rsidR="00C62407" w:rsidRPr="00AD38A1" w:rsidRDefault="00C62407" w:rsidP="001F2DE9">
      <w:pPr>
        <w:pStyle w:val="FootnoteText"/>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t xml:space="preserve">Potentials of sector coupling for decarbonisation: Assessing regulatory barriers in linking the gas and electricity sectors in the EU, December 2019, </w:t>
      </w:r>
      <w:hyperlink r:id="rId7" w:history="1">
        <w:r w:rsidRPr="00AD38A1">
          <w:rPr>
            <w:sz w:val="18"/>
            <w:szCs w:val="18"/>
          </w:rPr>
          <w:t>Potentials of sector coupling for decarbonisation: Assessing regulatory barriers in linking the gas and electricity sectors in the EU | Energy (europa.eu)</w:t>
        </w:r>
      </w:hyperlink>
      <w:r w:rsidRPr="00AD38A1">
        <w:rPr>
          <w:sz w:val="18"/>
          <w:szCs w:val="18"/>
        </w:rPr>
        <w:t>.</w:t>
      </w:r>
    </w:p>
  </w:footnote>
  <w:footnote w:id="26">
    <w:p w:rsidR="00C62407" w:rsidRPr="00AD38A1" w:rsidRDefault="00C62407" w:rsidP="001F2DE9">
      <w:pPr>
        <w:pStyle w:val="FootnoteText"/>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r>
      <w:r w:rsidRPr="00AD38A1">
        <w:rPr>
          <w:noProof/>
          <w:sz w:val="18"/>
          <w:szCs w:val="18"/>
        </w:rPr>
        <w:t xml:space="preserve">The </w:t>
      </w:r>
      <w:r w:rsidRPr="00AD38A1">
        <w:rPr>
          <w:sz w:val="18"/>
          <w:szCs w:val="18"/>
        </w:rPr>
        <w:t>participants</w:t>
      </w:r>
      <w:r w:rsidRPr="00AD38A1">
        <w:rPr>
          <w:noProof/>
          <w:sz w:val="18"/>
          <w:szCs w:val="18"/>
        </w:rPr>
        <w:t xml:space="preserve"> are NRAs, Member States, the European Commission, transmission and distribution system operators, gas traders, consumers, network users, and gas exchanges. The Forum convenes once or twice a year.</w:t>
      </w:r>
    </w:p>
  </w:footnote>
  <w:footnote w:id="27">
    <w:p w:rsidR="00C62407" w:rsidRPr="00AD38A1" w:rsidRDefault="00C62407" w:rsidP="00E27E1A">
      <w:pPr>
        <w:pStyle w:val="FootnoteText"/>
        <w:ind w:left="0" w:firstLine="0"/>
        <w:rPr>
          <w:sz w:val="18"/>
          <w:szCs w:val="18"/>
        </w:rPr>
      </w:pPr>
      <w:r w:rsidRPr="00AD38A1">
        <w:rPr>
          <w:rStyle w:val="FootnoteReference"/>
          <w:sz w:val="18"/>
          <w:szCs w:val="18"/>
        </w:rPr>
        <w:footnoteRef/>
      </w:r>
      <w:r w:rsidRPr="00AD38A1">
        <w:rPr>
          <w:sz w:val="18"/>
          <w:szCs w:val="18"/>
        </w:rPr>
        <w:t xml:space="preserve"> </w:t>
      </w:r>
      <w:r w:rsidRPr="00AD38A1">
        <w:rPr>
          <w:sz w:val="18"/>
          <w:szCs w:val="18"/>
        </w:rPr>
        <w:tab/>
      </w:r>
      <w:hyperlink r:id="rId8" w:history="1">
        <w:r w:rsidRPr="00AD38A1">
          <w:rPr>
            <w:rStyle w:val="Hyperlink"/>
            <w:sz w:val="18"/>
            <w:szCs w:val="18"/>
          </w:rPr>
          <w:t>Madrid forums | Energy (europa.eu)</w:t>
        </w:r>
      </w:hyperlink>
      <w:r w:rsidRPr="00AD38A1">
        <w:rPr>
          <w:sz w:val="18"/>
          <w:szCs w:val="18"/>
        </w:rPr>
        <w:t>.</w:t>
      </w:r>
    </w:p>
  </w:footnote>
  <w:footnote w:id="28">
    <w:p w:rsidR="00C62407" w:rsidRPr="00924973" w:rsidRDefault="00C62407" w:rsidP="00E27E1A">
      <w:pPr>
        <w:pStyle w:val="FootnoteText"/>
        <w:ind w:left="0" w:firstLine="0"/>
        <w:rPr>
          <w:rStyle w:val="FootnoteReference"/>
          <w:sz w:val="18"/>
          <w:szCs w:val="18"/>
          <w:vertAlign w:val="baseline"/>
        </w:rPr>
      </w:pPr>
      <w:r w:rsidRPr="00924973">
        <w:rPr>
          <w:rStyle w:val="FootnoteReference"/>
          <w:sz w:val="18"/>
          <w:szCs w:val="18"/>
        </w:rPr>
        <w:footnoteRef/>
      </w:r>
      <w:r>
        <w:rPr>
          <w:sz w:val="18"/>
          <w:szCs w:val="18"/>
        </w:rPr>
        <w:t xml:space="preserve"> </w:t>
      </w:r>
      <w:r>
        <w:rPr>
          <w:sz w:val="18"/>
          <w:szCs w:val="18"/>
        </w:rPr>
        <w:tab/>
      </w:r>
      <w:r>
        <w:rPr>
          <w:rStyle w:val="FootnoteReference"/>
          <w:sz w:val="18"/>
          <w:szCs w:val="18"/>
          <w:vertAlign w:val="baseline"/>
        </w:rPr>
        <w:t xml:space="preserve">Impact Assessment report </w:t>
      </w:r>
      <w:r>
        <w:rPr>
          <w:sz w:val="18"/>
          <w:szCs w:val="18"/>
        </w:rPr>
        <w:t>for</w:t>
      </w:r>
      <w:r w:rsidRPr="00EB68AB">
        <w:rPr>
          <w:sz w:val="18"/>
          <w:szCs w:val="18"/>
        </w:rPr>
        <w:t xml:space="preserve"> </w:t>
      </w:r>
      <w:r>
        <w:rPr>
          <w:sz w:val="18"/>
          <w:szCs w:val="18"/>
        </w:rPr>
        <w:t xml:space="preserve">the </w:t>
      </w:r>
      <w:r w:rsidRPr="00EB68AB">
        <w:rPr>
          <w:sz w:val="18"/>
          <w:szCs w:val="18"/>
        </w:rPr>
        <w:t>hydrogen and decarbonised gas market</w:t>
      </w:r>
      <w:r>
        <w:rPr>
          <w:sz w:val="18"/>
          <w:szCs w:val="18"/>
        </w:rPr>
        <w:t>s</w:t>
      </w:r>
      <w:r w:rsidRPr="00EB68AB">
        <w:rPr>
          <w:sz w:val="18"/>
          <w:szCs w:val="18"/>
        </w:rPr>
        <w:t xml:space="preserve"> package</w:t>
      </w:r>
      <w:r>
        <w:rPr>
          <w:sz w:val="18"/>
          <w:szCs w:val="18"/>
        </w:rPr>
        <w:t>.</w:t>
      </w:r>
    </w:p>
  </w:footnote>
  <w:footnote w:id="29">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Directive 98/30/EC of the European Parliament and of the Council of 22 June 1998 concerning common rules for the internal market in natural gas: </w:t>
      </w:r>
      <w:hyperlink r:id="rId9" w:tooltip="Gives access to this document through its ELI URI." w:history="1">
        <w:r w:rsidRPr="00924973">
          <w:rPr>
            <w:rStyle w:val="Hyperlink"/>
            <w:sz w:val="18"/>
            <w:szCs w:val="18"/>
          </w:rPr>
          <w:t>http://data.europa.eu/eli/dir/1998/30/oj</w:t>
        </w:r>
      </w:hyperlink>
      <w:r w:rsidRPr="00924973">
        <w:rPr>
          <w:sz w:val="18"/>
          <w:szCs w:val="18"/>
        </w:rPr>
        <w:t xml:space="preserve">. </w:t>
      </w:r>
      <w:r w:rsidRPr="00924973">
        <w:rPr>
          <w:sz w:val="18"/>
          <w:szCs w:val="18"/>
        </w:rPr>
        <w:br/>
        <w:t xml:space="preserve">The Directive provided for a partial market opening, giving suppliers a possibility to transport their gas on networks owned by the incumbent companies, under conditions to be negotiated with the incumbent (so-called </w:t>
      </w:r>
      <w:r>
        <w:rPr>
          <w:sz w:val="18"/>
          <w:szCs w:val="18"/>
        </w:rPr>
        <w:t>‘</w:t>
      </w:r>
      <w:r w:rsidRPr="00924973">
        <w:rPr>
          <w:sz w:val="18"/>
          <w:szCs w:val="18"/>
        </w:rPr>
        <w:t>negotiated Third Party Access</w:t>
      </w:r>
      <w:r>
        <w:rPr>
          <w:sz w:val="18"/>
          <w:szCs w:val="18"/>
        </w:rPr>
        <w:t>’</w:t>
      </w:r>
      <w:r w:rsidRPr="00924973">
        <w:rPr>
          <w:sz w:val="18"/>
          <w:szCs w:val="18"/>
        </w:rPr>
        <w:t>). The biggest consumers (e.g. industrial consumers) were given the right to choose their supplier. Knowing about the incentives of suppliers to use their grids to avoid competition, the Directive also required network owners to create separate accounting for their network business, and to nominate a dedicated management for their network which should not be active in production/supply businesses (</w:t>
      </w:r>
      <w:r>
        <w:rPr>
          <w:sz w:val="18"/>
          <w:szCs w:val="18"/>
        </w:rPr>
        <w:t>‘</w:t>
      </w:r>
      <w:r w:rsidRPr="00924973">
        <w:rPr>
          <w:sz w:val="18"/>
          <w:szCs w:val="18"/>
        </w:rPr>
        <w:t>management and accounting unbundling</w:t>
      </w:r>
      <w:r>
        <w:rPr>
          <w:sz w:val="18"/>
          <w:szCs w:val="18"/>
        </w:rPr>
        <w:t>’</w:t>
      </w:r>
      <w:r w:rsidRPr="00924973">
        <w:rPr>
          <w:sz w:val="18"/>
          <w:szCs w:val="18"/>
        </w:rPr>
        <w:t>). Member States were obliged to provide for basic regulatory oversight of these rules.</w:t>
      </w:r>
    </w:p>
  </w:footnote>
  <w:footnote w:id="30">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Directive 2003/55/EC of the European Parliament and of the Council of 26 June 2003 concerning common rules for the internal market in natural gas and repealing Directive 98/30/EC: </w:t>
      </w:r>
      <w:hyperlink r:id="rId10" w:tooltip="Gives access to this document through its ELI URI." w:history="1">
        <w:r w:rsidRPr="00924973">
          <w:rPr>
            <w:rStyle w:val="Hyperlink"/>
            <w:sz w:val="18"/>
            <w:szCs w:val="18"/>
          </w:rPr>
          <w:t>http://data.europa.eu/eli/dir/2003/55/oj</w:t>
        </w:r>
      </w:hyperlink>
      <w:r w:rsidRPr="00924973">
        <w:rPr>
          <w:sz w:val="18"/>
          <w:szCs w:val="18"/>
        </w:rPr>
        <w:br/>
        <w:t>The Second Package replaced the right for network owners to negotiate network access rules freely with potential users and introduced regulated Third Party Access rules. For this purpose, every Member State had to create national energy regulators to determine network access tariffs and other access conditions, and to better detect discriminating practices by incumbents. The new Package also reinforced the existing loose unbundling rules by imposing a legal separation between network and production/supply business (</w:t>
      </w:r>
      <w:r>
        <w:rPr>
          <w:b/>
          <w:bCs/>
          <w:sz w:val="18"/>
          <w:szCs w:val="18"/>
        </w:rPr>
        <w:t>‘</w:t>
      </w:r>
      <w:r w:rsidRPr="00924973">
        <w:rPr>
          <w:sz w:val="18"/>
          <w:szCs w:val="18"/>
        </w:rPr>
        <w:t>legal unbundling</w:t>
      </w:r>
      <w:r>
        <w:rPr>
          <w:sz w:val="18"/>
          <w:szCs w:val="18"/>
        </w:rPr>
        <w:t>’</w:t>
      </w:r>
      <w:r w:rsidRPr="00924973">
        <w:rPr>
          <w:sz w:val="18"/>
          <w:szCs w:val="18"/>
        </w:rPr>
        <w:t>). It also prescribed a mandatory path for full market opening until 2004 (for non-household customers) and 2007 (for household customers).</w:t>
      </w:r>
    </w:p>
  </w:footnote>
  <w:footnote w:id="31">
    <w:p w:rsidR="00C62407" w:rsidRPr="00924973" w:rsidRDefault="00C62407" w:rsidP="00E27E1A">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hyperlink r:id="rId11" w:history="1">
        <w:r w:rsidRPr="00924973">
          <w:rPr>
            <w:rStyle w:val="Hyperlink"/>
            <w:sz w:val="18"/>
            <w:szCs w:val="18"/>
          </w:rPr>
          <w:t>http://ec.europa.eu/competition/sectors/energy/2005_inquiry/index_en.html</w:t>
        </w:r>
      </w:hyperlink>
      <w:r w:rsidRPr="00924973">
        <w:rPr>
          <w:sz w:val="18"/>
          <w:szCs w:val="18"/>
        </w:rPr>
        <w:t xml:space="preserve"> </w:t>
      </w:r>
    </w:p>
  </w:footnote>
  <w:footnote w:id="32">
    <w:p w:rsidR="00C62407" w:rsidRPr="00924973" w:rsidRDefault="00C62407" w:rsidP="001F2DE9">
      <w:pPr>
        <w:pStyle w:val="FootnoteText"/>
        <w:rPr>
          <w:rStyle w:val="FootnoteReference"/>
          <w:sz w:val="18"/>
          <w:szCs w:val="18"/>
          <w:vertAlign w:val="baseline"/>
          <w:lang w:eastAsia="en-US"/>
        </w:rPr>
      </w:pPr>
      <w:r w:rsidRPr="00924973">
        <w:rPr>
          <w:rStyle w:val="FootnoteReference"/>
          <w:sz w:val="18"/>
          <w:szCs w:val="18"/>
        </w:rPr>
        <w:footnoteRef/>
      </w:r>
      <w:r>
        <w:rPr>
          <w:sz w:val="18"/>
          <w:szCs w:val="18"/>
        </w:rPr>
        <w:t xml:space="preserve"> </w:t>
      </w:r>
      <w:r>
        <w:rPr>
          <w:sz w:val="18"/>
          <w:szCs w:val="18"/>
        </w:rPr>
        <w:tab/>
      </w:r>
      <w:r w:rsidRPr="00924973">
        <w:rPr>
          <w:rStyle w:val="FootnoteReference"/>
          <w:sz w:val="18"/>
          <w:szCs w:val="18"/>
          <w:vertAlign w:val="baseline"/>
        </w:rPr>
        <w:t>See also</w:t>
      </w:r>
      <w:r w:rsidRPr="00924973">
        <w:rPr>
          <w:sz w:val="18"/>
          <w:szCs w:val="18"/>
        </w:rPr>
        <w:t>:</w:t>
      </w:r>
      <w:r w:rsidRPr="00924973">
        <w:rPr>
          <w:rStyle w:val="FootnoteReference"/>
          <w:sz w:val="18"/>
          <w:szCs w:val="18"/>
          <w:vertAlign w:val="baseline"/>
        </w:rPr>
        <w:t xml:space="preserve"> Impact </w:t>
      </w:r>
      <w:r>
        <w:rPr>
          <w:sz w:val="18"/>
          <w:szCs w:val="18"/>
        </w:rPr>
        <w:t>A</w:t>
      </w:r>
      <w:r w:rsidRPr="00924973">
        <w:rPr>
          <w:rStyle w:val="FootnoteReference"/>
          <w:sz w:val="18"/>
          <w:szCs w:val="18"/>
          <w:vertAlign w:val="baseline"/>
        </w:rPr>
        <w:t>ssessment for the Third Package (SEC(2007) 1179/2)</w:t>
      </w:r>
      <w:r w:rsidRPr="00924973">
        <w:rPr>
          <w:sz w:val="18"/>
          <w:szCs w:val="18"/>
        </w:rPr>
        <w:br/>
      </w:r>
      <w:hyperlink r:id="rId12" w:history="1">
        <w:r w:rsidRPr="00334DD4">
          <w:rPr>
            <w:rStyle w:val="Hyperlink"/>
            <w:sz w:val="18"/>
            <w:szCs w:val="18"/>
          </w:rPr>
          <w:t>http://eur-lex.europa.eu/legal-content/EN/TXT/?uri=CELEX%3A52007SC1179</w:t>
        </w:r>
      </w:hyperlink>
    </w:p>
  </w:footnote>
  <w:footnote w:id="33">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See in this context also the numerous antitrust investigations of the Commission between 2006 and 2009, identifying systematic problems of network foreclosure and ineffective unbundling rules</w:t>
      </w:r>
      <w:r w:rsidRPr="00924973" w:rsidDel="00F346EB">
        <w:rPr>
          <w:sz w:val="18"/>
          <w:szCs w:val="18"/>
        </w:rPr>
        <w:t xml:space="preserve"> </w:t>
      </w:r>
      <w:r w:rsidRPr="00924973">
        <w:rPr>
          <w:sz w:val="18"/>
          <w:szCs w:val="18"/>
        </w:rPr>
        <w:t>see e.g. Case COMP/39.402 — RWE https://ec.europa.eu/commission/presscorner/detail/en/MEMO_07_186 or Case COMP/ 39.</w:t>
      </w:r>
      <w:r w:rsidRPr="00924973" w:rsidDel="002C14EB">
        <w:rPr>
          <w:sz w:val="18"/>
          <w:szCs w:val="18"/>
        </w:rPr>
        <w:t>315</w:t>
      </w:r>
      <w:r w:rsidRPr="00924973">
        <w:rPr>
          <w:sz w:val="18"/>
          <w:szCs w:val="18"/>
        </w:rPr>
        <w:t xml:space="preserve"> ENI https://ec.europa.eu/commission/presscorner/detail/en/MEMO_09_120</w:t>
      </w:r>
      <w:r w:rsidRPr="002C14EB">
        <w:rPr>
          <w:sz w:val="18"/>
          <w:szCs w:val="18"/>
        </w:rPr>
        <w:t xml:space="preserve"> </w:t>
      </w:r>
      <w:r w:rsidRPr="00924973">
        <w:rPr>
          <w:sz w:val="18"/>
          <w:szCs w:val="18"/>
        </w:rPr>
        <w:t xml:space="preserve">https://ec.europa.eu/commission/presscorner/detail/en/MEMO_09_120 </w:t>
      </w:r>
    </w:p>
  </w:footnote>
  <w:footnote w:id="34">
    <w:p w:rsidR="00C62407" w:rsidRPr="00924973" w:rsidRDefault="00C62407" w:rsidP="00E27E1A">
      <w:pPr>
        <w:pStyle w:val="FootnoteText"/>
        <w:ind w:left="0" w:firstLine="0"/>
        <w:rPr>
          <w:sz w:val="18"/>
          <w:szCs w:val="18"/>
          <w:lang w:val="en-US"/>
        </w:rPr>
      </w:pPr>
      <w:r w:rsidRPr="00924973">
        <w:rPr>
          <w:rStyle w:val="FootnoteReference"/>
          <w:sz w:val="18"/>
          <w:szCs w:val="18"/>
        </w:rPr>
        <w:footnoteRef/>
      </w:r>
      <w:r w:rsidRPr="00924973">
        <w:rPr>
          <w:rStyle w:val="FootnoteReference"/>
          <w:sz w:val="18"/>
          <w:szCs w:val="18"/>
        </w:rPr>
        <w:t xml:space="preserve"> </w:t>
      </w:r>
      <w:r>
        <w:rPr>
          <w:sz w:val="18"/>
          <w:szCs w:val="18"/>
        </w:rPr>
        <w:tab/>
      </w:r>
      <w:r w:rsidRPr="00924973">
        <w:rPr>
          <w:sz w:val="18"/>
          <w:szCs w:val="18"/>
          <w:lang w:val="en-US"/>
        </w:rPr>
        <w:t xml:space="preserve">COM(2006) 841, Communication from the Commission, Prospects for the internal gas and electricity market. </w:t>
      </w:r>
    </w:p>
  </w:footnote>
  <w:footnote w:id="35">
    <w:p w:rsidR="00C62407" w:rsidRPr="00924973" w:rsidRDefault="00C62407" w:rsidP="001F2DE9">
      <w:pPr>
        <w:pStyle w:val="FootnoteText"/>
        <w:rPr>
          <w:rStyle w:val="FootnoteReference"/>
          <w:sz w:val="18"/>
          <w:szCs w:val="18"/>
          <w:vertAlign w:val="baseline"/>
        </w:rPr>
      </w:pPr>
      <w:r w:rsidRPr="00924973">
        <w:rPr>
          <w:rStyle w:val="FootnoteReference"/>
          <w:sz w:val="18"/>
          <w:szCs w:val="18"/>
        </w:rPr>
        <w:footnoteRef/>
      </w:r>
      <w:r w:rsidRPr="00924973">
        <w:rPr>
          <w:rStyle w:val="FootnoteReference"/>
          <w:sz w:val="18"/>
          <w:szCs w:val="18"/>
        </w:rPr>
        <w:t xml:space="preserve"> </w:t>
      </w:r>
      <w:r>
        <w:rPr>
          <w:sz w:val="18"/>
          <w:szCs w:val="18"/>
        </w:rPr>
        <w:tab/>
      </w:r>
      <w:r w:rsidRPr="00924973">
        <w:rPr>
          <w:rStyle w:val="FootnoteReference"/>
          <w:sz w:val="18"/>
          <w:szCs w:val="18"/>
          <w:vertAlign w:val="baseline"/>
        </w:rPr>
        <w:t>In</w:t>
      </w:r>
      <w:r w:rsidRPr="00924973">
        <w:rPr>
          <w:sz w:val="18"/>
          <w:szCs w:val="18"/>
        </w:rPr>
        <w:t xml:space="preserve"> a</w:t>
      </w:r>
      <w:r w:rsidRPr="00924973">
        <w:rPr>
          <w:rStyle w:val="FootnoteReference"/>
          <w:sz w:val="18"/>
          <w:szCs w:val="18"/>
          <w:vertAlign w:val="baseline"/>
        </w:rPr>
        <w:t xml:space="preserve"> vertically integrated company multiple steps in the typical distribution process</w:t>
      </w:r>
      <w:r w:rsidRPr="00924973">
        <w:rPr>
          <w:sz w:val="18"/>
          <w:szCs w:val="18"/>
        </w:rPr>
        <w:t xml:space="preserve"> are consolidated. In other words,</w:t>
      </w:r>
      <w:r w:rsidRPr="00924973">
        <w:rPr>
          <w:rStyle w:val="FootnoteReference"/>
          <w:sz w:val="18"/>
          <w:szCs w:val="18"/>
          <w:vertAlign w:val="baseline"/>
        </w:rPr>
        <w:t xml:space="preserve"> a vertically integrated company</w:t>
      </w:r>
      <w:r w:rsidRPr="00924973">
        <w:rPr>
          <w:sz w:val="18"/>
          <w:szCs w:val="18"/>
        </w:rPr>
        <w:t xml:space="preserve"> performs tasks of a </w:t>
      </w:r>
      <w:r w:rsidRPr="00924973">
        <w:rPr>
          <w:rStyle w:val="FootnoteReference"/>
          <w:sz w:val="18"/>
          <w:szCs w:val="18"/>
          <w:vertAlign w:val="baseline"/>
        </w:rPr>
        <w:t>p</w:t>
      </w:r>
      <w:r w:rsidRPr="00924973">
        <w:rPr>
          <w:sz w:val="18"/>
          <w:szCs w:val="18"/>
        </w:rPr>
        <w:t>roducer</w:t>
      </w:r>
      <w:r w:rsidRPr="00924973">
        <w:rPr>
          <w:rStyle w:val="FootnoteReference"/>
          <w:sz w:val="18"/>
          <w:szCs w:val="18"/>
          <w:vertAlign w:val="baseline"/>
        </w:rPr>
        <w:t>, distributor a</w:t>
      </w:r>
      <w:r w:rsidRPr="00924973">
        <w:rPr>
          <w:sz w:val="18"/>
          <w:szCs w:val="18"/>
        </w:rPr>
        <w:t>nd</w:t>
      </w:r>
      <w:r w:rsidRPr="00924973">
        <w:rPr>
          <w:rStyle w:val="FootnoteReference"/>
          <w:sz w:val="18"/>
          <w:szCs w:val="18"/>
          <w:vertAlign w:val="baseline"/>
        </w:rPr>
        <w:t xml:space="preserve"> retailer</w:t>
      </w:r>
      <w:r w:rsidRPr="00924973">
        <w:rPr>
          <w:sz w:val="18"/>
          <w:szCs w:val="18"/>
        </w:rPr>
        <w:t xml:space="preserve">. </w:t>
      </w:r>
    </w:p>
  </w:footnote>
  <w:footnote w:id="36">
    <w:p w:rsidR="00C62407" w:rsidRPr="00924973" w:rsidRDefault="00C62407" w:rsidP="00E27E1A">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Article 37 of the Gas Directive</w:t>
      </w:r>
      <w:r>
        <w:rPr>
          <w:sz w:val="18"/>
          <w:szCs w:val="18"/>
        </w:rPr>
        <w:t>.</w:t>
      </w:r>
    </w:p>
  </w:footnote>
  <w:footnote w:id="37">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rFonts w:eastAsiaTheme="minorEastAsia"/>
          <w:sz w:val="18"/>
          <w:szCs w:val="18"/>
        </w:rPr>
        <w:t>COM(</w:t>
      </w:r>
      <w:r w:rsidRPr="000B3940">
        <w:rPr>
          <w:rStyle w:val="FootnoteReference"/>
          <w:vertAlign w:val="baseline"/>
        </w:rPr>
        <w:t>2010</w:t>
      </w:r>
      <w:r w:rsidRPr="00924973">
        <w:rPr>
          <w:rFonts w:eastAsiaTheme="minorEastAsia"/>
          <w:sz w:val="18"/>
          <w:szCs w:val="18"/>
        </w:rPr>
        <w:t xml:space="preserve">) 2020, Communication from the Commission, Europe 2020, A strategy for smart, sustainable and inclusive growth. </w:t>
      </w:r>
    </w:p>
  </w:footnote>
  <w:footnote w:id="38">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C508FA">
        <w:rPr>
          <w:sz w:val="18"/>
          <w:szCs w:val="18"/>
        </w:rPr>
        <w:t>I</w:t>
      </w:r>
      <w:r>
        <w:rPr>
          <w:sz w:val="18"/>
          <w:szCs w:val="18"/>
        </w:rPr>
        <w:t>nterpretative note on Directive</w:t>
      </w:r>
      <w:r w:rsidRPr="00C508FA">
        <w:rPr>
          <w:sz w:val="18"/>
          <w:szCs w:val="18"/>
        </w:rPr>
        <w:t xml:space="preserve"> 2009/72/EC </w:t>
      </w:r>
      <w:r>
        <w:rPr>
          <w:sz w:val="18"/>
          <w:szCs w:val="18"/>
        </w:rPr>
        <w:t>concerning common rules for the internal market in Electricity and Directive</w:t>
      </w:r>
      <w:r w:rsidRPr="00C508FA">
        <w:rPr>
          <w:sz w:val="18"/>
          <w:szCs w:val="18"/>
        </w:rPr>
        <w:t xml:space="preserve"> 2009/73/EC </w:t>
      </w:r>
      <w:r>
        <w:rPr>
          <w:sz w:val="18"/>
          <w:szCs w:val="18"/>
        </w:rPr>
        <w:t>concerning common rules for the internal market in natural gas, available at:</w:t>
      </w:r>
      <w:r w:rsidRPr="00924973">
        <w:rPr>
          <w:sz w:val="18"/>
          <w:szCs w:val="18"/>
        </w:rPr>
        <w:t xml:space="preserve"> </w:t>
      </w:r>
      <w:hyperlink r:id="rId13" w:history="1">
        <w:r w:rsidRPr="00924973">
          <w:rPr>
            <w:rStyle w:val="Hyperlink"/>
            <w:sz w:val="18"/>
            <w:szCs w:val="18"/>
          </w:rPr>
          <w:t>https://ec.europa.eu/energy/sites/ener/files/documents/2010_01_21_the_regulatory_authorities.pdf</w:t>
        </w:r>
      </w:hyperlink>
    </w:p>
  </w:footnote>
  <w:footnote w:id="39">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rStyle w:val="FootnoteReference"/>
          <w:sz w:val="18"/>
          <w:szCs w:val="18"/>
          <w:vertAlign w:val="baseline"/>
        </w:rPr>
        <w:t>Regulation (EU) No 347/2013 of the European Parliament and of the Council of 17 April 2013 on guidelines for trans-European energy infrastructure and repealing Decision No 1364/2006/EC and amending Regulations (EC) No 713/2009, (EC) No 714/2009 and (EC) No 715/2009.</w:t>
      </w:r>
    </w:p>
  </w:footnote>
  <w:footnote w:id="40">
    <w:p w:rsidR="00C62407" w:rsidRPr="0027792F" w:rsidRDefault="00C62407" w:rsidP="00E27E1A">
      <w:pPr>
        <w:pStyle w:val="FootnoteText"/>
        <w:ind w:left="0" w:firstLine="0"/>
        <w:rPr>
          <w:sz w:val="18"/>
          <w:szCs w:val="18"/>
          <w:lang w:val="es-ES"/>
        </w:rPr>
      </w:pPr>
      <w:r w:rsidRPr="00924973">
        <w:rPr>
          <w:rStyle w:val="FootnoteReference"/>
          <w:sz w:val="18"/>
          <w:szCs w:val="18"/>
        </w:rPr>
        <w:footnoteRef/>
      </w:r>
      <w:r w:rsidRPr="0027792F">
        <w:rPr>
          <w:sz w:val="18"/>
          <w:szCs w:val="18"/>
          <w:lang w:val="es-ES"/>
        </w:rPr>
        <w:t xml:space="preserve"> </w:t>
      </w:r>
      <w:r>
        <w:rPr>
          <w:sz w:val="18"/>
          <w:szCs w:val="18"/>
          <w:lang w:val="es-ES"/>
        </w:rPr>
        <w:tab/>
      </w:r>
      <w:r w:rsidRPr="0027792F">
        <w:rPr>
          <w:sz w:val="18"/>
          <w:szCs w:val="18"/>
          <w:lang w:val="es-ES"/>
        </w:rPr>
        <w:t>ACER Opinion No. 02/2021.</w:t>
      </w:r>
    </w:p>
  </w:footnote>
  <w:footnote w:id="41">
    <w:p w:rsidR="00C62407" w:rsidRPr="0027792F" w:rsidRDefault="00C62407" w:rsidP="000B3940">
      <w:pPr>
        <w:pStyle w:val="FootnoteText"/>
        <w:rPr>
          <w:sz w:val="18"/>
          <w:szCs w:val="18"/>
          <w:lang w:val="es-ES"/>
        </w:rPr>
      </w:pPr>
      <w:r w:rsidRPr="00924973">
        <w:rPr>
          <w:rStyle w:val="FootnoteReference"/>
          <w:sz w:val="18"/>
          <w:szCs w:val="18"/>
        </w:rPr>
        <w:footnoteRef/>
      </w:r>
      <w:r w:rsidRPr="0027792F">
        <w:rPr>
          <w:sz w:val="18"/>
          <w:szCs w:val="18"/>
          <w:lang w:val="es-ES"/>
        </w:rPr>
        <w:t xml:space="preserve"> </w:t>
      </w:r>
      <w:r>
        <w:rPr>
          <w:sz w:val="18"/>
          <w:szCs w:val="18"/>
          <w:lang w:val="es-ES"/>
        </w:rPr>
        <w:tab/>
      </w:r>
      <w:r w:rsidRPr="00634502">
        <w:rPr>
          <w:rStyle w:val="FootnoteReference"/>
          <w:sz w:val="18"/>
          <w:szCs w:val="18"/>
          <w:vertAlign w:val="baseline"/>
          <w:lang w:val="es-ES"/>
        </w:rPr>
        <w:t>A regulated supply price is considered as a price subject to regulation or control by public authorities (e.g. governments, NRAs), as opposed to being determined exclusively by supply and demand. This definition includes many different forms of price regulation, such as setting or approving prices, stand</w:t>
      </w:r>
      <w:r w:rsidRPr="00634502">
        <w:rPr>
          <w:rStyle w:val="FootnoteReference"/>
          <w:sz w:val="18"/>
          <w:szCs w:val="18"/>
          <w:vertAlign w:val="baseline"/>
          <w:lang w:val="es-ES"/>
        </w:rPr>
        <w:softHyphen/>
        <w:t>ardisation of prices or combinations thereof.</w:t>
      </w:r>
      <w:r w:rsidRPr="0027792F">
        <w:rPr>
          <w:sz w:val="18"/>
          <w:szCs w:val="18"/>
          <w:lang w:val="es-ES"/>
        </w:rPr>
        <w:t xml:space="preserve"> </w:t>
      </w:r>
    </w:p>
  </w:footnote>
  <w:footnote w:id="42">
    <w:p w:rsidR="00C62407" w:rsidRPr="00924973" w:rsidRDefault="00C62407" w:rsidP="000B3940">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rStyle w:val="FootnoteReference"/>
          <w:sz w:val="18"/>
          <w:szCs w:val="18"/>
          <w:vertAlign w:val="baseline"/>
          <w:lang w:eastAsia="en-US"/>
        </w:rPr>
        <w:t>The Court of Justice has ruled that supply prices must be determined solely by supply and demand as opposed to State intervention as from 1 July 2007 (</w:t>
      </w:r>
      <w:r w:rsidRPr="00924973">
        <w:rPr>
          <w:sz w:val="18"/>
          <w:szCs w:val="18"/>
        </w:rPr>
        <w:t xml:space="preserve">Case C-265/08 </w:t>
      </w:r>
      <w:r w:rsidRPr="00D646E3">
        <w:rPr>
          <w:i/>
          <w:sz w:val="18"/>
          <w:szCs w:val="18"/>
        </w:rPr>
        <w:t>Federutility and Others</w:t>
      </w:r>
      <w:r w:rsidRPr="00924973">
        <w:rPr>
          <w:sz w:val="18"/>
          <w:szCs w:val="18"/>
        </w:rPr>
        <w:t xml:space="preserve"> v </w:t>
      </w:r>
      <w:r w:rsidRPr="00D646E3">
        <w:rPr>
          <w:i/>
          <w:sz w:val="18"/>
          <w:szCs w:val="18"/>
        </w:rPr>
        <w:t xml:space="preserve">Autorità per l'energia elettrica e il gas </w:t>
      </w:r>
      <w:r w:rsidRPr="00924973">
        <w:rPr>
          <w:sz w:val="18"/>
          <w:szCs w:val="18"/>
        </w:rPr>
        <w:t xml:space="preserve">EU:C:2009:640; the continuing applicability of this approach to the Third Energy Package is confirmed in C-121/15 </w:t>
      </w:r>
      <w:r w:rsidRPr="00D646E3">
        <w:rPr>
          <w:i/>
          <w:sz w:val="18"/>
          <w:szCs w:val="18"/>
        </w:rPr>
        <w:t>ANODE</w:t>
      </w:r>
      <w:r w:rsidRPr="00924973">
        <w:rPr>
          <w:sz w:val="18"/>
          <w:szCs w:val="18"/>
        </w:rPr>
        <w:t xml:space="preserve"> v </w:t>
      </w:r>
      <w:r w:rsidRPr="00D646E3">
        <w:rPr>
          <w:i/>
          <w:sz w:val="18"/>
          <w:szCs w:val="18"/>
        </w:rPr>
        <w:t>Premier Ministre</w:t>
      </w:r>
      <w:r w:rsidRPr="00924973">
        <w:rPr>
          <w:sz w:val="18"/>
          <w:szCs w:val="18"/>
        </w:rPr>
        <w:t>, para.</w:t>
      </w:r>
      <w:r>
        <w:rPr>
          <w:sz w:val="18"/>
          <w:szCs w:val="18"/>
        </w:rPr>
        <w:t xml:space="preserve"> </w:t>
      </w:r>
      <w:r w:rsidRPr="00924973">
        <w:rPr>
          <w:sz w:val="18"/>
          <w:szCs w:val="18"/>
        </w:rPr>
        <w:t>35</w:t>
      </w:r>
      <w:r w:rsidRPr="00924973">
        <w:rPr>
          <w:rStyle w:val="FootnoteReference"/>
          <w:sz w:val="18"/>
          <w:szCs w:val="18"/>
          <w:vertAlign w:val="baseline"/>
          <w:lang w:eastAsia="en-US"/>
        </w:rPr>
        <w:t xml:space="preserve">). The Court based its interpretation on the provision stating that Member States must ensure that all customers are free to buy electricity/natural gas from the supplier of their choice as from 1 July 2007 (Article 33 of the Electricity Directive </w:t>
      </w:r>
      <w:r w:rsidRPr="00924973">
        <w:rPr>
          <w:sz w:val="18"/>
          <w:szCs w:val="18"/>
          <w:lang w:eastAsia="en-US"/>
        </w:rPr>
        <w:t xml:space="preserve">2009/72/EC </w:t>
      </w:r>
      <w:r w:rsidRPr="00924973">
        <w:rPr>
          <w:rStyle w:val="FootnoteReference"/>
          <w:sz w:val="18"/>
          <w:szCs w:val="18"/>
          <w:vertAlign w:val="baseline"/>
          <w:lang w:eastAsia="en-US"/>
        </w:rPr>
        <w:t>and Article 37 of the Gas Directive</w:t>
      </w:r>
      <w:r>
        <w:rPr>
          <w:rStyle w:val="FootnoteReference"/>
          <w:sz w:val="18"/>
          <w:szCs w:val="18"/>
          <w:vertAlign w:val="baseline"/>
          <w:lang w:eastAsia="en-US"/>
        </w:rPr>
        <w:t>)</w:t>
      </w:r>
      <w:r w:rsidRPr="00924973">
        <w:rPr>
          <w:rStyle w:val="FootnoteReference"/>
          <w:sz w:val="18"/>
          <w:szCs w:val="18"/>
          <w:vertAlign w:val="baseline"/>
          <w:lang w:eastAsia="en-US"/>
        </w:rPr>
        <w:t xml:space="preserve"> interpreted in light of the very purpose and the general scheme of the directive, which is designed progressively to achieve a total</w:t>
      </w:r>
      <w:r w:rsidRPr="00924973">
        <w:rPr>
          <w:sz w:val="18"/>
          <w:szCs w:val="18"/>
        </w:rPr>
        <w:t xml:space="preserve"> liberalisation of the market in the context of which, in particular, all suppliers may freely deliver their products to all consumers.</w:t>
      </w:r>
    </w:p>
  </w:footnote>
  <w:footnote w:id="43">
    <w:p w:rsidR="00C62407" w:rsidRPr="00924973" w:rsidRDefault="00C62407" w:rsidP="000B3940">
      <w:pPr>
        <w:pStyle w:val="FootnoteText"/>
        <w:rPr>
          <w:sz w:val="18"/>
          <w:szCs w:val="18"/>
          <w:lang w:val="en-I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Art</w:t>
      </w:r>
      <w:r>
        <w:rPr>
          <w:sz w:val="18"/>
          <w:szCs w:val="18"/>
        </w:rPr>
        <w:t>icles</w:t>
      </w:r>
      <w:r w:rsidRPr="00924973">
        <w:rPr>
          <w:sz w:val="18"/>
          <w:szCs w:val="18"/>
        </w:rPr>
        <w:t xml:space="preserve"> 9(2), 12(2b) </w:t>
      </w:r>
      <w:r>
        <w:rPr>
          <w:sz w:val="18"/>
          <w:szCs w:val="18"/>
        </w:rPr>
        <w:t>of the</w:t>
      </w:r>
      <w:r w:rsidRPr="00924973">
        <w:rPr>
          <w:sz w:val="18"/>
          <w:szCs w:val="18"/>
        </w:rPr>
        <w:t xml:space="preserve"> </w:t>
      </w:r>
      <w:r w:rsidRPr="00924973">
        <w:rPr>
          <w:sz w:val="18"/>
          <w:szCs w:val="18"/>
          <w:lang w:val="x-none" w:eastAsia="x-none"/>
        </w:rPr>
        <w:t>Directive 20</w:t>
      </w:r>
      <w:r w:rsidRPr="00924973">
        <w:rPr>
          <w:sz w:val="18"/>
          <w:szCs w:val="18"/>
          <w:lang w:eastAsia="x-none"/>
        </w:rPr>
        <w:t>12</w:t>
      </w:r>
      <w:r w:rsidRPr="00924973">
        <w:rPr>
          <w:sz w:val="18"/>
          <w:szCs w:val="18"/>
        </w:rPr>
        <w:t>/</w:t>
      </w:r>
      <w:r w:rsidRPr="00924973">
        <w:rPr>
          <w:sz w:val="18"/>
          <w:szCs w:val="18"/>
          <w:lang w:eastAsia="x-none"/>
        </w:rPr>
        <w:t>27</w:t>
      </w:r>
      <w:r w:rsidRPr="00924973">
        <w:rPr>
          <w:sz w:val="18"/>
          <w:szCs w:val="18"/>
          <w:lang w:val="x-none" w:eastAsia="x-none"/>
        </w:rPr>
        <w:t>/E</w:t>
      </w:r>
      <w:r w:rsidRPr="00924973">
        <w:rPr>
          <w:sz w:val="18"/>
          <w:szCs w:val="18"/>
          <w:lang w:eastAsia="x-none"/>
        </w:rPr>
        <w:t>U</w:t>
      </w:r>
      <w:r w:rsidRPr="00924973">
        <w:rPr>
          <w:sz w:val="18"/>
          <w:szCs w:val="18"/>
          <w:lang w:val="x-none" w:eastAsia="x-none"/>
        </w:rPr>
        <w:t xml:space="preserve"> of the European Parliament and of the Council of </w:t>
      </w:r>
      <w:r w:rsidRPr="00924973">
        <w:rPr>
          <w:sz w:val="18"/>
          <w:szCs w:val="18"/>
          <w:lang w:eastAsia="x-none"/>
        </w:rPr>
        <w:t>25</w:t>
      </w:r>
      <w:r w:rsidRPr="00924973">
        <w:rPr>
          <w:sz w:val="18"/>
          <w:szCs w:val="18"/>
        </w:rPr>
        <w:t xml:space="preserve"> </w:t>
      </w:r>
      <w:r w:rsidRPr="00924973">
        <w:rPr>
          <w:sz w:val="18"/>
          <w:szCs w:val="18"/>
          <w:lang w:eastAsia="x-none"/>
        </w:rPr>
        <w:t>October 2012</w:t>
      </w:r>
      <w:r w:rsidRPr="00924973">
        <w:rPr>
          <w:sz w:val="18"/>
          <w:szCs w:val="18"/>
        </w:rPr>
        <w:t xml:space="preserve"> </w:t>
      </w:r>
      <w:r w:rsidRPr="00924973">
        <w:rPr>
          <w:sz w:val="18"/>
          <w:szCs w:val="18"/>
          <w:lang w:eastAsia="x-none"/>
        </w:rPr>
        <w:t>on energy efficiency, amending Directives 2009/125/EC and 2010/30/EU</w:t>
      </w:r>
      <w:r w:rsidRPr="00924973">
        <w:rPr>
          <w:sz w:val="18"/>
          <w:szCs w:val="18"/>
          <w:lang w:val="x-none" w:eastAsia="x-none"/>
        </w:rPr>
        <w:t xml:space="preserve"> and repealing Directiv</w:t>
      </w:r>
      <w:r w:rsidRPr="00924973">
        <w:rPr>
          <w:sz w:val="18"/>
          <w:szCs w:val="18"/>
          <w:lang w:eastAsia="x-none"/>
        </w:rPr>
        <w:t>es 2004/8/EC and 2006/32/EC,</w:t>
      </w:r>
      <w:r w:rsidRPr="00924973">
        <w:rPr>
          <w:sz w:val="18"/>
          <w:szCs w:val="18"/>
          <w:lang w:val="x-none" w:eastAsia="x-none"/>
        </w:rPr>
        <w:t xml:space="preserve"> EUOJ L</w:t>
      </w:r>
      <w:r w:rsidRPr="00924973">
        <w:rPr>
          <w:sz w:val="18"/>
          <w:szCs w:val="18"/>
          <w:lang w:eastAsia="x-none"/>
        </w:rPr>
        <w:t>315</w:t>
      </w:r>
      <w:r w:rsidRPr="00924973">
        <w:rPr>
          <w:sz w:val="18"/>
          <w:szCs w:val="18"/>
          <w:lang w:val="x-none" w:eastAsia="x-none"/>
        </w:rPr>
        <w:t>, 14.</w:t>
      </w:r>
      <w:r w:rsidRPr="00924973">
        <w:rPr>
          <w:sz w:val="18"/>
          <w:szCs w:val="18"/>
          <w:lang w:eastAsia="x-none"/>
        </w:rPr>
        <w:t>11</w:t>
      </w:r>
      <w:r w:rsidRPr="00924973">
        <w:rPr>
          <w:sz w:val="18"/>
          <w:szCs w:val="18"/>
          <w:lang w:val="x-none" w:eastAsia="x-none"/>
        </w:rPr>
        <w:t>.20</w:t>
      </w:r>
      <w:r w:rsidRPr="00924973">
        <w:rPr>
          <w:sz w:val="18"/>
          <w:szCs w:val="18"/>
          <w:lang w:eastAsia="x-none"/>
        </w:rPr>
        <w:t>12</w:t>
      </w:r>
      <w:r w:rsidRPr="00924973">
        <w:rPr>
          <w:sz w:val="18"/>
          <w:szCs w:val="18"/>
          <w:lang w:val="x-none" w:eastAsia="x-none"/>
        </w:rPr>
        <w:t xml:space="preserve">, pp. </w:t>
      </w:r>
      <w:r w:rsidRPr="00924973">
        <w:rPr>
          <w:sz w:val="18"/>
          <w:szCs w:val="18"/>
          <w:lang w:eastAsia="x-none"/>
        </w:rPr>
        <w:t>1-56</w:t>
      </w:r>
      <w:r w:rsidRPr="00924973">
        <w:rPr>
          <w:sz w:val="18"/>
          <w:szCs w:val="18"/>
        </w:rPr>
        <w:t>.</w:t>
      </w:r>
    </w:p>
  </w:footnote>
  <w:footnote w:id="44">
    <w:p w:rsidR="00C62407" w:rsidRPr="00924973" w:rsidRDefault="00C62407" w:rsidP="001F2DE9">
      <w:pPr>
        <w:pStyle w:val="FootnoteText"/>
        <w:rPr>
          <w:color w:val="000000" w:themeColor="text1"/>
          <w:sz w:val="18"/>
          <w:szCs w:val="18"/>
          <w:u w:val="single"/>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These provisions were then complemented with provisions under the Energy Performance in Buildings Directive 2010/31/EU, and the Energy Efficiency Directive 2012/27/EU which amongst others added demand response as a specific means for energy efficiency benefits via novel energy services based on smart metering data, and of particular relevance to the electricity sector.</w:t>
      </w:r>
    </w:p>
  </w:footnote>
  <w:footnote w:id="45">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SEC(2007) 1179/2 Commission Staff Working Document, Accompanying the legislative package on the internal market for electricity and gas COM(2007) 528 final, COM(2007) 529 final, COM(2007) 530 final, COM(2007) 531 final, COM(2007) 532 final, SEC(2007) 1180, Impact Assessment, page 91-92. </w:t>
      </w:r>
    </w:p>
  </w:footnote>
  <w:footnote w:id="46">
    <w:p w:rsidR="00C62407" w:rsidRPr="0027792F" w:rsidRDefault="00C62407" w:rsidP="00E27E1A">
      <w:pPr>
        <w:pStyle w:val="FootnoteText"/>
        <w:ind w:left="0" w:firstLine="0"/>
        <w:rPr>
          <w:sz w:val="18"/>
          <w:szCs w:val="18"/>
        </w:rPr>
      </w:pPr>
      <w:r w:rsidRPr="00924973">
        <w:rPr>
          <w:rStyle w:val="FootnoteReference"/>
          <w:sz w:val="18"/>
          <w:szCs w:val="18"/>
        </w:rPr>
        <w:footnoteRef/>
      </w:r>
      <w:r>
        <w:rPr>
          <w:sz w:val="18"/>
          <w:szCs w:val="18"/>
        </w:rPr>
        <w:t xml:space="preserve"> </w:t>
      </w:r>
      <w:r>
        <w:rPr>
          <w:sz w:val="18"/>
          <w:szCs w:val="18"/>
        </w:rPr>
        <w:tab/>
      </w:r>
      <w:r w:rsidRPr="002A0899">
        <w:rPr>
          <w:rStyle w:val="Hyperlink"/>
        </w:rPr>
        <w:t>https://ec.europa.eu/energy/studies/potentials-sector-coupling-decarbonisation-assessing-regulatory-barriers_en</w:t>
      </w:r>
      <w:r w:rsidRPr="002A0899" w:rsidDel="00C62407">
        <w:rPr>
          <w:sz w:val="16"/>
          <w:szCs w:val="18"/>
        </w:rPr>
        <w:t xml:space="preserve"> </w:t>
      </w:r>
    </w:p>
  </w:footnote>
  <w:footnote w:id="47">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 xml:space="preserve"> </w:t>
      </w:r>
      <w:r>
        <w:rPr>
          <w:sz w:val="18"/>
          <w:szCs w:val="18"/>
        </w:rPr>
        <w:tab/>
      </w:r>
      <w:r w:rsidRPr="00924973">
        <w:rPr>
          <w:sz w:val="18"/>
          <w:szCs w:val="18"/>
        </w:rPr>
        <w:t xml:space="preserve">Sector integration – Regulatory framework for hydrogen, </w:t>
      </w:r>
      <w:r>
        <w:rPr>
          <w:sz w:val="18"/>
          <w:szCs w:val="18"/>
        </w:rPr>
        <w:t>f</w:t>
      </w:r>
      <w:r w:rsidRPr="00924973">
        <w:rPr>
          <w:sz w:val="18"/>
          <w:szCs w:val="18"/>
        </w:rPr>
        <w:t>inal Report.</w:t>
      </w:r>
    </w:p>
  </w:footnote>
  <w:footnote w:id="48">
    <w:p w:rsidR="00C62407" w:rsidRPr="0027792F" w:rsidRDefault="00C62407" w:rsidP="001F2DE9">
      <w:pPr>
        <w:pStyle w:val="FootnoteText"/>
        <w:rPr>
          <w:sz w:val="18"/>
          <w:szCs w:val="18"/>
          <w:lang w:val="en-IE"/>
        </w:rPr>
      </w:pPr>
      <w:r w:rsidRPr="00924973">
        <w:rPr>
          <w:rStyle w:val="FootnoteReference"/>
          <w:sz w:val="18"/>
          <w:szCs w:val="18"/>
        </w:rPr>
        <w:footnoteRef/>
      </w:r>
      <w:r w:rsidDel="00F346EB">
        <w:t xml:space="preserve"> </w:t>
      </w:r>
      <w:hyperlink r:id="rId14" w:history="1">
        <w:r w:rsidRPr="00A43FF4">
          <w:rPr>
            <w:rStyle w:val="Hyperlink"/>
            <w:sz w:val="18"/>
            <w:szCs w:val="18"/>
            <w:lang w:val="en-IE"/>
          </w:rPr>
          <w:t>https://www.</w:t>
        </w:r>
        <w:r w:rsidRPr="000B3940">
          <w:rPr>
            <w:rStyle w:val="Hyperlink"/>
            <w:sz w:val="18"/>
            <w:szCs w:val="18"/>
          </w:rPr>
          <w:t>acer</w:t>
        </w:r>
        <w:r w:rsidRPr="00A43FF4">
          <w:rPr>
            <w:rStyle w:val="Hyperlink"/>
            <w:sz w:val="18"/>
            <w:szCs w:val="18"/>
            <w:lang w:val="en-IE"/>
          </w:rPr>
          <w:t>.europa.eu/Official_documents/Acts_of_the_Agency/SD_The%20Bridge%20beyond%202025/The%20Bridge%20Beyond%202025_Conclusion%20Paper.pdf</w:t>
        </w:r>
      </w:hyperlink>
    </w:p>
  </w:footnote>
  <w:footnote w:id="49">
    <w:p w:rsidR="00C62407" w:rsidRPr="00924973" w:rsidRDefault="00C62407" w:rsidP="001F2DE9">
      <w:pPr>
        <w:pStyle w:val="FootnoteText"/>
        <w:rPr>
          <w:color w:val="0000FF"/>
          <w:sz w:val="18"/>
          <w:szCs w:val="18"/>
          <w:u w:val="single"/>
          <w:lang w:val="en-US"/>
        </w:rPr>
      </w:pPr>
      <w:r w:rsidRPr="00924973">
        <w:rPr>
          <w:rStyle w:val="FootnoteReference"/>
          <w:sz w:val="18"/>
          <w:szCs w:val="18"/>
        </w:rPr>
        <w:footnoteRef/>
      </w:r>
      <w:r w:rsidRPr="00924973">
        <w:rPr>
          <w:sz w:val="18"/>
          <w:szCs w:val="18"/>
          <w:lang w:val="en-US"/>
        </w:rPr>
        <w:t xml:space="preserve"> </w:t>
      </w:r>
      <w:r>
        <w:rPr>
          <w:sz w:val="18"/>
          <w:szCs w:val="18"/>
          <w:lang w:val="en-US"/>
        </w:rPr>
        <w:tab/>
      </w:r>
      <w:r w:rsidRPr="00924973">
        <w:rPr>
          <w:sz w:val="18"/>
          <w:szCs w:val="18"/>
          <w:lang w:val="en-US"/>
        </w:rPr>
        <w:t xml:space="preserve">Until 2014, the European Commission published an annual progress report on the internal energy market for electricity and gas, and the </w:t>
      </w:r>
      <w:r w:rsidRPr="000B3940">
        <w:rPr>
          <w:sz w:val="18"/>
          <w:szCs w:val="18"/>
        </w:rPr>
        <w:t>implementation</w:t>
      </w:r>
      <w:r w:rsidRPr="00924973">
        <w:rPr>
          <w:sz w:val="18"/>
          <w:szCs w:val="18"/>
          <w:lang w:val="en-US"/>
        </w:rPr>
        <w:t xml:space="preserve"> of EU law, which can be found at: </w:t>
      </w:r>
      <w:hyperlink r:id="rId15" w:history="1">
        <w:r w:rsidRPr="00924973">
          <w:rPr>
            <w:rStyle w:val="Hyperlink"/>
            <w:sz w:val="18"/>
            <w:szCs w:val="18"/>
            <w:lang w:val="en-US"/>
          </w:rPr>
          <w:t>https://ec.europa.eu/energy/en/topics/markets-and-consumers/single-market-progress-report. From 2015</w:t>
        </w:r>
      </w:hyperlink>
      <w:r w:rsidRPr="00924973">
        <w:rPr>
          <w:sz w:val="18"/>
          <w:szCs w:val="18"/>
          <w:lang w:val="en-US"/>
        </w:rPr>
        <w:t xml:space="preserve">, it was superseded by reports on the Energy Union, which can be found at: </w:t>
      </w:r>
      <w:hyperlink r:id="rId16" w:history="1">
        <w:r w:rsidRPr="00924973">
          <w:rPr>
            <w:rStyle w:val="Hyperlink"/>
            <w:sz w:val="18"/>
            <w:szCs w:val="18"/>
            <w:lang w:val="en-US"/>
          </w:rPr>
          <w:t>https://ec.europa.eu/energy/topics/energy-strategy/energy-union_en?redir=1</w:t>
        </w:r>
      </w:hyperlink>
      <w:r w:rsidRPr="00924973">
        <w:rPr>
          <w:sz w:val="18"/>
          <w:szCs w:val="18"/>
          <w:lang w:val="en-US"/>
        </w:rPr>
        <w:t xml:space="preserve"> </w:t>
      </w:r>
      <w:r w:rsidRPr="00924973" w:rsidDel="00DB6A05">
        <w:rPr>
          <w:sz w:val="18"/>
          <w:szCs w:val="18"/>
        </w:rPr>
        <w:t xml:space="preserve"> </w:t>
      </w:r>
      <w:r w:rsidRPr="00924973">
        <w:rPr>
          <w:rStyle w:val="Hyperlink"/>
          <w:sz w:val="18"/>
          <w:szCs w:val="18"/>
          <w:lang w:val="en-US"/>
        </w:rPr>
        <w:t>https://ec.europa.eu/energy/en/topics/markets-and-consumers/single-market-progress-report. From 2015</w:t>
      </w:r>
      <w:r w:rsidRPr="00924973">
        <w:rPr>
          <w:sz w:val="18"/>
          <w:szCs w:val="18"/>
          <w:lang w:val="en-US"/>
        </w:rPr>
        <w:t>, it was superseded by reports on the Energy Union, which can be found at:</w:t>
      </w:r>
      <w:r w:rsidRPr="00924973">
        <w:rPr>
          <w:rStyle w:val="Hyperlink"/>
          <w:sz w:val="18"/>
          <w:szCs w:val="18"/>
          <w:lang w:val="en-US"/>
        </w:rPr>
        <w:t xml:space="preserve"> https://ec.europa.eu/energy/topics/energy-strategy/energy-union_en?redir=1</w:t>
      </w:r>
    </w:p>
  </w:footnote>
  <w:footnote w:id="50">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See a full list of the studies with published reports carried out for the European Commission in the field of energy, including markets, at: </w:t>
      </w:r>
      <w:hyperlink r:id="rId17" w:history="1">
        <w:r w:rsidRPr="00924973">
          <w:rPr>
            <w:rStyle w:val="Hyperlink"/>
            <w:sz w:val="18"/>
            <w:szCs w:val="18"/>
          </w:rPr>
          <w:t>https://ec.europa.eu/energy/studies_main/final_studies_en</w:t>
        </w:r>
      </w:hyperlink>
      <w:r w:rsidRPr="00924973">
        <w:rPr>
          <w:sz w:val="18"/>
          <w:szCs w:val="18"/>
        </w:rPr>
        <w:t xml:space="preserve"> </w:t>
      </w:r>
      <w:r w:rsidRPr="00924973">
        <w:rPr>
          <w:rStyle w:val="Hyperlink"/>
          <w:sz w:val="18"/>
          <w:szCs w:val="18"/>
        </w:rPr>
        <w:t>https://ec.europa.eu/energy/studies_main/final_studies_en</w:t>
      </w:r>
      <w:r w:rsidRPr="00924973">
        <w:rPr>
          <w:sz w:val="18"/>
          <w:szCs w:val="18"/>
        </w:rPr>
        <w:t xml:space="preserve"> </w:t>
      </w:r>
    </w:p>
  </w:footnote>
  <w:footnote w:id="51">
    <w:p w:rsidR="00C62407" w:rsidRPr="002A0899" w:rsidRDefault="00C62407" w:rsidP="001F2DE9">
      <w:pPr>
        <w:pStyle w:val="FootnoteText"/>
        <w:rPr>
          <w:rStyle w:val="Hyperlink"/>
        </w:rPr>
      </w:pPr>
      <w:r w:rsidRPr="00924973">
        <w:rPr>
          <w:rStyle w:val="FootnoteReference"/>
          <w:sz w:val="18"/>
          <w:szCs w:val="18"/>
        </w:rPr>
        <w:footnoteRef/>
      </w:r>
      <w:r w:rsidRPr="00924973">
        <w:rPr>
          <w:sz w:val="18"/>
          <w:szCs w:val="18"/>
        </w:rPr>
        <w:t xml:space="preserve"> </w:t>
      </w:r>
      <w:r>
        <w:rPr>
          <w:sz w:val="18"/>
          <w:szCs w:val="18"/>
        </w:rPr>
        <w:tab/>
      </w:r>
      <w:r w:rsidRPr="002A0899">
        <w:rPr>
          <w:rStyle w:val="Hyperlink"/>
        </w:rPr>
        <w:t>https://eur-lex.europa.eu/legal-content/EN/TXT/?toc=OJ:L:2018:328:TOC&amp;uri=uriserv:OJ.L_.2018.328.01.0001.01.</w:t>
      </w:r>
      <w:r w:rsidRPr="002A0899" w:rsidDel="002C14EB">
        <w:rPr>
          <w:rStyle w:val="Hyperlink"/>
        </w:rPr>
        <w:t>ENG</w:t>
      </w:r>
    </w:p>
  </w:footnote>
  <w:footnote w:id="52">
    <w:p w:rsidR="00C62407" w:rsidRPr="002A0899" w:rsidRDefault="00C62407" w:rsidP="00E27E1A">
      <w:pPr>
        <w:pStyle w:val="FootnoteText"/>
        <w:ind w:left="0" w:firstLine="0"/>
        <w:rPr>
          <w:rStyle w:val="Hyperlink"/>
        </w:rPr>
      </w:pPr>
      <w:r w:rsidRPr="00924973">
        <w:rPr>
          <w:rStyle w:val="FootnoteReference"/>
          <w:sz w:val="18"/>
          <w:szCs w:val="18"/>
        </w:rPr>
        <w:footnoteRef/>
      </w:r>
      <w:r w:rsidRPr="00924973">
        <w:rPr>
          <w:sz w:val="18"/>
          <w:szCs w:val="18"/>
        </w:rPr>
        <w:t xml:space="preserve"> </w:t>
      </w:r>
      <w:r>
        <w:rPr>
          <w:sz w:val="18"/>
          <w:szCs w:val="18"/>
        </w:rPr>
        <w:tab/>
      </w:r>
      <w:r w:rsidRPr="002A0899">
        <w:rPr>
          <w:rStyle w:val="Hyperlink"/>
        </w:rPr>
        <w:t>https://ec.europa.eu/info/strategy/priorities-2019-2024_en</w:t>
      </w:r>
    </w:p>
  </w:footnote>
  <w:footnote w:id="53">
    <w:p w:rsidR="00C62407" w:rsidRPr="00924973" w:rsidRDefault="00C62407" w:rsidP="00E27E1A">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ACER Market Monitoring webpage: </w:t>
      </w:r>
      <w:hyperlink r:id="rId18" w:history="1">
        <w:r w:rsidRPr="00924973">
          <w:rPr>
            <w:rStyle w:val="Hyperlink"/>
            <w:sz w:val="18"/>
            <w:szCs w:val="18"/>
          </w:rPr>
          <w:t>https://www.acer.europa.eu/en/Gas/Pages/Market-Monitoring.aspx</w:t>
        </w:r>
      </w:hyperlink>
      <w:r w:rsidRPr="00924973">
        <w:rPr>
          <w:sz w:val="18"/>
          <w:szCs w:val="18"/>
        </w:rPr>
        <w:t xml:space="preserve"> </w:t>
      </w:r>
    </w:p>
  </w:footnote>
  <w:footnote w:id="54">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The Commission consulted on specific questions via a dedicated website with a functional mailbox between 14 April and 8 June 2020 (https://ec.europa.eu/info/news/preparing-future-eu-strategy-energy-sector-integration-2020-apr-14_en) and on the roadmap of the strategy via the have-your-say website from 11 May to 8 June 2020. These consultations were open to the public. Additionally, the Commission organised five targeted workshops in March and April 2020 to gather experts’ input on different elements of the strategy and discussed the topic in a dedicated session during the European Sustainable Energy Week. https://ec.europa.eu/info/law/better-regulation/have-your-say/initiatives/12383-Strategy-for-smart-sector-integration</w:t>
      </w:r>
    </w:p>
  </w:footnote>
  <w:footnote w:id="55">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https://ec.europa.eu/info/law/better-regulation/have-your-say/initiatives/12383-Strategy-for-smart-sector-integration</w:t>
      </w:r>
    </w:p>
  </w:footnote>
  <w:footnote w:id="56">
    <w:p w:rsidR="00C62407" w:rsidRPr="002A0899" w:rsidRDefault="00C62407" w:rsidP="001F2DE9">
      <w:pPr>
        <w:pStyle w:val="FootnoteText"/>
        <w:rPr>
          <w:rStyle w:val="Hyperlink"/>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Consultation on the Review of Directive 2018/2001/EU on the promotion of the use of energy from renewable sources, available at</w:t>
      </w:r>
      <w:r w:rsidRPr="00C62407">
        <w:rPr>
          <w:sz w:val="18"/>
          <w:szCs w:val="18"/>
        </w:rPr>
        <w:t xml:space="preserve">: </w:t>
      </w:r>
      <w:r w:rsidRPr="002A0899">
        <w:rPr>
          <w:rStyle w:val="Hyperlink"/>
        </w:rPr>
        <w:t>https://ec.europa.eu/info/law/better-regulation/have-your-say/initiatives/12553-EU-renewable-energy-rules-review/public-consultation_en</w:t>
      </w:r>
    </w:p>
  </w:footnote>
  <w:footnote w:id="57">
    <w:p w:rsidR="00C62407" w:rsidRPr="002A0899" w:rsidRDefault="00C62407" w:rsidP="001F2DE9">
      <w:pPr>
        <w:pStyle w:val="FootnoteText"/>
        <w:rPr>
          <w:rStyle w:val="Hyperlink"/>
        </w:rPr>
      </w:pPr>
      <w:r w:rsidRPr="00924973">
        <w:rPr>
          <w:rStyle w:val="FootnoteReference"/>
          <w:sz w:val="18"/>
          <w:szCs w:val="18"/>
        </w:rPr>
        <w:footnoteRef/>
      </w:r>
      <w:r w:rsidRPr="00B52860">
        <w:rPr>
          <w:sz w:val="18"/>
          <w:szCs w:val="18"/>
          <w:lang w:val="en-US"/>
        </w:rPr>
        <w:t xml:space="preserve"> </w:t>
      </w:r>
      <w:r>
        <w:rPr>
          <w:sz w:val="18"/>
          <w:szCs w:val="18"/>
          <w:lang w:val="en-US"/>
        </w:rPr>
        <w:tab/>
      </w:r>
      <w:r w:rsidRPr="000B3940">
        <w:rPr>
          <w:sz w:val="18"/>
          <w:szCs w:val="18"/>
        </w:rPr>
        <w:t>Available</w:t>
      </w:r>
      <w:r w:rsidRPr="00B52860">
        <w:rPr>
          <w:sz w:val="18"/>
          <w:szCs w:val="18"/>
          <w:lang w:val="en-US"/>
        </w:rPr>
        <w:t xml:space="preserve"> at</w:t>
      </w:r>
      <w:r w:rsidRPr="00C15BAA">
        <w:rPr>
          <w:sz w:val="18"/>
          <w:lang w:val="en-US"/>
        </w:rPr>
        <w:t xml:space="preserve">: </w:t>
      </w:r>
      <w:hyperlink r:id="rId19" w:history="1">
        <w:r w:rsidRPr="002A0899">
          <w:rPr>
            <w:rStyle w:val="Hyperlink"/>
            <w:sz w:val="18"/>
          </w:rPr>
          <w:t>https://ec.europa.eu/info/law/better-regulation/have-your-say/initiatives/12911-Gas-networks-revision-of-EU-rules-on-market-access_en</w:t>
        </w:r>
      </w:hyperlink>
    </w:p>
  </w:footnote>
  <w:footnote w:id="58">
    <w:p w:rsidR="00C62407" w:rsidRPr="00924973" w:rsidRDefault="00C62407" w:rsidP="00E27E1A">
      <w:pPr>
        <w:pStyle w:val="FootnoteText"/>
        <w:ind w:left="0" w:firstLine="0"/>
        <w:rPr>
          <w:sz w:val="18"/>
          <w:szCs w:val="18"/>
        </w:rPr>
      </w:pPr>
      <w:r w:rsidRPr="00C15BAA">
        <w:rPr>
          <w:rStyle w:val="FootnoteReference"/>
          <w:sz w:val="18"/>
        </w:rPr>
        <w:footnoteRef/>
      </w:r>
      <w:r w:rsidRPr="00C15BAA">
        <w:rPr>
          <w:sz w:val="18"/>
        </w:rPr>
        <w:t xml:space="preserve"> </w:t>
      </w:r>
      <w:r w:rsidRPr="00C15BAA">
        <w:rPr>
          <w:sz w:val="18"/>
        </w:rPr>
        <w:tab/>
        <w:t>Proposal for a Gas Directive</w:t>
      </w:r>
      <w:r w:rsidRPr="00C134D1">
        <w:rPr>
          <w:sz w:val="16"/>
          <w:szCs w:val="18"/>
        </w:rPr>
        <w:t xml:space="preserve"> </w:t>
      </w:r>
      <w:r w:rsidRPr="00924973">
        <w:rPr>
          <w:sz w:val="18"/>
          <w:szCs w:val="18"/>
        </w:rPr>
        <w:t xml:space="preserve">(PLAN/2020/8564) and for a Gas Regulation (PLAN/2020/8563). </w:t>
      </w:r>
    </w:p>
  </w:footnote>
  <w:footnote w:id="59">
    <w:p w:rsidR="00C62407" w:rsidRPr="00924973" w:rsidRDefault="00C62407" w:rsidP="00E27E1A">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Norway, Ministry of Petroleum and Energy. </w:t>
      </w:r>
    </w:p>
  </w:footnote>
  <w:footnote w:id="60">
    <w:p w:rsidR="00C62407" w:rsidRPr="002A0899" w:rsidRDefault="00C62407" w:rsidP="001F2DE9">
      <w:pPr>
        <w:pStyle w:val="FootnoteText"/>
        <w:rPr>
          <w:rStyle w:val="Hyperlink"/>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Open Public Consultation on the Hydrogen and Gas Market Decarbonisation Package, available at: </w:t>
      </w:r>
      <w:r w:rsidRPr="002A0899">
        <w:rPr>
          <w:rStyle w:val="Hyperlink"/>
        </w:rPr>
        <w:t>https://ec.europa.eu/info/law/better-regulation/have-your-say/initiatives/12911-Revision-of-EU-rules-on-Gas/public-consultation_en</w:t>
      </w:r>
    </w:p>
  </w:footnote>
  <w:footnote w:id="61">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Interpretative notes are available at </w:t>
      </w:r>
      <w:hyperlink r:id="rId20" w:history="1">
        <w:r w:rsidRPr="00924973">
          <w:rPr>
            <w:rStyle w:val="Hyperlink"/>
            <w:sz w:val="18"/>
            <w:szCs w:val="18"/>
          </w:rPr>
          <w:t>http://ec.europa.eu/energy/en/topics/markets-and-consumers/market-legislation</w:t>
        </w:r>
      </w:hyperlink>
      <w:r w:rsidRPr="00924973">
        <w:rPr>
          <w:sz w:val="18"/>
          <w:szCs w:val="18"/>
        </w:rPr>
        <w:t>.</w:t>
      </w:r>
    </w:p>
  </w:footnote>
  <w:footnote w:id="62">
    <w:p w:rsidR="00C62407" w:rsidRPr="00924973" w:rsidRDefault="00C62407" w:rsidP="001F2DE9">
      <w:pPr>
        <w:pStyle w:val="FootnoteText"/>
        <w:rPr>
          <w:sz w:val="18"/>
          <w:szCs w:val="18"/>
          <w:lang w:val="en"/>
        </w:rPr>
      </w:pPr>
      <w:r w:rsidRPr="00924973">
        <w:rPr>
          <w:rStyle w:val="FootnoteReference"/>
          <w:sz w:val="18"/>
          <w:szCs w:val="18"/>
        </w:rPr>
        <w:footnoteRef/>
      </w:r>
      <w:r w:rsidRPr="00924973">
        <w:rPr>
          <w:sz w:val="18"/>
          <w:szCs w:val="18"/>
        </w:rPr>
        <w:t xml:space="preserve"> </w:t>
      </w:r>
      <w:r>
        <w:rPr>
          <w:sz w:val="18"/>
          <w:szCs w:val="18"/>
        </w:rPr>
        <w:tab/>
      </w:r>
      <w:hyperlink r:id="rId21" w:tgtFrame="_blank" w:history="1">
        <w:r w:rsidRPr="00924973">
          <w:rPr>
            <w:sz w:val="18"/>
            <w:szCs w:val="18"/>
          </w:rPr>
          <w:t>EU Pilot</w:t>
        </w:r>
      </w:hyperlink>
      <w:r w:rsidRPr="00924973">
        <w:rPr>
          <w:sz w:val="18"/>
          <w:szCs w:val="18"/>
        </w:rPr>
        <w:t xml:space="preserve"> is a scheme designed to resolve compliance problems without having to resort to infringement proceedings. It is based on a website</w:t>
      </w:r>
      <w:r w:rsidRPr="00924973">
        <w:rPr>
          <w:b/>
          <w:bCs/>
          <w:sz w:val="18"/>
          <w:szCs w:val="18"/>
        </w:rPr>
        <w:t xml:space="preserve"> </w:t>
      </w:r>
      <w:r w:rsidRPr="00924973">
        <w:rPr>
          <w:sz w:val="18"/>
          <w:szCs w:val="18"/>
        </w:rPr>
        <w:t>that the Commission and national governments use to share information on the detail of particular cases, and give governments a chance to remedy any breaches through voluntary compliance.</w:t>
      </w:r>
    </w:p>
  </w:footnote>
  <w:footnote w:id="63">
    <w:p w:rsidR="00C62407" w:rsidRPr="002A0899" w:rsidRDefault="00C62407" w:rsidP="000B3940">
      <w:pPr>
        <w:pStyle w:val="FootnoteText"/>
        <w:rPr>
          <w:rStyle w:val="Hyperlink"/>
        </w:rPr>
      </w:pPr>
      <w:r w:rsidRPr="00924973">
        <w:rPr>
          <w:rStyle w:val="FootnoteReference"/>
          <w:sz w:val="18"/>
          <w:szCs w:val="18"/>
        </w:rPr>
        <w:footnoteRef/>
      </w:r>
      <w:r w:rsidRPr="00924973">
        <w:rPr>
          <w:sz w:val="18"/>
          <w:szCs w:val="18"/>
          <w:lang w:val="it-IT"/>
        </w:rPr>
        <w:t xml:space="preserve"> </w:t>
      </w:r>
      <w:r>
        <w:rPr>
          <w:sz w:val="18"/>
          <w:szCs w:val="18"/>
          <w:lang w:val="it-IT"/>
        </w:rPr>
        <w:tab/>
      </w:r>
      <w:r w:rsidRPr="000B3940">
        <w:rPr>
          <w:sz w:val="18"/>
          <w:szCs w:val="18"/>
        </w:rPr>
        <w:t>Hungary</w:t>
      </w:r>
      <w:r w:rsidRPr="00924973">
        <w:rPr>
          <w:sz w:val="18"/>
          <w:szCs w:val="18"/>
          <w:lang w:val="it-IT"/>
        </w:rPr>
        <w:t xml:space="preserve">, </w:t>
      </w:r>
      <w:r w:rsidRPr="00C134D1">
        <w:rPr>
          <w:sz w:val="18"/>
          <w:szCs w:val="18"/>
        </w:rPr>
        <w:t>Romania, Croatia, Bulgaria, Slovakia, Poland, France, Italy, Spain, Portugal, Belgium, Luxembourg, Lithuania, Latvia, Estonia</w:t>
      </w:r>
      <w:r w:rsidRPr="00924973">
        <w:rPr>
          <w:sz w:val="18"/>
          <w:szCs w:val="18"/>
          <w:lang w:val="it-IT"/>
        </w:rPr>
        <w:t xml:space="preserve">. </w:t>
      </w:r>
      <w:r w:rsidRPr="00924973">
        <w:rPr>
          <w:sz w:val="18"/>
          <w:szCs w:val="18"/>
        </w:rPr>
        <w:t xml:space="preserve">See in this regard, </w:t>
      </w:r>
      <w:hyperlink r:id="rId22" w:history="1">
        <w:r w:rsidRPr="00924973">
          <w:rPr>
            <w:rStyle w:val="Hyperlink"/>
            <w:sz w:val="18"/>
            <w:szCs w:val="18"/>
          </w:rPr>
          <w:t>retail market barrier study</w:t>
        </w:r>
      </w:hyperlink>
      <w:r w:rsidRPr="00924973">
        <w:rPr>
          <w:sz w:val="18"/>
          <w:szCs w:val="18"/>
        </w:rPr>
        <w:t xml:space="preserve"> juncto </w:t>
      </w:r>
      <w:r w:rsidRPr="002A0899">
        <w:rPr>
          <w:rStyle w:val="Hyperlink"/>
        </w:rPr>
        <w:t>https://extranet.acer.europa.eu/en/Electricity/Market%20monitoring/Pages/Current-edition.aspx</w:t>
      </w:r>
    </w:p>
  </w:footnote>
  <w:footnote w:id="64">
    <w:p w:rsidR="00C62407" w:rsidRPr="00924973" w:rsidRDefault="00C62407" w:rsidP="000B3940">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And other comparable customers such as SMEs, schools, hospitals etc.</w:t>
      </w:r>
    </w:p>
  </w:footnote>
  <w:footnote w:id="65">
    <w:p w:rsidR="00C62407" w:rsidRPr="00924973" w:rsidRDefault="00C62407" w:rsidP="000B3940">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hyperlink r:id="rId23" w:history="1">
        <w:r w:rsidRPr="00924973">
          <w:rPr>
            <w:rStyle w:val="Hyperlink"/>
            <w:sz w:val="18"/>
            <w:szCs w:val="18"/>
          </w:rPr>
          <w:t>https://ec.europa.eu/energy/sites/ener/files/documents/2014_iem_communication_annex6_0.pdf</w:t>
        </w:r>
      </w:hyperlink>
      <w:r w:rsidRPr="00924973">
        <w:rPr>
          <w:sz w:val="18"/>
          <w:szCs w:val="18"/>
        </w:rPr>
        <w:t>. Figures presented here are updated, to the extent necessary.</w:t>
      </w:r>
    </w:p>
  </w:footnote>
  <w:footnote w:id="66">
    <w:p w:rsidR="00C62407" w:rsidRPr="00924973" w:rsidRDefault="00C62407" w:rsidP="00E27E1A">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The application date for the unbundling requirements, as set out in Article 9 of the Gas Directive.</w:t>
      </w:r>
    </w:p>
  </w:footnote>
  <w:footnote w:id="67">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1E7026">
        <w:rPr>
          <w:sz w:val="18"/>
          <w:szCs w:val="18"/>
        </w:rPr>
        <w:t xml:space="preserve">This includes draft certifications by which a transmission system operator previously certified under the ITO or ISO model was re-certified under the </w:t>
      </w:r>
      <w:r>
        <w:rPr>
          <w:sz w:val="18"/>
          <w:szCs w:val="18"/>
        </w:rPr>
        <w:t xml:space="preserve">ownership unbundling </w:t>
      </w:r>
      <w:r w:rsidRPr="003B7E12">
        <w:rPr>
          <w:sz w:val="18"/>
          <w:szCs w:val="18"/>
        </w:rPr>
        <w:t>model.</w:t>
      </w:r>
    </w:p>
  </w:footnote>
  <w:footnote w:id="68">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The Commission Opinions are available on the website of DG Energy under the following link: </w:t>
      </w:r>
      <w:r w:rsidRPr="002A0899">
        <w:rPr>
          <w:rStyle w:val="Hyperlink"/>
        </w:rPr>
        <w:t>https://ec.europa.eu/energy/sites/default/files/documents/certifications_decisions_0.pdf</w:t>
      </w:r>
    </w:p>
  </w:footnote>
  <w:footnote w:id="69">
    <w:p w:rsidR="00C62407" w:rsidRPr="00924973"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Report on the ITO Model SWD(2014) 312 final: </w:t>
      </w:r>
      <w:hyperlink r:id="rId24" w:history="1">
        <w:r w:rsidRPr="00924973">
          <w:rPr>
            <w:rStyle w:val="Hyperlink"/>
            <w:sz w:val="18"/>
            <w:szCs w:val="18"/>
          </w:rPr>
          <w:t>https://ec.europa.eu/energy/sites/ener/files/documents/2014_iem_communication_annex3.pdf</w:t>
        </w:r>
      </w:hyperlink>
    </w:p>
  </w:footnote>
  <w:footnote w:id="70">
    <w:p w:rsidR="00C62407" w:rsidRPr="002C14EB"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2C14EB">
        <w:rPr>
          <w:sz w:val="18"/>
          <w:szCs w:val="18"/>
        </w:rPr>
        <w:t>See e.g. Communication from the Commission, Inquiry pursuant to Article 17 of Regulation (EC) No 1/2003 into the European gas and electricity sectors (final report), COM(2006) 851 final, 10.1.2007</w:t>
      </w:r>
    </w:p>
    <w:p w:rsidR="00C62407" w:rsidRPr="002C14EB" w:rsidRDefault="00C62407" w:rsidP="000B3940">
      <w:pPr>
        <w:pStyle w:val="FootnoteText"/>
        <w:ind w:left="0" w:firstLine="720"/>
        <w:rPr>
          <w:rStyle w:val="Hyperlink"/>
          <w:sz w:val="18"/>
          <w:szCs w:val="18"/>
        </w:rPr>
      </w:pPr>
      <w:r w:rsidRPr="002C14EB">
        <w:rPr>
          <w:rStyle w:val="Hyperlink"/>
          <w:sz w:val="18"/>
          <w:szCs w:val="18"/>
        </w:rPr>
        <w:t xml:space="preserve">http://eur-lex.europa.eu/legal-content/EN/ALL/?uri=CELEX:52006DC0851 </w:t>
      </w:r>
    </w:p>
    <w:p w:rsidR="00C62407" w:rsidRPr="002C14EB" w:rsidRDefault="00C62407" w:rsidP="001F2DE9">
      <w:pPr>
        <w:pStyle w:val="FootnoteText"/>
        <w:ind w:firstLine="0"/>
        <w:rPr>
          <w:sz w:val="18"/>
          <w:szCs w:val="18"/>
        </w:rPr>
      </w:pPr>
      <w:r w:rsidRPr="002C14EB">
        <w:rPr>
          <w:sz w:val="18"/>
          <w:szCs w:val="18"/>
        </w:rPr>
        <w:t>and DG Competition report on energy sector inquiry (SEC (2006)1724, 10.1.2007</w:t>
      </w:r>
    </w:p>
    <w:p w:rsidR="00C62407" w:rsidRPr="002C14EB" w:rsidRDefault="00F9467E" w:rsidP="00BC4515">
      <w:pPr>
        <w:pStyle w:val="FootnoteText"/>
        <w:ind w:left="0" w:firstLine="720"/>
        <w:rPr>
          <w:sz w:val="18"/>
          <w:szCs w:val="18"/>
        </w:rPr>
      </w:pPr>
      <w:hyperlink r:id="rId25" w:history="1">
        <w:r w:rsidR="00C62407" w:rsidRPr="002C14EB">
          <w:rPr>
            <w:rStyle w:val="Hyperlink"/>
            <w:sz w:val="18"/>
            <w:szCs w:val="18"/>
          </w:rPr>
          <w:t>http://eur-lex.europa.eu/legal-content/EN/TXT/?uri=CELEX:52006SC1724</w:t>
        </w:r>
      </w:hyperlink>
      <w:r w:rsidR="00C62407" w:rsidRPr="002C14EB">
        <w:rPr>
          <w:sz w:val="18"/>
          <w:szCs w:val="18"/>
        </w:rPr>
        <w:t xml:space="preserve">  </w:t>
      </w:r>
    </w:p>
    <w:p w:rsidR="00C62407" w:rsidRPr="002C14EB" w:rsidRDefault="00C62407" w:rsidP="001F2DE9">
      <w:pPr>
        <w:pStyle w:val="FootnoteText"/>
        <w:ind w:firstLine="0"/>
        <w:rPr>
          <w:sz w:val="18"/>
          <w:szCs w:val="18"/>
        </w:rPr>
      </w:pPr>
      <w:r w:rsidRPr="002C14EB">
        <w:rPr>
          <w:sz w:val="18"/>
          <w:szCs w:val="18"/>
        </w:rPr>
        <w:t xml:space="preserve">Cases COMP/39.388 – German Electricity Wholesale Market and COMP/39.389 – German Electricity Balancing market). </w:t>
      </w:r>
      <w:hyperlink r:id="rId26">
        <w:r w:rsidRPr="002C14EB">
          <w:rPr>
            <w:rStyle w:val="Hyperlink"/>
            <w:sz w:val="18"/>
            <w:szCs w:val="18"/>
          </w:rPr>
          <w:t>http://eur-lex.europa.eu/legal-content/EN/ALL/?uri=CELEX:52009XC0213(02)</w:t>
        </w:r>
      </w:hyperlink>
    </w:p>
    <w:p w:rsidR="00C62407" w:rsidRPr="002C14EB" w:rsidRDefault="00C62407" w:rsidP="001F2DE9">
      <w:pPr>
        <w:pStyle w:val="FootnoteText"/>
        <w:ind w:firstLine="0"/>
        <w:rPr>
          <w:sz w:val="18"/>
          <w:szCs w:val="18"/>
        </w:rPr>
      </w:pPr>
      <w:r w:rsidRPr="002C14EB">
        <w:rPr>
          <w:sz w:val="18"/>
          <w:szCs w:val="18"/>
        </w:rPr>
        <w:t xml:space="preserve">Case COMP/B-1/39.402 – RWE Gas Foreclosure </w:t>
      </w:r>
      <w:hyperlink r:id="rId27" w:history="1">
        <w:r w:rsidRPr="002C14EB">
          <w:rPr>
            <w:rStyle w:val="Hyperlink"/>
            <w:sz w:val="18"/>
            <w:szCs w:val="18"/>
          </w:rPr>
          <w:t>http://eur-lex.europa.eu/legal-content/EN/TXT/?uri=uriserv:OJ.C_.2009.133.01.0010.01.ENG&amp;toc=OJ:C:2009:133:TOC</w:t>
        </w:r>
      </w:hyperlink>
      <w:r w:rsidRPr="002C14EB">
        <w:rPr>
          <w:sz w:val="18"/>
          <w:szCs w:val="18"/>
        </w:rPr>
        <w:t xml:space="preserve"> </w:t>
      </w:r>
    </w:p>
    <w:p w:rsidR="00C62407" w:rsidRPr="002C14EB" w:rsidRDefault="00C62407" w:rsidP="001F2DE9">
      <w:pPr>
        <w:pStyle w:val="FootnoteText"/>
        <w:ind w:firstLine="0"/>
        <w:jc w:val="left"/>
        <w:rPr>
          <w:sz w:val="18"/>
          <w:szCs w:val="18"/>
        </w:rPr>
      </w:pPr>
      <w:r w:rsidRPr="002C14EB">
        <w:rPr>
          <w:sz w:val="18"/>
          <w:szCs w:val="18"/>
        </w:rPr>
        <w:t xml:space="preserve">Case COMP/39.315 – ENI </w:t>
      </w:r>
      <w:hyperlink r:id="rId28" w:history="1">
        <w:r w:rsidRPr="002C14EB">
          <w:rPr>
            <w:rStyle w:val="Hyperlink"/>
            <w:sz w:val="18"/>
            <w:szCs w:val="18"/>
          </w:rPr>
          <w:t>http://eur-lex.europa.eu/legal-content/EN/TXT/?uri=uriserv:OJ.C_.2010.352.01.0008.01.ENG&amp;toc=OJ:C:2010:352:TOC</w:t>
        </w:r>
      </w:hyperlink>
      <w:r w:rsidRPr="002C14EB">
        <w:rPr>
          <w:sz w:val="18"/>
          <w:szCs w:val="18"/>
        </w:rPr>
        <w:t xml:space="preserve"> </w:t>
      </w:r>
    </w:p>
    <w:p w:rsidR="00C62407" w:rsidRPr="00C62407" w:rsidRDefault="00C62407" w:rsidP="001F2DE9">
      <w:pPr>
        <w:pStyle w:val="FootnoteText"/>
        <w:ind w:firstLine="0"/>
        <w:rPr>
          <w:sz w:val="18"/>
          <w:szCs w:val="18"/>
        </w:rPr>
      </w:pPr>
      <w:r w:rsidRPr="00C62407">
        <w:rPr>
          <w:sz w:val="18"/>
          <w:szCs w:val="18"/>
        </w:rPr>
        <w:t xml:space="preserve">Case COMP/39.386 – Long Term Electricity Contracts France </w:t>
      </w:r>
      <w:hyperlink r:id="rId29" w:history="1">
        <w:r w:rsidRPr="00C62407">
          <w:rPr>
            <w:rStyle w:val="Hyperlink"/>
            <w:sz w:val="18"/>
            <w:szCs w:val="18"/>
          </w:rPr>
          <w:t>http://eur-lex.europa.eu/legal-content/EN/TXT/?qid=1439992538223&amp;uri=CELEX:52010XC0522(01)</w:t>
        </w:r>
      </w:hyperlink>
      <w:r w:rsidRPr="00C62407">
        <w:rPr>
          <w:sz w:val="18"/>
          <w:szCs w:val="18"/>
        </w:rPr>
        <w:t xml:space="preserve"> </w:t>
      </w:r>
    </w:p>
  </w:footnote>
  <w:footnote w:id="71">
    <w:p w:rsidR="00C62407" w:rsidRPr="002A0899" w:rsidRDefault="00C62407">
      <w:pPr>
        <w:pStyle w:val="FootnoteText"/>
        <w:rPr>
          <w:sz w:val="18"/>
          <w:szCs w:val="18"/>
          <w:lang w:val="nl-BE"/>
        </w:rPr>
      </w:pPr>
      <w:r w:rsidRPr="00C62407">
        <w:rPr>
          <w:rStyle w:val="FootnoteReference"/>
          <w:sz w:val="18"/>
          <w:szCs w:val="18"/>
        </w:rPr>
        <w:footnoteRef/>
      </w:r>
      <w:r w:rsidRPr="00C62407">
        <w:rPr>
          <w:rStyle w:val="FootnoteReference"/>
          <w:sz w:val="18"/>
          <w:szCs w:val="18"/>
          <w:lang w:val="nl-NL"/>
        </w:rPr>
        <w:t xml:space="preserve"> </w:t>
      </w:r>
      <w:r w:rsidRPr="00C62407">
        <w:rPr>
          <w:sz w:val="18"/>
          <w:szCs w:val="18"/>
          <w:lang w:val="nl-NL"/>
        </w:rPr>
        <w:tab/>
      </w:r>
      <w:r w:rsidRPr="002A0899">
        <w:rPr>
          <w:sz w:val="18"/>
          <w:szCs w:val="18"/>
          <w:lang w:val="nl-BE"/>
        </w:rPr>
        <w:t>CEER 2019.</w:t>
      </w:r>
    </w:p>
  </w:footnote>
  <w:footnote w:id="72">
    <w:p w:rsidR="00C62407" w:rsidRPr="00AF5642" w:rsidRDefault="00C62407" w:rsidP="00E27E1A">
      <w:pPr>
        <w:pStyle w:val="FootnoteText"/>
        <w:ind w:left="0" w:firstLine="0"/>
        <w:rPr>
          <w:sz w:val="18"/>
          <w:szCs w:val="18"/>
          <w:lang w:val="nl-BE"/>
        </w:rPr>
      </w:pPr>
      <w:r w:rsidRPr="00C62407">
        <w:rPr>
          <w:rStyle w:val="FootnoteReference"/>
          <w:sz w:val="18"/>
          <w:szCs w:val="18"/>
        </w:rPr>
        <w:footnoteRef/>
      </w:r>
      <w:r w:rsidRPr="00C62407">
        <w:rPr>
          <w:sz w:val="18"/>
          <w:szCs w:val="18"/>
          <w:lang w:val="nl-BE"/>
        </w:rPr>
        <w:tab/>
      </w:r>
      <w:hyperlink r:id="rId30" w:history="1">
        <w:r w:rsidRPr="00C62407">
          <w:rPr>
            <w:rStyle w:val="Hyperlink"/>
            <w:sz w:val="18"/>
            <w:szCs w:val="18"/>
            <w:lang w:val="nl-BE"/>
          </w:rPr>
          <w:t>https://ec.europa.eu/energy/data-analysis/market-analysis_en</w:t>
        </w:r>
      </w:hyperlink>
    </w:p>
  </w:footnote>
  <w:footnote w:id="73">
    <w:p w:rsidR="00C62407" w:rsidRPr="00C62407" w:rsidRDefault="00C62407" w:rsidP="00E27E1A">
      <w:pPr>
        <w:pStyle w:val="FootnoteText"/>
        <w:ind w:left="0" w:firstLine="0"/>
        <w:rPr>
          <w:sz w:val="18"/>
          <w:szCs w:val="18"/>
          <w:lang w:val="nl-BE"/>
        </w:rPr>
      </w:pPr>
      <w:r w:rsidRPr="00924973">
        <w:rPr>
          <w:rStyle w:val="FootnoteReference"/>
          <w:sz w:val="18"/>
          <w:szCs w:val="18"/>
        </w:rPr>
        <w:footnoteRef/>
      </w:r>
      <w:r>
        <w:rPr>
          <w:sz w:val="18"/>
          <w:szCs w:val="18"/>
          <w:lang w:val="nl-BE"/>
        </w:rPr>
        <w:tab/>
      </w:r>
      <w:hyperlink r:id="rId31" w:history="1">
        <w:r w:rsidRPr="00C62407">
          <w:rPr>
            <w:rStyle w:val="Hyperlink"/>
            <w:sz w:val="18"/>
            <w:szCs w:val="18"/>
            <w:lang w:val="nl-BE"/>
          </w:rPr>
          <w:t>https://www.acer.europa.eu/en/Electricity/Market%20monitoring/Pages/Current-edition.aspx</w:t>
        </w:r>
      </w:hyperlink>
      <w:r w:rsidRPr="00C62407">
        <w:rPr>
          <w:sz w:val="18"/>
          <w:szCs w:val="18"/>
          <w:lang w:val="nl-BE"/>
        </w:rPr>
        <w:t xml:space="preserve"> </w:t>
      </w:r>
    </w:p>
  </w:footnote>
  <w:footnote w:id="74">
    <w:p w:rsidR="00C62407" w:rsidRPr="00C62407" w:rsidRDefault="00C62407" w:rsidP="004D2EEC">
      <w:pPr>
        <w:pStyle w:val="FootnoteText"/>
        <w:ind w:left="567" w:hanging="567"/>
        <w:rPr>
          <w:sz w:val="18"/>
          <w:szCs w:val="18"/>
          <w:lang w:val="nl-BE"/>
        </w:rPr>
      </w:pPr>
      <w:r w:rsidRPr="00C62407">
        <w:rPr>
          <w:rStyle w:val="FootnoteReference"/>
          <w:sz w:val="18"/>
          <w:szCs w:val="18"/>
        </w:rPr>
        <w:footnoteRef/>
      </w:r>
      <w:r w:rsidRPr="00C62407">
        <w:rPr>
          <w:sz w:val="18"/>
          <w:szCs w:val="18"/>
          <w:lang w:val="nl-BE"/>
        </w:rPr>
        <w:tab/>
        <w:t xml:space="preserve"> </w:t>
      </w:r>
      <w:r>
        <w:rPr>
          <w:sz w:val="18"/>
          <w:szCs w:val="18"/>
          <w:lang w:val="nl-BE"/>
        </w:rPr>
        <w:t xml:space="preserve"> </w:t>
      </w:r>
      <w:hyperlink r:id="rId32" w:history="1">
        <w:r w:rsidRPr="00C62407">
          <w:rPr>
            <w:rStyle w:val="Hyperlink"/>
            <w:sz w:val="18"/>
            <w:szCs w:val="18"/>
            <w:lang w:val="nl-BE"/>
          </w:rPr>
          <w:t>https://www.acer.europa.eu/en/Electricity/Market%20monitoring/Documents/MMR2018presentation19nov2019.pdf</w:t>
        </w:r>
      </w:hyperlink>
    </w:p>
  </w:footnote>
  <w:footnote w:id="75">
    <w:p w:rsidR="00C62407" w:rsidRPr="002A0899" w:rsidRDefault="00C62407" w:rsidP="001F2DE9">
      <w:pPr>
        <w:pStyle w:val="FootnoteText"/>
        <w:rPr>
          <w:rStyle w:val="Hyperlink"/>
        </w:rPr>
      </w:pPr>
      <w:r w:rsidRPr="00924973">
        <w:rPr>
          <w:rStyle w:val="FootnoteReference"/>
          <w:sz w:val="18"/>
          <w:szCs w:val="18"/>
        </w:rPr>
        <w:footnoteRef/>
      </w:r>
      <w:r>
        <w:rPr>
          <w:sz w:val="18"/>
          <w:szCs w:val="18"/>
        </w:rPr>
        <w:tab/>
      </w:r>
      <w:r w:rsidRPr="00634502">
        <w:rPr>
          <w:sz w:val="18"/>
          <w:szCs w:val="18"/>
        </w:rPr>
        <w:t xml:space="preserve">The </w:t>
      </w:r>
      <w:r w:rsidRPr="0064043A">
        <w:rPr>
          <w:rStyle w:val="Hyperlink"/>
          <w:color w:val="auto"/>
          <w:sz w:val="18"/>
          <w:szCs w:val="18"/>
          <w:u w:val="none"/>
        </w:rPr>
        <w:t>network</w:t>
      </w:r>
      <w:r w:rsidRPr="00634502">
        <w:rPr>
          <w:sz w:val="18"/>
          <w:szCs w:val="18"/>
        </w:rPr>
        <w:t xml:space="preserve"> codes which have been adopted or on in preparation can be found at: </w:t>
      </w:r>
      <w:r w:rsidRPr="002A0899">
        <w:rPr>
          <w:rStyle w:val="Hyperlink"/>
        </w:rPr>
        <w:t>https://ec.europa.eu/energy/topics/markets-and-consumers/wholesale-energy-market/gas-network-codes_en</w:t>
      </w:r>
    </w:p>
  </w:footnote>
  <w:footnote w:id="76">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t xml:space="preserve">Joint Scenario Report develop by ENTSOG and ENTSO-E: </w:t>
      </w:r>
      <w:hyperlink r:id="rId33" w:history="1">
        <w:r w:rsidRPr="003E0BF2">
          <w:rPr>
            <w:rStyle w:val="Hyperlink"/>
            <w:sz w:val="18"/>
            <w:szCs w:val="18"/>
          </w:rPr>
          <w:t>https://2020.entsos-tyndp-scenarios.eu/</w:t>
        </w:r>
      </w:hyperlink>
    </w:p>
  </w:footnote>
  <w:footnote w:id="77">
    <w:p w:rsidR="00C62407" w:rsidRPr="002A0899" w:rsidRDefault="00C62407" w:rsidP="001F2DE9">
      <w:pPr>
        <w:pStyle w:val="FootnoteText"/>
        <w:rPr>
          <w:rStyle w:val="Hyperlink"/>
        </w:rPr>
      </w:pPr>
      <w:r w:rsidRPr="00924973">
        <w:rPr>
          <w:rStyle w:val="FootnoteReference"/>
          <w:sz w:val="18"/>
          <w:szCs w:val="18"/>
        </w:rPr>
        <w:footnoteRef/>
      </w:r>
      <w:r>
        <w:rPr>
          <w:sz w:val="18"/>
          <w:szCs w:val="18"/>
        </w:rPr>
        <w:tab/>
      </w:r>
      <w:r w:rsidRPr="00042BC7">
        <w:rPr>
          <w:sz w:val="18"/>
          <w:szCs w:val="18"/>
        </w:rPr>
        <w:t>Priority list for the development of gas network codes and guidelines for 2021</w:t>
      </w:r>
      <w:r>
        <w:rPr>
          <w:sz w:val="18"/>
          <w:szCs w:val="18"/>
        </w:rPr>
        <w:t xml:space="preserve">, available at: </w:t>
      </w:r>
      <w:r w:rsidRPr="002A0899">
        <w:rPr>
          <w:rStyle w:val="Hyperlink"/>
        </w:rPr>
        <w:t>https://ec.europa.eu/energy/consultations/priority-list-development-gas-network-codes-and-guidelines-2021_en</w:t>
      </w:r>
    </w:p>
  </w:footnote>
  <w:footnote w:id="78">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t xml:space="preserve">The above mentioned </w:t>
      </w:r>
      <w:r w:rsidRPr="00924973">
        <w:rPr>
          <w:sz w:val="18"/>
          <w:szCs w:val="18"/>
        </w:rPr>
        <w:t xml:space="preserve">ACER </w:t>
      </w:r>
      <w:r w:rsidRPr="009F1EC6">
        <w:rPr>
          <w:sz w:val="18"/>
          <w:szCs w:val="18"/>
        </w:rPr>
        <w:t>Report ‘</w:t>
      </w:r>
      <w:r w:rsidRPr="00BC4515">
        <w:rPr>
          <w:sz w:val="18"/>
          <w:szCs w:val="18"/>
        </w:rPr>
        <w:t>Energy Regulation: A Bridge to 2025 Conclusions Paper’</w:t>
      </w:r>
      <w:r w:rsidRPr="009F1EC6">
        <w:rPr>
          <w:sz w:val="18"/>
          <w:szCs w:val="18"/>
        </w:rPr>
        <w:t>, 19 September 2014 and ‘</w:t>
      </w:r>
      <w:r w:rsidRPr="00BC4515">
        <w:rPr>
          <w:sz w:val="18"/>
          <w:szCs w:val="18"/>
        </w:rPr>
        <w:t>The Bridge beyond 2025 Conclusions Paper’</w:t>
      </w:r>
      <w:r w:rsidRPr="009F1EC6">
        <w:rPr>
          <w:sz w:val="18"/>
          <w:szCs w:val="18"/>
        </w:rPr>
        <w:t>, 19</w:t>
      </w:r>
      <w:r w:rsidRPr="00924973">
        <w:rPr>
          <w:sz w:val="18"/>
          <w:szCs w:val="18"/>
        </w:rPr>
        <w:t xml:space="preserve"> November 2019.</w:t>
      </w:r>
      <w:r>
        <w:rPr>
          <w:sz w:val="18"/>
          <w:szCs w:val="18"/>
        </w:rPr>
        <w:t xml:space="preserve"> </w:t>
      </w:r>
      <w:r w:rsidRPr="00924973">
        <w:rPr>
          <w:sz w:val="18"/>
          <w:szCs w:val="18"/>
        </w:rPr>
        <w:t xml:space="preserve">See also recent annual activity reports of ACER: </w:t>
      </w:r>
      <w:hyperlink r:id="rId34" w:history="1">
        <w:r w:rsidRPr="00924973">
          <w:rPr>
            <w:rStyle w:val="Hyperlink"/>
            <w:sz w:val="18"/>
            <w:szCs w:val="18"/>
          </w:rPr>
          <w:t>http://www.acer.europa.eu/official_documents/publications/pages/publication.aspx</w:t>
        </w:r>
      </w:hyperlink>
    </w:p>
  </w:footnote>
  <w:footnote w:id="79">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r>
      <w:r w:rsidRPr="00924973">
        <w:rPr>
          <w:sz w:val="18"/>
          <w:szCs w:val="18"/>
        </w:rPr>
        <w:t>2020 Energy Prices and Costs Report SWD, p. 66.</w:t>
      </w:r>
    </w:p>
  </w:footnote>
  <w:footnote w:id="80">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t>Ibid.</w:t>
      </w:r>
      <w:r w:rsidRPr="00924973">
        <w:rPr>
          <w:sz w:val="18"/>
          <w:szCs w:val="18"/>
        </w:rPr>
        <w:t>, p. 66.</w:t>
      </w:r>
    </w:p>
  </w:footnote>
  <w:footnote w:id="81">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t>Ibid.</w:t>
      </w:r>
      <w:r w:rsidRPr="00924973">
        <w:rPr>
          <w:sz w:val="18"/>
          <w:szCs w:val="18"/>
        </w:rPr>
        <w:t>, p. 66.</w:t>
      </w:r>
    </w:p>
  </w:footnote>
  <w:footnote w:id="82">
    <w:p w:rsidR="00C62407" w:rsidRPr="00924973" w:rsidRDefault="00C62407" w:rsidP="001F2DE9">
      <w:pPr>
        <w:pStyle w:val="FootnoteText"/>
        <w:rPr>
          <w:sz w:val="18"/>
          <w:szCs w:val="18"/>
        </w:rPr>
      </w:pPr>
      <w:r w:rsidRPr="00924973">
        <w:rPr>
          <w:rStyle w:val="FootnoteReference"/>
          <w:sz w:val="18"/>
          <w:szCs w:val="18"/>
        </w:rPr>
        <w:footnoteRef/>
      </w:r>
      <w:r>
        <w:rPr>
          <w:sz w:val="18"/>
          <w:szCs w:val="18"/>
          <w:lang w:val="en-US"/>
        </w:rPr>
        <w:tab/>
      </w:r>
      <w:r w:rsidRPr="00924973">
        <w:rPr>
          <w:sz w:val="18"/>
          <w:szCs w:val="18"/>
          <w:lang w:val="en-US"/>
        </w:rPr>
        <w:t xml:space="preserve">2019 </w:t>
      </w:r>
      <w:r w:rsidRPr="00924973">
        <w:rPr>
          <w:sz w:val="18"/>
          <w:szCs w:val="18"/>
        </w:rPr>
        <w:t>ACER Market Monitoring Report – Energy Retail and Consumer Protection Volume, pp. 20-23.</w:t>
      </w:r>
    </w:p>
  </w:footnote>
  <w:footnote w:id="83">
    <w:p w:rsidR="00C62407" w:rsidRPr="00924973" w:rsidRDefault="00C62407" w:rsidP="001F2DE9">
      <w:pPr>
        <w:pStyle w:val="FootnoteText"/>
        <w:rPr>
          <w:sz w:val="18"/>
          <w:szCs w:val="18"/>
          <w:lang w:val="en-US"/>
        </w:rPr>
      </w:pPr>
      <w:r w:rsidRPr="00924973">
        <w:rPr>
          <w:rStyle w:val="FootnoteReference"/>
          <w:sz w:val="18"/>
          <w:szCs w:val="18"/>
        </w:rPr>
        <w:footnoteRef/>
      </w:r>
      <w:r>
        <w:rPr>
          <w:sz w:val="18"/>
          <w:szCs w:val="18"/>
        </w:rPr>
        <w:tab/>
      </w:r>
      <w:r w:rsidRPr="00924973">
        <w:rPr>
          <w:sz w:val="18"/>
          <w:szCs w:val="18"/>
        </w:rPr>
        <w:t xml:space="preserve">2020 </w:t>
      </w:r>
      <w:r w:rsidRPr="000B3940">
        <w:rPr>
          <w:sz w:val="18"/>
          <w:szCs w:val="18"/>
          <w:lang w:val="en-US"/>
        </w:rPr>
        <w:t>Energy</w:t>
      </w:r>
      <w:r w:rsidRPr="00924973">
        <w:rPr>
          <w:sz w:val="18"/>
          <w:szCs w:val="18"/>
        </w:rPr>
        <w:t xml:space="preserve"> Prices and Costs Report SWD, p. 66.</w:t>
      </w:r>
    </w:p>
  </w:footnote>
  <w:footnote w:id="84">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t xml:space="preserve">Ibid., p. </w:t>
      </w:r>
      <w:r w:rsidRPr="00924973">
        <w:rPr>
          <w:sz w:val="18"/>
          <w:szCs w:val="18"/>
        </w:rPr>
        <w:t>28.</w:t>
      </w:r>
    </w:p>
  </w:footnote>
  <w:footnote w:id="85">
    <w:p w:rsidR="00C62407" w:rsidRPr="00924973" w:rsidRDefault="00C62407" w:rsidP="00023C24">
      <w:pPr>
        <w:pStyle w:val="FootnoteText"/>
        <w:ind w:left="0" w:firstLine="0"/>
        <w:rPr>
          <w:sz w:val="18"/>
          <w:szCs w:val="18"/>
          <w:lang w:val="en-US"/>
        </w:rPr>
      </w:pPr>
      <w:r w:rsidRPr="00924973">
        <w:rPr>
          <w:rStyle w:val="FootnoteReference"/>
          <w:sz w:val="18"/>
          <w:szCs w:val="18"/>
        </w:rPr>
        <w:footnoteRef/>
      </w:r>
      <w:r>
        <w:rPr>
          <w:sz w:val="18"/>
          <w:szCs w:val="18"/>
        </w:rPr>
        <w:tab/>
      </w:r>
      <w:r w:rsidRPr="00924973">
        <w:rPr>
          <w:sz w:val="18"/>
          <w:szCs w:val="18"/>
        </w:rPr>
        <w:t xml:space="preserve">2020 Energy Prices and Costs Report SWD, </w:t>
      </w:r>
      <w:r w:rsidRPr="00924973">
        <w:rPr>
          <w:sz w:val="18"/>
          <w:szCs w:val="18"/>
          <w:lang w:val="en-US"/>
        </w:rPr>
        <w:t>p. 27.</w:t>
      </w:r>
    </w:p>
  </w:footnote>
  <w:footnote w:id="86">
    <w:p w:rsidR="00C62407" w:rsidRPr="00924973" w:rsidRDefault="00C62407" w:rsidP="00023C24">
      <w:pPr>
        <w:pStyle w:val="FootnoteText"/>
        <w:ind w:left="0" w:firstLine="0"/>
        <w:rPr>
          <w:sz w:val="18"/>
          <w:szCs w:val="18"/>
          <w:lang w:val="en-US"/>
        </w:rPr>
      </w:pPr>
      <w:r w:rsidRPr="00924973">
        <w:rPr>
          <w:rStyle w:val="FootnoteReference"/>
          <w:sz w:val="18"/>
          <w:szCs w:val="18"/>
        </w:rPr>
        <w:footnoteRef/>
      </w:r>
      <w:r>
        <w:rPr>
          <w:sz w:val="18"/>
          <w:szCs w:val="18"/>
        </w:rPr>
        <w:tab/>
        <w:t>Ibid.</w:t>
      </w:r>
      <w:r w:rsidRPr="00924973">
        <w:rPr>
          <w:sz w:val="18"/>
          <w:szCs w:val="18"/>
          <w:lang w:val="en-US"/>
        </w:rPr>
        <w:t>, pp. 28 and 66.</w:t>
      </w:r>
    </w:p>
  </w:footnote>
  <w:footnote w:id="87">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r>
      <w:r w:rsidRPr="00924973">
        <w:rPr>
          <w:sz w:val="18"/>
          <w:szCs w:val="18"/>
        </w:rPr>
        <w:t>2017 CEER Retail Markets Monitoring Report, p. 15.</w:t>
      </w:r>
    </w:p>
  </w:footnote>
  <w:footnote w:id="88">
    <w:p w:rsidR="00C62407" w:rsidRPr="00BC4515" w:rsidRDefault="00C62407">
      <w:pPr>
        <w:pStyle w:val="FootnoteText"/>
        <w:rPr>
          <w:sz w:val="18"/>
          <w:szCs w:val="18"/>
        </w:rPr>
      </w:pPr>
      <w:r w:rsidRPr="00BC4515">
        <w:rPr>
          <w:rStyle w:val="FootnoteReference"/>
          <w:sz w:val="18"/>
          <w:szCs w:val="18"/>
        </w:rPr>
        <w:footnoteRef/>
      </w:r>
      <w:r w:rsidRPr="00BC4515">
        <w:rPr>
          <w:sz w:val="18"/>
          <w:szCs w:val="18"/>
        </w:rPr>
        <w:tab/>
      </w:r>
      <w:r w:rsidRPr="00C24546">
        <w:rPr>
          <w:sz w:val="18"/>
          <w:szCs w:val="18"/>
        </w:rPr>
        <w:t xml:space="preserve">See </w:t>
      </w:r>
      <w:r w:rsidRPr="00C24546">
        <w:rPr>
          <w:bCs/>
          <w:sz w:val="18"/>
          <w:szCs w:val="18"/>
        </w:rPr>
        <w:t xml:space="preserve">Annex 4, </w:t>
      </w:r>
      <w:r w:rsidRPr="00C24546">
        <w:rPr>
          <w:sz w:val="18"/>
          <w:szCs w:val="18"/>
        </w:rPr>
        <w:t xml:space="preserve">Figure </w:t>
      </w:r>
      <w:r w:rsidRPr="00C24546">
        <w:rPr>
          <w:bCs/>
          <w:sz w:val="18"/>
          <w:szCs w:val="18"/>
        </w:rPr>
        <w:t>1</w:t>
      </w:r>
      <w:r w:rsidRPr="00C24546">
        <w:rPr>
          <w:sz w:val="18"/>
          <w:szCs w:val="18"/>
        </w:rPr>
        <w:t xml:space="preserve">. </w:t>
      </w:r>
    </w:p>
  </w:footnote>
  <w:footnote w:id="89">
    <w:p w:rsidR="00C62407" w:rsidRPr="00BC4515" w:rsidRDefault="00C62407">
      <w:pPr>
        <w:pStyle w:val="FootnoteText"/>
        <w:rPr>
          <w:sz w:val="18"/>
          <w:szCs w:val="18"/>
          <w:lang w:val="en-US"/>
        </w:rPr>
      </w:pPr>
      <w:r w:rsidRPr="00BC4515">
        <w:rPr>
          <w:rStyle w:val="FootnoteReference"/>
          <w:sz w:val="18"/>
          <w:szCs w:val="18"/>
        </w:rPr>
        <w:footnoteRef/>
      </w:r>
      <w:r>
        <w:tab/>
      </w:r>
      <w:r w:rsidRPr="00BC4515">
        <w:rPr>
          <w:sz w:val="18"/>
          <w:szCs w:val="18"/>
        </w:rPr>
        <w:t xml:space="preserve">Measures the total market shares of the </w:t>
      </w:r>
      <w:r>
        <w:rPr>
          <w:sz w:val="18"/>
          <w:szCs w:val="18"/>
        </w:rPr>
        <w:t>three</w:t>
      </w:r>
      <w:r w:rsidRPr="00BC4515">
        <w:rPr>
          <w:sz w:val="18"/>
          <w:szCs w:val="18"/>
        </w:rPr>
        <w:t xml:space="preserve"> largest suppliers in one market.</w:t>
      </w:r>
    </w:p>
  </w:footnote>
  <w:footnote w:id="90">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8D650A">
        <w:rPr>
          <w:sz w:val="18"/>
          <w:szCs w:val="18"/>
        </w:rPr>
        <w:t>2014 ACER</w:t>
      </w:r>
      <w:r>
        <w:rPr>
          <w:sz w:val="18"/>
          <w:szCs w:val="18"/>
        </w:rPr>
        <w:t xml:space="preserve"> market monitoring report, annual report on the results of monitoring the internal electricity and gas markets in 2014, pp. 39-40.</w:t>
      </w:r>
    </w:p>
  </w:footnote>
  <w:footnote w:id="91">
    <w:p w:rsidR="00C62407" w:rsidRPr="00924973" w:rsidRDefault="00C62407" w:rsidP="00023C24">
      <w:pPr>
        <w:keepNext/>
        <w:spacing w:after="0"/>
        <w:rPr>
          <w:sz w:val="18"/>
          <w:szCs w:val="18"/>
        </w:rPr>
      </w:pPr>
      <w:r w:rsidRPr="00924973">
        <w:rPr>
          <w:rStyle w:val="FootnoteReference"/>
          <w:sz w:val="18"/>
          <w:szCs w:val="18"/>
        </w:rPr>
        <w:footnoteRef/>
      </w:r>
      <w:r>
        <w:rPr>
          <w:sz w:val="18"/>
          <w:szCs w:val="18"/>
        </w:rPr>
        <w:tab/>
      </w:r>
      <w:r w:rsidRPr="008D650A">
        <w:rPr>
          <w:sz w:val="18"/>
          <w:szCs w:val="18"/>
          <w:lang w:val="en-US"/>
        </w:rPr>
        <w:t xml:space="preserve">2019 </w:t>
      </w:r>
      <w:r w:rsidRPr="008D650A">
        <w:rPr>
          <w:sz w:val="18"/>
          <w:szCs w:val="18"/>
        </w:rPr>
        <w:t>ACER</w:t>
      </w:r>
      <w:r>
        <w:rPr>
          <w:sz w:val="18"/>
          <w:szCs w:val="18"/>
        </w:rPr>
        <w:t xml:space="preserve"> Market Monitoring Report,</w:t>
      </w:r>
      <w:r w:rsidRPr="00924973">
        <w:rPr>
          <w:sz w:val="18"/>
          <w:szCs w:val="18"/>
        </w:rPr>
        <w:t xml:space="preserve"> Energy Retail and Consumer Protection Volume</w:t>
      </w:r>
      <w:r w:rsidRPr="00924973">
        <w:rPr>
          <w:sz w:val="18"/>
          <w:szCs w:val="18"/>
          <w:lang w:val="en-US"/>
        </w:rPr>
        <w:t>, p. 54.</w:t>
      </w:r>
    </w:p>
  </w:footnote>
  <w:footnote w:id="92">
    <w:p w:rsidR="00C62407" w:rsidRPr="00924973" w:rsidRDefault="00C62407" w:rsidP="00023C24">
      <w:pPr>
        <w:pStyle w:val="FootnoteText"/>
        <w:ind w:left="0" w:firstLine="0"/>
        <w:rPr>
          <w:sz w:val="18"/>
          <w:szCs w:val="18"/>
          <w:lang w:val="en-US"/>
        </w:rPr>
      </w:pPr>
      <w:r w:rsidRPr="00924973">
        <w:rPr>
          <w:rStyle w:val="FootnoteReference"/>
          <w:sz w:val="18"/>
          <w:szCs w:val="18"/>
        </w:rPr>
        <w:footnoteRef/>
      </w:r>
      <w:r>
        <w:rPr>
          <w:sz w:val="18"/>
          <w:szCs w:val="18"/>
          <w:lang w:val="en-US"/>
        </w:rPr>
        <w:tab/>
      </w:r>
      <w:r w:rsidRPr="008D650A">
        <w:rPr>
          <w:sz w:val="18"/>
          <w:szCs w:val="18"/>
          <w:lang w:val="en-US"/>
        </w:rPr>
        <w:t xml:space="preserve">2019 </w:t>
      </w:r>
      <w:r w:rsidRPr="008D650A">
        <w:rPr>
          <w:sz w:val="18"/>
          <w:szCs w:val="18"/>
        </w:rPr>
        <w:t>ACER</w:t>
      </w:r>
      <w:r>
        <w:rPr>
          <w:sz w:val="18"/>
          <w:szCs w:val="18"/>
        </w:rPr>
        <w:t xml:space="preserve"> Market Monitoring Report,</w:t>
      </w:r>
      <w:r w:rsidRPr="00924973">
        <w:rPr>
          <w:sz w:val="18"/>
          <w:szCs w:val="18"/>
        </w:rPr>
        <w:t xml:space="preserve"> Energy Retail and Consumer Protection Volume</w:t>
      </w:r>
      <w:r w:rsidRPr="00924973">
        <w:rPr>
          <w:sz w:val="18"/>
          <w:szCs w:val="18"/>
          <w:lang w:val="en-US"/>
        </w:rPr>
        <w:t>, p. 54.</w:t>
      </w:r>
    </w:p>
  </w:footnote>
  <w:footnote w:id="93">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Transmission and distribution tariffs are addressed in sepa</w:t>
      </w:r>
      <w:r>
        <w:rPr>
          <w:sz w:val="18"/>
          <w:szCs w:val="18"/>
        </w:rPr>
        <w:t xml:space="preserve">rate parts of this Evaluation. </w:t>
      </w:r>
      <w:r w:rsidRPr="00924973">
        <w:rPr>
          <w:sz w:val="18"/>
          <w:szCs w:val="18"/>
        </w:rPr>
        <w:t>The analysis in this section focuses on the regulation of the energy component of retail prices and does not address network tariffs.</w:t>
      </w:r>
    </w:p>
  </w:footnote>
  <w:footnote w:id="94">
    <w:p w:rsidR="00C62407" w:rsidRPr="00924973" w:rsidRDefault="00C62407" w:rsidP="000B3940">
      <w:pPr>
        <w:pStyle w:val="FootnoteText"/>
        <w:rPr>
          <w:sz w:val="18"/>
          <w:szCs w:val="18"/>
        </w:rPr>
      </w:pPr>
      <w:r w:rsidRPr="00924973">
        <w:rPr>
          <w:rStyle w:val="FootnoteReference"/>
          <w:sz w:val="18"/>
          <w:szCs w:val="18"/>
        </w:rPr>
        <w:footnoteRef/>
      </w:r>
      <w:r>
        <w:rPr>
          <w:sz w:val="18"/>
          <w:szCs w:val="18"/>
        </w:rPr>
        <w:tab/>
        <w:t xml:space="preserve">2019 </w:t>
      </w:r>
      <w:hyperlink r:id="rId35" w:tgtFrame="_blank" w:history="1">
        <w:r w:rsidRPr="008D650A">
          <w:rPr>
            <w:rStyle w:val="normaltextrun"/>
            <w:sz w:val="18"/>
            <w:szCs w:val="18"/>
          </w:rPr>
          <w:t>ACER Market Monitoring Report</w:t>
        </w:r>
      </w:hyperlink>
      <w:r w:rsidRPr="00DF48C0">
        <w:rPr>
          <w:rStyle w:val="normaltextrun"/>
          <w:sz w:val="18"/>
          <w:szCs w:val="18"/>
        </w:rPr>
        <w:t>,</w:t>
      </w:r>
      <w:r w:rsidRPr="00660EA5">
        <w:rPr>
          <w:rStyle w:val="normaltextrun"/>
          <w:sz w:val="18"/>
          <w:szCs w:val="18"/>
          <w:bdr w:val="none" w:sz="0" w:space="0" w:color="auto" w:frame="1"/>
        </w:rPr>
        <w:t xml:space="preserve"> </w:t>
      </w:r>
      <w:r w:rsidRPr="00DF48C0">
        <w:rPr>
          <w:rStyle w:val="normaltextrun"/>
          <w:sz w:val="18"/>
          <w:szCs w:val="18"/>
          <w:bdr w:val="none" w:sz="0" w:space="0" w:color="auto" w:frame="1"/>
        </w:rPr>
        <w:t xml:space="preserve">Energy Retail and Consumer Protection </w:t>
      </w:r>
      <w:r>
        <w:rPr>
          <w:rStyle w:val="normaltextrun"/>
          <w:sz w:val="18"/>
          <w:szCs w:val="18"/>
          <w:bdr w:val="none" w:sz="0" w:space="0" w:color="auto" w:frame="1"/>
        </w:rPr>
        <w:t>Volume,</w:t>
      </w:r>
      <w:r w:rsidRPr="00DF48C0">
        <w:rPr>
          <w:rStyle w:val="normaltextrun"/>
          <w:sz w:val="18"/>
          <w:szCs w:val="18"/>
        </w:rPr>
        <w:t xml:space="preserve"> p. 47.</w:t>
      </w:r>
      <w:r>
        <w:rPr>
          <w:rStyle w:val="normaltextrun"/>
          <w:sz w:val="18"/>
          <w:szCs w:val="18"/>
        </w:rPr>
        <w:t xml:space="preserve"> An up-date on the number of Member States with regulated price may be available when the next ACER report will be published (foreseen in September 2021).</w:t>
      </w:r>
    </w:p>
  </w:footnote>
  <w:footnote w:id="95">
    <w:p w:rsidR="00C62407" w:rsidRPr="009A4AA3" w:rsidRDefault="00C62407">
      <w:pPr>
        <w:pStyle w:val="FootnoteText"/>
      </w:pPr>
      <w:r w:rsidRPr="009A4AA3">
        <w:rPr>
          <w:rStyle w:val="FootnoteReference"/>
          <w:sz w:val="18"/>
        </w:rPr>
        <w:footnoteRef/>
      </w:r>
      <w:r>
        <w:rPr>
          <w:sz w:val="18"/>
        </w:rPr>
        <w:tab/>
      </w:r>
      <w:r w:rsidRPr="009A4AA3">
        <w:rPr>
          <w:sz w:val="18"/>
        </w:rPr>
        <w:t xml:space="preserve">Annex </w:t>
      </w:r>
      <w:r>
        <w:rPr>
          <w:sz w:val="18"/>
        </w:rPr>
        <w:t>4</w:t>
      </w:r>
      <w:r w:rsidRPr="009A4AA3">
        <w:rPr>
          <w:sz w:val="18"/>
        </w:rPr>
        <w:t xml:space="preserve">, </w:t>
      </w:r>
      <w:r>
        <w:rPr>
          <w:sz w:val="18"/>
        </w:rPr>
        <w:t>F</w:t>
      </w:r>
      <w:r w:rsidRPr="009A4AA3">
        <w:rPr>
          <w:sz w:val="18"/>
        </w:rPr>
        <w:t>igure 4.</w:t>
      </w:r>
    </w:p>
  </w:footnote>
  <w:footnote w:id="96">
    <w:p w:rsidR="00C62407" w:rsidRPr="00924973" w:rsidRDefault="00C62407" w:rsidP="00023C24">
      <w:pPr>
        <w:pStyle w:val="FootnoteText"/>
        <w:ind w:left="0" w:firstLine="0"/>
        <w:rPr>
          <w:sz w:val="18"/>
          <w:szCs w:val="18"/>
        </w:rPr>
      </w:pPr>
      <w:r w:rsidRPr="00924973">
        <w:rPr>
          <w:rStyle w:val="FootnoteReference"/>
          <w:sz w:val="18"/>
          <w:szCs w:val="18"/>
        </w:rPr>
        <w:footnoteRef/>
      </w:r>
      <w:r>
        <w:rPr>
          <w:sz w:val="18"/>
          <w:szCs w:val="18"/>
        </w:rPr>
        <w:tab/>
      </w:r>
      <w:r w:rsidRPr="00B631E9">
        <w:rPr>
          <w:sz w:val="18"/>
          <w:szCs w:val="18"/>
        </w:rPr>
        <w:t xml:space="preserve">Retail market barrier study, </w:t>
      </w:r>
      <w:r>
        <w:rPr>
          <w:sz w:val="18"/>
          <w:szCs w:val="18"/>
        </w:rPr>
        <w:t xml:space="preserve">final report, </w:t>
      </w:r>
      <w:r w:rsidRPr="00B631E9">
        <w:rPr>
          <w:sz w:val="18"/>
          <w:szCs w:val="18"/>
        </w:rPr>
        <w:t>p. 50</w:t>
      </w:r>
      <w:r>
        <w:rPr>
          <w:sz w:val="18"/>
          <w:szCs w:val="18"/>
        </w:rPr>
        <w:t>.</w:t>
      </w:r>
    </w:p>
  </w:footnote>
  <w:footnote w:id="97">
    <w:p w:rsidR="00C62407" w:rsidRPr="002C14EB" w:rsidRDefault="00C62407" w:rsidP="00023C24">
      <w:pPr>
        <w:pStyle w:val="FootnoteText"/>
        <w:ind w:left="0" w:firstLine="0"/>
        <w:rPr>
          <w:sz w:val="18"/>
          <w:szCs w:val="18"/>
        </w:rPr>
      </w:pPr>
      <w:r w:rsidRPr="00924973">
        <w:rPr>
          <w:rStyle w:val="FootnoteReference"/>
          <w:sz w:val="18"/>
          <w:szCs w:val="18"/>
        </w:rPr>
        <w:footnoteRef/>
      </w:r>
      <w:r>
        <w:rPr>
          <w:sz w:val="18"/>
          <w:szCs w:val="18"/>
        </w:rPr>
        <w:tab/>
      </w:r>
      <w:r w:rsidRPr="002C14EB">
        <w:rPr>
          <w:sz w:val="18"/>
          <w:szCs w:val="18"/>
        </w:rPr>
        <w:t>Ibid., p. 50. See also Annex 4, Figure 5.</w:t>
      </w:r>
    </w:p>
  </w:footnote>
  <w:footnote w:id="98">
    <w:p w:rsidR="00C62407" w:rsidRPr="00BC4515" w:rsidRDefault="00C62407" w:rsidP="000B3940">
      <w:pPr>
        <w:pStyle w:val="FootnoteText"/>
        <w:rPr>
          <w:sz w:val="18"/>
          <w:szCs w:val="18"/>
        </w:rPr>
      </w:pPr>
      <w:r w:rsidRPr="002C14EB">
        <w:rPr>
          <w:rStyle w:val="FootnoteReference"/>
          <w:sz w:val="18"/>
          <w:szCs w:val="18"/>
        </w:rPr>
        <w:footnoteRef/>
      </w:r>
      <w:r w:rsidRPr="002C14EB">
        <w:rPr>
          <w:sz w:val="18"/>
          <w:szCs w:val="18"/>
        </w:rPr>
        <w:tab/>
        <w:t xml:space="preserve">In 2019, </w:t>
      </w:r>
      <w:r w:rsidRPr="00BC4515">
        <w:rPr>
          <w:bCs/>
          <w:sz w:val="18"/>
          <w:szCs w:val="18"/>
        </w:rPr>
        <w:t>the industry sector and commercial and public services</w:t>
      </w:r>
      <w:r w:rsidRPr="002C14EB">
        <w:rPr>
          <w:sz w:val="18"/>
          <w:szCs w:val="18"/>
        </w:rPr>
        <w:t xml:space="preserve"> 1 663 352.818 Gigawatt-hour out of the total 2 565 547.259</w:t>
      </w:r>
      <w:r w:rsidRPr="002C14EB" w:rsidDel="00DF6492">
        <w:rPr>
          <w:sz w:val="18"/>
          <w:szCs w:val="18"/>
        </w:rPr>
        <w:t xml:space="preserve"> </w:t>
      </w:r>
      <w:r w:rsidRPr="00BC4515">
        <w:rPr>
          <w:rStyle w:val="normaltextrun"/>
          <w:sz w:val="18"/>
          <w:szCs w:val="18"/>
        </w:rPr>
        <w:t>Gigawatt</w:t>
      </w:r>
      <w:r w:rsidRPr="002C14EB">
        <w:rPr>
          <w:sz w:val="18"/>
          <w:szCs w:val="18"/>
        </w:rPr>
        <w:t>-hour electricity consumption (64.83%) – Eurostat data, 2019; and in 2017, the industry sector and commercial and public services 1 486 314 Gigawatt-hour out of the total 2 783 059 Gigawatt-hour of gas consumption – Eurostat data, 2017 (</w:t>
      </w:r>
      <w:hyperlink r:id="rId36" w:anchor="tab-chart_1" w:history="1">
        <w:r w:rsidRPr="002C14EB">
          <w:rPr>
            <w:rStyle w:val="Hyperlink"/>
            <w:sz w:val="18"/>
            <w:szCs w:val="18"/>
          </w:rPr>
          <w:t>https://www.eea.europa.eu/data-and-maps/daviz/final-energy-consumption-of-fuel-1#tab-chart_1</w:t>
        </w:r>
      </w:hyperlink>
      <w:r w:rsidRPr="002C14EB">
        <w:rPr>
          <w:sz w:val="18"/>
          <w:szCs w:val="18"/>
        </w:rPr>
        <w:t>).</w:t>
      </w:r>
    </w:p>
  </w:footnote>
  <w:footnote w:id="99">
    <w:p w:rsidR="00C62407" w:rsidRPr="00924973" w:rsidRDefault="00C62407" w:rsidP="000B3940">
      <w:pPr>
        <w:pStyle w:val="FootnoteText"/>
        <w:rPr>
          <w:sz w:val="18"/>
          <w:szCs w:val="18"/>
        </w:rPr>
      </w:pPr>
      <w:r w:rsidRPr="002C14EB">
        <w:rPr>
          <w:rStyle w:val="FootnoteReference"/>
          <w:sz w:val="18"/>
          <w:szCs w:val="18"/>
        </w:rPr>
        <w:footnoteRef/>
      </w:r>
      <w:r w:rsidRPr="002C14EB">
        <w:rPr>
          <w:sz w:val="18"/>
          <w:szCs w:val="18"/>
        </w:rPr>
        <w:tab/>
        <w:t>Ecorys et al. (2020) Support to the Evaluation of Regulation (EU)No 347/2013 on guidelines for trans-European energy infrastructure, p. 67.</w:t>
      </w:r>
    </w:p>
  </w:footnote>
  <w:footnote w:id="100">
    <w:p w:rsidR="00C62407" w:rsidRPr="00924973" w:rsidRDefault="00C62407" w:rsidP="000B3940">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hyperlink r:id="rId37" w:history="1">
        <w:r w:rsidRPr="00924973">
          <w:rPr>
            <w:rStyle w:val="Hyperlink"/>
            <w:sz w:val="18"/>
            <w:szCs w:val="18"/>
          </w:rPr>
          <w:t>https://ec.europa.eu/info/policies/consumers/consumer-protection/evidence-based-consumer-policy/market-monitoring_en</w:t>
        </w:r>
      </w:hyperlink>
      <w:r w:rsidRPr="00924973">
        <w:rPr>
          <w:sz w:val="18"/>
          <w:szCs w:val="18"/>
        </w:rPr>
        <w:t xml:space="preserve"> </w:t>
      </w:r>
    </w:p>
    <w:p w:rsidR="00C62407" w:rsidRPr="00924973" w:rsidRDefault="00C62407" w:rsidP="000B3940">
      <w:pPr>
        <w:shd w:val="clear" w:color="auto" w:fill="FFFFFF" w:themeFill="background1"/>
        <w:spacing w:after="0"/>
        <w:ind w:left="720"/>
        <w:rPr>
          <w:sz w:val="18"/>
          <w:szCs w:val="18"/>
        </w:rPr>
      </w:pPr>
      <w:r w:rsidRPr="00C134D1">
        <w:rPr>
          <w:sz w:val="18"/>
          <w:szCs w:val="18"/>
          <w:lang w:eastAsia="en-GB"/>
        </w:rPr>
        <w:t>Starting in 2020, the new Market Monitoring Survey assesses the performance of a range of goods and service markets across the European Union, the UK, Iceland and Norway. It looks at consumers’ experiences and perceptions of the markets using a small set of core indicators to allow consistent and comparable monitoring across markets, countries and survey waves, as well as additional indicators that are specific to a particular market or survey wave. The main differences from the previous Market Monitoring Survey are a more targeted selection of markets to monitor, the higher frequency of the surveys, and the increased emphasis on indicators that are market-specific.</w:t>
      </w:r>
    </w:p>
  </w:footnote>
  <w:footnote w:id="101">
    <w:p w:rsidR="00C62407" w:rsidRPr="00924973" w:rsidRDefault="00C62407" w:rsidP="00023C24">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sz w:val="18"/>
          <w:szCs w:val="18"/>
        </w:rPr>
        <w:t>Articles 3(8) and Annex I.2 of the Gas Directive 2009/73/EC.</w:t>
      </w:r>
    </w:p>
  </w:footnote>
  <w:footnote w:id="102">
    <w:p w:rsidR="00C62407" w:rsidRPr="00924973" w:rsidRDefault="00C62407" w:rsidP="00023C24">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sz w:val="18"/>
          <w:szCs w:val="18"/>
          <w:lang w:val="en-IE"/>
        </w:rPr>
        <w:t>Recital (52) of the Gas Directive 2009/73/EC.</w:t>
      </w:r>
    </w:p>
  </w:footnote>
  <w:footnote w:id="103">
    <w:p w:rsidR="00C62407" w:rsidRPr="00924973" w:rsidRDefault="00C62407" w:rsidP="00023C24">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noProof/>
          <w:color w:val="000000"/>
          <w:sz w:val="18"/>
          <w:szCs w:val="18"/>
        </w:rPr>
        <w:t>Articles 9(2)</w:t>
      </w:r>
      <w:r>
        <w:rPr>
          <w:noProof/>
          <w:color w:val="000000"/>
          <w:sz w:val="18"/>
          <w:szCs w:val="18"/>
        </w:rPr>
        <w:t>,</w:t>
      </w:r>
      <w:r w:rsidRPr="00924973">
        <w:rPr>
          <w:noProof/>
          <w:color w:val="000000"/>
          <w:sz w:val="18"/>
          <w:szCs w:val="18"/>
        </w:rPr>
        <w:t xml:space="preserve"> 10(2)</w:t>
      </w:r>
      <w:r>
        <w:rPr>
          <w:noProof/>
          <w:color w:val="000000"/>
          <w:sz w:val="18"/>
          <w:szCs w:val="18"/>
        </w:rPr>
        <w:t>,</w:t>
      </w:r>
      <w:r w:rsidRPr="00924973">
        <w:rPr>
          <w:noProof/>
          <w:color w:val="000000"/>
          <w:sz w:val="18"/>
          <w:szCs w:val="18"/>
        </w:rPr>
        <w:t xml:space="preserve"> 12(2b) of the Energy Efficiency Directive (EED) 2012/27/EU.</w:t>
      </w:r>
    </w:p>
  </w:footnote>
  <w:footnote w:id="104">
    <w:p w:rsidR="00C62407" w:rsidRPr="00F2069F" w:rsidRDefault="00C62407" w:rsidP="001F2DE9">
      <w:pPr>
        <w:pStyle w:val="FootnoteText"/>
        <w:rPr>
          <w:rFonts w:eastAsia="Calibri"/>
          <w:sz w:val="18"/>
          <w:szCs w:val="18"/>
          <w:lang w:val="en-US"/>
        </w:rPr>
      </w:pPr>
      <w:r w:rsidRPr="00924973">
        <w:rPr>
          <w:rStyle w:val="FootnoteReference"/>
          <w:sz w:val="18"/>
          <w:szCs w:val="18"/>
        </w:rPr>
        <w:footnoteRef/>
      </w:r>
      <w:r>
        <w:rPr>
          <w:sz w:val="18"/>
          <w:szCs w:val="18"/>
        </w:rPr>
        <w:tab/>
      </w:r>
      <w:r w:rsidRPr="00924973">
        <w:rPr>
          <w:rFonts w:eastAsia="Calibri"/>
          <w:sz w:val="18"/>
          <w:szCs w:val="18"/>
          <w:lang w:val="en-US"/>
        </w:rPr>
        <w:t>Commission Recommendation 2012/148</w:t>
      </w:r>
      <w:r w:rsidRPr="00F2069F">
        <w:rPr>
          <w:rFonts w:eastAsia="Calibri"/>
          <w:sz w:val="18"/>
          <w:szCs w:val="18"/>
          <w:lang w:val="en-US"/>
        </w:rPr>
        <w:t xml:space="preserve">/EU </w:t>
      </w:r>
      <w:r w:rsidRPr="00C134D1">
        <w:rPr>
          <w:kern w:val="36"/>
          <w:sz w:val="18"/>
          <w:szCs w:val="18"/>
        </w:rPr>
        <w:t>on preparations for the roll-out of smart metering systems</w:t>
      </w:r>
      <w:r w:rsidRPr="00F2069F">
        <w:rPr>
          <w:rFonts w:eastAsia="Calibri"/>
          <w:sz w:val="18"/>
          <w:szCs w:val="18"/>
          <w:lang w:val="en-US"/>
        </w:rPr>
        <w:t>, OJ L 73, 13.03.2012, p.</w:t>
      </w:r>
      <w:r>
        <w:rPr>
          <w:rFonts w:eastAsia="Calibri"/>
          <w:sz w:val="18"/>
          <w:szCs w:val="18"/>
          <w:lang w:val="en-US"/>
        </w:rPr>
        <w:t xml:space="preserve"> </w:t>
      </w:r>
      <w:r w:rsidRPr="00F2069F">
        <w:rPr>
          <w:rFonts w:eastAsia="Calibri"/>
          <w:sz w:val="18"/>
          <w:szCs w:val="18"/>
          <w:lang w:val="en-US"/>
        </w:rPr>
        <w:t>9-22.</w:t>
      </w:r>
    </w:p>
  </w:footnote>
  <w:footnote w:id="105">
    <w:p w:rsidR="00C62407" w:rsidRPr="00924973" w:rsidRDefault="00C62407" w:rsidP="000B3940">
      <w:pPr>
        <w:pStyle w:val="FootnoteText"/>
        <w:rPr>
          <w:color w:val="444444"/>
          <w:sz w:val="18"/>
          <w:szCs w:val="18"/>
        </w:rPr>
      </w:pPr>
      <w:r w:rsidRPr="00924973">
        <w:rPr>
          <w:rStyle w:val="FootnoteReference"/>
          <w:sz w:val="18"/>
          <w:szCs w:val="18"/>
        </w:rPr>
        <w:footnoteRef/>
      </w:r>
      <w:r>
        <w:rPr>
          <w:sz w:val="18"/>
          <w:szCs w:val="18"/>
        </w:rPr>
        <w:tab/>
      </w:r>
      <w:r w:rsidRPr="00DD56E4">
        <w:rPr>
          <w:sz w:val="18"/>
          <w:szCs w:val="18"/>
          <w:lang w:val="en-IE"/>
        </w:rPr>
        <w:t xml:space="preserve">Commission Recommendation 2014/724/EU on the Data Protection Impact Assessment Template for Smart Grid and Smart </w:t>
      </w:r>
      <w:r w:rsidRPr="000B3940">
        <w:rPr>
          <w:rFonts w:eastAsia="Calibri"/>
          <w:sz w:val="18"/>
          <w:szCs w:val="18"/>
          <w:lang w:val="en-US"/>
        </w:rPr>
        <w:t>Metering</w:t>
      </w:r>
      <w:r w:rsidRPr="00DD56E4">
        <w:rPr>
          <w:sz w:val="18"/>
          <w:szCs w:val="18"/>
          <w:lang w:val="en-IE"/>
        </w:rPr>
        <w:t xml:space="preserve"> Systems</w:t>
      </w:r>
      <w:r w:rsidRPr="00924973">
        <w:rPr>
          <w:color w:val="444444"/>
          <w:sz w:val="18"/>
          <w:szCs w:val="18"/>
        </w:rPr>
        <w:t xml:space="preserve">, </w:t>
      </w:r>
      <w:r w:rsidRPr="00924973">
        <w:rPr>
          <w:rStyle w:val="Emphasis"/>
          <w:i w:val="0"/>
          <w:iCs w:val="0"/>
          <w:sz w:val="18"/>
          <w:szCs w:val="18"/>
        </w:rPr>
        <w:t>OJ L 300, 18.10.2014, p. 63–68</w:t>
      </w:r>
      <w:r w:rsidRPr="00924973">
        <w:rPr>
          <w:rStyle w:val="Emphasis"/>
          <w:rFonts w:eastAsiaTheme="minorEastAsia"/>
          <w:i w:val="0"/>
          <w:iCs w:val="0"/>
          <w:color w:val="444444"/>
          <w:sz w:val="18"/>
          <w:szCs w:val="18"/>
        </w:rPr>
        <w:t>.</w:t>
      </w:r>
    </w:p>
  </w:footnote>
  <w:footnote w:id="106">
    <w:p w:rsidR="00C62407" w:rsidRPr="00924973" w:rsidRDefault="00C62407" w:rsidP="00023C24">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sz w:val="18"/>
          <w:szCs w:val="18"/>
          <w:lang w:val="en-IE"/>
        </w:rPr>
        <w:t>See standardisation mandates M/441 and M/490 to CEN-CENELEC-ETSI.</w:t>
      </w:r>
    </w:p>
  </w:footnote>
  <w:footnote w:id="107">
    <w:p w:rsidR="00C62407" w:rsidRPr="002C14EB" w:rsidRDefault="00C62407" w:rsidP="00023C24">
      <w:pPr>
        <w:spacing w:after="0"/>
        <w:jc w:val="left"/>
        <w:rPr>
          <w:sz w:val="18"/>
          <w:szCs w:val="18"/>
          <w:lang w:eastAsia="en-GB"/>
        </w:rPr>
      </w:pPr>
      <w:r w:rsidRPr="00924973">
        <w:rPr>
          <w:rStyle w:val="FootnoteReference"/>
          <w:sz w:val="18"/>
          <w:szCs w:val="18"/>
        </w:rPr>
        <w:footnoteRef/>
      </w:r>
      <w:r>
        <w:rPr>
          <w:sz w:val="18"/>
          <w:szCs w:val="18"/>
        </w:rPr>
        <w:tab/>
      </w:r>
      <w:r w:rsidRPr="002C14EB">
        <w:rPr>
          <w:sz w:val="18"/>
          <w:szCs w:val="18"/>
        </w:rPr>
        <w:t>COM(2014) 356 and accompanying SWD(2014) 188 and SWD(2014) 189.</w:t>
      </w:r>
    </w:p>
  </w:footnote>
  <w:footnote w:id="108">
    <w:p w:rsidR="00C62407" w:rsidRPr="002C14EB" w:rsidRDefault="00C62407" w:rsidP="001F2DE9">
      <w:pPr>
        <w:pStyle w:val="FootnoteText"/>
        <w:rPr>
          <w:sz w:val="18"/>
          <w:szCs w:val="18"/>
          <w:lang w:val="en-IE"/>
        </w:rPr>
      </w:pPr>
      <w:r w:rsidRPr="002C14EB">
        <w:rPr>
          <w:rStyle w:val="FootnoteReference"/>
          <w:sz w:val="18"/>
          <w:szCs w:val="18"/>
        </w:rPr>
        <w:footnoteRef/>
      </w:r>
      <w:r w:rsidRPr="002C14EB">
        <w:rPr>
          <w:sz w:val="18"/>
          <w:szCs w:val="18"/>
        </w:rPr>
        <w:tab/>
        <w:t>Tractebel</w:t>
      </w:r>
      <w:r w:rsidRPr="002C14EB">
        <w:rPr>
          <w:sz w:val="18"/>
          <w:szCs w:val="18"/>
          <w:lang w:val="en-IE"/>
        </w:rPr>
        <w:t xml:space="preserve"> Impact: ‘Benchmarking smart metering in EU-28 report’ (2019): </w:t>
      </w:r>
      <w:hyperlink r:id="rId38" w:history="1">
        <w:r w:rsidRPr="002C14EB">
          <w:rPr>
            <w:rStyle w:val="Hyperlink"/>
            <w:sz w:val="18"/>
            <w:szCs w:val="18"/>
            <w:lang w:val="en-IE"/>
          </w:rPr>
          <w:t>https://ec.europa.eu/energy/studies_main/final_studies/benchmarking-smart-metering-deployment-eu-28_en</w:t>
        </w:r>
      </w:hyperlink>
      <w:r w:rsidRPr="002C14EB">
        <w:rPr>
          <w:sz w:val="18"/>
          <w:szCs w:val="18"/>
          <w:lang w:val="en-IE"/>
        </w:rPr>
        <w:t>.</w:t>
      </w:r>
    </w:p>
  </w:footnote>
  <w:footnote w:id="109">
    <w:p w:rsidR="00C62407" w:rsidRPr="002C14EB" w:rsidRDefault="00C62407" w:rsidP="001F2DE9">
      <w:pPr>
        <w:pStyle w:val="FootnoteText"/>
        <w:rPr>
          <w:sz w:val="18"/>
          <w:szCs w:val="18"/>
          <w:lang w:val="en-IE"/>
        </w:rPr>
      </w:pPr>
      <w:r w:rsidRPr="002C14EB">
        <w:rPr>
          <w:rStyle w:val="FootnoteReference"/>
          <w:sz w:val="18"/>
          <w:szCs w:val="18"/>
        </w:rPr>
        <w:footnoteRef/>
      </w:r>
      <w:r w:rsidRPr="002C14EB">
        <w:rPr>
          <w:sz w:val="18"/>
          <w:szCs w:val="18"/>
        </w:rPr>
        <w:tab/>
        <w:t>The fact that gas can be held in storage while the supply and prices of gas do not vary much over short time periods, makes the expected advantages of smart metering more modest than for electricity (source: SWD(2014) 189 and EP briefing (September 2015) on smart electricity grids and meters in the EU Member States).</w:t>
      </w:r>
    </w:p>
  </w:footnote>
  <w:footnote w:id="110">
    <w:p w:rsidR="00C62407" w:rsidRPr="002C14EB" w:rsidRDefault="00C62407" w:rsidP="001F2DE9">
      <w:pPr>
        <w:pStyle w:val="FootnoteText"/>
        <w:rPr>
          <w:sz w:val="18"/>
          <w:szCs w:val="18"/>
          <w:lang w:val="en-IE"/>
        </w:rPr>
      </w:pPr>
      <w:r w:rsidRPr="002C14EB">
        <w:rPr>
          <w:rStyle w:val="FootnoteReference"/>
          <w:sz w:val="18"/>
          <w:szCs w:val="18"/>
        </w:rPr>
        <w:footnoteRef/>
      </w:r>
      <w:r w:rsidRPr="002C14EB">
        <w:rPr>
          <w:sz w:val="18"/>
          <w:szCs w:val="18"/>
        </w:rPr>
        <w:tab/>
        <w:t xml:space="preserve">Provisions for timeline/target for smart metering rollout in the case of electricity can be found in Annex I.2 in the former </w:t>
      </w:r>
      <w:r w:rsidRPr="002C14EB">
        <w:rPr>
          <w:sz w:val="18"/>
          <w:szCs w:val="18"/>
          <w:lang w:val="en-IE"/>
        </w:rPr>
        <w:t>Electricity Directive 2009/72/EC, and Annex II in the new Electricity Directive (EU) 2019/944.</w:t>
      </w:r>
    </w:p>
  </w:footnote>
  <w:footnote w:id="111">
    <w:p w:rsidR="00C62407" w:rsidRPr="002C14EB" w:rsidRDefault="00C62407" w:rsidP="00023C24">
      <w:pPr>
        <w:pStyle w:val="FootnoteText"/>
        <w:ind w:left="0" w:firstLine="0"/>
        <w:rPr>
          <w:sz w:val="18"/>
          <w:szCs w:val="18"/>
          <w:lang w:val="en-IE"/>
        </w:rPr>
      </w:pPr>
      <w:r w:rsidRPr="002C14EB">
        <w:rPr>
          <w:rStyle w:val="FootnoteReference"/>
          <w:sz w:val="18"/>
          <w:szCs w:val="18"/>
        </w:rPr>
        <w:footnoteRef/>
      </w:r>
      <w:r w:rsidRPr="002C14EB">
        <w:rPr>
          <w:sz w:val="18"/>
          <w:szCs w:val="18"/>
        </w:rPr>
        <w:tab/>
      </w:r>
      <w:r w:rsidRPr="002C14EB">
        <w:rPr>
          <w:sz w:val="18"/>
          <w:szCs w:val="18"/>
          <w:lang w:val="en-IE"/>
        </w:rPr>
        <w:t xml:space="preserve">ACER Market Monitoring Report 2020 </w:t>
      </w:r>
      <w:r w:rsidRPr="002C14EB">
        <w:rPr>
          <w:sz w:val="18"/>
          <w:szCs w:val="18"/>
          <w:lang w:eastAsia="en-US"/>
        </w:rPr>
        <w:t>– Energy Retail and Consumer Protection Volume</w:t>
      </w:r>
      <w:r w:rsidRPr="002C14EB">
        <w:rPr>
          <w:sz w:val="18"/>
          <w:szCs w:val="18"/>
          <w:lang w:val="en-IE"/>
        </w:rPr>
        <w:t>.</w:t>
      </w:r>
    </w:p>
  </w:footnote>
  <w:footnote w:id="112">
    <w:p w:rsidR="00C62407" w:rsidRPr="002C14EB" w:rsidRDefault="00C62407" w:rsidP="00023C24">
      <w:pPr>
        <w:pStyle w:val="FootnoteText"/>
        <w:ind w:left="0" w:firstLine="0"/>
        <w:rPr>
          <w:sz w:val="18"/>
          <w:szCs w:val="18"/>
          <w:lang w:val="en-IE"/>
        </w:rPr>
      </w:pPr>
      <w:r w:rsidRPr="002C14EB">
        <w:rPr>
          <w:rStyle w:val="FootnoteReference"/>
          <w:sz w:val="18"/>
          <w:szCs w:val="18"/>
        </w:rPr>
        <w:footnoteRef/>
      </w:r>
      <w:r w:rsidRPr="002C14EB">
        <w:rPr>
          <w:sz w:val="18"/>
          <w:szCs w:val="18"/>
        </w:rPr>
        <w:tab/>
      </w:r>
      <w:r w:rsidRPr="002C14EB">
        <w:rPr>
          <w:sz w:val="18"/>
          <w:szCs w:val="18"/>
          <w:lang w:val="en-IE"/>
        </w:rPr>
        <w:t>See Figures 35 and 36 in the Tractebel report ‘Benchmarking smart metering in EU-28’ (2019).</w:t>
      </w:r>
    </w:p>
  </w:footnote>
  <w:footnote w:id="113">
    <w:p w:rsidR="00C62407" w:rsidRPr="002C14EB" w:rsidRDefault="00C62407" w:rsidP="000B3940">
      <w:pPr>
        <w:pStyle w:val="FootnoteText"/>
        <w:rPr>
          <w:color w:val="000000" w:themeColor="text1"/>
          <w:sz w:val="18"/>
          <w:szCs w:val="18"/>
        </w:rPr>
      </w:pPr>
      <w:r w:rsidRPr="002C14EB">
        <w:rPr>
          <w:rStyle w:val="FootnoteReference"/>
          <w:sz w:val="18"/>
          <w:szCs w:val="18"/>
        </w:rPr>
        <w:footnoteRef/>
      </w:r>
      <w:r w:rsidRPr="002C14EB">
        <w:rPr>
          <w:sz w:val="18"/>
          <w:szCs w:val="18"/>
        </w:rPr>
        <w:tab/>
        <w:t xml:space="preserve">In Ireland, </w:t>
      </w:r>
      <w:r w:rsidRPr="002C14EB">
        <w:rPr>
          <w:noProof/>
          <w:color w:val="000000"/>
          <w:sz w:val="18"/>
          <w:szCs w:val="18"/>
        </w:rPr>
        <w:t>smart ready gas meters are being provided by default as part of a meter replacement programme, with smart gas meter functionality due to go live at the end of 2024 (s</w:t>
      </w:r>
      <w:r w:rsidRPr="002C14EB">
        <w:rPr>
          <w:sz w:val="18"/>
          <w:szCs w:val="18"/>
        </w:rPr>
        <w:t>ource: 9</w:t>
      </w:r>
      <w:r w:rsidRPr="002C14EB">
        <w:rPr>
          <w:sz w:val="18"/>
          <w:szCs w:val="18"/>
          <w:vertAlign w:val="superscript"/>
        </w:rPr>
        <w:t>th</w:t>
      </w:r>
      <w:r w:rsidRPr="002C14EB">
        <w:rPr>
          <w:sz w:val="18"/>
          <w:szCs w:val="18"/>
        </w:rPr>
        <w:t xml:space="preserve"> ACER/CEER Market Monitoring Report).</w:t>
      </w:r>
    </w:p>
  </w:footnote>
  <w:footnote w:id="114">
    <w:p w:rsidR="00C62407" w:rsidRPr="002C14EB" w:rsidRDefault="00C62407" w:rsidP="00023C24">
      <w:pPr>
        <w:pStyle w:val="FootnoteText"/>
        <w:ind w:left="0" w:firstLine="0"/>
        <w:rPr>
          <w:sz w:val="18"/>
          <w:szCs w:val="18"/>
          <w:lang w:val="en-IE"/>
        </w:rPr>
      </w:pPr>
      <w:r w:rsidRPr="002C14EB">
        <w:rPr>
          <w:rStyle w:val="FootnoteReference"/>
          <w:sz w:val="18"/>
          <w:szCs w:val="18"/>
        </w:rPr>
        <w:footnoteRef/>
      </w:r>
      <w:r w:rsidRPr="002C14EB">
        <w:rPr>
          <w:sz w:val="18"/>
          <w:szCs w:val="18"/>
        </w:rPr>
        <w:tab/>
        <w:t>See Figure 28 and Table 22 (</w:t>
      </w:r>
      <w:r w:rsidRPr="002C14EB">
        <w:rPr>
          <w:sz w:val="18"/>
          <w:szCs w:val="18"/>
          <w:lang w:val="en-IE"/>
        </w:rPr>
        <w:t>source: Tractebel report ‘Benchmarking smart metering in EU-28’ (2019))</w:t>
      </w:r>
      <w:r w:rsidRPr="002C14EB">
        <w:rPr>
          <w:sz w:val="18"/>
          <w:szCs w:val="18"/>
        </w:rPr>
        <w:t>.</w:t>
      </w:r>
    </w:p>
  </w:footnote>
  <w:footnote w:id="115">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r>
      <w:r w:rsidRPr="002C14EB">
        <w:rPr>
          <w:color w:val="000000" w:themeColor="text1"/>
          <w:sz w:val="18"/>
          <w:szCs w:val="18"/>
        </w:rPr>
        <w:t xml:space="preserve">General Data Protection Regulation – GDPR: Regulation (EU) 2016/679 on the protection of natural persons with regard to the </w:t>
      </w:r>
      <w:r w:rsidRPr="002C14EB">
        <w:rPr>
          <w:sz w:val="18"/>
          <w:szCs w:val="18"/>
        </w:rPr>
        <w:t>processing</w:t>
      </w:r>
      <w:r w:rsidRPr="002C14EB">
        <w:rPr>
          <w:color w:val="000000" w:themeColor="text1"/>
          <w:sz w:val="18"/>
          <w:szCs w:val="18"/>
        </w:rPr>
        <w:t xml:space="preserve"> of personal data and on the free movement of such data, and repealing Directive 95/46/EC, OJ L 119 4.5.2016, p.1-78; </w:t>
      </w:r>
      <w:hyperlink r:id="rId39" w:history="1">
        <w:r w:rsidRPr="002C14EB">
          <w:rPr>
            <w:rStyle w:val="Hyperlink"/>
            <w:sz w:val="18"/>
            <w:szCs w:val="18"/>
          </w:rPr>
          <w:t>https://eur-lex.europa.eu/legal-content/EN/TXT/?uri=CELEX:02016R0679-20160504</w:t>
        </w:r>
      </w:hyperlink>
      <w:r w:rsidRPr="002C14EB">
        <w:rPr>
          <w:color w:val="444444"/>
          <w:sz w:val="18"/>
          <w:szCs w:val="18"/>
        </w:rPr>
        <w:t xml:space="preserve"> </w:t>
      </w:r>
    </w:p>
  </w:footnote>
  <w:footnote w:id="116">
    <w:p w:rsidR="00C62407" w:rsidRPr="00924973" w:rsidRDefault="00C62407" w:rsidP="00023C24">
      <w:pPr>
        <w:pStyle w:val="FootnoteText"/>
        <w:ind w:left="0" w:firstLine="0"/>
        <w:jc w:val="left"/>
        <w:rPr>
          <w:sz w:val="18"/>
          <w:szCs w:val="18"/>
          <w:lang w:val="en-IE"/>
        </w:rPr>
      </w:pPr>
      <w:r w:rsidRPr="002C14EB">
        <w:rPr>
          <w:rStyle w:val="FootnoteReference"/>
          <w:sz w:val="18"/>
          <w:szCs w:val="18"/>
        </w:rPr>
        <w:footnoteRef/>
      </w:r>
      <w:r w:rsidRPr="002C14EB">
        <w:rPr>
          <w:sz w:val="18"/>
          <w:szCs w:val="18"/>
        </w:rPr>
        <w:tab/>
        <w:t>Article 23, and Article 34 of the Electricity Directive (EU) 2019/944.</w:t>
      </w:r>
    </w:p>
  </w:footnote>
  <w:footnote w:id="117">
    <w:p w:rsidR="00C62407" w:rsidRPr="002C14EB" w:rsidRDefault="00C62407" w:rsidP="001F2DE9">
      <w:pPr>
        <w:pStyle w:val="FootnoteText"/>
        <w:rPr>
          <w:sz w:val="18"/>
          <w:szCs w:val="18"/>
        </w:rPr>
      </w:pPr>
      <w:r w:rsidRPr="00924973">
        <w:rPr>
          <w:rStyle w:val="FootnoteReference"/>
          <w:sz w:val="18"/>
          <w:szCs w:val="18"/>
        </w:rPr>
        <w:footnoteRef/>
      </w:r>
      <w:r>
        <w:rPr>
          <w:sz w:val="18"/>
          <w:szCs w:val="18"/>
        </w:rPr>
        <w:tab/>
      </w:r>
      <w:r w:rsidRPr="002C14EB">
        <w:rPr>
          <w:sz w:val="18"/>
          <w:szCs w:val="18"/>
        </w:rPr>
        <w:t xml:space="preserve">Annex I.1(h) of Directive 2009/73/EC; and Annex I.1(h) of Directive 2009/72/EC (replaced the 1/1/2021 by Directive (EU) 2019/944). </w:t>
      </w:r>
    </w:p>
  </w:footnote>
  <w:footnote w:id="118">
    <w:p w:rsidR="00C62407" w:rsidRPr="002C14EB" w:rsidRDefault="00C62407" w:rsidP="00023C24">
      <w:pPr>
        <w:pStyle w:val="FootnoteText"/>
        <w:ind w:left="0" w:firstLine="0"/>
        <w:jc w:val="left"/>
        <w:rPr>
          <w:sz w:val="18"/>
          <w:szCs w:val="18"/>
        </w:rPr>
      </w:pPr>
      <w:r w:rsidRPr="002C14EB">
        <w:rPr>
          <w:rStyle w:val="FootnoteReference"/>
          <w:sz w:val="18"/>
          <w:szCs w:val="18"/>
        </w:rPr>
        <w:footnoteRef/>
      </w:r>
      <w:r w:rsidRPr="002C14EB">
        <w:rPr>
          <w:sz w:val="18"/>
          <w:szCs w:val="18"/>
        </w:rPr>
        <w:tab/>
        <w:t>Article 41(1)(q) of the Gas Directive 2009/73/EC.</w:t>
      </w:r>
    </w:p>
  </w:footnote>
  <w:footnote w:id="119">
    <w:p w:rsidR="00C62407" w:rsidRPr="002C14EB" w:rsidRDefault="00C62407" w:rsidP="000B3940">
      <w:pPr>
        <w:pStyle w:val="FootnoteText"/>
        <w:rPr>
          <w:sz w:val="18"/>
          <w:szCs w:val="18"/>
        </w:rPr>
      </w:pPr>
      <w:r w:rsidRPr="002C14EB">
        <w:rPr>
          <w:rStyle w:val="FootnoteReference"/>
          <w:sz w:val="18"/>
          <w:szCs w:val="18"/>
        </w:rPr>
        <w:footnoteRef/>
      </w:r>
      <w:r w:rsidRPr="002C14EB">
        <w:rPr>
          <w:sz w:val="18"/>
          <w:szCs w:val="18"/>
        </w:rPr>
        <w:tab/>
        <w:t xml:space="preserve">Directive (EU) 2019/944 of the European Parliament and of the Council of 5 June 2019 on common rules for the internal market for electricity and amending Directive 2012/27/EU, OJ L158, 14.06.2019, p. 125–199; </w:t>
      </w:r>
      <w:hyperlink r:id="rId40" w:history="1">
        <w:r w:rsidRPr="002C14EB">
          <w:rPr>
            <w:rStyle w:val="Hyperlink"/>
            <w:sz w:val="18"/>
            <w:szCs w:val="18"/>
          </w:rPr>
          <w:t>https://eur-lex.europa.eu/legal-content/EN/TXT/PDF/?uri=CELEX:32019L0944&amp;from=EN</w:t>
        </w:r>
      </w:hyperlink>
    </w:p>
  </w:footnote>
  <w:footnote w:id="120">
    <w:p w:rsidR="00C62407" w:rsidRPr="002C14EB" w:rsidRDefault="00C62407" w:rsidP="00E27E1A">
      <w:pPr>
        <w:pStyle w:val="FootnoteText"/>
        <w:ind w:left="0" w:firstLine="0"/>
        <w:jc w:val="left"/>
        <w:rPr>
          <w:sz w:val="18"/>
          <w:szCs w:val="18"/>
          <w:lang w:val="en-IE"/>
        </w:rPr>
      </w:pPr>
      <w:r w:rsidRPr="002C14EB">
        <w:rPr>
          <w:rStyle w:val="FootnoteReference"/>
          <w:sz w:val="18"/>
          <w:szCs w:val="18"/>
        </w:rPr>
        <w:footnoteRef/>
      </w:r>
      <w:r w:rsidRPr="002C14EB">
        <w:rPr>
          <w:sz w:val="18"/>
          <w:szCs w:val="18"/>
        </w:rPr>
        <w:tab/>
        <w:t>Article 23 of Directive (EU) 2019/944.</w:t>
      </w:r>
    </w:p>
  </w:footnote>
  <w:footnote w:id="121">
    <w:p w:rsidR="00C62407" w:rsidRPr="002C14EB" w:rsidRDefault="00C62407" w:rsidP="000B3940">
      <w:pPr>
        <w:pStyle w:val="FootnoteText"/>
        <w:rPr>
          <w:sz w:val="18"/>
          <w:szCs w:val="18"/>
        </w:rPr>
      </w:pPr>
      <w:r w:rsidRPr="002C14EB">
        <w:rPr>
          <w:rStyle w:val="FootnoteReference"/>
          <w:sz w:val="18"/>
          <w:szCs w:val="18"/>
        </w:rPr>
        <w:footnoteRef/>
      </w:r>
      <w:r w:rsidRPr="002C14EB">
        <w:rPr>
          <w:rFonts w:eastAsia="Calibri"/>
          <w:sz w:val="18"/>
          <w:szCs w:val="18"/>
        </w:rPr>
        <w:tab/>
        <w:t xml:space="preserve">ASSET study on consumer satisfaction KPIs for the roll-out of smart metering in the EU Member States – external study launched </w:t>
      </w:r>
      <w:r w:rsidRPr="002C14EB">
        <w:rPr>
          <w:sz w:val="18"/>
          <w:szCs w:val="18"/>
        </w:rPr>
        <w:t>by</w:t>
      </w:r>
      <w:r w:rsidRPr="002C14EB">
        <w:rPr>
          <w:rFonts w:eastAsia="Calibri"/>
          <w:sz w:val="18"/>
          <w:szCs w:val="18"/>
        </w:rPr>
        <w:t xml:space="preserve"> the Commission (2018); </w:t>
      </w:r>
      <w:r w:rsidRPr="002C14EB">
        <w:rPr>
          <w:sz w:val="18"/>
          <w:szCs w:val="18"/>
        </w:rPr>
        <w:t xml:space="preserve">ANEC position paper ‘Monitoring the success of smart metering deployment from a consumer perspective’ (2015).   </w:t>
      </w:r>
    </w:p>
  </w:footnote>
  <w:footnote w:id="122">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That is, the percentage of consumers who change suppliers in any given year.</w:t>
      </w:r>
    </w:p>
  </w:footnote>
  <w:footnote w:id="123">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As noted by CEER in its Monitoring Report on the Performance of European Retail Markets in 2018, this is especially the case if regulated prices are set below cost levels such that the development of competitive retail markets is hampered and no economic incentive for switching exists.</w:t>
      </w:r>
    </w:p>
  </w:footnote>
  <w:footnote w:id="124">
    <w:p w:rsidR="00C62407" w:rsidRPr="002C14EB" w:rsidRDefault="00C62407" w:rsidP="00E27E1A">
      <w:pPr>
        <w:pStyle w:val="FootnoteText"/>
        <w:ind w:left="0" w:firstLine="0"/>
        <w:rPr>
          <w:sz w:val="18"/>
          <w:szCs w:val="18"/>
        </w:rPr>
      </w:pPr>
      <w:r w:rsidRPr="002C14EB">
        <w:rPr>
          <w:rStyle w:val="FootnoteReference"/>
          <w:sz w:val="18"/>
          <w:szCs w:val="18"/>
        </w:rPr>
        <w:footnoteRef/>
      </w:r>
      <w:r w:rsidRPr="002C14EB">
        <w:rPr>
          <w:sz w:val="18"/>
          <w:szCs w:val="18"/>
        </w:rPr>
        <w:tab/>
        <w:t>See Annex 4, Section 5</w:t>
      </w:r>
      <w:r w:rsidRPr="002C14EB">
        <w:rPr>
          <w:i/>
          <w:sz w:val="18"/>
          <w:szCs w:val="18"/>
        </w:rPr>
        <w:t xml:space="preserve"> </w:t>
      </w:r>
      <w:r w:rsidRPr="00BC4515">
        <w:rPr>
          <w:sz w:val="18"/>
          <w:szCs w:val="18"/>
        </w:rPr>
        <w:t xml:space="preserve">‘Switching’ </w:t>
      </w:r>
      <w:r w:rsidRPr="002C14EB">
        <w:rPr>
          <w:sz w:val="18"/>
          <w:szCs w:val="18"/>
        </w:rPr>
        <w:t>for more details.</w:t>
      </w:r>
    </w:p>
  </w:footnote>
  <w:footnote w:id="125">
    <w:p w:rsidR="00C62407" w:rsidRPr="002C14EB" w:rsidRDefault="00C62407" w:rsidP="000B3940">
      <w:pPr>
        <w:pStyle w:val="FootnoteText"/>
        <w:rPr>
          <w:sz w:val="18"/>
          <w:szCs w:val="18"/>
        </w:rPr>
      </w:pPr>
      <w:r w:rsidRPr="002C14EB">
        <w:rPr>
          <w:rStyle w:val="FootnoteReference"/>
          <w:sz w:val="18"/>
          <w:szCs w:val="18"/>
        </w:rPr>
        <w:footnoteRef/>
      </w:r>
      <w:r w:rsidRPr="002C14EB">
        <w:rPr>
          <w:sz w:val="18"/>
          <w:szCs w:val="18"/>
        </w:rPr>
        <w:tab/>
        <w:t>Commission</w:t>
      </w:r>
      <w:r w:rsidRPr="002C14EB">
        <w:rPr>
          <w:rFonts w:eastAsia="Calibri"/>
          <w:sz w:val="18"/>
          <w:szCs w:val="18"/>
        </w:rPr>
        <w:t xml:space="preserve"> Market Monitoring Survey 2020 for Gas services, </w:t>
      </w:r>
      <w:hyperlink r:id="rId41" w:history="1">
        <w:r w:rsidRPr="002C14EB">
          <w:rPr>
            <w:rStyle w:val="Hyperlink"/>
            <w:rFonts w:eastAsia="Calibri"/>
            <w:sz w:val="18"/>
            <w:szCs w:val="18"/>
          </w:rPr>
          <w:t>https://ec.europa.eu/info/sites/default/files/gass-services-mms20-ppt_en.pdf</w:t>
        </w:r>
      </w:hyperlink>
    </w:p>
  </w:footnote>
  <w:footnote w:id="126">
    <w:p w:rsidR="00C62407" w:rsidRPr="002C14EB" w:rsidRDefault="00C62407" w:rsidP="00E27E1A">
      <w:pPr>
        <w:spacing w:after="0"/>
        <w:rPr>
          <w:sz w:val="18"/>
          <w:szCs w:val="18"/>
        </w:rPr>
      </w:pPr>
      <w:r w:rsidRPr="002C14EB">
        <w:rPr>
          <w:rStyle w:val="FootnoteReference"/>
          <w:sz w:val="18"/>
          <w:szCs w:val="18"/>
          <w:lang w:eastAsia="en-GB"/>
        </w:rPr>
        <w:footnoteRef/>
      </w:r>
      <w:r w:rsidRPr="002C14EB">
        <w:rPr>
          <w:sz w:val="18"/>
          <w:szCs w:val="18"/>
          <w:lang w:eastAsia="en-GB"/>
        </w:rPr>
        <w:tab/>
      </w:r>
      <w:r w:rsidRPr="002C14EB">
        <w:rPr>
          <w:sz w:val="18"/>
          <w:szCs w:val="18"/>
        </w:rPr>
        <w:t>European Barriers in Retail Energy Markets Project: Final Report; European Commission, 2021, p. 58.</w:t>
      </w:r>
    </w:p>
  </w:footnote>
  <w:footnote w:id="127">
    <w:p w:rsidR="00C62407" w:rsidRPr="002C14EB" w:rsidRDefault="00C62407" w:rsidP="00E27E1A">
      <w:pPr>
        <w:pStyle w:val="FootnoteText"/>
        <w:ind w:left="0" w:firstLine="0"/>
        <w:rPr>
          <w:sz w:val="18"/>
          <w:szCs w:val="18"/>
        </w:rPr>
      </w:pPr>
      <w:r w:rsidRPr="002C14EB">
        <w:rPr>
          <w:rStyle w:val="FootnoteReference"/>
          <w:sz w:val="18"/>
          <w:szCs w:val="18"/>
        </w:rPr>
        <w:footnoteRef/>
      </w:r>
      <w:r w:rsidRPr="002C14EB">
        <w:rPr>
          <w:sz w:val="18"/>
          <w:szCs w:val="18"/>
        </w:rPr>
        <w:tab/>
      </w:r>
      <w:hyperlink r:id="rId42" w:history="1">
        <w:r w:rsidRPr="002C14EB">
          <w:rPr>
            <w:rStyle w:val="Hyperlink"/>
            <w:sz w:val="18"/>
            <w:szCs w:val="18"/>
          </w:rPr>
          <w:t>Market Monitoring Survey 2020, Gas Services Dashboard</w:t>
        </w:r>
      </w:hyperlink>
      <w:r w:rsidRPr="002C14EB">
        <w:rPr>
          <w:sz w:val="18"/>
          <w:szCs w:val="18"/>
        </w:rPr>
        <w:t>, European Commission.</w:t>
      </w:r>
    </w:p>
  </w:footnote>
  <w:footnote w:id="128">
    <w:p w:rsidR="00C62407" w:rsidRPr="002C14EB" w:rsidRDefault="00C62407" w:rsidP="00E27E1A">
      <w:pPr>
        <w:pStyle w:val="FootnoteText"/>
        <w:ind w:left="0" w:firstLine="0"/>
        <w:rPr>
          <w:sz w:val="18"/>
          <w:szCs w:val="18"/>
        </w:rPr>
      </w:pPr>
      <w:r w:rsidRPr="002C14EB">
        <w:rPr>
          <w:rStyle w:val="FootnoteReference"/>
          <w:sz w:val="18"/>
          <w:szCs w:val="18"/>
        </w:rPr>
        <w:footnoteRef/>
      </w:r>
      <w:r w:rsidRPr="002C14EB">
        <w:rPr>
          <w:sz w:val="18"/>
          <w:szCs w:val="18"/>
        </w:rPr>
        <w:tab/>
      </w:r>
      <w:r w:rsidRPr="002C14EB">
        <w:rPr>
          <w:sz w:val="18"/>
          <w:szCs w:val="18"/>
          <w:lang w:eastAsia="en-US"/>
        </w:rPr>
        <w:t>ACER Market Monitoring Report 2019 – Energy Retail and Consumer Protection Volume, p. 59</w:t>
      </w:r>
      <w:r>
        <w:rPr>
          <w:sz w:val="18"/>
          <w:szCs w:val="18"/>
          <w:lang w:eastAsia="en-US"/>
        </w:rPr>
        <w:t>.</w:t>
      </w:r>
    </w:p>
  </w:footnote>
  <w:footnote w:id="129">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See Annex 4, Section</w:t>
      </w:r>
      <w:r w:rsidRPr="002C14EB">
        <w:rPr>
          <w:i/>
          <w:sz w:val="18"/>
          <w:szCs w:val="18"/>
        </w:rPr>
        <w:t xml:space="preserve"> </w:t>
      </w:r>
      <w:r w:rsidRPr="002C14EB">
        <w:rPr>
          <w:sz w:val="18"/>
          <w:szCs w:val="18"/>
        </w:rPr>
        <w:t>5</w:t>
      </w:r>
      <w:r w:rsidRPr="002C14EB">
        <w:rPr>
          <w:i/>
          <w:sz w:val="18"/>
          <w:szCs w:val="18"/>
        </w:rPr>
        <w:t xml:space="preserve"> </w:t>
      </w:r>
      <w:r w:rsidRPr="002C14EB">
        <w:rPr>
          <w:sz w:val="18"/>
          <w:szCs w:val="18"/>
        </w:rPr>
        <w:t>‘Switching’.</w:t>
      </w:r>
      <w:r w:rsidRPr="002C14EB">
        <w:rPr>
          <w:i/>
          <w:sz w:val="18"/>
          <w:szCs w:val="18"/>
        </w:rPr>
        <w:t xml:space="preserve"> </w:t>
      </w:r>
    </w:p>
  </w:footnote>
  <w:footnote w:id="130">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European Commission 2018, Consumer study on precontractual information and billing in the energy market, final report</w:t>
      </w:r>
      <w:r>
        <w:rPr>
          <w:sz w:val="18"/>
          <w:szCs w:val="18"/>
        </w:rPr>
        <w:t>.</w:t>
      </w:r>
    </w:p>
  </w:footnote>
  <w:footnote w:id="131">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 xml:space="preserve">Consumer study on precontractual information and billing in the energy market, final report, p. 91 </w:t>
      </w:r>
      <w:hyperlink r:id="rId43" w:history="1">
        <w:r w:rsidRPr="002C14EB">
          <w:rPr>
            <w:rStyle w:val="Hyperlink"/>
            <w:sz w:val="18"/>
            <w:szCs w:val="18"/>
          </w:rPr>
          <w:t>https://ec.europa.eu/info/sites/default/files/final_report_2_july_2018.pdf</w:t>
        </w:r>
      </w:hyperlink>
      <w:r w:rsidRPr="002C14EB">
        <w:rPr>
          <w:sz w:val="18"/>
          <w:szCs w:val="18"/>
        </w:rPr>
        <w:t xml:space="preserve"> </w:t>
      </w:r>
    </w:p>
  </w:footnote>
  <w:footnote w:id="132">
    <w:p w:rsidR="00C62407" w:rsidRPr="002C14EB" w:rsidRDefault="00C62407" w:rsidP="00E27E1A">
      <w:pPr>
        <w:spacing w:after="0"/>
        <w:rPr>
          <w:sz w:val="18"/>
          <w:szCs w:val="18"/>
        </w:rPr>
      </w:pPr>
      <w:r w:rsidRPr="002C14EB">
        <w:rPr>
          <w:rStyle w:val="FootnoteReference"/>
          <w:sz w:val="18"/>
          <w:szCs w:val="18"/>
        </w:rPr>
        <w:footnoteRef/>
      </w:r>
      <w:r w:rsidRPr="002C14EB">
        <w:rPr>
          <w:sz w:val="18"/>
          <w:szCs w:val="18"/>
        </w:rPr>
        <w:tab/>
        <w:t xml:space="preserve">ACER Market Monitoring Report 2019 – Energy Retail and Consumer Protection Volume. </w:t>
      </w:r>
    </w:p>
  </w:footnote>
  <w:footnote w:id="133">
    <w:p w:rsidR="00C62407" w:rsidRPr="002C14EB" w:rsidRDefault="00C62407" w:rsidP="000B3940">
      <w:pPr>
        <w:spacing w:after="0"/>
        <w:ind w:left="720" w:hanging="720"/>
        <w:rPr>
          <w:sz w:val="18"/>
          <w:szCs w:val="18"/>
          <w:lang w:val="cs-CZ"/>
        </w:rPr>
      </w:pPr>
      <w:r w:rsidRPr="002C14EB">
        <w:rPr>
          <w:rStyle w:val="FootnoteReference"/>
          <w:sz w:val="18"/>
          <w:szCs w:val="18"/>
        </w:rPr>
        <w:footnoteRef/>
      </w:r>
      <w:r w:rsidRPr="002C14EB">
        <w:rPr>
          <w:sz w:val="18"/>
          <w:szCs w:val="18"/>
        </w:rPr>
        <w:tab/>
      </w:r>
      <w:hyperlink r:id="rId44" w:history="1">
        <w:r w:rsidRPr="002C14EB">
          <w:rPr>
            <w:rStyle w:val="Hyperlink"/>
            <w:sz w:val="18"/>
            <w:szCs w:val="18"/>
          </w:rPr>
          <w:t>Market Monitoring Survey 2020, Gas Services Dashboard</w:t>
        </w:r>
      </w:hyperlink>
      <w:r w:rsidRPr="002C14EB">
        <w:rPr>
          <w:sz w:val="18"/>
          <w:szCs w:val="18"/>
        </w:rPr>
        <w:t xml:space="preserve">, </w:t>
      </w:r>
      <w:r w:rsidRPr="002C14EB">
        <w:rPr>
          <w:sz w:val="18"/>
          <w:szCs w:val="18"/>
          <w:lang w:eastAsia="en-GB"/>
        </w:rPr>
        <w:t>European</w:t>
      </w:r>
      <w:r w:rsidRPr="002C14EB">
        <w:rPr>
          <w:sz w:val="18"/>
          <w:szCs w:val="18"/>
        </w:rPr>
        <w:t xml:space="preserve"> Commission; see also below Annex 4, Section 5</w:t>
      </w:r>
      <w:r w:rsidRPr="002C14EB">
        <w:rPr>
          <w:i/>
          <w:sz w:val="18"/>
          <w:szCs w:val="18"/>
        </w:rPr>
        <w:t xml:space="preserve"> </w:t>
      </w:r>
      <w:r w:rsidRPr="002C14EB">
        <w:rPr>
          <w:sz w:val="18"/>
          <w:szCs w:val="18"/>
        </w:rPr>
        <w:t>‘Switching’.</w:t>
      </w:r>
    </w:p>
  </w:footnote>
  <w:footnote w:id="134">
    <w:p w:rsidR="00C62407" w:rsidRPr="00924973" w:rsidRDefault="00C62407" w:rsidP="000B3940">
      <w:pPr>
        <w:spacing w:after="0"/>
        <w:ind w:left="720" w:hanging="720"/>
        <w:rPr>
          <w:sz w:val="18"/>
          <w:szCs w:val="18"/>
        </w:rPr>
      </w:pPr>
      <w:r w:rsidRPr="002C14EB">
        <w:rPr>
          <w:rStyle w:val="FootnoteReference"/>
          <w:sz w:val="18"/>
          <w:szCs w:val="18"/>
        </w:rPr>
        <w:footnoteRef/>
      </w:r>
      <w:r w:rsidRPr="002C14EB">
        <w:rPr>
          <w:sz w:val="18"/>
          <w:szCs w:val="18"/>
        </w:rPr>
        <w:tab/>
        <w:t>European Barriers in Retail Energy Markets Project: Final Report; European Commission, 2021, p. 57.</w:t>
      </w:r>
    </w:p>
  </w:footnote>
  <w:footnote w:id="135">
    <w:p w:rsidR="00C62407" w:rsidRPr="00F2069F" w:rsidRDefault="00C62407" w:rsidP="001F2DE9">
      <w:pPr>
        <w:pStyle w:val="FootnoteText"/>
        <w:rPr>
          <w:sz w:val="18"/>
          <w:szCs w:val="18"/>
        </w:rPr>
      </w:pPr>
      <w:r w:rsidRPr="00924973">
        <w:rPr>
          <w:rStyle w:val="FootnoteReference"/>
          <w:sz w:val="18"/>
          <w:szCs w:val="18"/>
        </w:rPr>
        <w:footnoteRef/>
      </w:r>
      <w:r>
        <w:rPr>
          <w:sz w:val="18"/>
          <w:szCs w:val="18"/>
        </w:rPr>
        <w:tab/>
      </w:r>
      <w:r w:rsidRPr="00F2069F">
        <w:rPr>
          <w:iCs/>
          <w:sz w:val="18"/>
          <w:szCs w:val="18"/>
        </w:rPr>
        <w:t>The comparability of offers is measured by combining two approaches. The customer’s opinion is explored based on a survey commissioned by the DG Justice and Consumers. The supply side is quantified with a checklist indicator which covers the availability of comparison websites, based on their number and functionalities.</w:t>
      </w:r>
      <w:r w:rsidRPr="00F2069F">
        <w:rPr>
          <w:i/>
          <w:iCs/>
          <w:sz w:val="18"/>
          <w:szCs w:val="18"/>
        </w:rPr>
        <w:t xml:space="preserve"> </w:t>
      </w:r>
    </w:p>
  </w:footnote>
  <w:footnote w:id="136">
    <w:p w:rsidR="00C62407" w:rsidRPr="00F2069F" w:rsidRDefault="00C62407" w:rsidP="001F2DE9">
      <w:pPr>
        <w:pStyle w:val="FootnoteText"/>
        <w:rPr>
          <w:sz w:val="18"/>
          <w:szCs w:val="18"/>
        </w:rPr>
      </w:pPr>
      <w:r w:rsidRPr="00F2069F">
        <w:rPr>
          <w:rStyle w:val="FootnoteReference"/>
          <w:sz w:val="18"/>
          <w:szCs w:val="18"/>
        </w:rPr>
        <w:footnoteRef/>
      </w:r>
      <w:r w:rsidRPr="00F2069F">
        <w:rPr>
          <w:sz w:val="18"/>
          <w:szCs w:val="18"/>
        </w:rPr>
        <w:tab/>
        <w:t xml:space="preserve">ACER Market Monitoring Report 2019 – Energy Retail and Consumer Protection Volume, p. 95. </w:t>
      </w:r>
    </w:p>
  </w:footnote>
  <w:footnote w:id="137">
    <w:p w:rsidR="00C62407" w:rsidRPr="00F2069F" w:rsidRDefault="00C62407" w:rsidP="001F2DE9">
      <w:pPr>
        <w:pStyle w:val="FootnoteText"/>
        <w:rPr>
          <w:sz w:val="18"/>
          <w:szCs w:val="18"/>
        </w:rPr>
      </w:pPr>
      <w:r w:rsidRPr="00F2069F">
        <w:rPr>
          <w:rStyle w:val="FootnoteReference"/>
          <w:sz w:val="18"/>
          <w:szCs w:val="18"/>
        </w:rPr>
        <w:footnoteRef/>
      </w:r>
      <w:r w:rsidRPr="00F2069F">
        <w:rPr>
          <w:sz w:val="18"/>
          <w:szCs w:val="18"/>
        </w:rPr>
        <w:tab/>
      </w:r>
      <w:hyperlink r:id="rId45" w:history="1">
        <w:r w:rsidRPr="002A0899">
          <w:rPr>
            <w:rStyle w:val="Hyperlink"/>
            <w:sz w:val="18"/>
            <w:szCs w:val="18"/>
            <w:lang w:val="en-IE"/>
          </w:rPr>
          <w:t>Market Monitoring Survey 2020, Gas Services Dashboard</w:t>
        </w:r>
      </w:hyperlink>
      <w:r w:rsidRPr="00F2069F">
        <w:rPr>
          <w:sz w:val="18"/>
          <w:szCs w:val="18"/>
        </w:rPr>
        <w:t xml:space="preserve">, European Commission; </w:t>
      </w:r>
      <w:r>
        <w:rPr>
          <w:sz w:val="18"/>
          <w:szCs w:val="18"/>
        </w:rPr>
        <w:t>s</w:t>
      </w:r>
      <w:r w:rsidRPr="00F2069F">
        <w:rPr>
          <w:sz w:val="18"/>
          <w:szCs w:val="18"/>
        </w:rPr>
        <w:t>ee also below Annex 4, Section 5</w:t>
      </w:r>
      <w:r w:rsidRPr="00C134D1">
        <w:rPr>
          <w:sz w:val="18"/>
          <w:szCs w:val="18"/>
        </w:rPr>
        <w:t xml:space="preserve"> ‘Switching’.</w:t>
      </w:r>
    </w:p>
  </w:footnote>
  <w:footnote w:id="138">
    <w:p w:rsidR="00C62407" w:rsidRPr="00F2069F" w:rsidRDefault="00C62407" w:rsidP="001F2DE9">
      <w:pPr>
        <w:pStyle w:val="FootnoteText"/>
      </w:pPr>
      <w:r w:rsidRPr="00F2069F">
        <w:rPr>
          <w:rStyle w:val="FootnoteReference"/>
          <w:sz w:val="18"/>
          <w:szCs w:val="18"/>
        </w:rPr>
        <w:footnoteRef/>
      </w:r>
      <w:r w:rsidRPr="00F2069F">
        <w:rPr>
          <w:sz w:val="18"/>
          <w:szCs w:val="18"/>
        </w:rPr>
        <w:tab/>
        <w:t>Consumer study on precontractual information and billing in the energy market, final report, p. 51.</w:t>
      </w:r>
    </w:p>
  </w:footnote>
  <w:footnote w:id="139">
    <w:p w:rsidR="00C62407" w:rsidRPr="00C62407" w:rsidRDefault="00C62407" w:rsidP="001F2DE9">
      <w:pPr>
        <w:pStyle w:val="FootnoteText"/>
        <w:jc w:val="left"/>
        <w:rPr>
          <w:sz w:val="18"/>
          <w:szCs w:val="18"/>
        </w:rPr>
      </w:pPr>
      <w:r w:rsidRPr="00C60832">
        <w:rPr>
          <w:rStyle w:val="FootnoteReference"/>
          <w:sz w:val="18"/>
          <w:szCs w:val="18"/>
        </w:rPr>
        <w:footnoteRef/>
      </w:r>
      <w:r w:rsidRPr="002A0899">
        <w:rPr>
          <w:sz w:val="18"/>
          <w:szCs w:val="18"/>
        </w:rPr>
        <w:tab/>
      </w:r>
      <w:hyperlink r:id="rId46" w:history="1">
        <w:r w:rsidRPr="00C62407">
          <w:rPr>
            <w:sz w:val="18"/>
            <w:szCs w:val="18"/>
          </w:rPr>
          <w:t>Market Monitoring Survey 2020, Gas Services Dashboard</w:t>
        </w:r>
      </w:hyperlink>
      <w:r w:rsidRPr="00C62407">
        <w:rPr>
          <w:sz w:val="18"/>
          <w:szCs w:val="18"/>
        </w:rPr>
        <w:t xml:space="preserve">, European Commission, available at: </w:t>
      </w:r>
      <w:hyperlink r:id="rId47" w:history="1">
        <w:r w:rsidRPr="00C62407">
          <w:rPr>
            <w:rStyle w:val="Hyperlink"/>
            <w:sz w:val="18"/>
            <w:szCs w:val="18"/>
          </w:rPr>
          <w:t>EURO_COMMISSION_Dashboard_20_19-036243-01-12_Finale_Slide 2 (europa.eu)</w:t>
        </w:r>
      </w:hyperlink>
      <w:r w:rsidRPr="00C62407" w:rsidDel="00F05FAE">
        <w:rPr>
          <w:sz w:val="18"/>
          <w:szCs w:val="18"/>
        </w:rPr>
        <w:t xml:space="preserve"> </w:t>
      </w:r>
    </w:p>
  </w:footnote>
  <w:footnote w:id="140">
    <w:p w:rsidR="00C62407" w:rsidRPr="00C62407" w:rsidRDefault="00C62407" w:rsidP="001F2DE9">
      <w:pPr>
        <w:pStyle w:val="FootnoteText"/>
        <w:rPr>
          <w:sz w:val="18"/>
          <w:szCs w:val="18"/>
        </w:rPr>
      </w:pPr>
      <w:r w:rsidRPr="00C62407">
        <w:rPr>
          <w:rStyle w:val="FootnoteReference"/>
          <w:sz w:val="18"/>
          <w:szCs w:val="18"/>
        </w:rPr>
        <w:footnoteRef/>
      </w:r>
      <w:r w:rsidRPr="00C62407">
        <w:rPr>
          <w:sz w:val="18"/>
          <w:szCs w:val="18"/>
        </w:rPr>
        <w:tab/>
        <w:t>Consumer study on Precontractual information and billing in the energy market, final report, p. 38.</w:t>
      </w:r>
    </w:p>
  </w:footnote>
  <w:footnote w:id="141">
    <w:p w:rsidR="00C62407" w:rsidRPr="002C14EB" w:rsidRDefault="00C62407" w:rsidP="001F2DE9">
      <w:pPr>
        <w:pStyle w:val="FootnoteText"/>
        <w:rPr>
          <w:sz w:val="18"/>
          <w:szCs w:val="18"/>
        </w:rPr>
      </w:pPr>
      <w:r w:rsidRPr="00C62407">
        <w:rPr>
          <w:rStyle w:val="FootnoteReference"/>
          <w:sz w:val="18"/>
          <w:szCs w:val="18"/>
        </w:rPr>
        <w:footnoteRef/>
      </w:r>
      <w:r w:rsidRPr="00C62407">
        <w:rPr>
          <w:sz w:val="18"/>
          <w:szCs w:val="18"/>
        </w:rPr>
        <w:tab/>
        <w:t>Ibid., p</w:t>
      </w:r>
      <w:r w:rsidRPr="002C14EB">
        <w:rPr>
          <w:sz w:val="18"/>
          <w:szCs w:val="18"/>
        </w:rPr>
        <w:t>. 35.</w:t>
      </w:r>
    </w:p>
  </w:footnote>
  <w:footnote w:id="142">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Ibid., p</w:t>
      </w:r>
      <w:r w:rsidRPr="002C14EB">
        <w:rPr>
          <w:iCs/>
          <w:sz w:val="18"/>
          <w:szCs w:val="18"/>
        </w:rPr>
        <w:t xml:space="preserve">. </w:t>
      </w:r>
      <w:r w:rsidRPr="002C14EB">
        <w:rPr>
          <w:sz w:val="18"/>
          <w:szCs w:val="18"/>
        </w:rPr>
        <w:t xml:space="preserve">93; see also </w:t>
      </w:r>
      <w:r w:rsidRPr="002C14EB">
        <w:rPr>
          <w:iCs/>
          <w:sz w:val="18"/>
          <w:szCs w:val="18"/>
        </w:rPr>
        <w:t>below Annex 4, Section 5</w:t>
      </w:r>
      <w:r w:rsidRPr="002C14EB">
        <w:rPr>
          <w:i/>
          <w:iCs/>
          <w:sz w:val="18"/>
          <w:szCs w:val="18"/>
        </w:rPr>
        <w:t xml:space="preserve"> </w:t>
      </w:r>
      <w:r w:rsidRPr="00BC4515">
        <w:rPr>
          <w:iCs/>
          <w:sz w:val="18"/>
          <w:szCs w:val="18"/>
        </w:rPr>
        <w:t>‘</w:t>
      </w:r>
      <w:r w:rsidRPr="00BC4515">
        <w:rPr>
          <w:sz w:val="18"/>
          <w:szCs w:val="18"/>
        </w:rPr>
        <w:t>Switching</w:t>
      </w:r>
      <w:r w:rsidRPr="002C14EB">
        <w:rPr>
          <w:iCs/>
          <w:sz w:val="18"/>
          <w:szCs w:val="18"/>
        </w:rPr>
        <w:t>’.</w:t>
      </w:r>
    </w:p>
  </w:footnote>
  <w:footnote w:id="143">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Ibid., p. 45.</w:t>
      </w:r>
    </w:p>
  </w:footnote>
  <w:footnote w:id="144">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The legal and practical switching rates are within 15 working days in most Member States and comparable to those for electricity. ACER Market Monitoring Report 2019 – Energy Retail and Consumer Protection Volume, p. 58, Figure 38.</w:t>
      </w:r>
    </w:p>
  </w:footnote>
  <w:footnote w:id="145">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Investigating the benefits of aligning EU consumer protection and information rules in the gas and electricity sectors, final report, p. 47</w:t>
      </w:r>
    </w:p>
  </w:footnote>
  <w:footnote w:id="146">
    <w:p w:rsidR="00C62407" w:rsidRPr="002C14EB" w:rsidRDefault="00C62407" w:rsidP="001F2DE9">
      <w:pPr>
        <w:pStyle w:val="FootnoteText"/>
        <w:jc w:val="left"/>
        <w:rPr>
          <w:sz w:val="18"/>
          <w:szCs w:val="18"/>
        </w:rPr>
      </w:pPr>
      <w:r w:rsidRPr="002C14EB">
        <w:rPr>
          <w:rStyle w:val="FootnoteReference"/>
          <w:sz w:val="18"/>
          <w:szCs w:val="18"/>
        </w:rPr>
        <w:footnoteRef/>
      </w:r>
      <w:r w:rsidRPr="002C14EB">
        <w:rPr>
          <w:sz w:val="18"/>
          <w:szCs w:val="18"/>
        </w:rPr>
        <w:tab/>
        <w:t>ACER Market Monitoring Report 2019 – Energy Retail and Consumer Protection Volume, p. 58.</w:t>
      </w:r>
    </w:p>
  </w:footnote>
  <w:footnote w:id="147">
    <w:p w:rsidR="00C62407" w:rsidRPr="00BC4515" w:rsidRDefault="00C62407" w:rsidP="002D3D6B">
      <w:pPr>
        <w:spacing w:after="0"/>
        <w:rPr>
          <w:sz w:val="18"/>
          <w:szCs w:val="18"/>
          <w:lang w:val="fr-BE" w:eastAsia="en-GB"/>
        </w:rPr>
      </w:pPr>
      <w:r w:rsidRPr="00BC4515">
        <w:rPr>
          <w:sz w:val="18"/>
          <w:szCs w:val="18"/>
          <w:vertAlign w:val="superscript"/>
          <w:lang w:eastAsia="en-GB"/>
        </w:rPr>
        <w:footnoteRef/>
      </w:r>
      <w:r w:rsidRPr="00BC4515">
        <w:rPr>
          <w:sz w:val="18"/>
          <w:szCs w:val="18"/>
          <w:lang w:val="fr-BE" w:eastAsia="en-GB"/>
        </w:rPr>
        <w:tab/>
        <w:t>Article 12 Directive 944/2019 (EU).</w:t>
      </w:r>
    </w:p>
  </w:footnote>
  <w:footnote w:id="148">
    <w:p w:rsidR="00C62407" w:rsidRPr="002D3D6B" w:rsidRDefault="00C62407" w:rsidP="001F2DE9">
      <w:pPr>
        <w:pStyle w:val="FootnoteText"/>
        <w:rPr>
          <w:sz w:val="18"/>
          <w:szCs w:val="18"/>
          <w:lang w:val="fr-BE"/>
        </w:rPr>
      </w:pPr>
      <w:r w:rsidRPr="002D3D6B">
        <w:rPr>
          <w:sz w:val="18"/>
          <w:szCs w:val="18"/>
          <w:vertAlign w:val="superscript"/>
        </w:rPr>
        <w:footnoteRef/>
      </w:r>
      <w:r w:rsidRPr="00C62407">
        <w:rPr>
          <w:sz w:val="18"/>
          <w:szCs w:val="18"/>
          <w:vertAlign w:val="superscript"/>
          <w:lang w:val="fr-BE"/>
        </w:rPr>
        <w:tab/>
      </w:r>
      <w:r w:rsidRPr="002D3D6B">
        <w:rPr>
          <w:sz w:val="18"/>
          <w:szCs w:val="18"/>
          <w:lang w:val="fr-BE"/>
        </w:rPr>
        <w:t>Annex 4, Section 6 ‘Billing’.</w:t>
      </w:r>
    </w:p>
  </w:footnote>
  <w:footnote w:id="149">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European Consumer Complaints Registration System, which gathered data from EU Member States from 2006 to 2018, shows that the majority of complaints reported between 2011</w:t>
      </w:r>
      <w:r>
        <w:rPr>
          <w:sz w:val="18"/>
          <w:szCs w:val="18"/>
        </w:rPr>
        <w:t xml:space="preserve"> </w:t>
      </w:r>
      <w:r w:rsidRPr="002C14EB">
        <w:rPr>
          <w:sz w:val="18"/>
          <w:szCs w:val="18"/>
        </w:rPr>
        <w:t xml:space="preserve">and 2016 concerned billing available at: </w:t>
      </w:r>
      <w:hyperlink r:id="rId48" w:history="1">
        <w:r w:rsidRPr="002C14EB">
          <w:rPr>
            <w:rStyle w:val="Hyperlink"/>
            <w:sz w:val="18"/>
            <w:szCs w:val="18"/>
          </w:rPr>
          <w:t>https://ec.europa.eu/info/policies/consumers/consumer-protection/evidence-based-consumer-policy/consumer-complaints-statistics_en</w:t>
        </w:r>
      </w:hyperlink>
    </w:p>
  </w:footnote>
  <w:footnote w:id="150">
    <w:p w:rsidR="00C62407" w:rsidRPr="002C14EB" w:rsidRDefault="00C62407" w:rsidP="001F2DE9">
      <w:pPr>
        <w:pStyle w:val="FootnoteText"/>
        <w:rPr>
          <w:sz w:val="18"/>
          <w:szCs w:val="18"/>
        </w:rPr>
      </w:pPr>
      <w:r w:rsidRPr="002C14EB">
        <w:rPr>
          <w:rStyle w:val="FootnoteReference"/>
          <w:sz w:val="18"/>
          <w:szCs w:val="18"/>
        </w:rPr>
        <w:footnoteRef/>
      </w:r>
      <w:r w:rsidRPr="002C14EB">
        <w:rPr>
          <w:sz w:val="18"/>
          <w:szCs w:val="18"/>
        </w:rPr>
        <w:tab/>
        <w:t>Investigating the benefits of aligning EU consumer protection and information rules in the gas and electricity sectors, final report, p. 50-51.</w:t>
      </w:r>
    </w:p>
  </w:footnote>
  <w:footnote w:id="151">
    <w:p w:rsidR="00C62407" w:rsidRPr="00BC4515" w:rsidRDefault="00C62407" w:rsidP="001F2DE9">
      <w:pPr>
        <w:pStyle w:val="FootnoteText"/>
        <w:rPr>
          <w:sz w:val="18"/>
          <w:szCs w:val="18"/>
        </w:rPr>
      </w:pPr>
      <w:r w:rsidRPr="002C14EB">
        <w:rPr>
          <w:rStyle w:val="FootnoteReference"/>
          <w:sz w:val="18"/>
          <w:szCs w:val="18"/>
        </w:rPr>
        <w:footnoteRef/>
      </w:r>
      <w:r w:rsidRPr="002C14EB">
        <w:rPr>
          <w:sz w:val="18"/>
          <w:szCs w:val="18"/>
        </w:rPr>
        <w:tab/>
        <w:t>In comparison, Annex I to Directive 944/2019 (EU) provides a comprehensive list of key information – see below Annex 4, Section</w:t>
      </w:r>
      <w:r w:rsidRPr="00BC4515">
        <w:rPr>
          <w:sz w:val="18"/>
          <w:szCs w:val="18"/>
        </w:rPr>
        <w:t xml:space="preserve"> </w:t>
      </w:r>
      <w:r w:rsidRPr="002C14EB">
        <w:rPr>
          <w:sz w:val="18"/>
          <w:szCs w:val="18"/>
        </w:rPr>
        <w:t>6</w:t>
      </w:r>
      <w:r w:rsidRPr="00BC4515">
        <w:rPr>
          <w:sz w:val="18"/>
          <w:szCs w:val="18"/>
        </w:rPr>
        <w:t xml:space="preserve"> ‘Billing’. </w:t>
      </w:r>
    </w:p>
  </w:footnote>
  <w:footnote w:id="152">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Elaborated according to Article 3 of Regulation (EU) 2018/1999 on the Governance of the Energy Union and Climate Action)</w:t>
      </w:r>
      <w:r>
        <w:rPr>
          <w:sz w:val="18"/>
          <w:szCs w:val="18"/>
        </w:rPr>
        <w:t>.</w:t>
      </w:r>
    </w:p>
  </w:footnote>
  <w:footnote w:id="153">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t>G</w:t>
      </w:r>
      <w:r w:rsidRPr="00924973">
        <w:rPr>
          <w:sz w:val="18"/>
          <w:szCs w:val="18"/>
        </w:rPr>
        <w:t>eneral social policy measures targeting low-income or poor households in general, which may include support to help them pay their energy bills</w:t>
      </w:r>
      <w:r>
        <w:rPr>
          <w:sz w:val="18"/>
          <w:szCs w:val="18"/>
        </w:rPr>
        <w:t>.</w:t>
      </w:r>
    </w:p>
  </w:footnote>
  <w:footnote w:id="154">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B631E9">
        <w:rPr>
          <w:rStyle w:val="normaltextrun"/>
          <w:sz w:val="18"/>
          <w:szCs w:val="18"/>
        </w:rPr>
        <w:t>According to the European Barriers in Retail Energy Markets study from 2020</w:t>
      </w:r>
      <w:r>
        <w:rPr>
          <w:rStyle w:val="normaltextrun"/>
          <w:sz w:val="18"/>
          <w:szCs w:val="18"/>
        </w:rPr>
        <w:t>,</w:t>
      </w:r>
      <w:r w:rsidRPr="00B631E9">
        <w:rPr>
          <w:rStyle w:val="normaltextrun"/>
          <w:sz w:val="18"/>
          <w:szCs w:val="18"/>
        </w:rPr>
        <w:t> the amount is 12 out of 24 Member States, including Latvia, Hungary, Romania, Croatia, Bulgaria, Slovakia, Poland, France, Italy, Spain, Portugal and Belgium. The </w:t>
      </w:r>
      <w:hyperlink r:id="rId49" w:tgtFrame="_blank" w:history="1">
        <w:r w:rsidRPr="00B631E9">
          <w:rPr>
            <w:rStyle w:val="normaltextrun"/>
            <w:sz w:val="18"/>
            <w:szCs w:val="18"/>
          </w:rPr>
          <w:t>ACER Market Monitoring Report 2019</w:t>
        </w:r>
      </w:hyperlink>
      <w:r w:rsidRPr="00B631E9">
        <w:rPr>
          <w:rStyle w:val="normaltextrun"/>
          <w:sz w:val="18"/>
          <w:szCs w:val="18"/>
        </w:rPr>
        <w:t> concludes on 15 Member States, p. 47.</w:t>
      </w:r>
      <w:r>
        <w:rPr>
          <w:rStyle w:val="normaltextrun"/>
          <w:sz w:val="18"/>
          <w:szCs w:val="18"/>
        </w:rPr>
        <w:t xml:space="preserve"> </w:t>
      </w:r>
      <w:r w:rsidRPr="00924973">
        <w:rPr>
          <w:sz w:val="18"/>
          <w:szCs w:val="18"/>
        </w:rPr>
        <w:t xml:space="preserve">ACER Report survey: </w:t>
      </w:r>
      <w:r>
        <w:rPr>
          <w:sz w:val="18"/>
          <w:szCs w:val="18"/>
        </w:rPr>
        <w:t>O</w:t>
      </w:r>
      <w:r w:rsidRPr="00924973">
        <w:rPr>
          <w:sz w:val="18"/>
          <w:szCs w:val="18"/>
        </w:rPr>
        <w:t xml:space="preserve">nly six countries </w:t>
      </w:r>
      <w:r>
        <w:rPr>
          <w:sz w:val="18"/>
          <w:szCs w:val="18"/>
        </w:rPr>
        <w:t xml:space="preserve">in electricity </w:t>
      </w:r>
      <w:r w:rsidRPr="00924973">
        <w:rPr>
          <w:sz w:val="18"/>
          <w:szCs w:val="18"/>
        </w:rPr>
        <w:t>(out of 13 that responded), and three countries in gas (out of 13 responding), replied that some type of intervention exits in the price setting for energy poor or vulnerable consumers</w:t>
      </w:r>
      <w:r>
        <w:rPr>
          <w:sz w:val="18"/>
          <w:szCs w:val="18"/>
        </w:rPr>
        <w:t>.</w:t>
      </w:r>
    </w:p>
  </w:footnote>
  <w:footnote w:id="155">
    <w:p w:rsidR="00C62407" w:rsidRPr="00DF18CC" w:rsidRDefault="00C62407" w:rsidP="001F2DE9">
      <w:pPr>
        <w:pStyle w:val="FootnoteText"/>
        <w:rPr>
          <w:sz w:val="18"/>
          <w:szCs w:val="18"/>
        </w:rPr>
      </w:pPr>
      <w:r w:rsidRPr="00924973">
        <w:rPr>
          <w:rStyle w:val="FootnoteReference"/>
          <w:sz w:val="18"/>
          <w:szCs w:val="18"/>
        </w:rPr>
        <w:footnoteRef/>
      </w:r>
      <w:r>
        <w:rPr>
          <w:sz w:val="18"/>
          <w:szCs w:val="18"/>
        </w:rPr>
        <w:tab/>
      </w:r>
      <w:r w:rsidRPr="00DF18CC">
        <w:rPr>
          <w:sz w:val="18"/>
          <w:szCs w:val="18"/>
        </w:rPr>
        <w:t>Namely to support building renovation and energy efficiency.</w:t>
      </w:r>
    </w:p>
  </w:footnote>
  <w:footnote w:id="156">
    <w:p w:rsidR="00C62407" w:rsidRPr="00DF18CC" w:rsidRDefault="00C62407" w:rsidP="001F2DE9">
      <w:pPr>
        <w:pStyle w:val="FootnoteText"/>
        <w:jc w:val="left"/>
        <w:rPr>
          <w:sz w:val="18"/>
          <w:szCs w:val="18"/>
        </w:rPr>
      </w:pPr>
      <w:r w:rsidRPr="00DF18CC">
        <w:rPr>
          <w:rStyle w:val="FootnoteReference"/>
          <w:sz w:val="18"/>
          <w:szCs w:val="18"/>
        </w:rPr>
        <w:footnoteRef/>
      </w:r>
      <w:r w:rsidRPr="00DF18CC">
        <w:rPr>
          <w:sz w:val="18"/>
          <w:szCs w:val="18"/>
        </w:rPr>
        <w:tab/>
        <w:t xml:space="preserve">See overview per Member state in ‘EU Energy Markets in 2014’. </w:t>
      </w:r>
      <w:hyperlink r:id="rId50" w:history="1">
        <w:r w:rsidRPr="00DF18CC">
          <w:rPr>
            <w:rStyle w:val="Hyperlink"/>
            <w:sz w:val="18"/>
            <w:szCs w:val="18"/>
          </w:rPr>
          <w:t>http://ec.europa.eu/energy/sites/ener/files/documents/2014_energy_market_en.pdf</w:t>
        </w:r>
      </w:hyperlink>
    </w:p>
  </w:footnote>
  <w:footnote w:id="157">
    <w:p w:rsidR="00C62407" w:rsidRPr="00DF18CC" w:rsidRDefault="00C62407" w:rsidP="001F2DE9">
      <w:pPr>
        <w:pStyle w:val="FootnoteText"/>
        <w:rPr>
          <w:sz w:val="18"/>
          <w:szCs w:val="18"/>
        </w:rPr>
      </w:pPr>
      <w:r w:rsidRPr="00DF18CC">
        <w:rPr>
          <w:rStyle w:val="FootnoteReference"/>
          <w:sz w:val="18"/>
          <w:szCs w:val="18"/>
        </w:rPr>
        <w:footnoteRef/>
      </w:r>
      <w:r w:rsidRPr="00DF18CC">
        <w:rPr>
          <w:sz w:val="18"/>
          <w:szCs w:val="18"/>
        </w:rPr>
        <w:tab/>
        <w:t xml:space="preserve">See CEER Report ‘Monitoring NRAs Independence’, Ref. C20-RBM-23-04, </w:t>
      </w:r>
      <w:hyperlink r:id="rId51" w:history="1">
        <w:r w:rsidRPr="00DF18CC">
          <w:rPr>
            <w:rStyle w:val="Hyperlink"/>
            <w:sz w:val="18"/>
            <w:szCs w:val="18"/>
          </w:rPr>
          <w:t>https://www.ceer.eu/documents/104400/-/-/3daa9416-edc7-c741-6042-c71d4ed50bb0</w:t>
        </w:r>
      </w:hyperlink>
      <w:r w:rsidRPr="00DF18CC">
        <w:rPr>
          <w:sz w:val="18"/>
          <w:szCs w:val="18"/>
        </w:rPr>
        <w:t xml:space="preserve"> </w:t>
      </w:r>
    </w:p>
  </w:footnote>
  <w:footnote w:id="158">
    <w:p w:rsidR="00C62407" w:rsidRPr="00DF18CC" w:rsidRDefault="00C62407" w:rsidP="001F2DE9">
      <w:pPr>
        <w:pStyle w:val="FootnoteText"/>
        <w:jc w:val="left"/>
        <w:rPr>
          <w:sz w:val="18"/>
          <w:szCs w:val="18"/>
        </w:rPr>
      </w:pPr>
      <w:r w:rsidRPr="00DF18CC">
        <w:rPr>
          <w:rStyle w:val="FootnoteReference"/>
          <w:sz w:val="18"/>
          <w:szCs w:val="18"/>
        </w:rPr>
        <w:footnoteRef/>
      </w:r>
      <w:r w:rsidRPr="00DF18CC">
        <w:rPr>
          <w:sz w:val="18"/>
          <w:szCs w:val="18"/>
        </w:rPr>
        <w:tab/>
        <w:t xml:space="preserve">Special Report 16/2015 by the European Court of Auditors, Improving the security of energy supply by developing the internal energy market: more efforts needed, 2015 </w:t>
      </w:r>
      <w:hyperlink r:id="rId52" w:history="1">
        <w:r w:rsidRPr="00DF18CC">
          <w:rPr>
            <w:rStyle w:val="Hyperlink"/>
            <w:sz w:val="18"/>
            <w:szCs w:val="18"/>
          </w:rPr>
          <w:t>http://www.eca.europa.eu/en/Pages/DocItem.aspx?did=34751</w:t>
        </w:r>
      </w:hyperlink>
    </w:p>
  </w:footnote>
  <w:footnote w:id="159">
    <w:p w:rsidR="00C62407" w:rsidRPr="005C21C3" w:rsidRDefault="00C62407" w:rsidP="001F2DE9">
      <w:pPr>
        <w:pStyle w:val="FootnoteText"/>
        <w:rPr>
          <w:sz w:val="18"/>
          <w:szCs w:val="18"/>
        </w:rPr>
      </w:pPr>
      <w:r w:rsidRPr="00924973">
        <w:rPr>
          <w:rStyle w:val="FootnoteReference"/>
          <w:sz w:val="18"/>
          <w:szCs w:val="18"/>
        </w:rPr>
        <w:footnoteRef/>
      </w:r>
      <w:r>
        <w:rPr>
          <w:sz w:val="18"/>
          <w:szCs w:val="18"/>
        </w:rPr>
        <w:tab/>
      </w:r>
      <w:r w:rsidRPr="005C21C3">
        <w:rPr>
          <w:sz w:val="18"/>
          <w:szCs w:val="18"/>
        </w:rPr>
        <w:t xml:space="preserve">See CEER Report ‘Monitoring NRAs Independence’, Ref. C20-RBM-23-04, </w:t>
      </w:r>
      <w:hyperlink r:id="rId53" w:history="1">
        <w:r w:rsidRPr="005C21C3">
          <w:rPr>
            <w:rStyle w:val="Hyperlink"/>
            <w:sz w:val="18"/>
            <w:szCs w:val="18"/>
          </w:rPr>
          <w:t>https://www.ceer.eu/documents/104400/-/-/3daa9416-edc7-c741-6042-c71d4ed50bb0</w:t>
        </w:r>
      </w:hyperlink>
    </w:p>
  </w:footnote>
  <w:footnote w:id="160">
    <w:p w:rsidR="00C62407" w:rsidRPr="005C21C3" w:rsidRDefault="00C62407" w:rsidP="001F2DE9">
      <w:pPr>
        <w:pStyle w:val="FootnoteText"/>
        <w:jc w:val="left"/>
        <w:rPr>
          <w:sz w:val="18"/>
          <w:szCs w:val="18"/>
        </w:rPr>
      </w:pPr>
      <w:r w:rsidRPr="005C21C3">
        <w:rPr>
          <w:rStyle w:val="FootnoteReference"/>
          <w:sz w:val="18"/>
          <w:szCs w:val="18"/>
        </w:rPr>
        <w:footnoteRef/>
      </w:r>
      <w:r w:rsidRPr="005C21C3">
        <w:rPr>
          <w:sz w:val="18"/>
          <w:szCs w:val="18"/>
        </w:rPr>
        <w:tab/>
      </w:r>
      <w:r w:rsidRPr="00BC4515">
        <w:rPr>
          <w:sz w:val="18"/>
          <w:szCs w:val="18"/>
        </w:rPr>
        <w:t xml:space="preserve">Report on the ITO Model (SWD(2014) 312 final), available at: </w:t>
      </w:r>
      <w:hyperlink r:id="rId54" w:history="1">
        <w:r w:rsidRPr="005C21C3">
          <w:rPr>
            <w:rStyle w:val="Hyperlink"/>
            <w:sz w:val="18"/>
            <w:szCs w:val="18"/>
          </w:rPr>
          <w:t>https://ec.europa.eu/energy/sites/ener/files/documents/2014_iem_communication_annex3.pdf</w:t>
        </w:r>
      </w:hyperlink>
    </w:p>
  </w:footnote>
  <w:footnote w:id="161">
    <w:p w:rsidR="00C62407" w:rsidRPr="005C21C3" w:rsidRDefault="00C62407" w:rsidP="001F2DE9">
      <w:pPr>
        <w:pStyle w:val="FootnoteText"/>
        <w:rPr>
          <w:sz w:val="18"/>
          <w:szCs w:val="18"/>
          <w:lang w:val="en-IE"/>
        </w:rPr>
      </w:pPr>
      <w:r w:rsidRPr="005C21C3">
        <w:rPr>
          <w:rStyle w:val="FootnoteReference"/>
          <w:sz w:val="18"/>
          <w:szCs w:val="18"/>
        </w:rPr>
        <w:footnoteRef/>
      </w:r>
      <w:r w:rsidRPr="005C21C3">
        <w:rPr>
          <w:sz w:val="18"/>
          <w:szCs w:val="18"/>
        </w:rPr>
        <w:tab/>
        <w:t>COM/2020/562 final.</w:t>
      </w:r>
    </w:p>
  </w:footnote>
  <w:footnote w:id="162">
    <w:p w:rsidR="00C62407" w:rsidRPr="00924973" w:rsidRDefault="00C62407" w:rsidP="00E27E1A">
      <w:pPr>
        <w:pStyle w:val="FootnoteText"/>
        <w:ind w:left="0" w:firstLine="0"/>
        <w:rPr>
          <w:sz w:val="18"/>
          <w:szCs w:val="18"/>
          <w:lang w:val="en-IE"/>
        </w:rPr>
      </w:pPr>
      <w:r w:rsidRPr="005C21C3">
        <w:rPr>
          <w:rStyle w:val="FootnoteReference"/>
          <w:sz w:val="18"/>
          <w:szCs w:val="18"/>
        </w:rPr>
        <w:footnoteRef/>
      </w:r>
      <w:r w:rsidRPr="005C21C3">
        <w:rPr>
          <w:sz w:val="18"/>
          <w:szCs w:val="18"/>
        </w:rPr>
        <w:tab/>
        <w:t>COM/2019/640 final.</w:t>
      </w:r>
    </w:p>
  </w:footnote>
  <w:footnote w:id="163">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r w:rsidRPr="00924973">
        <w:rPr>
          <w:sz w:val="18"/>
          <w:szCs w:val="18"/>
        </w:rPr>
        <w:t>‘Europe</w:t>
      </w:r>
      <w:r>
        <w:rPr>
          <w:sz w:val="18"/>
          <w:szCs w:val="18"/>
        </w:rPr>
        <w:t>’</w:t>
      </w:r>
      <w:r w:rsidRPr="00924973">
        <w:rPr>
          <w:sz w:val="18"/>
          <w:szCs w:val="18"/>
        </w:rPr>
        <w:t>s moment: Repair and Prepare for the Next Generation’, COM(2020) 456 final.</w:t>
      </w:r>
    </w:p>
  </w:footnote>
  <w:footnote w:id="164">
    <w:p w:rsidR="00C62407" w:rsidRPr="00924973" w:rsidRDefault="00C62407" w:rsidP="001F2DE9">
      <w:pPr>
        <w:pStyle w:val="FootnoteText"/>
        <w:rPr>
          <w:sz w:val="18"/>
          <w:szCs w:val="18"/>
          <w:lang w:val="en-IE"/>
        </w:rPr>
      </w:pPr>
      <w:r w:rsidRPr="00924973">
        <w:rPr>
          <w:rStyle w:val="FootnoteReference"/>
          <w:sz w:val="18"/>
          <w:szCs w:val="18"/>
        </w:rPr>
        <w:footnoteRef/>
      </w:r>
      <w:r>
        <w:rPr>
          <w:sz w:val="18"/>
          <w:szCs w:val="18"/>
        </w:rPr>
        <w:tab/>
      </w:r>
      <w:r w:rsidRPr="00924973">
        <w:rPr>
          <w:sz w:val="18"/>
          <w:szCs w:val="18"/>
        </w:rPr>
        <w:t>Due to the uncertainty regarding the pace and scale of deployment in each market segment, the overall expectations for the scale-up of renewable hydrogen production differ substantially, ranging from 30 to 175 TWh by 2030, and between 800 and 2</w:t>
      </w:r>
      <w:r>
        <w:rPr>
          <w:sz w:val="18"/>
          <w:szCs w:val="18"/>
        </w:rPr>
        <w:t xml:space="preserve"> </w:t>
      </w:r>
      <w:r w:rsidRPr="00924973">
        <w:rPr>
          <w:sz w:val="18"/>
          <w:szCs w:val="18"/>
        </w:rPr>
        <w:t>250 TWh by 2050. This would require around 7 to 40 GW of electrolysers to come on stream by 2030, and between 100 to 300 GW of installed electrolyser capacity in 2050 with the LTS foreseeing an important surge shortly after 2030.</w:t>
      </w:r>
    </w:p>
  </w:footnote>
  <w:footnote w:id="165">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Indeed, the recently published German hydrogen strategy explicitly sets out a German perspective on the EU policy agenda.</w:t>
      </w:r>
    </w:p>
  </w:footnote>
  <w:footnote w:id="166">
    <w:p w:rsidR="00C62407" w:rsidRPr="00924973" w:rsidRDefault="00C62407" w:rsidP="001F2DE9">
      <w:pPr>
        <w:pStyle w:val="FootnoteText"/>
        <w:rPr>
          <w:sz w:val="18"/>
          <w:szCs w:val="18"/>
        </w:rPr>
      </w:pPr>
      <w:r w:rsidRPr="00924973">
        <w:rPr>
          <w:sz w:val="18"/>
          <w:szCs w:val="18"/>
          <w:vertAlign w:val="superscript"/>
        </w:rPr>
        <w:footnoteRef/>
      </w:r>
      <w:r w:rsidRPr="00924973">
        <w:rPr>
          <w:sz w:val="18"/>
          <w:szCs w:val="18"/>
          <w:vertAlign w:val="superscript"/>
        </w:rPr>
        <w:t xml:space="preserve"> </w:t>
      </w:r>
      <w:r>
        <w:rPr>
          <w:sz w:val="18"/>
          <w:szCs w:val="18"/>
          <w:vertAlign w:val="superscript"/>
        </w:rPr>
        <w:tab/>
      </w:r>
      <w:r w:rsidRPr="00924973">
        <w:rPr>
          <w:sz w:val="18"/>
          <w:szCs w:val="18"/>
        </w:rPr>
        <w:t>The phases and their timing in the hydrogen strategy are highly educational but unlikely to reflect the variety between Member States, some of which will enter stage 2 earlier.</w:t>
      </w:r>
    </w:p>
  </w:footnote>
  <w:footnote w:id="167">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Currently existing pipelines normally secure delivery point-to-point to large, sophisticated buyers. The future network looks set to be meshed and non-replicable, thus conferring market power if operated by vertically integrated suppliers. Moreover, buyers are likely to be of a different nature whereas entrants are unlikely to consider entry in a vertically integrated manner.</w:t>
      </w:r>
    </w:p>
  </w:footnote>
  <w:footnote w:id="168">
    <w:p w:rsidR="00C62407" w:rsidRPr="00924973" w:rsidRDefault="00C62407" w:rsidP="001F2DE9">
      <w:pPr>
        <w:pStyle w:val="FootnoteText"/>
        <w:rPr>
          <w:sz w:val="18"/>
          <w:szCs w:val="18"/>
          <w:vertAlign w:val="superscript"/>
        </w:rPr>
      </w:pPr>
      <w:r w:rsidRPr="00924973">
        <w:rPr>
          <w:rStyle w:val="FootnoteReference"/>
          <w:sz w:val="18"/>
          <w:szCs w:val="18"/>
        </w:rPr>
        <w:footnoteRef/>
      </w:r>
      <w:r>
        <w:rPr>
          <w:sz w:val="18"/>
          <w:szCs w:val="18"/>
        </w:rPr>
        <w:tab/>
      </w:r>
      <w:r w:rsidRPr="00924973">
        <w:rPr>
          <w:sz w:val="18"/>
          <w:szCs w:val="18"/>
        </w:rPr>
        <w:t>Biogas is about 60% methane, 40% CO2 + some impurities. Upgrading biogas to biomethane level requires removal of CO2 and impurities. If used and, more importantly, stored the CO2 obtained in production of biomethane from biogas is sometimes argued to create ‘negative’ emissions.</w:t>
      </w:r>
    </w:p>
  </w:footnote>
  <w:footnote w:id="169">
    <w:p w:rsidR="00C62407" w:rsidRPr="00924973" w:rsidRDefault="00C62407" w:rsidP="001F2DE9">
      <w:pPr>
        <w:pStyle w:val="FootnoteText"/>
        <w:rPr>
          <w:sz w:val="18"/>
          <w:szCs w:val="18"/>
        </w:rPr>
      </w:pPr>
      <w:r w:rsidRPr="00924973">
        <w:rPr>
          <w:sz w:val="18"/>
          <w:szCs w:val="18"/>
          <w:vertAlign w:val="superscript"/>
        </w:rPr>
        <w:footnoteRef/>
      </w:r>
      <w:r>
        <w:rPr>
          <w:sz w:val="18"/>
          <w:szCs w:val="18"/>
        </w:rPr>
        <w:tab/>
      </w:r>
      <w:r w:rsidRPr="00924973">
        <w:rPr>
          <w:sz w:val="18"/>
          <w:szCs w:val="18"/>
          <w:lang w:val="en-US"/>
        </w:rPr>
        <w:t>EBA (2020)</w:t>
      </w:r>
      <w:r>
        <w:rPr>
          <w:sz w:val="18"/>
          <w:szCs w:val="18"/>
          <w:lang w:val="en-US"/>
        </w:rPr>
        <w:t>,</w:t>
      </w:r>
      <w:r w:rsidRPr="00924973">
        <w:rPr>
          <w:sz w:val="18"/>
          <w:szCs w:val="18"/>
          <w:lang w:val="en-US"/>
        </w:rPr>
        <w:t xml:space="preserve"> EBA statistical report 2020.</w:t>
      </w:r>
    </w:p>
  </w:footnote>
  <w:footnote w:id="170">
    <w:p w:rsidR="00C62407" w:rsidRPr="00924973" w:rsidRDefault="00C62407" w:rsidP="001F2DE9">
      <w:pPr>
        <w:pStyle w:val="FootnoteText"/>
        <w:rPr>
          <w:sz w:val="18"/>
          <w:szCs w:val="18"/>
        </w:rPr>
      </w:pPr>
      <w:r w:rsidRPr="00924973">
        <w:rPr>
          <w:sz w:val="18"/>
          <w:szCs w:val="18"/>
          <w:vertAlign w:val="superscript"/>
        </w:rPr>
        <w:footnoteRef/>
      </w:r>
      <w:r>
        <w:rPr>
          <w:sz w:val="18"/>
          <w:szCs w:val="18"/>
        </w:rPr>
        <w:tab/>
      </w:r>
      <w:r w:rsidRPr="00924973">
        <w:rPr>
          <w:sz w:val="18"/>
          <w:szCs w:val="18"/>
        </w:rPr>
        <w:t>This is due to subsidy schemes as well as the additional costs required for upgrading biogas to biomethane for grid injection.</w:t>
      </w:r>
    </w:p>
  </w:footnote>
  <w:footnote w:id="171">
    <w:p w:rsidR="00C62407" w:rsidRPr="00924973" w:rsidRDefault="00C62407" w:rsidP="001F2DE9">
      <w:pPr>
        <w:pStyle w:val="FootnoteText"/>
        <w:rPr>
          <w:sz w:val="18"/>
          <w:szCs w:val="18"/>
          <w:lang w:val="en-US"/>
        </w:rPr>
      </w:pPr>
      <w:r w:rsidRPr="00924973">
        <w:rPr>
          <w:sz w:val="18"/>
          <w:szCs w:val="18"/>
          <w:vertAlign w:val="superscript"/>
        </w:rPr>
        <w:footnoteRef/>
      </w:r>
      <w:r>
        <w:rPr>
          <w:sz w:val="18"/>
          <w:szCs w:val="18"/>
        </w:rPr>
        <w:tab/>
      </w:r>
      <w:r w:rsidRPr="00924973">
        <w:rPr>
          <w:sz w:val="18"/>
          <w:szCs w:val="18"/>
        </w:rPr>
        <w:t>In Austria, for instance</w:t>
      </w:r>
      <w:r w:rsidRPr="00924973">
        <w:rPr>
          <w:sz w:val="18"/>
          <w:szCs w:val="18"/>
          <w:lang w:val="en-US"/>
        </w:rPr>
        <w:t xml:space="preserve">, 74 out of 301 biogas plants could be connected with an expected 100 m </w:t>
      </w:r>
      <w:r>
        <w:rPr>
          <w:sz w:val="18"/>
          <w:szCs w:val="18"/>
          <w:lang w:val="en-US"/>
        </w:rPr>
        <w:t>EUR</w:t>
      </w:r>
      <w:r w:rsidRPr="00924973">
        <w:rPr>
          <w:sz w:val="18"/>
          <w:szCs w:val="18"/>
          <w:lang w:val="en-US"/>
        </w:rPr>
        <w:t xml:space="preserve"> investment, injecting 16</w:t>
      </w:r>
      <w:r>
        <w:rPr>
          <w:sz w:val="18"/>
          <w:szCs w:val="18"/>
          <w:lang w:val="en-US"/>
        </w:rPr>
        <w:t xml:space="preserve"> </w:t>
      </w:r>
      <w:r w:rsidRPr="00924973">
        <w:rPr>
          <w:sz w:val="18"/>
          <w:szCs w:val="18"/>
          <w:lang w:val="en-US"/>
        </w:rPr>
        <w:t xml:space="preserve">813 Nm3/h (ÖVGW, 2019). </w:t>
      </w:r>
    </w:p>
  </w:footnote>
  <w:footnote w:id="172">
    <w:p w:rsidR="00C62407" w:rsidRPr="00924973" w:rsidRDefault="00C62407" w:rsidP="001F2DE9">
      <w:pPr>
        <w:pStyle w:val="FootnoteText"/>
        <w:rPr>
          <w:sz w:val="18"/>
          <w:szCs w:val="18"/>
          <w:lang w:val="en-US"/>
        </w:rPr>
      </w:pPr>
      <w:r w:rsidRPr="00924973">
        <w:rPr>
          <w:rStyle w:val="FootnoteReference"/>
          <w:sz w:val="18"/>
          <w:szCs w:val="18"/>
        </w:rPr>
        <w:footnoteRef/>
      </w:r>
      <w:r>
        <w:rPr>
          <w:sz w:val="18"/>
          <w:szCs w:val="18"/>
        </w:rPr>
        <w:tab/>
      </w:r>
      <w:r w:rsidRPr="00924973">
        <w:rPr>
          <w:sz w:val="18"/>
          <w:szCs w:val="18"/>
        </w:rPr>
        <w:t xml:space="preserve">Different ranges taken from LTS EC (2018), </w:t>
      </w:r>
      <w:r w:rsidRPr="00924973">
        <w:rPr>
          <w:sz w:val="18"/>
          <w:szCs w:val="18"/>
          <w:lang w:val="en-US"/>
        </w:rPr>
        <w:t>Ecofys (2018), Trinomics (2018), Navigant (2019), Guidehouse (2020), GreenGas Project (2014). Note: in some studies biogas and biomethane is treated as the same, while others focus only on biomethane. Not all biomethane is expected to be injected into the grid.</w:t>
      </w:r>
    </w:p>
  </w:footnote>
  <w:footnote w:id="173">
    <w:p w:rsidR="00C62407" w:rsidRPr="00924973" w:rsidRDefault="00C62407" w:rsidP="000930F2">
      <w:pPr>
        <w:pStyle w:val="FootnoteText"/>
        <w:rPr>
          <w:sz w:val="18"/>
          <w:szCs w:val="18"/>
        </w:rPr>
      </w:pPr>
      <w:r w:rsidRPr="00924973">
        <w:rPr>
          <w:sz w:val="18"/>
          <w:szCs w:val="18"/>
          <w:vertAlign w:val="superscript"/>
        </w:rPr>
        <w:footnoteRef/>
      </w:r>
      <w:r>
        <w:rPr>
          <w:sz w:val="18"/>
          <w:szCs w:val="18"/>
          <w:vertAlign w:val="superscript"/>
        </w:rPr>
        <w:tab/>
      </w:r>
      <w:hyperlink r:id="rId55" w:history="1">
        <w:r w:rsidRPr="00A43FF4">
          <w:rPr>
            <w:rStyle w:val="Hyperlink"/>
            <w:sz w:val="18"/>
            <w:szCs w:val="18"/>
          </w:rPr>
          <w:t>https://ec.europa.eu/energy/sites/ener/files/documents/ce_delft_3g84_biogas_beyond_2020_final_report.pdf</w:t>
        </w:r>
      </w:hyperlink>
    </w:p>
  </w:footnote>
  <w:footnote w:id="174">
    <w:p w:rsidR="00C62407" w:rsidRPr="00924973" w:rsidRDefault="00C62407" w:rsidP="000930F2">
      <w:pPr>
        <w:pStyle w:val="FootnoteText"/>
        <w:rPr>
          <w:sz w:val="18"/>
          <w:szCs w:val="18"/>
        </w:rPr>
      </w:pPr>
      <w:r w:rsidRPr="00924973">
        <w:rPr>
          <w:rStyle w:val="FootnoteReference"/>
          <w:sz w:val="18"/>
          <w:szCs w:val="18"/>
        </w:rPr>
        <w:footnoteRef/>
      </w:r>
      <w:r>
        <w:rPr>
          <w:sz w:val="18"/>
          <w:szCs w:val="18"/>
        </w:rPr>
        <w:tab/>
      </w:r>
      <w:r w:rsidRPr="00924973">
        <w:rPr>
          <w:sz w:val="18"/>
          <w:szCs w:val="18"/>
        </w:rPr>
        <w:t>Art. 15 Commission Regulation (EU) 2015/703 of 30 April 2015 establishing a network code on interoperability and data exchange rules.</w:t>
      </w:r>
    </w:p>
  </w:footnote>
  <w:footnote w:id="175">
    <w:p w:rsidR="00C62407" w:rsidRDefault="00C62407">
      <w:pPr>
        <w:pStyle w:val="FootnoteText"/>
      </w:pPr>
      <w:r>
        <w:rPr>
          <w:rStyle w:val="FootnoteReference"/>
        </w:rPr>
        <w:footnoteRef/>
      </w:r>
      <w:r>
        <w:tab/>
        <w:t>Trinomics 2020.</w:t>
      </w:r>
    </w:p>
  </w:footnote>
  <w:footnote w:id="176">
    <w:p w:rsidR="00C62407" w:rsidRPr="001F0626" w:rsidRDefault="00C62407" w:rsidP="001F2DE9">
      <w:pPr>
        <w:pStyle w:val="FootnoteText"/>
        <w:rPr>
          <w:sz w:val="18"/>
          <w:szCs w:val="18"/>
        </w:rPr>
      </w:pPr>
      <w:r w:rsidRPr="001F0626">
        <w:rPr>
          <w:rStyle w:val="FootnoteReference"/>
          <w:sz w:val="18"/>
          <w:szCs w:val="18"/>
        </w:rPr>
        <w:footnoteRef/>
      </w:r>
      <w:r w:rsidRPr="001F0626">
        <w:rPr>
          <w:sz w:val="18"/>
          <w:szCs w:val="18"/>
        </w:rPr>
        <w:tab/>
        <w:t>A Clean Planet for All. A European strategic long-term vision for a prosperous, modern, competitive and climate neutral economy, COM(2018) 773.</w:t>
      </w:r>
    </w:p>
  </w:footnote>
  <w:footnote w:id="177">
    <w:p w:rsidR="00C62407" w:rsidRPr="001F0626" w:rsidRDefault="00C62407" w:rsidP="001F2DE9">
      <w:pPr>
        <w:pStyle w:val="FootnoteText"/>
        <w:rPr>
          <w:sz w:val="18"/>
          <w:szCs w:val="18"/>
        </w:rPr>
      </w:pPr>
      <w:r w:rsidRPr="001F0626">
        <w:rPr>
          <w:rStyle w:val="FootnoteReference"/>
          <w:sz w:val="18"/>
          <w:szCs w:val="18"/>
        </w:rPr>
        <w:footnoteRef/>
      </w:r>
      <w:r w:rsidRPr="002A0899">
        <w:rPr>
          <w:sz w:val="18"/>
          <w:szCs w:val="18"/>
        </w:rPr>
        <w:tab/>
        <w:t xml:space="preserve">FCH JU (2019) Hydrogen Roadmap Europe. </w:t>
      </w:r>
      <w:r w:rsidRPr="001F0626">
        <w:rPr>
          <w:sz w:val="18"/>
          <w:szCs w:val="18"/>
        </w:rPr>
        <w:t>This includes the use of hydrogen as feedstock</w:t>
      </w:r>
    </w:p>
  </w:footnote>
  <w:footnote w:id="178">
    <w:p w:rsidR="00C62407" w:rsidRPr="001F0626" w:rsidRDefault="00C62407" w:rsidP="001F2DE9">
      <w:pPr>
        <w:pStyle w:val="FootnoteText"/>
        <w:rPr>
          <w:sz w:val="18"/>
          <w:szCs w:val="18"/>
        </w:rPr>
      </w:pPr>
      <w:r w:rsidRPr="001F0626">
        <w:rPr>
          <w:rStyle w:val="FootnoteReference"/>
          <w:sz w:val="18"/>
          <w:szCs w:val="18"/>
        </w:rPr>
        <w:footnoteRef/>
      </w:r>
      <w:r w:rsidRPr="001F0626">
        <w:rPr>
          <w:sz w:val="18"/>
          <w:szCs w:val="18"/>
        </w:rPr>
        <w:tab/>
        <w:t>Considering hydrogen consumption for energy purposes only, the shares in different scenarios range from less than 2% to more than 23% in 2050.</w:t>
      </w:r>
    </w:p>
  </w:footnote>
  <w:footnote w:id="179">
    <w:p w:rsidR="00C62407" w:rsidRPr="002A0899" w:rsidRDefault="00C62407" w:rsidP="001F2DE9">
      <w:pPr>
        <w:pStyle w:val="FootnoteText"/>
        <w:rPr>
          <w:sz w:val="18"/>
          <w:szCs w:val="18"/>
          <w:lang w:val="en-US"/>
        </w:rPr>
      </w:pPr>
      <w:r w:rsidRPr="001F0626">
        <w:rPr>
          <w:rStyle w:val="FootnoteReference"/>
          <w:sz w:val="18"/>
          <w:szCs w:val="18"/>
        </w:rPr>
        <w:footnoteRef/>
      </w:r>
      <w:r w:rsidRPr="002A0899">
        <w:rPr>
          <w:sz w:val="18"/>
          <w:szCs w:val="18"/>
          <w:lang w:val="en-US"/>
        </w:rPr>
        <w:tab/>
      </w:r>
      <w:r w:rsidRPr="001F0626">
        <w:rPr>
          <w:sz w:val="18"/>
          <w:szCs w:val="18"/>
        </w:rPr>
        <w:t xml:space="preserve">Council Conclusions ‘Towards a hydrogen market for Europe’, available at: </w:t>
      </w:r>
      <w:hyperlink r:id="rId56" w:history="1">
        <w:r w:rsidRPr="001F0626">
          <w:rPr>
            <w:rStyle w:val="Hyperlink"/>
            <w:sz w:val="18"/>
            <w:szCs w:val="18"/>
            <w:lang w:val="en-US"/>
          </w:rPr>
          <w:t>st13976-en20.pdf (europa.eu)</w:t>
        </w:r>
      </w:hyperlink>
      <w:r w:rsidRPr="002A0899">
        <w:rPr>
          <w:sz w:val="18"/>
          <w:szCs w:val="18"/>
          <w:lang w:val="en-US"/>
        </w:rPr>
        <w:t xml:space="preserve"> </w:t>
      </w:r>
    </w:p>
  </w:footnote>
  <w:footnote w:id="180">
    <w:p w:rsidR="00C62407" w:rsidRPr="00924973" w:rsidRDefault="00C62407" w:rsidP="001F2DE9">
      <w:pPr>
        <w:pStyle w:val="FootnoteText"/>
        <w:rPr>
          <w:sz w:val="18"/>
          <w:szCs w:val="18"/>
        </w:rPr>
      </w:pPr>
      <w:r w:rsidRPr="001F0626">
        <w:rPr>
          <w:rStyle w:val="FootnoteReference"/>
          <w:sz w:val="18"/>
          <w:szCs w:val="18"/>
        </w:rPr>
        <w:footnoteRef/>
      </w:r>
      <w:r w:rsidRPr="001F0626">
        <w:rPr>
          <w:sz w:val="18"/>
          <w:szCs w:val="18"/>
        </w:rPr>
        <w:tab/>
        <w:t>Communication on a Strategy for Energy System Integration COM(2020) 299 and Communication on a hydrogen strategy for a climate-neutral Europe COM (2020) 301.</w:t>
      </w:r>
      <w:r w:rsidRPr="00924973">
        <w:rPr>
          <w:sz w:val="18"/>
          <w:szCs w:val="18"/>
        </w:rPr>
        <w:t xml:space="preserve"> </w:t>
      </w:r>
    </w:p>
  </w:footnote>
  <w:footnote w:id="181">
    <w:p w:rsidR="00C62407" w:rsidRPr="00924973" w:rsidRDefault="00C62407" w:rsidP="00E27E1A">
      <w:pPr>
        <w:pStyle w:val="FootnoteText"/>
        <w:ind w:left="0" w:firstLine="0"/>
        <w:rPr>
          <w:sz w:val="18"/>
          <w:szCs w:val="18"/>
        </w:rPr>
      </w:pPr>
      <w:r w:rsidRPr="006F03DE">
        <w:rPr>
          <w:rStyle w:val="FootnoteReference"/>
          <w:sz w:val="18"/>
          <w:szCs w:val="18"/>
        </w:rPr>
        <w:footnoteRef/>
      </w:r>
      <w:r w:rsidRPr="006F03DE">
        <w:rPr>
          <w:sz w:val="18"/>
          <w:szCs w:val="18"/>
        </w:rPr>
        <w:tab/>
      </w:r>
      <w:r>
        <w:rPr>
          <w:sz w:val="18"/>
          <w:szCs w:val="18"/>
        </w:rPr>
        <w:t>Impact A</w:t>
      </w:r>
      <w:r w:rsidRPr="006F03DE">
        <w:rPr>
          <w:sz w:val="18"/>
          <w:szCs w:val="18"/>
        </w:rPr>
        <w:t>ssessment for the hydrogen and decarbonized gas package.</w:t>
      </w:r>
    </w:p>
  </w:footnote>
  <w:footnote w:id="182">
    <w:p w:rsidR="00C62407" w:rsidRPr="002457FF" w:rsidRDefault="00C62407" w:rsidP="001F2DE9">
      <w:pPr>
        <w:pStyle w:val="FootnoteText"/>
        <w:rPr>
          <w:sz w:val="18"/>
          <w:szCs w:val="18"/>
        </w:rPr>
      </w:pPr>
      <w:r w:rsidRPr="002D3D6B">
        <w:rPr>
          <w:rStyle w:val="FootnoteReference"/>
          <w:sz w:val="18"/>
          <w:szCs w:val="18"/>
        </w:rPr>
        <w:footnoteRef/>
      </w:r>
      <w:r>
        <w:tab/>
      </w:r>
      <w:r w:rsidRPr="002457FF">
        <w:rPr>
          <w:sz w:val="18"/>
          <w:szCs w:val="18"/>
        </w:rPr>
        <w:t xml:space="preserve">See Section </w:t>
      </w:r>
      <w:r>
        <w:rPr>
          <w:sz w:val="18"/>
          <w:szCs w:val="18"/>
        </w:rPr>
        <w:t>6</w:t>
      </w:r>
      <w:r w:rsidRPr="002457FF">
        <w:rPr>
          <w:sz w:val="18"/>
          <w:szCs w:val="18"/>
        </w:rPr>
        <w:t>.1.1.</w:t>
      </w:r>
    </w:p>
  </w:footnote>
  <w:footnote w:id="183">
    <w:p w:rsidR="00C62407" w:rsidRPr="002457FF" w:rsidRDefault="00C62407" w:rsidP="001F2DE9">
      <w:pPr>
        <w:pStyle w:val="FootnoteText"/>
      </w:pPr>
      <w:r w:rsidRPr="002D3D6B">
        <w:rPr>
          <w:rStyle w:val="FootnoteReference"/>
          <w:sz w:val="18"/>
          <w:szCs w:val="18"/>
        </w:rPr>
        <w:footnoteRef/>
      </w:r>
      <w:r>
        <w:tab/>
      </w:r>
      <w:r w:rsidRPr="002457FF">
        <w:rPr>
          <w:sz w:val="18"/>
          <w:szCs w:val="18"/>
        </w:rPr>
        <w:t xml:space="preserve">See Annex </w:t>
      </w:r>
      <w:r>
        <w:rPr>
          <w:sz w:val="18"/>
          <w:szCs w:val="18"/>
        </w:rPr>
        <w:t>4</w:t>
      </w:r>
      <w:r w:rsidRPr="002457FF">
        <w:rPr>
          <w:sz w:val="18"/>
          <w:szCs w:val="18"/>
        </w:rPr>
        <w:t xml:space="preserve">, </w:t>
      </w:r>
      <w:r>
        <w:rPr>
          <w:sz w:val="18"/>
          <w:szCs w:val="18"/>
        </w:rPr>
        <w:t>F</w:t>
      </w:r>
      <w:r w:rsidRPr="002457FF">
        <w:rPr>
          <w:sz w:val="18"/>
          <w:szCs w:val="18"/>
        </w:rPr>
        <w:t>igure 7.</w:t>
      </w:r>
    </w:p>
  </w:footnote>
  <w:footnote w:id="184">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 xml:space="preserve">Data shows that a large share of households are supplied by SoLRs. See 2014 CEER/ACER Annual Report on the Results of Monitoring the Internal Electricity and Natural Gas Markets in 2014, p. 114. </w:t>
      </w:r>
    </w:p>
  </w:footnote>
  <w:footnote w:id="185">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 xml:space="preserve">This model organises the trade of gas on the Virtual Trading Points (Hubs) established in the Entry/Exit zones, allowing each supplier crossing the border of a zone to use the entire gas network of the given zone. The design of an Entry/Exit zone is not harmonised in the EU, the </w:t>
      </w:r>
      <w:r>
        <w:rPr>
          <w:sz w:val="18"/>
          <w:szCs w:val="18"/>
        </w:rPr>
        <w:t>Gas Target Model</w:t>
      </w:r>
      <w:r w:rsidRPr="00924973">
        <w:rPr>
          <w:sz w:val="18"/>
          <w:szCs w:val="18"/>
        </w:rPr>
        <w:t xml:space="preserve"> does not apply at distribution level and there are no obligations to include the distribution level into the efficient operations of the network of a zone. Opposite to electricity market, </w:t>
      </w:r>
      <w:r>
        <w:rPr>
          <w:sz w:val="18"/>
          <w:szCs w:val="18"/>
        </w:rPr>
        <w:t>Gas Target Model</w:t>
      </w:r>
      <w:r w:rsidRPr="00924973">
        <w:rPr>
          <w:sz w:val="18"/>
          <w:szCs w:val="18"/>
        </w:rPr>
        <w:t xml:space="preserve"> implies explicit booking of cross-border capacities when selling the gas on the market. </w:t>
      </w:r>
    </w:p>
  </w:footnote>
  <w:footnote w:id="186">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European Commission 2018, Consumer study on pre</w:t>
      </w:r>
      <w:r>
        <w:rPr>
          <w:sz w:val="18"/>
          <w:szCs w:val="18"/>
        </w:rPr>
        <w:t>-</w:t>
      </w:r>
      <w:r w:rsidRPr="00924973">
        <w:rPr>
          <w:sz w:val="18"/>
          <w:szCs w:val="18"/>
        </w:rPr>
        <w:t>contractual information and billing in the energy market, final report.</w:t>
      </w:r>
    </w:p>
  </w:footnote>
  <w:footnote w:id="187">
    <w:p w:rsidR="00C62407" w:rsidRPr="00392C51" w:rsidRDefault="00C62407" w:rsidP="0007546D">
      <w:pPr>
        <w:spacing w:after="0"/>
        <w:rPr>
          <w:sz w:val="20"/>
        </w:rPr>
      </w:pPr>
      <w:r w:rsidRPr="0007546D">
        <w:rPr>
          <w:rStyle w:val="FootnoteReference"/>
          <w:sz w:val="18"/>
          <w:szCs w:val="18"/>
          <w:lang w:eastAsia="en-GB"/>
        </w:rPr>
        <w:footnoteRef/>
      </w:r>
      <w:r>
        <w:tab/>
      </w:r>
      <w:r w:rsidRPr="0007546D">
        <w:rPr>
          <w:sz w:val="18"/>
          <w:szCs w:val="18"/>
          <w:lang w:eastAsia="en-GB"/>
        </w:rPr>
        <w:t>Data from 2018</w:t>
      </w:r>
      <w:r>
        <w:rPr>
          <w:sz w:val="18"/>
          <w:szCs w:val="18"/>
          <w:lang w:eastAsia="en-GB"/>
        </w:rPr>
        <w:t>;</w:t>
      </w:r>
      <w:r w:rsidRPr="0007546D">
        <w:rPr>
          <w:sz w:val="18"/>
          <w:szCs w:val="18"/>
          <w:lang w:eastAsia="en-GB"/>
        </w:rPr>
        <w:t xml:space="preserve"> Eurostat, SILC [ilc_mdes01]).</w:t>
      </w:r>
    </w:p>
  </w:footnote>
  <w:footnote w:id="188">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57" w:history="1">
        <w:r w:rsidRPr="00A43FF4">
          <w:rPr>
            <w:rStyle w:val="Hyperlink"/>
            <w:sz w:val="18"/>
            <w:szCs w:val="18"/>
          </w:rPr>
          <w:t>https://eur-lex.europa.eu/eli/reg/2017/459/oj</w:t>
        </w:r>
      </w:hyperlink>
    </w:p>
  </w:footnote>
  <w:footnote w:id="189">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58" w:history="1">
        <w:r w:rsidRPr="00A43FF4">
          <w:rPr>
            <w:rStyle w:val="Hyperlink"/>
            <w:sz w:val="18"/>
            <w:szCs w:val="18"/>
          </w:rPr>
          <w:t>https://eur-lex.europa.eu/eli/reg/2014/312/oj</w:t>
        </w:r>
      </w:hyperlink>
    </w:p>
  </w:footnote>
  <w:footnote w:id="190">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59" w:history="1">
        <w:r w:rsidRPr="00A43FF4">
          <w:rPr>
            <w:rStyle w:val="Hyperlink"/>
            <w:sz w:val="18"/>
            <w:szCs w:val="18"/>
          </w:rPr>
          <w:t>https://eur-lex.europa.eu/legal-content/EN/ALL/?uri=celex%3A32010D0685</w:t>
        </w:r>
      </w:hyperlink>
    </w:p>
  </w:footnote>
  <w:footnote w:id="191">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0" w:history="1">
        <w:r w:rsidRPr="00A43FF4">
          <w:rPr>
            <w:rStyle w:val="Hyperlink"/>
            <w:sz w:val="18"/>
            <w:szCs w:val="18"/>
          </w:rPr>
          <w:t>https://eur-lex.europa.eu/legal-content/EN/ALL/?uri=CELEX%3A32012D0490</w:t>
        </w:r>
      </w:hyperlink>
    </w:p>
  </w:footnote>
  <w:footnote w:id="192">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61" w:history="1">
        <w:r w:rsidRPr="00A43FF4">
          <w:rPr>
            <w:rStyle w:val="Hyperlink"/>
            <w:sz w:val="18"/>
            <w:szCs w:val="18"/>
          </w:rPr>
          <w:t>https://eur-lex.europa.eu/eli/reg/2015/703/oj</w:t>
        </w:r>
      </w:hyperlink>
    </w:p>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62" w:history="1">
        <w:r w:rsidRPr="00A43FF4">
          <w:rPr>
            <w:rStyle w:val="Hyperlink"/>
            <w:sz w:val="18"/>
            <w:szCs w:val="18"/>
          </w:rPr>
          <w:t>https://eur-lex.europa.eu/eli/reg/2017/460/oj</w:t>
        </w:r>
      </w:hyperlink>
    </w:p>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3" w:history="1">
        <w:r w:rsidRPr="00A43FF4">
          <w:rPr>
            <w:rStyle w:val="Hyperlink"/>
            <w:sz w:val="18"/>
            <w:szCs w:val="18"/>
          </w:rPr>
          <w:t>https://eur-lex.europa.eu/eli/reg/2019/942/oj</w:t>
        </w:r>
      </w:hyperlink>
    </w:p>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4" w:history="1">
        <w:r w:rsidRPr="00A43FF4">
          <w:rPr>
            <w:rStyle w:val="Hyperlink"/>
            <w:sz w:val="18"/>
            <w:szCs w:val="18"/>
          </w:rPr>
          <w:t>https://eur-lex.europa.eu/eli/reg/2017/1938/oj</w:t>
        </w:r>
      </w:hyperlink>
    </w:p>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5" w:history="1">
        <w:r w:rsidRPr="00A43FF4">
          <w:rPr>
            <w:rStyle w:val="Hyperlink"/>
            <w:sz w:val="18"/>
            <w:szCs w:val="18"/>
          </w:rPr>
          <w:t>https://eur-lex.europa.eu/eli/dir/2018/2001/oj</w:t>
        </w:r>
      </w:hyperlink>
    </w:p>
  </w:footnote>
  <w:footnote w:id="193">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66" w:history="1">
        <w:r w:rsidRPr="00A43FF4">
          <w:rPr>
            <w:rStyle w:val="Hyperlink"/>
            <w:sz w:val="18"/>
            <w:szCs w:val="18"/>
          </w:rPr>
          <w:t>https://eur-lex.europa.eu/eli/reg/2015/703/oj</w:t>
        </w:r>
      </w:hyperlink>
    </w:p>
  </w:footnote>
  <w:footnote w:id="194">
    <w:p w:rsidR="00C62407" w:rsidRPr="00924973" w:rsidRDefault="00C62407" w:rsidP="00E27E1A">
      <w:pPr>
        <w:pStyle w:val="FootnoteText"/>
        <w:ind w:left="0" w:firstLine="0"/>
        <w:rPr>
          <w:sz w:val="18"/>
          <w:szCs w:val="18"/>
          <w:lang w:val="en-IE"/>
        </w:rPr>
      </w:pPr>
      <w:r w:rsidRPr="00924973">
        <w:rPr>
          <w:rStyle w:val="FootnoteReference"/>
          <w:sz w:val="18"/>
          <w:szCs w:val="18"/>
        </w:rPr>
        <w:footnoteRef/>
      </w:r>
      <w:r>
        <w:rPr>
          <w:sz w:val="18"/>
          <w:szCs w:val="18"/>
        </w:rPr>
        <w:tab/>
      </w:r>
      <w:hyperlink r:id="rId67" w:history="1">
        <w:r w:rsidRPr="00A43FF4">
          <w:rPr>
            <w:rStyle w:val="Hyperlink"/>
            <w:sz w:val="18"/>
            <w:szCs w:val="18"/>
          </w:rPr>
          <w:t>https://eur-lex.europa.eu/eli/reg/2017/460/oj</w:t>
        </w:r>
      </w:hyperlink>
    </w:p>
  </w:footnote>
  <w:footnote w:id="195">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8" w:history="1">
        <w:r w:rsidRPr="00A43FF4">
          <w:rPr>
            <w:rStyle w:val="Hyperlink"/>
            <w:sz w:val="18"/>
            <w:szCs w:val="18"/>
          </w:rPr>
          <w:t>https://eur-lex.europa.eu/eli/reg/2019/942/oj</w:t>
        </w:r>
      </w:hyperlink>
    </w:p>
  </w:footnote>
  <w:footnote w:id="196">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69" w:history="1">
        <w:r w:rsidRPr="00A43FF4">
          <w:rPr>
            <w:rStyle w:val="Hyperlink"/>
            <w:sz w:val="18"/>
            <w:szCs w:val="18"/>
          </w:rPr>
          <w:t>https://eur-lex.europa.eu/eli/reg/2017/1938/oj</w:t>
        </w:r>
      </w:hyperlink>
    </w:p>
  </w:footnote>
  <w:footnote w:id="197">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70" w:history="1">
        <w:r w:rsidRPr="00A43FF4">
          <w:rPr>
            <w:rStyle w:val="Hyperlink"/>
            <w:sz w:val="18"/>
            <w:szCs w:val="18"/>
          </w:rPr>
          <w:t>https://eur-lex.europa.eu/eli/dir/2018/2001/oj</w:t>
        </w:r>
      </w:hyperlink>
    </w:p>
  </w:footnote>
  <w:footnote w:id="198">
    <w:p w:rsidR="00C62407" w:rsidRDefault="00C62407" w:rsidP="00E27E1A">
      <w:pPr>
        <w:pStyle w:val="FootnoteText"/>
        <w:ind w:left="0" w:firstLine="0"/>
        <w:rPr>
          <w:sz w:val="18"/>
          <w:szCs w:val="18"/>
        </w:rPr>
      </w:pPr>
      <w:r w:rsidRPr="00924973">
        <w:rPr>
          <w:rStyle w:val="FootnoteReference"/>
          <w:sz w:val="18"/>
          <w:szCs w:val="18"/>
        </w:rPr>
        <w:footnoteRef/>
      </w:r>
      <w:r>
        <w:rPr>
          <w:sz w:val="18"/>
          <w:szCs w:val="18"/>
        </w:rPr>
        <w:tab/>
      </w:r>
      <w:hyperlink r:id="rId71" w:history="1">
        <w:r w:rsidRPr="00A43FF4">
          <w:rPr>
            <w:rStyle w:val="Hyperlink"/>
            <w:sz w:val="18"/>
            <w:szCs w:val="18"/>
          </w:rPr>
          <w:t>https://eur-lex.europa.eu/eli/dir/2018/2002/oj</w:t>
        </w:r>
      </w:hyperlink>
    </w:p>
    <w:p w:rsidR="00C62407" w:rsidRPr="00924973" w:rsidRDefault="00C62407" w:rsidP="00E27E1A">
      <w:pPr>
        <w:pStyle w:val="FootnoteText"/>
        <w:ind w:left="0" w:firstLine="0"/>
        <w:rPr>
          <w:sz w:val="18"/>
          <w:szCs w:val="18"/>
        </w:rPr>
      </w:pPr>
    </w:p>
  </w:footnote>
  <w:footnote w:id="199">
    <w:p w:rsidR="00C62407" w:rsidRPr="001E7026" w:rsidRDefault="00C62407" w:rsidP="002D3D6B">
      <w:pPr>
        <w:pStyle w:val="FootnoteText"/>
        <w:ind w:left="426" w:right="-142" w:hanging="426"/>
        <w:rPr>
          <w:sz w:val="18"/>
          <w:szCs w:val="18"/>
        </w:rPr>
      </w:pPr>
      <w:r w:rsidRPr="00924973">
        <w:rPr>
          <w:rStyle w:val="FootnoteReference"/>
          <w:sz w:val="18"/>
          <w:szCs w:val="18"/>
        </w:rPr>
        <w:footnoteRef/>
      </w:r>
      <w:r>
        <w:t xml:space="preserve"> </w:t>
      </w:r>
      <w:hyperlink r:id="rId72" w:history="1">
        <w:r w:rsidRPr="001E7026">
          <w:rPr>
            <w:rStyle w:val="Hyperlink"/>
            <w:sz w:val="18"/>
            <w:szCs w:val="18"/>
          </w:rPr>
          <w:t>http://www.acer.europa.eu/official_documents/acts_of_the_agency/sd052005/supporting%20document%20to%20acer%20recommendation%2005-2014%20-%20%20energy%20regulation%20a%20bridge%20to%202025%20conclusions%20paper.pdf</w:t>
        </w:r>
      </w:hyperlink>
    </w:p>
  </w:footnote>
  <w:footnote w:id="200">
    <w:p w:rsidR="00C62407" w:rsidRPr="00924973" w:rsidRDefault="00C62407" w:rsidP="00E27E1A">
      <w:pPr>
        <w:pStyle w:val="FootnoteText"/>
        <w:ind w:left="0" w:firstLine="0"/>
        <w:rPr>
          <w:sz w:val="18"/>
          <w:szCs w:val="18"/>
        </w:rPr>
      </w:pPr>
      <w:r w:rsidRPr="00924973">
        <w:rPr>
          <w:rStyle w:val="FootnoteReference"/>
          <w:sz w:val="18"/>
          <w:szCs w:val="18"/>
        </w:rPr>
        <w:footnoteRef/>
      </w:r>
      <w:r>
        <w:rPr>
          <w:sz w:val="18"/>
          <w:szCs w:val="18"/>
        </w:rPr>
        <w:tab/>
      </w:r>
      <w:r w:rsidRPr="00924973">
        <w:rPr>
          <w:sz w:val="18"/>
          <w:szCs w:val="18"/>
        </w:rPr>
        <w:t>See Article 7 and Annex I of the Regulation.</w:t>
      </w:r>
    </w:p>
  </w:footnote>
  <w:footnote w:id="201">
    <w:p w:rsidR="00C62407" w:rsidRPr="00924973" w:rsidRDefault="00C62407" w:rsidP="001F2DE9">
      <w:pPr>
        <w:pStyle w:val="FootnoteText"/>
        <w:rPr>
          <w:sz w:val="18"/>
          <w:szCs w:val="18"/>
        </w:rPr>
      </w:pPr>
      <w:r w:rsidRPr="00924973">
        <w:rPr>
          <w:rStyle w:val="FootnoteReference"/>
          <w:sz w:val="18"/>
          <w:szCs w:val="18"/>
        </w:rPr>
        <w:footnoteRef/>
      </w:r>
      <w:r>
        <w:rPr>
          <w:sz w:val="18"/>
          <w:szCs w:val="18"/>
        </w:rPr>
        <w:tab/>
      </w:r>
      <w:r w:rsidRPr="00924973">
        <w:rPr>
          <w:sz w:val="18"/>
          <w:szCs w:val="18"/>
        </w:rPr>
        <w:t xml:space="preserve">See Commission Recommendation (EU) 2018/177 of 2 February 2018 on the elements to be included in the technical, legal and financial arrangements between Member States for the application of the solidarity mechanism under Article 13 of Regulation (EU) 2017/1938 of the European Parliament and of the Council concerning measures to safeguard the security of gas supply (C/2018/0551) </w:t>
      </w:r>
      <w:hyperlink r:id="rId73" w:history="1">
        <w:r w:rsidRPr="00924973">
          <w:rPr>
            <w:rStyle w:val="Hyperlink"/>
            <w:sz w:val="18"/>
            <w:szCs w:val="18"/>
          </w:rPr>
          <w:t>http://data.europa.eu/eli/reco/2018/177/oj</w:t>
        </w:r>
      </w:hyperlink>
    </w:p>
  </w:footnote>
  <w:footnote w:id="202">
    <w:p w:rsidR="00C62407" w:rsidRPr="00E7761B" w:rsidRDefault="00C62407" w:rsidP="001F2DE9">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t>‘</w:t>
      </w:r>
      <w:r w:rsidRPr="00924973">
        <w:rPr>
          <w:sz w:val="18"/>
          <w:szCs w:val="18"/>
        </w:rPr>
        <w:t xml:space="preserve">The obligation in </w:t>
      </w:r>
      <w:r>
        <w:rPr>
          <w:sz w:val="18"/>
          <w:szCs w:val="18"/>
        </w:rPr>
        <w:t>A</w:t>
      </w:r>
      <w:r w:rsidRPr="00924973">
        <w:rPr>
          <w:sz w:val="18"/>
          <w:szCs w:val="18"/>
        </w:rPr>
        <w:t>rticle 5 of the Gas Directive to monitor the security of gas supply was assessed by the study to result in mediocre median annual costs for MS of EUR 16</w:t>
      </w:r>
      <w:r>
        <w:rPr>
          <w:sz w:val="18"/>
          <w:szCs w:val="18"/>
        </w:rPr>
        <w:t xml:space="preserve"> </w:t>
      </w:r>
      <w:r w:rsidRPr="00924973">
        <w:rPr>
          <w:sz w:val="18"/>
          <w:szCs w:val="18"/>
        </w:rPr>
        <w:t>503, which are mainly due to costs for equipment and software (EUR 15</w:t>
      </w:r>
      <w:r>
        <w:rPr>
          <w:sz w:val="18"/>
          <w:szCs w:val="18"/>
        </w:rPr>
        <w:t xml:space="preserve"> </w:t>
      </w:r>
      <w:r w:rsidRPr="00924973">
        <w:rPr>
          <w:sz w:val="18"/>
          <w:szCs w:val="18"/>
        </w:rPr>
        <w:t xml:space="preserve">000) 121 and on median 10 man-days per year are needed for the fulfilment of the obligation. The benefits were evaluated as high but he study also identified overlaps of the indicators reported for this obligation with MS reporting obligations to Eurostat 122 as well as overlaps with the reporting obligation contained in </w:t>
      </w:r>
      <w:r>
        <w:rPr>
          <w:sz w:val="18"/>
          <w:szCs w:val="18"/>
        </w:rPr>
        <w:t>A</w:t>
      </w:r>
      <w:r w:rsidRPr="00924973">
        <w:rPr>
          <w:sz w:val="18"/>
          <w:szCs w:val="18"/>
        </w:rPr>
        <w:t xml:space="preserve">rticle 41(1e) of the directive. Nevertheless and due to the comparatively lower costs and high benefits of the obligation reported, the study assessed a high score for all Better Regulation criteria but EU added value with a medium result. The internal interviews by the Commission did not entirely support these good results concerning benefits but confirmed the significant overlaps with the reports provided under </w:t>
      </w:r>
      <w:r>
        <w:rPr>
          <w:sz w:val="18"/>
          <w:szCs w:val="18"/>
        </w:rPr>
        <w:t>A</w:t>
      </w:r>
      <w:r w:rsidRPr="00924973">
        <w:rPr>
          <w:sz w:val="18"/>
          <w:szCs w:val="18"/>
        </w:rPr>
        <w:t xml:space="preserve">rticle 41(1e) of the directive as well </w:t>
      </w:r>
      <w:r w:rsidRPr="00E7761B">
        <w:rPr>
          <w:sz w:val="18"/>
          <w:szCs w:val="18"/>
        </w:rPr>
        <w:t xml:space="preserve">as with the obligations under the Security of Gas Supply Regulation. Furthermore, the public consultation also identified overlaps of the obligation with the Security of Gas Supply Regulation.’ Fitness check accompanying the proposal </w:t>
      </w:r>
      <w:hyperlink r:id="rId74" w:history="1">
        <w:r w:rsidRPr="00E7761B">
          <w:rPr>
            <w:rStyle w:val="Hyperlink"/>
            <w:sz w:val="18"/>
            <w:szCs w:val="18"/>
          </w:rPr>
          <w:t>https://eur-lex.europa.eu/legal-content/EN/TXT/PDF/?uri=CELEX:52016SC0397&amp;from=EN</w:t>
        </w:r>
      </w:hyperlink>
    </w:p>
  </w:footnote>
  <w:footnote w:id="203">
    <w:p w:rsidR="00C62407" w:rsidRPr="00924973" w:rsidRDefault="00C62407" w:rsidP="000930F2">
      <w:pPr>
        <w:pStyle w:val="FootnoteText"/>
        <w:rPr>
          <w:sz w:val="18"/>
          <w:szCs w:val="18"/>
        </w:rPr>
      </w:pPr>
      <w:r w:rsidRPr="00E7761B">
        <w:rPr>
          <w:rStyle w:val="FootnoteReference"/>
          <w:sz w:val="18"/>
          <w:szCs w:val="18"/>
        </w:rPr>
        <w:footnoteRef/>
      </w:r>
      <w:r w:rsidRPr="00E7761B">
        <w:rPr>
          <w:sz w:val="18"/>
          <w:szCs w:val="18"/>
        </w:rPr>
        <w:t xml:space="preserve"> </w:t>
      </w:r>
      <w:r w:rsidRPr="00E7761B">
        <w:rPr>
          <w:sz w:val="18"/>
          <w:szCs w:val="18"/>
        </w:rPr>
        <w:tab/>
        <w:t>‘1. In the event of a sudden crisis in the energy market or where the physical safety or security of persons, apparatus or installations or system integrity</w:t>
      </w:r>
      <w:r w:rsidRPr="00924973">
        <w:rPr>
          <w:sz w:val="18"/>
          <w:szCs w:val="18"/>
        </w:rPr>
        <w:t xml:space="preserve"> is threatened, a Member State may temporarily take the necessary safeguard measures.</w:t>
      </w:r>
    </w:p>
    <w:p w:rsidR="00C62407" w:rsidRPr="00924973" w:rsidRDefault="00C62407" w:rsidP="000930F2">
      <w:pPr>
        <w:pStyle w:val="FootnoteText"/>
        <w:ind w:firstLine="0"/>
        <w:rPr>
          <w:sz w:val="18"/>
          <w:szCs w:val="18"/>
        </w:rPr>
      </w:pPr>
      <w:r w:rsidRPr="00924973">
        <w:rPr>
          <w:sz w:val="18"/>
          <w:szCs w:val="18"/>
        </w:rPr>
        <w:t>2. Such measures shall cause the least possible disturbance to the functioning of the internal market and shall be no wider in scope than is strictly necessary to remedy the sudden difficulties which have arisen.</w:t>
      </w:r>
    </w:p>
    <w:p w:rsidR="00C62407" w:rsidRPr="00924973" w:rsidRDefault="00C62407" w:rsidP="000930F2">
      <w:pPr>
        <w:pStyle w:val="FootnoteText"/>
        <w:ind w:firstLine="0"/>
        <w:rPr>
          <w:sz w:val="18"/>
          <w:szCs w:val="18"/>
        </w:rPr>
      </w:pPr>
      <w:r w:rsidRPr="00924973">
        <w:rPr>
          <w:sz w:val="18"/>
          <w:szCs w:val="18"/>
        </w:rPr>
        <w:t>3. The Member State concerned shall, without delay, notify those measures to the other Member States, and to the Commission, which may decide that the Member State concerned must amend or abolish such measures, insofar as they distort competition and adversely affect trade in a manner which is at variance with the common interest.</w:t>
      </w:r>
      <w:r>
        <w:rPr>
          <w:sz w:val="18"/>
          <w:szCs w:val="18"/>
        </w:rPr>
        <w:t>’</w:t>
      </w:r>
    </w:p>
  </w:footnote>
  <w:footnote w:id="204">
    <w:p w:rsidR="00C62407" w:rsidRPr="00924973"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 extreme temperatures during a 7-day peak period occurring with a statistical probability of once in 20 years; (b) any period of 30 days of exceptionally high gas demand, occurring with a statistical probability of once in 20 years; (c) for a period of 30 days in the case of disruption of the single largest gas infrastructure under average winter conditions (Article 6(1)).</w:t>
      </w:r>
    </w:p>
  </w:footnote>
  <w:footnote w:id="205">
    <w:p w:rsidR="00C62407" w:rsidRPr="001F0626"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Virtual reverse flow means a netting of nominations between both flow directions. In case it is not possible to use an interconnector physically in both directions, network users could </w:t>
      </w:r>
      <w:r w:rsidRPr="001F0626">
        <w:rPr>
          <w:sz w:val="18"/>
          <w:szCs w:val="18"/>
        </w:rPr>
        <w:t xml:space="preserve">use the interconnection point up to a level of the usage on the main direction. Only the net sum of the transport wishes of all network users would then be transported by the respective transmission system operators. </w:t>
      </w:r>
    </w:p>
  </w:footnote>
  <w:footnote w:id="206">
    <w:p w:rsidR="00C62407" w:rsidRPr="008C26EC" w:rsidRDefault="00C62407">
      <w:pPr>
        <w:pStyle w:val="FootnoteText"/>
      </w:pPr>
      <w:r w:rsidRPr="002A0899">
        <w:rPr>
          <w:rStyle w:val="FootnoteReference"/>
          <w:sz w:val="18"/>
          <w:szCs w:val="18"/>
        </w:rPr>
        <w:footnoteRef/>
      </w:r>
      <w:r w:rsidRPr="002A0899">
        <w:rPr>
          <w:sz w:val="18"/>
          <w:szCs w:val="18"/>
        </w:rPr>
        <w:t xml:space="preserve"> </w:t>
      </w:r>
      <w:r w:rsidRPr="002A0899">
        <w:rPr>
          <w:sz w:val="18"/>
          <w:szCs w:val="18"/>
        </w:rPr>
        <w:tab/>
      </w:r>
      <w:r w:rsidRPr="002A0899">
        <w:rPr>
          <w:rStyle w:val="Hyperlink"/>
          <w:sz w:val="18"/>
          <w:szCs w:val="18"/>
        </w:rPr>
        <w:t>https://eur-lex.europa.eu/legal-content/EN/TXT/?uri=CELEX%3A52015DC0339</w:t>
      </w:r>
    </w:p>
  </w:footnote>
  <w:footnote w:id="207">
    <w:p w:rsidR="00C62407" w:rsidRPr="00185F32" w:rsidRDefault="00C62407" w:rsidP="00E27E1A">
      <w:pPr>
        <w:pStyle w:val="FootnoteText"/>
        <w:ind w:left="0" w:firstLine="0"/>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https://ec.europa.eu/energy/sites/ener/files/documents/com_2013_public_intervention_en_0.pdf</w:t>
      </w:r>
    </w:p>
  </w:footnote>
  <w:footnote w:id="208">
    <w:p w:rsidR="00C62407" w:rsidRPr="00185F32" w:rsidRDefault="00C62407" w:rsidP="00E27E1A">
      <w:pPr>
        <w:pStyle w:val="FootnoteText"/>
        <w:ind w:left="0" w:firstLine="0"/>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r>
      <w:hyperlink r:id="rId75" w:history="1">
        <w:r w:rsidRPr="00185F32">
          <w:rPr>
            <w:rStyle w:val="Hyperlink"/>
            <w:sz w:val="18"/>
            <w:szCs w:val="18"/>
          </w:rPr>
          <w:t>https://ec.europa.eu/energy/sites/ener/files/documents/20140122_acer_com_evaluation.pdf</w:t>
        </w:r>
      </w:hyperlink>
    </w:p>
  </w:footnote>
  <w:footnote w:id="209">
    <w:p w:rsidR="00C62407" w:rsidRPr="00185F32" w:rsidRDefault="00C62407" w:rsidP="00B043A6">
      <w:pPr>
        <w:pStyle w:val="FootnoteText"/>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Commission Evaluation of 22.01.2014 of the activities of the Agency for the Cooperation of Energy Regulators (ACER) under Article 34 of Regulation (EC) 713/2009 – C(2014) 242 final.</w:t>
      </w:r>
    </w:p>
  </w:footnote>
  <w:footnote w:id="210">
    <w:p w:rsidR="00C62407" w:rsidRPr="00185F32" w:rsidRDefault="00C62407" w:rsidP="00E27E1A">
      <w:pPr>
        <w:pStyle w:val="FootnoteText"/>
        <w:ind w:left="0" w:firstLine="0"/>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S</w:t>
      </w:r>
      <w:r w:rsidRPr="00185F32">
        <w:rPr>
          <w:sz w:val="18"/>
          <w:szCs w:val="18"/>
          <w:shd w:val="clear" w:color="auto" w:fill="FFFFFF"/>
        </w:rPr>
        <w:t>WD/2016/0412 final - 2016/0379.</w:t>
      </w:r>
    </w:p>
  </w:footnote>
  <w:footnote w:id="211">
    <w:p w:rsidR="00C62407" w:rsidRPr="00185F32" w:rsidRDefault="00C62407" w:rsidP="00E27E1A">
      <w:pPr>
        <w:pStyle w:val="FootnoteText"/>
        <w:ind w:left="0" w:firstLine="0"/>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r>
      <w:r w:rsidRPr="00185F32">
        <w:rPr>
          <w:sz w:val="18"/>
          <w:szCs w:val="18"/>
          <w:shd w:val="clear" w:color="auto" w:fill="FFFFFF"/>
        </w:rPr>
        <w:t>SWD/2016/0410 final - 2016/0379.</w:t>
      </w:r>
    </w:p>
  </w:footnote>
  <w:footnote w:id="212">
    <w:p w:rsidR="00C62407" w:rsidRPr="00185F32" w:rsidRDefault="00C62407" w:rsidP="00B043A6">
      <w:pPr>
        <w:pStyle w:val="FootnoteText"/>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European Court of Auditors 2020 Special Report: Future of EU agencies – Potential for more flexibility and cooperation.</w:t>
      </w:r>
    </w:p>
  </w:footnote>
  <w:footnote w:id="213">
    <w:p w:rsidR="00C62407" w:rsidRPr="00185F32" w:rsidRDefault="00C62407" w:rsidP="00B043A6">
      <w:pPr>
        <w:pStyle w:val="FootnoteText"/>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The revised ACER Regulation (Article 33(10) of the ACER Regulation 2019/942) introduced the obligation that the Commission shall assess whether the financial and human resources available to ACER allow it to fulfil its role under this Regulation of working towards an internal energy market and of contributing to energy security to the benefit of consumers in the Union.</w:t>
      </w:r>
    </w:p>
  </w:footnote>
  <w:footnote w:id="214">
    <w:p w:rsidR="00C62407" w:rsidRPr="00924973" w:rsidRDefault="00C62407" w:rsidP="00B043A6">
      <w:pPr>
        <w:pStyle w:val="FootnoteText"/>
        <w:rPr>
          <w:sz w:val="18"/>
          <w:szCs w:val="18"/>
        </w:rPr>
      </w:pPr>
      <w:r w:rsidRPr="00185F32">
        <w:rPr>
          <w:rStyle w:val="FootnoteReference"/>
          <w:sz w:val="18"/>
          <w:szCs w:val="18"/>
        </w:rPr>
        <w:footnoteRef/>
      </w:r>
      <w:r w:rsidRPr="00185F32">
        <w:rPr>
          <w:sz w:val="18"/>
          <w:szCs w:val="18"/>
        </w:rPr>
        <w:t xml:space="preserve"> </w:t>
      </w:r>
      <w:r w:rsidRPr="00185F32">
        <w:rPr>
          <w:sz w:val="18"/>
          <w:szCs w:val="18"/>
        </w:rPr>
        <w:tab/>
        <w:t>Commission Opinion of 05.10.2021 on the draft programming document of the European Union Agency for the Cooperation of Energy Regulators for the period 2022 – 2024 and on the sufficiency of the financial and human resources available to the Agency – C(2021)7024.</w:t>
      </w:r>
      <w:r w:rsidRPr="00924973">
        <w:rPr>
          <w:sz w:val="18"/>
          <w:szCs w:val="18"/>
        </w:rPr>
        <w:t xml:space="preserve"> </w:t>
      </w:r>
    </w:p>
  </w:footnote>
  <w:footnote w:id="215">
    <w:p w:rsidR="00C62407" w:rsidRPr="001F0626"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lang w:val="en-US"/>
        </w:rPr>
        <w:t xml:space="preserve">Study for the ITRE Committee of the European Parliament </w:t>
      </w:r>
      <w:r>
        <w:rPr>
          <w:sz w:val="18"/>
          <w:szCs w:val="18"/>
          <w:lang w:val="en-US"/>
        </w:rPr>
        <w:t>‘</w:t>
      </w:r>
      <w:r w:rsidRPr="00924973">
        <w:rPr>
          <w:sz w:val="18"/>
          <w:szCs w:val="18"/>
        </w:rPr>
        <w:t>Energy Union: Key Decisions for the Realisation of a Fully Integrated Energy Market</w:t>
      </w:r>
      <w:r>
        <w:rPr>
          <w:sz w:val="18"/>
          <w:szCs w:val="18"/>
        </w:rPr>
        <w:t>’</w:t>
      </w:r>
      <w:r w:rsidRPr="00924973">
        <w:rPr>
          <w:sz w:val="18"/>
          <w:szCs w:val="18"/>
        </w:rPr>
        <w:t>, 15 March 2016</w:t>
      </w:r>
      <w:r w:rsidRPr="00924973">
        <w:rPr>
          <w:sz w:val="18"/>
          <w:szCs w:val="18"/>
          <w:lang w:val="en-US"/>
        </w:rPr>
        <w:t xml:space="preserve"> </w:t>
      </w:r>
      <w:r w:rsidRPr="009F1EC6">
        <w:rPr>
          <w:sz w:val="18"/>
          <w:szCs w:val="18"/>
        </w:rPr>
        <w:t>‘</w:t>
      </w:r>
      <w:r w:rsidRPr="00BC4515">
        <w:rPr>
          <w:iCs/>
          <w:sz w:val="18"/>
          <w:szCs w:val="18"/>
        </w:rPr>
        <w:t xml:space="preserve">In several regional or EU-level projects (e.g. market coupling projects, (…)) national authorities, TSOs, regulators and energy exchanges of different Member States need to cooperate. However, as they are primarily responsible for their own national gas and electricity system and market they are not always sufficiently motivated to also take supranational interests into account. </w:t>
      </w:r>
      <w:r w:rsidRPr="009F1EC6">
        <w:rPr>
          <w:sz w:val="18"/>
          <w:szCs w:val="18"/>
        </w:rPr>
        <w:t xml:space="preserve">[…] </w:t>
      </w:r>
      <w:r w:rsidRPr="00BC4515">
        <w:rPr>
          <w:iCs/>
          <w:sz w:val="18"/>
          <w:szCs w:val="18"/>
        </w:rPr>
        <w:t>This leads to complex and slow decisional and implementation processes for most cross-border projects, resulting in delayed implementations (e.g. the intra-day markets’ coupling project)</w:t>
      </w:r>
      <w:r w:rsidRPr="009F1EC6">
        <w:rPr>
          <w:sz w:val="18"/>
          <w:szCs w:val="18"/>
        </w:rPr>
        <w:t>.’</w:t>
      </w:r>
      <w:r w:rsidRPr="00924973">
        <w:rPr>
          <w:sz w:val="18"/>
          <w:szCs w:val="18"/>
          <w:lang w:val="en-US"/>
        </w:rPr>
        <w:t xml:space="preserve"> </w:t>
      </w:r>
      <w:r w:rsidRPr="00924973">
        <w:rPr>
          <w:sz w:val="18"/>
          <w:szCs w:val="18"/>
        </w:rPr>
        <w:t xml:space="preserve">In this context, different </w:t>
      </w:r>
      <w:r w:rsidRPr="001F0626">
        <w:rPr>
          <w:sz w:val="18"/>
          <w:szCs w:val="18"/>
        </w:rPr>
        <w:t xml:space="preserve">stakeholders argue for stronger </w:t>
      </w:r>
      <w:r w:rsidRPr="001F0626">
        <w:rPr>
          <w:b/>
          <w:bCs/>
          <w:sz w:val="18"/>
          <w:szCs w:val="18"/>
        </w:rPr>
        <w:t>governance at the EU level</w:t>
      </w:r>
      <w:r w:rsidRPr="001F0626">
        <w:rPr>
          <w:sz w:val="18"/>
          <w:szCs w:val="18"/>
        </w:rPr>
        <w:t>. For example, EPEX Spot states the need to accompany the electricity target model by appropriate governance architecture at European level, applicable on Market Coupling activities, which will be crucial to ensure an efficient day-to-day operation of such complex mechanisms.</w:t>
      </w:r>
    </w:p>
    <w:p w:rsidR="00C62407" w:rsidRPr="00196565" w:rsidRDefault="00C62407" w:rsidP="00E27E1A">
      <w:pPr>
        <w:pStyle w:val="FootnoteText"/>
        <w:ind w:left="0" w:firstLine="0"/>
        <w:rPr>
          <w:sz w:val="18"/>
          <w:szCs w:val="18"/>
          <w:lang w:val="en-US"/>
        </w:rPr>
      </w:pPr>
      <w:r w:rsidRPr="001F0626">
        <w:rPr>
          <w:sz w:val="18"/>
          <w:szCs w:val="18"/>
        </w:rPr>
        <w:tab/>
      </w:r>
      <w:hyperlink r:id="rId76" w:history="1">
        <w:r w:rsidRPr="001F0626">
          <w:rPr>
            <w:rStyle w:val="Hyperlink"/>
            <w:sz w:val="18"/>
            <w:szCs w:val="18"/>
          </w:rPr>
          <w:t>http://www.europarl.europa.eu/RegData/etudes/STUD/2016/578968/IPOL_STU(2016)578968_EN.pdf</w:t>
        </w:r>
      </w:hyperlink>
    </w:p>
  </w:footnote>
  <w:footnote w:id="216">
    <w:p w:rsidR="00C62407" w:rsidRPr="00C150DC" w:rsidRDefault="00C62407" w:rsidP="00F01DBE">
      <w:pPr>
        <w:pStyle w:val="FootnoteText"/>
      </w:pPr>
      <w:r>
        <w:rPr>
          <w:rStyle w:val="FootnoteReference"/>
        </w:rPr>
        <w:footnoteRef/>
      </w:r>
      <w:r>
        <w:t xml:space="preserve"> </w:t>
      </w:r>
      <w:r>
        <w:tab/>
        <w:t>2017 CEER Retail Markets Monitoring Report, p. 27.</w:t>
      </w:r>
    </w:p>
  </w:footnote>
  <w:footnote w:id="217">
    <w:p w:rsidR="00C62407" w:rsidRPr="00D2507B" w:rsidRDefault="00C62407" w:rsidP="00AB1F6E">
      <w:pPr>
        <w:pStyle w:val="FootnoteText"/>
        <w:rPr>
          <w:lang w:val="en-US"/>
        </w:rPr>
      </w:pPr>
      <w:r>
        <w:rPr>
          <w:rStyle w:val="FootnoteReference"/>
        </w:rPr>
        <w:footnoteRef/>
      </w:r>
      <w:r>
        <w:t xml:space="preserve"> </w:t>
      </w:r>
      <w:r>
        <w:tab/>
        <w:t>Free-of-charge services and/or products enticing consumers into a contract (i.e. supermarket points or similar, membership points, air miles, gifts in kind, free insurance cover, maintenance services); or payable services and/or products complementing the electricity and gas offers against additional payment (insurance, boiler maintenance, home insulation, etc.).</w:t>
      </w:r>
    </w:p>
  </w:footnote>
  <w:footnote w:id="218">
    <w:p w:rsidR="00C62407" w:rsidRPr="007953E1" w:rsidRDefault="00C62407" w:rsidP="00AB1F6E">
      <w:pPr>
        <w:pStyle w:val="FootnoteText"/>
        <w:rPr>
          <w:lang w:val="en-US"/>
        </w:rPr>
      </w:pPr>
      <w:r>
        <w:rPr>
          <w:rStyle w:val="FootnoteReference"/>
        </w:rPr>
        <w:footnoteRef/>
      </w:r>
      <w:r w:rsidRPr="00937FCC">
        <w:rPr>
          <w:lang w:val="en-US"/>
        </w:rPr>
        <w:t xml:space="preserve"> </w:t>
      </w:r>
      <w:r>
        <w:rPr>
          <w:lang w:val="en-US"/>
        </w:rPr>
        <w:tab/>
      </w:r>
      <w:r w:rsidRPr="00937FCC">
        <w:rPr>
          <w:lang w:val="en-US"/>
        </w:rPr>
        <w:t>Source: ACER Database.</w:t>
      </w:r>
    </w:p>
  </w:footnote>
  <w:footnote w:id="219">
    <w:p w:rsidR="00C62407" w:rsidRPr="00740E1C" w:rsidRDefault="00C62407" w:rsidP="00740E1C">
      <w:pPr>
        <w:rPr>
          <w:sz w:val="20"/>
        </w:rPr>
      </w:pPr>
      <w:r w:rsidRPr="062AB5CE">
        <w:rPr>
          <w:rStyle w:val="FootnoteReference"/>
          <w:sz w:val="20"/>
        </w:rPr>
        <w:footnoteRef/>
      </w:r>
      <w:r>
        <w:rPr>
          <w:sz w:val="20"/>
        </w:rPr>
        <w:tab/>
      </w:r>
      <w:r w:rsidRPr="00740E1C">
        <w:rPr>
          <w:sz w:val="18"/>
        </w:rPr>
        <w:t>2018 ACER Market Monitoring Report – Consumer Empowerment Volume, p. 13.</w:t>
      </w:r>
    </w:p>
  </w:footnote>
  <w:footnote w:id="220">
    <w:p w:rsidR="00C62407" w:rsidRPr="00740E1C" w:rsidRDefault="00C62407" w:rsidP="00371D15">
      <w:pPr>
        <w:pStyle w:val="FootnoteText"/>
        <w:rPr>
          <w:sz w:val="18"/>
        </w:rPr>
      </w:pPr>
      <w:r w:rsidRPr="002F7976">
        <w:rPr>
          <w:rStyle w:val="FootnoteReference"/>
        </w:rPr>
        <w:footnoteRef/>
      </w:r>
      <w:r>
        <w:t xml:space="preserve"> </w:t>
      </w:r>
      <w:r>
        <w:tab/>
      </w:r>
      <w:r w:rsidRPr="00740E1C">
        <w:rPr>
          <w:sz w:val="18"/>
        </w:rPr>
        <w:t>Monitoring Report on the Performance of European Retail Markets in 2018, p.</w:t>
      </w:r>
      <w:r>
        <w:rPr>
          <w:sz w:val="18"/>
        </w:rPr>
        <w:t xml:space="preserve"> </w:t>
      </w:r>
      <w:r w:rsidRPr="00740E1C">
        <w:rPr>
          <w:sz w:val="18"/>
        </w:rPr>
        <w:t>31.</w:t>
      </w:r>
    </w:p>
  </w:footnote>
  <w:footnote w:id="221">
    <w:p w:rsidR="00C62407" w:rsidRPr="008B0CA8" w:rsidRDefault="00C62407" w:rsidP="00AB1F6E">
      <w:pPr>
        <w:pStyle w:val="FootnoteText"/>
      </w:pPr>
      <w:r w:rsidRPr="008B0CA8">
        <w:rPr>
          <w:rStyle w:val="FootnoteReference"/>
        </w:rPr>
        <w:footnoteRef/>
      </w:r>
      <w:r w:rsidRPr="008B0CA8">
        <w:t xml:space="preserve"> </w:t>
      </w:r>
      <w:r>
        <w:tab/>
      </w:r>
      <w:r w:rsidRPr="00740E1C">
        <w:rPr>
          <w:sz w:val="18"/>
        </w:rPr>
        <w:t>Change of product or contract with the same supplier (renegotiation/choosing a different option).</w:t>
      </w:r>
    </w:p>
  </w:footnote>
  <w:footnote w:id="222">
    <w:p w:rsidR="00C62407" w:rsidRPr="0037665E" w:rsidRDefault="00C62407" w:rsidP="00B043A6">
      <w:pPr>
        <w:pStyle w:val="FootnoteText"/>
        <w:rPr>
          <w:lang w:val="cs-CZ"/>
        </w:rPr>
      </w:pPr>
      <w:r w:rsidRPr="001C03A8">
        <w:rPr>
          <w:rStyle w:val="FootnoteReference"/>
        </w:rPr>
        <w:footnoteRef/>
      </w:r>
      <w:r w:rsidRPr="001C03A8">
        <w:t xml:space="preserve"> </w:t>
      </w:r>
      <w:r>
        <w:tab/>
      </w:r>
      <w:r w:rsidRPr="00740E1C">
        <w:rPr>
          <w:sz w:val="18"/>
        </w:rPr>
        <w:t xml:space="preserve">CEER Monitoring Report on Performance of European Retail Markets in 2018. </w:t>
      </w:r>
      <w:hyperlink r:id="rId77" w:history="1">
        <w:r w:rsidRPr="00740E1C">
          <w:rPr>
            <w:rStyle w:val="Hyperlink"/>
            <w:sz w:val="18"/>
          </w:rPr>
          <w:t>https://www.ceer.eu/documents/104400/-/-/5c492f87-c88f-6c78-5852-43f1f13c89e4</w:t>
        </w:r>
      </w:hyperlink>
    </w:p>
  </w:footnote>
  <w:footnote w:id="223">
    <w:p w:rsidR="00C62407" w:rsidRPr="00A26C5F" w:rsidRDefault="00C62407" w:rsidP="00C134D1">
      <w:pPr>
        <w:spacing w:after="0"/>
        <w:ind w:left="720" w:hanging="720"/>
        <w:rPr>
          <w:sz w:val="18"/>
          <w:szCs w:val="18"/>
          <w:lang w:val="cs-CZ"/>
        </w:rPr>
      </w:pPr>
      <w:r w:rsidRPr="00740E1C">
        <w:rPr>
          <w:rStyle w:val="FootnoteReference"/>
          <w:sz w:val="18"/>
          <w:szCs w:val="18"/>
          <w:lang w:eastAsia="en-GB"/>
        </w:rPr>
        <w:footnoteRef/>
      </w:r>
      <w:r>
        <w:t xml:space="preserve"> </w:t>
      </w:r>
      <w:r>
        <w:tab/>
      </w:r>
      <w:r w:rsidRPr="00451ADD">
        <w:rPr>
          <w:sz w:val="18"/>
          <w:szCs w:val="18"/>
        </w:rPr>
        <w:t>Market Monitoring Survey 2020, Gas Services, available at</w:t>
      </w:r>
      <w:r w:rsidR="00451ADD" w:rsidRPr="00451ADD">
        <w:rPr>
          <w:sz w:val="18"/>
          <w:szCs w:val="18"/>
        </w:rPr>
        <w:t xml:space="preserve">: </w:t>
      </w:r>
      <w:hyperlink r:id="rId78" w:history="1">
        <w:r w:rsidR="001F0626" w:rsidRPr="002A0899">
          <w:rPr>
            <w:rStyle w:val="Hyperlink"/>
            <w:sz w:val="18"/>
            <w:szCs w:val="18"/>
          </w:rPr>
          <w:t>EURO_COMMISSION_Dashboard_20_19-036243-01-12_Finale_Slide 2 (europa.eu)</w:t>
        </w:r>
      </w:hyperlink>
    </w:p>
  </w:footnote>
  <w:footnote w:id="224">
    <w:p w:rsidR="00C62407" w:rsidRDefault="00C62407" w:rsidP="00AB1F6E">
      <w:pPr>
        <w:pStyle w:val="FootnoteText"/>
      </w:pPr>
      <w:r w:rsidRPr="00A26C5F">
        <w:rPr>
          <w:rStyle w:val="FootnoteReference"/>
          <w:sz w:val="18"/>
          <w:szCs w:val="18"/>
        </w:rPr>
        <w:footnoteRef/>
      </w:r>
      <w:r w:rsidRPr="00A26C5F">
        <w:rPr>
          <w:sz w:val="18"/>
          <w:szCs w:val="18"/>
        </w:rPr>
        <w:t xml:space="preserve"> </w:t>
      </w:r>
      <w:r>
        <w:rPr>
          <w:sz w:val="18"/>
          <w:szCs w:val="18"/>
        </w:rPr>
        <w:tab/>
      </w:r>
      <w:r w:rsidRPr="00A26C5F">
        <w:rPr>
          <w:sz w:val="18"/>
          <w:szCs w:val="18"/>
        </w:rPr>
        <w:t>Market barrier retail study, p. 56</w:t>
      </w:r>
      <w:r>
        <w:rPr>
          <w:sz w:val="18"/>
          <w:szCs w:val="18"/>
        </w:rPr>
        <w:t>.</w:t>
      </w:r>
    </w:p>
  </w:footnote>
  <w:footnote w:id="225">
    <w:p w:rsidR="00C62407" w:rsidRDefault="00C62407" w:rsidP="00B043A6">
      <w:pPr>
        <w:pStyle w:val="FootnoteText"/>
      </w:pPr>
      <w:r>
        <w:rPr>
          <w:rStyle w:val="FootnoteReference"/>
        </w:rPr>
        <w:footnoteRef/>
      </w:r>
      <w:r>
        <w:t xml:space="preserve"> </w:t>
      </w:r>
      <w:r>
        <w:tab/>
      </w:r>
      <w:r w:rsidRPr="00740E1C">
        <w:rPr>
          <w:sz w:val="18"/>
        </w:rPr>
        <w:t>Directive (EU) 2018/2002 of the European Parliament and of the Council of 11 December 2018 amending Directive 2012/27/EU on energy efficiency.</w:t>
      </w:r>
    </w:p>
  </w:footnote>
  <w:footnote w:id="226">
    <w:p w:rsidR="00C62407" w:rsidRDefault="00C62407" w:rsidP="00B043A6">
      <w:pPr>
        <w:pStyle w:val="FootnoteText"/>
      </w:pPr>
      <w:r>
        <w:rPr>
          <w:rStyle w:val="FootnoteReference"/>
        </w:rPr>
        <w:footnoteRef/>
      </w:r>
      <w:r>
        <w:t xml:space="preserve"> </w:t>
      </w:r>
      <w:r>
        <w:tab/>
      </w:r>
      <w:r w:rsidRPr="00740E1C">
        <w:rPr>
          <w:sz w:val="18"/>
        </w:rPr>
        <w:t xml:space="preserve">Though information on historical consumption is to be included in bills for natural gas, according to the Energy Efficiency Directive Art. 10, as specified in the previous paragraph. </w:t>
      </w:r>
    </w:p>
  </w:footnote>
  <w:footnote w:id="227">
    <w:p w:rsidR="00C62407" w:rsidRPr="00924973"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740E1C">
        <w:rPr>
          <w:sz w:val="18"/>
        </w:rPr>
        <w:t>SWD(2020) 960 final EU Guidance on Energy poverty accompanying the Commission Recommendation, dated 14 October 2021.</w:t>
      </w:r>
    </w:p>
  </w:footnote>
  <w:footnote w:id="228">
    <w:p w:rsidR="00C62407" w:rsidRPr="00924973"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t>L</w:t>
      </w:r>
      <w:r w:rsidRPr="00924973">
        <w:rPr>
          <w:sz w:val="18"/>
          <w:szCs w:val="18"/>
        </w:rPr>
        <w:t>ow income, high expenditure of disposable income on energy, and poor energy efficiency of dwellings.</w:t>
      </w:r>
    </w:p>
  </w:footnote>
  <w:footnote w:id="229">
    <w:p w:rsidR="00C62407" w:rsidRPr="00924973"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 xml:space="preserve">Communication from the Commission to the European Parliament, the European Council, the Council, the European Economic and Social Committee and the Committee of the Regions </w:t>
      </w:r>
      <w:r>
        <w:rPr>
          <w:sz w:val="18"/>
          <w:szCs w:val="18"/>
        </w:rPr>
        <w:t>–</w:t>
      </w:r>
      <w:r w:rsidRPr="00924973">
        <w:rPr>
          <w:sz w:val="18"/>
          <w:szCs w:val="18"/>
        </w:rPr>
        <w:t xml:space="preserve"> An EU-wide assessment of National Energy and Climate Plans </w:t>
      </w:r>
      <w:r>
        <w:rPr>
          <w:sz w:val="18"/>
          <w:szCs w:val="18"/>
        </w:rPr>
        <w:t>–</w:t>
      </w:r>
      <w:r w:rsidRPr="00924973">
        <w:rPr>
          <w:sz w:val="18"/>
          <w:szCs w:val="18"/>
        </w:rPr>
        <w:t xml:space="preserve"> Driving forward the green transition and promoting economic recovery through integrated energy and climate planning (COM/2020/564 final</w:t>
      </w:r>
      <w:r>
        <w:rPr>
          <w:sz w:val="18"/>
          <w:szCs w:val="18"/>
        </w:rPr>
        <w:t>).</w:t>
      </w:r>
    </w:p>
  </w:footnote>
  <w:footnote w:id="230">
    <w:p w:rsidR="00C62407" w:rsidRPr="00924973" w:rsidRDefault="00C62407" w:rsidP="00B043A6">
      <w:pPr>
        <w:pStyle w:val="FootnoteText"/>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SWD(2020) 960</w:t>
      </w:r>
      <w:r>
        <w:rPr>
          <w:sz w:val="18"/>
          <w:szCs w:val="18"/>
        </w:rPr>
        <w:t>.</w:t>
      </w:r>
    </w:p>
  </w:footnote>
  <w:footnote w:id="231">
    <w:p w:rsidR="00C62407" w:rsidRPr="00924973" w:rsidRDefault="00C62407" w:rsidP="00AB1F6E">
      <w:pPr>
        <w:pStyle w:val="FootnoteText"/>
        <w:ind w:left="0" w:firstLine="0"/>
        <w:rPr>
          <w:sz w:val="18"/>
          <w:szCs w:val="18"/>
        </w:rPr>
      </w:pPr>
      <w:r w:rsidRPr="00924973">
        <w:rPr>
          <w:rStyle w:val="FootnoteReference"/>
          <w:sz w:val="18"/>
          <w:szCs w:val="18"/>
        </w:rPr>
        <w:footnoteRef/>
      </w:r>
      <w:r w:rsidRPr="00924973">
        <w:rPr>
          <w:sz w:val="18"/>
          <w:szCs w:val="18"/>
        </w:rPr>
        <w:t xml:space="preserve"> </w:t>
      </w:r>
      <w:r>
        <w:rPr>
          <w:sz w:val="18"/>
          <w:szCs w:val="18"/>
        </w:rPr>
        <w:tab/>
      </w:r>
      <w:r w:rsidRPr="00924973">
        <w:rPr>
          <w:sz w:val="18"/>
          <w:szCs w:val="18"/>
        </w:rPr>
        <w:t>ACER Market Monitoring Report 2019 – Energy Retail and Consumer Protection Volume</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67E" w:rsidRPr="00F9467E" w:rsidRDefault="00F9467E" w:rsidP="00F9467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407" w:rsidRDefault="00C62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07B29DB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24005A"/>
    <w:multiLevelType w:val="hybridMultilevel"/>
    <w:tmpl w:val="46CECC52"/>
    <w:lvl w:ilvl="0" w:tplc="FBA47046">
      <w:start w:val="1"/>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2D6EF2"/>
    <w:multiLevelType w:val="hybridMultilevel"/>
    <w:tmpl w:val="05608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0E87489"/>
    <w:multiLevelType w:val="hybridMultilevel"/>
    <w:tmpl w:val="608C509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13D3685"/>
    <w:multiLevelType w:val="hybridMultilevel"/>
    <w:tmpl w:val="CF00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473CED"/>
    <w:multiLevelType w:val="multilevel"/>
    <w:tmpl w:val="20604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1A84610"/>
    <w:multiLevelType w:val="hybridMultilevel"/>
    <w:tmpl w:val="505C6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AE1F11"/>
    <w:multiLevelType w:val="hybridMultilevel"/>
    <w:tmpl w:val="6882D352"/>
    <w:lvl w:ilvl="0" w:tplc="982C4838">
      <w:numFmt w:val="bullet"/>
      <w:lvlText w:val="•"/>
      <w:lvlJc w:val="left"/>
      <w:pPr>
        <w:ind w:left="1080" w:hanging="720"/>
      </w:pPr>
      <w:rPr>
        <w:rFonts w:ascii="Calibri" w:eastAsiaTheme="minorHAnsi" w:hAnsi="Calibri" w:cs="Calibri" w:hint="default"/>
      </w:rPr>
    </w:lvl>
    <w:lvl w:ilvl="1" w:tplc="7550D942">
      <w:start w:val="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1CA5BF5"/>
    <w:multiLevelType w:val="hybridMultilevel"/>
    <w:tmpl w:val="E7764578"/>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15:restartNumberingAfterBreak="0">
    <w:nsid w:val="01CD567D"/>
    <w:multiLevelType w:val="hybridMultilevel"/>
    <w:tmpl w:val="1F1CD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BC1E76"/>
    <w:multiLevelType w:val="hybridMultilevel"/>
    <w:tmpl w:val="B6124D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2F926A3"/>
    <w:multiLevelType w:val="hybridMultilevel"/>
    <w:tmpl w:val="DAF2F9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03411338"/>
    <w:multiLevelType w:val="hybridMultilevel"/>
    <w:tmpl w:val="D9DA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75446E"/>
    <w:multiLevelType w:val="multilevel"/>
    <w:tmpl w:val="3BF6DE7E"/>
    <w:lvl w:ilvl="0">
      <w:start w:val="1"/>
      <w:numFmt w:val="decimal"/>
      <w:pStyle w:val="Heading1"/>
      <w:lvlText w:val="%1."/>
      <w:lvlJc w:val="left"/>
      <w:pPr>
        <w:tabs>
          <w:tab w:val="num" w:pos="480"/>
        </w:tabs>
        <w:ind w:left="480" w:hanging="480"/>
      </w:pPr>
      <w:rPr>
        <w:rFonts w:hint="default"/>
        <w:sz w:val="24"/>
        <w:szCs w:val="24"/>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2989"/>
        </w:tabs>
        <w:ind w:left="298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4112664"/>
    <w:multiLevelType w:val="multilevel"/>
    <w:tmpl w:val="1394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1127E9"/>
    <w:multiLevelType w:val="hybridMultilevel"/>
    <w:tmpl w:val="83304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9F0A0E"/>
    <w:multiLevelType w:val="hybridMultilevel"/>
    <w:tmpl w:val="F370D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55652B5"/>
    <w:multiLevelType w:val="multilevel"/>
    <w:tmpl w:val="B10A6748"/>
    <w:lvl w:ilvl="0">
      <w:start w:val="1"/>
      <w:numFmt w:val="decimal"/>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rPr>
    </w:lvl>
    <w:lvl w:ilvl="3">
      <w:start w:val="1"/>
      <w:numFmt w:val="bullet"/>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5B22918"/>
    <w:multiLevelType w:val="hybridMultilevel"/>
    <w:tmpl w:val="833AE29C"/>
    <w:lvl w:ilvl="0" w:tplc="4F4432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121F92"/>
    <w:multiLevelType w:val="hybridMultilevel"/>
    <w:tmpl w:val="9DB832A4"/>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065805F0"/>
    <w:multiLevelType w:val="multilevel"/>
    <w:tmpl w:val="77B4CC9E"/>
    <w:lvl w:ilvl="0">
      <w:start w:val="1"/>
      <w:numFmt w:val="decimal"/>
      <w:lvlText w:val="%1."/>
      <w:lvlJc w:val="left"/>
      <w:pPr>
        <w:tabs>
          <w:tab w:val="num" w:pos="480"/>
        </w:tabs>
        <w:ind w:left="480" w:hanging="480"/>
      </w:pPr>
      <w:rPr>
        <w:rFonts w:hint="default"/>
        <w:sz w:val="24"/>
        <w:szCs w:val="24"/>
      </w:rPr>
    </w:lvl>
    <w:lvl w:ilvl="1">
      <w:start w:val="1"/>
      <w:numFmt w:val="decimal"/>
      <w:lvlText w:val="%1.%2."/>
      <w:lvlJc w:val="left"/>
      <w:pPr>
        <w:tabs>
          <w:tab w:val="num" w:pos="1200"/>
        </w:tabs>
        <w:ind w:left="120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07033579"/>
    <w:multiLevelType w:val="hybridMultilevel"/>
    <w:tmpl w:val="5F50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72534E1"/>
    <w:multiLevelType w:val="hybridMultilevel"/>
    <w:tmpl w:val="A2424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7877C0E"/>
    <w:multiLevelType w:val="hybridMultilevel"/>
    <w:tmpl w:val="257EC7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79E78B1"/>
    <w:multiLevelType w:val="multilevel"/>
    <w:tmpl w:val="20604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07D7682F"/>
    <w:multiLevelType w:val="multilevel"/>
    <w:tmpl w:val="8D28D43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81701B4"/>
    <w:multiLevelType w:val="hybridMultilevel"/>
    <w:tmpl w:val="45C85DB6"/>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9" w15:restartNumberingAfterBreak="0">
    <w:nsid w:val="087D46A7"/>
    <w:multiLevelType w:val="hybridMultilevel"/>
    <w:tmpl w:val="680C2F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DE61A8"/>
    <w:multiLevelType w:val="hybridMultilevel"/>
    <w:tmpl w:val="686A40CA"/>
    <w:name w:val="LegalNumParListTemplate3"/>
    <w:lvl w:ilvl="0" w:tplc="A588FCC0">
      <w:start w:val="1"/>
      <w:numFmt w:val="decimal"/>
      <w:pStyle w:val="LegalNumPar"/>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91937BB"/>
    <w:multiLevelType w:val="multilevel"/>
    <w:tmpl w:val="7B1E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E70E35"/>
    <w:multiLevelType w:val="hybridMultilevel"/>
    <w:tmpl w:val="7A3CDA3A"/>
    <w:lvl w:ilvl="0" w:tplc="B604585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A7D0A47"/>
    <w:multiLevelType w:val="hybridMultilevel"/>
    <w:tmpl w:val="EF8679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B0625F1"/>
    <w:multiLevelType w:val="hybridMultilevel"/>
    <w:tmpl w:val="8F8ED9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0BCD56BA"/>
    <w:multiLevelType w:val="multilevel"/>
    <w:tmpl w:val="EB025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DA5BA3"/>
    <w:multiLevelType w:val="hybridMultilevel"/>
    <w:tmpl w:val="833882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0C38038C"/>
    <w:multiLevelType w:val="multilevel"/>
    <w:tmpl w:val="5D22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8F7ED0"/>
    <w:multiLevelType w:val="hybridMultilevel"/>
    <w:tmpl w:val="A390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CEC61CF"/>
    <w:multiLevelType w:val="hybridMultilevel"/>
    <w:tmpl w:val="F13E8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0D2337F1"/>
    <w:multiLevelType w:val="hybridMultilevel"/>
    <w:tmpl w:val="1C02BA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0D28590A"/>
    <w:multiLevelType w:val="hybridMultilevel"/>
    <w:tmpl w:val="6CEE776E"/>
    <w:lvl w:ilvl="0" w:tplc="E3B40C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F055C22"/>
    <w:multiLevelType w:val="hybridMultilevel"/>
    <w:tmpl w:val="8318A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F985AB8"/>
    <w:multiLevelType w:val="hybridMultilevel"/>
    <w:tmpl w:val="0F66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0F987985"/>
    <w:multiLevelType w:val="hybridMultilevel"/>
    <w:tmpl w:val="5B92857C"/>
    <w:lvl w:ilvl="0" w:tplc="DDCA070A">
      <w:start w:val="1"/>
      <w:numFmt w:val="decimal"/>
      <w:lvlText w:val="1.%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0FBB2E75"/>
    <w:multiLevelType w:val="hybridMultilevel"/>
    <w:tmpl w:val="E500D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01D54BB"/>
    <w:multiLevelType w:val="hybridMultilevel"/>
    <w:tmpl w:val="B0B2220C"/>
    <w:lvl w:ilvl="0" w:tplc="96468D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02B048A"/>
    <w:multiLevelType w:val="hybridMultilevel"/>
    <w:tmpl w:val="C360E026"/>
    <w:lvl w:ilvl="0" w:tplc="74D45F9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061798B"/>
    <w:multiLevelType w:val="hybridMultilevel"/>
    <w:tmpl w:val="3A9CFCD0"/>
    <w:lvl w:ilvl="0" w:tplc="745A40FE">
      <w:start w:val="1"/>
      <w:numFmt w:val="decimal"/>
      <w:lvlText w:val="%1.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10B75FC8"/>
    <w:multiLevelType w:val="hybridMultilevel"/>
    <w:tmpl w:val="98685C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A2FE7E50">
      <w:start w:val="1"/>
      <w:numFmt w:val="decimal"/>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0EB2F1C"/>
    <w:multiLevelType w:val="hybridMultilevel"/>
    <w:tmpl w:val="4C18C00A"/>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51" w15:restartNumberingAfterBreak="0">
    <w:nsid w:val="10EE2AEC"/>
    <w:multiLevelType w:val="hybridMultilevel"/>
    <w:tmpl w:val="13F4C71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262685D"/>
    <w:multiLevelType w:val="singleLevel"/>
    <w:tmpl w:val="D96C95A2"/>
    <w:lvl w:ilvl="0">
      <w:start w:val="1"/>
      <w:numFmt w:val="bullet"/>
      <w:lvlText w:val=""/>
      <w:lvlJc w:val="left"/>
      <w:pPr>
        <w:tabs>
          <w:tab w:val="num" w:pos="3163"/>
        </w:tabs>
        <w:ind w:left="3163" w:hanging="283"/>
      </w:pPr>
      <w:rPr>
        <w:rFonts w:ascii="Symbol" w:hAnsi="Symbol"/>
      </w:rPr>
    </w:lvl>
  </w:abstractNum>
  <w:abstractNum w:abstractNumId="53" w15:restartNumberingAfterBreak="0">
    <w:nsid w:val="126D14E7"/>
    <w:multiLevelType w:val="hybridMultilevel"/>
    <w:tmpl w:val="37A8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2E757FF"/>
    <w:multiLevelType w:val="multilevel"/>
    <w:tmpl w:val="4C141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1959A2"/>
    <w:multiLevelType w:val="multilevel"/>
    <w:tmpl w:val="B22E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3D0A16"/>
    <w:multiLevelType w:val="singleLevel"/>
    <w:tmpl w:val="01FA5668"/>
    <w:lvl w:ilvl="0">
      <w:start w:val="1"/>
      <w:numFmt w:val="bullet"/>
      <w:lvlText w:val=""/>
      <w:lvlJc w:val="left"/>
      <w:pPr>
        <w:tabs>
          <w:tab w:val="num" w:pos="2199"/>
        </w:tabs>
        <w:ind w:left="2199" w:hanging="283"/>
      </w:pPr>
      <w:rPr>
        <w:rFonts w:ascii="Symbol" w:hAnsi="Symbol"/>
      </w:rPr>
    </w:lvl>
  </w:abstractNum>
  <w:abstractNum w:abstractNumId="57" w15:restartNumberingAfterBreak="0">
    <w:nsid w:val="14565A1D"/>
    <w:multiLevelType w:val="hybridMultilevel"/>
    <w:tmpl w:val="906AC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4925805"/>
    <w:multiLevelType w:val="multilevel"/>
    <w:tmpl w:val="134CA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DE3FDF"/>
    <w:multiLevelType w:val="hybridMultilevel"/>
    <w:tmpl w:val="40402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5936734"/>
    <w:multiLevelType w:val="hybridMultilevel"/>
    <w:tmpl w:val="61406AD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59A5A22"/>
    <w:multiLevelType w:val="multilevel"/>
    <w:tmpl w:val="250C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67367F4"/>
    <w:multiLevelType w:val="hybridMultilevel"/>
    <w:tmpl w:val="A1DE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6DF1D55"/>
    <w:multiLevelType w:val="hybridMultilevel"/>
    <w:tmpl w:val="F13C1D9A"/>
    <w:lvl w:ilvl="0" w:tplc="08090013">
      <w:start w:val="1"/>
      <w:numFmt w:val="upperRoman"/>
      <w:lvlText w:val="%1."/>
      <w:lvlJc w:val="right"/>
      <w:pPr>
        <w:ind w:left="720" w:hanging="360"/>
      </w:pPr>
      <w:rPr>
        <w:rFonts w:hint="default"/>
      </w:rPr>
    </w:lvl>
    <w:lvl w:ilvl="1" w:tplc="DDCA070A">
      <w:start w:val="1"/>
      <w:numFmt w:val="decimal"/>
      <w:lvlText w:val="1.%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84C4866"/>
    <w:multiLevelType w:val="hybridMultilevel"/>
    <w:tmpl w:val="80026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8BF0B5B"/>
    <w:multiLevelType w:val="hybridMultilevel"/>
    <w:tmpl w:val="8FC028B8"/>
    <w:lvl w:ilvl="0" w:tplc="745A40FE">
      <w:start w:val="1"/>
      <w:numFmt w:val="decimal"/>
      <w:lvlText w:val="%1.1"/>
      <w:lvlJc w:val="righ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6" w15:restartNumberingAfterBreak="0">
    <w:nsid w:val="19D83BC8"/>
    <w:multiLevelType w:val="hybridMultilevel"/>
    <w:tmpl w:val="486492B0"/>
    <w:lvl w:ilvl="0" w:tplc="0809000F">
      <w:start w:val="1"/>
      <w:numFmt w:val="decimal"/>
      <w:lvlText w:val="%1."/>
      <w:lvlJc w:val="left"/>
      <w:pPr>
        <w:tabs>
          <w:tab w:val="num" w:pos="720"/>
        </w:tabs>
        <w:ind w:left="720" w:hanging="360"/>
      </w:pPr>
      <w:rPr>
        <w:rFonts w:hint="default"/>
      </w:rPr>
    </w:lvl>
    <w:lvl w:ilvl="1" w:tplc="325C5B96">
      <w:start w:val="1512"/>
      <w:numFmt w:val="bullet"/>
      <w:lvlText w:val="•"/>
      <w:lvlJc w:val="left"/>
      <w:pPr>
        <w:tabs>
          <w:tab w:val="num" w:pos="1440"/>
        </w:tabs>
        <w:ind w:left="1440" w:hanging="360"/>
      </w:pPr>
      <w:rPr>
        <w:rFonts w:ascii="Arial" w:hAnsi="Arial" w:hint="default"/>
      </w:rPr>
    </w:lvl>
    <w:lvl w:ilvl="2" w:tplc="DF2C389C" w:tentative="1">
      <w:start w:val="1"/>
      <w:numFmt w:val="bullet"/>
      <w:lvlText w:val=""/>
      <w:lvlJc w:val="left"/>
      <w:pPr>
        <w:tabs>
          <w:tab w:val="num" w:pos="2160"/>
        </w:tabs>
        <w:ind w:left="2160" w:hanging="360"/>
      </w:pPr>
      <w:rPr>
        <w:rFonts w:ascii="Wingdings" w:hAnsi="Wingdings" w:hint="default"/>
      </w:rPr>
    </w:lvl>
    <w:lvl w:ilvl="3" w:tplc="19CE6B98" w:tentative="1">
      <w:start w:val="1"/>
      <w:numFmt w:val="bullet"/>
      <w:lvlText w:val=""/>
      <w:lvlJc w:val="left"/>
      <w:pPr>
        <w:tabs>
          <w:tab w:val="num" w:pos="2880"/>
        </w:tabs>
        <w:ind w:left="2880" w:hanging="360"/>
      </w:pPr>
      <w:rPr>
        <w:rFonts w:ascii="Wingdings" w:hAnsi="Wingdings" w:hint="default"/>
      </w:rPr>
    </w:lvl>
    <w:lvl w:ilvl="4" w:tplc="1DCEEAA6" w:tentative="1">
      <w:start w:val="1"/>
      <w:numFmt w:val="bullet"/>
      <w:lvlText w:val=""/>
      <w:lvlJc w:val="left"/>
      <w:pPr>
        <w:tabs>
          <w:tab w:val="num" w:pos="3600"/>
        </w:tabs>
        <w:ind w:left="3600" w:hanging="360"/>
      </w:pPr>
      <w:rPr>
        <w:rFonts w:ascii="Wingdings" w:hAnsi="Wingdings" w:hint="default"/>
      </w:rPr>
    </w:lvl>
    <w:lvl w:ilvl="5" w:tplc="A5E6D8B6" w:tentative="1">
      <w:start w:val="1"/>
      <w:numFmt w:val="bullet"/>
      <w:lvlText w:val=""/>
      <w:lvlJc w:val="left"/>
      <w:pPr>
        <w:tabs>
          <w:tab w:val="num" w:pos="4320"/>
        </w:tabs>
        <w:ind w:left="4320" w:hanging="360"/>
      </w:pPr>
      <w:rPr>
        <w:rFonts w:ascii="Wingdings" w:hAnsi="Wingdings" w:hint="default"/>
      </w:rPr>
    </w:lvl>
    <w:lvl w:ilvl="6" w:tplc="7EC264E4" w:tentative="1">
      <w:start w:val="1"/>
      <w:numFmt w:val="bullet"/>
      <w:lvlText w:val=""/>
      <w:lvlJc w:val="left"/>
      <w:pPr>
        <w:tabs>
          <w:tab w:val="num" w:pos="5040"/>
        </w:tabs>
        <w:ind w:left="5040" w:hanging="360"/>
      </w:pPr>
      <w:rPr>
        <w:rFonts w:ascii="Wingdings" w:hAnsi="Wingdings" w:hint="default"/>
      </w:rPr>
    </w:lvl>
    <w:lvl w:ilvl="7" w:tplc="EC4CCE3A" w:tentative="1">
      <w:start w:val="1"/>
      <w:numFmt w:val="bullet"/>
      <w:lvlText w:val=""/>
      <w:lvlJc w:val="left"/>
      <w:pPr>
        <w:tabs>
          <w:tab w:val="num" w:pos="5760"/>
        </w:tabs>
        <w:ind w:left="5760" w:hanging="360"/>
      </w:pPr>
      <w:rPr>
        <w:rFonts w:ascii="Wingdings" w:hAnsi="Wingdings" w:hint="default"/>
      </w:rPr>
    </w:lvl>
    <w:lvl w:ilvl="8" w:tplc="286AD9E6"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A753D9A"/>
    <w:multiLevelType w:val="hybridMultilevel"/>
    <w:tmpl w:val="E8489A28"/>
    <w:lvl w:ilvl="0" w:tplc="D7FA12AE">
      <w:numFmt w:val="bullet"/>
      <w:lvlText w:val="-"/>
      <w:lvlJc w:val="left"/>
      <w:pPr>
        <w:ind w:left="720" w:hanging="360"/>
      </w:pPr>
      <w:rPr>
        <w:rFonts w:ascii="EC Square Sans Pro" w:eastAsia="Times New Roman" w:hAnsi="EC Square Sans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A8F1134"/>
    <w:multiLevelType w:val="hybridMultilevel"/>
    <w:tmpl w:val="358461D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CF3F53"/>
    <w:multiLevelType w:val="hybridMultilevel"/>
    <w:tmpl w:val="34F4E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1C105537"/>
    <w:multiLevelType w:val="hybridMultilevel"/>
    <w:tmpl w:val="C8504826"/>
    <w:lvl w:ilvl="0" w:tplc="0EF2983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1C3D0A1D"/>
    <w:multiLevelType w:val="hybridMultilevel"/>
    <w:tmpl w:val="660E9BA6"/>
    <w:lvl w:ilvl="0" w:tplc="0809001B">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73" w15:restartNumberingAfterBreak="0">
    <w:nsid w:val="1C8F62E9"/>
    <w:multiLevelType w:val="multilevel"/>
    <w:tmpl w:val="8BB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9C5274"/>
    <w:multiLevelType w:val="hybridMultilevel"/>
    <w:tmpl w:val="CA524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1E3A5001"/>
    <w:multiLevelType w:val="hybridMultilevel"/>
    <w:tmpl w:val="DBC4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1E7B7ABB"/>
    <w:multiLevelType w:val="hybridMultilevel"/>
    <w:tmpl w:val="6C72DEE0"/>
    <w:lvl w:ilvl="0" w:tplc="CBAAC7CA">
      <w:start w:val="1"/>
      <w:numFmt w:val="bullet"/>
      <w:lvlText w:val="•"/>
      <w:lvlJc w:val="left"/>
      <w:pPr>
        <w:tabs>
          <w:tab w:val="num" w:pos="720"/>
        </w:tabs>
        <w:ind w:left="720" w:hanging="360"/>
      </w:pPr>
      <w:rPr>
        <w:rFonts w:ascii="Arial" w:hAnsi="Arial" w:hint="default"/>
      </w:rPr>
    </w:lvl>
    <w:lvl w:ilvl="1" w:tplc="2A7A05BE">
      <w:start w:val="3226"/>
      <w:numFmt w:val="bullet"/>
      <w:lvlText w:val="•"/>
      <w:lvlJc w:val="left"/>
      <w:pPr>
        <w:tabs>
          <w:tab w:val="num" w:pos="1440"/>
        </w:tabs>
        <w:ind w:left="1440" w:hanging="360"/>
      </w:pPr>
      <w:rPr>
        <w:rFonts w:ascii="Arial" w:hAnsi="Arial" w:hint="default"/>
      </w:rPr>
    </w:lvl>
    <w:lvl w:ilvl="2" w:tplc="83249E9E">
      <w:start w:val="3226"/>
      <w:numFmt w:val="bullet"/>
      <w:lvlText w:val="•"/>
      <w:lvlJc w:val="left"/>
      <w:pPr>
        <w:tabs>
          <w:tab w:val="num" w:pos="2160"/>
        </w:tabs>
        <w:ind w:left="2160" w:hanging="360"/>
      </w:pPr>
      <w:rPr>
        <w:rFonts w:ascii="Arial" w:hAnsi="Arial" w:hint="default"/>
      </w:rPr>
    </w:lvl>
    <w:lvl w:ilvl="3" w:tplc="7E60B14E" w:tentative="1">
      <w:start w:val="1"/>
      <w:numFmt w:val="bullet"/>
      <w:lvlText w:val="•"/>
      <w:lvlJc w:val="left"/>
      <w:pPr>
        <w:tabs>
          <w:tab w:val="num" w:pos="2880"/>
        </w:tabs>
        <w:ind w:left="2880" w:hanging="360"/>
      </w:pPr>
      <w:rPr>
        <w:rFonts w:ascii="Arial" w:hAnsi="Arial" w:hint="default"/>
      </w:rPr>
    </w:lvl>
    <w:lvl w:ilvl="4" w:tplc="9AF651D4" w:tentative="1">
      <w:start w:val="1"/>
      <w:numFmt w:val="bullet"/>
      <w:lvlText w:val="•"/>
      <w:lvlJc w:val="left"/>
      <w:pPr>
        <w:tabs>
          <w:tab w:val="num" w:pos="3600"/>
        </w:tabs>
        <w:ind w:left="3600" w:hanging="360"/>
      </w:pPr>
      <w:rPr>
        <w:rFonts w:ascii="Arial" w:hAnsi="Arial" w:hint="default"/>
      </w:rPr>
    </w:lvl>
    <w:lvl w:ilvl="5" w:tplc="969E9652" w:tentative="1">
      <w:start w:val="1"/>
      <w:numFmt w:val="bullet"/>
      <w:lvlText w:val="•"/>
      <w:lvlJc w:val="left"/>
      <w:pPr>
        <w:tabs>
          <w:tab w:val="num" w:pos="4320"/>
        </w:tabs>
        <w:ind w:left="4320" w:hanging="360"/>
      </w:pPr>
      <w:rPr>
        <w:rFonts w:ascii="Arial" w:hAnsi="Arial" w:hint="default"/>
      </w:rPr>
    </w:lvl>
    <w:lvl w:ilvl="6" w:tplc="44E42CD0" w:tentative="1">
      <w:start w:val="1"/>
      <w:numFmt w:val="bullet"/>
      <w:lvlText w:val="•"/>
      <w:lvlJc w:val="left"/>
      <w:pPr>
        <w:tabs>
          <w:tab w:val="num" w:pos="5040"/>
        </w:tabs>
        <w:ind w:left="5040" w:hanging="360"/>
      </w:pPr>
      <w:rPr>
        <w:rFonts w:ascii="Arial" w:hAnsi="Arial" w:hint="default"/>
      </w:rPr>
    </w:lvl>
    <w:lvl w:ilvl="7" w:tplc="8C1693DC" w:tentative="1">
      <w:start w:val="1"/>
      <w:numFmt w:val="bullet"/>
      <w:lvlText w:val="•"/>
      <w:lvlJc w:val="left"/>
      <w:pPr>
        <w:tabs>
          <w:tab w:val="num" w:pos="5760"/>
        </w:tabs>
        <w:ind w:left="5760" w:hanging="360"/>
      </w:pPr>
      <w:rPr>
        <w:rFonts w:ascii="Arial" w:hAnsi="Arial" w:hint="default"/>
      </w:rPr>
    </w:lvl>
    <w:lvl w:ilvl="8" w:tplc="C7F817E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ECB0439"/>
    <w:multiLevelType w:val="multilevel"/>
    <w:tmpl w:val="0060A1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1F1771AB"/>
    <w:multiLevelType w:val="multilevel"/>
    <w:tmpl w:val="4E50A39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1F734306"/>
    <w:multiLevelType w:val="multilevel"/>
    <w:tmpl w:val="3BF6DE7E"/>
    <w:lvl w:ilvl="0">
      <w:start w:val="1"/>
      <w:numFmt w:val="decimal"/>
      <w:lvlText w:val="%1."/>
      <w:lvlJc w:val="left"/>
      <w:pPr>
        <w:tabs>
          <w:tab w:val="num" w:pos="480"/>
        </w:tabs>
        <w:ind w:left="480" w:hanging="480"/>
      </w:pPr>
      <w:rPr>
        <w:rFonts w:hint="default"/>
        <w:sz w:val="24"/>
        <w:szCs w:val="24"/>
      </w:rPr>
    </w:lvl>
    <w:lvl w:ilvl="1">
      <w:start w:val="1"/>
      <w:numFmt w:val="decimal"/>
      <w:lvlText w:val="%1.%2."/>
      <w:lvlJc w:val="left"/>
      <w:pPr>
        <w:tabs>
          <w:tab w:val="num" w:pos="1200"/>
        </w:tabs>
        <w:ind w:left="1200" w:hanging="720"/>
      </w:pPr>
      <w:rPr>
        <w:rFonts w:hint="default"/>
      </w:rPr>
    </w:lvl>
    <w:lvl w:ilvl="2">
      <w:start w:val="1"/>
      <w:numFmt w:val="decimal"/>
      <w:lvlText w:val="%1.%2.%3."/>
      <w:lvlJc w:val="left"/>
      <w:pPr>
        <w:tabs>
          <w:tab w:val="num" w:pos="2989"/>
        </w:tabs>
        <w:ind w:left="298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FF812ED"/>
    <w:multiLevelType w:val="hybridMultilevel"/>
    <w:tmpl w:val="B3A65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0522165"/>
    <w:multiLevelType w:val="hybridMultilevel"/>
    <w:tmpl w:val="CB1A63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6215" w:hanging="360"/>
      </w:pPr>
      <w:rPr>
        <w:rFonts w:ascii="Courier New" w:hAnsi="Courier New" w:cs="Courier New" w:hint="default"/>
      </w:rPr>
    </w:lvl>
    <w:lvl w:ilvl="2" w:tplc="08090005" w:tentative="1">
      <w:start w:val="1"/>
      <w:numFmt w:val="bullet"/>
      <w:lvlText w:val=""/>
      <w:lvlJc w:val="left"/>
      <w:pPr>
        <w:ind w:left="-5495" w:hanging="360"/>
      </w:pPr>
      <w:rPr>
        <w:rFonts w:ascii="Wingdings" w:hAnsi="Wingdings" w:hint="default"/>
      </w:rPr>
    </w:lvl>
    <w:lvl w:ilvl="3" w:tplc="08090001" w:tentative="1">
      <w:start w:val="1"/>
      <w:numFmt w:val="bullet"/>
      <w:lvlText w:val=""/>
      <w:lvlJc w:val="left"/>
      <w:pPr>
        <w:ind w:left="-4775" w:hanging="360"/>
      </w:pPr>
      <w:rPr>
        <w:rFonts w:ascii="Symbol" w:hAnsi="Symbol" w:hint="default"/>
      </w:rPr>
    </w:lvl>
    <w:lvl w:ilvl="4" w:tplc="08090003" w:tentative="1">
      <w:start w:val="1"/>
      <w:numFmt w:val="bullet"/>
      <w:lvlText w:val="o"/>
      <w:lvlJc w:val="left"/>
      <w:pPr>
        <w:ind w:left="-4055" w:hanging="360"/>
      </w:pPr>
      <w:rPr>
        <w:rFonts w:ascii="Courier New" w:hAnsi="Courier New" w:cs="Courier New" w:hint="default"/>
      </w:rPr>
    </w:lvl>
    <w:lvl w:ilvl="5" w:tplc="08090005" w:tentative="1">
      <w:start w:val="1"/>
      <w:numFmt w:val="bullet"/>
      <w:lvlText w:val=""/>
      <w:lvlJc w:val="left"/>
      <w:pPr>
        <w:ind w:left="-3335" w:hanging="360"/>
      </w:pPr>
      <w:rPr>
        <w:rFonts w:ascii="Wingdings" w:hAnsi="Wingdings" w:hint="default"/>
      </w:rPr>
    </w:lvl>
    <w:lvl w:ilvl="6" w:tplc="08090001" w:tentative="1">
      <w:start w:val="1"/>
      <w:numFmt w:val="bullet"/>
      <w:lvlText w:val=""/>
      <w:lvlJc w:val="left"/>
      <w:pPr>
        <w:ind w:left="-2615" w:hanging="360"/>
      </w:pPr>
      <w:rPr>
        <w:rFonts w:ascii="Symbol" w:hAnsi="Symbol" w:hint="default"/>
      </w:rPr>
    </w:lvl>
    <w:lvl w:ilvl="7" w:tplc="08090003" w:tentative="1">
      <w:start w:val="1"/>
      <w:numFmt w:val="bullet"/>
      <w:lvlText w:val="o"/>
      <w:lvlJc w:val="left"/>
      <w:pPr>
        <w:ind w:left="-1895" w:hanging="360"/>
      </w:pPr>
      <w:rPr>
        <w:rFonts w:ascii="Courier New" w:hAnsi="Courier New" w:cs="Courier New" w:hint="default"/>
      </w:rPr>
    </w:lvl>
    <w:lvl w:ilvl="8" w:tplc="08090005" w:tentative="1">
      <w:start w:val="1"/>
      <w:numFmt w:val="bullet"/>
      <w:lvlText w:val=""/>
      <w:lvlJc w:val="left"/>
      <w:pPr>
        <w:ind w:left="-1175" w:hanging="360"/>
      </w:pPr>
      <w:rPr>
        <w:rFonts w:ascii="Wingdings" w:hAnsi="Wingdings" w:hint="default"/>
      </w:rPr>
    </w:lvl>
  </w:abstractNum>
  <w:abstractNum w:abstractNumId="82" w15:restartNumberingAfterBreak="0">
    <w:nsid w:val="21242017"/>
    <w:multiLevelType w:val="hybridMultilevel"/>
    <w:tmpl w:val="82FEC1BE"/>
    <w:lvl w:ilvl="0" w:tplc="163C55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21D114A5"/>
    <w:multiLevelType w:val="hybridMultilevel"/>
    <w:tmpl w:val="F530CBC0"/>
    <w:lvl w:ilvl="0" w:tplc="967809A8">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222112DC"/>
    <w:multiLevelType w:val="hybridMultilevel"/>
    <w:tmpl w:val="86EC74E8"/>
    <w:lvl w:ilvl="0" w:tplc="04090001">
      <w:start w:val="1"/>
      <w:numFmt w:val="bullet"/>
      <w:lvlText w:val=""/>
      <w:lvlJc w:val="left"/>
      <w:pPr>
        <w:ind w:left="8450"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8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22FF58F9"/>
    <w:multiLevelType w:val="multilevel"/>
    <w:tmpl w:val="087E2A28"/>
    <w:lvl w:ilvl="0">
      <w:start w:val="1"/>
      <w:numFmt w:val="lowerRoman"/>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239241B9"/>
    <w:multiLevelType w:val="hybridMultilevel"/>
    <w:tmpl w:val="221AB70E"/>
    <w:lvl w:ilvl="0" w:tplc="96468DC4">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239C4A82"/>
    <w:multiLevelType w:val="hybridMultilevel"/>
    <w:tmpl w:val="673C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4225E59"/>
    <w:multiLevelType w:val="singleLevel"/>
    <w:tmpl w:val="47806A40"/>
    <w:lvl w:ilvl="0">
      <w:start w:val="1"/>
      <w:numFmt w:val="bullet"/>
      <w:lvlText w:val="–"/>
      <w:lvlJc w:val="left"/>
      <w:pPr>
        <w:tabs>
          <w:tab w:val="num" w:pos="3163"/>
        </w:tabs>
        <w:ind w:left="3163" w:hanging="283"/>
      </w:pPr>
      <w:rPr>
        <w:rFonts w:ascii="Times New Roman" w:hAnsi="Times New Roman"/>
      </w:rPr>
    </w:lvl>
  </w:abstractNum>
  <w:abstractNum w:abstractNumId="90" w15:restartNumberingAfterBreak="0">
    <w:nsid w:val="242E1F36"/>
    <w:multiLevelType w:val="hybridMultilevel"/>
    <w:tmpl w:val="482050B6"/>
    <w:lvl w:ilvl="0" w:tplc="74D45F9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4C96934"/>
    <w:multiLevelType w:val="hybridMultilevel"/>
    <w:tmpl w:val="A1F83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4FE593D"/>
    <w:multiLevelType w:val="hybridMultilevel"/>
    <w:tmpl w:val="782E0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50C7DE5"/>
    <w:multiLevelType w:val="hybridMultilevel"/>
    <w:tmpl w:val="30E08910"/>
    <w:lvl w:ilvl="0" w:tplc="96468DC4">
      <w:start w:val="1"/>
      <w:numFmt w:val="bullet"/>
      <w:lvlText w:val=""/>
      <w:lvlJc w:val="left"/>
      <w:pPr>
        <w:ind w:left="360" w:hanging="360"/>
      </w:pPr>
      <w:rPr>
        <w:rFonts w:ascii="Symbol" w:hAnsi="Symbol" w:hint="default"/>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54463EC"/>
    <w:multiLevelType w:val="hybridMultilevel"/>
    <w:tmpl w:val="4DD42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6106F0E"/>
    <w:multiLevelType w:val="multilevel"/>
    <w:tmpl w:val="04BE5A64"/>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2656614F"/>
    <w:multiLevelType w:val="hybridMultilevel"/>
    <w:tmpl w:val="A7980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2689207F"/>
    <w:multiLevelType w:val="hybridMultilevel"/>
    <w:tmpl w:val="DC123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272873ED"/>
    <w:multiLevelType w:val="multilevel"/>
    <w:tmpl w:val="7D6274C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BF71B6"/>
    <w:multiLevelType w:val="hybridMultilevel"/>
    <w:tmpl w:val="5EF2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A0423B1"/>
    <w:multiLevelType w:val="hybridMultilevel"/>
    <w:tmpl w:val="1DF8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2A61071B"/>
    <w:multiLevelType w:val="hybridMultilevel"/>
    <w:tmpl w:val="70B2D4A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2A9A181A"/>
    <w:multiLevelType w:val="hybridMultilevel"/>
    <w:tmpl w:val="8D6E2734"/>
    <w:lvl w:ilvl="0" w:tplc="96468D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B4521A7"/>
    <w:multiLevelType w:val="hybridMultilevel"/>
    <w:tmpl w:val="6980CB74"/>
    <w:lvl w:ilvl="0" w:tplc="74D45F9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5" w15:restartNumberingAfterBreak="0">
    <w:nsid w:val="2B9E154E"/>
    <w:multiLevelType w:val="hybridMultilevel"/>
    <w:tmpl w:val="0104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C8D5AD3"/>
    <w:multiLevelType w:val="singleLevel"/>
    <w:tmpl w:val="4650FA8E"/>
    <w:lvl w:ilvl="0">
      <w:start w:val="1"/>
      <w:numFmt w:val="bullet"/>
      <w:pStyle w:val="ListBullet2"/>
      <w:lvlText w:val=""/>
      <w:lvlJc w:val="left"/>
      <w:pPr>
        <w:tabs>
          <w:tab w:val="num" w:pos="283"/>
        </w:tabs>
        <w:ind w:left="283" w:hanging="283"/>
      </w:pPr>
      <w:rPr>
        <w:rFonts w:ascii="Symbol" w:hAnsi="Symbol" w:hint="default"/>
      </w:rPr>
    </w:lvl>
  </w:abstractNum>
  <w:abstractNum w:abstractNumId="107" w15:restartNumberingAfterBreak="0">
    <w:nsid w:val="2C9C1385"/>
    <w:multiLevelType w:val="multilevel"/>
    <w:tmpl w:val="5F96879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A3324D"/>
    <w:multiLevelType w:val="hybridMultilevel"/>
    <w:tmpl w:val="C6BCD010"/>
    <w:lvl w:ilvl="0" w:tplc="0B226DEE">
      <w:start w:val="1"/>
      <w:numFmt w:val="decimal"/>
      <w:lvlText w:val="%1."/>
      <w:lvlJc w:val="left"/>
      <w:pPr>
        <w:ind w:left="720" w:hanging="360"/>
      </w:pPr>
      <w:rPr>
        <w:color w:val="1F497D" w:themeColor="tex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0" w15:restartNumberingAfterBreak="0">
    <w:nsid w:val="2CB730DB"/>
    <w:multiLevelType w:val="hybridMultilevel"/>
    <w:tmpl w:val="EED4F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2CB85870"/>
    <w:multiLevelType w:val="multilevel"/>
    <w:tmpl w:val="77B4CC9E"/>
    <w:lvl w:ilvl="0">
      <w:start w:val="1"/>
      <w:numFmt w:val="decimal"/>
      <w:lvlText w:val="%1."/>
      <w:lvlJc w:val="left"/>
      <w:pPr>
        <w:tabs>
          <w:tab w:val="num" w:pos="480"/>
        </w:tabs>
        <w:ind w:left="480" w:hanging="480"/>
      </w:pPr>
      <w:rPr>
        <w:rFonts w:hint="default"/>
        <w:sz w:val="24"/>
        <w:szCs w:val="24"/>
      </w:rPr>
    </w:lvl>
    <w:lvl w:ilvl="1">
      <w:start w:val="1"/>
      <w:numFmt w:val="decimal"/>
      <w:lvlText w:val="%1.%2."/>
      <w:lvlJc w:val="left"/>
      <w:pPr>
        <w:tabs>
          <w:tab w:val="num" w:pos="1200"/>
        </w:tabs>
        <w:ind w:left="120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2" w15:restartNumberingAfterBreak="0">
    <w:nsid w:val="2D0143D7"/>
    <w:multiLevelType w:val="multilevel"/>
    <w:tmpl w:val="972873A6"/>
    <w:lvl w:ilvl="0">
      <w:start w:val="1"/>
      <w:numFmt w:val="bullet"/>
      <w:lvlText w:val=""/>
      <w:lvlJc w:val="left"/>
      <w:pPr>
        <w:ind w:left="360" w:hanging="360"/>
      </w:pPr>
      <w:rPr>
        <w:rFonts w:ascii="Symbol" w:hAnsi="Symbol" w:hint="default"/>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2D2A6E80"/>
    <w:multiLevelType w:val="hybridMultilevel"/>
    <w:tmpl w:val="C37E54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2D7B109B"/>
    <w:multiLevelType w:val="hybridMultilevel"/>
    <w:tmpl w:val="662646AA"/>
    <w:lvl w:ilvl="0" w:tplc="CB8402B0">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D9575E5"/>
    <w:multiLevelType w:val="hybridMultilevel"/>
    <w:tmpl w:val="43766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2E4957D4"/>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2EA357DE"/>
    <w:multiLevelType w:val="multilevel"/>
    <w:tmpl w:val="5F8CE7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8" w15:restartNumberingAfterBreak="0">
    <w:nsid w:val="2ED677F3"/>
    <w:multiLevelType w:val="multilevel"/>
    <w:tmpl w:val="46465786"/>
    <w:lvl w:ilvl="0">
      <w:start w:val="1"/>
      <w:numFmt w:val="decimal"/>
      <w:lvlText w:val="%1."/>
      <w:lvlJc w:val="left"/>
      <w:pPr>
        <w:ind w:left="360" w:hanging="360"/>
      </w:pPr>
      <w:rPr>
        <w:rFonts w:hint="default"/>
        <w:b/>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EFB7FB7"/>
    <w:multiLevelType w:val="hybridMultilevel"/>
    <w:tmpl w:val="B896D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F1A2293"/>
    <w:multiLevelType w:val="multilevel"/>
    <w:tmpl w:val="24EC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0641A8A"/>
    <w:multiLevelType w:val="hybridMultilevel"/>
    <w:tmpl w:val="C340FAC0"/>
    <w:lvl w:ilvl="0" w:tplc="AB8209FC">
      <w:start w:val="2"/>
      <w:numFmt w:val="decimal"/>
      <w:lvlText w:val="1.%1"/>
      <w:lvlJc w:val="righ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30921FD5"/>
    <w:multiLevelType w:val="hybridMultilevel"/>
    <w:tmpl w:val="E51E61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11B1C8F"/>
    <w:multiLevelType w:val="multilevel"/>
    <w:tmpl w:val="C36CBAC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3123425A"/>
    <w:multiLevelType w:val="hybridMultilevel"/>
    <w:tmpl w:val="5614D2F2"/>
    <w:lvl w:ilvl="0" w:tplc="74D45F9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6215" w:hanging="360"/>
      </w:pPr>
      <w:rPr>
        <w:rFonts w:ascii="Courier New" w:hAnsi="Courier New" w:cs="Courier New" w:hint="default"/>
      </w:rPr>
    </w:lvl>
    <w:lvl w:ilvl="2" w:tplc="08090005" w:tentative="1">
      <w:start w:val="1"/>
      <w:numFmt w:val="bullet"/>
      <w:lvlText w:val=""/>
      <w:lvlJc w:val="left"/>
      <w:pPr>
        <w:ind w:left="-5495" w:hanging="360"/>
      </w:pPr>
      <w:rPr>
        <w:rFonts w:ascii="Wingdings" w:hAnsi="Wingdings" w:hint="default"/>
      </w:rPr>
    </w:lvl>
    <w:lvl w:ilvl="3" w:tplc="08090001" w:tentative="1">
      <w:start w:val="1"/>
      <w:numFmt w:val="bullet"/>
      <w:lvlText w:val=""/>
      <w:lvlJc w:val="left"/>
      <w:pPr>
        <w:ind w:left="-4775" w:hanging="360"/>
      </w:pPr>
      <w:rPr>
        <w:rFonts w:ascii="Symbol" w:hAnsi="Symbol" w:hint="default"/>
      </w:rPr>
    </w:lvl>
    <w:lvl w:ilvl="4" w:tplc="08090003" w:tentative="1">
      <w:start w:val="1"/>
      <w:numFmt w:val="bullet"/>
      <w:lvlText w:val="o"/>
      <w:lvlJc w:val="left"/>
      <w:pPr>
        <w:ind w:left="-4055" w:hanging="360"/>
      </w:pPr>
      <w:rPr>
        <w:rFonts w:ascii="Courier New" w:hAnsi="Courier New" w:cs="Courier New" w:hint="default"/>
      </w:rPr>
    </w:lvl>
    <w:lvl w:ilvl="5" w:tplc="08090005" w:tentative="1">
      <w:start w:val="1"/>
      <w:numFmt w:val="bullet"/>
      <w:lvlText w:val=""/>
      <w:lvlJc w:val="left"/>
      <w:pPr>
        <w:ind w:left="-3335" w:hanging="360"/>
      </w:pPr>
      <w:rPr>
        <w:rFonts w:ascii="Wingdings" w:hAnsi="Wingdings" w:hint="default"/>
      </w:rPr>
    </w:lvl>
    <w:lvl w:ilvl="6" w:tplc="08090001" w:tentative="1">
      <w:start w:val="1"/>
      <w:numFmt w:val="bullet"/>
      <w:lvlText w:val=""/>
      <w:lvlJc w:val="left"/>
      <w:pPr>
        <w:ind w:left="-2615" w:hanging="360"/>
      </w:pPr>
      <w:rPr>
        <w:rFonts w:ascii="Symbol" w:hAnsi="Symbol" w:hint="default"/>
      </w:rPr>
    </w:lvl>
    <w:lvl w:ilvl="7" w:tplc="08090003" w:tentative="1">
      <w:start w:val="1"/>
      <w:numFmt w:val="bullet"/>
      <w:lvlText w:val="o"/>
      <w:lvlJc w:val="left"/>
      <w:pPr>
        <w:ind w:left="-1895" w:hanging="360"/>
      </w:pPr>
      <w:rPr>
        <w:rFonts w:ascii="Courier New" w:hAnsi="Courier New" w:cs="Courier New" w:hint="default"/>
      </w:rPr>
    </w:lvl>
    <w:lvl w:ilvl="8" w:tplc="08090005" w:tentative="1">
      <w:start w:val="1"/>
      <w:numFmt w:val="bullet"/>
      <w:lvlText w:val=""/>
      <w:lvlJc w:val="left"/>
      <w:pPr>
        <w:ind w:left="-1175" w:hanging="360"/>
      </w:pPr>
      <w:rPr>
        <w:rFonts w:ascii="Wingdings" w:hAnsi="Wingdings" w:hint="default"/>
      </w:rPr>
    </w:lvl>
  </w:abstractNum>
  <w:abstractNum w:abstractNumId="125" w15:restartNumberingAfterBreak="0">
    <w:nsid w:val="31525AD3"/>
    <w:multiLevelType w:val="multilevel"/>
    <w:tmpl w:val="972873A6"/>
    <w:lvl w:ilvl="0">
      <w:start w:val="1"/>
      <w:numFmt w:val="bullet"/>
      <w:lvlText w:val=""/>
      <w:lvlJc w:val="left"/>
      <w:pPr>
        <w:ind w:left="360" w:hanging="360"/>
      </w:pPr>
      <w:rPr>
        <w:rFonts w:ascii="Symbol" w:hAnsi="Symbol" w:hint="default"/>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315C5E6F"/>
    <w:multiLevelType w:val="hybridMultilevel"/>
    <w:tmpl w:val="DBB65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17929B8"/>
    <w:multiLevelType w:val="hybridMultilevel"/>
    <w:tmpl w:val="BAE20570"/>
    <w:lvl w:ilvl="0" w:tplc="982C48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19025AB"/>
    <w:multiLevelType w:val="multilevel"/>
    <w:tmpl w:val="EB780F9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3196790A"/>
    <w:multiLevelType w:val="hybridMultilevel"/>
    <w:tmpl w:val="B2529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31E13C61"/>
    <w:multiLevelType w:val="hybridMultilevel"/>
    <w:tmpl w:val="2BC6C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1E85CDF"/>
    <w:multiLevelType w:val="hybridMultilevel"/>
    <w:tmpl w:val="275A0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26344F7"/>
    <w:multiLevelType w:val="hybridMultilevel"/>
    <w:tmpl w:val="E3C49C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3" w15:restartNumberingAfterBreak="0">
    <w:nsid w:val="32DB2E72"/>
    <w:multiLevelType w:val="hybridMultilevel"/>
    <w:tmpl w:val="FD462660"/>
    <w:lvl w:ilvl="0" w:tplc="63CC0230">
      <w:start w:val="2"/>
      <w:numFmt w:val="decimal"/>
      <w:lvlText w:val="%1.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32FB0488"/>
    <w:multiLevelType w:val="hybridMultilevel"/>
    <w:tmpl w:val="91EA378C"/>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35" w15:restartNumberingAfterBreak="0">
    <w:nsid w:val="33323FF5"/>
    <w:multiLevelType w:val="multilevel"/>
    <w:tmpl w:val="B4AA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33A0400F"/>
    <w:multiLevelType w:val="multilevel"/>
    <w:tmpl w:val="0809001D"/>
    <w:numStyleLink w:val="Style1"/>
  </w:abstractNum>
  <w:abstractNum w:abstractNumId="13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8" w15:restartNumberingAfterBreak="0">
    <w:nsid w:val="354B30A9"/>
    <w:multiLevelType w:val="hybridMultilevel"/>
    <w:tmpl w:val="1078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5663857"/>
    <w:multiLevelType w:val="hybridMultilevel"/>
    <w:tmpl w:val="E9B8C3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35B179BF"/>
    <w:multiLevelType w:val="hybridMultilevel"/>
    <w:tmpl w:val="B600CA62"/>
    <w:lvl w:ilvl="0" w:tplc="74D45F92">
      <w:start w:val="1"/>
      <w:numFmt w:val="bullet"/>
      <w:lvlText w:val="-"/>
      <w:lvlJc w:val="left"/>
      <w:pPr>
        <w:ind w:left="1440" w:hanging="360"/>
      </w:pPr>
      <w:rPr>
        <w:rFonts w:ascii="Calibri" w:hAnsi="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2" w15:restartNumberingAfterBreak="0">
    <w:nsid w:val="364A04EE"/>
    <w:multiLevelType w:val="hybridMultilevel"/>
    <w:tmpl w:val="31365664"/>
    <w:lvl w:ilvl="0" w:tplc="E70EC410">
      <w:start w:val="1"/>
      <w:numFmt w:val="decimal"/>
      <w:lvlText w:val="4.%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36E24397"/>
    <w:multiLevelType w:val="hybridMultilevel"/>
    <w:tmpl w:val="65CA6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371D08C2"/>
    <w:multiLevelType w:val="hybridMultilevel"/>
    <w:tmpl w:val="38D8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7975039"/>
    <w:multiLevelType w:val="hybridMultilevel"/>
    <w:tmpl w:val="9F784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37C255D2"/>
    <w:multiLevelType w:val="hybridMultilevel"/>
    <w:tmpl w:val="2ACE709C"/>
    <w:lvl w:ilvl="0" w:tplc="09CC1E34">
      <w:start w:val="1"/>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9053D8B"/>
    <w:multiLevelType w:val="hybridMultilevel"/>
    <w:tmpl w:val="9A566606"/>
    <w:lvl w:ilvl="0" w:tplc="74D45F92">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90A0026"/>
    <w:multiLevelType w:val="hybridMultilevel"/>
    <w:tmpl w:val="DEDAD4AA"/>
    <w:lvl w:ilvl="0" w:tplc="04090001">
      <w:start w:val="1"/>
      <w:numFmt w:val="bullet"/>
      <w:lvlText w:val=""/>
      <w:lvlJc w:val="left"/>
      <w:pPr>
        <w:ind w:left="8450"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49" w15:restartNumberingAfterBreak="0">
    <w:nsid w:val="39302A66"/>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393E4480"/>
    <w:multiLevelType w:val="multilevel"/>
    <w:tmpl w:val="5D20F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96920F4"/>
    <w:multiLevelType w:val="hybridMultilevel"/>
    <w:tmpl w:val="456CA1B6"/>
    <w:lvl w:ilvl="0" w:tplc="96468DC4">
      <w:start w:val="1"/>
      <w:numFmt w:val="bullet"/>
      <w:lvlText w:val=""/>
      <w:lvlJc w:val="left"/>
      <w:pPr>
        <w:ind w:left="720" w:hanging="360"/>
      </w:pPr>
      <w:rPr>
        <w:rFonts w:ascii="Symbol" w:hAnsi="Symbol" w:hint="default"/>
      </w:rPr>
    </w:lvl>
    <w:lvl w:ilvl="1" w:tplc="68E0F3E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39854FDD"/>
    <w:multiLevelType w:val="multilevel"/>
    <w:tmpl w:val="1288577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3" w15:restartNumberingAfterBreak="0">
    <w:nsid w:val="3993094B"/>
    <w:multiLevelType w:val="hybridMultilevel"/>
    <w:tmpl w:val="7B9EE31C"/>
    <w:lvl w:ilvl="0" w:tplc="982C48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3A0C2DBE"/>
    <w:multiLevelType w:val="hybridMultilevel"/>
    <w:tmpl w:val="040C8A7C"/>
    <w:lvl w:ilvl="0" w:tplc="96468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A6164CE"/>
    <w:multiLevelType w:val="hybridMultilevel"/>
    <w:tmpl w:val="8A22CA7A"/>
    <w:lvl w:ilvl="0" w:tplc="58AC1BF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A6271D1"/>
    <w:multiLevelType w:val="hybridMultilevel"/>
    <w:tmpl w:val="4CD2A4C0"/>
    <w:lvl w:ilvl="0" w:tplc="96468D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58" w15:restartNumberingAfterBreak="0">
    <w:nsid w:val="3A800393"/>
    <w:multiLevelType w:val="hybridMultilevel"/>
    <w:tmpl w:val="A610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3A8D6CE6"/>
    <w:multiLevelType w:val="hybridMultilevel"/>
    <w:tmpl w:val="437C54EA"/>
    <w:lvl w:ilvl="0" w:tplc="0809000F">
      <w:start w:val="1"/>
      <w:numFmt w:val="decimal"/>
      <w:lvlText w:val="%1."/>
      <w:lvlJc w:val="left"/>
      <w:pPr>
        <w:ind w:left="720" w:hanging="360"/>
      </w:pPr>
      <w:rPr>
        <w:rFonts w:hint="default"/>
      </w:rPr>
    </w:lvl>
    <w:lvl w:ilvl="1" w:tplc="DDCA070A">
      <w:start w:val="1"/>
      <w:numFmt w:val="decimal"/>
      <w:lvlText w:val="1.%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AFB6DC8"/>
    <w:multiLevelType w:val="singleLevel"/>
    <w:tmpl w:val="D97CFDF8"/>
    <w:lvl w:ilvl="0">
      <w:start w:val="1"/>
      <w:numFmt w:val="bullet"/>
      <w:lvlText w:val=""/>
      <w:lvlJc w:val="left"/>
      <w:pPr>
        <w:tabs>
          <w:tab w:val="num" w:pos="1485"/>
        </w:tabs>
        <w:ind w:left="1485" w:hanging="283"/>
      </w:pPr>
      <w:rPr>
        <w:rFonts w:ascii="Symbol" w:hAnsi="Symbol"/>
      </w:rPr>
    </w:lvl>
  </w:abstractNum>
  <w:abstractNum w:abstractNumId="161" w15:restartNumberingAfterBreak="0">
    <w:nsid w:val="3B1A0AC6"/>
    <w:multiLevelType w:val="hybridMultilevel"/>
    <w:tmpl w:val="DAA0EB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B1E36BE"/>
    <w:multiLevelType w:val="hybridMultilevel"/>
    <w:tmpl w:val="9E64D872"/>
    <w:lvl w:ilvl="0" w:tplc="0813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63" w15:restartNumberingAfterBreak="0">
    <w:nsid w:val="3BDA507B"/>
    <w:multiLevelType w:val="hybridMultilevel"/>
    <w:tmpl w:val="AB5690B8"/>
    <w:lvl w:ilvl="0" w:tplc="96468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C153D88"/>
    <w:multiLevelType w:val="hybridMultilevel"/>
    <w:tmpl w:val="7514DC18"/>
    <w:lvl w:ilvl="0" w:tplc="04090001">
      <w:start w:val="1"/>
      <w:numFmt w:val="bullet"/>
      <w:lvlText w:val=""/>
      <w:lvlJc w:val="left"/>
      <w:pPr>
        <w:ind w:left="360" w:hanging="360"/>
      </w:pPr>
      <w:rPr>
        <w:rFonts w:ascii="Symbol" w:hAnsi="Symbol" w:hint="default"/>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3CDA3AB8"/>
    <w:multiLevelType w:val="hybridMultilevel"/>
    <w:tmpl w:val="AB38341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6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7" w15:restartNumberingAfterBreak="0">
    <w:nsid w:val="3D4C592B"/>
    <w:multiLevelType w:val="multilevel"/>
    <w:tmpl w:val="972873A6"/>
    <w:lvl w:ilvl="0">
      <w:start w:val="1"/>
      <w:numFmt w:val="bullet"/>
      <w:lvlText w:val=""/>
      <w:lvlJc w:val="left"/>
      <w:pPr>
        <w:ind w:left="360" w:hanging="360"/>
      </w:pPr>
      <w:rPr>
        <w:rFonts w:ascii="Symbol" w:hAnsi="Symbol" w:hint="default"/>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3E591C35"/>
    <w:multiLevelType w:val="hybridMultilevel"/>
    <w:tmpl w:val="01580DBE"/>
    <w:lvl w:ilvl="0" w:tplc="883E3B40">
      <w:start w:val="2"/>
      <w:numFmt w:val="bullet"/>
      <w:lvlText w:val="-"/>
      <w:lvlJc w:val="left"/>
      <w:pPr>
        <w:ind w:left="360" w:hanging="360"/>
      </w:pPr>
      <w:rPr>
        <w:rFonts w:ascii="Times New Roman" w:eastAsia="Times New Roman" w:hAnsi="Times New Roman" w:cs="Times New Roman" w:hint="default"/>
        <w:lang w:val="en-G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3F403C1E"/>
    <w:multiLevelType w:val="hybridMultilevel"/>
    <w:tmpl w:val="1BAE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3F9335A2"/>
    <w:multiLevelType w:val="multilevel"/>
    <w:tmpl w:val="AEF6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A27818"/>
    <w:multiLevelType w:val="hybridMultilevel"/>
    <w:tmpl w:val="DF50A394"/>
    <w:lvl w:ilvl="0" w:tplc="04090001">
      <w:start w:val="1"/>
      <w:numFmt w:val="bullet"/>
      <w:lvlText w:val=""/>
      <w:lvlJc w:val="left"/>
      <w:pPr>
        <w:ind w:left="8450"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72" w15:restartNumberingAfterBreak="0">
    <w:nsid w:val="41202685"/>
    <w:multiLevelType w:val="hybridMultilevel"/>
    <w:tmpl w:val="DCC63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1995B56"/>
    <w:multiLevelType w:val="hybridMultilevel"/>
    <w:tmpl w:val="38E0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20570B7"/>
    <w:multiLevelType w:val="hybridMultilevel"/>
    <w:tmpl w:val="BF72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28415E7"/>
    <w:multiLevelType w:val="multilevel"/>
    <w:tmpl w:val="92100AD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42BD7C8E"/>
    <w:multiLevelType w:val="hybridMultilevel"/>
    <w:tmpl w:val="2DB253E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43195A80"/>
    <w:multiLevelType w:val="multilevel"/>
    <w:tmpl w:val="3E42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33B5FA2"/>
    <w:multiLevelType w:val="hybridMultilevel"/>
    <w:tmpl w:val="32207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35A04F8"/>
    <w:multiLevelType w:val="multilevel"/>
    <w:tmpl w:val="AAE6D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0" w15:restartNumberingAfterBreak="0">
    <w:nsid w:val="43C061F0"/>
    <w:multiLevelType w:val="multilevel"/>
    <w:tmpl w:val="FEE40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5481EA4"/>
    <w:multiLevelType w:val="multilevel"/>
    <w:tmpl w:val="28525E6E"/>
    <w:lvl w:ilvl="0">
      <w:start w:val="1"/>
      <w:numFmt w:val="decimal"/>
      <w:lvlText w:val="(%1)"/>
      <w:lvlJc w:val="left"/>
      <w:pPr>
        <w:tabs>
          <w:tab w:val="num" w:pos="1786"/>
        </w:tabs>
        <w:ind w:left="1786" w:hanging="709"/>
      </w:pPr>
    </w:lvl>
    <w:lvl w:ilvl="1">
      <w:start w:val="1"/>
      <w:numFmt w:val="lowerLetter"/>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rPr>
    </w:lvl>
    <w:lvl w:ilvl="3">
      <w:start w:val="1"/>
      <w:numFmt w:val="bullet"/>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15:restartNumberingAfterBreak="0">
    <w:nsid w:val="45AE6815"/>
    <w:multiLevelType w:val="hybridMultilevel"/>
    <w:tmpl w:val="89006D0A"/>
    <w:lvl w:ilvl="0" w:tplc="74D45F9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5F04129"/>
    <w:multiLevelType w:val="hybridMultilevel"/>
    <w:tmpl w:val="25D6E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60865C6"/>
    <w:multiLevelType w:val="hybridMultilevel"/>
    <w:tmpl w:val="3006C71A"/>
    <w:lvl w:ilvl="0" w:tplc="503A1D6A">
      <w:start w:val="1"/>
      <w:numFmt w:val="bullet"/>
      <w:lvlText w:val=""/>
      <w:lvlJc w:val="left"/>
      <w:pPr>
        <w:ind w:left="720" w:hanging="360"/>
      </w:pPr>
      <w:rPr>
        <w:rFonts w:ascii="Symbol" w:hAnsi="Symbol" w:hint="default"/>
      </w:rPr>
    </w:lvl>
    <w:lvl w:ilvl="1" w:tplc="DDCA070A">
      <w:start w:val="1"/>
      <w:numFmt w:val="decimal"/>
      <w:lvlText w:val="1.%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60C7DA6"/>
    <w:multiLevelType w:val="multilevel"/>
    <w:tmpl w:val="2576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7" w15:restartNumberingAfterBreak="0">
    <w:nsid w:val="465D172F"/>
    <w:multiLevelType w:val="multilevel"/>
    <w:tmpl w:val="6AEE9BA4"/>
    <w:lvl w:ilvl="0">
      <w:start w:val="1"/>
      <w:numFmt w:val="decimal"/>
      <w:lvlText w:val="(%1)"/>
      <w:lvlJc w:val="left"/>
      <w:pPr>
        <w:tabs>
          <w:tab w:val="num" w:pos="1191"/>
        </w:tabs>
        <w:ind w:left="1191" w:hanging="709"/>
      </w:pPr>
    </w:lvl>
    <w:lvl w:ilvl="1">
      <w:start w:val="1"/>
      <w:numFmt w:val="lowerLetter"/>
      <w:lvlText w:val="(%2)"/>
      <w:lvlJc w:val="left"/>
      <w:pPr>
        <w:tabs>
          <w:tab w:val="num" w:pos="1899"/>
        </w:tabs>
        <w:ind w:left="1899" w:hanging="708"/>
      </w:pPr>
    </w:lvl>
    <w:lvl w:ilvl="2">
      <w:start w:val="1"/>
      <w:numFmt w:val="bullet"/>
      <w:lvlText w:val="–"/>
      <w:lvlJc w:val="left"/>
      <w:pPr>
        <w:tabs>
          <w:tab w:val="num" w:pos="2608"/>
        </w:tabs>
        <w:ind w:left="2608" w:hanging="709"/>
      </w:pPr>
      <w:rPr>
        <w:rFonts w:ascii="Times New Roman" w:hAnsi="Times New Roman"/>
      </w:rPr>
    </w:lvl>
    <w:lvl w:ilvl="3">
      <w:start w:val="1"/>
      <w:numFmt w:val="bullet"/>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8" w15:restartNumberingAfterBreak="0">
    <w:nsid w:val="46BD7557"/>
    <w:multiLevelType w:val="hybridMultilevel"/>
    <w:tmpl w:val="AB5ED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46D81750"/>
    <w:multiLevelType w:val="hybridMultilevel"/>
    <w:tmpl w:val="FAAA15D4"/>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90" w15:restartNumberingAfterBreak="0">
    <w:nsid w:val="46E91ABD"/>
    <w:multiLevelType w:val="hybridMultilevel"/>
    <w:tmpl w:val="ED06B2F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1" w15:restartNumberingAfterBreak="0">
    <w:nsid w:val="4778116C"/>
    <w:multiLevelType w:val="hybridMultilevel"/>
    <w:tmpl w:val="39749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47AC6047"/>
    <w:multiLevelType w:val="hybridMultilevel"/>
    <w:tmpl w:val="9032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47D336EE"/>
    <w:multiLevelType w:val="hybridMultilevel"/>
    <w:tmpl w:val="14987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48860AAB"/>
    <w:multiLevelType w:val="multilevel"/>
    <w:tmpl w:val="E8744BD2"/>
    <w:lvl w:ilvl="0">
      <w:start w:val="1"/>
      <w:numFmt w:val="decimal"/>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rPr>
    </w:lvl>
    <w:lvl w:ilvl="3">
      <w:start w:val="1"/>
      <w:numFmt w:val="bullet"/>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5" w15:restartNumberingAfterBreak="0">
    <w:nsid w:val="49E479B9"/>
    <w:multiLevelType w:val="hybridMultilevel"/>
    <w:tmpl w:val="F8324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6" w15:restartNumberingAfterBreak="0">
    <w:nsid w:val="4A1F3A29"/>
    <w:multiLevelType w:val="hybridMultilevel"/>
    <w:tmpl w:val="E6E8D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7" w15:restartNumberingAfterBreak="0">
    <w:nsid w:val="4A642D5E"/>
    <w:multiLevelType w:val="hybridMultilevel"/>
    <w:tmpl w:val="5E56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4AA67464"/>
    <w:multiLevelType w:val="hybridMultilevel"/>
    <w:tmpl w:val="C90A1F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4AEF02A2"/>
    <w:multiLevelType w:val="hybridMultilevel"/>
    <w:tmpl w:val="7C3C7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4B7219C3"/>
    <w:multiLevelType w:val="hybridMultilevel"/>
    <w:tmpl w:val="2CD8AC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4BB77CD0"/>
    <w:multiLevelType w:val="hybridMultilevel"/>
    <w:tmpl w:val="997A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4C5D5CA0"/>
    <w:multiLevelType w:val="hybridMultilevel"/>
    <w:tmpl w:val="41945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4C7D1694"/>
    <w:multiLevelType w:val="hybridMultilevel"/>
    <w:tmpl w:val="BF5221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CF069A5"/>
    <w:multiLevelType w:val="hybridMultilevel"/>
    <w:tmpl w:val="66E24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5" w15:restartNumberingAfterBreak="0">
    <w:nsid w:val="4CF236D2"/>
    <w:multiLevelType w:val="hybridMultilevel"/>
    <w:tmpl w:val="8C32CA86"/>
    <w:lvl w:ilvl="0" w:tplc="BB1EE2D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D28408A"/>
    <w:multiLevelType w:val="hybridMultilevel"/>
    <w:tmpl w:val="56B02306"/>
    <w:lvl w:ilvl="0" w:tplc="982C48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D950ACC"/>
    <w:multiLevelType w:val="hybridMultilevel"/>
    <w:tmpl w:val="E5360E60"/>
    <w:lvl w:ilvl="0" w:tplc="04090001">
      <w:start w:val="1"/>
      <w:numFmt w:val="bullet"/>
      <w:lvlText w:val=""/>
      <w:lvlJc w:val="left"/>
      <w:pPr>
        <w:ind w:left="720" w:hanging="360"/>
      </w:pPr>
      <w:rPr>
        <w:rFonts w:ascii="Symbol" w:hAnsi="Symbol" w:hint="default"/>
      </w:rPr>
    </w:lvl>
    <w:lvl w:ilvl="1" w:tplc="96468DC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4DC67627"/>
    <w:multiLevelType w:val="hybridMultilevel"/>
    <w:tmpl w:val="F12487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E043A5B"/>
    <w:multiLevelType w:val="hybridMultilevel"/>
    <w:tmpl w:val="D992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4E1709CA"/>
    <w:multiLevelType w:val="hybridMultilevel"/>
    <w:tmpl w:val="87486B0E"/>
    <w:lvl w:ilvl="0" w:tplc="982C48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4E8B7321"/>
    <w:multiLevelType w:val="hybridMultilevel"/>
    <w:tmpl w:val="133C331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2" w15:restartNumberingAfterBreak="0">
    <w:nsid w:val="4EB2396E"/>
    <w:multiLevelType w:val="hybridMultilevel"/>
    <w:tmpl w:val="D8A6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00063BB"/>
    <w:multiLevelType w:val="hybridMultilevel"/>
    <w:tmpl w:val="8402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06162DE"/>
    <w:multiLevelType w:val="hybridMultilevel"/>
    <w:tmpl w:val="654C86BC"/>
    <w:lvl w:ilvl="0" w:tplc="CBAAC7CA">
      <w:start w:val="1"/>
      <w:numFmt w:val="bullet"/>
      <w:lvlText w:val="•"/>
      <w:lvlJc w:val="left"/>
      <w:pPr>
        <w:tabs>
          <w:tab w:val="num" w:pos="720"/>
        </w:tabs>
        <w:ind w:left="720" w:hanging="360"/>
      </w:pPr>
      <w:rPr>
        <w:rFonts w:ascii="Arial" w:hAnsi="Arial" w:hint="default"/>
      </w:rPr>
    </w:lvl>
    <w:lvl w:ilvl="1" w:tplc="0809001B">
      <w:start w:val="1"/>
      <w:numFmt w:val="lowerRoman"/>
      <w:lvlText w:val="%2."/>
      <w:lvlJc w:val="right"/>
      <w:pPr>
        <w:tabs>
          <w:tab w:val="num" w:pos="1440"/>
        </w:tabs>
        <w:ind w:left="1440" w:hanging="360"/>
      </w:pPr>
      <w:rPr>
        <w:rFonts w:hint="default"/>
      </w:rPr>
    </w:lvl>
    <w:lvl w:ilvl="2" w:tplc="83249E9E">
      <w:start w:val="3226"/>
      <w:numFmt w:val="bullet"/>
      <w:lvlText w:val="•"/>
      <w:lvlJc w:val="left"/>
      <w:pPr>
        <w:tabs>
          <w:tab w:val="num" w:pos="2160"/>
        </w:tabs>
        <w:ind w:left="2160" w:hanging="360"/>
      </w:pPr>
      <w:rPr>
        <w:rFonts w:ascii="Arial" w:hAnsi="Arial" w:hint="default"/>
      </w:rPr>
    </w:lvl>
    <w:lvl w:ilvl="3" w:tplc="7E60B14E" w:tentative="1">
      <w:start w:val="1"/>
      <w:numFmt w:val="bullet"/>
      <w:lvlText w:val="•"/>
      <w:lvlJc w:val="left"/>
      <w:pPr>
        <w:tabs>
          <w:tab w:val="num" w:pos="2880"/>
        </w:tabs>
        <w:ind w:left="2880" w:hanging="360"/>
      </w:pPr>
      <w:rPr>
        <w:rFonts w:ascii="Arial" w:hAnsi="Arial" w:hint="default"/>
      </w:rPr>
    </w:lvl>
    <w:lvl w:ilvl="4" w:tplc="9AF651D4" w:tentative="1">
      <w:start w:val="1"/>
      <w:numFmt w:val="bullet"/>
      <w:lvlText w:val="•"/>
      <w:lvlJc w:val="left"/>
      <w:pPr>
        <w:tabs>
          <w:tab w:val="num" w:pos="3600"/>
        </w:tabs>
        <w:ind w:left="3600" w:hanging="360"/>
      </w:pPr>
      <w:rPr>
        <w:rFonts w:ascii="Arial" w:hAnsi="Arial" w:hint="default"/>
      </w:rPr>
    </w:lvl>
    <w:lvl w:ilvl="5" w:tplc="969E9652" w:tentative="1">
      <w:start w:val="1"/>
      <w:numFmt w:val="bullet"/>
      <w:lvlText w:val="•"/>
      <w:lvlJc w:val="left"/>
      <w:pPr>
        <w:tabs>
          <w:tab w:val="num" w:pos="4320"/>
        </w:tabs>
        <w:ind w:left="4320" w:hanging="360"/>
      </w:pPr>
      <w:rPr>
        <w:rFonts w:ascii="Arial" w:hAnsi="Arial" w:hint="default"/>
      </w:rPr>
    </w:lvl>
    <w:lvl w:ilvl="6" w:tplc="44E42CD0" w:tentative="1">
      <w:start w:val="1"/>
      <w:numFmt w:val="bullet"/>
      <w:lvlText w:val="•"/>
      <w:lvlJc w:val="left"/>
      <w:pPr>
        <w:tabs>
          <w:tab w:val="num" w:pos="5040"/>
        </w:tabs>
        <w:ind w:left="5040" w:hanging="360"/>
      </w:pPr>
      <w:rPr>
        <w:rFonts w:ascii="Arial" w:hAnsi="Arial" w:hint="default"/>
      </w:rPr>
    </w:lvl>
    <w:lvl w:ilvl="7" w:tplc="8C1693DC" w:tentative="1">
      <w:start w:val="1"/>
      <w:numFmt w:val="bullet"/>
      <w:lvlText w:val="•"/>
      <w:lvlJc w:val="left"/>
      <w:pPr>
        <w:tabs>
          <w:tab w:val="num" w:pos="5760"/>
        </w:tabs>
        <w:ind w:left="5760" w:hanging="360"/>
      </w:pPr>
      <w:rPr>
        <w:rFonts w:ascii="Arial" w:hAnsi="Arial" w:hint="default"/>
      </w:rPr>
    </w:lvl>
    <w:lvl w:ilvl="8" w:tplc="C7F817E6"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17548F8"/>
    <w:multiLevelType w:val="hybridMultilevel"/>
    <w:tmpl w:val="13E22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51E57FC7"/>
    <w:multiLevelType w:val="hybridMultilevel"/>
    <w:tmpl w:val="F4E69D5E"/>
    <w:lvl w:ilvl="0" w:tplc="FDF2BDB8">
      <w:start w:val="1"/>
      <w:numFmt w:val="decimal"/>
      <w:lvlText w:val="%1."/>
      <w:lvlJc w:val="left"/>
      <w:pPr>
        <w:ind w:left="720" w:hanging="360"/>
      </w:pPr>
      <w:rPr>
        <w:rFonts w:eastAsiaTheme="minorHAnsi" w:hint="default"/>
        <w:b/>
        <w:color w:val="000000"/>
        <w:sz w:val="17"/>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7" w15:restartNumberingAfterBreak="0">
    <w:nsid w:val="522511B8"/>
    <w:multiLevelType w:val="hybridMultilevel"/>
    <w:tmpl w:val="AA1093AA"/>
    <w:lvl w:ilvl="0" w:tplc="0809000F">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18" w15:restartNumberingAfterBreak="0">
    <w:nsid w:val="52415815"/>
    <w:multiLevelType w:val="hybridMultilevel"/>
    <w:tmpl w:val="AF6C39FC"/>
    <w:name w:val="LegalNumParListTemplate32"/>
    <w:lvl w:ilvl="0" w:tplc="041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52874759"/>
    <w:multiLevelType w:val="hybridMultilevel"/>
    <w:tmpl w:val="EE781604"/>
    <w:lvl w:ilvl="0" w:tplc="CC3235D4">
      <w:start w:val="1"/>
      <w:numFmt w:val="bullet"/>
      <w:lvlText w:val="-"/>
      <w:lvlJc w:val="left"/>
      <w:pPr>
        <w:ind w:left="720" w:hanging="360"/>
      </w:pPr>
      <w:rPr>
        <w:rFonts w:ascii="Courier New" w:hAnsi="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15:restartNumberingAfterBreak="0">
    <w:nsid w:val="52DB5C4B"/>
    <w:multiLevelType w:val="multilevel"/>
    <w:tmpl w:val="FBE08D6C"/>
    <w:lvl w:ilvl="0">
      <w:start w:val="1"/>
      <w:numFmt w:val="decimal"/>
      <w:lvlText w:val="%1."/>
      <w:lvlJc w:val="left"/>
      <w:pPr>
        <w:ind w:left="1080" w:hanging="720"/>
      </w:pPr>
      <w:rPr>
        <w:rFonts w:hint="default"/>
        <w:b/>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1" w15:restartNumberingAfterBreak="0">
    <w:nsid w:val="536B0538"/>
    <w:multiLevelType w:val="hybridMultilevel"/>
    <w:tmpl w:val="B96AC4E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2" w15:restartNumberingAfterBreak="0">
    <w:nsid w:val="544935FB"/>
    <w:multiLevelType w:val="hybridMultilevel"/>
    <w:tmpl w:val="2A76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54A57767"/>
    <w:multiLevelType w:val="hybridMultilevel"/>
    <w:tmpl w:val="0C44C8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4" w15:restartNumberingAfterBreak="0">
    <w:nsid w:val="54AC1DA3"/>
    <w:multiLevelType w:val="hybridMultilevel"/>
    <w:tmpl w:val="401C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54BD0BEC"/>
    <w:multiLevelType w:val="singleLevel"/>
    <w:tmpl w:val="72D6F376"/>
    <w:lvl w:ilvl="0">
      <w:start w:val="1"/>
      <w:numFmt w:val="bullet"/>
      <w:lvlText w:val=""/>
      <w:lvlJc w:val="left"/>
      <w:pPr>
        <w:tabs>
          <w:tab w:val="num" w:pos="283"/>
        </w:tabs>
        <w:ind w:left="283" w:hanging="283"/>
      </w:pPr>
      <w:rPr>
        <w:rFonts w:ascii="Symbol" w:hAnsi="Symbol"/>
      </w:rPr>
    </w:lvl>
  </w:abstractNum>
  <w:abstractNum w:abstractNumId="22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27" w15:restartNumberingAfterBreak="0">
    <w:nsid w:val="55B7101F"/>
    <w:multiLevelType w:val="hybridMultilevel"/>
    <w:tmpl w:val="6950AA50"/>
    <w:lvl w:ilvl="0" w:tplc="DDCA070A">
      <w:start w:val="1"/>
      <w:numFmt w:val="decimal"/>
      <w:lvlText w:val="1.%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8" w15:restartNumberingAfterBreak="0">
    <w:nsid w:val="55E16891"/>
    <w:multiLevelType w:val="hybridMultilevel"/>
    <w:tmpl w:val="974EFAE2"/>
    <w:lvl w:ilvl="0" w:tplc="AB8209FC">
      <w:start w:val="2"/>
      <w:numFmt w:val="decimal"/>
      <w:lvlText w:val="1.%1"/>
      <w:lvlJc w:val="right"/>
      <w:pPr>
        <w:ind w:left="1080" w:hanging="360"/>
      </w:pPr>
      <w:rPr>
        <w:rFonts w:hint="default"/>
      </w:rPr>
    </w:lvl>
    <w:lvl w:ilvl="1" w:tplc="DDCA070A">
      <w:start w:val="1"/>
      <w:numFmt w:val="decimal"/>
      <w:lvlText w:val="1.%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9" w15:restartNumberingAfterBreak="0">
    <w:nsid w:val="56124A0B"/>
    <w:multiLevelType w:val="hybridMultilevel"/>
    <w:tmpl w:val="AC5029E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0" w15:restartNumberingAfterBreak="0">
    <w:nsid w:val="568B59CA"/>
    <w:multiLevelType w:val="hybridMultilevel"/>
    <w:tmpl w:val="CF88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6BB1B4A"/>
    <w:multiLevelType w:val="multilevel"/>
    <w:tmpl w:val="4C34E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6BC3929"/>
    <w:multiLevelType w:val="hybridMultilevel"/>
    <w:tmpl w:val="7E726E6C"/>
    <w:lvl w:ilvl="0" w:tplc="74D45F92">
      <w:start w:val="1"/>
      <w:numFmt w:val="bullet"/>
      <w:lvlText w:val="-"/>
      <w:lvlJc w:val="left"/>
      <w:pPr>
        <w:ind w:left="717" w:hanging="360"/>
      </w:pPr>
      <w:rPr>
        <w:rFonts w:ascii="Calibri" w:eastAsia="Courier New" w:hAnsi="Calibri" w:cs="Courier New"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8090003">
      <w:start w:val="1"/>
      <w:numFmt w:val="bullet"/>
      <w:lvlText w:val="o"/>
      <w:lvlJc w:val="left"/>
      <w:pPr>
        <w:ind w:left="1437" w:hanging="360"/>
      </w:pPr>
      <w:rPr>
        <w:rFonts w:ascii="Courier New" w:hAnsi="Courier New" w:cs="Courier New" w:hint="default"/>
      </w:rPr>
    </w:lvl>
    <w:lvl w:ilvl="2" w:tplc="08090005">
      <w:start w:val="1"/>
      <w:numFmt w:val="bullet"/>
      <w:lvlText w:val=""/>
      <w:lvlJc w:val="left"/>
      <w:pPr>
        <w:ind w:left="2157" w:hanging="360"/>
      </w:pPr>
      <w:rPr>
        <w:rFonts w:ascii="Wingdings" w:hAnsi="Wingdings" w:hint="default"/>
      </w:rPr>
    </w:lvl>
    <w:lvl w:ilvl="3" w:tplc="08090001">
      <w:start w:val="1"/>
      <w:numFmt w:val="bullet"/>
      <w:lvlText w:val=""/>
      <w:lvlJc w:val="left"/>
      <w:pPr>
        <w:ind w:left="2877" w:hanging="360"/>
      </w:pPr>
      <w:rPr>
        <w:rFonts w:ascii="Symbol" w:hAnsi="Symbol" w:hint="default"/>
      </w:rPr>
    </w:lvl>
    <w:lvl w:ilvl="4" w:tplc="08090003">
      <w:start w:val="1"/>
      <w:numFmt w:val="bullet"/>
      <w:lvlText w:val="o"/>
      <w:lvlJc w:val="left"/>
      <w:pPr>
        <w:ind w:left="3597" w:hanging="360"/>
      </w:pPr>
      <w:rPr>
        <w:rFonts w:ascii="Courier New" w:hAnsi="Courier New" w:cs="Courier New" w:hint="default"/>
      </w:rPr>
    </w:lvl>
    <w:lvl w:ilvl="5" w:tplc="08090005">
      <w:start w:val="1"/>
      <w:numFmt w:val="bullet"/>
      <w:lvlText w:val=""/>
      <w:lvlJc w:val="left"/>
      <w:pPr>
        <w:ind w:left="4317" w:hanging="360"/>
      </w:pPr>
      <w:rPr>
        <w:rFonts w:ascii="Wingdings" w:hAnsi="Wingdings" w:hint="default"/>
      </w:rPr>
    </w:lvl>
    <w:lvl w:ilvl="6" w:tplc="08090001">
      <w:start w:val="1"/>
      <w:numFmt w:val="bullet"/>
      <w:lvlText w:val=""/>
      <w:lvlJc w:val="left"/>
      <w:pPr>
        <w:ind w:left="5037" w:hanging="360"/>
      </w:pPr>
      <w:rPr>
        <w:rFonts w:ascii="Symbol" w:hAnsi="Symbol" w:hint="default"/>
      </w:rPr>
    </w:lvl>
    <w:lvl w:ilvl="7" w:tplc="08090003">
      <w:start w:val="1"/>
      <w:numFmt w:val="bullet"/>
      <w:lvlText w:val="o"/>
      <w:lvlJc w:val="left"/>
      <w:pPr>
        <w:ind w:left="5757" w:hanging="360"/>
      </w:pPr>
      <w:rPr>
        <w:rFonts w:ascii="Courier New" w:hAnsi="Courier New" w:cs="Courier New" w:hint="default"/>
      </w:rPr>
    </w:lvl>
    <w:lvl w:ilvl="8" w:tplc="08090005">
      <w:start w:val="1"/>
      <w:numFmt w:val="bullet"/>
      <w:lvlText w:val=""/>
      <w:lvlJc w:val="left"/>
      <w:pPr>
        <w:ind w:left="6477" w:hanging="360"/>
      </w:pPr>
      <w:rPr>
        <w:rFonts w:ascii="Wingdings" w:hAnsi="Wingdings" w:hint="default"/>
      </w:rPr>
    </w:lvl>
  </w:abstractNum>
  <w:abstractNum w:abstractNumId="233" w15:restartNumberingAfterBreak="0">
    <w:nsid w:val="571D45D9"/>
    <w:multiLevelType w:val="hybridMultilevel"/>
    <w:tmpl w:val="B7A0E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571F0B6D"/>
    <w:multiLevelType w:val="hybridMultilevel"/>
    <w:tmpl w:val="51440128"/>
    <w:lvl w:ilvl="0" w:tplc="2D36B858">
      <w:start w:val="1"/>
      <w:numFmt w:val="bullet"/>
      <w:lvlText w:val="•"/>
      <w:lvlJc w:val="left"/>
      <w:pPr>
        <w:tabs>
          <w:tab w:val="num" w:pos="720"/>
        </w:tabs>
        <w:ind w:left="720" w:hanging="360"/>
      </w:pPr>
      <w:rPr>
        <w:rFonts w:ascii="Arial" w:hAnsi="Arial" w:hint="default"/>
      </w:rPr>
    </w:lvl>
    <w:lvl w:ilvl="1" w:tplc="79B6DE96">
      <w:start w:val="3226"/>
      <w:numFmt w:val="bullet"/>
      <w:lvlText w:val="•"/>
      <w:lvlJc w:val="left"/>
      <w:pPr>
        <w:tabs>
          <w:tab w:val="num" w:pos="1440"/>
        </w:tabs>
        <w:ind w:left="1440" w:hanging="360"/>
      </w:pPr>
      <w:rPr>
        <w:rFonts w:ascii="Arial" w:hAnsi="Arial" w:hint="default"/>
      </w:rPr>
    </w:lvl>
    <w:lvl w:ilvl="2" w:tplc="CBE82DA2" w:tentative="1">
      <w:start w:val="1"/>
      <w:numFmt w:val="bullet"/>
      <w:lvlText w:val="•"/>
      <w:lvlJc w:val="left"/>
      <w:pPr>
        <w:tabs>
          <w:tab w:val="num" w:pos="2160"/>
        </w:tabs>
        <w:ind w:left="2160" w:hanging="360"/>
      </w:pPr>
      <w:rPr>
        <w:rFonts w:ascii="Arial" w:hAnsi="Arial" w:hint="default"/>
      </w:rPr>
    </w:lvl>
    <w:lvl w:ilvl="3" w:tplc="1566634E" w:tentative="1">
      <w:start w:val="1"/>
      <w:numFmt w:val="bullet"/>
      <w:lvlText w:val="•"/>
      <w:lvlJc w:val="left"/>
      <w:pPr>
        <w:tabs>
          <w:tab w:val="num" w:pos="2880"/>
        </w:tabs>
        <w:ind w:left="2880" w:hanging="360"/>
      </w:pPr>
      <w:rPr>
        <w:rFonts w:ascii="Arial" w:hAnsi="Arial" w:hint="default"/>
      </w:rPr>
    </w:lvl>
    <w:lvl w:ilvl="4" w:tplc="FD9A8FD4" w:tentative="1">
      <w:start w:val="1"/>
      <w:numFmt w:val="bullet"/>
      <w:lvlText w:val="•"/>
      <w:lvlJc w:val="left"/>
      <w:pPr>
        <w:tabs>
          <w:tab w:val="num" w:pos="3600"/>
        </w:tabs>
        <w:ind w:left="3600" w:hanging="360"/>
      </w:pPr>
      <w:rPr>
        <w:rFonts w:ascii="Arial" w:hAnsi="Arial" w:hint="default"/>
      </w:rPr>
    </w:lvl>
    <w:lvl w:ilvl="5" w:tplc="5F7EF280" w:tentative="1">
      <w:start w:val="1"/>
      <w:numFmt w:val="bullet"/>
      <w:lvlText w:val="•"/>
      <w:lvlJc w:val="left"/>
      <w:pPr>
        <w:tabs>
          <w:tab w:val="num" w:pos="4320"/>
        </w:tabs>
        <w:ind w:left="4320" w:hanging="360"/>
      </w:pPr>
      <w:rPr>
        <w:rFonts w:ascii="Arial" w:hAnsi="Arial" w:hint="default"/>
      </w:rPr>
    </w:lvl>
    <w:lvl w:ilvl="6" w:tplc="C17C52C8" w:tentative="1">
      <w:start w:val="1"/>
      <w:numFmt w:val="bullet"/>
      <w:lvlText w:val="•"/>
      <w:lvlJc w:val="left"/>
      <w:pPr>
        <w:tabs>
          <w:tab w:val="num" w:pos="5040"/>
        </w:tabs>
        <w:ind w:left="5040" w:hanging="360"/>
      </w:pPr>
      <w:rPr>
        <w:rFonts w:ascii="Arial" w:hAnsi="Arial" w:hint="default"/>
      </w:rPr>
    </w:lvl>
    <w:lvl w:ilvl="7" w:tplc="2EB43536" w:tentative="1">
      <w:start w:val="1"/>
      <w:numFmt w:val="bullet"/>
      <w:lvlText w:val="•"/>
      <w:lvlJc w:val="left"/>
      <w:pPr>
        <w:tabs>
          <w:tab w:val="num" w:pos="5760"/>
        </w:tabs>
        <w:ind w:left="5760" w:hanging="360"/>
      </w:pPr>
      <w:rPr>
        <w:rFonts w:ascii="Arial" w:hAnsi="Arial" w:hint="default"/>
      </w:rPr>
    </w:lvl>
    <w:lvl w:ilvl="8" w:tplc="EA88E58C"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571F0FB5"/>
    <w:multiLevelType w:val="hybridMultilevel"/>
    <w:tmpl w:val="687A7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586C7BEC"/>
    <w:multiLevelType w:val="hybridMultilevel"/>
    <w:tmpl w:val="6CEE776E"/>
    <w:lvl w:ilvl="0" w:tplc="E3B40CD4">
      <w:start w:val="1"/>
      <w:numFmt w:val="decimal"/>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7" w15:restartNumberingAfterBreak="0">
    <w:nsid w:val="58C369DF"/>
    <w:multiLevelType w:val="hybridMultilevel"/>
    <w:tmpl w:val="C2723B6E"/>
    <w:lvl w:ilvl="0" w:tplc="74D45F9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8" w15:restartNumberingAfterBreak="0">
    <w:nsid w:val="59123E63"/>
    <w:multiLevelType w:val="hybridMultilevel"/>
    <w:tmpl w:val="554C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5934641B"/>
    <w:multiLevelType w:val="hybridMultilevel"/>
    <w:tmpl w:val="7C86B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59C75F25"/>
    <w:multiLevelType w:val="hybridMultilevel"/>
    <w:tmpl w:val="99AE188A"/>
    <w:lvl w:ilvl="0" w:tplc="04090001">
      <w:start w:val="1"/>
      <w:numFmt w:val="bullet"/>
      <w:lvlText w:val=""/>
      <w:lvlJc w:val="left"/>
      <w:pPr>
        <w:ind w:left="8450"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241" w15:restartNumberingAfterBreak="0">
    <w:nsid w:val="59E57A6A"/>
    <w:multiLevelType w:val="multilevel"/>
    <w:tmpl w:val="31666B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2" w15:restartNumberingAfterBreak="0">
    <w:nsid w:val="5A390899"/>
    <w:multiLevelType w:val="multilevel"/>
    <w:tmpl w:val="22A09F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3" w15:restartNumberingAfterBreak="0">
    <w:nsid w:val="5A8F5B22"/>
    <w:multiLevelType w:val="multilevel"/>
    <w:tmpl w:val="AC885D7A"/>
    <w:lvl w:ilvl="0">
      <w:start w:val="1"/>
      <w:numFmt w:val="decimal"/>
      <w:lvlText w:val="%1."/>
      <w:lvlJc w:val="left"/>
      <w:pPr>
        <w:tabs>
          <w:tab w:val="num" w:pos="1200"/>
        </w:tabs>
        <w:ind w:left="1200" w:hanging="480"/>
      </w:pPr>
      <w:rPr>
        <w:rFonts w:hint="default"/>
      </w:rPr>
    </w:lvl>
    <w:lvl w:ilvl="1">
      <w:start w:val="1"/>
      <w:numFmt w:val="decimal"/>
      <w:lvlText w:val="%1.%2."/>
      <w:lvlJc w:val="left"/>
      <w:pPr>
        <w:tabs>
          <w:tab w:val="num" w:pos="1800"/>
        </w:tabs>
        <w:ind w:left="1800" w:hanging="600"/>
      </w:pPr>
    </w:lvl>
    <w:lvl w:ilvl="2">
      <w:start w:val="1"/>
      <w:numFmt w:val="decimal"/>
      <w:lvlText w:val="%1.%2.%3."/>
      <w:lvlJc w:val="left"/>
      <w:pPr>
        <w:tabs>
          <w:tab w:val="num" w:pos="2640"/>
        </w:tabs>
        <w:ind w:left="2640" w:hanging="840"/>
      </w:pPr>
    </w:lvl>
    <w:lvl w:ilvl="3">
      <w:start w:val="1"/>
      <w:numFmt w:val="decimal"/>
      <w:lvlText w:val="%1.%2.%3.%4."/>
      <w:lvlJc w:val="left"/>
      <w:pPr>
        <w:tabs>
          <w:tab w:val="num" w:pos="3600"/>
        </w:tabs>
        <w:ind w:left="3600" w:hanging="9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244" w15:restartNumberingAfterBreak="0">
    <w:nsid w:val="5AA7731F"/>
    <w:multiLevelType w:val="hybridMultilevel"/>
    <w:tmpl w:val="0E52E0F4"/>
    <w:lvl w:ilvl="0" w:tplc="74F2C19A">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5" w15:restartNumberingAfterBreak="0">
    <w:nsid w:val="5AB1129C"/>
    <w:multiLevelType w:val="hybridMultilevel"/>
    <w:tmpl w:val="26CE2E0E"/>
    <w:lvl w:ilvl="0" w:tplc="CC3235D4">
      <w:start w:val="1"/>
      <w:numFmt w:val="bullet"/>
      <w:lvlText w:val="-"/>
      <w:lvlJc w:val="left"/>
      <w:pPr>
        <w:ind w:left="720" w:hanging="360"/>
      </w:pPr>
      <w:rPr>
        <w:rFonts w:ascii="Courier New" w:hAnsi="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5AB22B18"/>
    <w:multiLevelType w:val="hybridMultilevel"/>
    <w:tmpl w:val="5F5259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B7F6980"/>
    <w:multiLevelType w:val="multilevel"/>
    <w:tmpl w:val="20604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48" w15:restartNumberingAfterBreak="0">
    <w:nsid w:val="5D4145B8"/>
    <w:multiLevelType w:val="hybridMultilevel"/>
    <w:tmpl w:val="AA80938E"/>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9" w15:restartNumberingAfterBreak="0">
    <w:nsid w:val="5D9F5491"/>
    <w:multiLevelType w:val="hybridMultilevel"/>
    <w:tmpl w:val="214CC3FE"/>
    <w:lvl w:ilvl="0" w:tplc="90A20584">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5DAA1F27"/>
    <w:multiLevelType w:val="hybridMultilevel"/>
    <w:tmpl w:val="951A7F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1" w15:restartNumberingAfterBreak="0">
    <w:nsid w:val="5E03602B"/>
    <w:multiLevelType w:val="hybridMultilevel"/>
    <w:tmpl w:val="9C3425CC"/>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5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53" w15:restartNumberingAfterBreak="0">
    <w:nsid w:val="5E1513E5"/>
    <w:multiLevelType w:val="hybridMultilevel"/>
    <w:tmpl w:val="303A85BA"/>
    <w:lvl w:ilvl="0" w:tplc="CC3235D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E1E01BB"/>
    <w:multiLevelType w:val="hybridMultilevel"/>
    <w:tmpl w:val="ED7070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5" w15:restartNumberingAfterBreak="0">
    <w:nsid w:val="5E6C2B12"/>
    <w:multiLevelType w:val="hybridMultilevel"/>
    <w:tmpl w:val="F710A862"/>
    <w:lvl w:ilvl="0" w:tplc="FBA47046">
      <w:start w:val="1"/>
      <w:numFmt w:val="bullet"/>
      <w:lvlText w:val="–"/>
      <w:lvlJc w:val="left"/>
      <w:pPr>
        <w:tabs>
          <w:tab w:val="num" w:pos="283"/>
        </w:tabs>
        <w:ind w:left="283" w:hanging="283"/>
      </w:pPr>
      <w:rPr>
        <w:rFonts w:ascii="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5EC615CE"/>
    <w:multiLevelType w:val="hybridMultilevel"/>
    <w:tmpl w:val="13F4C71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5F7A0DE4"/>
    <w:multiLevelType w:val="hybridMultilevel"/>
    <w:tmpl w:val="43A4357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Aria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258" w15:restartNumberingAfterBreak="0">
    <w:nsid w:val="5FCB3CAA"/>
    <w:multiLevelType w:val="multilevel"/>
    <w:tmpl w:val="11F0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60" w15:restartNumberingAfterBreak="0">
    <w:nsid w:val="60F56E05"/>
    <w:multiLevelType w:val="hybridMultilevel"/>
    <w:tmpl w:val="22161D06"/>
    <w:lvl w:ilvl="0" w:tplc="0809000F">
      <w:start w:val="1"/>
      <w:numFmt w:val="decimal"/>
      <w:lvlText w:val="%1."/>
      <w:lvlJc w:val="left"/>
      <w:pPr>
        <w:ind w:left="720" w:hanging="360"/>
      </w:pPr>
      <w:rPr>
        <w:rFonts w:hint="default"/>
      </w:rPr>
    </w:lvl>
    <w:lvl w:ilvl="1" w:tplc="DDCA070A">
      <w:start w:val="1"/>
      <w:numFmt w:val="decimal"/>
      <w:lvlText w:val="1.%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1360F05"/>
    <w:multiLevelType w:val="multilevel"/>
    <w:tmpl w:val="AD3A0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2"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63" w15:restartNumberingAfterBreak="0">
    <w:nsid w:val="625C3240"/>
    <w:multiLevelType w:val="multilevel"/>
    <w:tmpl w:val="20604C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4" w15:restartNumberingAfterBreak="0">
    <w:nsid w:val="62B51573"/>
    <w:multiLevelType w:val="hybridMultilevel"/>
    <w:tmpl w:val="0060A1D0"/>
    <w:lvl w:ilvl="0" w:tplc="503A1D6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62C4376F"/>
    <w:multiLevelType w:val="hybridMultilevel"/>
    <w:tmpl w:val="CAB4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644B5EAF"/>
    <w:multiLevelType w:val="hybridMultilevel"/>
    <w:tmpl w:val="7744D7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7" w15:restartNumberingAfterBreak="0">
    <w:nsid w:val="64A97B86"/>
    <w:multiLevelType w:val="hybridMultilevel"/>
    <w:tmpl w:val="2CAC2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8" w15:restartNumberingAfterBreak="0">
    <w:nsid w:val="64E72BB3"/>
    <w:multiLevelType w:val="hybridMultilevel"/>
    <w:tmpl w:val="70D4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650540D5"/>
    <w:multiLevelType w:val="hybridMultilevel"/>
    <w:tmpl w:val="C3923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6529284E"/>
    <w:multiLevelType w:val="hybridMultilevel"/>
    <w:tmpl w:val="D0A86570"/>
    <w:lvl w:ilvl="0" w:tplc="74D45F9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65292D24"/>
    <w:multiLevelType w:val="hybridMultilevel"/>
    <w:tmpl w:val="0DDAA92E"/>
    <w:lvl w:ilvl="0" w:tplc="982C483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65D56131"/>
    <w:multiLevelType w:val="hybridMultilevel"/>
    <w:tmpl w:val="9EE67B96"/>
    <w:lvl w:ilvl="0" w:tplc="08090001">
      <w:start w:val="1"/>
      <w:numFmt w:val="bullet"/>
      <w:lvlText w:val=""/>
      <w:lvlJc w:val="left"/>
      <w:pPr>
        <w:ind w:left="720" w:hanging="360"/>
      </w:pPr>
      <w:rPr>
        <w:rFonts w:ascii="Symbol" w:hAnsi="Symbol" w:hint="default"/>
      </w:rPr>
    </w:lvl>
    <w:lvl w:ilvl="1" w:tplc="B6D0DE68">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662B5C67"/>
    <w:multiLevelType w:val="singleLevel"/>
    <w:tmpl w:val="40D2097A"/>
    <w:lvl w:ilvl="0">
      <w:start w:val="1"/>
      <w:numFmt w:val="bullet"/>
      <w:lvlText w:val="–"/>
      <w:lvlJc w:val="left"/>
      <w:pPr>
        <w:tabs>
          <w:tab w:val="num" w:pos="283"/>
        </w:tabs>
        <w:ind w:left="283" w:hanging="283"/>
      </w:pPr>
      <w:rPr>
        <w:rFonts w:ascii="Times New Roman" w:hAnsi="Times New Roman"/>
      </w:rPr>
    </w:lvl>
  </w:abstractNum>
  <w:abstractNum w:abstractNumId="274" w15:restartNumberingAfterBreak="0">
    <w:nsid w:val="665935C9"/>
    <w:multiLevelType w:val="hybridMultilevel"/>
    <w:tmpl w:val="31C6D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5" w15:restartNumberingAfterBreak="0">
    <w:nsid w:val="668A10F7"/>
    <w:multiLevelType w:val="singleLevel"/>
    <w:tmpl w:val="BD783356"/>
    <w:lvl w:ilvl="0">
      <w:start w:val="1"/>
      <w:numFmt w:val="bullet"/>
      <w:lvlText w:val="–"/>
      <w:lvlJc w:val="left"/>
      <w:pPr>
        <w:tabs>
          <w:tab w:val="num" w:pos="1360"/>
        </w:tabs>
        <w:ind w:left="1360" w:hanging="283"/>
      </w:pPr>
      <w:rPr>
        <w:rFonts w:ascii="Times New Roman" w:hAnsi="Times New Roman"/>
      </w:rPr>
    </w:lvl>
  </w:abstractNum>
  <w:abstractNum w:abstractNumId="276" w15:restartNumberingAfterBreak="0">
    <w:nsid w:val="66AD5A79"/>
    <w:multiLevelType w:val="hybridMultilevel"/>
    <w:tmpl w:val="19A64BE6"/>
    <w:lvl w:ilvl="0" w:tplc="0813001B">
      <w:start w:val="1"/>
      <w:numFmt w:val="lowerRoman"/>
      <w:lvlText w:val="%1."/>
      <w:lvlJc w:val="righ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7" w15:restartNumberingAfterBreak="0">
    <w:nsid w:val="67671EEF"/>
    <w:multiLevelType w:val="singleLevel"/>
    <w:tmpl w:val="249CEA72"/>
    <w:lvl w:ilvl="0">
      <w:start w:val="1"/>
      <w:numFmt w:val="bullet"/>
      <w:lvlText w:val="–"/>
      <w:lvlJc w:val="left"/>
      <w:pPr>
        <w:tabs>
          <w:tab w:val="num" w:pos="765"/>
        </w:tabs>
        <w:ind w:left="765" w:hanging="283"/>
      </w:pPr>
      <w:rPr>
        <w:rFonts w:ascii="Times New Roman" w:hAnsi="Times New Roman"/>
      </w:rPr>
    </w:lvl>
  </w:abstractNum>
  <w:abstractNum w:abstractNumId="278" w15:restartNumberingAfterBreak="0">
    <w:nsid w:val="68235E91"/>
    <w:multiLevelType w:val="hybridMultilevel"/>
    <w:tmpl w:val="4560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68571419"/>
    <w:multiLevelType w:val="hybridMultilevel"/>
    <w:tmpl w:val="49827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68931779"/>
    <w:multiLevelType w:val="multilevel"/>
    <w:tmpl w:val="77B4CC9E"/>
    <w:lvl w:ilvl="0">
      <w:start w:val="1"/>
      <w:numFmt w:val="decimal"/>
      <w:lvlText w:val="%1."/>
      <w:lvlJc w:val="left"/>
      <w:pPr>
        <w:tabs>
          <w:tab w:val="num" w:pos="480"/>
        </w:tabs>
        <w:ind w:left="480" w:hanging="480"/>
      </w:pPr>
      <w:rPr>
        <w:rFonts w:hint="default"/>
        <w:sz w:val="24"/>
        <w:szCs w:val="24"/>
      </w:rPr>
    </w:lvl>
    <w:lvl w:ilvl="1">
      <w:start w:val="1"/>
      <w:numFmt w:val="decimal"/>
      <w:lvlText w:val="%1.%2."/>
      <w:lvlJc w:val="left"/>
      <w:pPr>
        <w:tabs>
          <w:tab w:val="num" w:pos="1200"/>
        </w:tabs>
        <w:ind w:left="1200" w:hanging="720"/>
      </w:pPr>
      <w:rPr>
        <w:rFont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1" w15:restartNumberingAfterBreak="0">
    <w:nsid w:val="69146E13"/>
    <w:multiLevelType w:val="multilevel"/>
    <w:tmpl w:val="468838EC"/>
    <w:lvl w:ilvl="0">
      <w:start w:val="1"/>
      <w:numFmt w:val="upperRoman"/>
      <w:lvlText w:val="%1."/>
      <w:lvlJc w:val="left"/>
      <w:pPr>
        <w:ind w:left="1080" w:hanging="720"/>
      </w:pPr>
      <w:rPr>
        <w:rFonts w:hint="default"/>
        <w:b/>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2" w15:restartNumberingAfterBreak="0">
    <w:nsid w:val="69650A7E"/>
    <w:multiLevelType w:val="hybridMultilevel"/>
    <w:tmpl w:val="F4E69D5E"/>
    <w:lvl w:ilvl="0" w:tplc="FDF2BDB8">
      <w:start w:val="1"/>
      <w:numFmt w:val="decimal"/>
      <w:lvlText w:val="%1."/>
      <w:lvlJc w:val="left"/>
      <w:pPr>
        <w:ind w:left="720" w:hanging="360"/>
      </w:pPr>
      <w:rPr>
        <w:rFonts w:eastAsiaTheme="minorHAnsi" w:hint="default"/>
        <w:b/>
        <w:color w:val="000000"/>
        <w:sz w:val="17"/>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3" w15:restartNumberingAfterBreak="0">
    <w:nsid w:val="698C64B0"/>
    <w:multiLevelType w:val="hybridMultilevel"/>
    <w:tmpl w:val="21923864"/>
    <w:lvl w:ilvl="0" w:tplc="74D45F92">
      <w:start w:val="1"/>
      <w:numFmt w:val="bullet"/>
      <w:lvlText w:val="-"/>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15:restartNumberingAfterBreak="0">
    <w:nsid w:val="69CD22CE"/>
    <w:multiLevelType w:val="hybridMultilevel"/>
    <w:tmpl w:val="F9D4F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69D2680C"/>
    <w:multiLevelType w:val="hybridMultilevel"/>
    <w:tmpl w:val="E13C3B90"/>
    <w:lvl w:ilvl="0" w:tplc="96468D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6A615353"/>
    <w:multiLevelType w:val="hybridMultilevel"/>
    <w:tmpl w:val="0754691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6B6A0049"/>
    <w:multiLevelType w:val="hybridMultilevel"/>
    <w:tmpl w:val="3F6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8" w15:restartNumberingAfterBreak="0">
    <w:nsid w:val="6C221630"/>
    <w:multiLevelType w:val="hybridMultilevel"/>
    <w:tmpl w:val="DCA4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6C3879A1"/>
    <w:multiLevelType w:val="multilevel"/>
    <w:tmpl w:val="BAACD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DA81CB7"/>
    <w:multiLevelType w:val="multilevel"/>
    <w:tmpl w:val="8D28D432"/>
    <w:lvl w:ilvl="0">
      <w:start w:val="1"/>
      <w:numFmt w:val="decimal"/>
      <w:lvlText w:val="%1."/>
      <w:lvlJc w:val="left"/>
      <w:pPr>
        <w:ind w:left="360" w:hanging="360"/>
      </w:p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92" w15:restartNumberingAfterBreak="0">
    <w:nsid w:val="6E004B74"/>
    <w:multiLevelType w:val="hybridMultilevel"/>
    <w:tmpl w:val="CC42BF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3" w15:restartNumberingAfterBreak="0">
    <w:nsid w:val="6E5C21E3"/>
    <w:multiLevelType w:val="singleLevel"/>
    <w:tmpl w:val="91AE4CCA"/>
    <w:lvl w:ilvl="0">
      <w:start w:val="1"/>
      <w:numFmt w:val="bullet"/>
      <w:lvlText w:val="–"/>
      <w:lvlJc w:val="left"/>
      <w:pPr>
        <w:tabs>
          <w:tab w:val="num" w:pos="2199"/>
        </w:tabs>
        <w:ind w:left="2199" w:hanging="283"/>
      </w:pPr>
      <w:rPr>
        <w:rFonts w:ascii="Times New Roman" w:hAnsi="Times New Roman"/>
      </w:rPr>
    </w:lvl>
  </w:abstractNum>
  <w:abstractNum w:abstractNumId="294" w15:restartNumberingAfterBreak="0">
    <w:nsid w:val="6ED10BF5"/>
    <w:multiLevelType w:val="hybridMultilevel"/>
    <w:tmpl w:val="CEBE0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5" w15:restartNumberingAfterBreak="0">
    <w:nsid w:val="6EE174CA"/>
    <w:multiLevelType w:val="hybridMultilevel"/>
    <w:tmpl w:val="8E4E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6" w15:restartNumberingAfterBreak="0">
    <w:nsid w:val="6EE928D2"/>
    <w:multiLevelType w:val="hybridMultilevel"/>
    <w:tmpl w:val="61F09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7" w15:restartNumberingAfterBreak="0">
    <w:nsid w:val="6EFF6D08"/>
    <w:multiLevelType w:val="hybridMultilevel"/>
    <w:tmpl w:val="2860428C"/>
    <w:lvl w:ilvl="0" w:tplc="08130013">
      <w:start w:val="1"/>
      <w:numFmt w:val="upp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98" w15:restartNumberingAfterBreak="0">
    <w:nsid w:val="6F7C44E4"/>
    <w:multiLevelType w:val="multilevel"/>
    <w:tmpl w:val="3C9A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1DF3781"/>
    <w:multiLevelType w:val="hybridMultilevel"/>
    <w:tmpl w:val="08FC281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A2FE7E50">
      <w:start w:val="1"/>
      <w:numFmt w:val="decimal"/>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71E705AF"/>
    <w:multiLevelType w:val="multilevel"/>
    <w:tmpl w:val="97227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2" w15:restartNumberingAfterBreak="0">
    <w:nsid w:val="7244750A"/>
    <w:multiLevelType w:val="hybridMultilevel"/>
    <w:tmpl w:val="B6CA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3" w15:restartNumberingAfterBreak="0">
    <w:nsid w:val="727C5824"/>
    <w:multiLevelType w:val="hybridMultilevel"/>
    <w:tmpl w:val="FF70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4" w15:restartNumberingAfterBreak="0">
    <w:nsid w:val="72D23A45"/>
    <w:multiLevelType w:val="hybridMultilevel"/>
    <w:tmpl w:val="6A3E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5" w15:restartNumberingAfterBreak="0">
    <w:nsid w:val="73456293"/>
    <w:multiLevelType w:val="multilevel"/>
    <w:tmpl w:val="D1A0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39D17D1"/>
    <w:multiLevelType w:val="multilevel"/>
    <w:tmpl w:val="BE8E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67E7E9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8" w15:restartNumberingAfterBreak="0">
    <w:nsid w:val="777B7EE4"/>
    <w:multiLevelType w:val="hybridMultilevel"/>
    <w:tmpl w:val="7CA2D8BA"/>
    <w:lvl w:ilvl="0" w:tplc="47109AFC">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09" w15:restartNumberingAfterBreak="0">
    <w:nsid w:val="779A1FD0"/>
    <w:multiLevelType w:val="hybridMultilevel"/>
    <w:tmpl w:val="6D666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7B10C6F"/>
    <w:multiLevelType w:val="hybridMultilevel"/>
    <w:tmpl w:val="56008E90"/>
    <w:lvl w:ilvl="0" w:tplc="0809000F">
      <w:start w:val="1"/>
      <w:numFmt w:val="decimal"/>
      <w:lvlText w:val="%1."/>
      <w:lvlJc w:val="left"/>
      <w:pPr>
        <w:ind w:left="720" w:hanging="360"/>
      </w:pPr>
      <w:rPr>
        <w:rFonts w:hint="default"/>
      </w:rPr>
    </w:lvl>
    <w:lvl w:ilvl="1" w:tplc="E1E22F28">
      <w:start w:val="1"/>
      <w:numFmt w:val="decimal"/>
      <w:lvlText w:val="2.%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7BB0B76"/>
    <w:multiLevelType w:val="hybridMultilevel"/>
    <w:tmpl w:val="9B0A37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2" w15:restartNumberingAfterBreak="0">
    <w:nsid w:val="78593667"/>
    <w:multiLevelType w:val="hybridMultilevel"/>
    <w:tmpl w:val="AB44D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3" w15:restartNumberingAfterBreak="0">
    <w:nsid w:val="7971426E"/>
    <w:multiLevelType w:val="hybridMultilevel"/>
    <w:tmpl w:val="540CA520"/>
    <w:lvl w:ilvl="0" w:tplc="74F2C19A">
      <w:start w:val="1"/>
      <w:numFmt w:val="lowerRoman"/>
      <w:lvlText w:val="%1."/>
      <w:lvlJc w:val="right"/>
      <w:pPr>
        <w:ind w:left="720" w:hanging="360"/>
      </w:pPr>
      <w:rPr>
        <w:rFonts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14" w15:restartNumberingAfterBreak="0">
    <w:nsid w:val="79922354"/>
    <w:multiLevelType w:val="hybridMultilevel"/>
    <w:tmpl w:val="E80A7FF2"/>
    <w:lvl w:ilvl="0" w:tplc="96468DC4">
      <w:start w:val="1"/>
      <w:numFmt w:val="bullet"/>
      <w:lvlText w:val=""/>
      <w:lvlJc w:val="left"/>
      <w:pPr>
        <w:ind w:left="720" w:hanging="360"/>
      </w:pPr>
      <w:rPr>
        <w:rFonts w:ascii="Symbol" w:hAnsi="Symbol" w:hint="default"/>
      </w:rPr>
    </w:lvl>
    <w:lvl w:ilvl="1" w:tplc="B6D0DE68">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BFC3876"/>
    <w:multiLevelType w:val="hybridMultilevel"/>
    <w:tmpl w:val="6F9ACC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BFF420C"/>
    <w:multiLevelType w:val="multilevel"/>
    <w:tmpl w:val="972873A6"/>
    <w:lvl w:ilvl="0">
      <w:start w:val="1"/>
      <w:numFmt w:val="bullet"/>
      <w:lvlText w:val=""/>
      <w:lvlJc w:val="left"/>
      <w:pPr>
        <w:ind w:left="360" w:hanging="360"/>
      </w:pPr>
      <w:rPr>
        <w:rFonts w:ascii="Symbol" w:hAnsi="Symbol" w:hint="default"/>
      </w:rPr>
    </w:lvl>
    <w:lvl w:ilvl="1">
      <w:start w:val="1"/>
      <w:numFmt w:val="bullet"/>
      <w:lvlText w:val=""/>
      <w:lvlJc w:val="left"/>
      <w:pPr>
        <w:ind w:left="43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7" w15:restartNumberingAfterBreak="0">
    <w:nsid w:val="7CDC4DFC"/>
    <w:multiLevelType w:val="hybridMultilevel"/>
    <w:tmpl w:val="8EC2442C"/>
    <w:lvl w:ilvl="0" w:tplc="08090001">
      <w:start w:val="1"/>
      <w:numFmt w:val="bullet"/>
      <w:pStyle w:val="NumPar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D381E30"/>
    <w:multiLevelType w:val="hybridMultilevel"/>
    <w:tmpl w:val="96500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7DC37DC2"/>
    <w:multiLevelType w:val="hybridMultilevel"/>
    <w:tmpl w:val="BACEF838"/>
    <w:lvl w:ilvl="0" w:tplc="96468DC4">
      <w:start w:val="1"/>
      <w:numFmt w:val="bullet"/>
      <w:lvlText w:val=""/>
      <w:lvlJc w:val="left"/>
      <w:pPr>
        <w:ind w:left="720" w:hanging="360"/>
      </w:pPr>
      <w:rPr>
        <w:rFonts w:ascii="Symbol" w:hAnsi="Symbol" w:hint="default"/>
      </w:rPr>
    </w:lvl>
    <w:lvl w:ilvl="1" w:tplc="96468DC4">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0" w15:restartNumberingAfterBreak="0">
    <w:nsid w:val="7E4606C9"/>
    <w:multiLevelType w:val="multilevel"/>
    <w:tmpl w:val="D7DCC5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1" w15:restartNumberingAfterBreak="0">
    <w:nsid w:val="7EAD044D"/>
    <w:multiLevelType w:val="hybridMultilevel"/>
    <w:tmpl w:val="6032B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2" w15:restartNumberingAfterBreak="0">
    <w:nsid w:val="7F3C05E0"/>
    <w:multiLevelType w:val="hybridMultilevel"/>
    <w:tmpl w:val="3BFC8A0C"/>
    <w:lvl w:ilvl="0" w:tplc="47109AF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7F5522AC"/>
    <w:multiLevelType w:val="multilevel"/>
    <w:tmpl w:val="CDFCDC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4" w15:restartNumberingAfterBreak="0">
    <w:nsid w:val="7F634A12"/>
    <w:multiLevelType w:val="hybridMultilevel"/>
    <w:tmpl w:val="F84C1FB0"/>
    <w:lvl w:ilvl="0" w:tplc="0854C7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7F7E5D8D"/>
    <w:multiLevelType w:val="hybridMultilevel"/>
    <w:tmpl w:val="750E0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6"/>
  </w:num>
  <w:num w:numId="2">
    <w:abstractNumId w:val="259"/>
  </w:num>
  <w:num w:numId="3">
    <w:abstractNumId w:val="317"/>
  </w:num>
  <w:num w:numId="4">
    <w:abstractNumId w:val="79"/>
  </w:num>
  <w:num w:numId="5">
    <w:abstractNumId w:val="182"/>
  </w:num>
  <w:num w:numId="6">
    <w:abstractNumId w:val="90"/>
  </w:num>
  <w:num w:numId="7">
    <w:abstractNumId w:val="171"/>
  </w:num>
  <w:num w:numId="8">
    <w:abstractNumId w:val="270"/>
  </w:num>
  <w:num w:numId="9">
    <w:abstractNumId w:val="116"/>
  </w:num>
  <w:num w:numId="10">
    <w:abstractNumId w:val="290"/>
  </w:num>
  <w:num w:numId="11">
    <w:abstractNumId w:val="178"/>
  </w:num>
  <w:num w:numId="12">
    <w:abstractNumId w:val="292"/>
  </w:num>
  <w:num w:numId="13">
    <w:abstractNumId w:val="281"/>
  </w:num>
  <w:num w:numId="14">
    <w:abstractNumId w:val="95"/>
  </w:num>
  <w:num w:numId="15">
    <w:abstractNumId w:val="71"/>
  </w:num>
  <w:num w:numId="16">
    <w:abstractNumId w:val="118"/>
  </w:num>
  <w:num w:numId="17">
    <w:abstractNumId w:val="126"/>
  </w:num>
  <w:num w:numId="18">
    <w:abstractNumId w:val="155"/>
  </w:num>
  <w:num w:numId="19">
    <w:abstractNumId w:val="27"/>
  </w:num>
  <w:num w:numId="20">
    <w:abstractNumId w:val="112"/>
  </w:num>
  <w:num w:numId="21">
    <w:abstractNumId w:val="191"/>
  </w:num>
  <w:num w:numId="22">
    <w:abstractNumId w:val="167"/>
  </w:num>
  <w:num w:numId="23">
    <w:abstractNumId w:val="125"/>
  </w:num>
  <w:num w:numId="24">
    <w:abstractNumId w:val="316"/>
  </w:num>
  <w:num w:numId="25">
    <w:abstractNumId w:val="220"/>
  </w:num>
  <w:num w:numId="26">
    <w:abstractNumId w:val="80"/>
  </w:num>
  <w:num w:numId="27">
    <w:abstractNumId w:val="11"/>
  </w:num>
  <w:num w:numId="28">
    <w:abstractNumId w:val="100"/>
  </w:num>
  <w:num w:numId="29">
    <w:abstractNumId w:val="243"/>
  </w:num>
  <w:num w:numId="30">
    <w:abstractNumId w:val="309"/>
  </w:num>
  <w:num w:numId="31">
    <w:abstractNumId w:val="151"/>
  </w:num>
  <w:num w:numId="32">
    <w:abstractNumId w:val="266"/>
  </w:num>
  <w:num w:numId="33">
    <w:abstractNumId w:val="246"/>
  </w:num>
  <w:num w:numId="34">
    <w:abstractNumId w:val="29"/>
  </w:num>
  <w:num w:numId="35">
    <w:abstractNumId w:val="319"/>
  </w:num>
  <w:num w:numId="36">
    <w:abstractNumId w:val="236"/>
  </w:num>
  <w:num w:numId="37">
    <w:abstractNumId w:val="98"/>
  </w:num>
  <w:num w:numId="38">
    <w:abstractNumId w:val="294"/>
  </w:num>
  <w:num w:numId="39">
    <w:abstractNumId w:val="105"/>
  </w:num>
  <w:num w:numId="40">
    <w:abstractNumId w:val="289"/>
  </w:num>
  <w:num w:numId="41">
    <w:abstractNumId w:val="306"/>
  </w:num>
  <w:num w:numId="42">
    <w:abstractNumId w:val="272"/>
  </w:num>
  <w:num w:numId="43">
    <w:abstractNumId w:val="99"/>
  </w:num>
  <w:num w:numId="44">
    <w:abstractNumId w:val="237"/>
  </w:num>
  <w:num w:numId="45">
    <w:abstractNumId w:val="211"/>
  </w:num>
  <w:num w:numId="46">
    <w:abstractNumId w:val="254"/>
  </w:num>
  <w:num w:numId="47">
    <w:abstractNumId w:val="1"/>
  </w:num>
  <w:num w:numId="48">
    <w:abstractNumId w:val="283"/>
  </w:num>
  <w:num w:numId="49">
    <w:abstractNumId w:val="2"/>
  </w:num>
  <w:num w:numId="50">
    <w:abstractNumId w:val="4"/>
  </w:num>
  <w:num w:numId="51">
    <w:abstractNumId w:val="219"/>
  </w:num>
  <w:num w:numId="52">
    <w:abstractNumId w:val="245"/>
  </w:num>
  <w:num w:numId="53">
    <w:abstractNumId w:val="146"/>
  </w:num>
  <w:num w:numId="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4"/>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1"/>
  </w:num>
  <w:num w:numId="58">
    <w:abstractNumId w:val="47"/>
  </w:num>
  <w:num w:numId="5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7"/>
  </w:num>
  <w:num w:numId="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num>
  <w:num w:numId="63">
    <w:abstractNumId w:val="286"/>
  </w:num>
  <w:num w:numId="64">
    <w:abstractNumId w:val="25"/>
  </w:num>
  <w:num w:numId="65">
    <w:abstractNumId w:val="41"/>
  </w:num>
  <w:num w:numId="66">
    <w:abstractNumId w:val="288"/>
  </w:num>
  <w:num w:numId="67">
    <w:abstractNumId w:val="42"/>
  </w:num>
  <w:num w:numId="68">
    <w:abstractNumId w:val="108"/>
  </w:num>
  <w:num w:numId="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9"/>
  </w:num>
  <w:num w:numId="72">
    <w:abstractNumId w:val="79"/>
  </w:num>
  <w:num w:numId="73">
    <w:abstractNumId w:val="79"/>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42"/>
  </w:num>
  <w:num w:numId="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9"/>
  </w:num>
  <w:num w:numId="78">
    <w:abstractNumId w:val="106"/>
  </w:num>
  <w:num w:numId="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3"/>
  </w:num>
  <w:num w:numId="8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9"/>
    <w:lvlOverride w:ilvl="0">
      <w:startOverride w:val="7"/>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9"/>
  </w:num>
  <w:num w:numId="86">
    <w:abstractNumId w:val="79"/>
  </w:num>
  <w:num w:numId="87">
    <w:abstractNumId w:val="79"/>
  </w:num>
  <w:num w:numId="88">
    <w:abstractNumId w:val="0"/>
  </w:num>
  <w:num w:numId="89">
    <w:abstractNumId w:val="104"/>
  </w:num>
  <w:num w:numId="90">
    <w:abstractNumId w:val="160"/>
  </w:num>
  <w:num w:numId="91">
    <w:abstractNumId w:val="262"/>
  </w:num>
  <w:num w:numId="92">
    <w:abstractNumId w:val="291"/>
  </w:num>
  <w:num w:numId="93">
    <w:abstractNumId w:val="137"/>
  </w:num>
  <w:num w:numId="94">
    <w:abstractNumId w:val="252"/>
  </w:num>
  <w:num w:numId="95">
    <w:abstractNumId w:val="186"/>
  </w:num>
  <w:num w:numId="96">
    <w:abstractNumId w:val="226"/>
  </w:num>
  <w:num w:numId="97">
    <w:abstractNumId w:val="85"/>
  </w:num>
  <w:num w:numId="98">
    <w:abstractNumId w:val="140"/>
  </w:num>
  <w:num w:numId="99">
    <w:abstractNumId w:val="70"/>
  </w:num>
  <w:num w:numId="100">
    <w:abstractNumId w:val="109"/>
  </w:num>
  <w:num w:numId="101">
    <w:abstractNumId w:val="301"/>
  </w:num>
  <w:num w:numId="102">
    <w:abstractNumId w:val="30"/>
  </w:num>
  <w:num w:numId="103">
    <w:abstractNumId w:val="174"/>
  </w:num>
  <w:num w:numId="104">
    <w:abstractNumId w:val="299"/>
  </w:num>
  <w:num w:numId="105">
    <w:abstractNumId w:val="74"/>
  </w:num>
  <w:num w:numId="106">
    <w:abstractNumId w:val="287"/>
  </w:num>
  <w:num w:numId="107">
    <w:abstractNumId w:val="238"/>
  </w:num>
  <w:num w:numId="108">
    <w:abstractNumId w:val="188"/>
  </w:num>
  <w:num w:numId="109">
    <w:abstractNumId w:val="267"/>
  </w:num>
  <w:num w:numId="110">
    <w:abstractNumId w:val="49"/>
  </w:num>
  <w:num w:numId="111">
    <w:abstractNumId w:val="268"/>
  </w:num>
  <w:num w:numId="112">
    <w:abstractNumId w:val="24"/>
  </w:num>
  <w:num w:numId="113">
    <w:abstractNumId w:val="218"/>
  </w:num>
  <w:num w:numId="114">
    <w:abstractNumId w:val="307"/>
  </w:num>
  <w:num w:numId="115">
    <w:abstractNumId w:val="169"/>
  </w:num>
  <w:num w:numId="116">
    <w:abstractNumId w:val="62"/>
  </w:num>
  <w:num w:numId="117">
    <w:abstractNumId w:val="158"/>
  </w:num>
  <w:num w:numId="118">
    <w:abstractNumId w:val="14"/>
  </w:num>
  <w:num w:numId="119">
    <w:abstractNumId w:val="130"/>
  </w:num>
  <w:num w:numId="120">
    <w:abstractNumId w:val="38"/>
  </w:num>
  <w:num w:numId="121">
    <w:abstractNumId w:val="224"/>
  </w:num>
  <w:num w:numId="122">
    <w:abstractNumId w:val="12"/>
  </w:num>
  <w:num w:numId="123">
    <w:abstractNumId w:val="183"/>
  </w:num>
  <w:num w:numId="124">
    <w:abstractNumId w:val="142"/>
  </w:num>
  <w:num w:numId="125">
    <w:abstractNumId w:val="110"/>
  </w:num>
  <w:num w:numId="126">
    <w:abstractNumId w:val="53"/>
  </w:num>
  <w:num w:numId="127">
    <w:abstractNumId w:val="64"/>
  </w:num>
  <w:num w:numId="128">
    <w:abstractNumId w:val="325"/>
  </w:num>
  <w:num w:numId="129">
    <w:abstractNumId w:val="269"/>
  </w:num>
  <w:num w:numId="130">
    <w:abstractNumId w:val="257"/>
  </w:num>
  <w:num w:numId="131">
    <w:abstractNumId w:val="198"/>
  </w:num>
  <w:num w:numId="132">
    <w:abstractNumId w:val="78"/>
  </w:num>
  <w:num w:numId="133">
    <w:abstractNumId w:val="128"/>
  </w:num>
  <w:num w:numId="134">
    <w:abstractNumId w:val="123"/>
  </w:num>
  <w:num w:numId="1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4"/>
  </w:num>
  <w:num w:numId="137">
    <w:abstractNumId w:val="83"/>
  </w:num>
  <w:num w:numId="138">
    <w:abstractNumId w:val="298"/>
  </w:num>
  <w:num w:numId="139">
    <w:abstractNumId w:val="170"/>
  </w:num>
  <w:num w:numId="140">
    <w:abstractNumId w:val="300"/>
  </w:num>
  <w:num w:numId="141">
    <w:abstractNumId w:val="73"/>
  </w:num>
  <w:num w:numId="142">
    <w:abstractNumId w:val="107"/>
  </w:num>
  <w:num w:numId="143">
    <w:abstractNumId w:val="152"/>
  </w:num>
  <w:num w:numId="144">
    <w:abstractNumId w:val="185"/>
  </w:num>
  <w:num w:numId="145">
    <w:abstractNumId w:val="177"/>
  </w:num>
  <w:num w:numId="146">
    <w:abstractNumId w:val="31"/>
  </w:num>
  <w:num w:numId="147">
    <w:abstractNumId w:val="16"/>
  </w:num>
  <w:num w:numId="148">
    <w:abstractNumId w:val="258"/>
  </w:num>
  <w:num w:numId="149">
    <w:abstractNumId w:val="37"/>
  </w:num>
  <w:num w:numId="150">
    <w:abstractNumId w:val="55"/>
  </w:num>
  <w:num w:numId="151">
    <w:abstractNumId w:val="149"/>
  </w:num>
  <w:num w:numId="152">
    <w:abstractNumId w:val="136"/>
  </w:num>
  <w:num w:numId="153">
    <w:abstractNumId w:val="86"/>
  </w:num>
  <w:num w:numId="154">
    <w:abstractNumId w:val="144"/>
  </w:num>
  <w:num w:numId="155">
    <w:abstractNumId w:val="215"/>
  </w:num>
  <w:num w:numId="156">
    <w:abstractNumId w:val="45"/>
  </w:num>
  <w:num w:numId="157">
    <w:abstractNumId w:val="138"/>
  </w:num>
  <w:num w:numId="158">
    <w:abstractNumId w:val="255"/>
  </w:num>
  <w:num w:numId="159">
    <w:abstractNumId w:val="3"/>
  </w:num>
  <w:num w:numId="160">
    <w:abstractNumId w:val="132"/>
  </w:num>
  <w:num w:numId="161">
    <w:abstractNumId w:val="5"/>
  </w:num>
  <w:num w:numId="162">
    <w:abstractNumId w:val="208"/>
  </w:num>
  <w:num w:numId="163">
    <w:abstractNumId w:val="196"/>
  </w:num>
  <w:num w:numId="164">
    <w:abstractNumId w:val="311"/>
  </w:num>
  <w:num w:numId="165">
    <w:abstractNumId w:val="209"/>
  </w:num>
  <w:num w:numId="166">
    <w:abstractNumId w:val="256"/>
  </w:num>
  <w:num w:numId="167">
    <w:abstractNumId w:val="60"/>
  </w:num>
  <w:num w:numId="168">
    <w:abstractNumId w:val="114"/>
  </w:num>
  <w:num w:numId="169">
    <w:abstractNumId w:val="69"/>
  </w:num>
  <w:num w:numId="170">
    <w:abstractNumId w:val="23"/>
  </w:num>
  <w:num w:numId="171">
    <w:abstractNumId w:val="57"/>
  </w:num>
  <w:num w:numId="172">
    <w:abstractNumId w:val="76"/>
  </w:num>
  <w:num w:numId="173">
    <w:abstractNumId w:val="295"/>
  </w:num>
  <w:num w:numId="174">
    <w:abstractNumId w:val="214"/>
  </w:num>
  <w:num w:numId="175">
    <w:abstractNumId w:val="66"/>
  </w:num>
  <w:num w:numId="176">
    <w:abstractNumId w:val="40"/>
  </w:num>
  <w:num w:numId="177">
    <w:abstractNumId w:val="131"/>
  </w:num>
  <w:num w:numId="178">
    <w:abstractNumId w:val="68"/>
  </w:num>
  <w:num w:numId="179">
    <w:abstractNumId w:val="8"/>
  </w:num>
  <w:num w:numId="180">
    <w:abstractNumId w:val="234"/>
  </w:num>
  <w:num w:numId="181">
    <w:abstractNumId w:val="249"/>
  </w:num>
  <w:num w:numId="182">
    <w:abstractNumId w:val="150"/>
  </w:num>
  <w:num w:numId="183">
    <w:abstractNumId w:val="180"/>
  </w:num>
  <w:num w:numId="184">
    <w:abstractNumId w:val="35"/>
  </w:num>
  <w:num w:numId="185">
    <w:abstractNumId w:val="58"/>
  </w:num>
  <w:num w:numId="186">
    <w:abstractNumId w:val="54"/>
  </w:num>
  <w:num w:numId="18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9"/>
  </w:num>
  <w:num w:numId="189">
    <w:abstractNumId w:val="162"/>
  </w:num>
  <w:num w:numId="190">
    <w:abstractNumId w:val="297"/>
  </w:num>
  <w:num w:numId="191">
    <w:abstractNumId w:val="134"/>
  </w:num>
  <w:num w:numId="192">
    <w:abstractNumId w:val="276"/>
  </w:num>
  <w:num w:numId="193">
    <w:abstractNumId w:val="223"/>
  </w:num>
  <w:num w:numId="194">
    <w:abstractNumId w:val="248"/>
  </w:num>
  <w:num w:numId="195">
    <w:abstractNumId w:val="21"/>
  </w:num>
  <w:num w:numId="196">
    <w:abstractNumId w:val="117"/>
  </w:num>
  <w:num w:numId="197">
    <w:abstractNumId w:val="13"/>
  </w:num>
  <w:num w:numId="198">
    <w:abstractNumId w:val="221"/>
  </w:num>
  <w:num w:numId="199">
    <w:abstractNumId w:val="250"/>
  </w:num>
  <w:num w:numId="200">
    <w:abstractNumId w:val="247"/>
  </w:num>
  <w:num w:numId="201">
    <w:abstractNumId w:val="263"/>
  </w:num>
  <w:num w:numId="202">
    <w:abstractNumId w:val="26"/>
  </w:num>
  <w:num w:numId="203">
    <w:abstractNumId w:val="7"/>
  </w:num>
  <w:num w:numId="204">
    <w:abstractNumId w:val="67"/>
  </w:num>
  <w:num w:numId="205">
    <w:abstractNumId w:val="10"/>
  </w:num>
  <w:num w:numId="206">
    <w:abstractNumId w:val="205"/>
  </w:num>
  <w:num w:numId="207">
    <w:abstractNumId w:val="322"/>
  </w:num>
  <w:num w:numId="208">
    <w:abstractNumId w:val="176"/>
  </w:num>
  <w:num w:numId="209">
    <w:abstractNumId w:val="145"/>
  </w:num>
  <w:num w:numId="210">
    <w:abstractNumId w:val="65"/>
  </w:num>
  <w:num w:numId="211">
    <w:abstractNumId w:val="133"/>
  </w:num>
  <w:num w:numId="212">
    <w:abstractNumId w:val="48"/>
  </w:num>
  <w:num w:numId="213">
    <w:abstractNumId w:val="227"/>
  </w:num>
  <w:num w:numId="214">
    <w:abstractNumId w:val="260"/>
  </w:num>
  <w:num w:numId="215">
    <w:abstractNumId w:val="121"/>
  </w:num>
  <w:num w:numId="216">
    <w:abstractNumId w:val="228"/>
  </w:num>
  <w:num w:numId="217">
    <w:abstractNumId w:val="159"/>
  </w:num>
  <w:num w:numId="218">
    <w:abstractNumId w:val="310"/>
  </w:num>
  <w:num w:numId="219">
    <w:abstractNumId w:val="296"/>
  </w:num>
  <w:num w:numId="220">
    <w:abstractNumId w:val="264"/>
  </w:num>
  <w:num w:numId="221">
    <w:abstractNumId w:val="244"/>
  </w:num>
  <w:num w:numId="222">
    <w:abstractNumId w:val="120"/>
  </w:num>
  <w:num w:numId="223">
    <w:abstractNumId w:val="44"/>
  </w:num>
  <w:num w:numId="224">
    <w:abstractNumId w:val="63"/>
  </w:num>
  <w:num w:numId="225">
    <w:abstractNumId w:val="184"/>
  </w:num>
  <w:num w:numId="226">
    <w:abstractNumId w:val="115"/>
  </w:num>
  <w:num w:numId="22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22"/>
  </w:num>
  <w:num w:numId="229">
    <w:abstractNumId w:val="318"/>
  </w:num>
  <w:num w:numId="230">
    <w:abstractNumId w:val="88"/>
  </w:num>
  <w:num w:numId="231">
    <w:abstractNumId w:val="305"/>
  </w:num>
  <w:num w:numId="232">
    <w:abstractNumId w:val="59"/>
  </w:num>
  <w:num w:numId="233">
    <w:abstractNumId w:val="251"/>
  </w:num>
  <w:num w:numId="234">
    <w:abstractNumId w:val="233"/>
  </w:num>
  <w:num w:numId="235">
    <w:abstractNumId w:val="265"/>
  </w:num>
  <w:num w:numId="236">
    <w:abstractNumId w:val="161"/>
  </w:num>
  <w:num w:numId="237">
    <w:abstractNumId w:val="313"/>
  </w:num>
  <w:num w:numId="238">
    <w:abstractNumId w:val="34"/>
  </w:num>
  <w:num w:numId="239">
    <w:abstractNumId w:val="139"/>
  </w:num>
  <w:num w:numId="240">
    <w:abstractNumId w:val="77"/>
  </w:num>
  <w:num w:numId="241">
    <w:abstractNumId w:val="39"/>
  </w:num>
  <w:num w:numId="242">
    <w:abstractNumId w:val="18"/>
  </w:num>
  <w:num w:numId="243">
    <w:abstractNumId w:val="231"/>
  </w:num>
  <w:num w:numId="244">
    <w:abstractNumId w:val="61"/>
  </w:num>
  <w:num w:numId="245">
    <w:abstractNumId w:val="72"/>
  </w:num>
  <w:num w:numId="246">
    <w:abstractNumId w:val="308"/>
  </w:num>
  <w:num w:numId="247">
    <w:abstractNumId w:val="28"/>
  </w:num>
  <w:num w:numId="248">
    <w:abstractNumId w:val="203"/>
  </w:num>
  <w:num w:numId="249">
    <w:abstractNumId w:val="50"/>
  </w:num>
  <w:num w:numId="250">
    <w:abstractNumId w:val="9"/>
  </w:num>
  <w:num w:numId="251">
    <w:abstractNumId w:val="153"/>
  </w:num>
  <w:num w:numId="252">
    <w:abstractNumId w:val="206"/>
  </w:num>
  <w:num w:numId="253">
    <w:abstractNumId w:val="271"/>
  </w:num>
  <w:num w:numId="254">
    <w:abstractNumId w:val="127"/>
  </w:num>
  <w:num w:numId="255">
    <w:abstractNumId w:val="32"/>
  </w:num>
  <w:num w:numId="256">
    <w:abstractNumId w:val="82"/>
  </w:num>
  <w:num w:numId="257">
    <w:abstractNumId w:val="222"/>
  </w:num>
  <w:num w:numId="258">
    <w:abstractNumId w:val="201"/>
  </w:num>
  <w:num w:numId="259">
    <w:abstractNumId w:val="173"/>
  </w:num>
  <w:num w:numId="260">
    <w:abstractNumId w:val="172"/>
  </w:num>
  <w:num w:numId="261">
    <w:abstractNumId w:val="190"/>
  </w:num>
  <w:num w:numId="262">
    <w:abstractNumId w:val="165"/>
  </w:num>
  <w:num w:numId="263">
    <w:abstractNumId w:val="192"/>
  </w:num>
  <w:num w:numId="264">
    <w:abstractNumId w:val="193"/>
  </w:num>
  <w:num w:numId="265">
    <w:abstractNumId w:val="324"/>
  </w:num>
  <w:num w:numId="266">
    <w:abstractNumId w:val="129"/>
  </w:num>
  <w:num w:numId="267">
    <w:abstractNumId w:val="210"/>
  </w:num>
  <w:num w:numId="268">
    <w:abstractNumId w:val="225"/>
  </w:num>
  <w:num w:numId="269">
    <w:abstractNumId w:val="157"/>
  </w:num>
  <w:num w:numId="270">
    <w:abstractNumId w:val="56"/>
  </w:num>
  <w:num w:numId="271">
    <w:abstractNumId w:val="52"/>
  </w:num>
  <w:num w:numId="272">
    <w:abstractNumId w:val="273"/>
  </w:num>
  <w:num w:numId="273">
    <w:abstractNumId w:val="277"/>
  </w:num>
  <w:num w:numId="274">
    <w:abstractNumId w:val="275"/>
  </w:num>
  <w:num w:numId="275">
    <w:abstractNumId w:val="293"/>
  </w:num>
  <w:num w:numId="276">
    <w:abstractNumId w:val="89"/>
  </w:num>
  <w:num w:numId="277">
    <w:abstractNumId w:val="175"/>
  </w:num>
  <w:num w:numId="278">
    <w:abstractNumId w:val="187"/>
  </w:num>
  <w:num w:numId="279">
    <w:abstractNumId w:val="181"/>
  </w:num>
  <w:num w:numId="280">
    <w:abstractNumId w:val="19"/>
  </w:num>
  <w:num w:numId="281">
    <w:abstractNumId w:val="194"/>
  </w:num>
  <w:num w:numId="282">
    <w:abstractNumId w:val="278"/>
  </w:num>
  <w:num w:numId="283">
    <w:abstractNumId w:val="197"/>
  </w:num>
  <w:num w:numId="284">
    <w:abstractNumId w:val="212"/>
  </w:num>
  <w:num w:numId="285">
    <w:abstractNumId w:val="202"/>
  </w:num>
  <w:num w:numId="286">
    <w:abstractNumId w:val="97"/>
  </w:num>
  <w:num w:numId="2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74"/>
  </w:num>
  <w:num w:numId="291">
    <w:abstractNumId w:val="195"/>
  </w:num>
  <w:num w:numId="292">
    <w:abstractNumId w:val="321"/>
  </w:num>
  <w:num w:numId="293">
    <w:abstractNumId w:val="323"/>
  </w:num>
  <w:num w:numId="294">
    <w:abstractNumId w:val="241"/>
  </w:num>
  <w:num w:numId="295">
    <w:abstractNumId w:val="179"/>
  </w:num>
  <w:num w:numId="296">
    <w:abstractNumId w:val="279"/>
  </w:num>
  <w:num w:numId="297">
    <w:abstractNumId w:val="51"/>
  </w:num>
  <w:num w:numId="298">
    <w:abstractNumId w:val="79"/>
  </w:num>
  <w:num w:numId="299">
    <w:abstractNumId w:val="79"/>
  </w:num>
  <w:num w:numId="300">
    <w:abstractNumId w:val="79"/>
  </w:num>
  <w:num w:numId="301">
    <w:abstractNumId w:val="79"/>
  </w:num>
  <w:num w:numId="302">
    <w:abstractNumId w:val="79"/>
  </w:num>
  <w:num w:numId="303">
    <w:abstractNumId w:val="79"/>
  </w:num>
  <w:num w:numId="304">
    <w:abstractNumId w:val="79"/>
  </w:num>
  <w:num w:numId="305">
    <w:abstractNumId w:val="79"/>
  </w:num>
  <w:num w:numId="306">
    <w:abstractNumId w:val="79"/>
  </w:num>
  <w:num w:numId="307">
    <w:abstractNumId w:val="79"/>
  </w:num>
  <w:num w:numId="308">
    <w:abstractNumId w:val="280"/>
  </w:num>
  <w:num w:numId="309">
    <w:abstractNumId w:val="111"/>
  </w:num>
  <w:num w:numId="310">
    <w:abstractNumId w:val="22"/>
  </w:num>
  <w:num w:numId="311">
    <w:abstractNumId w:val="79"/>
  </w:num>
  <w:num w:numId="312">
    <w:abstractNumId w:val="79"/>
  </w:num>
  <w:num w:numId="313">
    <w:abstractNumId w:val="79"/>
  </w:num>
  <w:num w:numId="314">
    <w:abstractNumId w:val="79"/>
  </w:num>
  <w:num w:numId="315">
    <w:abstractNumId w:val="79"/>
  </w:num>
  <w:num w:numId="316">
    <w:abstractNumId w:val="79"/>
  </w:num>
  <w:num w:numId="317">
    <w:abstractNumId w:val="79"/>
  </w:num>
  <w:num w:numId="318">
    <w:abstractNumId w:val="79"/>
  </w:num>
  <w:num w:numId="319">
    <w:abstractNumId w:val="302"/>
  </w:num>
  <w:num w:numId="320">
    <w:abstractNumId w:val="235"/>
  </w:num>
  <w:num w:numId="321">
    <w:abstractNumId w:val="43"/>
  </w:num>
  <w:num w:numId="322">
    <w:abstractNumId w:val="239"/>
  </w:num>
  <w:num w:numId="323">
    <w:abstractNumId w:val="103"/>
  </w:num>
  <w:num w:numId="324">
    <w:abstractNumId w:val="232"/>
  </w:num>
  <w:num w:numId="325">
    <w:abstractNumId w:val="204"/>
  </w:num>
  <w:num w:numId="326">
    <w:abstractNumId w:val="92"/>
  </w:num>
  <w:num w:numId="327">
    <w:abstractNumId w:val="304"/>
  </w:num>
  <w:num w:numId="328">
    <w:abstractNumId w:val="79"/>
  </w:num>
  <w:num w:numId="329">
    <w:abstractNumId w:val="143"/>
  </w:num>
  <w:num w:numId="330">
    <w:abstractNumId w:val="75"/>
  </w:num>
  <w:num w:numId="331">
    <w:abstractNumId w:val="253"/>
  </w:num>
  <w:num w:numId="332">
    <w:abstractNumId w:val="101"/>
  </w:num>
  <w:num w:numId="333">
    <w:abstractNumId w:val="168"/>
  </w:num>
  <w:num w:numId="334">
    <w:abstractNumId w:val="156"/>
  </w:num>
  <w:num w:numId="335">
    <w:abstractNumId w:val="156"/>
  </w:num>
  <w:num w:numId="336">
    <w:abstractNumId w:val="284"/>
  </w:num>
  <w:num w:numId="337">
    <w:abstractNumId w:val="303"/>
  </w:num>
  <w:num w:numId="338">
    <w:abstractNumId w:val="79"/>
  </w:num>
  <w:num w:numId="339">
    <w:abstractNumId w:val="91"/>
  </w:num>
  <w:num w:numId="340">
    <w:abstractNumId w:val="229"/>
  </w:num>
  <w:num w:numId="341">
    <w:abstractNumId w:val="135"/>
  </w:num>
  <w:num w:numId="342">
    <w:abstractNumId w:val="199"/>
  </w:num>
  <w:num w:numId="343">
    <w:abstractNumId w:val="20"/>
  </w:num>
  <w:num w:numId="344">
    <w:abstractNumId w:val="261"/>
  </w:num>
  <w:num w:numId="345">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36"/>
  </w:num>
  <w:num w:numId="347">
    <w:abstractNumId w:val="315"/>
  </w:num>
  <w:num w:numId="348">
    <w:abstractNumId w:val="282"/>
  </w:num>
  <w:num w:numId="349">
    <w:abstractNumId w:val="216"/>
  </w:num>
  <w:num w:numId="350">
    <w:abstractNumId w:val="312"/>
  </w:num>
  <w:num w:numId="351">
    <w:abstractNumId w:val="79"/>
  </w:num>
  <w:num w:numId="352">
    <w:abstractNumId w:val="320"/>
  </w:num>
  <w:num w:numId="353">
    <w:abstractNumId w:val="230"/>
  </w:num>
  <w:num w:numId="354">
    <w:abstractNumId w:val="15"/>
  </w:num>
  <w:num w:numId="3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7"/>
  </w:num>
  <w:num w:numId="358">
    <w:abstractNumId w:val="213"/>
  </w:num>
  <w:num w:numId="359">
    <w:abstractNumId w:val="119"/>
  </w:num>
  <w:num w:numId="360">
    <w:abstractNumId w:val="164"/>
  </w:num>
  <w:num w:numId="361">
    <w:abstractNumId w:val="240"/>
  </w:num>
  <w:num w:numId="362">
    <w:abstractNumId w:val="148"/>
  </w:num>
  <w:num w:numId="363">
    <w:abstractNumId w:val="81"/>
  </w:num>
  <w:num w:numId="364">
    <w:abstractNumId w:val="200"/>
  </w:num>
  <w:num w:numId="365">
    <w:abstractNumId w:val="96"/>
  </w:num>
  <w:num w:numId="366">
    <w:abstractNumId w:val="84"/>
  </w:num>
  <w:num w:numId="367">
    <w:abstractNumId w:val="15"/>
  </w:num>
  <w:num w:numId="368">
    <w:abstractNumId w:val="15"/>
  </w:num>
  <w:num w:numId="369">
    <w:abstractNumId w:val="15"/>
  </w:num>
  <w:num w:numId="370">
    <w:abstractNumId w:val="285"/>
  </w:num>
  <w:num w:numId="371">
    <w:abstractNumId w:val="314"/>
  </w:num>
  <w:num w:numId="372">
    <w:abstractNumId w:val="154"/>
  </w:num>
  <w:num w:numId="373">
    <w:abstractNumId w:val="46"/>
  </w:num>
  <w:num w:numId="374">
    <w:abstractNumId w:val="163"/>
  </w:num>
  <w:num w:numId="375">
    <w:abstractNumId w:val="102"/>
  </w:num>
  <w:num w:numId="376">
    <w:abstractNumId w:val="93"/>
  </w:num>
  <w:num w:numId="377">
    <w:abstractNumId w:val="87"/>
  </w:num>
  <w:num w:numId="378">
    <w:abstractNumId w:val="6"/>
  </w:num>
  <w:num w:numId="379">
    <w:abstractNumId w:val="207"/>
  </w:num>
  <w:num w:numId="380">
    <w:abstractNumId w:val="15"/>
  </w:num>
  <w:num w:numId="381">
    <w:abstractNumId w:val="15"/>
  </w:num>
  <w:num w:numId="382">
    <w:abstractNumId w:val="15"/>
  </w:num>
  <w:num w:numId="383">
    <w:abstractNumId w:val="15"/>
  </w:num>
  <w:num w:numId="384">
    <w:abstractNumId w:val="15"/>
  </w:num>
  <w:numIdMacAtCleanup w:val="3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pt-PT" w:vendorID="64" w:dllVersion="131078" w:nlCheck="1" w:checkStyle="0"/>
  <w:activeWritingStyle w:appName="MSWord" w:lang="fr-BE" w:vendorID="64" w:dllVersion="131078" w:nlCheck="1" w:checkStyle="0"/>
  <w:activeWritingStyle w:appName="MSWord" w:lang="nl-NL" w:vendorID="64" w:dllVersion="131078" w:nlCheck="1" w:checkStyle="0"/>
  <w:activeWritingStyle w:appName="MSWord" w:lang="de-AT"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nl-BE" w:vendorID="64" w:dllVersion="131078" w:nlCheck="1" w:checkStyle="0"/>
  <w:defaultTabStop w:val="720"/>
  <w:hyphenationZone w:val="425"/>
  <w:characterSpacingControl w:val="doNotCompress"/>
  <w:hdrShapeDefaults>
    <o:shapedefaults v:ext="edit" spidmax="1024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ACCOMPAGNANT.CP" w:val="Accompanying the"/>
    <w:docVar w:name="LW_CORRIGENDUM" w:val="&lt;UNUSED&gt;"/>
    <w:docVar w:name="LW_COVERPAGE_EXISTS" w:val="True"/>
    <w:docVar w:name="LW_COVERPAGE_GUID" w:val="26AE2465-1E53-4892-A799-091F0ED14683"/>
    <w:docVar w:name="LW_COVERPAGE_TYPE" w:val="1"/>
    <w:docVar w:name="LW_CROSSREFERENCE" w:val="{COM(2021) 803 final}_x000a_{COM(2021) 804 final} - {SEC(2021) 431 final} - {SWD(2021) 455 final} - {SWD(2021) 456 final} - {SWD(2021) 458 final}"/>
    <w:docVar w:name="LW_DocType" w:val="NORMAL"/>
    <w:docVar w:name="LW_EMISSION" w:val="15.12.2021"/>
    <w:docVar w:name="LW_EMISSION_ISODATE" w:val="2021-12-15"/>
    <w:docVar w:name="LW_EMISSION_LOCATION" w:val="BRX"/>
    <w:docVar w:name="LW_EMISSION_PREFIX" w:val="Brussels, "/>
    <w:docVar w:name="LW_EMISSION_SUFFIX" w:val=" "/>
    <w:docVar w:name="LW_ID_DOCTYPE_NONLW" w:val="CP-053"/>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of the Council on the internal markets for renewable and natural gases and for hydrogen (recast)_x000d__x000d__x000d__x000d__x000d__x000b_"/>
    <w:docVar w:name="LW_PART_NBR" w:val="1"/>
    <w:docVar w:name="LW_PART_NBR_TOTAL" w:val="1"/>
    <w:docVar w:name="LW_REF.INST.NEW" w:val="SWD"/>
    <w:docVar w:name="LW_REF.INST.NEW_ADOPTED" w:val="final"/>
    <w:docVar w:name="LW_REF.INST.NEW_TEXT" w:val="(2021) 45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valuation Report "/>
    <w:docVar w:name="LW_TYPE.DOC.CP" w:val="COMMISSION STAFF WORKING DOCUMENT_x000b__x000b_EVALUATION_x000b_"/>
    <w:docVar w:name="LW_TYPEACTEPRINCIPAL.CP" w:val="Proposal for a Directive of the European Parliament and of the Council on common rules for the internal markets in renewable and natural gases and in hydrogen (recast)"/>
    <w:docVar w:name="LwApiVersions" w:val="LW4CoDe 1.23.2.0; LW 8.0, Build 20211117"/>
  </w:docVars>
  <w:rsids>
    <w:rsidRoot w:val="00EB7534"/>
    <w:rsid w:val="00000460"/>
    <w:rsid w:val="00000558"/>
    <w:rsid w:val="00000696"/>
    <w:rsid w:val="00000F18"/>
    <w:rsid w:val="00001315"/>
    <w:rsid w:val="00001621"/>
    <w:rsid w:val="0000163B"/>
    <w:rsid w:val="00001817"/>
    <w:rsid w:val="00001F3B"/>
    <w:rsid w:val="0000204D"/>
    <w:rsid w:val="000024AA"/>
    <w:rsid w:val="00003CB6"/>
    <w:rsid w:val="00003EF4"/>
    <w:rsid w:val="0000406A"/>
    <w:rsid w:val="00004226"/>
    <w:rsid w:val="00004588"/>
    <w:rsid w:val="000049EE"/>
    <w:rsid w:val="00004C23"/>
    <w:rsid w:val="00005188"/>
    <w:rsid w:val="0000571B"/>
    <w:rsid w:val="00005925"/>
    <w:rsid w:val="00005E99"/>
    <w:rsid w:val="00006A88"/>
    <w:rsid w:val="00007388"/>
    <w:rsid w:val="00007957"/>
    <w:rsid w:val="00007A4F"/>
    <w:rsid w:val="00007AFA"/>
    <w:rsid w:val="00010030"/>
    <w:rsid w:val="0001042D"/>
    <w:rsid w:val="000109EF"/>
    <w:rsid w:val="0001129F"/>
    <w:rsid w:val="000127D2"/>
    <w:rsid w:val="000139A8"/>
    <w:rsid w:val="0001425E"/>
    <w:rsid w:val="0001512A"/>
    <w:rsid w:val="00015BD7"/>
    <w:rsid w:val="00015D77"/>
    <w:rsid w:val="00015DA5"/>
    <w:rsid w:val="0001622F"/>
    <w:rsid w:val="0002109F"/>
    <w:rsid w:val="00022057"/>
    <w:rsid w:val="00023532"/>
    <w:rsid w:val="0002384E"/>
    <w:rsid w:val="00023C24"/>
    <w:rsid w:val="00023D72"/>
    <w:rsid w:val="00023DB8"/>
    <w:rsid w:val="00023F90"/>
    <w:rsid w:val="0002486F"/>
    <w:rsid w:val="000249FD"/>
    <w:rsid w:val="00024B5D"/>
    <w:rsid w:val="00024D10"/>
    <w:rsid w:val="00025019"/>
    <w:rsid w:val="000253F4"/>
    <w:rsid w:val="0002551B"/>
    <w:rsid w:val="00025BF8"/>
    <w:rsid w:val="0002651D"/>
    <w:rsid w:val="0002695B"/>
    <w:rsid w:val="000269CC"/>
    <w:rsid w:val="00026C5F"/>
    <w:rsid w:val="00026DEE"/>
    <w:rsid w:val="00027C28"/>
    <w:rsid w:val="00030284"/>
    <w:rsid w:val="000308D4"/>
    <w:rsid w:val="00030C41"/>
    <w:rsid w:val="00031143"/>
    <w:rsid w:val="0003120E"/>
    <w:rsid w:val="00033358"/>
    <w:rsid w:val="000336FC"/>
    <w:rsid w:val="000339A7"/>
    <w:rsid w:val="000340CF"/>
    <w:rsid w:val="00034555"/>
    <w:rsid w:val="000347B5"/>
    <w:rsid w:val="00034F42"/>
    <w:rsid w:val="00036028"/>
    <w:rsid w:val="0003621A"/>
    <w:rsid w:val="00036487"/>
    <w:rsid w:val="0003717A"/>
    <w:rsid w:val="00037532"/>
    <w:rsid w:val="000377D8"/>
    <w:rsid w:val="00040057"/>
    <w:rsid w:val="0004013E"/>
    <w:rsid w:val="0004074C"/>
    <w:rsid w:val="000409C2"/>
    <w:rsid w:val="000415F8"/>
    <w:rsid w:val="00042BC7"/>
    <w:rsid w:val="00042EC7"/>
    <w:rsid w:val="00043196"/>
    <w:rsid w:val="0004345C"/>
    <w:rsid w:val="00044542"/>
    <w:rsid w:val="00044E4C"/>
    <w:rsid w:val="000466DB"/>
    <w:rsid w:val="000478A6"/>
    <w:rsid w:val="0005023A"/>
    <w:rsid w:val="0005095F"/>
    <w:rsid w:val="000509AA"/>
    <w:rsid w:val="00050A15"/>
    <w:rsid w:val="00051AD5"/>
    <w:rsid w:val="00051B56"/>
    <w:rsid w:val="00052342"/>
    <w:rsid w:val="0005290B"/>
    <w:rsid w:val="00052AB4"/>
    <w:rsid w:val="00052B12"/>
    <w:rsid w:val="00052CE2"/>
    <w:rsid w:val="00052D15"/>
    <w:rsid w:val="00053089"/>
    <w:rsid w:val="0005354C"/>
    <w:rsid w:val="000539DA"/>
    <w:rsid w:val="00053BBD"/>
    <w:rsid w:val="00054108"/>
    <w:rsid w:val="00054369"/>
    <w:rsid w:val="0005451A"/>
    <w:rsid w:val="00054849"/>
    <w:rsid w:val="00055379"/>
    <w:rsid w:val="00055DA6"/>
    <w:rsid w:val="00055FD6"/>
    <w:rsid w:val="000560A9"/>
    <w:rsid w:val="00056616"/>
    <w:rsid w:val="000568BA"/>
    <w:rsid w:val="000579EE"/>
    <w:rsid w:val="0006072C"/>
    <w:rsid w:val="000607D6"/>
    <w:rsid w:val="00060E04"/>
    <w:rsid w:val="00060E15"/>
    <w:rsid w:val="000615C9"/>
    <w:rsid w:val="00061E7E"/>
    <w:rsid w:val="00063835"/>
    <w:rsid w:val="000651FE"/>
    <w:rsid w:val="000653EE"/>
    <w:rsid w:val="00065C89"/>
    <w:rsid w:val="00065EC0"/>
    <w:rsid w:val="00066433"/>
    <w:rsid w:val="00066C76"/>
    <w:rsid w:val="00066DCD"/>
    <w:rsid w:val="0006733E"/>
    <w:rsid w:val="000674CE"/>
    <w:rsid w:val="00067614"/>
    <w:rsid w:val="00070211"/>
    <w:rsid w:val="000707F2"/>
    <w:rsid w:val="00070FF0"/>
    <w:rsid w:val="000711DD"/>
    <w:rsid w:val="00071243"/>
    <w:rsid w:val="0007155A"/>
    <w:rsid w:val="00071FF3"/>
    <w:rsid w:val="00072130"/>
    <w:rsid w:val="0007213B"/>
    <w:rsid w:val="0007227C"/>
    <w:rsid w:val="00072B92"/>
    <w:rsid w:val="0007327A"/>
    <w:rsid w:val="000739DE"/>
    <w:rsid w:val="00074DC3"/>
    <w:rsid w:val="0007546D"/>
    <w:rsid w:val="000754EF"/>
    <w:rsid w:val="00075B12"/>
    <w:rsid w:val="00075EEC"/>
    <w:rsid w:val="00075F7F"/>
    <w:rsid w:val="00076310"/>
    <w:rsid w:val="00077A72"/>
    <w:rsid w:val="00080B3B"/>
    <w:rsid w:val="00080CB6"/>
    <w:rsid w:val="00080F7C"/>
    <w:rsid w:val="00081235"/>
    <w:rsid w:val="000817BA"/>
    <w:rsid w:val="00081C7B"/>
    <w:rsid w:val="00081FA0"/>
    <w:rsid w:val="00083192"/>
    <w:rsid w:val="00083398"/>
    <w:rsid w:val="000837AA"/>
    <w:rsid w:val="00083DD8"/>
    <w:rsid w:val="000850C2"/>
    <w:rsid w:val="00086581"/>
    <w:rsid w:val="00086598"/>
    <w:rsid w:val="0008695C"/>
    <w:rsid w:val="00086A2E"/>
    <w:rsid w:val="00086AF0"/>
    <w:rsid w:val="00087A48"/>
    <w:rsid w:val="00087A87"/>
    <w:rsid w:val="00087BD6"/>
    <w:rsid w:val="00090F62"/>
    <w:rsid w:val="0009222B"/>
    <w:rsid w:val="0009273A"/>
    <w:rsid w:val="000930F2"/>
    <w:rsid w:val="000935FC"/>
    <w:rsid w:val="000937E8"/>
    <w:rsid w:val="00093860"/>
    <w:rsid w:val="00094C5E"/>
    <w:rsid w:val="00094EDF"/>
    <w:rsid w:val="00095094"/>
    <w:rsid w:val="0009538D"/>
    <w:rsid w:val="00095642"/>
    <w:rsid w:val="0009653C"/>
    <w:rsid w:val="00096698"/>
    <w:rsid w:val="00096F74"/>
    <w:rsid w:val="00097ACA"/>
    <w:rsid w:val="000A08EE"/>
    <w:rsid w:val="000A0D60"/>
    <w:rsid w:val="000A1F75"/>
    <w:rsid w:val="000A2B26"/>
    <w:rsid w:val="000A38D9"/>
    <w:rsid w:val="000A491B"/>
    <w:rsid w:val="000A5F3F"/>
    <w:rsid w:val="000A662C"/>
    <w:rsid w:val="000A69D6"/>
    <w:rsid w:val="000A6EF0"/>
    <w:rsid w:val="000A743F"/>
    <w:rsid w:val="000A7710"/>
    <w:rsid w:val="000A79A4"/>
    <w:rsid w:val="000B02D1"/>
    <w:rsid w:val="000B1F66"/>
    <w:rsid w:val="000B1FE0"/>
    <w:rsid w:val="000B2249"/>
    <w:rsid w:val="000B2422"/>
    <w:rsid w:val="000B34B1"/>
    <w:rsid w:val="000B3885"/>
    <w:rsid w:val="000B3940"/>
    <w:rsid w:val="000B4D45"/>
    <w:rsid w:val="000B55C1"/>
    <w:rsid w:val="000B560D"/>
    <w:rsid w:val="000B56DE"/>
    <w:rsid w:val="000B6DF2"/>
    <w:rsid w:val="000B7404"/>
    <w:rsid w:val="000B7FBE"/>
    <w:rsid w:val="000C0307"/>
    <w:rsid w:val="000C0A04"/>
    <w:rsid w:val="000C1E2B"/>
    <w:rsid w:val="000C21AE"/>
    <w:rsid w:val="000C222C"/>
    <w:rsid w:val="000C27CC"/>
    <w:rsid w:val="000C27D4"/>
    <w:rsid w:val="000C328D"/>
    <w:rsid w:val="000C396B"/>
    <w:rsid w:val="000C398F"/>
    <w:rsid w:val="000C423B"/>
    <w:rsid w:val="000C4E5C"/>
    <w:rsid w:val="000C516F"/>
    <w:rsid w:val="000C7706"/>
    <w:rsid w:val="000C7F5E"/>
    <w:rsid w:val="000D0174"/>
    <w:rsid w:val="000D0177"/>
    <w:rsid w:val="000D0B0F"/>
    <w:rsid w:val="000D0B89"/>
    <w:rsid w:val="000D0BEB"/>
    <w:rsid w:val="000D0CF0"/>
    <w:rsid w:val="000D10AE"/>
    <w:rsid w:val="000D1186"/>
    <w:rsid w:val="000D163F"/>
    <w:rsid w:val="000D269E"/>
    <w:rsid w:val="000D295C"/>
    <w:rsid w:val="000D4414"/>
    <w:rsid w:val="000D4604"/>
    <w:rsid w:val="000D4A32"/>
    <w:rsid w:val="000D5753"/>
    <w:rsid w:val="000D5B48"/>
    <w:rsid w:val="000D6912"/>
    <w:rsid w:val="000D7958"/>
    <w:rsid w:val="000E0266"/>
    <w:rsid w:val="000E07A6"/>
    <w:rsid w:val="000E1089"/>
    <w:rsid w:val="000E13B3"/>
    <w:rsid w:val="000E183F"/>
    <w:rsid w:val="000E1F4A"/>
    <w:rsid w:val="000E1FD2"/>
    <w:rsid w:val="000E2F7A"/>
    <w:rsid w:val="000E31A9"/>
    <w:rsid w:val="000E3234"/>
    <w:rsid w:val="000E3D4A"/>
    <w:rsid w:val="000E3F71"/>
    <w:rsid w:val="000E446E"/>
    <w:rsid w:val="000E55D7"/>
    <w:rsid w:val="000E649D"/>
    <w:rsid w:val="000E70B8"/>
    <w:rsid w:val="000E76A3"/>
    <w:rsid w:val="000E77ED"/>
    <w:rsid w:val="000E7AC8"/>
    <w:rsid w:val="000F06E2"/>
    <w:rsid w:val="000F08C2"/>
    <w:rsid w:val="000F0B3E"/>
    <w:rsid w:val="000F2280"/>
    <w:rsid w:val="000F27A9"/>
    <w:rsid w:val="000F3B98"/>
    <w:rsid w:val="000F4709"/>
    <w:rsid w:val="000F4B6B"/>
    <w:rsid w:val="000F51CE"/>
    <w:rsid w:val="000F53E2"/>
    <w:rsid w:val="000F5453"/>
    <w:rsid w:val="000F5A48"/>
    <w:rsid w:val="000F6490"/>
    <w:rsid w:val="000F6B1C"/>
    <w:rsid w:val="000F7A20"/>
    <w:rsid w:val="000F7FD2"/>
    <w:rsid w:val="001003EF"/>
    <w:rsid w:val="00100DBA"/>
    <w:rsid w:val="00101607"/>
    <w:rsid w:val="001017FC"/>
    <w:rsid w:val="00101883"/>
    <w:rsid w:val="00101B95"/>
    <w:rsid w:val="0010259A"/>
    <w:rsid w:val="00102857"/>
    <w:rsid w:val="00102A0F"/>
    <w:rsid w:val="00102D29"/>
    <w:rsid w:val="00102FAA"/>
    <w:rsid w:val="00103D43"/>
    <w:rsid w:val="00104CD6"/>
    <w:rsid w:val="00106226"/>
    <w:rsid w:val="00107B8C"/>
    <w:rsid w:val="00110C7C"/>
    <w:rsid w:val="00111792"/>
    <w:rsid w:val="0011264C"/>
    <w:rsid w:val="001128B7"/>
    <w:rsid w:val="00113156"/>
    <w:rsid w:val="00113586"/>
    <w:rsid w:val="0011382D"/>
    <w:rsid w:val="001139FC"/>
    <w:rsid w:val="00113AAB"/>
    <w:rsid w:val="001148A1"/>
    <w:rsid w:val="00115063"/>
    <w:rsid w:val="00115927"/>
    <w:rsid w:val="00116305"/>
    <w:rsid w:val="001163D4"/>
    <w:rsid w:val="00116609"/>
    <w:rsid w:val="00117510"/>
    <w:rsid w:val="0011768B"/>
    <w:rsid w:val="00120638"/>
    <w:rsid w:val="00120975"/>
    <w:rsid w:val="00121732"/>
    <w:rsid w:val="001224CB"/>
    <w:rsid w:val="0012263B"/>
    <w:rsid w:val="0012266D"/>
    <w:rsid w:val="00122CD6"/>
    <w:rsid w:val="0012379D"/>
    <w:rsid w:val="001240B4"/>
    <w:rsid w:val="001252FC"/>
    <w:rsid w:val="001263EF"/>
    <w:rsid w:val="00126A48"/>
    <w:rsid w:val="00127231"/>
    <w:rsid w:val="00127B52"/>
    <w:rsid w:val="0013053A"/>
    <w:rsid w:val="00130756"/>
    <w:rsid w:val="00130974"/>
    <w:rsid w:val="0013120C"/>
    <w:rsid w:val="00131652"/>
    <w:rsid w:val="00131A04"/>
    <w:rsid w:val="00132833"/>
    <w:rsid w:val="001335F4"/>
    <w:rsid w:val="001341B0"/>
    <w:rsid w:val="00134B7B"/>
    <w:rsid w:val="00135667"/>
    <w:rsid w:val="001359E0"/>
    <w:rsid w:val="00135EFB"/>
    <w:rsid w:val="001374D8"/>
    <w:rsid w:val="00137CD2"/>
    <w:rsid w:val="001404FA"/>
    <w:rsid w:val="001408E4"/>
    <w:rsid w:val="00140CD8"/>
    <w:rsid w:val="00140EB9"/>
    <w:rsid w:val="00141420"/>
    <w:rsid w:val="00141E6F"/>
    <w:rsid w:val="00141F44"/>
    <w:rsid w:val="001426FD"/>
    <w:rsid w:val="00143322"/>
    <w:rsid w:val="00143775"/>
    <w:rsid w:val="00143EB3"/>
    <w:rsid w:val="00144BAC"/>
    <w:rsid w:val="001452C4"/>
    <w:rsid w:val="001452E1"/>
    <w:rsid w:val="00145BF1"/>
    <w:rsid w:val="0014775B"/>
    <w:rsid w:val="00147D0B"/>
    <w:rsid w:val="00150550"/>
    <w:rsid w:val="001505F8"/>
    <w:rsid w:val="0015124E"/>
    <w:rsid w:val="0015149E"/>
    <w:rsid w:val="00151AC7"/>
    <w:rsid w:val="00152100"/>
    <w:rsid w:val="001521E2"/>
    <w:rsid w:val="001526F7"/>
    <w:rsid w:val="00152D9C"/>
    <w:rsid w:val="001539BA"/>
    <w:rsid w:val="00153A56"/>
    <w:rsid w:val="00154E95"/>
    <w:rsid w:val="00155089"/>
    <w:rsid w:val="0015530A"/>
    <w:rsid w:val="001555C3"/>
    <w:rsid w:val="00155D99"/>
    <w:rsid w:val="00157139"/>
    <w:rsid w:val="00157277"/>
    <w:rsid w:val="0016058E"/>
    <w:rsid w:val="00160997"/>
    <w:rsid w:val="00161435"/>
    <w:rsid w:val="00161BF5"/>
    <w:rsid w:val="00161F92"/>
    <w:rsid w:val="00162932"/>
    <w:rsid w:val="00162CE1"/>
    <w:rsid w:val="0016301E"/>
    <w:rsid w:val="00163A4F"/>
    <w:rsid w:val="00163E87"/>
    <w:rsid w:val="00163FBA"/>
    <w:rsid w:val="0016455D"/>
    <w:rsid w:val="00166B96"/>
    <w:rsid w:val="00167A6B"/>
    <w:rsid w:val="00167B8F"/>
    <w:rsid w:val="00167E4B"/>
    <w:rsid w:val="0017022F"/>
    <w:rsid w:val="001716EA"/>
    <w:rsid w:val="00171C2C"/>
    <w:rsid w:val="00171C37"/>
    <w:rsid w:val="00173468"/>
    <w:rsid w:val="001734E2"/>
    <w:rsid w:val="00173A9D"/>
    <w:rsid w:val="00173ED2"/>
    <w:rsid w:val="0017425C"/>
    <w:rsid w:val="0017427A"/>
    <w:rsid w:val="00175942"/>
    <w:rsid w:val="00175CD3"/>
    <w:rsid w:val="00176199"/>
    <w:rsid w:val="0017772E"/>
    <w:rsid w:val="001806D7"/>
    <w:rsid w:val="00180C17"/>
    <w:rsid w:val="00181832"/>
    <w:rsid w:val="00182310"/>
    <w:rsid w:val="001834C7"/>
    <w:rsid w:val="001847C2"/>
    <w:rsid w:val="00184C5D"/>
    <w:rsid w:val="001853BD"/>
    <w:rsid w:val="001854FB"/>
    <w:rsid w:val="00185EA3"/>
    <w:rsid w:val="00185F32"/>
    <w:rsid w:val="00185F98"/>
    <w:rsid w:val="00186102"/>
    <w:rsid w:val="001872F0"/>
    <w:rsid w:val="00187E66"/>
    <w:rsid w:val="00190B12"/>
    <w:rsid w:val="00191414"/>
    <w:rsid w:val="001932BD"/>
    <w:rsid w:val="00193908"/>
    <w:rsid w:val="00193EE5"/>
    <w:rsid w:val="00195124"/>
    <w:rsid w:val="001951C2"/>
    <w:rsid w:val="00195944"/>
    <w:rsid w:val="00195D74"/>
    <w:rsid w:val="00196236"/>
    <w:rsid w:val="00196335"/>
    <w:rsid w:val="00196565"/>
    <w:rsid w:val="00196A37"/>
    <w:rsid w:val="00197350"/>
    <w:rsid w:val="001978DA"/>
    <w:rsid w:val="00197AAD"/>
    <w:rsid w:val="001A0801"/>
    <w:rsid w:val="001A19B0"/>
    <w:rsid w:val="001A1EC4"/>
    <w:rsid w:val="001A3560"/>
    <w:rsid w:val="001A3AF5"/>
    <w:rsid w:val="001A3FBF"/>
    <w:rsid w:val="001A452A"/>
    <w:rsid w:val="001A46CC"/>
    <w:rsid w:val="001A54A6"/>
    <w:rsid w:val="001A5733"/>
    <w:rsid w:val="001A627C"/>
    <w:rsid w:val="001A6510"/>
    <w:rsid w:val="001A681A"/>
    <w:rsid w:val="001A684A"/>
    <w:rsid w:val="001A68D1"/>
    <w:rsid w:val="001A695F"/>
    <w:rsid w:val="001A6CF9"/>
    <w:rsid w:val="001A7B14"/>
    <w:rsid w:val="001A7B6A"/>
    <w:rsid w:val="001B0C35"/>
    <w:rsid w:val="001B16A5"/>
    <w:rsid w:val="001B1E7E"/>
    <w:rsid w:val="001B2267"/>
    <w:rsid w:val="001B2A41"/>
    <w:rsid w:val="001B3A1F"/>
    <w:rsid w:val="001B4BE0"/>
    <w:rsid w:val="001B5374"/>
    <w:rsid w:val="001B552C"/>
    <w:rsid w:val="001B70FF"/>
    <w:rsid w:val="001B72D3"/>
    <w:rsid w:val="001C0345"/>
    <w:rsid w:val="001C03A8"/>
    <w:rsid w:val="001C07E7"/>
    <w:rsid w:val="001C13DD"/>
    <w:rsid w:val="001C16AC"/>
    <w:rsid w:val="001C2259"/>
    <w:rsid w:val="001C23FB"/>
    <w:rsid w:val="001C2C97"/>
    <w:rsid w:val="001C2EB2"/>
    <w:rsid w:val="001C309C"/>
    <w:rsid w:val="001C3114"/>
    <w:rsid w:val="001C372C"/>
    <w:rsid w:val="001C4701"/>
    <w:rsid w:val="001C4954"/>
    <w:rsid w:val="001C5813"/>
    <w:rsid w:val="001C5BF7"/>
    <w:rsid w:val="001C5D51"/>
    <w:rsid w:val="001C62CB"/>
    <w:rsid w:val="001C671D"/>
    <w:rsid w:val="001C6FE8"/>
    <w:rsid w:val="001D07C4"/>
    <w:rsid w:val="001D0C56"/>
    <w:rsid w:val="001D0E6C"/>
    <w:rsid w:val="001D13EF"/>
    <w:rsid w:val="001D1AAE"/>
    <w:rsid w:val="001D1F14"/>
    <w:rsid w:val="001D2950"/>
    <w:rsid w:val="001D36BC"/>
    <w:rsid w:val="001D3C79"/>
    <w:rsid w:val="001D4340"/>
    <w:rsid w:val="001D45C6"/>
    <w:rsid w:val="001D590C"/>
    <w:rsid w:val="001D5EC6"/>
    <w:rsid w:val="001D64BD"/>
    <w:rsid w:val="001D658B"/>
    <w:rsid w:val="001D6D63"/>
    <w:rsid w:val="001D7257"/>
    <w:rsid w:val="001D7618"/>
    <w:rsid w:val="001E0520"/>
    <w:rsid w:val="001E06DE"/>
    <w:rsid w:val="001E06DF"/>
    <w:rsid w:val="001E0D7B"/>
    <w:rsid w:val="001E0EEB"/>
    <w:rsid w:val="001E0F08"/>
    <w:rsid w:val="001E1429"/>
    <w:rsid w:val="001E23F2"/>
    <w:rsid w:val="001E3318"/>
    <w:rsid w:val="001E45D2"/>
    <w:rsid w:val="001E57BD"/>
    <w:rsid w:val="001E59D3"/>
    <w:rsid w:val="001E5B70"/>
    <w:rsid w:val="001E6DDD"/>
    <w:rsid w:val="001E7026"/>
    <w:rsid w:val="001E741F"/>
    <w:rsid w:val="001E7C94"/>
    <w:rsid w:val="001F0626"/>
    <w:rsid w:val="001F0A36"/>
    <w:rsid w:val="001F0C72"/>
    <w:rsid w:val="001F2A8A"/>
    <w:rsid w:val="001F2DE9"/>
    <w:rsid w:val="001F46AA"/>
    <w:rsid w:val="001F48E3"/>
    <w:rsid w:val="001F4D4F"/>
    <w:rsid w:val="001F5253"/>
    <w:rsid w:val="001F63EF"/>
    <w:rsid w:val="001F66CA"/>
    <w:rsid w:val="001F6C10"/>
    <w:rsid w:val="001F6DC7"/>
    <w:rsid w:val="001F6FA3"/>
    <w:rsid w:val="001F722B"/>
    <w:rsid w:val="00200A5B"/>
    <w:rsid w:val="00202142"/>
    <w:rsid w:val="002022AA"/>
    <w:rsid w:val="00202717"/>
    <w:rsid w:val="0020310B"/>
    <w:rsid w:val="0020312C"/>
    <w:rsid w:val="00203276"/>
    <w:rsid w:val="00203664"/>
    <w:rsid w:val="0020368B"/>
    <w:rsid w:val="002049DE"/>
    <w:rsid w:val="002053BB"/>
    <w:rsid w:val="00206B1C"/>
    <w:rsid w:val="00206B4B"/>
    <w:rsid w:val="002077D6"/>
    <w:rsid w:val="00207AE4"/>
    <w:rsid w:val="00207C01"/>
    <w:rsid w:val="002113FF"/>
    <w:rsid w:val="00211506"/>
    <w:rsid w:val="00211610"/>
    <w:rsid w:val="00211880"/>
    <w:rsid w:val="00211E0D"/>
    <w:rsid w:val="00212EA3"/>
    <w:rsid w:val="002146B3"/>
    <w:rsid w:val="00215B93"/>
    <w:rsid w:val="00215C62"/>
    <w:rsid w:val="002160F6"/>
    <w:rsid w:val="00216EFC"/>
    <w:rsid w:val="00216FAC"/>
    <w:rsid w:val="00220A34"/>
    <w:rsid w:val="00220B41"/>
    <w:rsid w:val="002216C8"/>
    <w:rsid w:val="00221C70"/>
    <w:rsid w:val="00221FAE"/>
    <w:rsid w:val="00222C3B"/>
    <w:rsid w:val="0022330E"/>
    <w:rsid w:val="002242E2"/>
    <w:rsid w:val="00224466"/>
    <w:rsid w:val="00224609"/>
    <w:rsid w:val="00224D60"/>
    <w:rsid w:val="00225197"/>
    <w:rsid w:val="0022548E"/>
    <w:rsid w:val="0022558B"/>
    <w:rsid w:val="0022574C"/>
    <w:rsid w:val="00225BB0"/>
    <w:rsid w:val="00226274"/>
    <w:rsid w:val="002270E0"/>
    <w:rsid w:val="002277A4"/>
    <w:rsid w:val="00230E43"/>
    <w:rsid w:val="00231472"/>
    <w:rsid w:val="00231794"/>
    <w:rsid w:val="002319FB"/>
    <w:rsid w:val="002320B6"/>
    <w:rsid w:val="0023270E"/>
    <w:rsid w:val="00232C6B"/>
    <w:rsid w:val="002338D1"/>
    <w:rsid w:val="00233B32"/>
    <w:rsid w:val="00233EB0"/>
    <w:rsid w:val="002340E3"/>
    <w:rsid w:val="002342AA"/>
    <w:rsid w:val="0023445E"/>
    <w:rsid w:val="00234A06"/>
    <w:rsid w:val="002354C8"/>
    <w:rsid w:val="002356B3"/>
    <w:rsid w:val="00235FD4"/>
    <w:rsid w:val="00236F93"/>
    <w:rsid w:val="0023782E"/>
    <w:rsid w:val="00237F66"/>
    <w:rsid w:val="00240205"/>
    <w:rsid w:val="00240323"/>
    <w:rsid w:val="00242C62"/>
    <w:rsid w:val="00242DB4"/>
    <w:rsid w:val="00243170"/>
    <w:rsid w:val="002449E1"/>
    <w:rsid w:val="00245619"/>
    <w:rsid w:val="002457FF"/>
    <w:rsid w:val="00245F51"/>
    <w:rsid w:val="00246B85"/>
    <w:rsid w:val="00246D38"/>
    <w:rsid w:val="00247046"/>
    <w:rsid w:val="002473C7"/>
    <w:rsid w:val="0024785E"/>
    <w:rsid w:val="0025072C"/>
    <w:rsid w:val="00250D1D"/>
    <w:rsid w:val="00251E2A"/>
    <w:rsid w:val="00252275"/>
    <w:rsid w:val="0025236B"/>
    <w:rsid w:val="002529BE"/>
    <w:rsid w:val="00253274"/>
    <w:rsid w:val="00253927"/>
    <w:rsid w:val="002539B8"/>
    <w:rsid w:val="002567A1"/>
    <w:rsid w:val="0025695B"/>
    <w:rsid w:val="00256EF0"/>
    <w:rsid w:val="00257105"/>
    <w:rsid w:val="00257A0D"/>
    <w:rsid w:val="00257AC2"/>
    <w:rsid w:val="002608DE"/>
    <w:rsid w:val="00261644"/>
    <w:rsid w:val="00261927"/>
    <w:rsid w:val="00262CF9"/>
    <w:rsid w:val="00263421"/>
    <w:rsid w:val="00263E32"/>
    <w:rsid w:val="0026416B"/>
    <w:rsid w:val="00264BB1"/>
    <w:rsid w:val="002651C7"/>
    <w:rsid w:val="00265F87"/>
    <w:rsid w:val="002664B6"/>
    <w:rsid w:val="002671E3"/>
    <w:rsid w:val="00267766"/>
    <w:rsid w:val="002700E4"/>
    <w:rsid w:val="002701EE"/>
    <w:rsid w:val="0027075E"/>
    <w:rsid w:val="00270A28"/>
    <w:rsid w:val="00271412"/>
    <w:rsid w:val="002720BB"/>
    <w:rsid w:val="00273521"/>
    <w:rsid w:val="00274438"/>
    <w:rsid w:val="002744E7"/>
    <w:rsid w:val="00274E67"/>
    <w:rsid w:val="002755EC"/>
    <w:rsid w:val="002755F7"/>
    <w:rsid w:val="00275DE8"/>
    <w:rsid w:val="00275F08"/>
    <w:rsid w:val="00276458"/>
    <w:rsid w:val="00277732"/>
    <w:rsid w:val="0027792F"/>
    <w:rsid w:val="00277CAD"/>
    <w:rsid w:val="00277FA4"/>
    <w:rsid w:val="00280855"/>
    <w:rsid w:val="002811AE"/>
    <w:rsid w:val="00282978"/>
    <w:rsid w:val="002829A3"/>
    <w:rsid w:val="00283146"/>
    <w:rsid w:val="002835EB"/>
    <w:rsid w:val="00283BDE"/>
    <w:rsid w:val="00283C11"/>
    <w:rsid w:val="0028459D"/>
    <w:rsid w:val="00284C5F"/>
    <w:rsid w:val="002854FF"/>
    <w:rsid w:val="00285538"/>
    <w:rsid w:val="002856E8"/>
    <w:rsid w:val="002859FA"/>
    <w:rsid w:val="002860E8"/>
    <w:rsid w:val="002865C1"/>
    <w:rsid w:val="00286E5B"/>
    <w:rsid w:val="002871A4"/>
    <w:rsid w:val="002901D4"/>
    <w:rsid w:val="00290BB7"/>
    <w:rsid w:val="00290DDD"/>
    <w:rsid w:val="00290E5F"/>
    <w:rsid w:val="0029129C"/>
    <w:rsid w:val="002916D9"/>
    <w:rsid w:val="00291C73"/>
    <w:rsid w:val="002921A1"/>
    <w:rsid w:val="00294624"/>
    <w:rsid w:val="00294646"/>
    <w:rsid w:val="0029510E"/>
    <w:rsid w:val="002955FA"/>
    <w:rsid w:val="002979F6"/>
    <w:rsid w:val="00297E53"/>
    <w:rsid w:val="002A0899"/>
    <w:rsid w:val="002A1A07"/>
    <w:rsid w:val="002A1D9F"/>
    <w:rsid w:val="002A21CA"/>
    <w:rsid w:val="002A232A"/>
    <w:rsid w:val="002A2D3A"/>
    <w:rsid w:val="002A2E45"/>
    <w:rsid w:val="002A5623"/>
    <w:rsid w:val="002A5D1C"/>
    <w:rsid w:val="002A62D5"/>
    <w:rsid w:val="002A68E3"/>
    <w:rsid w:val="002A7584"/>
    <w:rsid w:val="002B09DD"/>
    <w:rsid w:val="002B2552"/>
    <w:rsid w:val="002B34C3"/>
    <w:rsid w:val="002B3715"/>
    <w:rsid w:val="002B3DCC"/>
    <w:rsid w:val="002B3EF5"/>
    <w:rsid w:val="002B4104"/>
    <w:rsid w:val="002B462C"/>
    <w:rsid w:val="002B7ACE"/>
    <w:rsid w:val="002B7CA4"/>
    <w:rsid w:val="002B7E8B"/>
    <w:rsid w:val="002C05E9"/>
    <w:rsid w:val="002C0C60"/>
    <w:rsid w:val="002C0DCA"/>
    <w:rsid w:val="002C1244"/>
    <w:rsid w:val="002C1361"/>
    <w:rsid w:val="002C13F1"/>
    <w:rsid w:val="002C14EB"/>
    <w:rsid w:val="002C3184"/>
    <w:rsid w:val="002C3E94"/>
    <w:rsid w:val="002C4BA1"/>
    <w:rsid w:val="002C4BC1"/>
    <w:rsid w:val="002C4CF8"/>
    <w:rsid w:val="002C4D5D"/>
    <w:rsid w:val="002C5342"/>
    <w:rsid w:val="002C6B53"/>
    <w:rsid w:val="002C6D39"/>
    <w:rsid w:val="002C6FEB"/>
    <w:rsid w:val="002D0764"/>
    <w:rsid w:val="002D08D8"/>
    <w:rsid w:val="002D1052"/>
    <w:rsid w:val="002D1AF5"/>
    <w:rsid w:val="002D1F25"/>
    <w:rsid w:val="002D294D"/>
    <w:rsid w:val="002D3009"/>
    <w:rsid w:val="002D31D1"/>
    <w:rsid w:val="002D3616"/>
    <w:rsid w:val="002D3945"/>
    <w:rsid w:val="002D3955"/>
    <w:rsid w:val="002D3D6B"/>
    <w:rsid w:val="002D42F0"/>
    <w:rsid w:val="002D4573"/>
    <w:rsid w:val="002D5233"/>
    <w:rsid w:val="002D5F29"/>
    <w:rsid w:val="002D6560"/>
    <w:rsid w:val="002D6D40"/>
    <w:rsid w:val="002D752E"/>
    <w:rsid w:val="002D7700"/>
    <w:rsid w:val="002E11A0"/>
    <w:rsid w:val="002E15AE"/>
    <w:rsid w:val="002E15B3"/>
    <w:rsid w:val="002E17F3"/>
    <w:rsid w:val="002E1BA4"/>
    <w:rsid w:val="002E229B"/>
    <w:rsid w:val="002E244B"/>
    <w:rsid w:val="002E34DC"/>
    <w:rsid w:val="002E416D"/>
    <w:rsid w:val="002E4464"/>
    <w:rsid w:val="002E4ABD"/>
    <w:rsid w:val="002E5994"/>
    <w:rsid w:val="002E5DB0"/>
    <w:rsid w:val="002E7DEC"/>
    <w:rsid w:val="002F00EE"/>
    <w:rsid w:val="002F1074"/>
    <w:rsid w:val="002F15AB"/>
    <w:rsid w:val="002F1A68"/>
    <w:rsid w:val="002F2CA9"/>
    <w:rsid w:val="002F2DF9"/>
    <w:rsid w:val="002F3455"/>
    <w:rsid w:val="002F3920"/>
    <w:rsid w:val="002F3F97"/>
    <w:rsid w:val="002F4599"/>
    <w:rsid w:val="002F4A97"/>
    <w:rsid w:val="002F4C3C"/>
    <w:rsid w:val="002F5845"/>
    <w:rsid w:val="002F5B89"/>
    <w:rsid w:val="002F66AB"/>
    <w:rsid w:val="002F6C3D"/>
    <w:rsid w:val="002F6E96"/>
    <w:rsid w:val="002F77CF"/>
    <w:rsid w:val="002F7976"/>
    <w:rsid w:val="002F7D9C"/>
    <w:rsid w:val="002F7DF5"/>
    <w:rsid w:val="0030110F"/>
    <w:rsid w:val="003013B0"/>
    <w:rsid w:val="0030151E"/>
    <w:rsid w:val="003015B3"/>
    <w:rsid w:val="003016E7"/>
    <w:rsid w:val="003019C3"/>
    <w:rsid w:val="0030219C"/>
    <w:rsid w:val="00303518"/>
    <w:rsid w:val="00303ADF"/>
    <w:rsid w:val="0030434C"/>
    <w:rsid w:val="00304772"/>
    <w:rsid w:val="00304BC0"/>
    <w:rsid w:val="00307FB6"/>
    <w:rsid w:val="0031034B"/>
    <w:rsid w:val="003109D4"/>
    <w:rsid w:val="003115CB"/>
    <w:rsid w:val="00311987"/>
    <w:rsid w:val="00311B21"/>
    <w:rsid w:val="00311E07"/>
    <w:rsid w:val="0031216E"/>
    <w:rsid w:val="00312C27"/>
    <w:rsid w:val="0031379A"/>
    <w:rsid w:val="00313F5A"/>
    <w:rsid w:val="00314455"/>
    <w:rsid w:val="00314D4E"/>
    <w:rsid w:val="003150A1"/>
    <w:rsid w:val="00315507"/>
    <w:rsid w:val="00315E9F"/>
    <w:rsid w:val="00315EA4"/>
    <w:rsid w:val="003164B4"/>
    <w:rsid w:val="003167CF"/>
    <w:rsid w:val="00316FE7"/>
    <w:rsid w:val="0031735D"/>
    <w:rsid w:val="00317606"/>
    <w:rsid w:val="003176A6"/>
    <w:rsid w:val="003206D8"/>
    <w:rsid w:val="00320D71"/>
    <w:rsid w:val="00320EB7"/>
    <w:rsid w:val="003220AB"/>
    <w:rsid w:val="0032317C"/>
    <w:rsid w:val="003235D0"/>
    <w:rsid w:val="00323BDB"/>
    <w:rsid w:val="003242A9"/>
    <w:rsid w:val="003256E2"/>
    <w:rsid w:val="00325F23"/>
    <w:rsid w:val="0032624D"/>
    <w:rsid w:val="00326288"/>
    <w:rsid w:val="003266E5"/>
    <w:rsid w:val="0032693E"/>
    <w:rsid w:val="003276FE"/>
    <w:rsid w:val="003279E5"/>
    <w:rsid w:val="00327E60"/>
    <w:rsid w:val="00330185"/>
    <w:rsid w:val="00330F6C"/>
    <w:rsid w:val="003312A2"/>
    <w:rsid w:val="00331CDD"/>
    <w:rsid w:val="00332181"/>
    <w:rsid w:val="00332B89"/>
    <w:rsid w:val="00333959"/>
    <w:rsid w:val="003347F2"/>
    <w:rsid w:val="0033581C"/>
    <w:rsid w:val="00335A7D"/>
    <w:rsid w:val="00335C22"/>
    <w:rsid w:val="0033637B"/>
    <w:rsid w:val="003375D6"/>
    <w:rsid w:val="00337853"/>
    <w:rsid w:val="003378E3"/>
    <w:rsid w:val="0033795E"/>
    <w:rsid w:val="00337A72"/>
    <w:rsid w:val="00340855"/>
    <w:rsid w:val="00340978"/>
    <w:rsid w:val="00340F4C"/>
    <w:rsid w:val="00341484"/>
    <w:rsid w:val="0034169D"/>
    <w:rsid w:val="00342097"/>
    <w:rsid w:val="003428C0"/>
    <w:rsid w:val="00342E1C"/>
    <w:rsid w:val="00343863"/>
    <w:rsid w:val="003438B6"/>
    <w:rsid w:val="00343AE3"/>
    <w:rsid w:val="0034508D"/>
    <w:rsid w:val="00346E89"/>
    <w:rsid w:val="0034794C"/>
    <w:rsid w:val="00350495"/>
    <w:rsid w:val="003507D7"/>
    <w:rsid w:val="0035112B"/>
    <w:rsid w:val="00351CF0"/>
    <w:rsid w:val="00352952"/>
    <w:rsid w:val="00352A61"/>
    <w:rsid w:val="00353098"/>
    <w:rsid w:val="0035384D"/>
    <w:rsid w:val="0035466C"/>
    <w:rsid w:val="0035509A"/>
    <w:rsid w:val="003554C5"/>
    <w:rsid w:val="0035554F"/>
    <w:rsid w:val="0035646D"/>
    <w:rsid w:val="00356F59"/>
    <w:rsid w:val="003571C7"/>
    <w:rsid w:val="003578A3"/>
    <w:rsid w:val="00357D4D"/>
    <w:rsid w:val="00357F8D"/>
    <w:rsid w:val="00360499"/>
    <w:rsid w:val="00360CB3"/>
    <w:rsid w:val="00362DB9"/>
    <w:rsid w:val="00363191"/>
    <w:rsid w:val="003632D9"/>
    <w:rsid w:val="003649FA"/>
    <w:rsid w:val="00364A40"/>
    <w:rsid w:val="00365F50"/>
    <w:rsid w:val="00365FF6"/>
    <w:rsid w:val="003662EE"/>
    <w:rsid w:val="00366A37"/>
    <w:rsid w:val="0036779B"/>
    <w:rsid w:val="003700C7"/>
    <w:rsid w:val="00370222"/>
    <w:rsid w:val="00370BFD"/>
    <w:rsid w:val="00371547"/>
    <w:rsid w:val="0037187A"/>
    <w:rsid w:val="00371AB1"/>
    <w:rsid w:val="00371D15"/>
    <w:rsid w:val="00371DAB"/>
    <w:rsid w:val="00372D50"/>
    <w:rsid w:val="0037336C"/>
    <w:rsid w:val="0037369B"/>
    <w:rsid w:val="003745ED"/>
    <w:rsid w:val="0037538D"/>
    <w:rsid w:val="00375538"/>
    <w:rsid w:val="00375BD7"/>
    <w:rsid w:val="003763FF"/>
    <w:rsid w:val="003767BC"/>
    <w:rsid w:val="003773B6"/>
    <w:rsid w:val="003775A7"/>
    <w:rsid w:val="00377759"/>
    <w:rsid w:val="00380EFF"/>
    <w:rsid w:val="0038109A"/>
    <w:rsid w:val="003812C1"/>
    <w:rsid w:val="003815C6"/>
    <w:rsid w:val="003819F5"/>
    <w:rsid w:val="00382A95"/>
    <w:rsid w:val="00382AC2"/>
    <w:rsid w:val="00382C51"/>
    <w:rsid w:val="00382C65"/>
    <w:rsid w:val="00383016"/>
    <w:rsid w:val="00383311"/>
    <w:rsid w:val="0038349A"/>
    <w:rsid w:val="0038378C"/>
    <w:rsid w:val="00383C24"/>
    <w:rsid w:val="00383D5E"/>
    <w:rsid w:val="00384A7E"/>
    <w:rsid w:val="0038615E"/>
    <w:rsid w:val="00386A28"/>
    <w:rsid w:val="00386FBD"/>
    <w:rsid w:val="00387717"/>
    <w:rsid w:val="0038781B"/>
    <w:rsid w:val="00387A06"/>
    <w:rsid w:val="00390354"/>
    <w:rsid w:val="0039053C"/>
    <w:rsid w:val="00393458"/>
    <w:rsid w:val="0039350F"/>
    <w:rsid w:val="003937CB"/>
    <w:rsid w:val="00394B2E"/>
    <w:rsid w:val="00394DCB"/>
    <w:rsid w:val="003952F0"/>
    <w:rsid w:val="003956BB"/>
    <w:rsid w:val="003958F6"/>
    <w:rsid w:val="00395966"/>
    <w:rsid w:val="00395981"/>
    <w:rsid w:val="0039619A"/>
    <w:rsid w:val="0039626E"/>
    <w:rsid w:val="00396C2F"/>
    <w:rsid w:val="003974E9"/>
    <w:rsid w:val="00397EC0"/>
    <w:rsid w:val="003A00C8"/>
    <w:rsid w:val="003A0AD0"/>
    <w:rsid w:val="003A16C2"/>
    <w:rsid w:val="003A29DE"/>
    <w:rsid w:val="003A39C9"/>
    <w:rsid w:val="003A419F"/>
    <w:rsid w:val="003A45DD"/>
    <w:rsid w:val="003A5244"/>
    <w:rsid w:val="003A55B5"/>
    <w:rsid w:val="003A66A4"/>
    <w:rsid w:val="003A6F4E"/>
    <w:rsid w:val="003A7D37"/>
    <w:rsid w:val="003A7FFE"/>
    <w:rsid w:val="003B05C8"/>
    <w:rsid w:val="003B0AEA"/>
    <w:rsid w:val="003B163F"/>
    <w:rsid w:val="003B185F"/>
    <w:rsid w:val="003B18BA"/>
    <w:rsid w:val="003B2EB9"/>
    <w:rsid w:val="003B2EC0"/>
    <w:rsid w:val="003B2F10"/>
    <w:rsid w:val="003B2F16"/>
    <w:rsid w:val="003B468A"/>
    <w:rsid w:val="003B5057"/>
    <w:rsid w:val="003B566F"/>
    <w:rsid w:val="003B6F4C"/>
    <w:rsid w:val="003B7573"/>
    <w:rsid w:val="003B7E12"/>
    <w:rsid w:val="003C0441"/>
    <w:rsid w:val="003C0741"/>
    <w:rsid w:val="003C0A51"/>
    <w:rsid w:val="003C0A83"/>
    <w:rsid w:val="003C141F"/>
    <w:rsid w:val="003C17B1"/>
    <w:rsid w:val="003C180E"/>
    <w:rsid w:val="003C275D"/>
    <w:rsid w:val="003C2DC9"/>
    <w:rsid w:val="003C30AD"/>
    <w:rsid w:val="003C3EA0"/>
    <w:rsid w:val="003C4369"/>
    <w:rsid w:val="003C449C"/>
    <w:rsid w:val="003C4FDC"/>
    <w:rsid w:val="003C6121"/>
    <w:rsid w:val="003C6E8C"/>
    <w:rsid w:val="003C7A0F"/>
    <w:rsid w:val="003C7B90"/>
    <w:rsid w:val="003C7BDA"/>
    <w:rsid w:val="003C7C02"/>
    <w:rsid w:val="003D00DB"/>
    <w:rsid w:val="003D0C2B"/>
    <w:rsid w:val="003D1BC5"/>
    <w:rsid w:val="003D1FF2"/>
    <w:rsid w:val="003D28B9"/>
    <w:rsid w:val="003D310A"/>
    <w:rsid w:val="003D4943"/>
    <w:rsid w:val="003D507B"/>
    <w:rsid w:val="003D72DA"/>
    <w:rsid w:val="003E00DE"/>
    <w:rsid w:val="003E0B5E"/>
    <w:rsid w:val="003E143F"/>
    <w:rsid w:val="003E29B1"/>
    <w:rsid w:val="003E314A"/>
    <w:rsid w:val="003E3AD7"/>
    <w:rsid w:val="003E3F39"/>
    <w:rsid w:val="003E43AF"/>
    <w:rsid w:val="003E47F8"/>
    <w:rsid w:val="003E5810"/>
    <w:rsid w:val="003E5C8D"/>
    <w:rsid w:val="003E5D81"/>
    <w:rsid w:val="003E5DA5"/>
    <w:rsid w:val="003E5FFD"/>
    <w:rsid w:val="003E6321"/>
    <w:rsid w:val="003E72B3"/>
    <w:rsid w:val="003E73E6"/>
    <w:rsid w:val="003E7489"/>
    <w:rsid w:val="003E7B19"/>
    <w:rsid w:val="003F17F0"/>
    <w:rsid w:val="003F1AEA"/>
    <w:rsid w:val="003F29B4"/>
    <w:rsid w:val="003F2A93"/>
    <w:rsid w:val="003F389C"/>
    <w:rsid w:val="003F3C14"/>
    <w:rsid w:val="003F42A2"/>
    <w:rsid w:val="003F516B"/>
    <w:rsid w:val="003F530B"/>
    <w:rsid w:val="003F57DE"/>
    <w:rsid w:val="003F57FE"/>
    <w:rsid w:val="003F5C39"/>
    <w:rsid w:val="003F5F61"/>
    <w:rsid w:val="003F61E7"/>
    <w:rsid w:val="003F64BF"/>
    <w:rsid w:val="003F6848"/>
    <w:rsid w:val="003F6CF9"/>
    <w:rsid w:val="003F6D74"/>
    <w:rsid w:val="003F7A49"/>
    <w:rsid w:val="003F7B2C"/>
    <w:rsid w:val="003F7DA2"/>
    <w:rsid w:val="004003C0"/>
    <w:rsid w:val="00400C44"/>
    <w:rsid w:val="00401170"/>
    <w:rsid w:val="0040359C"/>
    <w:rsid w:val="004036A5"/>
    <w:rsid w:val="00403C14"/>
    <w:rsid w:val="00403D13"/>
    <w:rsid w:val="00403D15"/>
    <w:rsid w:val="00403EAF"/>
    <w:rsid w:val="00404320"/>
    <w:rsid w:val="00405621"/>
    <w:rsid w:val="00405725"/>
    <w:rsid w:val="0040619D"/>
    <w:rsid w:val="00407B02"/>
    <w:rsid w:val="00407CC8"/>
    <w:rsid w:val="00407DFE"/>
    <w:rsid w:val="004102BB"/>
    <w:rsid w:val="00412411"/>
    <w:rsid w:val="004125E4"/>
    <w:rsid w:val="00412801"/>
    <w:rsid w:val="00413433"/>
    <w:rsid w:val="00413AE9"/>
    <w:rsid w:val="00413F67"/>
    <w:rsid w:val="0041409F"/>
    <w:rsid w:val="004144F3"/>
    <w:rsid w:val="00414685"/>
    <w:rsid w:val="00414ADF"/>
    <w:rsid w:val="0041570D"/>
    <w:rsid w:val="00415C4A"/>
    <w:rsid w:val="00416180"/>
    <w:rsid w:val="00416F06"/>
    <w:rsid w:val="00417C17"/>
    <w:rsid w:val="004225AF"/>
    <w:rsid w:val="004236E7"/>
    <w:rsid w:val="00423C1F"/>
    <w:rsid w:val="00423F21"/>
    <w:rsid w:val="00425702"/>
    <w:rsid w:val="00425962"/>
    <w:rsid w:val="00425BEC"/>
    <w:rsid w:val="004262AE"/>
    <w:rsid w:val="004268C8"/>
    <w:rsid w:val="00426AEA"/>
    <w:rsid w:val="00426F42"/>
    <w:rsid w:val="00427381"/>
    <w:rsid w:val="004279BB"/>
    <w:rsid w:val="00430835"/>
    <w:rsid w:val="00432D88"/>
    <w:rsid w:val="004335E5"/>
    <w:rsid w:val="00433805"/>
    <w:rsid w:val="00433CEE"/>
    <w:rsid w:val="00433E74"/>
    <w:rsid w:val="004342CA"/>
    <w:rsid w:val="00434886"/>
    <w:rsid w:val="00434AE4"/>
    <w:rsid w:val="004351C2"/>
    <w:rsid w:val="00436D54"/>
    <w:rsid w:val="00437304"/>
    <w:rsid w:val="0043775C"/>
    <w:rsid w:val="00437A5E"/>
    <w:rsid w:val="00437BED"/>
    <w:rsid w:val="00440233"/>
    <w:rsid w:val="00441E21"/>
    <w:rsid w:val="00441E87"/>
    <w:rsid w:val="00442E29"/>
    <w:rsid w:val="00443639"/>
    <w:rsid w:val="00443A85"/>
    <w:rsid w:val="00444199"/>
    <w:rsid w:val="00444735"/>
    <w:rsid w:val="00444B74"/>
    <w:rsid w:val="00445EB9"/>
    <w:rsid w:val="00446148"/>
    <w:rsid w:val="00446A44"/>
    <w:rsid w:val="00446E9A"/>
    <w:rsid w:val="00447209"/>
    <w:rsid w:val="00447BFC"/>
    <w:rsid w:val="00450921"/>
    <w:rsid w:val="00450F28"/>
    <w:rsid w:val="0045107C"/>
    <w:rsid w:val="004511C0"/>
    <w:rsid w:val="00451ADD"/>
    <w:rsid w:val="004523ED"/>
    <w:rsid w:val="00452ABD"/>
    <w:rsid w:val="0045351C"/>
    <w:rsid w:val="004538C4"/>
    <w:rsid w:val="0045399B"/>
    <w:rsid w:val="00454983"/>
    <w:rsid w:val="00454D3E"/>
    <w:rsid w:val="00454DFE"/>
    <w:rsid w:val="00454FA3"/>
    <w:rsid w:val="00455731"/>
    <w:rsid w:val="00455BB7"/>
    <w:rsid w:val="0045660E"/>
    <w:rsid w:val="00456C4A"/>
    <w:rsid w:val="00457432"/>
    <w:rsid w:val="00457A4B"/>
    <w:rsid w:val="00457BB7"/>
    <w:rsid w:val="00457F45"/>
    <w:rsid w:val="004606AC"/>
    <w:rsid w:val="00460F43"/>
    <w:rsid w:val="00461678"/>
    <w:rsid w:val="0046202E"/>
    <w:rsid w:val="004621CB"/>
    <w:rsid w:val="004634FD"/>
    <w:rsid w:val="00463560"/>
    <w:rsid w:val="00463B02"/>
    <w:rsid w:val="004646EF"/>
    <w:rsid w:val="004649D0"/>
    <w:rsid w:val="00464F4B"/>
    <w:rsid w:val="0046615A"/>
    <w:rsid w:val="00466B08"/>
    <w:rsid w:val="00467120"/>
    <w:rsid w:val="004679FC"/>
    <w:rsid w:val="004706C9"/>
    <w:rsid w:val="00471053"/>
    <w:rsid w:val="004720FC"/>
    <w:rsid w:val="0047268B"/>
    <w:rsid w:val="004729C1"/>
    <w:rsid w:val="00473823"/>
    <w:rsid w:val="004745E7"/>
    <w:rsid w:val="00474C7B"/>
    <w:rsid w:val="004750A7"/>
    <w:rsid w:val="00475406"/>
    <w:rsid w:val="00475957"/>
    <w:rsid w:val="0047598C"/>
    <w:rsid w:val="00476784"/>
    <w:rsid w:val="004767C4"/>
    <w:rsid w:val="00476DE6"/>
    <w:rsid w:val="00477389"/>
    <w:rsid w:val="00477605"/>
    <w:rsid w:val="00480648"/>
    <w:rsid w:val="00480927"/>
    <w:rsid w:val="0048095E"/>
    <w:rsid w:val="00480F39"/>
    <w:rsid w:val="00481E8C"/>
    <w:rsid w:val="00483114"/>
    <w:rsid w:val="0048335E"/>
    <w:rsid w:val="00483A2E"/>
    <w:rsid w:val="00483B3A"/>
    <w:rsid w:val="00484D6E"/>
    <w:rsid w:val="00485338"/>
    <w:rsid w:val="004858D7"/>
    <w:rsid w:val="00485CCD"/>
    <w:rsid w:val="00486CAD"/>
    <w:rsid w:val="004875C9"/>
    <w:rsid w:val="004902B3"/>
    <w:rsid w:val="0049034E"/>
    <w:rsid w:val="0049069B"/>
    <w:rsid w:val="00491E02"/>
    <w:rsid w:val="004928DB"/>
    <w:rsid w:val="00493E35"/>
    <w:rsid w:val="00494243"/>
    <w:rsid w:val="004957B6"/>
    <w:rsid w:val="00495B67"/>
    <w:rsid w:val="00496D76"/>
    <w:rsid w:val="00497022"/>
    <w:rsid w:val="0049738A"/>
    <w:rsid w:val="00497C67"/>
    <w:rsid w:val="004A0135"/>
    <w:rsid w:val="004A05F2"/>
    <w:rsid w:val="004A0A15"/>
    <w:rsid w:val="004A1223"/>
    <w:rsid w:val="004A15F8"/>
    <w:rsid w:val="004A1667"/>
    <w:rsid w:val="004A1930"/>
    <w:rsid w:val="004A1D1C"/>
    <w:rsid w:val="004A1E0F"/>
    <w:rsid w:val="004A20D5"/>
    <w:rsid w:val="004A2416"/>
    <w:rsid w:val="004A29ED"/>
    <w:rsid w:val="004A2BEF"/>
    <w:rsid w:val="004A2E68"/>
    <w:rsid w:val="004A2E69"/>
    <w:rsid w:val="004A3996"/>
    <w:rsid w:val="004A3AB6"/>
    <w:rsid w:val="004A3DBF"/>
    <w:rsid w:val="004A3F38"/>
    <w:rsid w:val="004A4000"/>
    <w:rsid w:val="004A418E"/>
    <w:rsid w:val="004A4395"/>
    <w:rsid w:val="004A5342"/>
    <w:rsid w:val="004A53A9"/>
    <w:rsid w:val="004A59A5"/>
    <w:rsid w:val="004A5B24"/>
    <w:rsid w:val="004A6179"/>
    <w:rsid w:val="004A6CEE"/>
    <w:rsid w:val="004A706A"/>
    <w:rsid w:val="004A75F9"/>
    <w:rsid w:val="004B09B6"/>
    <w:rsid w:val="004B0D6F"/>
    <w:rsid w:val="004B10D5"/>
    <w:rsid w:val="004B1251"/>
    <w:rsid w:val="004B1934"/>
    <w:rsid w:val="004B1B04"/>
    <w:rsid w:val="004B1C15"/>
    <w:rsid w:val="004B1DA3"/>
    <w:rsid w:val="004B490C"/>
    <w:rsid w:val="004B4BC4"/>
    <w:rsid w:val="004B5CD2"/>
    <w:rsid w:val="004B5FA3"/>
    <w:rsid w:val="004B600B"/>
    <w:rsid w:val="004B60F6"/>
    <w:rsid w:val="004B6AF2"/>
    <w:rsid w:val="004B7EDA"/>
    <w:rsid w:val="004C0DCF"/>
    <w:rsid w:val="004C0E16"/>
    <w:rsid w:val="004C1011"/>
    <w:rsid w:val="004C1802"/>
    <w:rsid w:val="004C1DEA"/>
    <w:rsid w:val="004C1FD5"/>
    <w:rsid w:val="004C206C"/>
    <w:rsid w:val="004C2371"/>
    <w:rsid w:val="004C25C0"/>
    <w:rsid w:val="004C29E5"/>
    <w:rsid w:val="004C2E7F"/>
    <w:rsid w:val="004C4F03"/>
    <w:rsid w:val="004C5B70"/>
    <w:rsid w:val="004C6060"/>
    <w:rsid w:val="004C66A2"/>
    <w:rsid w:val="004C6B29"/>
    <w:rsid w:val="004C7410"/>
    <w:rsid w:val="004D1A81"/>
    <w:rsid w:val="004D1C9C"/>
    <w:rsid w:val="004D2EEC"/>
    <w:rsid w:val="004D34C8"/>
    <w:rsid w:val="004D40F2"/>
    <w:rsid w:val="004D4261"/>
    <w:rsid w:val="004D466F"/>
    <w:rsid w:val="004D4A1D"/>
    <w:rsid w:val="004D4CD7"/>
    <w:rsid w:val="004D4D55"/>
    <w:rsid w:val="004D5E89"/>
    <w:rsid w:val="004D63B5"/>
    <w:rsid w:val="004D728D"/>
    <w:rsid w:val="004D7877"/>
    <w:rsid w:val="004E0A28"/>
    <w:rsid w:val="004E28A7"/>
    <w:rsid w:val="004E2CCC"/>
    <w:rsid w:val="004E3405"/>
    <w:rsid w:val="004E39F1"/>
    <w:rsid w:val="004E4DB7"/>
    <w:rsid w:val="004E4E4B"/>
    <w:rsid w:val="004E56D7"/>
    <w:rsid w:val="004E57A7"/>
    <w:rsid w:val="004E5A71"/>
    <w:rsid w:val="004E63B3"/>
    <w:rsid w:val="004E68CC"/>
    <w:rsid w:val="004E7407"/>
    <w:rsid w:val="004E7DC0"/>
    <w:rsid w:val="004F0F54"/>
    <w:rsid w:val="004F173D"/>
    <w:rsid w:val="004F18BF"/>
    <w:rsid w:val="004F2114"/>
    <w:rsid w:val="004F229B"/>
    <w:rsid w:val="004F235D"/>
    <w:rsid w:val="004F307A"/>
    <w:rsid w:val="004F35C0"/>
    <w:rsid w:val="004F47F0"/>
    <w:rsid w:val="004F489F"/>
    <w:rsid w:val="004F4B24"/>
    <w:rsid w:val="004F5509"/>
    <w:rsid w:val="004F5AA6"/>
    <w:rsid w:val="004F5D33"/>
    <w:rsid w:val="004F5F2E"/>
    <w:rsid w:val="004F73E9"/>
    <w:rsid w:val="004F792E"/>
    <w:rsid w:val="00500077"/>
    <w:rsid w:val="005007FE"/>
    <w:rsid w:val="00501B82"/>
    <w:rsid w:val="00501E53"/>
    <w:rsid w:val="005027AC"/>
    <w:rsid w:val="00502ADD"/>
    <w:rsid w:val="00502AEB"/>
    <w:rsid w:val="00502D97"/>
    <w:rsid w:val="005042E5"/>
    <w:rsid w:val="00504AA3"/>
    <w:rsid w:val="0050521C"/>
    <w:rsid w:val="005054A4"/>
    <w:rsid w:val="00506259"/>
    <w:rsid w:val="00506C3B"/>
    <w:rsid w:val="00506EAC"/>
    <w:rsid w:val="005072AE"/>
    <w:rsid w:val="00510043"/>
    <w:rsid w:val="0051033B"/>
    <w:rsid w:val="00510901"/>
    <w:rsid w:val="00510D67"/>
    <w:rsid w:val="00511606"/>
    <w:rsid w:val="005117D0"/>
    <w:rsid w:val="0051189A"/>
    <w:rsid w:val="00512009"/>
    <w:rsid w:val="0051223D"/>
    <w:rsid w:val="005126C7"/>
    <w:rsid w:val="00512CF3"/>
    <w:rsid w:val="00513AC2"/>
    <w:rsid w:val="00513BE0"/>
    <w:rsid w:val="00514B4B"/>
    <w:rsid w:val="00516AFB"/>
    <w:rsid w:val="00517193"/>
    <w:rsid w:val="0051763F"/>
    <w:rsid w:val="0051794E"/>
    <w:rsid w:val="00520D5D"/>
    <w:rsid w:val="00521098"/>
    <w:rsid w:val="005218CD"/>
    <w:rsid w:val="00522495"/>
    <w:rsid w:val="0052269D"/>
    <w:rsid w:val="00522CA4"/>
    <w:rsid w:val="00522EE4"/>
    <w:rsid w:val="0052303A"/>
    <w:rsid w:val="00524583"/>
    <w:rsid w:val="00524AC0"/>
    <w:rsid w:val="00525060"/>
    <w:rsid w:val="0052558B"/>
    <w:rsid w:val="00525618"/>
    <w:rsid w:val="005259EA"/>
    <w:rsid w:val="00525A4C"/>
    <w:rsid w:val="00525B82"/>
    <w:rsid w:val="005272CB"/>
    <w:rsid w:val="005279F6"/>
    <w:rsid w:val="00527DCA"/>
    <w:rsid w:val="00527F86"/>
    <w:rsid w:val="00530115"/>
    <w:rsid w:val="0053026B"/>
    <w:rsid w:val="00530D8E"/>
    <w:rsid w:val="005314D3"/>
    <w:rsid w:val="00531649"/>
    <w:rsid w:val="005316EF"/>
    <w:rsid w:val="0053195E"/>
    <w:rsid w:val="00531A5E"/>
    <w:rsid w:val="00531C0C"/>
    <w:rsid w:val="00532C3E"/>
    <w:rsid w:val="00532DB5"/>
    <w:rsid w:val="00532E99"/>
    <w:rsid w:val="0053304B"/>
    <w:rsid w:val="00533206"/>
    <w:rsid w:val="00533617"/>
    <w:rsid w:val="00534C28"/>
    <w:rsid w:val="005350CE"/>
    <w:rsid w:val="005354BC"/>
    <w:rsid w:val="00535668"/>
    <w:rsid w:val="00535DB1"/>
    <w:rsid w:val="00535F96"/>
    <w:rsid w:val="00536245"/>
    <w:rsid w:val="005377C1"/>
    <w:rsid w:val="005377F3"/>
    <w:rsid w:val="00537F19"/>
    <w:rsid w:val="00540D49"/>
    <w:rsid w:val="00541216"/>
    <w:rsid w:val="00541279"/>
    <w:rsid w:val="00541AA4"/>
    <w:rsid w:val="00541CDB"/>
    <w:rsid w:val="005424CA"/>
    <w:rsid w:val="00542530"/>
    <w:rsid w:val="0054266D"/>
    <w:rsid w:val="00543750"/>
    <w:rsid w:val="00544A25"/>
    <w:rsid w:val="00544AD0"/>
    <w:rsid w:val="005451F7"/>
    <w:rsid w:val="00545B01"/>
    <w:rsid w:val="005473C9"/>
    <w:rsid w:val="00547AFD"/>
    <w:rsid w:val="00547B3F"/>
    <w:rsid w:val="00551265"/>
    <w:rsid w:val="00552C68"/>
    <w:rsid w:val="00553361"/>
    <w:rsid w:val="005544AF"/>
    <w:rsid w:val="00554A07"/>
    <w:rsid w:val="00554E82"/>
    <w:rsid w:val="00555ABA"/>
    <w:rsid w:val="00556200"/>
    <w:rsid w:val="00557217"/>
    <w:rsid w:val="00557507"/>
    <w:rsid w:val="005607CA"/>
    <w:rsid w:val="00560940"/>
    <w:rsid w:val="00560BC3"/>
    <w:rsid w:val="00560F42"/>
    <w:rsid w:val="005615A7"/>
    <w:rsid w:val="00561A8D"/>
    <w:rsid w:val="00561E62"/>
    <w:rsid w:val="00561EBC"/>
    <w:rsid w:val="005623B3"/>
    <w:rsid w:val="005625D1"/>
    <w:rsid w:val="00563955"/>
    <w:rsid w:val="00564644"/>
    <w:rsid w:val="00566954"/>
    <w:rsid w:val="0056762E"/>
    <w:rsid w:val="00567633"/>
    <w:rsid w:val="0056794F"/>
    <w:rsid w:val="00567FE0"/>
    <w:rsid w:val="005715C2"/>
    <w:rsid w:val="005718B2"/>
    <w:rsid w:val="0057191E"/>
    <w:rsid w:val="00571E8E"/>
    <w:rsid w:val="00572CD4"/>
    <w:rsid w:val="00572DD6"/>
    <w:rsid w:val="005733DD"/>
    <w:rsid w:val="00573B51"/>
    <w:rsid w:val="00574131"/>
    <w:rsid w:val="005741DF"/>
    <w:rsid w:val="00574778"/>
    <w:rsid w:val="00574973"/>
    <w:rsid w:val="00574DEF"/>
    <w:rsid w:val="005755F2"/>
    <w:rsid w:val="005756D3"/>
    <w:rsid w:val="00575C6B"/>
    <w:rsid w:val="00576D4F"/>
    <w:rsid w:val="00577176"/>
    <w:rsid w:val="00577C88"/>
    <w:rsid w:val="00580EF3"/>
    <w:rsid w:val="00581118"/>
    <w:rsid w:val="0058210B"/>
    <w:rsid w:val="005823F9"/>
    <w:rsid w:val="00582576"/>
    <w:rsid w:val="00582588"/>
    <w:rsid w:val="005827AF"/>
    <w:rsid w:val="00582A27"/>
    <w:rsid w:val="00582DEB"/>
    <w:rsid w:val="005830DA"/>
    <w:rsid w:val="0058437C"/>
    <w:rsid w:val="00584A68"/>
    <w:rsid w:val="00584AFB"/>
    <w:rsid w:val="00585A63"/>
    <w:rsid w:val="00586BAE"/>
    <w:rsid w:val="00586E3F"/>
    <w:rsid w:val="00587251"/>
    <w:rsid w:val="00587A2C"/>
    <w:rsid w:val="00587DA2"/>
    <w:rsid w:val="005902D5"/>
    <w:rsid w:val="00590A99"/>
    <w:rsid w:val="0059140E"/>
    <w:rsid w:val="00591EA2"/>
    <w:rsid w:val="00592568"/>
    <w:rsid w:val="00592A1F"/>
    <w:rsid w:val="00592E5F"/>
    <w:rsid w:val="00593549"/>
    <w:rsid w:val="005937D4"/>
    <w:rsid w:val="005938E8"/>
    <w:rsid w:val="00593A5F"/>
    <w:rsid w:val="00594169"/>
    <w:rsid w:val="00595192"/>
    <w:rsid w:val="005955B3"/>
    <w:rsid w:val="00596D6F"/>
    <w:rsid w:val="00596EA8"/>
    <w:rsid w:val="005975F8"/>
    <w:rsid w:val="0059797F"/>
    <w:rsid w:val="005A0345"/>
    <w:rsid w:val="005A0718"/>
    <w:rsid w:val="005A0DE6"/>
    <w:rsid w:val="005A1806"/>
    <w:rsid w:val="005A1826"/>
    <w:rsid w:val="005A1C40"/>
    <w:rsid w:val="005A33AA"/>
    <w:rsid w:val="005A43F7"/>
    <w:rsid w:val="005A5004"/>
    <w:rsid w:val="005A560A"/>
    <w:rsid w:val="005A5FDA"/>
    <w:rsid w:val="005A7AD6"/>
    <w:rsid w:val="005B011B"/>
    <w:rsid w:val="005B03D1"/>
    <w:rsid w:val="005B0A94"/>
    <w:rsid w:val="005B0BD8"/>
    <w:rsid w:val="005B0C3C"/>
    <w:rsid w:val="005B12BB"/>
    <w:rsid w:val="005B13B5"/>
    <w:rsid w:val="005B1895"/>
    <w:rsid w:val="005B1A9E"/>
    <w:rsid w:val="005B2182"/>
    <w:rsid w:val="005B271A"/>
    <w:rsid w:val="005B2D77"/>
    <w:rsid w:val="005B3B7C"/>
    <w:rsid w:val="005B3C09"/>
    <w:rsid w:val="005B596F"/>
    <w:rsid w:val="005B5A9F"/>
    <w:rsid w:val="005B654B"/>
    <w:rsid w:val="005B6E1F"/>
    <w:rsid w:val="005C0706"/>
    <w:rsid w:val="005C1235"/>
    <w:rsid w:val="005C1ED4"/>
    <w:rsid w:val="005C21C3"/>
    <w:rsid w:val="005C3666"/>
    <w:rsid w:val="005C3A24"/>
    <w:rsid w:val="005C3BE2"/>
    <w:rsid w:val="005C3E3A"/>
    <w:rsid w:val="005C4D46"/>
    <w:rsid w:val="005C567E"/>
    <w:rsid w:val="005C5A8C"/>
    <w:rsid w:val="005C61D8"/>
    <w:rsid w:val="005C74AD"/>
    <w:rsid w:val="005C7F99"/>
    <w:rsid w:val="005D0626"/>
    <w:rsid w:val="005D08F4"/>
    <w:rsid w:val="005D0921"/>
    <w:rsid w:val="005D1A9E"/>
    <w:rsid w:val="005D1B4B"/>
    <w:rsid w:val="005D24F3"/>
    <w:rsid w:val="005D2F4C"/>
    <w:rsid w:val="005D3023"/>
    <w:rsid w:val="005D3100"/>
    <w:rsid w:val="005D3EC5"/>
    <w:rsid w:val="005D4ED3"/>
    <w:rsid w:val="005D541B"/>
    <w:rsid w:val="005D5517"/>
    <w:rsid w:val="005D556E"/>
    <w:rsid w:val="005D58E9"/>
    <w:rsid w:val="005D6756"/>
    <w:rsid w:val="005D6F60"/>
    <w:rsid w:val="005D6FAB"/>
    <w:rsid w:val="005D7210"/>
    <w:rsid w:val="005E0219"/>
    <w:rsid w:val="005E064D"/>
    <w:rsid w:val="005E0E54"/>
    <w:rsid w:val="005E1F3E"/>
    <w:rsid w:val="005E21A1"/>
    <w:rsid w:val="005E2318"/>
    <w:rsid w:val="005E258A"/>
    <w:rsid w:val="005E26CE"/>
    <w:rsid w:val="005E2E8A"/>
    <w:rsid w:val="005E3042"/>
    <w:rsid w:val="005E4959"/>
    <w:rsid w:val="005E4A5F"/>
    <w:rsid w:val="005E4CAF"/>
    <w:rsid w:val="005E5099"/>
    <w:rsid w:val="005E50E6"/>
    <w:rsid w:val="005E5935"/>
    <w:rsid w:val="005E60E0"/>
    <w:rsid w:val="005E69C9"/>
    <w:rsid w:val="005E6EAB"/>
    <w:rsid w:val="005E6F71"/>
    <w:rsid w:val="005E7D42"/>
    <w:rsid w:val="005E7F30"/>
    <w:rsid w:val="005F0370"/>
    <w:rsid w:val="005F05C5"/>
    <w:rsid w:val="005F065A"/>
    <w:rsid w:val="005F1551"/>
    <w:rsid w:val="005F2001"/>
    <w:rsid w:val="005F2519"/>
    <w:rsid w:val="005F3364"/>
    <w:rsid w:val="005F3E27"/>
    <w:rsid w:val="005F4263"/>
    <w:rsid w:val="005F4554"/>
    <w:rsid w:val="005F4702"/>
    <w:rsid w:val="005F6599"/>
    <w:rsid w:val="005F7192"/>
    <w:rsid w:val="006004A4"/>
    <w:rsid w:val="00600821"/>
    <w:rsid w:val="00600930"/>
    <w:rsid w:val="00600D08"/>
    <w:rsid w:val="00600F15"/>
    <w:rsid w:val="00601167"/>
    <w:rsid w:val="00601222"/>
    <w:rsid w:val="00601B81"/>
    <w:rsid w:val="00601BB9"/>
    <w:rsid w:val="00601FA5"/>
    <w:rsid w:val="00602161"/>
    <w:rsid w:val="006021AC"/>
    <w:rsid w:val="006024E9"/>
    <w:rsid w:val="006030CD"/>
    <w:rsid w:val="006039E8"/>
    <w:rsid w:val="00604006"/>
    <w:rsid w:val="00604050"/>
    <w:rsid w:val="00604152"/>
    <w:rsid w:val="00604DC8"/>
    <w:rsid w:val="00605DD5"/>
    <w:rsid w:val="0060605E"/>
    <w:rsid w:val="006069F3"/>
    <w:rsid w:val="00610631"/>
    <w:rsid w:val="00611460"/>
    <w:rsid w:val="00611751"/>
    <w:rsid w:val="006117A6"/>
    <w:rsid w:val="00612212"/>
    <w:rsid w:val="00612DC6"/>
    <w:rsid w:val="0061371F"/>
    <w:rsid w:val="00613972"/>
    <w:rsid w:val="00613FF6"/>
    <w:rsid w:val="006140B4"/>
    <w:rsid w:val="00614499"/>
    <w:rsid w:val="00614AC9"/>
    <w:rsid w:val="00614F4F"/>
    <w:rsid w:val="00615A4E"/>
    <w:rsid w:val="006176C9"/>
    <w:rsid w:val="00617978"/>
    <w:rsid w:val="0062044E"/>
    <w:rsid w:val="006207AE"/>
    <w:rsid w:val="00620844"/>
    <w:rsid w:val="00620CDA"/>
    <w:rsid w:val="00620D39"/>
    <w:rsid w:val="00620F18"/>
    <w:rsid w:val="00622304"/>
    <w:rsid w:val="006234DC"/>
    <w:rsid w:val="00623A07"/>
    <w:rsid w:val="00624198"/>
    <w:rsid w:val="00624202"/>
    <w:rsid w:val="00624377"/>
    <w:rsid w:val="0062445C"/>
    <w:rsid w:val="006248EA"/>
    <w:rsid w:val="006256B7"/>
    <w:rsid w:val="00625BC7"/>
    <w:rsid w:val="006262A1"/>
    <w:rsid w:val="00626877"/>
    <w:rsid w:val="0062687A"/>
    <w:rsid w:val="00627302"/>
    <w:rsid w:val="006275B7"/>
    <w:rsid w:val="006301C2"/>
    <w:rsid w:val="00630AAE"/>
    <w:rsid w:val="00630B83"/>
    <w:rsid w:val="00630BD4"/>
    <w:rsid w:val="00630CCA"/>
    <w:rsid w:val="00632569"/>
    <w:rsid w:val="006327D4"/>
    <w:rsid w:val="00632D68"/>
    <w:rsid w:val="00633106"/>
    <w:rsid w:val="00633583"/>
    <w:rsid w:val="0063360C"/>
    <w:rsid w:val="00634502"/>
    <w:rsid w:val="00635416"/>
    <w:rsid w:val="00635B3F"/>
    <w:rsid w:val="00636CDF"/>
    <w:rsid w:val="00637375"/>
    <w:rsid w:val="006373FA"/>
    <w:rsid w:val="006377D7"/>
    <w:rsid w:val="006402BB"/>
    <w:rsid w:val="0064043A"/>
    <w:rsid w:val="006407C3"/>
    <w:rsid w:val="00640B22"/>
    <w:rsid w:val="00640F7C"/>
    <w:rsid w:val="006417B2"/>
    <w:rsid w:val="00641EB0"/>
    <w:rsid w:val="00642691"/>
    <w:rsid w:val="006426BE"/>
    <w:rsid w:val="00642C3F"/>
    <w:rsid w:val="00642EF6"/>
    <w:rsid w:val="0064315F"/>
    <w:rsid w:val="00643677"/>
    <w:rsid w:val="00643A81"/>
    <w:rsid w:val="006444B0"/>
    <w:rsid w:val="0064495F"/>
    <w:rsid w:val="00645B8C"/>
    <w:rsid w:val="00645C3F"/>
    <w:rsid w:val="00645FE4"/>
    <w:rsid w:val="006462B6"/>
    <w:rsid w:val="0064681D"/>
    <w:rsid w:val="00646BE4"/>
    <w:rsid w:val="006500C0"/>
    <w:rsid w:val="00650330"/>
    <w:rsid w:val="0065068C"/>
    <w:rsid w:val="00651ED9"/>
    <w:rsid w:val="006530E1"/>
    <w:rsid w:val="00654D16"/>
    <w:rsid w:val="00655032"/>
    <w:rsid w:val="0065582D"/>
    <w:rsid w:val="006565A6"/>
    <w:rsid w:val="00660087"/>
    <w:rsid w:val="00660CF7"/>
    <w:rsid w:val="00661ED3"/>
    <w:rsid w:val="00661FD9"/>
    <w:rsid w:val="006623E5"/>
    <w:rsid w:val="00662628"/>
    <w:rsid w:val="00663163"/>
    <w:rsid w:val="006638C1"/>
    <w:rsid w:val="00663C99"/>
    <w:rsid w:val="0066475D"/>
    <w:rsid w:val="00664907"/>
    <w:rsid w:val="00665220"/>
    <w:rsid w:val="006658EF"/>
    <w:rsid w:val="00666A3E"/>
    <w:rsid w:val="00670AF8"/>
    <w:rsid w:val="00671945"/>
    <w:rsid w:val="00672129"/>
    <w:rsid w:val="00672B9D"/>
    <w:rsid w:val="006741D5"/>
    <w:rsid w:val="00674897"/>
    <w:rsid w:val="0067520D"/>
    <w:rsid w:val="006753CA"/>
    <w:rsid w:val="00675577"/>
    <w:rsid w:val="00675D1D"/>
    <w:rsid w:val="00677824"/>
    <w:rsid w:val="00677CB0"/>
    <w:rsid w:val="00677D04"/>
    <w:rsid w:val="0068042B"/>
    <w:rsid w:val="0068083C"/>
    <w:rsid w:val="00680A43"/>
    <w:rsid w:val="00680B1E"/>
    <w:rsid w:val="00681021"/>
    <w:rsid w:val="006814CF"/>
    <w:rsid w:val="0068186B"/>
    <w:rsid w:val="00681C35"/>
    <w:rsid w:val="00681EC1"/>
    <w:rsid w:val="0068217C"/>
    <w:rsid w:val="00682516"/>
    <w:rsid w:val="006825E2"/>
    <w:rsid w:val="00683023"/>
    <w:rsid w:val="0068400D"/>
    <w:rsid w:val="0068421C"/>
    <w:rsid w:val="006848DB"/>
    <w:rsid w:val="00684A4A"/>
    <w:rsid w:val="00684C74"/>
    <w:rsid w:val="006852E7"/>
    <w:rsid w:val="00685738"/>
    <w:rsid w:val="00685B3E"/>
    <w:rsid w:val="00685FA4"/>
    <w:rsid w:val="006862D0"/>
    <w:rsid w:val="00686759"/>
    <w:rsid w:val="00686E09"/>
    <w:rsid w:val="0068722E"/>
    <w:rsid w:val="00687264"/>
    <w:rsid w:val="006873AD"/>
    <w:rsid w:val="00687C0E"/>
    <w:rsid w:val="0069005D"/>
    <w:rsid w:val="00691B1D"/>
    <w:rsid w:val="00691D73"/>
    <w:rsid w:val="00692B91"/>
    <w:rsid w:val="00692EB4"/>
    <w:rsid w:val="0069358C"/>
    <w:rsid w:val="00694DF2"/>
    <w:rsid w:val="006953B5"/>
    <w:rsid w:val="00695874"/>
    <w:rsid w:val="00695B2D"/>
    <w:rsid w:val="00696804"/>
    <w:rsid w:val="00696B19"/>
    <w:rsid w:val="00696B9B"/>
    <w:rsid w:val="00697D08"/>
    <w:rsid w:val="006A05B7"/>
    <w:rsid w:val="006A0805"/>
    <w:rsid w:val="006A0A2F"/>
    <w:rsid w:val="006A0AFE"/>
    <w:rsid w:val="006A0F02"/>
    <w:rsid w:val="006A1685"/>
    <w:rsid w:val="006A1690"/>
    <w:rsid w:val="006A20D9"/>
    <w:rsid w:val="006A3508"/>
    <w:rsid w:val="006A372A"/>
    <w:rsid w:val="006A49EA"/>
    <w:rsid w:val="006A4F45"/>
    <w:rsid w:val="006A505B"/>
    <w:rsid w:val="006A5ABA"/>
    <w:rsid w:val="006A6FC0"/>
    <w:rsid w:val="006A7B17"/>
    <w:rsid w:val="006A7DD8"/>
    <w:rsid w:val="006B0042"/>
    <w:rsid w:val="006B0182"/>
    <w:rsid w:val="006B1250"/>
    <w:rsid w:val="006B1697"/>
    <w:rsid w:val="006B1E7B"/>
    <w:rsid w:val="006B3C14"/>
    <w:rsid w:val="006B4AC1"/>
    <w:rsid w:val="006B4F2B"/>
    <w:rsid w:val="006B510A"/>
    <w:rsid w:val="006B5574"/>
    <w:rsid w:val="006B7023"/>
    <w:rsid w:val="006B7307"/>
    <w:rsid w:val="006B7703"/>
    <w:rsid w:val="006B7D7C"/>
    <w:rsid w:val="006C0461"/>
    <w:rsid w:val="006C0D42"/>
    <w:rsid w:val="006C0D8B"/>
    <w:rsid w:val="006C1225"/>
    <w:rsid w:val="006C1366"/>
    <w:rsid w:val="006C1465"/>
    <w:rsid w:val="006C1BEA"/>
    <w:rsid w:val="006C23B0"/>
    <w:rsid w:val="006C2680"/>
    <w:rsid w:val="006C2FB7"/>
    <w:rsid w:val="006C3488"/>
    <w:rsid w:val="006C3784"/>
    <w:rsid w:val="006C3BF3"/>
    <w:rsid w:val="006C4545"/>
    <w:rsid w:val="006C52DC"/>
    <w:rsid w:val="006C6C3A"/>
    <w:rsid w:val="006C6D7A"/>
    <w:rsid w:val="006C70E2"/>
    <w:rsid w:val="006D0189"/>
    <w:rsid w:val="006D0A54"/>
    <w:rsid w:val="006D11BB"/>
    <w:rsid w:val="006D1778"/>
    <w:rsid w:val="006D1EA4"/>
    <w:rsid w:val="006D2BFA"/>
    <w:rsid w:val="006D2CDB"/>
    <w:rsid w:val="006D2E11"/>
    <w:rsid w:val="006D3EFA"/>
    <w:rsid w:val="006D4645"/>
    <w:rsid w:val="006D6B11"/>
    <w:rsid w:val="006D6C0E"/>
    <w:rsid w:val="006E0120"/>
    <w:rsid w:val="006E1644"/>
    <w:rsid w:val="006E180D"/>
    <w:rsid w:val="006E1BB0"/>
    <w:rsid w:val="006E2751"/>
    <w:rsid w:val="006E277F"/>
    <w:rsid w:val="006E34FE"/>
    <w:rsid w:val="006E35CB"/>
    <w:rsid w:val="006E3879"/>
    <w:rsid w:val="006E3A70"/>
    <w:rsid w:val="006E3C7D"/>
    <w:rsid w:val="006E3E32"/>
    <w:rsid w:val="006E3F70"/>
    <w:rsid w:val="006E41FC"/>
    <w:rsid w:val="006E468D"/>
    <w:rsid w:val="006E4D09"/>
    <w:rsid w:val="006E5C65"/>
    <w:rsid w:val="006E6A89"/>
    <w:rsid w:val="006E7663"/>
    <w:rsid w:val="006E76EB"/>
    <w:rsid w:val="006E7717"/>
    <w:rsid w:val="006F03DE"/>
    <w:rsid w:val="006F1F65"/>
    <w:rsid w:val="006F2451"/>
    <w:rsid w:val="006F4CBD"/>
    <w:rsid w:val="006F4DFE"/>
    <w:rsid w:val="006F525C"/>
    <w:rsid w:val="006F5670"/>
    <w:rsid w:val="006F5FCF"/>
    <w:rsid w:val="006F6D21"/>
    <w:rsid w:val="006F7818"/>
    <w:rsid w:val="0070024B"/>
    <w:rsid w:val="007004EA"/>
    <w:rsid w:val="00700A13"/>
    <w:rsid w:val="00700DED"/>
    <w:rsid w:val="0070235B"/>
    <w:rsid w:val="00702649"/>
    <w:rsid w:val="0070363D"/>
    <w:rsid w:val="00703C51"/>
    <w:rsid w:val="00703DBB"/>
    <w:rsid w:val="00703F2A"/>
    <w:rsid w:val="00704B0A"/>
    <w:rsid w:val="007058AB"/>
    <w:rsid w:val="00705E40"/>
    <w:rsid w:val="00706E41"/>
    <w:rsid w:val="0070735E"/>
    <w:rsid w:val="00707594"/>
    <w:rsid w:val="007105AB"/>
    <w:rsid w:val="007110A6"/>
    <w:rsid w:val="0071177B"/>
    <w:rsid w:val="00712116"/>
    <w:rsid w:val="0071233A"/>
    <w:rsid w:val="007124BC"/>
    <w:rsid w:val="00712AD0"/>
    <w:rsid w:val="00712DD4"/>
    <w:rsid w:val="00713454"/>
    <w:rsid w:val="0071399A"/>
    <w:rsid w:val="00713B04"/>
    <w:rsid w:val="00713EDF"/>
    <w:rsid w:val="00714015"/>
    <w:rsid w:val="0071410B"/>
    <w:rsid w:val="00714483"/>
    <w:rsid w:val="007145B5"/>
    <w:rsid w:val="007146A0"/>
    <w:rsid w:val="007148A8"/>
    <w:rsid w:val="00715078"/>
    <w:rsid w:val="00715306"/>
    <w:rsid w:val="00715370"/>
    <w:rsid w:val="007156CC"/>
    <w:rsid w:val="0071718C"/>
    <w:rsid w:val="0072089D"/>
    <w:rsid w:val="00721BD7"/>
    <w:rsid w:val="007227D2"/>
    <w:rsid w:val="00723A87"/>
    <w:rsid w:val="00723B19"/>
    <w:rsid w:val="007243B3"/>
    <w:rsid w:val="007249C4"/>
    <w:rsid w:val="00725549"/>
    <w:rsid w:val="00726A8C"/>
    <w:rsid w:val="00726D0A"/>
    <w:rsid w:val="007302F7"/>
    <w:rsid w:val="007309FD"/>
    <w:rsid w:val="00731617"/>
    <w:rsid w:val="007327F9"/>
    <w:rsid w:val="0073337B"/>
    <w:rsid w:val="00733441"/>
    <w:rsid w:val="007337B3"/>
    <w:rsid w:val="00733CAD"/>
    <w:rsid w:val="00733E0B"/>
    <w:rsid w:val="00733F38"/>
    <w:rsid w:val="00734368"/>
    <w:rsid w:val="00734887"/>
    <w:rsid w:val="0073523C"/>
    <w:rsid w:val="007355D3"/>
    <w:rsid w:val="00736ADE"/>
    <w:rsid w:val="00736BFB"/>
    <w:rsid w:val="007400BD"/>
    <w:rsid w:val="007402B6"/>
    <w:rsid w:val="00740449"/>
    <w:rsid w:val="00740B8D"/>
    <w:rsid w:val="00740CFA"/>
    <w:rsid w:val="00740E1C"/>
    <w:rsid w:val="007415F4"/>
    <w:rsid w:val="007417BB"/>
    <w:rsid w:val="00741AD6"/>
    <w:rsid w:val="00743B01"/>
    <w:rsid w:val="00743DD5"/>
    <w:rsid w:val="00745BB1"/>
    <w:rsid w:val="00747F0B"/>
    <w:rsid w:val="007500E3"/>
    <w:rsid w:val="00750116"/>
    <w:rsid w:val="007504EE"/>
    <w:rsid w:val="00750BC4"/>
    <w:rsid w:val="00751209"/>
    <w:rsid w:val="007512F1"/>
    <w:rsid w:val="00753234"/>
    <w:rsid w:val="00753695"/>
    <w:rsid w:val="00753C2D"/>
    <w:rsid w:val="007540A0"/>
    <w:rsid w:val="00754769"/>
    <w:rsid w:val="00755B88"/>
    <w:rsid w:val="00756488"/>
    <w:rsid w:val="0075756B"/>
    <w:rsid w:val="00757F0D"/>
    <w:rsid w:val="0076082B"/>
    <w:rsid w:val="007609F2"/>
    <w:rsid w:val="00760CFE"/>
    <w:rsid w:val="007611B4"/>
    <w:rsid w:val="007613A2"/>
    <w:rsid w:val="00761681"/>
    <w:rsid w:val="00761B25"/>
    <w:rsid w:val="0076310A"/>
    <w:rsid w:val="007644D9"/>
    <w:rsid w:val="00765025"/>
    <w:rsid w:val="00765433"/>
    <w:rsid w:val="00765745"/>
    <w:rsid w:val="00766A4E"/>
    <w:rsid w:val="00766E32"/>
    <w:rsid w:val="00766F86"/>
    <w:rsid w:val="0076731C"/>
    <w:rsid w:val="0076759F"/>
    <w:rsid w:val="00767C67"/>
    <w:rsid w:val="00767D32"/>
    <w:rsid w:val="00767E80"/>
    <w:rsid w:val="007700DC"/>
    <w:rsid w:val="00772A54"/>
    <w:rsid w:val="00772FF8"/>
    <w:rsid w:val="007733BA"/>
    <w:rsid w:val="00773D93"/>
    <w:rsid w:val="00773F3A"/>
    <w:rsid w:val="00775C82"/>
    <w:rsid w:val="00776400"/>
    <w:rsid w:val="00776AF2"/>
    <w:rsid w:val="00776E9B"/>
    <w:rsid w:val="00777231"/>
    <w:rsid w:val="0077794F"/>
    <w:rsid w:val="00780B6A"/>
    <w:rsid w:val="00780D87"/>
    <w:rsid w:val="00780F51"/>
    <w:rsid w:val="00781C7D"/>
    <w:rsid w:val="00781CF2"/>
    <w:rsid w:val="0078231D"/>
    <w:rsid w:val="0078235B"/>
    <w:rsid w:val="00783019"/>
    <w:rsid w:val="00783143"/>
    <w:rsid w:val="0078356F"/>
    <w:rsid w:val="007838FB"/>
    <w:rsid w:val="00783CF7"/>
    <w:rsid w:val="00783FC1"/>
    <w:rsid w:val="00784152"/>
    <w:rsid w:val="007855F8"/>
    <w:rsid w:val="00785895"/>
    <w:rsid w:val="00785A77"/>
    <w:rsid w:val="007864D4"/>
    <w:rsid w:val="00786A9D"/>
    <w:rsid w:val="007873A1"/>
    <w:rsid w:val="007873CA"/>
    <w:rsid w:val="007901ED"/>
    <w:rsid w:val="00790903"/>
    <w:rsid w:val="00790937"/>
    <w:rsid w:val="00791B43"/>
    <w:rsid w:val="00792292"/>
    <w:rsid w:val="0079262E"/>
    <w:rsid w:val="00793FF8"/>
    <w:rsid w:val="00794C02"/>
    <w:rsid w:val="00794D69"/>
    <w:rsid w:val="00795368"/>
    <w:rsid w:val="00796C9F"/>
    <w:rsid w:val="00797347"/>
    <w:rsid w:val="007A0106"/>
    <w:rsid w:val="007A06F5"/>
    <w:rsid w:val="007A19E3"/>
    <w:rsid w:val="007A2157"/>
    <w:rsid w:val="007A25AA"/>
    <w:rsid w:val="007A2B31"/>
    <w:rsid w:val="007A2D70"/>
    <w:rsid w:val="007A3441"/>
    <w:rsid w:val="007A34CA"/>
    <w:rsid w:val="007A3C2B"/>
    <w:rsid w:val="007A4F0B"/>
    <w:rsid w:val="007A560B"/>
    <w:rsid w:val="007A580A"/>
    <w:rsid w:val="007A5E51"/>
    <w:rsid w:val="007A61EE"/>
    <w:rsid w:val="007A65D4"/>
    <w:rsid w:val="007A7AF1"/>
    <w:rsid w:val="007B0379"/>
    <w:rsid w:val="007B06BD"/>
    <w:rsid w:val="007B0D68"/>
    <w:rsid w:val="007B0EC9"/>
    <w:rsid w:val="007B121F"/>
    <w:rsid w:val="007B155D"/>
    <w:rsid w:val="007B1583"/>
    <w:rsid w:val="007B1B71"/>
    <w:rsid w:val="007B1C98"/>
    <w:rsid w:val="007B24DD"/>
    <w:rsid w:val="007B250B"/>
    <w:rsid w:val="007B2815"/>
    <w:rsid w:val="007B2AD4"/>
    <w:rsid w:val="007B37F8"/>
    <w:rsid w:val="007B3B7B"/>
    <w:rsid w:val="007B43AA"/>
    <w:rsid w:val="007B44DC"/>
    <w:rsid w:val="007B460F"/>
    <w:rsid w:val="007B4BAC"/>
    <w:rsid w:val="007B51D2"/>
    <w:rsid w:val="007B56BF"/>
    <w:rsid w:val="007B5E8C"/>
    <w:rsid w:val="007B74EC"/>
    <w:rsid w:val="007B7A6D"/>
    <w:rsid w:val="007B7F7E"/>
    <w:rsid w:val="007B7F83"/>
    <w:rsid w:val="007B7FEB"/>
    <w:rsid w:val="007C0207"/>
    <w:rsid w:val="007C04A8"/>
    <w:rsid w:val="007C1610"/>
    <w:rsid w:val="007C1C3C"/>
    <w:rsid w:val="007C1F12"/>
    <w:rsid w:val="007C482C"/>
    <w:rsid w:val="007C5224"/>
    <w:rsid w:val="007C54F7"/>
    <w:rsid w:val="007C6282"/>
    <w:rsid w:val="007C640B"/>
    <w:rsid w:val="007C64ED"/>
    <w:rsid w:val="007C6F0F"/>
    <w:rsid w:val="007C72EC"/>
    <w:rsid w:val="007D0152"/>
    <w:rsid w:val="007D08C5"/>
    <w:rsid w:val="007D09B4"/>
    <w:rsid w:val="007D170C"/>
    <w:rsid w:val="007D1B10"/>
    <w:rsid w:val="007D2B5C"/>
    <w:rsid w:val="007D2D39"/>
    <w:rsid w:val="007D328A"/>
    <w:rsid w:val="007D3401"/>
    <w:rsid w:val="007D3B2D"/>
    <w:rsid w:val="007D3FB2"/>
    <w:rsid w:val="007D3FD1"/>
    <w:rsid w:val="007D42BD"/>
    <w:rsid w:val="007D4354"/>
    <w:rsid w:val="007D45CE"/>
    <w:rsid w:val="007D5A6B"/>
    <w:rsid w:val="007D5ADD"/>
    <w:rsid w:val="007D5EBD"/>
    <w:rsid w:val="007D60F1"/>
    <w:rsid w:val="007D682A"/>
    <w:rsid w:val="007D6B8E"/>
    <w:rsid w:val="007D6FB2"/>
    <w:rsid w:val="007D7029"/>
    <w:rsid w:val="007D7BF6"/>
    <w:rsid w:val="007E06F0"/>
    <w:rsid w:val="007E0B52"/>
    <w:rsid w:val="007E0DB6"/>
    <w:rsid w:val="007E1596"/>
    <w:rsid w:val="007E1B30"/>
    <w:rsid w:val="007E470F"/>
    <w:rsid w:val="007E4E5C"/>
    <w:rsid w:val="007E517C"/>
    <w:rsid w:val="007E5E08"/>
    <w:rsid w:val="007E6E4F"/>
    <w:rsid w:val="007E728E"/>
    <w:rsid w:val="007E76CB"/>
    <w:rsid w:val="007E7759"/>
    <w:rsid w:val="007E7D7C"/>
    <w:rsid w:val="007F0152"/>
    <w:rsid w:val="007F0279"/>
    <w:rsid w:val="007F0BF2"/>
    <w:rsid w:val="007F0D4E"/>
    <w:rsid w:val="007F1AD0"/>
    <w:rsid w:val="007F1AF8"/>
    <w:rsid w:val="007F279F"/>
    <w:rsid w:val="007F296D"/>
    <w:rsid w:val="007F29B2"/>
    <w:rsid w:val="007F2AE5"/>
    <w:rsid w:val="007F3225"/>
    <w:rsid w:val="007F33CB"/>
    <w:rsid w:val="007F36B2"/>
    <w:rsid w:val="007F3773"/>
    <w:rsid w:val="007F3919"/>
    <w:rsid w:val="007F3B39"/>
    <w:rsid w:val="007F5A9B"/>
    <w:rsid w:val="007F5DB5"/>
    <w:rsid w:val="007F5DE6"/>
    <w:rsid w:val="007F618A"/>
    <w:rsid w:val="007F68A4"/>
    <w:rsid w:val="007F6B14"/>
    <w:rsid w:val="007F71C1"/>
    <w:rsid w:val="007F7706"/>
    <w:rsid w:val="007F7B3A"/>
    <w:rsid w:val="007F7CA8"/>
    <w:rsid w:val="008007AB"/>
    <w:rsid w:val="0080097B"/>
    <w:rsid w:val="0080106C"/>
    <w:rsid w:val="008011DA"/>
    <w:rsid w:val="008031CE"/>
    <w:rsid w:val="008034F6"/>
    <w:rsid w:val="00803AB7"/>
    <w:rsid w:val="00804802"/>
    <w:rsid w:val="00804CA3"/>
    <w:rsid w:val="00805707"/>
    <w:rsid w:val="00805A62"/>
    <w:rsid w:val="00805CA1"/>
    <w:rsid w:val="00806080"/>
    <w:rsid w:val="00806408"/>
    <w:rsid w:val="00806934"/>
    <w:rsid w:val="00806BEC"/>
    <w:rsid w:val="00807D4A"/>
    <w:rsid w:val="00807EC9"/>
    <w:rsid w:val="00810D39"/>
    <w:rsid w:val="0081130A"/>
    <w:rsid w:val="008121B6"/>
    <w:rsid w:val="0081226A"/>
    <w:rsid w:val="008122F7"/>
    <w:rsid w:val="00812657"/>
    <w:rsid w:val="00812B09"/>
    <w:rsid w:val="00813749"/>
    <w:rsid w:val="0081416D"/>
    <w:rsid w:val="0081432D"/>
    <w:rsid w:val="00814A1B"/>
    <w:rsid w:val="00814EBA"/>
    <w:rsid w:val="0081552E"/>
    <w:rsid w:val="0081643A"/>
    <w:rsid w:val="0081662B"/>
    <w:rsid w:val="008166E9"/>
    <w:rsid w:val="00816ECB"/>
    <w:rsid w:val="00817989"/>
    <w:rsid w:val="00820496"/>
    <w:rsid w:val="00820E55"/>
    <w:rsid w:val="00821171"/>
    <w:rsid w:val="00821216"/>
    <w:rsid w:val="0082168C"/>
    <w:rsid w:val="00821846"/>
    <w:rsid w:val="00822054"/>
    <w:rsid w:val="00822345"/>
    <w:rsid w:val="00822F20"/>
    <w:rsid w:val="008230F3"/>
    <w:rsid w:val="00824312"/>
    <w:rsid w:val="0082454B"/>
    <w:rsid w:val="008258DB"/>
    <w:rsid w:val="00830AF4"/>
    <w:rsid w:val="0083113B"/>
    <w:rsid w:val="008326CB"/>
    <w:rsid w:val="008327AF"/>
    <w:rsid w:val="0083306C"/>
    <w:rsid w:val="008331A7"/>
    <w:rsid w:val="00833594"/>
    <w:rsid w:val="00834BDF"/>
    <w:rsid w:val="00834F3C"/>
    <w:rsid w:val="00835643"/>
    <w:rsid w:val="00835C03"/>
    <w:rsid w:val="00836321"/>
    <w:rsid w:val="00836B61"/>
    <w:rsid w:val="00837275"/>
    <w:rsid w:val="00837794"/>
    <w:rsid w:val="00840EE5"/>
    <w:rsid w:val="00840FAA"/>
    <w:rsid w:val="00841498"/>
    <w:rsid w:val="00842E34"/>
    <w:rsid w:val="00843358"/>
    <w:rsid w:val="00843400"/>
    <w:rsid w:val="00843824"/>
    <w:rsid w:val="00843E07"/>
    <w:rsid w:val="00844633"/>
    <w:rsid w:val="00844C54"/>
    <w:rsid w:val="008453D8"/>
    <w:rsid w:val="0084595E"/>
    <w:rsid w:val="008459C4"/>
    <w:rsid w:val="00845B11"/>
    <w:rsid w:val="00845E13"/>
    <w:rsid w:val="00845F16"/>
    <w:rsid w:val="00845F70"/>
    <w:rsid w:val="00846396"/>
    <w:rsid w:val="0084647B"/>
    <w:rsid w:val="00846638"/>
    <w:rsid w:val="00846892"/>
    <w:rsid w:val="008474E3"/>
    <w:rsid w:val="0084756E"/>
    <w:rsid w:val="00847DC6"/>
    <w:rsid w:val="00850328"/>
    <w:rsid w:val="00850AA2"/>
    <w:rsid w:val="00851193"/>
    <w:rsid w:val="008515BE"/>
    <w:rsid w:val="008517AE"/>
    <w:rsid w:val="00851C56"/>
    <w:rsid w:val="00851F87"/>
    <w:rsid w:val="008521E6"/>
    <w:rsid w:val="008527A4"/>
    <w:rsid w:val="00853088"/>
    <w:rsid w:val="0085382A"/>
    <w:rsid w:val="00853909"/>
    <w:rsid w:val="00853E56"/>
    <w:rsid w:val="008548D0"/>
    <w:rsid w:val="00854932"/>
    <w:rsid w:val="008557A8"/>
    <w:rsid w:val="00855EF8"/>
    <w:rsid w:val="008561A2"/>
    <w:rsid w:val="00857571"/>
    <w:rsid w:val="0085776C"/>
    <w:rsid w:val="008605F8"/>
    <w:rsid w:val="00860A34"/>
    <w:rsid w:val="008611E4"/>
    <w:rsid w:val="008611FF"/>
    <w:rsid w:val="008625D5"/>
    <w:rsid w:val="008629CA"/>
    <w:rsid w:val="008642AB"/>
    <w:rsid w:val="00864507"/>
    <w:rsid w:val="008645F3"/>
    <w:rsid w:val="008647B4"/>
    <w:rsid w:val="008648F3"/>
    <w:rsid w:val="008649AB"/>
    <w:rsid w:val="0086535F"/>
    <w:rsid w:val="00865620"/>
    <w:rsid w:val="00865A2B"/>
    <w:rsid w:val="00865F3F"/>
    <w:rsid w:val="008661E5"/>
    <w:rsid w:val="00866BF0"/>
    <w:rsid w:val="00871302"/>
    <w:rsid w:val="008721C1"/>
    <w:rsid w:val="00872359"/>
    <w:rsid w:val="00873A2F"/>
    <w:rsid w:val="008740C3"/>
    <w:rsid w:val="00874251"/>
    <w:rsid w:val="00874B55"/>
    <w:rsid w:val="008752B7"/>
    <w:rsid w:val="0087692B"/>
    <w:rsid w:val="008769C3"/>
    <w:rsid w:val="00876E27"/>
    <w:rsid w:val="00877158"/>
    <w:rsid w:val="00880077"/>
    <w:rsid w:val="00880578"/>
    <w:rsid w:val="00880E27"/>
    <w:rsid w:val="00881355"/>
    <w:rsid w:val="008818A9"/>
    <w:rsid w:val="0088216E"/>
    <w:rsid w:val="00882375"/>
    <w:rsid w:val="00882593"/>
    <w:rsid w:val="0088283E"/>
    <w:rsid w:val="00882CAD"/>
    <w:rsid w:val="00883CCE"/>
    <w:rsid w:val="00883F5E"/>
    <w:rsid w:val="00884235"/>
    <w:rsid w:val="00884DE3"/>
    <w:rsid w:val="008857F7"/>
    <w:rsid w:val="00885E76"/>
    <w:rsid w:val="008860AF"/>
    <w:rsid w:val="00886860"/>
    <w:rsid w:val="008869C5"/>
    <w:rsid w:val="00886A07"/>
    <w:rsid w:val="0088789B"/>
    <w:rsid w:val="00890AE2"/>
    <w:rsid w:val="00890BAB"/>
    <w:rsid w:val="00891146"/>
    <w:rsid w:val="00891567"/>
    <w:rsid w:val="008927B6"/>
    <w:rsid w:val="008931CA"/>
    <w:rsid w:val="00893C45"/>
    <w:rsid w:val="0089435A"/>
    <w:rsid w:val="0089497A"/>
    <w:rsid w:val="008949A3"/>
    <w:rsid w:val="008950CE"/>
    <w:rsid w:val="008957E8"/>
    <w:rsid w:val="008972D5"/>
    <w:rsid w:val="008A00A9"/>
    <w:rsid w:val="008A014E"/>
    <w:rsid w:val="008A142B"/>
    <w:rsid w:val="008A160A"/>
    <w:rsid w:val="008A20CB"/>
    <w:rsid w:val="008A219B"/>
    <w:rsid w:val="008A236D"/>
    <w:rsid w:val="008A274A"/>
    <w:rsid w:val="008A275F"/>
    <w:rsid w:val="008A2AE5"/>
    <w:rsid w:val="008A2E88"/>
    <w:rsid w:val="008A325D"/>
    <w:rsid w:val="008A4CF6"/>
    <w:rsid w:val="008A4FB7"/>
    <w:rsid w:val="008A53DE"/>
    <w:rsid w:val="008A5E84"/>
    <w:rsid w:val="008A5F15"/>
    <w:rsid w:val="008A6107"/>
    <w:rsid w:val="008A6A52"/>
    <w:rsid w:val="008A7F7C"/>
    <w:rsid w:val="008B06A4"/>
    <w:rsid w:val="008B0CA8"/>
    <w:rsid w:val="008B0CB4"/>
    <w:rsid w:val="008B109E"/>
    <w:rsid w:val="008B1133"/>
    <w:rsid w:val="008B166A"/>
    <w:rsid w:val="008B17BF"/>
    <w:rsid w:val="008B1E25"/>
    <w:rsid w:val="008B2877"/>
    <w:rsid w:val="008B2EB1"/>
    <w:rsid w:val="008B3813"/>
    <w:rsid w:val="008B3C6B"/>
    <w:rsid w:val="008B43EA"/>
    <w:rsid w:val="008B45FE"/>
    <w:rsid w:val="008B4989"/>
    <w:rsid w:val="008B53A7"/>
    <w:rsid w:val="008B5743"/>
    <w:rsid w:val="008B5860"/>
    <w:rsid w:val="008B5DA2"/>
    <w:rsid w:val="008B5F6D"/>
    <w:rsid w:val="008B65C3"/>
    <w:rsid w:val="008B668C"/>
    <w:rsid w:val="008B68E0"/>
    <w:rsid w:val="008B6A0E"/>
    <w:rsid w:val="008B6D32"/>
    <w:rsid w:val="008B702E"/>
    <w:rsid w:val="008C00C3"/>
    <w:rsid w:val="008C0435"/>
    <w:rsid w:val="008C0458"/>
    <w:rsid w:val="008C094D"/>
    <w:rsid w:val="008C09C9"/>
    <w:rsid w:val="008C0A49"/>
    <w:rsid w:val="008C0D7D"/>
    <w:rsid w:val="008C26EC"/>
    <w:rsid w:val="008C2C92"/>
    <w:rsid w:val="008C2D8C"/>
    <w:rsid w:val="008C2FEF"/>
    <w:rsid w:val="008C34AF"/>
    <w:rsid w:val="008C3CB3"/>
    <w:rsid w:val="008C54CD"/>
    <w:rsid w:val="008C5507"/>
    <w:rsid w:val="008C5FDF"/>
    <w:rsid w:val="008C662A"/>
    <w:rsid w:val="008C6A12"/>
    <w:rsid w:val="008C6EFD"/>
    <w:rsid w:val="008C6F96"/>
    <w:rsid w:val="008C746D"/>
    <w:rsid w:val="008C7CBE"/>
    <w:rsid w:val="008C7FA0"/>
    <w:rsid w:val="008D00C1"/>
    <w:rsid w:val="008D0497"/>
    <w:rsid w:val="008D054C"/>
    <w:rsid w:val="008D12DF"/>
    <w:rsid w:val="008D1EB2"/>
    <w:rsid w:val="008D2E5C"/>
    <w:rsid w:val="008D2FB5"/>
    <w:rsid w:val="008D3140"/>
    <w:rsid w:val="008D4897"/>
    <w:rsid w:val="008D48BF"/>
    <w:rsid w:val="008D49FC"/>
    <w:rsid w:val="008D5B23"/>
    <w:rsid w:val="008D650A"/>
    <w:rsid w:val="008D65F0"/>
    <w:rsid w:val="008D6CC2"/>
    <w:rsid w:val="008D6F66"/>
    <w:rsid w:val="008D704B"/>
    <w:rsid w:val="008D74F3"/>
    <w:rsid w:val="008E0E14"/>
    <w:rsid w:val="008E0FF1"/>
    <w:rsid w:val="008E1008"/>
    <w:rsid w:val="008E1078"/>
    <w:rsid w:val="008E1537"/>
    <w:rsid w:val="008E18A1"/>
    <w:rsid w:val="008E1E86"/>
    <w:rsid w:val="008E24ED"/>
    <w:rsid w:val="008E2BE9"/>
    <w:rsid w:val="008E3429"/>
    <w:rsid w:val="008E38A0"/>
    <w:rsid w:val="008E4046"/>
    <w:rsid w:val="008E4238"/>
    <w:rsid w:val="008E4502"/>
    <w:rsid w:val="008E4A58"/>
    <w:rsid w:val="008E53D6"/>
    <w:rsid w:val="008E5FE9"/>
    <w:rsid w:val="008E6F73"/>
    <w:rsid w:val="008E7894"/>
    <w:rsid w:val="008E79E2"/>
    <w:rsid w:val="008E7AE3"/>
    <w:rsid w:val="008E7DCD"/>
    <w:rsid w:val="008F0383"/>
    <w:rsid w:val="008F0E12"/>
    <w:rsid w:val="008F1290"/>
    <w:rsid w:val="008F28E8"/>
    <w:rsid w:val="008F2E44"/>
    <w:rsid w:val="008F3AD8"/>
    <w:rsid w:val="008F3C3F"/>
    <w:rsid w:val="008F3DEA"/>
    <w:rsid w:val="008F3EC4"/>
    <w:rsid w:val="008F4D21"/>
    <w:rsid w:val="008F5030"/>
    <w:rsid w:val="008F75F6"/>
    <w:rsid w:val="008F7935"/>
    <w:rsid w:val="008F7C47"/>
    <w:rsid w:val="009000BB"/>
    <w:rsid w:val="0090098E"/>
    <w:rsid w:val="009010A1"/>
    <w:rsid w:val="0090149F"/>
    <w:rsid w:val="00901593"/>
    <w:rsid w:val="00902B45"/>
    <w:rsid w:val="00902F0D"/>
    <w:rsid w:val="00903589"/>
    <w:rsid w:val="00903CC4"/>
    <w:rsid w:val="00904927"/>
    <w:rsid w:val="00904C30"/>
    <w:rsid w:val="00905019"/>
    <w:rsid w:val="00905AA2"/>
    <w:rsid w:val="009060A3"/>
    <w:rsid w:val="0090649C"/>
    <w:rsid w:val="00906B72"/>
    <w:rsid w:val="00906CC1"/>
    <w:rsid w:val="00912682"/>
    <w:rsid w:val="00913EBC"/>
    <w:rsid w:val="00914DDF"/>
    <w:rsid w:val="00915087"/>
    <w:rsid w:val="0091513B"/>
    <w:rsid w:val="009164D0"/>
    <w:rsid w:val="00916B5F"/>
    <w:rsid w:val="00916E00"/>
    <w:rsid w:val="009170EE"/>
    <w:rsid w:val="0091727C"/>
    <w:rsid w:val="0091778F"/>
    <w:rsid w:val="00920115"/>
    <w:rsid w:val="00920755"/>
    <w:rsid w:val="00920816"/>
    <w:rsid w:val="00920D68"/>
    <w:rsid w:val="0092198B"/>
    <w:rsid w:val="00922B37"/>
    <w:rsid w:val="00922B48"/>
    <w:rsid w:val="0092353A"/>
    <w:rsid w:val="0092370E"/>
    <w:rsid w:val="00923A95"/>
    <w:rsid w:val="00924432"/>
    <w:rsid w:val="00924434"/>
    <w:rsid w:val="00924973"/>
    <w:rsid w:val="00925440"/>
    <w:rsid w:val="00925782"/>
    <w:rsid w:val="00925B47"/>
    <w:rsid w:val="00925E6C"/>
    <w:rsid w:val="009268A7"/>
    <w:rsid w:val="00927762"/>
    <w:rsid w:val="0092796E"/>
    <w:rsid w:val="00927AC8"/>
    <w:rsid w:val="009303FC"/>
    <w:rsid w:val="0093049E"/>
    <w:rsid w:val="009308BC"/>
    <w:rsid w:val="009310F3"/>
    <w:rsid w:val="00931626"/>
    <w:rsid w:val="009318B3"/>
    <w:rsid w:val="009319F1"/>
    <w:rsid w:val="00932678"/>
    <w:rsid w:val="00932EC0"/>
    <w:rsid w:val="009330BB"/>
    <w:rsid w:val="009333A7"/>
    <w:rsid w:val="00933AC5"/>
    <w:rsid w:val="00933B8D"/>
    <w:rsid w:val="00933BC7"/>
    <w:rsid w:val="00934508"/>
    <w:rsid w:val="009347B3"/>
    <w:rsid w:val="00934953"/>
    <w:rsid w:val="00934EAD"/>
    <w:rsid w:val="00935BA0"/>
    <w:rsid w:val="00935E17"/>
    <w:rsid w:val="0093684D"/>
    <w:rsid w:val="00936D87"/>
    <w:rsid w:val="00937211"/>
    <w:rsid w:val="00937764"/>
    <w:rsid w:val="00937A44"/>
    <w:rsid w:val="00937FCC"/>
    <w:rsid w:val="00940C94"/>
    <w:rsid w:val="009424E6"/>
    <w:rsid w:val="00942647"/>
    <w:rsid w:val="00943170"/>
    <w:rsid w:val="00943638"/>
    <w:rsid w:val="00943DFF"/>
    <w:rsid w:val="0094448A"/>
    <w:rsid w:val="0094537A"/>
    <w:rsid w:val="009460CB"/>
    <w:rsid w:val="0094682C"/>
    <w:rsid w:val="00946BF4"/>
    <w:rsid w:val="009476EF"/>
    <w:rsid w:val="00947EE7"/>
    <w:rsid w:val="00950674"/>
    <w:rsid w:val="00950A83"/>
    <w:rsid w:val="00950BE8"/>
    <w:rsid w:val="00950E4D"/>
    <w:rsid w:val="00951653"/>
    <w:rsid w:val="00951750"/>
    <w:rsid w:val="00951B6D"/>
    <w:rsid w:val="00951CED"/>
    <w:rsid w:val="00951EA4"/>
    <w:rsid w:val="0095212B"/>
    <w:rsid w:val="009528ED"/>
    <w:rsid w:val="00952E2C"/>
    <w:rsid w:val="00953064"/>
    <w:rsid w:val="0095344C"/>
    <w:rsid w:val="0095412B"/>
    <w:rsid w:val="0095547E"/>
    <w:rsid w:val="00955CEB"/>
    <w:rsid w:val="00955CEC"/>
    <w:rsid w:val="009562D1"/>
    <w:rsid w:val="00956AA3"/>
    <w:rsid w:val="00960072"/>
    <w:rsid w:val="009609BB"/>
    <w:rsid w:val="009611E8"/>
    <w:rsid w:val="009614DF"/>
    <w:rsid w:val="00961555"/>
    <w:rsid w:val="009620FF"/>
    <w:rsid w:val="009634C1"/>
    <w:rsid w:val="00963B0E"/>
    <w:rsid w:val="00964659"/>
    <w:rsid w:val="00964904"/>
    <w:rsid w:val="0096493E"/>
    <w:rsid w:val="009650E6"/>
    <w:rsid w:val="0096536A"/>
    <w:rsid w:val="009655F1"/>
    <w:rsid w:val="0096566E"/>
    <w:rsid w:val="00965842"/>
    <w:rsid w:val="00965BA7"/>
    <w:rsid w:val="00967335"/>
    <w:rsid w:val="00967429"/>
    <w:rsid w:val="00967C00"/>
    <w:rsid w:val="009701B9"/>
    <w:rsid w:val="00971392"/>
    <w:rsid w:val="00971C17"/>
    <w:rsid w:val="00972538"/>
    <w:rsid w:val="009725DA"/>
    <w:rsid w:val="00972DB8"/>
    <w:rsid w:val="00973406"/>
    <w:rsid w:val="00973504"/>
    <w:rsid w:val="009736EA"/>
    <w:rsid w:val="00973A3E"/>
    <w:rsid w:val="00973D92"/>
    <w:rsid w:val="009741C1"/>
    <w:rsid w:val="009747AC"/>
    <w:rsid w:val="00974B8B"/>
    <w:rsid w:val="00974F2C"/>
    <w:rsid w:val="0097568D"/>
    <w:rsid w:val="009759A1"/>
    <w:rsid w:val="00975BAE"/>
    <w:rsid w:val="0097721F"/>
    <w:rsid w:val="00980D98"/>
    <w:rsid w:val="009811F7"/>
    <w:rsid w:val="00982628"/>
    <w:rsid w:val="009827AC"/>
    <w:rsid w:val="00982D56"/>
    <w:rsid w:val="00983477"/>
    <w:rsid w:val="00983654"/>
    <w:rsid w:val="009847F2"/>
    <w:rsid w:val="0098481C"/>
    <w:rsid w:val="00985334"/>
    <w:rsid w:val="00985563"/>
    <w:rsid w:val="009866B6"/>
    <w:rsid w:val="009867A8"/>
    <w:rsid w:val="00991482"/>
    <w:rsid w:val="00991616"/>
    <w:rsid w:val="00991FC2"/>
    <w:rsid w:val="00992455"/>
    <w:rsid w:val="00992607"/>
    <w:rsid w:val="00993216"/>
    <w:rsid w:val="00993FAA"/>
    <w:rsid w:val="00994652"/>
    <w:rsid w:val="009946CD"/>
    <w:rsid w:val="0099542E"/>
    <w:rsid w:val="00995816"/>
    <w:rsid w:val="00996001"/>
    <w:rsid w:val="009966C5"/>
    <w:rsid w:val="00996BCB"/>
    <w:rsid w:val="0099720A"/>
    <w:rsid w:val="0099754E"/>
    <w:rsid w:val="009A00A0"/>
    <w:rsid w:val="009A0511"/>
    <w:rsid w:val="009A0A20"/>
    <w:rsid w:val="009A0C98"/>
    <w:rsid w:val="009A16A3"/>
    <w:rsid w:val="009A17B7"/>
    <w:rsid w:val="009A1C2C"/>
    <w:rsid w:val="009A2680"/>
    <w:rsid w:val="009A31D8"/>
    <w:rsid w:val="009A4AA3"/>
    <w:rsid w:val="009A4E98"/>
    <w:rsid w:val="009A501D"/>
    <w:rsid w:val="009A5093"/>
    <w:rsid w:val="009A5520"/>
    <w:rsid w:val="009A5847"/>
    <w:rsid w:val="009A5C4D"/>
    <w:rsid w:val="009A68FC"/>
    <w:rsid w:val="009A7BF3"/>
    <w:rsid w:val="009B0DA3"/>
    <w:rsid w:val="009B0F52"/>
    <w:rsid w:val="009B1039"/>
    <w:rsid w:val="009B1231"/>
    <w:rsid w:val="009B2623"/>
    <w:rsid w:val="009B2DEC"/>
    <w:rsid w:val="009B43E0"/>
    <w:rsid w:val="009B5114"/>
    <w:rsid w:val="009B5F3C"/>
    <w:rsid w:val="009B6181"/>
    <w:rsid w:val="009B644F"/>
    <w:rsid w:val="009B6933"/>
    <w:rsid w:val="009B69E3"/>
    <w:rsid w:val="009B6C9D"/>
    <w:rsid w:val="009B6D9A"/>
    <w:rsid w:val="009B7DB9"/>
    <w:rsid w:val="009C03BC"/>
    <w:rsid w:val="009C0589"/>
    <w:rsid w:val="009C08DB"/>
    <w:rsid w:val="009C1BA3"/>
    <w:rsid w:val="009C2D4D"/>
    <w:rsid w:val="009C3905"/>
    <w:rsid w:val="009C3EC8"/>
    <w:rsid w:val="009C5A8C"/>
    <w:rsid w:val="009C5C7F"/>
    <w:rsid w:val="009C5E1E"/>
    <w:rsid w:val="009C621E"/>
    <w:rsid w:val="009C6341"/>
    <w:rsid w:val="009C6AEE"/>
    <w:rsid w:val="009C6B32"/>
    <w:rsid w:val="009D2642"/>
    <w:rsid w:val="009D2DE2"/>
    <w:rsid w:val="009D4038"/>
    <w:rsid w:val="009D4136"/>
    <w:rsid w:val="009D5C7F"/>
    <w:rsid w:val="009D62FB"/>
    <w:rsid w:val="009D6C6C"/>
    <w:rsid w:val="009D6CC1"/>
    <w:rsid w:val="009D744A"/>
    <w:rsid w:val="009D7F4F"/>
    <w:rsid w:val="009D7FAB"/>
    <w:rsid w:val="009E0143"/>
    <w:rsid w:val="009E0180"/>
    <w:rsid w:val="009E02B8"/>
    <w:rsid w:val="009E0DA3"/>
    <w:rsid w:val="009E1342"/>
    <w:rsid w:val="009E3F73"/>
    <w:rsid w:val="009E4A78"/>
    <w:rsid w:val="009E4D44"/>
    <w:rsid w:val="009E4FFE"/>
    <w:rsid w:val="009E5067"/>
    <w:rsid w:val="009E54B4"/>
    <w:rsid w:val="009E5B8A"/>
    <w:rsid w:val="009E5E59"/>
    <w:rsid w:val="009E64B4"/>
    <w:rsid w:val="009E65C3"/>
    <w:rsid w:val="009E6740"/>
    <w:rsid w:val="009E6CAA"/>
    <w:rsid w:val="009E6E95"/>
    <w:rsid w:val="009E70AD"/>
    <w:rsid w:val="009E786E"/>
    <w:rsid w:val="009E79C3"/>
    <w:rsid w:val="009F1B6F"/>
    <w:rsid w:val="009F1EC6"/>
    <w:rsid w:val="009F2806"/>
    <w:rsid w:val="009F2CA8"/>
    <w:rsid w:val="009F35B0"/>
    <w:rsid w:val="009F3824"/>
    <w:rsid w:val="009F3B43"/>
    <w:rsid w:val="009F4335"/>
    <w:rsid w:val="009F48B8"/>
    <w:rsid w:val="009F54C2"/>
    <w:rsid w:val="009F5505"/>
    <w:rsid w:val="009F5C81"/>
    <w:rsid w:val="009F6B79"/>
    <w:rsid w:val="00A009A5"/>
    <w:rsid w:val="00A00C1E"/>
    <w:rsid w:val="00A00F91"/>
    <w:rsid w:val="00A01122"/>
    <w:rsid w:val="00A0187B"/>
    <w:rsid w:val="00A02979"/>
    <w:rsid w:val="00A030B3"/>
    <w:rsid w:val="00A03173"/>
    <w:rsid w:val="00A0325D"/>
    <w:rsid w:val="00A03D95"/>
    <w:rsid w:val="00A075F0"/>
    <w:rsid w:val="00A106D8"/>
    <w:rsid w:val="00A10D55"/>
    <w:rsid w:val="00A10F81"/>
    <w:rsid w:val="00A11B9D"/>
    <w:rsid w:val="00A12E25"/>
    <w:rsid w:val="00A137C9"/>
    <w:rsid w:val="00A13F70"/>
    <w:rsid w:val="00A145FB"/>
    <w:rsid w:val="00A14BCB"/>
    <w:rsid w:val="00A14C2A"/>
    <w:rsid w:val="00A15040"/>
    <w:rsid w:val="00A15AC1"/>
    <w:rsid w:val="00A15C3B"/>
    <w:rsid w:val="00A172EA"/>
    <w:rsid w:val="00A173C2"/>
    <w:rsid w:val="00A176D3"/>
    <w:rsid w:val="00A178D8"/>
    <w:rsid w:val="00A17D92"/>
    <w:rsid w:val="00A201FE"/>
    <w:rsid w:val="00A20245"/>
    <w:rsid w:val="00A20272"/>
    <w:rsid w:val="00A20846"/>
    <w:rsid w:val="00A222E2"/>
    <w:rsid w:val="00A22400"/>
    <w:rsid w:val="00A23325"/>
    <w:rsid w:val="00A237CC"/>
    <w:rsid w:val="00A23ADB"/>
    <w:rsid w:val="00A23D84"/>
    <w:rsid w:val="00A241C9"/>
    <w:rsid w:val="00A2444C"/>
    <w:rsid w:val="00A24772"/>
    <w:rsid w:val="00A24AA9"/>
    <w:rsid w:val="00A24CC7"/>
    <w:rsid w:val="00A24E23"/>
    <w:rsid w:val="00A254F6"/>
    <w:rsid w:val="00A2622A"/>
    <w:rsid w:val="00A2634F"/>
    <w:rsid w:val="00A26EF0"/>
    <w:rsid w:val="00A26FDF"/>
    <w:rsid w:val="00A304BE"/>
    <w:rsid w:val="00A31374"/>
    <w:rsid w:val="00A31646"/>
    <w:rsid w:val="00A316EF"/>
    <w:rsid w:val="00A31FB3"/>
    <w:rsid w:val="00A327C6"/>
    <w:rsid w:val="00A32811"/>
    <w:rsid w:val="00A32A8C"/>
    <w:rsid w:val="00A32BF7"/>
    <w:rsid w:val="00A3395C"/>
    <w:rsid w:val="00A33E25"/>
    <w:rsid w:val="00A33F99"/>
    <w:rsid w:val="00A34744"/>
    <w:rsid w:val="00A35E88"/>
    <w:rsid w:val="00A360A0"/>
    <w:rsid w:val="00A36940"/>
    <w:rsid w:val="00A40169"/>
    <w:rsid w:val="00A40314"/>
    <w:rsid w:val="00A40E22"/>
    <w:rsid w:val="00A4105D"/>
    <w:rsid w:val="00A41D96"/>
    <w:rsid w:val="00A420CB"/>
    <w:rsid w:val="00A427DF"/>
    <w:rsid w:val="00A42A40"/>
    <w:rsid w:val="00A435C8"/>
    <w:rsid w:val="00A43AF0"/>
    <w:rsid w:val="00A4435A"/>
    <w:rsid w:val="00A44EE9"/>
    <w:rsid w:val="00A45127"/>
    <w:rsid w:val="00A451F7"/>
    <w:rsid w:val="00A4569E"/>
    <w:rsid w:val="00A45D41"/>
    <w:rsid w:val="00A467EC"/>
    <w:rsid w:val="00A47497"/>
    <w:rsid w:val="00A501AE"/>
    <w:rsid w:val="00A5068A"/>
    <w:rsid w:val="00A5161C"/>
    <w:rsid w:val="00A51923"/>
    <w:rsid w:val="00A52483"/>
    <w:rsid w:val="00A524AA"/>
    <w:rsid w:val="00A52623"/>
    <w:rsid w:val="00A52678"/>
    <w:rsid w:val="00A530DF"/>
    <w:rsid w:val="00A541A0"/>
    <w:rsid w:val="00A542AF"/>
    <w:rsid w:val="00A54BF8"/>
    <w:rsid w:val="00A54E6D"/>
    <w:rsid w:val="00A55189"/>
    <w:rsid w:val="00A5542B"/>
    <w:rsid w:val="00A563BA"/>
    <w:rsid w:val="00A56434"/>
    <w:rsid w:val="00A56D6E"/>
    <w:rsid w:val="00A56F61"/>
    <w:rsid w:val="00A57223"/>
    <w:rsid w:val="00A5774D"/>
    <w:rsid w:val="00A57A75"/>
    <w:rsid w:val="00A57CC1"/>
    <w:rsid w:val="00A6031C"/>
    <w:rsid w:val="00A60536"/>
    <w:rsid w:val="00A60C84"/>
    <w:rsid w:val="00A60D4B"/>
    <w:rsid w:val="00A61AB3"/>
    <w:rsid w:val="00A61BA1"/>
    <w:rsid w:val="00A6211E"/>
    <w:rsid w:val="00A62245"/>
    <w:rsid w:val="00A625DF"/>
    <w:rsid w:val="00A62684"/>
    <w:rsid w:val="00A64CD1"/>
    <w:rsid w:val="00A64FE4"/>
    <w:rsid w:val="00A655D5"/>
    <w:rsid w:val="00A657BD"/>
    <w:rsid w:val="00A65B50"/>
    <w:rsid w:val="00A6639D"/>
    <w:rsid w:val="00A665F5"/>
    <w:rsid w:val="00A66811"/>
    <w:rsid w:val="00A67285"/>
    <w:rsid w:val="00A6732D"/>
    <w:rsid w:val="00A67551"/>
    <w:rsid w:val="00A71093"/>
    <w:rsid w:val="00A72057"/>
    <w:rsid w:val="00A721A7"/>
    <w:rsid w:val="00A723B0"/>
    <w:rsid w:val="00A73001"/>
    <w:rsid w:val="00A7311D"/>
    <w:rsid w:val="00A736AA"/>
    <w:rsid w:val="00A74360"/>
    <w:rsid w:val="00A74A40"/>
    <w:rsid w:val="00A74B80"/>
    <w:rsid w:val="00A74DCF"/>
    <w:rsid w:val="00A7506C"/>
    <w:rsid w:val="00A75B6D"/>
    <w:rsid w:val="00A760CD"/>
    <w:rsid w:val="00A76509"/>
    <w:rsid w:val="00A76645"/>
    <w:rsid w:val="00A77D56"/>
    <w:rsid w:val="00A80292"/>
    <w:rsid w:val="00A807FA"/>
    <w:rsid w:val="00A80E4E"/>
    <w:rsid w:val="00A80F86"/>
    <w:rsid w:val="00A81637"/>
    <w:rsid w:val="00A81A66"/>
    <w:rsid w:val="00A82D61"/>
    <w:rsid w:val="00A830BF"/>
    <w:rsid w:val="00A83124"/>
    <w:rsid w:val="00A8323D"/>
    <w:rsid w:val="00A839D2"/>
    <w:rsid w:val="00A83A39"/>
    <w:rsid w:val="00A83C0E"/>
    <w:rsid w:val="00A8491A"/>
    <w:rsid w:val="00A84FCD"/>
    <w:rsid w:val="00A85856"/>
    <w:rsid w:val="00A85A4F"/>
    <w:rsid w:val="00A861AE"/>
    <w:rsid w:val="00A868E5"/>
    <w:rsid w:val="00A876C9"/>
    <w:rsid w:val="00A87A98"/>
    <w:rsid w:val="00A87AE2"/>
    <w:rsid w:val="00A901CF"/>
    <w:rsid w:val="00A901F2"/>
    <w:rsid w:val="00A905CF"/>
    <w:rsid w:val="00A90903"/>
    <w:rsid w:val="00A9093C"/>
    <w:rsid w:val="00A91F57"/>
    <w:rsid w:val="00A92F61"/>
    <w:rsid w:val="00A930EF"/>
    <w:rsid w:val="00A94BA9"/>
    <w:rsid w:val="00A94F24"/>
    <w:rsid w:val="00A956D6"/>
    <w:rsid w:val="00A9597C"/>
    <w:rsid w:val="00A95C10"/>
    <w:rsid w:val="00A95F6D"/>
    <w:rsid w:val="00A9714D"/>
    <w:rsid w:val="00AA06F9"/>
    <w:rsid w:val="00AA1EF6"/>
    <w:rsid w:val="00AA2482"/>
    <w:rsid w:val="00AA39DC"/>
    <w:rsid w:val="00AA3FFF"/>
    <w:rsid w:val="00AA439B"/>
    <w:rsid w:val="00AA48A3"/>
    <w:rsid w:val="00AA4F2C"/>
    <w:rsid w:val="00AA6792"/>
    <w:rsid w:val="00AA715E"/>
    <w:rsid w:val="00AA793C"/>
    <w:rsid w:val="00AB191D"/>
    <w:rsid w:val="00AB1A35"/>
    <w:rsid w:val="00AB1DA4"/>
    <w:rsid w:val="00AB1F6E"/>
    <w:rsid w:val="00AB37FC"/>
    <w:rsid w:val="00AB3D4D"/>
    <w:rsid w:val="00AB3DAF"/>
    <w:rsid w:val="00AB3DD7"/>
    <w:rsid w:val="00AB4010"/>
    <w:rsid w:val="00AB5022"/>
    <w:rsid w:val="00AB5133"/>
    <w:rsid w:val="00AB556B"/>
    <w:rsid w:val="00AB5A4E"/>
    <w:rsid w:val="00AB6AAC"/>
    <w:rsid w:val="00AB7634"/>
    <w:rsid w:val="00AC0210"/>
    <w:rsid w:val="00AC13BE"/>
    <w:rsid w:val="00AC2118"/>
    <w:rsid w:val="00AC2991"/>
    <w:rsid w:val="00AC2C10"/>
    <w:rsid w:val="00AC31D3"/>
    <w:rsid w:val="00AC3B52"/>
    <w:rsid w:val="00AC3FA3"/>
    <w:rsid w:val="00AC4FE2"/>
    <w:rsid w:val="00AC57C7"/>
    <w:rsid w:val="00AC58CA"/>
    <w:rsid w:val="00AC655F"/>
    <w:rsid w:val="00AC70B4"/>
    <w:rsid w:val="00AD0312"/>
    <w:rsid w:val="00AD0868"/>
    <w:rsid w:val="00AD0C8A"/>
    <w:rsid w:val="00AD0D42"/>
    <w:rsid w:val="00AD1BB6"/>
    <w:rsid w:val="00AD1C5F"/>
    <w:rsid w:val="00AD2B7E"/>
    <w:rsid w:val="00AD2FD1"/>
    <w:rsid w:val="00AD366B"/>
    <w:rsid w:val="00AD38A1"/>
    <w:rsid w:val="00AD46C4"/>
    <w:rsid w:val="00AD589E"/>
    <w:rsid w:val="00AD6370"/>
    <w:rsid w:val="00AD6519"/>
    <w:rsid w:val="00AD67A9"/>
    <w:rsid w:val="00AD67F7"/>
    <w:rsid w:val="00AD712B"/>
    <w:rsid w:val="00AD7BC3"/>
    <w:rsid w:val="00AE0052"/>
    <w:rsid w:val="00AE02C3"/>
    <w:rsid w:val="00AE121D"/>
    <w:rsid w:val="00AE1801"/>
    <w:rsid w:val="00AE18EE"/>
    <w:rsid w:val="00AE1DB9"/>
    <w:rsid w:val="00AE209C"/>
    <w:rsid w:val="00AE4584"/>
    <w:rsid w:val="00AE4656"/>
    <w:rsid w:val="00AE53F6"/>
    <w:rsid w:val="00AE577D"/>
    <w:rsid w:val="00AE5C35"/>
    <w:rsid w:val="00AE5DA8"/>
    <w:rsid w:val="00AE5FA8"/>
    <w:rsid w:val="00AE607C"/>
    <w:rsid w:val="00AE65A6"/>
    <w:rsid w:val="00AE73C2"/>
    <w:rsid w:val="00AE76E6"/>
    <w:rsid w:val="00AE7A4A"/>
    <w:rsid w:val="00AE7DF1"/>
    <w:rsid w:val="00AE7F56"/>
    <w:rsid w:val="00AF006E"/>
    <w:rsid w:val="00AF0653"/>
    <w:rsid w:val="00AF09F7"/>
    <w:rsid w:val="00AF10B2"/>
    <w:rsid w:val="00AF1AD2"/>
    <w:rsid w:val="00AF2C37"/>
    <w:rsid w:val="00AF3EFB"/>
    <w:rsid w:val="00AF45A1"/>
    <w:rsid w:val="00AF4781"/>
    <w:rsid w:val="00AF4AE4"/>
    <w:rsid w:val="00AF537D"/>
    <w:rsid w:val="00AF5642"/>
    <w:rsid w:val="00AF5914"/>
    <w:rsid w:val="00AF61CD"/>
    <w:rsid w:val="00AF703E"/>
    <w:rsid w:val="00AF7B05"/>
    <w:rsid w:val="00B008BD"/>
    <w:rsid w:val="00B00FF0"/>
    <w:rsid w:val="00B012D1"/>
    <w:rsid w:val="00B012F9"/>
    <w:rsid w:val="00B019A7"/>
    <w:rsid w:val="00B02102"/>
    <w:rsid w:val="00B02899"/>
    <w:rsid w:val="00B02D24"/>
    <w:rsid w:val="00B02FA6"/>
    <w:rsid w:val="00B03218"/>
    <w:rsid w:val="00B03227"/>
    <w:rsid w:val="00B0386C"/>
    <w:rsid w:val="00B040FE"/>
    <w:rsid w:val="00B043A6"/>
    <w:rsid w:val="00B0454B"/>
    <w:rsid w:val="00B04B3B"/>
    <w:rsid w:val="00B0514F"/>
    <w:rsid w:val="00B05594"/>
    <w:rsid w:val="00B057CB"/>
    <w:rsid w:val="00B05F5D"/>
    <w:rsid w:val="00B05F95"/>
    <w:rsid w:val="00B06CDD"/>
    <w:rsid w:val="00B06D1C"/>
    <w:rsid w:val="00B07536"/>
    <w:rsid w:val="00B105A0"/>
    <w:rsid w:val="00B10613"/>
    <w:rsid w:val="00B10747"/>
    <w:rsid w:val="00B10821"/>
    <w:rsid w:val="00B11257"/>
    <w:rsid w:val="00B11D70"/>
    <w:rsid w:val="00B12042"/>
    <w:rsid w:val="00B122AF"/>
    <w:rsid w:val="00B12CC2"/>
    <w:rsid w:val="00B12EB7"/>
    <w:rsid w:val="00B13930"/>
    <w:rsid w:val="00B14BA2"/>
    <w:rsid w:val="00B14FAA"/>
    <w:rsid w:val="00B1509E"/>
    <w:rsid w:val="00B15161"/>
    <w:rsid w:val="00B15490"/>
    <w:rsid w:val="00B15672"/>
    <w:rsid w:val="00B159B0"/>
    <w:rsid w:val="00B15AAB"/>
    <w:rsid w:val="00B15EC5"/>
    <w:rsid w:val="00B16F45"/>
    <w:rsid w:val="00B17421"/>
    <w:rsid w:val="00B17E83"/>
    <w:rsid w:val="00B2042A"/>
    <w:rsid w:val="00B209C2"/>
    <w:rsid w:val="00B20B17"/>
    <w:rsid w:val="00B2125E"/>
    <w:rsid w:val="00B218C6"/>
    <w:rsid w:val="00B2220E"/>
    <w:rsid w:val="00B2284F"/>
    <w:rsid w:val="00B240A2"/>
    <w:rsid w:val="00B247CC"/>
    <w:rsid w:val="00B2535D"/>
    <w:rsid w:val="00B25A90"/>
    <w:rsid w:val="00B25DE8"/>
    <w:rsid w:val="00B25FBF"/>
    <w:rsid w:val="00B26CF3"/>
    <w:rsid w:val="00B26DD7"/>
    <w:rsid w:val="00B27913"/>
    <w:rsid w:val="00B27999"/>
    <w:rsid w:val="00B27F66"/>
    <w:rsid w:val="00B30165"/>
    <w:rsid w:val="00B306E4"/>
    <w:rsid w:val="00B30C81"/>
    <w:rsid w:val="00B31331"/>
    <w:rsid w:val="00B31FFC"/>
    <w:rsid w:val="00B33035"/>
    <w:rsid w:val="00B3337E"/>
    <w:rsid w:val="00B33E89"/>
    <w:rsid w:val="00B34A3F"/>
    <w:rsid w:val="00B34D2C"/>
    <w:rsid w:val="00B35753"/>
    <w:rsid w:val="00B35E48"/>
    <w:rsid w:val="00B368DC"/>
    <w:rsid w:val="00B36A2B"/>
    <w:rsid w:val="00B37230"/>
    <w:rsid w:val="00B37663"/>
    <w:rsid w:val="00B37670"/>
    <w:rsid w:val="00B37903"/>
    <w:rsid w:val="00B37B59"/>
    <w:rsid w:val="00B40BD8"/>
    <w:rsid w:val="00B413AD"/>
    <w:rsid w:val="00B4142B"/>
    <w:rsid w:val="00B415C6"/>
    <w:rsid w:val="00B41BC8"/>
    <w:rsid w:val="00B41FE5"/>
    <w:rsid w:val="00B41FED"/>
    <w:rsid w:val="00B42883"/>
    <w:rsid w:val="00B42A4C"/>
    <w:rsid w:val="00B42B6E"/>
    <w:rsid w:val="00B42F04"/>
    <w:rsid w:val="00B44C12"/>
    <w:rsid w:val="00B44E8C"/>
    <w:rsid w:val="00B4507B"/>
    <w:rsid w:val="00B4622B"/>
    <w:rsid w:val="00B46E83"/>
    <w:rsid w:val="00B4700F"/>
    <w:rsid w:val="00B47DE3"/>
    <w:rsid w:val="00B47F66"/>
    <w:rsid w:val="00B520AA"/>
    <w:rsid w:val="00B52860"/>
    <w:rsid w:val="00B53213"/>
    <w:rsid w:val="00B542E4"/>
    <w:rsid w:val="00B5458F"/>
    <w:rsid w:val="00B54B10"/>
    <w:rsid w:val="00B54B9C"/>
    <w:rsid w:val="00B55682"/>
    <w:rsid w:val="00B55706"/>
    <w:rsid w:val="00B56BED"/>
    <w:rsid w:val="00B57339"/>
    <w:rsid w:val="00B577F3"/>
    <w:rsid w:val="00B57ABF"/>
    <w:rsid w:val="00B60B24"/>
    <w:rsid w:val="00B616F7"/>
    <w:rsid w:val="00B62D2D"/>
    <w:rsid w:val="00B62EFA"/>
    <w:rsid w:val="00B632E1"/>
    <w:rsid w:val="00B6344B"/>
    <w:rsid w:val="00B63EDD"/>
    <w:rsid w:val="00B64FFF"/>
    <w:rsid w:val="00B65E17"/>
    <w:rsid w:val="00B660EE"/>
    <w:rsid w:val="00B665D5"/>
    <w:rsid w:val="00B666B0"/>
    <w:rsid w:val="00B66F9F"/>
    <w:rsid w:val="00B707F2"/>
    <w:rsid w:val="00B70AF0"/>
    <w:rsid w:val="00B7142E"/>
    <w:rsid w:val="00B71511"/>
    <w:rsid w:val="00B71626"/>
    <w:rsid w:val="00B7191A"/>
    <w:rsid w:val="00B72448"/>
    <w:rsid w:val="00B72572"/>
    <w:rsid w:val="00B726A9"/>
    <w:rsid w:val="00B726EB"/>
    <w:rsid w:val="00B733F4"/>
    <w:rsid w:val="00B734C7"/>
    <w:rsid w:val="00B738B5"/>
    <w:rsid w:val="00B73BBB"/>
    <w:rsid w:val="00B73C23"/>
    <w:rsid w:val="00B752AB"/>
    <w:rsid w:val="00B767BB"/>
    <w:rsid w:val="00B76E0B"/>
    <w:rsid w:val="00B80409"/>
    <w:rsid w:val="00B80CA8"/>
    <w:rsid w:val="00B818EC"/>
    <w:rsid w:val="00B81FE2"/>
    <w:rsid w:val="00B825B6"/>
    <w:rsid w:val="00B829EE"/>
    <w:rsid w:val="00B82D14"/>
    <w:rsid w:val="00B8336C"/>
    <w:rsid w:val="00B836E7"/>
    <w:rsid w:val="00B83901"/>
    <w:rsid w:val="00B83B89"/>
    <w:rsid w:val="00B83DC4"/>
    <w:rsid w:val="00B83EEC"/>
    <w:rsid w:val="00B8452B"/>
    <w:rsid w:val="00B845E5"/>
    <w:rsid w:val="00B847B8"/>
    <w:rsid w:val="00B848D1"/>
    <w:rsid w:val="00B86F0A"/>
    <w:rsid w:val="00B9007F"/>
    <w:rsid w:val="00B901F4"/>
    <w:rsid w:val="00B90D1E"/>
    <w:rsid w:val="00B90DAC"/>
    <w:rsid w:val="00B91224"/>
    <w:rsid w:val="00B917E1"/>
    <w:rsid w:val="00B91E5E"/>
    <w:rsid w:val="00B92706"/>
    <w:rsid w:val="00B92730"/>
    <w:rsid w:val="00B9448C"/>
    <w:rsid w:val="00B94A2B"/>
    <w:rsid w:val="00B94A4F"/>
    <w:rsid w:val="00B956B8"/>
    <w:rsid w:val="00B9602D"/>
    <w:rsid w:val="00B966CC"/>
    <w:rsid w:val="00B96FA4"/>
    <w:rsid w:val="00B97A88"/>
    <w:rsid w:val="00BA0136"/>
    <w:rsid w:val="00BA05C4"/>
    <w:rsid w:val="00BA0A16"/>
    <w:rsid w:val="00BA1857"/>
    <w:rsid w:val="00BA2B35"/>
    <w:rsid w:val="00BA3113"/>
    <w:rsid w:val="00BA34E7"/>
    <w:rsid w:val="00BA3A87"/>
    <w:rsid w:val="00BA475C"/>
    <w:rsid w:val="00BA4CC9"/>
    <w:rsid w:val="00BA4D61"/>
    <w:rsid w:val="00BA4F85"/>
    <w:rsid w:val="00BA68F8"/>
    <w:rsid w:val="00BA7103"/>
    <w:rsid w:val="00BA77EA"/>
    <w:rsid w:val="00BB002C"/>
    <w:rsid w:val="00BB01B7"/>
    <w:rsid w:val="00BB05E8"/>
    <w:rsid w:val="00BB1CE3"/>
    <w:rsid w:val="00BB1D8C"/>
    <w:rsid w:val="00BB2AB5"/>
    <w:rsid w:val="00BB3193"/>
    <w:rsid w:val="00BB42B4"/>
    <w:rsid w:val="00BB4F87"/>
    <w:rsid w:val="00BB6A85"/>
    <w:rsid w:val="00BB7467"/>
    <w:rsid w:val="00BB775D"/>
    <w:rsid w:val="00BB7952"/>
    <w:rsid w:val="00BC02F2"/>
    <w:rsid w:val="00BC097F"/>
    <w:rsid w:val="00BC1168"/>
    <w:rsid w:val="00BC187D"/>
    <w:rsid w:val="00BC1894"/>
    <w:rsid w:val="00BC192C"/>
    <w:rsid w:val="00BC1B76"/>
    <w:rsid w:val="00BC1C7E"/>
    <w:rsid w:val="00BC27A9"/>
    <w:rsid w:val="00BC2902"/>
    <w:rsid w:val="00BC2A73"/>
    <w:rsid w:val="00BC3190"/>
    <w:rsid w:val="00BC3221"/>
    <w:rsid w:val="00BC3854"/>
    <w:rsid w:val="00BC3C51"/>
    <w:rsid w:val="00BC44D6"/>
    <w:rsid w:val="00BC4515"/>
    <w:rsid w:val="00BC47AA"/>
    <w:rsid w:val="00BC4DEC"/>
    <w:rsid w:val="00BC4E1D"/>
    <w:rsid w:val="00BC4F1A"/>
    <w:rsid w:val="00BC5481"/>
    <w:rsid w:val="00BC59E5"/>
    <w:rsid w:val="00BC5F4A"/>
    <w:rsid w:val="00BC60F9"/>
    <w:rsid w:val="00BC624C"/>
    <w:rsid w:val="00BC6641"/>
    <w:rsid w:val="00BC6779"/>
    <w:rsid w:val="00BC6E66"/>
    <w:rsid w:val="00BD04B4"/>
    <w:rsid w:val="00BD09EB"/>
    <w:rsid w:val="00BD197C"/>
    <w:rsid w:val="00BD1F37"/>
    <w:rsid w:val="00BD216C"/>
    <w:rsid w:val="00BD25F6"/>
    <w:rsid w:val="00BD2AA0"/>
    <w:rsid w:val="00BD30F2"/>
    <w:rsid w:val="00BD3AF7"/>
    <w:rsid w:val="00BD434D"/>
    <w:rsid w:val="00BD53E8"/>
    <w:rsid w:val="00BD5623"/>
    <w:rsid w:val="00BD6112"/>
    <w:rsid w:val="00BD6FD9"/>
    <w:rsid w:val="00BD75C1"/>
    <w:rsid w:val="00BD7F0D"/>
    <w:rsid w:val="00BE0025"/>
    <w:rsid w:val="00BE0471"/>
    <w:rsid w:val="00BE0825"/>
    <w:rsid w:val="00BE0B99"/>
    <w:rsid w:val="00BE0F77"/>
    <w:rsid w:val="00BE121D"/>
    <w:rsid w:val="00BE1E0F"/>
    <w:rsid w:val="00BE1EEE"/>
    <w:rsid w:val="00BE3713"/>
    <w:rsid w:val="00BE3866"/>
    <w:rsid w:val="00BE3F61"/>
    <w:rsid w:val="00BE3F75"/>
    <w:rsid w:val="00BE482D"/>
    <w:rsid w:val="00BE4B73"/>
    <w:rsid w:val="00BE4C9D"/>
    <w:rsid w:val="00BE55FD"/>
    <w:rsid w:val="00BE66AD"/>
    <w:rsid w:val="00BE6AEE"/>
    <w:rsid w:val="00BE6B8B"/>
    <w:rsid w:val="00BE6CB8"/>
    <w:rsid w:val="00BE7666"/>
    <w:rsid w:val="00BF0969"/>
    <w:rsid w:val="00BF0E8B"/>
    <w:rsid w:val="00BF10DD"/>
    <w:rsid w:val="00BF16D8"/>
    <w:rsid w:val="00BF1A4F"/>
    <w:rsid w:val="00BF26F8"/>
    <w:rsid w:val="00BF291E"/>
    <w:rsid w:val="00BF3BF3"/>
    <w:rsid w:val="00BF417E"/>
    <w:rsid w:val="00BF4404"/>
    <w:rsid w:val="00BF51B3"/>
    <w:rsid w:val="00BF54B7"/>
    <w:rsid w:val="00BF5E9D"/>
    <w:rsid w:val="00BF68ED"/>
    <w:rsid w:val="00BF73D9"/>
    <w:rsid w:val="00BF7FD4"/>
    <w:rsid w:val="00C00288"/>
    <w:rsid w:val="00C008CB"/>
    <w:rsid w:val="00C02FD2"/>
    <w:rsid w:val="00C037FB"/>
    <w:rsid w:val="00C041D5"/>
    <w:rsid w:val="00C04B19"/>
    <w:rsid w:val="00C04D1E"/>
    <w:rsid w:val="00C04F47"/>
    <w:rsid w:val="00C05857"/>
    <w:rsid w:val="00C07D5D"/>
    <w:rsid w:val="00C10DC2"/>
    <w:rsid w:val="00C1104D"/>
    <w:rsid w:val="00C11183"/>
    <w:rsid w:val="00C11F0F"/>
    <w:rsid w:val="00C12C4D"/>
    <w:rsid w:val="00C12CA0"/>
    <w:rsid w:val="00C12FCC"/>
    <w:rsid w:val="00C134D1"/>
    <w:rsid w:val="00C143D1"/>
    <w:rsid w:val="00C147D1"/>
    <w:rsid w:val="00C1516D"/>
    <w:rsid w:val="00C15615"/>
    <w:rsid w:val="00C15BAA"/>
    <w:rsid w:val="00C15E9F"/>
    <w:rsid w:val="00C15FC1"/>
    <w:rsid w:val="00C16A20"/>
    <w:rsid w:val="00C16F0E"/>
    <w:rsid w:val="00C1717A"/>
    <w:rsid w:val="00C17C20"/>
    <w:rsid w:val="00C200B5"/>
    <w:rsid w:val="00C213C9"/>
    <w:rsid w:val="00C2201E"/>
    <w:rsid w:val="00C22856"/>
    <w:rsid w:val="00C22BDD"/>
    <w:rsid w:val="00C23771"/>
    <w:rsid w:val="00C242C2"/>
    <w:rsid w:val="00C24546"/>
    <w:rsid w:val="00C24C5E"/>
    <w:rsid w:val="00C24DF0"/>
    <w:rsid w:val="00C25039"/>
    <w:rsid w:val="00C2639D"/>
    <w:rsid w:val="00C2658F"/>
    <w:rsid w:val="00C26A8E"/>
    <w:rsid w:val="00C26AFA"/>
    <w:rsid w:val="00C27273"/>
    <w:rsid w:val="00C30180"/>
    <w:rsid w:val="00C31FEB"/>
    <w:rsid w:val="00C32695"/>
    <w:rsid w:val="00C32B28"/>
    <w:rsid w:val="00C32EFD"/>
    <w:rsid w:val="00C33789"/>
    <w:rsid w:val="00C33A77"/>
    <w:rsid w:val="00C33BE4"/>
    <w:rsid w:val="00C3480C"/>
    <w:rsid w:val="00C34A2B"/>
    <w:rsid w:val="00C34BE7"/>
    <w:rsid w:val="00C356ED"/>
    <w:rsid w:val="00C3586A"/>
    <w:rsid w:val="00C36595"/>
    <w:rsid w:val="00C365B3"/>
    <w:rsid w:val="00C36B4C"/>
    <w:rsid w:val="00C378CB"/>
    <w:rsid w:val="00C37DC9"/>
    <w:rsid w:val="00C408FE"/>
    <w:rsid w:val="00C409EA"/>
    <w:rsid w:val="00C40E1C"/>
    <w:rsid w:val="00C419F4"/>
    <w:rsid w:val="00C42375"/>
    <w:rsid w:val="00C42482"/>
    <w:rsid w:val="00C42869"/>
    <w:rsid w:val="00C44A96"/>
    <w:rsid w:val="00C44AE2"/>
    <w:rsid w:val="00C44B77"/>
    <w:rsid w:val="00C454F5"/>
    <w:rsid w:val="00C45771"/>
    <w:rsid w:val="00C45B2D"/>
    <w:rsid w:val="00C45BB9"/>
    <w:rsid w:val="00C470DB"/>
    <w:rsid w:val="00C47CBE"/>
    <w:rsid w:val="00C503FC"/>
    <w:rsid w:val="00C50684"/>
    <w:rsid w:val="00C508FA"/>
    <w:rsid w:val="00C50C92"/>
    <w:rsid w:val="00C51CAF"/>
    <w:rsid w:val="00C5217B"/>
    <w:rsid w:val="00C523D0"/>
    <w:rsid w:val="00C524E5"/>
    <w:rsid w:val="00C52DEB"/>
    <w:rsid w:val="00C5360D"/>
    <w:rsid w:val="00C538B8"/>
    <w:rsid w:val="00C53A22"/>
    <w:rsid w:val="00C53DAE"/>
    <w:rsid w:val="00C542FC"/>
    <w:rsid w:val="00C54FB0"/>
    <w:rsid w:val="00C55B04"/>
    <w:rsid w:val="00C569F5"/>
    <w:rsid w:val="00C5773A"/>
    <w:rsid w:val="00C60832"/>
    <w:rsid w:val="00C60D95"/>
    <w:rsid w:val="00C614B6"/>
    <w:rsid w:val="00C6217F"/>
    <w:rsid w:val="00C622F1"/>
    <w:rsid w:val="00C62407"/>
    <w:rsid w:val="00C639AC"/>
    <w:rsid w:val="00C63B03"/>
    <w:rsid w:val="00C63DFA"/>
    <w:rsid w:val="00C63FD1"/>
    <w:rsid w:val="00C645FD"/>
    <w:rsid w:val="00C64B5E"/>
    <w:rsid w:val="00C64BA5"/>
    <w:rsid w:val="00C65258"/>
    <w:rsid w:val="00C6527C"/>
    <w:rsid w:val="00C65559"/>
    <w:rsid w:val="00C65A9B"/>
    <w:rsid w:val="00C661AC"/>
    <w:rsid w:val="00C67C5A"/>
    <w:rsid w:val="00C7008F"/>
    <w:rsid w:val="00C70857"/>
    <w:rsid w:val="00C7136F"/>
    <w:rsid w:val="00C713D5"/>
    <w:rsid w:val="00C716EB"/>
    <w:rsid w:val="00C7220D"/>
    <w:rsid w:val="00C72513"/>
    <w:rsid w:val="00C72E53"/>
    <w:rsid w:val="00C73169"/>
    <w:rsid w:val="00C73E8C"/>
    <w:rsid w:val="00C7450C"/>
    <w:rsid w:val="00C75BEC"/>
    <w:rsid w:val="00C75EA2"/>
    <w:rsid w:val="00C75EFB"/>
    <w:rsid w:val="00C76B26"/>
    <w:rsid w:val="00C77748"/>
    <w:rsid w:val="00C77B76"/>
    <w:rsid w:val="00C80494"/>
    <w:rsid w:val="00C8057E"/>
    <w:rsid w:val="00C81824"/>
    <w:rsid w:val="00C81C38"/>
    <w:rsid w:val="00C8246C"/>
    <w:rsid w:val="00C82497"/>
    <w:rsid w:val="00C82834"/>
    <w:rsid w:val="00C83D52"/>
    <w:rsid w:val="00C83EB2"/>
    <w:rsid w:val="00C840D7"/>
    <w:rsid w:val="00C84868"/>
    <w:rsid w:val="00C84977"/>
    <w:rsid w:val="00C85CC7"/>
    <w:rsid w:val="00C863DF"/>
    <w:rsid w:val="00C86A56"/>
    <w:rsid w:val="00C86F71"/>
    <w:rsid w:val="00C87B72"/>
    <w:rsid w:val="00C903EE"/>
    <w:rsid w:val="00C911CD"/>
    <w:rsid w:val="00C91AE5"/>
    <w:rsid w:val="00C91CCE"/>
    <w:rsid w:val="00C92B80"/>
    <w:rsid w:val="00C92DEA"/>
    <w:rsid w:val="00C93436"/>
    <w:rsid w:val="00C9398D"/>
    <w:rsid w:val="00C93AFF"/>
    <w:rsid w:val="00C94001"/>
    <w:rsid w:val="00C953BE"/>
    <w:rsid w:val="00C95B0C"/>
    <w:rsid w:val="00C95E5E"/>
    <w:rsid w:val="00C9656A"/>
    <w:rsid w:val="00C96F92"/>
    <w:rsid w:val="00C97BC4"/>
    <w:rsid w:val="00C97D07"/>
    <w:rsid w:val="00CA0360"/>
    <w:rsid w:val="00CA0A2B"/>
    <w:rsid w:val="00CA0D15"/>
    <w:rsid w:val="00CA1E49"/>
    <w:rsid w:val="00CA2A14"/>
    <w:rsid w:val="00CA2F02"/>
    <w:rsid w:val="00CA3499"/>
    <w:rsid w:val="00CA4167"/>
    <w:rsid w:val="00CA440A"/>
    <w:rsid w:val="00CA4840"/>
    <w:rsid w:val="00CA486A"/>
    <w:rsid w:val="00CA4A7D"/>
    <w:rsid w:val="00CA4AC4"/>
    <w:rsid w:val="00CA5C0B"/>
    <w:rsid w:val="00CA5C6E"/>
    <w:rsid w:val="00CA6321"/>
    <w:rsid w:val="00CA69FA"/>
    <w:rsid w:val="00CA6C73"/>
    <w:rsid w:val="00CA72A8"/>
    <w:rsid w:val="00CA792E"/>
    <w:rsid w:val="00CA7C6D"/>
    <w:rsid w:val="00CA7D51"/>
    <w:rsid w:val="00CA7E6D"/>
    <w:rsid w:val="00CB288A"/>
    <w:rsid w:val="00CB2C39"/>
    <w:rsid w:val="00CB2F86"/>
    <w:rsid w:val="00CB3034"/>
    <w:rsid w:val="00CB34CC"/>
    <w:rsid w:val="00CB3846"/>
    <w:rsid w:val="00CB5160"/>
    <w:rsid w:val="00CB582F"/>
    <w:rsid w:val="00CB5856"/>
    <w:rsid w:val="00CB5D3E"/>
    <w:rsid w:val="00CB6191"/>
    <w:rsid w:val="00CB7303"/>
    <w:rsid w:val="00CB7845"/>
    <w:rsid w:val="00CB79F6"/>
    <w:rsid w:val="00CC0A5C"/>
    <w:rsid w:val="00CC0DB9"/>
    <w:rsid w:val="00CC10D8"/>
    <w:rsid w:val="00CC16B0"/>
    <w:rsid w:val="00CC1C6E"/>
    <w:rsid w:val="00CC1F13"/>
    <w:rsid w:val="00CC285C"/>
    <w:rsid w:val="00CC3399"/>
    <w:rsid w:val="00CC4E75"/>
    <w:rsid w:val="00CC52B6"/>
    <w:rsid w:val="00CC580A"/>
    <w:rsid w:val="00CC5EFE"/>
    <w:rsid w:val="00CC668F"/>
    <w:rsid w:val="00CC6DE9"/>
    <w:rsid w:val="00CC6F9E"/>
    <w:rsid w:val="00CC777E"/>
    <w:rsid w:val="00CD1038"/>
    <w:rsid w:val="00CD1076"/>
    <w:rsid w:val="00CD2455"/>
    <w:rsid w:val="00CD263D"/>
    <w:rsid w:val="00CD32D6"/>
    <w:rsid w:val="00CD37FF"/>
    <w:rsid w:val="00CD4BDF"/>
    <w:rsid w:val="00CD4CCF"/>
    <w:rsid w:val="00CD4CDF"/>
    <w:rsid w:val="00CD4EF8"/>
    <w:rsid w:val="00CD52AA"/>
    <w:rsid w:val="00CD54A0"/>
    <w:rsid w:val="00CD62E2"/>
    <w:rsid w:val="00CD6714"/>
    <w:rsid w:val="00CD6F75"/>
    <w:rsid w:val="00CD704C"/>
    <w:rsid w:val="00CD760B"/>
    <w:rsid w:val="00CD76A6"/>
    <w:rsid w:val="00CD7A08"/>
    <w:rsid w:val="00CD7AFF"/>
    <w:rsid w:val="00CD7F30"/>
    <w:rsid w:val="00CE0453"/>
    <w:rsid w:val="00CE1016"/>
    <w:rsid w:val="00CE1C8A"/>
    <w:rsid w:val="00CE1D9B"/>
    <w:rsid w:val="00CE1FA5"/>
    <w:rsid w:val="00CE2695"/>
    <w:rsid w:val="00CE352F"/>
    <w:rsid w:val="00CE3660"/>
    <w:rsid w:val="00CE39E4"/>
    <w:rsid w:val="00CE407B"/>
    <w:rsid w:val="00CE4BD3"/>
    <w:rsid w:val="00CE5C79"/>
    <w:rsid w:val="00CE695F"/>
    <w:rsid w:val="00CE7BE2"/>
    <w:rsid w:val="00CF00EF"/>
    <w:rsid w:val="00CF0D02"/>
    <w:rsid w:val="00CF11F8"/>
    <w:rsid w:val="00CF1486"/>
    <w:rsid w:val="00CF198D"/>
    <w:rsid w:val="00CF1B8E"/>
    <w:rsid w:val="00CF33C2"/>
    <w:rsid w:val="00CF4319"/>
    <w:rsid w:val="00CF447D"/>
    <w:rsid w:val="00CF4563"/>
    <w:rsid w:val="00CF5ABE"/>
    <w:rsid w:val="00CF5EEA"/>
    <w:rsid w:val="00CF5FB0"/>
    <w:rsid w:val="00CF5FF3"/>
    <w:rsid w:val="00CF61A6"/>
    <w:rsid w:val="00CF796B"/>
    <w:rsid w:val="00CF7DC9"/>
    <w:rsid w:val="00D00AED"/>
    <w:rsid w:val="00D01CA5"/>
    <w:rsid w:val="00D025C0"/>
    <w:rsid w:val="00D02950"/>
    <w:rsid w:val="00D02A52"/>
    <w:rsid w:val="00D03421"/>
    <w:rsid w:val="00D04AAF"/>
    <w:rsid w:val="00D056C0"/>
    <w:rsid w:val="00D05B20"/>
    <w:rsid w:val="00D05D7B"/>
    <w:rsid w:val="00D06C30"/>
    <w:rsid w:val="00D06E49"/>
    <w:rsid w:val="00D0715D"/>
    <w:rsid w:val="00D07277"/>
    <w:rsid w:val="00D0731C"/>
    <w:rsid w:val="00D077A0"/>
    <w:rsid w:val="00D0791E"/>
    <w:rsid w:val="00D07AEA"/>
    <w:rsid w:val="00D1096A"/>
    <w:rsid w:val="00D10A59"/>
    <w:rsid w:val="00D11876"/>
    <w:rsid w:val="00D11974"/>
    <w:rsid w:val="00D11A21"/>
    <w:rsid w:val="00D11F7F"/>
    <w:rsid w:val="00D131EC"/>
    <w:rsid w:val="00D138B4"/>
    <w:rsid w:val="00D13F23"/>
    <w:rsid w:val="00D146A1"/>
    <w:rsid w:val="00D14EA9"/>
    <w:rsid w:val="00D15424"/>
    <w:rsid w:val="00D16971"/>
    <w:rsid w:val="00D21810"/>
    <w:rsid w:val="00D21A39"/>
    <w:rsid w:val="00D21E7A"/>
    <w:rsid w:val="00D22621"/>
    <w:rsid w:val="00D233DB"/>
    <w:rsid w:val="00D23FAE"/>
    <w:rsid w:val="00D24F1C"/>
    <w:rsid w:val="00D25092"/>
    <w:rsid w:val="00D252A2"/>
    <w:rsid w:val="00D25BE1"/>
    <w:rsid w:val="00D27393"/>
    <w:rsid w:val="00D2792A"/>
    <w:rsid w:val="00D30694"/>
    <w:rsid w:val="00D316C4"/>
    <w:rsid w:val="00D32136"/>
    <w:rsid w:val="00D32480"/>
    <w:rsid w:val="00D3278B"/>
    <w:rsid w:val="00D335D0"/>
    <w:rsid w:val="00D33641"/>
    <w:rsid w:val="00D3379A"/>
    <w:rsid w:val="00D341FE"/>
    <w:rsid w:val="00D34847"/>
    <w:rsid w:val="00D34E45"/>
    <w:rsid w:val="00D3507F"/>
    <w:rsid w:val="00D35718"/>
    <w:rsid w:val="00D35FF6"/>
    <w:rsid w:val="00D36BC0"/>
    <w:rsid w:val="00D402EC"/>
    <w:rsid w:val="00D40923"/>
    <w:rsid w:val="00D4137F"/>
    <w:rsid w:val="00D418AB"/>
    <w:rsid w:val="00D41B66"/>
    <w:rsid w:val="00D41D20"/>
    <w:rsid w:val="00D42446"/>
    <w:rsid w:val="00D4266E"/>
    <w:rsid w:val="00D42D66"/>
    <w:rsid w:val="00D4381D"/>
    <w:rsid w:val="00D445C3"/>
    <w:rsid w:val="00D44AAA"/>
    <w:rsid w:val="00D44ADD"/>
    <w:rsid w:val="00D44BE9"/>
    <w:rsid w:val="00D44C25"/>
    <w:rsid w:val="00D44C86"/>
    <w:rsid w:val="00D44F93"/>
    <w:rsid w:val="00D451F4"/>
    <w:rsid w:val="00D4640C"/>
    <w:rsid w:val="00D46840"/>
    <w:rsid w:val="00D47CFB"/>
    <w:rsid w:val="00D5204C"/>
    <w:rsid w:val="00D52CB6"/>
    <w:rsid w:val="00D533BE"/>
    <w:rsid w:val="00D5353E"/>
    <w:rsid w:val="00D53543"/>
    <w:rsid w:val="00D5362B"/>
    <w:rsid w:val="00D53ACB"/>
    <w:rsid w:val="00D54788"/>
    <w:rsid w:val="00D553FB"/>
    <w:rsid w:val="00D55CC9"/>
    <w:rsid w:val="00D55E8F"/>
    <w:rsid w:val="00D562D0"/>
    <w:rsid w:val="00D56638"/>
    <w:rsid w:val="00D56FDC"/>
    <w:rsid w:val="00D578EF"/>
    <w:rsid w:val="00D6046B"/>
    <w:rsid w:val="00D60CAA"/>
    <w:rsid w:val="00D60E9F"/>
    <w:rsid w:val="00D6118E"/>
    <w:rsid w:val="00D61B26"/>
    <w:rsid w:val="00D61D3D"/>
    <w:rsid w:val="00D61D60"/>
    <w:rsid w:val="00D63F0D"/>
    <w:rsid w:val="00D63F8A"/>
    <w:rsid w:val="00D64284"/>
    <w:rsid w:val="00D646E3"/>
    <w:rsid w:val="00D64BE3"/>
    <w:rsid w:val="00D652F8"/>
    <w:rsid w:val="00D65871"/>
    <w:rsid w:val="00D65EE0"/>
    <w:rsid w:val="00D66519"/>
    <w:rsid w:val="00D667A9"/>
    <w:rsid w:val="00D66981"/>
    <w:rsid w:val="00D66B20"/>
    <w:rsid w:val="00D66BD0"/>
    <w:rsid w:val="00D66C43"/>
    <w:rsid w:val="00D6721B"/>
    <w:rsid w:val="00D67990"/>
    <w:rsid w:val="00D71586"/>
    <w:rsid w:val="00D71871"/>
    <w:rsid w:val="00D71C36"/>
    <w:rsid w:val="00D71E25"/>
    <w:rsid w:val="00D7294B"/>
    <w:rsid w:val="00D73662"/>
    <w:rsid w:val="00D7371A"/>
    <w:rsid w:val="00D740C4"/>
    <w:rsid w:val="00D748A6"/>
    <w:rsid w:val="00D74B41"/>
    <w:rsid w:val="00D74EF7"/>
    <w:rsid w:val="00D74F85"/>
    <w:rsid w:val="00D75150"/>
    <w:rsid w:val="00D75632"/>
    <w:rsid w:val="00D75CF5"/>
    <w:rsid w:val="00D75DCB"/>
    <w:rsid w:val="00D75EEC"/>
    <w:rsid w:val="00D76895"/>
    <w:rsid w:val="00D77175"/>
    <w:rsid w:val="00D807D3"/>
    <w:rsid w:val="00D837D9"/>
    <w:rsid w:val="00D8389A"/>
    <w:rsid w:val="00D83C57"/>
    <w:rsid w:val="00D84C64"/>
    <w:rsid w:val="00D859D4"/>
    <w:rsid w:val="00D85DF3"/>
    <w:rsid w:val="00D86A1C"/>
    <w:rsid w:val="00D86AA6"/>
    <w:rsid w:val="00D8743C"/>
    <w:rsid w:val="00D87A09"/>
    <w:rsid w:val="00D87E60"/>
    <w:rsid w:val="00D87FA5"/>
    <w:rsid w:val="00D908F4"/>
    <w:rsid w:val="00D90928"/>
    <w:rsid w:val="00D90E71"/>
    <w:rsid w:val="00D91799"/>
    <w:rsid w:val="00D93823"/>
    <w:rsid w:val="00D940E1"/>
    <w:rsid w:val="00D94A04"/>
    <w:rsid w:val="00D94E54"/>
    <w:rsid w:val="00D95729"/>
    <w:rsid w:val="00D9582F"/>
    <w:rsid w:val="00D9639B"/>
    <w:rsid w:val="00D96431"/>
    <w:rsid w:val="00D96B74"/>
    <w:rsid w:val="00D96F4E"/>
    <w:rsid w:val="00D97525"/>
    <w:rsid w:val="00DA0011"/>
    <w:rsid w:val="00DA0F79"/>
    <w:rsid w:val="00DA2025"/>
    <w:rsid w:val="00DA3049"/>
    <w:rsid w:val="00DA359A"/>
    <w:rsid w:val="00DA369B"/>
    <w:rsid w:val="00DA39E4"/>
    <w:rsid w:val="00DA3E1A"/>
    <w:rsid w:val="00DA3EBD"/>
    <w:rsid w:val="00DA444C"/>
    <w:rsid w:val="00DA5024"/>
    <w:rsid w:val="00DA51C0"/>
    <w:rsid w:val="00DA5280"/>
    <w:rsid w:val="00DA582C"/>
    <w:rsid w:val="00DA7DB2"/>
    <w:rsid w:val="00DB0473"/>
    <w:rsid w:val="00DB05B8"/>
    <w:rsid w:val="00DB1151"/>
    <w:rsid w:val="00DB17D5"/>
    <w:rsid w:val="00DB214B"/>
    <w:rsid w:val="00DB21B9"/>
    <w:rsid w:val="00DB25A4"/>
    <w:rsid w:val="00DB32D7"/>
    <w:rsid w:val="00DB3D95"/>
    <w:rsid w:val="00DB533B"/>
    <w:rsid w:val="00DB5423"/>
    <w:rsid w:val="00DB55B2"/>
    <w:rsid w:val="00DB5C0B"/>
    <w:rsid w:val="00DB5C2E"/>
    <w:rsid w:val="00DB5CDD"/>
    <w:rsid w:val="00DB6225"/>
    <w:rsid w:val="00DB65EA"/>
    <w:rsid w:val="00DB6A05"/>
    <w:rsid w:val="00DB6B53"/>
    <w:rsid w:val="00DB7E11"/>
    <w:rsid w:val="00DC028A"/>
    <w:rsid w:val="00DC072B"/>
    <w:rsid w:val="00DC0F94"/>
    <w:rsid w:val="00DC100D"/>
    <w:rsid w:val="00DC1045"/>
    <w:rsid w:val="00DC16E0"/>
    <w:rsid w:val="00DC1762"/>
    <w:rsid w:val="00DC2435"/>
    <w:rsid w:val="00DC2CD3"/>
    <w:rsid w:val="00DC2FE6"/>
    <w:rsid w:val="00DC4624"/>
    <w:rsid w:val="00DC621B"/>
    <w:rsid w:val="00DC7553"/>
    <w:rsid w:val="00DC7698"/>
    <w:rsid w:val="00DC7747"/>
    <w:rsid w:val="00DC7C15"/>
    <w:rsid w:val="00DD0BD1"/>
    <w:rsid w:val="00DD0E7E"/>
    <w:rsid w:val="00DD13E6"/>
    <w:rsid w:val="00DD13F6"/>
    <w:rsid w:val="00DD1858"/>
    <w:rsid w:val="00DD1ACD"/>
    <w:rsid w:val="00DD1AE0"/>
    <w:rsid w:val="00DD2B0C"/>
    <w:rsid w:val="00DD2F6E"/>
    <w:rsid w:val="00DD3A37"/>
    <w:rsid w:val="00DD3D44"/>
    <w:rsid w:val="00DD489A"/>
    <w:rsid w:val="00DD4A08"/>
    <w:rsid w:val="00DD4E03"/>
    <w:rsid w:val="00DD5279"/>
    <w:rsid w:val="00DD556F"/>
    <w:rsid w:val="00DD56E4"/>
    <w:rsid w:val="00DD77CC"/>
    <w:rsid w:val="00DD7E93"/>
    <w:rsid w:val="00DE01F8"/>
    <w:rsid w:val="00DE0504"/>
    <w:rsid w:val="00DE05CD"/>
    <w:rsid w:val="00DE178E"/>
    <w:rsid w:val="00DE1FEE"/>
    <w:rsid w:val="00DE2174"/>
    <w:rsid w:val="00DE29A1"/>
    <w:rsid w:val="00DE2F23"/>
    <w:rsid w:val="00DE3116"/>
    <w:rsid w:val="00DE351D"/>
    <w:rsid w:val="00DE35C2"/>
    <w:rsid w:val="00DE36C7"/>
    <w:rsid w:val="00DE4024"/>
    <w:rsid w:val="00DE468B"/>
    <w:rsid w:val="00DE4BA3"/>
    <w:rsid w:val="00DE5AE5"/>
    <w:rsid w:val="00DE623E"/>
    <w:rsid w:val="00DE69A9"/>
    <w:rsid w:val="00DE6FA9"/>
    <w:rsid w:val="00DE766F"/>
    <w:rsid w:val="00DE7903"/>
    <w:rsid w:val="00DF034A"/>
    <w:rsid w:val="00DF0CBC"/>
    <w:rsid w:val="00DF16C2"/>
    <w:rsid w:val="00DF18CC"/>
    <w:rsid w:val="00DF2171"/>
    <w:rsid w:val="00DF2365"/>
    <w:rsid w:val="00DF467D"/>
    <w:rsid w:val="00DF473F"/>
    <w:rsid w:val="00DF4E30"/>
    <w:rsid w:val="00DF4E49"/>
    <w:rsid w:val="00DF5958"/>
    <w:rsid w:val="00DF60D5"/>
    <w:rsid w:val="00DF6398"/>
    <w:rsid w:val="00DF6457"/>
    <w:rsid w:val="00DF68D9"/>
    <w:rsid w:val="00E00122"/>
    <w:rsid w:val="00E0046E"/>
    <w:rsid w:val="00E015AD"/>
    <w:rsid w:val="00E02112"/>
    <w:rsid w:val="00E024A4"/>
    <w:rsid w:val="00E02C4A"/>
    <w:rsid w:val="00E02CFA"/>
    <w:rsid w:val="00E02E29"/>
    <w:rsid w:val="00E03B06"/>
    <w:rsid w:val="00E047ED"/>
    <w:rsid w:val="00E04FB5"/>
    <w:rsid w:val="00E07144"/>
    <w:rsid w:val="00E10F21"/>
    <w:rsid w:val="00E1106F"/>
    <w:rsid w:val="00E12B95"/>
    <w:rsid w:val="00E13002"/>
    <w:rsid w:val="00E149DD"/>
    <w:rsid w:val="00E1571B"/>
    <w:rsid w:val="00E15DBB"/>
    <w:rsid w:val="00E1696E"/>
    <w:rsid w:val="00E16AD3"/>
    <w:rsid w:val="00E17012"/>
    <w:rsid w:val="00E176C7"/>
    <w:rsid w:val="00E2069D"/>
    <w:rsid w:val="00E20EBF"/>
    <w:rsid w:val="00E2155C"/>
    <w:rsid w:val="00E21C5E"/>
    <w:rsid w:val="00E22048"/>
    <w:rsid w:val="00E220EF"/>
    <w:rsid w:val="00E22642"/>
    <w:rsid w:val="00E22902"/>
    <w:rsid w:val="00E23D6D"/>
    <w:rsid w:val="00E23E88"/>
    <w:rsid w:val="00E23F2F"/>
    <w:rsid w:val="00E24049"/>
    <w:rsid w:val="00E24968"/>
    <w:rsid w:val="00E25075"/>
    <w:rsid w:val="00E2589B"/>
    <w:rsid w:val="00E25D48"/>
    <w:rsid w:val="00E25F2A"/>
    <w:rsid w:val="00E261DC"/>
    <w:rsid w:val="00E261E1"/>
    <w:rsid w:val="00E2658D"/>
    <w:rsid w:val="00E265B5"/>
    <w:rsid w:val="00E26D7D"/>
    <w:rsid w:val="00E27512"/>
    <w:rsid w:val="00E27CBF"/>
    <w:rsid w:val="00E27E1A"/>
    <w:rsid w:val="00E302F8"/>
    <w:rsid w:val="00E304E2"/>
    <w:rsid w:val="00E319D8"/>
    <w:rsid w:val="00E329DB"/>
    <w:rsid w:val="00E3361F"/>
    <w:rsid w:val="00E33C30"/>
    <w:rsid w:val="00E34545"/>
    <w:rsid w:val="00E34953"/>
    <w:rsid w:val="00E349F2"/>
    <w:rsid w:val="00E34FBB"/>
    <w:rsid w:val="00E373C1"/>
    <w:rsid w:val="00E3749C"/>
    <w:rsid w:val="00E379FA"/>
    <w:rsid w:val="00E37F9D"/>
    <w:rsid w:val="00E408F5"/>
    <w:rsid w:val="00E40A62"/>
    <w:rsid w:val="00E40D42"/>
    <w:rsid w:val="00E40E57"/>
    <w:rsid w:val="00E41159"/>
    <w:rsid w:val="00E4173C"/>
    <w:rsid w:val="00E419B8"/>
    <w:rsid w:val="00E42541"/>
    <w:rsid w:val="00E432BF"/>
    <w:rsid w:val="00E445B0"/>
    <w:rsid w:val="00E45190"/>
    <w:rsid w:val="00E453BE"/>
    <w:rsid w:val="00E456D1"/>
    <w:rsid w:val="00E4663C"/>
    <w:rsid w:val="00E4675A"/>
    <w:rsid w:val="00E5119E"/>
    <w:rsid w:val="00E5138B"/>
    <w:rsid w:val="00E513D9"/>
    <w:rsid w:val="00E514C4"/>
    <w:rsid w:val="00E51F1C"/>
    <w:rsid w:val="00E521C4"/>
    <w:rsid w:val="00E5230C"/>
    <w:rsid w:val="00E5293A"/>
    <w:rsid w:val="00E5310D"/>
    <w:rsid w:val="00E5351B"/>
    <w:rsid w:val="00E5378C"/>
    <w:rsid w:val="00E5389D"/>
    <w:rsid w:val="00E54B31"/>
    <w:rsid w:val="00E56CE2"/>
    <w:rsid w:val="00E56DA9"/>
    <w:rsid w:val="00E56DAB"/>
    <w:rsid w:val="00E57001"/>
    <w:rsid w:val="00E5709A"/>
    <w:rsid w:val="00E572A2"/>
    <w:rsid w:val="00E575CE"/>
    <w:rsid w:val="00E57812"/>
    <w:rsid w:val="00E57E96"/>
    <w:rsid w:val="00E604EB"/>
    <w:rsid w:val="00E61D19"/>
    <w:rsid w:val="00E61F53"/>
    <w:rsid w:val="00E620CB"/>
    <w:rsid w:val="00E6232A"/>
    <w:rsid w:val="00E62C17"/>
    <w:rsid w:val="00E635F3"/>
    <w:rsid w:val="00E644D4"/>
    <w:rsid w:val="00E654D0"/>
    <w:rsid w:val="00E65528"/>
    <w:rsid w:val="00E65A3C"/>
    <w:rsid w:val="00E66F3E"/>
    <w:rsid w:val="00E679D5"/>
    <w:rsid w:val="00E67A97"/>
    <w:rsid w:val="00E67BFD"/>
    <w:rsid w:val="00E7148D"/>
    <w:rsid w:val="00E714CE"/>
    <w:rsid w:val="00E71A7A"/>
    <w:rsid w:val="00E71E23"/>
    <w:rsid w:val="00E72105"/>
    <w:rsid w:val="00E721F9"/>
    <w:rsid w:val="00E7244E"/>
    <w:rsid w:val="00E739E7"/>
    <w:rsid w:val="00E73D05"/>
    <w:rsid w:val="00E745A1"/>
    <w:rsid w:val="00E754E1"/>
    <w:rsid w:val="00E77228"/>
    <w:rsid w:val="00E7761B"/>
    <w:rsid w:val="00E77832"/>
    <w:rsid w:val="00E77AC4"/>
    <w:rsid w:val="00E801FC"/>
    <w:rsid w:val="00E804B6"/>
    <w:rsid w:val="00E81295"/>
    <w:rsid w:val="00E81DB3"/>
    <w:rsid w:val="00E81F77"/>
    <w:rsid w:val="00E82AB9"/>
    <w:rsid w:val="00E82B06"/>
    <w:rsid w:val="00E82C34"/>
    <w:rsid w:val="00E82FB4"/>
    <w:rsid w:val="00E830B6"/>
    <w:rsid w:val="00E83E4C"/>
    <w:rsid w:val="00E843B5"/>
    <w:rsid w:val="00E846D7"/>
    <w:rsid w:val="00E84BCF"/>
    <w:rsid w:val="00E86DAA"/>
    <w:rsid w:val="00E87473"/>
    <w:rsid w:val="00E878F9"/>
    <w:rsid w:val="00E87AA4"/>
    <w:rsid w:val="00E90003"/>
    <w:rsid w:val="00E90588"/>
    <w:rsid w:val="00E908D3"/>
    <w:rsid w:val="00E91359"/>
    <w:rsid w:val="00E91434"/>
    <w:rsid w:val="00E917BA"/>
    <w:rsid w:val="00E925E9"/>
    <w:rsid w:val="00E92A2E"/>
    <w:rsid w:val="00E92CC4"/>
    <w:rsid w:val="00E92E48"/>
    <w:rsid w:val="00E93A79"/>
    <w:rsid w:val="00E93C8A"/>
    <w:rsid w:val="00E94203"/>
    <w:rsid w:val="00E94656"/>
    <w:rsid w:val="00E94D39"/>
    <w:rsid w:val="00E94E9E"/>
    <w:rsid w:val="00E9513D"/>
    <w:rsid w:val="00E95149"/>
    <w:rsid w:val="00E953DE"/>
    <w:rsid w:val="00E95658"/>
    <w:rsid w:val="00E9655F"/>
    <w:rsid w:val="00E97045"/>
    <w:rsid w:val="00E97550"/>
    <w:rsid w:val="00EA0002"/>
    <w:rsid w:val="00EA0435"/>
    <w:rsid w:val="00EA0FFB"/>
    <w:rsid w:val="00EA3678"/>
    <w:rsid w:val="00EA53CE"/>
    <w:rsid w:val="00EA583F"/>
    <w:rsid w:val="00EA601E"/>
    <w:rsid w:val="00EA63F3"/>
    <w:rsid w:val="00EA64E3"/>
    <w:rsid w:val="00EA6772"/>
    <w:rsid w:val="00EA7505"/>
    <w:rsid w:val="00EB0450"/>
    <w:rsid w:val="00EB055A"/>
    <w:rsid w:val="00EB05CA"/>
    <w:rsid w:val="00EB0613"/>
    <w:rsid w:val="00EB0D3D"/>
    <w:rsid w:val="00EB0F3F"/>
    <w:rsid w:val="00EB12C1"/>
    <w:rsid w:val="00EB153D"/>
    <w:rsid w:val="00EB1589"/>
    <w:rsid w:val="00EB1EF3"/>
    <w:rsid w:val="00EB28D3"/>
    <w:rsid w:val="00EB2CAF"/>
    <w:rsid w:val="00EB3058"/>
    <w:rsid w:val="00EB4663"/>
    <w:rsid w:val="00EB481C"/>
    <w:rsid w:val="00EB4BED"/>
    <w:rsid w:val="00EB4CC8"/>
    <w:rsid w:val="00EB518D"/>
    <w:rsid w:val="00EB5E73"/>
    <w:rsid w:val="00EB6102"/>
    <w:rsid w:val="00EB68AB"/>
    <w:rsid w:val="00EB692B"/>
    <w:rsid w:val="00EB69A2"/>
    <w:rsid w:val="00EB7263"/>
    <w:rsid w:val="00EB72E3"/>
    <w:rsid w:val="00EB7534"/>
    <w:rsid w:val="00EB7808"/>
    <w:rsid w:val="00EB787D"/>
    <w:rsid w:val="00EB796D"/>
    <w:rsid w:val="00EB7EDA"/>
    <w:rsid w:val="00EC0738"/>
    <w:rsid w:val="00EC078D"/>
    <w:rsid w:val="00EC0D8C"/>
    <w:rsid w:val="00EC11AF"/>
    <w:rsid w:val="00EC1F02"/>
    <w:rsid w:val="00EC277E"/>
    <w:rsid w:val="00EC2A7F"/>
    <w:rsid w:val="00EC2B14"/>
    <w:rsid w:val="00EC393F"/>
    <w:rsid w:val="00EC4223"/>
    <w:rsid w:val="00EC4DE1"/>
    <w:rsid w:val="00EC60DE"/>
    <w:rsid w:val="00EC6311"/>
    <w:rsid w:val="00EC6B80"/>
    <w:rsid w:val="00EC6ECB"/>
    <w:rsid w:val="00EC75CD"/>
    <w:rsid w:val="00ED2316"/>
    <w:rsid w:val="00ED3706"/>
    <w:rsid w:val="00ED389C"/>
    <w:rsid w:val="00ED45FB"/>
    <w:rsid w:val="00ED4C31"/>
    <w:rsid w:val="00ED5507"/>
    <w:rsid w:val="00ED61DD"/>
    <w:rsid w:val="00ED65DC"/>
    <w:rsid w:val="00ED69A5"/>
    <w:rsid w:val="00ED6FA0"/>
    <w:rsid w:val="00ED72E6"/>
    <w:rsid w:val="00ED7696"/>
    <w:rsid w:val="00ED7B70"/>
    <w:rsid w:val="00ED7CE2"/>
    <w:rsid w:val="00ED7E81"/>
    <w:rsid w:val="00ED7F77"/>
    <w:rsid w:val="00EE0579"/>
    <w:rsid w:val="00EE0D3B"/>
    <w:rsid w:val="00EE20BF"/>
    <w:rsid w:val="00EE2A8D"/>
    <w:rsid w:val="00EE2E61"/>
    <w:rsid w:val="00EE2F86"/>
    <w:rsid w:val="00EE3945"/>
    <w:rsid w:val="00EE478E"/>
    <w:rsid w:val="00EE4E6A"/>
    <w:rsid w:val="00EE54D7"/>
    <w:rsid w:val="00EE5BB7"/>
    <w:rsid w:val="00EE5DDA"/>
    <w:rsid w:val="00EE5F99"/>
    <w:rsid w:val="00EE657E"/>
    <w:rsid w:val="00EE661A"/>
    <w:rsid w:val="00EE677C"/>
    <w:rsid w:val="00EE67DF"/>
    <w:rsid w:val="00EE6D0D"/>
    <w:rsid w:val="00EF0185"/>
    <w:rsid w:val="00EF08D2"/>
    <w:rsid w:val="00EF08F4"/>
    <w:rsid w:val="00EF098A"/>
    <w:rsid w:val="00EF0ADB"/>
    <w:rsid w:val="00EF26DE"/>
    <w:rsid w:val="00EF2C4D"/>
    <w:rsid w:val="00EF3685"/>
    <w:rsid w:val="00EF3D76"/>
    <w:rsid w:val="00EF43BB"/>
    <w:rsid w:val="00EF43E8"/>
    <w:rsid w:val="00EF459D"/>
    <w:rsid w:val="00EF4F35"/>
    <w:rsid w:val="00EF4F65"/>
    <w:rsid w:val="00EF5BAD"/>
    <w:rsid w:val="00EF5C4D"/>
    <w:rsid w:val="00EF5C66"/>
    <w:rsid w:val="00EF5E1F"/>
    <w:rsid w:val="00EF6E2C"/>
    <w:rsid w:val="00F00895"/>
    <w:rsid w:val="00F00EF9"/>
    <w:rsid w:val="00F00F75"/>
    <w:rsid w:val="00F0159B"/>
    <w:rsid w:val="00F01A11"/>
    <w:rsid w:val="00F01DBE"/>
    <w:rsid w:val="00F02754"/>
    <w:rsid w:val="00F02D10"/>
    <w:rsid w:val="00F03A50"/>
    <w:rsid w:val="00F04078"/>
    <w:rsid w:val="00F04370"/>
    <w:rsid w:val="00F0493D"/>
    <w:rsid w:val="00F052F1"/>
    <w:rsid w:val="00F05436"/>
    <w:rsid w:val="00F05CE2"/>
    <w:rsid w:val="00F05FAE"/>
    <w:rsid w:val="00F07DD9"/>
    <w:rsid w:val="00F102FC"/>
    <w:rsid w:val="00F117AA"/>
    <w:rsid w:val="00F11EF3"/>
    <w:rsid w:val="00F12291"/>
    <w:rsid w:val="00F12729"/>
    <w:rsid w:val="00F12CE4"/>
    <w:rsid w:val="00F1377A"/>
    <w:rsid w:val="00F13836"/>
    <w:rsid w:val="00F13917"/>
    <w:rsid w:val="00F13D3D"/>
    <w:rsid w:val="00F14054"/>
    <w:rsid w:val="00F14278"/>
    <w:rsid w:val="00F142EC"/>
    <w:rsid w:val="00F14EDB"/>
    <w:rsid w:val="00F14EE4"/>
    <w:rsid w:val="00F15EF5"/>
    <w:rsid w:val="00F15F00"/>
    <w:rsid w:val="00F164D1"/>
    <w:rsid w:val="00F1744D"/>
    <w:rsid w:val="00F177AC"/>
    <w:rsid w:val="00F17A90"/>
    <w:rsid w:val="00F17F3D"/>
    <w:rsid w:val="00F2023B"/>
    <w:rsid w:val="00F2069F"/>
    <w:rsid w:val="00F2129C"/>
    <w:rsid w:val="00F21D0F"/>
    <w:rsid w:val="00F22076"/>
    <w:rsid w:val="00F22205"/>
    <w:rsid w:val="00F2266F"/>
    <w:rsid w:val="00F23839"/>
    <w:rsid w:val="00F2384F"/>
    <w:rsid w:val="00F23E4F"/>
    <w:rsid w:val="00F2471D"/>
    <w:rsid w:val="00F2588B"/>
    <w:rsid w:val="00F26B11"/>
    <w:rsid w:val="00F2712B"/>
    <w:rsid w:val="00F2786A"/>
    <w:rsid w:val="00F305B6"/>
    <w:rsid w:val="00F30DFB"/>
    <w:rsid w:val="00F3110B"/>
    <w:rsid w:val="00F31A5B"/>
    <w:rsid w:val="00F31DBC"/>
    <w:rsid w:val="00F3229D"/>
    <w:rsid w:val="00F32665"/>
    <w:rsid w:val="00F32C1F"/>
    <w:rsid w:val="00F32C5D"/>
    <w:rsid w:val="00F3323F"/>
    <w:rsid w:val="00F33530"/>
    <w:rsid w:val="00F3369A"/>
    <w:rsid w:val="00F34422"/>
    <w:rsid w:val="00F346EB"/>
    <w:rsid w:val="00F34C40"/>
    <w:rsid w:val="00F353DF"/>
    <w:rsid w:val="00F354B3"/>
    <w:rsid w:val="00F3605D"/>
    <w:rsid w:val="00F36331"/>
    <w:rsid w:val="00F3663D"/>
    <w:rsid w:val="00F36851"/>
    <w:rsid w:val="00F36B3B"/>
    <w:rsid w:val="00F36DDA"/>
    <w:rsid w:val="00F36F19"/>
    <w:rsid w:val="00F36F44"/>
    <w:rsid w:val="00F3729B"/>
    <w:rsid w:val="00F37BF2"/>
    <w:rsid w:val="00F40448"/>
    <w:rsid w:val="00F40E15"/>
    <w:rsid w:val="00F4123F"/>
    <w:rsid w:val="00F414A8"/>
    <w:rsid w:val="00F419A8"/>
    <w:rsid w:val="00F41EFF"/>
    <w:rsid w:val="00F425CA"/>
    <w:rsid w:val="00F42B17"/>
    <w:rsid w:val="00F430AE"/>
    <w:rsid w:val="00F43D82"/>
    <w:rsid w:val="00F440AD"/>
    <w:rsid w:val="00F441E5"/>
    <w:rsid w:val="00F4489B"/>
    <w:rsid w:val="00F44B7F"/>
    <w:rsid w:val="00F44E48"/>
    <w:rsid w:val="00F44E93"/>
    <w:rsid w:val="00F45340"/>
    <w:rsid w:val="00F45DBA"/>
    <w:rsid w:val="00F46B51"/>
    <w:rsid w:val="00F46D58"/>
    <w:rsid w:val="00F47036"/>
    <w:rsid w:val="00F4713B"/>
    <w:rsid w:val="00F47C05"/>
    <w:rsid w:val="00F47D9E"/>
    <w:rsid w:val="00F50259"/>
    <w:rsid w:val="00F507E7"/>
    <w:rsid w:val="00F52942"/>
    <w:rsid w:val="00F52991"/>
    <w:rsid w:val="00F53228"/>
    <w:rsid w:val="00F53551"/>
    <w:rsid w:val="00F53D32"/>
    <w:rsid w:val="00F54830"/>
    <w:rsid w:val="00F55386"/>
    <w:rsid w:val="00F55750"/>
    <w:rsid w:val="00F56552"/>
    <w:rsid w:val="00F60636"/>
    <w:rsid w:val="00F60995"/>
    <w:rsid w:val="00F60ED1"/>
    <w:rsid w:val="00F6237C"/>
    <w:rsid w:val="00F627A7"/>
    <w:rsid w:val="00F645AF"/>
    <w:rsid w:val="00F64977"/>
    <w:rsid w:val="00F655AE"/>
    <w:rsid w:val="00F660EF"/>
    <w:rsid w:val="00F67059"/>
    <w:rsid w:val="00F67339"/>
    <w:rsid w:val="00F67B3A"/>
    <w:rsid w:val="00F70BBF"/>
    <w:rsid w:val="00F70D56"/>
    <w:rsid w:val="00F70DE8"/>
    <w:rsid w:val="00F70EB0"/>
    <w:rsid w:val="00F70EC1"/>
    <w:rsid w:val="00F7330E"/>
    <w:rsid w:val="00F742C6"/>
    <w:rsid w:val="00F74CA3"/>
    <w:rsid w:val="00F75002"/>
    <w:rsid w:val="00F758C1"/>
    <w:rsid w:val="00F76B87"/>
    <w:rsid w:val="00F77653"/>
    <w:rsid w:val="00F779F6"/>
    <w:rsid w:val="00F800BF"/>
    <w:rsid w:val="00F80A8F"/>
    <w:rsid w:val="00F80EBD"/>
    <w:rsid w:val="00F81442"/>
    <w:rsid w:val="00F81664"/>
    <w:rsid w:val="00F81752"/>
    <w:rsid w:val="00F81A4D"/>
    <w:rsid w:val="00F82663"/>
    <w:rsid w:val="00F83359"/>
    <w:rsid w:val="00F83AA8"/>
    <w:rsid w:val="00F858A5"/>
    <w:rsid w:val="00F86878"/>
    <w:rsid w:val="00F868EC"/>
    <w:rsid w:val="00F86939"/>
    <w:rsid w:val="00F87115"/>
    <w:rsid w:val="00F87B7C"/>
    <w:rsid w:val="00F87E32"/>
    <w:rsid w:val="00F904A1"/>
    <w:rsid w:val="00F90DB7"/>
    <w:rsid w:val="00F91009"/>
    <w:rsid w:val="00F919CB"/>
    <w:rsid w:val="00F91D1D"/>
    <w:rsid w:val="00F91D79"/>
    <w:rsid w:val="00F91EF0"/>
    <w:rsid w:val="00F9282E"/>
    <w:rsid w:val="00F931F4"/>
    <w:rsid w:val="00F9467E"/>
    <w:rsid w:val="00F955B7"/>
    <w:rsid w:val="00F96252"/>
    <w:rsid w:val="00F96A17"/>
    <w:rsid w:val="00F96B3C"/>
    <w:rsid w:val="00F97872"/>
    <w:rsid w:val="00FA18ED"/>
    <w:rsid w:val="00FA2A6A"/>
    <w:rsid w:val="00FA2C88"/>
    <w:rsid w:val="00FA2F4A"/>
    <w:rsid w:val="00FA38EE"/>
    <w:rsid w:val="00FA3ED4"/>
    <w:rsid w:val="00FA55AB"/>
    <w:rsid w:val="00FA5CDD"/>
    <w:rsid w:val="00FA5F5B"/>
    <w:rsid w:val="00FA6265"/>
    <w:rsid w:val="00FA6363"/>
    <w:rsid w:val="00FA69ED"/>
    <w:rsid w:val="00FA6CB9"/>
    <w:rsid w:val="00FA7073"/>
    <w:rsid w:val="00FA7B3E"/>
    <w:rsid w:val="00FB0341"/>
    <w:rsid w:val="00FB0872"/>
    <w:rsid w:val="00FB1A56"/>
    <w:rsid w:val="00FB2E09"/>
    <w:rsid w:val="00FB32F8"/>
    <w:rsid w:val="00FB3748"/>
    <w:rsid w:val="00FB4461"/>
    <w:rsid w:val="00FB519D"/>
    <w:rsid w:val="00FB5B10"/>
    <w:rsid w:val="00FB5D18"/>
    <w:rsid w:val="00FB5E17"/>
    <w:rsid w:val="00FB5F55"/>
    <w:rsid w:val="00FB6A1F"/>
    <w:rsid w:val="00FB6C22"/>
    <w:rsid w:val="00FB6C43"/>
    <w:rsid w:val="00FB6E42"/>
    <w:rsid w:val="00FB7D06"/>
    <w:rsid w:val="00FC08AA"/>
    <w:rsid w:val="00FC110F"/>
    <w:rsid w:val="00FC141E"/>
    <w:rsid w:val="00FC169E"/>
    <w:rsid w:val="00FC1CC1"/>
    <w:rsid w:val="00FC1D9B"/>
    <w:rsid w:val="00FC2A57"/>
    <w:rsid w:val="00FC2C2B"/>
    <w:rsid w:val="00FC2CF6"/>
    <w:rsid w:val="00FC38B9"/>
    <w:rsid w:val="00FC3CD9"/>
    <w:rsid w:val="00FC4C5B"/>
    <w:rsid w:val="00FC53B0"/>
    <w:rsid w:val="00FC5A5B"/>
    <w:rsid w:val="00FC6166"/>
    <w:rsid w:val="00FC665F"/>
    <w:rsid w:val="00FC6CE2"/>
    <w:rsid w:val="00FC6EC2"/>
    <w:rsid w:val="00FC6FA1"/>
    <w:rsid w:val="00FC7408"/>
    <w:rsid w:val="00FD0627"/>
    <w:rsid w:val="00FD083D"/>
    <w:rsid w:val="00FD0AA8"/>
    <w:rsid w:val="00FD194B"/>
    <w:rsid w:val="00FD2202"/>
    <w:rsid w:val="00FD2818"/>
    <w:rsid w:val="00FD29E3"/>
    <w:rsid w:val="00FD303C"/>
    <w:rsid w:val="00FD308D"/>
    <w:rsid w:val="00FD31A5"/>
    <w:rsid w:val="00FD354B"/>
    <w:rsid w:val="00FD39E9"/>
    <w:rsid w:val="00FD3BA5"/>
    <w:rsid w:val="00FD3BAB"/>
    <w:rsid w:val="00FD44F7"/>
    <w:rsid w:val="00FD49BD"/>
    <w:rsid w:val="00FD4E65"/>
    <w:rsid w:val="00FD5BB2"/>
    <w:rsid w:val="00FD5C9C"/>
    <w:rsid w:val="00FD654A"/>
    <w:rsid w:val="00FD6BE0"/>
    <w:rsid w:val="00FD7145"/>
    <w:rsid w:val="00FE1D32"/>
    <w:rsid w:val="00FE2386"/>
    <w:rsid w:val="00FE286E"/>
    <w:rsid w:val="00FE3CFD"/>
    <w:rsid w:val="00FE6778"/>
    <w:rsid w:val="00FE738F"/>
    <w:rsid w:val="00FF0B49"/>
    <w:rsid w:val="00FF27B1"/>
    <w:rsid w:val="00FF2857"/>
    <w:rsid w:val="00FF2A4D"/>
    <w:rsid w:val="00FF2F8C"/>
    <w:rsid w:val="00FF3973"/>
    <w:rsid w:val="00FF47D0"/>
    <w:rsid w:val="00FF4829"/>
    <w:rsid w:val="00FF4943"/>
    <w:rsid w:val="00FF4CE4"/>
    <w:rsid w:val="00FF4D22"/>
    <w:rsid w:val="00FF4FF4"/>
    <w:rsid w:val="00FF686A"/>
    <w:rsid w:val="00FF6A2A"/>
    <w:rsid w:val="00FF6CFD"/>
    <w:rsid w:val="00FF6FF0"/>
    <w:rsid w:val="00FF7B35"/>
    <w:rsid w:val="01241074"/>
    <w:rsid w:val="027EB823"/>
    <w:rsid w:val="0368C728"/>
    <w:rsid w:val="05D0A1A2"/>
    <w:rsid w:val="062AB5CE"/>
    <w:rsid w:val="071AE159"/>
    <w:rsid w:val="09A44D8F"/>
    <w:rsid w:val="0A312ACB"/>
    <w:rsid w:val="0B1503CD"/>
    <w:rsid w:val="0CE09B81"/>
    <w:rsid w:val="13561C50"/>
    <w:rsid w:val="1407780A"/>
    <w:rsid w:val="14FC0CE1"/>
    <w:rsid w:val="1C0B020B"/>
    <w:rsid w:val="1EE3F49F"/>
    <w:rsid w:val="2572E1AF"/>
    <w:rsid w:val="2888B69A"/>
    <w:rsid w:val="289B486E"/>
    <w:rsid w:val="29891714"/>
    <w:rsid w:val="2A9EAAA8"/>
    <w:rsid w:val="2F66CE10"/>
    <w:rsid w:val="3327D168"/>
    <w:rsid w:val="335C9235"/>
    <w:rsid w:val="340B8779"/>
    <w:rsid w:val="349267D2"/>
    <w:rsid w:val="37F0693E"/>
    <w:rsid w:val="39FD98C6"/>
    <w:rsid w:val="3B182FEF"/>
    <w:rsid w:val="41C8862B"/>
    <w:rsid w:val="46524666"/>
    <w:rsid w:val="4A56B07D"/>
    <w:rsid w:val="4C158E04"/>
    <w:rsid w:val="5402E500"/>
    <w:rsid w:val="58F710FC"/>
    <w:rsid w:val="5B059F1C"/>
    <w:rsid w:val="5C983BD5"/>
    <w:rsid w:val="5EBE4CAD"/>
    <w:rsid w:val="5F90E78A"/>
    <w:rsid w:val="608DD090"/>
    <w:rsid w:val="62F77077"/>
    <w:rsid w:val="63EC47B6"/>
    <w:rsid w:val="670E7FBC"/>
    <w:rsid w:val="67BD3C29"/>
    <w:rsid w:val="698FA489"/>
    <w:rsid w:val="6E1D17DA"/>
    <w:rsid w:val="6F708CB5"/>
    <w:rsid w:val="6FC02EB2"/>
    <w:rsid w:val="706195B7"/>
    <w:rsid w:val="73B65AE5"/>
    <w:rsid w:val="74CEA120"/>
    <w:rsid w:val="7688EBEF"/>
    <w:rsid w:val="76C72448"/>
    <w:rsid w:val="796E43CC"/>
    <w:rsid w:val="7ABE673E"/>
    <w:rsid w:val="7B3E021B"/>
    <w:rsid w:val="7E5131F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0928B6B-43D9-4FDC-B0C9-462DB7766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C81"/>
    <w:pPr>
      <w:spacing w:after="120" w:line="240" w:lineRule="auto"/>
      <w:jc w:val="both"/>
    </w:pPr>
    <w:rPr>
      <w:rFonts w:ascii="Times New Roman" w:eastAsia="Times New Roman" w:hAnsi="Times New Roman" w:cs="Times New Roman"/>
      <w:sz w:val="24"/>
      <w:szCs w:val="20"/>
    </w:rPr>
  </w:style>
  <w:style w:type="paragraph" w:styleId="Heading1">
    <w:name w:val="heading 1"/>
    <w:aliases w:val=" Char"/>
    <w:basedOn w:val="Normal"/>
    <w:next w:val="Normal"/>
    <w:link w:val="Heading1Char"/>
    <w:uiPriority w:val="9"/>
    <w:qFormat/>
    <w:rsid w:val="00EB7534"/>
    <w:pPr>
      <w:keepNext/>
      <w:numPr>
        <w:numId w:val="354"/>
      </w:numPr>
      <w:spacing w:before="240"/>
      <w:outlineLvl w:val="0"/>
    </w:pPr>
    <w:rPr>
      <w:b/>
      <w:smallCaps/>
    </w:rPr>
  </w:style>
  <w:style w:type="paragraph" w:styleId="Heading2">
    <w:name w:val="heading 2"/>
    <w:basedOn w:val="Normal"/>
    <w:next w:val="Normal"/>
    <w:link w:val="Heading2Char"/>
    <w:uiPriority w:val="9"/>
    <w:qFormat/>
    <w:rsid w:val="00AA4F2C"/>
    <w:pPr>
      <w:keepNext/>
      <w:numPr>
        <w:ilvl w:val="1"/>
        <w:numId w:val="354"/>
      </w:numPr>
      <w:spacing w:before="120"/>
      <w:ind w:left="720"/>
      <w:outlineLvl w:val="1"/>
    </w:pPr>
  </w:style>
  <w:style w:type="paragraph" w:styleId="Heading3">
    <w:name w:val="heading 3"/>
    <w:basedOn w:val="Normal"/>
    <w:next w:val="Normal"/>
    <w:link w:val="Heading3Char"/>
    <w:uiPriority w:val="9"/>
    <w:qFormat/>
    <w:rsid w:val="00AA4F2C"/>
    <w:pPr>
      <w:keepNext/>
      <w:numPr>
        <w:ilvl w:val="2"/>
        <w:numId w:val="354"/>
      </w:numPr>
      <w:outlineLvl w:val="2"/>
    </w:pPr>
    <w:rPr>
      <w:i/>
    </w:rPr>
  </w:style>
  <w:style w:type="paragraph" w:styleId="Heading4">
    <w:name w:val="heading 4"/>
    <w:basedOn w:val="Normal"/>
    <w:next w:val="Normal"/>
    <w:link w:val="Heading4Char"/>
    <w:uiPriority w:val="9"/>
    <w:qFormat/>
    <w:rsid w:val="00EB7534"/>
    <w:pPr>
      <w:keepNext/>
      <w:numPr>
        <w:ilvl w:val="3"/>
        <w:numId w:val="354"/>
      </w:numPr>
      <w:outlineLvl w:val="3"/>
    </w:pPr>
  </w:style>
  <w:style w:type="paragraph" w:styleId="Heading5">
    <w:name w:val="heading 5"/>
    <w:basedOn w:val="Normal"/>
    <w:next w:val="Normal"/>
    <w:link w:val="Heading5Char"/>
    <w:qFormat/>
    <w:rsid w:val="003256E2"/>
    <w:pPr>
      <w:tabs>
        <w:tab w:val="num" w:pos="0"/>
      </w:tabs>
      <w:spacing w:before="240" w:after="60"/>
      <w:outlineLvl w:val="4"/>
    </w:pPr>
    <w:rPr>
      <w:rFonts w:ascii="Arial" w:hAnsi="Arial"/>
      <w:sz w:val="22"/>
    </w:rPr>
  </w:style>
  <w:style w:type="paragraph" w:styleId="Heading6">
    <w:name w:val="heading 6"/>
    <w:basedOn w:val="Normal"/>
    <w:next w:val="Normal"/>
    <w:link w:val="Heading6Char"/>
    <w:qFormat/>
    <w:rsid w:val="003256E2"/>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rsid w:val="003256E2"/>
    <w:pPr>
      <w:tabs>
        <w:tab w:val="num" w:pos="0"/>
      </w:tabs>
      <w:spacing w:before="240" w:after="60"/>
      <w:outlineLvl w:val="6"/>
    </w:pPr>
    <w:rPr>
      <w:rFonts w:ascii="Arial" w:hAnsi="Arial"/>
      <w:sz w:val="20"/>
    </w:rPr>
  </w:style>
  <w:style w:type="paragraph" w:styleId="Heading8">
    <w:name w:val="heading 8"/>
    <w:basedOn w:val="Normal"/>
    <w:next w:val="Normal"/>
    <w:link w:val="Heading8Char"/>
    <w:qFormat/>
    <w:rsid w:val="003256E2"/>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rsid w:val="003256E2"/>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
    <w:basedOn w:val="DefaultParagraphFont"/>
    <w:link w:val="Heading1"/>
    <w:uiPriority w:val="9"/>
    <w:rsid w:val="00EB7534"/>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uiPriority w:val="9"/>
    <w:rsid w:val="00AA4F2C"/>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AA4F2C"/>
    <w:rPr>
      <w:rFonts w:ascii="Times New Roman" w:eastAsia="Times New Roman" w:hAnsi="Times New Roman" w:cs="Times New Roman"/>
      <w:i/>
      <w:sz w:val="24"/>
      <w:szCs w:val="20"/>
    </w:rPr>
  </w:style>
  <w:style w:type="character" w:customStyle="1" w:styleId="Heading4Char">
    <w:name w:val="Heading 4 Char"/>
    <w:basedOn w:val="DefaultParagraphFont"/>
    <w:link w:val="Heading4"/>
    <w:uiPriority w:val="9"/>
    <w:rsid w:val="00EB7534"/>
    <w:rPr>
      <w:rFonts w:ascii="Times New Roman" w:eastAsia="Times New Roman" w:hAnsi="Times New Roman" w:cs="Times New Roman"/>
      <w:sz w:val="24"/>
      <w:szCs w:val="20"/>
    </w:rPr>
  </w:style>
  <w:style w:type="paragraph" w:styleId="ListBullet">
    <w:name w:val="List Bullet"/>
    <w:basedOn w:val="Normal"/>
    <w:link w:val="ListBulletChar"/>
    <w:rsid w:val="00EB7534"/>
    <w:pPr>
      <w:numPr>
        <w:numId w:val="1"/>
      </w:numPr>
    </w:pPr>
  </w:style>
  <w:style w:type="paragraph" w:customStyle="1" w:styleId="ListDash1">
    <w:name w:val="List Dash 1"/>
    <w:basedOn w:val="Normal"/>
    <w:rsid w:val="00EB7534"/>
    <w:pPr>
      <w:numPr>
        <w:numId w:val="2"/>
      </w:numPr>
    </w:pPr>
  </w:style>
  <w:style w:type="character" w:customStyle="1" w:styleId="ListBulletChar">
    <w:name w:val="List Bullet Char"/>
    <w:link w:val="ListBullet"/>
    <w:locked/>
    <w:rsid w:val="00EB7534"/>
    <w:rPr>
      <w:rFonts w:ascii="Times New Roman" w:eastAsia="Times New Roman" w:hAnsi="Times New Roman" w:cs="Times New Roman"/>
      <w:sz w:val="24"/>
      <w:szCs w:val="20"/>
    </w:rPr>
  </w:style>
  <w:style w:type="table" w:styleId="TableGrid">
    <w:name w:val="Table Grid"/>
    <w:aliases w:val="Tabellengitternetz"/>
    <w:basedOn w:val="TableNormal"/>
    <w:uiPriority w:val="39"/>
    <w:rsid w:val="00EB7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rsid w:val="001F2DE9"/>
    <w:pPr>
      <w:spacing w:after="0"/>
      <w:ind w:left="720" w:hanging="720"/>
    </w:pPr>
    <w:rPr>
      <w:sz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1F2DE9"/>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No"/>
    <w:link w:val="SUPERSChar"/>
    <w:uiPriority w:val="99"/>
    <w:qFormat/>
    <w:rsid w:val="001F2DE9"/>
    <w:rPr>
      <w:vertAlign w:val="superscript"/>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Ha,L"/>
    <w:basedOn w:val="Normal"/>
    <w:link w:val="ListParagraphChar"/>
    <w:uiPriority w:val="34"/>
    <w:qFormat/>
    <w:rsid w:val="00E86DAA"/>
    <w:pPr>
      <w:ind w:left="720"/>
      <w:contextualSpacing/>
    </w:pPr>
  </w:style>
  <w:style w:type="character" w:styleId="Hyperlink">
    <w:name w:val="Hyperlink"/>
    <w:uiPriority w:val="99"/>
    <w:rsid w:val="00E86DAA"/>
    <w:rPr>
      <w:color w:val="0000FF"/>
      <w:u w:val="single"/>
    </w:rPr>
  </w:style>
  <w:style w:type="paragraph" w:customStyle="1" w:styleId="Default">
    <w:name w:val="Default"/>
    <w:rsid w:val="0016301E"/>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EB7E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EDA"/>
    <w:rPr>
      <w:rFonts w:ascii="Tahoma" w:eastAsia="Times New Roman" w:hAnsi="Tahoma" w:cs="Tahoma"/>
      <w:sz w:val="16"/>
      <w:szCs w:val="16"/>
    </w:rPr>
  </w:style>
  <w:style w:type="paragraph" w:styleId="Header">
    <w:name w:val="header"/>
    <w:basedOn w:val="Normal"/>
    <w:link w:val="HeaderChar"/>
    <w:uiPriority w:val="99"/>
    <w:unhideWhenUsed/>
    <w:rsid w:val="00371DAB"/>
    <w:pPr>
      <w:tabs>
        <w:tab w:val="center" w:pos="4535"/>
        <w:tab w:val="right" w:pos="9071"/>
      </w:tabs>
    </w:pPr>
    <w:rPr>
      <w:rFonts w:eastAsiaTheme="minorHAnsi"/>
      <w:szCs w:val="22"/>
    </w:rPr>
  </w:style>
  <w:style w:type="character" w:customStyle="1" w:styleId="HeaderChar">
    <w:name w:val="Header Char"/>
    <w:basedOn w:val="DefaultParagraphFont"/>
    <w:link w:val="Header"/>
    <w:uiPriority w:val="99"/>
    <w:rsid w:val="00371DAB"/>
    <w:rPr>
      <w:rFonts w:ascii="Times New Roman" w:hAnsi="Times New Roman" w:cs="Times New Roman"/>
      <w:sz w:val="24"/>
    </w:rPr>
  </w:style>
  <w:style w:type="paragraph" w:styleId="Footer">
    <w:name w:val="footer"/>
    <w:basedOn w:val="Normal"/>
    <w:link w:val="FooterChar"/>
    <w:uiPriority w:val="99"/>
    <w:unhideWhenUsed/>
    <w:rsid w:val="00371DAB"/>
    <w:pPr>
      <w:tabs>
        <w:tab w:val="center" w:pos="4535"/>
        <w:tab w:val="right" w:pos="9071"/>
        <w:tab w:val="right" w:pos="9921"/>
      </w:tabs>
      <w:spacing w:before="360" w:after="0"/>
      <w:ind w:left="-850" w:right="-850"/>
      <w:jc w:val="left"/>
    </w:pPr>
    <w:rPr>
      <w:rFonts w:eastAsiaTheme="minorHAnsi"/>
      <w:szCs w:val="22"/>
    </w:rPr>
  </w:style>
  <w:style w:type="character" w:customStyle="1" w:styleId="FooterChar">
    <w:name w:val="Footer Char"/>
    <w:basedOn w:val="DefaultParagraphFont"/>
    <w:link w:val="Footer"/>
    <w:uiPriority w:val="99"/>
    <w:rsid w:val="00371DAB"/>
    <w:rPr>
      <w:rFonts w:ascii="Times New Roman" w:hAnsi="Times New Roman" w:cs="Times New Roman"/>
      <w:sz w:val="24"/>
    </w:rPr>
  </w:style>
  <w:style w:type="character" w:customStyle="1" w:styleId="apple-converted-space">
    <w:name w:val="apple-converted-space"/>
    <w:basedOn w:val="DefaultParagraphFont"/>
    <w:rsid w:val="00E24049"/>
  </w:style>
  <w:style w:type="character" w:styleId="CommentReference">
    <w:name w:val="annotation reference"/>
    <w:basedOn w:val="DefaultParagraphFont"/>
    <w:uiPriority w:val="99"/>
    <w:unhideWhenUsed/>
    <w:rsid w:val="00DF467D"/>
    <w:rPr>
      <w:sz w:val="16"/>
      <w:szCs w:val="16"/>
    </w:rPr>
  </w:style>
  <w:style w:type="paragraph" w:styleId="CommentText">
    <w:name w:val="annotation text"/>
    <w:basedOn w:val="Normal"/>
    <w:link w:val="CommentTextChar"/>
    <w:uiPriority w:val="99"/>
    <w:unhideWhenUsed/>
    <w:rsid w:val="00DF467D"/>
    <w:rPr>
      <w:sz w:val="20"/>
    </w:rPr>
  </w:style>
  <w:style w:type="character" w:customStyle="1" w:styleId="CommentTextChar">
    <w:name w:val="Comment Text Char"/>
    <w:basedOn w:val="DefaultParagraphFont"/>
    <w:link w:val="CommentText"/>
    <w:uiPriority w:val="99"/>
    <w:rsid w:val="00DF46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F467D"/>
    <w:rPr>
      <w:b/>
      <w:bCs/>
    </w:rPr>
  </w:style>
  <w:style w:type="character" w:customStyle="1" w:styleId="CommentSubjectChar">
    <w:name w:val="Comment Subject Char"/>
    <w:basedOn w:val="CommentTextChar"/>
    <w:link w:val="CommentSubject"/>
    <w:uiPriority w:val="99"/>
    <w:semiHidden/>
    <w:rsid w:val="00DF467D"/>
    <w:rPr>
      <w:rFonts w:ascii="Times New Roman" w:eastAsia="Times New Roman" w:hAnsi="Times New Roman" w:cs="Times New Roman"/>
      <w:b/>
      <w:bCs/>
      <w:sz w:val="20"/>
      <w:szCs w:val="20"/>
    </w:rPr>
  </w:style>
  <w:style w:type="character" w:styleId="Strong">
    <w:name w:val="Strong"/>
    <w:basedOn w:val="DefaultParagraphFont"/>
    <w:uiPriority w:val="22"/>
    <w:qFormat/>
    <w:rsid w:val="005C5A8C"/>
    <w:rPr>
      <w:b/>
      <w:bCs/>
    </w:rPr>
  </w:style>
  <w:style w:type="paragraph" w:customStyle="1" w:styleId="references">
    <w:name w:val="references"/>
    <w:basedOn w:val="Normal"/>
    <w:rsid w:val="001E3318"/>
    <w:pPr>
      <w:spacing w:before="100" w:beforeAutospacing="1" w:after="100" w:afterAutospacing="1"/>
      <w:jc w:val="left"/>
    </w:pPr>
    <w:rPr>
      <w:szCs w:val="24"/>
      <w:lang w:eastAsia="en-GB"/>
    </w:rPr>
  </w:style>
  <w:style w:type="paragraph" w:customStyle="1" w:styleId="ZCom">
    <w:name w:val="Z_Com"/>
    <w:basedOn w:val="Normal"/>
    <w:next w:val="ZDGName"/>
    <w:uiPriority w:val="99"/>
    <w:rsid w:val="008A6107"/>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8A6107"/>
    <w:pPr>
      <w:widowControl w:val="0"/>
      <w:autoSpaceDE w:val="0"/>
      <w:autoSpaceDN w:val="0"/>
      <w:spacing w:after="0"/>
      <w:ind w:right="85"/>
      <w:jc w:val="left"/>
    </w:pPr>
    <w:rPr>
      <w:rFonts w:ascii="Arial" w:eastAsiaTheme="minorEastAsia" w:hAnsi="Arial" w:cs="Arial"/>
      <w:sz w:val="16"/>
      <w:szCs w:val="16"/>
      <w:lang w:eastAsia="en-GB"/>
    </w:rPr>
  </w:style>
  <w:style w:type="paragraph" w:styleId="TOCHeading">
    <w:name w:val="TOC Heading"/>
    <w:basedOn w:val="Heading1"/>
    <w:next w:val="Normal"/>
    <w:uiPriority w:val="39"/>
    <w:unhideWhenUsed/>
    <w:qFormat/>
    <w:rsid w:val="008A6107"/>
    <w:pPr>
      <w:keepLines/>
      <w:tabs>
        <w:tab w:val="clear" w:pos="480"/>
      </w:tabs>
      <w:spacing w:before="480" w:after="0" w:line="276" w:lineRule="auto"/>
      <w:ind w:left="0" w:firstLine="0"/>
      <w:jc w:val="left"/>
      <w:outlineLvl w:val="9"/>
    </w:pPr>
    <w:rPr>
      <w:rFonts w:asciiTheme="majorHAnsi" w:eastAsiaTheme="majorEastAsia" w:hAnsiTheme="majorHAnsi" w:cstheme="majorBidi"/>
      <w:bCs/>
      <w:smallCaps w:val="0"/>
      <w:color w:val="365F91" w:themeColor="accent1" w:themeShade="BF"/>
      <w:sz w:val="28"/>
      <w:szCs w:val="28"/>
      <w:lang w:val="en-US" w:eastAsia="ja-JP"/>
    </w:rPr>
  </w:style>
  <w:style w:type="paragraph" w:styleId="TOC1">
    <w:name w:val="toc 1"/>
    <w:basedOn w:val="Normal"/>
    <w:next w:val="Normal"/>
    <w:autoRedefine/>
    <w:uiPriority w:val="39"/>
    <w:unhideWhenUsed/>
    <w:qFormat/>
    <w:rsid w:val="003A66A4"/>
    <w:pPr>
      <w:tabs>
        <w:tab w:val="left" w:pos="480"/>
        <w:tab w:val="right" w:leader="dot" w:pos="9062"/>
      </w:tabs>
      <w:spacing w:after="100"/>
    </w:pPr>
  </w:style>
  <w:style w:type="paragraph" w:styleId="TOC2">
    <w:name w:val="toc 2"/>
    <w:basedOn w:val="Normal"/>
    <w:next w:val="Normal"/>
    <w:autoRedefine/>
    <w:uiPriority w:val="39"/>
    <w:unhideWhenUsed/>
    <w:qFormat/>
    <w:rsid w:val="00B2042A"/>
    <w:pPr>
      <w:tabs>
        <w:tab w:val="left" w:pos="709"/>
        <w:tab w:val="right" w:leader="dot" w:pos="9062"/>
      </w:tabs>
      <w:spacing w:after="100"/>
      <w:ind w:left="240"/>
    </w:pPr>
  </w:style>
  <w:style w:type="paragraph" w:styleId="TOC3">
    <w:name w:val="toc 3"/>
    <w:basedOn w:val="Normal"/>
    <w:next w:val="Normal"/>
    <w:autoRedefine/>
    <w:uiPriority w:val="39"/>
    <w:unhideWhenUsed/>
    <w:qFormat/>
    <w:rsid w:val="00FA7B3E"/>
    <w:pPr>
      <w:tabs>
        <w:tab w:val="left" w:pos="1134"/>
        <w:tab w:val="right" w:leader="dot" w:pos="9062"/>
      </w:tabs>
      <w:spacing w:after="100"/>
      <w:ind w:left="480"/>
    </w:pPr>
  </w:style>
  <w:style w:type="paragraph" w:customStyle="1" w:styleId="Pa31">
    <w:name w:val="Pa31"/>
    <w:basedOn w:val="Default"/>
    <w:next w:val="Default"/>
    <w:uiPriority w:val="99"/>
    <w:rsid w:val="00B738B5"/>
    <w:pPr>
      <w:spacing w:line="161" w:lineRule="atLeast"/>
    </w:pPr>
    <w:rPr>
      <w:rFonts w:ascii="Arial Narrow" w:eastAsiaTheme="minorHAnsi" w:hAnsi="Arial Narrow" w:cstheme="minorBidi"/>
      <w:color w:val="auto"/>
      <w:lang w:eastAsia="en-US"/>
    </w:rPr>
  </w:style>
  <w:style w:type="paragraph" w:styleId="EndnoteText">
    <w:name w:val="endnote text"/>
    <w:basedOn w:val="Normal"/>
    <w:link w:val="EndnoteTextChar"/>
    <w:uiPriority w:val="99"/>
    <w:semiHidden/>
    <w:unhideWhenUsed/>
    <w:rsid w:val="00B738B5"/>
    <w:pPr>
      <w:spacing w:after="0"/>
      <w:jc w:val="left"/>
    </w:pPr>
    <w:rPr>
      <w:rFonts w:asciiTheme="minorHAnsi" w:eastAsiaTheme="minorHAnsi" w:hAnsiTheme="minorHAnsi" w:cstheme="minorBidi"/>
      <w:sz w:val="20"/>
    </w:rPr>
  </w:style>
  <w:style w:type="character" w:customStyle="1" w:styleId="EndnoteTextChar">
    <w:name w:val="Endnote Text Char"/>
    <w:basedOn w:val="DefaultParagraphFont"/>
    <w:link w:val="EndnoteText"/>
    <w:uiPriority w:val="99"/>
    <w:semiHidden/>
    <w:rsid w:val="00B738B5"/>
    <w:rPr>
      <w:sz w:val="20"/>
      <w:szCs w:val="20"/>
    </w:rPr>
  </w:style>
  <w:style w:type="character" w:styleId="EndnoteReference">
    <w:name w:val="endnote reference"/>
    <w:basedOn w:val="DefaultParagraphFont"/>
    <w:uiPriority w:val="99"/>
    <w:semiHidden/>
    <w:unhideWhenUsed/>
    <w:rsid w:val="00B738B5"/>
    <w:rPr>
      <w:vertAlign w:val="superscript"/>
    </w:rPr>
  </w:style>
  <w:style w:type="paragraph" w:customStyle="1" w:styleId="SUPERSChar">
    <w:name w:val="SUPERS Char"/>
    <w:aliases w:val="EN Footnote Reference Char"/>
    <w:basedOn w:val="Normal"/>
    <w:link w:val="FootnoteReference"/>
    <w:uiPriority w:val="99"/>
    <w:rsid w:val="001F2DE9"/>
    <w:pPr>
      <w:widowControl w:val="0"/>
      <w:adjustRightInd w:val="0"/>
      <w:spacing w:after="160" w:line="240" w:lineRule="exact"/>
      <w:ind w:left="720" w:hanging="720"/>
    </w:pPr>
    <w:rPr>
      <w:rFonts w:asciiTheme="minorHAnsi" w:eastAsiaTheme="minorHAnsi" w:hAnsiTheme="minorHAnsi" w:cstheme="minorBidi"/>
      <w:sz w:val="22"/>
      <w:szCs w:val="22"/>
      <w:vertAlign w:val="superscript"/>
    </w:rPr>
  </w:style>
  <w:style w:type="character" w:styleId="FollowedHyperlink">
    <w:name w:val="FollowedHyperlink"/>
    <w:basedOn w:val="DefaultParagraphFont"/>
    <w:uiPriority w:val="99"/>
    <w:semiHidden/>
    <w:unhideWhenUsed/>
    <w:rsid w:val="00FB5B10"/>
    <w:rPr>
      <w:color w:val="800080" w:themeColor="followedHyperlink"/>
      <w:u w:val="single"/>
    </w:rPr>
  </w:style>
  <w:style w:type="paragraph" w:styleId="Caption">
    <w:name w:val="caption"/>
    <w:aliases w:val="Caption Char Char Char,Caption-tables,Caption SMJ,Caption AJAE,Caption AJAE1,Caption AJAE2,Caption AJAE3,Caption AJAE4,Caption SMJ1,Caption AJAE5,Caption AJAE11,Caption AJAE21,Caption AJAE31,Caption AJAE41,Caption SMJ2,Caption AJAE6,Caption SMJ3"/>
    <w:basedOn w:val="Normal"/>
    <w:next w:val="Normal"/>
    <w:link w:val="CaptionChar"/>
    <w:uiPriority w:val="35"/>
    <w:unhideWhenUsed/>
    <w:qFormat/>
    <w:rsid w:val="00245619"/>
    <w:pPr>
      <w:spacing w:after="200"/>
    </w:pPr>
    <w:rPr>
      <w:b/>
      <w:bCs/>
      <w:color w:val="4F81BD" w:themeColor="accent1"/>
      <w:sz w:val="18"/>
      <w:szCs w:val="18"/>
    </w:rPr>
  </w:style>
  <w:style w:type="paragraph" w:customStyle="1" w:styleId="Text1">
    <w:name w:val="Text 1"/>
    <w:basedOn w:val="Normal"/>
    <w:rsid w:val="00245619"/>
    <w:pPr>
      <w:ind w:left="482"/>
    </w:pPr>
  </w:style>
  <w:style w:type="paragraph" w:customStyle="1" w:styleId="Standard">
    <w:name w:val="Standard"/>
    <w:rsid w:val="004D1C9C"/>
    <w:pPr>
      <w:suppressAutoHyphens/>
      <w:autoSpaceDN w:val="0"/>
      <w:spacing w:after="240" w:line="240" w:lineRule="auto"/>
      <w:jc w:val="both"/>
      <w:textAlignment w:val="baseline"/>
    </w:pPr>
    <w:rPr>
      <w:rFonts w:ascii="Times New Roman" w:eastAsia="Times New Roman" w:hAnsi="Times New Roman" w:cs="Times New Roman"/>
      <w:kern w:val="3"/>
      <w:sz w:val="24"/>
      <w:szCs w:val="20"/>
    </w:rPr>
  </w:style>
  <w:style w:type="paragraph" w:styleId="NormalWeb">
    <w:name w:val="Normal (Web)"/>
    <w:basedOn w:val="Normal"/>
    <w:uiPriority w:val="99"/>
    <w:unhideWhenUsed/>
    <w:rsid w:val="005B0BD8"/>
    <w:rPr>
      <w:szCs w:val="24"/>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sid w:val="00F81664"/>
    <w:rPr>
      <w:rFonts w:ascii="Times New Roman" w:eastAsia="Times New Roman" w:hAnsi="Times New Roman" w:cs="Times New Roman"/>
      <w:sz w:val="24"/>
      <w:szCs w:val="20"/>
    </w:rPr>
  </w:style>
  <w:style w:type="paragraph" w:styleId="ListBullet5">
    <w:name w:val="List Bullet 5"/>
    <w:basedOn w:val="Normal"/>
    <w:autoRedefine/>
    <w:rsid w:val="00B81FE2"/>
    <w:pPr>
      <w:numPr>
        <w:numId w:val="47"/>
      </w:numPr>
    </w:pPr>
  </w:style>
  <w:style w:type="paragraph" w:customStyle="1" w:styleId="CM1">
    <w:name w:val="CM1"/>
    <w:basedOn w:val="Default"/>
    <w:next w:val="Default"/>
    <w:uiPriority w:val="99"/>
    <w:rsid w:val="002F3920"/>
    <w:rPr>
      <w:rFonts w:ascii="EUAlbertina" w:eastAsiaTheme="minorHAnsi" w:hAnsi="EUAlbertina" w:cstheme="minorBidi"/>
      <w:color w:val="auto"/>
      <w:lang w:eastAsia="en-US"/>
    </w:rPr>
  </w:style>
  <w:style w:type="paragraph" w:customStyle="1" w:styleId="CM3">
    <w:name w:val="CM3"/>
    <w:basedOn w:val="Default"/>
    <w:next w:val="Default"/>
    <w:uiPriority w:val="99"/>
    <w:rsid w:val="002F3920"/>
    <w:rPr>
      <w:rFonts w:ascii="EUAlbertina" w:eastAsiaTheme="minorHAnsi" w:hAnsi="EUAlbertina" w:cstheme="minorBidi"/>
      <w:color w:val="auto"/>
      <w:lang w:eastAsia="en-US"/>
    </w:rPr>
  </w:style>
  <w:style w:type="paragraph" w:customStyle="1" w:styleId="CM4">
    <w:name w:val="CM4"/>
    <w:basedOn w:val="Default"/>
    <w:next w:val="Default"/>
    <w:uiPriority w:val="99"/>
    <w:rsid w:val="002F3920"/>
    <w:rPr>
      <w:rFonts w:ascii="EUAlbertina" w:eastAsiaTheme="minorHAnsi" w:hAnsi="EUAlbertina" w:cstheme="minorBidi"/>
      <w:color w:val="auto"/>
      <w:lang w:eastAsia="en-US"/>
    </w:rPr>
  </w:style>
  <w:style w:type="paragraph" w:customStyle="1" w:styleId="Text3">
    <w:name w:val="Text 3"/>
    <w:basedOn w:val="Normal"/>
    <w:rsid w:val="00836321"/>
    <w:pPr>
      <w:tabs>
        <w:tab w:val="left" w:pos="2302"/>
      </w:tabs>
      <w:ind w:left="1202"/>
    </w:pPr>
  </w:style>
  <w:style w:type="character" w:customStyle="1" w:styleId="Bodytext2">
    <w:name w:val="Body text (2)_"/>
    <w:basedOn w:val="DefaultParagraphFont"/>
    <w:link w:val="Bodytext20"/>
    <w:rsid w:val="00240323"/>
    <w:rPr>
      <w:shd w:val="clear" w:color="auto" w:fill="FFFFFF"/>
    </w:rPr>
  </w:style>
  <w:style w:type="character" w:customStyle="1" w:styleId="Bodytext211pt">
    <w:name w:val="Body text (2) + 11 pt"/>
    <w:aliases w:val="Bold"/>
    <w:basedOn w:val="Bodytext2"/>
    <w:rsid w:val="00240323"/>
    <w:rPr>
      <w:rFonts w:ascii="Times New Roman" w:eastAsia="Times New Roman" w:hAnsi="Times New Roman" w:cs="Times New Roman"/>
      <w:b/>
      <w:bCs/>
      <w:color w:val="000000"/>
      <w:spacing w:val="0"/>
      <w:w w:val="100"/>
      <w:position w:val="0"/>
      <w:sz w:val="22"/>
      <w:szCs w:val="22"/>
      <w:shd w:val="clear" w:color="auto" w:fill="FFFFFF"/>
      <w:lang w:val="en-US" w:eastAsia="en-US" w:bidi="en-US"/>
    </w:rPr>
  </w:style>
  <w:style w:type="character" w:customStyle="1" w:styleId="Bodytext295pt">
    <w:name w:val="Body text (2) + 9.5 pt"/>
    <w:basedOn w:val="Bodytext2"/>
    <w:rsid w:val="00240323"/>
    <w:rPr>
      <w:rFonts w:ascii="Times New Roman" w:eastAsia="Times New Roman" w:hAnsi="Times New Roman" w:cs="Times New Roman"/>
      <w:color w:val="000000"/>
      <w:spacing w:val="0"/>
      <w:w w:val="100"/>
      <w:position w:val="0"/>
      <w:sz w:val="19"/>
      <w:szCs w:val="19"/>
      <w:shd w:val="clear" w:color="auto" w:fill="FFFFFF"/>
      <w:lang w:val="en-US" w:eastAsia="en-US" w:bidi="en-US"/>
    </w:rPr>
  </w:style>
  <w:style w:type="character" w:customStyle="1" w:styleId="Tablecaption5">
    <w:name w:val="Table caption (5)_"/>
    <w:basedOn w:val="DefaultParagraphFont"/>
    <w:rsid w:val="00240323"/>
    <w:rPr>
      <w:b w:val="0"/>
      <w:bCs w:val="0"/>
      <w:i w:val="0"/>
      <w:iCs w:val="0"/>
      <w:smallCaps w:val="0"/>
      <w:strike w:val="0"/>
      <w:u w:val="none"/>
    </w:rPr>
  </w:style>
  <w:style w:type="character" w:customStyle="1" w:styleId="Tablecaption50">
    <w:name w:val="Table caption (5)"/>
    <w:basedOn w:val="Tablecaption5"/>
    <w:rsid w:val="002403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paragraph" w:customStyle="1" w:styleId="Bodytext20">
    <w:name w:val="Body text (2)"/>
    <w:basedOn w:val="Normal"/>
    <w:link w:val="Bodytext2"/>
    <w:rsid w:val="00240323"/>
    <w:pPr>
      <w:widowControl w:val="0"/>
      <w:shd w:val="clear" w:color="auto" w:fill="FFFFFF"/>
      <w:spacing w:before="1180" w:after="1360" w:line="278" w:lineRule="exact"/>
      <w:ind w:hanging="880"/>
      <w:jc w:val="left"/>
    </w:pPr>
    <w:rPr>
      <w:rFonts w:asciiTheme="minorHAnsi" w:eastAsiaTheme="minorHAnsi" w:hAnsiTheme="minorHAnsi" w:cstheme="minorBidi"/>
      <w:sz w:val="22"/>
      <w:szCs w:val="22"/>
    </w:rPr>
  </w:style>
  <w:style w:type="paragraph" w:styleId="Revision">
    <w:name w:val="Revision"/>
    <w:hidden/>
    <w:uiPriority w:val="99"/>
    <w:semiHidden/>
    <w:rsid w:val="006402BB"/>
    <w:pPr>
      <w:spacing w:after="0" w:line="240" w:lineRule="auto"/>
    </w:pPr>
    <w:rPr>
      <w:rFonts w:ascii="Times New Roman" w:eastAsia="Times New Roman" w:hAnsi="Times New Roman" w:cs="Times New Roman"/>
      <w:sz w:val="24"/>
      <w:szCs w:val="20"/>
    </w:rPr>
  </w:style>
  <w:style w:type="paragraph" w:styleId="ListBullet2">
    <w:name w:val="List Bullet 2"/>
    <w:basedOn w:val="Normal"/>
    <w:unhideWhenUsed/>
    <w:rsid w:val="00B0514F"/>
    <w:pPr>
      <w:numPr>
        <w:numId w:val="78"/>
      </w:numPr>
      <w:ind w:left="454" w:hanging="454"/>
    </w:pPr>
    <w:rPr>
      <w:sz w:val="22"/>
    </w:rPr>
  </w:style>
  <w:style w:type="character" w:customStyle="1" w:styleId="Heading5Char">
    <w:name w:val="Heading 5 Char"/>
    <w:basedOn w:val="DefaultParagraphFont"/>
    <w:link w:val="Heading5"/>
    <w:rsid w:val="003256E2"/>
    <w:rPr>
      <w:rFonts w:ascii="Arial" w:eastAsia="Times New Roman" w:hAnsi="Arial" w:cs="Times New Roman"/>
      <w:szCs w:val="20"/>
    </w:rPr>
  </w:style>
  <w:style w:type="character" w:customStyle="1" w:styleId="Heading6Char">
    <w:name w:val="Heading 6 Char"/>
    <w:basedOn w:val="DefaultParagraphFont"/>
    <w:link w:val="Heading6"/>
    <w:rsid w:val="003256E2"/>
    <w:rPr>
      <w:rFonts w:ascii="Arial" w:eastAsia="Times New Roman" w:hAnsi="Arial" w:cs="Times New Roman"/>
      <w:i/>
      <w:szCs w:val="20"/>
    </w:rPr>
  </w:style>
  <w:style w:type="character" w:customStyle="1" w:styleId="Heading7Char">
    <w:name w:val="Heading 7 Char"/>
    <w:basedOn w:val="DefaultParagraphFont"/>
    <w:link w:val="Heading7"/>
    <w:rsid w:val="003256E2"/>
    <w:rPr>
      <w:rFonts w:ascii="Arial" w:eastAsia="Times New Roman" w:hAnsi="Arial" w:cs="Times New Roman"/>
      <w:sz w:val="20"/>
      <w:szCs w:val="20"/>
    </w:rPr>
  </w:style>
  <w:style w:type="character" w:customStyle="1" w:styleId="Heading8Char">
    <w:name w:val="Heading 8 Char"/>
    <w:basedOn w:val="DefaultParagraphFont"/>
    <w:link w:val="Heading8"/>
    <w:rsid w:val="003256E2"/>
    <w:rPr>
      <w:rFonts w:ascii="Arial" w:eastAsia="Times New Roman" w:hAnsi="Arial" w:cs="Times New Roman"/>
      <w:i/>
      <w:sz w:val="20"/>
      <w:szCs w:val="20"/>
    </w:rPr>
  </w:style>
  <w:style w:type="character" w:customStyle="1" w:styleId="Heading9Char">
    <w:name w:val="Heading 9 Char"/>
    <w:basedOn w:val="DefaultParagraphFont"/>
    <w:link w:val="Heading9"/>
    <w:rsid w:val="003256E2"/>
    <w:rPr>
      <w:rFonts w:ascii="Arial" w:eastAsia="Times New Roman" w:hAnsi="Arial" w:cs="Times New Roman"/>
      <w:i/>
      <w:sz w:val="18"/>
      <w:szCs w:val="20"/>
    </w:rPr>
  </w:style>
  <w:style w:type="paragraph" w:customStyle="1" w:styleId="Text2">
    <w:name w:val="Text 2"/>
    <w:basedOn w:val="Normal"/>
    <w:rsid w:val="003256E2"/>
    <w:pPr>
      <w:tabs>
        <w:tab w:val="left" w:pos="2302"/>
      </w:tabs>
      <w:ind w:left="1202"/>
    </w:pPr>
  </w:style>
  <w:style w:type="paragraph" w:customStyle="1" w:styleId="Text4">
    <w:name w:val="Text 4"/>
    <w:basedOn w:val="Normal"/>
    <w:rsid w:val="003256E2"/>
    <w:pPr>
      <w:tabs>
        <w:tab w:val="left" w:pos="2302"/>
      </w:tabs>
      <w:ind w:left="1202"/>
    </w:pPr>
  </w:style>
  <w:style w:type="paragraph" w:customStyle="1" w:styleId="Address">
    <w:name w:val="Address"/>
    <w:basedOn w:val="Normal"/>
    <w:rsid w:val="003256E2"/>
    <w:pPr>
      <w:spacing w:after="0"/>
      <w:jc w:val="left"/>
    </w:pPr>
  </w:style>
  <w:style w:type="paragraph" w:customStyle="1" w:styleId="AddressTL">
    <w:name w:val="AddressTL"/>
    <w:basedOn w:val="Normal"/>
    <w:next w:val="Normal"/>
    <w:rsid w:val="003256E2"/>
    <w:pPr>
      <w:spacing w:after="720"/>
      <w:jc w:val="left"/>
    </w:pPr>
  </w:style>
  <w:style w:type="paragraph" w:customStyle="1" w:styleId="AddressTR">
    <w:name w:val="AddressTR"/>
    <w:basedOn w:val="Normal"/>
    <w:next w:val="Normal"/>
    <w:rsid w:val="003256E2"/>
    <w:pPr>
      <w:spacing w:after="720"/>
      <w:ind w:left="5103"/>
      <w:jc w:val="left"/>
    </w:pPr>
  </w:style>
  <w:style w:type="paragraph" w:styleId="BlockText">
    <w:name w:val="Block Text"/>
    <w:basedOn w:val="Normal"/>
    <w:rsid w:val="003256E2"/>
    <w:pPr>
      <w:ind w:left="1440" w:right="1440"/>
    </w:p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3256E2"/>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3256E2"/>
    <w:rPr>
      <w:rFonts w:ascii="Times New Roman" w:eastAsia="Times New Roman" w:hAnsi="Times New Roman" w:cs="Times New Roman"/>
      <w:sz w:val="24"/>
      <w:szCs w:val="20"/>
    </w:rPr>
  </w:style>
  <w:style w:type="paragraph" w:styleId="BodyText21">
    <w:name w:val="Body Text 2"/>
    <w:basedOn w:val="Normal"/>
    <w:link w:val="BodyText2Char"/>
    <w:rsid w:val="003256E2"/>
    <w:pPr>
      <w:spacing w:line="480" w:lineRule="auto"/>
    </w:pPr>
  </w:style>
  <w:style w:type="character" w:customStyle="1" w:styleId="BodyText2Char">
    <w:name w:val="Body Text 2 Char"/>
    <w:basedOn w:val="DefaultParagraphFont"/>
    <w:link w:val="BodyText21"/>
    <w:rsid w:val="003256E2"/>
    <w:rPr>
      <w:rFonts w:ascii="Times New Roman" w:eastAsia="Times New Roman" w:hAnsi="Times New Roman" w:cs="Times New Roman"/>
      <w:sz w:val="24"/>
      <w:szCs w:val="20"/>
    </w:rPr>
  </w:style>
  <w:style w:type="paragraph" w:styleId="BodyText3">
    <w:name w:val="Body Text 3"/>
    <w:basedOn w:val="Normal"/>
    <w:link w:val="BodyText3Char"/>
    <w:rsid w:val="003256E2"/>
    <w:rPr>
      <w:sz w:val="16"/>
    </w:rPr>
  </w:style>
  <w:style w:type="character" w:customStyle="1" w:styleId="BodyText3Char">
    <w:name w:val="Body Text 3 Char"/>
    <w:basedOn w:val="DefaultParagraphFont"/>
    <w:link w:val="BodyText3"/>
    <w:rsid w:val="003256E2"/>
    <w:rPr>
      <w:rFonts w:ascii="Times New Roman" w:eastAsia="Times New Roman" w:hAnsi="Times New Roman" w:cs="Times New Roman"/>
      <w:sz w:val="16"/>
      <w:szCs w:val="20"/>
    </w:rPr>
  </w:style>
  <w:style w:type="paragraph" w:styleId="BodyTextFirstIndent">
    <w:name w:val="Body Text First Indent"/>
    <w:basedOn w:val="BodyText"/>
    <w:link w:val="BodyTextFirstIndentChar"/>
    <w:rsid w:val="003256E2"/>
    <w:pPr>
      <w:ind w:firstLine="210"/>
    </w:pPr>
  </w:style>
  <w:style w:type="character" w:customStyle="1" w:styleId="BodyTextFirstIndentChar">
    <w:name w:val="Body Text First Indent Char"/>
    <w:basedOn w:val="BodyTextChar"/>
    <w:link w:val="BodyTextFirstIndent"/>
    <w:rsid w:val="003256E2"/>
    <w:rPr>
      <w:rFonts w:ascii="Times New Roman" w:eastAsia="Times New Roman" w:hAnsi="Times New Roman" w:cs="Times New Roman"/>
      <w:sz w:val="24"/>
      <w:szCs w:val="20"/>
    </w:rPr>
  </w:style>
  <w:style w:type="paragraph" w:styleId="BodyTextIndent">
    <w:name w:val="Body Text Indent"/>
    <w:basedOn w:val="Normal"/>
    <w:link w:val="BodyTextIndentChar"/>
    <w:rsid w:val="003256E2"/>
    <w:pPr>
      <w:ind w:left="283"/>
    </w:pPr>
  </w:style>
  <w:style w:type="character" w:customStyle="1" w:styleId="BodyTextIndentChar">
    <w:name w:val="Body Text Indent Char"/>
    <w:basedOn w:val="DefaultParagraphFont"/>
    <w:link w:val="BodyTextIndent"/>
    <w:rsid w:val="003256E2"/>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rsid w:val="003256E2"/>
    <w:pPr>
      <w:ind w:firstLine="210"/>
    </w:pPr>
  </w:style>
  <w:style w:type="character" w:customStyle="1" w:styleId="BodyTextFirstIndent2Char">
    <w:name w:val="Body Text First Indent 2 Char"/>
    <w:basedOn w:val="BodyTextIndentChar"/>
    <w:link w:val="BodyTextFirstIndent2"/>
    <w:rsid w:val="003256E2"/>
    <w:rPr>
      <w:rFonts w:ascii="Times New Roman" w:eastAsia="Times New Roman" w:hAnsi="Times New Roman" w:cs="Times New Roman"/>
      <w:sz w:val="24"/>
      <w:szCs w:val="20"/>
    </w:rPr>
  </w:style>
  <w:style w:type="paragraph" w:styleId="BodyTextIndent2">
    <w:name w:val="Body Text Indent 2"/>
    <w:basedOn w:val="Normal"/>
    <w:link w:val="BodyTextIndent2Char"/>
    <w:rsid w:val="003256E2"/>
    <w:pPr>
      <w:spacing w:line="480" w:lineRule="auto"/>
      <w:ind w:left="283"/>
    </w:pPr>
  </w:style>
  <w:style w:type="character" w:customStyle="1" w:styleId="BodyTextIndent2Char">
    <w:name w:val="Body Text Indent 2 Char"/>
    <w:basedOn w:val="DefaultParagraphFont"/>
    <w:link w:val="BodyTextIndent2"/>
    <w:rsid w:val="003256E2"/>
    <w:rPr>
      <w:rFonts w:ascii="Times New Roman" w:eastAsia="Times New Roman" w:hAnsi="Times New Roman" w:cs="Times New Roman"/>
      <w:sz w:val="24"/>
      <w:szCs w:val="20"/>
    </w:rPr>
  </w:style>
  <w:style w:type="paragraph" w:styleId="BodyTextIndent3">
    <w:name w:val="Body Text Indent 3"/>
    <w:basedOn w:val="Normal"/>
    <w:link w:val="BodyTextIndent3Char"/>
    <w:rsid w:val="003256E2"/>
    <w:pPr>
      <w:ind w:left="283"/>
    </w:pPr>
    <w:rPr>
      <w:sz w:val="16"/>
    </w:rPr>
  </w:style>
  <w:style w:type="character" w:customStyle="1" w:styleId="BodyTextIndent3Char">
    <w:name w:val="Body Text Indent 3 Char"/>
    <w:basedOn w:val="DefaultParagraphFont"/>
    <w:link w:val="BodyTextIndent3"/>
    <w:rsid w:val="003256E2"/>
    <w:rPr>
      <w:rFonts w:ascii="Times New Roman" w:eastAsia="Times New Roman" w:hAnsi="Times New Roman" w:cs="Times New Roman"/>
      <w:sz w:val="16"/>
      <w:szCs w:val="20"/>
    </w:rPr>
  </w:style>
  <w:style w:type="paragraph" w:customStyle="1" w:styleId="ChapterTitle">
    <w:name w:val="ChapterTitle"/>
    <w:basedOn w:val="Normal"/>
    <w:next w:val="SectionTitle"/>
    <w:rsid w:val="003256E2"/>
    <w:pPr>
      <w:keepNext/>
      <w:spacing w:after="480"/>
      <w:jc w:val="center"/>
    </w:pPr>
    <w:rPr>
      <w:b/>
      <w:sz w:val="32"/>
    </w:rPr>
  </w:style>
  <w:style w:type="paragraph" w:customStyle="1" w:styleId="SectionTitle">
    <w:name w:val="SectionTitle"/>
    <w:basedOn w:val="Normal"/>
    <w:next w:val="Heading1"/>
    <w:rsid w:val="003256E2"/>
    <w:pPr>
      <w:keepNext/>
      <w:spacing w:after="480"/>
      <w:jc w:val="center"/>
    </w:pPr>
    <w:rPr>
      <w:b/>
      <w:smallCaps/>
      <w:sz w:val="28"/>
    </w:rPr>
  </w:style>
  <w:style w:type="paragraph" w:styleId="Closing">
    <w:name w:val="Closing"/>
    <w:basedOn w:val="Normal"/>
    <w:link w:val="ClosingChar"/>
    <w:rsid w:val="003256E2"/>
    <w:pPr>
      <w:ind w:left="4252"/>
    </w:pPr>
  </w:style>
  <w:style w:type="character" w:customStyle="1" w:styleId="ClosingChar">
    <w:name w:val="Closing Char"/>
    <w:basedOn w:val="DefaultParagraphFont"/>
    <w:link w:val="Closing"/>
    <w:rsid w:val="003256E2"/>
    <w:rPr>
      <w:rFonts w:ascii="Times New Roman" w:eastAsia="Times New Roman" w:hAnsi="Times New Roman" w:cs="Times New Roman"/>
      <w:sz w:val="24"/>
      <w:szCs w:val="20"/>
    </w:rPr>
  </w:style>
  <w:style w:type="paragraph" w:styleId="Date">
    <w:name w:val="Date"/>
    <w:basedOn w:val="Normal"/>
    <w:next w:val="References0"/>
    <w:link w:val="DateChar"/>
    <w:rsid w:val="003256E2"/>
    <w:pPr>
      <w:spacing w:after="0"/>
      <w:ind w:left="5103" w:right="-567"/>
      <w:jc w:val="left"/>
    </w:pPr>
  </w:style>
  <w:style w:type="character" w:customStyle="1" w:styleId="DateChar">
    <w:name w:val="Date Char"/>
    <w:basedOn w:val="DefaultParagraphFont"/>
    <w:link w:val="Date"/>
    <w:rsid w:val="003256E2"/>
    <w:rPr>
      <w:rFonts w:ascii="Times New Roman" w:eastAsia="Times New Roman" w:hAnsi="Times New Roman" w:cs="Times New Roman"/>
      <w:sz w:val="24"/>
      <w:szCs w:val="20"/>
    </w:rPr>
  </w:style>
  <w:style w:type="paragraph" w:customStyle="1" w:styleId="References0">
    <w:name w:val="References"/>
    <w:basedOn w:val="Normal"/>
    <w:next w:val="AddressTR"/>
    <w:rsid w:val="003256E2"/>
    <w:pPr>
      <w:ind w:left="5103"/>
      <w:jc w:val="left"/>
    </w:pPr>
    <w:rPr>
      <w:sz w:val="20"/>
    </w:rPr>
  </w:style>
  <w:style w:type="paragraph" w:styleId="DocumentMap">
    <w:name w:val="Document Map"/>
    <w:basedOn w:val="Normal"/>
    <w:link w:val="DocumentMapChar"/>
    <w:semiHidden/>
    <w:rsid w:val="003256E2"/>
    <w:pPr>
      <w:shd w:val="clear" w:color="auto" w:fill="000080"/>
    </w:pPr>
    <w:rPr>
      <w:rFonts w:ascii="Tahoma" w:hAnsi="Tahoma"/>
    </w:rPr>
  </w:style>
  <w:style w:type="character" w:customStyle="1" w:styleId="DocumentMapChar">
    <w:name w:val="Document Map Char"/>
    <w:basedOn w:val="DefaultParagraphFont"/>
    <w:link w:val="DocumentMap"/>
    <w:semiHidden/>
    <w:rsid w:val="003256E2"/>
    <w:rPr>
      <w:rFonts w:ascii="Tahoma" w:eastAsia="Times New Roman" w:hAnsi="Tahoma" w:cs="Times New Roman"/>
      <w:sz w:val="24"/>
      <w:szCs w:val="20"/>
      <w:shd w:val="clear" w:color="auto" w:fill="000080"/>
    </w:rPr>
  </w:style>
  <w:style w:type="paragraph" w:customStyle="1" w:styleId="DoubSign">
    <w:name w:val="DoubSign"/>
    <w:basedOn w:val="Normal"/>
    <w:next w:val="Enclosures"/>
    <w:rsid w:val="003256E2"/>
    <w:pPr>
      <w:tabs>
        <w:tab w:val="left" w:pos="5103"/>
      </w:tabs>
      <w:spacing w:before="1200" w:after="0"/>
      <w:jc w:val="left"/>
    </w:pPr>
  </w:style>
  <w:style w:type="paragraph" w:customStyle="1" w:styleId="Enclosures">
    <w:name w:val="Enclosures"/>
    <w:basedOn w:val="Normal"/>
    <w:rsid w:val="003256E2"/>
    <w:pPr>
      <w:keepNext/>
      <w:keepLines/>
      <w:tabs>
        <w:tab w:val="left" w:pos="5642"/>
      </w:tabs>
      <w:spacing w:before="480" w:after="0"/>
      <w:ind w:left="1191" w:hanging="1191"/>
      <w:jc w:val="left"/>
    </w:pPr>
  </w:style>
  <w:style w:type="paragraph" w:styleId="EnvelopeAddress">
    <w:name w:val="envelope address"/>
    <w:basedOn w:val="Normal"/>
    <w:rsid w:val="003256E2"/>
    <w:pPr>
      <w:framePr w:w="7920" w:h="1980" w:hRule="exact" w:hSpace="180" w:wrap="auto" w:hAnchor="page" w:xAlign="center" w:yAlign="bottom"/>
      <w:spacing w:after="0"/>
    </w:pPr>
  </w:style>
  <w:style w:type="paragraph" w:styleId="EnvelopeReturn">
    <w:name w:val="envelope return"/>
    <w:basedOn w:val="Normal"/>
    <w:rsid w:val="003256E2"/>
    <w:pPr>
      <w:spacing w:after="0"/>
    </w:pPr>
    <w:rPr>
      <w:sz w:val="20"/>
    </w:rPr>
  </w:style>
  <w:style w:type="paragraph" w:styleId="Index1">
    <w:name w:val="index 1"/>
    <w:basedOn w:val="Normal"/>
    <w:next w:val="Normal"/>
    <w:autoRedefine/>
    <w:semiHidden/>
    <w:rsid w:val="003256E2"/>
    <w:pPr>
      <w:ind w:left="240" w:hanging="240"/>
    </w:pPr>
  </w:style>
  <w:style w:type="paragraph" w:styleId="Index2">
    <w:name w:val="index 2"/>
    <w:basedOn w:val="Normal"/>
    <w:next w:val="Normal"/>
    <w:autoRedefine/>
    <w:semiHidden/>
    <w:rsid w:val="003256E2"/>
    <w:pPr>
      <w:ind w:left="480" w:hanging="240"/>
    </w:pPr>
  </w:style>
  <w:style w:type="paragraph" w:styleId="Index3">
    <w:name w:val="index 3"/>
    <w:basedOn w:val="Normal"/>
    <w:next w:val="Normal"/>
    <w:autoRedefine/>
    <w:semiHidden/>
    <w:rsid w:val="003256E2"/>
    <w:pPr>
      <w:ind w:left="720" w:hanging="240"/>
    </w:pPr>
  </w:style>
  <w:style w:type="paragraph" w:styleId="Index4">
    <w:name w:val="index 4"/>
    <w:basedOn w:val="Normal"/>
    <w:next w:val="Normal"/>
    <w:autoRedefine/>
    <w:semiHidden/>
    <w:rsid w:val="003256E2"/>
    <w:pPr>
      <w:ind w:left="960" w:hanging="240"/>
    </w:pPr>
  </w:style>
  <w:style w:type="paragraph" w:styleId="Index5">
    <w:name w:val="index 5"/>
    <w:basedOn w:val="Normal"/>
    <w:next w:val="Normal"/>
    <w:autoRedefine/>
    <w:semiHidden/>
    <w:rsid w:val="003256E2"/>
    <w:pPr>
      <w:ind w:left="1200" w:hanging="240"/>
    </w:pPr>
  </w:style>
  <w:style w:type="paragraph" w:styleId="Index6">
    <w:name w:val="index 6"/>
    <w:basedOn w:val="Normal"/>
    <w:next w:val="Normal"/>
    <w:autoRedefine/>
    <w:semiHidden/>
    <w:rsid w:val="003256E2"/>
    <w:pPr>
      <w:ind w:left="1440" w:hanging="240"/>
    </w:pPr>
  </w:style>
  <w:style w:type="paragraph" w:styleId="Index7">
    <w:name w:val="index 7"/>
    <w:basedOn w:val="Normal"/>
    <w:next w:val="Normal"/>
    <w:autoRedefine/>
    <w:semiHidden/>
    <w:rsid w:val="003256E2"/>
    <w:pPr>
      <w:ind w:left="1680" w:hanging="240"/>
    </w:pPr>
  </w:style>
  <w:style w:type="paragraph" w:styleId="Index8">
    <w:name w:val="index 8"/>
    <w:basedOn w:val="Normal"/>
    <w:next w:val="Normal"/>
    <w:autoRedefine/>
    <w:semiHidden/>
    <w:rsid w:val="003256E2"/>
    <w:pPr>
      <w:ind w:left="1920" w:hanging="240"/>
    </w:pPr>
  </w:style>
  <w:style w:type="paragraph" w:styleId="Index9">
    <w:name w:val="index 9"/>
    <w:basedOn w:val="Normal"/>
    <w:next w:val="Normal"/>
    <w:autoRedefine/>
    <w:semiHidden/>
    <w:rsid w:val="003256E2"/>
    <w:pPr>
      <w:ind w:left="2160" w:hanging="240"/>
    </w:pPr>
  </w:style>
  <w:style w:type="paragraph" w:styleId="IndexHeading">
    <w:name w:val="index heading"/>
    <w:basedOn w:val="Normal"/>
    <w:next w:val="Index1"/>
    <w:semiHidden/>
    <w:rsid w:val="003256E2"/>
    <w:rPr>
      <w:rFonts w:ascii="Arial" w:hAnsi="Arial"/>
      <w:b/>
    </w:rPr>
  </w:style>
  <w:style w:type="paragraph" w:styleId="List">
    <w:name w:val="List"/>
    <w:basedOn w:val="Normal"/>
    <w:rsid w:val="003256E2"/>
    <w:pPr>
      <w:ind w:left="283" w:hanging="283"/>
    </w:pPr>
  </w:style>
  <w:style w:type="paragraph" w:styleId="List2">
    <w:name w:val="List 2"/>
    <w:basedOn w:val="Normal"/>
    <w:rsid w:val="003256E2"/>
    <w:pPr>
      <w:ind w:left="566" w:hanging="283"/>
    </w:pPr>
  </w:style>
  <w:style w:type="paragraph" w:styleId="List3">
    <w:name w:val="List 3"/>
    <w:basedOn w:val="Normal"/>
    <w:rsid w:val="003256E2"/>
    <w:pPr>
      <w:ind w:left="849" w:hanging="283"/>
    </w:pPr>
  </w:style>
  <w:style w:type="paragraph" w:styleId="List4">
    <w:name w:val="List 4"/>
    <w:basedOn w:val="Normal"/>
    <w:rsid w:val="003256E2"/>
    <w:pPr>
      <w:ind w:left="1132" w:hanging="283"/>
    </w:pPr>
  </w:style>
  <w:style w:type="paragraph" w:styleId="List5">
    <w:name w:val="List 5"/>
    <w:basedOn w:val="Normal"/>
    <w:rsid w:val="003256E2"/>
    <w:pPr>
      <w:ind w:left="1415" w:hanging="283"/>
    </w:pPr>
  </w:style>
  <w:style w:type="paragraph" w:styleId="ListBullet3">
    <w:name w:val="List Bullet 3"/>
    <w:basedOn w:val="Text3"/>
    <w:rsid w:val="003256E2"/>
    <w:pPr>
      <w:numPr>
        <w:numId w:val="91"/>
      </w:numPr>
      <w:tabs>
        <w:tab w:val="clear" w:pos="2302"/>
      </w:tabs>
    </w:pPr>
  </w:style>
  <w:style w:type="paragraph" w:styleId="ListBullet4">
    <w:name w:val="List Bullet 4"/>
    <w:basedOn w:val="Text4"/>
    <w:rsid w:val="003256E2"/>
    <w:pPr>
      <w:numPr>
        <w:numId w:val="92"/>
      </w:numPr>
      <w:tabs>
        <w:tab w:val="clear" w:pos="2302"/>
      </w:tabs>
    </w:pPr>
  </w:style>
  <w:style w:type="paragraph" w:styleId="ListContinue">
    <w:name w:val="List Continue"/>
    <w:basedOn w:val="Normal"/>
    <w:rsid w:val="003256E2"/>
    <w:pPr>
      <w:ind w:left="283"/>
    </w:pPr>
  </w:style>
  <w:style w:type="paragraph" w:styleId="ListContinue2">
    <w:name w:val="List Continue 2"/>
    <w:basedOn w:val="Normal"/>
    <w:rsid w:val="003256E2"/>
    <w:pPr>
      <w:ind w:left="566"/>
    </w:pPr>
  </w:style>
  <w:style w:type="paragraph" w:styleId="ListContinue3">
    <w:name w:val="List Continue 3"/>
    <w:basedOn w:val="Normal"/>
    <w:rsid w:val="003256E2"/>
    <w:pPr>
      <w:ind w:left="849"/>
    </w:pPr>
  </w:style>
  <w:style w:type="paragraph" w:styleId="ListContinue4">
    <w:name w:val="List Continue 4"/>
    <w:basedOn w:val="Normal"/>
    <w:rsid w:val="003256E2"/>
    <w:pPr>
      <w:ind w:left="1132"/>
    </w:pPr>
  </w:style>
  <w:style w:type="paragraph" w:styleId="ListContinue5">
    <w:name w:val="List Continue 5"/>
    <w:basedOn w:val="Normal"/>
    <w:rsid w:val="003256E2"/>
    <w:pPr>
      <w:ind w:left="1415"/>
    </w:pPr>
  </w:style>
  <w:style w:type="paragraph" w:styleId="ListNumber">
    <w:name w:val="List Number"/>
    <w:basedOn w:val="Normal"/>
    <w:rsid w:val="003256E2"/>
    <w:pPr>
      <w:numPr>
        <w:numId w:val="97"/>
      </w:numPr>
    </w:pPr>
  </w:style>
  <w:style w:type="paragraph" w:styleId="ListNumber2">
    <w:name w:val="List Number 2"/>
    <w:basedOn w:val="Text2"/>
    <w:rsid w:val="003256E2"/>
    <w:pPr>
      <w:numPr>
        <w:numId w:val="99"/>
      </w:numPr>
      <w:tabs>
        <w:tab w:val="clear" w:pos="2302"/>
      </w:tabs>
    </w:pPr>
  </w:style>
  <w:style w:type="paragraph" w:styleId="ListNumber3">
    <w:name w:val="List Number 3"/>
    <w:basedOn w:val="Text3"/>
    <w:rsid w:val="003256E2"/>
    <w:pPr>
      <w:numPr>
        <w:numId w:val="100"/>
      </w:numPr>
      <w:tabs>
        <w:tab w:val="clear" w:pos="2302"/>
      </w:tabs>
    </w:pPr>
  </w:style>
  <w:style w:type="paragraph" w:styleId="ListNumber4">
    <w:name w:val="List Number 4"/>
    <w:basedOn w:val="Text4"/>
    <w:rsid w:val="003256E2"/>
    <w:pPr>
      <w:numPr>
        <w:numId w:val="101"/>
      </w:numPr>
      <w:tabs>
        <w:tab w:val="clear" w:pos="2302"/>
      </w:tabs>
    </w:pPr>
  </w:style>
  <w:style w:type="paragraph" w:styleId="ListNumber5">
    <w:name w:val="List Number 5"/>
    <w:basedOn w:val="Normal"/>
    <w:rsid w:val="003256E2"/>
    <w:pPr>
      <w:numPr>
        <w:numId w:val="88"/>
      </w:numPr>
    </w:pPr>
  </w:style>
  <w:style w:type="paragraph" w:styleId="MacroText">
    <w:name w:val="macro"/>
    <w:link w:val="MacroTextChar"/>
    <w:semiHidden/>
    <w:rsid w:val="003256E2"/>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3256E2"/>
    <w:rPr>
      <w:rFonts w:ascii="Courier New" w:eastAsia="Times New Roman" w:hAnsi="Courier New" w:cs="Times New Roman"/>
      <w:sz w:val="20"/>
      <w:szCs w:val="20"/>
    </w:rPr>
  </w:style>
  <w:style w:type="paragraph" w:styleId="MessageHeader">
    <w:name w:val="Message Header"/>
    <w:basedOn w:val="Normal"/>
    <w:link w:val="MessageHeaderChar"/>
    <w:rsid w:val="003256E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sid w:val="003256E2"/>
    <w:rPr>
      <w:rFonts w:ascii="Arial" w:eastAsia="Times New Roman" w:hAnsi="Arial" w:cs="Times New Roman"/>
      <w:sz w:val="24"/>
      <w:szCs w:val="20"/>
      <w:shd w:val="pct20" w:color="auto" w:fill="auto"/>
    </w:rPr>
  </w:style>
  <w:style w:type="paragraph" w:styleId="NormalIndent">
    <w:name w:val="Normal Indent"/>
    <w:basedOn w:val="Normal"/>
    <w:rsid w:val="003256E2"/>
    <w:pPr>
      <w:ind w:left="720"/>
    </w:pPr>
  </w:style>
  <w:style w:type="paragraph" w:styleId="NoteHeading">
    <w:name w:val="Note Heading"/>
    <w:basedOn w:val="Normal"/>
    <w:next w:val="Normal"/>
    <w:link w:val="NoteHeadingChar"/>
    <w:rsid w:val="003256E2"/>
  </w:style>
  <w:style w:type="character" w:customStyle="1" w:styleId="NoteHeadingChar">
    <w:name w:val="Note Heading Char"/>
    <w:basedOn w:val="DefaultParagraphFont"/>
    <w:link w:val="NoteHeading"/>
    <w:rsid w:val="003256E2"/>
    <w:rPr>
      <w:rFonts w:ascii="Times New Roman" w:eastAsia="Times New Roman" w:hAnsi="Times New Roman" w:cs="Times New Roman"/>
      <w:sz w:val="24"/>
      <w:szCs w:val="20"/>
    </w:rPr>
  </w:style>
  <w:style w:type="paragraph" w:customStyle="1" w:styleId="NoteHead">
    <w:name w:val="NoteHead"/>
    <w:basedOn w:val="Normal"/>
    <w:next w:val="Subject"/>
    <w:rsid w:val="003256E2"/>
    <w:pPr>
      <w:spacing w:before="720" w:after="720"/>
      <w:jc w:val="center"/>
    </w:pPr>
    <w:rPr>
      <w:b/>
      <w:smallCaps/>
    </w:rPr>
  </w:style>
  <w:style w:type="paragraph" w:customStyle="1" w:styleId="Subject">
    <w:name w:val="Subject"/>
    <w:basedOn w:val="Normal"/>
    <w:next w:val="Normal"/>
    <w:rsid w:val="003256E2"/>
    <w:pPr>
      <w:spacing w:after="480"/>
      <w:ind w:left="1531" w:hanging="1531"/>
      <w:jc w:val="left"/>
    </w:pPr>
    <w:rPr>
      <w:b/>
    </w:rPr>
  </w:style>
  <w:style w:type="paragraph" w:customStyle="1" w:styleId="NoteList">
    <w:name w:val="NoteList"/>
    <w:basedOn w:val="Normal"/>
    <w:next w:val="Subject"/>
    <w:rsid w:val="003256E2"/>
    <w:pPr>
      <w:tabs>
        <w:tab w:val="left" w:pos="5823"/>
      </w:tabs>
      <w:spacing w:before="720" w:after="720"/>
      <w:ind w:left="5104" w:hanging="3119"/>
      <w:jc w:val="left"/>
    </w:pPr>
    <w:rPr>
      <w:b/>
      <w:smallCaps/>
    </w:rPr>
  </w:style>
  <w:style w:type="paragraph" w:customStyle="1" w:styleId="NumPar1">
    <w:name w:val="NumPar 1"/>
    <w:basedOn w:val="Heading1"/>
    <w:next w:val="Text1"/>
    <w:rsid w:val="003256E2"/>
    <w:pPr>
      <w:keepNext w:val="0"/>
      <w:numPr>
        <w:numId w:val="3"/>
      </w:numPr>
      <w:spacing w:before="0"/>
      <w:outlineLvl w:val="9"/>
    </w:pPr>
    <w:rPr>
      <w:b w:val="0"/>
      <w:smallCaps w:val="0"/>
    </w:rPr>
  </w:style>
  <w:style w:type="paragraph" w:customStyle="1" w:styleId="NumPar2">
    <w:name w:val="NumPar 2"/>
    <w:basedOn w:val="Heading2"/>
    <w:next w:val="Text2"/>
    <w:rsid w:val="003256E2"/>
    <w:pPr>
      <w:keepNext w:val="0"/>
      <w:tabs>
        <w:tab w:val="clear" w:pos="1200"/>
      </w:tabs>
      <w:ind w:hanging="360"/>
      <w:outlineLvl w:val="9"/>
    </w:pPr>
    <w:rPr>
      <w:b/>
    </w:rPr>
  </w:style>
  <w:style w:type="paragraph" w:customStyle="1" w:styleId="NumPar3">
    <w:name w:val="NumPar 3"/>
    <w:basedOn w:val="Heading3"/>
    <w:next w:val="Text3"/>
    <w:rsid w:val="003256E2"/>
    <w:pPr>
      <w:keepNext w:val="0"/>
      <w:tabs>
        <w:tab w:val="clear" w:pos="2989"/>
      </w:tabs>
      <w:ind w:hanging="360"/>
      <w:outlineLvl w:val="9"/>
    </w:pPr>
    <w:rPr>
      <w:i w:val="0"/>
    </w:rPr>
  </w:style>
  <w:style w:type="paragraph" w:customStyle="1" w:styleId="NumPar4">
    <w:name w:val="NumPar 4"/>
    <w:basedOn w:val="Heading4"/>
    <w:next w:val="Text4"/>
    <w:rsid w:val="003256E2"/>
    <w:pPr>
      <w:keepNext w:val="0"/>
      <w:tabs>
        <w:tab w:val="clear" w:pos="1920"/>
      </w:tabs>
      <w:ind w:left="720" w:hanging="360"/>
      <w:outlineLvl w:val="9"/>
    </w:pPr>
  </w:style>
  <w:style w:type="paragraph" w:customStyle="1" w:styleId="PartTitle">
    <w:name w:val="PartTitle"/>
    <w:basedOn w:val="Normal"/>
    <w:next w:val="ChapterTitle"/>
    <w:rsid w:val="003256E2"/>
    <w:pPr>
      <w:keepNext/>
      <w:pageBreakBefore/>
      <w:spacing w:after="480"/>
      <w:jc w:val="center"/>
    </w:pPr>
    <w:rPr>
      <w:b/>
      <w:sz w:val="36"/>
    </w:rPr>
  </w:style>
  <w:style w:type="paragraph" w:styleId="PlainText">
    <w:name w:val="Plain Text"/>
    <w:basedOn w:val="Normal"/>
    <w:link w:val="PlainTextChar"/>
    <w:uiPriority w:val="99"/>
    <w:rsid w:val="003256E2"/>
    <w:rPr>
      <w:rFonts w:ascii="Courier New" w:hAnsi="Courier New"/>
      <w:sz w:val="20"/>
    </w:rPr>
  </w:style>
  <w:style w:type="character" w:customStyle="1" w:styleId="PlainTextChar">
    <w:name w:val="Plain Text Char"/>
    <w:basedOn w:val="DefaultParagraphFont"/>
    <w:link w:val="PlainText"/>
    <w:uiPriority w:val="99"/>
    <w:rsid w:val="003256E2"/>
    <w:rPr>
      <w:rFonts w:ascii="Courier New" w:eastAsia="Times New Roman" w:hAnsi="Courier New" w:cs="Times New Roman"/>
      <w:sz w:val="20"/>
      <w:szCs w:val="20"/>
    </w:rPr>
  </w:style>
  <w:style w:type="paragraph" w:styleId="Salutation">
    <w:name w:val="Salutation"/>
    <w:basedOn w:val="Normal"/>
    <w:next w:val="Normal"/>
    <w:link w:val="SalutationChar"/>
    <w:rsid w:val="003256E2"/>
  </w:style>
  <w:style w:type="character" w:customStyle="1" w:styleId="SalutationChar">
    <w:name w:val="Salutation Char"/>
    <w:basedOn w:val="DefaultParagraphFont"/>
    <w:link w:val="Salutation"/>
    <w:rsid w:val="003256E2"/>
    <w:rPr>
      <w:rFonts w:ascii="Times New Roman" w:eastAsia="Times New Roman" w:hAnsi="Times New Roman" w:cs="Times New Roman"/>
      <w:sz w:val="24"/>
      <w:szCs w:val="20"/>
    </w:rPr>
  </w:style>
  <w:style w:type="paragraph" w:styleId="Signature">
    <w:name w:val="Signature"/>
    <w:basedOn w:val="Normal"/>
    <w:next w:val="Enclosures"/>
    <w:link w:val="SignatureChar"/>
    <w:rsid w:val="003256E2"/>
    <w:pPr>
      <w:tabs>
        <w:tab w:val="left" w:pos="5103"/>
      </w:tabs>
      <w:spacing w:before="1200" w:after="0"/>
      <w:ind w:left="5103"/>
      <w:jc w:val="center"/>
    </w:pPr>
  </w:style>
  <w:style w:type="character" w:customStyle="1" w:styleId="SignatureChar">
    <w:name w:val="Signature Char"/>
    <w:basedOn w:val="DefaultParagraphFont"/>
    <w:link w:val="Signature"/>
    <w:rsid w:val="003256E2"/>
    <w:rPr>
      <w:rFonts w:ascii="Times New Roman" w:eastAsia="Times New Roman" w:hAnsi="Times New Roman" w:cs="Times New Roman"/>
      <w:sz w:val="24"/>
      <w:szCs w:val="20"/>
    </w:rPr>
  </w:style>
  <w:style w:type="paragraph" w:styleId="Subtitle">
    <w:name w:val="Subtitle"/>
    <w:basedOn w:val="Normal"/>
    <w:link w:val="SubtitleChar"/>
    <w:qFormat/>
    <w:rsid w:val="003256E2"/>
    <w:pPr>
      <w:spacing w:after="60"/>
      <w:jc w:val="center"/>
      <w:outlineLvl w:val="1"/>
    </w:pPr>
    <w:rPr>
      <w:rFonts w:ascii="Arial" w:hAnsi="Arial"/>
    </w:rPr>
  </w:style>
  <w:style w:type="character" w:customStyle="1" w:styleId="SubtitleChar">
    <w:name w:val="Subtitle Char"/>
    <w:basedOn w:val="DefaultParagraphFont"/>
    <w:link w:val="Subtitle"/>
    <w:rsid w:val="003256E2"/>
    <w:rPr>
      <w:rFonts w:ascii="Arial" w:eastAsia="Times New Roman" w:hAnsi="Arial" w:cs="Times New Roman"/>
      <w:sz w:val="24"/>
      <w:szCs w:val="20"/>
    </w:rPr>
  </w:style>
  <w:style w:type="paragraph" w:customStyle="1" w:styleId="SubTitle1">
    <w:name w:val="SubTitle 1"/>
    <w:basedOn w:val="Normal"/>
    <w:next w:val="SubTitle2"/>
    <w:rsid w:val="003256E2"/>
    <w:pPr>
      <w:jc w:val="center"/>
    </w:pPr>
    <w:rPr>
      <w:b/>
      <w:sz w:val="40"/>
    </w:rPr>
  </w:style>
  <w:style w:type="paragraph" w:customStyle="1" w:styleId="SubTitle2">
    <w:name w:val="SubTitle 2"/>
    <w:basedOn w:val="Normal"/>
    <w:rsid w:val="003256E2"/>
    <w:pPr>
      <w:jc w:val="center"/>
    </w:pPr>
    <w:rPr>
      <w:b/>
      <w:sz w:val="32"/>
    </w:rPr>
  </w:style>
  <w:style w:type="paragraph" w:styleId="TableofAuthorities">
    <w:name w:val="table of authorities"/>
    <w:basedOn w:val="Normal"/>
    <w:next w:val="Normal"/>
    <w:semiHidden/>
    <w:rsid w:val="003256E2"/>
    <w:pPr>
      <w:ind w:left="240" w:hanging="240"/>
    </w:pPr>
  </w:style>
  <w:style w:type="paragraph" w:styleId="TableofFigures">
    <w:name w:val="table of figures"/>
    <w:basedOn w:val="Normal"/>
    <w:next w:val="Normal"/>
    <w:uiPriority w:val="99"/>
    <w:rsid w:val="003256E2"/>
    <w:pPr>
      <w:ind w:left="480" w:hanging="480"/>
    </w:pPr>
  </w:style>
  <w:style w:type="paragraph" w:styleId="Title">
    <w:name w:val="Title"/>
    <w:basedOn w:val="Normal"/>
    <w:next w:val="SubTitle1"/>
    <w:link w:val="TitleChar"/>
    <w:qFormat/>
    <w:rsid w:val="003256E2"/>
    <w:pPr>
      <w:spacing w:after="480"/>
      <w:jc w:val="center"/>
    </w:pPr>
    <w:rPr>
      <w:b/>
      <w:kern w:val="28"/>
      <w:sz w:val="48"/>
    </w:rPr>
  </w:style>
  <w:style w:type="character" w:customStyle="1" w:styleId="TitleChar">
    <w:name w:val="Title Char"/>
    <w:basedOn w:val="DefaultParagraphFont"/>
    <w:link w:val="Title"/>
    <w:rsid w:val="003256E2"/>
    <w:rPr>
      <w:rFonts w:ascii="Times New Roman" w:eastAsia="Times New Roman" w:hAnsi="Times New Roman" w:cs="Times New Roman"/>
      <w:b/>
      <w:kern w:val="28"/>
      <w:sz w:val="48"/>
      <w:szCs w:val="20"/>
    </w:rPr>
  </w:style>
  <w:style w:type="paragraph" w:styleId="TOAHeading">
    <w:name w:val="toa heading"/>
    <w:basedOn w:val="Normal"/>
    <w:next w:val="Normal"/>
    <w:semiHidden/>
    <w:rsid w:val="003256E2"/>
    <w:pPr>
      <w:spacing w:before="120"/>
    </w:pPr>
    <w:rPr>
      <w:rFonts w:ascii="Arial" w:hAnsi="Arial"/>
      <w:b/>
    </w:rPr>
  </w:style>
  <w:style w:type="paragraph" w:styleId="TOC4">
    <w:name w:val="toc 4"/>
    <w:basedOn w:val="Normal"/>
    <w:next w:val="Normal"/>
    <w:uiPriority w:val="39"/>
    <w:rsid w:val="003256E2"/>
    <w:pPr>
      <w:tabs>
        <w:tab w:val="right" w:leader="dot" w:pos="8641"/>
      </w:tabs>
      <w:spacing w:before="60" w:after="60"/>
      <w:ind w:left="2880" w:right="720" w:hanging="964"/>
    </w:pPr>
  </w:style>
  <w:style w:type="paragraph" w:styleId="TOC5">
    <w:name w:val="toc 5"/>
    <w:basedOn w:val="Normal"/>
    <w:next w:val="Normal"/>
    <w:uiPriority w:val="39"/>
    <w:rsid w:val="003256E2"/>
    <w:pPr>
      <w:tabs>
        <w:tab w:val="right" w:leader="dot" w:pos="8641"/>
      </w:tabs>
      <w:spacing w:before="240"/>
      <w:ind w:right="720"/>
    </w:pPr>
    <w:rPr>
      <w:caps/>
    </w:rPr>
  </w:style>
  <w:style w:type="paragraph" w:styleId="TOC6">
    <w:name w:val="toc 6"/>
    <w:basedOn w:val="Normal"/>
    <w:next w:val="Normal"/>
    <w:autoRedefine/>
    <w:uiPriority w:val="39"/>
    <w:rsid w:val="003256E2"/>
    <w:pPr>
      <w:ind w:left="1200"/>
    </w:pPr>
  </w:style>
  <w:style w:type="paragraph" w:styleId="TOC7">
    <w:name w:val="toc 7"/>
    <w:basedOn w:val="Normal"/>
    <w:next w:val="Normal"/>
    <w:autoRedefine/>
    <w:uiPriority w:val="39"/>
    <w:rsid w:val="003256E2"/>
    <w:pPr>
      <w:ind w:left="1440"/>
    </w:pPr>
  </w:style>
  <w:style w:type="paragraph" w:styleId="TOC8">
    <w:name w:val="toc 8"/>
    <w:basedOn w:val="Normal"/>
    <w:next w:val="Normal"/>
    <w:autoRedefine/>
    <w:uiPriority w:val="39"/>
    <w:rsid w:val="003256E2"/>
    <w:pPr>
      <w:ind w:left="1680"/>
    </w:pPr>
  </w:style>
  <w:style w:type="paragraph" w:styleId="TOC9">
    <w:name w:val="toc 9"/>
    <w:basedOn w:val="Normal"/>
    <w:next w:val="Normal"/>
    <w:autoRedefine/>
    <w:uiPriority w:val="39"/>
    <w:rsid w:val="003256E2"/>
    <w:pPr>
      <w:ind w:left="1920"/>
    </w:pPr>
  </w:style>
  <w:style w:type="paragraph" w:customStyle="1" w:styleId="YReferences">
    <w:name w:val="YReferences"/>
    <w:basedOn w:val="Normal"/>
    <w:next w:val="Normal"/>
    <w:rsid w:val="003256E2"/>
    <w:pPr>
      <w:spacing w:after="480"/>
      <w:ind w:left="1531" w:hanging="1531"/>
    </w:pPr>
  </w:style>
  <w:style w:type="paragraph" w:customStyle="1" w:styleId="ListBullet1">
    <w:name w:val="List Bullet 1"/>
    <w:basedOn w:val="Text1"/>
    <w:rsid w:val="003256E2"/>
    <w:pPr>
      <w:numPr>
        <w:numId w:val="89"/>
      </w:numPr>
    </w:pPr>
  </w:style>
  <w:style w:type="paragraph" w:customStyle="1" w:styleId="ListDash">
    <w:name w:val="List Dash"/>
    <w:basedOn w:val="Normal"/>
    <w:rsid w:val="003256E2"/>
    <w:pPr>
      <w:numPr>
        <w:numId w:val="93"/>
      </w:numPr>
    </w:pPr>
  </w:style>
  <w:style w:type="paragraph" w:customStyle="1" w:styleId="ListDash2">
    <w:name w:val="List Dash 2"/>
    <w:basedOn w:val="Text2"/>
    <w:rsid w:val="003256E2"/>
    <w:pPr>
      <w:numPr>
        <w:numId w:val="94"/>
      </w:numPr>
      <w:tabs>
        <w:tab w:val="clear" w:pos="2302"/>
      </w:tabs>
    </w:pPr>
  </w:style>
  <w:style w:type="paragraph" w:customStyle="1" w:styleId="ListDash3">
    <w:name w:val="List Dash 3"/>
    <w:basedOn w:val="Text3"/>
    <w:rsid w:val="003256E2"/>
    <w:pPr>
      <w:numPr>
        <w:numId w:val="95"/>
      </w:numPr>
      <w:tabs>
        <w:tab w:val="clear" w:pos="2302"/>
      </w:tabs>
    </w:pPr>
  </w:style>
  <w:style w:type="paragraph" w:customStyle="1" w:styleId="ListDash4">
    <w:name w:val="List Dash 4"/>
    <w:basedOn w:val="Text4"/>
    <w:rsid w:val="003256E2"/>
    <w:pPr>
      <w:numPr>
        <w:numId w:val="96"/>
      </w:numPr>
      <w:tabs>
        <w:tab w:val="clear" w:pos="2302"/>
      </w:tabs>
    </w:pPr>
  </w:style>
  <w:style w:type="paragraph" w:customStyle="1" w:styleId="ListNumberLevel2">
    <w:name w:val="List Number (Level 2)"/>
    <w:basedOn w:val="Normal"/>
    <w:rsid w:val="003256E2"/>
    <w:pPr>
      <w:numPr>
        <w:ilvl w:val="1"/>
        <w:numId w:val="97"/>
      </w:numPr>
    </w:pPr>
  </w:style>
  <w:style w:type="paragraph" w:customStyle="1" w:styleId="ListNumberLevel3">
    <w:name w:val="List Number (Level 3)"/>
    <w:basedOn w:val="Normal"/>
    <w:rsid w:val="003256E2"/>
    <w:pPr>
      <w:numPr>
        <w:ilvl w:val="2"/>
        <w:numId w:val="97"/>
      </w:numPr>
    </w:pPr>
  </w:style>
  <w:style w:type="paragraph" w:customStyle="1" w:styleId="ListNumberLevel4">
    <w:name w:val="List Number (Level 4)"/>
    <w:basedOn w:val="Normal"/>
    <w:rsid w:val="003256E2"/>
    <w:pPr>
      <w:numPr>
        <w:ilvl w:val="3"/>
        <w:numId w:val="97"/>
      </w:numPr>
    </w:pPr>
  </w:style>
  <w:style w:type="paragraph" w:customStyle="1" w:styleId="ListNumber1">
    <w:name w:val="List Number 1"/>
    <w:basedOn w:val="Text1"/>
    <w:rsid w:val="003256E2"/>
    <w:pPr>
      <w:numPr>
        <w:numId w:val="98"/>
      </w:numPr>
    </w:pPr>
  </w:style>
  <w:style w:type="paragraph" w:customStyle="1" w:styleId="ListNumber1Level2">
    <w:name w:val="List Number 1 (Level 2)"/>
    <w:basedOn w:val="Text1"/>
    <w:rsid w:val="003256E2"/>
    <w:pPr>
      <w:numPr>
        <w:ilvl w:val="1"/>
        <w:numId w:val="98"/>
      </w:numPr>
    </w:pPr>
  </w:style>
  <w:style w:type="paragraph" w:customStyle="1" w:styleId="ListNumber1Level3">
    <w:name w:val="List Number 1 (Level 3)"/>
    <w:basedOn w:val="Text1"/>
    <w:rsid w:val="003256E2"/>
    <w:pPr>
      <w:numPr>
        <w:ilvl w:val="2"/>
        <w:numId w:val="98"/>
      </w:numPr>
    </w:pPr>
  </w:style>
  <w:style w:type="paragraph" w:customStyle="1" w:styleId="ListNumber1Level4">
    <w:name w:val="List Number 1 (Level 4)"/>
    <w:basedOn w:val="Text1"/>
    <w:rsid w:val="003256E2"/>
    <w:pPr>
      <w:numPr>
        <w:ilvl w:val="3"/>
        <w:numId w:val="98"/>
      </w:numPr>
    </w:pPr>
  </w:style>
  <w:style w:type="paragraph" w:customStyle="1" w:styleId="ListNumber2Level2">
    <w:name w:val="List Number 2 (Level 2)"/>
    <w:basedOn w:val="Text2"/>
    <w:rsid w:val="003256E2"/>
    <w:pPr>
      <w:numPr>
        <w:ilvl w:val="1"/>
        <w:numId w:val="99"/>
      </w:numPr>
      <w:tabs>
        <w:tab w:val="clear" w:pos="2302"/>
      </w:tabs>
    </w:pPr>
  </w:style>
  <w:style w:type="paragraph" w:customStyle="1" w:styleId="ListNumber2Level3">
    <w:name w:val="List Number 2 (Level 3)"/>
    <w:basedOn w:val="Text2"/>
    <w:rsid w:val="003256E2"/>
    <w:pPr>
      <w:numPr>
        <w:ilvl w:val="2"/>
        <w:numId w:val="99"/>
      </w:numPr>
      <w:tabs>
        <w:tab w:val="clear" w:pos="2302"/>
      </w:tabs>
    </w:pPr>
  </w:style>
  <w:style w:type="paragraph" w:customStyle="1" w:styleId="ListNumber2Level4">
    <w:name w:val="List Number 2 (Level 4)"/>
    <w:basedOn w:val="Text2"/>
    <w:rsid w:val="003256E2"/>
    <w:pPr>
      <w:numPr>
        <w:ilvl w:val="3"/>
        <w:numId w:val="99"/>
      </w:numPr>
      <w:tabs>
        <w:tab w:val="clear" w:pos="2302"/>
      </w:tabs>
    </w:pPr>
  </w:style>
  <w:style w:type="paragraph" w:customStyle="1" w:styleId="ListNumber3Level2">
    <w:name w:val="List Number 3 (Level 2)"/>
    <w:basedOn w:val="Text3"/>
    <w:rsid w:val="003256E2"/>
    <w:pPr>
      <w:numPr>
        <w:ilvl w:val="1"/>
        <w:numId w:val="100"/>
      </w:numPr>
      <w:tabs>
        <w:tab w:val="clear" w:pos="2302"/>
      </w:tabs>
    </w:pPr>
  </w:style>
  <w:style w:type="paragraph" w:customStyle="1" w:styleId="ListNumber3Level3">
    <w:name w:val="List Number 3 (Level 3)"/>
    <w:basedOn w:val="Text3"/>
    <w:rsid w:val="003256E2"/>
    <w:pPr>
      <w:numPr>
        <w:ilvl w:val="2"/>
        <w:numId w:val="100"/>
      </w:numPr>
      <w:tabs>
        <w:tab w:val="clear" w:pos="2302"/>
      </w:tabs>
    </w:pPr>
  </w:style>
  <w:style w:type="paragraph" w:customStyle="1" w:styleId="ListNumber3Level4">
    <w:name w:val="List Number 3 (Level 4)"/>
    <w:basedOn w:val="Text3"/>
    <w:rsid w:val="003256E2"/>
    <w:pPr>
      <w:numPr>
        <w:ilvl w:val="3"/>
        <w:numId w:val="100"/>
      </w:numPr>
      <w:tabs>
        <w:tab w:val="clear" w:pos="2302"/>
      </w:tabs>
    </w:pPr>
  </w:style>
  <w:style w:type="paragraph" w:customStyle="1" w:styleId="ListNumber4Level2">
    <w:name w:val="List Number 4 (Level 2)"/>
    <w:basedOn w:val="Text4"/>
    <w:rsid w:val="003256E2"/>
    <w:pPr>
      <w:numPr>
        <w:ilvl w:val="1"/>
        <w:numId w:val="101"/>
      </w:numPr>
      <w:tabs>
        <w:tab w:val="clear" w:pos="2302"/>
      </w:tabs>
    </w:pPr>
  </w:style>
  <w:style w:type="paragraph" w:customStyle="1" w:styleId="ListNumber4Level3">
    <w:name w:val="List Number 4 (Level 3)"/>
    <w:basedOn w:val="Text4"/>
    <w:rsid w:val="003256E2"/>
    <w:pPr>
      <w:numPr>
        <w:ilvl w:val="2"/>
        <w:numId w:val="101"/>
      </w:numPr>
      <w:tabs>
        <w:tab w:val="clear" w:pos="2302"/>
      </w:tabs>
    </w:pPr>
  </w:style>
  <w:style w:type="paragraph" w:customStyle="1" w:styleId="ListNumber4Level4">
    <w:name w:val="List Number 4 (Level 4)"/>
    <w:basedOn w:val="Text4"/>
    <w:rsid w:val="003256E2"/>
    <w:pPr>
      <w:numPr>
        <w:ilvl w:val="3"/>
        <w:numId w:val="101"/>
      </w:numPr>
      <w:tabs>
        <w:tab w:val="clear" w:pos="2302"/>
      </w:tabs>
    </w:pPr>
  </w:style>
  <w:style w:type="paragraph" w:customStyle="1" w:styleId="Contact">
    <w:name w:val="Contact"/>
    <w:basedOn w:val="Normal"/>
    <w:next w:val="Normal"/>
    <w:rsid w:val="003256E2"/>
    <w:pPr>
      <w:spacing w:after="480"/>
      <w:ind w:left="567" w:hanging="567"/>
      <w:jc w:val="left"/>
    </w:pPr>
  </w:style>
  <w:style w:type="paragraph" w:customStyle="1" w:styleId="Designator">
    <w:name w:val="Designator"/>
    <w:basedOn w:val="Normal"/>
    <w:rsid w:val="003256E2"/>
    <w:pPr>
      <w:spacing w:after="0"/>
      <w:jc w:val="center"/>
    </w:pPr>
    <w:rPr>
      <w:b/>
      <w:caps/>
      <w:sz w:val="32"/>
    </w:rPr>
  </w:style>
  <w:style w:type="paragraph" w:customStyle="1" w:styleId="Releasable">
    <w:name w:val="Releasable"/>
    <w:basedOn w:val="Normal"/>
    <w:qFormat/>
    <w:rsid w:val="003256E2"/>
    <w:pPr>
      <w:spacing w:after="0"/>
      <w:jc w:val="center"/>
    </w:pPr>
    <w:rPr>
      <w:b/>
      <w:caps/>
      <w:sz w:val="32"/>
      <w:lang w:val="de-DE"/>
    </w:rPr>
  </w:style>
  <w:style w:type="paragraph" w:customStyle="1" w:styleId="RUE">
    <w:name w:val="RUE"/>
    <w:basedOn w:val="Normal"/>
    <w:rsid w:val="003256E2"/>
    <w:pPr>
      <w:spacing w:after="0"/>
      <w:jc w:val="center"/>
    </w:pPr>
    <w:rPr>
      <w:b/>
      <w:caps/>
      <w:sz w:val="32"/>
      <w:bdr w:val="single" w:sz="18" w:space="0" w:color="auto"/>
      <w:lang w:val="de-DE"/>
    </w:rPr>
  </w:style>
  <w:style w:type="paragraph" w:customStyle="1" w:styleId="ConfidentialUE">
    <w:name w:val="Confidential UE"/>
    <w:basedOn w:val="Normal"/>
    <w:rsid w:val="003256E2"/>
    <w:pPr>
      <w:spacing w:after="0"/>
      <w:jc w:val="center"/>
    </w:pPr>
    <w:rPr>
      <w:b/>
      <w:caps/>
      <w:sz w:val="32"/>
      <w:bdr w:val="single" w:sz="18" w:space="0" w:color="auto"/>
    </w:rPr>
  </w:style>
  <w:style w:type="paragraph" w:customStyle="1" w:styleId="SecretUE">
    <w:name w:val="Secret UE"/>
    <w:basedOn w:val="Normal"/>
    <w:rsid w:val="003256E2"/>
    <w:pPr>
      <w:spacing w:after="0"/>
      <w:jc w:val="center"/>
    </w:pPr>
    <w:rPr>
      <w:b/>
      <w:caps/>
      <w:color w:val="FF0000"/>
      <w:sz w:val="32"/>
      <w:bdr w:val="single" w:sz="18" w:space="0" w:color="FF0000"/>
    </w:rPr>
  </w:style>
  <w:style w:type="paragraph" w:customStyle="1" w:styleId="TrsSecretUE">
    <w:name w:val="Très Secret UE"/>
    <w:basedOn w:val="Normal"/>
    <w:rsid w:val="003256E2"/>
    <w:pPr>
      <w:spacing w:after="0"/>
      <w:jc w:val="center"/>
    </w:pPr>
    <w:rPr>
      <w:b/>
      <w:caps/>
      <w:color w:val="FF0000"/>
      <w:sz w:val="32"/>
      <w:bdr w:val="single" w:sz="18" w:space="0" w:color="FF0000"/>
    </w:rPr>
  </w:style>
  <w:style w:type="paragraph" w:customStyle="1" w:styleId="LegalNumPar">
    <w:name w:val="LegalNumPar"/>
    <w:basedOn w:val="Normal"/>
    <w:rsid w:val="003256E2"/>
    <w:pPr>
      <w:numPr>
        <w:numId w:val="102"/>
      </w:numPr>
    </w:pPr>
  </w:style>
  <w:style w:type="character" w:customStyle="1" w:styleId="CaptionChar">
    <w:name w:val="Caption Char"/>
    <w:aliases w:val="Caption Char Char Char Char,Caption-tables Char,Caption SMJ Char,Caption AJAE Char,Caption AJAE1 Char,Caption AJAE2 Char,Caption AJAE3 Char,Caption AJAE4 Char,Caption SMJ1 Char,Caption AJAE5 Char,Caption AJAE11 Char,Caption AJAE21 Char"/>
    <w:link w:val="Caption"/>
    <w:uiPriority w:val="35"/>
    <w:rsid w:val="003256E2"/>
    <w:rPr>
      <w:rFonts w:ascii="Times New Roman" w:eastAsia="Times New Roman" w:hAnsi="Times New Roman" w:cs="Times New Roman"/>
      <w:b/>
      <w:bCs/>
      <w:color w:val="4F81BD" w:themeColor="accent1"/>
      <w:sz w:val="18"/>
      <w:szCs w:val="18"/>
    </w:rPr>
  </w:style>
  <w:style w:type="paragraph" w:customStyle="1" w:styleId="source">
    <w:name w:val="source"/>
    <w:basedOn w:val="Normal"/>
    <w:link w:val="sourceChar"/>
    <w:qFormat/>
    <w:rsid w:val="003256E2"/>
    <w:pPr>
      <w:spacing w:after="180"/>
    </w:pPr>
    <w:rPr>
      <w:rFonts w:ascii="Arial" w:hAnsi="Arial" w:cs="Arial"/>
      <w:i/>
      <w:iCs/>
      <w:sz w:val="18"/>
      <w:szCs w:val="18"/>
      <w:lang w:eastAsia="de-DE"/>
    </w:rPr>
  </w:style>
  <w:style w:type="character" w:customStyle="1" w:styleId="sourceChar">
    <w:name w:val="source Char"/>
    <w:basedOn w:val="DefaultParagraphFont"/>
    <w:link w:val="source"/>
    <w:rsid w:val="003256E2"/>
    <w:rPr>
      <w:rFonts w:ascii="Arial" w:eastAsia="Times New Roman" w:hAnsi="Arial" w:cs="Arial"/>
      <w:i/>
      <w:iCs/>
      <w:sz w:val="18"/>
      <w:szCs w:val="18"/>
      <w:lang w:eastAsia="de-DE"/>
    </w:rPr>
  </w:style>
  <w:style w:type="character" w:customStyle="1" w:styleId="NormalJUSTChar">
    <w:name w:val="Normal JUST Char"/>
    <w:basedOn w:val="DefaultParagraphFont"/>
    <w:link w:val="NormalJUST"/>
    <w:locked/>
    <w:rsid w:val="003256E2"/>
    <w:rPr>
      <w:rFonts w:ascii="Verdana" w:hAnsi="Verdana"/>
      <w:color w:val="595959"/>
      <w:lang w:eastAsia="de-DE"/>
    </w:rPr>
  </w:style>
  <w:style w:type="paragraph" w:customStyle="1" w:styleId="NormalJUST">
    <w:name w:val="Normal JUST"/>
    <w:basedOn w:val="Normal"/>
    <w:link w:val="NormalJUSTChar"/>
    <w:qFormat/>
    <w:rsid w:val="003256E2"/>
    <w:rPr>
      <w:rFonts w:ascii="Verdana" w:eastAsiaTheme="minorHAnsi" w:hAnsi="Verdana" w:cstheme="minorBidi"/>
      <w:color w:val="595959"/>
      <w:sz w:val="22"/>
      <w:szCs w:val="22"/>
      <w:lang w:eastAsia="de-DE"/>
    </w:rPr>
  </w:style>
  <w:style w:type="character" w:customStyle="1" w:styleId="Marker">
    <w:name w:val="Marker"/>
    <w:basedOn w:val="DefaultParagraphFont"/>
    <w:rsid w:val="003256E2"/>
    <w:rPr>
      <w:color w:val="0000FF"/>
      <w:shd w:val="clear" w:color="auto" w:fill="auto"/>
    </w:rPr>
  </w:style>
  <w:style w:type="paragraph" w:customStyle="1" w:styleId="Pagedecouverture">
    <w:name w:val="Page de couverture"/>
    <w:basedOn w:val="Normal"/>
    <w:next w:val="Normal"/>
    <w:rsid w:val="003256E2"/>
    <w:pPr>
      <w:spacing w:after="0"/>
    </w:pPr>
    <w:rPr>
      <w:rFonts w:eastAsiaTheme="minorHAnsi"/>
      <w:szCs w:val="22"/>
    </w:rPr>
  </w:style>
  <w:style w:type="paragraph" w:customStyle="1" w:styleId="FooterCoverPage">
    <w:name w:val="Footer Cover Page"/>
    <w:basedOn w:val="Normal"/>
    <w:link w:val="FooterCoverPageChar"/>
    <w:rsid w:val="003256E2"/>
    <w:pPr>
      <w:tabs>
        <w:tab w:val="center" w:pos="4535"/>
        <w:tab w:val="right" w:pos="9071"/>
        <w:tab w:val="right" w:pos="9921"/>
      </w:tabs>
      <w:spacing w:before="360" w:beforeAutospacing="1" w:after="0" w:afterAutospacing="1"/>
      <w:ind w:left="-850" w:right="-850"/>
      <w:jc w:val="left"/>
    </w:pPr>
  </w:style>
  <w:style w:type="character" w:customStyle="1" w:styleId="FooterCoverPageChar">
    <w:name w:val="Footer Cover Page Char"/>
    <w:basedOn w:val="DefaultParagraphFont"/>
    <w:link w:val="FooterCoverPage"/>
    <w:rsid w:val="003256E2"/>
    <w:rPr>
      <w:rFonts w:ascii="Times New Roman" w:eastAsia="Times New Roman" w:hAnsi="Times New Roman" w:cs="Times New Roman"/>
      <w:sz w:val="24"/>
      <w:szCs w:val="20"/>
    </w:rPr>
  </w:style>
  <w:style w:type="paragraph" w:customStyle="1" w:styleId="HeaderCoverPage">
    <w:name w:val="Header Cover Page"/>
    <w:basedOn w:val="Normal"/>
    <w:link w:val="HeaderCoverPageChar"/>
    <w:rsid w:val="003256E2"/>
    <w:pPr>
      <w:tabs>
        <w:tab w:val="center" w:pos="4535"/>
        <w:tab w:val="right" w:pos="9071"/>
      </w:tabs>
      <w:spacing w:beforeAutospacing="1" w:afterAutospacing="1"/>
    </w:pPr>
  </w:style>
  <w:style w:type="character" w:customStyle="1" w:styleId="HeaderCoverPageChar">
    <w:name w:val="Header Cover Page Char"/>
    <w:basedOn w:val="DefaultParagraphFont"/>
    <w:link w:val="HeaderCoverPage"/>
    <w:rsid w:val="003256E2"/>
    <w:rPr>
      <w:rFonts w:ascii="Times New Roman" w:eastAsia="Times New Roman" w:hAnsi="Times New Roman" w:cs="Times New Roman"/>
      <w:sz w:val="24"/>
      <w:szCs w:val="20"/>
    </w:rPr>
  </w:style>
  <w:style w:type="table" w:customStyle="1" w:styleId="TableGrid20">
    <w:name w:val="Table Grid20"/>
    <w:basedOn w:val="TableNormal"/>
    <w:locked/>
    <w:rsid w:val="003256E2"/>
    <w:pPr>
      <w:spacing w:after="120" w:line="240" w:lineRule="auto"/>
      <w:jc w:val="both"/>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
    <w:name w:val="no..."/>
    <w:aliases w:val="Footnote Reference1,Odwołanie przypisu,fr Char,o Char, Exposant 3 Point"/>
    <w:basedOn w:val="Normal"/>
    <w:uiPriority w:val="99"/>
    <w:rsid w:val="003256E2"/>
    <w:pPr>
      <w:spacing w:after="160" w:line="240" w:lineRule="exact"/>
    </w:pPr>
    <w:rPr>
      <w:szCs w:val="24"/>
      <w:vertAlign w:val="superscript"/>
      <w:lang w:eastAsia="en-GB"/>
    </w:rPr>
  </w:style>
  <w:style w:type="character" w:customStyle="1" w:styleId="italic1">
    <w:name w:val="italic1"/>
    <w:basedOn w:val="DefaultParagraphFont"/>
    <w:rsid w:val="00C524E5"/>
    <w:rPr>
      <w:i/>
      <w:iCs/>
    </w:rPr>
  </w:style>
  <w:style w:type="paragraph" w:customStyle="1" w:styleId="LESourceText">
    <w:name w:val="LE Source Text"/>
    <w:basedOn w:val="Normal"/>
    <w:link w:val="LESourceTextChar"/>
    <w:qFormat/>
    <w:rsid w:val="00C524E5"/>
    <w:pPr>
      <w:keepLines/>
      <w:spacing w:after="0"/>
    </w:pPr>
    <w:rPr>
      <w:rFonts w:ascii="Calibri" w:hAnsi="Calibri"/>
      <w:b/>
      <w:i/>
      <w:sz w:val="16"/>
      <w:szCs w:val="22"/>
    </w:rPr>
  </w:style>
  <w:style w:type="paragraph" w:customStyle="1" w:styleId="LECaption">
    <w:name w:val="LE Caption"/>
    <w:basedOn w:val="Normal"/>
    <w:link w:val="LECaptionChar"/>
    <w:qFormat/>
    <w:rsid w:val="00C524E5"/>
    <w:pPr>
      <w:keepNext/>
      <w:keepLines/>
      <w:tabs>
        <w:tab w:val="left" w:pos="906"/>
      </w:tabs>
      <w:spacing w:before="60" w:after="60"/>
      <w:ind w:left="906" w:hanging="906"/>
      <w:jc w:val="left"/>
    </w:pPr>
    <w:rPr>
      <w:rFonts w:ascii="Calibri" w:hAnsi="Calibri" w:cs="Microsoft Sans Serif"/>
      <w:b/>
      <w:noProof/>
      <w:color w:val="FFFFFF"/>
      <w:sz w:val="22"/>
      <w:szCs w:val="22"/>
      <w:lang w:val="en-US"/>
    </w:rPr>
  </w:style>
  <w:style w:type="character" w:customStyle="1" w:styleId="LETableText">
    <w:name w:val="LE Table Text"/>
    <w:basedOn w:val="DefaultParagraphFont"/>
    <w:qFormat/>
    <w:rsid w:val="00C524E5"/>
    <w:rPr>
      <w:rFonts w:ascii="Calibri" w:hAnsi="Calibri"/>
      <w:sz w:val="20"/>
    </w:rPr>
  </w:style>
  <w:style w:type="character" w:customStyle="1" w:styleId="LESourceTextChar">
    <w:name w:val="LE Source Text Char"/>
    <w:basedOn w:val="DefaultParagraphFont"/>
    <w:link w:val="LESourceText"/>
    <w:rsid w:val="00C524E5"/>
    <w:rPr>
      <w:rFonts w:ascii="Calibri" w:eastAsia="Times New Roman" w:hAnsi="Calibri" w:cs="Times New Roman"/>
      <w:b/>
      <w:i/>
      <w:sz w:val="16"/>
    </w:rPr>
  </w:style>
  <w:style w:type="character" w:customStyle="1" w:styleId="LECaptionChar">
    <w:name w:val="LE Caption Char"/>
    <w:basedOn w:val="DefaultParagraphFont"/>
    <w:link w:val="LECaption"/>
    <w:rsid w:val="00C524E5"/>
    <w:rPr>
      <w:rFonts w:ascii="Calibri" w:eastAsia="Times New Roman" w:hAnsi="Calibri" w:cs="Microsoft Sans Serif"/>
      <w:b/>
      <w:noProof/>
      <w:color w:val="FFFFFF"/>
      <w:lang w:val="en-US"/>
    </w:rPr>
  </w:style>
  <w:style w:type="numbering" w:customStyle="1" w:styleId="Style1">
    <w:name w:val="Style1"/>
    <w:uiPriority w:val="99"/>
    <w:rsid w:val="003A29DE"/>
    <w:pPr>
      <w:numPr>
        <w:numId w:val="151"/>
      </w:numPr>
    </w:p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rsid w:val="003A29DE"/>
    <w:pPr>
      <w:spacing w:after="160" w:line="240" w:lineRule="exact"/>
      <w:jc w:val="left"/>
    </w:pPr>
    <w:rPr>
      <w:rFonts w:ascii="Calibri" w:eastAsia="Calibri" w:hAnsi="Calibri"/>
      <w:sz w:val="20"/>
      <w:vertAlign w:val="superscript"/>
      <w:lang w:val="x-none" w:eastAsia="x-none"/>
    </w:rPr>
  </w:style>
  <w:style w:type="character" w:customStyle="1" w:styleId="st">
    <w:name w:val="st"/>
    <w:basedOn w:val="DefaultParagraphFont"/>
    <w:rsid w:val="003A29DE"/>
  </w:style>
  <w:style w:type="character" w:styleId="Emphasis">
    <w:name w:val="Emphasis"/>
    <w:uiPriority w:val="20"/>
    <w:qFormat/>
    <w:rsid w:val="003A29DE"/>
    <w:rPr>
      <w:i/>
      <w:iCs/>
    </w:rPr>
  </w:style>
  <w:style w:type="character" w:customStyle="1" w:styleId="A3">
    <w:name w:val="A3"/>
    <w:uiPriority w:val="99"/>
    <w:rsid w:val="003A29DE"/>
    <w:rPr>
      <w:color w:val="000000"/>
      <w:sz w:val="19"/>
      <w:szCs w:val="19"/>
    </w:rPr>
  </w:style>
  <w:style w:type="paragraph" w:customStyle="1" w:styleId="Kilde">
    <w:name w:val="Kilde"/>
    <w:basedOn w:val="Normal"/>
    <w:next w:val="Normal"/>
    <w:qFormat/>
    <w:rsid w:val="00C07D5D"/>
    <w:pPr>
      <w:numPr>
        <w:ilvl w:val="1"/>
      </w:numPr>
      <w:spacing w:before="120" w:line="276" w:lineRule="auto"/>
    </w:pPr>
    <w:rPr>
      <w:rFonts w:ascii="Arial" w:hAnsi="Arial" w:cs="Arial"/>
      <w:i/>
      <w:iCs/>
      <w:color w:val="404040" w:themeColor="text1" w:themeTint="BF"/>
      <w:spacing w:val="8"/>
      <w:sz w:val="16"/>
      <w:szCs w:val="16"/>
    </w:rPr>
  </w:style>
  <w:style w:type="paragraph" w:styleId="NoSpacing">
    <w:name w:val="No Spacing"/>
    <w:uiPriority w:val="1"/>
    <w:qFormat/>
    <w:rsid w:val="00C07D5D"/>
    <w:pPr>
      <w:spacing w:after="0" w:line="240" w:lineRule="auto"/>
    </w:pPr>
  </w:style>
  <w:style w:type="character" w:customStyle="1" w:styleId="foonoteChar">
    <w:name w:val="foonote Char"/>
    <w:basedOn w:val="DefaultParagraphFont"/>
    <w:link w:val="foonote"/>
    <w:locked/>
    <w:rsid w:val="003F7DA2"/>
    <w:rPr>
      <w:rFonts w:ascii="Calibri" w:hAnsi="Calibri" w:cs="Calibri"/>
      <w:vertAlign w:val="superscript"/>
    </w:rPr>
  </w:style>
  <w:style w:type="paragraph" w:customStyle="1" w:styleId="foonote">
    <w:name w:val="foonote"/>
    <w:basedOn w:val="Normal"/>
    <w:link w:val="foonoteChar"/>
    <w:qFormat/>
    <w:rsid w:val="003F7DA2"/>
    <w:pPr>
      <w:spacing w:after="0"/>
      <w:ind w:left="357" w:hanging="357"/>
    </w:pPr>
    <w:rPr>
      <w:rFonts w:ascii="Calibri" w:eastAsiaTheme="minorHAnsi" w:hAnsi="Calibri" w:cs="Calibri"/>
      <w:sz w:val="22"/>
      <w:szCs w:val="22"/>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7F0B"/>
    <w:pPr>
      <w:spacing w:after="160" w:line="240" w:lineRule="exact"/>
    </w:pPr>
    <w:rPr>
      <w:rFonts w:asciiTheme="minorHAnsi" w:eastAsiaTheme="minorHAnsi" w:hAnsiTheme="minorHAnsi" w:cstheme="minorBidi"/>
      <w:sz w:val="22"/>
      <w:szCs w:val="22"/>
      <w:vertAlign w:val="superscript"/>
      <w:lang w:eastAsia="nl-NL"/>
    </w:rPr>
  </w:style>
  <w:style w:type="character" w:customStyle="1" w:styleId="standaardnietinspringenChar">
    <w:name w:val="standaard niet inspringen Char"/>
    <w:basedOn w:val="DefaultParagraphFont"/>
    <w:link w:val="standaardnietinspringen"/>
    <w:locked/>
    <w:rsid w:val="00747F0B"/>
    <w:rPr>
      <w:rFonts w:ascii="Trebuchet MS" w:hAnsi="Trebuchet MS"/>
    </w:rPr>
  </w:style>
  <w:style w:type="paragraph" w:customStyle="1" w:styleId="standaardnietinspringen">
    <w:name w:val="standaard niet inspringen"/>
    <w:basedOn w:val="Normal"/>
    <w:link w:val="standaardnietinspringenChar"/>
    <w:rsid w:val="00747F0B"/>
    <w:pPr>
      <w:spacing w:after="0" w:line="240" w:lineRule="atLeast"/>
      <w:jc w:val="left"/>
    </w:pPr>
    <w:rPr>
      <w:rFonts w:ascii="Trebuchet MS" w:eastAsiaTheme="minorHAnsi" w:hAnsi="Trebuchet MS" w:cstheme="minorBidi"/>
      <w:sz w:val="22"/>
      <w:szCs w:val="22"/>
    </w:rPr>
  </w:style>
  <w:style w:type="paragraph" w:customStyle="1" w:styleId="Declassification">
    <w:name w:val="Declassification"/>
    <w:basedOn w:val="Normal"/>
    <w:next w:val="Normal"/>
    <w:rsid w:val="00371DAB"/>
    <w:pPr>
      <w:spacing w:after="0"/>
    </w:pPr>
    <w:rPr>
      <w:rFonts w:eastAsiaTheme="minorHAnsi"/>
      <w:szCs w:val="22"/>
    </w:rPr>
  </w:style>
  <w:style w:type="paragraph" w:customStyle="1" w:styleId="HeaderLandscape">
    <w:name w:val="HeaderLandscape"/>
    <w:basedOn w:val="Normal"/>
    <w:rsid w:val="00371DAB"/>
    <w:pPr>
      <w:tabs>
        <w:tab w:val="center" w:pos="7285"/>
        <w:tab w:val="right" w:pos="14003"/>
      </w:tabs>
    </w:pPr>
    <w:rPr>
      <w:rFonts w:eastAsiaTheme="minorHAnsi"/>
      <w:szCs w:val="22"/>
    </w:rPr>
  </w:style>
  <w:style w:type="paragraph" w:customStyle="1" w:styleId="HeaderSensitivity">
    <w:name w:val="Header Sensitivity"/>
    <w:basedOn w:val="Normal"/>
    <w:rsid w:val="00371DAB"/>
    <w:pPr>
      <w:pBdr>
        <w:top w:val="single" w:sz="4" w:space="1" w:color="auto"/>
        <w:left w:val="single" w:sz="4" w:space="4" w:color="auto"/>
        <w:bottom w:val="single" w:sz="4" w:space="1" w:color="auto"/>
        <w:right w:val="single" w:sz="4" w:space="4" w:color="auto"/>
      </w:pBdr>
      <w:ind w:left="113" w:right="113"/>
      <w:jc w:val="center"/>
    </w:pPr>
    <w:rPr>
      <w:b/>
      <w:sz w:val="32"/>
    </w:rPr>
  </w:style>
  <w:style w:type="paragraph" w:customStyle="1" w:styleId="FooterLandscape">
    <w:name w:val="FooterLandscape"/>
    <w:basedOn w:val="Normal"/>
    <w:rsid w:val="00371DAB"/>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rsid w:val="00371DAB"/>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rsid w:val="00504AA3"/>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pPr>
    <w:rPr>
      <w:rFonts w:eastAsiaTheme="minorHAnsi"/>
      <w:szCs w:val="22"/>
    </w:rPr>
  </w:style>
  <w:style w:type="paragraph" w:customStyle="1" w:styleId="SecurityMarking">
    <w:name w:val="SecurityMarking"/>
    <w:basedOn w:val="Normal"/>
    <w:rsid w:val="00504AA3"/>
    <w:pPr>
      <w:spacing w:after="0" w:line="276" w:lineRule="auto"/>
      <w:ind w:left="5103"/>
      <w:jc w:val="left"/>
    </w:pPr>
    <w:rPr>
      <w:rFonts w:eastAsiaTheme="minorHAnsi"/>
      <w:sz w:val="28"/>
      <w:szCs w:val="22"/>
    </w:rPr>
  </w:style>
  <w:style w:type="paragraph" w:customStyle="1" w:styleId="DateMarking">
    <w:name w:val="DateMarking"/>
    <w:basedOn w:val="Normal"/>
    <w:rsid w:val="00504AA3"/>
    <w:pPr>
      <w:spacing w:after="0" w:line="276" w:lineRule="auto"/>
      <w:ind w:left="5103"/>
      <w:jc w:val="left"/>
    </w:pPr>
    <w:rPr>
      <w:rFonts w:eastAsiaTheme="minorHAnsi"/>
      <w:i/>
      <w:sz w:val="28"/>
      <w:szCs w:val="22"/>
    </w:rPr>
  </w:style>
  <w:style w:type="paragraph" w:customStyle="1" w:styleId="ReleasableTo">
    <w:name w:val="ReleasableTo"/>
    <w:basedOn w:val="Normal"/>
    <w:rsid w:val="00504AA3"/>
    <w:pPr>
      <w:spacing w:after="0" w:line="276" w:lineRule="auto"/>
      <w:ind w:left="5103"/>
      <w:jc w:val="left"/>
    </w:pPr>
    <w:rPr>
      <w:rFonts w:eastAsiaTheme="minorHAnsi"/>
      <w:i/>
      <w:sz w:val="28"/>
      <w:szCs w:val="22"/>
    </w:rPr>
  </w:style>
  <w:style w:type="paragraph" w:customStyle="1" w:styleId="HeaderSensitivityRight">
    <w:name w:val="Header Sensitivity Right"/>
    <w:basedOn w:val="Normal"/>
    <w:rsid w:val="00504AA3"/>
    <w:pPr>
      <w:jc w:val="right"/>
    </w:pPr>
    <w:rPr>
      <w:sz w:val="28"/>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rsid w:val="00AD67F7"/>
    <w:pPr>
      <w:spacing w:after="160" w:line="240" w:lineRule="exact"/>
      <w:jc w:val="left"/>
    </w:pPr>
    <w:rPr>
      <w:vertAlign w:val="superscript"/>
      <w:lang w:eastAsia="en-IE"/>
    </w:rPr>
  </w:style>
  <w:style w:type="paragraph" w:customStyle="1" w:styleId="Normal1">
    <w:name w:val="Normal1"/>
    <w:basedOn w:val="Normal"/>
    <w:rsid w:val="007864D4"/>
    <w:pPr>
      <w:spacing w:before="100" w:beforeAutospacing="1" w:after="100" w:afterAutospacing="1"/>
      <w:jc w:val="left"/>
    </w:pPr>
    <w:rPr>
      <w:szCs w:val="24"/>
      <w:lang w:val="en-US"/>
    </w:rPr>
  </w:style>
  <w:style w:type="paragraph" w:customStyle="1" w:styleId="ti-art">
    <w:name w:val="ti-art"/>
    <w:basedOn w:val="Normal"/>
    <w:rsid w:val="007864D4"/>
    <w:pPr>
      <w:spacing w:before="100" w:beforeAutospacing="1" w:after="100" w:afterAutospacing="1"/>
      <w:jc w:val="left"/>
    </w:pPr>
    <w:rPr>
      <w:szCs w:val="24"/>
      <w:lang w:val="en-US"/>
    </w:rPr>
  </w:style>
  <w:style w:type="paragraph" w:customStyle="1" w:styleId="sti-art">
    <w:name w:val="sti-art"/>
    <w:basedOn w:val="Normal"/>
    <w:rsid w:val="007864D4"/>
    <w:pPr>
      <w:spacing w:before="100" w:beforeAutospacing="1" w:after="100" w:afterAutospacing="1"/>
      <w:jc w:val="left"/>
    </w:pPr>
    <w:rPr>
      <w:szCs w:val="24"/>
      <w:lang w:val="en-US"/>
    </w:rPr>
  </w:style>
  <w:style w:type="character" w:customStyle="1" w:styleId="super">
    <w:name w:val="super"/>
    <w:basedOn w:val="DefaultParagraphFont"/>
    <w:rsid w:val="007864D4"/>
  </w:style>
  <w:style w:type="paragraph" w:customStyle="1" w:styleId="note">
    <w:name w:val="note"/>
    <w:basedOn w:val="Normal"/>
    <w:rsid w:val="007864D4"/>
    <w:pPr>
      <w:spacing w:before="100" w:beforeAutospacing="1" w:after="100" w:afterAutospacing="1"/>
      <w:jc w:val="left"/>
    </w:pPr>
    <w:rPr>
      <w:szCs w:val="24"/>
      <w:lang w:val="en-US"/>
    </w:rPr>
  </w:style>
  <w:style w:type="character" w:customStyle="1" w:styleId="normaltextrun">
    <w:name w:val="normaltextrun"/>
    <w:basedOn w:val="DefaultParagraphFont"/>
    <w:rsid w:val="002F7976"/>
  </w:style>
  <w:style w:type="character" w:customStyle="1" w:styleId="eop">
    <w:name w:val="eop"/>
    <w:basedOn w:val="DefaultParagraphFont"/>
    <w:rsid w:val="002F7976"/>
  </w:style>
  <w:style w:type="paragraph" w:customStyle="1" w:styleId="Briefingtext">
    <w:name w:val="Briefing text"/>
    <w:basedOn w:val="Normal"/>
    <w:link w:val="BriefingtextChar"/>
    <w:rsid w:val="001E59D3"/>
    <w:rPr>
      <w:rFonts w:ascii="Arial" w:hAnsi="Arial" w:cs="Arial"/>
      <w:sz w:val="22"/>
      <w:szCs w:val="24"/>
    </w:rPr>
  </w:style>
  <w:style w:type="character" w:customStyle="1" w:styleId="BriefingtextChar">
    <w:name w:val="Briefing text Char"/>
    <w:link w:val="Briefingtext"/>
    <w:rsid w:val="001E59D3"/>
    <w:rPr>
      <w:rFonts w:ascii="Arial" w:eastAsia="Times New Roman"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7294">
      <w:bodyDiv w:val="1"/>
      <w:marLeft w:val="0"/>
      <w:marRight w:val="0"/>
      <w:marTop w:val="0"/>
      <w:marBottom w:val="0"/>
      <w:divBdr>
        <w:top w:val="none" w:sz="0" w:space="0" w:color="auto"/>
        <w:left w:val="none" w:sz="0" w:space="0" w:color="auto"/>
        <w:bottom w:val="none" w:sz="0" w:space="0" w:color="auto"/>
        <w:right w:val="none" w:sz="0" w:space="0" w:color="auto"/>
      </w:divBdr>
    </w:div>
    <w:div w:id="53161171">
      <w:bodyDiv w:val="1"/>
      <w:marLeft w:val="0"/>
      <w:marRight w:val="0"/>
      <w:marTop w:val="0"/>
      <w:marBottom w:val="0"/>
      <w:divBdr>
        <w:top w:val="none" w:sz="0" w:space="0" w:color="auto"/>
        <w:left w:val="none" w:sz="0" w:space="0" w:color="auto"/>
        <w:bottom w:val="none" w:sz="0" w:space="0" w:color="auto"/>
        <w:right w:val="none" w:sz="0" w:space="0" w:color="auto"/>
      </w:divBdr>
    </w:div>
    <w:div w:id="55129342">
      <w:bodyDiv w:val="1"/>
      <w:marLeft w:val="0"/>
      <w:marRight w:val="0"/>
      <w:marTop w:val="0"/>
      <w:marBottom w:val="0"/>
      <w:divBdr>
        <w:top w:val="none" w:sz="0" w:space="0" w:color="auto"/>
        <w:left w:val="none" w:sz="0" w:space="0" w:color="auto"/>
        <w:bottom w:val="none" w:sz="0" w:space="0" w:color="auto"/>
        <w:right w:val="none" w:sz="0" w:space="0" w:color="auto"/>
      </w:divBdr>
      <w:divsChild>
        <w:div w:id="453402357">
          <w:marLeft w:val="0"/>
          <w:marRight w:val="0"/>
          <w:marTop w:val="0"/>
          <w:marBottom w:val="0"/>
          <w:divBdr>
            <w:top w:val="none" w:sz="0" w:space="0" w:color="auto"/>
            <w:left w:val="none" w:sz="0" w:space="0" w:color="auto"/>
            <w:bottom w:val="none" w:sz="0" w:space="0" w:color="auto"/>
            <w:right w:val="none" w:sz="0" w:space="0" w:color="auto"/>
          </w:divBdr>
          <w:divsChild>
            <w:div w:id="1768304414">
              <w:marLeft w:val="0"/>
              <w:marRight w:val="0"/>
              <w:marTop w:val="0"/>
              <w:marBottom w:val="0"/>
              <w:divBdr>
                <w:top w:val="none" w:sz="0" w:space="0" w:color="auto"/>
                <w:left w:val="none" w:sz="0" w:space="0" w:color="auto"/>
                <w:bottom w:val="none" w:sz="0" w:space="0" w:color="auto"/>
                <w:right w:val="none" w:sz="0" w:space="0" w:color="auto"/>
              </w:divBdr>
              <w:divsChild>
                <w:div w:id="1606111867">
                  <w:marLeft w:val="0"/>
                  <w:marRight w:val="0"/>
                  <w:marTop w:val="0"/>
                  <w:marBottom w:val="0"/>
                  <w:divBdr>
                    <w:top w:val="none" w:sz="0" w:space="0" w:color="auto"/>
                    <w:left w:val="none" w:sz="0" w:space="0" w:color="auto"/>
                    <w:bottom w:val="none" w:sz="0" w:space="0" w:color="auto"/>
                    <w:right w:val="none" w:sz="0" w:space="0" w:color="auto"/>
                  </w:divBdr>
                  <w:divsChild>
                    <w:div w:id="2137985194">
                      <w:marLeft w:val="0"/>
                      <w:marRight w:val="0"/>
                      <w:marTop w:val="0"/>
                      <w:marBottom w:val="0"/>
                      <w:divBdr>
                        <w:top w:val="none" w:sz="0" w:space="0" w:color="auto"/>
                        <w:left w:val="none" w:sz="0" w:space="0" w:color="auto"/>
                        <w:bottom w:val="none" w:sz="0" w:space="0" w:color="auto"/>
                        <w:right w:val="none" w:sz="0" w:space="0" w:color="auto"/>
                      </w:divBdr>
                      <w:divsChild>
                        <w:div w:id="1381518655">
                          <w:marLeft w:val="0"/>
                          <w:marRight w:val="0"/>
                          <w:marTop w:val="0"/>
                          <w:marBottom w:val="0"/>
                          <w:divBdr>
                            <w:top w:val="none" w:sz="0" w:space="0" w:color="auto"/>
                            <w:left w:val="none" w:sz="0" w:space="0" w:color="auto"/>
                            <w:bottom w:val="none" w:sz="0" w:space="0" w:color="auto"/>
                            <w:right w:val="none" w:sz="0" w:space="0" w:color="auto"/>
                          </w:divBdr>
                          <w:divsChild>
                            <w:div w:id="548693018">
                              <w:marLeft w:val="0"/>
                              <w:marRight w:val="0"/>
                              <w:marTop w:val="0"/>
                              <w:marBottom w:val="0"/>
                              <w:divBdr>
                                <w:top w:val="none" w:sz="0" w:space="0" w:color="auto"/>
                                <w:left w:val="none" w:sz="0" w:space="0" w:color="auto"/>
                                <w:bottom w:val="none" w:sz="0" w:space="0" w:color="auto"/>
                                <w:right w:val="none" w:sz="0" w:space="0" w:color="auto"/>
                              </w:divBdr>
                              <w:divsChild>
                                <w:div w:id="1936014374">
                                  <w:marLeft w:val="0"/>
                                  <w:marRight w:val="0"/>
                                  <w:marTop w:val="0"/>
                                  <w:marBottom w:val="0"/>
                                  <w:divBdr>
                                    <w:top w:val="none" w:sz="0" w:space="0" w:color="auto"/>
                                    <w:left w:val="none" w:sz="0" w:space="0" w:color="auto"/>
                                    <w:bottom w:val="none" w:sz="0" w:space="0" w:color="auto"/>
                                    <w:right w:val="none" w:sz="0" w:space="0" w:color="auto"/>
                                  </w:divBdr>
                                  <w:divsChild>
                                    <w:div w:id="127867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18876">
      <w:bodyDiv w:val="1"/>
      <w:marLeft w:val="0"/>
      <w:marRight w:val="0"/>
      <w:marTop w:val="0"/>
      <w:marBottom w:val="0"/>
      <w:divBdr>
        <w:top w:val="none" w:sz="0" w:space="0" w:color="auto"/>
        <w:left w:val="none" w:sz="0" w:space="0" w:color="auto"/>
        <w:bottom w:val="none" w:sz="0" w:space="0" w:color="auto"/>
        <w:right w:val="none" w:sz="0" w:space="0" w:color="auto"/>
      </w:divBdr>
    </w:div>
    <w:div w:id="104078605">
      <w:bodyDiv w:val="1"/>
      <w:marLeft w:val="0"/>
      <w:marRight w:val="0"/>
      <w:marTop w:val="0"/>
      <w:marBottom w:val="0"/>
      <w:divBdr>
        <w:top w:val="none" w:sz="0" w:space="0" w:color="auto"/>
        <w:left w:val="none" w:sz="0" w:space="0" w:color="auto"/>
        <w:bottom w:val="none" w:sz="0" w:space="0" w:color="auto"/>
        <w:right w:val="none" w:sz="0" w:space="0" w:color="auto"/>
      </w:divBdr>
      <w:divsChild>
        <w:div w:id="2006979409">
          <w:marLeft w:val="0"/>
          <w:marRight w:val="0"/>
          <w:marTop w:val="0"/>
          <w:marBottom w:val="0"/>
          <w:divBdr>
            <w:top w:val="none" w:sz="0" w:space="0" w:color="auto"/>
            <w:left w:val="none" w:sz="0" w:space="0" w:color="auto"/>
            <w:bottom w:val="none" w:sz="0" w:space="0" w:color="auto"/>
            <w:right w:val="none" w:sz="0" w:space="0" w:color="auto"/>
          </w:divBdr>
        </w:div>
      </w:divsChild>
    </w:div>
    <w:div w:id="113410037">
      <w:bodyDiv w:val="1"/>
      <w:marLeft w:val="0"/>
      <w:marRight w:val="0"/>
      <w:marTop w:val="0"/>
      <w:marBottom w:val="0"/>
      <w:divBdr>
        <w:top w:val="none" w:sz="0" w:space="0" w:color="auto"/>
        <w:left w:val="none" w:sz="0" w:space="0" w:color="auto"/>
        <w:bottom w:val="none" w:sz="0" w:space="0" w:color="auto"/>
        <w:right w:val="none" w:sz="0" w:space="0" w:color="auto"/>
      </w:divBdr>
    </w:div>
    <w:div w:id="153490977">
      <w:bodyDiv w:val="1"/>
      <w:marLeft w:val="0"/>
      <w:marRight w:val="0"/>
      <w:marTop w:val="0"/>
      <w:marBottom w:val="0"/>
      <w:divBdr>
        <w:top w:val="none" w:sz="0" w:space="0" w:color="auto"/>
        <w:left w:val="none" w:sz="0" w:space="0" w:color="auto"/>
        <w:bottom w:val="none" w:sz="0" w:space="0" w:color="auto"/>
        <w:right w:val="none" w:sz="0" w:space="0" w:color="auto"/>
      </w:divBdr>
    </w:div>
    <w:div w:id="169565327">
      <w:bodyDiv w:val="1"/>
      <w:marLeft w:val="0"/>
      <w:marRight w:val="0"/>
      <w:marTop w:val="0"/>
      <w:marBottom w:val="0"/>
      <w:divBdr>
        <w:top w:val="none" w:sz="0" w:space="0" w:color="auto"/>
        <w:left w:val="none" w:sz="0" w:space="0" w:color="auto"/>
        <w:bottom w:val="none" w:sz="0" w:space="0" w:color="auto"/>
        <w:right w:val="none" w:sz="0" w:space="0" w:color="auto"/>
      </w:divBdr>
    </w:div>
    <w:div w:id="181474057">
      <w:bodyDiv w:val="1"/>
      <w:marLeft w:val="0"/>
      <w:marRight w:val="0"/>
      <w:marTop w:val="0"/>
      <w:marBottom w:val="0"/>
      <w:divBdr>
        <w:top w:val="none" w:sz="0" w:space="0" w:color="auto"/>
        <w:left w:val="none" w:sz="0" w:space="0" w:color="auto"/>
        <w:bottom w:val="none" w:sz="0" w:space="0" w:color="auto"/>
        <w:right w:val="none" w:sz="0" w:space="0" w:color="auto"/>
      </w:divBdr>
    </w:div>
    <w:div w:id="260533221">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147162720">
          <w:marLeft w:val="0"/>
          <w:marRight w:val="0"/>
          <w:marTop w:val="150"/>
          <w:marBottom w:val="100"/>
          <w:divBdr>
            <w:top w:val="none" w:sz="0" w:space="0" w:color="auto"/>
            <w:left w:val="none" w:sz="0" w:space="0" w:color="auto"/>
            <w:bottom w:val="none" w:sz="0" w:space="0" w:color="auto"/>
            <w:right w:val="none" w:sz="0" w:space="0" w:color="auto"/>
          </w:divBdr>
          <w:divsChild>
            <w:div w:id="1083185322">
              <w:marLeft w:val="-225"/>
              <w:marRight w:val="-375"/>
              <w:marTop w:val="0"/>
              <w:marBottom w:val="0"/>
              <w:divBdr>
                <w:top w:val="none" w:sz="0" w:space="0" w:color="auto"/>
                <w:left w:val="none" w:sz="0" w:space="0" w:color="auto"/>
                <w:bottom w:val="none" w:sz="0" w:space="0" w:color="auto"/>
                <w:right w:val="none" w:sz="0" w:space="0" w:color="auto"/>
              </w:divBdr>
              <w:divsChild>
                <w:div w:id="2034334203">
                  <w:marLeft w:val="0"/>
                  <w:marRight w:val="0"/>
                  <w:marTop w:val="0"/>
                  <w:marBottom w:val="0"/>
                  <w:divBdr>
                    <w:top w:val="none" w:sz="0" w:space="0" w:color="auto"/>
                    <w:left w:val="none" w:sz="0" w:space="0" w:color="auto"/>
                    <w:bottom w:val="none" w:sz="0" w:space="0" w:color="auto"/>
                    <w:right w:val="none" w:sz="0" w:space="0" w:color="auto"/>
                  </w:divBdr>
                  <w:divsChild>
                    <w:div w:id="1522157576">
                      <w:marLeft w:val="-225"/>
                      <w:marRight w:val="-375"/>
                      <w:marTop w:val="0"/>
                      <w:marBottom w:val="0"/>
                      <w:divBdr>
                        <w:top w:val="none" w:sz="0" w:space="0" w:color="auto"/>
                        <w:left w:val="none" w:sz="0" w:space="0" w:color="auto"/>
                        <w:bottom w:val="none" w:sz="0" w:space="0" w:color="auto"/>
                        <w:right w:val="none" w:sz="0" w:space="0" w:color="auto"/>
                      </w:divBdr>
                      <w:divsChild>
                        <w:div w:id="323364258">
                          <w:marLeft w:val="0"/>
                          <w:marRight w:val="0"/>
                          <w:marTop w:val="0"/>
                          <w:marBottom w:val="0"/>
                          <w:divBdr>
                            <w:top w:val="none" w:sz="0" w:space="0" w:color="auto"/>
                            <w:left w:val="none" w:sz="0" w:space="0" w:color="auto"/>
                            <w:bottom w:val="none" w:sz="0" w:space="0" w:color="auto"/>
                            <w:right w:val="none" w:sz="0" w:space="0" w:color="auto"/>
                          </w:divBdr>
                          <w:divsChild>
                            <w:div w:id="1829401201">
                              <w:marLeft w:val="0"/>
                              <w:marRight w:val="0"/>
                              <w:marTop w:val="0"/>
                              <w:marBottom w:val="0"/>
                              <w:divBdr>
                                <w:top w:val="none" w:sz="0" w:space="0" w:color="auto"/>
                                <w:left w:val="none" w:sz="0" w:space="0" w:color="auto"/>
                                <w:bottom w:val="none" w:sz="0" w:space="0" w:color="auto"/>
                                <w:right w:val="none" w:sz="0" w:space="0" w:color="auto"/>
                              </w:divBdr>
                              <w:divsChild>
                                <w:div w:id="1211112052">
                                  <w:marLeft w:val="0"/>
                                  <w:marRight w:val="0"/>
                                  <w:marTop w:val="0"/>
                                  <w:marBottom w:val="0"/>
                                  <w:divBdr>
                                    <w:top w:val="none" w:sz="0" w:space="0" w:color="auto"/>
                                    <w:left w:val="none" w:sz="0" w:space="0" w:color="auto"/>
                                    <w:bottom w:val="none" w:sz="0" w:space="0" w:color="auto"/>
                                    <w:right w:val="none" w:sz="0" w:space="0" w:color="auto"/>
                                  </w:divBdr>
                                  <w:divsChild>
                                    <w:div w:id="1342199556">
                                      <w:marLeft w:val="0"/>
                                      <w:marRight w:val="0"/>
                                      <w:marTop w:val="0"/>
                                      <w:marBottom w:val="0"/>
                                      <w:divBdr>
                                        <w:top w:val="single" w:sz="2" w:space="0" w:color="auto"/>
                                        <w:left w:val="single" w:sz="2" w:space="0" w:color="auto"/>
                                        <w:bottom w:val="single" w:sz="2" w:space="0" w:color="auto"/>
                                        <w:right w:val="single" w:sz="2" w:space="0" w:color="auto"/>
                                      </w:divBdr>
                                      <w:divsChild>
                                        <w:div w:id="851722370">
                                          <w:marLeft w:val="0"/>
                                          <w:marRight w:val="0"/>
                                          <w:marTop w:val="0"/>
                                          <w:marBottom w:val="0"/>
                                          <w:divBdr>
                                            <w:top w:val="none" w:sz="0" w:space="0" w:color="auto"/>
                                            <w:left w:val="none" w:sz="0" w:space="0" w:color="auto"/>
                                            <w:bottom w:val="none" w:sz="0" w:space="0" w:color="auto"/>
                                            <w:right w:val="none" w:sz="0" w:space="0" w:color="auto"/>
                                          </w:divBdr>
                                          <w:divsChild>
                                            <w:div w:id="1581788831">
                                              <w:marLeft w:val="0"/>
                                              <w:marRight w:val="0"/>
                                              <w:marTop w:val="0"/>
                                              <w:marBottom w:val="0"/>
                                              <w:divBdr>
                                                <w:top w:val="none" w:sz="0" w:space="0" w:color="auto"/>
                                                <w:left w:val="none" w:sz="0" w:space="0" w:color="auto"/>
                                                <w:bottom w:val="none" w:sz="0" w:space="0" w:color="auto"/>
                                                <w:right w:val="none" w:sz="0" w:space="0" w:color="auto"/>
                                              </w:divBdr>
                                              <w:divsChild>
                                                <w:div w:id="1849057236">
                                                  <w:marLeft w:val="-225"/>
                                                  <w:marRight w:val="-375"/>
                                                  <w:marTop w:val="0"/>
                                                  <w:marBottom w:val="0"/>
                                                  <w:divBdr>
                                                    <w:top w:val="none" w:sz="0" w:space="0" w:color="auto"/>
                                                    <w:left w:val="none" w:sz="0" w:space="0" w:color="auto"/>
                                                    <w:bottom w:val="none" w:sz="0" w:space="0" w:color="auto"/>
                                                    <w:right w:val="none" w:sz="0" w:space="0" w:color="auto"/>
                                                  </w:divBdr>
                                                  <w:divsChild>
                                                    <w:div w:id="1813061667">
                                                      <w:marLeft w:val="0"/>
                                                      <w:marRight w:val="0"/>
                                                      <w:marTop w:val="0"/>
                                                      <w:marBottom w:val="0"/>
                                                      <w:divBdr>
                                                        <w:top w:val="none" w:sz="0" w:space="0" w:color="auto"/>
                                                        <w:left w:val="none" w:sz="0" w:space="0" w:color="auto"/>
                                                        <w:bottom w:val="none" w:sz="0" w:space="0" w:color="auto"/>
                                                        <w:right w:val="none" w:sz="0" w:space="0" w:color="auto"/>
                                                      </w:divBdr>
                                                      <w:divsChild>
                                                        <w:div w:id="149371587">
                                                          <w:marLeft w:val="0"/>
                                                          <w:marRight w:val="0"/>
                                                          <w:marTop w:val="0"/>
                                                          <w:marBottom w:val="0"/>
                                                          <w:divBdr>
                                                            <w:top w:val="none" w:sz="0" w:space="0" w:color="auto"/>
                                                            <w:left w:val="none" w:sz="0" w:space="0" w:color="auto"/>
                                                            <w:bottom w:val="none" w:sz="0" w:space="0" w:color="auto"/>
                                                            <w:right w:val="none" w:sz="0" w:space="0" w:color="auto"/>
                                                          </w:divBdr>
                                                          <w:divsChild>
                                                            <w:div w:id="1578125571">
                                                              <w:marLeft w:val="0"/>
                                                              <w:marRight w:val="0"/>
                                                              <w:marTop w:val="0"/>
                                                              <w:marBottom w:val="0"/>
                                                              <w:divBdr>
                                                                <w:top w:val="none" w:sz="0" w:space="0" w:color="auto"/>
                                                                <w:left w:val="none" w:sz="0" w:space="0" w:color="auto"/>
                                                                <w:bottom w:val="none" w:sz="0" w:space="0" w:color="auto"/>
                                                                <w:right w:val="none" w:sz="0" w:space="0" w:color="auto"/>
                                                              </w:divBdr>
                                                              <w:divsChild>
                                                                <w:div w:id="656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8612613">
      <w:bodyDiv w:val="1"/>
      <w:marLeft w:val="0"/>
      <w:marRight w:val="0"/>
      <w:marTop w:val="0"/>
      <w:marBottom w:val="0"/>
      <w:divBdr>
        <w:top w:val="none" w:sz="0" w:space="0" w:color="auto"/>
        <w:left w:val="none" w:sz="0" w:space="0" w:color="auto"/>
        <w:bottom w:val="none" w:sz="0" w:space="0" w:color="auto"/>
        <w:right w:val="none" w:sz="0" w:space="0" w:color="auto"/>
      </w:divBdr>
    </w:div>
    <w:div w:id="303825446">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61287593">
          <w:marLeft w:val="0"/>
          <w:marRight w:val="0"/>
          <w:marTop w:val="150"/>
          <w:marBottom w:val="100"/>
          <w:divBdr>
            <w:top w:val="none" w:sz="0" w:space="0" w:color="auto"/>
            <w:left w:val="none" w:sz="0" w:space="0" w:color="auto"/>
            <w:bottom w:val="none" w:sz="0" w:space="0" w:color="auto"/>
            <w:right w:val="none" w:sz="0" w:space="0" w:color="auto"/>
          </w:divBdr>
          <w:divsChild>
            <w:div w:id="1128234577">
              <w:marLeft w:val="-225"/>
              <w:marRight w:val="-375"/>
              <w:marTop w:val="0"/>
              <w:marBottom w:val="0"/>
              <w:divBdr>
                <w:top w:val="none" w:sz="0" w:space="0" w:color="auto"/>
                <w:left w:val="none" w:sz="0" w:space="0" w:color="auto"/>
                <w:bottom w:val="none" w:sz="0" w:space="0" w:color="auto"/>
                <w:right w:val="none" w:sz="0" w:space="0" w:color="auto"/>
              </w:divBdr>
              <w:divsChild>
                <w:div w:id="951785409">
                  <w:marLeft w:val="0"/>
                  <w:marRight w:val="0"/>
                  <w:marTop w:val="0"/>
                  <w:marBottom w:val="0"/>
                  <w:divBdr>
                    <w:top w:val="none" w:sz="0" w:space="0" w:color="auto"/>
                    <w:left w:val="none" w:sz="0" w:space="0" w:color="auto"/>
                    <w:bottom w:val="none" w:sz="0" w:space="0" w:color="auto"/>
                    <w:right w:val="none" w:sz="0" w:space="0" w:color="auto"/>
                  </w:divBdr>
                  <w:divsChild>
                    <w:div w:id="1772242637">
                      <w:marLeft w:val="-225"/>
                      <w:marRight w:val="-375"/>
                      <w:marTop w:val="0"/>
                      <w:marBottom w:val="0"/>
                      <w:divBdr>
                        <w:top w:val="none" w:sz="0" w:space="0" w:color="auto"/>
                        <w:left w:val="none" w:sz="0" w:space="0" w:color="auto"/>
                        <w:bottom w:val="none" w:sz="0" w:space="0" w:color="auto"/>
                        <w:right w:val="none" w:sz="0" w:space="0" w:color="auto"/>
                      </w:divBdr>
                      <w:divsChild>
                        <w:div w:id="507983858">
                          <w:marLeft w:val="0"/>
                          <w:marRight w:val="0"/>
                          <w:marTop w:val="0"/>
                          <w:marBottom w:val="0"/>
                          <w:divBdr>
                            <w:top w:val="none" w:sz="0" w:space="0" w:color="auto"/>
                            <w:left w:val="none" w:sz="0" w:space="0" w:color="auto"/>
                            <w:bottom w:val="none" w:sz="0" w:space="0" w:color="auto"/>
                            <w:right w:val="none" w:sz="0" w:space="0" w:color="auto"/>
                          </w:divBdr>
                          <w:divsChild>
                            <w:div w:id="1674843835">
                              <w:marLeft w:val="0"/>
                              <w:marRight w:val="0"/>
                              <w:marTop w:val="0"/>
                              <w:marBottom w:val="0"/>
                              <w:divBdr>
                                <w:top w:val="none" w:sz="0" w:space="0" w:color="auto"/>
                                <w:left w:val="none" w:sz="0" w:space="0" w:color="auto"/>
                                <w:bottom w:val="none" w:sz="0" w:space="0" w:color="auto"/>
                                <w:right w:val="none" w:sz="0" w:space="0" w:color="auto"/>
                              </w:divBdr>
                              <w:divsChild>
                                <w:div w:id="1234975931">
                                  <w:marLeft w:val="0"/>
                                  <w:marRight w:val="0"/>
                                  <w:marTop w:val="0"/>
                                  <w:marBottom w:val="0"/>
                                  <w:divBdr>
                                    <w:top w:val="none" w:sz="0" w:space="0" w:color="auto"/>
                                    <w:left w:val="none" w:sz="0" w:space="0" w:color="auto"/>
                                    <w:bottom w:val="none" w:sz="0" w:space="0" w:color="auto"/>
                                    <w:right w:val="none" w:sz="0" w:space="0" w:color="auto"/>
                                  </w:divBdr>
                                  <w:divsChild>
                                    <w:div w:id="2014795117">
                                      <w:marLeft w:val="0"/>
                                      <w:marRight w:val="0"/>
                                      <w:marTop w:val="0"/>
                                      <w:marBottom w:val="0"/>
                                      <w:divBdr>
                                        <w:top w:val="single" w:sz="2" w:space="0" w:color="auto"/>
                                        <w:left w:val="single" w:sz="2" w:space="0" w:color="auto"/>
                                        <w:bottom w:val="single" w:sz="2" w:space="0" w:color="auto"/>
                                        <w:right w:val="single" w:sz="2" w:space="0" w:color="auto"/>
                                      </w:divBdr>
                                      <w:divsChild>
                                        <w:div w:id="1597401358">
                                          <w:marLeft w:val="0"/>
                                          <w:marRight w:val="0"/>
                                          <w:marTop w:val="0"/>
                                          <w:marBottom w:val="0"/>
                                          <w:divBdr>
                                            <w:top w:val="none" w:sz="0" w:space="0" w:color="auto"/>
                                            <w:left w:val="none" w:sz="0" w:space="0" w:color="auto"/>
                                            <w:bottom w:val="none" w:sz="0" w:space="0" w:color="auto"/>
                                            <w:right w:val="none" w:sz="0" w:space="0" w:color="auto"/>
                                          </w:divBdr>
                                          <w:divsChild>
                                            <w:div w:id="1299140759">
                                              <w:marLeft w:val="0"/>
                                              <w:marRight w:val="0"/>
                                              <w:marTop w:val="0"/>
                                              <w:marBottom w:val="0"/>
                                              <w:divBdr>
                                                <w:top w:val="none" w:sz="0" w:space="0" w:color="auto"/>
                                                <w:left w:val="none" w:sz="0" w:space="0" w:color="auto"/>
                                                <w:bottom w:val="none" w:sz="0" w:space="0" w:color="auto"/>
                                                <w:right w:val="none" w:sz="0" w:space="0" w:color="auto"/>
                                              </w:divBdr>
                                              <w:divsChild>
                                                <w:div w:id="502284741">
                                                  <w:marLeft w:val="-225"/>
                                                  <w:marRight w:val="-375"/>
                                                  <w:marTop w:val="0"/>
                                                  <w:marBottom w:val="0"/>
                                                  <w:divBdr>
                                                    <w:top w:val="none" w:sz="0" w:space="0" w:color="auto"/>
                                                    <w:left w:val="none" w:sz="0" w:space="0" w:color="auto"/>
                                                    <w:bottom w:val="none" w:sz="0" w:space="0" w:color="auto"/>
                                                    <w:right w:val="none" w:sz="0" w:space="0" w:color="auto"/>
                                                  </w:divBdr>
                                                  <w:divsChild>
                                                    <w:div w:id="981231287">
                                                      <w:marLeft w:val="0"/>
                                                      <w:marRight w:val="0"/>
                                                      <w:marTop w:val="0"/>
                                                      <w:marBottom w:val="0"/>
                                                      <w:divBdr>
                                                        <w:top w:val="none" w:sz="0" w:space="0" w:color="auto"/>
                                                        <w:left w:val="none" w:sz="0" w:space="0" w:color="auto"/>
                                                        <w:bottom w:val="none" w:sz="0" w:space="0" w:color="auto"/>
                                                        <w:right w:val="none" w:sz="0" w:space="0" w:color="auto"/>
                                                      </w:divBdr>
                                                      <w:divsChild>
                                                        <w:div w:id="1062143191">
                                                          <w:marLeft w:val="0"/>
                                                          <w:marRight w:val="0"/>
                                                          <w:marTop w:val="0"/>
                                                          <w:marBottom w:val="0"/>
                                                          <w:divBdr>
                                                            <w:top w:val="none" w:sz="0" w:space="0" w:color="auto"/>
                                                            <w:left w:val="none" w:sz="0" w:space="0" w:color="auto"/>
                                                            <w:bottom w:val="none" w:sz="0" w:space="0" w:color="auto"/>
                                                            <w:right w:val="none" w:sz="0" w:space="0" w:color="auto"/>
                                                          </w:divBdr>
                                                          <w:divsChild>
                                                            <w:div w:id="1134828424">
                                                              <w:marLeft w:val="0"/>
                                                              <w:marRight w:val="0"/>
                                                              <w:marTop w:val="0"/>
                                                              <w:marBottom w:val="0"/>
                                                              <w:divBdr>
                                                                <w:top w:val="none" w:sz="0" w:space="0" w:color="auto"/>
                                                                <w:left w:val="none" w:sz="0" w:space="0" w:color="auto"/>
                                                                <w:bottom w:val="none" w:sz="0" w:space="0" w:color="auto"/>
                                                                <w:right w:val="none" w:sz="0" w:space="0" w:color="auto"/>
                                                              </w:divBdr>
                                                              <w:divsChild>
                                                                <w:div w:id="3860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5039340">
      <w:bodyDiv w:val="1"/>
      <w:marLeft w:val="0"/>
      <w:marRight w:val="0"/>
      <w:marTop w:val="0"/>
      <w:marBottom w:val="0"/>
      <w:divBdr>
        <w:top w:val="none" w:sz="0" w:space="0" w:color="auto"/>
        <w:left w:val="none" w:sz="0" w:space="0" w:color="auto"/>
        <w:bottom w:val="none" w:sz="0" w:space="0" w:color="auto"/>
        <w:right w:val="none" w:sz="0" w:space="0" w:color="auto"/>
      </w:divBdr>
    </w:div>
    <w:div w:id="353775132">
      <w:bodyDiv w:val="1"/>
      <w:marLeft w:val="0"/>
      <w:marRight w:val="0"/>
      <w:marTop w:val="0"/>
      <w:marBottom w:val="0"/>
      <w:divBdr>
        <w:top w:val="none" w:sz="0" w:space="0" w:color="auto"/>
        <w:left w:val="none" w:sz="0" w:space="0" w:color="auto"/>
        <w:bottom w:val="none" w:sz="0" w:space="0" w:color="auto"/>
        <w:right w:val="none" w:sz="0" w:space="0" w:color="auto"/>
      </w:divBdr>
    </w:div>
    <w:div w:id="407843471">
      <w:bodyDiv w:val="1"/>
      <w:marLeft w:val="0"/>
      <w:marRight w:val="0"/>
      <w:marTop w:val="0"/>
      <w:marBottom w:val="0"/>
      <w:divBdr>
        <w:top w:val="none" w:sz="0" w:space="0" w:color="auto"/>
        <w:left w:val="none" w:sz="0" w:space="0" w:color="auto"/>
        <w:bottom w:val="none" w:sz="0" w:space="0" w:color="auto"/>
        <w:right w:val="none" w:sz="0" w:space="0" w:color="auto"/>
      </w:divBdr>
    </w:div>
    <w:div w:id="476074255">
      <w:bodyDiv w:val="1"/>
      <w:marLeft w:val="0"/>
      <w:marRight w:val="0"/>
      <w:marTop w:val="0"/>
      <w:marBottom w:val="0"/>
      <w:divBdr>
        <w:top w:val="none" w:sz="0" w:space="0" w:color="auto"/>
        <w:left w:val="none" w:sz="0" w:space="0" w:color="auto"/>
        <w:bottom w:val="none" w:sz="0" w:space="0" w:color="auto"/>
        <w:right w:val="none" w:sz="0" w:space="0" w:color="auto"/>
      </w:divBdr>
    </w:div>
    <w:div w:id="546992701">
      <w:bodyDiv w:val="1"/>
      <w:marLeft w:val="0"/>
      <w:marRight w:val="0"/>
      <w:marTop w:val="0"/>
      <w:marBottom w:val="0"/>
      <w:divBdr>
        <w:top w:val="none" w:sz="0" w:space="0" w:color="auto"/>
        <w:left w:val="none" w:sz="0" w:space="0" w:color="auto"/>
        <w:bottom w:val="none" w:sz="0" w:space="0" w:color="auto"/>
        <w:right w:val="none" w:sz="0" w:space="0" w:color="auto"/>
      </w:divBdr>
    </w:div>
    <w:div w:id="553271544">
      <w:bodyDiv w:val="1"/>
      <w:marLeft w:val="0"/>
      <w:marRight w:val="0"/>
      <w:marTop w:val="0"/>
      <w:marBottom w:val="0"/>
      <w:divBdr>
        <w:top w:val="none" w:sz="0" w:space="0" w:color="auto"/>
        <w:left w:val="none" w:sz="0" w:space="0" w:color="auto"/>
        <w:bottom w:val="none" w:sz="0" w:space="0" w:color="auto"/>
        <w:right w:val="none" w:sz="0" w:space="0" w:color="auto"/>
      </w:divBdr>
    </w:div>
    <w:div w:id="559286533">
      <w:bodyDiv w:val="1"/>
      <w:marLeft w:val="0"/>
      <w:marRight w:val="0"/>
      <w:marTop w:val="0"/>
      <w:marBottom w:val="0"/>
      <w:divBdr>
        <w:top w:val="none" w:sz="0" w:space="0" w:color="auto"/>
        <w:left w:val="none" w:sz="0" w:space="0" w:color="auto"/>
        <w:bottom w:val="none" w:sz="0" w:space="0" w:color="auto"/>
        <w:right w:val="none" w:sz="0" w:space="0" w:color="auto"/>
      </w:divBdr>
    </w:div>
    <w:div w:id="643391682">
      <w:bodyDiv w:val="1"/>
      <w:marLeft w:val="0"/>
      <w:marRight w:val="0"/>
      <w:marTop w:val="0"/>
      <w:marBottom w:val="0"/>
      <w:divBdr>
        <w:top w:val="none" w:sz="0" w:space="0" w:color="auto"/>
        <w:left w:val="none" w:sz="0" w:space="0" w:color="auto"/>
        <w:bottom w:val="none" w:sz="0" w:space="0" w:color="auto"/>
        <w:right w:val="none" w:sz="0" w:space="0" w:color="auto"/>
      </w:divBdr>
    </w:div>
    <w:div w:id="649210543">
      <w:bodyDiv w:val="1"/>
      <w:marLeft w:val="0"/>
      <w:marRight w:val="0"/>
      <w:marTop w:val="0"/>
      <w:marBottom w:val="0"/>
      <w:divBdr>
        <w:top w:val="none" w:sz="0" w:space="0" w:color="auto"/>
        <w:left w:val="none" w:sz="0" w:space="0" w:color="auto"/>
        <w:bottom w:val="none" w:sz="0" w:space="0" w:color="auto"/>
        <w:right w:val="none" w:sz="0" w:space="0" w:color="auto"/>
      </w:divBdr>
    </w:div>
    <w:div w:id="658579587">
      <w:bodyDiv w:val="1"/>
      <w:marLeft w:val="0"/>
      <w:marRight w:val="0"/>
      <w:marTop w:val="0"/>
      <w:marBottom w:val="0"/>
      <w:divBdr>
        <w:top w:val="none" w:sz="0" w:space="0" w:color="auto"/>
        <w:left w:val="none" w:sz="0" w:space="0" w:color="auto"/>
        <w:bottom w:val="none" w:sz="0" w:space="0" w:color="auto"/>
        <w:right w:val="none" w:sz="0" w:space="0" w:color="auto"/>
      </w:divBdr>
    </w:div>
    <w:div w:id="684676569">
      <w:bodyDiv w:val="1"/>
      <w:marLeft w:val="0"/>
      <w:marRight w:val="0"/>
      <w:marTop w:val="0"/>
      <w:marBottom w:val="0"/>
      <w:divBdr>
        <w:top w:val="none" w:sz="0" w:space="0" w:color="auto"/>
        <w:left w:val="none" w:sz="0" w:space="0" w:color="auto"/>
        <w:bottom w:val="none" w:sz="0" w:space="0" w:color="auto"/>
        <w:right w:val="none" w:sz="0" w:space="0" w:color="auto"/>
      </w:divBdr>
    </w:div>
    <w:div w:id="689181426">
      <w:bodyDiv w:val="1"/>
      <w:marLeft w:val="0"/>
      <w:marRight w:val="0"/>
      <w:marTop w:val="0"/>
      <w:marBottom w:val="0"/>
      <w:divBdr>
        <w:top w:val="none" w:sz="0" w:space="0" w:color="auto"/>
        <w:left w:val="none" w:sz="0" w:space="0" w:color="auto"/>
        <w:bottom w:val="none" w:sz="0" w:space="0" w:color="auto"/>
        <w:right w:val="none" w:sz="0" w:space="0" w:color="auto"/>
      </w:divBdr>
    </w:div>
    <w:div w:id="739445229">
      <w:bodyDiv w:val="1"/>
      <w:marLeft w:val="0"/>
      <w:marRight w:val="0"/>
      <w:marTop w:val="0"/>
      <w:marBottom w:val="0"/>
      <w:divBdr>
        <w:top w:val="none" w:sz="0" w:space="0" w:color="auto"/>
        <w:left w:val="none" w:sz="0" w:space="0" w:color="auto"/>
        <w:bottom w:val="none" w:sz="0" w:space="0" w:color="auto"/>
        <w:right w:val="none" w:sz="0" w:space="0" w:color="auto"/>
      </w:divBdr>
    </w:div>
    <w:div w:id="748818582">
      <w:bodyDiv w:val="1"/>
      <w:marLeft w:val="0"/>
      <w:marRight w:val="0"/>
      <w:marTop w:val="0"/>
      <w:marBottom w:val="0"/>
      <w:divBdr>
        <w:top w:val="none" w:sz="0" w:space="0" w:color="auto"/>
        <w:left w:val="none" w:sz="0" w:space="0" w:color="auto"/>
        <w:bottom w:val="none" w:sz="0" w:space="0" w:color="auto"/>
        <w:right w:val="none" w:sz="0" w:space="0" w:color="auto"/>
      </w:divBdr>
    </w:div>
    <w:div w:id="779767206">
      <w:bodyDiv w:val="1"/>
      <w:marLeft w:val="0"/>
      <w:marRight w:val="0"/>
      <w:marTop w:val="0"/>
      <w:marBottom w:val="0"/>
      <w:divBdr>
        <w:top w:val="none" w:sz="0" w:space="0" w:color="auto"/>
        <w:left w:val="none" w:sz="0" w:space="0" w:color="auto"/>
        <w:bottom w:val="none" w:sz="0" w:space="0" w:color="auto"/>
        <w:right w:val="none" w:sz="0" w:space="0" w:color="auto"/>
      </w:divBdr>
    </w:div>
    <w:div w:id="813330230">
      <w:bodyDiv w:val="1"/>
      <w:marLeft w:val="0"/>
      <w:marRight w:val="0"/>
      <w:marTop w:val="0"/>
      <w:marBottom w:val="0"/>
      <w:divBdr>
        <w:top w:val="none" w:sz="0" w:space="0" w:color="auto"/>
        <w:left w:val="none" w:sz="0" w:space="0" w:color="auto"/>
        <w:bottom w:val="none" w:sz="0" w:space="0" w:color="auto"/>
        <w:right w:val="none" w:sz="0" w:space="0" w:color="auto"/>
      </w:divBdr>
    </w:div>
    <w:div w:id="836069318">
      <w:bodyDiv w:val="1"/>
      <w:marLeft w:val="0"/>
      <w:marRight w:val="0"/>
      <w:marTop w:val="0"/>
      <w:marBottom w:val="0"/>
      <w:divBdr>
        <w:top w:val="none" w:sz="0" w:space="0" w:color="auto"/>
        <w:left w:val="none" w:sz="0" w:space="0" w:color="auto"/>
        <w:bottom w:val="none" w:sz="0" w:space="0" w:color="auto"/>
        <w:right w:val="none" w:sz="0" w:space="0" w:color="auto"/>
      </w:divBdr>
    </w:div>
    <w:div w:id="886257787">
      <w:bodyDiv w:val="1"/>
      <w:marLeft w:val="0"/>
      <w:marRight w:val="0"/>
      <w:marTop w:val="0"/>
      <w:marBottom w:val="0"/>
      <w:divBdr>
        <w:top w:val="none" w:sz="0" w:space="0" w:color="auto"/>
        <w:left w:val="none" w:sz="0" w:space="0" w:color="auto"/>
        <w:bottom w:val="none" w:sz="0" w:space="0" w:color="auto"/>
        <w:right w:val="none" w:sz="0" w:space="0" w:color="auto"/>
      </w:divBdr>
      <w:divsChild>
        <w:div w:id="293295766">
          <w:marLeft w:val="0"/>
          <w:marRight w:val="0"/>
          <w:marTop w:val="0"/>
          <w:marBottom w:val="0"/>
          <w:divBdr>
            <w:top w:val="none" w:sz="0" w:space="0" w:color="auto"/>
            <w:left w:val="none" w:sz="0" w:space="0" w:color="auto"/>
            <w:bottom w:val="none" w:sz="0" w:space="0" w:color="auto"/>
            <w:right w:val="none" w:sz="0" w:space="0" w:color="auto"/>
          </w:divBdr>
        </w:div>
      </w:divsChild>
    </w:div>
    <w:div w:id="1043752987">
      <w:bodyDiv w:val="1"/>
      <w:marLeft w:val="0"/>
      <w:marRight w:val="0"/>
      <w:marTop w:val="0"/>
      <w:marBottom w:val="0"/>
      <w:divBdr>
        <w:top w:val="none" w:sz="0" w:space="0" w:color="auto"/>
        <w:left w:val="none" w:sz="0" w:space="0" w:color="auto"/>
        <w:bottom w:val="none" w:sz="0" w:space="0" w:color="auto"/>
        <w:right w:val="none" w:sz="0" w:space="0" w:color="auto"/>
      </w:divBdr>
    </w:div>
    <w:div w:id="1063214076">
      <w:bodyDiv w:val="1"/>
      <w:marLeft w:val="0"/>
      <w:marRight w:val="0"/>
      <w:marTop w:val="0"/>
      <w:marBottom w:val="0"/>
      <w:divBdr>
        <w:top w:val="none" w:sz="0" w:space="0" w:color="auto"/>
        <w:left w:val="none" w:sz="0" w:space="0" w:color="auto"/>
        <w:bottom w:val="none" w:sz="0" w:space="0" w:color="auto"/>
        <w:right w:val="none" w:sz="0" w:space="0" w:color="auto"/>
      </w:divBdr>
    </w:div>
    <w:div w:id="1108161423">
      <w:bodyDiv w:val="1"/>
      <w:marLeft w:val="0"/>
      <w:marRight w:val="0"/>
      <w:marTop w:val="0"/>
      <w:marBottom w:val="0"/>
      <w:divBdr>
        <w:top w:val="none" w:sz="0" w:space="0" w:color="auto"/>
        <w:left w:val="none" w:sz="0" w:space="0" w:color="auto"/>
        <w:bottom w:val="none" w:sz="0" w:space="0" w:color="auto"/>
        <w:right w:val="none" w:sz="0" w:space="0" w:color="auto"/>
      </w:divBdr>
    </w:div>
    <w:div w:id="1126967633">
      <w:bodyDiv w:val="1"/>
      <w:marLeft w:val="0"/>
      <w:marRight w:val="0"/>
      <w:marTop w:val="0"/>
      <w:marBottom w:val="0"/>
      <w:divBdr>
        <w:top w:val="none" w:sz="0" w:space="0" w:color="auto"/>
        <w:left w:val="none" w:sz="0" w:space="0" w:color="auto"/>
        <w:bottom w:val="none" w:sz="0" w:space="0" w:color="auto"/>
        <w:right w:val="none" w:sz="0" w:space="0" w:color="auto"/>
      </w:divBdr>
    </w:div>
    <w:div w:id="1183934727">
      <w:bodyDiv w:val="1"/>
      <w:marLeft w:val="0"/>
      <w:marRight w:val="0"/>
      <w:marTop w:val="0"/>
      <w:marBottom w:val="0"/>
      <w:divBdr>
        <w:top w:val="none" w:sz="0" w:space="0" w:color="auto"/>
        <w:left w:val="none" w:sz="0" w:space="0" w:color="auto"/>
        <w:bottom w:val="none" w:sz="0" w:space="0" w:color="auto"/>
        <w:right w:val="none" w:sz="0" w:space="0" w:color="auto"/>
      </w:divBdr>
    </w:div>
    <w:div w:id="1250314316">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704646127">
          <w:marLeft w:val="0"/>
          <w:marRight w:val="0"/>
          <w:marTop w:val="150"/>
          <w:marBottom w:val="100"/>
          <w:divBdr>
            <w:top w:val="none" w:sz="0" w:space="0" w:color="auto"/>
            <w:left w:val="none" w:sz="0" w:space="0" w:color="auto"/>
            <w:bottom w:val="none" w:sz="0" w:space="0" w:color="auto"/>
            <w:right w:val="none" w:sz="0" w:space="0" w:color="auto"/>
          </w:divBdr>
          <w:divsChild>
            <w:div w:id="244458469">
              <w:marLeft w:val="-225"/>
              <w:marRight w:val="-375"/>
              <w:marTop w:val="0"/>
              <w:marBottom w:val="0"/>
              <w:divBdr>
                <w:top w:val="none" w:sz="0" w:space="0" w:color="auto"/>
                <w:left w:val="none" w:sz="0" w:space="0" w:color="auto"/>
                <w:bottom w:val="none" w:sz="0" w:space="0" w:color="auto"/>
                <w:right w:val="none" w:sz="0" w:space="0" w:color="auto"/>
              </w:divBdr>
              <w:divsChild>
                <w:div w:id="985283405">
                  <w:marLeft w:val="0"/>
                  <w:marRight w:val="0"/>
                  <w:marTop w:val="0"/>
                  <w:marBottom w:val="0"/>
                  <w:divBdr>
                    <w:top w:val="none" w:sz="0" w:space="0" w:color="auto"/>
                    <w:left w:val="none" w:sz="0" w:space="0" w:color="auto"/>
                    <w:bottom w:val="none" w:sz="0" w:space="0" w:color="auto"/>
                    <w:right w:val="none" w:sz="0" w:space="0" w:color="auto"/>
                  </w:divBdr>
                  <w:divsChild>
                    <w:div w:id="1354572107">
                      <w:marLeft w:val="-225"/>
                      <w:marRight w:val="-375"/>
                      <w:marTop w:val="0"/>
                      <w:marBottom w:val="0"/>
                      <w:divBdr>
                        <w:top w:val="none" w:sz="0" w:space="0" w:color="auto"/>
                        <w:left w:val="none" w:sz="0" w:space="0" w:color="auto"/>
                        <w:bottom w:val="none" w:sz="0" w:space="0" w:color="auto"/>
                        <w:right w:val="none" w:sz="0" w:space="0" w:color="auto"/>
                      </w:divBdr>
                      <w:divsChild>
                        <w:div w:id="1395620010">
                          <w:marLeft w:val="0"/>
                          <w:marRight w:val="0"/>
                          <w:marTop w:val="0"/>
                          <w:marBottom w:val="0"/>
                          <w:divBdr>
                            <w:top w:val="none" w:sz="0" w:space="0" w:color="auto"/>
                            <w:left w:val="none" w:sz="0" w:space="0" w:color="auto"/>
                            <w:bottom w:val="none" w:sz="0" w:space="0" w:color="auto"/>
                            <w:right w:val="none" w:sz="0" w:space="0" w:color="auto"/>
                          </w:divBdr>
                          <w:divsChild>
                            <w:div w:id="1545942956">
                              <w:marLeft w:val="0"/>
                              <w:marRight w:val="0"/>
                              <w:marTop w:val="0"/>
                              <w:marBottom w:val="0"/>
                              <w:divBdr>
                                <w:top w:val="none" w:sz="0" w:space="0" w:color="auto"/>
                                <w:left w:val="none" w:sz="0" w:space="0" w:color="auto"/>
                                <w:bottom w:val="none" w:sz="0" w:space="0" w:color="auto"/>
                                <w:right w:val="none" w:sz="0" w:space="0" w:color="auto"/>
                              </w:divBdr>
                              <w:divsChild>
                                <w:div w:id="1092359312">
                                  <w:marLeft w:val="0"/>
                                  <w:marRight w:val="0"/>
                                  <w:marTop w:val="0"/>
                                  <w:marBottom w:val="0"/>
                                  <w:divBdr>
                                    <w:top w:val="none" w:sz="0" w:space="0" w:color="auto"/>
                                    <w:left w:val="none" w:sz="0" w:space="0" w:color="auto"/>
                                    <w:bottom w:val="none" w:sz="0" w:space="0" w:color="auto"/>
                                    <w:right w:val="none" w:sz="0" w:space="0" w:color="auto"/>
                                  </w:divBdr>
                                  <w:divsChild>
                                    <w:div w:id="1972397582">
                                      <w:marLeft w:val="0"/>
                                      <w:marRight w:val="0"/>
                                      <w:marTop w:val="0"/>
                                      <w:marBottom w:val="0"/>
                                      <w:divBdr>
                                        <w:top w:val="single" w:sz="2" w:space="0" w:color="auto"/>
                                        <w:left w:val="single" w:sz="2" w:space="0" w:color="auto"/>
                                        <w:bottom w:val="single" w:sz="2" w:space="0" w:color="auto"/>
                                        <w:right w:val="single" w:sz="2" w:space="0" w:color="auto"/>
                                      </w:divBdr>
                                      <w:divsChild>
                                        <w:div w:id="4863860">
                                          <w:marLeft w:val="0"/>
                                          <w:marRight w:val="0"/>
                                          <w:marTop w:val="0"/>
                                          <w:marBottom w:val="0"/>
                                          <w:divBdr>
                                            <w:top w:val="none" w:sz="0" w:space="0" w:color="auto"/>
                                            <w:left w:val="none" w:sz="0" w:space="0" w:color="auto"/>
                                            <w:bottom w:val="none" w:sz="0" w:space="0" w:color="auto"/>
                                            <w:right w:val="none" w:sz="0" w:space="0" w:color="auto"/>
                                          </w:divBdr>
                                          <w:divsChild>
                                            <w:div w:id="776145927">
                                              <w:marLeft w:val="0"/>
                                              <w:marRight w:val="0"/>
                                              <w:marTop w:val="0"/>
                                              <w:marBottom w:val="0"/>
                                              <w:divBdr>
                                                <w:top w:val="none" w:sz="0" w:space="0" w:color="auto"/>
                                                <w:left w:val="none" w:sz="0" w:space="0" w:color="auto"/>
                                                <w:bottom w:val="none" w:sz="0" w:space="0" w:color="auto"/>
                                                <w:right w:val="none" w:sz="0" w:space="0" w:color="auto"/>
                                              </w:divBdr>
                                              <w:divsChild>
                                                <w:div w:id="312637119">
                                                  <w:marLeft w:val="-225"/>
                                                  <w:marRight w:val="-375"/>
                                                  <w:marTop w:val="0"/>
                                                  <w:marBottom w:val="0"/>
                                                  <w:divBdr>
                                                    <w:top w:val="none" w:sz="0" w:space="0" w:color="auto"/>
                                                    <w:left w:val="none" w:sz="0" w:space="0" w:color="auto"/>
                                                    <w:bottom w:val="none" w:sz="0" w:space="0" w:color="auto"/>
                                                    <w:right w:val="none" w:sz="0" w:space="0" w:color="auto"/>
                                                  </w:divBdr>
                                                  <w:divsChild>
                                                    <w:div w:id="1588684544">
                                                      <w:marLeft w:val="0"/>
                                                      <w:marRight w:val="0"/>
                                                      <w:marTop w:val="0"/>
                                                      <w:marBottom w:val="0"/>
                                                      <w:divBdr>
                                                        <w:top w:val="none" w:sz="0" w:space="0" w:color="auto"/>
                                                        <w:left w:val="none" w:sz="0" w:space="0" w:color="auto"/>
                                                        <w:bottom w:val="none" w:sz="0" w:space="0" w:color="auto"/>
                                                        <w:right w:val="none" w:sz="0" w:space="0" w:color="auto"/>
                                                      </w:divBdr>
                                                      <w:divsChild>
                                                        <w:div w:id="1560284870">
                                                          <w:marLeft w:val="0"/>
                                                          <w:marRight w:val="0"/>
                                                          <w:marTop w:val="0"/>
                                                          <w:marBottom w:val="0"/>
                                                          <w:divBdr>
                                                            <w:top w:val="none" w:sz="0" w:space="0" w:color="auto"/>
                                                            <w:left w:val="none" w:sz="0" w:space="0" w:color="auto"/>
                                                            <w:bottom w:val="none" w:sz="0" w:space="0" w:color="auto"/>
                                                            <w:right w:val="none" w:sz="0" w:space="0" w:color="auto"/>
                                                          </w:divBdr>
                                                          <w:divsChild>
                                                            <w:div w:id="493568908">
                                                              <w:marLeft w:val="0"/>
                                                              <w:marRight w:val="0"/>
                                                              <w:marTop w:val="0"/>
                                                              <w:marBottom w:val="0"/>
                                                              <w:divBdr>
                                                                <w:top w:val="none" w:sz="0" w:space="0" w:color="auto"/>
                                                                <w:left w:val="none" w:sz="0" w:space="0" w:color="auto"/>
                                                                <w:bottom w:val="none" w:sz="0" w:space="0" w:color="auto"/>
                                                                <w:right w:val="none" w:sz="0" w:space="0" w:color="auto"/>
                                                              </w:divBdr>
                                                              <w:divsChild>
                                                                <w:div w:id="15744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21883730">
      <w:bodyDiv w:val="1"/>
      <w:marLeft w:val="0"/>
      <w:marRight w:val="0"/>
      <w:marTop w:val="0"/>
      <w:marBottom w:val="0"/>
      <w:divBdr>
        <w:top w:val="none" w:sz="0" w:space="0" w:color="auto"/>
        <w:left w:val="none" w:sz="0" w:space="0" w:color="auto"/>
        <w:bottom w:val="none" w:sz="0" w:space="0" w:color="auto"/>
        <w:right w:val="none" w:sz="0" w:space="0" w:color="auto"/>
      </w:divBdr>
    </w:div>
    <w:div w:id="1378237380">
      <w:bodyDiv w:val="1"/>
      <w:marLeft w:val="0"/>
      <w:marRight w:val="0"/>
      <w:marTop w:val="0"/>
      <w:marBottom w:val="0"/>
      <w:divBdr>
        <w:top w:val="none" w:sz="0" w:space="0" w:color="auto"/>
        <w:left w:val="none" w:sz="0" w:space="0" w:color="auto"/>
        <w:bottom w:val="none" w:sz="0" w:space="0" w:color="auto"/>
        <w:right w:val="none" w:sz="0" w:space="0" w:color="auto"/>
      </w:divBdr>
    </w:div>
    <w:div w:id="1390496799">
      <w:bodyDiv w:val="1"/>
      <w:marLeft w:val="0"/>
      <w:marRight w:val="0"/>
      <w:marTop w:val="0"/>
      <w:marBottom w:val="0"/>
      <w:divBdr>
        <w:top w:val="none" w:sz="0" w:space="0" w:color="auto"/>
        <w:left w:val="none" w:sz="0" w:space="0" w:color="auto"/>
        <w:bottom w:val="none" w:sz="0" w:space="0" w:color="auto"/>
        <w:right w:val="none" w:sz="0" w:space="0" w:color="auto"/>
      </w:divBdr>
    </w:div>
    <w:div w:id="1531263780">
      <w:bodyDiv w:val="1"/>
      <w:marLeft w:val="0"/>
      <w:marRight w:val="0"/>
      <w:marTop w:val="0"/>
      <w:marBottom w:val="0"/>
      <w:divBdr>
        <w:top w:val="none" w:sz="0" w:space="0" w:color="auto"/>
        <w:left w:val="none" w:sz="0" w:space="0" w:color="auto"/>
        <w:bottom w:val="none" w:sz="0" w:space="0" w:color="auto"/>
        <w:right w:val="none" w:sz="0" w:space="0" w:color="auto"/>
      </w:divBdr>
    </w:div>
    <w:div w:id="1553229145">
      <w:bodyDiv w:val="1"/>
      <w:marLeft w:val="0"/>
      <w:marRight w:val="0"/>
      <w:marTop w:val="0"/>
      <w:marBottom w:val="0"/>
      <w:divBdr>
        <w:top w:val="none" w:sz="0" w:space="0" w:color="auto"/>
        <w:left w:val="none" w:sz="0" w:space="0" w:color="auto"/>
        <w:bottom w:val="none" w:sz="0" w:space="0" w:color="auto"/>
        <w:right w:val="none" w:sz="0" w:space="0" w:color="auto"/>
      </w:divBdr>
    </w:div>
    <w:div w:id="1570532248">
      <w:bodyDiv w:val="1"/>
      <w:marLeft w:val="0"/>
      <w:marRight w:val="0"/>
      <w:marTop w:val="0"/>
      <w:marBottom w:val="0"/>
      <w:divBdr>
        <w:top w:val="none" w:sz="0" w:space="0" w:color="auto"/>
        <w:left w:val="none" w:sz="0" w:space="0" w:color="auto"/>
        <w:bottom w:val="none" w:sz="0" w:space="0" w:color="auto"/>
        <w:right w:val="none" w:sz="0" w:space="0" w:color="auto"/>
      </w:divBdr>
    </w:div>
    <w:div w:id="1572614791">
      <w:bodyDiv w:val="1"/>
      <w:marLeft w:val="0"/>
      <w:marRight w:val="0"/>
      <w:marTop w:val="0"/>
      <w:marBottom w:val="0"/>
      <w:divBdr>
        <w:top w:val="none" w:sz="0" w:space="0" w:color="auto"/>
        <w:left w:val="none" w:sz="0" w:space="0" w:color="auto"/>
        <w:bottom w:val="none" w:sz="0" w:space="0" w:color="auto"/>
        <w:right w:val="none" w:sz="0" w:space="0" w:color="auto"/>
      </w:divBdr>
    </w:div>
    <w:div w:id="1602109631">
      <w:bodyDiv w:val="1"/>
      <w:marLeft w:val="0"/>
      <w:marRight w:val="0"/>
      <w:marTop w:val="0"/>
      <w:marBottom w:val="0"/>
      <w:divBdr>
        <w:top w:val="none" w:sz="0" w:space="0" w:color="auto"/>
        <w:left w:val="none" w:sz="0" w:space="0" w:color="auto"/>
        <w:bottom w:val="none" w:sz="0" w:space="0" w:color="auto"/>
        <w:right w:val="none" w:sz="0" w:space="0" w:color="auto"/>
      </w:divBdr>
    </w:div>
    <w:div w:id="1603301328">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913613402">
          <w:marLeft w:val="0"/>
          <w:marRight w:val="0"/>
          <w:marTop w:val="150"/>
          <w:marBottom w:val="100"/>
          <w:divBdr>
            <w:top w:val="none" w:sz="0" w:space="0" w:color="auto"/>
            <w:left w:val="none" w:sz="0" w:space="0" w:color="auto"/>
            <w:bottom w:val="none" w:sz="0" w:space="0" w:color="auto"/>
            <w:right w:val="none" w:sz="0" w:space="0" w:color="auto"/>
          </w:divBdr>
          <w:divsChild>
            <w:div w:id="1719083457">
              <w:marLeft w:val="-225"/>
              <w:marRight w:val="-375"/>
              <w:marTop w:val="0"/>
              <w:marBottom w:val="0"/>
              <w:divBdr>
                <w:top w:val="none" w:sz="0" w:space="0" w:color="auto"/>
                <w:left w:val="none" w:sz="0" w:space="0" w:color="auto"/>
                <w:bottom w:val="none" w:sz="0" w:space="0" w:color="auto"/>
                <w:right w:val="none" w:sz="0" w:space="0" w:color="auto"/>
              </w:divBdr>
              <w:divsChild>
                <w:div w:id="1888951891">
                  <w:marLeft w:val="0"/>
                  <w:marRight w:val="0"/>
                  <w:marTop w:val="0"/>
                  <w:marBottom w:val="0"/>
                  <w:divBdr>
                    <w:top w:val="none" w:sz="0" w:space="0" w:color="auto"/>
                    <w:left w:val="none" w:sz="0" w:space="0" w:color="auto"/>
                    <w:bottom w:val="none" w:sz="0" w:space="0" w:color="auto"/>
                    <w:right w:val="none" w:sz="0" w:space="0" w:color="auto"/>
                  </w:divBdr>
                  <w:divsChild>
                    <w:div w:id="504056566">
                      <w:marLeft w:val="-225"/>
                      <w:marRight w:val="-375"/>
                      <w:marTop w:val="0"/>
                      <w:marBottom w:val="0"/>
                      <w:divBdr>
                        <w:top w:val="none" w:sz="0" w:space="0" w:color="auto"/>
                        <w:left w:val="none" w:sz="0" w:space="0" w:color="auto"/>
                        <w:bottom w:val="none" w:sz="0" w:space="0" w:color="auto"/>
                        <w:right w:val="none" w:sz="0" w:space="0" w:color="auto"/>
                      </w:divBdr>
                      <w:divsChild>
                        <w:div w:id="466431864">
                          <w:marLeft w:val="0"/>
                          <w:marRight w:val="0"/>
                          <w:marTop w:val="0"/>
                          <w:marBottom w:val="0"/>
                          <w:divBdr>
                            <w:top w:val="none" w:sz="0" w:space="0" w:color="auto"/>
                            <w:left w:val="none" w:sz="0" w:space="0" w:color="auto"/>
                            <w:bottom w:val="none" w:sz="0" w:space="0" w:color="auto"/>
                            <w:right w:val="none" w:sz="0" w:space="0" w:color="auto"/>
                          </w:divBdr>
                          <w:divsChild>
                            <w:div w:id="968438838">
                              <w:marLeft w:val="0"/>
                              <w:marRight w:val="0"/>
                              <w:marTop w:val="0"/>
                              <w:marBottom w:val="0"/>
                              <w:divBdr>
                                <w:top w:val="none" w:sz="0" w:space="0" w:color="auto"/>
                                <w:left w:val="none" w:sz="0" w:space="0" w:color="auto"/>
                                <w:bottom w:val="none" w:sz="0" w:space="0" w:color="auto"/>
                                <w:right w:val="none" w:sz="0" w:space="0" w:color="auto"/>
                              </w:divBdr>
                              <w:divsChild>
                                <w:div w:id="1224096967">
                                  <w:marLeft w:val="0"/>
                                  <w:marRight w:val="0"/>
                                  <w:marTop w:val="0"/>
                                  <w:marBottom w:val="0"/>
                                  <w:divBdr>
                                    <w:top w:val="none" w:sz="0" w:space="0" w:color="auto"/>
                                    <w:left w:val="none" w:sz="0" w:space="0" w:color="auto"/>
                                    <w:bottom w:val="none" w:sz="0" w:space="0" w:color="auto"/>
                                    <w:right w:val="none" w:sz="0" w:space="0" w:color="auto"/>
                                  </w:divBdr>
                                  <w:divsChild>
                                    <w:div w:id="1403722716">
                                      <w:marLeft w:val="0"/>
                                      <w:marRight w:val="0"/>
                                      <w:marTop w:val="0"/>
                                      <w:marBottom w:val="0"/>
                                      <w:divBdr>
                                        <w:top w:val="single" w:sz="2" w:space="0" w:color="auto"/>
                                        <w:left w:val="single" w:sz="2" w:space="0" w:color="auto"/>
                                        <w:bottom w:val="single" w:sz="2" w:space="0" w:color="auto"/>
                                        <w:right w:val="single" w:sz="2" w:space="0" w:color="auto"/>
                                      </w:divBdr>
                                      <w:divsChild>
                                        <w:div w:id="1475758738">
                                          <w:marLeft w:val="0"/>
                                          <w:marRight w:val="0"/>
                                          <w:marTop w:val="0"/>
                                          <w:marBottom w:val="0"/>
                                          <w:divBdr>
                                            <w:top w:val="none" w:sz="0" w:space="0" w:color="auto"/>
                                            <w:left w:val="none" w:sz="0" w:space="0" w:color="auto"/>
                                            <w:bottom w:val="none" w:sz="0" w:space="0" w:color="auto"/>
                                            <w:right w:val="none" w:sz="0" w:space="0" w:color="auto"/>
                                          </w:divBdr>
                                          <w:divsChild>
                                            <w:div w:id="640576258">
                                              <w:marLeft w:val="0"/>
                                              <w:marRight w:val="0"/>
                                              <w:marTop w:val="0"/>
                                              <w:marBottom w:val="0"/>
                                              <w:divBdr>
                                                <w:top w:val="none" w:sz="0" w:space="0" w:color="auto"/>
                                                <w:left w:val="none" w:sz="0" w:space="0" w:color="auto"/>
                                                <w:bottom w:val="none" w:sz="0" w:space="0" w:color="auto"/>
                                                <w:right w:val="none" w:sz="0" w:space="0" w:color="auto"/>
                                              </w:divBdr>
                                              <w:divsChild>
                                                <w:div w:id="1108431368">
                                                  <w:marLeft w:val="-225"/>
                                                  <w:marRight w:val="-375"/>
                                                  <w:marTop w:val="0"/>
                                                  <w:marBottom w:val="0"/>
                                                  <w:divBdr>
                                                    <w:top w:val="none" w:sz="0" w:space="0" w:color="auto"/>
                                                    <w:left w:val="none" w:sz="0" w:space="0" w:color="auto"/>
                                                    <w:bottom w:val="none" w:sz="0" w:space="0" w:color="auto"/>
                                                    <w:right w:val="none" w:sz="0" w:space="0" w:color="auto"/>
                                                  </w:divBdr>
                                                  <w:divsChild>
                                                    <w:div w:id="1770854130">
                                                      <w:marLeft w:val="0"/>
                                                      <w:marRight w:val="0"/>
                                                      <w:marTop w:val="0"/>
                                                      <w:marBottom w:val="0"/>
                                                      <w:divBdr>
                                                        <w:top w:val="none" w:sz="0" w:space="0" w:color="auto"/>
                                                        <w:left w:val="none" w:sz="0" w:space="0" w:color="auto"/>
                                                        <w:bottom w:val="none" w:sz="0" w:space="0" w:color="auto"/>
                                                        <w:right w:val="none" w:sz="0" w:space="0" w:color="auto"/>
                                                      </w:divBdr>
                                                      <w:divsChild>
                                                        <w:div w:id="1583220689">
                                                          <w:marLeft w:val="0"/>
                                                          <w:marRight w:val="0"/>
                                                          <w:marTop w:val="0"/>
                                                          <w:marBottom w:val="0"/>
                                                          <w:divBdr>
                                                            <w:top w:val="none" w:sz="0" w:space="0" w:color="auto"/>
                                                            <w:left w:val="none" w:sz="0" w:space="0" w:color="auto"/>
                                                            <w:bottom w:val="none" w:sz="0" w:space="0" w:color="auto"/>
                                                            <w:right w:val="none" w:sz="0" w:space="0" w:color="auto"/>
                                                          </w:divBdr>
                                                          <w:divsChild>
                                                            <w:div w:id="1731613604">
                                                              <w:marLeft w:val="0"/>
                                                              <w:marRight w:val="0"/>
                                                              <w:marTop w:val="0"/>
                                                              <w:marBottom w:val="0"/>
                                                              <w:divBdr>
                                                                <w:top w:val="none" w:sz="0" w:space="0" w:color="auto"/>
                                                                <w:left w:val="none" w:sz="0" w:space="0" w:color="auto"/>
                                                                <w:bottom w:val="none" w:sz="0" w:space="0" w:color="auto"/>
                                                                <w:right w:val="none" w:sz="0" w:space="0" w:color="auto"/>
                                                              </w:divBdr>
                                                              <w:divsChild>
                                                                <w:div w:id="213806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8923864">
      <w:bodyDiv w:val="1"/>
      <w:marLeft w:val="0"/>
      <w:marRight w:val="0"/>
      <w:marTop w:val="0"/>
      <w:marBottom w:val="0"/>
      <w:divBdr>
        <w:top w:val="none" w:sz="0" w:space="0" w:color="auto"/>
        <w:left w:val="none" w:sz="0" w:space="0" w:color="auto"/>
        <w:bottom w:val="none" w:sz="0" w:space="0" w:color="auto"/>
        <w:right w:val="none" w:sz="0" w:space="0" w:color="auto"/>
      </w:divBdr>
    </w:div>
    <w:div w:id="1669476153">
      <w:bodyDiv w:val="1"/>
      <w:marLeft w:val="0"/>
      <w:marRight w:val="0"/>
      <w:marTop w:val="0"/>
      <w:marBottom w:val="0"/>
      <w:divBdr>
        <w:top w:val="none" w:sz="0" w:space="0" w:color="auto"/>
        <w:left w:val="none" w:sz="0" w:space="0" w:color="auto"/>
        <w:bottom w:val="none" w:sz="0" w:space="0" w:color="auto"/>
        <w:right w:val="none" w:sz="0" w:space="0" w:color="auto"/>
      </w:divBdr>
    </w:div>
    <w:div w:id="1714110947">
      <w:bodyDiv w:val="1"/>
      <w:marLeft w:val="0"/>
      <w:marRight w:val="0"/>
      <w:marTop w:val="0"/>
      <w:marBottom w:val="0"/>
      <w:divBdr>
        <w:top w:val="none" w:sz="0" w:space="0" w:color="auto"/>
        <w:left w:val="none" w:sz="0" w:space="0" w:color="auto"/>
        <w:bottom w:val="none" w:sz="0" w:space="0" w:color="auto"/>
        <w:right w:val="none" w:sz="0" w:space="0" w:color="auto"/>
      </w:divBdr>
    </w:div>
    <w:div w:id="1751543860">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818261985">
          <w:marLeft w:val="0"/>
          <w:marRight w:val="0"/>
          <w:marTop w:val="150"/>
          <w:marBottom w:val="100"/>
          <w:divBdr>
            <w:top w:val="none" w:sz="0" w:space="0" w:color="auto"/>
            <w:left w:val="none" w:sz="0" w:space="0" w:color="auto"/>
            <w:bottom w:val="none" w:sz="0" w:space="0" w:color="auto"/>
            <w:right w:val="none" w:sz="0" w:space="0" w:color="auto"/>
          </w:divBdr>
          <w:divsChild>
            <w:div w:id="1426724465">
              <w:marLeft w:val="-225"/>
              <w:marRight w:val="-375"/>
              <w:marTop w:val="0"/>
              <w:marBottom w:val="0"/>
              <w:divBdr>
                <w:top w:val="none" w:sz="0" w:space="0" w:color="auto"/>
                <w:left w:val="none" w:sz="0" w:space="0" w:color="auto"/>
                <w:bottom w:val="none" w:sz="0" w:space="0" w:color="auto"/>
                <w:right w:val="none" w:sz="0" w:space="0" w:color="auto"/>
              </w:divBdr>
              <w:divsChild>
                <w:div w:id="237057083">
                  <w:marLeft w:val="0"/>
                  <w:marRight w:val="0"/>
                  <w:marTop w:val="0"/>
                  <w:marBottom w:val="0"/>
                  <w:divBdr>
                    <w:top w:val="none" w:sz="0" w:space="0" w:color="auto"/>
                    <w:left w:val="none" w:sz="0" w:space="0" w:color="auto"/>
                    <w:bottom w:val="none" w:sz="0" w:space="0" w:color="auto"/>
                    <w:right w:val="none" w:sz="0" w:space="0" w:color="auto"/>
                  </w:divBdr>
                  <w:divsChild>
                    <w:div w:id="1357926042">
                      <w:marLeft w:val="-225"/>
                      <w:marRight w:val="-375"/>
                      <w:marTop w:val="0"/>
                      <w:marBottom w:val="0"/>
                      <w:divBdr>
                        <w:top w:val="none" w:sz="0" w:space="0" w:color="auto"/>
                        <w:left w:val="none" w:sz="0" w:space="0" w:color="auto"/>
                        <w:bottom w:val="none" w:sz="0" w:space="0" w:color="auto"/>
                        <w:right w:val="none" w:sz="0" w:space="0" w:color="auto"/>
                      </w:divBdr>
                      <w:divsChild>
                        <w:div w:id="1807818426">
                          <w:marLeft w:val="0"/>
                          <w:marRight w:val="0"/>
                          <w:marTop w:val="0"/>
                          <w:marBottom w:val="0"/>
                          <w:divBdr>
                            <w:top w:val="none" w:sz="0" w:space="0" w:color="auto"/>
                            <w:left w:val="none" w:sz="0" w:space="0" w:color="auto"/>
                            <w:bottom w:val="none" w:sz="0" w:space="0" w:color="auto"/>
                            <w:right w:val="none" w:sz="0" w:space="0" w:color="auto"/>
                          </w:divBdr>
                          <w:divsChild>
                            <w:div w:id="1034427290">
                              <w:marLeft w:val="0"/>
                              <w:marRight w:val="0"/>
                              <w:marTop w:val="0"/>
                              <w:marBottom w:val="0"/>
                              <w:divBdr>
                                <w:top w:val="none" w:sz="0" w:space="0" w:color="auto"/>
                                <w:left w:val="none" w:sz="0" w:space="0" w:color="auto"/>
                                <w:bottom w:val="none" w:sz="0" w:space="0" w:color="auto"/>
                                <w:right w:val="none" w:sz="0" w:space="0" w:color="auto"/>
                              </w:divBdr>
                              <w:divsChild>
                                <w:div w:id="414131764">
                                  <w:marLeft w:val="0"/>
                                  <w:marRight w:val="0"/>
                                  <w:marTop w:val="0"/>
                                  <w:marBottom w:val="0"/>
                                  <w:divBdr>
                                    <w:top w:val="none" w:sz="0" w:space="0" w:color="auto"/>
                                    <w:left w:val="none" w:sz="0" w:space="0" w:color="auto"/>
                                    <w:bottom w:val="none" w:sz="0" w:space="0" w:color="auto"/>
                                    <w:right w:val="none" w:sz="0" w:space="0" w:color="auto"/>
                                  </w:divBdr>
                                  <w:divsChild>
                                    <w:div w:id="1068651199">
                                      <w:marLeft w:val="0"/>
                                      <w:marRight w:val="0"/>
                                      <w:marTop w:val="0"/>
                                      <w:marBottom w:val="0"/>
                                      <w:divBdr>
                                        <w:top w:val="single" w:sz="2" w:space="0" w:color="auto"/>
                                        <w:left w:val="single" w:sz="2" w:space="0" w:color="auto"/>
                                        <w:bottom w:val="single" w:sz="2" w:space="0" w:color="auto"/>
                                        <w:right w:val="single" w:sz="2" w:space="0" w:color="auto"/>
                                      </w:divBdr>
                                      <w:divsChild>
                                        <w:div w:id="766313270">
                                          <w:marLeft w:val="0"/>
                                          <w:marRight w:val="0"/>
                                          <w:marTop w:val="0"/>
                                          <w:marBottom w:val="0"/>
                                          <w:divBdr>
                                            <w:top w:val="none" w:sz="0" w:space="0" w:color="auto"/>
                                            <w:left w:val="none" w:sz="0" w:space="0" w:color="auto"/>
                                            <w:bottom w:val="none" w:sz="0" w:space="0" w:color="auto"/>
                                            <w:right w:val="none" w:sz="0" w:space="0" w:color="auto"/>
                                          </w:divBdr>
                                          <w:divsChild>
                                            <w:div w:id="2100711874">
                                              <w:marLeft w:val="0"/>
                                              <w:marRight w:val="0"/>
                                              <w:marTop w:val="0"/>
                                              <w:marBottom w:val="0"/>
                                              <w:divBdr>
                                                <w:top w:val="none" w:sz="0" w:space="0" w:color="auto"/>
                                                <w:left w:val="none" w:sz="0" w:space="0" w:color="auto"/>
                                                <w:bottom w:val="none" w:sz="0" w:space="0" w:color="auto"/>
                                                <w:right w:val="none" w:sz="0" w:space="0" w:color="auto"/>
                                              </w:divBdr>
                                              <w:divsChild>
                                                <w:div w:id="601454216">
                                                  <w:marLeft w:val="-225"/>
                                                  <w:marRight w:val="-375"/>
                                                  <w:marTop w:val="0"/>
                                                  <w:marBottom w:val="0"/>
                                                  <w:divBdr>
                                                    <w:top w:val="none" w:sz="0" w:space="0" w:color="auto"/>
                                                    <w:left w:val="none" w:sz="0" w:space="0" w:color="auto"/>
                                                    <w:bottom w:val="none" w:sz="0" w:space="0" w:color="auto"/>
                                                    <w:right w:val="none" w:sz="0" w:space="0" w:color="auto"/>
                                                  </w:divBdr>
                                                  <w:divsChild>
                                                    <w:div w:id="351342240">
                                                      <w:marLeft w:val="0"/>
                                                      <w:marRight w:val="0"/>
                                                      <w:marTop w:val="0"/>
                                                      <w:marBottom w:val="0"/>
                                                      <w:divBdr>
                                                        <w:top w:val="none" w:sz="0" w:space="0" w:color="auto"/>
                                                        <w:left w:val="none" w:sz="0" w:space="0" w:color="auto"/>
                                                        <w:bottom w:val="none" w:sz="0" w:space="0" w:color="auto"/>
                                                        <w:right w:val="none" w:sz="0" w:space="0" w:color="auto"/>
                                                      </w:divBdr>
                                                      <w:divsChild>
                                                        <w:div w:id="1917930675">
                                                          <w:marLeft w:val="0"/>
                                                          <w:marRight w:val="0"/>
                                                          <w:marTop w:val="0"/>
                                                          <w:marBottom w:val="0"/>
                                                          <w:divBdr>
                                                            <w:top w:val="none" w:sz="0" w:space="0" w:color="auto"/>
                                                            <w:left w:val="none" w:sz="0" w:space="0" w:color="auto"/>
                                                            <w:bottom w:val="none" w:sz="0" w:space="0" w:color="auto"/>
                                                            <w:right w:val="none" w:sz="0" w:space="0" w:color="auto"/>
                                                          </w:divBdr>
                                                          <w:divsChild>
                                                            <w:div w:id="455569545">
                                                              <w:marLeft w:val="0"/>
                                                              <w:marRight w:val="0"/>
                                                              <w:marTop w:val="0"/>
                                                              <w:marBottom w:val="0"/>
                                                              <w:divBdr>
                                                                <w:top w:val="none" w:sz="0" w:space="0" w:color="auto"/>
                                                                <w:left w:val="none" w:sz="0" w:space="0" w:color="auto"/>
                                                                <w:bottom w:val="none" w:sz="0" w:space="0" w:color="auto"/>
                                                                <w:right w:val="none" w:sz="0" w:space="0" w:color="auto"/>
                                                              </w:divBdr>
                                                              <w:divsChild>
                                                                <w:div w:id="10171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5221599">
      <w:bodyDiv w:val="1"/>
      <w:marLeft w:val="0"/>
      <w:marRight w:val="0"/>
      <w:marTop w:val="0"/>
      <w:marBottom w:val="0"/>
      <w:divBdr>
        <w:top w:val="none" w:sz="0" w:space="0" w:color="auto"/>
        <w:left w:val="none" w:sz="0" w:space="0" w:color="auto"/>
        <w:bottom w:val="none" w:sz="0" w:space="0" w:color="auto"/>
        <w:right w:val="none" w:sz="0" w:space="0" w:color="auto"/>
      </w:divBdr>
    </w:div>
    <w:div w:id="1849324335">
      <w:bodyDiv w:val="1"/>
      <w:marLeft w:val="0"/>
      <w:marRight w:val="0"/>
      <w:marTop w:val="100"/>
      <w:marBottom w:val="100"/>
      <w:divBdr>
        <w:top w:val="single" w:sz="6" w:space="0" w:color="000000"/>
        <w:left w:val="single" w:sz="6" w:space="0" w:color="000000"/>
        <w:bottom w:val="single" w:sz="6" w:space="0" w:color="000000"/>
        <w:right w:val="single" w:sz="6" w:space="0" w:color="000000"/>
      </w:divBdr>
      <w:divsChild>
        <w:div w:id="1523588865">
          <w:marLeft w:val="0"/>
          <w:marRight w:val="0"/>
          <w:marTop w:val="150"/>
          <w:marBottom w:val="100"/>
          <w:divBdr>
            <w:top w:val="none" w:sz="0" w:space="0" w:color="auto"/>
            <w:left w:val="none" w:sz="0" w:space="0" w:color="auto"/>
            <w:bottom w:val="none" w:sz="0" w:space="0" w:color="auto"/>
            <w:right w:val="none" w:sz="0" w:space="0" w:color="auto"/>
          </w:divBdr>
          <w:divsChild>
            <w:div w:id="893738393">
              <w:marLeft w:val="-225"/>
              <w:marRight w:val="-375"/>
              <w:marTop w:val="0"/>
              <w:marBottom w:val="0"/>
              <w:divBdr>
                <w:top w:val="none" w:sz="0" w:space="0" w:color="auto"/>
                <w:left w:val="none" w:sz="0" w:space="0" w:color="auto"/>
                <w:bottom w:val="none" w:sz="0" w:space="0" w:color="auto"/>
                <w:right w:val="none" w:sz="0" w:space="0" w:color="auto"/>
              </w:divBdr>
              <w:divsChild>
                <w:div w:id="1958835166">
                  <w:marLeft w:val="0"/>
                  <w:marRight w:val="0"/>
                  <w:marTop w:val="0"/>
                  <w:marBottom w:val="0"/>
                  <w:divBdr>
                    <w:top w:val="none" w:sz="0" w:space="0" w:color="auto"/>
                    <w:left w:val="none" w:sz="0" w:space="0" w:color="auto"/>
                    <w:bottom w:val="none" w:sz="0" w:space="0" w:color="auto"/>
                    <w:right w:val="none" w:sz="0" w:space="0" w:color="auto"/>
                  </w:divBdr>
                  <w:divsChild>
                    <w:div w:id="1271353399">
                      <w:marLeft w:val="-225"/>
                      <w:marRight w:val="-375"/>
                      <w:marTop w:val="0"/>
                      <w:marBottom w:val="0"/>
                      <w:divBdr>
                        <w:top w:val="none" w:sz="0" w:space="0" w:color="auto"/>
                        <w:left w:val="none" w:sz="0" w:space="0" w:color="auto"/>
                        <w:bottom w:val="none" w:sz="0" w:space="0" w:color="auto"/>
                        <w:right w:val="none" w:sz="0" w:space="0" w:color="auto"/>
                      </w:divBdr>
                      <w:divsChild>
                        <w:div w:id="1892886453">
                          <w:marLeft w:val="0"/>
                          <w:marRight w:val="0"/>
                          <w:marTop w:val="0"/>
                          <w:marBottom w:val="0"/>
                          <w:divBdr>
                            <w:top w:val="none" w:sz="0" w:space="0" w:color="auto"/>
                            <w:left w:val="none" w:sz="0" w:space="0" w:color="auto"/>
                            <w:bottom w:val="none" w:sz="0" w:space="0" w:color="auto"/>
                            <w:right w:val="none" w:sz="0" w:space="0" w:color="auto"/>
                          </w:divBdr>
                          <w:divsChild>
                            <w:div w:id="1174611553">
                              <w:marLeft w:val="0"/>
                              <w:marRight w:val="0"/>
                              <w:marTop w:val="0"/>
                              <w:marBottom w:val="0"/>
                              <w:divBdr>
                                <w:top w:val="none" w:sz="0" w:space="0" w:color="auto"/>
                                <w:left w:val="none" w:sz="0" w:space="0" w:color="auto"/>
                                <w:bottom w:val="none" w:sz="0" w:space="0" w:color="auto"/>
                                <w:right w:val="none" w:sz="0" w:space="0" w:color="auto"/>
                              </w:divBdr>
                              <w:divsChild>
                                <w:div w:id="248470543">
                                  <w:marLeft w:val="0"/>
                                  <w:marRight w:val="0"/>
                                  <w:marTop w:val="0"/>
                                  <w:marBottom w:val="0"/>
                                  <w:divBdr>
                                    <w:top w:val="none" w:sz="0" w:space="0" w:color="auto"/>
                                    <w:left w:val="none" w:sz="0" w:space="0" w:color="auto"/>
                                    <w:bottom w:val="none" w:sz="0" w:space="0" w:color="auto"/>
                                    <w:right w:val="none" w:sz="0" w:space="0" w:color="auto"/>
                                  </w:divBdr>
                                  <w:divsChild>
                                    <w:div w:id="86967914">
                                      <w:marLeft w:val="0"/>
                                      <w:marRight w:val="0"/>
                                      <w:marTop w:val="0"/>
                                      <w:marBottom w:val="0"/>
                                      <w:divBdr>
                                        <w:top w:val="single" w:sz="2" w:space="0" w:color="auto"/>
                                        <w:left w:val="single" w:sz="2" w:space="0" w:color="auto"/>
                                        <w:bottom w:val="single" w:sz="2" w:space="0" w:color="auto"/>
                                        <w:right w:val="single" w:sz="2" w:space="0" w:color="auto"/>
                                      </w:divBdr>
                                      <w:divsChild>
                                        <w:div w:id="639388701">
                                          <w:marLeft w:val="0"/>
                                          <w:marRight w:val="0"/>
                                          <w:marTop w:val="0"/>
                                          <w:marBottom w:val="0"/>
                                          <w:divBdr>
                                            <w:top w:val="none" w:sz="0" w:space="0" w:color="auto"/>
                                            <w:left w:val="none" w:sz="0" w:space="0" w:color="auto"/>
                                            <w:bottom w:val="none" w:sz="0" w:space="0" w:color="auto"/>
                                            <w:right w:val="none" w:sz="0" w:space="0" w:color="auto"/>
                                          </w:divBdr>
                                          <w:divsChild>
                                            <w:div w:id="1340615594">
                                              <w:marLeft w:val="0"/>
                                              <w:marRight w:val="0"/>
                                              <w:marTop w:val="0"/>
                                              <w:marBottom w:val="0"/>
                                              <w:divBdr>
                                                <w:top w:val="none" w:sz="0" w:space="0" w:color="auto"/>
                                                <w:left w:val="none" w:sz="0" w:space="0" w:color="auto"/>
                                                <w:bottom w:val="none" w:sz="0" w:space="0" w:color="auto"/>
                                                <w:right w:val="none" w:sz="0" w:space="0" w:color="auto"/>
                                              </w:divBdr>
                                              <w:divsChild>
                                                <w:div w:id="634917478">
                                                  <w:marLeft w:val="-225"/>
                                                  <w:marRight w:val="-375"/>
                                                  <w:marTop w:val="0"/>
                                                  <w:marBottom w:val="0"/>
                                                  <w:divBdr>
                                                    <w:top w:val="none" w:sz="0" w:space="0" w:color="auto"/>
                                                    <w:left w:val="none" w:sz="0" w:space="0" w:color="auto"/>
                                                    <w:bottom w:val="none" w:sz="0" w:space="0" w:color="auto"/>
                                                    <w:right w:val="none" w:sz="0" w:space="0" w:color="auto"/>
                                                  </w:divBdr>
                                                  <w:divsChild>
                                                    <w:div w:id="2122533190">
                                                      <w:marLeft w:val="0"/>
                                                      <w:marRight w:val="0"/>
                                                      <w:marTop w:val="0"/>
                                                      <w:marBottom w:val="0"/>
                                                      <w:divBdr>
                                                        <w:top w:val="none" w:sz="0" w:space="0" w:color="auto"/>
                                                        <w:left w:val="none" w:sz="0" w:space="0" w:color="auto"/>
                                                        <w:bottom w:val="none" w:sz="0" w:space="0" w:color="auto"/>
                                                        <w:right w:val="none" w:sz="0" w:space="0" w:color="auto"/>
                                                      </w:divBdr>
                                                      <w:divsChild>
                                                        <w:div w:id="255214984">
                                                          <w:marLeft w:val="0"/>
                                                          <w:marRight w:val="0"/>
                                                          <w:marTop w:val="0"/>
                                                          <w:marBottom w:val="0"/>
                                                          <w:divBdr>
                                                            <w:top w:val="none" w:sz="0" w:space="0" w:color="auto"/>
                                                            <w:left w:val="none" w:sz="0" w:space="0" w:color="auto"/>
                                                            <w:bottom w:val="none" w:sz="0" w:space="0" w:color="auto"/>
                                                            <w:right w:val="none" w:sz="0" w:space="0" w:color="auto"/>
                                                          </w:divBdr>
                                                          <w:divsChild>
                                                            <w:div w:id="1984265886">
                                                              <w:marLeft w:val="0"/>
                                                              <w:marRight w:val="0"/>
                                                              <w:marTop w:val="0"/>
                                                              <w:marBottom w:val="0"/>
                                                              <w:divBdr>
                                                                <w:top w:val="none" w:sz="0" w:space="0" w:color="auto"/>
                                                                <w:left w:val="none" w:sz="0" w:space="0" w:color="auto"/>
                                                                <w:bottom w:val="none" w:sz="0" w:space="0" w:color="auto"/>
                                                                <w:right w:val="none" w:sz="0" w:space="0" w:color="auto"/>
                                                              </w:divBdr>
                                                              <w:divsChild>
                                                                <w:div w:id="565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729787">
      <w:bodyDiv w:val="1"/>
      <w:marLeft w:val="0"/>
      <w:marRight w:val="0"/>
      <w:marTop w:val="0"/>
      <w:marBottom w:val="0"/>
      <w:divBdr>
        <w:top w:val="none" w:sz="0" w:space="0" w:color="auto"/>
        <w:left w:val="none" w:sz="0" w:space="0" w:color="auto"/>
        <w:bottom w:val="none" w:sz="0" w:space="0" w:color="auto"/>
        <w:right w:val="none" w:sz="0" w:space="0" w:color="auto"/>
      </w:divBdr>
    </w:div>
    <w:div w:id="1878154799">
      <w:bodyDiv w:val="1"/>
      <w:marLeft w:val="0"/>
      <w:marRight w:val="0"/>
      <w:marTop w:val="0"/>
      <w:marBottom w:val="0"/>
      <w:divBdr>
        <w:top w:val="none" w:sz="0" w:space="0" w:color="auto"/>
        <w:left w:val="none" w:sz="0" w:space="0" w:color="auto"/>
        <w:bottom w:val="none" w:sz="0" w:space="0" w:color="auto"/>
        <w:right w:val="none" w:sz="0" w:space="0" w:color="auto"/>
      </w:divBdr>
    </w:div>
    <w:div w:id="1936472433">
      <w:bodyDiv w:val="1"/>
      <w:marLeft w:val="0"/>
      <w:marRight w:val="0"/>
      <w:marTop w:val="0"/>
      <w:marBottom w:val="0"/>
      <w:divBdr>
        <w:top w:val="none" w:sz="0" w:space="0" w:color="auto"/>
        <w:left w:val="none" w:sz="0" w:space="0" w:color="auto"/>
        <w:bottom w:val="none" w:sz="0" w:space="0" w:color="auto"/>
        <w:right w:val="none" w:sz="0" w:space="0" w:color="auto"/>
      </w:divBdr>
    </w:div>
    <w:div w:id="2071145545">
      <w:bodyDiv w:val="1"/>
      <w:marLeft w:val="0"/>
      <w:marRight w:val="0"/>
      <w:marTop w:val="0"/>
      <w:marBottom w:val="0"/>
      <w:divBdr>
        <w:top w:val="none" w:sz="0" w:space="0" w:color="auto"/>
        <w:left w:val="none" w:sz="0" w:space="0" w:color="auto"/>
        <w:bottom w:val="none" w:sz="0" w:space="0" w:color="auto"/>
        <w:right w:val="none" w:sz="0" w:space="0" w:color="auto"/>
      </w:divBdr>
    </w:div>
    <w:div w:id="20986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ec.europa.eu/commission/priorities/energy-union-and-climate_en" TargetMode="Externa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ec.europa.eu/energy/gas_electricity/electricity/forum_electricity_florence_en.htm"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7.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8.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ergy/sites/ener/files/documents/2010_01_21_the_regulatory_authorities.pdf" TargetMode="External"/><Relationship Id="rId18" Type="http://schemas.openxmlformats.org/officeDocument/2006/relationships/hyperlink" Target="https://www.acer.europa.eu/en/Gas/Pages/Market-Monitoring.aspx" TargetMode="External"/><Relationship Id="rId26" Type="http://schemas.openxmlformats.org/officeDocument/2006/relationships/hyperlink" Target="http://eur-lex.europa.eu/legal-content/EN/ALL/?uri=CELEX:52009XC0213(02)" TargetMode="External"/><Relationship Id="rId39" Type="http://schemas.openxmlformats.org/officeDocument/2006/relationships/hyperlink" Target="https://eur-lex.europa.eu/legal-content/EN/TXT/?uri=CELEX:02016R0679-20160504" TargetMode="External"/><Relationship Id="rId21" Type="http://schemas.openxmlformats.org/officeDocument/2006/relationships/hyperlink" Target="http://ec.europa.eu/eu_law/infringements/application_monitoring_en.htm" TargetMode="External"/><Relationship Id="rId34" Type="http://schemas.openxmlformats.org/officeDocument/2006/relationships/hyperlink" Target="http://www.acer.europa.eu/official_documents/publications/pages/publication.aspx" TargetMode="External"/><Relationship Id="rId42" Type="http://schemas.openxmlformats.org/officeDocument/2006/relationships/hyperlink" Target="https://ec.europa.eu/info/sites/default/files/gass-services-mms20-ppt_en.pdf" TargetMode="External"/><Relationship Id="rId47" Type="http://schemas.openxmlformats.org/officeDocument/2006/relationships/hyperlink" Target="https://ec.europa.eu/info/sites/default/files/gass-services-mms20-ppt_en.pdf" TargetMode="External"/><Relationship Id="rId50" Type="http://schemas.openxmlformats.org/officeDocument/2006/relationships/hyperlink" Target="http://ec.europa.eu/energy/sites/ener/files/documents/2014_energy_market_en.pdf" TargetMode="External"/><Relationship Id="rId55" Type="http://schemas.openxmlformats.org/officeDocument/2006/relationships/hyperlink" Target="https://ec.europa.eu/energy/sites/ener/files/documents/ce_delft_3g84_biogas_beyond_2020_final_report.pdf" TargetMode="External"/><Relationship Id="rId63" Type="http://schemas.openxmlformats.org/officeDocument/2006/relationships/hyperlink" Target="https://eur-lex.europa.eu/eli/reg/2019/942/oj" TargetMode="External"/><Relationship Id="rId68" Type="http://schemas.openxmlformats.org/officeDocument/2006/relationships/hyperlink" Target="https://eur-lex.europa.eu/eli/reg/2019/942/oj" TargetMode="External"/><Relationship Id="rId76" Type="http://schemas.openxmlformats.org/officeDocument/2006/relationships/hyperlink" Target="http://www.europarl.europa.eu/RegData/etudes/STUD/2016/578968/IPOL_STU(2016)578968_EN.pdf" TargetMode="External"/><Relationship Id="rId7" Type="http://schemas.openxmlformats.org/officeDocument/2006/relationships/hyperlink" Target="https://ec.europa.eu/energy/studies_main/final_studies/potentials-sector-coupling-decarbonisation-assessing-regulatory-barriers_en" TargetMode="External"/><Relationship Id="rId71" Type="http://schemas.openxmlformats.org/officeDocument/2006/relationships/hyperlink" Target="https://eur-lex.europa.eu/eli/dir/2018/2002/oj" TargetMode="External"/><Relationship Id="rId2" Type="http://schemas.openxmlformats.org/officeDocument/2006/relationships/hyperlink" Target="https://eur-lex.europa.eu/legal-content/EN/TXT/?uri=celex%3A32018R1999" TargetMode="External"/><Relationship Id="rId16" Type="http://schemas.openxmlformats.org/officeDocument/2006/relationships/hyperlink" Target="https://ec.europa.eu/energy/topics/energy-strategy/energy-union_en?redir=1" TargetMode="External"/><Relationship Id="rId29" Type="http://schemas.openxmlformats.org/officeDocument/2006/relationships/hyperlink" Target="http://eur-lex.europa.eu/legal-content/EN/TXT/?qid=1439992538223&amp;uri=CELEX:52010XC0522(01)" TargetMode="External"/><Relationship Id="rId11" Type="http://schemas.openxmlformats.org/officeDocument/2006/relationships/hyperlink" Target="http://ec.europa.eu/competition/sectors/energy/2005_inquiry/index_en.html" TargetMode="External"/><Relationship Id="rId24" Type="http://schemas.openxmlformats.org/officeDocument/2006/relationships/hyperlink" Target="https://ec.europa.eu/energy/sites/ener/files/documents/2014_iem_communication_annex3.pdf" TargetMode="External"/><Relationship Id="rId32" Type="http://schemas.openxmlformats.org/officeDocument/2006/relationships/hyperlink" Target="https://www.acer.europa.eu/en/Electricity/Market%20monitoring/Documents/MMR2018presentation19nov2019.pdf" TargetMode="External"/><Relationship Id="rId37" Type="http://schemas.openxmlformats.org/officeDocument/2006/relationships/hyperlink" Target="https://ec.europa.eu/info/policies/consumers/consumer-protection/evidence-based-consumer-policy/market-monitoring_en" TargetMode="External"/><Relationship Id="rId40" Type="http://schemas.openxmlformats.org/officeDocument/2006/relationships/hyperlink" Target="https://eur-lex.europa.eu/legal-content/EN/TXT/PDF/?uri=CELEX:32019L0944&amp;from=EN" TargetMode="External"/><Relationship Id="rId45" Type="http://schemas.openxmlformats.org/officeDocument/2006/relationships/hyperlink" Target="https://ec.europa.eu/info/sites/default/files/gass-services-mms20-ppt_en.pdf" TargetMode="External"/><Relationship Id="rId53" Type="http://schemas.openxmlformats.org/officeDocument/2006/relationships/hyperlink" Target="https://www.ceer.eu/documents/104400/-/-/3daa9416-edc7-c741-6042-c71d4ed50bb0" TargetMode="External"/><Relationship Id="rId58" Type="http://schemas.openxmlformats.org/officeDocument/2006/relationships/hyperlink" Target="https://eur-lex.europa.eu/eli/reg/2014/312/oj" TargetMode="External"/><Relationship Id="rId66" Type="http://schemas.openxmlformats.org/officeDocument/2006/relationships/hyperlink" Target="https://eur-lex.europa.eu/eli/reg/2015/703/oj" TargetMode="External"/><Relationship Id="rId74" Type="http://schemas.openxmlformats.org/officeDocument/2006/relationships/hyperlink" Target="https://eur-lex.europa.eu/legal-content/EN/TXT/PDF/?uri=CELEX:52016SC0397&amp;from=EN" TargetMode="External"/><Relationship Id="rId5" Type="http://schemas.openxmlformats.org/officeDocument/2006/relationships/hyperlink" Target="https://eur-lex.europa.eu/legal-content/EN/TXT/PDF/?uri=CELEX:52020DC0301&amp;from=EN" TargetMode="External"/><Relationship Id="rId15" Type="http://schemas.openxmlformats.org/officeDocument/2006/relationships/hyperlink" Target="https://ec.europa.eu/energy/en/topics/markets-and-consumers/single-market-progress-report.%20From%202015" TargetMode="External"/><Relationship Id="rId23" Type="http://schemas.openxmlformats.org/officeDocument/2006/relationships/hyperlink" Target="https://ec.europa.eu/energy/sites/ener/files/documents/2014_iem_communication_annex6_0.pdf" TargetMode="External"/><Relationship Id="rId28" Type="http://schemas.openxmlformats.org/officeDocument/2006/relationships/hyperlink" Target="http://eur-lex.europa.eu/legal-content/EN/TXT/?uri=uriserv:OJ.C_.2010.352.01.0008.01.ENG&amp;toc=OJ:C:2010:352:TOC" TargetMode="External"/><Relationship Id="rId36" Type="http://schemas.openxmlformats.org/officeDocument/2006/relationships/hyperlink" Target="https://www.eea.europa.eu/data-and-maps/daviz/final-energy-consumption-of-fuel-1" TargetMode="External"/><Relationship Id="rId49" Type="http://schemas.openxmlformats.org/officeDocument/2006/relationships/hyperlink" Target="http://www.acer.europa.eu/en/Electricity/Market%20monitoring/Pages/Current-edition.aspx" TargetMode="External"/><Relationship Id="rId57" Type="http://schemas.openxmlformats.org/officeDocument/2006/relationships/hyperlink" Target="https://eur-lex.europa.eu/eli/reg/2017/459/oj" TargetMode="External"/><Relationship Id="rId61" Type="http://schemas.openxmlformats.org/officeDocument/2006/relationships/hyperlink" Target="https://eur-lex.europa.eu/eli/reg/2015/703/oj" TargetMode="External"/><Relationship Id="rId10" Type="http://schemas.openxmlformats.org/officeDocument/2006/relationships/hyperlink" Target="http://data.europa.eu/eli/dir/2003/55/oj" TargetMode="External"/><Relationship Id="rId19" Type="http://schemas.openxmlformats.org/officeDocument/2006/relationships/hyperlink" Target="https://ec.europa.eu/info/law/better-regulation/have-your-say/initiatives/12911-Gas-networks-revision-of-EU-rules-on-market-access_en" TargetMode="External"/><Relationship Id="rId31" Type="http://schemas.openxmlformats.org/officeDocument/2006/relationships/hyperlink" Target="https://www.acer.europa.eu/en/Electricity/Market%20monitoring/Pages/Current-edition.aspx" TargetMode="External"/><Relationship Id="rId44" Type="http://schemas.openxmlformats.org/officeDocument/2006/relationships/hyperlink" Target="https://ec.europa.eu/info/sites/default/files/gass-services-mms20-ppt_en.pdf" TargetMode="External"/><Relationship Id="rId52" Type="http://schemas.openxmlformats.org/officeDocument/2006/relationships/hyperlink" Target="http://www.eca.europa.eu/en/Pages/DocItem.aspx?did=34751" TargetMode="External"/><Relationship Id="rId60" Type="http://schemas.openxmlformats.org/officeDocument/2006/relationships/hyperlink" Target="https://eur-lex.europa.eu/legal-content/EN/ALL/?uri=CELEX%3A32012D0490" TargetMode="External"/><Relationship Id="rId65" Type="http://schemas.openxmlformats.org/officeDocument/2006/relationships/hyperlink" Target="https://eur-lex.europa.eu/eli/dir/2018/2001/oj" TargetMode="External"/><Relationship Id="rId73" Type="http://schemas.openxmlformats.org/officeDocument/2006/relationships/hyperlink" Target="http://data.europa.eu/eli/reco/2018/177/oj" TargetMode="External"/><Relationship Id="rId78" Type="http://schemas.openxmlformats.org/officeDocument/2006/relationships/hyperlink" Target="https://ec.europa.eu/info/sites/default/files/gass-services-mms20-ppt_en.pdf" TargetMode="External"/><Relationship Id="rId4" Type="http://schemas.openxmlformats.org/officeDocument/2006/relationships/hyperlink" Target="https://eur-lex.europa.eu/legal-content/EN/TXT/PDF/?uri=CELEX:52020DC0299&amp;from=EN" TargetMode="External"/><Relationship Id="rId9" Type="http://schemas.openxmlformats.org/officeDocument/2006/relationships/hyperlink" Target="http://data.europa.eu/eli/dir/1998/30/oj" TargetMode="External"/><Relationship Id="rId14" Type="http://schemas.openxmlformats.org/officeDocument/2006/relationships/hyperlink" Target="https://www.acer.europa.eu/Official_documents/Acts_of_the_Agency/SD_The%20Bridge%20beyond%202025/The%20Bridge%20Beyond%202025_Conclusion%20Paper.pdf" TargetMode="External"/><Relationship Id="rId22" Type="http://schemas.openxmlformats.org/officeDocument/2006/relationships/hyperlink" Target="https://op.europa.eu/en/publication-detail/-/publication/2ac2008f-71ad-11eb-9ac9-01aa75ed71a1/language-en/format-PDF/source-191693505" TargetMode="External"/><Relationship Id="rId27" Type="http://schemas.openxmlformats.org/officeDocument/2006/relationships/hyperlink" Target="http://eur-lex.europa.eu/legal-content/EN/TXT/?uri=uriserv:OJ.C_.2009.133.01.0010.01.ENG&amp;toc=OJ:C:2009:133:TOC" TargetMode="External"/><Relationship Id="rId30" Type="http://schemas.openxmlformats.org/officeDocument/2006/relationships/hyperlink" Target="https://ec.europa.eu/energy/data-analysis/market-analysis_en" TargetMode="External"/><Relationship Id="rId35" Type="http://schemas.openxmlformats.org/officeDocument/2006/relationships/hyperlink" Target="http://www.acer.europa.eu/en/Electricity/Market%20monitoring/Pages/Current-edition.aspx" TargetMode="External"/><Relationship Id="rId43" Type="http://schemas.openxmlformats.org/officeDocument/2006/relationships/hyperlink" Target="https://ec.europa.eu/info/sites/default/files/final_report_2_july_2018.pdf" TargetMode="External"/><Relationship Id="rId48" Type="http://schemas.openxmlformats.org/officeDocument/2006/relationships/hyperlink" Target="https://ec.europa.eu/info/policies/consumers/consumer-protection/evidence-based-consumer-policy/consumer-complaints-statistics_en" TargetMode="External"/><Relationship Id="rId56" Type="http://schemas.openxmlformats.org/officeDocument/2006/relationships/hyperlink" Target="https://www.consilium.europa.eu/media/47373/st13976-en20.pdf" TargetMode="External"/><Relationship Id="rId64" Type="http://schemas.openxmlformats.org/officeDocument/2006/relationships/hyperlink" Target="https://eur-lex.europa.eu/eli/reg/2017/1938/oj" TargetMode="External"/><Relationship Id="rId69" Type="http://schemas.openxmlformats.org/officeDocument/2006/relationships/hyperlink" Target="https://eur-lex.europa.eu/eli/reg/2017/1938/oj" TargetMode="External"/><Relationship Id="rId77" Type="http://schemas.openxmlformats.org/officeDocument/2006/relationships/hyperlink" Target="https://www.ceer.eu/documents/104400/-/-/5c492f87-c88f-6c78-5852-43f1f13c89e4" TargetMode="External"/><Relationship Id="rId8" Type="http://schemas.openxmlformats.org/officeDocument/2006/relationships/hyperlink" Target="https://ec.europa.eu/energy/topics/markets-and-consumers/wholesale-energy-market/gas-network-codes/madrid-forums_fr" TargetMode="External"/><Relationship Id="rId51" Type="http://schemas.openxmlformats.org/officeDocument/2006/relationships/hyperlink" Target="https://www.ceer.eu/documents/104400/-/-/3daa9416-edc7-c741-6042-c71d4ed50bb0" TargetMode="External"/><Relationship Id="rId72" Type="http://schemas.openxmlformats.org/officeDocument/2006/relationships/hyperlink" Target="http://www.acer.europa.eu/official_documents/acts_of_the_agency/sd052005/supporting%20document%20to%20acer%20recommendation%2005-2014%20-%20%20energy%20regulation%20a%20bridge%20to%202025%20conclusions%20paper.pdf" TargetMode="External"/><Relationship Id="rId3" Type="http://schemas.openxmlformats.org/officeDocument/2006/relationships/hyperlink" Target="https://acer.europa.eu/Official_documents/Publications/Pages/Publication.aspx" TargetMode="External"/><Relationship Id="rId12" Type="http://schemas.openxmlformats.org/officeDocument/2006/relationships/hyperlink" Target="http://eur-lex.europa.eu/legal-content/EN/TXT/?uri=CELEX%3A52007SC1179" TargetMode="External"/><Relationship Id="rId17" Type="http://schemas.openxmlformats.org/officeDocument/2006/relationships/hyperlink" Target="https://ec.europa.eu/energy/studies_main/final_studies_en" TargetMode="External"/><Relationship Id="rId25" Type="http://schemas.openxmlformats.org/officeDocument/2006/relationships/hyperlink" Target="http://eur-lex.europa.eu/legal-content/EN/TXT/?uri=CELEX:52006SC1724" TargetMode="External"/><Relationship Id="rId33" Type="http://schemas.openxmlformats.org/officeDocument/2006/relationships/hyperlink" Target="https://2020.entsos-tyndp-scenarios.eu/" TargetMode="External"/><Relationship Id="rId38" Type="http://schemas.openxmlformats.org/officeDocument/2006/relationships/hyperlink" Target="https://ec.europa.eu/energy/studies_main/final_studies/benchmarking-smart-metering-deployment-eu-28_en" TargetMode="External"/><Relationship Id="rId46" Type="http://schemas.openxmlformats.org/officeDocument/2006/relationships/hyperlink" Target="https://ec.europa.eu/info/sites/default/files/gass-services-mms20-ppt_en.pdf" TargetMode="External"/><Relationship Id="rId59" Type="http://schemas.openxmlformats.org/officeDocument/2006/relationships/hyperlink" Target="https://eur-lex.europa.eu/legal-content/EN/ALL/?uri=celex%3A32010D0685" TargetMode="External"/><Relationship Id="rId67" Type="http://schemas.openxmlformats.org/officeDocument/2006/relationships/hyperlink" Target="https://eur-lex.europa.eu/eli/reg/2017/460/oj" TargetMode="External"/><Relationship Id="rId20" Type="http://schemas.openxmlformats.org/officeDocument/2006/relationships/hyperlink" Target="http://ec.europa.eu/energy/en/topics/markets-and-consumers/market-legislation" TargetMode="External"/><Relationship Id="rId41" Type="http://schemas.openxmlformats.org/officeDocument/2006/relationships/hyperlink" Target="https://ec.europa.eu/info/sites/default/files/gass-services-mms20-ppt_en.pdf" TargetMode="External"/><Relationship Id="rId54" Type="http://schemas.openxmlformats.org/officeDocument/2006/relationships/hyperlink" Target="https://ec.europa.eu/energy/sites/ener/files/documents/2014_iem_communication_annex3.pdf" TargetMode="External"/><Relationship Id="rId62" Type="http://schemas.openxmlformats.org/officeDocument/2006/relationships/hyperlink" Target="https://eur-lex.europa.eu/eli/reg/2017/460/oj" TargetMode="External"/><Relationship Id="rId70" Type="http://schemas.openxmlformats.org/officeDocument/2006/relationships/hyperlink" Target="https://eur-lex.europa.eu/eli/dir/2018/2001/oj" TargetMode="External"/><Relationship Id="rId75" Type="http://schemas.openxmlformats.org/officeDocument/2006/relationships/hyperlink" Target="https://ec.europa.eu/energy/sites/ener/files/documents/20140122_acer_com_evaluation.pdf" TargetMode="External"/><Relationship Id="rId1" Type="http://schemas.openxmlformats.org/officeDocument/2006/relationships/hyperlink" Target="https://eur-lex.europa.eu/legal-content/EN/TXT/?uri=uriserv:OJ.L_.2019.117.01.0001.01.ENG" TargetMode="External"/><Relationship Id="rId6" Type="http://schemas.openxmlformats.org/officeDocument/2006/relationships/hyperlink" Target="https://ec.europa.eu/info/law/better-regulation/have-your-say/initiatives/12553-EU-renewable-energy-rules-review/public-consulta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d1dc7d28-6bcf-4a1a-af6d-4059a708f70a">EN</EC_Collab_DocumentLanguage>
    <EC_Collab_Status xmlns="d1dc7d28-6bcf-4a1a-af6d-4059a708f70a">Final</EC_Collab_Status>
    <EC_Collab_Reference xmlns="d1dc7d28-6bcf-4a1a-af6d-4059a708f70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DCD2378AE1BC242B2A2A95668DDC091" ma:contentTypeVersion="0" ma:contentTypeDescription="Create a new document in this library." ma:contentTypeScope="" ma:versionID="3321e9636e0abdb160b51536d0ee26c7">
  <xsd:schema xmlns:xsd="http://www.w3.org/2001/XMLSchema" xmlns:xs="http://www.w3.org/2001/XMLSchema" xmlns:p="http://schemas.microsoft.com/office/2006/metadata/properties" xmlns:ns2="http://schemas.microsoft.com/sharepoint/v3/fields" xmlns:ns3="d1dc7d28-6bcf-4a1a-af6d-4059a708f70a" targetNamespace="http://schemas.microsoft.com/office/2006/metadata/properties" ma:root="true" ma:fieldsID="b7df0c6091e60f646fe71820b538979d" ns2:_="" ns3:_="">
    <xsd:import namespace="http://schemas.microsoft.com/sharepoint/v3/fields"/>
    <xsd:import namespace="d1dc7d28-6bcf-4a1a-af6d-4059a708f70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1dc7d28-6bcf-4a1a-af6d-4059a708f70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B6086-92CC-401E-88BC-0128C0C68AEF}">
  <ds:schemaRefs>
    <ds:schemaRef ds:uri="http://schemas.microsoft.com/sharepoint/v3/contenttype/forms"/>
  </ds:schemaRefs>
</ds:datastoreItem>
</file>

<file path=customXml/itemProps2.xml><?xml version="1.0" encoding="utf-8"?>
<ds:datastoreItem xmlns:ds="http://schemas.openxmlformats.org/officeDocument/2006/customXml" ds:itemID="{5D0A0781-AB72-4420-B146-99A8643127E5}">
  <ds:schemaRefs>
    <ds:schemaRef ds:uri="http://schemas.microsoft.com/office/2006/metadata/properties"/>
    <ds:schemaRef ds:uri="http://schemas.microsoft.com/office/infopath/2007/PartnerControls"/>
    <ds:schemaRef ds:uri="http://schemas.microsoft.com/sharepoint/v3/fields"/>
    <ds:schemaRef ds:uri="d1dc7d28-6bcf-4a1a-af6d-4059a708f70a"/>
  </ds:schemaRefs>
</ds:datastoreItem>
</file>

<file path=customXml/itemProps3.xml><?xml version="1.0" encoding="utf-8"?>
<ds:datastoreItem xmlns:ds="http://schemas.openxmlformats.org/officeDocument/2006/customXml" ds:itemID="{4E7DAC28-618F-4F3E-8077-D1C22B048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1dc7d28-6bcf-4a1a-af6d-4059a708f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32B3BF-BFD8-4CAA-932D-EF7AC942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27365</Words>
  <Characters>152429</Characters>
  <Application>Microsoft Office Word</Application>
  <DocSecurity>0</DocSecurity>
  <Lines>2822</Lines>
  <Paragraphs>840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WADHWANIA Nadia (SG)</cp:lastModifiedBy>
  <cp:revision>31</cp:revision>
  <cp:lastPrinted>2016-11-23T11:18:00Z</cp:lastPrinted>
  <dcterms:created xsi:type="dcterms:W3CDTF">2021-12-10T17:53:00Z</dcterms:created>
  <dcterms:modified xsi:type="dcterms:W3CDTF">2021-12-14T17:08:00Z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Last edited using">
    <vt:lpwstr>LW 7.0.1, Build 20200226</vt:lpwstr>
  </property>
  <property fmtid="{D5CDD505-2E9C-101B-9397-08002B2CF9AE}" pid="7" name="_DocHome">
    <vt:i4>1118199936</vt:i4>
  </property>
  <property fmtid="{D5CDD505-2E9C-101B-9397-08002B2CF9AE}" pid="8" name="CPTemplateID">
    <vt:lpwstr>CP-053</vt:lpwstr>
  </property>
  <property fmtid="{D5CDD505-2E9C-101B-9397-08002B2CF9AE}" pid="9" name="_LW_INVALIDATED__LW_INVALIDATED__LW_INVALIDATED__LW_INVALIDATED__LW_INVALIDATED__LW_INVALIDATED__LW_INVALIDATED__LW_INVALIDATED__LW_INVALIDATED__LW_INVALIDATED__LW_INVALIDATED__LW_INVALIDATED_ContentTypeId">
    <vt:lpwstr>0x010100258AA79CEB83498886A3A08681123250000DCD2378AE1BC242B2A2A95668DDC091</vt:lpwstr>
  </property>
  <property fmtid="{D5CDD505-2E9C-101B-9397-08002B2CF9AE}" pid="10" name="_LW_INVALIDATED__LW_INVALIDATED__LW_INVALIDATED_ContentTypeId">
    <vt:lpwstr>0x010100258AA79CEB83498886A3A08681123250000DCD2378AE1BC242B2A2A95668DDC091</vt:lpwstr>
  </property>
</Properties>
</file>