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4767F" w14:textId="79C61BEA" w:rsidR="00A17AEC" w:rsidRPr="0096740E" w:rsidRDefault="0083770C" w:rsidP="0083770C">
      <w:pPr>
        <w:pStyle w:val="Pagedecouverture"/>
        <w:rPr>
          <w:noProof/>
        </w:rPr>
      </w:pPr>
      <w:r>
        <w:rPr>
          <w:noProof/>
        </w:rPr>
        <w:pict w14:anchorId="13010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04F2B6A-33C7-4081-B5CB-0EF4D25ECFF5" style="width:455.25pt;height:383.25pt">
            <v:imagedata r:id="rId8" o:title=""/>
          </v:shape>
        </w:pict>
      </w:r>
    </w:p>
    <w:p w14:paraId="5DC2F22D" w14:textId="77777777" w:rsidR="00A17AEC" w:rsidRPr="0096740E" w:rsidRDefault="00A17AEC" w:rsidP="00A17AEC">
      <w:pPr>
        <w:rPr>
          <w:noProof/>
        </w:rPr>
        <w:sectPr w:rsidR="00A17AEC" w:rsidRPr="0096740E" w:rsidSect="0083770C">
          <w:footerReference w:type="default" r:id="rId9"/>
          <w:pgSz w:w="11907" w:h="16839"/>
          <w:pgMar w:top="1134" w:right="1417" w:bottom="1134" w:left="1417" w:header="709" w:footer="709" w:gutter="0"/>
          <w:pgNumType w:start="0"/>
          <w:cols w:space="720"/>
          <w:docGrid w:linePitch="360"/>
        </w:sectPr>
      </w:pPr>
    </w:p>
    <w:p w14:paraId="1AD194EC" w14:textId="77777777" w:rsidR="00A17AEC" w:rsidRPr="0096740E" w:rsidRDefault="00A17AEC" w:rsidP="00E6118B">
      <w:pPr>
        <w:pStyle w:val="Exposdesmotifstitre"/>
        <w:rPr>
          <w:noProof/>
        </w:rPr>
      </w:pPr>
      <w:bookmarkStart w:id="0" w:name="_GoBack"/>
      <w:bookmarkEnd w:id="0"/>
      <w:r w:rsidRPr="0096740E">
        <w:rPr>
          <w:noProof/>
        </w:rPr>
        <w:lastRenderedPageBreak/>
        <w:t>EXPLANATORY MEMORANDUM</w:t>
      </w:r>
    </w:p>
    <w:p w14:paraId="754ADCC6" w14:textId="77777777" w:rsidR="00A17AEC" w:rsidRPr="0096740E" w:rsidRDefault="00A17AEC" w:rsidP="00E6118B">
      <w:pPr>
        <w:pStyle w:val="ManualHeading1"/>
        <w:rPr>
          <w:noProof/>
        </w:rPr>
      </w:pPr>
      <w:r w:rsidRPr="0096740E">
        <w:rPr>
          <w:noProof/>
        </w:rPr>
        <w:t>1.</w:t>
      </w:r>
      <w:r w:rsidRPr="0096740E">
        <w:rPr>
          <w:noProof/>
        </w:rPr>
        <w:tab/>
        <w:t>CONTEXT OF THE PROPOSAL</w:t>
      </w:r>
    </w:p>
    <w:p w14:paraId="54049D3A" w14:textId="77777777" w:rsidR="00794670" w:rsidRPr="0096740E" w:rsidRDefault="00A17AEC" w:rsidP="00794670">
      <w:pPr>
        <w:pStyle w:val="ManualHeading2"/>
        <w:rPr>
          <w:rFonts w:eastAsia="Arial Unicode MS"/>
          <w:noProof/>
        </w:rPr>
      </w:pPr>
      <w:r w:rsidRPr="0096740E">
        <w:rPr>
          <w:rFonts w:eastAsia="Arial Unicode MS"/>
          <w:noProof/>
          <w:color w:val="000000"/>
          <w:bdr w:val="nil"/>
          <w:lang w:val="en-US" w:eastAsia="en-GB"/>
        </w:rPr>
        <w:t>•</w:t>
      </w:r>
      <w:r w:rsidRPr="0096740E">
        <w:rPr>
          <w:rFonts w:eastAsia="Arial Unicode MS"/>
          <w:noProof/>
          <w:color w:val="000000"/>
          <w:u w:color="000000"/>
          <w:bdr w:val="nil"/>
          <w:lang w:val="en-US" w:eastAsia="en-GB"/>
        </w:rPr>
        <w:tab/>
      </w:r>
      <w:r w:rsidRPr="0096740E">
        <w:rPr>
          <w:rFonts w:eastAsia="Arial Unicode MS"/>
          <w:noProof/>
        </w:rPr>
        <w:t>Reasons for and objectives of the proposal</w:t>
      </w:r>
    </w:p>
    <w:p w14:paraId="5010994E"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noProof/>
        </w:rPr>
        <w:t>The European Green Deal</w:t>
      </w:r>
      <w:r w:rsidR="00F61F3A" w:rsidRPr="0096740E">
        <w:rPr>
          <w:rStyle w:val="FootnoteReference"/>
          <w:rFonts w:eastAsia="Arial Unicode MS"/>
          <w:noProof/>
        </w:rPr>
        <w:footnoteReference w:id="2"/>
      </w:r>
      <w:r w:rsidRPr="0096740E">
        <w:rPr>
          <w:rFonts w:eastAsia="Arial Unicode MS"/>
          <w:noProof/>
        </w:rPr>
        <w:t xml:space="preserve"> </w:t>
      </w:r>
      <w:r w:rsidRPr="0096740E" w:rsidDel="008C3E10">
        <w:rPr>
          <w:rFonts w:eastAsia="Arial Unicode MS"/>
          <w:noProof/>
        </w:rPr>
        <w:t xml:space="preserve">(‘the Green Deal’) </w:t>
      </w:r>
      <w:r w:rsidRPr="0096740E">
        <w:rPr>
          <w:rFonts w:eastAsia="Arial Unicode MS"/>
          <w:noProof/>
        </w:rPr>
        <w:t xml:space="preserve">launched a new strategy to transform the European Union into a sustainable, fair and prosperous society, with a modern, </w:t>
      </w:r>
      <w:r w:rsidR="000E18EF" w:rsidRPr="0096740E">
        <w:rPr>
          <w:rFonts w:eastAsia="Arial Unicode MS"/>
          <w:noProof/>
        </w:rPr>
        <w:t xml:space="preserve">circular </w:t>
      </w:r>
      <w:r w:rsidRPr="0096740E">
        <w:rPr>
          <w:rFonts w:eastAsia="Arial Unicode MS"/>
          <w:noProof/>
        </w:rPr>
        <w:t>and competitive economy</w:t>
      </w:r>
      <w:r w:rsidR="00E720F4" w:rsidRPr="0096740E">
        <w:rPr>
          <w:rFonts w:eastAsia="Arial Unicode MS"/>
          <w:noProof/>
        </w:rPr>
        <w:t xml:space="preserve"> and </w:t>
      </w:r>
      <w:r w:rsidR="006648E4" w:rsidRPr="0096740E">
        <w:rPr>
          <w:rFonts w:eastAsia="Arial Unicode MS"/>
          <w:noProof/>
        </w:rPr>
        <w:t>zero</w:t>
      </w:r>
      <w:r w:rsidRPr="0096740E">
        <w:rPr>
          <w:rFonts w:eastAsia="Arial Unicode MS"/>
          <w:noProof/>
        </w:rPr>
        <w:t xml:space="preserve"> net emissions of greenhouse gases in 2050. It </w:t>
      </w:r>
      <w:r w:rsidR="00315861" w:rsidRPr="0096740E">
        <w:rPr>
          <w:rFonts w:eastAsia="Arial Unicode MS"/>
          <w:noProof/>
        </w:rPr>
        <w:t xml:space="preserve">underlines </w:t>
      </w:r>
      <w:r w:rsidRPr="0096740E">
        <w:rPr>
          <w:rFonts w:eastAsia="Arial Unicode MS"/>
          <w:noProof/>
        </w:rPr>
        <w:t xml:space="preserve">the Commission’s commitment to tackle climate change and </w:t>
      </w:r>
      <w:r w:rsidR="00E52486" w:rsidRPr="0096740E">
        <w:rPr>
          <w:rFonts w:eastAsia="Arial Unicode MS"/>
          <w:noProof/>
        </w:rPr>
        <w:t xml:space="preserve">environmental degradation </w:t>
      </w:r>
      <w:r w:rsidRPr="0096740E">
        <w:rPr>
          <w:rFonts w:eastAsia="Arial Unicode MS"/>
          <w:noProof/>
        </w:rPr>
        <w:t>and to deliver on the objectives adopted under the United Nations Framework Convention on Climate Change (the ‘Paris Agreement’) to keep the global temperature increase well below 2°C and pursue efforts to keep it to 1.5°C.</w:t>
      </w:r>
      <w:r w:rsidR="002C4191" w:rsidRPr="0096740E">
        <w:rPr>
          <w:rFonts w:eastAsia="Arial Unicode MS"/>
          <w:noProof/>
        </w:rPr>
        <w:t xml:space="preserve"> </w:t>
      </w:r>
      <w:r w:rsidR="00F11A41" w:rsidRPr="0096740E">
        <w:rPr>
          <w:rFonts w:eastAsia="Arial Unicode MS"/>
          <w:noProof/>
        </w:rPr>
        <w:t>T</w:t>
      </w:r>
      <w:r w:rsidR="002C4191" w:rsidRPr="0096740E">
        <w:rPr>
          <w:rFonts w:eastAsia="Arial Unicode MS"/>
          <w:noProof/>
        </w:rPr>
        <w:t xml:space="preserve">he cost of non-action </w:t>
      </w:r>
      <w:r w:rsidR="00572439" w:rsidRPr="0096740E">
        <w:rPr>
          <w:rFonts w:eastAsia="Arial Unicode MS"/>
          <w:noProof/>
        </w:rPr>
        <w:t xml:space="preserve">on </w:t>
      </w:r>
      <w:r w:rsidR="002C4191" w:rsidRPr="0096740E">
        <w:rPr>
          <w:rFonts w:eastAsia="Arial Unicode MS"/>
          <w:noProof/>
        </w:rPr>
        <w:t xml:space="preserve">climate </w:t>
      </w:r>
      <w:r w:rsidR="00572439" w:rsidRPr="0096740E">
        <w:rPr>
          <w:rFonts w:eastAsia="Arial Unicode MS"/>
          <w:noProof/>
        </w:rPr>
        <w:t xml:space="preserve">and environmental </w:t>
      </w:r>
      <w:r w:rsidR="002C4191" w:rsidRPr="0096740E">
        <w:rPr>
          <w:rFonts w:eastAsia="Arial Unicode MS"/>
          <w:noProof/>
        </w:rPr>
        <w:t xml:space="preserve">policy would be immense for </w:t>
      </w:r>
      <w:r w:rsidR="00CC64A8" w:rsidRPr="0096740E">
        <w:rPr>
          <w:rFonts w:eastAsia="Arial Unicode MS"/>
          <w:noProof/>
        </w:rPr>
        <w:t>people</w:t>
      </w:r>
      <w:r w:rsidR="002C4191" w:rsidRPr="0096740E">
        <w:rPr>
          <w:rFonts w:eastAsia="Arial Unicode MS"/>
          <w:noProof/>
        </w:rPr>
        <w:t xml:space="preserve">, in particular </w:t>
      </w:r>
      <w:r w:rsidR="00572439" w:rsidRPr="0096740E">
        <w:rPr>
          <w:rFonts w:eastAsia="Arial Unicode MS"/>
          <w:noProof/>
        </w:rPr>
        <w:t xml:space="preserve">those in </w:t>
      </w:r>
      <w:r w:rsidR="002C4191" w:rsidRPr="0096740E">
        <w:rPr>
          <w:rFonts w:eastAsia="Arial Unicode MS"/>
          <w:noProof/>
        </w:rPr>
        <w:t>vulnerable</w:t>
      </w:r>
      <w:r w:rsidR="002C4191" w:rsidRPr="0096740E" w:rsidDel="00CC64A8">
        <w:rPr>
          <w:rFonts w:eastAsia="Arial Unicode MS"/>
          <w:noProof/>
        </w:rPr>
        <w:t xml:space="preserve"> </w:t>
      </w:r>
      <w:r w:rsidR="00572439" w:rsidRPr="0096740E">
        <w:rPr>
          <w:rFonts w:eastAsia="Arial Unicode MS"/>
          <w:noProof/>
        </w:rPr>
        <w:t>situations</w:t>
      </w:r>
      <w:r w:rsidR="002C4191" w:rsidRPr="0096740E">
        <w:rPr>
          <w:rFonts w:eastAsia="Arial Unicode MS"/>
          <w:noProof/>
        </w:rPr>
        <w:t xml:space="preserve">, in terms of </w:t>
      </w:r>
      <w:r w:rsidR="00E720F4" w:rsidRPr="0096740E">
        <w:rPr>
          <w:rFonts w:eastAsia="Arial Unicode MS"/>
          <w:noProof/>
        </w:rPr>
        <w:t xml:space="preserve">living standards, </w:t>
      </w:r>
      <w:r w:rsidR="002C4191" w:rsidRPr="0096740E">
        <w:rPr>
          <w:rFonts w:eastAsia="Arial Unicode MS"/>
          <w:noProof/>
        </w:rPr>
        <w:t xml:space="preserve">health and wellbeing. </w:t>
      </w:r>
      <w:r w:rsidR="00191936" w:rsidRPr="0096740E">
        <w:rPr>
          <w:noProof/>
        </w:rPr>
        <w:t>With a view to the path to net zero</w:t>
      </w:r>
      <w:r w:rsidR="00BE4391" w:rsidRPr="0096740E">
        <w:rPr>
          <w:noProof/>
        </w:rPr>
        <w:t xml:space="preserve"> emissions</w:t>
      </w:r>
      <w:r w:rsidR="00191936" w:rsidRPr="0096740E">
        <w:rPr>
          <w:noProof/>
        </w:rPr>
        <w:t xml:space="preserve">, </w:t>
      </w:r>
      <w:r w:rsidR="00BB3A60" w:rsidRPr="0096740E">
        <w:rPr>
          <w:noProof/>
        </w:rPr>
        <w:t xml:space="preserve">the need for a fair transition is an integral part of the </w:t>
      </w:r>
      <w:r w:rsidR="00CC64A8" w:rsidRPr="0096740E">
        <w:rPr>
          <w:noProof/>
        </w:rPr>
        <w:t xml:space="preserve">Green Deal </w:t>
      </w:r>
      <w:r w:rsidR="00BB3A60" w:rsidRPr="0096740E">
        <w:rPr>
          <w:noProof/>
        </w:rPr>
        <w:t>which underlined</w:t>
      </w:r>
      <w:r w:rsidR="00CC64A8" w:rsidRPr="0096740E">
        <w:rPr>
          <w:noProof/>
        </w:rPr>
        <w:t xml:space="preserve"> that no person and no place should be left behind.</w:t>
      </w:r>
    </w:p>
    <w:p w14:paraId="27D61A02" w14:textId="28F0535C"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In June 2021, the Council of the European Union and the European Parliament adopted</w:t>
      </w:r>
      <w:r w:rsidR="002C4191" w:rsidRPr="0096740E">
        <w:rPr>
          <w:rFonts w:eastAsia="Arial Unicode MS"/>
          <w:noProof/>
        </w:rPr>
        <w:t xml:space="preserve"> </w:t>
      </w:r>
      <w:r w:rsidRPr="0096740E">
        <w:rPr>
          <w:rFonts w:eastAsia="Arial Unicode MS"/>
          <w:noProof/>
        </w:rPr>
        <w:t>the ‘European Climate Law’</w:t>
      </w:r>
      <w:r w:rsidR="00616CBD" w:rsidRPr="0096740E">
        <w:rPr>
          <w:rStyle w:val="FootnoteReference"/>
          <w:rFonts w:eastAsia="Arial Unicode MS"/>
          <w:noProof/>
        </w:rPr>
        <w:footnoteReference w:id="3"/>
      </w:r>
      <w:r w:rsidRPr="0096740E">
        <w:rPr>
          <w:rFonts w:eastAsia="Arial Unicode MS"/>
          <w:noProof/>
        </w:rPr>
        <w:t>, which sets out the binding objective of climate neutrality in the Union by 2050</w:t>
      </w:r>
      <w:r w:rsidRPr="0096740E">
        <w:rPr>
          <w:rStyle w:val="FootnoteReference"/>
          <w:rFonts w:eastAsia="Arial Unicode MS"/>
          <w:noProof/>
        </w:rPr>
        <w:footnoteReference w:id="4"/>
      </w:r>
      <w:r w:rsidRPr="0096740E">
        <w:rPr>
          <w:rFonts w:eastAsia="Arial Unicode MS"/>
          <w:noProof/>
        </w:rPr>
        <w:t xml:space="preserve">, and a binding intermediate target of a net domestic reduction in greenhouse gas emissions of </w:t>
      </w:r>
      <w:r w:rsidR="00E87757" w:rsidRPr="0096740E">
        <w:rPr>
          <w:rFonts w:eastAsia="Arial Unicode MS"/>
          <w:noProof/>
        </w:rPr>
        <w:t xml:space="preserve">at least </w:t>
      </w:r>
      <w:r w:rsidRPr="0096740E">
        <w:rPr>
          <w:rFonts w:eastAsia="Arial Unicode MS"/>
          <w:noProof/>
        </w:rPr>
        <w:t>55% compared to 1990 levels by 2030. To deliver on th</w:t>
      </w:r>
      <w:r w:rsidR="00191936" w:rsidRPr="0096740E">
        <w:rPr>
          <w:rFonts w:eastAsia="Arial Unicode MS"/>
          <w:noProof/>
        </w:rPr>
        <w:t>ese</w:t>
      </w:r>
      <w:r w:rsidRPr="0096740E">
        <w:rPr>
          <w:rFonts w:eastAsia="Arial Unicode MS"/>
          <w:noProof/>
        </w:rPr>
        <w:t xml:space="preserve"> target</w:t>
      </w:r>
      <w:r w:rsidR="00191936" w:rsidRPr="0096740E">
        <w:rPr>
          <w:rFonts w:eastAsia="Arial Unicode MS"/>
          <w:noProof/>
        </w:rPr>
        <w:t>s</w:t>
      </w:r>
      <w:r w:rsidRPr="0096740E">
        <w:rPr>
          <w:rFonts w:eastAsia="Arial Unicode MS"/>
          <w:noProof/>
        </w:rPr>
        <w:t xml:space="preserve">, the Commission proposed the ‘Fit for 55’ legislative package in July 2021. The package </w:t>
      </w:r>
      <w:r w:rsidR="00191936" w:rsidRPr="0096740E">
        <w:rPr>
          <w:rFonts w:eastAsia="Arial Unicode MS"/>
          <w:noProof/>
        </w:rPr>
        <w:t>comprises</w:t>
      </w:r>
      <w:r w:rsidR="00CC64A8" w:rsidRPr="0096740E">
        <w:rPr>
          <w:rFonts w:eastAsia="Arial Unicode MS"/>
          <w:noProof/>
        </w:rPr>
        <w:t xml:space="preserve"> a coherent set of measures</w:t>
      </w:r>
      <w:r w:rsidRPr="0096740E">
        <w:rPr>
          <w:rFonts w:eastAsia="Arial Unicode MS"/>
          <w:noProof/>
        </w:rPr>
        <w:t xml:space="preserve"> </w:t>
      </w:r>
      <w:r w:rsidR="00CC64A8" w:rsidRPr="0096740E">
        <w:rPr>
          <w:rFonts w:eastAsia="Arial Unicode MS"/>
          <w:noProof/>
        </w:rPr>
        <w:t xml:space="preserve">in legislative </w:t>
      </w:r>
      <w:r w:rsidRPr="0096740E" w:rsidDel="00CC64A8">
        <w:rPr>
          <w:rFonts w:eastAsia="Arial Unicode MS"/>
          <w:noProof/>
        </w:rPr>
        <w:t>proposals</w:t>
      </w:r>
      <w:r w:rsidRPr="0096740E">
        <w:rPr>
          <w:rFonts w:eastAsia="Arial Unicode MS"/>
          <w:noProof/>
        </w:rPr>
        <w:t>.</w:t>
      </w:r>
      <w:r w:rsidR="00924580" w:rsidRPr="0096740E">
        <w:rPr>
          <w:rFonts w:eastAsia="Arial Unicode MS"/>
          <w:noProof/>
        </w:rPr>
        <w:t xml:space="preserve"> </w:t>
      </w:r>
      <w:r w:rsidR="00CC64A8" w:rsidRPr="0096740E">
        <w:rPr>
          <w:rFonts w:eastAsia="Arial Unicode MS"/>
          <w:noProof/>
        </w:rPr>
        <w:t>Among these</w:t>
      </w:r>
      <w:r w:rsidR="00924580" w:rsidRPr="0096740E">
        <w:rPr>
          <w:rFonts w:eastAsia="Arial Unicode MS"/>
          <w:noProof/>
        </w:rPr>
        <w:t>, the package puts forward a proposal for establishing a new Social Climate Fund</w:t>
      </w:r>
      <w:r w:rsidR="0045304C">
        <w:rPr>
          <w:rStyle w:val="FootnoteReference"/>
          <w:rFonts w:eastAsia="Arial Unicode MS"/>
          <w:noProof/>
        </w:rPr>
        <w:footnoteReference w:id="5"/>
      </w:r>
      <w:r w:rsidR="0045304C">
        <w:rPr>
          <w:rFonts w:eastAsia="Arial Unicode MS"/>
          <w:noProof/>
        </w:rPr>
        <w:t xml:space="preserve"> </w:t>
      </w:r>
      <w:r w:rsidR="00924580" w:rsidRPr="0096740E">
        <w:rPr>
          <w:rFonts w:eastAsia="Arial Unicode MS"/>
          <w:noProof/>
        </w:rPr>
        <w:t>of EUR 72.2 billion for the period 2025-2032 to support vulnerable households, transport users and micro-enterprises</w:t>
      </w:r>
      <w:r w:rsidR="00924580" w:rsidRPr="0096740E" w:rsidDel="000D31E6">
        <w:rPr>
          <w:rFonts w:eastAsia="Arial Unicode MS"/>
          <w:noProof/>
        </w:rPr>
        <w:t xml:space="preserve"> </w:t>
      </w:r>
      <w:r w:rsidR="00924580" w:rsidRPr="0096740E">
        <w:rPr>
          <w:rFonts w:eastAsia="Arial Unicode MS"/>
          <w:noProof/>
        </w:rPr>
        <w:t xml:space="preserve">affected by the introduction of emissions trading </w:t>
      </w:r>
      <w:r w:rsidR="00F81F52" w:rsidRPr="0096740E">
        <w:rPr>
          <w:rFonts w:eastAsia="Arial Unicode MS"/>
          <w:noProof/>
        </w:rPr>
        <w:t xml:space="preserve">for fuels used in </w:t>
      </w:r>
      <w:r w:rsidR="00924580" w:rsidRPr="0096740E">
        <w:rPr>
          <w:rFonts w:eastAsia="Arial Unicode MS"/>
          <w:noProof/>
        </w:rPr>
        <w:t>road transport and buildings.</w:t>
      </w:r>
    </w:p>
    <w:p w14:paraId="5BB07BF1" w14:textId="702A846D" w:rsidR="004F28DB" w:rsidRPr="0096740E" w:rsidRDefault="00002649" w:rsidP="008C3E10">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Fairness and solidarity are defining principles of the European Green Deal. </w:t>
      </w:r>
      <w:r w:rsidR="00CC64A8" w:rsidRPr="0096740E">
        <w:rPr>
          <w:rFonts w:eastAsia="Arial Unicode MS"/>
          <w:noProof/>
        </w:rPr>
        <w:t>At the international level, Member States have endorsed in particular the UN Sustainable Development Goals and the Pa</w:t>
      </w:r>
      <w:r w:rsidR="008742B3">
        <w:rPr>
          <w:rFonts w:eastAsia="Arial Unicode MS"/>
          <w:noProof/>
        </w:rPr>
        <w:t xml:space="preserve">ris Agreement, which refers to </w:t>
      </w:r>
      <w:r w:rsidR="008742B3" w:rsidRPr="008742B3">
        <w:rPr>
          <w:rFonts w:eastAsia="Arial Unicode MS"/>
          <w:noProof/>
          <w:lang w:val="en-US"/>
        </w:rPr>
        <w:t>‘</w:t>
      </w:r>
      <w:r w:rsidR="00CC64A8" w:rsidRPr="0096740E">
        <w:rPr>
          <w:rFonts w:eastAsia="Arial Unicode MS"/>
          <w:i/>
          <w:noProof/>
        </w:rPr>
        <w:t>the imperatives of a just transition of the workforce and the creation of decent work and quality jobs</w:t>
      </w:r>
      <w:r w:rsidR="008742B3" w:rsidRPr="008742B3">
        <w:rPr>
          <w:rFonts w:eastAsia="Arial Unicode MS"/>
          <w:i/>
          <w:noProof/>
          <w:lang w:val="en-US"/>
        </w:rPr>
        <w:t>’</w:t>
      </w:r>
      <w:r w:rsidR="00CC64A8" w:rsidRPr="0096740E">
        <w:rPr>
          <w:rFonts w:eastAsia="Arial Unicode MS"/>
          <w:noProof/>
        </w:rPr>
        <w:t>. This is confirmed and i</w:t>
      </w:r>
      <w:r w:rsidRPr="0096740E">
        <w:rPr>
          <w:rFonts w:eastAsia="Arial Unicode MS"/>
          <w:noProof/>
        </w:rPr>
        <w:t>n line with Article 2(1) of the Paris Agreement, the European Council’s Strategic Agenda 2019-</w:t>
      </w:r>
      <w:r w:rsidR="004F09F8" w:rsidRPr="0096740E">
        <w:rPr>
          <w:rFonts w:eastAsia="Arial Unicode MS"/>
          <w:noProof/>
        </w:rPr>
        <w:t>20</w:t>
      </w:r>
      <w:r w:rsidRPr="0096740E">
        <w:rPr>
          <w:rFonts w:eastAsia="Arial Unicode MS"/>
          <w:noProof/>
        </w:rPr>
        <w:t>24 and Article 2(2) of the European Climate Law, as well as the European Pillar of Social Rights</w:t>
      </w:r>
      <w:r w:rsidR="00A674FF" w:rsidRPr="0096740E">
        <w:rPr>
          <w:rFonts w:eastAsia="Arial Unicode MS"/>
          <w:noProof/>
        </w:rPr>
        <w:t>.</w:t>
      </w:r>
      <w:r w:rsidR="00503F2F" w:rsidRPr="0096740E">
        <w:rPr>
          <w:rFonts w:eastAsia="Arial Unicode MS"/>
          <w:noProof/>
        </w:rPr>
        <w:t xml:space="preserve"> The </w:t>
      </w:r>
      <w:r w:rsidR="00E87757" w:rsidRPr="0096740E">
        <w:rPr>
          <w:rFonts w:eastAsia="Arial Unicode MS"/>
          <w:noProof/>
        </w:rPr>
        <w:t>International Labour Organisation (</w:t>
      </w:r>
      <w:r w:rsidR="00503F2F" w:rsidRPr="0096740E">
        <w:rPr>
          <w:rFonts w:eastAsia="Arial Unicode MS"/>
          <w:noProof/>
        </w:rPr>
        <w:t>ILO</w:t>
      </w:r>
      <w:r w:rsidR="00E87757" w:rsidRPr="0096740E">
        <w:rPr>
          <w:rFonts w:eastAsia="Arial Unicode MS"/>
          <w:noProof/>
        </w:rPr>
        <w:t>)</w:t>
      </w:r>
      <w:r w:rsidR="00503F2F" w:rsidRPr="0096740E">
        <w:rPr>
          <w:rFonts w:eastAsia="Arial Unicode MS"/>
          <w:noProof/>
        </w:rPr>
        <w:t xml:space="preserve"> Guidelines for a just transition towards environmentally sustainable economies and societies for all</w:t>
      </w:r>
      <w:r w:rsidR="00CC64A8" w:rsidRPr="0096740E">
        <w:rPr>
          <w:rFonts w:eastAsia="Arial Unicode MS"/>
          <w:noProof/>
        </w:rPr>
        <w:t xml:space="preserve"> also</w:t>
      </w:r>
      <w:r w:rsidR="00503F2F" w:rsidRPr="0096740E">
        <w:rPr>
          <w:rFonts w:eastAsia="Arial Unicode MS"/>
          <w:noProof/>
        </w:rPr>
        <w:t xml:space="preserve"> provide an internationally established policy framework for a just transition. Furthermore, Member States and social partners endorsed the 2018 </w:t>
      </w:r>
      <w:r w:rsidR="00503F2F" w:rsidRPr="007B78F7">
        <w:rPr>
          <w:rFonts w:eastAsia="Arial Unicode MS"/>
          <w:noProof/>
        </w:rPr>
        <w:t>Solidarity and Just Transition Silesia</w:t>
      </w:r>
      <w:r w:rsidR="00E720F4" w:rsidRPr="0096740E">
        <w:rPr>
          <w:rFonts w:eastAsia="Arial Unicode MS"/>
          <w:noProof/>
        </w:rPr>
        <w:t xml:space="preserve"> Declaration</w:t>
      </w:r>
      <w:r w:rsidR="00503F2F" w:rsidRPr="0096740E">
        <w:rPr>
          <w:rFonts w:eastAsia="Arial Unicode MS"/>
          <w:noProof/>
        </w:rPr>
        <w:t xml:space="preserve">, adopted at COP-24 in Katowice, and the 2021 Declaration on </w:t>
      </w:r>
      <w:r w:rsidR="00503F2F" w:rsidRPr="007B78F7">
        <w:rPr>
          <w:rFonts w:eastAsia="Arial Unicode MS"/>
          <w:noProof/>
        </w:rPr>
        <w:t xml:space="preserve">Supporting </w:t>
      </w:r>
      <w:r w:rsidR="00616CBD" w:rsidRPr="007B78F7">
        <w:rPr>
          <w:rFonts w:eastAsia="Arial Unicode MS"/>
          <w:noProof/>
        </w:rPr>
        <w:t xml:space="preserve">the </w:t>
      </w:r>
      <w:r w:rsidR="00503F2F" w:rsidRPr="007B78F7">
        <w:rPr>
          <w:rFonts w:eastAsia="Arial Unicode MS"/>
          <w:noProof/>
        </w:rPr>
        <w:t xml:space="preserve">Conditions </w:t>
      </w:r>
      <w:r w:rsidR="00616CBD" w:rsidRPr="007B78F7">
        <w:rPr>
          <w:rFonts w:eastAsia="Arial Unicode MS"/>
          <w:noProof/>
        </w:rPr>
        <w:t xml:space="preserve">for a </w:t>
      </w:r>
      <w:r w:rsidR="00503F2F" w:rsidRPr="007B78F7">
        <w:rPr>
          <w:rFonts w:eastAsia="Arial Unicode MS"/>
          <w:noProof/>
        </w:rPr>
        <w:t>Just Transition Internationally</w:t>
      </w:r>
      <w:r w:rsidR="00503F2F" w:rsidRPr="0096740E">
        <w:rPr>
          <w:rFonts w:eastAsia="Arial Unicode MS"/>
          <w:noProof/>
        </w:rPr>
        <w:t>, adopted at COP-26 in Glasgow.</w:t>
      </w:r>
      <w:r w:rsidR="00A674FF" w:rsidRPr="0096740E">
        <w:rPr>
          <w:rFonts w:eastAsia="Arial Unicode MS"/>
          <w:noProof/>
        </w:rPr>
        <w:t xml:space="preserve"> </w:t>
      </w:r>
    </w:p>
    <w:p w14:paraId="1C8FB5C1" w14:textId="77777777" w:rsidR="001F2F5D" w:rsidRPr="0096740E" w:rsidRDefault="00191936" w:rsidP="009C2412">
      <w:pPr>
        <w:rPr>
          <w:rFonts w:eastAsia="Calibri"/>
          <w:noProof/>
          <w:szCs w:val="24"/>
        </w:rPr>
      </w:pPr>
      <w:r w:rsidRPr="0096740E">
        <w:rPr>
          <w:noProof/>
        </w:rPr>
        <w:t xml:space="preserve">Policy actions to support people and their </w:t>
      </w:r>
      <w:r w:rsidR="006B751F" w:rsidRPr="0096740E">
        <w:rPr>
          <w:noProof/>
        </w:rPr>
        <w:t xml:space="preserve">active </w:t>
      </w:r>
      <w:r w:rsidRPr="0096740E">
        <w:rPr>
          <w:noProof/>
        </w:rPr>
        <w:t xml:space="preserve">participation </w:t>
      </w:r>
      <w:r w:rsidR="00045175" w:rsidRPr="0096740E">
        <w:rPr>
          <w:noProof/>
        </w:rPr>
        <w:t>are required for a successful green transition</w:t>
      </w:r>
      <w:r w:rsidR="006B751F" w:rsidRPr="0096740E">
        <w:rPr>
          <w:noProof/>
        </w:rPr>
        <w:t>.</w:t>
      </w:r>
      <w:r w:rsidR="00045175" w:rsidRPr="0096740E">
        <w:rPr>
          <w:noProof/>
        </w:rPr>
        <w:t xml:space="preserve"> </w:t>
      </w:r>
      <w:r w:rsidR="004F28DB" w:rsidRPr="0096740E">
        <w:rPr>
          <w:noProof/>
        </w:rPr>
        <w:t>The vision for a fair transition towards a strong</w:t>
      </w:r>
      <w:r w:rsidR="003551B2" w:rsidRPr="0096740E">
        <w:rPr>
          <w:noProof/>
        </w:rPr>
        <w:t>, climate-neutral</w:t>
      </w:r>
      <w:r w:rsidR="004F28DB" w:rsidRPr="0096740E">
        <w:rPr>
          <w:noProof/>
        </w:rPr>
        <w:t xml:space="preserve"> Social Europe </w:t>
      </w:r>
      <w:r w:rsidR="00CF686E" w:rsidRPr="0096740E">
        <w:rPr>
          <w:noProof/>
        </w:rPr>
        <w:t>reflects</w:t>
      </w:r>
      <w:r w:rsidR="004F28DB" w:rsidRPr="0096740E">
        <w:rPr>
          <w:noProof/>
        </w:rPr>
        <w:t xml:space="preserve"> the 20 principles of the European Pillar of Social Rights</w:t>
      </w:r>
      <w:r w:rsidR="00002649" w:rsidRPr="0096740E">
        <w:rPr>
          <w:noProof/>
        </w:rPr>
        <w:t xml:space="preserve">, which </w:t>
      </w:r>
      <w:r w:rsidR="004F28DB" w:rsidRPr="0096740E">
        <w:rPr>
          <w:noProof/>
        </w:rPr>
        <w:t xml:space="preserve">were </w:t>
      </w:r>
      <w:r w:rsidR="00002649" w:rsidRPr="0096740E">
        <w:rPr>
          <w:noProof/>
        </w:rPr>
        <w:t>proclaimed at the Gothenburg Summit in November 2017</w:t>
      </w:r>
      <w:r w:rsidR="00A674FF" w:rsidRPr="0096740E">
        <w:rPr>
          <w:noProof/>
        </w:rPr>
        <w:t>,</w:t>
      </w:r>
      <w:r w:rsidR="009072CF" w:rsidRPr="0096740E">
        <w:rPr>
          <w:noProof/>
        </w:rPr>
        <w:t xml:space="preserve"> </w:t>
      </w:r>
      <w:r w:rsidR="004F28DB" w:rsidRPr="0096740E">
        <w:rPr>
          <w:noProof/>
        </w:rPr>
        <w:t xml:space="preserve">and comprise the </w:t>
      </w:r>
      <w:r w:rsidR="006E2409" w:rsidRPr="0096740E">
        <w:rPr>
          <w:noProof/>
        </w:rPr>
        <w:t>‘</w:t>
      </w:r>
      <w:r w:rsidR="004F28DB" w:rsidRPr="0096740E">
        <w:rPr>
          <w:noProof/>
        </w:rPr>
        <w:t>social rulebook</w:t>
      </w:r>
      <w:r w:rsidR="006E2409" w:rsidRPr="0096740E">
        <w:rPr>
          <w:noProof/>
        </w:rPr>
        <w:t>’</w:t>
      </w:r>
      <w:r w:rsidR="009072CF" w:rsidRPr="0096740E">
        <w:rPr>
          <w:noProof/>
        </w:rPr>
        <w:t xml:space="preserve"> for fair and well-functioning labour markets and welfare systems in 21st century Europe</w:t>
      </w:r>
      <w:r w:rsidR="00002649" w:rsidRPr="0096740E">
        <w:rPr>
          <w:noProof/>
        </w:rPr>
        <w:t xml:space="preserve">. </w:t>
      </w:r>
      <w:r w:rsidR="004F28DB" w:rsidRPr="0096740E">
        <w:rPr>
          <w:noProof/>
        </w:rPr>
        <w:t xml:space="preserve">The implementation of the Pillar will </w:t>
      </w:r>
      <w:r w:rsidR="00CF686E" w:rsidRPr="0096740E">
        <w:rPr>
          <w:noProof/>
        </w:rPr>
        <w:t>support</w:t>
      </w:r>
      <w:r w:rsidR="004F28DB" w:rsidRPr="0096740E">
        <w:rPr>
          <w:noProof/>
        </w:rPr>
        <w:t xml:space="preserve"> a fair transition, which is key for ensuring social cohesion. </w:t>
      </w:r>
      <w:r w:rsidR="009072CF" w:rsidRPr="0096740E">
        <w:rPr>
          <w:noProof/>
        </w:rPr>
        <w:t>T</w:t>
      </w:r>
      <w:r w:rsidR="00002649" w:rsidRPr="0096740E">
        <w:rPr>
          <w:noProof/>
        </w:rPr>
        <w:t xml:space="preserve">he </w:t>
      </w:r>
      <w:r w:rsidR="0085232B" w:rsidRPr="0096740E">
        <w:rPr>
          <w:noProof/>
        </w:rPr>
        <w:t xml:space="preserve">European Pillar of Social Rights </w:t>
      </w:r>
      <w:r w:rsidR="00002649" w:rsidRPr="0096740E">
        <w:rPr>
          <w:noProof/>
        </w:rPr>
        <w:t>Action Plan</w:t>
      </w:r>
      <w:r w:rsidR="00616CBD" w:rsidRPr="0096740E">
        <w:rPr>
          <w:rStyle w:val="FootnoteReference"/>
          <w:noProof/>
        </w:rPr>
        <w:footnoteReference w:id="6"/>
      </w:r>
      <w:r w:rsidR="009072CF" w:rsidRPr="0096740E">
        <w:rPr>
          <w:noProof/>
        </w:rPr>
        <w:t xml:space="preserve"> </w:t>
      </w:r>
      <w:r w:rsidR="00002649" w:rsidRPr="0096740E">
        <w:rPr>
          <w:noProof/>
        </w:rPr>
        <w:t xml:space="preserve">aims </w:t>
      </w:r>
      <w:r w:rsidR="00E720F4" w:rsidRPr="0096740E">
        <w:rPr>
          <w:noProof/>
        </w:rPr>
        <w:t>at</w:t>
      </w:r>
      <w:r w:rsidR="00002649" w:rsidRPr="0096740E">
        <w:rPr>
          <w:noProof/>
        </w:rPr>
        <w:t xml:space="preserve"> </w:t>
      </w:r>
      <w:r w:rsidR="0085232B" w:rsidRPr="0096740E">
        <w:rPr>
          <w:noProof/>
        </w:rPr>
        <w:t>rallying forces at all levels to turn</w:t>
      </w:r>
      <w:r w:rsidR="00002649" w:rsidRPr="0096740E">
        <w:rPr>
          <w:noProof/>
        </w:rPr>
        <w:t xml:space="preserve"> the principles into concrete actions</w:t>
      </w:r>
      <w:r w:rsidR="0085232B" w:rsidRPr="0096740E">
        <w:rPr>
          <w:noProof/>
        </w:rPr>
        <w:t xml:space="preserve">. It sets </w:t>
      </w:r>
      <w:r w:rsidR="00002649" w:rsidRPr="0096740E">
        <w:rPr>
          <w:noProof/>
        </w:rPr>
        <w:t xml:space="preserve">three EU headline targets for 2030 in the areas of employment, skills, and </w:t>
      </w:r>
      <w:r w:rsidR="0085232B" w:rsidRPr="0096740E">
        <w:rPr>
          <w:noProof/>
        </w:rPr>
        <w:t xml:space="preserve">poverty reduction, which were </w:t>
      </w:r>
      <w:r w:rsidR="00002649" w:rsidRPr="0096740E">
        <w:rPr>
          <w:noProof/>
        </w:rPr>
        <w:t xml:space="preserve">welcomed by EU leaders in the Porto Declaration of May and </w:t>
      </w:r>
      <w:r w:rsidR="00D07472" w:rsidRPr="0096740E">
        <w:rPr>
          <w:noProof/>
        </w:rPr>
        <w:t>by</w:t>
      </w:r>
      <w:r w:rsidR="00002649" w:rsidRPr="0096740E">
        <w:rPr>
          <w:noProof/>
        </w:rPr>
        <w:t xml:space="preserve"> the European Council in June 2021.</w:t>
      </w:r>
      <w:r w:rsidR="0085232B" w:rsidRPr="0096740E">
        <w:rPr>
          <w:noProof/>
          <w:lang w:val="en-IE"/>
        </w:rPr>
        <w:t xml:space="preserve"> It emphasises the need to strengthen the European social dimension across all policies of the Union to ensure that the transition to climate-neutrality is socially fair and just</w:t>
      </w:r>
      <w:r w:rsidR="00E74E0C" w:rsidRPr="0096740E">
        <w:rPr>
          <w:noProof/>
          <w:lang w:val="en-IE"/>
        </w:rPr>
        <w:t>.</w:t>
      </w:r>
    </w:p>
    <w:p w14:paraId="503C617D" w14:textId="004BD4B5" w:rsidR="00045175" w:rsidRPr="0096740E" w:rsidRDefault="00CC64A8" w:rsidP="009C2412">
      <w:pPr>
        <w:pBdr>
          <w:top w:val="nil"/>
          <w:left w:val="nil"/>
          <w:bottom w:val="nil"/>
          <w:right w:val="nil"/>
          <w:between w:val="nil"/>
          <w:bar w:val="nil"/>
        </w:pBdr>
        <w:spacing w:before="0" w:after="240"/>
        <w:rPr>
          <w:rFonts w:eastAsia="Arial Unicode MS"/>
          <w:noProof/>
          <w:color w:val="000000" w:themeColor="text1"/>
        </w:rPr>
      </w:pPr>
      <w:r w:rsidRPr="0096740E">
        <w:rPr>
          <w:rFonts w:eastAsia="Arial Unicode MS"/>
          <w:noProof/>
          <w:lang w:val="en-IE"/>
        </w:rPr>
        <w:t xml:space="preserve">Accompanied with </w:t>
      </w:r>
      <w:r w:rsidR="008C3E10" w:rsidRPr="0096740E">
        <w:rPr>
          <w:rFonts w:eastAsia="Arial Unicode MS"/>
          <w:noProof/>
          <w:lang w:val="en-IE"/>
        </w:rPr>
        <w:t>the right policies</w:t>
      </w:r>
      <w:r w:rsidR="00002649" w:rsidRPr="0096740E">
        <w:rPr>
          <w:rFonts w:eastAsia="Arial Unicode MS"/>
          <w:noProof/>
          <w:lang w:val="en-IE"/>
        </w:rPr>
        <w:t>, the transition could</w:t>
      </w:r>
      <w:r w:rsidR="008C3E10" w:rsidRPr="0096740E">
        <w:rPr>
          <w:rFonts w:eastAsia="Arial Unicode MS"/>
          <w:noProof/>
          <w:lang w:val="en-IE"/>
        </w:rPr>
        <w:t xml:space="preserve"> </w:t>
      </w:r>
      <w:r w:rsidR="00002649" w:rsidRPr="0096740E">
        <w:rPr>
          <w:rFonts w:eastAsia="Arial Unicode MS"/>
          <w:noProof/>
          <w:lang w:val="en-IE"/>
        </w:rPr>
        <w:t>create around 1 million jobs in the EU by 2030</w:t>
      </w:r>
      <w:r w:rsidR="000B63C8" w:rsidRPr="0096740E">
        <w:rPr>
          <w:rStyle w:val="FootnoteReference"/>
          <w:rFonts w:eastAsia="Arial Unicode MS"/>
          <w:noProof/>
          <w:lang w:val="en-IE"/>
        </w:rPr>
        <w:footnoteReference w:id="7"/>
      </w:r>
      <w:r w:rsidR="00002649" w:rsidRPr="0096740E">
        <w:rPr>
          <w:rFonts w:eastAsia="Arial Unicode MS"/>
          <w:noProof/>
          <w:lang w:val="en-IE"/>
        </w:rPr>
        <w:t xml:space="preserve"> and 2 million jobs by 2050</w:t>
      </w:r>
      <w:r w:rsidR="000B63C8">
        <w:rPr>
          <w:rStyle w:val="FootnoteReference"/>
          <w:rFonts w:eastAsia="Arial Unicode MS"/>
          <w:noProof/>
          <w:lang w:val="en-IE"/>
        </w:rPr>
        <w:footnoteReference w:id="8"/>
      </w:r>
      <w:r w:rsidR="008C3E10" w:rsidRPr="0096740E">
        <w:rPr>
          <w:rFonts w:eastAsia="Arial Unicode MS"/>
          <w:noProof/>
          <w:lang w:val="en-IE"/>
        </w:rPr>
        <w:t xml:space="preserve">. It could create </w:t>
      </w:r>
      <w:r w:rsidR="00002649" w:rsidRPr="0096740E">
        <w:rPr>
          <w:rFonts w:eastAsia="Arial Unicode MS"/>
          <w:noProof/>
          <w:lang w:val="en-IE"/>
        </w:rPr>
        <w:t>particularly middle-skilled, middle-paying jobs</w:t>
      </w:r>
      <w:r w:rsidR="00002649" w:rsidRPr="0096740E">
        <w:rPr>
          <w:rStyle w:val="FootnoteReference"/>
          <w:rFonts w:eastAsia="Arial Unicode MS"/>
          <w:noProof/>
        </w:rPr>
        <w:footnoteReference w:id="9"/>
      </w:r>
      <w:r w:rsidR="00002649" w:rsidRPr="0096740E">
        <w:rPr>
          <w:rFonts w:eastAsia="Arial Unicode MS"/>
          <w:noProof/>
          <w:lang w:val="en-IE"/>
        </w:rPr>
        <w:t>, with varying impacts across countries</w:t>
      </w:r>
      <w:r w:rsidR="00D07573">
        <w:rPr>
          <w:rFonts w:eastAsia="Arial Unicode MS"/>
          <w:noProof/>
          <w:lang w:val="en-IE"/>
        </w:rPr>
        <w:t>, regions</w:t>
      </w:r>
      <w:r w:rsidR="00002649" w:rsidRPr="0096740E">
        <w:rPr>
          <w:rFonts w:eastAsia="Arial Unicode MS"/>
          <w:noProof/>
          <w:lang w:val="en-IE"/>
        </w:rPr>
        <w:t xml:space="preserve"> and sectors.</w:t>
      </w:r>
      <w:r w:rsidR="00BC1F2C" w:rsidRPr="0096740E">
        <w:rPr>
          <w:rFonts w:eastAsia="Arial Unicode MS"/>
          <w:noProof/>
          <w:lang w:val="en-IE"/>
        </w:rPr>
        <w:t xml:space="preserve"> This </w:t>
      </w:r>
      <w:r w:rsidR="00BC1F2C" w:rsidRPr="0096740E">
        <w:rPr>
          <w:rFonts w:eastAsia="Arial Unicode MS"/>
          <w:noProof/>
        </w:rPr>
        <w:t xml:space="preserve">could contribute to mitigating labour market polarisation stemming from other megatrends, notably digitisation, to raising incomes </w:t>
      </w:r>
      <w:r w:rsidR="001E72F4">
        <w:rPr>
          <w:rFonts w:eastAsia="Arial Unicode MS"/>
          <w:noProof/>
        </w:rPr>
        <w:t>and to reducing poverty overall</w:t>
      </w:r>
      <w:r w:rsidR="00BC1F2C" w:rsidRPr="0096740E">
        <w:rPr>
          <w:rStyle w:val="FootnoteReference"/>
          <w:rFonts w:eastAsia="Arial Unicode MS"/>
          <w:noProof/>
        </w:rPr>
        <w:footnoteReference w:id="10"/>
      </w:r>
      <w:r w:rsidR="001E72F4">
        <w:rPr>
          <w:rFonts w:eastAsia="Arial Unicode MS"/>
          <w:noProof/>
        </w:rPr>
        <w:t>.</w:t>
      </w:r>
      <w:r w:rsidR="00002649" w:rsidRPr="0096740E">
        <w:rPr>
          <w:rFonts w:eastAsia="Arial Unicode MS"/>
          <w:noProof/>
          <w:lang w:val="en-IE"/>
        </w:rPr>
        <w:t xml:space="preserve"> </w:t>
      </w:r>
      <w:r w:rsidR="00045175" w:rsidRPr="0096740E">
        <w:rPr>
          <w:rFonts w:eastAsia="Arial Unicode MS"/>
          <w:noProof/>
        </w:rPr>
        <w:t>As highlighted in the impact assessments of the 2030 Climate Target Plan and the legislative proposals of the ‘Fit for 55’ package, significant labour reallocation within and across sectors will require large-scale investment in reskilling and upskilling. For example, while it is estimated that 160,000 additional construction jobs could be created in the EU by 2030 through the climate transition</w:t>
      </w:r>
      <w:r w:rsidR="00045175" w:rsidRPr="0096740E">
        <w:rPr>
          <w:rStyle w:val="FootnoteReference"/>
          <w:rFonts w:eastAsia="Arial Unicode MS"/>
          <w:noProof/>
        </w:rPr>
        <w:footnoteReference w:id="11"/>
      </w:r>
      <w:r w:rsidR="00045175" w:rsidRPr="0096740E">
        <w:rPr>
          <w:rFonts w:eastAsia="Arial Unicode MS"/>
          <w:noProof/>
        </w:rPr>
        <w:t>,</w:t>
      </w:r>
      <w:r w:rsidR="00045175" w:rsidRPr="0096740E">
        <w:rPr>
          <w:noProof/>
        </w:rPr>
        <w:t xml:space="preserve"> currently skills gaps are visible in occupations related to green design, technologies and materials in this sector.</w:t>
      </w:r>
      <w:r w:rsidR="00B23BD5" w:rsidRPr="0096740E">
        <w:rPr>
          <w:rFonts w:eastAsia="Arial Unicode MS"/>
          <w:noProof/>
        </w:rPr>
        <w:t xml:space="preserve"> The</w:t>
      </w:r>
      <w:r w:rsidR="00BC1F2C" w:rsidRPr="0096740E">
        <w:rPr>
          <w:rFonts w:eastAsia="Arial Unicode MS"/>
          <w:noProof/>
        </w:rPr>
        <w:t xml:space="preserve"> right</w:t>
      </w:r>
      <w:r w:rsidR="00B23BD5" w:rsidRPr="0096740E">
        <w:rPr>
          <w:rFonts w:eastAsia="Arial Unicode MS"/>
          <w:noProof/>
        </w:rPr>
        <w:t xml:space="preserve"> accompanying policies </w:t>
      </w:r>
      <w:r w:rsidR="00E9445B" w:rsidRPr="0096740E">
        <w:rPr>
          <w:rFonts w:eastAsia="Arial Unicode MS"/>
          <w:noProof/>
        </w:rPr>
        <w:t>can</w:t>
      </w:r>
      <w:r w:rsidR="00B23BD5" w:rsidRPr="0096740E">
        <w:rPr>
          <w:rFonts w:eastAsia="Arial Unicode MS"/>
          <w:noProof/>
        </w:rPr>
        <w:t xml:space="preserve"> reduce</w:t>
      </w:r>
      <w:r w:rsidR="00B23BD5" w:rsidRPr="0096740E">
        <w:rPr>
          <w:noProof/>
        </w:rPr>
        <w:t xml:space="preserve"> - and even prevent - energy poverty</w:t>
      </w:r>
      <w:r w:rsidR="00971911">
        <w:rPr>
          <w:noProof/>
        </w:rPr>
        <w:t xml:space="preserve">, </w:t>
      </w:r>
      <w:r w:rsidR="00971911" w:rsidRPr="00971911">
        <w:rPr>
          <w:noProof/>
        </w:rPr>
        <w:t xml:space="preserve">which stems from a combination of low income, </w:t>
      </w:r>
      <w:r w:rsidR="00971911">
        <w:rPr>
          <w:noProof/>
        </w:rPr>
        <w:t xml:space="preserve">a </w:t>
      </w:r>
      <w:r w:rsidR="00971911" w:rsidRPr="00971911">
        <w:rPr>
          <w:noProof/>
        </w:rPr>
        <w:t>high share of disposable income spent on energy and poor energy efficiency. In addition, they can</w:t>
      </w:r>
      <w:r w:rsidR="00B23BD5" w:rsidRPr="0096740E">
        <w:rPr>
          <w:noProof/>
        </w:rPr>
        <w:t xml:space="preserve"> promote access to affordable and </w:t>
      </w:r>
      <w:r w:rsidR="00F02B3E">
        <w:rPr>
          <w:noProof/>
        </w:rPr>
        <w:t>low-emission</w:t>
      </w:r>
      <w:r w:rsidR="00B23BD5" w:rsidRPr="0096740E">
        <w:rPr>
          <w:noProof/>
        </w:rPr>
        <w:t xml:space="preserve"> transport</w:t>
      </w:r>
      <w:r w:rsidR="00807F02">
        <w:rPr>
          <w:noProof/>
        </w:rPr>
        <w:t xml:space="preserve"> and mobility options</w:t>
      </w:r>
      <w:r w:rsidR="00B23BD5" w:rsidRPr="0096740E">
        <w:rPr>
          <w:rFonts w:eastAsia="Arial Unicode MS"/>
          <w:noProof/>
        </w:rPr>
        <w:t>, tackle</w:t>
      </w:r>
      <w:r w:rsidR="00D07573">
        <w:rPr>
          <w:rFonts w:eastAsia="Arial Unicode MS"/>
          <w:noProof/>
        </w:rPr>
        <w:t xml:space="preserve"> social exclusion and</w:t>
      </w:r>
      <w:r w:rsidR="00B23BD5" w:rsidRPr="0096740E">
        <w:rPr>
          <w:rFonts w:eastAsia="Arial Unicode MS"/>
          <w:noProof/>
        </w:rPr>
        <w:t xml:space="preserve"> socio-economic</w:t>
      </w:r>
      <w:r w:rsidR="00D07573">
        <w:rPr>
          <w:rFonts w:eastAsia="Arial Unicode MS"/>
          <w:noProof/>
        </w:rPr>
        <w:t>, regional</w:t>
      </w:r>
      <w:r w:rsidR="00B23BD5" w:rsidRPr="0096740E">
        <w:rPr>
          <w:rFonts w:eastAsia="Arial Unicode MS"/>
          <w:noProof/>
        </w:rPr>
        <w:t xml:space="preserve"> and health </w:t>
      </w:r>
      <w:r w:rsidR="00B23BD5" w:rsidRPr="0096740E">
        <w:rPr>
          <w:rFonts w:eastAsia="Arial Unicode MS"/>
          <w:noProof/>
          <w:color w:val="000000" w:themeColor="text1"/>
        </w:rPr>
        <w:t>inequalities</w:t>
      </w:r>
      <w:r w:rsidR="00B23BD5" w:rsidRPr="0096740E">
        <w:rPr>
          <w:noProof/>
          <w:color w:val="000000" w:themeColor="text1"/>
        </w:rPr>
        <w:t xml:space="preserve">, </w:t>
      </w:r>
      <w:r w:rsidR="00B23BD5" w:rsidRPr="0096740E">
        <w:rPr>
          <w:rFonts w:eastAsia="Arial Unicode MS"/>
          <w:noProof/>
          <w:color w:val="000000" w:themeColor="text1"/>
        </w:rPr>
        <w:t xml:space="preserve">improve health and well-being, and promote </w:t>
      </w:r>
      <w:r w:rsidR="00B23BD5" w:rsidRPr="0096740E">
        <w:rPr>
          <w:noProof/>
          <w:color w:val="000000" w:themeColor="text1"/>
        </w:rPr>
        <w:t>equality</w:t>
      </w:r>
      <w:r w:rsidR="009139E5" w:rsidRPr="0096740E">
        <w:rPr>
          <w:noProof/>
          <w:color w:val="000000" w:themeColor="text1"/>
        </w:rPr>
        <w:t xml:space="preserve">, in general and also for </w:t>
      </w:r>
      <w:r w:rsidR="00601C39">
        <w:rPr>
          <w:noProof/>
          <w:color w:val="000000" w:themeColor="text1"/>
        </w:rPr>
        <w:t xml:space="preserve">disadvantaged </w:t>
      </w:r>
      <w:r w:rsidR="009139E5" w:rsidRPr="0096740E">
        <w:rPr>
          <w:noProof/>
          <w:color w:val="000000" w:themeColor="text1"/>
        </w:rPr>
        <w:t>persons</w:t>
      </w:r>
      <w:r w:rsidR="00B23BD5" w:rsidRPr="0096740E">
        <w:rPr>
          <w:noProof/>
          <w:color w:val="000000" w:themeColor="text1"/>
        </w:rPr>
        <w:t>.</w:t>
      </w:r>
    </w:p>
    <w:p w14:paraId="3774D0FA" w14:textId="337FEE5D" w:rsidR="00AC72B0"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To </w:t>
      </w:r>
      <w:r w:rsidR="00405452" w:rsidRPr="0096740E">
        <w:rPr>
          <w:rFonts w:eastAsia="Arial Unicode MS"/>
          <w:noProof/>
        </w:rPr>
        <w:t xml:space="preserve">fully </w:t>
      </w:r>
      <w:r w:rsidR="00626814" w:rsidRPr="0096740E">
        <w:rPr>
          <w:rFonts w:eastAsia="Arial Unicode MS"/>
          <w:noProof/>
        </w:rPr>
        <w:t>reali</w:t>
      </w:r>
      <w:r w:rsidR="00600F40" w:rsidRPr="0096740E">
        <w:rPr>
          <w:rFonts w:eastAsia="Arial Unicode MS"/>
          <w:noProof/>
        </w:rPr>
        <w:t>s</w:t>
      </w:r>
      <w:r w:rsidR="00626814" w:rsidRPr="0096740E">
        <w:rPr>
          <w:rFonts w:eastAsia="Arial Unicode MS"/>
          <w:noProof/>
        </w:rPr>
        <w:t>e</w:t>
      </w:r>
      <w:r w:rsidR="00405452" w:rsidRPr="0096740E">
        <w:rPr>
          <w:rFonts w:eastAsia="Arial Unicode MS"/>
          <w:noProof/>
        </w:rPr>
        <w:t xml:space="preserve"> </w:t>
      </w:r>
      <w:r w:rsidRPr="0096740E">
        <w:rPr>
          <w:rFonts w:eastAsia="Arial Unicode MS"/>
          <w:noProof/>
        </w:rPr>
        <w:t xml:space="preserve">the employment and social potential of the green transition, it is essential </w:t>
      </w:r>
      <w:r w:rsidR="00045175" w:rsidRPr="0096740E">
        <w:rPr>
          <w:rFonts w:eastAsia="Arial Unicode MS"/>
          <w:noProof/>
        </w:rPr>
        <w:t xml:space="preserve">to use all available tools and put </w:t>
      </w:r>
      <w:r w:rsidRPr="0096740E">
        <w:rPr>
          <w:rFonts w:eastAsia="Arial Unicode MS"/>
          <w:noProof/>
        </w:rPr>
        <w:t xml:space="preserve">the right accompanying policies in place at </w:t>
      </w:r>
      <w:r w:rsidR="00A9419A" w:rsidRPr="0096740E">
        <w:rPr>
          <w:rFonts w:eastAsia="Arial Unicode MS"/>
          <w:noProof/>
        </w:rPr>
        <w:t>EU,</w:t>
      </w:r>
      <w:r w:rsidRPr="0096740E">
        <w:rPr>
          <w:rFonts w:eastAsia="Arial Unicode MS"/>
          <w:noProof/>
        </w:rPr>
        <w:t xml:space="preserve"> Member States, regional and local levels. </w:t>
      </w:r>
      <w:r w:rsidR="001E72F4">
        <w:rPr>
          <w:rFonts w:eastAsia="Arial Unicode MS"/>
          <w:noProof/>
          <w:lang w:val="en-IE"/>
        </w:rPr>
        <w:t xml:space="preserve">Conversely, </w:t>
      </w:r>
      <w:r w:rsidR="00045175" w:rsidRPr="0096740E">
        <w:rPr>
          <w:rFonts w:eastAsia="Arial Unicode MS"/>
          <w:noProof/>
          <w:lang w:val="en-IE"/>
        </w:rPr>
        <w:t>i</w:t>
      </w:r>
      <w:r w:rsidR="00045175" w:rsidRPr="0096740E">
        <w:rPr>
          <w:rFonts w:eastAsia="Arial Unicode MS"/>
          <w:noProof/>
        </w:rPr>
        <w:t xml:space="preserve">n the absence of well-designed accompanying employment and social policies, there are socio-economic risks. </w:t>
      </w:r>
      <w:r w:rsidR="00FC18CB" w:rsidRPr="0096740E">
        <w:rPr>
          <w:rFonts w:eastAsia="Arial Unicode MS"/>
          <w:noProof/>
        </w:rPr>
        <w:t xml:space="preserve">It is therefore crucial that the responsible authorities put in place the </w:t>
      </w:r>
      <w:r w:rsidR="00EA0CC5" w:rsidRPr="0096740E">
        <w:rPr>
          <w:rFonts w:eastAsia="Arial Unicode MS"/>
          <w:noProof/>
        </w:rPr>
        <w:t>appropriate</w:t>
      </w:r>
      <w:r w:rsidR="00FC18CB" w:rsidRPr="0096740E">
        <w:rPr>
          <w:rFonts w:eastAsia="Arial Unicode MS"/>
          <w:noProof/>
        </w:rPr>
        <w:t xml:space="preserve"> polices, and do so </w:t>
      </w:r>
      <w:r w:rsidR="008D64FA" w:rsidRPr="0096740E">
        <w:rPr>
          <w:rFonts w:eastAsia="Arial Unicode MS"/>
          <w:noProof/>
        </w:rPr>
        <w:t>without undermining the incentives for the changes in investment</w:t>
      </w:r>
      <w:r w:rsidR="00045175" w:rsidRPr="0096740E">
        <w:rPr>
          <w:rFonts w:eastAsia="Arial Unicode MS"/>
          <w:noProof/>
        </w:rPr>
        <w:t xml:space="preserve"> and consumption </w:t>
      </w:r>
      <w:r w:rsidR="006A465C" w:rsidRPr="0096740E">
        <w:rPr>
          <w:rFonts w:eastAsia="Arial Unicode MS"/>
          <w:noProof/>
        </w:rPr>
        <w:t>required by</w:t>
      </w:r>
      <w:r w:rsidR="008D64FA" w:rsidRPr="0096740E">
        <w:rPr>
          <w:rFonts w:eastAsia="Arial Unicode MS"/>
          <w:noProof/>
        </w:rPr>
        <w:t xml:space="preserve"> the transition</w:t>
      </w:r>
      <w:r w:rsidRPr="0096740E">
        <w:rPr>
          <w:rFonts w:eastAsia="Arial Unicode MS"/>
          <w:noProof/>
        </w:rPr>
        <w:t>.</w:t>
      </w:r>
      <w:r w:rsidR="003A2391" w:rsidRPr="0096740E">
        <w:rPr>
          <w:rFonts w:eastAsia="Arial Unicode MS"/>
          <w:noProof/>
        </w:rPr>
        <w:t xml:space="preserve"> </w:t>
      </w:r>
      <w:r w:rsidR="00FF55D8" w:rsidRPr="0096740E">
        <w:rPr>
          <w:rFonts w:eastAsia="Arial Unicode MS"/>
          <w:noProof/>
        </w:rPr>
        <w:t xml:space="preserve">Importantly, such mechanisms </w:t>
      </w:r>
      <w:r w:rsidR="00EA0CC5" w:rsidRPr="0096740E">
        <w:rPr>
          <w:rFonts w:eastAsia="Arial Unicode MS"/>
          <w:noProof/>
        </w:rPr>
        <w:t>should</w:t>
      </w:r>
      <w:r w:rsidR="00FF55D8" w:rsidRPr="0096740E">
        <w:rPr>
          <w:rFonts w:eastAsia="Arial Unicode MS"/>
          <w:noProof/>
        </w:rPr>
        <w:t xml:space="preserve"> be accompanied by measures to ensure inclusive governance and the active involvement of those most affected by the </w:t>
      </w:r>
      <w:r w:rsidR="00EA0CC5" w:rsidRPr="0096740E">
        <w:rPr>
          <w:rFonts w:eastAsia="Arial Unicode MS"/>
          <w:noProof/>
        </w:rPr>
        <w:t>green</w:t>
      </w:r>
      <w:r w:rsidR="00FF55D8" w:rsidRPr="0096740E">
        <w:rPr>
          <w:rFonts w:eastAsia="Arial Unicode MS"/>
          <w:noProof/>
        </w:rPr>
        <w:t xml:space="preserve"> transition. </w:t>
      </w:r>
      <w:r w:rsidR="00F4362B" w:rsidRPr="0096740E">
        <w:rPr>
          <w:rFonts w:eastAsia="Arial Unicode MS"/>
          <w:noProof/>
        </w:rPr>
        <w:t xml:space="preserve"> </w:t>
      </w:r>
    </w:p>
    <w:p w14:paraId="1781D520" w14:textId="7E7EA1B7"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While Member States have </w:t>
      </w:r>
      <w:r w:rsidR="00AC72B0" w:rsidRPr="0096740E">
        <w:rPr>
          <w:rFonts w:eastAsia="Arial Unicode MS"/>
          <w:noProof/>
        </w:rPr>
        <w:t xml:space="preserve">put in place </w:t>
      </w:r>
      <w:r w:rsidRPr="0096740E">
        <w:rPr>
          <w:rFonts w:eastAsia="Arial Unicode MS"/>
          <w:noProof/>
        </w:rPr>
        <w:t xml:space="preserve">and are preparing a multitude of actions to promote a </w:t>
      </w:r>
      <w:r w:rsidR="001C6DE0" w:rsidRPr="0096740E">
        <w:rPr>
          <w:rFonts w:eastAsia="Arial Unicode MS"/>
          <w:noProof/>
        </w:rPr>
        <w:t xml:space="preserve">fair </w:t>
      </w:r>
      <w:r w:rsidRPr="0096740E">
        <w:rPr>
          <w:rFonts w:eastAsia="Arial Unicode MS"/>
          <w:noProof/>
        </w:rPr>
        <w:t xml:space="preserve">transition towards climate neutrality, there is scope to further enhance the design </w:t>
      </w:r>
      <w:r w:rsidR="009F6C83" w:rsidRPr="0096740E">
        <w:rPr>
          <w:rFonts w:eastAsia="Arial Unicode MS"/>
          <w:noProof/>
        </w:rPr>
        <w:t>of policies supporting a fair green transition</w:t>
      </w:r>
      <w:r w:rsidRPr="0096740E">
        <w:rPr>
          <w:rFonts w:eastAsia="Arial Unicode MS"/>
          <w:noProof/>
        </w:rPr>
        <w:t xml:space="preserve"> and ensure coherence of the efforts </w:t>
      </w:r>
      <w:r w:rsidR="0095566C" w:rsidRPr="0096740E">
        <w:rPr>
          <w:rFonts w:eastAsia="Arial Unicode MS"/>
          <w:noProof/>
        </w:rPr>
        <w:t xml:space="preserve">between the </w:t>
      </w:r>
      <w:r w:rsidR="00AC72B0" w:rsidRPr="0096740E">
        <w:rPr>
          <w:rFonts w:eastAsia="Arial Unicode MS"/>
          <w:noProof/>
        </w:rPr>
        <w:t xml:space="preserve">various tools available at </w:t>
      </w:r>
      <w:r w:rsidRPr="0096740E">
        <w:rPr>
          <w:rFonts w:eastAsia="Arial Unicode MS"/>
          <w:noProof/>
        </w:rPr>
        <w:t xml:space="preserve">EU and national level (see next section). </w:t>
      </w:r>
      <w:r w:rsidR="00A77F5F" w:rsidRPr="0096740E">
        <w:rPr>
          <w:rFonts w:eastAsia="Arial Unicode MS"/>
          <w:noProof/>
        </w:rPr>
        <w:t xml:space="preserve">Therefore </w:t>
      </w:r>
      <w:r w:rsidRPr="0096740E">
        <w:rPr>
          <w:rFonts w:eastAsia="Arial Unicode MS"/>
          <w:noProof/>
        </w:rPr>
        <w:t xml:space="preserve">the Commission announced </w:t>
      </w:r>
      <w:r w:rsidR="00A77F5F" w:rsidRPr="0096740E">
        <w:rPr>
          <w:rFonts w:eastAsia="Arial Unicode MS"/>
          <w:noProof/>
        </w:rPr>
        <w:t xml:space="preserve">as part of the ‘Fit for 55’ package </w:t>
      </w:r>
      <w:r w:rsidRPr="0096740E">
        <w:rPr>
          <w:rFonts w:eastAsia="Arial Unicode MS"/>
          <w:noProof/>
        </w:rPr>
        <w:t xml:space="preserve">a proposal for a Council Recommendation by the end of 2021 to </w:t>
      </w:r>
      <w:r w:rsidR="00A9419A" w:rsidRPr="0096740E">
        <w:rPr>
          <w:rFonts w:eastAsia="Arial Unicode MS"/>
          <w:noProof/>
        </w:rPr>
        <w:t>provide</w:t>
      </w:r>
      <w:r w:rsidRPr="0096740E">
        <w:rPr>
          <w:rFonts w:eastAsia="Arial Unicode MS"/>
          <w:noProof/>
        </w:rPr>
        <w:t xml:space="preserve"> further guidance to Member States as how to best address the social and labour aspects of the green transition. </w:t>
      </w:r>
      <w:r w:rsidR="009542A3">
        <w:rPr>
          <w:rFonts w:eastAsia="Arial Unicode MS"/>
          <w:noProof/>
        </w:rPr>
        <w:t xml:space="preserve">In parallel to delivering on the European Green Deal, the Commission is also closely monitoring short-term developments on energy markets driven primarily by global market developments and, on 13 October 2021, presented a </w:t>
      </w:r>
      <w:r w:rsidR="009542A3" w:rsidRPr="0096740E">
        <w:rPr>
          <w:noProof/>
        </w:rPr>
        <w:t xml:space="preserve">Communication on ‘Tackling </w:t>
      </w:r>
      <w:r w:rsidR="009542A3" w:rsidRPr="0096740E">
        <w:rPr>
          <w:rFonts w:eastAsia="Calibri"/>
          <w:noProof/>
        </w:rPr>
        <w:t>rising energy prices:</w:t>
      </w:r>
      <w:r w:rsidR="009542A3" w:rsidRPr="0096740E">
        <w:rPr>
          <w:noProof/>
        </w:rPr>
        <w:t xml:space="preserve"> </w:t>
      </w:r>
      <w:r w:rsidR="009542A3" w:rsidRPr="0096740E">
        <w:rPr>
          <w:rFonts w:eastAsia="Calibri"/>
          <w:noProof/>
        </w:rPr>
        <w:t>a t</w:t>
      </w:r>
      <w:r w:rsidR="009542A3" w:rsidRPr="0096740E">
        <w:rPr>
          <w:noProof/>
        </w:rPr>
        <w:t xml:space="preserve">oolbox for action and support’ </w:t>
      </w:r>
      <w:r w:rsidR="009542A3">
        <w:rPr>
          <w:rFonts w:eastAsia="Arial Unicode MS"/>
          <w:noProof/>
        </w:rPr>
        <w:t xml:space="preserve">outlining immediate </w:t>
      </w:r>
      <w:r w:rsidR="009542A3" w:rsidRPr="00C1015D">
        <w:rPr>
          <w:rFonts w:eastAsia="Arial Unicode MS"/>
          <w:noProof/>
        </w:rPr>
        <w:t>measures to p</w:t>
      </w:r>
      <w:r w:rsidR="009542A3">
        <w:rPr>
          <w:rFonts w:eastAsia="Arial Unicode MS"/>
          <w:noProof/>
        </w:rPr>
        <w:t>rotect consumers and businesses</w:t>
      </w:r>
      <w:r w:rsidR="009542A3">
        <w:rPr>
          <w:rStyle w:val="FootnoteReference"/>
          <w:rFonts w:eastAsia="Arial Unicode MS"/>
          <w:noProof/>
        </w:rPr>
        <w:footnoteReference w:id="12"/>
      </w:r>
      <w:r w:rsidR="009542A3">
        <w:rPr>
          <w:rFonts w:eastAsia="Arial Unicode MS"/>
          <w:noProof/>
        </w:rPr>
        <w:t xml:space="preserve">. </w:t>
      </w:r>
      <w:r w:rsidR="00CD6715" w:rsidRPr="0096740E">
        <w:rPr>
          <w:rFonts w:eastAsia="Calibri"/>
          <w:noProof/>
        </w:rPr>
        <w:t>Th</w:t>
      </w:r>
      <w:r w:rsidR="00DA0900">
        <w:rPr>
          <w:rFonts w:eastAsia="Calibri"/>
          <w:noProof/>
        </w:rPr>
        <w:t xml:space="preserve">is forthcoming proposal </w:t>
      </w:r>
      <w:r w:rsidR="00CD6715" w:rsidRPr="0096740E">
        <w:rPr>
          <w:rFonts w:eastAsia="Calibri"/>
          <w:noProof/>
        </w:rPr>
        <w:t xml:space="preserve">was also referred to </w:t>
      </w:r>
      <w:r w:rsidR="00CD6715" w:rsidRPr="0096740E">
        <w:rPr>
          <w:noProof/>
        </w:rPr>
        <w:t xml:space="preserve">in </w:t>
      </w:r>
      <w:r w:rsidR="009542A3">
        <w:rPr>
          <w:noProof/>
        </w:rPr>
        <w:t>that</w:t>
      </w:r>
      <w:r w:rsidR="00CD6715" w:rsidRPr="0096740E">
        <w:rPr>
          <w:noProof/>
        </w:rPr>
        <w:t xml:space="preserve"> Communication </w:t>
      </w:r>
      <w:r w:rsidR="00B36707" w:rsidRPr="0096740E">
        <w:rPr>
          <w:noProof/>
        </w:rPr>
        <w:t xml:space="preserve">as policy </w:t>
      </w:r>
      <w:r w:rsidR="00C67E2C">
        <w:rPr>
          <w:noProof/>
        </w:rPr>
        <w:t>framework</w:t>
      </w:r>
      <w:r w:rsidR="00C67E2C" w:rsidRPr="0096740E">
        <w:rPr>
          <w:noProof/>
        </w:rPr>
        <w:t xml:space="preserve"> </w:t>
      </w:r>
      <w:r w:rsidR="00B36707" w:rsidRPr="0096740E">
        <w:rPr>
          <w:noProof/>
        </w:rPr>
        <w:t>to support a fair green transition</w:t>
      </w:r>
      <w:r w:rsidR="00C67E2C">
        <w:rPr>
          <w:noProof/>
        </w:rPr>
        <w:t xml:space="preserve"> over the medium run</w:t>
      </w:r>
      <w:r w:rsidR="00B36707" w:rsidRPr="0096740E">
        <w:rPr>
          <w:noProof/>
        </w:rPr>
        <w:t xml:space="preserve"> and build resilience to any future price developments</w:t>
      </w:r>
      <w:r w:rsidR="00CD6715" w:rsidRPr="0096740E">
        <w:rPr>
          <w:noProof/>
        </w:rPr>
        <w:t>.</w:t>
      </w:r>
    </w:p>
    <w:p w14:paraId="6AD9D8FB" w14:textId="77777777" w:rsidR="00002649" w:rsidRPr="0096740E" w:rsidRDefault="00002649" w:rsidP="00002649">
      <w:pPr>
        <w:pStyle w:val="ManualHeading2"/>
        <w:rPr>
          <w:rFonts w:eastAsia="Arial Unicode MS"/>
          <w:noProof/>
        </w:rPr>
      </w:pPr>
      <w:r w:rsidRPr="0096740E">
        <w:rPr>
          <w:rFonts w:eastAsia="Arial Unicode MS"/>
          <w:noProof/>
          <w:color w:val="000000"/>
          <w:bdr w:val="nil"/>
          <w:lang w:val="en-US" w:eastAsia="en-GB"/>
        </w:rPr>
        <w:t>•</w:t>
      </w:r>
      <w:r w:rsidRPr="0096740E">
        <w:rPr>
          <w:rFonts w:eastAsia="Arial Unicode MS"/>
          <w:noProof/>
          <w:color w:val="000000"/>
          <w:u w:color="000000"/>
          <w:bdr w:val="nil"/>
          <w:lang w:val="en-US" w:eastAsia="en-GB"/>
        </w:rPr>
        <w:tab/>
      </w:r>
      <w:r w:rsidRPr="0096740E">
        <w:rPr>
          <w:rFonts w:eastAsia="Arial Unicode MS"/>
          <w:noProof/>
        </w:rPr>
        <w:t>Consistency with existing policy provisions in the policy area</w:t>
      </w:r>
      <w:r w:rsidR="00191FED" w:rsidRPr="0096740E">
        <w:rPr>
          <w:noProof/>
        </w:rPr>
        <w:t xml:space="preserve"> of </w:t>
      </w:r>
      <w:r w:rsidR="00191FED" w:rsidRPr="0096740E">
        <w:rPr>
          <w:rFonts w:eastAsia="Arial Unicode MS"/>
          <w:noProof/>
        </w:rPr>
        <w:t>employment, skills, social and distributional aspects of the green transition</w:t>
      </w:r>
    </w:p>
    <w:p w14:paraId="42660367" w14:textId="7401E5CD" w:rsidR="00036AAA" w:rsidRPr="0096740E" w:rsidRDefault="00002649" w:rsidP="00036AAA">
      <w:pPr>
        <w:rPr>
          <w:rFonts w:eastAsia="Calibri"/>
          <w:noProof/>
        </w:rPr>
      </w:pPr>
      <w:r w:rsidRPr="0096740E">
        <w:rPr>
          <w:rFonts w:eastAsia="Calibri"/>
          <w:noProof/>
        </w:rPr>
        <w:t>In line with the Political Guidelines of the Commission 2019-2</w:t>
      </w:r>
      <w:r w:rsidR="0E1DEB74" w:rsidRPr="0096740E">
        <w:rPr>
          <w:rFonts w:eastAsia="Calibri"/>
          <w:noProof/>
        </w:rPr>
        <w:t>02</w:t>
      </w:r>
      <w:r w:rsidR="79B958B2" w:rsidRPr="0096740E">
        <w:rPr>
          <w:rFonts w:eastAsia="Calibri"/>
          <w:noProof/>
        </w:rPr>
        <w:t>4</w:t>
      </w:r>
      <w:r w:rsidR="0045304C">
        <w:rPr>
          <w:rStyle w:val="FootnoteReference"/>
          <w:rFonts w:eastAsia="Calibri"/>
          <w:noProof/>
        </w:rPr>
        <w:footnoteReference w:id="13"/>
      </w:r>
      <w:r w:rsidRPr="0096740E">
        <w:rPr>
          <w:rFonts w:eastAsia="Calibri"/>
          <w:noProof/>
        </w:rPr>
        <w:t xml:space="preserve"> the European Pillar of Social Rights Action Plan highlights that, as part of a new ‘social rulebook’, social rights and the European social dimension need to be strengthened across all policies of the Union as enshrined in the Treaties, in particular Article 3 TEU and Article 9 TFEU, to move towards a greener and more digital decade in which Europeans can thrive. In turn, the European Green Deal foresees the mainstreaming of sustainability in all EU policies, </w:t>
      </w:r>
      <w:r w:rsidR="00331642" w:rsidRPr="0096740E">
        <w:rPr>
          <w:rFonts w:eastAsia="Calibri"/>
          <w:noProof/>
        </w:rPr>
        <w:t>in particular</w:t>
      </w:r>
      <w:r w:rsidR="00747EF6" w:rsidRPr="0096740E">
        <w:rPr>
          <w:rFonts w:eastAsia="Calibri"/>
          <w:noProof/>
        </w:rPr>
        <w:t xml:space="preserve"> </w:t>
      </w:r>
      <w:r w:rsidRPr="0096740E">
        <w:rPr>
          <w:rFonts w:eastAsia="Calibri"/>
          <w:noProof/>
        </w:rPr>
        <w:t xml:space="preserve">by pursuing green finance and investment and ensuring a </w:t>
      </w:r>
      <w:r w:rsidR="001C6DE0" w:rsidRPr="0096740E">
        <w:rPr>
          <w:rFonts w:eastAsia="Calibri"/>
          <w:noProof/>
        </w:rPr>
        <w:t xml:space="preserve">fair </w:t>
      </w:r>
      <w:r w:rsidRPr="0096740E">
        <w:rPr>
          <w:rFonts w:eastAsia="Calibri"/>
          <w:noProof/>
        </w:rPr>
        <w:t>transition.</w:t>
      </w:r>
    </w:p>
    <w:p w14:paraId="5E9D67C0" w14:textId="550513B2" w:rsidR="00036AAA" w:rsidRPr="0096740E" w:rsidRDefault="00002649" w:rsidP="00036AAA">
      <w:pPr>
        <w:rPr>
          <w:rFonts w:eastAsia="Calibri"/>
          <w:noProof/>
        </w:rPr>
      </w:pPr>
      <w:r w:rsidRPr="0096740E">
        <w:rPr>
          <w:rFonts w:eastAsia="Calibri"/>
          <w:noProof/>
        </w:rPr>
        <w:t>The Commission Recommendation on effective active support to employment following the COVID-19 crisis (EASE)</w:t>
      </w:r>
      <w:r w:rsidRPr="0096740E">
        <w:rPr>
          <w:rStyle w:val="FootnoteReference"/>
          <w:rFonts w:eastAsia="Calibri"/>
          <w:noProof/>
        </w:rPr>
        <w:footnoteReference w:id="14"/>
      </w:r>
      <w:r w:rsidRPr="0096740E">
        <w:rPr>
          <w:rFonts w:eastAsia="Calibri"/>
          <w:noProof/>
        </w:rPr>
        <w:t xml:space="preserve"> highlighted that the EU and the Member States should act together to promote a dynamic, job-rich and inclusive recovery and facilitate the green and digital transition in the European labour market. The 2020 guidelines for the employment policies of the Member States</w:t>
      </w:r>
      <w:r w:rsidRPr="0096740E">
        <w:rPr>
          <w:rStyle w:val="FootnoteReference"/>
          <w:rFonts w:eastAsia="Calibri"/>
          <w:noProof/>
        </w:rPr>
        <w:footnoteReference w:id="15"/>
      </w:r>
      <w:r w:rsidRPr="0096740E">
        <w:rPr>
          <w:rFonts w:eastAsia="Calibri"/>
          <w:noProof/>
        </w:rPr>
        <w:t xml:space="preserve"> stated that policy action should combine measures </w:t>
      </w:r>
      <w:r w:rsidR="00397DA9" w:rsidRPr="0096740E">
        <w:rPr>
          <w:rFonts w:eastAsia="Calibri"/>
          <w:noProof/>
        </w:rPr>
        <w:t>to</w:t>
      </w:r>
      <w:r w:rsidRPr="0096740E">
        <w:rPr>
          <w:rFonts w:eastAsia="Calibri"/>
          <w:noProof/>
        </w:rPr>
        <w:t xml:space="preserve"> boost labour</w:t>
      </w:r>
      <w:r w:rsidR="00397DA9" w:rsidRPr="0096740E">
        <w:rPr>
          <w:rFonts w:eastAsia="Calibri"/>
          <w:noProof/>
        </w:rPr>
        <w:t xml:space="preserve"> demand</w:t>
      </w:r>
      <w:r w:rsidRPr="0096740E">
        <w:rPr>
          <w:rFonts w:eastAsia="Calibri"/>
          <w:noProof/>
        </w:rPr>
        <w:t xml:space="preserve">, </w:t>
      </w:r>
      <w:r w:rsidR="00397DA9" w:rsidRPr="0096740E">
        <w:rPr>
          <w:rFonts w:eastAsia="Calibri"/>
          <w:noProof/>
        </w:rPr>
        <w:t>increase</w:t>
      </w:r>
      <w:r w:rsidRPr="0096740E">
        <w:rPr>
          <w:rFonts w:eastAsia="Calibri"/>
          <w:noProof/>
        </w:rPr>
        <w:t xml:space="preserve"> labour supply</w:t>
      </w:r>
      <w:r w:rsidR="00397DA9" w:rsidRPr="0096740E">
        <w:rPr>
          <w:rFonts w:eastAsia="Calibri"/>
          <w:noProof/>
        </w:rPr>
        <w:t>,</w:t>
      </w:r>
      <w:r w:rsidRPr="0096740E">
        <w:rPr>
          <w:rFonts w:eastAsia="Calibri"/>
          <w:noProof/>
        </w:rPr>
        <w:t xml:space="preserve"> improv</w:t>
      </w:r>
      <w:r w:rsidR="00397DA9" w:rsidRPr="0096740E">
        <w:rPr>
          <w:rFonts w:eastAsia="Calibri"/>
          <w:noProof/>
        </w:rPr>
        <w:t>e</w:t>
      </w:r>
      <w:r w:rsidRPr="0096740E">
        <w:rPr>
          <w:rFonts w:eastAsia="Calibri"/>
          <w:noProof/>
        </w:rPr>
        <w:t xml:space="preserve"> access to employment, skills and competences, and enhanc</w:t>
      </w:r>
      <w:r w:rsidR="00397DA9" w:rsidRPr="0096740E">
        <w:rPr>
          <w:rFonts w:eastAsia="Calibri"/>
          <w:noProof/>
        </w:rPr>
        <w:t>e</w:t>
      </w:r>
      <w:r w:rsidRPr="0096740E">
        <w:rPr>
          <w:rFonts w:eastAsia="Calibri"/>
          <w:noProof/>
        </w:rPr>
        <w:t xml:space="preserve"> the functioning of labour markets and the effectiveness of social dialogue, while taking into account their environmental, employment and social impact. The </w:t>
      </w:r>
      <w:r w:rsidR="00570BB0" w:rsidRPr="0096740E">
        <w:rPr>
          <w:rFonts w:eastAsia="Calibri"/>
          <w:noProof/>
        </w:rPr>
        <w:t>proposed</w:t>
      </w:r>
      <w:r w:rsidR="006C14BF" w:rsidRPr="0096740E">
        <w:rPr>
          <w:rFonts w:eastAsia="Calibri"/>
          <w:noProof/>
        </w:rPr>
        <w:t xml:space="preserve"> Joint Employment Report 2022</w:t>
      </w:r>
      <w:r w:rsidRPr="0096740E">
        <w:rPr>
          <w:rFonts w:eastAsia="Calibri"/>
          <w:noProof/>
        </w:rPr>
        <w:t xml:space="preserve"> emphasised that</w:t>
      </w:r>
      <w:r w:rsidR="006C14BF" w:rsidRPr="0096740E">
        <w:rPr>
          <w:rFonts w:eastAsia="Calibri"/>
          <w:noProof/>
        </w:rPr>
        <w:t xml:space="preserve"> investing in</w:t>
      </w:r>
      <w:r w:rsidRPr="0096740E">
        <w:rPr>
          <w:rFonts w:eastAsia="Calibri"/>
          <w:noProof/>
        </w:rPr>
        <w:t xml:space="preserve"> upskilling and reskilling are a top priority to foster an inclusive recovery and support the digital and green transitions</w:t>
      </w:r>
      <w:r w:rsidR="006C14BF" w:rsidRPr="0096740E">
        <w:rPr>
          <w:rStyle w:val="FootnoteReference"/>
          <w:rFonts w:eastAsia="Calibri"/>
          <w:noProof/>
        </w:rPr>
        <w:footnoteReference w:id="16"/>
      </w:r>
      <w:r w:rsidRPr="0096740E">
        <w:rPr>
          <w:rFonts w:eastAsia="Calibri"/>
          <w:noProof/>
        </w:rPr>
        <w:t xml:space="preserve">. Member States are invited to inter alia </w:t>
      </w:r>
      <w:r w:rsidRPr="0096740E">
        <w:rPr>
          <w:noProof/>
        </w:rPr>
        <w:t xml:space="preserve">introduce support for the reallocation of labour, for instance via well-designed hiring incentives and training, notably towards the green and digital economy, while protecting workers during the transition. This is in line with previous related Council Recommendations, </w:t>
      </w:r>
      <w:r w:rsidR="00B11BD3" w:rsidRPr="0096740E">
        <w:rPr>
          <w:noProof/>
        </w:rPr>
        <w:t>such as</w:t>
      </w:r>
      <w:r w:rsidRPr="0096740E">
        <w:rPr>
          <w:noProof/>
        </w:rPr>
        <w:t xml:space="preserve"> on reinforcing the Youth Guarantee</w:t>
      </w:r>
      <w:r w:rsidRPr="0096740E">
        <w:rPr>
          <w:rStyle w:val="FootnoteReference"/>
          <w:noProof/>
        </w:rPr>
        <w:footnoteReference w:id="17"/>
      </w:r>
      <w:r w:rsidRPr="0096740E">
        <w:rPr>
          <w:noProof/>
        </w:rPr>
        <w:t>, and on vocational education and training (VET) for sustainable competitiveness, social fairness and resilience</w:t>
      </w:r>
      <w:r w:rsidRPr="0096740E">
        <w:rPr>
          <w:rStyle w:val="FootnoteReference"/>
          <w:noProof/>
        </w:rPr>
        <w:footnoteReference w:id="18"/>
      </w:r>
      <w:r w:rsidRPr="0096740E">
        <w:rPr>
          <w:noProof/>
        </w:rPr>
        <w:t>.</w:t>
      </w:r>
    </w:p>
    <w:p w14:paraId="57A208B7" w14:textId="7D14AE86" w:rsidR="00036AAA" w:rsidRPr="0096740E" w:rsidRDefault="00002649" w:rsidP="00036AAA">
      <w:pPr>
        <w:rPr>
          <w:rFonts w:eastAsia="Calibri"/>
          <w:noProof/>
        </w:rPr>
      </w:pPr>
      <w:r w:rsidRPr="0096740E">
        <w:rPr>
          <w:rFonts w:eastAsia="Calibri"/>
          <w:noProof/>
        </w:rPr>
        <w:t>In the framework of the Energy Union and Climate Action Governance</w:t>
      </w:r>
      <w:r w:rsidR="00E87757" w:rsidRPr="0096740E">
        <w:rPr>
          <w:rFonts w:eastAsia="Calibri"/>
          <w:noProof/>
        </w:rPr>
        <w:t xml:space="preserve"> Regulation</w:t>
      </w:r>
      <w:r w:rsidRPr="0096740E">
        <w:rPr>
          <w:rStyle w:val="FootnoteReference"/>
          <w:rFonts w:eastAsia="Calibri"/>
          <w:noProof/>
        </w:rPr>
        <w:footnoteReference w:id="19"/>
      </w:r>
      <w:r w:rsidRPr="0096740E">
        <w:rPr>
          <w:rFonts w:eastAsia="Calibri"/>
          <w:noProof/>
        </w:rPr>
        <w:t>, Member States draw up integrated national energy and climate plans (NECPs), which cover ten-year periods</w:t>
      </w:r>
      <w:r w:rsidR="00680C0A" w:rsidRPr="0096740E">
        <w:rPr>
          <w:rFonts w:eastAsia="Calibri"/>
          <w:noProof/>
        </w:rPr>
        <w:t>, taking into account the long-term perspective,</w:t>
      </w:r>
      <w:r w:rsidRPr="0096740E">
        <w:rPr>
          <w:rFonts w:eastAsia="Calibri"/>
          <w:noProof/>
        </w:rPr>
        <w:t xml:space="preserve"> and the five dimensions of the Energy Union, i.e. energy security; the internal energy market; energy efficiency; decarbonisation; research, innovation and competitiveness. </w:t>
      </w:r>
      <w:r w:rsidR="00680C0A" w:rsidRPr="0096740E">
        <w:rPr>
          <w:rFonts w:eastAsia="Calibri"/>
          <w:noProof/>
        </w:rPr>
        <w:t xml:space="preserve">Such NECPs shall be updated five years after the first submission of the NECPs and subsequently every ten years. </w:t>
      </w:r>
      <w:r w:rsidRPr="0096740E">
        <w:rPr>
          <w:rFonts w:eastAsia="Calibri"/>
          <w:noProof/>
        </w:rPr>
        <w:t>Pursuant to Article 3(3) (d)</w:t>
      </w:r>
      <w:r w:rsidR="00C5250C" w:rsidRPr="0096740E">
        <w:rPr>
          <w:rFonts w:eastAsia="Calibri"/>
          <w:noProof/>
        </w:rPr>
        <w:t xml:space="preserve"> of </w:t>
      </w:r>
      <w:r w:rsidR="00C5250C" w:rsidRPr="0096740E">
        <w:rPr>
          <w:noProof/>
        </w:rPr>
        <w:t>Regulation (EU) 2018/1999 on the Governance of the Energy Union and Climate Action</w:t>
      </w:r>
      <w:r w:rsidRPr="0096740E">
        <w:rPr>
          <w:rFonts w:eastAsia="Calibri"/>
          <w:noProof/>
        </w:rPr>
        <w:t xml:space="preserve">, in the event that a Member State finds that it has a significant number of households in energy poverty, it </w:t>
      </w:r>
      <w:r w:rsidR="00C5250C" w:rsidRPr="0096740E">
        <w:rPr>
          <w:rFonts w:eastAsia="Calibri"/>
          <w:noProof/>
        </w:rPr>
        <w:t xml:space="preserve">shall </w:t>
      </w:r>
      <w:r w:rsidRPr="0096740E">
        <w:rPr>
          <w:rFonts w:eastAsia="Calibri"/>
          <w:noProof/>
        </w:rPr>
        <w:t xml:space="preserve">include in its plan a national indicative objective to reduce energy poverty </w:t>
      </w:r>
      <w:r w:rsidR="00E87757" w:rsidRPr="0096740E">
        <w:rPr>
          <w:rFonts w:eastAsia="Calibri"/>
          <w:noProof/>
        </w:rPr>
        <w:t>together with a timeframe for when the objectives are to be met</w:t>
      </w:r>
      <w:r w:rsidRPr="0096740E">
        <w:rPr>
          <w:rFonts w:eastAsia="Calibri"/>
          <w:noProof/>
        </w:rPr>
        <w:t xml:space="preserve"> as well as policies and measures to address energy poverty, including social policy measures and other relevant national programmes</w:t>
      </w:r>
      <w:r w:rsidR="00DA0AAD" w:rsidRPr="0096740E">
        <w:rPr>
          <w:rStyle w:val="FootnoteReference"/>
          <w:rFonts w:eastAsia="Calibri"/>
          <w:noProof/>
        </w:rPr>
        <w:footnoteReference w:id="20"/>
      </w:r>
      <w:r w:rsidRPr="0096740E">
        <w:rPr>
          <w:rFonts w:eastAsia="Calibri"/>
          <w:noProof/>
        </w:rPr>
        <w:t xml:space="preserve">. </w:t>
      </w:r>
      <w:r w:rsidR="00627AA2" w:rsidRPr="0096740E">
        <w:rPr>
          <w:rFonts w:eastAsia="Calibri"/>
          <w:noProof/>
        </w:rPr>
        <w:t>While</w:t>
      </w:r>
      <w:r w:rsidR="00627AA2" w:rsidRPr="0096740E">
        <w:rPr>
          <w:noProof/>
        </w:rPr>
        <w:t xml:space="preserve"> </w:t>
      </w:r>
      <w:r w:rsidR="00627AA2" w:rsidRPr="0096740E">
        <w:rPr>
          <w:rFonts w:eastAsia="Calibri"/>
          <w:noProof/>
        </w:rPr>
        <w:t xml:space="preserve">several Member States have developed </w:t>
      </w:r>
      <w:r w:rsidR="00ED02C5" w:rsidRPr="0096740E">
        <w:rPr>
          <w:rFonts w:eastAsia="Calibri"/>
          <w:noProof/>
        </w:rPr>
        <w:t xml:space="preserve">concrete </w:t>
      </w:r>
      <w:r w:rsidR="00627AA2" w:rsidRPr="0096740E">
        <w:rPr>
          <w:rFonts w:eastAsia="Calibri"/>
          <w:noProof/>
        </w:rPr>
        <w:t>initiatives aimed at tackling energy poverty and/or supporting vulnerable consumers that may also address the potential distributional effects of climate policies</w:t>
      </w:r>
      <w:r w:rsidR="00627AA2" w:rsidRPr="0096740E">
        <w:rPr>
          <w:rStyle w:val="FootnoteReference"/>
          <w:rFonts w:eastAsia="Calibri"/>
          <w:noProof/>
        </w:rPr>
        <w:footnoteReference w:id="21"/>
      </w:r>
      <w:r w:rsidRPr="0096740E">
        <w:rPr>
          <w:rFonts w:eastAsia="Calibri"/>
          <w:noProof/>
        </w:rPr>
        <w:t xml:space="preserve">, the </w:t>
      </w:r>
      <w:r w:rsidR="00627AA2" w:rsidRPr="0096740E">
        <w:rPr>
          <w:rFonts w:eastAsia="Calibri"/>
          <w:noProof/>
        </w:rPr>
        <w:t xml:space="preserve">Commission’s </w:t>
      </w:r>
      <w:r w:rsidRPr="0096740E">
        <w:rPr>
          <w:rFonts w:eastAsia="Calibri"/>
          <w:noProof/>
        </w:rPr>
        <w:t>assessment</w:t>
      </w:r>
      <w:r w:rsidR="00627AA2" w:rsidRPr="0096740E">
        <w:rPr>
          <w:rFonts w:eastAsia="Calibri"/>
          <w:noProof/>
        </w:rPr>
        <w:t xml:space="preserve"> in 2020 of the final NECPs</w:t>
      </w:r>
      <w:r w:rsidRPr="0096740E">
        <w:rPr>
          <w:rFonts w:eastAsia="Calibri"/>
          <w:noProof/>
        </w:rPr>
        <w:t xml:space="preserve"> concluded</w:t>
      </w:r>
      <w:r w:rsidRPr="0096740E">
        <w:rPr>
          <w:rStyle w:val="FootnoteReference"/>
          <w:rFonts w:eastAsia="Calibri"/>
          <w:noProof/>
        </w:rPr>
        <w:footnoteReference w:id="22"/>
      </w:r>
      <w:r w:rsidR="007B78F7">
        <w:rPr>
          <w:rFonts w:eastAsia="Calibri"/>
          <w:noProof/>
        </w:rPr>
        <w:t xml:space="preserve"> that, ‘</w:t>
      </w:r>
      <w:r w:rsidRPr="007B78F7">
        <w:rPr>
          <w:rFonts w:eastAsia="Calibri"/>
          <w:i/>
          <w:iCs/>
          <w:noProof/>
        </w:rPr>
        <w:t>a large majority of Member States still needs to develop clearer strategies and objectives through a cross-cutting approach to identify and measure the social, employment and skills consequences and other distributional impacts of the energy transition and give proper consideration on</w:t>
      </w:r>
      <w:r w:rsidR="007B78F7" w:rsidRPr="007B78F7">
        <w:rPr>
          <w:rFonts w:eastAsia="Calibri"/>
          <w:i/>
          <w:iCs/>
          <w:noProof/>
        </w:rPr>
        <w:t xml:space="preserve"> how to address these challenges</w:t>
      </w:r>
      <w:r w:rsidR="00A5435F">
        <w:rPr>
          <w:rFonts w:eastAsia="Calibri"/>
          <w:i/>
          <w:iCs/>
          <w:noProof/>
        </w:rPr>
        <w:t>’</w:t>
      </w:r>
      <w:r w:rsidRPr="0096740E">
        <w:rPr>
          <w:rFonts w:eastAsia="Calibri"/>
          <w:noProof/>
        </w:rPr>
        <w:t>.</w:t>
      </w:r>
    </w:p>
    <w:p w14:paraId="7E3537C2" w14:textId="77777777" w:rsidR="00AC72B0" w:rsidRPr="0096740E" w:rsidRDefault="00002649" w:rsidP="00036AAA">
      <w:pPr>
        <w:rPr>
          <w:rFonts w:eastAsia="Calibri"/>
          <w:noProof/>
        </w:rPr>
      </w:pPr>
      <w:r w:rsidRPr="0096740E">
        <w:rPr>
          <w:rFonts w:eastAsia="Calibri"/>
          <w:noProof/>
        </w:rPr>
        <w:t>Under the Common Provisions Regulation</w:t>
      </w:r>
      <w:r w:rsidR="00E3111D" w:rsidRPr="0096740E">
        <w:rPr>
          <w:rStyle w:val="FootnoteReference"/>
          <w:rFonts w:eastAsia="Calibri"/>
          <w:noProof/>
        </w:rPr>
        <w:footnoteReference w:id="23"/>
      </w:r>
      <w:r w:rsidRPr="0096740E">
        <w:rPr>
          <w:rFonts w:eastAsia="Calibri"/>
          <w:noProof/>
        </w:rPr>
        <w:t>, which covers inter alia the E</w:t>
      </w:r>
      <w:r w:rsidR="002552F8" w:rsidRPr="0096740E">
        <w:rPr>
          <w:rFonts w:eastAsia="Calibri"/>
          <w:noProof/>
        </w:rPr>
        <w:t>uropean Regional Development Fund (</w:t>
      </w:r>
      <w:r w:rsidRPr="0096740E">
        <w:rPr>
          <w:rFonts w:eastAsia="Calibri"/>
          <w:noProof/>
        </w:rPr>
        <w:t>ERDF</w:t>
      </w:r>
      <w:r w:rsidR="002552F8" w:rsidRPr="0096740E">
        <w:rPr>
          <w:rFonts w:eastAsia="Calibri"/>
          <w:noProof/>
        </w:rPr>
        <w:t>)</w:t>
      </w:r>
      <w:r w:rsidRPr="0096740E">
        <w:rPr>
          <w:rFonts w:eastAsia="Calibri"/>
          <w:noProof/>
        </w:rPr>
        <w:t xml:space="preserve">, </w:t>
      </w:r>
      <w:r w:rsidR="00E87757" w:rsidRPr="0096740E">
        <w:rPr>
          <w:rFonts w:eastAsia="Calibri"/>
          <w:noProof/>
        </w:rPr>
        <w:t xml:space="preserve">the </w:t>
      </w:r>
      <w:r w:rsidRPr="0096740E">
        <w:rPr>
          <w:rFonts w:eastAsia="Calibri"/>
          <w:noProof/>
        </w:rPr>
        <w:t>E</w:t>
      </w:r>
      <w:r w:rsidR="002552F8" w:rsidRPr="0096740E">
        <w:rPr>
          <w:rFonts w:eastAsia="Calibri"/>
          <w:noProof/>
        </w:rPr>
        <w:t>uropean Social Fund + (</w:t>
      </w:r>
      <w:r w:rsidRPr="0096740E">
        <w:rPr>
          <w:rFonts w:eastAsia="Calibri"/>
          <w:noProof/>
        </w:rPr>
        <w:t>ESF+</w:t>
      </w:r>
      <w:r w:rsidR="002552F8" w:rsidRPr="0096740E">
        <w:rPr>
          <w:rFonts w:eastAsia="Calibri"/>
          <w:noProof/>
        </w:rPr>
        <w:t>)</w:t>
      </w:r>
      <w:r w:rsidRPr="0096740E">
        <w:rPr>
          <w:rFonts w:eastAsia="Calibri"/>
          <w:noProof/>
        </w:rPr>
        <w:t xml:space="preserve">, the Cohesion Fund and the </w:t>
      </w:r>
      <w:r w:rsidR="006E2409" w:rsidRPr="0096740E">
        <w:rPr>
          <w:rFonts w:eastAsia="Calibri"/>
          <w:noProof/>
        </w:rPr>
        <w:t>Just Transition Fund (</w:t>
      </w:r>
      <w:r w:rsidRPr="0096740E">
        <w:rPr>
          <w:rFonts w:eastAsia="Calibri"/>
          <w:noProof/>
        </w:rPr>
        <w:t>JTF</w:t>
      </w:r>
      <w:r w:rsidR="006E2409" w:rsidRPr="0096740E">
        <w:rPr>
          <w:rFonts w:eastAsia="Calibri"/>
          <w:noProof/>
        </w:rPr>
        <w:t>)</w:t>
      </w:r>
      <w:r w:rsidRPr="0096740E">
        <w:rPr>
          <w:rFonts w:eastAsia="Calibri"/>
          <w:noProof/>
        </w:rPr>
        <w:t xml:space="preserve">, Member States are expected to take account of the contents of their integrated NECPs and the </w:t>
      </w:r>
      <w:r w:rsidR="00E87757" w:rsidRPr="0096740E">
        <w:rPr>
          <w:rFonts w:eastAsia="Calibri"/>
          <w:noProof/>
        </w:rPr>
        <w:t>Commission</w:t>
      </w:r>
      <w:r w:rsidRPr="0096740E">
        <w:rPr>
          <w:rFonts w:eastAsia="Calibri"/>
          <w:noProof/>
        </w:rPr>
        <w:t xml:space="preserve"> recommendations regarding these plans, for their programmes, including during the mid-term review. The territorial just transition plans (TJTPs) under the JTF </w:t>
      </w:r>
      <w:r w:rsidR="00E87757" w:rsidRPr="0096740E">
        <w:rPr>
          <w:rFonts w:eastAsia="Calibri"/>
          <w:noProof/>
        </w:rPr>
        <w:t xml:space="preserve">should </w:t>
      </w:r>
      <w:r w:rsidR="00FF55D8" w:rsidRPr="0096740E">
        <w:rPr>
          <w:rFonts w:eastAsia="Calibri"/>
          <w:noProof/>
        </w:rPr>
        <w:t xml:space="preserve">focus on tackling the socio-economic impact of the transition in selected territories relying on fossil fuels or greenhouse gas-intensive industrial activities and include a general section on the national transition process based on the NECPs. </w:t>
      </w:r>
      <w:r w:rsidR="005267A1" w:rsidRPr="0096740E">
        <w:rPr>
          <w:rFonts w:eastAsia="Calibri"/>
          <w:noProof/>
        </w:rPr>
        <w:t>The Just Transition Platform was set up to support all relevant stakeholders in using the resources of the Just Transition Mechanism. In addition to the Just Transition Fund (pillar 1), it contains a dedicated scheme under Invest EU (pillar 2) and a public sector loan facility (pillar 3).</w:t>
      </w:r>
    </w:p>
    <w:p w14:paraId="5AA9012A" w14:textId="1D784E8E" w:rsidR="00AC72B0" w:rsidRPr="0096740E" w:rsidRDefault="00E52486" w:rsidP="00036AAA">
      <w:pPr>
        <w:rPr>
          <w:rFonts w:eastAsia="Calibri"/>
          <w:noProof/>
        </w:rPr>
      </w:pPr>
      <w:r w:rsidRPr="0096740E">
        <w:rPr>
          <w:noProof/>
          <w:szCs w:val="24"/>
        </w:rPr>
        <w:t>With three of the six pillars setting out the scope of the Recovery and Resilience Facility focusing on social elements</w:t>
      </w:r>
      <w:r w:rsidRPr="0096740E">
        <w:rPr>
          <w:rFonts w:eastAsia="Calibri"/>
          <w:noProof/>
        </w:rPr>
        <w:t>, t</w:t>
      </w:r>
      <w:r w:rsidR="00002649" w:rsidRPr="0096740E">
        <w:rPr>
          <w:rFonts w:eastAsia="Calibri"/>
          <w:noProof/>
        </w:rPr>
        <w:t xml:space="preserve">he recovery and resilience plans (RRPs) under the Recovery and Resilience Facility (RRF) </w:t>
      </w:r>
      <w:r w:rsidRPr="0096740E">
        <w:rPr>
          <w:rFonts w:eastAsia="Calibri"/>
          <w:noProof/>
        </w:rPr>
        <w:t xml:space="preserve">outline a significant number of reforms and investments that address the </w:t>
      </w:r>
      <w:r w:rsidR="00002649" w:rsidRPr="0096740E">
        <w:rPr>
          <w:rFonts w:eastAsia="Calibri"/>
          <w:noProof/>
        </w:rPr>
        <w:t xml:space="preserve">aspects of the </w:t>
      </w:r>
      <w:r w:rsidR="001C6DE0" w:rsidRPr="0096740E">
        <w:rPr>
          <w:rFonts w:eastAsia="Calibri"/>
          <w:noProof/>
        </w:rPr>
        <w:t xml:space="preserve">fair </w:t>
      </w:r>
      <w:r w:rsidR="00002649" w:rsidRPr="0096740E">
        <w:rPr>
          <w:rFonts w:eastAsia="Calibri"/>
          <w:noProof/>
        </w:rPr>
        <w:t>transition</w:t>
      </w:r>
      <w:r w:rsidR="00C5250C" w:rsidRPr="0096740E">
        <w:rPr>
          <w:rFonts w:eastAsia="Calibri"/>
          <w:noProof/>
        </w:rPr>
        <w:t xml:space="preserve"> in terms of both reforms and investments</w:t>
      </w:r>
      <w:r w:rsidR="00C131E2" w:rsidRPr="0096740E">
        <w:rPr>
          <w:rFonts w:eastAsia="Calibri"/>
          <w:noProof/>
        </w:rPr>
        <w:t xml:space="preserve">. </w:t>
      </w:r>
      <w:r w:rsidR="0095566C" w:rsidRPr="0096740E">
        <w:rPr>
          <w:rFonts w:eastAsia="Calibri"/>
          <w:noProof/>
        </w:rPr>
        <w:t>T</w:t>
      </w:r>
      <w:r w:rsidR="00C131E2" w:rsidRPr="0096740E">
        <w:rPr>
          <w:rFonts w:eastAsia="Calibri"/>
          <w:noProof/>
        </w:rPr>
        <w:t xml:space="preserve">he national plans and operational programmes are to be implemented </w:t>
      </w:r>
      <w:r w:rsidR="001C6DE0" w:rsidRPr="0096740E">
        <w:rPr>
          <w:rFonts w:eastAsia="Calibri"/>
          <w:noProof/>
        </w:rPr>
        <w:t>within the current financing period</w:t>
      </w:r>
      <w:r w:rsidR="005B0E3B" w:rsidRPr="0096740E">
        <w:rPr>
          <w:rFonts w:eastAsia="Calibri"/>
          <w:noProof/>
        </w:rPr>
        <w:t>. While the reforms and investments are designed to have a lasting impact</w:t>
      </w:r>
      <w:r w:rsidR="00C131E2" w:rsidRPr="0096740E">
        <w:rPr>
          <w:rFonts w:eastAsia="Calibri"/>
          <w:noProof/>
        </w:rPr>
        <w:t xml:space="preserve">, </w:t>
      </w:r>
      <w:r w:rsidR="005B0E3B" w:rsidRPr="0096740E">
        <w:rPr>
          <w:rFonts w:eastAsia="Calibri"/>
          <w:noProof/>
        </w:rPr>
        <w:t>because of this limited duration</w:t>
      </w:r>
      <w:r w:rsidR="00C131E2" w:rsidRPr="0096740E">
        <w:rPr>
          <w:rFonts w:eastAsia="Calibri"/>
          <w:noProof/>
        </w:rPr>
        <w:t>, they</w:t>
      </w:r>
      <w:r w:rsidR="00002649" w:rsidRPr="0096740E">
        <w:rPr>
          <w:rFonts w:eastAsia="Calibri"/>
          <w:noProof/>
        </w:rPr>
        <w:t xml:space="preserve"> do not provide for a </w:t>
      </w:r>
      <w:r w:rsidR="005B0E3B" w:rsidRPr="0096740E">
        <w:rPr>
          <w:rFonts w:eastAsia="Calibri"/>
          <w:noProof/>
        </w:rPr>
        <w:t>fully</w:t>
      </w:r>
      <w:r w:rsidR="00002649" w:rsidRPr="0096740E">
        <w:rPr>
          <w:rFonts w:eastAsia="Calibri"/>
          <w:noProof/>
        </w:rPr>
        <w:t xml:space="preserve"> comprehensive approach</w:t>
      </w:r>
      <w:r w:rsidR="00617CA7" w:rsidRPr="0096740E">
        <w:rPr>
          <w:rFonts w:eastAsia="Calibri"/>
          <w:noProof/>
        </w:rPr>
        <w:t xml:space="preserve"> on fair transition</w:t>
      </w:r>
      <w:r w:rsidR="00002649" w:rsidRPr="0096740E">
        <w:rPr>
          <w:rFonts w:eastAsia="Calibri"/>
          <w:noProof/>
        </w:rPr>
        <w:t xml:space="preserve"> at the national level</w:t>
      </w:r>
      <w:r w:rsidR="002969EF" w:rsidRPr="0096740E">
        <w:rPr>
          <w:rFonts w:eastAsia="Calibri"/>
          <w:noProof/>
        </w:rPr>
        <w:t xml:space="preserve"> beyond 2027, notably</w:t>
      </w:r>
      <w:r w:rsidR="00002649" w:rsidRPr="0096740E">
        <w:rPr>
          <w:rFonts w:eastAsia="Calibri"/>
          <w:noProof/>
        </w:rPr>
        <w:t xml:space="preserve"> </w:t>
      </w:r>
      <w:r w:rsidR="002969EF" w:rsidRPr="0096740E">
        <w:rPr>
          <w:rFonts w:eastAsia="Calibri"/>
          <w:noProof/>
        </w:rPr>
        <w:t>with</w:t>
      </w:r>
      <w:r w:rsidR="006E2409" w:rsidRPr="0096740E">
        <w:rPr>
          <w:rFonts w:eastAsia="Calibri"/>
          <w:noProof/>
        </w:rPr>
        <w:t xml:space="preserve"> a</w:t>
      </w:r>
      <w:r w:rsidR="002969EF" w:rsidRPr="0096740E">
        <w:rPr>
          <w:rFonts w:eastAsia="Calibri"/>
          <w:noProof/>
        </w:rPr>
        <w:t xml:space="preserve"> view to the EU climate targets</w:t>
      </w:r>
      <w:r w:rsidR="00002649" w:rsidRPr="0096740E">
        <w:rPr>
          <w:rFonts w:eastAsia="Calibri"/>
          <w:noProof/>
        </w:rPr>
        <w:t xml:space="preserve">. </w:t>
      </w:r>
    </w:p>
    <w:p w14:paraId="209E937C" w14:textId="77777777" w:rsidR="00071F47" w:rsidRPr="0096740E" w:rsidRDefault="00002649" w:rsidP="009C2412">
      <w:pPr>
        <w:rPr>
          <w:noProof/>
        </w:rPr>
      </w:pPr>
      <w:r w:rsidRPr="0096740E">
        <w:rPr>
          <w:rFonts w:eastAsia="Calibri"/>
          <w:noProof/>
        </w:rPr>
        <w:t xml:space="preserve">Other available sources of funding support further complementary actions in this area, </w:t>
      </w:r>
      <w:r w:rsidR="00D16564" w:rsidRPr="0096740E">
        <w:rPr>
          <w:rFonts w:eastAsia="Calibri"/>
          <w:noProof/>
        </w:rPr>
        <w:t>including</w:t>
      </w:r>
      <w:r w:rsidR="00E3111D" w:rsidRPr="0096740E">
        <w:rPr>
          <w:rFonts w:eastAsia="Calibri"/>
          <w:noProof/>
        </w:rPr>
        <w:t xml:space="preserve"> ERASMUS+,</w:t>
      </w:r>
      <w:r w:rsidR="00D16564" w:rsidRPr="0096740E">
        <w:rPr>
          <w:rFonts w:eastAsia="Calibri"/>
          <w:noProof/>
        </w:rPr>
        <w:t xml:space="preserve"> </w:t>
      </w:r>
      <w:r w:rsidRPr="0096740E">
        <w:rPr>
          <w:rFonts w:eastAsia="Calibri"/>
          <w:noProof/>
        </w:rPr>
        <w:t>the European Globalisation Adjustment Fund</w:t>
      </w:r>
      <w:r w:rsidR="000208FD" w:rsidRPr="0096740E">
        <w:rPr>
          <w:rFonts w:eastAsia="Calibri"/>
          <w:noProof/>
        </w:rPr>
        <w:t xml:space="preserve"> for Displaced Workers</w:t>
      </w:r>
      <w:r w:rsidRPr="0096740E">
        <w:rPr>
          <w:rFonts w:eastAsia="Calibri"/>
          <w:noProof/>
        </w:rPr>
        <w:t xml:space="preserve"> (EGF</w:t>
      </w:r>
      <w:r w:rsidR="00D16564" w:rsidRPr="0096740E">
        <w:rPr>
          <w:rFonts w:eastAsia="Calibri"/>
          <w:noProof/>
        </w:rPr>
        <w:t>)</w:t>
      </w:r>
      <w:r w:rsidR="00E3111D" w:rsidRPr="0096740E">
        <w:rPr>
          <w:rFonts w:eastAsia="Calibri"/>
          <w:noProof/>
        </w:rPr>
        <w:t>,</w:t>
      </w:r>
      <w:r w:rsidRPr="0096740E">
        <w:rPr>
          <w:rFonts w:eastAsia="Calibri"/>
          <w:noProof/>
        </w:rPr>
        <w:t xml:space="preserve"> </w:t>
      </w:r>
      <w:r w:rsidR="00E3111D" w:rsidRPr="0096740E">
        <w:rPr>
          <w:noProof/>
        </w:rPr>
        <w:t>the Recovery Assistance for Cohesion and the Territories of Europe (</w:t>
      </w:r>
      <w:r w:rsidRPr="0096740E">
        <w:rPr>
          <w:rFonts w:eastAsia="Calibri"/>
          <w:noProof/>
        </w:rPr>
        <w:t>REACT-EU</w:t>
      </w:r>
      <w:r w:rsidR="00E3111D" w:rsidRPr="0096740E">
        <w:rPr>
          <w:rFonts w:eastAsia="Calibri"/>
          <w:noProof/>
        </w:rPr>
        <w:t xml:space="preserve">), the </w:t>
      </w:r>
      <w:r w:rsidR="00E87757" w:rsidRPr="0096740E">
        <w:rPr>
          <w:rFonts w:eastAsia="Calibri"/>
          <w:noProof/>
        </w:rPr>
        <w:t>Modernisation Fund and auctioning revenues under the EU Emissions Trading System (ETS),</w:t>
      </w:r>
      <w:r w:rsidR="00E3111D" w:rsidRPr="0096740E">
        <w:rPr>
          <w:rFonts w:eastAsia="Calibri"/>
          <w:noProof/>
        </w:rPr>
        <w:t xml:space="preserve"> the LIFE+ programme and the Horizon Europe Programme</w:t>
      </w:r>
      <w:r w:rsidRPr="0096740E">
        <w:rPr>
          <w:rFonts w:eastAsia="Calibri"/>
          <w:noProof/>
        </w:rPr>
        <w:t>.</w:t>
      </w:r>
      <w:r w:rsidR="0044443E" w:rsidRPr="0096740E">
        <w:rPr>
          <w:noProof/>
        </w:rPr>
        <w:t xml:space="preserve"> </w:t>
      </w:r>
      <w:r w:rsidR="00E56653" w:rsidRPr="0096740E">
        <w:rPr>
          <w:noProof/>
        </w:rPr>
        <w:t>In particular, the ESF+ Regulation</w:t>
      </w:r>
      <w:r w:rsidR="00E56653" w:rsidRPr="0096740E">
        <w:rPr>
          <w:rStyle w:val="FootnoteReference"/>
          <w:noProof/>
        </w:rPr>
        <w:footnoteReference w:id="24"/>
      </w:r>
      <w:r w:rsidR="2889F49E" w:rsidRPr="0096740E">
        <w:rPr>
          <w:noProof/>
        </w:rPr>
        <w:t xml:space="preserve"> stipulates that the ESF+ shall aim to contribute, in line with its specific objectives under Article 4(1), to objectives related to a greener, low carbon Europe through the improvement of education and training systems necessary for the adaptation of skills and qualifications, upskilling including </w:t>
      </w:r>
      <w:r w:rsidR="00570BB0" w:rsidRPr="0096740E">
        <w:rPr>
          <w:noProof/>
        </w:rPr>
        <w:t xml:space="preserve">of </w:t>
      </w:r>
      <w:r w:rsidR="2889F49E" w:rsidRPr="0096740E">
        <w:rPr>
          <w:noProof/>
        </w:rPr>
        <w:t>the labour force, the creation of new jobs in sectors related to the environment, climate, energy, the circular economy and the bio</w:t>
      </w:r>
      <w:r w:rsidR="00570BB0" w:rsidRPr="0096740E">
        <w:rPr>
          <w:noProof/>
        </w:rPr>
        <w:t>-</w:t>
      </w:r>
      <w:r w:rsidR="2889F49E" w:rsidRPr="0096740E">
        <w:rPr>
          <w:noProof/>
        </w:rPr>
        <w:t>economy</w:t>
      </w:r>
      <w:r w:rsidR="001C6DE0" w:rsidRPr="0096740E">
        <w:rPr>
          <w:noProof/>
        </w:rPr>
        <w:t>.</w:t>
      </w:r>
    </w:p>
    <w:p w14:paraId="4E07D40A" w14:textId="572FC339" w:rsidR="00DF139C" w:rsidRDefault="0044443E" w:rsidP="00DF139C">
      <w:pPr>
        <w:rPr>
          <w:noProof/>
          <w:szCs w:val="24"/>
        </w:rPr>
      </w:pPr>
      <w:r w:rsidRPr="0096740E">
        <w:rPr>
          <w:rFonts w:eastAsia="Arial Unicode MS"/>
          <w:noProof/>
        </w:rPr>
        <w:t xml:space="preserve">Several other strategies and actions plans contribute to a fair green transition. </w:t>
      </w:r>
      <w:r w:rsidRPr="0096740E">
        <w:rPr>
          <w:noProof/>
        </w:rPr>
        <w:t>The 2020 European Skills Agenda</w:t>
      </w:r>
      <w:r w:rsidRPr="0096740E">
        <w:rPr>
          <w:rStyle w:val="FootnoteReference"/>
          <w:noProof/>
        </w:rPr>
        <w:footnoteReference w:id="25"/>
      </w:r>
      <w:r w:rsidRPr="0096740E">
        <w:rPr>
          <w:noProof/>
        </w:rPr>
        <w:t xml:space="preserve"> aims to empower individuals to learn and make sure their skills are fit for the twin transition. In the Skills Agenda, the Commission announces a set of actions to support the acquisition of skills for the green transition</w:t>
      </w:r>
      <w:r w:rsidR="00FD1D79" w:rsidRPr="0096740E">
        <w:rPr>
          <w:noProof/>
        </w:rPr>
        <w:t>, including on individual learning accounts</w:t>
      </w:r>
      <w:r w:rsidR="00FD1D79" w:rsidRPr="0096740E">
        <w:rPr>
          <w:rStyle w:val="FootnoteReference"/>
          <w:noProof/>
        </w:rPr>
        <w:footnoteReference w:id="26"/>
      </w:r>
      <w:r w:rsidR="00FD1D79" w:rsidRPr="0096740E">
        <w:rPr>
          <w:noProof/>
        </w:rPr>
        <w:t>, a European approach for micro-credentials</w:t>
      </w:r>
      <w:r w:rsidR="00FD1D79" w:rsidRPr="0096740E">
        <w:rPr>
          <w:rStyle w:val="FootnoteReference"/>
          <w:noProof/>
        </w:rPr>
        <w:footnoteReference w:id="27"/>
      </w:r>
      <w:r w:rsidR="00FD1D79" w:rsidRPr="0096740E">
        <w:rPr>
          <w:noProof/>
        </w:rPr>
        <w:t xml:space="preserve"> and learning for environmental sustainability</w:t>
      </w:r>
      <w:r w:rsidR="00FD1D79" w:rsidRPr="0096740E">
        <w:rPr>
          <w:rStyle w:val="FootnoteReference"/>
          <w:noProof/>
        </w:rPr>
        <w:footnoteReference w:id="28"/>
      </w:r>
      <w:r w:rsidRPr="0096740E">
        <w:rPr>
          <w:noProof/>
        </w:rPr>
        <w:t xml:space="preserve">. </w:t>
      </w:r>
      <w:r w:rsidR="00B003AB" w:rsidRPr="0096740E">
        <w:rPr>
          <w:noProof/>
        </w:rPr>
        <w:t>The Pact for Skills</w:t>
      </w:r>
      <w:r w:rsidR="00B003AB" w:rsidRPr="0096740E">
        <w:rPr>
          <w:rStyle w:val="FootnoteReference"/>
          <w:noProof/>
        </w:rPr>
        <w:footnoteReference w:id="29"/>
      </w:r>
      <w:r w:rsidR="00B003AB" w:rsidRPr="0096740E">
        <w:rPr>
          <w:noProof/>
        </w:rPr>
        <w:t xml:space="preserve"> aims at mobilising private and public stakeholders to take concrete action for the up- and reskilling of people on the labour market, and, where relevant, pool efforts in partnerships. As of end November 2021, five such partnerships had been established</w:t>
      </w:r>
      <w:r w:rsidR="00B003AB" w:rsidRPr="0096740E">
        <w:rPr>
          <w:rStyle w:val="FootnoteReference"/>
          <w:noProof/>
        </w:rPr>
        <w:footnoteReference w:id="30"/>
      </w:r>
      <w:r w:rsidR="00B003AB" w:rsidRPr="0096740E">
        <w:rPr>
          <w:noProof/>
        </w:rPr>
        <w:t xml:space="preserve">, which committed to the up- and reskilling of 1.5 million people in the coming years. </w:t>
      </w:r>
      <w:r w:rsidR="0052627D" w:rsidRPr="0096740E">
        <w:rPr>
          <w:noProof/>
        </w:rPr>
        <w:t>By end November 2021, t</w:t>
      </w:r>
      <w:r w:rsidR="00B003AB" w:rsidRPr="0096740E">
        <w:rPr>
          <w:noProof/>
        </w:rPr>
        <w:t>he Pact for Skills ha</w:t>
      </w:r>
      <w:r w:rsidR="0052627D" w:rsidRPr="0096740E">
        <w:rPr>
          <w:noProof/>
        </w:rPr>
        <w:t>d</w:t>
      </w:r>
      <w:r w:rsidR="00B003AB" w:rsidRPr="0096740E">
        <w:rPr>
          <w:noProof/>
        </w:rPr>
        <w:t xml:space="preserve"> assembled more than 500 members, including sectoral business organisations, large and small companies, universities, VET providers, social partners, chambers of commerce, regional and local authorities and public and private employment services. </w:t>
      </w:r>
      <w:r w:rsidRPr="0096740E">
        <w:rPr>
          <w:rFonts w:eastAsia="Arial Unicode MS"/>
          <w:noProof/>
        </w:rPr>
        <w:t xml:space="preserve">The EU’s updated New Industrial Strategy supports job creation in the green economy, stipulating, for example, the important roles of investments in skills, </w:t>
      </w:r>
      <w:r w:rsidRPr="0096740E">
        <w:rPr>
          <w:rFonts w:eastAsia="Arial Unicode MS"/>
          <w:noProof/>
          <w:szCs w:val="24"/>
        </w:rPr>
        <w:t xml:space="preserve">agile public-private partnerships, cooperation in stimulating social dialogue, as well as the creation of green jobs, such as through the various </w:t>
      </w:r>
      <w:r w:rsidRPr="0096740E">
        <w:rPr>
          <w:bCs/>
          <w:noProof/>
          <w:szCs w:val="24"/>
          <w:shd w:val="clear" w:color="auto" w:fill="FFFFFF"/>
        </w:rPr>
        <w:t>European-wide alliances, notably on batteries, clean hydrogen, circular plastics, and raw materials.</w:t>
      </w:r>
      <w:r w:rsidR="00AA37F6" w:rsidRPr="0096740E">
        <w:rPr>
          <w:bCs/>
          <w:noProof/>
          <w:szCs w:val="24"/>
          <w:shd w:val="clear" w:color="auto" w:fill="FFFFFF"/>
        </w:rPr>
        <w:t xml:space="preserve"> </w:t>
      </w:r>
      <w:r w:rsidR="005267A1" w:rsidRPr="0096740E">
        <w:rPr>
          <w:rFonts w:eastAsia="Arial Unicode MS"/>
          <w:noProof/>
        </w:rPr>
        <w:t>The New Consumer Agenda</w:t>
      </w:r>
      <w:r w:rsidR="005267A1" w:rsidRPr="0096740E">
        <w:rPr>
          <w:rStyle w:val="FootnoteReference"/>
          <w:rFonts w:eastAsia="Arial Unicode MS"/>
          <w:noProof/>
        </w:rPr>
        <w:footnoteReference w:id="31"/>
      </w:r>
      <w:r w:rsidR="005267A1" w:rsidRPr="0096740E">
        <w:rPr>
          <w:rFonts w:eastAsia="Arial Unicode MS"/>
          <w:noProof/>
        </w:rPr>
        <w:t xml:space="preserve"> aims to support the green transition to empower, support and enable every consumer, regardless of their financial situation, to play an active role in the green transition without imposing a specific lifestyle and without social discrimination</w:t>
      </w:r>
      <w:r w:rsidR="00E24CF8">
        <w:rPr>
          <w:rStyle w:val="FootnoteReference"/>
          <w:rFonts w:eastAsia="Arial Unicode MS"/>
          <w:noProof/>
        </w:rPr>
        <w:footnoteReference w:id="32"/>
      </w:r>
      <w:r w:rsidR="005267A1" w:rsidRPr="0096740E">
        <w:rPr>
          <w:rFonts w:eastAsia="Arial Unicode MS"/>
          <w:noProof/>
        </w:rPr>
        <w:t xml:space="preserve">. </w:t>
      </w:r>
    </w:p>
    <w:p w14:paraId="7E8CACBF" w14:textId="2A066A61" w:rsidR="00E56653" w:rsidRPr="0096740E" w:rsidRDefault="00AA37F6" w:rsidP="009C2412">
      <w:pPr>
        <w:rPr>
          <w:noProof/>
        </w:rPr>
      </w:pPr>
      <w:r w:rsidRPr="0096740E">
        <w:rPr>
          <w:bCs/>
          <w:noProof/>
          <w:szCs w:val="24"/>
          <w:shd w:val="clear" w:color="auto" w:fill="FFFFFF"/>
        </w:rPr>
        <w:t xml:space="preserve">Moreover, </w:t>
      </w:r>
      <w:r w:rsidRPr="0096740E">
        <w:rPr>
          <w:noProof/>
        </w:rPr>
        <w:t>the Long Term Vision for the EU´s rural areas</w:t>
      </w:r>
      <w:r w:rsidRPr="0096740E">
        <w:rPr>
          <w:rStyle w:val="FootnoteReference"/>
          <w:noProof/>
        </w:rPr>
        <w:footnoteReference w:id="33"/>
      </w:r>
      <w:r w:rsidRPr="0096740E">
        <w:rPr>
          <w:noProof/>
        </w:rPr>
        <w:t xml:space="preserve"> aims at making rural areas stronger, more connected, resilient and prosperous, als</w:t>
      </w:r>
      <w:r w:rsidR="00C12028">
        <w:rPr>
          <w:noProof/>
        </w:rPr>
        <w:t xml:space="preserve">o through the green transition. </w:t>
      </w:r>
      <w:r w:rsidR="00C12028" w:rsidRPr="00C12028">
        <w:rPr>
          <w:noProof/>
        </w:rPr>
        <w:t>Last, the EU Roma strategic framework for equality inclusion and participation for 2020 - 2030 sets seven objectives at the EU level for the period up to 2030, including increasing effective equal access to adequate desegregated housing and essential services</w:t>
      </w:r>
      <w:r w:rsidR="00C12028">
        <w:rPr>
          <w:rStyle w:val="FootnoteReference"/>
          <w:noProof/>
        </w:rPr>
        <w:footnoteReference w:id="34"/>
      </w:r>
      <w:r w:rsidR="00C12028" w:rsidRPr="00C12028">
        <w:rPr>
          <w:noProof/>
        </w:rPr>
        <w:t>.</w:t>
      </w:r>
    </w:p>
    <w:p w14:paraId="75CC1E22" w14:textId="77777777" w:rsidR="00002649" w:rsidRPr="0096740E" w:rsidRDefault="00002649" w:rsidP="00002649">
      <w:pPr>
        <w:pStyle w:val="ManualHeading2"/>
        <w:rPr>
          <w:rFonts w:eastAsia="Arial Unicode MS"/>
          <w:noProof/>
        </w:rPr>
      </w:pPr>
      <w:r w:rsidRPr="0096740E">
        <w:rPr>
          <w:rFonts w:eastAsia="Arial Unicode MS"/>
          <w:noProof/>
          <w:color w:val="000000"/>
          <w:bdr w:val="nil"/>
          <w:lang w:val="en-US" w:eastAsia="en-GB"/>
        </w:rPr>
        <w:t>•</w:t>
      </w:r>
      <w:r w:rsidRPr="0096740E">
        <w:rPr>
          <w:rFonts w:eastAsia="Arial Unicode MS"/>
          <w:noProof/>
          <w:color w:val="000000"/>
          <w:u w:color="000000"/>
          <w:bdr w:val="nil"/>
          <w:lang w:val="en-US" w:eastAsia="en-GB"/>
        </w:rPr>
        <w:tab/>
      </w:r>
      <w:r w:rsidRPr="0096740E">
        <w:rPr>
          <w:rFonts w:eastAsia="Arial Unicode MS"/>
          <w:noProof/>
        </w:rPr>
        <w:t>Consistency with other Union policies</w:t>
      </w:r>
    </w:p>
    <w:p w14:paraId="32ACFD35" w14:textId="2CA876F7" w:rsidR="005C0F00" w:rsidRPr="0096740E" w:rsidRDefault="00AC72B0"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S</w:t>
      </w:r>
      <w:r w:rsidR="00002649" w:rsidRPr="0096740E">
        <w:rPr>
          <w:rFonts w:eastAsia="Arial Unicode MS"/>
          <w:noProof/>
        </w:rPr>
        <w:t>ocial fairness is built into the design of the legislative proposals</w:t>
      </w:r>
      <w:r w:rsidR="007421D2" w:rsidRPr="0096740E">
        <w:rPr>
          <w:rFonts w:eastAsia="Arial Unicode MS"/>
          <w:noProof/>
        </w:rPr>
        <w:t xml:space="preserve"> in the ‘Fit for 55’ package</w:t>
      </w:r>
      <w:r w:rsidR="00002649" w:rsidRPr="0096740E">
        <w:rPr>
          <w:rFonts w:eastAsia="Arial Unicode MS"/>
          <w:noProof/>
        </w:rPr>
        <w:t xml:space="preserve">. In particular, the proposed </w:t>
      </w:r>
      <w:r w:rsidR="005C0F00" w:rsidRPr="0096740E">
        <w:rPr>
          <w:rFonts w:eastAsia="Arial Unicode MS"/>
          <w:noProof/>
        </w:rPr>
        <w:t xml:space="preserve">revision of the </w:t>
      </w:r>
      <w:r w:rsidR="00002649" w:rsidRPr="0096740E">
        <w:rPr>
          <w:rFonts w:eastAsia="Arial Unicode MS"/>
          <w:noProof/>
        </w:rPr>
        <w:t>Energy Taxation Directive</w:t>
      </w:r>
      <w:r w:rsidR="00F27E76" w:rsidRPr="0096740E">
        <w:rPr>
          <w:rStyle w:val="FootnoteReference"/>
          <w:rFonts w:eastAsia="Arial Unicode MS"/>
          <w:noProof/>
        </w:rPr>
        <w:footnoteReference w:id="35"/>
      </w:r>
      <w:r w:rsidR="00002649" w:rsidRPr="0096740E">
        <w:rPr>
          <w:rFonts w:eastAsia="Arial Unicode MS"/>
          <w:noProof/>
        </w:rPr>
        <w:t xml:space="preserve"> offers possibilities for temporarily exempting vulnerable households from higher energy taxes. The proposed </w:t>
      </w:r>
      <w:r w:rsidR="00680C0A" w:rsidRPr="0096740E">
        <w:rPr>
          <w:rFonts w:eastAsia="Arial Unicode MS"/>
          <w:noProof/>
        </w:rPr>
        <w:t>recast</w:t>
      </w:r>
      <w:r w:rsidR="000F5944" w:rsidRPr="0096740E">
        <w:rPr>
          <w:rFonts w:eastAsia="Arial Unicode MS"/>
          <w:noProof/>
        </w:rPr>
        <w:t>s</w:t>
      </w:r>
      <w:r w:rsidR="00680C0A" w:rsidRPr="0096740E">
        <w:rPr>
          <w:rFonts w:eastAsia="Arial Unicode MS"/>
          <w:noProof/>
        </w:rPr>
        <w:t xml:space="preserve"> of the </w:t>
      </w:r>
      <w:r w:rsidR="00002649" w:rsidRPr="0096740E">
        <w:rPr>
          <w:rFonts w:eastAsia="Arial Unicode MS"/>
          <w:noProof/>
        </w:rPr>
        <w:t>Energy Efficiency Directive</w:t>
      </w:r>
      <w:r w:rsidR="00F27E76" w:rsidRPr="0096740E">
        <w:rPr>
          <w:rStyle w:val="FootnoteReference"/>
          <w:rFonts w:eastAsia="Arial Unicode MS"/>
          <w:noProof/>
        </w:rPr>
        <w:footnoteReference w:id="36"/>
      </w:r>
      <w:r w:rsidR="000F5944" w:rsidRPr="0096740E">
        <w:rPr>
          <w:rFonts w:eastAsia="Arial Unicode MS"/>
          <w:noProof/>
        </w:rPr>
        <w:t xml:space="preserve"> and</w:t>
      </w:r>
      <w:r w:rsidR="00680C0A" w:rsidRPr="0096740E">
        <w:rPr>
          <w:rFonts w:eastAsia="Arial Unicode MS"/>
          <w:noProof/>
        </w:rPr>
        <w:t xml:space="preserve"> of the Energy Performance of Buildings Directive</w:t>
      </w:r>
      <w:r w:rsidR="00F27E76" w:rsidRPr="0096740E">
        <w:rPr>
          <w:rStyle w:val="FootnoteReference"/>
          <w:rFonts w:eastAsia="Arial Unicode MS"/>
          <w:noProof/>
        </w:rPr>
        <w:footnoteReference w:id="37"/>
      </w:r>
      <w:r w:rsidR="00680C0A" w:rsidRPr="0096740E">
        <w:rPr>
          <w:rFonts w:eastAsia="Arial Unicode MS"/>
          <w:noProof/>
        </w:rPr>
        <w:t>,</w:t>
      </w:r>
      <w:r w:rsidR="00002649" w:rsidRPr="0096740E">
        <w:rPr>
          <w:rFonts w:eastAsia="Arial Unicode MS"/>
          <w:noProof/>
        </w:rPr>
        <w:t xml:space="preserve"> and </w:t>
      </w:r>
      <w:r w:rsidR="00680C0A" w:rsidRPr="0096740E">
        <w:rPr>
          <w:rFonts w:eastAsia="Arial Unicode MS"/>
          <w:noProof/>
        </w:rPr>
        <w:t xml:space="preserve">the proposed revision of the </w:t>
      </w:r>
      <w:r w:rsidR="00002649" w:rsidRPr="0096740E">
        <w:rPr>
          <w:rFonts w:eastAsia="Arial Unicode MS"/>
          <w:noProof/>
        </w:rPr>
        <w:t>Renewable Energy Directive</w:t>
      </w:r>
      <w:r w:rsidR="00F27E76" w:rsidRPr="0096740E">
        <w:rPr>
          <w:rStyle w:val="FootnoteReference"/>
          <w:rFonts w:eastAsia="Arial Unicode MS"/>
          <w:noProof/>
        </w:rPr>
        <w:footnoteReference w:id="38"/>
      </w:r>
      <w:r w:rsidR="00002649" w:rsidRPr="0096740E">
        <w:rPr>
          <w:rFonts w:eastAsia="Arial Unicode MS"/>
          <w:noProof/>
        </w:rPr>
        <w:t xml:space="preserve"> stimulate energy savings which can </w:t>
      </w:r>
      <w:r w:rsidR="00680C0A" w:rsidRPr="0096740E">
        <w:rPr>
          <w:rFonts w:eastAsia="Arial Unicode MS"/>
          <w:noProof/>
        </w:rPr>
        <w:t>be strong instruments for alleviating</w:t>
      </w:r>
      <w:r w:rsidR="00002649" w:rsidRPr="0096740E">
        <w:rPr>
          <w:rFonts w:eastAsia="Arial Unicode MS"/>
          <w:noProof/>
        </w:rPr>
        <w:t xml:space="preserve"> energy poverty. </w:t>
      </w:r>
      <w:r w:rsidR="005C0F00" w:rsidRPr="0096740E">
        <w:rPr>
          <w:rFonts w:eastAsia="Arial Unicode MS"/>
          <w:noProof/>
        </w:rPr>
        <w:t>Further t</w:t>
      </w:r>
      <w:r w:rsidR="001E72F4">
        <w:rPr>
          <w:rFonts w:eastAsia="Arial Unicode MS"/>
          <w:noProof/>
        </w:rPr>
        <w:t>o that, the application of the ‘energy efficiency first p</w:t>
      </w:r>
      <w:r w:rsidR="005C0F00" w:rsidRPr="0096740E">
        <w:rPr>
          <w:rFonts w:eastAsia="Arial Unicode MS"/>
          <w:noProof/>
        </w:rPr>
        <w:t>rinciple</w:t>
      </w:r>
      <w:r w:rsidR="001E72F4">
        <w:rPr>
          <w:rFonts w:eastAsia="Arial Unicode MS"/>
          <w:noProof/>
        </w:rPr>
        <w:t>’</w:t>
      </w:r>
      <w:r w:rsidR="005C0F00" w:rsidRPr="0096740E">
        <w:rPr>
          <w:rFonts w:eastAsia="Arial Unicode MS"/>
          <w:noProof/>
        </w:rPr>
        <w:t xml:space="preserve"> will ensure that </w:t>
      </w:r>
      <w:r w:rsidR="004D12CF">
        <w:rPr>
          <w:rFonts w:eastAsia="Arial Unicode MS"/>
          <w:noProof/>
        </w:rPr>
        <w:t xml:space="preserve">economically </w:t>
      </w:r>
      <w:r w:rsidR="00601C39">
        <w:rPr>
          <w:rFonts w:eastAsia="Arial Unicode MS"/>
          <w:noProof/>
        </w:rPr>
        <w:t xml:space="preserve">disadvantaged </w:t>
      </w:r>
      <w:r w:rsidR="004D12CF">
        <w:rPr>
          <w:rFonts w:eastAsia="Arial Unicode MS"/>
          <w:noProof/>
        </w:rPr>
        <w:t>groups</w:t>
      </w:r>
      <w:r w:rsidR="005C0F00" w:rsidRPr="0096740E">
        <w:rPr>
          <w:rFonts w:eastAsia="Arial Unicode MS"/>
          <w:noProof/>
        </w:rPr>
        <w:t xml:space="preserve"> will benefit from energy efficiency solutions being considered as the first option in policy, planning and investment decisions and other policy areas. </w:t>
      </w:r>
      <w:r w:rsidR="00002649" w:rsidRPr="0096740E">
        <w:rPr>
          <w:rFonts w:eastAsia="Arial Unicode MS"/>
          <w:noProof/>
        </w:rPr>
        <w:t xml:space="preserve">The Energy Efficiency Directive </w:t>
      </w:r>
      <w:r w:rsidR="00680C0A" w:rsidRPr="0096740E">
        <w:rPr>
          <w:rFonts w:eastAsia="Arial Unicode MS"/>
          <w:noProof/>
        </w:rPr>
        <w:t xml:space="preserve">recast </w:t>
      </w:r>
      <w:r w:rsidR="00002649" w:rsidRPr="0096740E">
        <w:rPr>
          <w:rFonts w:eastAsia="Arial Unicode MS"/>
          <w:noProof/>
        </w:rPr>
        <w:t>proposal furthermore includes a specific obligation for Member States to support energy-poor and vulnerable households to achieve energy savings. The proposed Alternative Fuels Infrastructure Regulation</w:t>
      </w:r>
      <w:r w:rsidR="00B251A6">
        <w:rPr>
          <w:rStyle w:val="FootnoteReference"/>
          <w:rFonts w:eastAsia="Arial Unicode MS"/>
          <w:noProof/>
        </w:rPr>
        <w:footnoteReference w:id="39"/>
      </w:r>
      <w:r w:rsidR="00B251A6">
        <w:rPr>
          <w:rFonts w:eastAsia="Arial Unicode MS"/>
          <w:noProof/>
        </w:rPr>
        <w:t xml:space="preserve"> </w:t>
      </w:r>
      <w:r w:rsidR="00002649" w:rsidRPr="0096740E">
        <w:rPr>
          <w:rFonts w:eastAsia="Arial Unicode MS"/>
          <w:noProof/>
        </w:rPr>
        <w:t>will ensure that charging and refuelling infrastructures for zero emission vehicles will reach all parts of E</w:t>
      </w:r>
      <w:r w:rsidR="001E72F4">
        <w:rPr>
          <w:rFonts w:eastAsia="Arial Unicode MS"/>
          <w:noProof/>
        </w:rPr>
        <w:t>urope and be accessible to all.</w:t>
      </w:r>
    </w:p>
    <w:p w14:paraId="317AA1A9" w14:textId="55E89BF3" w:rsidR="00FF1321"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Moreover, </w:t>
      </w:r>
      <w:r w:rsidR="00C131E2" w:rsidRPr="0096740E">
        <w:rPr>
          <w:rFonts w:eastAsia="Arial Unicode MS"/>
          <w:noProof/>
        </w:rPr>
        <w:t>while</w:t>
      </w:r>
      <w:r w:rsidRPr="0096740E">
        <w:rPr>
          <w:rFonts w:eastAsia="Arial Unicode MS"/>
          <w:noProof/>
        </w:rPr>
        <w:t xml:space="preserve"> every Member State </w:t>
      </w:r>
      <w:r w:rsidR="00C131E2" w:rsidRPr="0096740E">
        <w:rPr>
          <w:rFonts w:eastAsia="Arial Unicode MS"/>
          <w:noProof/>
        </w:rPr>
        <w:t xml:space="preserve">will have to </w:t>
      </w:r>
      <w:r w:rsidRPr="0096740E">
        <w:rPr>
          <w:rFonts w:eastAsia="Arial Unicode MS"/>
          <w:noProof/>
        </w:rPr>
        <w:t>contribute</w:t>
      </w:r>
      <w:r w:rsidR="00C131E2" w:rsidRPr="0096740E">
        <w:rPr>
          <w:rFonts w:eastAsia="Arial Unicode MS"/>
          <w:noProof/>
        </w:rPr>
        <w:t xml:space="preserve"> </w:t>
      </w:r>
      <w:r w:rsidR="00197D09" w:rsidRPr="0096740E">
        <w:rPr>
          <w:rFonts w:eastAsia="Arial Unicode MS"/>
          <w:noProof/>
        </w:rPr>
        <w:t xml:space="preserve">to </w:t>
      </w:r>
      <w:r w:rsidR="00C131E2" w:rsidRPr="0096740E">
        <w:rPr>
          <w:rFonts w:eastAsia="Arial Unicode MS"/>
          <w:noProof/>
        </w:rPr>
        <w:t>the increased emissions reduction target,</w:t>
      </w:r>
      <w:r w:rsidRPr="0096740E">
        <w:rPr>
          <w:rFonts w:eastAsia="Arial Unicode MS"/>
          <w:noProof/>
        </w:rPr>
        <w:t xml:space="preserve"> different starting points and different capacities are taken into account. Instruments such as the Effort Sharing Regulation</w:t>
      </w:r>
      <w:r w:rsidR="00F27E76" w:rsidRPr="0096740E">
        <w:rPr>
          <w:rStyle w:val="FootnoteReference"/>
          <w:rFonts w:eastAsia="Arial Unicode MS"/>
          <w:noProof/>
        </w:rPr>
        <w:footnoteReference w:id="40"/>
      </w:r>
      <w:r w:rsidRPr="0096740E">
        <w:rPr>
          <w:rFonts w:eastAsia="Arial Unicode MS"/>
          <w:noProof/>
        </w:rPr>
        <w:t xml:space="preserve"> aim at a fair distribution of efforts between Member States, to ensure solidarity between Member States and regions.</w:t>
      </w:r>
      <w:r w:rsidR="000E3596" w:rsidRPr="0096740E">
        <w:rPr>
          <w:rFonts w:eastAsia="Arial Unicode MS"/>
          <w:noProof/>
        </w:rPr>
        <w:t xml:space="preserve"> The Modernisation Fund</w:t>
      </w:r>
      <w:r w:rsidR="000E3596" w:rsidRPr="0096740E">
        <w:rPr>
          <w:rStyle w:val="FootnoteReference"/>
          <w:rFonts w:eastAsia="Arial Unicode MS"/>
          <w:noProof/>
        </w:rPr>
        <w:footnoteReference w:id="41"/>
      </w:r>
      <w:r w:rsidR="000E3596" w:rsidRPr="0096740E">
        <w:rPr>
          <w:rFonts w:eastAsia="Arial Unicode MS"/>
          <w:noProof/>
        </w:rPr>
        <w:t xml:space="preserve"> supports </w:t>
      </w:r>
      <w:r w:rsidR="002A335E" w:rsidRPr="0096740E">
        <w:rPr>
          <w:rFonts w:eastAsia="Arial Unicode MS"/>
          <w:noProof/>
        </w:rPr>
        <w:t>ten</w:t>
      </w:r>
      <w:r w:rsidR="000E3596" w:rsidRPr="0096740E">
        <w:rPr>
          <w:rFonts w:eastAsia="Arial Unicode MS"/>
          <w:noProof/>
        </w:rPr>
        <w:t xml:space="preserve"> lower-income EU Member States in their transition to climate neutrality by helping to modernise their energy systems and improve energy efficiency.</w:t>
      </w:r>
      <w:r w:rsidR="00AC72B0" w:rsidRPr="0096740E">
        <w:rPr>
          <w:rFonts w:eastAsia="Arial Unicode MS"/>
          <w:noProof/>
        </w:rPr>
        <w:t xml:space="preserve"> </w:t>
      </w:r>
      <w:r w:rsidR="00FF1321" w:rsidRPr="0096740E">
        <w:rPr>
          <w:rFonts w:eastAsia="Arial Unicode MS"/>
          <w:noProof/>
        </w:rPr>
        <w:t xml:space="preserve">The Just Transition </w:t>
      </w:r>
      <w:r w:rsidR="00307C3D" w:rsidRPr="000D02AF">
        <w:rPr>
          <w:rFonts w:eastAsia="Arial Unicode MS"/>
          <w:noProof/>
        </w:rPr>
        <w:t>Fund</w:t>
      </w:r>
      <w:r w:rsidR="00D15969" w:rsidRPr="0096740E">
        <w:rPr>
          <w:rStyle w:val="FootnoteReference"/>
          <w:rFonts w:eastAsia="Arial Unicode MS"/>
          <w:noProof/>
        </w:rPr>
        <w:footnoteReference w:id="42"/>
      </w:r>
      <w:r w:rsidR="001E72F4">
        <w:rPr>
          <w:rFonts w:eastAsia="Arial Unicode MS"/>
          <w:noProof/>
        </w:rPr>
        <w:t xml:space="preserve"> </w:t>
      </w:r>
      <w:r w:rsidR="00FF1321" w:rsidRPr="0096740E">
        <w:rPr>
          <w:rFonts w:eastAsia="Arial Unicode MS"/>
          <w:noProof/>
        </w:rPr>
        <w:t>is designed to address the social and economic impacts of the green transition, focusing on the regions, industries and workers who face the greatest ch</w:t>
      </w:r>
      <w:r w:rsidR="001E72F4">
        <w:rPr>
          <w:rFonts w:eastAsia="Arial Unicode MS"/>
          <w:noProof/>
        </w:rPr>
        <w:t>allenges during the transition.</w:t>
      </w:r>
    </w:p>
    <w:p w14:paraId="4898AE34" w14:textId="77777777" w:rsidR="00FF1321" w:rsidRPr="0096740E" w:rsidRDefault="00002649" w:rsidP="00FF1321">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The proposed Social Climate Fund will help mitigate the </w:t>
      </w:r>
      <w:r w:rsidR="00197D09" w:rsidRPr="0096740E">
        <w:rPr>
          <w:rFonts w:eastAsia="Arial Unicode MS"/>
          <w:noProof/>
        </w:rPr>
        <w:t xml:space="preserve">impact on </w:t>
      </w:r>
      <w:r w:rsidR="005C0F00" w:rsidRPr="0096740E">
        <w:rPr>
          <w:rFonts w:eastAsia="Arial Unicode MS"/>
          <w:noProof/>
        </w:rPr>
        <w:t xml:space="preserve">vulnerable </w:t>
      </w:r>
      <w:r w:rsidR="00692560" w:rsidRPr="0096740E">
        <w:rPr>
          <w:rFonts w:eastAsia="Arial Unicode MS"/>
          <w:noProof/>
        </w:rPr>
        <w:t>households, transport users and</w:t>
      </w:r>
      <w:r w:rsidR="00641770" w:rsidRPr="0096740E">
        <w:rPr>
          <w:rFonts w:eastAsia="Arial Unicode MS"/>
          <w:noProof/>
        </w:rPr>
        <w:t xml:space="preserve"> microenterprises that</w:t>
      </w:r>
      <w:r w:rsidR="005C46D0" w:rsidRPr="0096740E">
        <w:rPr>
          <w:rFonts w:eastAsia="Arial Unicode MS"/>
          <w:noProof/>
        </w:rPr>
        <w:t xml:space="preserve"> are </w:t>
      </w:r>
      <w:r w:rsidR="005C0F00" w:rsidRPr="0096740E">
        <w:rPr>
          <w:rFonts w:eastAsia="Arial Unicode MS"/>
          <w:noProof/>
        </w:rPr>
        <w:t>significantly affected by</w:t>
      </w:r>
      <w:r w:rsidR="00EC5138" w:rsidRPr="0096740E">
        <w:rPr>
          <w:rFonts w:eastAsia="Arial Unicode MS"/>
          <w:noProof/>
        </w:rPr>
        <w:t xml:space="preserve"> </w:t>
      </w:r>
      <w:r w:rsidR="00391E24" w:rsidRPr="0096740E">
        <w:rPr>
          <w:rFonts w:eastAsia="Arial Unicode MS"/>
          <w:noProof/>
        </w:rPr>
        <w:t>the</w:t>
      </w:r>
      <w:r w:rsidRPr="0096740E">
        <w:rPr>
          <w:rFonts w:eastAsia="Arial Unicode MS"/>
          <w:noProof/>
        </w:rPr>
        <w:t xml:space="preserve"> </w:t>
      </w:r>
      <w:r w:rsidR="005C0F00" w:rsidRPr="0096740E">
        <w:rPr>
          <w:rFonts w:eastAsia="Arial Unicode MS"/>
          <w:noProof/>
        </w:rPr>
        <w:t xml:space="preserve">price </w:t>
      </w:r>
      <w:r w:rsidRPr="0096740E">
        <w:rPr>
          <w:rFonts w:eastAsia="Arial Unicode MS"/>
          <w:noProof/>
        </w:rPr>
        <w:t xml:space="preserve">increases </w:t>
      </w:r>
      <w:r w:rsidR="005C0F00" w:rsidRPr="0096740E">
        <w:rPr>
          <w:rFonts w:eastAsia="Arial Unicode MS"/>
          <w:noProof/>
        </w:rPr>
        <w:t xml:space="preserve">of </w:t>
      </w:r>
      <w:r w:rsidR="00391E24" w:rsidRPr="0096740E">
        <w:rPr>
          <w:rFonts w:eastAsia="Arial Unicode MS"/>
          <w:noProof/>
        </w:rPr>
        <w:t>fossil fuel</w:t>
      </w:r>
      <w:r w:rsidR="005C0F00" w:rsidRPr="0096740E">
        <w:rPr>
          <w:rFonts w:eastAsia="Arial Unicode MS"/>
          <w:noProof/>
        </w:rPr>
        <w:t>s</w:t>
      </w:r>
      <w:r w:rsidR="00391E24" w:rsidRPr="0096740E">
        <w:rPr>
          <w:rFonts w:eastAsia="Arial Unicode MS"/>
          <w:noProof/>
        </w:rPr>
        <w:t xml:space="preserve"> </w:t>
      </w:r>
      <w:r w:rsidR="005C0F00" w:rsidRPr="0096740E">
        <w:rPr>
          <w:rFonts w:eastAsia="Arial Unicode MS"/>
          <w:noProof/>
        </w:rPr>
        <w:t>as a result of the introduction of emissions trading</w:t>
      </w:r>
      <w:r w:rsidR="005C0F00" w:rsidRPr="0096740E" w:rsidDel="005C0F00">
        <w:rPr>
          <w:rFonts w:eastAsia="Arial Unicode MS"/>
          <w:noProof/>
        </w:rPr>
        <w:t xml:space="preserve"> </w:t>
      </w:r>
      <w:r w:rsidR="00391E24" w:rsidRPr="0096740E">
        <w:rPr>
          <w:rFonts w:eastAsia="Arial Unicode MS"/>
          <w:noProof/>
        </w:rPr>
        <w:t xml:space="preserve">for fuels used in </w:t>
      </w:r>
      <w:r w:rsidRPr="0096740E">
        <w:rPr>
          <w:rFonts w:eastAsia="Arial Unicode MS"/>
          <w:noProof/>
        </w:rPr>
        <w:t>buildings</w:t>
      </w:r>
      <w:r w:rsidR="00710B23" w:rsidRPr="0096740E">
        <w:rPr>
          <w:rFonts w:eastAsia="Arial Unicode MS"/>
          <w:noProof/>
        </w:rPr>
        <w:t xml:space="preserve"> and</w:t>
      </w:r>
      <w:r w:rsidRPr="0096740E">
        <w:rPr>
          <w:rFonts w:eastAsia="Arial Unicode MS"/>
          <w:noProof/>
        </w:rPr>
        <w:t xml:space="preserve"> road transport. It will promote fairness and solidarity between and within Member States while mitigating the risk of energy </w:t>
      </w:r>
      <w:r w:rsidR="002B6684" w:rsidRPr="0096740E">
        <w:rPr>
          <w:rFonts w:eastAsia="Arial Unicode MS"/>
          <w:noProof/>
        </w:rPr>
        <w:t xml:space="preserve">poverty </w:t>
      </w:r>
      <w:r w:rsidRPr="0096740E">
        <w:rPr>
          <w:rFonts w:eastAsia="Arial Unicode MS"/>
          <w:noProof/>
        </w:rPr>
        <w:t xml:space="preserve">and </w:t>
      </w:r>
      <w:r w:rsidR="00F04FF0" w:rsidRPr="0096740E">
        <w:rPr>
          <w:rFonts w:eastAsia="Arial Unicode MS"/>
          <w:noProof/>
        </w:rPr>
        <w:t>transport</w:t>
      </w:r>
      <w:r w:rsidR="002B6684" w:rsidRPr="0096740E">
        <w:rPr>
          <w:rFonts w:eastAsia="Arial Unicode MS"/>
          <w:noProof/>
        </w:rPr>
        <w:t xml:space="preserve"> challenges</w:t>
      </w:r>
      <w:r w:rsidR="001401E1" w:rsidRPr="0096740E">
        <w:rPr>
          <w:rFonts w:eastAsia="Arial Unicode MS"/>
          <w:noProof/>
        </w:rPr>
        <w:t>,</w:t>
      </w:r>
      <w:r w:rsidRPr="0096740E">
        <w:rPr>
          <w:rFonts w:eastAsia="Arial Unicode MS"/>
          <w:noProof/>
        </w:rPr>
        <w:t xml:space="preserve"> complement</w:t>
      </w:r>
      <w:r w:rsidR="001401E1" w:rsidRPr="0096740E">
        <w:rPr>
          <w:rFonts w:eastAsia="Arial Unicode MS"/>
          <w:noProof/>
        </w:rPr>
        <w:t>ing</w:t>
      </w:r>
      <w:r w:rsidRPr="0096740E">
        <w:rPr>
          <w:rFonts w:eastAsia="Arial Unicode MS"/>
          <w:noProof/>
        </w:rPr>
        <w:t xml:space="preserve"> existing mechanisms</w:t>
      </w:r>
      <w:r w:rsidRPr="0096740E" w:rsidDel="00002649">
        <w:rPr>
          <w:rFonts w:eastAsia="Arial Unicode MS"/>
          <w:noProof/>
        </w:rPr>
        <w:t xml:space="preserve">. </w:t>
      </w:r>
      <w:r w:rsidR="00FF1321" w:rsidRPr="0096740E">
        <w:rPr>
          <w:rFonts w:eastAsia="Arial Unicode MS"/>
          <w:noProof/>
        </w:rPr>
        <w:t xml:space="preserve">The Fund will support households when investing into the energy efficiency and clean heating and cooling of buildings, including the integration of renewable energy, and also finance access to zero- and low- emission mobility. Where needed, pending the impact of the investments on reducing vulnerable groups’ emissions and energy bills, the Fund will enable Member States to finance measures providing temporary direct income support </w:t>
      </w:r>
      <w:r w:rsidR="00FF1321" w:rsidRPr="0096740E">
        <w:rPr>
          <w:noProof/>
        </w:rPr>
        <w:t>to vulnerable households and households that are vulnerable transport users to reduce the immediate impact of the increase in the price of fossil fuels resulting from the inclusion of buildings and road transport into the scope of Directive 2003/87/EC.</w:t>
      </w:r>
      <w:r w:rsidR="00FF1321" w:rsidRPr="0096740E">
        <w:rPr>
          <w:rFonts w:eastAsia="Arial Unicode MS"/>
          <w:noProof/>
        </w:rPr>
        <w:t xml:space="preserve"> </w:t>
      </w:r>
    </w:p>
    <w:p w14:paraId="245FEA9E" w14:textId="57B39849" w:rsidR="00002649" w:rsidRPr="0096740E" w:rsidRDefault="00D83CAE"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Moreover, </w:t>
      </w:r>
      <w:r w:rsidR="00233C49" w:rsidRPr="0096740E">
        <w:rPr>
          <w:rFonts w:eastAsia="Arial Unicode MS"/>
          <w:noProof/>
        </w:rPr>
        <w:t>as outlined in the impact assessment accompanying the 2030 Climate Target Plan and in some of the</w:t>
      </w:r>
      <w:r w:rsidR="008742B3">
        <w:rPr>
          <w:rFonts w:eastAsia="Arial Unicode MS"/>
          <w:noProof/>
        </w:rPr>
        <w:t xml:space="preserve"> initiatives of the </w:t>
      </w:r>
      <w:r w:rsidR="008742B3" w:rsidRPr="008742B3">
        <w:rPr>
          <w:rFonts w:eastAsia="Arial Unicode MS"/>
          <w:noProof/>
        </w:rPr>
        <w:t xml:space="preserve">‘Fit for 55’ </w:t>
      </w:r>
      <w:r w:rsidR="00233C49" w:rsidRPr="0096740E">
        <w:rPr>
          <w:rFonts w:eastAsia="Arial Unicode MS"/>
          <w:noProof/>
        </w:rPr>
        <w:t>package</w:t>
      </w:r>
      <w:r w:rsidR="00D57246" w:rsidRPr="0096740E">
        <w:rPr>
          <w:rFonts w:eastAsia="Arial Unicode MS"/>
          <w:noProof/>
        </w:rPr>
        <w:t xml:space="preserve">, Member States can </w:t>
      </w:r>
      <w:r w:rsidR="00FF1321" w:rsidRPr="0096740E">
        <w:rPr>
          <w:rFonts w:eastAsia="Arial Unicode MS"/>
          <w:noProof/>
        </w:rPr>
        <w:t xml:space="preserve">further </w:t>
      </w:r>
      <w:r w:rsidR="00D57246" w:rsidRPr="0096740E">
        <w:rPr>
          <w:rFonts w:eastAsia="Arial Unicode MS"/>
          <w:noProof/>
        </w:rPr>
        <w:t xml:space="preserve">make use of </w:t>
      </w:r>
      <w:r w:rsidRPr="0096740E">
        <w:rPr>
          <w:rFonts w:eastAsia="Arial Unicode MS"/>
          <w:noProof/>
        </w:rPr>
        <w:t xml:space="preserve">the revenue generated from the auctions of the EU ETS allowances, levies and taxes on energy prices, as well as </w:t>
      </w:r>
      <w:r w:rsidR="00D57246" w:rsidRPr="0096740E">
        <w:rPr>
          <w:rFonts w:eastAsia="Arial Unicode MS"/>
          <w:noProof/>
        </w:rPr>
        <w:t xml:space="preserve">from </w:t>
      </w:r>
      <w:r w:rsidR="00800E7E" w:rsidRPr="0096740E">
        <w:rPr>
          <w:rFonts w:eastAsia="Arial Unicode MS"/>
          <w:noProof/>
        </w:rPr>
        <w:t>environmental taxes</w:t>
      </w:r>
      <w:r w:rsidR="00D57246" w:rsidRPr="0096740E">
        <w:rPr>
          <w:rFonts w:eastAsia="Arial Unicode MS"/>
          <w:noProof/>
        </w:rPr>
        <w:t xml:space="preserve"> to support </w:t>
      </w:r>
      <w:r w:rsidR="00601C39">
        <w:rPr>
          <w:rFonts w:eastAsia="Arial Unicode MS"/>
          <w:noProof/>
        </w:rPr>
        <w:t xml:space="preserve">disadvantaged </w:t>
      </w:r>
      <w:r w:rsidR="00FF1321" w:rsidRPr="0096740E">
        <w:rPr>
          <w:rFonts w:eastAsia="Arial Unicode MS"/>
          <w:noProof/>
        </w:rPr>
        <w:t>groups</w:t>
      </w:r>
      <w:r w:rsidRPr="0096740E">
        <w:rPr>
          <w:rFonts w:eastAsia="Arial Unicode MS"/>
          <w:noProof/>
        </w:rPr>
        <w:t>.</w:t>
      </w:r>
    </w:p>
    <w:p w14:paraId="0EB86E31" w14:textId="77777777" w:rsidR="00002649" w:rsidRPr="0096740E" w:rsidRDefault="00002649" w:rsidP="00002649">
      <w:pPr>
        <w:pStyle w:val="ManualHeading1"/>
        <w:rPr>
          <w:noProof/>
        </w:rPr>
      </w:pPr>
      <w:r w:rsidRPr="0096740E">
        <w:rPr>
          <w:noProof/>
        </w:rPr>
        <w:t>2.</w:t>
      </w:r>
      <w:r w:rsidRPr="0096740E">
        <w:rPr>
          <w:noProof/>
        </w:rPr>
        <w:tab/>
        <w:t>LEGAL BASIS, SUBSIDIARITY AND PROPORTIONALITY</w:t>
      </w:r>
    </w:p>
    <w:p w14:paraId="54680985"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Legal basis</w:t>
      </w:r>
    </w:p>
    <w:p w14:paraId="3642043D" w14:textId="3149DD81" w:rsidR="00002649" w:rsidRPr="0096740E" w:rsidRDefault="00002649" w:rsidP="00002649">
      <w:pPr>
        <w:pStyle w:val="Text1"/>
        <w:ind w:left="0"/>
        <w:rPr>
          <w:noProof/>
        </w:rPr>
      </w:pPr>
      <w:r w:rsidRPr="0096740E">
        <w:rPr>
          <w:noProof/>
        </w:rPr>
        <w:t>The proposal will be based on Article 292 TFEU, in conjunction with Article 149 TFEU</w:t>
      </w:r>
      <w:r w:rsidR="00787DDC">
        <w:rPr>
          <w:noProof/>
        </w:rPr>
        <w:t xml:space="preserve"> and Article 166 TFEU</w:t>
      </w:r>
      <w:r w:rsidRPr="0096740E">
        <w:rPr>
          <w:noProof/>
        </w:rPr>
        <w:t>.</w:t>
      </w:r>
    </w:p>
    <w:p w14:paraId="1DA97898"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 xml:space="preserve">Subsidiarity (for non-exclusive competence) </w:t>
      </w:r>
    </w:p>
    <w:p w14:paraId="0984304B"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Member States will design and select the measures and investments to ensure a </w:t>
      </w:r>
      <w:r w:rsidR="001C6DE0" w:rsidRPr="0096740E">
        <w:rPr>
          <w:rFonts w:eastAsia="Arial Unicode MS"/>
          <w:noProof/>
        </w:rPr>
        <w:t xml:space="preserve">fair </w:t>
      </w:r>
      <w:r w:rsidRPr="0096740E">
        <w:rPr>
          <w:rFonts w:eastAsia="Arial Unicode MS"/>
          <w:noProof/>
        </w:rPr>
        <w:t>transition to climate neutrality, including dedicated measures they can propose under the</w:t>
      </w:r>
      <w:r w:rsidR="00DB6B6B" w:rsidRPr="0096740E">
        <w:rPr>
          <w:rFonts w:eastAsia="Arial Unicode MS"/>
          <w:noProof/>
        </w:rPr>
        <w:t xml:space="preserve"> existing funding</w:t>
      </w:r>
      <w:r w:rsidR="0027160C" w:rsidRPr="0096740E">
        <w:rPr>
          <w:rFonts w:eastAsia="Arial Unicode MS"/>
          <w:noProof/>
        </w:rPr>
        <w:t>,</w:t>
      </w:r>
      <w:r w:rsidR="00DB6B6B" w:rsidRPr="0096740E">
        <w:rPr>
          <w:rFonts w:eastAsia="Arial Unicode MS"/>
          <w:noProof/>
        </w:rPr>
        <w:t xml:space="preserve"> policy instruments and governance mechanisms.</w:t>
      </w:r>
    </w:p>
    <w:p w14:paraId="2F3D7541"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Proportionality</w:t>
      </w:r>
    </w:p>
    <w:p w14:paraId="63C80771" w14:textId="71A56B99"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Action at Union level is necessary to achieve a fast and robust green transition that delivers on the binding targets adopted in the European Climate Law while leaving no one behind, in line with the</w:t>
      </w:r>
      <w:r w:rsidR="007723F6" w:rsidRPr="0096740E">
        <w:rPr>
          <w:rFonts w:eastAsia="Arial Unicode MS"/>
          <w:noProof/>
        </w:rPr>
        <w:t xml:space="preserve"> European Green Deal,</w:t>
      </w:r>
      <w:r w:rsidRPr="0096740E">
        <w:rPr>
          <w:rFonts w:eastAsia="Arial Unicode MS"/>
          <w:noProof/>
        </w:rPr>
        <w:t xml:space="preserve"> European Council’s Strategic Agenda 2019-24</w:t>
      </w:r>
      <w:r w:rsidR="007723F6" w:rsidRPr="0096740E">
        <w:rPr>
          <w:rFonts w:eastAsia="Arial Unicode MS"/>
          <w:noProof/>
        </w:rPr>
        <w:t xml:space="preserve">, the European Parliament Report on </w:t>
      </w:r>
      <w:r w:rsidR="0050609F">
        <w:rPr>
          <w:rFonts w:eastAsia="Arial Unicode MS"/>
          <w:noProof/>
        </w:rPr>
        <w:t>‘</w:t>
      </w:r>
      <w:r w:rsidR="007723F6" w:rsidRPr="0096740E">
        <w:rPr>
          <w:rFonts w:eastAsia="Arial Unicode MS"/>
          <w:noProof/>
        </w:rPr>
        <w:t>a strong social Europe for Just Transitions</w:t>
      </w:r>
      <w:r w:rsidR="0050609F">
        <w:rPr>
          <w:rFonts w:eastAsia="Arial Unicode MS"/>
          <w:noProof/>
        </w:rPr>
        <w:t>’</w:t>
      </w:r>
      <w:r w:rsidR="007723F6" w:rsidRPr="0096740E">
        <w:rPr>
          <w:rStyle w:val="FootnoteReference"/>
          <w:rFonts w:eastAsia="Arial Unicode MS"/>
          <w:noProof/>
        </w:rPr>
        <w:footnoteReference w:id="43"/>
      </w:r>
      <w:r w:rsidR="004A55A8">
        <w:rPr>
          <w:rFonts w:eastAsia="Arial Unicode MS"/>
          <w:noProof/>
        </w:rPr>
        <w:t xml:space="preserve">, the European Economic and Social Committee’s Report </w:t>
      </w:r>
      <w:r w:rsidR="00295E42">
        <w:rPr>
          <w:rFonts w:eastAsia="Arial Unicode MS"/>
          <w:noProof/>
        </w:rPr>
        <w:t xml:space="preserve">on </w:t>
      </w:r>
      <w:r w:rsidR="004A55A8">
        <w:rPr>
          <w:rFonts w:eastAsia="Arial Unicode MS"/>
          <w:noProof/>
        </w:rPr>
        <w:t>‘No Green Deal without a social deal’</w:t>
      </w:r>
      <w:r w:rsidR="004A55A8">
        <w:rPr>
          <w:rStyle w:val="FootnoteReference"/>
          <w:rFonts w:eastAsia="Arial Unicode MS"/>
          <w:noProof/>
        </w:rPr>
        <w:footnoteReference w:id="44"/>
      </w:r>
      <w:r w:rsidR="00760E31">
        <w:rPr>
          <w:rFonts w:eastAsia="Arial Unicode MS"/>
          <w:noProof/>
        </w:rPr>
        <w:t>, and the Committee of the Region’s Opinion on ‘</w:t>
      </w:r>
      <w:r w:rsidR="00760E31" w:rsidRPr="00760E31">
        <w:rPr>
          <w:rFonts w:eastAsia="Arial Unicode MS"/>
          <w:noProof/>
        </w:rPr>
        <w:t>A Strong Social Europe for Just Transitions</w:t>
      </w:r>
      <w:r w:rsidR="00760E31">
        <w:rPr>
          <w:rFonts w:eastAsia="Arial Unicode MS"/>
          <w:noProof/>
        </w:rPr>
        <w:t>’</w:t>
      </w:r>
      <w:r w:rsidR="00760E31">
        <w:rPr>
          <w:rStyle w:val="FootnoteReference"/>
          <w:rFonts w:eastAsia="Arial Unicode MS"/>
          <w:noProof/>
        </w:rPr>
        <w:footnoteReference w:id="45"/>
      </w:r>
      <w:r w:rsidRPr="0096740E">
        <w:rPr>
          <w:rFonts w:eastAsia="Arial Unicode MS"/>
          <w:noProof/>
        </w:rPr>
        <w:t>. This also requires that the social and labour challenges arising from the green transition are addressed in a coherent and efficient manner across all Member States.</w:t>
      </w:r>
      <w:r w:rsidR="003E5424" w:rsidRPr="0096740E">
        <w:rPr>
          <w:rFonts w:eastAsia="Arial Unicode MS"/>
          <w:noProof/>
        </w:rPr>
        <w:t xml:space="preserve"> </w:t>
      </w:r>
    </w:p>
    <w:p w14:paraId="0BD2692C" w14:textId="4EFF940A" w:rsidR="00D30560" w:rsidRPr="0096740E" w:rsidRDefault="001463C5"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According to the Commission’s EU-wide assessment of the final integrated National Energy and Climate Plans published in Septembe</w:t>
      </w:r>
      <w:r w:rsidR="001E72F4">
        <w:rPr>
          <w:rFonts w:eastAsia="Arial Unicode MS"/>
          <w:noProof/>
        </w:rPr>
        <w:t>r 2020</w:t>
      </w:r>
      <w:r w:rsidRPr="0096740E">
        <w:rPr>
          <w:rStyle w:val="FootnoteReference"/>
          <w:rFonts w:eastAsia="Arial Unicode MS"/>
          <w:noProof/>
        </w:rPr>
        <w:footnoteReference w:id="46"/>
      </w:r>
      <w:r w:rsidR="001E72F4">
        <w:rPr>
          <w:rFonts w:eastAsia="Arial Unicode MS"/>
          <w:noProof/>
        </w:rPr>
        <w:t>,</w:t>
      </w:r>
      <w:r w:rsidRPr="0096740E">
        <w:rPr>
          <w:rFonts w:eastAsia="Arial Unicode MS"/>
          <w:noProof/>
        </w:rPr>
        <w:t xml:space="preserve"> additional efforts are required </w:t>
      </w:r>
      <w:r w:rsidR="00D30560" w:rsidRPr="0096740E">
        <w:rPr>
          <w:rFonts w:eastAsia="Arial Unicode MS"/>
          <w:noProof/>
        </w:rPr>
        <w:t>to ensure a clean and fair energy transition in the most affected regions. G</w:t>
      </w:r>
      <w:r w:rsidR="00002649" w:rsidRPr="0096740E">
        <w:rPr>
          <w:rFonts w:eastAsia="Arial Unicode MS"/>
          <w:noProof/>
        </w:rPr>
        <w:t xml:space="preserve">uidance to Member States appears necessary and proportionate given the scale and effects of the proposed action. </w:t>
      </w:r>
    </w:p>
    <w:p w14:paraId="22197EC6" w14:textId="77777777" w:rsidR="00002649" w:rsidRPr="0096740E" w:rsidRDefault="00D30560"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To avoid unnecessary administrative burden for Member States,</w:t>
      </w:r>
      <w:r w:rsidR="00002649" w:rsidRPr="0096740E">
        <w:rPr>
          <w:rFonts w:eastAsia="Arial Unicode MS"/>
          <w:noProof/>
        </w:rPr>
        <w:t xml:space="preserve"> the </w:t>
      </w:r>
      <w:r w:rsidR="00F50F13" w:rsidRPr="0096740E">
        <w:rPr>
          <w:rFonts w:eastAsia="Arial Unicode MS"/>
          <w:noProof/>
        </w:rPr>
        <w:t>implementation of</w:t>
      </w:r>
      <w:r w:rsidR="00002649" w:rsidRPr="0096740E">
        <w:rPr>
          <w:rFonts w:eastAsia="Arial Unicode MS"/>
          <w:noProof/>
        </w:rPr>
        <w:t xml:space="preserve"> the policy guidance </w:t>
      </w:r>
      <w:r w:rsidR="00F50F13" w:rsidRPr="0096740E">
        <w:rPr>
          <w:rFonts w:eastAsia="Arial Unicode MS"/>
          <w:noProof/>
        </w:rPr>
        <w:t xml:space="preserve">provided </w:t>
      </w:r>
      <w:r w:rsidR="00002649" w:rsidRPr="0096740E">
        <w:rPr>
          <w:rFonts w:eastAsia="Arial Unicode MS"/>
          <w:noProof/>
        </w:rPr>
        <w:t>in this Recommendation</w:t>
      </w:r>
      <w:r w:rsidR="005A1C83" w:rsidRPr="0096740E">
        <w:rPr>
          <w:rFonts w:eastAsia="Arial Unicode MS"/>
          <w:noProof/>
        </w:rPr>
        <w:t xml:space="preserve"> </w:t>
      </w:r>
      <w:r w:rsidR="00F50F13" w:rsidRPr="0096740E">
        <w:rPr>
          <w:rFonts w:eastAsia="Arial Unicode MS"/>
          <w:noProof/>
        </w:rPr>
        <w:t>will be monitored via</w:t>
      </w:r>
      <w:r w:rsidR="00002649" w:rsidRPr="0096740E">
        <w:rPr>
          <w:rFonts w:eastAsia="Arial Unicode MS"/>
          <w:noProof/>
        </w:rPr>
        <w:t xml:space="preserve"> </w:t>
      </w:r>
      <w:r w:rsidR="00F50F13" w:rsidRPr="0096740E">
        <w:rPr>
          <w:rFonts w:eastAsia="Arial Unicode MS"/>
          <w:noProof/>
        </w:rPr>
        <w:t>the European Semester</w:t>
      </w:r>
      <w:r w:rsidR="002969EF" w:rsidRPr="0096740E">
        <w:rPr>
          <w:rFonts w:eastAsia="Arial Unicode MS"/>
          <w:noProof/>
        </w:rPr>
        <w:t xml:space="preserve"> process</w:t>
      </w:r>
      <w:r w:rsidR="00692560" w:rsidRPr="0096740E">
        <w:rPr>
          <w:rFonts w:eastAsia="Arial Unicode MS"/>
          <w:noProof/>
        </w:rPr>
        <w:t xml:space="preserve"> and other </w:t>
      </w:r>
      <w:r w:rsidR="00A12E9F" w:rsidRPr="0096740E">
        <w:rPr>
          <w:rFonts w:eastAsia="Arial Unicode MS"/>
          <w:noProof/>
        </w:rPr>
        <w:t xml:space="preserve">existing </w:t>
      </w:r>
      <w:r w:rsidR="00692560" w:rsidRPr="0096740E">
        <w:rPr>
          <w:rFonts w:eastAsia="Arial Unicode MS"/>
          <w:noProof/>
        </w:rPr>
        <w:t>processes, notably the Governance of the Energy Union and Climate Action, as adequate</w:t>
      </w:r>
      <w:r w:rsidR="00EC0A0D" w:rsidRPr="0096740E">
        <w:rPr>
          <w:rFonts w:eastAsia="Arial Unicode MS"/>
          <w:noProof/>
        </w:rPr>
        <w:t>.</w:t>
      </w:r>
    </w:p>
    <w:p w14:paraId="472137D6"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Choice of the instrument</w:t>
      </w:r>
    </w:p>
    <w:p w14:paraId="6067F8A3"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The proposed instrument is a proposal for a Council Recommendation, which respects the principles of subsidiarity and proportionality. It builds on the existing body of European Union law and is in line with the type of instruments available for European Union action in the areas of employment and social policy. </w:t>
      </w:r>
      <w:r w:rsidR="002364A6" w:rsidRPr="0096740E">
        <w:rPr>
          <w:rFonts w:eastAsia="Arial Unicode MS"/>
          <w:noProof/>
        </w:rPr>
        <w:t xml:space="preserve">It </w:t>
      </w:r>
      <w:r w:rsidR="0026009D" w:rsidRPr="0096740E">
        <w:rPr>
          <w:rFonts w:eastAsia="Arial Unicode MS"/>
          <w:noProof/>
        </w:rPr>
        <w:t xml:space="preserve">lays down measures to be considered by </w:t>
      </w:r>
      <w:r w:rsidRPr="0096740E">
        <w:rPr>
          <w:rFonts w:eastAsia="Arial Unicode MS"/>
          <w:noProof/>
        </w:rPr>
        <w:t>Member States and provides a strong basis for cooperation at European Union level in this area, while fully respecting Member States competence in the relevant policy fields.</w:t>
      </w:r>
    </w:p>
    <w:p w14:paraId="0FBA74A3" w14:textId="77777777" w:rsidR="00002649" w:rsidRPr="0096740E" w:rsidRDefault="00002649" w:rsidP="00002649">
      <w:pPr>
        <w:pStyle w:val="ManualHeading1"/>
        <w:rPr>
          <w:noProof/>
        </w:rPr>
      </w:pPr>
      <w:r w:rsidRPr="0096740E">
        <w:rPr>
          <w:noProof/>
        </w:rPr>
        <w:t>3.</w:t>
      </w:r>
      <w:r w:rsidRPr="0096740E">
        <w:rPr>
          <w:noProof/>
        </w:rPr>
        <w:tab/>
        <w:t>RESULTS OF EX-POST EVALUATIONS, STAKEHOLDER CONSULTATIONS AND IMPACT ASSESSMENTS</w:t>
      </w:r>
    </w:p>
    <w:p w14:paraId="7F194882"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Ex-post evaluations/fitness checks of existing legislation</w:t>
      </w:r>
    </w:p>
    <w:p w14:paraId="07FFA561"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BE2E79">
        <w:rPr>
          <w:noProof/>
        </w:rPr>
        <w:t>Not applicable.</w:t>
      </w:r>
    </w:p>
    <w:p w14:paraId="75784158"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Stakeholder consultations</w:t>
      </w:r>
    </w:p>
    <w:p w14:paraId="216FB545" w14:textId="77777777" w:rsidR="00002649" w:rsidRPr="0096740E" w:rsidRDefault="00002649" w:rsidP="00002649">
      <w:pPr>
        <w:pStyle w:val="Text1"/>
        <w:ind w:left="0"/>
        <w:rPr>
          <w:noProof/>
          <w:lang w:val="en-US" w:eastAsia="en-GB"/>
        </w:rPr>
      </w:pPr>
      <w:r w:rsidRPr="0096740E">
        <w:rPr>
          <w:noProof/>
          <w:lang w:val="en-US" w:eastAsia="en-GB"/>
        </w:rPr>
        <w:t>The services of the Commission have already undertaken a number of general and targeted consultation activities on the green transition, including its social and labour aspects, notably through:</w:t>
      </w:r>
    </w:p>
    <w:p w14:paraId="5589EBE9" w14:textId="2DE98696" w:rsidR="00002649" w:rsidRPr="0096740E" w:rsidRDefault="00F67576" w:rsidP="004C18CF">
      <w:pPr>
        <w:pStyle w:val="Bullet1"/>
        <w:numPr>
          <w:ilvl w:val="0"/>
          <w:numId w:val="7"/>
        </w:numPr>
        <w:rPr>
          <w:noProof/>
          <w:lang w:val="en-US" w:eastAsia="en-GB"/>
        </w:rPr>
      </w:pPr>
      <w:r w:rsidRPr="0096740E">
        <w:rPr>
          <w:noProof/>
          <w:lang w:val="en-US" w:eastAsia="en-GB"/>
        </w:rPr>
        <w:t>Targeted consultations, as well as o</w:t>
      </w:r>
      <w:r w:rsidR="00002649" w:rsidRPr="0096740E">
        <w:rPr>
          <w:noProof/>
          <w:lang w:val="en-US" w:eastAsia="en-GB"/>
        </w:rPr>
        <w:t xml:space="preserve">nline public consultations as part of the </w:t>
      </w:r>
      <w:r w:rsidR="008742B3" w:rsidRPr="008742B3">
        <w:rPr>
          <w:noProof/>
          <w:lang w:eastAsia="en-GB"/>
        </w:rPr>
        <w:t>‘</w:t>
      </w:r>
      <w:r w:rsidR="007C7F14" w:rsidRPr="0096740E">
        <w:rPr>
          <w:rFonts w:eastAsia="Arial Unicode MS"/>
          <w:noProof/>
        </w:rPr>
        <w:t>Fit for 55’ legislative package</w:t>
      </w:r>
      <w:r w:rsidR="00922EC2">
        <w:rPr>
          <w:rFonts w:eastAsia="Arial Unicode MS"/>
          <w:noProof/>
        </w:rPr>
        <w:t>s</w:t>
      </w:r>
      <w:r w:rsidR="007C7F14" w:rsidRPr="0096740E">
        <w:rPr>
          <w:rFonts w:eastAsia="Arial Unicode MS"/>
          <w:noProof/>
        </w:rPr>
        <w:t xml:space="preserve"> of </w:t>
      </w:r>
      <w:r w:rsidR="00002649" w:rsidRPr="0096740E">
        <w:rPr>
          <w:noProof/>
          <w:lang w:val="en-US" w:eastAsia="en-GB"/>
        </w:rPr>
        <w:t>July 2021</w:t>
      </w:r>
      <w:r w:rsidR="00922EC2">
        <w:rPr>
          <w:noProof/>
          <w:lang w:val="en-US" w:eastAsia="en-GB"/>
        </w:rPr>
        <w:t xml:space="preserve"> and December 2021</w:t>
      </w:r>
      <w:r w:rsidR="00002649" w:rsidRPr="0096740E">
        <w:rPr>
          <w:noProof/>
          <w:lang w:val="en-US" w:eastAsia="en-GB"/>
        </w:rPr>
        <w:t xml:space="preserve"> (e.g. EU Emissions Trading System, Energy Taxation Directive, Energy Efficiency Directive, </w:t>
      </w:r>
      <w:r w:rsidR="001135DE" w:rsidRPr="0096740E">
        <w:rPr>
          <w:noProof/>
          <w:lang w:val="en-US" w:eastAsia="en-GB"/>
        </w:rPr>
        <w:t xml:space="preserve">Energy Performance of Buildings Directive, </w:t>
      </w:r>
      <w:r w:rsidR="00002649" w:rsidRPr="0096740E">
        <w:rPr>
          <w:noProof/>
          <w:lang w:val="en-US" w:eastAsia="en-GB"/>
        </w:rPr>
        <w:t>and others);</w:t>
      </w:r>
    </w:p>
    <w:p w14:paraId="272C2D4D" w14:textId="4EB6A899" w:rsidR="00002649" w:rsidRPr="0096740E" w:rsidRDefault="00002649" w:rsidP="004C18CF">
      <w:pPr>
        <w:pStyle w:val="Bullet1"/>
        <w:numPr>
          <w:ilvl w:val="0"/>
          <w:numId w:val="7"/>
        </w:numPr>
        <w:rPr>
          <w:noProof/>
          <w:lang w:val="en-US" w:eastAsia="en-GB"/>
        </w:rPr>
      </w:pPr>
      <w:r w:rsidRPr="0096740E">
        <w:rPr>
          <w:noProof/>
          <w:lang w:val="en-US" w:eastAsia="en-GB"/>
        </w:rPr>
        <w:t>Bilateral/multilateral stakeholder meetings, including more than 50 meetings on the ETS revision, in particular in the context of the package adopted on 14 July 2021;</w:t>
      </w:r>
    </w:p>
    <w:p w14:paraId="64D2ACC6" w14:textId="4454E836" w:rsidR="00002649" w:rsidRPr="0096740E" w:rsidRDefault="00002649" w:rsidP="004C18CF">
      <w:pPr>
        <w:pStyle w:val="Bullet1"/>
        <w:numPr>
          <w:ilvl w:val="0"/>
          <w:numId w:val="7"/>
        </w:numPr>
        <w:rPr>
          <w:noProof/>
          <w:lang w:val="en-US" w:eastAsia="en-GB"/>
        </w:rPr>
      </w:pPr>
      <w:r w:rsidRPr="0096740E">
        <w:rPr>
          <w:noProof/>
          <w:lang w:val="en-US" w:eastAsia="en-GB"/>
        </w:rPr>
        <w:t>An online open public consultation on the 2030 Climate Target Plan (Mar - Jun 2020; over 1,000 replies), following a 4-week consultation on the Inception Impact Assessment</w:t>
      </w:r>
      <w:r w:rsidR="00036AAA" w:rsidRPr="0096740E">
        <w:rPr>
          <w:noProof/>
          <w:lang w:val="en-US" w:eastAsia="en-GB"/>
        </w:rPr>
        <w:t>.</w:t>
      </w:r>
    </w:p>
    <w:p w14:paraId="013B24EA" w14:textId="4545B1D3" w:rsidR="00F67576" w:rsidRPr="0096740E" w:rsidRDefault="00F67576" w:rsidP="00071578">
      <w:pPr>
        <w:pStyle w:val="Text1"/>
        <w:spacing w:afterLines="120" w:after="288"/>
        <w:ind w:left="0"/>
        <w:rPr>
          <w:noProof/>
          <w:lang w:val="en-US" w:eastAsia="en-GB"/>
        </w:rPr>
      </w:pPr>
      <w:r w:rsidRPr="0096740E">
        <w:rPr>
          <w:noProof/>
          <w:lang w:val="en-US" w:eastAsia="en-GB"/>
        </w:rPr>
        <w:t xml:space="preserve">For the preparation of this proposal for a Council Recommendation, the Commission conducted </w:t>
      </w:r>
      <w:r w:rsidR="00D95A8F" w:rsidRPr="0096740E">
        <w:rPr>
          <w:noProof/>
          <w:lang w:val="en-US" w:eastAsia="en-GB"/>
        </w:rPr>
        <w:t>in October and November 2021</w:t>
      </w:r>
      <w:r w:rsidR="007723F6" w:rsidRPr="0096740E">
        <w:rPr>
          <w:noProof/>
          <w:lang w:val="en-US" w:eastAsia="en-GB"/>
        </w:rPr>
        <w:t xml:space="preserve"> </w:t>
      </w:r>
      <w:r w:rsidRPr="0096740E">
        <w:rPr>
          <w:b/>
          <w:noProof/>
          <w:lang w:val="en-US" w:eastAsia="en-GB"/>
        </w:rPr>
        <w:t>targeted consultations and exchanges</w:t>
      </w:r>
      <w:r w:rsidR="007723F6" w:rsidRPr="0096740E">
        <w:rPr>
          <w:b/>
          <w:noProof/>
          <w:lang w:val="en-US" w:eastAsia="en-GB"/>
        </w:rPr>
        <w:t xml:space="preserve"> </w:t>
      </w:r>
      <w:r w:rsidRPr="0096740E">
        <w:rPr>
          <w:noProof/>
          <w:lang w:val="en-US" w:eastAsia="en-GB"/>
        </w:rPr>
        <w:t xml:space="preserve">with the Employment Committee (EMCO), the Social Protection Committee (SPC), the Economic Policy Committee (EPC), the European social partners, and civil society organisations </w:t>
      </w:r>
      <w:r w:rsidR="001545DA" w:rsidRPr="0096740E">
        <w:rPr>
          <w:noProof/>
          <w:lang w:val="en-US" w:eastAsia="en-GB"/>
        </w:rPr>
        <w:t>active in the area of disability, social and employment policies</w:t>
      </w:r>
      <w:r w:rsidRPr="0096740E">
        <w:rPr>
          <w:noProof/>
          <w:lang w:val="en-US" w:eastAsia="en-GB"/>
        </w:rPr>
        <w:t xml:space="preserve">. </w:t>
      </w:r>
    </w:p>
    <w:p w14:paraId="5503D795" w14:textId="5709A85E" w:rsidR="000A122F" w:rsidRPr="00BE2E79" w:rsidRDefault="00F67576" w:rsidP="00071578">
      <w:pPr>
        <w:pStyle w:val="Text1"/>
        <w:spacing w:afterLines="120" w:after="288"/>
        <w:ind w:left="0"/>
        <w:rPr>
          <w:noProof/>
        </w:rPr>
      </w:pPr>
      <w:r w:rsidRPr="0096740E">
        <w:rPr>
          <w:noProof/>
          <w:lang w:val="en-US" w:eastAsia="en-GB"/>
        </w:rPr>
        <w:t>Consultations provided a broad support to an initiative addressing social and labour aspects of the transition, ensuring that no one is left behind. More specifically, parties agreed</w:t>
      </w:r>
      <w:r w:rsidR="00B2186D" w:rsidRPr="0096740E">
        <w:rPr>
          <w:noProof/>
          <w:lang w:val="en-US" w:eastAsia="en-GB"/>
        </w:rPr>
        <w:t>, overall,</w:t>
      </w:r>
      <w:r w:rsidRPr="0096740E">
        <w:rPr>
          <w:noProof/>
          <w:lang w:val="en-US" w:eastAsia="en-GB"/>
        </w:rPr>
        <w:t xml:space="preserve"> on the need for several elements</w:t>
      </w:r>
      <w:r w:rsidR="00645595" w:rsidRPr="00BE2E79">
        <w:rPr>
          <w:noProof/>
        </w:rPr>
        <w:t xml:space="preserve">: </w:t>
      </w:r>
      <w:r w:rsidR="00973076" w:rsidRPr="00BE2E79">
        <w:rPr>
          <w:noProof/>
        </w:rPr>
        <w:t xml:space="preserve">comprehensive policy packages to achieve a </w:t>
      </w:r>
      <w:r w:rsidR="001C6DE0" w:rsidRPr="00BE2E79">
        <w:rPr>
          <w:noProof/>
        </w:rPr>
        <w:t xml:space="preserve">fair </w:t>
      </w:r>
      <w:r w:rsidR="00973076" w:rsidRPr="00BE2E79">
        <w:rPr>
          <w:noProof/>
        </w:rPr>
        <w:t>transition, i</w:t>
      </w:r>
      <w:r w:rsidR="00645595" w:rsidRPr="00BE2E79">
        <w:rPr>
          <w:noProof/>
        </w:rPr>
        <w:t xml:space="preserve">ncluding </w:t>
      </w:r>
      <w:r w:rsidR="00B2186D" w:rsidRPr="00BE2E79">
        <w:rPr>
          <w:noProof/>
        </w:rPr>
        <w:t xml:space="preserve">measures </w:t>
      </w:r>
      <w:r w:rsidR="00645595" w:rsidRPr="00BE2E79">
        <w:rPr>
          <w:noProof/>
        </w:rPr>
        <w:t xml:space="preserve">for up-and reskilling; </w:t>
      </w:r>
      <w:r w:rsidR="00A12E9F" w:rsidRPr="00BE2E79">
        <w:rPr>
          <w:noProof/>
        </w:rPr>
        <w:t xml:space="preserve">making good use of existing policies and funding instruments, avoiding duplication and administrative burden; </w:t>
      </w:r>
      <w:r w:rsidR="00973076" w:rsidRPr="00BE2E79">
        <w:rPr>
          <w:noProof/>
        </w:rPr>
        <w:t>an improved understanding of employment and social impacts</w:t>
      </w:r>
      <w:r w:rsidR="00A12E9F" w:rsidRPr="00BE2E79">
        <w:rPr>
          <w:noProof/>
        </w:rPr>
        <w:t xml:space="preserve"> of climate change policies</w:t>
      </w:r>
      <w:r w:rsidR="00973076" w:rsidRPr="00BE2E79">
        <w:rPr>
          <w:noProof/>
        </w:rPr>
        <w:t xml:space="preserve">, including </w:t>
      </w:r>
      <w:r w:rsidR="00B2186D" w:rsidRPr="00BE2E79">
        <w:rPr>
          <w:noProof/>
        </w:rPr>
        <w:t xml:space="preserve">effects </w:t>
      </w:r>
      <w:r w:rsidR="00973076" w:rsidRPr="00BE2E79">
        <w:rPr>
          <w:noProof/>
        </w:rPr>
        <w:t>on the quality of jobs,  and related mon</w:t>
      </w:r>
      <w:r w:rsidR="00F04651">
        <w:rPr>
          <w:noProof/>
        </w:rPr>
        <w:t xml:space="preserve">itoring and reporting based on </w:t>
      </w:r>
      <w:r w:rsidR="00F04651">
        <w:rPr>
          <w:noProof/>
          <w:sz w:val="20"/>
          <w:szCs w:val="20"/>
        </w:rPr>
        <w:t>‘</w:t>
      </w:r>
      <w:r w:rsidR="00F04651">
        <w:rPr>
          <w:noProof/>
        </w:rPr>
        <w:t>real life data</w:t>
      </w:r>
      <w:r w:rsidR="00F04651">
        <w:rPr>
          <w:noProof/>
          <w:sz w:val="20"/>
          <w:szCs w:val="20"/>
        </w:rPr>
        <w:t>’</w:t>
      </w:r>
      <w:r w:rsidR="00973076" w:rsidRPr="00BE2E79">
        <w:rPr>
          <w:noProof/>
        </w:rPr>
        <w:t xml:space="preserve"> and relevant indicators;</w:t>
      </w:r>
      <w:r w:rsidR="00645595" w:rsidRPr="00BE2E79">
        <w:rPr>
          <w:noProof/>
        </w:rPr>
        <w:t xml:space="preserve"> </w:t>
      </w:r>
      <w:r w:rsidR="00973076" w:rsidRPr="00BE2E79">
        <w:rPr>
          <w:noProof/>
        </w:rPr>
        <w:t>mainstreaming equality, but also request</w:t>
      </w:r>
      <w:r w:rsidR="00645595" w:rsidRPr="00BE2E79">
        <w:rPr>
          <w:noProof/>
        </w:rPr>
        <w:t>s</w:t>
      </w:r>
      <w:r w:rsidR="00973076" w:rsidRPr="00BE2E79">
        <w:rPr>
          <w:noProof/>
        </w:rPr>
        <w:t xml:space="preserve"> fo</w:t>
      </w:r>
      <w:r w:rsidR="00645595" w:rsidRPr="00BE2E79">
        <w:rPr>
          <w:noProof/>
        </w:rPr>
        <w:t xml:space="preserve">r more funds and capacity building, notably for SMEs; </w:t>
      </w:r>
      <w:r w:rsidR="00973076" w:rsidRPr="00BE2E79">
        <w:rPr>
          <w:noProof/>
        </w:rPr>
        <w:t xml:space="preserve">integration into </w:t>
      </w:r>
      <w:r w:rsidR="00645595" w:rsidRPr="00BE2E79">
        <w:rPr>
          <w:noProof/>
        </w:rPr>
        <w:t xml:space="preserve">existing governance mechanisms; and the </w:t>
      </w:r>
      <w:r w:rsidR="00973076" w:rsidRPr="00BE2E79">
        <w:rPr>
          <w:noProof/>
        </w:rPr>
        <w:t xml:space="preserve">involvement of social partners and civil society in </w:t>
      </w:r>
      <w:r w:rsidR="00645595" w:rsidRPr="00BE2E79">
        <w:rPr>
          <w:noProof/>
        </w:rPr>
        <w:t xml:space="preserve">the </w:t>
      </w:r>
      <w:r w:rsidR="00973076" w:rsidRPr="00BE2E79">
        <w:rPr>
          <w:noProof/>
        </w:rPr>
        <w:t xml:space="preserve">design and implementation of climate change and funding strategies for </w:t>
      </w:r>
      <w:r w:rsidR="001C6DE0" w:rsidRPr="00BE2E79">
        <w:rPr>
          <w:noProof/>
        </w:rPr>
        <w:t xml:space="preserve">fair </w:t>
      </w:r>
      <w:r w:rsidR="00973076" w:rsidRPr="00BE2E79">
        <w:rPr>
          <w:noProof/>
        </w:rPr>
        <w:t>transitions.</w:t>
      </w:r>
      <w:r w:rsidR="006B49F5" w:rsidRPr="00BE2E79">
        <w:rPr>
          <w:noProof/>
        </w:rPr>
        <w:t xml:space="preserve"> </w:t>
      </w:r>
    </w:p>
    <w:p w14:paraId="0F726046" w14:textId="77777777" w:rsidR="00F67576" w:rsidRPr="0096740E" w:rsidRDefault="00151ED8" w:rsidP="00071578">
      <w:pPr>
        <w:pStyle w:val="Text1"/>
        <w:spacing w:afterLines="120" w:after="288"/>
        <w:ind w:left="0"/>
        <w:rPr>
          <w:noProof/>
          <w:lang w:val="en-US" w:eastAsia="en-GB"/>
        </w:rPr>
      </w:pPr>
      <w:r w:rsidRPr="0096740E">
        <w:rPr>
          <w:noProof/>
          <w:lang w:val="en-US" w:eastAsia="en-GB"/>
        </w:rPr>
        <w:t>The</w:t>
      </w:r>
      <w:r w:rsidR="00F67576" w:rsidRPr="0096740E">
        <w:rPr>
          <w:noProof/>
          <w:lang w:val="en-US" w:eastAsia="en-GB"/>
        </w:rPr>
        <w:t xml:space="preserve"> Commission</w:t>
      </w:r>
      <w:r w:rsidRPr="0096740E">
        <w:rPr>
          <w:noProof/>
          <w:lang w:val="en-US" w:eastAsia="en-GB"/>
        </w:rPr>
        <w:t xml:space="preserve"> also</w:t>
      </w:r>
      <w:r w:rsidR="00F67576" w:rsidRPr="0096740E">
        <w:rPr>
          <w:noProof/>
          <w:lang w:val="en-US" w:eastAsia="en-GB"/>
        </w:rPr>
        <w:t xml:space="preserve"> launched </w:t>
      </w:r>
      <w:r w:rsidR="00F67576" w:rsidRPr="0096740E">
        <w:rPr>
          <w:b/>
          <w:noProof/>
          <w:lang w:val="en-US" w:eastAsia="en-GB"/>
        </w:rPr>
        <w:t>an open Call for Evidence</w:t>
      </w:r>
      <w:r w:rsidR="00F67576" w:rsidRPr="0096740E">
        <w:rPr>
          <w:noProof/>
          <w:lang w:val="en-US" w:eastAsia="en-GB"/>
        </w:rPr>
        <w:t xml:space="preserve"> from 29 October 2021 to 19 November 2021, having received 66 contributions from a broad spectrum of stakeholders: public authorities, European and national social partners, civil society organisations in the area of social affairs, but also climate and environmental organisations and academic and research institutions.</w:t>
      </w:r>
    </w:p>
    <w:p w14:paraId="2748F3B6" w14:textId="7B028901" w:rsidR="00AB75C6" w:rsidRPr="00AB75C6" w:rsidRDefault="00BF492D" w:rsidP="00071578">
      <w:pPr>
        <w:pStyle w:val="paragraph"/>
        <w:spacing w:before="120" w:beforeAutospacing="0" w:afterLines="120" w:after="288" w:afterAutospacing="0"/>
        <w:jc w:val="both"/>
        <w:textAlignment w:val="baseline"/>
        <w:rPr>
          <w:noProof/>
        </w:rPr>
      </w:pPr>
      <w:r w:rsidRPr="0096740E">
        <w:rPr>
          <w:rStyle w:val="normaltextrun"/>
          <w:noProof/>
          <w:color w:val="000000"/>
          <w:lang w:val="en-US"/>
        </w:rPr>
        <w:t xml:space="preserve">Overall, respondents displayed strong support </w:t>
      </w:r>
      <w:r w:rsidR="001E5B7E" w:rsidRPr="0096740E">
        <w:rPr>
          <w:rStyle w:val="normaltextrun"/>
          <w:noProof/>
          <w:color w:val="000000"/>
          <w:lang w:val="en-US"/>
        </w:rPr>
        <w:t>for</w:t>
      </w:r>
      <w:r w:rsidRPr="0096740E">
        <w:rPr>
          <w:rStyle w:val="normaltextrun"/>
          <w:noProof/>
          <w:color w:val="000000"/>
          <w:lang w:val="en-US"/>
        </w:rPr>
        <w:t xml:space="preserve"> a</w:t>
      </w:r>
      <w:r w:rsidRPr="0096740E">
        <w:rPr>
          <w:rStyle w:val="normaltextrun"/>
          <w:bCs/>
          <w:noProof/>
          <w:color w:val="000000"/>
          <w:lang w:val="en-IE"/>
        </w:rPr>
        <w:t xml:space="preserve"> long-term strategy on green transition and welcomed the focus on employment and social aspects</w:t>
      </w:r>
      <w:r w:rsidRPr="0096740E">
        <w:rPr>
          <w:rStyle w:val="normaltextrun"/>
          <w:noProof/>
          <w:color w:val="000000"/>
          <w:lang w:val="en-IE"/>
        </w:rPr>
        <w:t>. More specifically, the potential impact on inequalities, jobs and skills was raised in several contributions, with an overall appeal for providing adequate </w:t>
      </w:r>
      <w:r w:rsidRPr="0096740E">
        <w:rPr>
          <w:rStyle w:val="normaltextrun"/>
          <w:bCs/>
          <w:noProof/>
          <w:color w:val="000000"/>
          <w:lang w:val="en-IE"/>
        </w:rPr>
        <w:t>funding, as well as technical assistance regarding available funding instruments</w:t>
      </w:r>
      <w:r w:rsidRPr="0096740E">
        <w:rPr>
          <w:rStyle w:val="normaltextrun"/>
          <w:noProof/>
          <w:color w:val="000000"/>
          <w:lang w:val="en-IE"/>
        </w:rPr>
        <w:t> to Member States, notably focusing on vulnerable regions, sectors and groups. Contributions also highlighted an increased need to invest in </w:t>
      </w:r>
      <w:r w:rsidRPr="0096740E">
        <w:rPr>
          <w:rStyle w:val="normaltextrun"/>
          <w:bCs/>
          <w:noProof/>
          <w:color w:val="000000"/>
          <w:lang w:val="en-IE"/>
        </w:rPr>
        <w:t>reskilling and upskilling initiatives, capacity building and infrastructures</w:t>
      </w:r>
      <w:r w:rsidRPr="0096740E">
        <w:rPr>
          <w:rStyle w:val="normaltextrun"/>
          <w:noProof/>
          <w:color w:val="000000"/>
          <w:lang w:val="en-IE"/>
        </w:rPr>
        <w:t>.</w:t>
      </w:r>
      <w:r w:rsidRPr="0096740E">
        <w:rPr>
          <w:rStyle w:val="eop"/>
          <w:noProof/>
          <w:color w:val="000000"/>
        </w:rPr>
        <w:t> </w:t>
      </w:r>
      <w:r w:rsidRPr="0096740E">
        <w:rPr>
          <w:rStyle w:val="normaltextrun"/>
          <w:noProof/>
          <w:color w:val="000000"/>
          <w:lang w:val="en-IE"/>
        </w:rPr>
        <w:t>There was broad support to </w:t>
      </w:r>
      <w:r w:rsidRPr="0096740E">
        <w:rPr>
          <w:rStyle w:val="normaltextrun"/>
          <w:bCs/>
          <w:noProof/>
          <w:color w:val="000000"/>
          <w:lang w:val="en-IE"/>
        </w:rPr>
        <w:t>strengthening social dialogue and collective bargaining</w:t>
      </w:r>
      <w:r w:rsidRPr="0096740E">
        <w:rPr>
          <w:rStyle w:val="normaltextrun"/>
          <w:noProof/>
          <w:color w:val="000000"/>
          <w:lang w:val="en-IE"/>
        </w:rPr>
        <w:t>, with some respondents calling for workers’ right to information, consultation and co-decision. Moreover, the vast majority of contributions stressed the need for a </w:t>
      </w:r>
      <w:r w:rsidRPr="0096740E">
        <w:rPr>
          <w:rStyle w:val="normaltextrun"/>
          <w:bCs/>
          <w:noProof/>
          <w:color w:val="000000"/>
          <w:lang w:val="en-IE"/>
        </w:rPr>
        <w:t>granular mapping and analysis</w:t>
      </w:r>
      <w:r w:rsidRPr="0096740E">
        <w:rPr>
          <w:rStyle w:val="normaltextrun"/>
          <w:noProof/>
          <w:color w:val="000000"/>
          <w:lang w:val="en-IE"/>
        </w:rPr>
        <w:t>. </w:t>
      </w:r>
      <w:r w:rsidRPr="0096740E">
        <w:rPr>
          <w:noProof/>
        </w:rPr>
        <w:t xml:space="preserve">Other issues were mentioned in numerous contributions, notably direct income support measures to vulnerable workers and households, access to essential services, including transport, ensuring health and safety at work which is adapted to ‘green jobs’. </w:t>
      </w:r>
      <w:r w:rsidR="00AB75C6">
        <w:rPr>
          <w:noProof/>
        </w:rPr>
        <w:tab/>
      </w:r>
    </w:p>
    <w:p w14:paraId="18B95FCE" w14:textId="2EE0797F" w:rsidR="00002649" w:rsidRPr="004B4DFD" w:rsidRDefault="003A6B54" w:rsidP="004B4DFD">
      <w:pPr>
        <w:pStyle w:val="ManualHeading2"/>
        <w:rPr>
          <w:noProof/>
        </w:rPr>
      </w:pPr>
      <w:r w:rsidRPr="003A6B54">
        <w:rPr>
          <w:noProof/>
          <w:lang w:val="en-US"/>
        </w:rPr>
        <w:t>•</w:t>
      </w:r>
      <w:r w:rsidR="004B4DFD">
        <w:rPr>
          <w:noProof/>
        </w:rPr>
        <w:tab/>
      </w:r>
      <w:r w:rsidR="00002649" w:rsidRPr="004B4DFD">
        <w:rPr>
          <w:noProof/>
        </w:rPr>
        <w:t>Collection and use of expertise</w:t>
      </w:r>
    </w:p>
    <w:p w14:paraId="1A9D20C7" w14:textId="0ADB8C04" w:rsidR="00C16CD9" w:rsidRPr="0096740E" w:rsidRDefault="00C16CD9" w:rsidP="00AB75C6">
      <w:pPr>
        <w:pStyle w:val="paragraph"/>
        <w:jc w:val="both"/>
        <w:rPr>
          <w:b/>
          <w:noProof/>
          <w:lang w:val="en-US"/>
        </w:rPr>
      </w:pPr>
      <w:r w:rsidRPr="0096740E">
        <w:rPr>
          <w:noProof/>
          <w:lang w:val="en-US"/>
        </w:rPr>
        <w:t>The European Commission gathers expertise in social, employment and related policies through, among others, the Social Situation Monitor (SSM)</w:t>
      </w:r>
      <w:r w:rsidR="00121C7D" w:rsidRPr="0096740E">
        <w:rPr>
          <w:rStyle w:val="FootnoteReference"/>
          <w:noProof/>
          <w:lang w:val="en-US"/>
        </w:rPr>
        <w:footnoteReference w:id="47"/>
      </w:r>
      <w:r w:rsidR="00121C7D" w:rsidRPr="0096740E">
        <w:rPr>
          <w:noProof/>
          <w:lang w:val="en-US"/>
        </w:rPr>
        <w:t>,</w:t>
      </w:r>
      <w:r w:rsidRPr="0096740E">
        <w:rPr>
          <w:noProof/>
          <w:lang w:val="en-US"/>
        </w:rPr>
        <w:t xml:space="preserve"> to foster knowledge in the fields of social policy, social protection and employment while delivering policy-relevant and evidence-based research on the current socio-economic situation in the EU. Four main areas of research are covered by the SSM: Poverty, income inequality, social inequalities, health and well-being; employment, unemployment and labour market outcomes; the welfare state, social, and labour market policies; and labour market and distributional impacts of megatrends.</w:t>
      </w:r>
    </w:p>
    <w:p w14:paraId="18FF3BF3" w14:textId="7A6B9439" w:rsidR="00C16CD9" w:rsidRPr="0096740E" w:rsidRDefault="00121C7D" w:rsidP="00AB75C6">
      <w:pPr>
        <w:pStyle w:val="paragraph"/>
        <w:jc w:val="both"/>
        <w:rPr>
          <w:b/>
          <w:noProof/>
          <w:lang w:val="en-US"/>
        </w:rPr>
      </w:pPr>
      <w:r w:rsidRPr="0096740E">
        <w:rPr>
          <w:noProof/>
          <w:lang w:val="en-US"/>
        </w:rPr>
        <w:t>Following on from earlier events on the topic, i</w:t>
      </w:r>
      <w:r w:rsidR="00C16CD9" w:rsidRPr="0096740E">
        <w:rPr>
          <w:noProof/>
          <w:lang w:val="en-US"/>
        </w:rPr>
        <w:t>n</w:t>
      </w:r>
      <w:r w:rsidR="00570761" w:rsidRPr="0096740E">
        <w:rPr>
          <w:noProof/>
          <w:lang w:val="en-US"/>
        </w:rPr>
        <w:t xml:space="preserve"> </w:t>
      </w:r>
      <w:r w:rsidR="00C16CD9" w:rsidRPr="0096740E">
        <w:rPr>
          <w:noProof/>
          <w:lang w:val="en-US"/>
        </w:rPr>
        <w:t xml:space="preserve">November 2021, the SSM held its yearly research seminar, under the title "Social and Labour Aspects of the Transition to Climate Neutrality". The event </w:t>
      </w:r>
      <w:r w:rsidRPr="0096740E">
        <w:rPr>
          <w:noProof/>
          <w:lang w:val="en-US"/>
        </w:rPr>
        <w:t>focused</w:t>
      </w:r>
      <w:r w:rsidR="00C16CD9" w:rsidRPr="0096740E">
        <w:rPr>
          <w:noProof/>
          <w:lang w:val="en-US"/>
        </w:rPr>
        <w:t xml:space="preserve"> on the potential impacts of the green transition in terms of employment, job quality, skills and other distributional impacts such as energy poverty and access to essential services.</w:t>
      </w:r>
    </w:p>
    <w:p w14:paraId="12ABA1F6" w14:textId="19EF8131" w:rsidR="00C16CD9" w:rsidRPr="0096740E" w:rsidRDefault="00C16CD9" w:rsidP="00AB75C6">
      <w:pPr>
        <w:pStyle w:val="paragraph"/>
        <w:jc w:val="both"/>
        <w:rPr>
          <w:b/>
          <w:noProof/>
          <w:lang w:val="en-US"/>
        </w:rPr>
      </w:pPr>
      <w:r w:rsidRPr="0096740E">
        <w:rPr>
          <w:noProof/>
          <w:lang w:val="en-US"/>
        </w:rPr>
        <w:t xml:space="preserve">According to the </w:t>
      </w:r>
      <w:r w:rsidR="00121C7D" w:rsidRPr="0096740E">
        <w:rPr>
          <w:noProof/>
          <w:lang w:val="en-US"/>
        </w:rPr>
        <w:t>main findings discussed with the experts, at</w:t>
      </w:r>
      <w:r w:rsidRPr="0096740E">
        <w:rPr>
          <w:noProof/>
          <w:lang w:val="en-US"/>
        </w:rPr>
        <w:t xml:space="preserve"> the aggregate level, the </w:t>
      </w:r>
      <w:r w:rsidR="00121C7D" w:rsidRPr="0096740E">
        <w:rPr>
          <w:noProof/>
          <w:lang w:val="en-US"/>
        </w:rPr>
        <w:t>expected</w:t>
      </w:r>
      <w:r w:rsidRPr="0096740E">
        <w:rPr>
          <w:noProof/>
          <w:lang w:val="en-US"/>
        </w:rPr>
        <w:t xml:space="preserve"> impact is overall positive, with a boost of employment predicted in the energy-saving</w:t>
      </w:r>
      <w:r w:rsidR="00121C7D" w:rsidRPr="0096740E">
        <w:rPr>
          <w:noProof/>
          <w:lang w:val="en-US"/>
        </w:rPr>
        <w:t>,</w:t>
      </w:r>
      <w:r w:rsidRPr="0096740E">
        <w:rPr>
          <w:noProof/>
          <w:lang w:val="en-US"/>
        </w:rPr>
        <w:t xml:space="preserve"> construction and renewable energy sectors, </w:t>
      </w:r>
      <w:r w:rsidR="00121C7D" w:rsidRPr="0096740E">
        <w:rPr>
          <w:noProof/>
          <w:lang w:val="en-US"/>
        </w:rPr>
        <w:t>including for</w:t>
      </w:r>
      <w:r w:rsidRPr="0096740E">
        <w:rPr>
          <w:noProof/>
          <w:lang w:val="en-US"/>
        </w:rPr>
        <w:t xml:space="preserve"> low and medium-skilled workers. In contrast, employment and wages are expected to be reduced in </w:t>
      </w:r>
      <w:r w:rsidR="00121C7D" w:rsidRPr="0096740E">
        <w:rPr>
          <w:noProof/>
          <w:lang w:val="en-US"/>
        </w:rPr>
        <w:t xml:space="preserve">energy-intensive and hard-to-abate </w:t>
      </w:r>
      <w:r w:rsidRPr="0096740E">
        <w:rPr>
          <w:noProof/>
          <w:lang w:val="en-US"/>
        </w:rPr>
        <w:t xml:space="preserve">"brown industries", </w:t>
      </w:r>
      <w:r w:rsidR="00121C7D" w:rsidRPr="0096740E">
        <w:rPr>
          <w:noProof/>
          <w:lang w:val="en-US"/>
        </w:rPr>
        <w:t>highlighting</w:t>
      </w:r>
      <w:r w:rsidRPr="0096740E">
        <w:rPr>
          <w:noProof/>
          <w:lang w:val="en-US"/>
        </w:rPr>
        <w:t xml:space="preserve"> the need </w:t>
      </w:r>
      <w:r w:rsidR="3A25D738" w:rsidRPr="0096740E">
        <w:rPr>
          <w:noProof/>
          <w:lang w:val="en-US"/>
        </w:rPr>
        <w:t>for</w:t>
      </w:r>
      <w:r w:rsidRPr="0096740E">
        <w:rPr>
          <w:noProof/>
          <w:lang w:val="en-US"/>
        </w:rPr>
        <w:t xml:space="preserve"> investment in the massive up- and reskilling challenge.</w:t>
      </w:r>
    </w:p>
    <w:p w14:paraId="5D71152F" w14:textId="5B41C6D5" w:rsidR="00C16CD9" w:rsidRPr="0096740E" w:rsidRDefault="00C16CD9" w:rsidP="00AB75C6">
      <w:pPr>
        <w:pStyle w:val="paragraph"/>
        <w:jc w:val="both"/>
        <w:rPr>
          <w:b/>
          <w:noProof/>
          <w:lang w:val="en-US"/>
        </w:rPr>
      </w:pPr>
      <w:r w:rsidRPr="0096740E">
        <w:rPr>
          <w:noProof/>
          <w:lang w:val="en-US"/>
        </w:rPr>
        <w:t xml:space="preserve">Among the policy instruments identified </w:t>
      </w:r>
      <w:r w:rsidR="00D522D9" w:rsidRPr="0096740E">
        <w:rPr>
          <w:noProof/>
          <w:lang w:val="en-US"/>
        </w:rPr>
        <w:t xml:space="preserve">by the experts </w:t>
      </w:r>
      <w:r w:rsidRPr="0096740E">
        <w:rPr>
          <w:noProof/>
          <w:lang w:val="en-US"/>
        </w:rPr>
        <w:t xml:space="preserve">to foster </w:t>
      </w:r>
      <w:r w:rsidR="00121C7D" w:rsidRPr="0096740E">
        <w:rPr>
          <w:noProof/>
          <w:lang w:val="en-US"/>
        </w:rPr>
        <w:t>a fair</w:t>
      </w:r>
      <w:r w:rsidRPr="0096740E">
        <w:rPr>
          <w:noProof/>
          <w:lang w:val="en-US"/>
        </w:rPr>
        <w:t xml:space="preserve"> transition were taxes, transfers</w:t>
      </w:r>
      <w:r w:rsidR="00121C7D" w:rsidRPr="0096740E">
        <w:rPr>
          <w:noProof/>
          <w:lang w:val="en-US"/>
        </w:rPr>
        <w:t xml:space="preserve">, </w:t>
      </w:r>
      <w:r w:rsidRPr="0096740E">
        <w:rPr>
          <w:noProof/>
          <w:lang w:val="en-US"/>
        </w:rPr>
        <w:t xml:space="preserve">subsidies and regulations, each entailing </w:t>
      </w:r>
      <w:r w:rsidR="59CDA718" w:rsidRPr="0096740E">
        <w:rPr>
          <w:noProof/>
          <w:lang w:val="en-US"/>
        </w:rPr>
        <w:t>diverse levels</w:t>
      </w:r>
      <w:r w:rsidRPr="0096740E">
        <w:rPr>
          <w:noProof/>
          <w:lang w:val="en-US"/>
        </w:rPr>
        <w:t xml:space="preserve"> of equity and efficiency. </w:t>
      </w:r>
      <w:r w:rsidR="00D522D9" w:rsidRPr="0096740E">
        <w:rPr>
          <w:noProof/>
          <w:lang w:val="en-US"/>
        </w:rPr>
        <w:t>Experts agreed broadly on</w:t>
      </w:r>
      <w:r w:rsidRPr="0096740E">
        <w:rPr>
          <w:noProof/>
          <w:lang w:val="en-US"/>
        </w:rPr>
        <w:t xml:space="preserve"> the importance </w:t>
      </w:r>
      <w:r w:rsidR="6FA6C00A" w:rsidRPr="0096740E">
        <w:rPr>
          <w:noProof/>
          <w:lang w:val="en-US"/>
        </w:rPr>
        <w:t>of</w:t>
      </w:r>
      <w:r w:rsidRPr="0096740E">
        <w:rPr>
          <w:noProof/>
          <w:lang w:val="en-US"/>
        </w:rPr>
        <w:t xml:space="preserve"> </w:t>
      </w:r>
      <w:r w:rsidR="00D522D9" w:rsidRPr="0096740E">
        <w:rPr>
          <w:noProof/>
          <w:lang w:val="en-US"/>
        </w:rPr>
        <w:t>offsetting,</w:t>
      </w:r>
      <w:r w:rsidRPr="0096740E">
        <w:rPr>
          <w:noProof/>
          <w:lang w:val="en-US"/>
        </w:rPr>
        <w:t xml:space="preserve"> through transfers and subsidies</w:t>
      </w:r>
      <w:r w:rsidR="00D522D9" w:rsidRPr="0096740E">
        <w:rPr>
          <w:noProof/>
          <w:lang w:val="en-US"/>
        </w:rPr>
        <w:t>,</w:t>
      </w:r>
      <w:r w:rsidRPr="0096740E">
        <w:rPr>
          <w:noProof/>
          <w:lang w:val="en-US"/>
        </w:rPr>
        <w:t xml:space="preserve"> certain regressive </w:t>
      </w:r>
      <w:r w:rsidR="00D522D9" w:rsidRPr="0096740E">
        <w:rPr>
          <w:noProof/>
          <w:lang w:val="en-US"/>
        </w:rPr>
        <w:t>or</w:t>
      </w:r>
      <w:r w:rsidRPr="0096740E">
        <w:rPr>
          <w:noProof/>
          <w:lang w:val="en-US"/>
        </w:rPr>
        <w:t xml:space="preserve"> disproportiona</w:t>
      </w:r>
      <w:r w:rsidR="00D522D9" w:rsidRPr="0096740E">
        <w:rPr>
          <w:noProof/>
          <w:lang w:val="en-US"/>
        </w:rPr>
        <w:t>te</w:t>
      </w:r>
      <w:r w:rsidRPr="0096740E">
        <w:rPr>
          <w:noProof/>
          <w:lang w:val="en-US"/>
        </w:rPr>
        <w:t xml:space="preserve"> effects in </w:t>
      </w:r>
      <w:r w:rsidR="00D522D9" w:rsidRPr="0096740E">
        <w:rPr>
          <w:noProof/>
          <w:lang w:val="en-US"/>
        </w:rPr>
        <w:t>particular for</w:t>
      </w:r>
      <w:r w:rsidRPr="0096740E">
        <w:rPr>
          <w:noProof/>
          <w:lang w:val="en-US"/>
        </w:rPr>
        <w:t xml:space="preserve"> </w:t>
      </w:r>
      <w:r w:rsidR="2933CF3A" w:rsidRPr="0096740E">
        <w:rPr>
          <w:noProof/>
          <w:lang w:val="en-US"/>
        </w:rPr>
        <w:t>low</w:t>
      </w:r>
      <w:r w:rsidR="00D522D9" w:rsidRPr="0096740E">
        <w:rPr>
          <w:noProof/>
          <w:lang w:val="en-US"/>
        </w:rPr>
        <w:t xml:space="preserve"> </w:t>
      </w:r>
      <w:r w:rsidR="2933CF3A" w:rsidRPr="0096740E">
        <w:rPr>
          <w:noProof/>
          <w:lang w:val="en-US"/>
        </w:rPr>
        <w:t>income</w:t>
      </w:r>
      <w:r w:rsidRPr="0096740E">
        <w:rPr>
          <w:noProof/>
          <w:lang w:val="en-US"/>
        </w:rPr>
        <w:t xml:space="preserve"> </w:t>
      </w:r>
      <w:r w:rsidR="00D522D9" w:rsidRPr="0096740E">
        <w:rPr>
          <w:noProof/>
          <w:lang w:val="en-US"/>
        </w:rPr>
        <w:t xml:space="preserve">and lower middle </w:t>
      </w:r>
      <w:r w:rsidR="2933CF3A" w:rsidRPr="0096740E">
        <w:rPr>
          <w:noProof/>
          <w:lang w:val="en-US"/>
        </w:rPr>
        <w:t>income</w:t>
      </w:r>
      <w:r w:rsidRPr="0096740E">
        <w:rPr>
          <w:noProof/>
          <w:lang w:val="en-US"/>
        </w:rPr>
        <w:t xml:space="preserve"> households, also </w:t>
      </w:r>
      <w:r w:rsidR="00D522D9" w:rsidRPr="0096740E">
        <w:rPr>
          <w:noProof/>
          <w:lang w:val="en-US"/>
        </w:rPr>
        <w:t>to garner and safeguard social acceptance of policy measures</w:t>
      </w:r>
      <w:r w:rsidRPr="0096740E">
        <w:rPr>
          <w:noProof/>
          <w:lang w:val="en-US"/>
        </w:rPr>
        <w:t>.</w:t>
      </w:r>
    </w:p>
    <w:p w14:paraId="6DED6CC0" w14:textId="10801079" w:rsidR="00433C29" w:rsidRPr="001817F2" w:rsidRDefault="00D522D9" w:rsidP="00AB75C6">
      <w:pPr>
        <w:pStyle w:val="paragraph"/>
        <w:jc w:val="both"/>
        <w:rPr>
          <w:rFonts w:eastAsia="Arial Unicode MS"/>
          <w:noProof/>
          <w:lang w:val="en-US"/>
        </w:rPr>
      </w:pPr>
      <w:r w:rsidRPr="0096740E">
        <w:rPr>
          <w:noProof/>
          <w:lang w:val="en-US"/>
        </w:rPr>
        <w:t>T</w:t>
      </w:r>
      <w:r w:rsidR="00C16CD9" w:rsidRPr="0096740E">
        <w:rPr>
          <w:noProof/>
          <w:lang w:val="en-US"/>
        </w:rPr>
        <w:t xml:space="preserve">he seminar </w:t>
      </w:r>
      <w:r w:rsidRPr="0096740E">
        <w:rPr>
          <w:noProof/>
          <w:lang w:val="en-US"/>
        </w:rPr>
        <w:t>also identified areas that would benefit from further research, including</w:t>
      </w:r>
      <w:r w:rsidR="00B72535" w:rsidRPr="0096740E">
        <w:rPr>
          <w:noProof/>
          <w:lang w:val="en-US"/>
        </w:rPr>
        <w:t xml:space="preserve"> on</w:t>
      </w:r>
      <w:r w:rsidR="00C16CD9" w:rsidRPr="0096740E">
        <w:rPr>
          <w:noProof/>
          <w:lang w:val="en-US"/>
        </w:rPr>
        <w:t xml:space="preserve">: (a) </w:t>
      </w:r>
      <w:r w:rsidR="00B72535" w:rsidRPr="0096740E">
        <w:rPr>
          <w:noProof/>
          <w:lang w:val="en-US"/>
        </w:rPr>
        <w:t>the geo</w:t>
      </w:r>
      <w:r w:rsidR="00C16CD9" w:rsidRPr="0096740E">
        <w:rPr>
          <w:noProof/>
          <w:lang w:val="en-US"/>
        </w:rPr>
        <w:t>spatial dimension</w:t>
      </w:r>
      <w:r w:rsidR="00B72535" w:rsidRPr="0096740E">
        <w:rPr>
          <w:noProof/>
          <w:lang w:val="en-US"/>
        </w:rPr>
        <w:t xml:space="preserve"> of employment, social and distributional effects of climate action, including through</w:t>
      </w:r>
      <w:r w:rsidR="00C16CD9" w:rsidRPr="0096740E">
        <w:rPr>
          <w:noProof/>
          <w:lang w:val="en-US"/>
        </w:rPr>
        <w:t xml:space="preserve"> further simulations </w:t>
      </w:r>
      <w:r w:rsidR="00B72535" w:rsidRPr="0096740E">
        <w:rPr>
          <w:noProof/>
          <w:lang w:val="en-US"/>
        </w:rPr>
        <w:t>covering all</w:t>
      </w:r>
      <w:r w:rsidR="00C16CD9" w:rsidRPr="0096740E">
        <w:rPr>
          <w:noProof/>
          <w:lang w:val="en-US"/>
        </w:rPr>
        <w:t xml:space="preserve"> EU countries and estimation of </w:t>
      </w:r>
      <w:r w:rsidR="00B72535" w:rsidRPr="0096740E">
        <w:rPr>
          <w:noProof/>
          <w:lang w:val="en-US"/>
        </w:rPr>
        <w:t>impacts by area and degree of urbanisation</w:t>
      </w:r>
      <w:r w:rsidR="00C16CD9" w:rsidRPr="0096740E">
        <w:rPr>
          <w:noProof/>
          <w:lang w:val="en-US"/>
        </w:rPr>
        <w:t>; (b) integration of macro-</w:t>
      </w:r>
      <w:r w:rsidR="00B72535" w:rsidRPr="0096740E">
        <w:rPr>
          <w:noProof/>
          <w:lang w:val="en-US"/>
        </w:rPr>
        <w:t xml:space="preserve"> </w:t>
      </w:r>
      <w:r w:rsidR="00C16CD9" w:rsidRPr="0096740E">
        <w:rPr>
          <w:noProof/>
          <w:lang w:val="en-US"/>
        </w:rPr>
        <w:t>and micro-models</w:t>
      </w:r>
      <w:r w:rsidR="00B72535" w:rsidRPr="0096740E">
        <w:rPr>
          <w:noProof/>
          <w:lang w:val="en-US"/>
        </w:rPr>
        <w:t>, including a more granular modelling of labour market transitions, notably across sectors, and the related social investment needs to support retraining, reskilling and upskilling</w:t>
      </w:r>
      <w:r w:rsidR="00C16CD9" w:rsidRPr="0096740E">
        <w:rPr>
          <w:noProof/>
          <w:lang w:val="en-US"/>
        </w:rPr>
        <w:t>; (c) integration of income distribution and household budget models</w:t>
      </w:r>
      <w:r w:rsidR="00B72535" w:rsidRPr="0096740E">
        <w:rPr>
          <w:noProof/>
          <w:lang w:val="en-US"/>
        </w:rPr>
        <w:t xml:space="preserve"> into the underlying macro-models</w:t>
      </w:r>
      <w:r w:rsidR="00C16CD9" w:rsidRPr="0096740E">
        <w:rPr>
          <w:noProof/>
          <w:lang w:val="en-US"/>
        </w:rPr>
        <w:t xml:space="preserve">; and (d) </w:t>
      </w:r>
      <w:r w:rsidR="00B72535" w:rsidRPr="0096740E">
        <w:rPr>
          <w:noProof/>
          <w:lang w:val="en-US"/>
        </w:rPr>
        <w:t xml:space="preserve">the development of </w:t>
      </w:r>
      <w:r w:rsidR="00C16CD9" w:rsidRPr="0096740E">
        <w:rPr>
          <w:noProof/>
          <w:lang w:val="en-US"/>
        </w:rPr>
        <w:t xml:space="preserve">indicators of the ‘greenness’ of </w:t>
      </w:r>
      <w:r w:rsidR="00B72535" w:rsidRPr="0096740E">
        <w:rPr>
          <w:noProof/>
          <w:lang w:val="en-US"/>
        </w:rPr>
        <w:t xml:space="preserve">tasks, </w:t>
      </w:r>
      <w:r w:rsidR="00C16CD9" w:rsidRPr="0096740E">
        <w:rPr>
          <w:noProof/>
          <w:lang w:val="en-US"/>
        </w:rPr>
        <w:t>jobs and skills.</w:t>
      </w:r>
    </w:p>
    <w:p w14:paraId="4871F4B1"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Impact assessment</w:t>
      </w:r>
    </w:p>
    <w:p w14:paraId="56C4F65A" w14:textId="7C8FDF5C" w:rsidR="00002649" w:rsidRPr="0096740E" w:rsidRDefault="00002649" w:rsidP="00002649">
      <w:pPr>
        <w:pStyle w:val="Default"/>
        <w:jc w:val="both"/>
        <w:rPr>
          <w:rFonts w:eastAsia="Arial Unicode MS"/>
          <w:noProof/>
          <w:color w:val="auto"/>
        </w:rPr>
      </w:pPr>
      <w:r w:rsidRPr="0096740E">
        <w:rPr>
          <w:rFonts w:eastAsia="Arial Unicode MS"/>
          <w:noProof/>
          <w:color w:val="auto"/>
        </w:rPr>
        <w:t xml:space="preserve">The </w:t>
      </w:r>
      <w:r w:rsidR="00643B74" w:rsidRPr="0096740E">
        <w:rPr>
          <w:rFonts w:eastAsia="Arial Unicode MS"/>
          <w:noProof/>
          <w:color w:val="auto"/>
        </w:rPr>
        <w:t xml:space="preserve">proposed </w:t>
      </w:r>
      <w:r w:rsidRPr="0096740E">
        <w:rPr>
          <w:rFonts w:eastAsia="Arial Unicode MS"/>
          <w:noProof/>
          <w:color w:val="auto"/>
        </w:rPr>
        <w:t>instrument – a Council Recommendation – offer</w:t>
      </w:r>
      <w:r w:rsidR="00643B74" w:rsidRPr="0096740E">
        <w:rPr>
          <w:rFonts w:eastAsia="Arial Unicode MS"/>
          <w:noProof/>
          <w:color w:val="auto"/>
        </w:rPr>
        <w:t>s</w:t>
      </w:r>
      <w:r w:rsidRPr="0096740E">
        <w:rPr>
          <w:rFonts w:eastAsia="Arial Unicode MS"/>
          <w:noProof/>
          <w:color w:val="auto"/>
        </w:rPr>
        <w:t xml:space="preserve"> guidance on the implementation of social, employment and related policies to address the challenges of the green transition</w:t>
      </w:r>
      <w:r w:rsidR="00643B74" w:rsidRPr="0096740E">
        <w:rPr>
          <w:rFonts w:eastAsia="Arial Unicode MS"/>
          <w:noProof/>
          <w:color w:val="auto"/>
        </w:rPr>
        <w:t>. However, as it</w:t>
      </w:r>
      <w:r w:rsidRPr="0096740E">
        <w:rPr>
          <w:rFonts w:eastAsia="Arial Unicode MS"/>
          <w:noProof/>
          <w:color w:val="auto"/>
        </w:rPr>
        <w:t xml:space="preserve"> </w:t>
      </w:r>
      <w:r w:rsidR="00643B74" w:rsidRPr="0096740E">
        <w:rPr>
          <w:rFonts w:eastAsia="Arial Unicode MS"/>
          <w:noProof/>
          <w:color w:val="auto"/>
        </w:rPr>
        <w:t>provides flex</w:t>
      </w:r>
      <w:r w:rsidR="00873012" w:rsidRPr="0096740E">
        <w:rPr>
          <w:rFonts w:eastAsia="Arial Unicode MS"/>
          <w:noProof/>
          <w:color w:val="auto"/>
        </w:rPr>
        <w:t>ible guidance to</w:t>
      </w:r>
      <w:r w:rsidR="00643B74" w:rsidRPr="0096740E">
        <w:rPr>
          <w:rFonts w:eastAsia="Arial Unicode MS"/>
          <w:noProof/>
          <w:color w:val="auto"/>
        </w:rPr>
        <w:t xml:space="preserve"> </w:t>
      </w:r>
      <w:r w:rsidRPr="0096740E">
        <w:rPr>
          <w:rFonts w:eastAsia="Arial Unicode MS"/>
          <w:noProof/>
          <w:color w:val="auto"/>
        </w:rPr>
        <w:t xml:space="preserve">Member States </w:t>
      </w:r>
      <w:r w:rsidR="00643B74" w:rsidRPr="0096740E">
        <w:rPr>
          <w:rFonts w:eastAsia="Arial Unicode MS"/>
          <w:noProof/>
          <w:color w:val="auto"/>
        </w:rPr>
        <w:t xml:space="preserve">with respect to the choice and </w:t>
      </w:r>
      <w:r w:rsidRPr="0096740E">
        <w:rPr>
          <w:rFonts w:eastAsia="Arial Unicode MS"/>
          <w:noProof/>
          <w:color w:val="auto"/>
        </w:rPr>
        <w:t xml:space="preserve">design </w:t>
      </w:r>
      <w:r w:rsidR="00643B74" w:rsidRPr="0096740E">
        <w:rPr>
          <w:rFonts w:eastAsia="Arial Unicode MS"/>
          <w:noProof/>
          <w:color w:val="auto"/>
        </w:rPr>
        <w:t xml:space="preserve">of the </w:t>
      </w:r>
      <w:r w:rsidRPr="0096740E">
        <w:rPr>
          <w:rFonts w:eastAsia="Arial Unicode MS"/>
          <w:noProof/>
          <w:color w:val="auto"/>
        </w:rPr>
        <w:t>measures</w:t>
      </w:r>
      <w:r w:rsidR="00643B74" w:rsidRPr="0096740E">
        <w:rPr>
          <w:rFonts w:eastAsia="Arial Unicode MS"/>
          <w:noProof/>
          <w:color w:val="auto"/>
        </w:rPr>
        <w:t xml:space="preserve">, </w:t>
      </w:r>
      <w:r w:rsidRPr="0096740E">
        <w:rPr>
          <w:rFonts w:eastAsia="Arial Unicode MS"/>
          <w:noProof/>
          <w:color w:val="auto"/>
        </w:rPr>
        <w:t xml:space="preserve">an impact assessment is not </w:t>
      </w:r>
      <w:r w:rsidR="00643B74" w:rsidRPr="0096740E">
        <w:rPr>
          <w:rFonts w:eastAsia="Arial Unicode MS"/>
          <w:noProof/>
          <w:color w:val="auto"/>
        </w:rPr>
        <w:t>required</w:t>
      </w:r>
      <w:r w:rsidRPr="0096740E">
        <w:rPr>
          <w:rFonts w:eastAsia="Arial Unicode MS"/>
          <w:noProof/>
          <w:color w:val="auto"/>
        </w:rPr>
        <w:t xml:space="preserve">. </w:t>
      </w:r>
    </w:p>
    <w:p w14:paraId="5D2BC28B" w14:textId="51BF59C6" w:rsidR="00002649" w:rsidRPr="0096740E" w:rsidRDefault="00002649" w:rsidP="00002649">
      <w:pPr>
        <w:pStyle w:val="Default"/>
        <w:jc w:val="both"/>
        <w:rPr>
          <w:rFonts w:eastAsia="Arial Unicode MS"/>
          <w:noProof/>
          <w:color w:val="auto"/>
          <w:szCs w:val="22"/>
        </w:rPr>
      </w:pPr>
    </w:p>
    <w:p w14:paraId="72D34541" w14:textId="13C9E461"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An accompanying Staff Working Document provides a</w:t>
      </w:r>
      <w:r w:rsidR="0073738C" w:rsidRPr="0096740E">
        <w:rPr>
          <w:rFonts w:eastAsia="Arial Unicode MS"/>
          <w:noProof/>
        </w:rPr>
        <w:t>n</w:t>
      </w:r>
      <w:r w:rsidRPr="0096740E">
        <w:rPr>
          <w:rFonts w:eastAsia="Arial Unicode MS"/>
          <w:noProof/>
        </w:rPr>
        <w:t xml:space="preserve"> </w:t>
      </w:r>
      <w:r w:rsidR="00090FEF" w:rsidRPr="0096740E">
        <w:rPr>
          <w:rFonts w:eastAsia="Arial Unicode MS"/>
          <w:noProof/>
        </w:rPr>
        <w:t>overview</w:t>
      </w:r>
      <w:r w:rsidR="007723F6" w:rsidRPr="0096740E">
        <w:rPr>
          <w:rFonts w:eastAsia="Arial Unicode MS"/>
          <w:noProof/>
        </w:rPr>
        <w:t xml:space="preserve"> and </w:t>
      </w:r>
      <w:r w:rsidR="00090FEF" w:rsidRPr="0096740E">
        <w:rPr>
          <w:rFonts w:eastAsia="Arial Unicode MS"/>
          <w:noProof/>
        </w:rPr>
        <w:t>discussion of</w:t>
      </w:r>
      <w:r w:rsidRPr="0096740E">
        <w:rPr>
          <w:rFonts w:eastAsia="Arial Unicode MS"/>
          <w:noProof/>
        </w:rPr>
        <w:t xml:space="preserve"> the available evidence underpinning the recommended policy interventions</w:t>
      </w:r>
      <w:r w:rsidR="00390DFC" w:rsidRPr="0096740E">
        <w:rPr>
          <w:rFonts w:eastAsia="Arial Unicode MS"/>
          <w:noProof/>
        </w:rPr>
        <w:t xml:space="preserve">, </w:t>
      </w:r>
      <w:r w:rsidR="00A12E9F" w:rsidRPr="0096740E">
        <w:rPr>
          <w:rFonts w:eastAsia="Arial Unicode MS"/>
          <w:noProof/>
        </w:rPr>
        <w:t>building</w:t>
      </w:r>
      <w:r w:rsidRPr="0096740E">
        <w:rPr>
          <w:rFonts w:eastAsia="Arial Unicode MS"/>
          <w:noProof/>
        </w:rPr>
        <w:t xml:space="preserve"> </w:t>
      </w:r>
      <w:r w:rsidR="00F7703B" w:rsidRPr="0096740E">
        <w:rPr>
          <w:rFonts w:eastAsia="Arial Unicode MS"/>
          <w:noProof/>
        </w:rPr>
        <w:t xml:space="preserve">on </w:t>
      </w:r>
      <w:r w:rsidRPr="0096740E">
        <w:rPr>
          <w:rFonts w:eastAsia="Arial Unicode MS"/>
          <w:noProof/>
        </w:rPr>
        <w:t xml:space="preserve">the </w:t>
      </w:r>
      <w:r w:rsidR="15660180" w:rsidRPr="0096740E">
        <w:rPr>
          <w:rFonts w:eastAsia="Arial Unicode MS"/>
          <w:noProof/>
        </w:rPr>
        <w:t>analys</w:t>
      </w:r>
      <w:r w:rsidR="00090FEF" w:rsidRPr="0096740E">
        <w:rPr>
          <w:rFonts w:eastAsia="Arial Unicode MS"/>
          <w:noProof/>
        </w:rPr>
        <w:t>e</w:t>
      </w:r>
      <w:r w:rsidR="15660180" w:rsidRPr="0096740E">
        <w:rPr>
          <w:rFonts w:eastAsia="Arial Unicode MS"/>
          <w:noProof/>
        </w:rPr>
        <w:t>s presented in relevant impact assessment reports</w:t>
      </w:r>
      <w:r w:rsidRPr="0096740E">
        <w:rPr>
          <w:rFonts w:eastAsia="Arial Unicode MS"/>
          <w:noProof/>
        </w:rPr>
        <w:t xml:space="preserve"> accompanying the 2030 Climate target plan Communication and the </w:t>
      </w:r>
      <w:r w:rsidR="007C7F14" w:rsidRPr="0096740E">
        <w:rPr>
          <w:rFonts w:eastAsia="Arial Unicode MS"/>
          <w:noProof/>
        </w:rPr>
        <w:t xml:space="preserve">initiatives </w:t>
      </w:r>
      <w:r w:rsidRPr="0096740E">
        <w:rPr>
          <w:rFonts w:eastAsia="Arial Unicode MS"/>
          <w:noProof/>
        </w:rPr>
        <w:t xml:space="preserve">of the ‘Fit for 55’ package. It integrates new evidence from additional analyses carried out by the European Commission, including updates of energy poverty indicators by income group for those Member States for which 2020 data are already available in the EU-SILC database. Finally, it benefits from the feedback received during targeted consultations in autumn 2021, when the European Commission reached out to, among others, Member States, social partners, civil society, including young people, and experts in the area of labour market analysis, social policy and </w:t>
      </w:r>
      <w:r w:rsidR="001C6DE0" w:rsidRPr="0096740E">
        <w:rPr>
          <w:rFonts w:eastAsia="Arial Unicode MS"/>
          <w:noProof/>
        </w:rPr>
        <w:t xml:space="preserve">fair </w:t>
      </w:r>
      <w:r w:rsidRPr="0096740E">
        <w:rPr>
          <w:rFonts w:eastAsia="Arial Unicode MS"/>
          <w:noProof/>
        </w:rPr>
        <w:t xml:space="preserve">transition. </w:t>
      </w:r>
    </w:p>
    <w:p w14:paraId="2E14CAFF"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96740E">
        <w:rPr>
          <w:rFonts w:eastAsia="Arial Unicode MS"/>
          <w:noProof/>
        </w:rPr>
        <w:t xml:space="preserve">Some of the most relevant pieces of evidence concern the following policy aspects: </w:t>
      </w:r>
    </w:p>
    <w:p w14:paraId="6EBC6031" w14:textId="029A9F3B" w:rsidR="00002649" w:rsidRPr="0096740E" w:rsidRDefault="00002649" w:rsidP="00AE5D56">
      <w:pPr>
        <w:rPr>
          <w:noProof/>
        </w:rPr>
      </w:pPr>
      <w:r w:rsidRPr="0096740E">
        <w:rPr>
          <w:noProof/>
        </w:rPr>
        <w:t xml:space="preserve">Demonstrating how the job creation potential of the transition hinges both on the active support </w:t>
      </w:r>
      <w:r w:rsidR="001135DE" w:rsidRPr="0096740E">
        <w:rPr>
          <w:noProof/>
        </w:rPr>
        <w:t xml:space="preserve">to </w:t>
      </w:r>
      <w:r w:rsidRPr="0096740E">
        <w:rPr>
          <w:noProof/>
        </w:rPr>
        <w:t xml:space="preserve">labour market transitions </w:t>
      </w:r>
      <w:r w:rsidR="004937FB" w:rsidRPr="0096740E">
        <w:rPr>
          <w:noProof/>
        </w:rPr>
        <w:t xml:space="preserve">and job creation, </w:t>
      </w:r>
      <w:r w:rsidRPr="0096740E">
        <w:rPr>
          <w:noProof/>
        </w:rPr>
        <w:t>and on the ability of workers to obtain a skillset adapted to a labour market and industrial landscape characterised by green jobs and climate-friendly production processes.</w:t>
      </w:r>
    </w:p>
    <w:p w14:paraId="4BC3238C" w14:textId="7565F68D" w:rsidR="00002649" w:rsidRPr="0096740E" w:rsidRDefault="00002649" w:rsidP="00AE5D56">
      <w:pPr>
        <w:rPr>
          <w:noProof/>
        </w:rPr>
      </w:pPr>
      <w:r w:rsidRPr="0096740E">
        <w:rPr>
          <w:noProof/>
        </w:rPr>
        <w:t xml:space="preserve">Providing modelling evidence for </w:t>
      </w:r>
      <w:r w:rsidR="00A12E9F" w:rsidRPr="0096740E">
        <w:rPr>
          <w:noProof/>
        </w:rPr>
        <w:t xml:space="preserve">the ability to shift tax revenues away from labour to climate-related revenue generation, to internalise negative environmental externalities by promoting the </w:t>
      </w:r>
      <w:r w:rsidR="00076B77" w:rsidRPr="0096740E">
        <w:rPr>
          <w:noProof/>
        </w:rPr>
        <w:t>‘</w:t>
      </w:r>
      <w:r w:rsidR="00A12E9F" w:rsidRPr="0096740E">
        <w:rPr>
          <w:noProof/>
        </w:rPr>
        <w:t>polluter pay</w:t>
      </w:r>
      <w:r w:rsidR="004937FB" w:rsidRPr="0096740E">
        <w:rPr>
          <w:noProof/>
        </w:rPr>
        <w:t>s</w:t>
      </w:r>
      <w:r w:rsidR="00A12E9F" w:rsidRPr="0096740E">
        <w:rPr>
          <w:noProof/>
        </w:rPr>
        <w:t xml:space="preserve"> principle</w:t>
      </w:r>
      <w:r w:rsidR="00076B77" w:rsidRPr="0096740E">
        <w:rPr>
          <w:noProof/>
        </w:rPr>
        <w:t>’</w:t>
      </w:r>
      <w:r w:rsidR="00A12E9F" w:rsidRPr="0096740E">
        <w:rPr>
          <w:noProof/>
        </w:rPr>
        <w:t xml:space="preserve"> and improve labour market outcomes while lowering exposure to environmental hazards, not least for the most vulnerable, as well as </w:t>
      </w:r>
      <w:r w:rsidRPr="0096740E">
        <w:rPr>
          <w:noProof/>
        </w:rPr>
        <w:t xml:space="preserve">the ability to mitigate adverse distributional effects through </w:t>
      </w:r>
      <w:r w:rsidR="004937FB" w:rsidRPr="0096740E">
        <w:rPr>
          <w:noProof/>
        </w:rPr>
        <w:t xml:space="preserve">targeted </w:t>
      </w:r>
      <w:r w:rsidRPr="0096740E">
        <w:rPr>
          <w:noProof/>
        </w:rPr>
        <w:t xml:space="preserve">measures </w:t>
      </w:r>
      <w:r w:rsidR="00E3111D" w:rsidRPr="0096740E">
        <w:rPr>
          <w:noProof/>
        </w:rPr>
        <w:t xml:space="preserve">transferring back </w:t>
      </w:r>
      <w:r w:rsidR="001135DE" w:rsidRPr="0096740E">
        <w:rPr>
          <w:noProof/>
        </w:rPr>
        <w:t>revenues</w:t>
      </w:r>
      <w:r w:rsidRPr="0096740E">
        <w:rPr>
          <w:noProof/>
        </w:rPr>
        <w:t xml:space="preserve"> from energy taxes and carbon pricing to </w:t>
      </w:r>
      <w:r w:rsidR="004937FB" w:rsidRPr="0096740E">
        <w:rPr>
          <w:noProof/>
        </w:rPr>
        <w:t xml:space="preserve">the most affected </w:t>
      </w:r>
      <w:r w:rsidRPr="0096740E">
        <w:rPr>
          <w:noProof/>
        </w:rPr>
        <w:t>households, in particular vulnerable ones.</w:t>
      </w:r>
    </w:p>
    <w:p w14:paraId="1837937E" w14:textId="063483DF" w:rsidR="00002649" w:rsidRPr="0096740E" w:rsidRDefault="00002649" w:rsidP="00AE5D56">
      <w:pPr>
        <w:rPr>
          <w:noProof/>
        </w:rPr>
      </w:pPr>
      <w:r w:rsidRPr="0096740E">
        <w:rPr>
          <w:noProof/>
        </w:rPr>
        <w:t xml:space="preserve">Underlining how </w:t>
      </w:r>
      <w:r w:rsidR="00E010E8" w:rsidRPr="0096740E">
        <w:rPr>
          <w:noProof/>
        </w:rPr>
        <w:t>dedicated investments in energy efficiency, decarbonisation of heating, cooling and transport, access to essential services</w:t>
      </w:r>
      <w:r w:rsidR="00A65C21" w:rsidRPr="0096740E">
        <w:rPr>
          <w:noProof/>
        </w:rPr>
        <w:t xml:space="preserve">, </w:t>
      </w:r>
      <w:r w:rsidR="00E010E8" w:rsidRPr="0096740E">
        <w:rPr>
          <w:noProof/>
        </w:rPr>
        <w:t xml:space="preserve">including alternative sustainable mobility solutions, and awareness raising, </w:t>
      </w:r>
      <w:r w:rsidR="004937FB" w:rsidRPr="0096740E">
        <w:rPr>
          <w:noProof/>
        </w:rPr>
        <w:t xml:space="preserve">complemented where necessary with </w:t>
      </w:r>
      <w:r w:rsidR="00676875" w:rsidRPr="0096740E">
        <w:rPr>
          <w:noProof/>
        </w:rPr>
        <w:t>temporary and targeted</w:t>
      </w:r>
      <w:r w:rsidR="00E010E8" w:rsidRPr="0096740E">
        <w:rPr>
          <w:noProof/>
        </w:rPr>
        <w:t xml:space="preserve"> </w:t>
      </w:r>
      <w:r w:rsidRPr="0096740E">
        <w:rPr>
          <w:noProof/>
        </w:rPr>
        <w:t>direct income support</w:t>
      </w:r>
      <w:r w:rsidR="00A12E9F" w:rsidRPr="0096740E">
        <w:rPr>
          <w:noProof/>
        </w:rPr>
        <w:t xml:space="preserve"> for vulnerable consumers and households</w:t>
      </w:r>
      <w:r w:rsidR="004937FB" w:rsidRPr="0096740E">
        <w:rPr>
          <w:noProof/>
        </w:rPr>
        <w:t>, can</w:t>
      </w:r>
      <w:r w:rsidR="008E7DF7" w:rsidRPr="0096740E">
        <w:rPr>
          <w:noProof/>
        </w:rPr>
        <w:t xml:space="preserve"> ensure a fair and inclusive energy transition</w:t>
      </w:r>
      <w:r w:rsidR="00A12E9F" w:rsidRPr="0096740E">
        <w:rPr>
          <w:noProof/>
        </w:rPr>
        <w:t>,</w:t>
      </w:r>
      <w:r w:rsidR="004937FB" w:rsidRPr="0096740E">
        <w:rPr>
          <w:noProof/>
        </w:rPr>
        <w:t xml:space="preserve"> with a focus on the most affected people and households, in particular vulnerable ones</w:t>
      </w:r>
      <w:r w:rsidR="00E010E8" w:rsidRPr="0096740E">
        <w:rPr>
          <w:noProof/>
        </w:rPr>
        <w:t>.</w:t>
      </w:r>
    </w:p>
    <w:p w14:paraId="27221640"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Regulatory fitness and simplification</w:t>
      </w:r>
    </w:p>
    <w:p w14:paraId="61BC680B"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BE2E79">
        <w:rPr>
          <w:noProof/>
        </w:rPr>
        <w:t>Not applicable.</w:t>
      </w:r>
    </w:p>
    <w:p w14:paraId="13F06330"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Fundamental rights</w:t>
      </w:r>
    </w:p>
    <w:p w14:paraId="0819DF37" w14:textId="77777777" w:rsidR="007D24DA" w:rsidRPr="0096740E" w:rsidRDefault="00002649" w:rsidP="007D24DA">
      <w:pPr>
        <w:autoSpaceDE w:val="0"/>
        <w:autoSpaceDN w:val="0"/>
        <w:spacing w:after="0"/>
        <w:rPr>
          <w:noProof/>
        </w:rPr>
      </w:pPr>
      <w:r w:rsidRPr="0096740E">
        <w:rPr>
          <w:rFonts w:eastAsia="Arial Unicode MS"/>
          <w:noProof/>
        </w:rPr>
        <w:t xml:space="preserve">No negative impact has been identified on fundamental rights. On the contrary, the initiative promotes rights enshrined by the Charter of Fundamental Rights of the European Union, including the Equality and Solidarity titles, such as the right to fair working conditions (Article 31), the right to education (Article 14), and the entitlement to social security and social assistance (Article 34), which </w:t>
      </w:r>
      <w:r w:rsidR="00315861" w:rsidRPr="0096740E">
        <w:rPr>
          <w:rFonts w:eastAsia="Arial Unicode MS"/>
          <w:noProof/>
        </w:rPr>
        <w:t>refers</w:t>
      </w:r>
      <w:r w:rsidRPr="0096740E">
        <w:rPr>
          <w:rFonts w:eastAsia="Arial Unicode MS"/>
          <w:noProof/>
        </w:rPr>
        <w:t xml:space="preserve"> to social security benefits and social services providing protection in certain cases, as well as the right to social and housing assistance.</w:t>
      </w:r>
    </w:p>
    <w:p w14:paraId="632E2CCA" w14:textId="77777777" w:rsidR="00002649" w:rsidRPr="0096740E" w:rsidRDefault="00002649" w:rsidP="00002649">
      <w:pPr>
        <w:pStyle w:val="ManualHeading1"/>
        <w:rPr>
          <w:noProof/>
        </w:rPr>
      </w:pPr>
      <w:r w:rsidRPr="0096740E">
        <w:rPr>
          <w:noProof/>
        </w:rPr>
        <w:t>4.</w:t>
      </w:r>
      <w:r w:rsidRPr="0096740E">
        <w:rPr>
          <w:noProof/>
        </w:rPr>
        <w:tab/>
        <w:t>BUDGETARY IMPLICATIONS</w:t>
      </w:r>
    </w:p>
    <w:p w14:paraId="7D792017" w14:textId="77777777" w:rsidR="00721DC2" w:rsidRPr="00BE2E79" w:rsidRDefault="00721DC2" w:rsidP="00A420EC">
      <w:pPr>
        <w:pBdr>
          <w:top w:val="nil"/>
          <w:left w:val="nil"/>
          <w:bottom w:val="nil"/>
          <w:right w:val="nil"/>
          <w:between w:val="nil"/>
          <w:bar w:val="nil"/>
        </w:pBdr>
        <w:shd w:val="clear" w:color="auto" w:fill="FFFFFF" w:themeFill="background1"/>
        <w:spacing w:before="0" w:after="240"/>
        <w:rPr>
          <w:noProof/>
        </w:rPr>
      </w:pPr>
      <w:r w:rsidRPr="00BE2E79">
        <w:rPr>
          <w:noProof/>
        </w:rPr>
        <w:t xml:space="preserve">This proposal for a Recommendation does not require additional resources from the EU budget. </w:t>
      </w:r>
    </w:p>
    <w:p w14:paraId="2AD102F9" w14:textId="77C9A2DE" w:rsidR="00014691" w:rsidRPr="00BE2E79" w:rsidRDefault="00721DC2" w:rsidP="00721DC2">
      <w:pPr>
        <w:pBdr>
          <w:top w:val="nil"/>
          <w:left w:val="nil"/>
          <w:bottom w:val="nil"/>
          <w:right w:val="nil"/>
          <w:between w:val="nil"/>
          <w:bar w:val="nil"/>
        </w:pBdr>
        <w:shd w:val="clear" w:color="auto" w:fill="FFFFFF" w:themeFill="background1"/>
        <w:spacing w:before="0" w:after="240"/>
        <w:rPr>
          <w:noProof/>
        </w:rPr>
      </w:pPr>
      <w:r w:rsidRPr="00BE2E79">
        <w:rPr>
          <w:noProof/>
        </w:rPr>
        <w:t xml:space="preserve">Funding opportunities under the EU budget </w:t>
      </w:r>
      <w:r w:rsidR="00A844F9" w:rsidRPr="00BE2E79">
        <w:rPr>
          <w:noProof/>
        </w:rPr>
        <w:t>relating to the</w:t>
      </w:r>
      <w:r w:rsidRPr="00BE2E79">
        <w:rPr>
          <w:noProof/>
        </w:rPr>
        <w:t xml:space="preserve"> </w:t>
      </w:r>
      <w:r w:rsidR="00014691" w:rsidRPr="00BE2E79">
        <w:rPr>
          <w:noProof/>
        </w:rPr>
        <w:t>fair</w:t>
      </w:r>
      <w:r w:rsidRPr="00BE2E79">
        <w:rPr>
          <w:noProof/>
        </w:rPr>
        <w:t xml:space="preserve"> transition towards climate neutrality are </w:t>
      </w:r>
      <w:r w:rsidR="008E7DF7" w:rsidRPr="00BE2E79">
        <w:rPr>
          <w:noProof/>
        </w:rPr>
        <w:t xml:space="preserve">already </w:t>
      </w:r>
      <w:r w:rsidRPr="00BE2E79">
        <w:rPr>
          <w:noProof/>
        </w:rPr>
        <w:t>available in line with the policy of objectives and intervention logic of the</w:t>
      </w:r>
      <w:r w:rsidR="00535EC9">
        <w:rPr>
          <w:noProof/>
        </w:rPr>
        <w:t xml:space="preserve"> different funds and programmes</w:t>
      </w:r>
      <w:r w:rsidR="005E71C2" w:rsidRPr="0096740E">
        <w:rPr>
          <w:rStyle w:val="FootnoteReference"/>
          <w:rFonts w:eastAsia="Arial Unicode MS"/>
          <w:noProof/>
        </w:rPr>
        <w:footnoteReference w:id="48"/>
      </w:r>
      <w:r w:rsidR="00535EC9">
        <w:rPr>
          <w:noProof/>
        </w:rPr>
        <w:t>.</w:t>
      </w:r>
      <w:r w:rsidR="00CB02FC" w:rsidRPr="00BE2E79">
        <w:rPr>
          <w:noProof/>
        </w:rPr>
        <w:t xml:space="preserve"> </w:t>
      </w:r>
    </w:p>
    <w:p w14:paraId="2F6BE499" w14:textId="77777777" w:rsidR="00721DC2" w:rsidRPr="00BE2E79" w:rsidRDefault="00CB02FC" w:rsidP="00721DC2">
      <w:pPr>
        <w:pBdr>
          <w:top w:val="nil"/>
          <w:left w:val="nil"/>
          <w:bottom w:val="nil"/>
          <w:right w:val="nil"/>
          <w:between w:val="nil"/>
          <w:bar w:val="nil"/>
        </w:pBdr>
        <w:shd w:val="clear" w:color="auto" w:fill="FFFFFF" w:themeFill="background1"/>
        <w:spacing w:before="0" w:after="240"/>
        <w:rPr>
          <w:noProof/>
        </w:rPr>
      </w:pPr>
      <w:r w:rsidRPr="00BE2E79">
        <w:rPr>
          <w:noProof/>
        </w:rPr>
        <w:t>The Recommendation includes guidance referring to national budgets and their possible role in implementing the Recommendation.</w:t>
      </w:r>
    </w:p>
    <w:p w14:paraId="42E4901C" w14:textId="77777777" w:rsidR="00002649" w:rsidRPr="0096740E" w:rsidRDefault="00002649" w:rsidP="00002649">
      <w:pPr>
        <w:pStyle w:val="ManualHeading1"/>
        <w:rPr>
          <w:noProof/>
        </w:rPr>
      </w:pPr>
      <w:r w:rsidRPr="0096740E">
        <w:rPr>
          <w:noProof/>
        </w:rPr>
        <w:t>5.</w:t>
      </w:r>
      <w:r w:rsidRPr="0096740E">
        <w:rPr>
          <w:noProof/>
        </w:rPr>
        <w:tab/>
        <w:t>OTHER ELEMENTS</w:t>
      </w:r>
    </w:p>
    <w:p w14:paraId="557951E5"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Implementation plans and monitoring, evaluation and reporting arrangements</w:t>
      </w:r>
    </w:p>
    <w:p w14:paraId="2A47A239" w14:textId="011D22FE" w:rsidR="00002649" w:rsidRPr="00BE2E79" w:rsidRDefault="00002649" w:rsidP="00002649">
      <w:pPr>
        <w:pBdr>
          <w:top w:val="nil"/>
          <w:left w:val="nil"/>
          <w:bottom w:val="nil"/>
          <w:right w:val="nil"/>
          <w:between w:val="nil"/>
          <w:bar w:val="nil"/>
        </w:pBdr>
        <w:spacing w:before="0" w:after="240"/>
        <w:rPr>
          <w:noProof/>
        </w:rPr>
      </w:pPr>
      <w:r w:rsidRPr="00BE2E79">
        <w:rPr>
          <w:noProof/>
        </w:rPr>
        <w:t>It is proposed that the Commission monitors the implementation of this Council Recommendation in cooperation with the Member States and in the co</w:t>
      </w:r>
      <w:r w:rsidR="00C12028">
        <w:rPr>
          <w:noProof/>
        </w:rPr>
        <w:t>ntext of the European Semester.</w:t>
      </w:r>
    </w:p>
    <w:p w14:paraId="19272AFE" w14:textId="77777777" w:rsidR="00002649" w:rsidRPr="00BE2E79" w:rsidRDefault="00002649" w:rsidP="00002649">
      <w:pPr>
        <w:pBdr>
          <w:top w:val="nil"/>
          <w:left w:val="nil"/>
          <w:bottom w:val="nil"/>
          <w:right w:val="nil"/>
          <w:between w:val="nil"/>
          <w:bar w:val="nil"/>
        </w:pBdr>
        <w:spacing w:before="0" w:after="240"/>
        <w:rPr>
          <w:noProof/>
        </w:rPr>
      </w:pPr>
      <w:r w:rsidRPr="00BE2E79">
        <w:rPr>
          <w:noProof/>
        </w:rPr>
        <w:t>Moreover, it is proposed that Member States take into consideration this Council Recommendation in the update of their integrated National Energy and Climate Plans (NECPs) in 2023</w:t>
      </w:r>
      <w:r w:rsidR="001135DE" w:rsidRPr="00BE2E79">
        <w:rPr>
          <w:noProof/>
        </w:rPr>
        <w:t xml:space="preserve"> (for draft NECPs) and 20</w:t>
      </w:r>
      <w:r w:rsidRPr="00BE2E79">
        <w:rPr>
          <w:noProof/>
        </w:rPr>
        <w:t>24</w:t>
      </w:r>
      <w:r w:rsidR="001135DE" w:rsidRPr="00BE2E79">
        <w:rPr>
          <w:noProof/>
        </w:rPr>
        <w:t xml:space="preserve"> (for the final NECPs)</w:t>
      </w:r>
      <w:r w:rsidRPr="00BE2E79">
        <w:rPr>
          <w:noProof/>
        </w:rPr>
        <w:t xml:space="preserve"> pursuant to Article 14 of Regulation (EU) 2018/1999 on the Governance of the Energy Union and Climate Action (‘the Governance Regulation’)</w:t>
      </w:r>
      <w:r w:rsidR="001135DE" w:rsidRPr="00BE2E79">
        <w:rPr>
          <w:noProof/>
        </w:rPr>
        <w:t xml:space="preserve"> and in their national energy and climate progress reports pursuant to Article 17 of that Regulation</w:t>
      </w:r>
      <w:r w:rsidRPr="00BE2E79">
        <w:rPr>
          <w:noProof/>
        </w:rPr>
        <w:t xml:space="preserve">. In particular, the Recommendation should inform the mainstreaming of </w:t>
      </w:r>
      <w:r w:rsidR="001C6DE0" w:rsidRPr="00BE2E79">
        <w:rPr>
          <w:noProof/>
        </w:rPr>
        <w:t xml:space="preserve">fair </w:t>
      </w:r>
      <w:r w:rsidRPr="00BE2E79">
        <w:rPr>
          <w:noProof/>
        </w:rPr>
        <w:t xml:space="preserve">transition aspects across the measures and actions foreseen under each of the five dimensions of the Energy Union outlined in Article 1(2) of the Governance Regulation. The Recommendation should also inform specific national actions and measures aimed at addressing employment, skills, energy poverty and other social and distributional aspects of the internal energy market, </w:t>
      </w:r>
      <w:r w:rsidR="00F60D95" w:rsidRPr="00BE2E79">
        <w:rPr>
          <w:noProof/>
        </w:rPr>
        <w:t xml:space="preserve">where Member States choose to take such actions, </w:t>
      </w:r>
      <w:r w:rsidRPr="00BE2E79">
        <w:rPr>
          <w:noProof/>
        </w:rPr>
        <w:t xml:space="preserve">thereby supporting </w:t>
      </w:r>
      <w:r w:rsidR="004615FA" w:rsidRPr="00BE2E79">
        <w:rPr>
          <w:noProof/>
        </w:rPr>
        <w:t>them</w:t>
      </w:r>
      <w:r w:rsidRPr="00BE2E79">
        <w:rPr>
          <w:noProof/>
        </w:rPr>
        <w:t>, in particular those with a significant number of households in energy poverty, to outline adequate policies and measures addressing the issue in their integrated NECPs in line with Article 3(3d), including social policy measures and other relevant national programmes and policies.</w:t>
      </w:r>
    </w:p>
    <w:p w14:paraId="0EA9144A" w14:textId="77777777" w:rsidR="00002649" w:rsidRPr="00BE2E79" w:rsidRDefault="00002649" w:rsidP="00002649">
      <w:pPr>
        <w:pBdr>
          <w:top w:val="nil"/>
          <w:left w:val="nil"/>
          <w:bottom w:val="nil"/>
          <w:right w:val="nil"/>
          <w:between w:val="nil"/>
          <w:bar w:val="nil"/>
        </w:pBdr>
        <w:spacing w:before="0" w:after="240"/>
        <w:rPr>
          <w:noProof/>
        </w:rPr>
      </w:pPr>
      <w:r w:rsidRPr="00BE2E79">
        <w:rPr>
          <w:noProof/>
        </w:rPr>
        <w:t xml:space="preserve">Through the multi-lateral surveillance mechanism and governance mechanisms in place, the Commission will analyse </w:t>
      </w:r>
      <w:r w:rsidR="00786624" w:rsidRPr="00BE2E79">
        <w:rPr>
          <w:noProof/>
        </w:rPr>
        <w:t xml:space="preserve">possible </w:t>
      </w:r>
      <w:r w:rsidRPr="00BE2E79">
        <w:rPr>
          <w:noProof/>
        </w:rPr>
        <w:t>impacts</w:t>
      </w:r>
      <w:r w:rsidR="00786624" w:rsidRPr="00BE2E79">
        <w:rPr>
          <w:noProof/>
        </w:rPr>
        <w:t xml:space="preserve"> of the transition,</w:t>
      </w:r>
      <w:r w:rsidRPr="00BE2E79">
        <w:rPr>
          <w:noProof/>
        </w:rPr>
        <w:t xml:space="preserve"> identify the most affected </w:t>
      </w:r>
      <w:r w:rsidR="00786624" w:rsidRPr="00BE2E79">
        <w:rPr>
          <w:noProof/>
        </w:rPr>
        <w:t>people</w:t>
      </w:r>
      <w:r w:rsidRPr="00BE2E79">
        <w:rPr>
          <w:noProof/>
        </w:rPr>
        <w:t xml:space="preserve"> and address, where appropriate, country-specific recommendations to Member States</w:t>
      </w:r>
      <w:r w:rsidR="001135DE" w:rsidRPr="00BE2E79">
        <w:rPr>
          <w:noProof/>
        </w:rPr>
        <w:t xml:space="preserve"> in the context of the European Semester</w:t>
      </w:r>
      <w:r w:rsidRPr="00BE2E79">
        <w:rPr>
          <w:noProof/>
        </w:rPr>
        <w:t>, on the basis of the guidelines for the employment and social policies of the Member States.</w:t>
      </w:r>
    </w:p>
    <w:p w14:paraId="077C0F56" w14:textId="77777777" w:rsidR="00002649" w:rsidRPr="0096740E" w:rsidRDefault="00002649" w:rsidP="00002649">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Explanatory documents (for directives)</w:t>
      </w:r>
    </w:p>
    <w:p w14:paraId="3D650F6A" w14:textId="77777777" w:rsidR="00002649" w:rsidRPr="0096740E" w:rsidRDefault="00002649" w:rsidP="00002649">
      <w:pPr>
        <w:pBdr>
          <w:top w:val="nil"/>
          <w:left w:val="nil"/>
          <w:bottom w:val="nil"/>
          <w:right w:val="nil"/>
          <w:between w:val="nil"/>
          <w:bar w:val="nil"/>
        </w:pBdr>
        <w:spacing w:before="0" w:after="240"/>
        <w:rPr>
          <w:rFonts w:eastAsia="Arial Unicode MS"/>
          <w:noProof/>
        </w:rPr>
      </w:pPr>
      <w:r w:rsidRPr="00BE2E79">
        <w:rPr>
          <w:noProof/>
        </w:rPr>
        <w:t>Not applicable.</w:t>
      </w:r>
    </w:p>
    <w:p w14:paraId="690D1FAF" w14:textId="77777777" w:rsidR="00A17AEC" w:rsidRPr="0096740E" w:rsidRDefault="00A17AEC" w:rsidP="00E6118B">
      <w:pPr>
        <w:pStyle w:val="ManualHeading2"/>
        <w:rPr>
          <w:rFonts w:eastAsia="Arial Unicode MS"/>
          <w:noProof/>
          <w:bdr w:val="nil"/>
          <w:lang w:val="en-US" w:eastAsia="en-GB"/>
        </w:rPr>
      </w:pPr>
      <w:r w:rsidRPr="0096740E">
        <w:rPr>
          <w:rFonts w:eastAsia="Arial Unicode MS"/>
          <w:noProof/>
          <w:bdr w:val="nil"/>
          <w:lang w:val="en-US" w:eastAsia="en-GB"/>
        </w:rPr>
        <w:t>•</w:t>
      </w:r>
      <w:r w:rsidRPr="0096740E">
        <w:rPr>
          <w:rFonts w:eastAsia="Arial Unicode MS"/>
          <w:noProof/>
          <w:u w:color="000000"/>
          <w:bdr w:val="nil"/>
          <w:lang w:val="en-US" w:eastAsia="en-GB"/>
        </w:rPr>
        <w:tab/>
      </w:r>
      <w:r w:rsidRPr="0096740E">
        <w:rPr>
          <w:rFonts w:eastAsia="Arial Unicode MS"/>
          <w:noProof/>
          <w:bdr w:val="nil"/>
          <w:lang w:val="en-US" w:eastAsia="en-GB"/>
        </w:rPr>
        <w:t>Detailed explanation of the specific provisions of the proposal</w:t>
      </w:r>
    </w:p>
    <w:p w14:paraId="37857609" w14:textId="77777777" w:rsidR="00A17AEC" w:rsidRPr="0096740E" w:rsidRDefault="00450004" w:rsidP="00F42BB2">
      <w:pPr>
        <w:pBdr>
          <w:top w:val="nil"/>
          <w:left w:val="nil"/>
          <w:bottom w:val="nil"/>
          <w:right w:val="nil"/>
          <w:between w:val="nil"/>
          <w:bar w:val="nil"/>
        </w:pBdr>
        <w:spacing w:before="0" w:after="240"/>
        <w:jc w:val="left"/>
        <w:rPr>
          <w:i/>
          <w:noProof/>
        </w:rPr>
      </w:pPr>
      <w:r w:rsidRPr="0096740E">
        <w:rPr>
          <w:noProof/>
        </w:rPr>
        <w:t xml:space="preserve">§ 1 </w:t>
      </w:r>
      <w:r w:rsidR="00F33A00" w:rsidRPr="0096740E">
        <w:rPr>
          <w:noProof/>
        </w:rPr>
        <w:t xml:space="preserve">to 2 </w:t>
      </w:r>
      <w:r w:rsidRPr="0096740E">
        <w:rPr>
          <w:noProof/>
        </w:rPr>
        <w:t>indicates the subject matter</w:t>
      </w:r>
      <w:r w:rsidR="00E733D1" w:rsidRPr="0096740E">
        <w:rPr>
          <w:noProof/>
        </w:rPr>
        <w:t xml:space="preserve">, </w:t>
      </w:r>
      <w:r w:rsidRPr="0096740E">
        <w:rPr>
          <w:noProof/>
        </w:rPr>
        <w:t>objectives</w:t>
      </w:r>
      <w:r w:rsidR="00E733D1" w:rsidRPr="0096740E">
        <w:rPr>
          <w:noProof/>
        </w:rPr>
        <w:t xml:space="preserve"> and structure of this Recommendation</w:t>
      </w:r>
      <w:r w:rsidR="005A1C83" w:rsidRPr="0096740E">
        <w:rPr>
          <w:noProof/>
        </w:rPr>
        <w:t>.</w:t>
      </w:r>
    </w:p>
    <w:p w14:paraId="160DFB9B" w14:textId="77777777" w:rsidR="00450004" w:rsidRPr="00BE2E79" w:rsidRDefault="00450004">
      <w:pPr>
        <w:pBdr>
          <w:top w:val="nil"/>
          <w:left w:val="nil"/>
          <w:bottom w:val="nil"/>
          <w:right w:val="nil"/>
          <w:between w:val="nil"/>
          <w:bar w:val="nil"/>
        </w:pBdr>
        <w:spacing w:before="0" w:after="240"/>
        <w:rPr>
          <w:noProof/>
        </w:rPr>
      </w:pPr>
      <w:r w:rsidRPr="0096740E">
        <w:rPr>
          <w:noProof/>
        </w:rPr>
        <w:t xml:space="preserve">§ </w:t>
      </w:r>
      <w:r w:rsidR="00F33A00" w:rsidRPr="0096740E">
        <w:rPr>
          <w:noProof/>
        </w:rPr>
        <w:t>3</w:t>
      </w:r>
      <w:r w:rsidRPr="0096740E">
        <w:rPr>
          <w:noProof/>
        </w:rPr>
        <w:t xml:space="preserve"> </w:t>
      </w:r>
      <w:r w:rsidR="00E733D1" w:rsidRPr="0096740E">
        <w:rPr>
          <w:noProof/>
        </w:rPr>
        <w:t>contains definitions which are to be applied for the purpose of the Recommendation.</w:t>
      </w:r>
    </w:p>
    <w:p w14:paraId="317A35F6" w14:textId="77777777" w:rsidR="00450004" w:rsidRPr="0096740E" w:rsidRDefault="00450004" w:rsidP="00450004">
      <w:pPr>
        <w:pBdr>
          <w:top w:val="nil"/>
          <w:left w:val="nil"/>
          <w:bottom w:val="nil"/>
          <w:right w:val="nil"/>
          <w:between w:val="nil"/>
          <w:bar w:val="nil"/>
        </w:pBdr>
        <w:spacing w:before="0" w:after="240"/>
        <w:rPr>
          <w:noProof/>
        </w:rPr>
      </w:pPr>
      <w:r w:rsidRPr="0096740E">
        <w:rPr>
          <w:noProof/>
        </w:rPr>
        <w:t xml:space="preserve">§ </w:t>
      </w:r>
      <w:r w:rsidR="00F33A00" w:rsidRPr="0096740E">
        <w:rPr>
          <w:noProof/>
        </w:rPr>
        <w:t>4 to 7</w:t>
      </w:r>
      <w:r w:rsidR="00E733D1" w:rsidRPr="0096740E">
        <w:rPr>
          <w:noProof/>
        </w:rPr>
        <w:t xml:space="preserve"> recommend to Member States to establish and implement comprehensive and coherent policy packages for a </w:t>
      </w:r>
      <w:r w:rsidR="001C6DE0" w:rsidRPr="0096740E">
        <w:rPr>
          <w:noProof/>
        </w:rPr>
        <w:t xml:space="preserve">fair </w:t>
      </w:r>
      <w:r w:rsidR="00E733D1" w:rsidRPr="0096740E">
        <w:rPr>
          <w:noProof/>
        </w:rPr>
        <w:t>green transition with a view to providing active support to quality employment; ensuring access to quality and inclusive education, training and life-long learning; providing for fair tax-benefit and social protection systems; ensuring access to affordable essential services and housing</w:t>
      </w:r>
      <w:r w:rsidR="0096259D" w:rsidRPr="0096740E">
        <w:rPr>
          <w:noProof/>
        </w:rPr>
        <w:t xml:space="preserve"> as part of the transition towards climate neutrality</w:t>
      </w:r>
      <w:r w:rsidR="00E733D1" w:rsidRPr="0096740E">
        <w:rPr>
          <w:noProof/>
        </w:rPr>
        <w:t>.</w:t>
      </w:r>
    </w:p>
    <w:p w14:paraId="3874F13D" w14:textId="77777777" w:rsidR="00F33A00" w:rsidRPr="0096740E" w:rsidRDefault="00450004" w:rsidP="00450004">
      <w:pPr>
        <w:pBdr>
          <w:top w:val="nil"/>
          <w:left w:val="nil"/>
          <w:bottom w:val="nil"/>
          <w:right w:val="nil"/>
          <w:between w:val="nil"/>
          <w:bar w:val="nil"/>
        </w:pBdr>
        <w:spacing w:before="0" w:after="240"/>
        <w:rPr>
          <w:noProof/>
          <w:szCs w:val="24"/>
        </w:rPr>
      </w:pPr>
      <w:r w:rsidRPr="0096740E">
        <w:rPr>
          <w:noProof/>
        </w:rPr>
        <w:t xml:space="preserve">§ </w:t>
      </w:r>
      <w:r w:rsidR="00F33A00" w:rsidRPr="0096740E">
        <w:rPr>
          <w:noProof/>
        </w:rPr>
        <w:t>8 to 9</w:t>
      </w:r>
      <w:r w:rsidR="00E733D1" w:rsidRPr="0096740E">
        <w:rPr>
          <w:noProof/>
        </w:rPr>
        <w:t xml:space="preserve"> recommend to Member States to establish and implement other cross-cutting elements that promote a </w:t>
      </w:r>
      <w:r w:rsidR="001C6DE0" w:rsidRPr="0096740E">
        <w:rPr>
          <w:noProof/>
        </w:rPr>
        <w:t xml:space="preserve">fair </w:t>
      </w:r>
      <w:r w:rsidR="00E733D1" w:rsidRPr="0096740E">
        <w:rPr>
          <w:noProof/>
        </w:rPr>
        <w:t>and inclusive green transition, in particular with view to ensuring an inclusive whole-of-economy approach, and provid</w:t>
      </w:r>
      <w:r w:rsidR="00C85A4C" w:rsidRPr="0096740E">
        <w:rPr>
          <w:noProof/>
        </w:rPr>
        <w:t xml:space="preserve">ing </w:t>
      </w:r>
      <w:r w:rsidR="00E733D1" w:rsidRPr="0096740E">
        <w:rPr>
          <w:noProof/>
        </w:rPr>
        <w:t>for a strong evidence base</w:t>
      </w:r>
      <w:r w:rsidR="00C85A4C" w:rsidRPr="0096740E">
        <w:rPr>
          <w:noProof/>
        </w:rPr>
        <w:t xml:space="preserve"> that is needed to put in place sound social and labour market policies promoting a </w:t>
      </w:r>
      <w:r w:rsidR="001C6DE0" w:rsidRPr="0096740E">
        <w:rPr>
          <w:noProof/>
        </w:rPr>
        <w:t xml:space="preserve">fair </w:t>
      </w:r>
      <w:r w:rsidR="00C85A4C" w:rsidRPr="0096740E">
        <w:rPr>
          <w:noProof/>
        </w:rPr>
        <w:t>and inclusive transition</w:t>
      </w:r>
      <w:r w:rsidR="00E733D1" w:rsidRPr="0096740E">
        <w:rPr>
          <w:noProof/>
        </w:rPr>
        <w:t>.</w:t>
      </w:r>
    </w:p>
    <w:p w14:paraId="795786F3" w14:textId="77777777" w:rsidR="00F33A00" w:rsidRPr="0096740E" w:rsidRDefault="00F33A00" w:rsidP="00450004">
      <w:pPr>
        <w:pBdr>
          <w:top w:val="nil"/>
          <w:left w:val="nil"/>
          <w:bottom w:val="nil"/>
          <w:right w:val="nil"/>
          <w:between w:val="nil"/>
          <w:bar w:val="nil"/>
        </w:pBdr>
        <w:spacing w:before="0" w:after="240"/>
        <w:rPr>
          <w:noProof/>
          <w:szCs w:val="24"/>
        </w:rPr>
      </w:pPr>
      <w:r w:rsidRPr="0096740E">
        <w:rPr>
          <w:noProof/>
        </w:rPr>
        <w:t>§ 10</w:t>
      </w:r>
      <w:r w:rsidR="00E733D1" w:rsidRPr="0096740E">
        <w:rPr>
          <w:noProof/>
        </w:rPr>
        <w:t xml:space="preserve"> recommends Member States to make optimal use of public and private funding with view to providing effective financial support</w:t>
      </w:r>
      <w:r w:rsidR="008D2041" w:rsidRPr="0096740E">
        <w:rPr>
          <w:noProof/>
        </w:rPr>
        <w:t>, in particular by committing and deploying adequate national resources; designing a</w:t>
      </w:r>
      <w:r w:rsidR="00FE64B7" w:rsidRPr="0096740E">
        <w:rPr>
          <w:noProof/>
        </w:rPr>
        <w:t>n</w:t>
      </w:r>
      <w:r w:rsidR="008D2041" w:rsidRPr="0096740E">
        <w:rPr>
          <w:noProof/>
        </w:rPr>
        <w:t xml:space="preserve"> </w:t>
      </w:r>
      <w:r w:rsidR="00FE64B7" w:rsidRPr="0096740E">
        <w:rPr>
          <w:noProof/>
        </w:rPr>
        <w:t xml:space="preserve">adequate </w:t>
      </w:r>
      <w:r w:rsidR="008D2041" w:rsidRPr="0096740E">
        <w:rPr>
          <w:noProof/>
        </w:rPr>
        <w:t xml:space="preserve">mix of measures in the national </w:t>
      </w:r>
      <w:r w:rsidR="00FE64B7" w:rsidRPr="0096740E">
        <w:rPr>
          <w:noProof/>
        </w:rPr>
        <w:t>plans</w:t>
      </w:r>
      <w:r w:rsidR="008D2041" w:rsidRPr="0096740E">
        <w:rPr>
          <w:noProof/>
        </w:rPr>
        <w:t xml:space="preserve"> under the proposed Social Climate Fund; and ensuring a coherent and optimal use of funding </w:t>
      </w:r>
      <w:r w:rsidR="00FE64B7" w:rsidRPr="0096740E">
        <w:rPr>
          <w:noProof/>
        </w:rPr>
        <w:t xml:space="preserve">linked to the fair transition </w:t>
      </w:r>
      <w:r w:rsidR="008D2041" w:rsidRPr="0096740E">
        <w:rPr>
          <w:noProof/>
        </w:rPr>
        <w:t>at all levels, including at the EU level.</w:t>
      </w:r>
    </w:p>
    <w:p w14:paraId="64595153" w14:textId="77777777" w:rsidR="00307E1C" w:rsidRPr="0096740E" w:rsidRDefault="00036AAA">
      <w:pPr>
        <w:pBdr>
          <w:top w:val="nil"/>
          <w:left w:val="nil"/>
          <w:bottom w:val="nil"/>
          <w:right w:val="nil"/>
          <w:between w:val="nil"/>
          <w:bar w:val="nil"/>
        </w:pBdr>
        <w:spacing w:before="0" w:after="240"/>
        <w:rPr>
          <w:noProof/>
        </w:rPr>
      </w:pPr>
      <w:r w:rsidRPr="0096740E">
        <w:rPr>
          <w:noProof/>
        </w:rPr>
        <w:t xml:space="preserve">§ </w:t>
      </w:r>
      <w:r w:rsidR="00F33A00" w:rsidRPr="0096740E">
        <w:rPr>
          <w:noProof/>
        </w:rPr>
        <w:t>11</w:t>
      </w:r>
      <w:r w:rsidR="008D2041" w:rsidRPr="0096740E">
        <w:rPr>
          <w:noProof/>
        </w:rPr>
        <w:t xml:space="preserve"> </w:t>
      </w:r>
      <w:r w:rsidR="00307E1C" w:rsidRPr="0096740E">
        <w:rPr>
          <w:noProof/>
        </w:rPr>
        <w:t>welcomes</w:t>
      </w:r>
      <w:r w:rsidR="00C85A4C" w:rsidRPr="0096740E">
        <w:rPr>
          <w:noProof/>
        </w:rPr>
        <w:t xml:space="preserve"> the Commission</w:t>
      </w:r>
      <w:r w:rsidR="00307E1C" w:rsidRPr="0096740E">
        <w:rPr>
          <w:noProof/>
        </w:rPr>
        <w:t>’s intention</w:t>
      </w:r>
      <w:r w:rsidR="00C85A4C" w:rsidRPr="0096740E">
        <w:rPr>
          <w:noProof/>
        </w:rPr>
        <w:t xml:space="preserve"> to take follow-up actions to the Council Recommendation, in particular with view to </w:t>
      </w:r>
      <w:r w:rsidR="001135DE" w:rsidRPr="0096740E">
        <w:rPr>
          <w:noProof/>
        </w:rPr>
        <w:t xml:space="preserve">promoting public debate on the fair transition, </w:t>
      </w:r>
      <w:r w:rsidR="00C85A4C" w:rsidRPr="0096740E">
        <w:rPr>
          <w:noProof/>
        </w:rPr>
        <w:t>enhancing the</w:t>
      </w:r>
      <w:r w:rsidR="001135DE" w:rsidRPr="0096740E">
        <w:rPr>
          <w:noProof/>
        </w:rPr>
        <w:t xml:space="preserve"> data and</w:t>
      </w:r>
      <w:r w:rsidR="00C85A4C" w:rsidRPr="0096740E">
        <w:rPr>
          <w:noProof/>
        </w:rPr>
        <w:t xml:space="preserve"> methodological basis, monitoring and foresight analysis, </w:t>
      </w:r>
      <w:r w:rsidR="00307E1C" w:rsidRPr="0096740E">
        <w:rPr>
          <w:noProof/>
        </w:rPr>
        <w:t>review</w:t>
      </w:r>
      <w:r w:rsidR="001A6062" w:rsidRPr="0096740E">
        <w:rPr>
          <w:noProof/>
        </w:rPr>
        <w:t>ing</w:t>
      </w:r>
      <w:r w:rsidR="00307E1C" w:rsidRPr="0096740E">
        <w:rPr>
          <w:noProof/>
        </w:rPr>
        <w:t xml:space="preserve"> progress in the implementation of this Recommendation in the context of multilateral surveillance </w:t>
      </w:r>
      <w:r w:rsidR="001A6062" w:rsidRPr="0096740E">
        <w:rPr>
          <w:noProof/>
        </w:rPr>
        <w:t xml:space="preserve">notably </w:t>
      </w:r>
      <w:r w:rsidR="00307E1C" w:rsidRPr="0096740E">
        <w:rPr>
          <w:noProof/>
        </w:rPr>
        <w:t>in the European Semester</w:t>
      </w:r>
      <w:r w:rsidR="000478CD" w:rsidRPr="0096740E">
        <w:rPr>
          <w:noProof/>
        </w:rPr>
        <w:t xml:space="preserve"> and</w:t>
      </w:r>
      <w:r w:rsidR="002231EF" w:rsidRPr="0096740E">
        <w:rPr>
          <w:noProof/>
        </w:rPr>
        <w:t xml:space="preserve"> in the context of </w:t>
      </w:r>
      <w:r w:rsidR="00C85A4C" w:rsidRPr="0096740E">
        <w:rPr>
          <w:noProof/>
        </w:rPr>
        <w:t>the Energy Union and Climate Action.</w:t>
      </w:r>
    </w:p>
    <w:p w14:paraId="02FD65F8" w14:textId="77777777" w:rsidR="00307E1C" w:rsidRPr="0096740E" w:rsidRDefault="00307E1C">
      <w:pPr>
        <w:pBdr>
          <w:top w:val="nil"/>
          <w:left w:val="nil"/>
          <w:bottom w:val="nil"/>
          <w:right w:val="nil"/>
          <w:between w:val="nil"/>
          <w:bar w:val="nil"/>
        </w:pBdr>
        <w:spacing w:before="0" w:after="240"/>
        <w:rPr>
          <w:noProof/>
        </w:rPr>
        <w:sectPr w:rsidR="00307E1C" w:rsidRPr="0096740E" w:rsidSect="0083770C">
          <w:footerReference w:type="default" r:id="rId10"/>
          <w:footerReference w:type="first" r:id="rId11"/>
          <w:pgSz w:w="11907" w:h="16839"/>
          <w:pgMar w:top="1134" w:right="1417" w:bottom="1134" w:left="1417" w:header="709" w:footer="709" w:gutter="0"/>
          <w:cols w:space="708"/>
          <w:docGrid w:linePitch="360"/>
        </w:sectPr>
      </w:pPr>
    </w:p>
    <w:p w14:paraId="19B69CAE" w14:textId="1472C6BE" w:rsidR="00422E27" w:rsidRDefault="00826295" w:rsidP="00826295">
      <w:pPr>
        <w:pStyle w:val="Rfrenceinterinstitutionnelle"/>
        <w:rPr>
          <w:noProof/>
        </w:rPr>
      </w:pPr>
      <w:r w:rsidRPr="00826295">
        <w:t>2021/0421 (NLE)</w:t>
      </w:r>
    </w:p>
    <w:p w14:paraId="2F5559C8" w14:textId="62638603" w:rsidR="00A17AEC" w:rsidRPr="0096740E" w:rsidRDefault="00C44863" w:rsidP="00C44863">
      <w:pPr>
        <w:pStyle w:val="Statut"/>
        <w:rPr>
          <w:noProof/>
        </w:rPr>
      </w:pPr>
      <w:r w:rsidRPr="00C44863">
        <w:rPr>
          <w:noProof/>
        </w:rPr>
        <w:t>Proposal for a</w:t>
      </w:r>
    </w:p>
    <w:p w14:paraId="786207A6" w14:textId="772DEDCD" w:rsidR="00A17AEC" w:rsidRPr="0096740E" w:rsidRDefault="00C44863" w:rsidP="00C44863">
      <w:pPr>
        <w:pStyle w:val="Typedudocument"/>
        <w:rPr>
          <w:noProof/>
        </w:rPr>
      </w:pPr>
      <w:r w:rsidRPr="00C44863">
        <w:rPr>
          <w:noProof/>
        </w:rPr>
        <w:t>COUNCIL RECOMMENDATION</w:t>
      </w:r>
    </w:p>
    <w:p w14:paraId="63CC5BC5" w14:textId="35D4369E" w:rsidR="00A17AEC" w:rsidRPr="0096740E" w:rsidRDefault="00C44863" w:rsidP="00C44863">
      <w:pPr>
        <w:pStyle w:val="Titreobjet"/>
        <w:rPr>
          <w:noProof/>
        </w:rPr>
      </w:pPr>
      <w:r w:rsidRPr="00C44863">
        <w:rPr>
          <w:noProof/>
        </w:rPr>
        <w:t xml:space="preserve">on ensuring a fair transition towards climate neutrality </w:t>
      </w:r>
      <w:r w:rsidRPr="00C44863">
        <w:rPr>
          <w:noProof/>
        </w:rPr>
        <w:br/>
      </w:r>
      <w:r w:rsidRPr="00C44863">
        <w:rPr>
          <w:noProof/>
        </w:rPr>
        <w:br/>
      </w:r>
    </w:p>
    <w:p w14:paraId="31E98722" w14:textId="77777777" w:rsidR="00A17AEC" w:rsidRPr="0096740E" w:rsidRDefault="00A17AEC" w:rsidP="00E6118B">
      <w:pPr>
        <w:pStyle w:val="Institutionquiagit"/>
        <w:rPr>
          <w:noProof/>
        </w:rPr>
      </w:pPr>
      <w:r w:rsidRPr="0096740E">
        <w:rPr>
          <w:noProof/>
        </w:rPr>
        <w:t>THE COUNCIL OF THE EUROPEAN UNION,</w:t>
      </w:r>
    </w:p>
    <w:p w14:paraId="66F1F2C6" w14:textId="063A88A8" w:rsidR="00A17AEC" w:rsidRPr="0096740E" w:rsidRDefault="00A17AEC" w:rsidP="00E6118B">
      <w:pPr>
        <w:rPr>
          <w:noProof/>
        </w:rPr>
      </w:pPr>
      <w:r w:rsidRPr="00705830">
        <w:rPr>
          <w:noProof/>
        </w:rPr>
        <w:t>Having regard to the Treaty on the Functioning of the European U</w:t>
      </w:r>
      <w:r w:rsidR="00AB695B" w:rsidRPr="00705830">
        <w:rPr>
          <w:noProof/>
        </w:rPr>
        <w:t xml:space="preserve">nion, and in particular </w:t>
      </w:r>
      <w:r w:rsidR="005C3EAD" w:rsidRPr="00705830">
        <w:rPr>
          <w:noProof/>
        </w:rPr>
        <w:t xml:space="preserve">Article 166(4), and </w:t>
      </w:r>
      <w:r w:rsidR="00AB695B" w:rsidRPr="00705830">
        <w:rPr>
          <w:noProof/>
        </w:rPr>
        <w:t xml:space="preserve">Article 292 in </w:t>
      </w:r>
      <w:r w:rsidR="005C3EAD" w:rsidRPr="00705830">
        <w:rPr>
          <w:noProof/>
        </w:rPr>
        <w:t xml:space="preserve">conjunction </w:t>
      </w:r>
      <w:r w:rsidR="00ED3BCA" w:rsidRPr="00705830">
        <w:rPr>
          <w:noProof/>
        </w:rPr>
        <w:t>with Ar</w:t>
      </w:r>
      <w:r w:rsidR="00E83AE9" w:rsidRPr="00705830">
        <w:rPr>
          <w:noProof/>
        </w:rPr>
        <w:t xml:space="preserve">ticle 149 </w:t>
      </w:r>
      <w:r w:rsidR="005C3EAD" w:rsidRPr="00705830">
        <w:rPr>
          <w:noProof/>
        </w:rPr>
        <w:t>thereof</w:t>
      </w:r>
      <w:r w:rsidR="00804443" w:rsidRPr="00705830">
        <w:rPr>
          <w:noProof/>
        </w:rPr>
        <w:t>.</w:t>
      </w:r>
    </w:p>
    <w:p w14:paraId="6AFB8472" w14:textId="77777777" w:rsidR="00A17AEC" w:rsidRPr="0096740E" w:rsidRDefault="00A17AEC" w:rsidP="00E6118B">
      <w:pPr>
        <w:rPr>
          <w:noProof/>
        </w:rPr>
      </w:pPr>
      <w:r w:rsidRPr="0096740E">
        <w:rPr>
          <w:noProof/>
        </w:rPr>
        <w:t>Having regard to the proposal from the European Commission,</w:t>
      </w:r>
    </w:p>
    <w:p w14:paraId="4E15068B" w14:textId="77777777" w:rsidR="005336EA" w:rsidRPr="00BE2E79" w:rsidRDefault="00A17AEC" w:rsidP="005336EA">
      <w:pPr>
        <w:rPr>
          <w:noProof/>
        </w:rPr>
      </w:pPr>
      <w:r w:rsidRPr="0096740E">
        <w:rPr>
          <w:noProof/>
        </w:rPr>
        <w:t>Whereas:</w:t>
      </w:r>
    </w:p>
    <w:p w14:paraId="36C10903" w14:textId="4C5C6E41" w:rsidR="006D0BA7" w:rsidRDefault="00420537" w:rsidP="00420537">
      <w:pPr>
        <w:pStyle w:val="ManualConsidrant"/>
        <w:rPr>
          <w:noProof/>
        </w:rPr>
      </w:pPr>
      <w:r w:rsidRPr="00420537">
        <w:t>(1)</w:t>
      </w:r>
      <w:r w:rsidRPr="00420537">
        <w:tab/>
      </w:r>
      <w:r w:rsidR="00454F31" w:rsidRPr="0096740E">
        <w:rPr>
          <w:noProof/>
        </w:rPr>
        <w:t xml:space="preserve">Greenhouse gas emissions need to be urgently reduced, in particular to decrease </w:t>
      </w:r>
      <w:r w:rsidR="00F75865" w:rsidRPr="0096740E">
        <w:rPr>
          <w:noProof/>
        </w:rPr>
        <w:t>sea level rise and</w:t>
      </w:r>
      <w:r w:rsidR="00454F31" w:rsidRPr="0096740E">
        <w:rPr>
          <w:noProof/>
        </w:rPr>
        <w:t xml:space="preserve"> the likelihood of extreme weather events that already affect every region across the globe</w:t>
      </w:r>
      <w:r w:rsidR="00454F31" w:rsidRPr="0096740E">
        <w:rPr>
          <w:rStyle w:val="FootnoteReference"/>
          <w:noProof/>
        </w:rPr>
        <w:footnoteReference w:id="49"/>
      </w:r>
      <w:r w:rsidR="00454F31" w:rsidRPr="0096740E">
        <w:rPr>
          <w:noProof/>
        </w:rPr>
        <w:t xml:space="preserve"> and </w:t>
      </w:r>
      <w:r w:rsidR="00A80A25" w:rsidRPr="0096740E">
        <w:rPr>
          <w:noProof/>
        </w:rPr>
        <w:t xml:space="preserve">to reduce </w:t>
      </w:r>
      <w:r w:rsidR="00454F31" w:rsidRPr="0096740E">
        <w:rPr>
          <w:noProof/>
        </w:rPr>
        <w:t>the economic and social costs associated with the effects of global warming</w:t>
      </w:r>
      <w:r w:rsidR="00454F31" w:rsidRPr="0096740E">
        <w:rPr>
          <w:rStyle w:val="FootnoteReference"/>
          <w:noProof/>
        </w:rPr>
        <w:footnoteReference w:id="50"/>
      </w:r>
      <w:r w:rsidR="00454F31" w:rsidRPr="0096740E">
        <w:rPr>
          <w:noProof/>
        </w:rPr>
        <w:t xml:space="preserve">. </w:t>
      </w:r>
      <w:r w:rsidR="00F755F1" w:rsidRPr="0096740E">
        <w:rPr>
          <w:noProof/>
        </w:rPr>
        <w:t>The Union and its Member States are Parties to the Paris Agreement adopted under the United Nations Framework Convention on Climate Change (UNFCCC) in December 2015</w:t>
      </w:r>
      <w:r w:rsidR="004E5009" w:rsidRPr="0096740E">
        <w:rPr>
          <w:noProof/>
        </w:rPr>
        <w:t xml:space="preserve"> </w:t>
      </w:r>
      <w:r w:rsidR="00F755F1" w:rsidRPr="0096740E">
        <w:rPr>
          <w:noProof/>
        </w:rPr>
        <w:t>(‘the Paris Agreement’)</w:t>
      </w:r>
      <w:r w:rsidR="00F755F1" w:rsidRPr="0096740E">
        <w:rPr>
          <w:rStyle w:val="FootnoteReference"/>
          <w:noProof/>
        </w:rPr>
        <w:footnoteReference w:id="51"/>
      </w:r>
      <w:r w:rsidR="00F755F1" w:rsidRPr="0096740E">
        <w:rPr>
          <w:noProof/>
        </w:rPr>
        <w:t>, which binds its Parties to holding the increase in the global average temperature to well below 2°C above pre-industrial levels and to pursuing efforts to limit the temperature increase to 1.5°C above pre-industrial levels.</w:t>
      </w:r>
      <w:r w:rsidR="004D4341" w:rsidRPr="0096740E">
        <w:rPr>
          <w:noProof/>
        </w:rPr>
        <w:t xml:space="preserve"> </w:t>
      </w:r>
    </w:p>
    <w:p w14:paraId="44A11874" w14:textId="73CE4C92" w:rsidR="006D0BA7" w:rsidRDefault="00420537" w:rsidP="00420537">
      <w:pPr>
        <w:pStyle w:val="ManualConsidrant"/>
        <w:rPr>
          <w:noProof/>
        </w:rPr>
      </w:pPr>
      <w:r w:rsidRPr="00420537">
        <w:t>(2)</w:t>
      </w:r>
      <w:r w:rsidRPr="00420537">
        <w:tab/>
      </w:r>
      <w:r w:rsidR="00DD5B54" w:rsidRPr="0096740E">
        <w:rPr>
          <w:noProof/>
        </w:rPr>
        <w:t>C</w:t>
      </w:r>
      <w:r w:rsidR="00702C86" w:rsidRPr="0096740E">
        <w:rPr>
          <w:noProof/>
        </w:rPr>
        <w:t xml:space="preserve">limate change and environmental degradation pose </w:t>
      </w:r>
      <w:r w:rsidR="00DD5B54" w:rsidRPr="0096740E">
        <w:rPr>
          <w:noProof/>
        </w:rPr>
        <w:t>severe</w:t>
      </w:r>
      <w:r w:rsidR="00702C86" w:rsidRPr="0096740E">
        <w:rPr>
          <w:noProof/>
        </w:rPr>
        <w:t xml:space="preserve"> threat</w:t>
      </w:r>
      <w:r w:rsidR="00DD5B54" w:rsidRPr="0096740E">
        <w:rPr>
          <w:noProof/>
        </w:rPr>
        <w:t>s</w:t>
      </w:r>
      <w:r w:rsidR="002830BE" w:rsidRPr="0096740E">
        <w:rPr>
          <w:noProof/>
        </w:rPr>
        <w:t xml:space="preserve"> that require urgent action, as </w:t>
      </w:r>
      <w:r w:rsidR="00640FDE" w:rsidRPr="0096740E">
        <w:rPr>
          <w:noProof/>
        </w:rPr>
        <w:t xml:space="preserve">reaffirmed </w:t>
      </w:r>
      <w:r w:rsidR="002830BE" w:rsidRPr="0096740E">
        <w:rPr>
          <w:noProof/>
        </w:rPr>
        <w:t xml:space="preserve">most recently </w:t>
      </w:r>
      <w:r w:rsidR="00640FDE" w:rsidRPr="0096740E">
        <w:rPr>
          <w:noProof/>
        </w:rPr>
        <w:t>by the Sixth Assessment Report of the Intergovernmental</w:t>
      </w:r>
      <w:r w:rsidR="00702C86" w:rsidRPr="0096740E">
        <w:rPr>
          <w:noProof/>
        </w:rPr>
        <w:t xml:space="preserve"> Panel on Climate Change (IPCC)</w:t>
      </w:r>
      <w:r w:rsidR="00F75865" w:rsidRPr="0096740E">
        <w:rPr>
          <w:noProof/>
        </w:rPr>
        <w:t xml:space="preserve"> on the Physical </w:t>
      </w:r>
      <w:r w:rsidR="00A517D0" w:rsidRPr="0096740E">
        <w:rPr>
          <w:noProof/>
        </w:rPr>
        <w:t>Science</w:t>
      </w:r>
      <w:r w:rsidR="00F75865" w:rsidRPr="0096740E">
        <w:rPr>
          <w:noProof/>
        </w:rPr>
        <w:t xml:space="preserve"> Basis</w:t>
      </w:r>
      <w:r w:rsidR="00640FDE" w:rsidRPr="0096740E">
        <w:rPr>
          <w:noProof/>
        </w:rPr>
        <w:t>. Human suffering and economic losses stemming from more frequent climate-related extreme events, such as floods, heatwaves, droughts and forest fires, are becoming more common. In the EU, these losses already average</w:t>
      </w:r>
      <w:r w:rsidR="00702C86" w:rsidRPr="0096740E">
        <w:rPr>
          <w:noProof/>
        </w:rPr>
        <w:t xml:space="preserve"> over EUR 12 billion per year</w:t>
      </w:r>
      <w:r w:rsidR="00702C86" w:rsidRPr="0096740E">
        <w:rPr>
          <w:rStyle w:val="FootnoteReference"/>
          <w:noProof/>
        </w:rPr>
        <w:footnoteReference w:id="52"/>
      </w:r>
      <w:r w:rsidR="002830BE" w:rsidRPr="0096740E">
        <w:rPr>
          <w:noProof/>
        </w:rPr>
        <w:t xml:space="preserve">. These losses could reach </w:t>
      </w:r>
      <w:r w:rsidR="003A7245" w:rsidRPr="0096740E">
        <w:rPr>
          <w:noProof/>
        </w:rPr>
        <w:t xml:space="preserve">an additional </w:t>
      </w:r>
      <w:r w:rsidR="002830BE" w:rsidRPr="0096740E">
        <w:rPr>
          <w:noProof/>
        </w:rPr>
        <w:t>EUR 17</w:t>
      </w:r>
      <w:r w:rsidR="003A7245" w:rsidRPr="0096740E">
        <w:rPr>
          <w:noProof/>
        </w:rPr>
        <w:t>5</w:t>
      </w:r>
      <w:r w:rsidR="002830BE" w:rsidRPr="0096740E">
        <w:rPr>
          <w:noProof/>
        </w:rPr>
        <w:t xml:space="preserve"> billion (1.3</w:t>
      </w:r>
      <w:r w:rsidR="003A7245" w:rsidRPr="0096740E">
        <w:rPr>
          <w:noProof/>
        </w:rPr>
        <w:t>8</w:t>
      </w:r>
      <w:r w:rsidR="002830BE" w:rsidRPr="0096740E">
        <w:rPr>
          <w:noProof/>
        </w:rPr>
        <w:t>% of EU GDP)</w:t>
      </w:r>
      <w:r w:rsidR="00702C86" w:rsidRPr="0096740E">
        <w:rPr>
          <w:noProof/>
        </w:rPr>
        <w:t xml:space="preserve"> </w:t>
      </w:r>
      <w:r w:rsidR="002830BE" w:rsidRPr="0096740E">
        <w:rPr>
          <w:noProof/>
        </w:rPr>
        <w:t>per year if</w:t>
      </w:r>
      <w:r w:rsidR="00640FDE" w:rsidRPr="0096740E">
        <w:rPr>
          <w:noProof/>
        </w:rPr>
        <w:t xml:space="preserve"> global warming </w:t>
      </w:r>
      <w:r w:rsidR="002830BE" w:rsidRPr="0096740E">
        <w:rPr>
          <w:noProof/>
        </w:rPr>
        <w:t>reaches</w:t>
      </w:r>
      <w:r w:rsidR="00640FDE" w:rsidRPr="0096740E">
        <w:rPr>
          <w:noProof/>
        </w:rPr>
        <w:t xml:space="preserve"> 3°C above pre-industrial levels. </w:t>
      </w:r>
      <w:r w:rsidR="00F75865" w:rsidRPr="0096740E">
        <w:rPr>
          <w:noProof/>
        </w:rPr>
        <w:t xml:space="preserve">3°C as opposed to EUR 65 billion for 2°C and </w:t>
      </w:r>
      <w:r w:rsidR="00692431" w:rsidRPr="0096740E">
        <w:rPr>
          <w:noProof/>
        </w:rPr>
        <w:t>EUR</w:t>
      </w:r>
      <w:r w:rsidR="00F75865" w:rsidRPr="0096740E">
        <w:rPr>
          <w:noProof/>
        </w:rPr>
        <w:t>36 billion per year for 1.5°C.</w:t>
      </w:r>
      <w:r w:rsidR="00640FDE" w:rsidRPr="0096740E">
        <w:rPr>
          <w:noProof/>
        </w:rPr>
        <w:t xml:space="preserve"> </w:t>
      </w:r>
      <w:r w:rsidR="00702C86" w:rsidRPr="0096740E">
        <w:rPr>
          <w:noProof/>
        </w:rPr>
        <w:t>T</w:t>
      </w:r>
      <w:r w:rsidR="00042484" w:rsidRPr="0096740E">
        <w:rPr>
          <w:noProof/>
        </w:rPr>
        <w:t>his w</w:t>
      </w:r>
      <w:r w:rsidR="00702C86" w:rsidRPr="0096740E">
        <w:rPr>
          <w:noProof/>
        </w:rPr>
        <w:t xml:space="preserve">ould </w:t>
      </w:r>
      <w:r w:rsidR="00640FDE" w:rsidRPr="0096740E">
        <w:rPr>
          <w:noProof/>
        </w:rPr>
        <w:t xml:space="preserve">disproportionately harm certain groups, notably </w:t>
      </w:r>
      <w:r w:rsidR="00702C86" w:rsidRPr="0096740E">
        <w:rPr>
          <w:noProof/>
        </w:rPr>
        <w:t>people</w:t>
      </w:r>
      <w:r w:rsidR="00640FDE" w:rsidRPr="0096740E">
        <w:rPr>
          <w:noProof/>
        </w:rPr>
        <w:t xml:space="preserve"> a</w:t>
      </w:r>
      <w:r w:rsidR="00702C86" w:rsidRPr="0096740E">
        <w:rPr>
          <w:noProof/>
        </w:rPr>
        <w:t>lready in vulnerable situations</w:t>
      </w:r>
      <w:r w:rsidR="00640FDE" w:rsidRPr="0096740E">
        <w:rPr>
          <w:noProof/>
        </w:rPr>
        <w:t xml:space="preserve"> and regio</w:t>
      </w:r>
      <w:r w:rsidR="00702C86" w:rsidRPr="0096740E">
        <w:rPr>
          <w:noProof/>
        </w:rPr>
        <w:t>ns already facing challenges</w:t>
      </w:r>
      <w:r w:rsidR="00F75865" w:rsidRPr="0096740E">
        <w:rPr>
          <w:noProof/>
        </w:rPr>
        <w:t>.</w:t>
      </w:r>
    </w:p>
    <w:p w14:paraId="5D1B8F83" w14:textId="762E931A" w:rsidR="009B54D8" w:rsidRDefault="00420537" w:rsidP="00420537">
      <w:pPr>
        <w:pStyle w:val="ManualConsidrant"/>
        <w:rPr>
          <w:noProof/>
        </w:rPr>
      </w:pPr>
      <w:r w:rsidRPr="00420537">
        <w:t>(3)</w:t>
      </w:r>
      <w:r w:rsidRPr="00420537">
        <w:tab/>
      </w:r>
      <w:r w:rsidR="00F755F1" w:rsidRPr="0096740E">
        <w:rPr>
          <w:noProof/>
        </w:rPr>
        <w:t xml:space="preserve">The </w:t>
      </w:r>
      <w:r w:rsidR="00F755F1" w:rsidRPr="001D373A">
        <w:rPr>
          <w:rFonts w:eastAsia="Arial Unicode MS"/>
          <w:noProof/>
        </w:rPr>
        <w:t>European Green Deal</w:t>
      </w:r>
      <w:r w:rsidR="00F755F1" w:rsidRPr="0096740E">
        <w:rPr>
          <w:rStyle w:val="FootnoteReference"/>
          <w:noProof/>
        </w:rPr>
        <w:footnoteReference w:id="53"/>
      </w:r>
      <w:r w:rsidR="004B458A" w:rsidRPr="0096740E">
        <w:rPr>
          <w:noProof/>
        </w:rPr>
        <w:t xml:space="preserve"> </w:t>
      </w:r>
      <w:r w:rsidR="00F755F1" w:rsidRPr="0096740E">
        <w:rPr>
          <w:noProof/>
        </w:rPr>
        <w:t xml:space="preserve">sets out </w:t>
      </w:r>
      <w:r w:rsidR="002830BE" w:rsidRPr="0096740E">
        <w:rPr>
          <w:noProof/>
        </w:rPr>
        <w:t>the</w:t>
      </w:r>
      <w:r w:rsidR="00F755F1" w:rsidRPr="0096740E">
        <w:rPr>
          <w:noProof/>
        </w:rPr>
        <w:t xml:space="preserve"> strategy for the Union to become the first climate-neutral con</w:t>
      </w:r>
      <w:r w:rsidR="00263E83" w:rsidRPr="0096740E">
        <w:rPr>
          <w:noProof/>
        </w:rPr>
        <w:t>t</w:t>
      </w:r>
      <w:r w:rsidR="00F755F1" w:rsidRPr="0096740E">
        <w:rPr>
          <w:noProof/>
        </w:rPr>
        <w:t>i</w:t>
      </w:r>
      <w:r w:rsidR="00263E83" w:rsidRPr="0096740E">
        <w:rPr>
          <w:noProof/>
        </w:rPr>
        <w:t>n</w:t>
      </w:r>
      <w:r w:rsidR="00F755F1" w:rsidRPr="0096740E">
        <w:rPr>
          <w:noProof/>
        </w:rPr>
        <w:t>ent and transform the Union into a sustainable, fairer and more prosperous society</w:t>
      </w:r>
      <w:r w:rsidR="001D373A" w:rsidRPr="001D373A">
        <w:rPr>
          <w:noProof/>
        </w:rPr>
        <w:t xml:space="preserve"> </w:t>
      </w:r>
      <w:r w:rsidR="001D373A" w:rsidRPr="004E1467">
        <w:rPr>
          <w:noProof/>
        </w:rPr>
        <w:t>that respects the planetary boundaries</w:t>
      </w:r>
      <w:r w:rsidR="00F755F1" w:rsidRPr="0096740E">
        <w:rPr>
          <w:noProof/>
        </w:rPr>
        <w:t>.</w:t>
      </w:r>
      <w:r w:rsidR="001C6312" w:rsidRPr="0096740E">
        <w:rPr>
          <w:noProof/>
        </w:rPr>
        <w:t xml:space="preserve"> </w:t>
      </w:r>
      <w:r w:rsidR="00097226" w:rsidRPr="0096740E">
        <w:rPr>
          <w:noProof/>
        </w:rPr>
        <w:t xml:space="preserve">The need for a fair transition is an integral part of the Green Deal which underlined that no person and no place should be left behind. </w:t>
      </w:r>
      <w:r w:rsidR="001C6312" w:rsidRPr="0096740E">
        <w:rPr>
          <w:noProof/>
        </w:rPr>
        <w:t>The European Climate Law</w:t>
      </w:r>
      <w:r w:rsidR="00B14AC2" w:rsidRPr="0096740E">
        <w:rPr>
          <w:rStyle w:val="FootnoteReference"/>
          <w:noProof/>
        </w:rPr>
        <w:footnoteReference w:id="54"/>
      </w:r>
      <w:r w:rsidR="001C6312" w:rsidRPr="0096740E">
        <w:rPr>
          <w:noProof/>
        </w:rPr>
        <w:t xml:space="preserve"> sets out </w:t>
      </w:r>
      <w:r w:rsidR="002830BE" w:rsidRPr="0096740E">
        <w:rPr>
          <w:noProof/>
        </w:rPr>
        <w:t xml:space="preserve">a </w:t>
      </w:r>
      <w:r w:rsidR="001C6312" w:rsidRPr="0096740E">
        <w:rPr>
          <w:noProof/>
        </w:rPr>
        <w:t xml:space="preserve">binding </w:t>
      </w:r>
      <w:r w:rsidR="00467A7C" w:rsidRPr="0096740E">
        <w:rPr>
          <w:noProof/>
        </w:rPr>
        <w:t xml:space="preserve">Union-wide </w:t>
      </w:r>
      <w:r w:rsidR="001C6312" w:rsidRPr="0096740E">
        <w:rPr>
          <w:noProof/>
        </w:rPr>
        <w:t xml:space="preserve">objective of climate neutrality by 2050 and a binding intermediate target of a net domestic reduction in greenhouse gas emissions of </w:t>
      </w:r>
      <w:r w:rsidR="00F75865" w:rsidRPr="0096740E">
        <w:rPr>
          <w:noProof/>
        </w:rPr>
        <w:t>at least</w:t>
      </w:r>
      <w:r w:rsidR="001C6312" w:rsidRPr="0096740E">
        <w:rPr>
          <w:noProof/>
        </w:rPr>
        <w:t xml:space="preserve"> 55% by 2030 compared to 1990 levels. </w:t>
      </w:r>
      <w:r w:rsidR="00F6353A" w:rsidRPr="0096740E">
        <w:rPr>
          <w:noProof/>
        </w:rPr>
        <w:t>T</w:t>
      </w:r>
      <w:r w:rsidR="00F90843" w:rsidRPr="0096740E">
        <w:rPr>
          <w:noProof/>
        </w:rPr>
        <w:t xml:space="preserve">he </w:t>
      </w:r>
      <w:r w:rsidR="00110D61" w:rsidRPr="0096740E">
        <w:rPr>
          <w:noProof/>
        </w:rPr>
        <w:t>8</w:t>
      </w:r>
      <w:r w:rsidR="00110D61" w:rsidRPr="001D373A">
        <w:rPr>
          <w:noProof/>
          <w:vertAlign w:val="superscript"/>
        </w:rPr>
        <w:t>th</w:t>
      </w:r>
      <w:r w:rsidR="00110D61" w:rsidRPr="0096740E">
        <w:rPr>
          <w:noProof/>
        </w:rPr>
        <w:t xml:space="preserve"> </w:t>
      </w:r>
      <w:r w:rsidR="00F90843" w:rsidRPr="0096740E">
        <w:rPr>
          <w:noProof/>
        </w:rPr>
        <w:t>Environment Action Programme</w:t>
      </w:r>
      <w:r w:rsidR="00580BA9" w:rsidRPr="0096740E">
        <w:rPr>
          <w:noProof/>
        </w:rPr>
        <w:t xml:space="preserve"> to 2030</w:t>
      </w:r>
      <w:r w:rsidR="00B14AC2" w:rsidRPr="0096740E">
        <w:rPr>
          <w:rStyle w:val="FootnoteReference"/>
          <w:noProof/>
        </w:rPr>
        <w:footnoteReference w:id="55"/>
      </w:r>
      <w:r w:rsidR="00F90843" w:rsidRPr="0096740E">
        <w:rPr>
          <w:noProof/>
        </w:rPr>
        <w:t xml:space="preserve"> </w:t>
      </w:r>
      <w:r w:rsidR="00F6353A" w:rsidRPr="0096740E">
        <w:rPr>
          <w:noProof/>
        </w:rPr>
        <w:t xml:space="preserve">aims </w:t>
      </w:r>
      <w:r w:rsidR="00F90843" w:rsidRPr="0096740E">
        <w:rPr>
          <w:noProof/>
        </w:rPr>
        <w:t>to protect, conserve and enhance the Union's natural capital and protect the health and well-being of citizens from environment-related risks and impacts.</w:t>
      </w:r>
    </w:p>
    <w:p w14:paraId="552A7008" w14:textId="0AABA6E7" w:rsidR="00BB2B08" w:rsidRPr="004E1467" w:rsidRDefault="00420537" w:rsidP="00420537">
      <w:pPr>
        <w:pStyle w:val="ManualConsidrant"/>
        <w:rPr>
          <w:noProof/>
        </w:rPr>
      </w:pPr>
      <w:r w:rsidRPr="00420537">
        <w:t>(4)</w:t>
      </w:r>
      <w:r w:rsidRPr="00420537">
        <w:tab/>
      </w:r>
      <w:r w:rsidR="002A37C4" w:rsidRPr="009B54D8">
        <w:rPr>
          <w:noProof/>
          <w:lang w:val="en-IE"/>
        </w:rPr>
        <w:t>The</w:t>
      </w:r>
      <w:r w:rsidR="001057DE" w:rsidRPr="009B54D8">
        <w:rPr>
          <w:noProof/>
          <w:lang w:val="en-IE"/>
        </w:rPr>
        <w:t xml:space="preserve"> transformation to a </w:t>
      </w:r>
      <w:r w:rsidR="00164730" w:rsidRPr="009B54D8">
        <w:rPr>
          <w:noProof/>
          <w:lang w:val="en-IE"/>
        </w:rPr>
        <w:t xml:space="preserve">climate </w:t>
      </w:r>
      <w:r w:rsidR="001057DE" w:rsidRPr="009B54D8">
        <w:rPr>
          <w:noProof/>
          <w:lang w:val="en-IE"/>
        </w:rPr>
        <w:t>neutral economy and society require</w:t>
      </w:r>
      <w:r w:rsidR="002A37C4" w:rsidRPr="009B54D8">
        <w:rPr>
          <w:noProof/>
          <w:lang w:val="en-IE"/>
        </w:rPr>
        <w:t>s</w:t>
      </w:r>
      <w:r w:rsidR="001057DE" w:rsidRPr="009B54D8">
        <w:rPr>
          <w:noProof/>
          <w:lang w:val="en-IE"/>
        </w:rPr>
        <w:t xml:space="preserve"> </w:t>
      </w:r>
      <w:r w:rsidR="004B458A" w:rsidRPr="009B54D8">
        <w:rPr>
          <w:noProof/>
          <w:lang w:val="en-IE"/>
        </w:rPr>
        <w:t xml:space="preserve">comprehensive </w:t>
      </w:r>
      <w:r w:rsidR="001057DE" w:rsidRPr="009B54D8">
        <w:rPr>
          <w:noProof/>
          <w:lang w:val="en-IE"/>
        </w:rPr>
        <w:t>policy action</w:t>
      </w:r>
      <w:r w:rsidR="00B14AC2" w:rsidRPr="009B54D8">
        <w:rPr>
          <w:noProof/>
          <w:lang w:val="en-IE"/>
        </w:rPr>
        <w:t xml:space="preserve"> and substantial investment across many areas</w:t>
      </w:r>
      <w:r w:rsidR="00E83AE9" w:rsidRPr="009B54D8">
        <w:rPr>
          <w:noProof/>
          <w:lang w:val="en-IE"/>
        </w:rPr>
        <w:t>, such as</w:t>
      </w:r>
      <w:r w:rsidR="00C9115E" w:rsidRPr="009B54D8">
        <w:rPr>
          <w:noProof/>
          <w:lang w:val="en-IE"/>
        </w:rPr>
        <w:t xml:space="preserve"> </w:t>
      </w:r>
      <w:r w:rsidR="001C6312" w:rsidRPr="009B54D8">
        <w:rPr>
          <w:noProof/>
          <w:lang w:val="en-IE"/>
        </w:rPr>
        <w:t>climate</w:t>
      </w:r>
      <w:r w:rsidR="00F75865" w:rsidRPr="009B54D8">
        <w:rPr>
          <w:noProof/>
          <w:lang w:val="en-IE"/>
        </w:rPr>
        <w:t xml:space="preserve"> action</w:t>
      </w:r>
      <w:r w:rsidR="001C6312" w:rsidRPr="009B54D8">
        <w:rPr>
          <w:noProof/>
          <w:lang w:val="en-IE"/>
        </w:rPr>
        <w:t>, energy, environment, industr</w:t>
      </w:r>
      <w:r w:rsidR="00B14AC2" w:rsidRPr="009B54D8">
        <w:rPr>
          <w:noProof/>
          <w:lang w:val="en-IE"/>
        </w:rPr>
        <w:t>y</w:t>
      </w:r>
      <w:r w:rsidR="001C6312" w:rsidRPr="009B54D8">
        <w:rPr>
          <w:noProof/>
          <w:lang w:val="en-IE"/>
        </w:rPr>
        <w:t>, research and innovation</w:t>
      </w:r>
      <w:r w:rsidR="00B14AC2" w:rsidRPr="009B54D8">
        <w:rPr>
          <w:noProof/>
          <w:lang w:val="en-IE"/>
        </w:rPr>
        <w:t>.</w:t>
      </w:r>
      <w:r w:rsidR="001C6312" w:rsidRPr="0096740E">
        <w:rPr>
          <w:rStyle w:val="FootnoteReference"/>
          <w:noProof/>
          <w:lang w:val="en-IE"/>
        </w:rPr>
        <w:footnoteReference w:id="56"/>
      </w:r>
      <w:r w:rsidR="0042508C" w:rsidRPr="009B54D8" w:rsidDel="0042508C">
        <w:rPr>
          <w:noProof/>
          <w:lang w:val="en-IE"/>
        </w:rPr>
        <w:t xml:space="preserve"> </w:t>
      </w:r>
      <w:r w:rsidR="0042508C" w:rsidRPr="009B54D8">
        <w:rPr>
          <w:noProof/>
          <w:lang w:val="en-IE"/>
        </w:rPr>
        <w:t>T</w:t>
      </w:r>
      <w:r w:rsidR="00DE1CC8" w:rsidRPr="0096740E">
        <w:rPr>
          <w:noProof/>
        </w:rPr>
        <w:t>o</w:t>
      </w:r>
      <w:r w:rsidR="002A4747" w:rsidRPr="0096740E">
        <w:rPr>
          <w:noProof/>
        </w:rPr>
        <w:t xml:space="preserve"> </w:t>
      </w:r>
      <w:r w:rsidR="002A4747" w:rsidRPr="009B54D8">
        <w:rPr>
          <w:noProof/>
          <w:lang w:val="en-IE"/>
        </w:rPr>
        <w:t>deliver on the binding Union-level target for 2030</w:t>
      </w:r>
      <w:r w:rsidR="00E33F50" w:rsidRPr="009B54D8">
        <w:rPr>
          <w:noProof/>
          <w:lang w:val="en-IE"/>
        </w:rPr>
        <w:t>,</w:t>
      </w:r>
      <w:r w:rsidR="007D4B35" w:rsidRPr="009B54D8">
        <w:rPr>
          <w:noProof/>
          <w:lang w:val="en-IE"/>
        </w:rPr>
        <w:t xml:space="preserve"> </w:t>
      </w:r>
      <w:r w:rsidR="00DE1CC8" w:rsidRPr="0096740E">
        <w:rPr>
          <w:noProof/>
        </w:rPr>
        <w:t>the Commission put forward t</w:t>
      </w:r>
      <w:r w:rsidR="00D866F0">
        <w:rPr>
          <w:noProof/>
        </w:rPr>
        <w:t>he ‘Fit for 55’</w:t>
      </w:r>
      <w:r w:rsidR="008926F2" w:rsidRPr="0096740E">
        <w:rPr>
          <w:rStyle w:val="FootnoteReference"/>
          <w:noProof/>
        </w:rPr>
        <w:footnoteReference w:id="57"/>
      </w:r>
      <w:r w:rsidR="00D866F0">
        <w:rPr>
          <w:noProof/>
        </w:rPr>
        <w:t xml:space="preserve"> </w:t>
      </w:r>
      <w:r w:rsidR="002A4747" w:rsidRPr="0096740E">
        <w:rPr>
          <w:noProof/>
        </w:rPr>
        <w:t>package on 14 July 2021</w:t>
      </w:r>
      <w:r w:rsidR="002A4747" w:rsidRPr="009B54D8">
        <w:rPr>
          <w:noProof/>
          <w:lang w:val="en-IE"/>
        </w:rPr>
        <w:t>.</w:t>
      </w:r>
      <w:r w:rsidR="007D4B35" w:rsidRPr="009B54D8">
        <w:rPr>
          <w:noProof/>
          <w:lang w:val="en-IE"/>
        </w:rPr>
        <w:t xml:space="preserve"> Th</w:t>
      </w:r>
      <w:r w:rsidR="00DE1CC8" w:rsidRPr="009B54D8">
        <w:rPr>
          <w:noProof/>
          <w:lang w:val="en-IE"/>
        </w:rPr>
        <w:t>is</w:t>
      </w:r>
      <w:r w:rsidR="007D4B35" w:rsidRPr="009B54D8">
        <w:rPr>
          <w:noProof/>
          <w:lang w:val="en-IE"/>
        </w:rPr>
        <w:t xml:space="preserve"> package includes proposals for updating relevant legislation, including the EU Emissions Trading System (ETS)</w:t>
      </w:r>
      <w:r w:rsidR="00804443" w:rsidRPr="0096740E">
        <w:rPr>
          <w:rStyle w:val="FootnoteReference"/>
          <w:noProof/>
          <w:lang w:val="en-IE"/>
        </w:rPr>
        <w:footnoteReference w:id="58"/>
      </w:r>
      <w:r w:rsidR="007D4B35" w:rsidRPr="009B54D8">
        <w:rPr>
          <w:noProof/>
          <w:lang w:val="en-IE"/>
        </w:rPr>
        <w:t xml:space="preserve">, </w:t>
      </w:r>
      <w:r w:rsidR="00AE5067" w:rsidRPr="009B54D8">
        <w:rPr>
          <w:noProof/>
          <w:lang w:val="en-IE"/>
        </w:rPr>
        <w:t xml:space="preserve">the </w:t>
      </w:r>
      <w:r w:rsidR="007D4B35" w:rsidRPr="009B54D8">
        <w:rPr>
          <w:noProof/>
          <w:lang w:val="en-IE"/>
        </w:rPr>
        <w:t>energy taxation, energy efficiency</w:t>
      </w:r>
      <w:r w:rsidR="00AE5067" w:rsidRPr="009B54D8">
        <w:rPr>
          <w:noProof/>
          <w:lang w:val="en-IE"/>
        </w:rPr>
        <w:t xml:space="preserve"> and</w:t>
      </w:r>
      <w:r w:rsidR="007D4B35" w:rsidRPr="009B54D8">
        <w:rPr>
          <w:noProof/>
          <w:lang w:val="en-IE"/>
        </w:rPr>
        <w:t xml:space="preserve"> renewable energy</w:t>
      </w:r>
      <w:r w:rsidR="00AE5067" w:rsidRPr="009B54D8">
        <w:rPr>
          <w:noProof/>
          <w:lang w:val="en-IE"/>
        </w:rPr>
        <w:t xml:space="preserve"> Directives</w:t>
      </w:r>
      <w:r w:rsidR="007D4B35" w:rsidRPr="009B54D8">
        <w:rPr>
          <w:noProof/>
          <w:lang w:val="en-IE"/>
        </w:rPr>
        <w:t xml:space="preserve">, </w:t>
      </w:r>
      <w:r w:rsidR="00AE5067" w:rsidRPr="009B54D8">
        <w:rPr>
          <w:noProof/>
          <w:lang w:val="en-IE"/>
        </w:rPr>
        <w:t>the</w:t>
      </w:r>
      <w:r w:rsidR="007D4B35" w:rsidRPr="009B54D8">
        <w:rPr>
          <w:noProof/>
          <w:lang w:val="en-IE"/>
        </w:rPr>
        <w:t xml:space="preserve"> CO</w:t>
      </w:r>
      <w:r w:rsidR="007D4B35" w:rsidRPr="009B54D8">
        <w:rPr>
          <w:noProof/>
          <w:vertAlign w:val="subscript"/>
          <w:lang w:val="en-IE"/>
        </w:rPr>
        <w:t>2</w:t>
      </w:r>
      <w:r w:rsidR="007D4B35" w:rsidRPr="009B54D8">
        <w:rPr>
          <w:noProof/>
          <w:lang w:val="en-IE"/>
        </w:rPr>
        <w:t xml:space="preserve"> emission standards </w:t>
      </w:r>
      <w:r w:rsidR="00AE5067" w:rsidRPr="009B54D8">
        <w:rPr>
          <w:noProof/>
          <w:lang w:val="en-IE"/>
        </w:rPr>
        <w:t xml:space="preserve">Regulation </w:t>
      </w:r>
      <w:r w:rsidR="007D4B35" w:rsidRPr="009B54D8">
        <w:rPr>
          <w:noProof/>
          <w:lang w:val="en-IE"/>
        </w:rPr>
        <w:t>for cars and vans</w:t>
      </w:r>
      <w:r w:rsidR="006876F1" w:rsidRPr="009B54D8">
        <w:rPr>
          <w:noProof/>
          <w:lang w:val="en-IE"/>
        </w:rPr>
        <w:t>,</w:t>
      </w:r>
      <w:r w:rsidR="00F975F6" w:rsidRPr="009B54D8">
        <w:rPr>
          <w:noProof/>
          <w:lang w:val="en-IE"/>
        </w:rPr>
        <w:t xml:space="preserve"> </w:t>
      </w:r>
      <w:r w:rsidR="00AE5067" w:rsidRPr="009B54D8">
        <w:rPr>
          <w:noProof/>
          <w:lang w:val="en-IE"/>
        </w:rPr>
        <w:t xml:space="preserve">the Regulation on the inclusion of greenhouse gas emissions and removals from land use, land use change and forestry, the Directive on </w:t>
      </w:r>
      <w:r w:rsidR="007D4B35" w:rsidRPr="009B54D8">
        <w:rPr>
          <w:noProof/>
          <w:lang w:val="en-IE"/>
        </w:rPr>
        <w:t xml:space="preserve">alternative fuels </w:t>
      </w:r>
      <w:r w:rsidR="00F975F6" w:rsidRPr="009B54D8">
        <w:rPr>
          <w:noProof/>
          <w:lang w:val="en-IE"/>
        </w:rPr>
        <w:t>infrastructure</w:t>
      </w:r>
      <w:r w:rsidR="00E33F50" w:rsidRPr="009B54D8">
        <w:rPr>
          <w:noProof/>
          <w:lang w:val="en-IE"/>
        </w:rPr>
        <w:t>,</w:t>
      </w:r>
      <w:r w:rsidR="00F975F6" w:rsidRPr="009B54D8">
        <w:rPr>
          <w:noProof/>
          <w:lang w:val="en-IE"/>
        </w:rPr>
        <w:t xml:space="preserve"> </w:t>
      </w:r>
      <w:r w:rsidR="00B14AC2" w:rsidRPr="009B54D8">
        <w:rPr>
          <w:noProof/>
          <w:lang w:val="en-IE"/>
        </w:rPr>
        <w:t>and</w:t>
      </w:r>
      <w:r w:rsidR="00F975F6" w:rsidRPr="009B54D8">
        <w:rPr>
          <w:noProof/>
          <w:lang w:val="en-IE"/>
        </w:rPr>
        <w:t xml:space="preserve"> </w:t>
      </w:r>
      <w:r w:rsidR="00E33F50" w:rsidRPr="009B54D8">
        <w:rPr>
          <w:noProof/>
          <w:lang w:val="en-IE"/>
        </w:rPr>
        <w:t xml:space="preserve">the </w:t>
      </w:r>
      <w:r w:rsidR="00F975F6" w:rsidRPr="009B54D8">
        <w:rPr>
          <w:noProof/>
          <w:lang w:val="en-IE"/>
        </w:rPr>
        <w:t xml:space="preserve">effort sharing </w:t>
      </w:r>
      <w:r w:rsidR="00AE5067" w:rsidRPr="009B54D8">
        <w:rPr>
          <w:noProof/>
          <w:lang w:val="en-IE"/>
        </w:rPr>
        <w:t xml:space="preserve">Regulation with respect to </w:t>
      </w:r>
      <w:r w:rsidR="00F975F6" w:rsidRPr="009B54D8">
        <w:rPr>
          <w:noProof/>
          <w:lang w:val="en-IE"/>
        </w:rPr>
        <w:t>sectors outside the current ETS</w:t>
      </w:r>
      <w:r w:rsidR="009707F2" w:rsidRPr="009B54D8">
        <w:rPr>
          <w:noProof/>
          <w:lang w:val="en-IE"/>
        </w:rPr>
        <w:t>, namely transport and building sectors</w:t>
      </w:r>
      <w:r w:rsidR="007D4B35" w:rsidRPr="009B54D8">
        <w:rPr>
          <w:noProof/>
          <w:lang w:val="en-IE"/>
        </w:rPr>
        <w:t xml:space="preserve">. It also includes new legislative proposals, </w:t>
      </w:r>
      <w:r w:rsidR="00E63BC2" w:rsidRPr="009B54D8">
        <w:rPr>
          <w:noProof/>
          <w:lang w:val="en-IE"/>
        </w:rPr>
        <w:t>notably</w:t>
      </w:r>
      <w:r w:rsidR="00E63BC2" w:rsidRPr="000D37AC">
        <w:rPr>
          <w:noProof/>
          <w:lang w:val="en-IE"/>
        </w:rPr>
        <w:t xml:space="preserve"> </w:t>
      </w:r>
      <w:r w:rsidR="00B14AC2" w:rsidRPr="000D37AC">
        <w:rPr>
          <w:noProof/>
          <w:lang w:val="en-IE"/>
        </w:rPr>
        <w:t>to</w:t>
      </w:r>
      <w:r w:rsidR="009A1479" w:rsidRPr="000D37AC">
        <w:rPr>
          <w:noProof/>
          <w:lang w:val="en-IE"/>
        </w:rPr>
        <w:t xml:space="preserve"> support the use of cleaner fuels in the aviation and maritime transport sectors, as we</w:t>
      </w:r>
      <w:r w:rsidR="007E4054" w:rsidRPr="000D37AC">
        <w:rPr>
          <w:noProof/>
          <w:lang w:val="en-IE"/>
        </w:rPr>
        <w:t>ll</w:t>
      </w:r>
      <w:r w:rsidR="009A1479" w:rsidRPr="000D37AC">
        <w:rPr>
          <w:noProof/>
          <w:lang w:val="en-IE"/>
        </w:rPr>
        <w:t xml:space="preserve"> as</w:t>
      </w:r>
      <w:r w:rsidR="00E63BC2" w:rsidRPr="009B54D8">
        <w:rPr>
          <w:noProof/>
          <w:lang w:val="en-IE"/>
        </w:rPr>
        <w:t xml:space="preserve"> </w:t>
      </w:r>
      <w:r w:rsidR="00B14AC2" w:rsidRPr="009B54D8">
        <w:rPr>
          <w:noProof/>
          <w:lang w:val="en-IE"/>
        </w:rPr>
        <w:t>to introduce</w:t>
      </w:r>
      <w:r w:rsidR="007D4B35" w:rsidRPr="009B54D8">
        <w:rPr>
          <w:noProof/>
          <w:lang w:val="en-IE"/>
        </w:rPr>
        <w:t xml:space="preserve"> a Carbon Border Adjustment Mechanism and </w:t>
      </w:r>
      <w:r w:rsidR="00B14AC2" w:rsidRPr="009B54D8">
        <w:rPr>
          <w:noProof/>
          <w:lang w:val="en-IE"/>
        </w:rPr>
        <w:t>establish</w:t>
      </w:r>
      <w:r w:rsidR="00E33F50" w:rsidRPr="009B54D8">
        <w:rPr>
          <w:noProof/>
          <w:lang w:val="en-IE"/>
        </w:rPr>
        <w:t xml:space="preserve"> </w:t>
      </w:r>
      <w:r w:rsidR="007D4B35" w:rsidRPr="009B54D8">
        <w:rPr>
          <w:noProof/>
          <w:lang w:val="en-IE"/>
        </w:rPr>
        <w:t>a Social Climate Fund</w:t>
      </w:r>
      <w:r w:rsidR="00C57F05" w:rsidRPr="009B54D8">
        <w:rPr>
          <w:noProof/>
          <w:lang w:val="en-IE"/>
        </w:rPr>
        <w:t xml:space="preserve">, which is directly related to the proposed </w:t>
      </w:r>
      <w:r w:rsidR="00BB2B08" w:rsidRPr="004E1467">
        <w:rPr>
          <w:noProof/>
          <w:lang w:val="en-IE"/>
        </w:rPr>
        <w:t xml:space="preserve">introduction of </w:t>
      </w:r>
      <w:r w:rsidR="00C57F05" w:rsidRPr="004E1467">
        <w:rPr>
          <w:noProof/>
          <w:lang w:val="en-IE"/>
        </w:rPr>
        <w:t>emission</w:t>
      </w:r>
      <w:r w:rsidR="00BB2B08" w:rsidRPr="004E1467">
        <w:rPr>
          <w:noProof/>
          <w:lang w:val="en-IE"/>
        </w:rPr>
        <w:t>s</w:t>
      </w:r>
      <w:r w:rsidR="00C57F05" w:rsidRPr="004E1467">
        <w:rPr>
          <w:noProof/>
          <w:lang w:val="en-IE"/>
        </w:rPr>
        <w:t xml:space="preserve"> trading </w:t>
      </w:r>
      <w:r w:rsidR="00F75865" w:rsidRPr="004E1467">
        <w:rPr>
          <w:noProof/>
          <w:lang w:val="en-IE"/>
        </w:rPr>
        <w:t>system for</w:t>
      </w:r>
      <w:r w:rsidR="00C57F05" w:rsidRPr="004E1467">
        <w:rPr>
          <w:noProof/>
          <w:lang w:val="en-IE"/>
        </w:rPr>
        <w:t xml:space="preserve"> </w:t>
      </w:r>
      <w:r w:rsidR="00F81F52" w:rsidRPr="004E1467">
        <w:rPr>
          <w:noProof/>
          <w:lang w:val="en-IE"/>
        </w:rPr>
        <w:t xml:space="preserve">fuels used in </w:t>
      </w:r>
      <w:r w:rsidR="00C57F05" w:rsidRPr="004E1467">
        <w:rPr>
          <w:noProof/>
          <w:lang w:val="en-IE"/>
        </w:rPr>
        <w:t>buildings and road transport</w:t>
      </w:r>
      <w:r w:rsidR="007D4B35" w:rsidRPr="004E1467">
        <w:rPr>
          <w:noProof/>
          <w:lang w:val="en-IE"/>
        </w:rPr>
        <w:t>.</w:t>
      </w:r>
      <w:r w:rsidR="00BB2B08" w:rsidRPr="004E1467">
        <w:rPr>
          <w:noProof/>
          <w:szCs w:val="24"/>
        </w:rPr>
        <w:t xml:space="preserve"> The ‘Fit for 55’ package, combined with measures taken at EU level to support and incentivise the necessary public and private investments will help to support and accelerate the growth of new markets, for instance for clean fuels and low-emission vehicles, thereby driving down the costs of the sustainable transition for businesses and citizens alike.</w:t>
      </w:r>
    </w:p>
    <w:p w14:paraId="66874643" w14:textId="732C6F02" w:rsidR="009B54D8" w:rsidRDefault="00420537" w:rsidP="00420537">
      <w:pPr>
        <w:pStyle w:val="ManualConsidrant"/>
        <w:rPr>
          <w:noProof/>
        </w:rPr>
      </w:pPr>
      <w:r w:rsidRPr="00420537">
        <w:t>(5)</w:t>
      </w:r>
      <w:r w:rsidRPr="00420537">
        <w:tab/>
      </w:r>
      <w:r w:rsidR="00E63BC2" w:rsidRPr="009B54D8">
        <w:rPr>
          <w:noProof/>
          <w:lang w:val="en-IE"/>
        </w:rPr>
        <w:t xml:space="preserve">Member States have committed in the European Council’s Strategic Agenda 2019-2024 to </w:t>
      </w:r>
      <w:r w:rsidR="00B14AC2" w:rsidRPr="009B54D8">
        <w:rPr>
          <w:noProof/>
          <w:lang w:val="en-IE"/>
        </w:rPr>
        <w:t xml:space="preserve">ensure </w:t>
      </w:r>
      <w:r w:rsidR="00E63BC2" w:rsidRPr="009B54D8">
        <w:rPr>
          <w:noProof/>
          <w:lang w:val="en-IE"/>
        </w:rPr>
        <w:t xml:space="preserve">a </w:t>
      </w:r>
      <w:r w:rsidR="001C6DE0" w:rsidRPr="009B54D8">
        <w:rPr>
          <w:noProof/>
          <w:lang w:val="en-IE"/>
        </w:rPr>
        <w:t xml:space="preserve">fair </w:t>
      </w:r>
      <w:r w:rsidR="00E63BC2" w:rsidRPr="009B54D8">
        <w:rPr>
          <w:noProof/>
          <w:lang w:val="en-IE"/>
        </w:rPr>
        <w:t>transition towards climate neutrality that is inclusive and leaves nobody behind.</w:t>
      </w:r>
      <w:r w:rsidR="00E63BC2" w:rsidRPr="0096740E">
        <w:rPr>
          <w:noProof/>
        </w:rPr>
        <w:t xml:space="preserve"> At the international level, Member States have endorsed the</w:t>
      </w:r>
      <w:r w:rsidR="007F6942" w:rsidRPr="0096740E">
        <w:rPr>
          <w:noProof/>
        </w:rPr>
        <w:t xml:space="preserve"> UN Sustainable Development Goals</w:t>
      </w:r>
      <w:r w:rsidR="00503F2F" w:rsidRPr="0096740E">
        <w:rPr>
          <w:noProof/>
        </w:rPr>
        <w:t xml:space="preserve"> and </w:t>
      </w:r>
      <w:r w:rsidR="00952792" w:rsidRPr="0096740E">
        <w:rPr>
          <w:noProof/>
        </w:rPr>
        <w:t xml:space="preserve">ratified </w:t>
      </w:r>
      <w:r w:rsidR="00503F2F" w:rsidRPr="0096740E">
        <w:rPr>
          <w:noProof/>
        </w:rPr>
        <w:t xml:space="preserve">the Paris Agreement, which refer to the imperatives of a just transition of the workforce and the </w:t>
      </w:r>
      <w:r w:rsidR="00B14AC2" w:rsidRPr="0096740E">
        <w:rPr>
          <w:noProof/>
        </w:rPr>
        <w:t xml:space="preserve">promotion </w:t>
      </w:r>
      <w:r w:rsidR="00503F2F" w:rsidRPr="0096740E">
        <w:rPr>
          <w:noProof/>
        </w:rPr>
        <w:t>of decent work and quality jobs</w:t>
      </w:r>
      <w:r w:rsidR="002C5DAD" w:rsidRPr="0096740E">
        <w:rPr>
          <w:noProof/>
        </w:rPr>
        <w:t xml:space="preserve">. </w:t>
      </w:r>
      <w:r w:rsidR="00E63BC2" w:rsidRPr="0096740E">
        <w:rPr>
          <w:noProof/>
        </w:rPr>
        <w:t xml:space="preserve">ILO Guidelines </w:t>
      </w:r>
      <w:r w:rsidR="009B111F" w:rsidRPr="0096740E">
        <w:rPr>
          <w:noProof/>
        </w:rPr>
        <w:t xml:space="preserve">provide an internationally established policy framework </w:t>
      </w:r>
      <w:r w:rsidR="00E63BC2" w:rsidRPr="0096740E">
        <w:rPr>
          <w:noProof/>
        </w:rPr>
        <w:t>for a just transition towards environmentally sustainable economies and societies for all.</w:t>
      </w:r>
      <w:r w:rsidR="00E63BC2" w:rsidRPr="0096740E">
        <w:rPr>
          <w:rStyle w:val="FootnoteReference"/>
          <w:noProof/>
        </w:rPr>
        <w:footnoteReference w:id="59"/>
      </w:r>
      <w:r w:rsidR="00E63BC2" w:rsidRPr="0096740E">
        <w:rPr>
          <w:noProof/>
        </w:rPr>
        <w:t xml:space="preserve"> Furthermore, </w:t>
      </w:r>
      <w:r w:rsidR="00861177" w:rsidRPr="0096740E">
        <w:rPr>
          <w:noProof/>
        </w:rPr>
        <w:t>54</w:t>
      </w:r>
      <w:r w:rsidR="006938EC" w:rsidRPr="0096740E">
        <w:rPr>
          <w:noProof/>
        </w:rPr>
        <w:t xml:space="preserve"> signatories</w:t>
      </w:r>
      <w:r w:rsidR="0025202A" w:rsidRPr="0096740E">
        <w:rPr>
          <w:noProof/>
        </w:rPr>
        <w:t xml:space="preserve"> </w:t>
      </w:r>
      <w:r w:rsidR="006938EC" w:rsidRPr="0096740E">
        <w:rPr>
          <w:noProof/>
        </w:rPr>
        <w:t xml:space="preserve">(countries </w:t>
      </w:r>
      <w:r w:rsidR="00E63BC2" w:rsidRPr="0096740E">
        <w:rPr>
          <w:noProof/>
        </w:rPr>
        <w:t>and social partners</w:t>
      </w:r>
      <w:r w:rsidR="006938EC" w:rsidRPr="0096740E">
        <w:rPr>
          <w:noProof/>
        </w:rPr>
        <w:t>)</w:t>
      </w:r>
      <w:r w:rsidR="00E63BC2" w:rsidRPr="0096740E">
        <w:rPr>
          <w:noProof/>
        </w:rPr>
        <w:t xml:space="preserve"> endorsed the 2018 </w:t>
      </w:r>
      <w:r w:rsidR="00AE5067" w:rsidRPr="0096740E">
        <w:rPr>
          <w:noProof/>
        </w:rPr>
        <w:t xml:space="preserve">Silesia </w:t>
      </w:r>
      <w:r w:rsidR="004B458A" w:rsidRPr="0096740E">
        <w:rPr>
          <w:noProof/>
        </w:rPr>
        <w:t xml:space="preserve">Declaration on </w:t>
      </w:r>
      <w:r w:rsidR="00E63BC2" w:rsidRPr="0096740E">
        <w:rPr>
          <w:noProof/>
        </w:rPr>
        <w:t>Solidarity and Just Transition</w:t>
      </w:r>
      <w:r w:rsidR="004B458A" w:rsidRPr="0096740E">
        <w:rPr>
          <w:noProof/>
        </w:rPr>
        <w:t xml:space="preserve">, </w:t>
      </w:r>
      <w:r w:rsidR="00E63BC2" w:rsidRPr="0096740E">
        <w:rPr>
          <w:noProof/>
        </w:rPr>
        <w:t>adopted at COP-24 in Katowice</w:t>
      </w:r>
      <w:r w:rsidR="004B458A" w:rsidRPr="0096740E">
        <w:rPr>
          <w:noProof/>
        </w:rPr>
        <w:t>,</w:t>
      </w:r>
      <w:r w:rsidR="00E63BC2" w:rsidRPr="0096740E">
        <w:rPr>
          <w:noProof/>
        </w:rPr>
        <w:t xml:space="preserve"> </w:t>
      </w:r>
      <w:r w:rsidR="006938EC" w:rsidRPr="0096740E">
        <w:rPr>
          <w:noProof/>
        </w:rPr>
        <w:t xml:space="preserve">including the </w:t>
      </w:r>
      <w:r w:rsidR="00635D8A" w:rsidRPr="0096740E">
        <w:rPr>
          <w:noProof/>
        </w:rPr>
        <w:t>European Commission on behalf of the European Union</w:t>
      </w:r>
      <w:r w:rsidR="00635D8A" w:rsidRPr="0096740E">
        <w:rPr>
          <w:rStyle w:val="FootnoteReference"/>
          <w:noProof/>
        </w:rPr>
        <w:footnoteReference w:id="60"/>
      </w:r>
      <w:r w:rsidR="00ED0416" w:rsidRPr="0096740E">
        <w:rPr>
          <w:noProof/>
        </w:rPr>
        <w:t xml:space="preserve"> and 2</w:t>
      </w:r>
      <w:r w:rsidR="00113CA6" w:rsidRPr="0096740E">
        <w:rPr>
          <w:noProof/>
        </w:rPr>
        <w:t>1</w:t>
      </w:r>
      <w:r w:rsidR="00ED0416" w:rsidRPr="0096740E">
        <w:rPr>
          <w:noProof/>
        </w:rPr>
        <w:t xml:space="preserve"> </w:t>
      </w:r>
      <w:r w:rsidR="00AE5067" w:rsidRPr="0096740E">
        <w:rPr>
          <w:noProof/>
        </w:rPr>
        <w:t xml:space="preserve">individual </w:t>
      </w:r>
      <w:r w:rsidR="00ED0416" w:rsidRPr="0096740E">
        <w:rPr>
          <w:noProof/>
        </w:rPr>
        <w:t>EU Member States</w:t>
      </w:r>
      <w:r w:rsidR="005E5939" w:rsidRPr="0096740E">
        <w:rPr>
          <w:noProof/>
        </w:rPr>
        <w:t xml:space="preserve">. The </w:t>
      </w:r>
      <w:r w:rsidR="003B65C1" w:rsidRPr="0096740E">
        <w:rPr>
          <w:noProof/>
        </w:rPr>
        <w:t xml:space="preserve">European </w:t>
      </w:r>
      <w:r w:rsidR="005E5939" w:rsidRPr="0096740E">
        <w:rPr>
          <w:noProof/>
        </w:rPr>
        <w:t xml:space="preserve">Union and </w:t>
      </w:r>
      <w:r w:rsidR="003B65C1" w:rsidRPr="0096740E">
        <w:rPr>
          <w:noProof/>
        </w:rPr>
        <w:t>10 individual</w:t>
      </w:r>
      <w:r w:rsidR="005E5939" w:rsidRPr="0096740E">
        <w:rPr>
          <w:noProof/>
        </w:rPr>
        <w:t xml:space="preserve"> Member States</w:t>
      </w:r>
      <w:r w:rsidR="003B65C1" w:rsidRPr="0096740E">
        <w:rPr>
          <w:noProof/>
        </w:rPr>
        <w:t xml:space="preserve"> signed</w:t>
      </w:r>
      <w:r w:rsidR="005E5939" w:rsidRPr="0096740E">
        <w:rPr>
          <w:noProof/>
        </w:rPr>
        <w:t xml:space="preserve"> </w:t>
      </w:r>
      <w:r w:rsidR="00E63BC2" w:rsidRPr="0096740E">
        <w:rPr>
          <w:noProof/>
        </w:rPr>
        <w:t xml:space="preserve">the 2021 </w:t>
      </w:r>
      <w:r w:rsidR="004B458A" w:rsidRPr="0096740E">
        <w:rPr>
          <w:noProof/>
        </w:rPr>
        <w:t xml:space="preserve">Declaration on Supporting </w:t>
      </w:r>
      <w:r w:rsidR="009B111F" w:rsidRPr="0096740E">
        <w:rPr>
          <w:noProof/>
        </w:rPr>
        <w:t xml:space="preserve">the </w:t>
      </w:r>
      <w:r w:rsidR="004B458A" w:rsidRPr="0096740E">
        <w:rPr>
          <w:noProof/>
        </w:rPr>
        <w:t xml:space="preserve">Conditions </w:t>
      </w:r>
      <w:r w:rsidR="009B111F" w:rsidRPr="0096740E">
        <w:rPr>
          <w:noProof/>
        </w:rPr>
        <w:t xml:space="preserve">for a </w:t>
      </w:r>
      <w:r w:rsidR="004B458A" w:rsidRPr="0096740E">
        <w:rPr>
          <w:noProof/>
        </w:rPr>
        <w:t>Just Transition Internationally, adopted</w:t>
      </w:r>
      <w:r w:rsidR="004B458A" w:rsidRPr="0096740E" w:rsidDel="004B458A">
        <w:rPr>
          <w:noProof/>
        </w:rPr>
        <w:t xml:space="preserve"> </w:t>
      </w:r>
      <w:r w:rsidR="00E63BC2" w:rsidRPr="0096740E">
        <w:rPr>
          <w:noProof/>
        </w:rPr>
        <w:t>at COP-26 in Glasgow</w:t>
      </w:r>
      <w:r w:rsidR="0025202A" w:rsidRPr="0096740E">
        <w:rPr>
          <w:noProof/>
        </w:rPr>
        <w:t xml:space="preserve">, </w:t>
      </w:r>
      <w:r w:rsidR="009B111F" w:rsidRPr="0096740E">
        <w:rPr>
          <w:noProof/>
        </w:rPr>
        <w:t>committing</w:t>
      </w:r>
      <w:r w:rsidR="0025202A" w:rsidRPr="0096740E">
        <w:rPr>
          <w:noProof/>
        </w:rPr>
        <w:t xml:space="preserve"> to include information on </w:t>
      </w:r>
      <w:r w:rsidR="009B111F" w:rsidRPr="0096740E">
        <w:rPr>
          <w:noProof/>
        </w:rPr>
        <w:t xml:space="preserve">just transition </w:t>
      </w:r>
      <w:r w:rsidR="0025202A" w:rsidRPr="0096740E">
        <w:rPr>
          <w:noProof/>
        </w:rPr>
        <w:t xml:space="preserve">in </w:t>
      </w:r>
      <w:r w:rsidR="00861177" w:rsidRPr="0096740E">
        <w:rPr>
          <w:noProof/>
        </w:rPr>
        <w:t>Biennial Transparency Reports in the context of reporting on our policies and measures to achieve our Nationally Determined Contributions.</w:t>
      </w:r>
      <w:r w:rsidR="005E5939" w:rsidRPr="0096740E" w:rsidDel="005E5939">
        <w:rPr>
          <w:noProof/>
        </w:rPr>
        <w:t xml:space="preserve"> </w:t>
      </w:r>
    </w:p>
    <w:p w14:paraId="016A295C" w14:textId="38C4DBAE" w:rsidR="009B54D8" w:rsidRDefault="00420537" w:rsidP="00420537">
      <w:pPr>
        <w:pStyle w:val="ManualConsidrant"/>
        <w:rPr>
          <w:noProof/>
        </w:rPr>
      </w:pPr>
      <w:r w:rsidRPr="00420537">
        <w:t>(6)</w:t>
      </w:r>
      <w:r w:rsidRPr="00420537">
        <w:tab/>
      </w:r>
      <w:r w:rsidR="003124BD" w:rsidRPr="009B54D8">
        <w:rPr>
          <w:noProof/>
          <w:lang w:val="en-IE"/>
        </w:rPr>
        <w:t xml:space="preserve">Fairness and solidarity are defining principles of the Union’s </w:t>
      </w:r>
      <w:r w:rsidR="009B111F" w:rsidRPr="009B54D8">
        <w:rPr>
          <w:noProof/>
          <w:lang w:val="en-IE"/>
        </w:rPr>
        <w:t xml:space="preserve">policies </w:t>
      </w:r>
      <w:r w:rsidR="003124BD" w:rsidRPr="009B54D8">
        <w:rPr>
          <w:noProof/>
          <w:lang w:val="en-IE"/>
        </w:rPr>
        <w:t xml:space="preserve">towards </w:t>
      </w:r>
      <w:r w:rsidR="00580BA9" w:rsidRPr="009B54D8">
        <w:rPr>
          <w:noProof/>
          <w:lang w:val="en-IE"/>
        </w:rPr>
        <w:t>green tran</w:t>
      </w:r>
      <w:r w:rsidR="00692431" w:rsidRPr="009B54D8">
        <w:rPr>
          <w:noProof/>
          <w:lang w:val="en-IE"/>
        </w:rPr>
        <w:t>s</w:t>
      </w:r>
      <w:r w:rsidR="00580BA9" w:rsidRPr="009B54D8">
        <w:rPr>
          <w:noProof/>
          <w:lang w:val="en-IE"/>
        </w:rPr>
        <w:t>i</w:t>
      </w:r>
      <w:r w:rsidR="00692431" w:rsidRPr="009B54D8">
        <w:rPr>
          <w:noProof/>
          <w:lang w:val="en-IE"/>
        </w:rPr>
        <w:t>t</w:t>
      </w:r>
      <w:r w:rsidR="00580BA9" w:rsidRPr="009B54D8">
        <w:rPr>
          <w:noProof/>
          <w:lang w:val="en-IE"/>
        </w:rPr>
        <w:t>ion</w:t>
      </w:r>
      <w:r w:rsidR="0039448D" w:rsidRPr="009B54D8">
        <w:rPr>
          <w:noProof/>
          <w:lang w:val="en-IE"/>
        </w:rPr>
        <w:t xml:space="preserve"> and a requisite for </w:t>
      </w:r>
      <w:r w:rsidR="00580BA9" w:rsidRPr="009B54D8">
        <w:rPr>
          <w:noProof/>
          <w:lang w:val="en-IE"/>
        </w:rPr>
        <w:t>its</w:t>
      </w:r>
      <w:r w:rsidR="43C9B792" w:rsidRPr="009B54D8">
        <w:rPr>
          <w:noProof/>
          <w:lang w:val="en-IE"/>
        </w:rPr>
        <w:t xml:space="preserve"> </w:t>
      </w:r>
      <w:r w:rsidR="0039448D" w:rsidRPr="009B54D8">
        <w:rPr>
          <w:noProof/>
          <w:lang w:val="en-IE"/>
        </w:rPr>
        <w:t xml:space="preserve">broad and </w:t>
      </w:r>
      <w:r w:rsidR="009B111F" w:rsidRPr="009B54D8">
        <w:rPr>
          <w:noProof/>
          <w:lang w:val="en-IE"/>
        </w:rPr>
        <w:t>sustained</w:t>
      </w:r>
      <w:r w:rsidR="0039448D" w:rsidRPr="009B54D8">
        <w:rPr>
          <w:noProof/>
          <w:lang w:val="en-IE"/>
        </w:rPr>
        <w:t xml:space="preserve"> public support.</w:t>
      </w:r>
      <w:r w:rsidR="001C6DE0" w:rsidRPr="009B54D8">
        <w:rPr>
          <w:noProof/>
          <w:lang w:val="en-IE"/>
        </w:rPr>
        <w:t xml:space="preserve"> </w:t>
      </w:r>
      <w:r w:rsidR="00DA6021" w:rsidRPr="009B54D8">
        <w:rPr>
          <w:noProof/>
          <w:lang w:val="en-IE"/>
        </w:rPr>
        <w:t>The</w:t>
      </w:r>
      <w:r w:rsidR="0039448D" w:rsidRPr="009B54D8">
        <w:rPr>
          <w:noProof/>
          <w:lang w:val="en-IE"/>
        </w:rPr>
        <w:t xml:space="preserve"> European Green Deal</w:t>
      </w:r>
      <w:r w:rsidR="00DA6021" w:rsidRPr="009B54D8">
        <w:rPr>
          <w:noProof/>
          <w:lang w:val="en-IE"/>
        </w:rPr>
        <w:t xml:space="preserve"> </w:t>
      </w:r>
      <w:r w:rsidR="43C9B792" w:rsidRPr="009B54D8">
        <w:rPr>
          <w:noProof/>
          <w:lang w:val="en-IE"/>
        </w:rPr>
        <w:t>stresse</w:t>
      </w:r>
      <w:r w:rsidR="0001255B" w:rsidRPr="009B54D8">
        <w:rPr>
          <w:noProof/>
          <w:lang w:val="en-IE"/>
        </w:rPr>
        <w:t>s</w:t>
      </w:r>
      <w:r w:rsidR="0039448D" w:rsidRPr="009B54D8">
        <w:rPr>
          <w:noProof/>
          <w:lang w:val="en-IE"/>
        </w:rPr>
        <w:t xml:space="preserve"> that the transition must be </w:t>
      </w:r>
      <w:r w:rsidR="001C6DE0" w:rsidRPr="009B54D8">
        <w:rPr>
          <w:noProof/>
          <w:lang w:val="en-IE"/>
        </w:rPr>
        <w:t xml:space="preserve">fair </w:t>
      </w:r>
      <w:r w:rsidR="0039448D" w:rsidRPr="009B54D8">
        <w:rPr>
          <w:noProof/>
          <w:lang w:val="en-IE"/>
        </w:rPr>
        <w:t>and inclusive, putting people first and pay</w:t>
      </w:r>
      <w:r w:rsidR="002A37C4" w:rsidRPr="009B54D8">
        <w:rPr>
          <w:noProof/>
          <w:lang w:val="en-IE"/>
        </w:rPr>
        <w:t>ing</w:t>
      </w:r>
      <w:r w:rsidR="009B111F" w:rsidRPr="009B54D8">
        <w:rPr>
          <w:noProof/>
          <w:lang w:val="en-IE"/>
        </w:rPr>
        <w:t xml:space="preserve"> particular</w:t>
      </w:r>
      <w:r w:rsidR="0039448D" w:rsidRPr="009B54D8">
        <w:rPr>
          <w:noProof/>
          <w:lang w:val="en-IE"/>
        </w:rPr>
        <w:t xml:space="preserve"> attention to </w:t>
      </w:r>
      <w:r w:rsidR="009B111F" w:rsidRPr="009B54D8">
        <w:rPr>
          <w:noProof/>
          <w:lang w:val="en-IE"/>
        </w:rPr>
        <w:t xml:space="preserve">supporting </w:t>
      </w:r>
      <w:r w:rsidR="43C9B792" w:rsidRPr="009B54D8">
        <w:rPr>
          <w:noProof/>
          <w:lang w:val="en-IE"/>
        </w:rPr>
        <w:t>th</w:t>
      </w:r>
      <w:r w:rsidR="42A8ABB6" w:rsidRPr="009B54D8">
        <w:rPr>
          <w:noProof/>
          <w:lang w:val="en-IE"/>
        </w:rPr>
        <w:t>ose</w:t>
      </w:r>
      <w:r w:rsidR="0039448D" w:rsidRPr="009B54D8">
        <w:rPr>
          <w:noProof/>
          <w:lang w:val="en-IE"/>
        </w:rPr>
        <w:t xml:space="preserve"> regions, industries, workers, households and consumers </w:t>
      </w:r>
      <w:r w:rsidR="009B111F" w:rsidRPr="009B54D8">
        <w:rPr>
          <w:noProof/>
          <w:lang w:val="en-IE"/>
        </w:rPr>
        <w:t xml:space="preserve">that </w:t>
      </w:r>
      <w:r w:rsidR="0039448D" w:rsidRPr="009B54D8">
        <w:rPr>
          <w:noProof/>
          <w:lang w:val="en-IE"/>
        </w:rPr>
        <w:t xml:space="preserve">will face the greatest challenges. Moreover, the Communication on </w:t>
      </w:r>
      <w:r w:rsidR="009B111F" w:rsidRPr="009B54D8">
        <w:rPr>
          <w:noProof/>
          <w:lang w:val="en-IE"/>
        </w:rPr>
        <w:t>a</w:t>
      </w:r>
      <w:r w:rsidR="0039448D" w:rsidRPr="009B54D8">
        <w:rPr>
          <w:noProof/>
          <w:lang w:val="en-IE"/>
        </w:rPr>
        <w:t xml:space="preserve"> Strong Social Europe for Just Transitions</w:t>
      </w:r>
      <w:r w:rsidR="0039448D" w:rsidRPr="0096740E">
        <w:rPr>
          <w:rStyle w:val="FootnoteReference"/>
          <w:rFonts w:eastAsia="Arial Unicode MS"/>
          <w:noProof/>
          <w:lang w:val="en-IE"/>
        </w:rPr>
        <w:footnoteReference w:id="61"/>
      </w:r>
      <w:r w:rsidR="007F6942" w:rsidRPr="009B54D8">
        <w:rPr>
          <w:noProof/>
          <w:lang w:val="en-IE"/>
        </w:rPr>
        <w:t xml:space="preserve"> </w:t>
      </w:r>
      <w:r w:rsidR="43C9B792" w:rsidRPr="009B54D8">
        <w:rPr>
          <w:noProof/>
          <w:lang w:val="en-IE"/>
        </w:rPr>
        <w:t>underline</w:t>
      </w:r>
      <w:r w:rsidR="008116BB" w:rsidRPr="009B54D8">
        <w:rPr>
          <w:noProof/>
          <w:lang w:val="en-IE"/>
        </w:rPr>
        <w:t>s</w:t>
      </w:r>
      <w:r w:rsidR="0039448D" w:rsidRPr="009B54D8">
        <w:rPr>
          <w:noProof/>
          <w:lang w:val="en-IE"/>
        </w:rPr>
        <w:t xml:space="preserve"> that </w:t>
      </w:r>
      <w:r w:rsidR="00037C4E" w:rsidRPr="009B54D8">
        <w:rPr>
          <w:noProof/>
          <w:lang w:val="en-IE"/>
        </w:rPr>
        <w:t xml:space="preserve">implementing </w:t>
      </w:r>
      <w:r w:rsidR="0039448D" w:rsidRPr="009B54D8">
        <w:rPr>
          <w:noProof/>
          <w:lang w:val="en-IE"/>
        </w:rPr>
        <w:t>the European Green Deal will give Europe the tools to strive for more when it comes to upward convergence, social fairness and shared prosperity.</w:t>
      </w:r>
    </w:p>
    <w:p w14:paraId="6676E796" w14:textId="30013116" w:rsidR="009B54D8" w:rsidRDefault="00420537" w:rsidP="00420537">
      <w:pPr>
        <w:pStyle w:val="ManualConsidrant"/>
        <w:rPr>
          <w:noProof/>
        </w:rPr>
      </w:pPr>
      <w:r w:rsidRPr="00420537">
        <w:t>(7)</w:t>
      </w:r>
      <w:r w:rsidRPr="00420537">
        <w:tab/>
      </w:r>
      <w:r w:rsidR="002E7F22" w:rsidRPr="009B54D8">
        <w:rPr>
          <w:noProof/>
          <w:lang w:val="en-IE"/>
        </w:rPr>
        <w:t xml:space="preserve">The </w:t>
      </w:r>
      <w:r w:rsidR="00A01345" w:rsidRPr="0096740E">
        <w:rPr>
          <w:noProof/>
        </w:rPr>
        <w:t>European Pillar of Social Rights</w:t>
      </w:r>
      <w:r w:rsidR="00A01345" w:rsidRPr="009B54D8" w:rsidDel="00A01345">
        <w:rPr>
          <w:noProof/>
          <w:lang w:val="en-IE"/>
        </w:rPr>
        <w:t xml:space="preserve"> </w:t>
      </w:r>
      <w:r w:rsidR="002E7F22" w:rsidRPr="009B54D8">
        <w:rPr>
          <w:noProof/>
          <w:lang w:val="en-IE"/>
        </w:rPr>
        <w:t>Action Plan</w:t>
      </w:r>
      <w:r w:rsidR="00037C4E" w:rsidRPr="0096740E">
        <w:rPr>
          <w:rStyle w:val="FootnoteReference"/>
          <w:noProof/>
          <w:lang w:val="en-IE"/>
        </w:rPr>
        <w:footnoteReference w:id="62"/>
      </w:r>
      <w:r w:rsidR="005A3795" w:rsidRPr="009B54D8">
        <w:rPr>
          <w:noProof/>
          <w:lang w:val="en-IE"/>
        </w:rPr>
        <w:t xml:space="preserve"> </w:t>
      </w:r>
      <w:r w:rsidR="00B712D9" w:rsidRPr="009B54D8">
        <w:rPr>
          <w:noProof/>
          <w:lang w:val="en-IE"/>
        </w:rPr>
        <w:t>highlights</w:t>
      </w:r>
      <w:r w:rsidR="002E52E0" w:rsidRPr="009B54D8">
        <w:rPr>
          <w:noProof/>
          <w:lang w:val="en-IE"/>
        </w:rPr>
        <w:t xml:space="preserve"> that unity, coordination and solidarity </w:t>
      </w:r>
      <w:r w:rsidR="00B712D9" w:rsidRPr="009B54D8">
        <w:rPr>
          <w:noProof/>
          <w:lang w:val="en-IE"/>
        </w:rPr>
        <w:t>are</w:t>
      </w:r>
      <w:r w:rsidR="002E52E0" w:rsidRPr="009B54D8">
        <w:rPr>
          <w:noProof/>
          <w:lang w:val="en-IE"/>
        </w:rPr>
        <w:t xml:space="preserve"> needed to bounce forward towards a greener and more digital decade in which Europeans can thrive.</w:t>
      </w:r>
      <w:r w:rsidR="002E7F22" w:rsidRPr="009B54D8">
        <w:rPr>
          <w:noProof/>
          <w:lang w:val="en-IE"/>
        </w:rPr>
        <w:t xml:space="preserve"> </w:t>
      </w:r>
      <w:r w:rsidR="00CE5309" w:rsidRPr="009B54D8">
        <w:rPr>
          <w:noProof/>
          <w:lang w:val="en-IE"/>
        </w:rPr>
        <w:t xml:space="preserve">It </w:t>
      </w:r>
      <w:r w:rsidR="002E7F22" w:rsidRPr="009B54D8">
        <w:rPr>
          <w:noProof/>
          <w:lang w:val="en-IE"/>
        </w:rPr>
        <w:t xml:space="preserve">proposed </w:t>
      </w:r>
      <w:r w:rsidR="002E7F22" w:rsidRPr="004E1467">
        <w:rPr>
          <w:noProof/>
          <w:lang w:val="en-IE"/>
        </w:rPr>
        <w:t>three EU headline targets</w:t>
      </w:r>
      <w:r w:rsidR="002E7F22" w:rsidRPr="009B54D8">
        <w:rPr>
          <w:noProof/>
          <w:lang w:val="en-IE"/>
        </w:rPr>
        <w:t xml:space="preserve"> for 2030, namely that at least 78% of the population aged 20 to 64 should be in employment by 2030</w:t>
      </w:r>
      <w:r w:rsidR="00EC6D2A">
        <w:rPr>
          <w:rStyle w:val="FootnoteReference"/>
          <w:noProof/>
          <w:lang w:val="en-IE"/>
        </w:rPr>
        <w:footnoteReference w:id="63"/>
      </w:r>
      <w:r w:rsidR="009956C7">
        <w:rPr>
          <w:noProof/>
          <w:lang w:val="en-IE"/>
        </w:rPr>
        <w:t xml:space="preserve">; </w:t>
      </w:r>
      <w:r w:rsidR="002E7F22" w:rsidRPr="009B54D8">
        <w:rPr>
          <w:noProof/>
          <w:lang w:val="en-IE"/>
        </w:rPr>
        <w:t>at least 60% of all adults should participate in training every year</w:t>
      </w:r>
      <w:r w:rsidR="00EC6D2A">
        <w:rPr>
          <w:rStyle w:val="FootnoteReference"/>
          <w:noProof/>
          <w:lang w:val="en-IE"/>
        </w:rPr>
        <w:footnoteReference w:id="64"/>
      </w:r>
      <w:r w:rsidR="002E7F22" w:rsidRPr="009B54D8">
        <w:rPr>
          <w:noProof/>
          <w:lang w:val="en-IE"/>
        </w:rPr>
        <w:t>; the number of people at risk of poverty or social exclusion should be reduced by at least 15 million by 2030</w:t>
      </w:r>
      <w:r w:rsidR="00EC6D2A">
        <w:rPr>
          <w:rStyle w:val="FootnoteReference"/>
          <w:noProof/>
          <w:lang w:val="en-IE"/>
        </w:rPr>
        <w:footnoteReference w:id="65"/>
      </w:r>
      <w:r w:rsidR="002E7F22" w:rsidRPr="009B54D8">
        <w:rPr>
          <w:noProof/>
          <w:lang w:val="en-IE"/>
        </w:rPr>
        <w:t>.</w:t>
      </w:r>
      <w:r w:rsidR="00B712D9" w:rsidRPr="009B54D8">
        <w:rPr>
          <w:noProof/>
          <w:lang w:val="en-IE"/>
        </w:rPr>
        <w:t xml:space="preserve"> </w:t>
      </w:r>
      <w:r w:rsidR="00CE5309" w:rsidRPr="009B54D8">
        <w:rPr>
          <w:noProof/>
          <w:lang w:val="en-IE"/>
        </w:rPr>
        <w:t>T</w:t>
      </w:r>
      <w:r w:rsidR="002E7F22" w:rsidRPr="009B54D8">
        <w:rPr>
          <w:noProof/>
          <w:lang w:val="en-IE"/>
        </w:rPr>
        <w:t>he</w:t>
      </w:r>
      <w:r w:rsidR="00F109ED" w:rsidRPr="009B54D8">
        <w:rPr>
          <w:noProof/>
          <w:lang w:val="en-IE"/>
        </w:rPr>
        <w:t xml:space="preserve">se </w:t>
      </w:r>
      <w:r w:rsidR="002E7F22" w:rsidRPr="009B54D8">
        <w:rPr>
          <w:noProof/>
          <w:lang w:val="en-IE"/>
        </w:rPr>
        <w:t xml:space="preserve">2030 headline targets </w:t>
      </w:r>
      <w:r w:rsidR="00CE5309" w:rsidRPr="009B54D8">
        <w:rPr>
          <w:noProof/>
          <w:lang w:val="en-IE"/>
        </w:rPr>
        <w:t xml:space="preserve">were welcomed by EU leaders </w:t>
      </w:r>
      <w:r w:rsidR="002E7F22" w:rsidRPr="009B54D8">
        <w:rPr>
          <w:noProof/>
          <w:lang w:val="en-IE"/>
        </w:rPr>
        <w:t>in the Porto Declaration of May 2021</w:t>
      </w:r>
      <w:r w:rsidR="000C58FD" w:rsidRPr="0096740E">
        <w:rPr>
          <w:rStyle w:val="FootnoteReference"/>
          <w:noProof/>
          <w:lang w:val="en-IE"/>
        </w:rPr>
        <w:footnoteReference w:id="66"/>
      </w:r>
      <w:r w:rsidR="002E7F22" w:rsidRPr="009B54D8">
        <w:rPr>
          <w:noProof/>
          <w:lang w:val="en-IE"/>
        </w:rPr>
        <w:t xml:space="preserve"> and </w:t>
      </w:r>
      <w:r w:rsidR="00CE5309" w:rsidRPr="009B54D8">
        <w:rPr>
          <w:noProof/>
          <w:lang w:val="en-IE"/>
        </w:rPr>
        <w:t>by</w:t>
      </w:r>
      <w:r w:rsidR="002E7F22" w:rsidRPr="009B54D8">
        <w:rPr>
          <w:noProof/>
          <w:lang w:val="en-IE"/>
        </w:rPr>
        <w:t xml:space="preserve"> </w:t>
      </w:r>
      <w:r w:rsidR="00B712D9" w:rsidRPr="009B54D8">
        <w:rPr>
          <w:noProof/>
          <w:lang w:val="en-IE"/>
        </w:rPr>
        <w:t xml:space="preserve">the </w:t>
      </w:r>
      <w:r w:rsidR="002E7F22" w:rsidRPr="009B54D8">
        <w:rPr>
          <w:noProof/>
          <w:lang w:val="en-IE"/>
        </w:rPr>
        <w:t>European Council of June 2021.</w:t>
      </w:r>
      <w:r w:rsidR="00B712D9" w:rsidRPr="009B54D8">
        <w:rPr>
          <w:noProof/>
          <w:lang w:val="en-IE"/>
        </w:rPr>
        <w:t xml:space="preserve"> </w:t>
      </w:r>
    </w:p>
    <w:p w14:paraId="0752C3CD" w14:textId="1FC3A798" w:rsidR="009B54D8" w:rsidRDefault="00420537" w:rsidP="00420537">
      <w:pPr>
        <w:pStyle w:val="ManualConsidrant"/>
        <w:rPr>
          <w:noProof/>
        </w:rPr>
      </w:pPr>
      <w:r w:rsidRPr="00420537">
        <w:t>(8)</w:t>
      </w:r>
      <w:r w:rsidRPr="00420537">
        <w:tab/>
      </w:r>
      <w:r w:rsidR="004377DF" w:rsidRPr="009B54D8">
        <w:rPr>
          <w:noProof/>
          <w:lang w:val="en-IE"/>
        </w:rPr>
        <w:t>With the right accompanying polices in place</w:t>
      </w:r>
      <w:r w:rsidR="00186B5C" w:rsidRPr="0096740E">
        <w:rPr>
          <w:rStyle w:val="FootnoteReference"/>
          <w:noProof/>
          <w:lang w:val="en-IE"/>
        </w:rPr>
        <w:footnoteReference w:id="67"/>
      </w:r>
      <w:r w:rsidR="004377DF" w:rsidRPr="009B54D8">
        <w:rPr>
          <w:noProof/>
          <w:lang w:val="en-IE"/>
        </w:rPr>
        <w:t>, the green transition could in aggregate create around 1 million additional quality jobs</w:t>
      </w:r>
      <w:r w:rsidR="000B63C8">
        <w:rPr>
          <w:rStyle w:val="FootnoteReference"/>
          <w:noProof/>
          <w:lang w:val="en-IE"/>
        </w:rPr>
        <w:footnoteReference w:id="68"/>
      </w:r>
      <w:r w:rsidR="004377DF" w:rsidRPr="009B54D8">
        <w:rPr>
          <w:noProof/>
          <w:lang w:val="en-IE"/>
        </w:rPr>
        <w:t xml:space="preserve"> in the EU by 2030 and 2 million by 2050</w:t>
      </w:r>
      <w:r w:rsidR="00C40536">
        <w:rPr>
          <w:rStyle w:val="FootnoteReference"/>
          <w:noProof/>
          <w:lang w:val="en-IE"/>
        </w:rPr>
        <w:footnoteReference w:id="69"/>
      </w:r>
      <w:r w:rsidR="004377DF" w:rsidRPr="009B54D8">
        <w:rPr>
          <w:noProof/>
          <w:lang w:val="en-IE"/>
        </w:rPr>
        <w:t xml:space="preserve">, </w:t>
      </w:r>
      <w:r w:rsidR="004B02D9">
        <w:rPr>
          <w:noProof/>
          <w:lang w:val="en-IE"/>
        </w:rPr>
        <w:t>in sectors such as construction</w:t>
      </w:r>
      <w:r w:rsidR="003260EE">
        <w:rPr>
          <w:noProof/>
          <w:lang w:val="en-IE"/>
        </w:rPr>
        <w:t>, ICT</w:t>
      </w:r>
      <w:r w:rsidR="004B02D9">
        <w:rPr>
          <w:noProof/>
          <w:lang w:val="en-IE"/>
        </w:rPr>
        <w:t xml:space="preserve"> or renewable energy, </w:t>
      </w:r>
      <w:r w:rsidR="004377DF" w:rsidRPr="009B54D8">
        <w:rPr>
          <w:noProof/>
          <w:lang w:val="en-IE"/>
        </w:rPr>
        <w:t xml:space="preserve">while mitigating </w:t>
      </w:r>
      <w:r w:rsidR="00FF6032" w:rsidRPr="009B54D8">
        <w:rPr>
          <w:noProof/>
          <w:lang w:val="en-IE"/>
        </w:rPr>
        <w:t>the protracted decline in middle-skilled jobs as a result of automation and digitisation</w:t>
      </w:r>
      <w:r w:rsidR="004377DF" w:rsidRPr="009B54D8">
        <w:rPr>
          <w:noProof/>
          <w:lang w:val="en-IE"/>
        </w:rPr>
        <w:t>.</w:t>
      </w:r>
      <w:r w:rsidR="007A6135" w:rsidRPr="009B54D8">
        <w:rPr>
          <w:noProof/>
          <w:lang w:val="en-IE"/>
        </w:rPr>
        <w:t xml:space="preserve"> </w:t>
      </w:r>
      <w:r w:rsidR="001E565D" w:rsidRPr="0096740E">
        <w:rPr>
          <w:noProof/>
        </w:rPr>
        <w:t xml:space="preserve">However, </w:t>
      </w:r>
      <w:r w:rsidR="001E565D" w:rsidRPr="009B54D8">
        <w:rPr>
          <w:noProof/>
          <w:lang w:val="en-IE"/>
        </w:rPr>
        <w:t>in a pessimistic scenario</w:t>
      </w:r>
      <w:r w:rsidR="00974388" w:rsidRPr="009B54D8">
        <w:rPr>
          <w:noProof/>
          <w:lang w:val="en-IE"/>
        </w:rPr>
        <w:t>,</w:t>
      </w:r>
      <w:r w:rsidR="001E565D" w:rsidRPr="009B54D8">
        <w:rPr>
          <w:noProof/>
          <w:lang w:val="en-IE"/>
        </w:rPr>
        <w:t xml:space="preserve"> the impacts of the green transition towards climate neutrality combined with an inadequate policy mix could imply </w:t>
      </w:r>
      <w:r w:rsidR="00060743" w:rsidRPr="009B54D8">
        <w:rPr>
          <w:noProof/>
          <w:lang w:val="en-IE"/>
        </w:rPr>
        <w:t xml:space="preserve">job </w:t>
      </w:r>
      <w:r w:rsidR="001E565D" w:rsidRPr="009B54D8">
        <w:rPr>
          <w:noProof/>
          <w:lang w:val="en-IE"/>
        </w:rPr>
        <w:t xml:space="preserve">and GDP losses </w:t>
      </w:r>
      <w:r w:rsidR="003E2FB6" w:rsidRPr="009B54D8">
        <w:rPr>
          <w:noProof/>
          <w:lang w:val="en-IE"/>
        </w:rPr>
        <w:t xml:space="preserve">of up 0.39% </w:t>
      </w:r>
      <w:r w:rsidR="001E565D" w:rsidRPr="009B54D8">
        <w:rPr>
          <w:noProof/>
          <w:lang w:val="en-IE"/>
        </w:rPr>
        <w:t xml:space="preserve">in the Union, </w:t>
      </w:r>
      <w:r w:rsidR="003E2FB6" w:rsidRPr="009B54D8">
        <w:rPr>
          <w:noProof/>
          <w:lang w:val="en-IE"/>
        </w:rPr>
        <w:t xml:space="preserve">and job losses </w:t>
      </w:r>
      <w:r w:rsidR="001E565D" w:rsidRPr="009B54D8">
        <w:rPr>
          <w:noProof/>
          <w:lang w:val="en-IE"/>
        </w:rPr>
        <w:t>of up to 0.26%</w:t>
      </w:r>
      <w:r w:rsidR="007A6135" w:rsidRPr="0096740E">
        <w:rPr>
          <w:rStyle w:val="FootnoteReference"/>
          <w:noProof/>
          <w:lang w:val="en-IE"/>
        </w:rPr>
        <w:footnoteReference w:id="70"/>
      </w:r>
      <w:r w:rsidR="00A65C21" w:rsidRPr="009B54D8">
        <w:rPr>
          <w:noProof/>
          <w:lang w:val="en-IE"/>
        </w:rPr>
        <w:t>.</w:t>
      </w:r>
    </w:p>
    <w:p w14:paraId="23807E23" w14:textId="42144C65" w:rsidR="009B54D8" w:rsidRPr="00AC3527" w:rsidRDefault="00420537" w:rsidP="00420537">
      <w:pPr>
        <w:pStyle w:val="ManualConsidrant"/>
        <w:rPr>
          <w:noProof/>
        </w:rPr>
      </w:pPr>
      <w:r w:rsidRPr="00420537">
        <w:t>(9)</w:t>
      </w:r>
      <w:r w:rsidRPr="00420537">
        <w:tab/>
      </w:r>
      <w:r w:rsidR="0074610B" w:rsidRPr="00AC3527">
        <w:rPr>
          <w:noProof/>
          <w:lang w:val="en-IE"/>
        </w:rPr>
        <w:t xml:space="preserve">The </w:t>
      </w:r>
      <w:r w:rsidR="005D324B" w:rsidRPr="00AC3527">
        <w:rPr>
          <w:noProof/>
          <w:lang w:val="en-IE"/>
        </w:rPr>
        <w:t xml:space="preserve">impacts </w:t>
      </w:r>
      <w:r w:rsidR="009D7A0C" w:rsidRPr="00AC3527">
        <w:rPr>
          <w:noProof/>
          <w:lang w:val="en-IE"/>
        </w:rPr>
        <w:t>of the green transition</w:t>
      </w:r>
      <w:r w:rsidR="005D324B" w:rsidRPr="00AC3527">
        <w:rPr>
          <w:noProof/>
          <w:lang w:val="en-IE"/>
        </w:rPr>
        <w:t xml:space="preserve"> on </w:t>
      </w:r>
      <w:r w:rsidR="00CD4AEA" w:rsidRPr="00AC3527">
        <w:rPr>
          <w:noProof/>
          <w:lang w:val="en-IE"/>
        </w:rPr>
        <w:t>business</w:t>
      </w:r>
      <w:r w:rsidR="0074610B" w:rsidRPr="00AC3527">
        <w:rPr>
          <w:noProof/>
          <w:lang w:val="en-IE"/>
        </w:rPr>
        <w:t xml:space="preserve"> and </w:t>
      </w:r>
      <w:r w:rsidR="005D324B" w:rsidRPr="00AC3527">
        <w:rPr>
          <w:noProof/>
          <w:lang w:val="en-IE"/>
        </w:rPr>
        <w:t xml:space="preserve">employment </w:t>
      </w:r>
      <w:r w:rsidR="00204FD9" w:rsidRPr="00AC3527">
        <w:rPr>
          <w:noProof/>
          <w:lang w:val="en-IE"/>
        </w:rPr>
        <w:t>will</w:t>
      </w:r>
      <w:r w:rsidR="005D324B" w:rsidRPr="00AC3527">
        <w:rPr>
          <w:noProof/>
          <w:lang w:val="en-IE"/>
        </w:rPr>
        <w:t xml:space="preserve"> vary by </w:t>
      </w:r>
      <w:r w:rsidR="0074610B" w:rsidRPr="00AC3527">
        <w:rPr>
          <w:noProof/>
          <w:lang w:val="en-IE"/>
        </w:rPr>
        <w:t xml:space="preserve">sector, </w:t>
      </w:r>
      <w:r w:rsidR="005D324B" w:rsidRPr="00AC3527">
        <w:rPr>
          <w:noProof/>
          <w:lang w:val="en-IE"/>
        </w:rPr>
        <w:t>occupation, region and country</w:t>
      </w:r>
      <w:r w:rsidR="008A5EE7" w:rsidRPr="00AC3527">
        <w:rPr>
          <w:noProof/>
          <w:lang w:val="en-IE"/>
        </w:rPr>
        <w:t>,</w:t>
      </w:r>
      <w:r w:rsidR="00A55DC0" w:rsidRPr="00AC3527">
        <w:rPr>
          <w:noProof/>
          <w:lang w:val="en-IE"/>
        </w:rPr>
        <w:t xml:space="preserve"> </w:t>
      </w:r>
      <w:r w:rsidR="007A6135" w:rsidRPr="00AC3527">
        <w:rPr>
          <w:noProof/>
          <w:lang w:val="en-IE"/>
        </w:rPr>
        <w:t>implying job changes within sectors and industrial ecosystems, as well as large labour reallocation</w:t>
      </w:r>
      <w:r w:rsidR="008A5EE7" w:rsidRPr="00277C69">
        <w:rPr>
          <w:noProof/>
          <w:lang w:val="en-IE"/>
        </w:rPr>
        <w:t>s</w:t>
      </w:r>
      <w:r w:rsidR="007A6135" w:rsidRPr="00277C69">
        <w:rPr>
          <w:noProof/>
          <w:lang w:val="en-IE"/>
        </w:rPr>
        <w:t xml:space="preserve"> across them</w:t>
      </w:r>
      <w:r w:rsidR="005D324B" w:rsidRPr="0096740E">
        <w:rPr>
          <w:rStyle w:val="FootnoteReference"/>
          <w:noProof/>
          <w:lang w:val="en-IE"/>
        </w:rPr>
        <w:footnoteReference w:id="71"/>
      </w:r>
      <w:r w:rsidR="004937FB" w:rsidRPr="00AC3527">
        <w:rPr>
          <w:noProof/>
          <w:lang w:val="en-IE"/>
        </w:rPr>
        <w:t>.</w:t>
      </w:r>
      <w:r w:rsidR="0074610B" w:rsidRPr="00AC3527">
        <w:rPr>
          <w:noProof/>
          <w:lang w:val="en-IE"/>
        </w:rPr>
        <w:t xml:space="preserve"> </w:t>
      </w:r>
      <w:r w:rsidR="008E7DF7" w:rsidRPr="00AC3527">
        <w:rPr>
          <w:noProof/>
          <w:lang w:val="en-IE"/>
        </w:rPr>
        <w:t xml:space="preserve">Restructuring and adjustment in the companies, sectors and ecosystems concerned require the development of new business models </w:t>
      </w:r>
      <w:r w:rsidR="004937FB" w:rsidRPr="00AC3527">
        <w:rPr>
          <w:noProof/>
          <w:lang w:val="en-IE"/>
        </w:rPr>
        <w:t>and large</w:t>
      </w:r>
      <w:r w:rsidR="008E7DF7" w:rsidRPr="00AC3527">
        <w:rPr>
          <w:noProof/>
          <w:lang w:val="en-IE"/>
        </w:rPr>
        <w:t xml:space="preserve"> labour reallocations across sectors and regions. </w:t>
      </w:r>
      <w:r w:rsidR="00204FD9" w:rsidRPr="00AC3527">
        <w:rPr>
          <w:noProof/>
          <w:lang w:val="en-IE"/>
        </w:rPr>
        <w:t xml:space="preserve">For instance, </w:t>
      </w:r>
      <w:r w:rsidR="002C5DE1" w:rsidRPr="00AC3527">
        <w:rPr>
          <w:noProof/>
          <w:lang w:val="en-IE"/>
        </w:rPr>
        <w:t>job losses are expected in</w:t>
      </w:r>
      <w:r w:rsidR="00A55DC0" w:rsidRPr="00AC3527">
        <w:rPr>
          <w:noProof/>
          <w:lang w:val="en-IE"/>
        </w:rPr>
        <w:t xml:space="preserve"> </w:t>
      </w:r>
      <w:r w:rsidR="00F8223F" w:rsidRPr="00AC3527">
        <w:rPr>
          <w:noProof/>
          <w:lang w:val="en-IE"/>
        </w:rPr>
        <w:t xml:space="preserve">some </w:t>
      </w:r>
      <w:r w:rsidR="002C5DE1" w:rsidRPr="00AC3527">
        <w:rPr>
          <w:noProof/>
          <w:lang w:val="en-IE"/>
        </w:rPr>
        <w:t>mining</w:t>
      </w:r>
      <w:r w:rsidR="00F8223F" w:rsidRPr="00AC3527">
        <w:rPr>
          <w:noProof/>
          <w:lang w:val="en-IE"/>
        </w:rPr>
        <w:t xml:space="preserve"> activities</w:t>
      </w:r>
      <w:r w:rsidR="002C5DE1" w:rsidRPr="00AC3527">
        <w:rPr>
          <w:noProof/>
          <w:lang w:val="en-IE"/>
        </w:rPr>
        <w:t xml:space="preserve"> </w:t>
      </w:r>
      <w:r w:rsidR="00A55DC0" w:rsidRPr="00AC3527">
        <w:rPr>
          <w:noProof/>
          <w:lang w:val="en-IE"/>
        </w:rPr>
        <w:t>or</w:t>
      </w:r>
      <w:r w:rsidR="00204FD9" w:rsidRPr="00AC3527">
        <w:rPr>
          <w:noProof/>
          <w:lang w:val="en-IE"/>
        </w:rPr>
        <w:t xml:space="preserve"> </w:t>
      </w:r>
      <w:r w:rsidR="00FD63EA" w:rsidRPr="00AC3527">
        <w:rPr>
          <w:noProof/>
          <w:lang w:val="en-IE"/>
        </w:rPr>
        <w:t>fossil-fuel based</w:t>
      </w:r>
      <w:r w:rsidR="00204FD9" w:rsidRPr="00277C69">
        <w:rPr>
          <w:noProof/>
          <w:lang w:val="en-IE"/>
        </w:rPr>
        <w:t xml:space="preserve"> </w:t>
      </w:r>
      <w:r w:rsidR="002C5DE1" w:rsidRPr="00277C69">
        <w:rPr>
          <w:noProof/>
          <w:lang w:val="en-IE"/>
        </w:rPr>
        <w:t>energy</w:t>
      </w:r>
      <w:r w:rsidR="00F41A47" w:rsidRPr="00277C69">
        <w:rPr>
          <w:noProof/>
          <w:lang w:val="en-IE"/>
        </w:rPr>
        <w:t xml:space="preserve"> </w:t>
      </w:r>
      <w:r w:rsidR="002C5DE1" w:rsidRPr="00277C69">
        <w:rPr>
          <w:noProof/>
          <w:lang w:val="en-IE"/>
        </w:rPr>
        <w:t>production</w:t>
      </w:r>
      <w:r w:rsidR="004B02D9" w:rsidRPr="00277C69">
        <w:rPr>
          <w:noProof/>
          <w:lang w:val="en-IE"/>
        </w:rPr>
        <w:t>, as well as in part</w:t>
      </w:r>
      <w:r w:rsidR="00F60E3A" w:rsidRPr="00277C69">
        <w:rPr>
          <w:noProof/>
          <w:lang w:val="en-IE"/>
        </w:rPr>
        <w:t>s</w:t>
      </w:r>
      <w:r w:rsidR="004B02D9" w:rsidRPr="000F5D99">
        <w:rPr>
          <w:noProof/>
          <w:lang w:val="en-IE"/>
        </w:rPr>
        <w:t xml:space="preserve"> of the automotive </w:t>
      </w:r>
      <w:r w:rsidR="00F60E3A" w:rsidRPr="000F5D99">
        <w:rPr>
          <w:noProof/>
          <w:lang w:val="en-IE"/>
        </w:rPr>
        <w:t>sector</w:t>
      </w:r>
      <w:r w:rsidR="002C5DE1" w:rsidRPr="000F5D99">
        <w:rPr>
          <w:noProof/>
          <w:lang w:val="en-IE"/>
        </w:rPr>
        <w:t xml:space="preserve">. </w:t>
      </w:r>
      <w:r w:rsidR="00D500FF" w:rsidRPr="000F5D99">
        <w:rPr>
          <w:noProof/>
          <w:lang w:val="en-IE"/>
        </w:rPr>
        <w:t>Conversely,</w:t>
      </w:r>
      <w:r w:rsidR="00204FD9" w:rsidRPr="00AC3527">
        <w:rPr>
          <w:noProof/>
          <w:lang w:val="en-IE"/>
        </w:rPr>
        <w:t xml:space="preserve"> new job opportunities are expected </w:t>
      </w:r>
      <w:r w:rsidR="00A55DC0" w:rsidRPr="00AC3527">
        <w:rPr>
          <w:noProof/>
          <w:lang w:val="en-IE"/>
        </w:rPr>
        <w:t>in</w:t>
      </w:r>
      <w:r w:rsidR="00204FD9" w:rsidRPr="00AC3527">
        <w:rPr>
          <w:noProof/>
          <w:lang w:val="en-IE"/>
        </w:rPr>
        <w:t xml:space="preserve"> </w:t>
      </w:r>
      <w:r w:rsidR="00580BA9" w:rsidRPr="00AC3527">
        <w:rPr>
          <w:noProof/>
          <w:lang w:val="en-IE"/>
        </w:rPr>
        <w:t xml:space="preserve">circular value retention activities and </w:t>
      </w:r>
      <w:r w:rsidR="00695E5A" w:rsidRPr="00AC3527">
        <w:rPr>
          <w:noProof/>
          <w:lang w:val="en-IE"/>
        </w:rPr>
        <w:t>sustainable</w:t>
      </w:r>
      <w:r w:rsidR="00F41A47" w:rsidRPr="00AC3527">
        <w:rPr>
          <w:noProof/>
          <w:lang w:val="en-IE"/>
        </w:rPr>
        <w:t xml:space="preserve"> </w:t>
      </w:r>
      <w:r w:rsidR="00A55DC0" w:rsidRPr="00AC3527">
        <w:rPr>
          <w:noProof/>
          <w:lang w:val="en-IE"/>
        </w:rPr>
        <w:t xml:space="preserve">transport and </w:t>
      </w:r>
      <w:r w:rsidR="00204FD9" w:rsidRPr="00AC3527">
        <w:rPr>
          <w:noProof/>
          <w:lang w:val="en-IE"/>
        </w:rPr>
        <w:t xml:space="preserve">energy </w:t>
      </w:r>
      <w:r w:rsidR="00A55DC0" w:rsidRPr="00AC3527">
        <w:rPr>
          <w:noProof/>
          <w:lang w:val="en-IE"/>
        </w:rPr>
        <w:t>production</w:t>
      </w:r>
      <w:r w:rsidR="00204FD9" w:rsidRPr="00AC3527">
        <w:rPr>
          <w:noProof/>
          <w:lang w:val="en-IE"/>
        </w:rPr>
        <w:t>.</w:t>
      </w:r>
      <w:r w:rsidR="00AC3527" w:rsidRPr="00AC3527">
        <w:rPr>
          <w:noProof/>
          <w:lang w:val="en-IE"/>
        </w:rPr>
        <w:t xml:space="preserve"> </w:t>
      </w:r>
      <w:r w:rsidR="00422B65" w:rsidRPr="00AC3527">
        <w:rPr>
          <w:noProof/>
          <w:lang w:val="en-IE"/>
        </w:rPr>
        <w:t xml:space="preserve">Member States should </w:t>
      </w:r>
      <w:r w:rsidR="00EF6893" w:rsidRPr="00AC3527">
        <w:rPr>
          <w:noProof/>
          <w:lang w:val="en-IE"/>
        </w:rPr>
        <w:t xml:space="preserve">therefore follow </w:t>
      </w:r>
      <w:r w:rsidR="00422B65" w:rsidRPr="00AC3527">
        <w:rPr>
          <w:noProof/>
          <w:lang w:val="en-IE"/>
        </w:rPr>
        <w:t>granular approaches,</w:t>
      </w:r>
      <w:r w:rsidR="00B46A9E" w:rsidRPr="00AC3527">
        <w:rPr>
          <w:noProof/>
          <w:lang w:val="en-IE"/>
        </w:rPr>
        <w:t xml:space="preserve"> </w:t>
      </w:r>
      <w:r w:rsidR="00422B65" w:rsidRPr="00AC3527">
        <w:rPr>
          <w:noProof/>
          <w:lang w:val="en-IE"/>
        </w:rPr>
        <w:t xml:space="preserve">focusing on the </w:t>
      </w:r>
      <w:r w:rsidR="003260EE">
        <w:rPr>
          <w:noProof/>
          <w:lang w:val="en-IE"/>
        </w:rPr>
        <w:t xml:space="preserve">individual </w:t>
      </w:r>
      <w:r w:rsidR="00422B65" w:rsidRPr="00AC3527">
        <w:rPr>
          <w:noProof/>
          <w:lang w:val="en-IE"/>
        </w:rPr>
        <w:t>region</w:t>
      </w:r>
      <w:r w:rsidR="003260EE">
        <w:rPr>
          <w:noProof/>
          <w:lang w:val="en-IE"/>
        </w:rPr>
        <w:t>s</w:t>
      </w:r>
      <w:r w:rsidR="00422B65" w:rsidRPr="00AC3527">
        <w:rPr>
          <w:noProof/>
          <w:lang w:val="en-IE"/>
        </w:rPr>
        <w:t xml:space="preserve"> and ecosystem</w:t>
      </w:r>
      <w:r w:rsidR="003260EE">
        <w:rPr>
          <w:noProof/>
          <w:lang w:val="en-IE"/>
        </w:rPr>
        <w:t>s</w:t>
      </w:r>
      <w:r w:rsidR="00422B65" w:rsidRPr="00AC3527">
        <w:rPr>
          <w:noProof/>
          <w:lang w:val="en-IE"/>
        </w:rPr>
        <w:t xml:space="preserve"> concerned, in liaison with social partners</w:t>
      </w:r>
      <w:r w:rsidR="001E1C5D" w:rsidRPr="00AC3527">
        <w:rPr>
          <w:noProof/>
          <w:lang w:val="en-IE"/>
        </w:rPr>
        <w:t xml:space="preserve"> </w:t>
      </w:r>
      <w:r w:rsidR="00B46A9E" w:rsidRPr="00AC3527">
        <w:rPr>
          <w:noProof/>
          <w:lang w:val="en-IE"/>
        </w:rPr>
        <w:t xml:space="preserve">and/or local and regional </w:t>
      </w:r>
      <w:r w:rsidR="003260EE">
        <w:rPr>
          <w:noProof/>
          <w:lang w:val="en-IE"/>
        </w:rPr>
        <w:t xml:space="preserve">authorities and </w:t>
      </w:r>
      <w:r w:rsidR="00B46A9E" w:rsidRPr="00AC3527">
        <w:rPr>
          <w:noProof/>
          <w:lang w:val="en-IE"/>
        </w:rPr>
        <w:t>stakeholders.</w:t>
      </w:r>
    </w:p>
    <w:p w14:paraId="500C1C2E" w14:textId="159CF94A" w:rsidR="009B54D8" w:rsidRDefault="00420537" w:rsidP="00420537">
      <w:pPr>
        <w:pStyle w:val="ManualConsidrant"/>
        <w:rPr>
          <w:noProof/>
        </w:rPr>
      </w:pPr>
      <w:r w:rsidRPr="00420537">
        <w:t>(10)</w:t>
      </w:r>
      <w:r w:rsidRPr="00420537">
        <w:tab/>
      </w:r>
      <w:r w:rsidR="00186B5C" w:rsidRPr="001D373A">
        <w:rPr>
          <w:noProof/>
          <w:lang w:val="en-IE"/>
        </w:rPr>
        <w:t xml:space="preserve">By creating quality job </w:t>
      </w:r>
      <w:r w:rsidR="00EF6893" w:rsidRPr="00AC3527">
        <w:rPr>
          <w:noProof/>
          <w:lang w:val="en-IE"/>
        </w:rPr>
        <w:t>opportunities</w:t>
      </w:r>
      <w:r w:rsidR="00EF6893">
        <w:rPr>
          <w:noProof/>
          <w:lang w:val="en-IE"/>
        </w:rPr>
        <w:t xml:space="preserve"> </w:t>
      </w:r>
      <w:r w:rsidR="00D73E7F" w:rsidRPr="001D373A">
        <w:rPr>
          <w:noProof/>
          <w:lang w:val="en-IE"/>
        </w:rPr>
        <w:t xml:space="preserve">for everyone </w:t>
      </w:r>
      <w:r w:rsidR="00186B5C" w:rsidRPr="001D373A">
        <w:rPr>
          <w:noProof/>
          <w:lang w:val="en-IE"/>
        </w:rPr>
        <w:t xml:space="preserve">while taking measures to </w:t>
      </w:r>
      <w:r w:rsidR="00FD63EA" w:rsidRPr="001D373A">
        <w:rPr>
          <w:noProof/>
          <w:lang w:val="en-IE"/>
        </w:rPr>
        <w:t>alleviate</w:t>
      </w:r>
      <w:r w:rsidR="00186B5C" w:rsidRPr="001D373A">
        <w:rPr>
          <w:noProof/>
          <w:lang w:val="en-IE"/>
        </w:rPr>
        <w:t xml:space="preserve"> and prevent </w:t>
      </w:r>
      <w:r w:rsidR="00186B5C" w:rsidRPr="00AC3527">
        <w:rPr>
          <w:noProof/>
          <w:lang w:val="en-IE"/>
        </w:rPr>
        <w:t>energy and transport poverty</w:t>
      </w:r>
      <w:r w:rsidR="00186B5C" w:rsidRPr="001D373A">
        <w:rPr>
          <w:noProof/>
          <w:lang w:val="en-IE"/>
        </w:rPr>
        <w:t>, t</w:t>
      </w:r>
      <w:r w:rsidR="008A5EE7" w:rsidRPr="001D373A">
        <w:rPr>
          <w:noProof/>
          <w:lang w:val="en-IE"/>
        </w:rPr>
        <w:t xml:space="preserve">he green transition can contribute to raising incomes and reducing </w:t>
      </w:r>
      <w:r w:rsidR="00D73E7F" w:rsidRPr="001D373A">
        <w:rPr>
          <w:noProof/>
          <w:lang w:val="en-IE"/>
        </w:rPr>
        <w:t xml:space="preserve">inequalities and </w:t>
      </w:r>
      <w:r w:rsidR="008A5EE7" w:rsidRPr="001D373A">
        <w:rPr>
          <w:noProof/>
          <w:lang w:val="en-IE"/>
        </w:rPr>
        <w:t>poverty overall</w:t>
      </w:r>
      <w:r w:rsidR="008A5EE7" w:rsidRPr="0096740E">
        <w:rPr>
          <w:rStyle w:val="FootnoteReference"/>
          <w:noProof/>
          <w:lang w:val="en-IE"/>
        </w:rPr>
        <w:footnoteReference w:id="72"/>
      </w:r>
      <w:r w:rsidR="00D866F0" w:rsidRPr="001D373A">
        <w:rPr>
          <w:noProof/>
          <w:lang w:val="en-IE"/>
        </w:rPr>
        <w:t>.</w:t>
      </w:r>
      <w:r w:rsidR="00F51318" w:rsidRPr="001D373A">
        <w:rPr>
          <w:noProof/>
          <w:lang w:val="en-IE"/>
        </w:rPr>
        <w:t xml:space="preserve"> It can thus help</w:t>
      </w:r>
      <w:r w:rsidR="00186B5C" w:rsidRPr="001D373A">
        <w:rPr>
          <w:noProof/>
          <w:lang w:val="en-IE"/>
        </w:rPr>
        <w:t xml:space="preserve"> </w:t>
      </w:r>
      <w:r w:rsidR="008A5EE7" w:rsidRPr="001D373A">
        <w:rPr>
          <w:noProof/>
          <w:lang w:val="en-IE"/>
        </w:rPr>
        <w:t>tackl</w:t>
      </w:r>
      <w:r w:rsidR="00F41A47" w:rsidRPr="001D373A">
        <w:rPr>
          <w:noProof/>
          <w:lang w:val="en-IE"/>
        </w:rPr>
        <w:t>e</w:t>
      </w:r>
      <w:r w:rsidR="008A5EE7" w:rsidRPr="001D373A">
        <w:rPr>
          <w:noProof/>
          <w:lang w:val="en-IE"/>
        </w:rPr>
        <w:t xml:space="preserve"> pre-existing socio-economic inequalities and social exclusion, improving health and well-being, and promoting equality. </w:t>
      </w:r>
      <w:r w:rsidR="001D373A" w:rsidRPr="00AC3527">
        <w:rPr>
          <w:noProof/>
          <w:lang w:val="en-IE"/>
        </w:rPr>
        <w:t>Particular attention should go to</w:t>
      </w:r>
      <w:r w:rsidR="001D373A">
        <w:rPr>
          <w:noProof/>
          <w:lang w:val="en-IE"/>
        </w:rPr>
        <w:t xml:space="preserve"> </w:t>
      </w:r>
      <w:r w:rsidR="005D324B" w:rsidRPr="001D373A">
        <w:rPr>
          <w:noProof/>
          <w:lang w:val="en-IE"/>
        </w:rPr>
        <w:t xml:space="preserve">certain </w:t>
      </w:r>
      <w:r w:rsidR="00077C37" w:rsidRPr="001D373A">
        <w:rPr>
          <w:noProof/>
          <w:lang w:val="en-IE"/>
        </w:rPr>
        <w:t xml:space="preserve">population </w:t>
      </w:r>
      <w:r w:rsidR="005D324B" w:rsidRPr="001D373A">
        <w:rPr>
          <w:noProof/>
          <w:lang w:val="en-IE"/>
        </w:rPr>
        <w:t xml:space="preserve">groups, notably those in </w:t>
      </w:r>
      <w:r w:rsidR="00B616E7" w:rsidRPr="001D373A">
        <w:rPr>
          <w:noProof/>
          <w:lang w:val="en-IE"/>
        </w:rPr>
        <w:t xml:space="preserve">already </w:t>
      </w:r>
      <w:r w:rsidR="005D324B" w:rsidRPr="001D373A">
        <w:rPr>
          <w:noProof/>
          <w:lang w:val="en-IE"/>
        </w:rPr>
        <w:t>vulnerable situations</w:t>
      </w:r>
      <w:r w:rsidR="000A3D9A" w:rsidRPr="001D373A">
        <w:rPr>
          <w:noProof/>
          <w:lang w:val="en-IE"/>
        </w:rPr>
        <w:t xml:space="preserve">. </w:t>
      </w:r>
      <w:r w:rsidR="00F8223F" w:rsidRPr="0096740E">
        <w:rPr>
          <w:noProof/>
        </w:rPr>
        <w:t>This includes notably l</w:t>
      </w:r>
      <w:r w:rsidR="0077609F" w:rsidRPr="0096740E">
        <w:rPr>
          <w:noProof/>
        </w:rPr>
        <w:t>ow- and lower-middle income households</w:t>
      </w:r>
      <w:r w:rsidR="00F40256" w:rsidRPr="0096740E">
        <w:rPr>
          <w:noProof/>
        </w:rPr>
        <w:t>,</w:t>
      </w:r>
      <w:r w:rsidR="0077609F" w:rsidRPr="0096740E">
        <w:rPr>
          <w:noProof/>
        </w:rPr>
        <w:t xml:space="preserve"> </w:t>
      </w:r>
      <w:r w:rsidR="00325BBF" w:rsidRPr="0096740E">
        <w:rPr>
          <w:noProof/>
        </w:rPr>
        <w:t>who</w:t>
      </w:r>
      <w:r w:rsidR="0077609F" w:rsidRPr="0096740E">
        <w:rPr>
          <w:noProof/>
        </w:rPr>
        <w:t xml:space="preserve"> </w:t>
      </w:r>
      <w:r w:rsidR="0009704A" w:rsidRPr="0096740E">
        <w:rPr>
          <w:noProof/>
        </w:rPr>
        <w:t>spend a high share of their income in</w:t>
      </w:r>
      <w:r w:rsidR="0077609F" w:rsidRPr="0096740E">
        <w:rPr>
          <w:noProof/>
        </w:rPr>
        <w:t xml:space="preserve"> essential services such as energy, transport and housing</w:t>
      </w:r>
      <w:r w:rsidR="009A0B59" w:rsidRPr="00AC3527">
        <w:rPr>
          <w:noProof/>
        </w:rPr>
        <w:t>, as well as micro, small and medium-sized enterprises</w:t>
      </w:r>
      <w:r w:rsidR="008E7DF7" w:rsidRPr="0096740E">
        <w:rPr>
          <w:noProof/>
        </w:rPr>
        <w:t xml:space="preserve">. </w:t>
      </w:r>
      <w:r w:rsidR="00580BA9" w:rsidRPr="0096740E">
        <w:rPr>
          <w:noProof/>
        </w:rPr>
        <w:t>Modelling results show that whether environmental taxes are progressive or regressive will depend largely on instrument design, including, for example, the extent to which income tax cuts or other revenue recycling options are t</w:t>
      </w:r>
      <w:r w:rsidR="000A3D9A">
        <w:rPr>
          <w:noProof/>
        </w:rPr>
        <w:t>argeted at lower income earners</w:t>
      </w:r>
      <w:r w:rsidR="00303D0E">
        <w:rPr>
          <w:rStyle w:val="FootnoteReference"/>
          <w:noProof/>
        </w:rPr>
        <w:footnoteReference w:id="73"/>
      </w:r>
      <w:r w:rsidR="000A3D9A">
        <w:rPr>
          <w:noProof/>
        </w:rPr>
        <w:t>.</w:t>
      </w:r>
      <w:r w:rsidR="00580BA9" w:rsidRPr="0096740E">
        <w:rPr>
          <w:noProof/>
        </w:rPr>
        <w:t xml:space="preserve"> </w:t>
      </w:r>
    </w:p>
    <w:p w14:paraId="361271E0" w14:textId="2FA2DA49" w:rsidR="009B54D8" w:rsidRDefault="00420537" w:rsidP="00420537">
      <w:pPr>
        <w:pStyle w:val="ManualConsidrant"/>
        <w:rPr>
          <w:noProof/>
        </w:rPr>
      </w:pPr>
      <w:r w:rsidRPr="00420537">
        <w:t>(11)</w:t>
      </w:r>
      <w:r w:rsidRPr="00420537">
        <w:tab/>
      </w:r>
      <w:r w:rsidR="00580BA9" w:rsidRPr="0096740E">
        <w:rPr>
          <w:noProof/>
        </w:rPr>
        <w:t>Circular value retention activities (including repair, re-use, remanufacturing and servitisation business models</w:t>
      </w:r>
      <w:r w:rsidR="00F40256" w:rsidRPr="0096740E">
        <w:rPr>
          <w:noProof/>
        </w:rPr>
        <w:t>)</w:t>
      </w:r>
      <w:r w:rsidR="00F8223F" w:rsidRPr="0096740E">
        <w:rPr>
          <w:noProof/>
        </w:rPr>
        <w:t xml:space="preserve"> can foster affordable and sustainable access to goods and services</w:t>
      </w:r>
      <w:r w:rsidR="00580BA9" w:rsidRPr="0096740E">
        <w:rPr>
          <w:noProof/>
        </w:rPr>
        <w:t>. The</w:t>
      </w:r>
      <w:r w:rsidR="00F8223F" w:rsidRPr="0096740E">
        <w:rPr>
          <w:noProof/>
        </w:rPr>
        <w:t>y also</w:t>
      </w:r>
      <w:r w:rsidR="00580BA9" w:rsidRPr="0096740E">
        <w:rPr>
          <w:noProof/>
        </w:rPr>
        <w:t xml:space="preserve"> </w:t>
      </w:r>
      <w:r w:rsidR="00580BA9" w:rsidRPr="009B54D8">
        <w:rPr>
          <w:rFonts w:eastAsia="Arial Unicode MS"/>
          <w:noProof/>
        </w:rPr>
        <w:t xml:space="preserve">generate jobs </w:t>
      </w:r>
      <w:r w:rsidR="00D73E7F">
        <w:rPr>
          <w:rFonts w:eastAsia="Arial Unicode MS"/>
          <w:noProof/>
        </w:rPr>
        <w:t xml:space="preserve">and opportunities </w:t>
      </w:r>
      <w:r w:rsidR="00580BA9" w:rsidRPr="009B54D8">
        <w:rPr>
          <w:rFonts w:eastAsia="Arial Unicode MS"/>
          <w:noProof/>
        </w:rPr>
        <w:t xml:space="preserve">at </w:t>
      </w:r>
      <w:r w:rsidR="00587CAF" w:rsidRPr="009B54D8">
        <w:rPr>
          <w:rFonts w:eastAsia="Arial Unicode MS"/>
          <w:noProof/>
        </w:rPr>
        <w:t xml:space="preserve">various </w:t>
      </w:r>
      <w:r w:rsidR="00580BA9" w:rsidRPr="009B54D8">
        <w:rPr>
          <w:rFonts w:eastAsia="Arial Unicode MS"/>
          <w:noProof/>
        </w:rPr>
        <w:t>skill level</w:t>
      </w:r>
      <w:r w:rsidR="00587CAF" w:rsidRPr="009B54D8">
        <w:rPr>
          <w:rFonts w:eastAsia="Arial Unicode MS"/>
          <w:noProof/>
        </w:rPr>
        <w:t>s</w:t>
      </w:r>
      <w:r w:rsidR="00580BA9" w:rsidRPr="009B54D8">
        <w:rPr>
          <w:rFonts w:eastAsia="Arial Unicode MS"/>
          <w:noProof/>
        </w:rPr>
        <w:t xml:space="preserve">, including </w:t>
      </w:r>
      <w:r w:rsidR="00587CAF" w:rsidRPr="009B54D8">
        <w:rPr>
          <w:rFonts w:eastAsia="Arial Unicode MS"/>
          <w:noProof/>
        </w:rPr>
        <w:t>for</w:t>
      </w:r>
      <w:r w:rsidR="00580BA9" w:rsidRPr="009B54D8">
        <w:rPr>
          <w:rFonts w:eastAsia="Arial Unicode MS"/>
          <w:noProof/>
        </w:rPr>
        <w:t xml:space="preserve"> </w:t>
      </w:r>
      <w:r w:rsidR="00D73E7F">
        <w:rPr>
          <w:rFonts w:eastAsia="Arial Unicode MS"/>
          <w:noProof/>
        </w:rPr>
        <w:t xml:space="preserve">women, </w:t>
      </w:r>
      <w:r w:rsidR="00587CAF" w:rsidRPr="009B54D8">
        <w:rPr>
          <w:rFonts w:eastAsia="Arial Unicode MS"/>
          <w:noProof/>
        </w:rPr>
        <w:t>people with disabilities and groups in vulnerable situations</w:t>
      </w:r>
      <w:r w:rsidR="00F8223F" w:rsidRPr="009B54D8">
        <w:rPr>
          <w:rFonts w:eastAsia="Arial Unicode MS"/>
          <w:noProof/>
        </w:rPr>
        <w:t>,</w:t>
      </w:r>
      <w:r w:rsidR="00580BA9" w:rsidRPr="009B54D8">
        <w:rPr>
          <w:rFonts w:eastAsia="Arial Unicode MS"/>
          <w:noProof/>
        </w:rPr>
        <w:t xml:space="preserve"> with social economy enterprises active in </w:t>
      </w:r>
      <w:r w:rsidR="00F8223F" w:rsidRPr="009B54D8">
        <w:rPr>
          <w:rFonts w:eastAsia="Arial Unicode MS"/>
          <w:noProof/>
        </w:rPr>
        <w:t>these areas</w:t>
      </w:r>
      <w:r w:rsidR="00580BA9" w:rsidRPr="009B54D8">
        <w:rPr>
          <w:rFonts w:eastAsia="Arial Unicode MS"/>
          <w:noProof/>
        </w:rPr>
        <w:t>. By avoiding new purchases, they reduce</w:t>
      </w:r>
      <w:r w:rsidR="00F8223F" w:rsidRPr="009B54D8">
        <w:rPr>
          <w:rFonts w:eastAsia="Arial Unicode MS"/>
          <w:noProof/>
        </w:rPr>
        <w:t xml:space="preserve"> </w:t>
      </w:r>
      <w:r w:rsidR="00580BA9" w:rsidRPr="009B54D8">
        <w:rPr>
          <w:rFonts w:eastAsia="Arial Unicode MS"/>
          <w:noProof/>
        </w:rPr>
        <w:t xml:space="preserve">carbon emissions </w:t>
      </w:r>
      <w:r w:rsidR="00F8223F" w:rsidRPr="009B54D8">
        <w:rPr>
          <w:rFonts w:eastAsia="Arial Unicode MS"/>
          <w:noProof/>
        </w:rPr>
        <w:t>vastly</w:t>
      </w:r>
      <w:r w:rsidR="00580BA9" w:rsidRPr="009B54D8">
        <w:rPr>
          <w:rFonts w:eastAsia="Arial Unicode MS"/>
          <w:noProof/>
        </w:rPr>
        <w:t>, whilst the jobs created are in proximity to the products that need to be maintained, refurbished</w:t>
      </w:r>
      <w:r w:rsidR="00F8223F" w:rsidRPr="009B54D8">
        <w:rPr>
          <w:rFonts w:eastAsia="Arial Unicode MS"/>
          <w:noProof/>
        </w:rPr>
        <w:t xml:space="preserve"> </w:t>
      </w:r>
      <w:r w:rsidR="00580BA9" w:rsidRPr="009B54D8">
        <w:rPr>
          <w:rFonts w:eastAsia="Arial Unicode MS"/>
          <w:noProof/>
        </w:rPr>
        <w:t xml:space="preserve">or </w:t>
      </w:r>
      <w:r w:rsidR="00042484" w:rsidRPr="009B54D8">
        <w:rPr>
          <w:rFonts w:eastAsia="Arial Unicode MS"/>
          <w:noProof/>
        </w:rPr>
        <w:t>shared</w:t>
      </w:r>
      <w:r w:rsidR="00042484" w:rsidRPr="0096740E">
        <w:rPr>
          <w:rStyle w:val="CommentReference"/>
          <w:noProof/>
        </w:rPr>
        <w:t>.</w:t>
      </w:r>
      <w:r w:rsidR="00042484" w:rsidRPr="009B54D8">
        <w:rPr>
          <w:rFonts w:eastAsia="Arial Unicode MS"/>
          <w:noProof/>
        </w:rPr>
        <w:t xml:space="preserve"> </w:t>
      </w:r>
    </w:p>
    <w:p w14:paraId="4E07EFB6" w14:textId="6346D694" w:rsidR="009B54D8" w:rsidRDefault="00420537" w:rsidP="00420537">
      <w:pPr>
        <w:pStyle w:val="ManualConsidrant"/>
        <w:rPr>
          <w:noProof/>
        </w:rPr>
      </w:pPr>
      <w:r w:rsidRPr="00420537">
        <w:t>(12)</w:t>
      </w:r>
      <w:r w:rsidRPr="00420537">
        <w:tab/>
      </w:r>
      <w:r w:rsidR="00042484" w:rsidRPr="0096740E">
        <w:rPr>
          <w:noProof/>
        </w:rPr>
        <w:t>According</w:t>
      </w:r>
      <w:r w:rsidR="002E42E7" w:rsidRPr="0096740E">
        <w:rPr>
          <w:noProof/>
        </w:rPr>
        <w:t xml:space="preserve"> to </w:t>
      </w:r>
      <w:r w:rsidR="00822346" w:rsidRPr="0096740E">
        <w:rPr>
          <w:noProof/>
        </w:rPr>
        <w:t>latest available data in EU-SILC for 2019/2020</w:t>
      </w:r>
      <w:r w:rsidR="00822346" w:rsidRPr="0096740E">
        <w:rPr>
          <w:rStyle w:val="FootnoteReference"/>
          <w:noProof/>
        </w:rPr>
        <w:footnoteReference w:id="74"/>
      </w:r>
      <w:r w:rsidR="009E225C" w:rsidRPr="0096740E">
        <w:rPr>
          <w:noProof/>
        </w:rPr>
        <w:t xml:space="preserve">, </w:t>
      </w:r>
      <w:r w:rsidR="00AE24DA" w:rsidRPr="0096740E">
        <w:rPr>
          <w:noProof/>
        </w:rPr>
        <w:t>energy</w:t>
      </w:r>
      <w:r w:rsidR="005D324B" w:rsidRPr="000A3D9A">
        <w:rPr>
          <w:noProof/>
          <w:lang w:val="en-IE"/>
        </w:rPr>
        <w:t xml:space="preserve"> poverty</w:t>
      </w:r>
      <w:r w:rsidR="005D324B" w:rsidRPr="00BE2E79">
        <w:rPr>
          <w:noProof/>
        </w:rPr>
        <w:t xml:space="preserve"> </w:t>
      </w:r>
      <w:r w:rsidR="00077C37" w:rsidRPr="00BE2E79">
        <w:rPr>
          <w:noProof/>
        </w:rPr>
        <w:t>affect</w:t>
      </w:r>
      <w:r w:rsidR="002E42E7" w:rsidRPr="00BE2E79">
        <w:rPr>
          <w:noProof/>
        </w:rPr>
        <w:t>ed</w:t>
      </w:r>
      <w:r w:rsidR="00077C37" w:rsidRPr="00BE2E79">
        <w:rPr>
          <w:noProof/>
        </w:rPr>
        <w:t xml:space="preserve"> </w:t>
      </w:r>
      <w:r w:rsidR="005D324B" w:rsidRPr="000A3D9A">
        <w:rPr>
          <w:noProof/>
          <w:lang w:val="en-IE"/>
        </w:rPr>
        <w:t xml:space="preserve">about </w:t>
      </w:r>
      <w:r w:rsidR="00E50ADF" w:rsidRPr="000A3D9A">
        <w:rPr>
          <w:noProof/>
          <w:lang w:val="en-IE"/>
        </w:rPr>
        <w:t>8</w:t>
      </w:r>
      <w:r w:rsidR="005D324B" w:rsidRPr="000A3D9A">
        <w:rPr>
          <w:noProof/>
          <w:lang w:val="en-IE"/>
        </w:rPr>
        <w:t>% of the EU population, i.e. more than 3</w:t>
      </w:r>
      <w:r w:rsidR="00E50ADF" w:rsidRPr="000A3D9A">
        <w:rPr>
          <w:noProof/>
          <w:lang w:val="en-IE"/>
        </w:rPr>
        <w:t>5</w:t>
      </w:r>
      <w:r w:rsidR="005D324B" w:rsidRPr="000A3D9A">
        <w:rPr>
          <w:noProof/>
          <w:lang w:val="en-IE"/>
        </w:rPr>
        <w:t xml:space="preserve"> million people,</w:t>
      </w:r>
      <w:r w:rsidR="00F751F7" w:rsidRPr="000A3D9A">
        <w:rPr>
          <w:noProof/>
          <w:lang w:val="en-IE"/>
        </w:rPr>
        <w:t xml:space="preserve"> who</w:t>
      </w:r>
      <w:r w:rsidR="002E42E7" w:rsidRPr="000A3D9A">
        <w:rPr>
          <w:noProof/>
          <w:lang w:val="en-IE"/>
        </w:rPr>
        <w:t xml:space="preserve"> were</w:t>
      </w:r>
      <w:r w:rsidR="005D324B" w:rsidRPr="000A3D9A">
        <w:rPr>
          <w:noProof/>
          <w:lang w:val="en-IE"/>
        </w:rPr>
        <w:t xml:space="preserve"> unable to keep their homes adequately warm</w:t>
      </w:r>
      <w:r w:rsidR="00F751F7" w:rsidRPr="000A3D9A">
        <w:rPr>
          <w:noProof/>
          <w:lang w:val="en-IE"/>
        </w:rPr>
        <w:t>, with significant differences between Member States and between income groups</w:t>
      </w:r>
      <w:r w:rsidR="005D324B" w:rsidRPr="0096740E">
        <w:rPr>
          <w:rStyle w:val="FootnoteReference"/>
          <w:noProof/>
          <w:lang w:val="en-IE"/>
        </w:rPr>
        <w:footnoteReference w:id="75"/>
      </w:r>
      <w:r w:rsidR="00D448AB" w:rsidRPr="000A3D9A">
        <w:rPr>
          <w:noProof/>
          <w:lang w:val="en-IE"/>
        </w:rPr>
        <w:t xml:space="preserve">. </w:t>
      </w:r>
      <w:r w:rsidR="009B4B86" w:rsidRPr="000A3D9A">
        <w:rPr>
          <w:noProof/>
          <w:lang w:val="en-IE"/>
        </w:rPr>
        <w:t>Overall, the Energy Poverty Observatory estimates that more than 50 million households in the European Union experience energy poverty. Energy poverty</w:t>
      </w:r>
      <w:r w:rsidR="000A3D9A" w:rsidRPr="000A3D9A">
        <w:rPr>
          <w:noProof/>
          <w:lang w:val="en-IE"/>
        </w:rPr>
        <w:t xml:space="preserve">, resulting from a combination of low income, </w:t>
      </w:r>
      <w:r w:rsidR="000A3D9A">
        <w:rPr>
          <w:noProof/>
          <w:lang w:val="en-IE"/>
        </w:rPr>
        <w:t xml:space="preserve">a </w:t>
      </w:r>
      <w:r w:rsidR="000A3D9A" w:rsidRPr="000A3D9A">
        <w:rPr>
          <w:noProof/>
          <w:lang w:val="en-IE"/>
        </w:rPr>
        <w:t>high share of disposable income spent on ene</w:t>
      </w:r>
      <w:r w:rsidR="000A3D9A">
        <w:rPr>
          <w:noProof/>
          <w:lang w:val="en-IE"/>
        </w:rPr>
        <w:t xml:space="preserve">rgy and poor energy efficiency, </w:t>
      </w:r>
      <w:r w:rsidR="001047A5" w:rsidRPr="000A3D9A">
        <w:rPr>
          <w:noProof/>
          <w:lang w:val="en-IE"/>
        </w:rPr>
        <w:t>has</w:t>
      </w:r>
      <w:r w:rsidR="009B4B86" w:rsidRPr="000A3D9A">
        <w:rPr>
          <w:noProof/>
          <w:lang w:val="en-IE"/>
        </w:rPr>
        <w:t xml:space="preserve"> </w:t>
      </w:r>
      <w:r w:rsidR="001047A5" w:rsidRPr="000A3D9A">
        <w:rPr>
          <w:noProof/>
          <w:lang w:val="en-IE"/>
        </w:rPr>
        <w:t xml:space="preserve">been </w:t>
      </w:r>
      <w:r w:rsidR="009B4B86" w:rsidRPr="000A3D9A">
        <w:rPr>
          <w:noProof/>
          <w:lang w:val="en-IE"/>
        </w:rPr>
        <w:t>a major challenge for the Union</w:t>
      </w:r>
      <w:r w:rsidR="001047A5" w:rsidRPr="000A3D9A">
        <w:rPr>
          <w:noProof/>
          <w:lang w:val="en-IE"/>
        </w:rPr>
        <w:t xml:space="preserve"> for some time</w:t>
      </w:r>
      <w:r w:rsidR="009B4B86" w:rsidRPr="000A3D9A">
        <w:rPr>
          <w:noProof/>
          <w:lang w:val="en-IE"/>
        </w:rPr>
        <w:t xml:space="preserve">. </w:t>
      </w:r>
      <w:r w:rsidR="00D448AB" w:rsidRPr="000A3D9A">
        <w:rPr>
          <w:noProof/>
          <w:lang w:val="en-IE"/>
        </w:rPr>
        <w:t xml:space="preserve">This form of poverty affects not only </w:t>
      </w:r>
      <w:r w:rsidR="005D324B" w:rsidRPr="000A3D9A">
        <w:rPr>
          <w:noProof/>
          <w:lang w:val="en-IE"/>
        </w:rPr>
        <w:t xml:space="preserve">low-income </w:t>
      </w:r>
      <w:r w:rsidR="00D448AB" w:rsidRPr="000A3D9A">
        <w:rPr>
          <w:noProof/>
          <w:lang w:val="en-IE"/>
        </w:rPr>
        <w:t>household</w:t>
      </w:r>
      <w:r w:rsidR="005D324B" w:rsidRPr="000A3D9A">
        <w:rPr>
          <w:noProof/>
          <w:lang w:val="en-IE"/>
        </w:rPr>
        <w:t>s</w:t>
      </w:r>
      <w:r w:rsidR="00D448AB" w:rsidRPr="000A3D9A">
        <w:rPr>
          <w:noProof/>
          <w:lang w:val="en-IE"/>
        </w:rPr>
        <w:t xml:space="preserve">, but also </w:t>
      </w:r>
      <w:r w:rsidR="005D324B" w:rsidRPr="0096740E">
        <w:rPr>
          <w:noProof/>
        </w:rPr>
        <w:t xml:space="preserve">lower middle-income </w:t>
      </w:r>
      <w:r w:rsidR="00D448AB" w:rsidRPr="0096740E">
        <w:rPr>
          <w:noProof/>
        </w:rPr>
        <w:t>household</w:t>
      </w:r>
      <w:r w:rsidR="005D324B" w:rsidRPr="0096740E">
        <w:rPr>
          <w:noProof/>
        </w:rPr>
        <w:t xml:space="preserve">s in </w:t>
      </w:r>
      <w:r w:rsidR="00D448AB" w:rsidRPr="0096740E">
        <w:rPr>
          <w:noProof/>
        </w:rPr>
        <w:t xml:space="preserve">many </w:t>
      </w:r>
      <w:r w:rsidR="000A3D9A">
        <w:rPr>
          <w:noProof/>
        </w:rPr>
        <w:t>Member States</w:t>
      </w:r>
      <w:r w:rsidR="004F507B" w:rsidRPr="0096740E">
        <w:rPr>
          <w:rStyle w:val="FootnoteReference"/>
          <w:noProof/>
        </w:rPr>
        <w:footnoteReference w:id="76"/>
      </w:r>
      <w:r w:rsidR="000A3D9A">
        <w:rPr>
          <w:noProof/>
        </w:rPr>
        <w:t>.</w:t>
      </w:r>
      <w:r w:rsidR="005D324B" w:rsidRPr="000A3D9A">
        <w:rPr>
          <w:noProof/>
          <w:lang w:val="en-IE"/>
        </w:rPr>
        <w:t xml:space="preserve"> </w:t>
      </w:r>
      <w:r w:rsidR="002C50EF" w:rsidRPr="0096740E">
        <w:rPr>
          <w:noProof/>
        </w:rPr>
        <w:t>Households with above-average energy needs, which includes families with children, persons with disabilities, and older persons, are also more susceptible to energy poverty</w:t>
      </w:r>
      <w:r w:rsidR="002C50EF" w:rsidRPr="00BE2E79">
        <w:rPr>
          <w:rStyle w:val="FootnoteReference"/>
          <w:noProof/>
        </w:rPr>
        <w:footnoteReference w:id="77"/>
      </w:r>
      <w:r w:rsidR="00890E28" w:rsidRPr="0096740E">
        <w:rPr>
          <w:noProof/>
        </w:rPr>
        <w:t xml:space="preserve"> and to its effects. </w:t>
      </w:r>
      <w:r w:rsidR="002F2820" w:rsidRPr="0096740E">
        <w:rPr>
          <w:noProof/>
        </w:rPr>
        <w:t>Women, and in particular lone parents and older women</w:t>
      </w:r>
      <w:r w:rsidR="00890E28" w:rsidRPr="0096740E">
        <w:rPr>
          <w:rStyle w:val="FootnoteReference"/>
          <w:bCs/>
          <w:noProof/>
        </w:rPr>
        <w:footnoteReference w:id="78"/>
      </w:r>
      <w:r w:rsidR="002F2820" w:rsidRPr="0096740E">
        <w:rPr>
          <w:noProof/>
        </w:rPr>
        <w:t>, are also particularly affected by energy poverty</w:t>
      </w:r>
      <w:r w:rsidR="00890E28" w:rsidRPr="0096740E">
        <w:rPr>
          <w:noProof/>
        </w:rPr>
        <w:t>.</w:t>
      </w:r>
      <w:r w:rsidR="00E4501E">
        <w:rPr>
          <w:noProof/>
        </w:rPr>
        <w:t xml:space="preserve"> </w:t>
      </w:r>
      <w:r w:rsidR="000A58D7">
        <w:rPr>
          <w:noProof/>
        </w:rPr>
        <w:t>In addition to</w:t>
      </w:r>
      <w:r w:rsidR="00F253B0">
        <w:rPr>
          <w:noProof/>
        </w:rPr>
        <w:t xml:space="preserve"> </w:t>
      </w:r>
      <w:r w:rsidR="00F253B0" w:rsidRPr="0096740E">
        <w:rPr>
          <w:noProof/>
        </w:rPr>
        <w:t>energy poverty,</w:t>
      </w:r>
      <w:r w:rsidR="000A58D7">
        <w:rPr>
          <w:noProof/>
        </w:rPr>
        <w:t xml:space="preserve"> the concept of transport poverty is</w:t>
      </w:r>
      <w:r w:rsidR="00212A44">
        <w:rPr>
          <w:noProof/>
        </w:rPr>
        <w:t xml:space="preserve"> increasingly recognised </w:t>
      </w:r>
      <w:r w:rsidR="003F11BF">
        <w:rPr>
          <w:noProof/>
        </w:rPr>
        <w:t>where</w:t>
      </w:r>
      <w:r w:rsidR="00212A44">
        <w:rPr>
          <w:noProof/>
        </w:rPr>
        <w:t xml:space="preserve"> certain categories of population are unable to attain a socially and materially necessitated level of transport services.</w:t>
      </w:r>
      <w:r w:rsidR="005D6924">
        <w:rPr>
          <w:noProof/>
        </w:rPr>
        <w:t xml:space="preserve"> Without the right accompanying measures </w:t>
      </w:r>
      <w:r w:rsidR="001A538B" w:rsidRPr="009B54D8">
        <w:rPr>
          <w:noProof/>
          <w:lang w:val="en-IE"/>
        </w:rPr>
        <w:t>to alleviate and prevent energy and transport poverty</w:t>
      </w:r>
      <w:r w:rsidR="001A538B">
        <w:rPr>
          <w:noProof/>
          <w:lang w:val="en-IE"/>
        </w:rPr>
        <w:t xml:space="preserve">, these </w:t>
      </w:r>
      <w:r w:rsidR="005D6924">
        <w:rPr>
          <w:noProof/>
        </w:rPr>
        <w:t xml:space="preserve">risk being exacerbated </w:t>
      </w:r>
      <w:r w:rsidR="003F11BF" w:rsidRPr="003F11BF">
        <w:rPr>
          <w:noProof/>
        </w:rPr>
        <w:t xml:space="preserve">notably due to the internalisation of </w:t>
      </w:r>
      <w:r w:rsidR="003F11BF">
        <w:rPr>
          <w:noProof/>
        </w:rPr>
        <w:t>emissions</w:t>
      </w:r>
      <w:r w:rsidR="003F11BF" w:rsidRPr="003F11BF">
        <w:rPr>
          <w:noProof/>
        </w:rPr>
        <w:t xml:space="preserve"> costs in price formation</w:t>
      </w:r>
      <w:r w:rsidR="005F676F">
        <w:rPr>
          <w:noProof/>
        </w:rPr>
        <w:t xml:space="preserve"> or </w:t>
      </w:r>
      <w:r w:rsidR="00F713BC">
        <w:rPr>
          <w:noProof/>
        </w:rPr>
        <w:t xml:space="preserve">to the </w:t>
      </w:r>
      <w:r w:rsidR="005F676F">
        <w:rPr>
          <w:noProof/>
        </w:rPr>
        <w:t>costs of adaptation towards higher-efficiency, lower-emission alternatives</w:t>
      </w:r>
      <w:r w:rsidR="003F11BF" w:rsidRPr="003F11BF">
        <w:rPr>
          <w:noProof/>
        </w:rPr>
        <w:t>.</w:t>
      </w:r>
    </w:p>
    <w:p w14:paraId="1183AD47" w14:textId="79DE6147" w:rsidR="009B54D8" w:rsidRDefault="00420537" w:rsidP="00420537">
      <w:pPr>
        <w:pStyle w:val="ManualConsidrant"/>
        <w:rPr>
          <w:noProof/>
        </w:rPr>
      </w:pPr>
      <w:r w:rsidRPr="00420537">
        <w:t>(13)</w:t>
      </w:r>
      <w:r w:rsidRPr="00420537">
        <w:tab/>
      </w:r>
      <w:r w:rsidR="00B616E7" w:rsidRPr="0096740E">
        <w:rPr>
          <w:noProof/>
        </w:rPr>
        <w:t>Principles of s</w:t>
      </w:r>
      <w:r w:rsidR="002A730F" w:rsidRPr="0096740E">
        <w:rPr>
          <w:noProof/>
        </w:rPr>
        <w:t xml:space="preserve">ocial fairness </w:t>
      </w:r>
      <w:r w:rsidR="00E50ADF" w:rsidRPr="0096740E">
        <w:rPr>
          <w:noProof/>
        </w:rPr>
        <w:t>and solidarity</w:t>
      </w:r>
      <w:r w:rsidR="002A730F" w:rsidRPr="0096740E">
        <w:rPr>
          <w:noProof/>
        </w:rPr>
        <w:t xml:space="preserve"> </w:t>
      </w:r>
      <w:r w:rsidR="00B616E7" w:rsidRPr="0096740E">
        <w:rPr>
          <w:noProof/>
        </w:rPr>
        <w:t xml:space="preserve">are </w:t>
      </w:r>
      <w:r w:rsidR="008E7DF7" w:rsidRPr="0096740E">
        <w:rPr>
          <w:noProof/>
        </w:rPr>
        <w:t xml:space="preserve">firmly </w:t>
      </w:r>
      <w:r w:rsidR="002A730F" w:rsidRPr="0096740E">
        <w:rPr>
          <w:noProof/>
        </w:rPr>
        <w:t xml:space="preserve">built into the design of </w:t>
      </w:r>
      <w:r w:rsidR="002B5BB6" w:rsidRPr="0096740E">
        <w:rPr>
          <w:noProof/>
        </w:rPr>
        <w:t>relevant climate, energy and environmental</w:t>
      </w:r>
      <w:r w:rsidR="00612D6A" w:rsidRPr="0096740E">
        <w:rPr>
          <w:noProof/>
        </w:rPr>
        <w:t xml:space="preserve"> framework</w:t>
      </w:r>
      <w:r w:rsidR="002B5BB6" w:rsidRPr="0096740E">
        <w:rPr>
          <w:noProof/>
        </w:rPr>
        <w:t>s</w:t>
      </w:r>
      <w:r w:rsidR="00612D6A" w:rsidRPr="0096740E">
        <w:rPr>
          <w:noProof/>
        </w:rPr>
        <w:t xml:space="preserve"> at the Union level</w:t>
      </w:r>
      <w:r w:rsidR="002B5BB6" w:rsidRPr="0096740E">
        <w:rPr>
          <w:rStyle w:val="FootnoteReference"/>
          <w:noProof/>
        </w:rPr>
        <w:footnoteReference w:id="79"/>
      </w:r>
      <w:r w:rsidR="00B1408E" w:rsidRPr="0096740E">
        <w:rPr>
          <w:noProof/>
        </w:rPr>
        <w:t>, including via the ‘polluter pays principle</w:t>
      </w:r>
      <w:r w:rsidR="00076B77" w:rsidRPr="0096740E">
        <w:rPr>
          <w:noProof/>
        </w:rPr>
        <w:t>’</w:t>
      </w:r>
      <w:r w:rsidR="00B1408E" w:rsidRPr="0096740E">
        <w:rPr>
          <w:noProof/>
        </w:rPr>
        <w:t xml:space="preserve"> and the effort sharing between Member States</w:t>
      </w:r>
      <w:r w:rsidR="052BD4DC" w:rsidRPr="0096740E">
        <w:rPr>
          <w:noProof/>
        </w:rPr>
        <w:t xml:space="preserve"> as well as in some redistribution of ETS allowances for the purposes of solidarity, growth and interconnections within the Union and their use for the Modernisation Fund</w:t>
      </w:r>
      <w:r w:rsidR="009542A3">
        <w:rPr>
          <w:noProof/>
        </w:rPr>
        <w:t xml:space="preserve"> </w:t>
      </w:r>
      <w:r w:rsidR="009542A3" w:rsidRPr="009542A3">
        <w:rPr>
          <w:noProof/>
        </w:rPr>
        <w:t>which contributes to the significant investment needs of the lower-income Member States to modernise their energy systems</w:t>
      </w:r>
      <w:r w:rsidR="00917AC8" w:rsidRPr="0096740E">
        <w:rPr>
          <w:noProof/>
        </w:rPr>
        <w:t>.</w:t>
      </w:r>
      <w:r w:rsidR="052BD4DC" w:rsidRPr="0096740E">
        <w:rPr>
          <w:noProof/>
        </w:rPr>
        <w:t xml:space="preserve"> </w:t>
      </w:r>
      <w:r w:rsidR="001510DC" w:rsidRPr="0096740E">
        <w:rPr>
          <w:noProof/>
        </w:rPr>
        <w:t xml:space="preserve">Moreover, </w:t>
      </w:r>
      <w:r w:rsidR="002A730F" w:rsidRPr="0096740E">
        <w:rPr>
          <w:noProof/>
        </w:rPr>
        <w:t xml:space="preserve">the framework of the </w:t>
      </w:r>
      <w:r w:rsidR="00730500" w:rsidRPr="0096740E">
        <w:rPr>
          <w:noProof/>
        </w:rPr>
        <w:t>EU energy policy legislation</w:t>
      </w:r>
      <w:r w:rsidR="000A3D9A">
        <w:rPr>
          <w:noProof/>
        </w:rPr>
        <w:t xml:space="preserve"> provides </w:t>
      </w:r>
      <w:r w:rsidR="002A730F" w:rsidRPr="0096740E">
        <w:rPr>
          <w:noProof/>
        </w:rPr>
        <w:t xml:space="preserve">Member States </w:t>
      </w:r>
      <w:r w:rsidR="000A3D9A">
        <w:rPr>
          <w:noProof/>
        </w:rPr>
        <w:t>with tools</w:t>
      </w:r>
      <w:r w:rsidR="002A730F" w:rsidRPr="0096740E">
        <w:rPr>
          <w:noProof/>
        </w:rPr>
        <w:t xml:space="preserve"> to ensure the protection of energy poor and vulnerable household customers</w:t>
      </w:r>
      <w:r w:rsidR="0077609F" w:rsidRPr="0096740E">
        <w:rPr>
          <w:noProof/>
        </w:rPr>
        <w:t xml:space="preserve"> while</w:t>
      </w:r>
      <w:r w:rsidR="00C07FFD" w:rsidRPr="0096740E">
        <w:rPr>
          <w:noProof/>
        </w:rPr>
        <w:t xml:space="preserve"> </w:t>
      </w:r>
      <w:r w:rsidR="0077609F" w:rsidRPr="0096740E">
        <w:rPr>
          <w:noProof/>
        </w:rPr>
        <w:t>avoiding market distortions</w:t>
      </w:r>
      <w:r w:rsidR="002A730F" w:rsidRPr="0096740E">
        <w:rPr>
          <w:rStyle w:val="FootnoteReference"/>
          <w:noProof/>
        </w:rPr>
        <w:footnoteReference w:id="80"/>
      </w:r>
      <w:r w:rsidR="00612D6A" w:rsidRPr="0096740E">
        <w:rPr>
          <w:noProof/>
        </w:rPr>
        <w:t xml:space="preserve">. </w:t>
      </w:r>
      <w:r w:rsidR="000A3D9A" w:rsidRPr="000A3D9A">
        <w:rPr>
          <w:noProof/>
        </w:rPr>
        <w:t xml:space="preserve">While these tools help in facilitating the green transition, they are intended to provide the means to ensure the necessary protection more generally, as shown for instance </w:t>
      </w:r>
      <w:r w:rsidR="000A3D9A">
        <w:rPr>
          <w:noProof/>
        </w:rPr>
        <w:t>by the recent Communication on ‘T</w:t>
      </w:r>
      <w:r w:rsidR="000A3D9A" w:rsidRPr="000A3D9A">
        <w:rPr>
          <w:noProof/>
        </w:rPr>
        <w:t xml:space="preserve">ackling rising energy prices: a toolbox for action </w:t>
      </w:r>
      <w:r w:rsidR="000A3D9A">
        <w:rPr>
          <w:noProof/>
        </w:rPr>
        <w:t>and support’</w:t>
      </w:r>
      <w:r w:rsidR="000A3D9A">
        <w:rPr>
          <w:rStyle w:val="FootnoteReference"/>
          <w:noProof/>
        </w:rPr>
        <w:footnoteReference w:id="81"/>
      </w:r>
      <w:r w:rsidR="000A3D9A">
        <w:rPr>
          <w:noProof/>
        </w:rPr>
        <w:t>.</w:t>
      </w:r>
      <w:r w:rsidR="000A3D9A" w:rsidRPr="000A3D9A">
        <w:rPr>
          <w:noProof/>
        </w:rPr>
        <w:t xml:space="preserve"> </w:t>
      </w:r>
      <w:r w:rsidR="002D5A53" w:rsidRPr="0096740E">
        <w:rPr>
          <w:noProof/>
        </w:rPr>
        <w:t xml:space="preserve">In </w:t>
      </w:r>
      <w:r w:rsidR="00974388" w:rsidRPr="0096740E">
        <w:rPr>
          <w:noProof/>
        </w:rPr>
        <w:t>addition</w:t>
      </w:r>
      <w:r w:rsidR="002D5A53" w:rsidRPr="0096740E">
        <w:rPr>
          <w:noProof/>
        </w:rPr>
        <w:t>, establishing a Social Climate Fund of EUR 72.2 billion for the period 2025-2032 would</w:t>
      </w:r>
      <w:r w:rsidR="000A3D9A">
        <w:rPr>
          <w:noProof/>
        </w:rPr>
        <w:t xml:space="preserve"> support vulnerable households, </w:t>
      </w:r>
      <w:r w:rsidR="002D5A53" w:rsidRPr="0096740E">
        <w:rPr>
          <w:noProof/>
        </w:rPr>
        <w:t>tr</w:t>
      </w:r>
      <w:r w:rsidR="000A3D9A">
        <w:rPr>
          <w:noProof/>
        </w:rPr>
        <w:t xml:space="preserve">ansport users </w:t>
      </w:r>
      <w:r w:rsidR="002D5A53" w:rsidRPr="0096740E">
        <w:rPr>
          <w:noProof/>
        </w:rPr>
        <w:t xml:space="preserve">and micro-enterprises affected by the </w:t>
      </w:r>
      <w:r w:rsidR="052BD4DC" w:rsidRPr="0096740E">
        <w:rPr>
          <w:noProof/>
        </w:rPr>
        <w:t xml:space="preserve">introduction </w:t>
      </w:r>
      <w:r w:rsidR="002D5A53" w:rsidRPr="0096740E">
        <w:rPr>
          <w:noProof/>
        </w:rPr>
        <w:t xml:space="preserve">of emissions trading </w:t>
      </w:r>
      <w:r w:rsidR="052BD4DC" w:rsidRPr="0096740E">
        <w:rPr>
          <w:noProof/>
        </w:rPr>
        <w:t>for</w:t>
      </w:r>
      <w:r w:rsidR="002D5A53" w:rsidRPr="0096740E">
        <w:rPr>
          <w:noProof/>
        </w:rPr>
        <w:t xml:space="preserve"> </w:t>
      </w:r>
      <w:r w:rsidR="00BE30D0" w:rsidRPr="0096740E">
        <w:rPr>
          <w:noProof/>
        </w:rPr>
        <w:t>fuels used in</w:t>
      </w:r>
      <w:r w:rsidR="002D5A53" w:rsidRPr="0096740E">
        <w:rPr>
          <w:noProof/>
        </w:rPr>
        <w:t xml:space="preserve"> road transport and buildings</w:t>
      </w:r>
      <w:r w:rsidR="00FC7F39" w:rsidRPr="0096740E">
        <w:rPr>
          <w:rStyle w:val="FootnoteReference"/>
          <w:noProof/>
        </w:rPr>
        <w:footnoteReference w:id="82"/>
      </w:r>
      <w:r w:rsidR="009542A3">
        <w:rPr>
          <w:noProof/>
        </w:rPr>
        <w:t xml:space="preserve">. </w:t>
      </w:r>
      <w:r w:rsidR="009542A3" w:rsidRPr="009542A3">
        <w:rPr>
          <w:noProof/>
        </w:rPr>
        <w:t xml:space="preserve">The Fund facilitates addressing the social impacts </w:t>
      </w:r>
      <w:r w:rsidR="003D03E8">
        <w:rPr>
          <w:noProof/>
        </w:rPr>
        <w:t xml:space="preserve">via </w:t>
      </w:r>
      <w:r w:rsidR="009542A3" w:rsidRPr="009542A3">
        <w:rPr>
          <w:noProof/>
        </w:rPr>
        <w:t>measures and investments intended to reduce reliance on fossil fuels through increased energy efficiency of buildings, decarbonisation of heating and cooling of buildings, including the integration of energy from renewable sources, and granting improved access to zero- and low-emission mobility and transport to the benefit of vulnerable households, vulnerable micro-enterprises and vulnerable transport user</w:t>
      </w:r>
      <w:r w:rsidR="003D03E8">
        <w:rPr>
          <w:noProof/>
        </w:rPr>
        <w:t>s, complemented with temporary direct income support to vulnerable households</w:t>
      </w:r>
      <w:r w:rsidR="00E8276D" w:rsidRPr="00277C69">
        <w:rPr>
          <w:noProof/>
        </w:rPr>
        <w:t xml:space="preserve">, including </w:t>
      </w:r>
      <w:r w:rsidR="003260EE">
        <w:rPr>
          <w:noProof/>
        </w:rPr>
        <w:t>vulnerable</w:t>
      </w:r>
      <w:r w:rsidR="003D03E8">
        <w:rPr>
          <w:noProof/>
        </w:rPr>
        <w:t xml:space="preserve"> transport users, where necessary</w:t>
      </w:r>
      <w:r w:rsidR="009542A3" w:rsidRPr="009542A3">
        <w:rPr>
          <w:noProof/>
        </w:rPr>
        <w:t>.</w:t>
      </w:r>
    </w:p>
    <w:p w14:paraId="2E0656B6" w14:textId="2ED9F024" w:rsidR="009B54D8" w:rsidRDefault="00420537" w:rsidP="00420537">
      <w:pPr>
        <w:pStyle w:val="ManualConsidrant"/>
        <w:rPr>
          <w:noProof/>
        </w:rPr>
      </w:pPr>
      <w:r w:rsidRPr="00420537">
        <w:t>(14)</w:t>
      </w:r>
      <w:r w:rsidRPr="00420537">
        <w:tab/>
      </w:r>
      <w:r w:rsidR="002B5BB6" w:rsidRPr="0096740E">
        <w:rPr>
          <w:noProof/>
        </w:rPr>
        <w:t xml:space="preserve">Member States have </w:t>
      </w:r>
      <w:r w:rsidR="00E61886" w:rsidRPr="0096740E">
        <w:rPr>
          <w:noProof/>
        </w:rPr>
        <w:t xml:space="preserve">a range of tools at their disposal to outline and coordinate their actions for a </w:t>
      </w:r>
      <w:r w:rsidR="00DB1FBF" w:rsidRPr="0096740E">
        <w:rPr>
          <w:noProof/>
        </w:rPr>
        <w:t xml:space="preserve">fair </w:t>
      </w:r>
      <w:r w:rsidR="00E61886" w:rsidRPr="0096740E">
        <w:rPr>
          <w:noProof/>
        </w:rPr>
        <w:t xml:space="preserve">transition. National Energy and Climate Plans (NECPs) </w:t>
      </w:r>
      <w:r w:rsidR="009B4B86" w:rsidRPr="0096740E">
        <w:rPr>
          <w:noProof/>
        </w:rPr>
        <w:t>should</w:t>
      </w:r>
      <w:r w:rsidR="00E61886" w:rsidRPr="0096740E">
        <w:rPr>
          <w:noProof/>
        </w:rPr>
        <w:t xml:space="preserve"> to assess the number of households in energy poverty and outline the measures needed to </w:t>
      </w:r>
      <w:r w:rsidR="00E61886" w:rsidRPr="009B54D8">
        <w:rPr>
          <w:noProof/>
          <w:color w:val="000000" w:themeColor="text1"/>
        </w:rPr>
        <w:t>address the social and territorial implications of the energy transition</w:t>
      </w:r>
      <w:r w:rsidR="00E61886" w:rsidRPr="0096740E">
        <w:rPr>
          <w:rStyle w:val="FootnoteReference"/>
          <w:noProof/>
        </w:rPr>
        <w:footnoteReference w:id="83"/>
      </w:r>
      <w:r w:rsidR="00E61886" w:rsidRPr="009B54D8">
        <w:rPr>
          <w:noProof/>
          <w:color w:val="000000" w:themeColor="text1"/>
        </w:rPr>
        <w:t xml:space="preserve">. Territorial Just Transition Plans (TJTPs) </w:t>
      </w:r>
      <w:r w:rsidR="009B4B86" w:rsidRPr="009B54D8">
        <w:rPr>
          <w:noProof/>
          <w:color w:val="000000" w:themeColor="text1"/>
        </w:rPr>
        <w:t>should</w:t>
      </w:r>
      <w:r w:rsidR="00E61886" w:rsidRPr="009B54D8">
        <w:rPr>
          <w:noProof/>
          <w:color w:val="000000" w:themeColor="text1"/>
        </w:rPr>
        <w:t xml:space="preserve"> identify the territories eligible for support under the Just Transition Fund</w:t>
      </w:r>
      <w:r w:rsidR="002606B6" w:rsidRPr="009B54D8">
        <w:rPr>
          <w:noProof/>
          <w:color w:val="000000" w:themeColor="text1"/>
        </w:rPr>
        <w:t xml:space="preserve"> up to </w:t>
      </w:r>
      <w:r w:rsidR="002D5A53" w:rsidRPr="009B54D8">
        <w:rPr>
          <w:noProof/>
          <w:color w:val="000000" w:themeColor="text1"/>
        </w:rPr>
        <w:t>2027</w:t>
      </w:r>
      <w:r w:rsidR="00E61886" w:rsidRPr="00BE2E79">
        <w:rPr>
          <w:rStyle w:val="FootnoteReference"/>
          <w:noProof/>
        </w:rPr>
        <w:footnoteReference w:id="84"/>
      </w:r>
      <w:r w:rsidR="00E61886" w:rsidRPr="009B54D8">
        <w:rPr>
          <w:noProof/>
          <w:color w:val="000000" w:themeColor="text1"/>
        </w:rPr>
        <w:t>.</w:t>
      </w:r>
      <w:r w:rsidR="00E61886" w:rsidRPr="0096740E">
        <w:rPr>
          <w:noProof/>
        </w:rPr>
        <w:t xml:space="preserve"> Funded by</w:t>
      </w:r>
      <w:r w:rsidR="002606B6" w:rsidRPr="0096740E">
        <w:rPr>
          <w:noProof/>
        </w:rPr>
        <w:t xml:space="preserve"> </w:t>
      </w:r>
      <w:r w:rsidR="0077609F" w:rsidRPr="0096740E">
        <w:rPr>
          <w:noProof/>
        </w:rPr>
        <w:t>NextGenerationEU</w:t>
      </w:r>
      <w:r w:rsidR="00E61886" w:rsidRPr="0096740E">
        <w:rPr>
          <w:noProof/>
        </w:rPr>
        <w:t>,</w:t>
      </w:r>
      <w:r w:rsidR="0077609F" w:rsidRPr="0096740E">
        <w:rPr>
          <w:noProof/>
        </w:rPr>
        <w:t xml:space="preserve"> </w:t>
      </w:r>
      <w:r w:rsidR="002606B6" w:rsidRPr="0096740E">
        <w:rPr>
          <w:noProof/>
        </w:rPr>
        <w:t xml:space="preserve">national </w:t>
      </w:r>
      <w:r w:rsidR="00E535F0" w:rsidRPr="0096740E">
        <w:rPr>
          <w:noProof/>
        </w:rPr>
        <w:t>R</w:t>
      </w:r>
      <w:r w:rsidR="00392BC1" w:rsidRPr="0096740E">
        <w:rPr>
          <w:noProof/>
        </w:rPr>
        <w:t xml:space="preserve">ecovery and </w:t>
      </w:r>
      <w:r w:rsidR="00E535F0" w:rsidRPr="0096740E">
        <w:rPr>
          <w:noProof/>
        </w:rPr>
        <w:t>R</w:t>
      </w:r>
      <w:r w:rsidR="00392BC1" w:rsidRPr="0096740E">
        <w:rPr>
          <w:noProof/>
        </w:rPr>
        <w:t xml:space="preserve">esilience </w:t>
      </w:r>
      <w:r w:rsidR="00E535F0" w:rsidRPr="0096740E">
        <w:rPr>
          <w:noProof/>
        </w:rPr>
        <w:t>P</w:t>
      </w:r>
      <w:r w:rsidR="000A3D9A">
        <w:rPr>
          <w:noProof/>
        </w:rPr>
        <w:t xml:space="preserve">lans (RRPs) </w:t>
      </w:r>
      <w:r w:rsidR="00392BC1" w:rsidRPr="0096740E">
        <w:rPr>
          <w:noProof/>
        </w:rPr>
        <w:t>set</w:t>
      </w:r>
      <w:r w:rsidR="000478CD" w:rsidRPr="0096740E">
        <w:rPr>
          <w:noProof/>
        </w:rPr>
        <w:t xml:space="preserve"> </w:t>
      </w:r>
      <w:r w:rsidR="00392BC1" w:rsidRPr="0096740E">
        <w:rPr>
          <w:noProof/>
        </w:rPr>
        <w:t>reforms and investments</w:t>
      </w:r>
      <w:r w:rsidR="00E61886" w:rsidRPr="0096740E">
        <w:rPr>
          <w:noProof/>
        </w:rPr>
        <w:t xml:space="preserve"> </w:t>
      </w:r>
      <w:r w:rsidR="00392BC1" w:rsidRPr="0096740E">
        <w:rPr>
          <w:noProof/>
        </w:rPr>
        <w:t xml:space="preserve">to </w:t>
      </w:r>
      <w:r w:rsidR="002606B6" w:rsidRPr="0096740E">
        <w:rPr>
          <w:noProof/>
        </w:rPr>
        <w:t xml:space="preserve">foster </w:t>
      </w:r>
      <w:r w:rsidR="00392BC1" w:rsidRPr="0096740E">
        <w:rPr>
          <w:noProof/>
        </w:rPr>
        <w:t>the green transition</w:t>
      </w:r>
      <w:r w:rsidR="00AE400B" w:rsidRPr="0096740E">
        <w:rPr>
          <w:noProof/>
        </w:rPr>
        <w:t xml:space="preserve">, </w:t>
      </w:r>
      <w:r w:rsidR="00392BC1" w:rsidRPr="0096740E">
        <w:rPr>
          <w:noProof/>
        </w:rPr>
        <w:t>inclusive growth</w:t>
      </w:r>
      <w:r w:rsidR="00AE400B" w:rsidRPr="0096740E">
        <w:rPr>
          <w:noProof/>
        </w:rPr>
        <w:t xml:space="preserve">, </w:t>
      </w:r>
      <w:r w:rsidR="00392BC1" w:rsidRPr="0096740E">
        <w:rPr>
          <w:noProof/>
        </w:rPr>
        <w:t>social and territorial cohesion</w:t>
      </w:r>
      <w:r w:rsidR="00AE400B" w:rsidRPr="0096740E">
        <w:rPr>
          <w:noProof/>
        </w:rPr>
        <w:t xml:space="preserve">, </w:t>
      </w:r>
      <w:r w:rsidR="00392BC1" w:rsidRPr="0096740E">
        <w:rPr>
          <w:noProof/>
        </w:rPr>
        <w:t>resilience</w:t>
      </w:r>
      <w:r w:rsidR="00AE400B" w:rsidRPr="0096740E">
        <w:rPr>
          <w:noProof/>
        </w:rPr>
        <w:t xml:space="preserve"> </w:t>
      </w:r>
      <w:r w:rsidR="00392BC1" w:rsidRPr="0096740E">
        <w:rPr>
          <w:noProof/>
        </w:rPr>
        <w:t xml:space="preserve">and </w:t>
      </w:r>
      <w:r w:rsidR="002606B6" w:rsidRPr="0096740E">
        <w:rPr>
          <w:noProof/>
        </w:rPr>
        <w:t>prospects for</w:t>
      </w:r>
      <w:r w:rsidR="00392BC1" w:rsidRPr="0096740E">
        <w:rPr>
          <w:noProof/>
        </w:rPr>
        <w:t xml:space="preserve"> the next generation</w:t>
      </w:r>
      <w:r w:rsidR="00E61886" w:rsidRPr="0096740E">
        <w:rPr>
          <w:noProof/>
        </w:rPr>
        <w:t>,</w:t>
      </w:r>
      <w:r w:rsidR="00AE400B" w:rsidRPr="0096740E">
        <w:rPr>
          <w:noProof/>
        </w:rPr>
        <w:t xml:space="preserve"> </w:t>
      </w:r>
      <w:r w:rsidR="00E61886" w:rsidRPr="0096740E">
        <w:rPr>
          <w:noProof/>
        </w:rPr>
        <w:t>with an implementation horizon up to 2026</w:t>
      </w:r>
      <w:r w:rsidR="000478CD" w:rsidRPr="0096740E">
        <w:rPr>
          <w:noProof/>
        </w:rPr>
        <w:t>.</w:t>
      </w:r>
      <w:r w:rsidR="00E535F0" w:rsidRPr="0096740E">
        <w:rPr>
          <w:rStyle w:val="FootnoteReference"/>
          <w:noProof/>
        </w:rPr>
        <w:footnoteReference w:id="85"/>
      </w:r>
      <w:r w:rsidR="00392BC1" w:rsidRPr="009B54D8">
        <w:rPr>
          <w:noProof/>
          <w:color w:val="000000" w:themeColor="text1"/>
        </w:rPr>
        <w:t xml:space="preserve"> </w:t>
      </w:r>
      <w:r w:rsidR="002A730F" w:rsidRPr="009B54D8">
        <w:rPr>
          <w:noProof/>
          <w:color w:val="000000" w:themeColor="text1"/>
        </w:rPr>
        <w:t xml:space="preserve"> </w:t>
      </w:r>
    </w:p>
    <w:p w14:paraId="2896DCD0" w14:textId="093E1C8D" w:rsidR="009B54D8" w:rsidRDefault="00420537" w:rsidP="00420537">
      <w:pPr>
        <w:pStyle w:val="ManualConsidrant"/>
        <w:rPr>
          <w:noProof/>
        </w:rPr>
      </w:pPr>
      <w:r w:rsidRPr="00420537">
        <w:t>(15)</w:t>
      </w:r>
      <w:r w:rsidRPr="00420537">
        <w:tab/>
      </w:r>
      <w:r w:rsidR="00272008" w:rsidRPr="0096740E">
        <w:rPr>
          <w:noProof/>
        </w:rPr>
        <w:t>Building on the principles and policies of the European Green Deal and the European Pillar of Social Rights in particular, t</w:t>
      </w:r>
      <w:r w:rsidR="00FD0E0C" w:rsidRPr="0096740E">
        <w:rPr>
          <w:noProof/>
        </w:rPr>
        <w:t xml:space="preserve">here is scope to </w:t>
      </w:r>
      <w:r w:rsidR="006C3573" w:rsidRPr="0096740E">
        <w:rPr>
          <w:noProof/>
        </w:rPr>
        <w:t xml:space="preserve">enhance </w:t>
      </w:r>
      <w:r w:rsidR="00FD0E0C" w:rsidRPr="0096740E">
        <w:rPr>
          <w:noProof/>
        </w:rPr>
        <w:t xml:space="preserve">design </w:t>
      </w:r>
      <w:r w:rsidR="006C3573" w:rsidRPr="0096740E">
        <w:rPr>
          <w:noProof/>
        </w:rPr>
        <w:t>of</w:t>
      </w:r>
      <w:r w:rsidR="00FD0E0C" w:rsidRPr="0096740E">
        <w:rPr>
          <w:noProof/>
        </w:rPr>
        <w:t xml:space="preserve"> policies</w:t>
      </w:r>
      <w:r w:rsidR="000E7F13" w:rsidRPr="0096740E">
        <w:rPr>
          <w:noProof/>
        </w:rPr>
        <w:t xml:space="preserve"> in a comprehensive </w:t>
      </w:r>
      <w:r w:rsidR="006C3573" w:rsidRPr="0096740E">
        <w:rPr>
          <w:noProof/>
        </w:rPr>
        <w:t xml:space="preserve">and cross cutting </w:t>
      </w:r>
      <w:r w:rsidR="000E7F13" w:rsidRPr="0096740E">
        <w:rPr>
          <w:noProof/>
        </w:rPr>
        <w:t>manner</w:t>
      </w:r>
      <w:r w:rsidR="002606B6" w:rsidRPr="0096740E">
        <w:rPr>
          <w:noProof/>
        </w:rPr>
        <w:t>,</w:t>
      </w:r>
      <w:r w:rsidR="00FD0E0C" w:rsidRPr="0096740E">
        <w:rPr>
          <w:noProof/>
        </w:rPr>
        <w:t xml:space="preserve"> and ensure coherence of the </w:t>
      </w:r>
      <w:r w:rsidR="006C3573" w:rsidRPr="0096740E">
        <w:rPr>
          <w:noProof/>
        </w:rPr>
        <w:t xml:space="preserve">spending </w:t>
      </w:r>
      <w:r w:rsidR="00FD0E0C" w:rsidRPr="0096740E">
        <w:rPr>
          <w:noProof/>
        </w:rPr>
        <w:t>efforts</w:t>
      </w:r>
      <w:r w:rsidR="002606B6" w:rsidRPr="0096740E">
        <w:rPr>
          <w:noProof/>
        </w:rPr>
        <w:t>,</w:t>
      </w:r>
      <w:r w:rsidR="00FD0E0C" w:rsidRPr="0096740E">
        <w:rPr>
          <w:noProof/>
        </w:rPr>
        <w:t xml:space="preserve"> at </w:t>
      </w:r>
      <w:r w:rsidR="002606B6" w:rsidRPr="0096740E">
        <w:rPr>
          <w:noProof/>
        </w:rPr>
        <w:t xml:space="preserve">the </w:t>
      </w:r>
      <w:r w:rsidR="00FD0E0C" w:rsidRPr="0096740E">
        <w:rPr>
          <w:noProof/>
        </w:rPr>
        <w:t>EU and national level</w:t>
      </w:r>
      <w:r w:rsidR="002606B6" w:rsidRPr="0096740E">
        <w:rPr>
          <w:noProof/>
        </w:rPr>
        <w:t>s</w:t>
      </w:r>
      <w:r w:rsidR="00FD0E0C" w:rsidRPr="0096740E">
        <w:rPr>
          <w:noProof/>
        </w:rPr>
        <w:t>.</w:t>
      </w:r>
      <w:r w:rsidR="000E7F13" w:rsidRPr="0096740E">
        <w:rPr>
          <w:noProof/>
        </w:rPr>
        <w:t xml:space="preserve"> </w:t>
      </w:r>
      <w:r w:rsidR="00FD0E0C" w:rsidRPr="0096740E">
        <w:rPr>
          <w:noProof/>
        </w:rPr>
        <w:t xml:space="preserve">In </w:t>
      </w:r>
      <w:r w:rsidR="002606B6" w:rsidRPr="0096740E">
        <w:rPr>
          <w:noProof/>
        </w:rPr>
        <w:t>its</w:t>
      </w:r>
      <w:r w:rsidR="00FD0E0C" w:rsidRPr="0096740E">
        <w:rPr>
          <w:noProof/>
        </w:rPr>
        <w:t xml:space="preserve"> assessment of the final NECPs</w:t>
      </w:r>
      <w:r w:rsidR="00C04208" w:rsidRPr="0096740E">
        <w:rPr>
          <w:rStyle w:val="FootnoteReference"/>
          <w:noProof/>
        </w:rPr>
        <w:footnoteReference w:id="86"/>
      </w:r>
      <w:r w:rsidR="000E7F13" w:rsidRPr="0096740E">
        <w:rPr>
          <w:noProof/>
        </w:rPr>
        <w:t xml:space="preserve">, while recognising that </w:t>
      </w:r>
      <w:r w:rsidR="00AE400B" w:rsidRPr="0096740E">
        <w:rPr>
          <w:noProof/>
        </w:rPr>
        <w:t xml:space="preserve">they </w:t>
      </w:r>
      <w:r w:rsidR="000E7F13" w:rsidRPr="0096740E">
        <w:rPr>
          <w:noProof/>
        </w:rPr>
        <w:t>provi</w:t>
      </w:r>
      <w:r w:rsidR="00D26880" w:rsidRPr="0096740E">
        <w:rPr>
          <w:noProof/>
        </w:rPr>
        <w:t xml:space="preserve">de </w:t>
      </w:r>
      <w:r w:rsidR="00AE400B" w:rsidRPr="0096740E">
        <w:rPr>
          <w:noProof/>
        </w:rPr>
        <w:t xml:space="preserve">some </w:t>
      </w:r>
      <w:r w:rsidR="00D26880" w:rsidRPr="0096740E">
        <w:rPr>
          <w:noProof/>
        </w:rPr>
        <w:t>indicators and policies on energy poverty</w:t>
      </w:r>
      <w:r w:rsidR="000E7F13" w:rsidRPr="0096740E">
        <w:rPr>
          <w:noProof/>
        </w:rPr>
        <w:t xml:space="preserve">, </w:t>
      </w:r>
      <w:r w:rsidR="00FD0E0C" w:rsidRPr="0096740E">
        <w:rPr>
          <w:noProof/>
        </w:rPr>
        <w:t>the Commission</w:t>
      </w:r>
      <w:r w:rsidR="000E7F13" w:rsidRPr="0096740E">
        <w:rPr>
          <w:noProof/>
        </w:rPr>
        <w:t xml:space="preserve"> </w:t>
      </w:r>
      <w:r w:rsidR="00FD0E0C" w:rsidRPr="0096740E">
        <w:rPr>
          <w:noProof/>
        </w:rPr>
        <w:t>conclude</w:t>
      </w:r>
      <w:r w:rsidR="00D26880" w:rsidRPr="0096740E">
        <w:rPr>
          <w:noProof/>
        </w:rPr>
        <w:t>d</w:t>
      </w:r>
      <w:r w:rsidR="00FD0E0C" w:rsidRPr="0096740E">
        <w:rPr>
          <w:noProof/>
        </w:rPr>
        <w:t xml:space="preserve"> that </w:t>
      </w:r>
      <w:r w:rsidR="00AE400B" w:rsidRPr="0096740E">
        <w:rPr>
          <w:noProof/>
        </w:rPr>
        <w:t xml:space="preserve">they </w:t>
      </w:r>
      <w:r w:rsidR="00D26880" w:rsidRPr="0096740E">
        <w:rPr>
          <w:noProof/>
        </w:rPr>
        <w:t>do</w:t>
      </w:r>
      <w:r w:rsidR="00FD0E0C" w:rsidRPr="0096740E">
        <w:rPr>
          <w:noProof/>
        </w:rPr>
        <w:t xml:space="preserve"> not </w:t>
      </w:r>
      <w:r w:rsidR="002606B6" w:rsidRPr="0096740E">
        <w:rPr>
          <w:noProof/>
        </w:rPr>
        <w:t xml:space="preserve">always </w:t>
      </w:r>
      <w:r w:rsidR="00FD0E0C" w:rsidRPr="0096740E">
        <w:rPr>
          <w:noProof/>
        </w:rPr>
        <w:t xml:space="preserve">provide a clear prioritisation of funding needs </w:t>
      </w:r>
      <w:r w:rsidR="00AE400B" w:rsidRPr="0096740E">
        <w:rPr>
          <w:noProof/>
        </w:rPr>
        <w:t xml:space="preserve">for a </w:t>
      </w:r>
      <w:r w:rsidR="001C6DE0" w:rsidRPr="0096740E">
        <w:rPr>
          <w:noProof/>
        </w:rPr>
        <w:t xml:space="preserve">fair </w:t>
      </w:r>
      <w:r w:rsidR="00FD0E0C" w:rsidRPr="0096740E">
        <w:rPr>
          <w:noProof/>
        </w:rPr>
        <w:t xml:space="preserve">transition, nor for reskilling and upskilling </w:t>
      </w:r>
      <w:r w:rsidR="00AE400B" w:rsidRPr="0096740E">
        <w:rPr>
          <w:noProof/>
        </w:rPr>
        <w:t xml:space="preserve">or </w:t>
      </w:r>
      <w:r w:rsidR="00FD0E0C" w:rsidRPr="0096740E">
        <w:rPr>
          <w:noProof/>
        </w:rPr>
        <w:t>for support</w:t>
      </w:r>
      <w:r w:rsidR="00AE400B" w:rsidRPr="0096740E">
        <w:rPr>
          <w:noProof/>
        </w:rPr>
        <w:t>ing</w:t>
      </w:r>
      <w:r w:rsidR="00FD0E0C" w:rsidRPr="0096740E">
        <w:rPr>
          <w:noProof/>
        </w:rPr>
        <w:t xml:space="preserve"> labour market adjustments</w:t>
      </w:r>
      <w:r w:rsidR="00D26880" w:rsidRPr="0096740E">
        <w:rPr>
          <w:noProof/>
        </w:rPr>
        <w:t xml:space="preserve">. </w:t>
      </w:r>
      <w:r w:rsidR="00F96FE3" w:rsidRPr="0096740E">
        <w:rPr>
          <w:noProof/>
        </w:rPr>
        <w:t xml:space="preserve">The </w:t>
      </w:r>
      <w:r w:rsidR="00683937" w:rsidRPr="0096740E">
        <w:rPr>
          <w:noProof/>
        </w:rPr>
        <w:t>TJTPs</w:t>
      </w:r>
      <w:r w:rsidR="002606B6" w:rsidRPr="0096740E">
        <w:rPr>
          <w:noProof/>
        </w:rPr>
        <w:t xml:space="preserve"> </w:t>
      </w:r>
      <w:r w:rsidR="007071DF" w:rsidRPr="0096740E">
        <w:rPr>
          <w:noProof/>
        </w:rPr>
        <w:t>should</w:t>
      </w:r>
      <w:r w:rsidR="002606B6" w:rsidRPr="0096740E">
        <w:rPr>
          <w:noProof/>
        </w:rPr>
        <w:t xml:space="preserve"> </w:t>
      </w:r>
      <w:r w:rsidR="00683937" w:rsidRPr="0096740E">
        <w:rPr>
          <w:noProof/>
        </w:rPr>
        <w:t>focus</w:t>
      </w:r>
      <w:r w:rsidR="00FD27BD" w:rsidRPr="0096740E">
        <w:rPr>
          <w:noProof/>
        </w:rPr>
        <w:t xml:space="preserve"> </w:t>
      </w:r>
      <w:r w:rsidR="00683937" w:rsidRPr="0096740E">
        <w:rPr>
          <w:noProof/>
        </w:rPr>
        <w:t xml:space="preserve">on selected territories and </w:t>
      </w:r>
      <w:r w:rsidR="00BE30D0" w:rsidRPr="0096740E">
        <w:rPr>
          <w:noProof/>
        </w:rPr>
        <w:t>thus</w:t>
      </w:r>
      <w:r w:rsidR="00683937" w:rsidRPr="0096740E">
        <w:rPr>
          <w:noProof/>
        </w:rPr>
        <w:t xml:space="preserve"> </w:t>
      </w:r>
      <w:r w:rsidR="007071DF" w:rsidRPr="0096740E">
        <w:rPr>
          <w:noProof/>
        </w:rPr>
        <w:t xml:space="preserve">are </w:t>
      </w:r>
      <w:r w:rsidR="00683937" w:rsidRPr="0096740E">
        <w:rPr>
          <w:noProof/>
        </w:rPr>
        <w:t>not</w:t>
      </w:r>
      <w:r w:rsidR="007071DF" w:rsidRPr="0096740E">
        <w:rPr>
          <w:noProof/>
        </w:rPr>
        <w:t xml:space="preserve"> expected to</w:t>
      </w:r>
      <w:r w:rsidR="00683937" w:rsidRPr="0096740E">
        <w:rPr>
          <w:noProof/>
        </w:rPr>
        <w:t xml:space="preserve"> </w:t>
      </w:r>
      <w:r w:rsidR="00F96FE3" w:rsidRPr="0096740E">
        <w:rPr>
          <w:noProof/>
        </w:rPr>
        <w:t xml:space="preserve">lay out </w:t>
      </w:r>
      <w:r w:rsidR="00683937" w:rsidRPr="0096740E">
        <w:rPr>
          <w:noProof/>
        </w:rPr>
        <w:t>a</w:t>
      </w:r>
      <w:r w:rsidR="00974388" w:rsidRPr="0096740E">
        <w:rPr>
          <w:noProof/>
        </w:rPr>
        <w:t>n overall</w:t>
      </w:r>
      <w:r w:rsidR="00683937" w:rsidRPr="0096740E">
        <w:rPr>
          <w:noProof/>
        </w:rPr>
        <w:t xml:space="preserve"> strategy</w:t>
      </w:r>
      <w:r w:rsidR="00FD27BD" w:rsidRPr="0096740E">
        <w:rPr>
          <w:noProof/>
        </w:rPr>
        <w:t xml:space="preserve"> and policies</w:t>
      </w:r>
      <w:r w:rsidR="00683937" w:rsidRPr="0096740E">
        <w:rPr>
          <w:noProof/>
        </w:rPr>
        <w:t xml:space="preserve"> </w:t>
      </w:r>
      <w:r w:rsidR="00974388" w:rsidRPr="0096740E">
        <w:rPr>
          <w:noProof/>
        </w:rPr>
        <w:t xml:space="preserve">for a fair transition </w:t>
      </w:r>
      <w:r w:rsidR="00683937" w:rsidRPr="0096740E">
        <w:rPr>
          <w:noProof/>
        </w:rPr>
        <w:t xml:space="preserve">at the national level. </w:t>
      </w:r>
      <w:r w:rsidR="00F26308" w:rsidRPr="0096740E">
        <w:rPr>
          <w:noProof/>
        </w:rPr>
        <w:t>While the reforms and investments they support and help finance are des</w:t>
      </w:r>
      <w:r w:rsidR="002D6E76" w:rsidRPr="0096740E">
        <w:rPr>
          <w:noProof/>
        </w:rPr>
        <w:t>i</w:t>
      </w:r>
      <w:r w:rsidR="00F26308" w:rsidRPr="0096740E">
        <w:rPr>
          <w:noProof/>
        </w:rPr>
        <w:t>gned to provide lasting impact, b</w:t>
      </w:r>
      <w:r w:rsidR="002606B6" w:rsidRPr="0096740E">
        <w:rPr>
          <w:noProof/>
        </w:rPr>
        <w:t>oth T</w:t>
      </w:r>
      <w:r w:rsidR="00236415" w:rsidRPr="0096740E">
        <w:rPr>
          <w:noProof/>
        </w:rPr>
        <w:t>J</w:t>
      </w:r>
      <w:r w:rsidR="002606B6" w:rsidRPr="0096740E">
        <w:rPr>
          <w:noProof/>
        </w:rPr>
        <w:t xml:space="preserve">TPs and RRPs are limited in time. </w:t>
      </w:r>
      <w:r w:rsidR="009968E8" w:rsidRPr="0096740E">
        <w:rPr>
          <w:noProof/>
        </w:rPr>
        <w:t xml:space="preserve">Some </w:t>
      </w:r>
      <w:r w:rsidR="00683937" w:rsidRPr="0096740E">
        <w:rPr>
          <w:noProof/>
        </w:rPr>
        <w:t xml:space="preserve">actions for a </w:t>
      </w:r>
      <w:r w:rsidR="00E15D87" w:rsidRPr="0096740E">
        <w:rPr>
          <w:noProof/>
        </w:rPr>
        <w:t xml:space="preserve">fair </w:t>
      </w:r>
      <w:r w:rsidR="00683937" w:rsidRPr="0096740E">
        <w:rPr>
          <w:noProof/>
        </w:rPr>
        <w:t xml:space="preserve">transition </w:t>
      </w:r>
      <w:r w:rsidR="009968E8" w:rsidRPr="0096740E">
        <w:rPr>
          <w:noProof/>
        </w:rPr>
        <w:t xml:space="preserve">are also </w:t>
      </w:r>
      <w:r w:rsidR="00084550" w:rsidRPr="0096740E">
        <w:rPr>
          <w:noProof/>
        </w:rPr>
        <w:t xml:space="preserve">implemented in </w:t>
      </w:r>
      <w:r w:rsidR="00F26308" w:rsidRPr="0096740E">
        <w:rPr>
          <w:noProof/>
        </w:rPr>
        <w:t xml:space="preserve">the context of </w:t>
      </w:r>
      <w:r w:rsidR="00084550" w:rsidRPr="0096740E">
        <w:rPr>
          <w:noProof/>
        </w:rPr>
        <w:t>other programmes and init</w:t>
      </w:r>
      <w:r w:rsidR="00BF5B32" w:rsidRPr="0096740E">
        <w:rPr>
          <w:noProof/>
        </w:rPr>
        <w:t>i</w:t>
      </w:r>
      <w:r w:rsidR="00084550" w:rsidRPr="0096740E">
        <w:rPr>
          <w:noProof/>
        </w:rPr>
        <w:t>atives</w:t>
      </w:r>
      <w:r w:rsidR="00F26308" w:rsidRPr="0096740E">
        <w:rPr>
          <w:noProof/>
        </w:rPr>
        <w:t>, in particular the Cohesion policy funds</w:t>
      </w:r>
      <w:r w:rsidR="00683937" w:rsidRPr="0096740E">
        <w:rPr>
          <w:noProof/>
        </w:rPr>
        <w:t>.</w:t>
      </w:r>
      <w:r w:rsidR="00BE30D0" w:rsidRPr="0096740E">
        <w:rPr>
          <w:noProof/>
        </w:rPr>
        <w:t xml:space="preserve"> </w:t>
      </w:r>
      <w:r w:rsidR="000A7B1C" w:rsidRPr="0096740E">
        <w:rPr>
          <w:noProof/>
        </w:rPr>
        <w:t xml:space="preserve">The Social Climate Plans </w:t>
      </w:r>
      <w:r w:rsidR="00EB6566" w:rsidRPr="0096740E">
        <w:rPr>
          <w:noProof/>
        </w:rPr>
        <w:t xml:space="preserve">will play an important role in assisting the most affected and vulnerable </w:t>
      </w:r>
      <w:r w:rsidR="00EB6566" w:rsidRPr="00277C69">
        <w:rPr>
          <w:noProof/>
        </w:rPr>
        <w:t>groups</w:t>
      </w:r>
      <w:r w:rsidR="00422B65" w:rsidRPr="00277C69">
        <w:rPr>
          <w:noProof/>
        </w:rPr>
        <w:t xml:space="preserve"> in the context of</w:t>
      </w:r>
      <w:r w:rsidR="000A7B1C" w:rsidRPr="0096740E">
        <w:rPr>
          <w:noProof/>
        </w:rPr>
        <w:t xml:space="preserve"> the </w:t>
      </w:r>
      <w:r w:rsidR="007071DF" w:rsidRPr="0096740E">
        <w:rPr>
          <w:noProof/>
        </w:rPr>
        <w:t>introduction of emissions trading for</w:t>
      </w:r>
      <w:r w:rsidR="000A7B1C" w:rsidRPr="0096740E">
        <w:rPr>
          <w:noProof/>
        </w:rPr>
        <w:t xml:space="preserve"> fuels used in </w:t>
      </w:r>
      <w:r w:rsidR="00411C7E" w:rsidRPr="0096740E">
        <w:rPr>
          <w:noProof/>
        </w:rPr>
        <w:t>road transport and buildings</w:t>
      </w:r>
      <w:r w:rsidR="00EB2260" w:rsidRPr="0096740E">
        <w:rPr>
          <w:noProof/>
        </w:rPr>
        <w:t>.</w:t>
      </w:r>
      <w:r w:rsidR="00BE30D0" w:rsidRPr="0096740E">
        <w:rPr>
          <w:noProof/>
        </w:rPr>
        <w:t xml:space="preserve"> </w:t>
      </w:r>
      <w:r w:rsidR="000A7B1C" w:rsidRPr="0096740E">
        <w:rPr>
          <w:noProof/>
        </w:rPr>
        <w:t xml:space="preserve"> </w:t>
      </w:r>
    </w:p>
    <w:p w14:paraId="0153E3EB" w14:textId="6976AFAB" w:rsidR="009B54D8" w:rsidRDefault="00420537" w:rsidP="00420537">
      <w:pPr>
        <w:pStyle w:val="ManualConsidrant"/>
        <w:rPr>
          <w:noProof/>
        </w:rPr>
      </w:pPr>
      <w:r w:rsidRPr="00420537">
        <w:t>(16)</w:t>
      </w:r>
      <w:r w:rsidRPr="00420537">
        <w:tab/>
      </w:r>
      <w:r w:rsidR="002B2F41" w:rsidRPr="0096740E">
        <w:rPr>
          <w:noProof/>
        </w:rPr>
        <w:t xml:space="preserve">A </w:t>
      </w:r>
      <w:r w:rsidR="00E15D87" w:rsidRPr="0096740E">
        <w:rPr>
          <w:noProof/>
        </w:rPr>
        <w:t>fair</w:t>
      </w:r>
      <w:r w:rsidR="002B2F41" w:rsidRPr="0096740E">
        <w:rPr>
          <w:noProof/>
        </w:rPr>
        <w:t xml:space="preserve"> transition towards climate neutrality</w:t>
      </w:r>
      <w:r w:rsidR="006D0BF6" w:rsidRPr="0096740E">
        <w:rPr>
          <w:noProof/>
        </w:rPr>
        <w:t xml:space="preserve"> in the Union by 2050</w:t>
      </w:r>
      <w:r w:rsidR="002B2F41" w:rsidRPr="0096740E">
        <w:rPr>
          <w:noProof/>
        </w:rPr>
        <w:t xml:space="preserve"> </w:t>
      </w:r>
      <w:r w:rsidR="006C3573" w:rsidRPr="0096740E">
        <w:rPr>
          <w:noProof/>
        </w:rPr>
        <w:t>will</w:t>
      </w:r>
      <w:r w:rsidR="004F3AE8" w:rsidRPr="0096740E">
        <w:rPr>
          <w:noProof/>
        </w:rPr>
        <w:t xml:space="preserve"> ensur</w:t>
      </w:r>
      <w:r w:rsidR="006C3573" w:rsidRPr="0096740E">
        <w:rPr>
          <w:noProof/>
        </w:rPr>
        <w:t>e</w:t>
      </w:r>
      <w:r w:rsidR="004F3AE8" w:rsidRPr="0096740E">
        <w:rPr>
          <w:noProof/>
        </w:rPr>
        <w:t xml:space="preserve"> that no one is left behind, in particular workers and households most affected</w:t>
      </w:r>
      <w:r w:rsidR="002B2F41" w:rsidRPr="0096740E">
        <w:rPr>
          <w:noProof/>
        </w:rPr>
        <w:t xml:space="preserve"> by the green transition</w:t>
      </w:r>
      <w:r w:rsidR="004F3AE8" w:rsidRPr="0096740E">
        <w:rPr>
          <w:noProof/>
        </w:rPr>
        <w:t xml:space="preserve">, </w:t>
      </w:r>
      <w:r w:rsidR="00902D20" w:rsidRPr="0096740E">
        <w:rPr>
          <w:noProof/>
        </w:rPr>
        <w:t xml:space="preserve">and </w:t>
      </w:r>
      <w:r w:rsidR="002B2F41" w:rsidRPr="0096740E">
        <w:rPr>
          <w:noProof/>
        </w:rPr>
        <w:t>notably</w:t>
      </w:r>
      <w:r w:rsidR="004F3AE8" w:rsidRPr="0096740E">
        <w:rPr>
          <w:noProof/>
        </w:rPr>
        <w:t xml:space="preserve"> those </w:t>
      </w:r>
      <w:r w:rsidR="002B2F41" w:rsidRPr="0096740E">
        <w:rPr>
          <w:noProof/>
        </w:rPr>
        <w:t>already in vulnerable situations</w:t>
      </w:r>
      <w:r w:rsidR="004F3AE8" w:rsidRPr="0096740E">
        <w:rPr>
          <w:noProof/>
        </w:rPr>
        <w:t xml:space="preserve">. </w:t>
      </w:r>
      <w:r w:rsidR="006D0BF6" w:rsidRPr="00BE2E79">
        <w:rPr>
          <w:noProof/>
        </w:rPr>
        <w:t>To this end, a</w:t>
      </w:r>
      <w:r w:rsidR="002B2F41" w:rsidRPr="00BE2E79">
        <w:rPr>
          <w:noProof/>
        </w:rPr>
        <w:t xml:space="preserve">s set out in this Recommendation, </w:t>
      </w:r>
      <w:r w:rsidR="006D0BF6" w:rsidRPr="00BE2E79">
        <w:rPr>
          <w:noProof/>
        </w:rPr>
        <w:t xml:space="preserve">Member States </w:t>
      </w:r>
      <w:r w:rsidR="00F36026" w:rsidRPr="00BE2E79">
        <w:rPr>
          <w:noProof/>
        </w:rPr>
        <w:t>should</w:t>
      </w:r>
      <w:r w:rsidR="00902D20" w:rsidRPr="00BE2E79">
        <w:rPr>
          <w:noProof/>
        </w:rPr>
        <w:t xml:space="preserve"> </w:t>
      </w:r>
      <w:r w:rsidR="006D0BF6" w:rsidRPr="00BE2E79">
        <w:rPr>
          <w:noProof/>
        </w:rPr>
        <w:t>put in place comprehensive policy packages</w:t>
      </w:r>
      <w:r w:rsidR="006D0BF6" w:rsidRPr="0096740E">
        <w:rPr>
          <w:rStyle w:val="FootnoteReference"/>
          <w:noProof/>
        </w:rPr>
        <w:footnoteReference w:id="87"/>
      </w:r>
      <w:r w:rsidR="006D0BF6" w:rsidRPr="00BE2E79">
        <w:rPr>
          <w:noProof/>
        </w:rPr>
        <w:t xml:space="preserve">, </w:t>
      </w:r>
      <w:r w:rsidR="002B2F41" w:rsidRPr="00BE2E79">
        <w:rPr>
          <w:noProof/>
        </w:rPr>
        <w:t xml:space="preserve">strengthen cross-cutting elements that promote </w:t>
      </w:r>
      <w:r w:rsidR="00617CA7" w:rsidRPr="00BE2E79">
        <w:rPr>
          <w:noProof/>
        </w:rPr>
        <w:t>fair</w:t>
      </w:r>
      <w:r w:rsidR="002B2F41" w:rsidRPr="00BE2E79">
        <w:rPr>
          <w:noProof/>
        </w:rPr>
        <w:t xml:space="preserve"> green transition, </w:t>
      </w:r>
      <w:r w:rsidR="006D0BF6" w:rsidRPr="00BE2E79">
        <w:rPr>
          <w:noProof/>
        </w:rPr>
        <w:t>and</w:t>
      </w:r>
      <w:r w:rsidR="002B2F41" w:rsidRPr="00BE2E79">
        <w:rPr>
          <w:noProof/>
        </w:rPr>
        <w:t xml:space="preserve"> make optimal use of public and private funding.</w:t>
      </w:r>
      <w:r w:rsidR="00FF55D8" w:rsidRPr="00BE2E79">
        <w:rPr>
          <w:noProof/>
        </w:rPr>
        <w:t xml:space="preserve"> </w:t>
      </w:r>
      <w:r w:rsidR="00FF55D8" w:rsidRPr="0096740E">
        <w:rPr>
          <w:noProof/>
        </w:rPr>
        <w:t>The policy packages should</w:t>
      </w:r>
      <w:r w:rsidR="00847202" w:rsidRPr="0096740E">
        <w:rPr>
          <w:noProof/>
        </w:rPr>
        <w:t xml:space="preserve"> consider </w:t>
      </w:r>
      <w:r w:rsidR="00977808" w:rsidRPr="0096740E">
        <w:rPr>
          <w:noProof/>
        </w:rPr>
        <w:t xml:space="preserve">those </w:t>
      </w:r>
      <w:r w:rsidR="00847202" w:rsidRPr="0096740E">
        <w:rPr>
          <w:noProof/>
        </w:rPr>
        <w:t xml:space="preserve">people and households </w:t>
      </w:r>
      <w:r w:rsidR="00977808" w:rsidRPr="0096740E">
        <w:rPr>
          <w:noProof/>
        </w:rPr>
        <w:t xml:space="preserve">that are </w:t>
      </w:r>
      <w:r w:rsidR="00847202" w:rsidRPr="0096740E">
        <w:rPr>
          <w:noProof/>
        </w:rPr>
        <w:t>most affected</w:t>
      </w:r>
      <w:r w:rsidR="00740A0C" w:rsidRPr="0096740E">
        <w:rPr>
          <w:noProof/>
        </w:rPr>
        <w:t xml:space="preserve"> </w:t>
      </w:r>
      <w:r w:rsidR="00A223D6" w:rsidRPr="0096740E">
        <w:rPr>
          <w:noProof/>
        </w:rPr>
        <w:t xml:space="preserve">by the green transition, </w:t>
      </w:r>
      <w:r w:rsidR="00740A0C" w:rsidRPr="0096740E">
        <w:rPr>
          <w:noProof/>
        </w:rPr>
        <w:t xml:space="preserve">notably </w:t>
      </w:r>
      <w:r w:rsidR="00847202" w:rsidRPr="0096740E">
        <w:rPr>
          <w:noProof/>
        </w:rPr>
        <w:t>by job losses</w:t>
      </w:r>
      <w:r w:rsidR="00740A0C" w:rsidRPr="0096740E">
        <w:rPr>
          <w:noProof/>
        </w:rPr>
        <w:t xml:space="preserve"> </w:t>
      </w:r>
      <w:r w:rsidR="00F83F80" w:rsidRPr="0096740E">
        <w:rPr>
          <w:noProof/>
        </w:rPr>
        <w:t xml:space="preserve">but also </w:t>
      </w:r>
      <w:r w:rsidR="00740A0C" w:rsidRPr="0096740E">
        <w:rPr>
          <w:noProof/>
        </w:rPr>
        <w:t>by</w:t>
      </w:r>
      <w:r w:rsidR="00847202" w:rsidRPr="0096740E" w:rsidDel="00540CF0">
        <w:rPr>
          <w:noProof/>
        </w:rPr>
        <w:t xml:space="preserve"> </w:t>
      </w:r>
      <w:r w:rsidR="00847202" w:rsidRPr="0096740E">
        <w:rPr>
          <w:noProof/>
        </w:rPr>
        <w:t>changing working conditions</w:t>
      </w:r>
      <w:r w:rsidR="00540CF0" w:rsidRPr="0096740E">
        <w:rPr>
          <w:noProof/>
        </w:rPr>
        <w:t xml:space="preserve"> and/or </w:t>
      </w:r>
      <w:r w:rsidR="00847202" w:rsidRPr="0096740E">
        <w:rPr>
          <w:noProof/>
        </w:rPr>
        <w:t>new task requirements</w:t>
      </w:r>
      <w:r w:rsidR="00D866F0">
        <w:rPr>
          <w:noProof/>
        </w:rPr>
        <w:t xml:space="preserve"> on the job</w:t>
      </w:r>
      <w:r w:rsidR="00847202" w:rsidRPr="0096740E">
        <w:rPr>
          <w:noProof/>
        </w:rPr>
        <w:t xml:space="preserve">, </w:t>
      </w:r>
      <w:r w:rsidR="00B843C9" w:rsidRPr="0096740E">
        <w:rPr>
          <w:noProof/>
        </w:rPr>
        <w:t>as well as</w:t>
      </w:r>
      <w:r w:rsidR="00847202" w:rsidRPr="0096740E">
        <w:rPr>
          <w:noProof/>
        </w:rPr>
        <w:t xml:space="preserve"> </w:t>
      </w:r>
      <w:r w:rsidR="00540CF0" w:rsidRPr="0096740E">
        <w:rPr>
          <w:noProof/>
        </w:rPr>
        <w:t xml:space="preserve">those </w:t>
      </w:r>
      <w:r w:rsidR="00A223D6" w:rsidRPr="0096740E">
        <w:rPr>
          <w:noProof/>
        </w:rPr>
        <w:t>subject to</w:t>
      </w:r>
      <w:r w:rsidR="00540CF0" w:rsidRPr="0096740E">
        <w:rPr>
          <w:noProof/>
        </w:rPr>
        <w:t xml:space="preserve"> </w:t>
      </w:r>
      <w:r w:rsidR="00C639BA" w:rsidRPr="0096740E">
        <w:rPr>
          <w:noProof/>
        </w:rPr>
        <w:t xml:space="preserve">adverse </w:t>
      </w:r>
      <w:r w:rsidR="00847202" w:rsidRPr="0096740E">
        <w:rPr>
          <w:noProof/>
        </w:rPr>
        <w:t>impacts on disposable incomes, expenditure, a</w:t>
      </w:r>
      <w:r w:rsidR="000A3D9A">
        <w:rPr>
          <w:noProof/>
        </w:rPr>
        <w:t>nd access to essential services</w:t>
      </w:r>
      <w:r w:rsidR="00847202" w:rsidRPr="0096740E">
        <w:rPr>
          <w:noProof/>
        </w:rPr>
        <w:t xml:space="preserve">. </w:t>
      </w:r>
      <w:r w:rsidR="00C639BA" w:rsidRPr="0096740E">
        <w:rPr>
          <w:noProof/>
        </w:rPr>
        <w:t>As part of</w:t>
      </w:r>
      <w:r w:rsidR="00847202" w:rsidRPr="0096740E">
        <w:rPr>
          <w:noProof/>
        </w:rPr>
        <w:t xml:space="preserve"> the most affected groups, policy packages should in particular</w:t>
      </w:r>
      <w:r w:rsidR="00C639BA" w:rsidRPr="0096740E">
        <w:rPr>
          <w:noProof/>
        </w:rPr>
        <w:t xml:space="preserve"> - but not only -</w:t>
      </w:r>
      <w:r w:rsidR="00847202" w:rsidRPr="0096740E">
        <w:rPr>
          <w:noProof/>
        </w:rPr>
        <w:t xml:space="preserve"> consider people and households in vulnerable situations, notably people furthest away from the lab</w:t>
      </w:r>
      <w:r w:rsidR="00C639BA" w:rsidRPr="0096740E">
        <w:rPr>
          <w:noProof/>
        </w:rPr>
        <w:t xml:space="preserve">our market, for instance due to their skills, territorial labour market conditions, or other characteristics, such as </w:t>
      </w:r>
      <w:r w:rsidR="00905F74" w:rsidRPr="0096740E">
        <w:rPr>
          <w:noProof/>
        </w:rPr>
        <w:t>sex</w:t>
      </w:r>
      <w:r w:rsidR="00C639BA" w:rsidRPr="0096740E">
        <w:rPr>
          <w:noProof/>
        </w:rPr>
        <w:t>, racial or ethnic origin, religion or belief, disability, age or sexual orientation. Moreover, people and households</w:t>
      </w:r>
      <w:r w:rsidR="00847202" w:rsidRPr="0096740E">
        <w:rPr>
          <w:noProof/>
        </w:rPr>
        <w:t xml:space="preserve"> </w:t>
      </w:r>
      <w:r w:rsidR="00C639BA" w:rsidRPr="0096740E">
        <w:rPr>
          <w:noProof/>
        </w:rPr>
        <w:t xml:space="preserve">in vulnerable situations may include those </w:t>
      </w:r>
      <w:r w:rsidR="00847202" w:rsidRPr="0096740E">
        <w:rPr>
          <w:noProof/>
        </w:rPr>
        <w:t>living in or at risk of poverty and</w:t>
      </w:r>
      <w:r w:rsidR="00C639BA" w:rsidRPr="0096740E">
        <w:rPr>
          <w:noProof/>
        </w:rPr>
        <w:t>/or</w:t>
      </w:r>
      <w:r w:rsidR="00847202" w:rsidRPr="0096740E">
        <w:rPr>
          <w:noProof/>
        </w:rPr>
        <w:t xml:space="preserve"> energy poverty,</w:t>
      </w:r>
      <w:r w:rsidR="00C639BA" w:rsidRPr="0096740E">
        <w:rPr>
          <w:noProof/>
        </w:rPr>
        <w:t xml:space="preserve"> facing barriers to mobility, or</w:t>
      </w:r>
      <w:r w:rsidR="00847202" w:rsidRPr="0096740E">
        <w:rPr>
          <w:noProof/>
        </w:rPr>
        <w:t xml:space="preserve"> </w:t>
      </w:r>
      <w:r w:rsidR="00C639BA" w:rsidRPr="0096740E">
        <w:rPr>
          <w:noProof/>
        </w:rPr>
        <w:t>an overburden of housing costs</w:t>
      </w:r>
      <w:r w:rsidR="00847202" w:rsidRPr="0096740E">
        <w:rPr>
          <w:noProof/>
        </w:rPr>
        <w:t>.</w:t>
      </w:r>
      <w:r w:rsidR="000E6C2E" w:rsidRPr="0096740E">
        <w:rPr>
          <w:noProof/>
        </w:rPr>
        <w:t xml:space="preserve"> </w:t>
      </w:r>
      <w:r w:rsidR="00C639BA" w:rsidRPr="0096740E">
        <w:rPr>
          <w:noProof/>
        </w:rPr>
        <w:t xml:space="preserve">Policy packages should </w:t>
      </w:r>
      <w:r w:rsidR="00FF55D8" w:rsidRPr="0096740E">
        <w:rPr>
          <w:noProof/>
        </w:rPr>
        <w:t>be adapted to local circumstances, taking into account the needs of the most vulnerable and remote parts of the EU, including the outermost regions.</w:t>
      </w:r>
    </w:p>
    <w:p w14:paraId="41590915" w14:textId="7BFB0EE0" w:rsidR="009B54D8" w:rsidRDefault="00420537" w:rsidP="00420537">
      <w:pPr>
        <w:pStyle w:val="ManualConsidrant"/>
        <w:rPr>
          <w:noProof/>
        </w:rPr>
      </w:pPr>
      <w:r w:rsidRPr="00420537">
        <w:t>(17)</w:t>
      </w:r>
      <w:r w:rsidRPr="00420537">
        <w:tab/>
      </w:r>
      <w:r w:rsidR="00365A29" w:rsidRPr="0096740E">
        <w:rPr>
          <w:noProof/>
        </w:rPr>
        <w:t>A</w:t>
      </w:r>
      <w:r w:rsidR="009D70EA" w:rsidRPr="0096740E">
        <w:rPr>
          <w:noProof/>
        </w:rPr>
        <w:t>ctive support to quality employment</w:t>
      </w:r>
      <w:r w:rsidR="00365A29" w:rsidRPr="0096740E">
        <w:rPr>
          <w:noProof/>
        </w:rPr>
        <w:t xml:space="preserve"> </w:t>
      </w:r>
      <w:r w:rsidR="00EB6566" w:rsidRPr="0096740E">
        <w:rPr>
          <w:noProof/>
        </w:rPr>
        <w:t>should focus on</w:t>
      </w:r>
      <w:r w:rsidR="00C56329" w:rsidRPr="0096740E">
        <w:rPr>
          <w:noProof/>
        </w:rPr>
        <w:t xml:space="preserve"> </w:t>
      </w:r>
      <w:r w:rsidR="005D5F78" w:rsidRPr="0096740E">
        <w:rPr>
          <w:noProof/>
        </w:rPr>
        <w:t>help</w:t>
      </w:r>
      <w:r w:rsidR="00EB6566" w:rsidRPr="0096740E">
        <w:rPr>
          <w:noProof/>
        </w:rPr>
        <w:t>ing</w:t>
      </w:r>
      <w:r w:rsidR="00365A29" w:rsidRPr="0096740E">
        <w:rPr>
          <w:noProof/>
        </w:rPr>
        <w:t xml:space="preserve"> workers</w:t>
      </w:r>
      <w:r w:rsidR="005D5F78" w:rsidRPr="0096740E">
        <w:rPr>
          <w:noProof/>
        </w:rPr>
        <w:t xml:space="preserve">, </w:t>
      </w:r>
      <w:r w:rsidR="00365A29" w:rsidRPr="0096740E">
        <w:rPr>
          <w:noProof/>
        </w:rPr>
        <w:t>job seekers</w:t>
      </w:r>
      <w:r w:rsidR="00902D20" w:rsidRPr="0096740E">
        <w:rPr>
          <w:noProof/>
        </w:rPr>
        <w:t xml:space="preserve">, people not in employment, education or training (NEETs) </w:t>
      </w:r>
      <w:r w:rsidR="00365A29" w:rsidRPr="0096740E">
        <w:rPr>
          <w:noProof/>
        </w:rPr>
        <w:t>and</w:t>
      </w:r>
      <w:r w:rsidR="005D5F78" w:rsidRPr="0096740E">
        <w:rPr>
          <w:noProof/>
        </w:rPr>
        <w:t xml:space="preserve"> </w:t>
      </w:r>
      <w:r w:rsidR="00902D20" w:rsidRPr="0096740E">
        <w:rPr>
          <w:noProof/>
        </w:rPr>
        <w:t xml:space="preserve">the </w:t>
      </w:r>
      <w:r w:rsidR="00365A29" w:rsidRPr="0096740E">
        <w:rPr>
          <w:noProof/>
        </w:rPr>
        <w:t>self</w:t>
      </w:r>
      <w:r w:rsidR="005D5F78" w:rsidRPr="0096740E">
        <w:rPr>
          <w:noProof/>
        </w:rPr>
        <w:t>-</w:t>
      </w:r>
      <w:r w:rsidR="00365A29" w:rsidRPr="0096740E">
        <w:rPr>
          <w:noProof/>
        </w:rPr>
        <w:t xml:space="preserve">employed </w:t>
      </w:r>
      <w:r w:rsidR="00540CF0" w:rsidRPr="0096740E">
        <w:rPr>
          <w:noProof/>
        </w:rPr>
        <w:t>most affected by the green transition</w:t>
      </w:r>
      <w:r w:rsidR="005D5F78" w:rsidRPr="0096740E">
        <w:rPr>
          <w:noProof/>
        </w:rPr>
        <w:t xml:space="preserve">. In particular, </w:t>
      </w:r>
      <w:r w:rsidR="00D73E7F">
        <w:rPr>
          <w:noProof/>
        </w:rPr>
        <w:t>underrepresented people such as women or</w:t>
      </w:r>
      <w:r w:rsidR="005D5F78" w:rsidRPr="0096740E">
        <w:rPr>
          <w:noProof/>
        </w:rPr>
        <w:t xml:space="preserve"> people w</w:t>
      </w:r>
      <w:r w:rsidR="00902D20" w:rsidRPr="0096740E">
        <w:rPr>
          <w:noProof/>
        </w:rPr>
        <w:t xml:space="preserve">ith </w:t>
      </w:r>
      <w:r w:rsidR="005D5F78" w:rsidRPr="0096740E">
        <w:rPr>
          <w:noProof/>
        </w:rPr>
        <w:t>comparatively</w:t>
      </w:r>
      <w:r w:rsidR="00902D20" w:rsidRPr="0096740E">
        <w:rPr>
          <w:noProof/>
        </w:rPr>
        <w:t xml:space="preserve"> </w:t>
      </w:r>
      <w:r w:rsidR="005D5F78" w:rsidRPr="0096740E">
        <w:rPr>
          <w:noProof/>
        </w:rPr>
        <w:t xml:space="preserve">low capacities to adapt to changes on the labour market require </w:t>
      </w:r>
      <w:r w:rsidR="00430702" w:rsidRPr="0096740E">
        <w:rPr>
          <w:noProof/>
        </w:rPr>
        <w:t>support</w:t>
      </w:r>
      <w:r w:rsidR="00EF4251" w:rsidRPr="0096740E">
        <w:rPr>
          <w:noProof/>
        </w:rPr>
        <w:t xml:space="preserve"> to improve their employability</w:t>
      </w:r>
      <w:r w:rsidR="00E15D87" w:rsidRPr="0096740E">
        <w:rPr>
          <w:noProof/>
        </w:rPr>
        <w:t xml:space="preserve"> and </w:t>
      </w:r>
      <w:r w:rsidR="0035597E" w:rsidRPr="0096740E">
        <w:rPr>
          <w:noProof/>
        </w:rPr>
        <w:t>for finding employment</w:t>
      </w:r>
      <w:r w:rsidR="009968E8" w:rsidRPr="0096740E">
        <w:rPr>
          <w:noProof/>
        </w:rPr>
        <w:t>, in line with the Commission Recommendation for Effective Active Support to Employment</w:t>
      </w:r>
      <w:r w:rsidR="00540CF0" w:rsidRPr="0096740E">
        <w:rPr>
          <w:noProof/>
        </w:rPr>
        <w:t xml:space="preserve"> following the COVID-19 crisis</w:t>
      </w:r>
      <w:r w:rsidR="009968E8" w:rsidRPr="0096740E">
        <w:rPr>
          <w:noProof/>
        </w:rPr>
        <w:t xml:space="preserve"> (EASE)</w:t>
      </w:r>
      <w:r w:rsidR="009968E8" w:rsidRPr="0096740E">
        <w:rPr>
          <w:rStyle w:val="FootnoteReference"/>
          <w:noProof/>
        </w:rPr>
        <w:footnoteReference w:id="88"/>
      </w:r>
      <w:r w:rsidR="005D5F78" w:rsidRPr="0096740E">
        <w:rPr>
          <w:noProof/>
        </w:rPr>
        <w:t>.</w:t>
      </w:r>
      <w:r w:rsidR="00367140" w:rsidRPr="0096740E">
        <w:rPr>
          <w:noProof/>
        </w:rPr>
        <w:t xml:space="preserve"> Building on previous policy guidance</w:t>
      </w:r>
      <w:r w:rsidR="00367140" w:rsidRPr="0096740E">
        <w:rPr>
          <w:rStyle w:val="FootnoteReference"/>
          <w:noProof/>
        </w:rPr>
        <w:footnoteReference w:id="89"/>
      </w:r>
      <w:r w:rsidR="00367140" w:rsidRPr="0096740E">
        <w:rPr>
          <w:noProof/>
        </w:rPr>
        <w:t>, policy packages should thus include tailored measures to support hiring and transition incentives, entrepreneurship support</w:t>
      </w:r>
      <w:r w:rsidR="004A4800" w:rsidRPr="0096740E">
        <w:rPr>
          <w:noProof/>
        </w:rPr>
        <w:t xml:space="preserve"> and </w:t>
      </w:r>
      <w:r w:rsidR="00773268" w:rsidRPr="0096740E">
        <w:rPr>
          <w:noProof/>
        </w:rPr>
        <w:t xml:space="preserve">quality </w:t>
      </w:r>
      <w:r w:rsidR="004A4800" w:rsidRPr="0096740E">
        <w:rPr>
          <w:noProof/>
        </w:rPr>
        <w:t>job creation measures, in particular for micro, small and medium-sized enterprises and in most affected territories</w:t>
      </w:r>
      <w:r w:rsidR="00540CF0" w:rsidRPr="0096740E">
        <w:rPr>
          <w:noProof/>
        </w:rPr>
        <w:t>. They should also foster t</w:t>
      </w:r>
      <w:r w:rsidR="00367140" w:rsidRPr="0096740E">
        <w:rPr>
          <w:noProof/>
        </w:rPr>
        <w:t xml:space="preserve">he effective implementation and enforcement of existing rules </w:t>
      </w:r>
      <w:r w:rsidR="00540CF0" w:rsidRPr="0096740E">
        <w:rPr>
          <w:noProof/>
        </w:rPr>
        <w:t xml:space="preserve">on </w:t>
      </w:r>
      <w:r w:rsidR="00367140" w:rsidRPr="0096740E">
        <w:rPr>
          <w:noProof/>
        </w:rPr>
        <w:t>working conditions</w:t>
      </w:r>
      <w:r w:rsidR="00540CF0" w:rsidRPr="0096740E">
        <w:rPr>
          <w:noProof/>
        </w:rPr>
        <w:t xml:space="preserve"> </w:t>
      </w:r>
      <w:r w:rsidR="00367140" w:rsidRPr="0096740E">
        <w:rPr>
          <w:noProof/>
        </w:rPr>
        <w:t>and support to socially responsible restructuring in line with existing rules and standard</w:t>
      </w:r>
      <w:r w:rsidR="00F13B15" w:rsidRPr="0096740E">
        <w:rPr>
          <w:noProof/>
        </w:rPr>
        <w:t>s</w:t>
      </w:r>
      <w:r w:rsidR="00C56329" w:rsidRPr="0096740E">
        <w:rPr>
          <w:noProof/>
        </w:rPr>
        <w:t>.</w:t>
      </w:r>
      <w:r w:rsidR="00773268" w:rsidRPr="0096740E">
        <w:rPr>
          <w:noProof/>
        </w:rPr>
        <w:t xml:space="preserve"> Social partners have a vital role to play to contribute to addressing, through dialogue, the employment and</w:t>
      </w:r>
      <w:r w:rsidR="00454049" w:rsidRPr="0096740E">
        <w:rPr>
          <w:noProof/>
        </w:rPr>
        <w:t xml:space="preserve"> social consequences of the </w:t>
      </w:r>
      <w:r w:rsidR="00773268" w:rsidRPr="0096740E">
        <w:rPr>
          <w:noProof/>
        </w:rPr>
        <w:t>challenges of the green transition.</w:t>
      </w:r>
    </w:p>
    <w:p w14:paraId="228B8481" w14:textId="12199F25" w:rsidR="009B54D8" w:rsidRDefault="00420537" w:rsidP="00420537">
      <w:pPr>
        <w:pStyle w:val="ManualConsidrant"/>
        <w:rPr>
          <w:noProof/>
        </w:rPr>
      </w:pPr>
      <w:r w:rsidRPr="00420537">
        <w:t>(18)</w:t>
      </w:r>
      <w:r w:rsidRPr="00420537">
        <w:tab/>
      </w:r>
      <w:r w:rsidR="00C56329" w:rsidRPr="0096740E">
        <w:rPr>
          <w:noProof/>
        </w:rPr>
        <w:t>A</w:t>
      </w:r>
      <w:r w:rsidR="00B97C6F" w:rsidRPr="0096740E">
        <w:rPr>
          <w:noProof/>
        </w:rPr>
        <w:t xml:space="preserve">ccess to quality and inclusive education, training and life-long learning </w:t>
      </w:r>
      <w:r w:rsidR="00F81784" w:rsidRPr="0096740E">
        <w:rPr>
          <w:noProof/>
        </w:rPr>
        <w:t xml:space="preserve">for all </w:t>
      </w:r>
      <w:r w:rsidR="00C56329" w:rsidRPr="0096740E">
        <w:rPr>
          <w:noProof/>
        </w:rPr>
        <w:t xml:space="preserve">is essential for ensuring that the workforce has the skills required to deliver on the green transition. </w:t>
      </w:r>
      <w:r w:rsidR="001C6DE0" w:rsidRPr="0096740E">
        <w:rPr>
          <w:noProof/>
        </w:rPr>
        <w:t xml:space="preserve">Fair </w:t>
      </w:r>
      <w:r w:rsidR="00C56329" w:rsidRPr="0096740E">
        <w:rPr>
          <w:noProof/>
        </w:rPr>
        <w:t xml:space="preserve">transition aspects should thus be integrated in the development and implementation of </w:t>
      </w:r>
      <w:r w:rsidR="005614E7" w:rsidRPr="0096740E">
        <w:rPr>
          <w:noProof/>
        </w:rPr>
        <w:t>n</w:t>
      </w:r>
      <w:r w:rsidR="00C56329" w:rsidRPr="0096740E">
        <w:rPr>
          <w:noProof/>
        </w:rPr>
        <w:t xml:space="preserve">ational </w:t>
      </w:r>
      <w:r w:rsidR="005614E7" w:rsidRPr="0096740E">
        <w:rPr>
          <w:noProof/>
        </w:rPr>
        <w:t>s</w:t>
      </w:r>
      <w:r w:rsidR="00C56329" w:rsidRPr="0096740E">
        <w:rPr>
          <w:noProof/>
        </w:rPr>
        <w:t xml:space="preserve">kills </w:t>
      </w:r>
      <w:r w:rsidR="005614E7" w:rsidRPr="0096740E">
        <w:rPr>
          <w:noProof/>
        </w:rPr>
        <w:t>s</w:t>
      </w:r>
      <w:r w:rsidR="00C56329" w:rsidRPr="0096740E">
        <w:rPr>
          <w:noProof/>
        </w:rPr>
        <w:t>trategies, in line with the European Skills Agenda and the EU’s new updated Industrial Strategy</w:t>
      </w:r>
      <w:r w:rsidR="00DB1FBF" w:rsidRPr="0096740E">
        <w:rPr>
          <w:rStyle w:val="FootnoteReference"/>
          <w:noProof/>
        </w:rPr>
        <w:footnoteReference w:id="90"/>
      </w:r>
      <w:r w:rsidR="00E6472B" w:rsidRPr="0096740E">
        <w:rPr>
          <w:noProof/>
        </w:rPr>
        <w:t>. S</w:t>
      </w:r>
      <w:r w:rsidR="00C56329" w:rsidRPr="0096740E">
        <w:rPr>
          <w:noProof/>
        </w:rPr>
        <w:t>kills partnerships under the Pact for Skills will also be an important lever.</w:t>
      </w:r>
      <w:r w:rsidR="00C56329" w:rsidRPr="009B54D8">
        <w:rPr>
          <w:i/>
          <w:iCs/>
          <w:noProof/>
        </w:rPr>
        <w:t xml:space="preserve"> </w:t>
      </w:r>
      <w:r w:rsidR="002E3858" w:rsidRPr="0096740E">
        <w:rPr>
          <w:noProof/>
        </w:rPr>
        <w:t>U</w:t>
      </w:r>
      <w:r w:rsidR="00C56329" w:rsidRPr="0096740E">
        <w:rPr>
          <w:noProof/>
        </w:rPr>
        <w:t>p-to-date labour market and ski</w:t>
      </w:r>
      <w:r w:rsidR="002E3858" w:rsidRPr="0096740E">
        <w:rPr>
          <w:noProof/>
        </w:rPr>
        <w:t>lls intelligence and foresight</w:t>
      </w:r>
      <w:r w:rsidR="005614E7" w:rsidRPr="0096740E">
        <w:rPr>
          <w:noProof/>
        </w:rPr>
        <w:t>, including at regional, sectoral and occupational levels</w:t>
      </w:r>
      <w:r w:rsidR="002E3858" w:rsidRPr="0096740E">
        <w:rPr>
          <w:noProof/>
        </w:rPr>
        <w:t xml:space="preserve"> </w:t>
      </w:r>
      <w:r w:rsidR="00C56329" w:rsidRPr="0096740E">
        <w:rPr>
          <w:noProof/>
        </w:rPr>
        <w:t xml:space="preserve">allows </w:t>
      </w:r>
      <w:r w:rsidR="00071F47" w:rsidRPr="0096740E">
        <w:rPr>
          <w:noProof/>
        </w:rPr>
        <w:t xml:space="preserve">for the identification </w:t>
      </w:r>
      <w:r w:rsidR="00C56329" w:rsidRPr="0096740E">
        <w:rPr>
          <w:noProof/>
        </w:rPr>
        <w:t xml:space="preserve">and forecasting </w:t>
      </w:r>
      <w:r w:rsidR="00071F47" w:rsidRPr="0096740E">
        <w:rPr>
          <w:noProof/>
        </w:rPr>
        <w:t xml:space="preserve">of </w:t>
      </w:r>
      <w:r w:rsidR="002E3858" w:rsidRPr="0096740E">
        <w:rPr>
          <w:noProof/>
        </w:rPr>
        <w:t xml:space="preserve">relevant </w:t>
      </w:r>
      <w:r w:rsidR="00C56329" w:rsidRPr="0096740E">
        <w:rPr>
          <w:noProof/>
        </w:rPr>
        <w:t>occupation-specific and transversal skills needs</w:t>
      </w:r>
      <w:r w:rsidR="002E3858" w:rsidRPr="0096740E">
        <w:rPr>
          <w:noProof/>
        </w:rPr>
        <w:t>, also as a basis for adapting c</w:t>
      </w:r>
      <w:r w:rsidR="00C56329" w:rsidRPr="0096740E">
        <w:rPr>
          <w:noProof/>
        </w:rPr>
        <w:t>urricula</w:t>
      </w:r>
      <w:r w:rsidR="002E3858" w:rsidRPr="0096740E">
        <w:rPr>
          <w:noProof/>
        </w:rPr>
        <w:t xml:space="preserve"> </w:t>
      </w:r>
      <w:r w:rsidR="00071F47" w:rsidRPr="0096740E">
        <w:rPr>
          <w:noProof/>
        </w:rPr>
        <w:t>to meet the skills needs for the green transition</w:t>
      </w:r>
      <w:r w:rsidR="00C56329" w:rsidRPr="0096740E">
        <w:rPr>
          <w:noProof/>
        </w:rPr>
        <w:t>.</w:t>
      </w:r>
      <w:r w:rsidR="005614E7" w:rsidRPr="0096740E">
        <w:rPr>
          <w:noProof/>
        </w:rPr>
        <w:t xml:space="preserve"> VET should equip young people and adults</w:t>
      </w:r>
      <w:r w:rsidR="00C84E40">
        <w:rPr>
          <w:noProof/>
        </w:rPr>
        <w:t>, in particular women,</w:t>
      </w:r>
      <w:r w:rsidR="005614E7" w:rsidRPr="0096740E">
        <w:rPr>
          <w:noProof/>
        </w:rPr>
        <w:t xml:space="preserve"> with the skills needed to master the green transition</w:t>
      </w:r>
      <w:r w:rsidR="005614E7" w:rsidRPr="0096740E">
        <w:rPr>
          <w:rStyle w:val="FootnoteReference"/>
          <w:noProof/>
        </w:rPr>
        <w:footnoteReference w:id="91"/>
      </w:r>
      <w:r w:rsidR="005614E7" w:rsidRPr="0096740E">
        <w:rPr>
          <w:noProof/>
        </w:rPr>
        <w:t>.</w:t>
      </w:r>
      <w:r w:rsidR="00C56329" w:rsidRPr="0096740E">
        <w:rPr>
          <w:noProof/>
        </w:rPr>
        <w:t xml:space="preserve"> </w:t>
      </w:r>
      <w:r w:rsidR="005C1F40" w:rsidRPr="0096740E">
        <w:rPr>
          <w:noProof/>
        </w:rPr>
        <w:t>Apprenticeships and paid traineeships</w:t>
      </w:r>
      <w:r w:rsidR="0083415B" w:rsidRPr="0096740E">
        <w:rPr>
          <w:noProof/>
        </w:rPr>
        <w:t>,</w:t>
      </w:r>
      <w:r w:rsidR="005C1F40" w:rsidRPr="0096740E">
        <w:rPr>
          <w:noProof/>
        </w:rPr>
        <w:t xml:space="preserve"> </w:t>
      </w:r>
      <w:r w:rsidR="00773268" w:rsidRPr="0096740E">
        <w:rPr>
          <w:noProof/>
        </w:rPr>
        <w:t>including strong</w:t>
      </w:r>
      <w:r w:rsidR="005C1F40" w:rsidRPr="0096740E">
        <w:rPr>
          <w:noProof/>
        </w:rPr>
        <w:t xml:space="preserve"> training</w:t>
      </w:r>
      <w:r w:rsidR="00773268" w:rsidRPr="0096740E">
        <w:rPr>
          <w:noProof/>
        </w:rPr>
        <w:t xml:space="preserve"> components</w:t>
      </w:r>
      <w:r w:rsidR="005C1F40" w:rsidRPr="0096740E">
        <w:rPr>
          <w:noProof/>
        </w:rPr>
        <w:t xml:space="preserve">, </w:t>
      </w:r>
      <w:r w:rsidR="0083415B" w:rsidRPr="0096740E">
        <w:rPr>
          <w:noProof/>
        </w:rPr>
        <w:t xml:space="preserve">in particular for young people, </w:t>
      </w:r>
      <w:r w:rsidR="005C1F40" w:rsidRPr="0096740E">
        <w:rPr>
          <w:noProof/>
        </w:rPr>
        <w:t>contribute to labour market transitions</w:t>
      </w:r>
      <w:r w:rsidR="0083415B" w:rsidRPr="0096740E">
        <w:rPr>
          <w:noProof/>
        </w:rPr>
        <w:t xml:space="preserve">, </w:t>
      </w:r>
      <w:r w:rsidR="005C1F40" w:rsidRPr="0096740E">
        <w:rPr>
          <w:noProof/>
        </w:rPr>
        <w:t>n</w:t>
      </w:r>
      <w:r w:rsidR="0083415B" w:rsidRPr="0096740E">
        <w:rPr>
          <w:noProof/>
        </w:rPr>
        <w:t>otably towards activities contributing to climate and environmental objectives, and sectors facing particular skills shortages</w:t>
      </w:r>
      <w:r w:rsidR="005C1F40" w:rsidRPr="0096740E">
        <w:rPr>
          <w:noProof/>
        </w:rPr>
        <w:t xml:space="preserve">. </w:t>
      </w:r>
      <w:r w:rsidR="00C56329" w:rsidRPr="0096740E">
        <w:rPr>
          <w:noProof/>
        </w:rPr>
        <w:t xml:space="preserve">Increasing adult participation in </w:t>
      </w:r>
      <w:r w:rsidR="00071F47" w:rsidRPr="0096740E">
        <w:rPr>
          <w:noProof/>
        </w:rPr>
        <w:t xml:space="preserve">lifelong learning </w:t>
      </w:r>
      <w:r w:rsidR="002E3858" w:rsidRPr="0096740E">
        <w:rPr>
          <w:noProof/>
        </w:rPr>
        <w:t xml:space="preserve">should be promoted </w:t>
      </w:r>
      <w:r w:rsidR="00E6472B" w:rsidRPr="0096740E">
        <w:rPr>
          <w:noProof/>
        </w:rPr>
        <w:t>to meet upskilling and reskilling needs</w:t>
      </w:r>
      <w:r w:rsidR="002E3858" w:rsidRPr="0096740E">
        <w:rPr>
          <w:noProof/>
        </w:rPr>
        <w:t>,</w:t>
      </w:r>
      <w:r w:rsidR="005614E7" w:rsidRPr="0096740E">
        <w:rPr>
          <w:noProof/>
        </w:rPr>
        <w:t xml:space="preserve"> inter alia by empowering individuals to seek training that is tailored to their needs and </w:t>
      </w:r>
      <w:r w:rsidR="002E3858" w:rsidRPr="0096740E">
        <w:rPr>
          <w:noProof/>
        </w:rPr>
        <w:t xml:space="preserve">via </w:t>
      </w:r>
      <w:r w:rsidR="00C56329" w:rsidRPr="0096740E">
        <w:rPr>
          <w:noProof/>
        </w:rPr>
        <w:t>short</w:t>
      </w:r>
      <w:r w:rsidR="002C5DAD" w:rsidRPr="0096740E">
        <w:rPr>
          <w:noProof/>
        </w:rPr>
        <w:t>, quality-assured</w:t>
      </w:r>
      <w:r w:rsidR="00C56329" w:rsidRPr="0096740E">
        <w:rPr>
          <w:noProof/>
        </w:rPr>
        <w:t xml:space="preserve"> courses on skills for the green transition, building on the European approach to micro-credentials, </w:t>
      </w:r>
      <w:r w:rsidR="002E3858" w:rsidRPr="0096740E">
        <w:rPr>
          <w:noProof/>
        </w:rPr>
        <w:t>which will</w:t>
      </w:r>
      <w:r w:rsidR="00C56329" w:rsidRPr="0096740E">
        <w:rPr>
          <w:noProof/>
        </w:rPr>
        <w:t xml:space="preserve"> also make it easier to value and recognise the outcomes of such courses.</w:t>
      </w:r>
    </w:p>
    <w:p w14:paraId="3D83D790" w14:textId="116CB2F2" w:rsidR="009B54D8" w:rsidRPr="00277C69" w:rsidRDefault="00420537" w:rsidP="00420537">
      <w:pPr>
        <w:pStyle w:val="ManualConsidrant"/>
        <w:rPr>
          <w:noProof/>
        </w:rPr>
      </w:pPr>
      <w:r w:rsidRPr="00420537">
        <w:t>(19)</w:t>
      </w:r>
      <w:r w:rsidRPr="00420537">
        <w:tab/>
      </w:r>
      <w:r w:rsidR="00F13B15" w:rsidRPr="0096740E">
        <w:rPr>
          <w:noProof/>
        </w:rPr>
        <w:t>The composition of t</w:t>
      </w:r>
      <w:r w:rsidR="001E087C" w:rsidRPr="0096740E">
        <w:rPr>
          <w:noProof/>
        </w:rPr>
        <w:t xml:space="preserve">ax-benefit systems and social protection systems </w:t>
      </w:r>
      <w:r w:rsidR="00E20306" w:rsidRPr="0096740E">
        <w:rPr>
          <w:noProof/>
        </w:rPr>
        <w:t>should</w:t>
      </w:r>
      <w:r w:rsidR="00AD50A1" w:rsidRPr="0096740E">
        <w:rPr>
          <w:noProof/>
        </w:rPr>
        <w:t xml:space="preserve"> be reviewed against the specific</w:t>
      </w:r>
      <w:r w:rsidR="001E087C" w:rsidRPr="0096740E">
        <w:rPr>
          <w:noProof/>
        </w:rPr>
        <w:t xml:space="preserve"> needs stemming from the</w:t>
      </w:r>
      <w:r w:rsidR="006C60F4" w:rsidRPr="0096740E">
        <w:rPr>
          <w:noProof/>
        </w:rPr>
        <w:t xml:space="preserve"> green</w:t>
      </w:r>
      <w:r w:rsidR="001E087C" w:rsidRPr="0096740E">
        <w:rPr>
          <w:noProof/>
        </w:rPr>
        <w:t xml:space="preserve"> transition</w:t>
      </w:r>
      <w:r w:rsidR="0009704A" w:rsidRPr="0096740E">
        <w:rPr>
          <w:noProof/>
        </w:rPr>
        <w:t>,</w:t>
      </w:r>
      <w:r w:rsidR="00B36D3B" w:rsidRPr="0096740E">
        <w:rPr>
          <w:noProof/>
        </w:rPr>
        <w:t xml:space="preserve"> reflecting also the ‘polluter pays principle’</w:t>
      </w:r>
      <w:r w:rsidR="0009704A" w:rsidRPr="0096740E">
        <w:rPr>
          <w:noProof/>
        </w:rPr>
        <w:t xml:space="preserve"> </w:t>
      </w:r>
      <w:r w:rsidR="00076B77" w:rsidRPr="0096740E">
        <w:rPr>
          <w:noProof/>
        </w:rPr>
        <w:t xml:space="preserve">and the need </w:t>
      </w:r>
      <w:r w:rsidR="0009704A" w:rsidRPr="0096740E">
        <w:rPr>
          <w:noProof/>
        </w:rPr>
        <w:t>that </w:t>
      </w:r>
      <w:r w:rsidR="00076B77" w:rsidRPr="0096740E">
        <w:rPr>
          <w:noProof/>
        </w:rPr>
        <w:t xml:space="preserve">accompanying policies </w:t>
      </w:r>
      <w:r w:rsidR="0009704A" w:rsidRPr="0096740E">
        <w:rPr>
          <w:noProof/>
        </w:rPr>
        <w:t>will not introduce subsidies to fossil fuels consumption, will not lock in consumers to a specific technology and will not decrease incentives for building renovations, thermal energy system substitutions and in general energy efficiency measures</w:t>
      </w:r>
      <w:r w:rsidR="006C60F4" w:rsidRPr="0096740E">
        <w:rPr>
          <w:noProof/>
        </w:rPr>
        <w:t>.</w:t>
      </w:r>
      <w:r w:rsidR="00AD50A1" w:rsidRPr="0096740E">
        <w:rPr>
          <w:noProof/>
        </w:rPr>
        <w:t xml:space="preserve"> A combination of various policies can support the most vulnerable households and workers most </w:t>
      </w:r>
      <w:r w:rsidR="005614E7" w:rsidRPr="0096740E">
        <w:rPr>
          <w:noProof/>
        </w:rPr>
        <w:t xml:space="preserve">affected </w:t>
      </w:r>
      <w:r w:rsidR="00AD50A1" w:rsidRPr="0096740E">
        <w:rPr>
          <w:noProof/>
        </w:rPr>
        <w:t xml:space="preserve">by the green transition. Depending on the national </w:t>
      </w:r>
      <w:r w:rsidR="006C3573" w:rsidRPr="0096740E">
        <w:rPr>
          <w:noProof/>
        </w:rPr>
        <w:t xml:space="preserve">and individual </w:t>
      </w:r>
      <w:r w:rsidR="00AD50A1" w:rsidRPr="0096740E">
        <w:rPr>
          <w:noProof/>
        </w:rPr>
        <w:t>situation, this could for instance involve a shift of taxation away from labour</w:t>
      </w:r>
      <w:r w:rsidR="00585F92" w:rsidRPr="0096740E">
        <w:rPr>
          <w:noProof/>
        </w:rPr>
        <w:t xml:space="preserve"> and towards climate and environmental objectives in line with the proposal for revision of the Energy Taxation Directive</w:t>
      </w:r>
      <w:r w:rsidR="00585F92" w:rsidRPr="0096740E">
        <w:rPr>
          <w:rStyle w:val="FootnoteReference"/>
          <w:noProof/>
        </w:rPr>
        <w:footnoteReference w:id="92"/>
      </w:r>
      <w:r w:rsidR="00585F92" w:rsidRPr="0096740E">
        <w:rPr>
          <w:noProof/>
        </w:rPr>
        <w:t>,</w:t>
      </w:r>
      <w:r w:rsidR="00AD50A1" w:rsidRPr="0096740E">
        <w:rPr>
          <w:noProof/>
        </w:rPr>
        <w:t xml:space="preserve"> </w:t>
      </w:r>
      <w:r w:rsidR="00540CF0" w:rsidRPr="0096740E">
        <w:rPr>
          <w:noProof/>
        </w:rPr>
        <w:t>a review of</w:t>
      </w:r>
      <w:r w:rsidR="00AD50A1" w:rsidRPr="0096740E">
        <w:rPr>
          <w:noProof/>
        </w:rPr>
        <w:t xml:space="preserve"> unemployment schemes</w:t>
      </w:r>
      <w:r w:rsidR="00540CF0" w:rsidRPr="0096740E">
        <w:rPr>
          <w:noProof/>
        </w:rPr>
        <w:t xml:space="preserve"> and/or temporary and targeted direct income support, where necessary</w:t>
      </w:r>
      <w:r w:rsidR="00AD50A1" w:rsidRPr="0096740E">
        <w:rPr>
          <w:noProof/>
        </w:rPr>
        <w:t>.</w:t>
      </w:r>
      <w:r w:rsidR="007B1F26" w:rsidRPr="0096740E">
        <w:rPr>
          <w:noProof/>
        </w:rPr>
        <w:t xml:space="preserve"> </w:t>
      </w:r>
      <w:r w:rsidR="00A21489" w:rsidRPr="0096740E">
        <w:rPr>
          <w:noProof/>
        </w:rPr>
        <w:t>S</w:t>
      </w:r>
      <w:r w:rsidR="007B1F26" w:rsidRPr="0096740E">
        <w:rPr>
          <w:noProof/>
        </w:rPr>
        <w:t xml:space="preserve">ocial protection and social inclusion systems </w:t>
      </w:r>
      <w:r w:rsidR="00A21489" w:rsidRPr="0096740E">
        <w:rPr>
          <w:noProof/>
        </w:rPr>
        <w:t xml:space="preserve">can be assessed and, where applicable, adapted in light of the green transition, in particular to provide for </w:t>
      </w:r>
      <w:r w:rsidR="005E26F4" w:rsidRPr="0096740E">
        <w:rPr>
          <w:noProof/>
        </w:rPr>
        <w:t xml:space="preserve">income security, notably during job-to-job transitions, and </w:t>
      </w:r>
      <w:r w:rsidR="00540CF0" w:rsidRPr="0096740E">
        <w:rPr>
          <w:noProof/>
        </w:rPr>
        <w:t xml:space="preserve">to provide </w:t>
      </w:r>
      <w:r w:rsidR="00A21489" w:rsidRPr="0096740E">
        <w:rPr>
          <w:noProof/>
        </w:rPr>
        <w:t xml:space="preserve">adequate social, health and care services </w:t>
      </w:r>
      <w:r w:rsidR="00540CF0" w:rsidRPr="0096740E">
        <w:rPr>
          <w:noProof/>
        </w:rPr>
        <w:t>through</w:t>
      </w:r>
      <w:r w:rsidR="00A21489" w:rsidRPr="0096740E">
        <w:rPr>
          <w:noProof/>
        </w:rPr>
        <w:t xml:space="preserve"> adequate social infrastructure, notably in most affected territories</w:t>
      </w:r>
      <w:r w:rsidR="00580BA9" w:rsidRPr="0096740E">
        <w:rPr>
          <w:noProof/>
        </w:rPr>
        <w:t xml:space="preserve"> (e.g.</w:t>
      </w:r>
      <w:r w:rsidR="00894A3B" w:rsidRPr="0096740E">
        <w:rPr>
          <w:noProof/>
        </w:rPr>
        <w:t xml:space="preserve"> </w:t>
      </w:r>
      <w:r w:rsidR="00580BA9" w:rsidRPr="0096740E">
        <w:rPr>
          <w:noProof/>
        </w:rPr>
        <w:t>rural and remote areas)</w:t>
      </w:r>
      <w:r w:rsidR="00540CF0" w:rsidRPr="0096740E">
        <w:rPr>
          <w:noProof/>
        </w:rPr>
        <w:t xml:space="preserve"> in order to</w:t>
      </w:r>
      <w:r w:rsidR="00A21489" w:rsidRPr="0096740E">
        <w:rPr>
          <w:noProof/>
        </w:rPr>
        <w:t xml:space="preserve"> prevent social exclusion, and address health risks</w:t>
      </w:r>
      <w:r w:rsidR="007B1F26" w:rsidRPr="0096740E">
        <w:rPr>
          <w:noProof/>
        </w:rPr>
        <w:t xml:space="preserve">. </w:t>
      </w:r>
      <w:r w:rsidR="00902D20" w:rsidRPr="0096740E">
        <w:rPr>
          <w:noProof/>
        </w:rPr>
        <w:t>T</w:t>
      </w:r>
      <w:r w:rsidR="007B1F26" w:rsidRPr="0096740E">
        <w:rPr>
          <w:noProof/>
        </w:rPr>
        <w:t xml:space="preserve">o build </w:t>
      </w:r>
      <w:r w:rsidR="00B46A9E" w:rsidRPr="00277C69">
        <w:rPr>
          <w:noProof/>
        </w:rPr>
        <w:t>physical and financial</w:t>
      </w:r>
      <w:r w:rsidR="00B46A9E">
        <w:rPr>
          <w:noProof/>
        </w:rPr>
        <w:t xml:space="preserve"> </w:t>
      </w:r>
      <w:r w:rsidR="007B1F26" w:rsidRPr="0096740E">
        <w:rPr>
          <w:noProof/>
        </w:rPr>
        <w:t>resilience to the irreversible impacts of climate change in an inclusive manner, risk-awareness, risk reduction and risk-transfer solutions need to be promoted, in particular by increasing the availability of insurance solutions</w:t>
      </w:r>
      <w:r w:rsidR="00B46A9E">
        <w:rPr>
          <w:noProof/>
        </w:rPr>
        <w:t xml:space="preserve"> </w:t>
      </w:r>
      <w:r w:rsidR="00B46A9E" w:rsidRPr="00277C69">
        <w:rPr>
          <w:noProof/>
        </w:rPr>
        <w:t>and by investing in disaster risk management and adaptation to reduce the physical impacts of climate change and thereby reducing losses as well as the climate protection gap,</w:t>
      </w:r>
      <w:r w:rsidR="007B1F26" w:rsidRPr="00277C69">
        <w:rPr>
          <w:noProof/>
        </w:rPr>
        <w:t xml:space="preserve"> </w:t>
      </w:r>
      <w:r w:rsidR="00A21489" w:rsidRPr="00705830">
        <w:rPr>
          <w:noProof/>
        </w:rPr>
        <w:t xml:space="preserve">taking into account micro, small and medium-sized enterprises, as well as rural and </w:t>
      </w:r>
      <w:r w:rsidR="00A21489" w:rsidRPr="00101F50">
        <w:rPr>
          <w:noProof/>
        </w:rPr>
        <w:t>remote areas</w:t>
      </w:r>
      <w:r w:rsidR="007B1F26" w:rsidRPr="00101F50">
        <w:rPr>
          <w:noProof/>
        </w:rPr>
        <w:t>.</w:t>
      </w:r>
      <w:r w:rsidR="003260EE" w:rsidRPr="00101F50">
        <w:rPr>
          <w:noProof/>
        </w:rPr>
        <w:t xml:space="preserve"> </w:t>
      </w:r>
      <w:r w:rsidR="003260EE" w:rsidRPr="00071578">
        <w:rPr>
          <w:noProof/>
        </w:rPr>
        <w:t>Disaster risk management including c</w:t>
      </w:r>
      <w:r w:rsidR="003260EE" w:rsidRPr="00101F50">
        <w:rPr>
          <w:noProof/>
        </w:rPr>
        <w:t xml:space="preserve">ivil protection systems at the national and EU level should be reinforced </w:t>
      </w:r>
      <w:r w:rsidR="003260EE" w:rsidRPr="00071578">
        <w:rPr>
          <w:noProof/>
        </w:rPr>
        <w:t>to better prevent, prepare for and respond to climate related shocks.</w:t>
      </w:r>
    </w:p>
    <w:p w14:paraId="452CC42F" w14:textId="7CC7A0B1" w:rsidR="009B54D8" w:rsidRDefault="00420537" w:rsidP="00420537">
      <w:pPr>
        <w:pStyle w:val="ManualConsidrant"/>
        <w:rPr>
          <w:noProof/>
        </w:rPr>
      </w:pPr>
      <w:r w:rsidRPr="00420537">
        <w:t>(20)</w:t>
      </w:r>
      <w:r w:rsidRPr="00420537">
        <w:tab/>
      </w:r>
      <w:r w:rsidR="00C827C4" w:rsidRPr="0096740E">
        <w:rPr>
          <w:noProof/>
        </w:rPr>
        <w:t xml:space="preserve">Everyone has the right to access </w:t>
      </w:r>
      <w:r w:rsidR="00DD097E" w:rsidRPr="0096740E">
        <w:rPr>
          <w:noProof/>
        </w:rPr>
        <w:t>essential services</w:t>
      </w:r>
      <w:r w:rsidR="00C827C4" w:rsidRPr="0096740E">
        <w:rPr>
          <w:noProof/>
        </w:rPr>
        <w:t xml:space="preserve"> of good quality</w:t>
      </w:r>
      <w:r w:rsidR="00DD097E" w:rsidRPr="0096740E">
        <w:rPr>
          <w:noProof/>
        </w:rPr>
        <w:t>, including energy, transport</w:t>
      </w:r>
      <w:r w:rsidR="00C827C4" w:rsidRPr="0096740E">
        <w:rPr>
          <w:noProof/>
        </w:rPr>
        <w:t>,</w:t>
      </w:r>
      <w:r w:rsidR="00587CAF" w:rsidRPr="0096740E">
        <w:rPr>
          <w:noProof/>
        </w:rPr>
        <w:t xml:space="preserve"> sanitation,</w:t>
      </w:r>
      <w:r w:rsidR="00C827C4" w:rsidRPr="0096740E">
        <w:rPr>
          <w:noProof/>
        </w:rPr>
        <w:t xml:space="preserve"> financial services and digital communications, and support for </w:t>
      </w:r>
      <w:r w:rsidR="00105ECE" w:rsidRPr="0096740E">
        <w:rPr>
          <w:noProof/>
        </w:rPr>
        <w:t xml:space="preserve">equal </w:t>
      </w:r>
      <w:r w:rsidR="00C827C4" w:rsidRPr="0096740E">
        <w:rPr>
          <w:noProof/>
        </w:rPr>
        <w:t xml:space="preserve">access to such services </w:t>
      </w:r>
      <w:r w:rsidR="00F36026" w:rsidRPr="0096740E">
        <w:rPr>
          <w:noProof/>
        </w:rPr>
        <w:t xml:space="preserve">should </w:t>
      </w:r>
      <w:r w:rsidR="00C827C4" w:rsidRPr="0096740E">
        <w:rPr>
          <w:noProof/>
        </w:rPr>
        <w:t xml:space="preserve">be made available </w:t>
      </w:r>
      <w:r w:rsidR="00540CF0" w:rsidRPr="0096740E">
        <w:rPr>
          <w:noProof/>
        </w:rPr>
        <w:t xml:space="preserve">to </w:t>
      </w:r>
      <w:r w:rsidR="00C827C4" w:rsidRPr="0096740E">
        <w:rPr>
          <w:noProof/>
        </w:rPr>
        <w:t>those in need</w:t>
      </w:r>
      <w:r w:rsidR="00C827C4" w:rsidRPr="0096740E">
        <w:rPr>
          <w:rStyle w:val="FootnoteReference"/>
          <w:noProof/>
        </w:rPr>
        <w:footnoteReference w:id="93"/>
      </w:r>
      <w:r w:rsidR="00C827C4" w:rsidRPr="0096740E">
        <w:rPr>
          <w:noProof/>
        </w:rPr>
        <w:t>.  Also, access to social housing or housing assistance of good quality sh</w:t>
      </w:r>
      <w:r w:rsidR="00E20306" w:rsidRPr="0096740E">
        <w:rPr>
          <w:noProof/>
        </w:rPr>
        <w:t>ould</w:t>
      </w:r>
      <w:r w:rsidR="00C827C4" w:rsidRPr="0096740E">
        <w:rPr>
          <w:noProof/>
        </w:rPr>
        <w:t xml:space="preserve"> be provided for those in need</w:t>
      </w:r>
      <w:r w:rsidR="00C827C4" w:rsidRPr="0096740E">
        <w:rPr>
          <w:rStyle w:val="FootnoteReference"/>
          <w:noProof/>
        </w:rPr>
        <w:footnoteReference w:id="94"/>
      </w:r>
      <w:r w:rsidR="00C827C4" w:rsidRPr="0096740E">
        <w:rPr>
          <w:noProof/>
        </w:rPr>
        <w:t xml:space="preserve">. </w:t>
      </w:r>
      <w:r w:rsidR="0011136A" w:rsidRPr="0096740E">
        <w:rPr>
          <w:noProof/>
        </w:rPr>
        <w:t xml:space="preserve">In addition, low and medium income households, vulnerable customers, including final users, people facing or risking energy poverty and people living in social housing can benefit from the application of the </w:t>
      </w:r>
      <w:r w:rsidR="00076B77" w:rsidRPr="0096740E">
        <w:rPr>
          <w:noProof/>
        </w:rPr>
        <w:t>‘e</w:t>
      </w:r>
      <w:r w:rsidR="0011136A" w:rsidRPr="0096740E">
        <w:rPr>
          <w:noProof/>
        </w:rPr>
        <w:t xml:space="preserve">nergy </w:t>
      </w:r>
      <w:r w:rsidR="003439A2">
        <w:rPr>
          <w:noProof/>
        </w:rPr>
        <w:t>e</w:t>
      </w:r>
      <w:r w:rsidR="0011136A" w:rsidRPr="0096740E">
        <w:rPr>
          <w:noProof/>
        </w:rPr>
        <w:t xml:space="preserve">fficiency </w:t>
      </w:r>
      <w:r w:rsidR="00076B77" w:rsidRPr="0096740E">
        <w:rPr>
          <w:noProof/>
        </w:rPr>
        <w:t>f</w:t>
      </w:r>
      <w:r w:rsidR="0011136A" w:rsidRPr="0096740E">
        <w:rPr>
          <w:noProof/>
        </w:rPr>
        <w:t>irst principle</w:t>
      </w:r>
      <w:r w:rsidR="00076B77" w:rsidRPr="0096740E">
        <w:rPr>
          <w:noProof/>
        </w:rPr>
        <w:t>’</w:t>
      </w:r>
      <w:r w:rsidR="0011136A" w:rsidRPr="0096740E">
        <w:rPr>
          <w:noProof/>
        </w:rPr>
        <w:t>.</w:t>
      </w:r>
      <w:r w:rsidR="00C827C4" w:rsidRPr="0096740E">
        <w:rPr>
          <w:noProof/>
        </w:rPr>
        <w:t xml:space="preserve"> </w:t>
      </w:r>
      <w:r w:rsidR="000C622D">
        <w:rPr>
          <w:noProof/>
        </w:rPr>
        <w:t>In addition to</w:t>
      </w:r>
      <w:r w:rsidR="000C622D" w:rsidRPr="0096740E">
        <w:rPr>
          <w:noProof/>
        </w:rPr>
        <w:t xml:space="preserve"> protecting and empowering energy consumers</w:t>
      </w:r>
      <w:r w:rsidR="000C622D">
        <w:rPr>
          <w:noProof/>
        </w:rPr>
        <w:t>, s</w:t>
      </w:r>
      <w:r w:rsidR="00902D20" w:rsidRPr="0096740E">
        <w:rPr>
          <w:noProof/>
        </w:rPr>
        <w:t xml:space="preserve">pecific </w:t>
      </w:r>
      <w:r w:rsidR="00AD201F" w:rsidRPr="0096740E">
        <w:rPr>
          <w:noProof/>
        </w:rPr>
        <w:t xml:space="preserve">measures </w:t>
      </w:r>
      <w:r w:rsidR="002E4189" w:rsidRPr="0096740E">
        <w:rPr>
          <w:noProof/>
        </w:rPr>
        <w:t xml:space="preserve">are needed to prevent </w:t>
      </w:r>
      <w:r w:rsidR="00AD201F" w:rsidRPr="0096740E">
        <w:rPr>
          <w:noProof/>
        </w:rPr>
        <w:t>and tackl</w:t>
      </w:r>
      <w:r w:rsidR="002E4189" w:rsidRPr="0096740E">
        <w:rPr>
          <w:noProof/>
        </w:rPr>
        <w:t>e the root causes of</w:t>
      </w:r>
      <w:r w:rsidR="00AD201F" w:rsidRPr="0096740E">
        <w:rPr>
          <w:noProof/>
        </w:rPr>
        <w:t xml:space="preserve"> energy poverty</w:t>
      </w:r>
      <w:r w:rsidR="00C24463" w:rsidRPr="0096740E">
        <w:rPr>
          <w:noProof/>
        </w:rPr>
        <w:t xml:space="preserve">, in particular </w:t>
      </w:r>
      <w:r w:rsidR="00AD201F" w:rsidRPr="0096740E">
        <w:rPr>
          <w:noProof/>
        </w:rPr>
        <w:t>by promoting investments targeted at energy efficiency improvements</w:t>
      </w:r>
      <w:r w:rsidR="00256C88" w:rsidRPr="0096740E">
        <w:rPr>
          <w:noProof/>
        </w:rPr>
        <w:t>, notably in the social housing sector</w:t>
      </w:r>
      <w:r w:rsidR="000C622D">
        <w:rPr>
          <w:noProof/>
        </w:rPr>
        <w:t>,</w:t>
      </w:r>
      <w:r w:rsidR="00AD201F" w:rsidRPr="0096740E">
        <w:rPr>
          <w:noProof/>
        </w:rPr>
        <w:t xml:space="preserve"> </w:t>
      </w:r>
      <w:r w:rsidR="007F5F1C" w:rsidRPr="0096740E">
        <w:rPr>
          <w:noProof/>
        </w:rPr>
        <w:t xml:space="preserve">in line with the proposal on the Energy </w:t>
      </w:r>
      <w:r w:rsidR="002E4189" w:rsidRPr="0096740E">
        <w:rPr>
          <w:noProof/>
        </w:rPr>
        <w:t>Efficiency Directive</w:t>
      </w:r>
      <w:r w:rsidR="000C622D" w:rsidRPr="0096740E">
        <w:rPr>
          <w:rStyle w:val="FootnoteReference"/>
          <w:noProof/>
        </w:rPr>
        <w:footnoteReference w:id="95"/>
      </w:r>
      <w:r w:rsidR="002E4189" w:rsidRPr="0096740E">
        <w:rPr>
          <w:noProof/>
        </w:rPr>
        <w:t xml:space="preserve"> recast adopted on 14 July 2021</w:t>
      </w:r>
      <w:r w:rsidR="000C622D">
        <w:rPr>
          <w:noProof/>
        </w:rPr>
        <w:t xml:space="preserve">, as well as </w:t>
      </w:r>
      <w:r w:rsidR="002E4189" w:rsidRPr="0096740E">
        <w:rPr>
          <w:noProof/>
        </w:rPr>
        <w:t>the proposal</w:t>
      </w:r>
      <w:r w:rsidR="007F5F1C" w:rsidRPr="0096740E">
        <w:rPr>
          <w:noProof/>
        </w:rPr>
        <w:t xml:space="preserve"> </w:t>
      </w:r>
      <w:r w:rsidR="0089070C" w:rsidRPr="0096740E">
        <w:rPr>
          <w:noProof/>
        </w:rPr>
        <w:t xml:space="preserve">for </w:t>
      </w:r>
      <w:r w:rsidR="000C622D">
        <w:rPr>
          <w:noProof/>
        </w:rPr>
        <w:t xml:space="preserve">the </w:t>
      </w:r>
      <w:r w:rsidR="007F5F1C" w:rsidRPr="0096740E">
        <w:rPr>
          <w:noProof/>
        </w:rPr>
        <w:t>Energy Performance of Buildings Directive</w:t>
      </w:r>
      <w:r w:rsidR="000C622D">
        <w:rPr>
          <w:rStyle w:val="FootnoteReference"/>
          <w:noProof/>
        </w:rPr>
        <w:footnoteReference w:id="96"/>
      </w:r>
      <w:r w:rsidR="000C622D">
        <w:rPr>
          <w:noProof/>
        </w:rPr>
        <w:t xml:space="preserve"> adopted on 14 December 2021</w:t>
      </w:r>
      <w:r w:rsidR="00256C88" w:rsidRPr="0096740E">
        <w:rPr>
          <w:noProof/>
        </w:rPr>
        <w:t>,</w:t>
      </w:r>
      <w:r w:rsidR="000C622D">
        <w:rPr>
          <w:noProof/>
        </w:rPr>
        <w:t xml:space="preserve"> which also tackles</w:t>
      </w:r>
      <w:r w:rsidR="000C622D" w:rsidRPr="000C622D">
        <w:rPr>
          <w:noProof/>
        </w:rPr>
        <w:t xml:space="preserve"> the main non-econ</w:t>
      </w:r>
      <w:r w:rsidR="000C622D">
        <w:rPr>
          <w:noProof/>
        </w:rPr>
        <w:t xml:space="preserve">omic barriers to renovation </w:t>
      </w:r>
      <w:r w:rsidR="000C622D" w:rsidRPr="000C622D">
        <w:rPr>
          <w:noProof/>
        </w:rPr>
        <w:t>such as split incentives, including owner-tenant settings, and co-ownership structures</w:t>
      </w:r>
      <w:r w:rsidR="004D2BEB" w:rsidRPr="0096740E">
        <w:rPr>
          <w:noProof/>
        </w:rPr>
        <w:t>.</w:t>
      </w:r>
      <w:r w:rsidR="00F0427D" w:rsidRPr="0096740E">
        <w:rPr>
          <w:noProof/>
        </w:rPr>
        <w:t xml:space="preserve"> </w:t>
      </w:r>
      <w:r w:rsidR="002E4189" w:rsidRPr="0096740E">
        <w:rPr>
          <w:noProof/>
        </w:rPr>
        <w:t xml:space="preserve">In this context, specific attention should be paid to particular groups which are more at risk of being affected by energy poverty, such as women, persons with disabilities, elderly people, children, and persons with a minority racial or ethnic background. </w:t>
      </w:r>
      <w:r w:rsidR="004D2BEB" w:rsidRPr="0096740E">
        <w:rPr>
          <w:noProof/>
        </w:rPr>
        <w:t>Pre-existing and emerging m</w:t>
      </w:r>
      <w:r w:rsidR="00AD201F" w:rsidRPr="0096740E">
        <w:rPr>
          <w:noProof/>
        </w:rPr>
        <w:t xml:space="preserve">obility challenges </w:t>
      </w:r>
      <w:r w:rsidR="004D2BEB" w:rsidRPr="0096740E">
        <w:rPr>
          <w:noProof/>
        </w:rPr>
        <w:t xml:space="preserve">can be tackled </w:t>
      </w:r>
      <w:r w:rsidR="00AD201F" w:rsidRPr="0096740E">
        <w:rPr>
          <w:noProof/>
        </w:rPr>
        <w:t>through support measures</w:t>
      </w:r>
      <w:r w:rsidR="00F0427D" w:rsidRPr="0096740E">
        <w:rPr>
          <w:noProof/>
        </w:rPr>
        <w:t xml:space="preserve"> </w:t>
      </w:r>
      <w:r w:rsidR="00AD201F" w:rsidRPr="0096740E">
        <w:rPr>
          <w:noProof/>
        </w:rPr>
        <w:t xml:space="preserve">and the development of the necessary infrastructure, such as </w:t>
      </w:r>
      <w:r w:rsidR="00602146" w:rsidRPr="0096740E">
        <w:rPr>
          <w:noProof/>
        </w:rPr>
        <w:t>public transport</w:t>
      </w:r>
      <w:r w:rsidR="00AD201F" w:rsidRPr="0096740E">
        <w:rPr>
          <w:noProof/>
        </w:rPr>
        <w:t xml:space="preserve">. </w:t>
      </w:r>
      <w:r w:rsidR="004D2BEB" w:rsidRPr="0096740E">
        <w:rPr>
          <w:noProof/>
        </w:rPr>
        <w:t xml:space="preserve">The affordability, accessibility and safety of sustainable </w:t>
      </w:r>
      <w:r w:rsidR="00E83AE9" w:rsidRPr="0096740E">
        <w:rPr>
          <w:noProof/>
        </w:rPr>
        <w:t>mobility and</w:t>
      </w:r>
      <w:r w:rsidR="0011136A" w:rsidRPr="0096740E">
        <w:rPr>
          <w:noProof/>
        </w:rPr>
        <w:t xml:space="preserve"> different modes of</w:t>
      </w:r>
      <w:r w:rsidR="004D2BEB" w:rsidRPr="0096740E">
        <w:rPr>
          <w:noProof/>
        </w:rPr>
        <w:t xml:space="preserve"> transport, including </w:t>
      </w:r>
      <w:r w:rsidR="005C3116" w:rsidRPr="0096740E">
        <w:rPr>
          <w:noProof/>
        </w:rPr>
        <w:t>private</w:t>
      </w:r>
      <w:r w:rsidR="004D2BEB" w:rsidRPr="0096740E">
        <w:rPr>
          <w:noProof/>
        </w:rPr>
        <w:t xml:space="preserve"> and public transport</w:t>
      </w:r>
      <w:r w:rsidR="00CB156A" w:rsidRPr="0096740E">
        <w:rPr>
          <w:noProof/>
        </w:rPr>
        <w:t xml:space="preserve"> </w:t>
      </w:r>
      <w:r w:rsidR="004B54FA" w:rsidRPr="0096740E">
        <w:rPr>
          <w:noProof/>
        </w:rPr>
        <w:t xml:space="preserve">are </w:t>
      </w:r>
      <w:r w:rsidR="004D2BEB" w:rsidRPr="0096740E">
        <w:rPr>
          <w:noProof/>
        </w:rPr>
        <w:t>key to</w:t>
      </w:r>
      <w:r w:rsidR="00824F06" w:rsidRPr="0096740E">
        <w:rPr>
          <w:noProof/>
        </w:rPr>
        <w:t xml:space="preserve"> ensure everyone benefits from and </w:t>
      </w:r>
      <w:r w:rsidR="00096B72" w:rsidRPr="0096740E">
        <w:rPr>
          <w:noProof/>
        </w:rPr>
        <w:t>is</w:t>
      </w:r>
      <w:r w:rsidR="00824F06" w:rsidRPr="0096740E">
        <w:rPr>
          <w:noProof/>
        </w:rPr>
        <w:t xml:space="preserve"> part of the green transition</w:t>
      </w:r>
      <w:r w:rsidR="00AD201F" w:rsidRPr="0096740E">
        <w:rPr>
          <w:noProof/>
        </w:rPr>
        <w:t>.</w:t>
      </w:r>
      <w:r w:rsidR="2889F49E" w:rsidRPr="0096740E">
        <w:rPr>
          <w:noProof/>
        </w:rPr>
        <w:t xml:space="preserve"> </w:t>
      </w:r>
      <w:r w:rsidR="138BC043" w:rsidRPr="0096740E">
        <w:rPr>
          <w:noProof/>
        </w:rPr>
        <w:t>Urban mobility plays a significant role</w:t>
      </w:r>
      <w:r w:rsidR="00B831E0" w:rsidRPr="0096740E">
        <w:rPr>
          <w:noProof/>
        </w:rPr>
        <w:t xml:space="preserve"> in this context</w:t>
      </w:r>
      <w:r w:rsidR="00123F29" w:rsidRPr="0096740E">
        <w:rPr>
          <w:noProof/>
        </w:rPr>
        <w:t xml:space="preserve">, as also reflected by </w:t>
      </w:r>
      <w:r w:rsidR="00B831E0" w:rsidRPr="0096740E">
        <w:rPr>
          <w:noProof/>
        </w:rPr>
        <w:t xml:space="preserve">the </w:t>
      </w:r>
      <w:r w:rsidR="00307C3D" w:rsidRPr="00C27F5F">
        <w:rPr>
          <w:noProof/>
        </w:rPr>
        <w:t>European Urban</w:t>
      </w:r>
      <w:r w:rsidR="00307C3D" w:rsidRPr="0096740E">
        <w:rPr>
          <w:noProof/>
        </w:rPr>
        <w:t xml:space="preserve"> </w:t>
      </w:r>
      <w:r w:rsidR="00B831E0" w:rsidRPr="0096740E">
        <w:rPr>
          <w:noProof/>
        </w:rPr>
        <w:t>Mobility Framework</w:t>
      </w:r>
      <w:r w:rsidR="00B831E0" w:rsidRPr="0096740E">
        <w:rPr>
          <w:rStyle w:val="FootnoteReference"/>
          <w:noProof/>
        </w:rPr>
        <w:footnoteReference w:id="97"/>
      </w:r>
      <w:r w:rsidR="00B831E0" w:rsidRPr="0096740E">
        <w:rPr>
          <w:noProof/>
        </w:rPr>
        <w:t xml:space="preserve"> adopted on 14 December 2021. </w:t>
      </w:r>
    </w:p>
    <w:p w14:paraId="5C1EB5F6" w14:textId="52F42F4E" w:rsidR="009B54D8" w:rsidRDefault="00420537" w:rsidP="00420537">
      <w:pPr>
        <w:pStyle w:val="ManualConsidrant"/>
        <w:rPr>
          <w:noProof/>
        </w:rPr>
      </w:pPr>
      <w:r w:rsidRPr="00420537">
        <w:t>(21)</w:t>
      </w:r>
      <w:r w:rsidRPr="00420537">
        <w:tab/>
      </w:r>
      <w:r w:rsidR="00ED626F" w:rsidRPr="00BE2E79">
        <w:rPr>
          <w:noProof/>
        </w:rPr>
        <w:t xml:space="preserve">A </w:t>
      </w:r>
      <w:r w:rsidR="00FB0E8E" w:rsidRPr="00BE2E79">
        <w:rPr>
          <w:noProof/>
        </w:rPr>
        <w:t>whole-of-economy approach</w:t>
      </w:r>
      <w:r w:rsidR="00ED626F" w:rsidRPr="00BE2E79">
        <w:rPr>
          <w:noProof/>
        </w:rPr>
        <w:t xml:space="preserve"> to the </w:t>
      </w:r>
      <w:r w:rsidR="001C6DE0" w:rsidRPr="00BE2E79">
        <w:rPr>
          <w:noProof/>
        </w:rPr>
        <w:t xml:space="preserve">fair </w:t>
      </w:r>
      <w:r w:rsidR="00ED626F" w:rsidRPr="00BE2E79">
        <w:rPr>
          <w:noProof/>
        </w:rPr>
        <w:t xml:space="preserve">transition </w:t>
      </w:r>
      <w:r w:rsidR="0010269B" w:rsidRPr="00BE2E79">
        <w:rPr>
          <w:noProof/>
        </w:rPr>
        <w:t xml:space="preserve">should </w:t>
      </w:r>
      <w:r w:rsidR="00ED626F" w:rsidRPr="00BE2E79">
        <w:rPr>
          <w:noProof/>
        </w:rPr>
        <w:t>support policy action, based on the coordination of</w:t>
      </w:r>
      <w:r w:rsidR="00FB0E8E" w:rsidRPr="0096740E">
        <w:rPr>
          <w:noProof/>
        </w:rPr>
        <w:t xml:space="preserve"> policy-making </w:t>
      </w:r>
      <w:r w:rsidR="0010269B" w:rsidRPr="0096740E">
        <w:rPr>
          <w:noProof/>
        </w:rPr>
        <w:t>and strengthened operational capacities</w:t>
      </w:r>
      <w:r w:rsidR="00E20306" w:rsidRPr="0096740E">
        <w:rPr>
          <w:noProof/>
        </w:rPr>
        <w:t xml:space="preserve"> </w:t>
      </w:r>
      <w:r w:rsidR="00FB0E8E" w:rsidRPr="0096740E">
        <w:rPr>
          <w:noProof/>
        </w:rPr>
        <w:t xml:space="preserve">at all levels and across all relevant policy areas, </w:t>
      </w:r>
      <w:r w:rsidR="001E5473" w:rsidRPr="0096740E">
        <w:rPr>
          <w:noProof/>
        </w:rPr>
        <w:t xml:space="preserve">giving also an active role to regional and local authorities, </w:t>
      </w:r>
      <w:r w:rsidR="00ED626F" w:rsidRPr="0096740E">
        <w:rPr>
          <w:noProof/>
        </w:rPr>
        <w:t>the involvement of</w:t>
      </w:r>
      <w:r w:rsidR="00FB0E8E" w:rsidRPr="0096740E">
        <w:rPr>
          <w:noProof/>
        </w:rPr>
        <w:t xml:space="preserve"> social partners at all levels and stages, </w:t>
      </w:r>
      <w:r w:rsidR="0010269B" w:rsidRPr="0096740E">
        <w:rPr>
          <w:noProof/>
        </w:rPr>
        <w:t>as well as effective and impactful participation</w:t>
      </w:r>
      <w:r w:rsidR="00FB0E8E" w:rsidRPr="0096740E">
        <w:rPr>
          <w:noProof/>
        </w:rPr>
        <w:t xml:space="preserve"> of civil society and stakeholders.</w:t>
      </w:r>
      <w:r w:rsidR="006E3392" w:rsidRPr="0096740E">
        <w:rPr>
          <w:noProof/>
        </w:rPr>
        <w:t xml:space="preserve"> Such coordination and engagement </w:t>
      </w:r>
      <w:r w:rsidR="00F36026" w:rsidRPr="0096740E">
        <w:rPr>
          <w:noProof/>
        </w:rPr>
        <w:t xml:space="preserve">could </w:t>
      </w:r>
      <w:r w:rsidR="006E3392" w:rsidRPr="0096740E">
        <w:rPr>
          <w:noProof/>
        </w:rPr>
        <w:t xml:space="preserve">ensure that the European Green Deal principles of fairness and solidarity are integrated in policy design, implementation and monitoring from the outset, providing the basis for broad and long-term support for </w:t>
      </w:r>
      <w:r w:rsidR="004B7D16" w:rsidRPr="0096740E">
        <w:rPr>
          <w:noProof/>
        </w:rPr>
        <w:t xml:space="preserve">inclusive </w:t>
      </w:r>
      <w:r w:rsidR="006E3392" w:rsidRPr="0096740E">
        <w:rPr>
          <w:noProof/>
        </w:rPr>
        <w:t>policies advancing the green transition.</w:t>
      </w:r>
    </w:p>
    <w:p w14:paraId="074D92D8" w14:textId="55525783" w:rsidR="009B54D8" w:rsidRDefault="00420537" w:rsidP="00420537">
      <w:pPr>
        <w:pStyle w:val="ManualConsidrant"/>
        <w:rPr>
          <w:noProof/>
        </w:rPr>
      </w:pPr>
      <w:r w:rsidRPr="00420537">
        <w:t>(22)</w:t>
      </w:r>
      <w:r w:rsidRPr="00420537">
        <w:tab/>
      </w:r>
      <w:r w:rsidR="006E3392" w:rsidRPr="0096740E">
        <w:rPr>
          <w:noProof/>
        </w:rPr>
        <w:t>A strong</w:t>
      </w:r>
      <w:r w:rsidR="006E3392" w:rsidRPr="00BE2E79">
        <w:rPr>
          <w:noProof/>
        </w:rPr>
        <w:t xml:space="preserve"> evidence base is key to put in place sound social and labour market policies that ensure a </w:t>
      </w:r>
      <w:r w:rsidR="001C6DE0" w:rsidRPr="00BE2E79">
        <w:rPr>
          <w:noProof/>
        </w:rPr>
        <w:t xml:space="preserve">fair </w:t>
      </w:r>
      <w:r w:rsidR="006E3392" w:rsidRPr="00BE2E79">
        <w:rPr>
          <w:noProof/>
        </w:rPr>
        <w:t>and inclusive transition.</w:t>
      </w:r>
      <w:r w:rsidR="006E3392" w:rsidRPr="0096740E">
        <w:rPr>
          <w:noProof/>
        </w:rPr>
        <w:t xml:space="preserve"> To this end, the gradual harmonisation and consistency of </w:t>
      </w:r>
      <w:r w:rsidR="00FB0E8E" w:rsidRPr="009B54D8">
        <w:rPr>
          <w:rFonts w:eastAsia="Calibri"/>
          <w:noProof/>
        </w:rPr>
        <w:t>definiti</w:t>
      </w:r>
      <w:r w:rsidR="0036072A" w:rsidRPr="009B54D8">
        <w:rPr>
          <w:rFonts w:eastAsia="Calibri"/>
          <w:noProof/>
        </w:rPr>
        <w:t>ons, concepts</w:t>
      </w:r>
      <w:r w:rsidR="00C04208" w:rsidRPr="009B54D8">
        <w:rPr>
          <w:rFonts w:eastAsia="Calibri"/>
          <w:noProof/>
        </w:rPr>
        <w:t xml:space="preserve">, </w:t>
      </w:r>
      <w:r w:rsidR="00CB156A" w:rsidRPr="009B54D8">
        <w:rPr>
          <w:rFonts w:eastAsia="Calibri"/>
          <w:noProof/>
        </w:rPr>
        <w:t xml:space="preserve">classifications </w:t>
      </w:r>
      <w:r w:rsidR="0036072A" w:rsidRPr="009B54D8">
        <w:rPr>
          <w:rFonts w:eastAsia="Calibri"/>
          <w:noProof/>
        </w:rPr>
        <w:t>and methodologies</w:t>
      </w:r>
      <w:r w:rsidR="00FB0E8E" w:rsidRPr="009B54D8">
        <w:rPr>
          <w:rFonts w:eastAsia="Calibri"/>
          <w:noProof/>
        </w:rPr>
        <w:t>, notably based on Commission Recommendation (EU) 2020/1563 on energy poverty</w:t>
      </w:r>
      <w:r w:rsidR="004A7ABA" w:rsidRPr="0096740E">
        <w:rPr>
          <w:rStyle w:val="FootnoteReference"/>
          <w:rFonts w:eastAsia="Calibri"/>
          <w:noProof/>
        </w:rPr>
        <w:footnoteReference w:id="98"/>
      </w:r>
      <w:r w:rsidR="00F90843" w:rsidRPr="009B54D8">
        <w:rPr>
          <w:rFonts w:eastAsia="Calibri"/>
          <w:noProof/>
        </w:rPr>
        <w:t>,</w:t>
      </w:r>
      <w:r w:rsidR="006E3392" w:rsidRPr="009B54D8">
        <w:rPr>
          <w:rFonts w:eastAsia="Calibri"/>
          <w:noProof/>
        </w:rPr>
        <w:t xml:space="preserve"> facilitate assessments and their comparability. </w:t>
      </w:r>
      <w:r w:rsidR="006E3392" w:rsidRPr="0096740E">
        <w:rPr>
          <w:noProof/>
        </w:rPr>
        <w:t>Further r</w:t>
      </w:r>
      <w:r w:rsidR="00FB0E8E" w:rsidRPr="0096740E">
        <w:rPr>
          <w:noProof/>
        </w:rPr>
        <w:t>esearch and innovation actions</w:t>
      </w:r>
      <w:r w:rsidR="006E3392" w:rsidRPr="0096740E">
        <w:rPr>
          <w:noProof/>
        </w:rPr>
        <w:t xml:space="preserve"> </w:t>
      </w:r>
      <w:r w:rsidR="007924F8" w:rsidRPr="0096740E">
        <w:rPr>
          <w:noProof/>
        </w:rPr>
        <w:t xml:space="preserve">can </w:t>
      </w:r>
      <w:r w:rsidR="006E3392" w:rsidRPr="0096740E">
        <w:rPr>
          <w:noProof/>
        </w:rPr>
        <w:t xml:space="preserve">contribute to the knowledge base </w:t>
      </w:r>
      <w:r w:rsidR="007924F8" w:rsidRPr="0096740E">
        <w:rPr>
          <w:noProof/>
        </w:rPr>
        <w:t>that may feed</w:t>
      </w:r>
      <w:r w:rsidR="006E3392" w:rsidRPr="0096740E">
        <w:rPr>
          <w:noProof/>
        </w:rPr>
        <w:t xml:space="preserve"> into policy and public discourse</w:t>
      </w:r>
      <w:r w:rsidR="007924F8" w:rsidRPr="0096740E">
        <w:rPr>
          <w:noProof/>
        </w:rPr>
        <w:t>. In turn,</w:t>
      </w:r>
      <w:r w:rsidR="00941570" w:rsidRPr="0096740E">
        <w:rPr>
          <w:noProof/>
        </w:rPr>
        <w:t xml:space="preserve"> exchanges with the public </w:t>
      </w:r>
      <w:r w:rsidR="004B7D16" w:rsidRPr="0096740E">
        <w:rPr>
          <w:noProof/>
        </w:rPr>
        <w:t xml:space="preserve">in all its diversity </w:t>
      </w:r>
      <w:r w:rsidR="00941570" w:rsidRPr="0096740E">
        <w:rPr>
          <w:noProof/>
        </w:rPr>
        <w:t xml:space="preserve">and </w:t>
      </w:r>
      <w:r w:rsidR="00CB156A" w:rsidRPr="0096740E">
        <w:rPr>
          <w:noProof/>
        </w:rPr>
        <w:t xml:space="preserve">with </w:t>
      </w:r>
      <w:r w:rsidR="00941570" w:rsidRPr="0096740E">
        <w:rPr>
          <w:noProof/>
        </w:rPr>
        <w:t>key stakeholders</w:t>
      </w:r>
      <w:r w:rsidR="007924F8" w:rsidRPr="0096740E">
        <w:rPr>
          <w:noProof/>
        </w:rPr>
        <w:t>, for instance on the outcomes of evaluations, foresight and monitoring exercises, can contribute to policy-making</w:t>
      </w:r>
      <w:r w:rsidR="00CB156A" w:rsidRPr="0096740E">
        <w:rPr>
          <w:noProof/>
        </w:rPr>
        <w:t xml:space="preserve"> and ownership</w:t>
      </w:r>
      <w:r w:rsidR="00FB0E8E" w:rsidRPr="0096740E">
        <w:rPr>
          <w:noProof/>
        </w:rPr>
        <w:t>.</w:t>
      </w:r>
    </w:p>
    <w:p w14:paraId="0E35C916" w14:textId="0D6ACD4A" w:rsidR="009B54D8" w:rsidRDefault="00420537" w:rsidP="00420537">
      <w:pPr>
        <w:pStyle w:val="ManualConsidrant"/>
        <w:rPr>
          <w:noProof/>
        </w:rPr>
      </w:pPr>
      <w:r w:rsidRPr="00420537">
        <w:t>(23)</w:t>
      </w:r>
      <w:r w:rsidRPr="00420537">
        <w:tab/>
      </w:r>
      <w:r w:rsidR="0029676B" w:rsidRPr="0096740E">
        <w:rPr>
          <w:noProof/>
        </w:rPr>
        <w:t xml:space="preserve">Appropriate granular and high quality data and indicators are needed in particular to assess </w:t>
      </w:r>
      <w:r w:rsidR="009C2BBD" w:rsidRPr="0096740E">
        <w:rPr>
          <w:noProof/>
        </w:rPr>
        <w:t xml:space="preserve">employment, </w:t>
      </w:r>
      <w:r w:rsidR="0029676B" w:rsidRPr="0096740E">
        <w:rPr>
          <w:noProof/>
        </w:rPr>
        <w:t>social and distributional impacts of climate change policies. Such data and indicators are currently not fully available.</w:t>
      </w:r>
      <w:r w:rsidR="009C2BBD" w:rsidRPr="0096740E">
        <w:rPr>
          <w:noProof/>
        </w:rPr>
        <w:t xml:space="preserve"> For instance, while some progress has been made on the measurement of energy poverty, indicators to assess transport poverty could be developed</w:t>
      </w:r>
      <w:r w:rsidR="00521179" w:rsidRPr="0096740E">
        <w:rPr>
          <w:noProof/>
        </w:rPr>
        <w:t>.</w:t>
      </w:r>
      <w:r w:rsidR="009C2BBD" w:rsidRPr="0096740E">
        <w:rPr>
          <w:noProof/>
        </w:rPr>
        <w:t xml:space="preserve"> </w:t>
      </w:r>
      <w:r w:rsidR="00FB20F4" w:rsidRPr="0096740E">
        <w:rPr>
          <w:noProof/>
        </w:rPr>
        <w:t>Monitoring and evaluation</w:t>
      </w:r>
      <w:r w:rsidR="00521179" w:rsidRPr="0096740E">
        <w:rPr>
          <w:noProof/>
        </w:rPr>
        <w:t xml:space="preserve"> </w:t>
      </w:r>
      <w:r w:rsidR="00FB20F4" w:rsidRPr="0096740E">
        <w:rPr>
          <w:noProof/>
        </w:rPr>
        <w:t>c</w:t>
      </w:r>
      <w:r w:rsidR="00E80DF9" w:rsidRPr="0096740E">
        <w:rPr>
          <w:noProof/>
        </w:rPr>
        <w:t>an</w:t>
      </w:r>
      <w:r w:rsidR="00FB20F4" w:rsidRPr="0096740E">
        <w:rPr>
          <w:noProof/>
        </w:rPr>
        <w:t xml:space="preserve"> be strengthened via a number of actions, focussing on indicators, scoreboards as well as small-scale pilot projects and policy experimentation. Actions can build on, </w:t>
      </w:r>
      <w:r w:rsidR="00521179" w:rsidRPr="0096740E">
        <w:rPr>
          <w:noProof/>
        </w:rPr>
        <w:t>or</w:t>
      </w:r>
      <w:r w:rsidR="00FB20F4" w:rsidRPr="0096740E">
        <w:rPr>
          <w:noProof/>
        </w:rPr>
        <w:t xml:space="preserve"> draw from, existing scoreboards such as the Social Scoreboard</w:t>
      </w:r>
      <w:r w:rsidR="00E80DF9" w:rsidRPr="0096740E">
        <w:rPr>
          <w:noProof/>
        </w:rPr>
        <w:t xml:space="preserve"> and</w:t>
      </w:r>
      <w:r w:rsidR="00FB20F4" w:rsidRPr="0096740E">
        <w:rPr>
          <w:noProof/>
        </w:rPr>
        <w:t xml:space="preserve"> the European Green Deal dashboard, which contain relevant information </w:t>
      </w:r>
      <w:r w:rsidR="00521179" w:rsidRPr="0096740E">
        <w:rPr>
          <w:noProof/>
        </w:rPr>
        <w:t xml:space="preserve">on </w:t>
      </w:r>
      <w:r w:rsidR="009542A3">
        <w:rPr>
          <w:noProof/>
        </w:rPr>
        <w:t>specific</w:t>
      </w:r>
      <w:r w:rsidR="00FB20F4" w:rsidRPr="0096740E">
        <w:rPr>
          <w:noProof/>
        </w:rPr>
        <w:t xml:space="preserve"> aspects of fair transition policies</w:t>
      </w:r>
    </w:p>
    <w:p w14:paraId="4CA6338B" w14:textId="683326F7" w:rsidR="009B54D8" w:rsidRDefault="00420537" w:rsidP="00420537">
      <w:pPr>
        <w:pStyle w:val="ManualConsidrant"/>
        <w:rPr>
          <w:noProof/>
        </w:rPr>
      </w:pPr>
      <w:r w:rsidRPr="00420537">
        <w:t>(24)</w:t>
      </w:r>
      <w:r w:rsidRPr="00420537">
        <w:tab/>
      </w:r>
      <w:r w:rsidR="003F5C80" w:rsidRPr="00BE2E79">
        <w:rPr>
          <w:noProof/>
        </w:rPr>
        <w:t xml:space="preserve">Finally, </w:t>
      </w:r>
      <w:r w:rsidR="00ED626F" w:rsidRPr="00BE2E79">
        <w:rPr>
          <w:noProof/>
        </w:rPr>
        <w:t xml:space="preserve">the optimal </w:t>
      </w:r>
      <w:r w:rsidR="0009704A" w:rsidRPr="00BE2E79">
        <w:rPr>
          <w:noProof/>
        </w:rPr>
        <w:t xml:space="preserve">and efficient </w:t>
      </w:r>
      <w:r w:rsidR="003F5C80" w:rsidRPr="00BE2E79">
        <w:rPr>
          <w:noProof/>
        </w:rPr>
        <w:t>use of public and private funding</w:t>
      </w:r>
      <w:r w:rsidR="007B1B95" w:rsidRPr="00BE2E79">
        <w:rPr>
          <w:noProof/>
        </w:rPr>
        <w:t xml:space="preserve"> </w:t>
      </w:r>
      <w:r w:rsidR="00BE05E1" w:rsidRPr="00BE2E79">
        <w:rPr>
          <w:noProof/>
        </w:rPr>
        <w:t xml:space="preserve">and </w:t>
      </w:r>
      <w:r w:rsidR="00ED626F" w:rsidRPr="00BE2E79">
        <w:rPr>
          <w:noProof/>
        </w:rPr>
        <w:t xml:space="preserve">the mobilisation of all </w:t>
      </w:r>
      <w:r w:rsidR="00CB156A" w:rsidRPr="00BE2E79">
        <w:rPr>
          <w:noProof/>
        </w:rPr>
        <w:t xml:space="preserve">available </w:t>
      </w:r>
      <w:r w:rsidR="00ED626F" w:rsidRPr="00BE2E79">
        <w:rPr>
          <w:noProof/>
        </w:rPr>
        <w:t>resources and their effective</w:t>
      </w:r>
      <w:r w:rsidR="009D3049" w:rsidRPr="00BE2E79">
        <w:rPr>
          <w:noProof/>
        </w:rPr>
        <w:t xml:space="preserve"> deployment, is of particular importance in light of the significant investment needs stemming from the green transition. At the Union level, </w:t>
      </w:r>
      <w:r w:rsidR="00CB156A" w:rsidRPr="00BE2E79">
        <w:rPr>
          <w:noProof/>
        </w:rPr>
        <w:t xml:space="preserve">relevant </w:t>
      </w:r>
      <w:r w:rsidR="009D3049" w:rsidRPr="00BE2E79">
        <w:rPr>
          <w:noProof/>
        </w:rPr>
        <w:t xml:space="preserve">actions </w:t>
      </w:r>
      <w:r w:rsidR="00237EA8" w:rsidRPr="00BE2E79">
        <w:rPr>
          <w:noProof/>
        </w:rPr>
        <w:t xml:space="preserve">are </w:t>
      </w:r>
      <w:r w:rsidR="009D3049" w:rsidRPr="00BE2E79">
        <w:rPr>
          <w:noProof/>
        </w:rPr>
        <w:t xml:space="preserve">supported </w:t>
      </w:r>
      <w:r w:rsidR="00F26D56" w:rsidRPr="00BE2E79">
        <w:rPr>
          <w:noProof/>
        </w:rPr>
        <w:t xml:space="preserve">through the EU budget </w:t>
      </w:r>
      <w:r w:rsidR="0009704A" w:rsidRPr="00BE2E79">
        <w:rPr>
          <w:noProof/>
        </w:rPr>
        <w:t>and</w:t>
      </w:r>
      <w:r w:rsidR="00F26D56" w:rsidRPr="00BE2E79">
        <w:rPr>
          <w:noProof/>
        </w:rPr>
        <w:t xml:space="preserve"> NextGenerationEU</w:t>
      </w:r>
      <w:r w:rsidR="00237EA8" w:rsidRPr="00BE2E79">
        <w:rPr>
          <w:noProof/>
        </w:rPr>
        <w:t xml:space="preserve">. They </w:t>
      </w:r>
      <w:r w:rsidR="0009704A" w:rsidRPr="00BE2E79">
        <w:rPr>
          <w:noProof/>
        </w:rPr>
        <w:t>will be implemented under</w:t>
      </w:r>
      <w:r w:rsidR="00F26D56" w:rsidRPr="00BE2E79">
        <w:rPr>
          <w:noProof/>
        </w:rPr>
        <w:t xml:space="preserve"> with </w:t>
      </w:r>
      <w:r w:rsidR="003F5C80" w:rsidRPr="00BE2E79">
        <w:rPr>
          <w:noProof/>
        </w:rPr>
        <w:t xml:space="preserve"> </w:t>
      </w:r>
      <w:r w:rsidR="007B1B95" w:rsidRPr="0096740E">
        <w:rPr>
          <w:noProof/>
        </w:rPr>
        <w:t xml:space="preserve">the Recovery and Resilience Facility (RRF), </w:t>
      </w:r>
      <w:r w:rsidR="007B1B95" w:rsidRPr="009B54D8">
        <w:rPr>
          <w:noProof/>
          <w:color w:val="000000" w:themeColor="text1"/>
        </w:rPr>
        <w:t>the Just Transition Mechanism (JTM),</w:t>
      </w:r>
      <w:r w:rsidR="00FF55D8" w:rsidRPr="009B54D8">
        <w:rPr>
          <w:noProof/>
          <w:color w:val="000000" w:themeColor="text1"/>
        </w:rPr>
        <w:t xml:space="preserve"> </w:t>
      </w:r>
      <w:r w:rsidR="00D607ED">
        <w:rPr>
          <w:noProof/>
          <w:color w:val="000000" w:themeColor="text1"/>
        </w:rPr>
        <w:t xml:space="preserve">including </w:t>
      </w:r>
      <w:r w:rsidR="00FF55D8" w:rsidRPr="009B54D8">
        <w:rPr>
          <w:noProof/>
          <w:color w:val="000000" w:themeColor="text1"/>
        </w:rPr>
        <w:t xml:space="preserve">the Just Transition </w:t>
      </w:r>
      <w:r w:rsidR="00D607ED">
        <w:rPr>
          <w:noProof/>
          <w:color w:val="000000" w:themeColor="text1"/>
        </w:rPr>
        <w:t>Fund</w:t>
      </w:r>
      <w:r w:rsidR="00D607ED" w:rsidRPr="009B54D8">
        <w:rPr>
          <w:noProof/>
          <w:color w:val="000000" w:themeColor="text1"/>
        </w:rPr>
        <w:t xml:space="preserve"> </w:t>
      </w:r>
      <w:r w:rsidR="00FF55D8" w:rsidRPr="009B54D8">
        <w:rPr>
          <w:noProof/>
          <w:color w:val="000000" w:themeColor="text1"/>
        </w:rPr>
        <w:t>(</w:t>
      </w:r>
      <w:r w:rsidR="00D607ED">
        <w:rPr>
          <w:noProof/>
          <w:color w:val="000000" w:themeColor="text1"/>
        </w:rPr>
        <w:t>JTF</w:t>
      </w:r>
      <w:r w:rsidR="00FF55D8" w:rsidRPr="009B54D8">
        <w:rPr>
          <w:noProof/>
          <w:color w:val="000000" w:themeColor="text1"/>
        </w:rPr>
        <w:t>),</w:t>
      </w:r>
      <w:r w:rsidR="007B1B95" w:rsidRPr="009B54D8">
        <w:rPr>
          <w:noProof/>
          <w:color w:val="000000" w:themeColor="text1"/>
        </w:rPr>
        <w:t xml:space="preserve"> </w:t>
      </w:r>
      <w:r w:rsidR="007B1B95" w:rsidRPr="0096740E">
        <w:rPr>
          <w:noProof/>
        </w:rPr>
        <w:t>the European Social Fund Plus (ESF+), the European Regional Development Fund (ERDF), the Cohesion Fund, the Recovery Assistance for Cohesion and the Territories of Europe (REACT-EU), ERASMUS+ and the European Globalisation Adjustment Fund for Displaced Workers (EGF),</w:t>
      </w:r>
      <w:r w:rsidR="00F835D3" w:rsidRPr="0096740E">
        <w:rPr>
          <w:noProof/>
        </w:rPr>
        <w:t xml:space="preserve"> the LIFE programme,</w:t>
      </w:r>
      <w:r w:rsidR="007B1B95" w:rsidRPr="0096740E">
        <w:rPr>
          <w:noProof/>
        </w:rPr>
        <w:t xml:space="preserve"> the Horizon Europe programme</w:t>
      </w:r>
      <w:r w:rsidR="00FD27BD" w:rsidRPr="0096740E">
        <w:rPr>
          <w:noProof/>
        </w:rPr>
        <w:t>,</w:t>
      </w:r>
      <w:r w:rsidR="00F26D56" w:rsidRPr="0096740E">
        <w:rPr>
          <w:noProof/>
        </w:rPr>
        <w:t xml:space="preserve"> </w:t>
      </w:r>
      <w:r w:rsidR="00695B36" w:rsidRPr="0096740E">
        <w:rPr>
          <w:noProof/>
        </w:rPr>
        <w:t>the Modernisation Fund</w:t>
      </w:r>
      <w:r w:rsidR="00695B36" w:rsidRPr="0096740E">
        <w:rPr>
          <w:rStyle w:val="FootnoteReference"/>
          <w:noProof/>
        </w:rPr>
        <w:footnoteReference w:id="99"/>
      </w:r>
      <w:r w:rsidR="00695B36" w:rsidRPr="0096740E">
        <w:rPr>
          <w:noProof/>
        </w:rPr>
        <w:t xml:space="preserve">, </w:t>
      </w:r>
      <w:r w:rsidR="00F26D56" w:rsidRPr="0096740E">
        <w:rPr>
          <w:noProof/>
        </w:rPr>
        <w:t>the Social Climate Fund</w:t>
      </w:r>
      <w:r w:rsidR="004A7ABA" w:rsidRPr="0096740E">
        <w:rPr>
          <w:noProof/>
        </w:rPr>
        <w:t xml:space="preserve"> and </w:t>
      </w:r>
      <w:r w:rsidR="00237EA8" w:rsidRPr="0096740E">
        <w:rPr>
          <w:noProof/>
        </w:rPr>
        <w:t xml:space="preserve">the </w:t>
      </w:r>
      <w:r w:rsidR="004A7ABA" w:rsidRPr="0096740E">
        <w:rPr>
          <w:noProof/>
        </w:rPr>
        <w:t>fund</w:t>
      </w:r>
      <w:r w:rsidR="00156CAC" w:rsidRPr="0096740E">
        <w:rPr>
          <w:noProof/>
        </w:rPr>
        <w:t>s</w:t>
      </w:r>
      <w:r w:rsidR="004A7ABA" w:rsidRPr="0096740E">
        <w:rPr>
          <w:noProof/>
        </w:rPr>
        <w:t xml:space="preserve"> under the Common Agriculture Policy (CAP)</w:t>
      </w:r>
      <w:r w:rsidR="00A56083" w:rsidRPr="0096740E">
        <w:rPr>
          <w:noProof/>
        </w:rPr>
        <w:t>.</w:t>
      </w:r>
      <w:r w:rsidR="0040744A" w:rsidRPr="0096740E">
        <w:rPr>
          <w:noProof/>
        </w:rPr>
        <w:t xml:space="preserve"> In addition, the Commission supports Member States through the Technical Support Instrument, by providing tailor-made technical expertise to design and implement reforms, including those promoting a fair transition towards carbon neutrality.</w:t>
      </w:r>
    </w:p>
    <w:p w14:paraId="59D6CCC0" w14:textId="57F18975" w:rsidR="009B54D8" w:rsidRDefault="00420537" w:rsidP="00420537">
      <w:pPr>
        <w:pStyle w:val="ManualConsidrant"/>
        <w:rPr>
          <w:noProof/>
        </w:rPr>
      </w:pPr>
      <w:r w:rsidRPr="00420537">
        <w:t>(25)</w:t>
      </w:r>
      <w:r w:rsidRPr="00420537">
        <w:tab/>
      </w:r>
      <w:r w:rsidR="008E7A6D" w:rsidRPr="00BE2E79">
        <w:rPr>
          <w:noProof/>
        </w:rPr>
        <w:t xml:space="preserve">The European Semester is the </w:t>
      </w:r>
      <w:r w:rsidR="007071DF" w:rsidRPr="00BE2E79">
        <w:rPr>
          <w:noProof/>
        </w:rPr>
        <w:t>EU</w:t>
      </w:r>
      <w:r w:rsidR="008E7A6D" w:rsidRPr="00BE2E79">
        <w:rPr>
          <w:noProof/>
        </w:rPr>
        <w:t xml:space="preserve"> economic and employment policy coordination framework, including in relation to economically and socially relevant aspects of the green and digital transitions. It will continue to play this role in the recovery phase and in advancing the twin transitions, structured around the four dimensions of competitive sustainability and in line with the Sustainable Development Goals. </w:t>
      </w:r>
      <w:r w:rsidR="004B3715" w:rsidRPr="0096740E">
        <w:rPr>
          <w:noProof/>
        </w:rPr>
        <w:t>Under t</w:t>
      </w:r>
      <w:r w:rsidR="001A654C" w:rsidRPr="0096740E">
        <w:rPr>
          <w:noProof/>
        </w:rPr>
        <w:t>he European Semester</w:t>
      </w:r>
      <w:r w:rsidR="009F6B51" w:rsidRPr="0096740E">
        <w:rPr>
          <w:noProof/>
        </w:rPr>
        <w:t xml:space="preserve">, </w:t>
      </w:r>
      <w:r w:rsidR="001A654C" w:rsidRPr="0096740E">
        <w:rPr>
          <w:noProof/>
        </w:rPr>
        <w:t xml:space="preserve">the Commission will monitor </w:t>
      </w:r>
      <w:r w:rsidR="00F97931" w:rsidRPr="0096740E">
        <w:rPr>
          <w:noProof/>
        </w:rPr>
        <w:t xml:space="preserve">socio-economic outcomes and </w:t>
      </w:r>
      <w:r w:rsidR="004B3715" w:rsidRPr="0096740E">
        <w:rPr>
          <w:noProof/>
        </w:rPr>
        <w:t xml:space="preserve">impacts </w:t>
      </w:r>
      <w:r w:rsidR="001A654C" w:rsidRPr="0096740E">
        <w:rPr>
          <w:noProof/>
        </w:rPr>
        <w:t xml:space="preserve">closely and </w:t>
      </w:r>
      <w:r w:rsidR="004B3715" w:rsidRPr="0096740E">
        <w:rPr>
          <w:noProof/>
        </w:rPr>
        <w:t xml:space="preserve">where relevant, propose targeted </w:t>
      </w:r>
      <w:r w:rsidR="00237EA8" w:rsidRPr="0096740E">
        <w:rPr>
          <w:noProof/>
        </w:rPr>
        <w:t xml:space="preserve">country-specific </w:t>
      </w:r>
      <w:r w:rsidR="004B3715" w:rsidRPr="0096740E">
        <w:rPr>
          <w:noProof/>
        </w:rPr>
        <w:t xml:space="preserve">recommendations to ensure that no one is left behind. Complementarity with the measures supported under the Recovery and Resilience Facility will be a priority. </w:t>
      </w:r>
      <w:r w:rsidR="004D2CB8" w:rsidRPr="00BE2E79">
        <w:rPr>
          <w:noProof/>
        </w:rPr>
        <w:t>T</w:t>
      </w:r>
      <w:r w:rsidR="0019167A" w:rsidRPr="0096740E">
        <w:rPr>
          <w:noProof/>
        </w:rPr>
        <w:t xml:space="preserve">he </w:t>
      </w:r>
      <w:r w:rsidR="008E7A6D" w:rsidRPr="0096740E">
        <w:rPr>
          <w:noProof/>
        </w:rPr>
        <w:t xml:space="preserve">monitoring </w:t>
      </w:r>
      <w:r w:rsidR="0019167A" w:rsidRPr="0096740E">
        <w:rPr>
          <w:noProof/>
        </w:rPr>
        <w:t xml:space="preserve">of this Recommendation </w:t>
      </w:r>
      <w:r w:rsidR="0003756C" w:rsidRPr="0096740E">
        <w:rPr>
          <w:noProof/>
        </w:rPr>
        <w:t>will</w:t>
      </w:r>
      <w:r w:rsidR="00753C49" w:rsidRPr="0096740E">
        <w:rPr>
          <w:noProof/>
        </w:rPr>
        <w:t xml:space="preserve"> therefore</w:t>
      </w:r>
      <w:r w:rsidR="008E7A6D" w:rsidRPr="0096740E">
        <w:rPr>
          <w:noProof/>
        </w:rPr>
        <w:t xml:space="preserve"> </w:t>
      </w:r>
      <w:r w:rsidR="004D2CB8" w:rsidRPr="0096740E">
        <w:rPr>
          <w:noProof/>
        </w:rPr>
        <w:t xml:space="preserve">take place in the context of the </w:t>
      </w:r>
      <w:r w:rsidR="0019167A" w:rsidRPr="0096740E">
        <w:rPr>
          <w:noProof/>
        </w:rPr>
        <w:t>European Semester</w:t>
      </w:r>
      <w:r w:rsidR="004D2CB8" w:rsidRPr="0096740E">
        <w:rPr>
          <w:noProof/>
        </w:rPr>
        <w:t xml:space="preserve">, based on </w:t>
      </w:r>
      <w:r w:rsidR="0071227E" w:rsidRPr="00BE2E79">
        <w:rPr>
          <w:noProof/>
        </w:rPr>
        <w:t>adequate</w:t>
      </w:r>
      <w:r w:rsidR="004D2CB8" w:rsidRPr="00BE2E79">
        <w:rPr>
          <w:noProof/>
        </w:rPr>
        <w:t xml:space="preserve"> assessments</w:t>
      </w:r>
      <w:r w:rsidR="0071227E" w:rsidRPr="00BE2E79">
        <w:rPr>
          <w:noProof/>
        </w:rPr>
        <w:t>,</w:t>
      </w:r>
      <w:r w:rsidR="004D2CB8" w:rsidRPr="00BE2E79">
        <w:rPr>
          <w:noProof/>
        </w:rPr>
        <w:t xml:space="preserve"> </w:t>
      </w:r>
      <w:r w:rsidR="0071227E" w:rsidRPr="00BE2E79">
        <w:rPr>
          <w:noProof/>
        </w:rPr>
        <w:t>policy impact evaluations,</w:t>
      </w:r>
      <w:r w:rsidR="004D2CB8" w:rsidRPr="00BE2E79">
        <w:rPr>
          <w:noProof/>
        </w:rPr>
        <w:t xml:space="preserve"> and the state of </w:t>
      </w:r>
      <w:r w:rsidR="0019167A" w:rsidRPr="00BE2E79">
        <w:rPr>
          <w:noProof/>
        </w:rPr>
        <w:t xml:space="preserve">implementation of the guidance provided in this Recommendation. </w:t>
      </w:r>
    </w:p>
    <w:p w14:paraId="32F20B11" w14:textId="0F5F594D" w:rsidR="009B54D8" w:rsidRDefault="00420537" w:rsidP="00420537">
      <w:pPr>
        <w:pStyle w:val="ManualConsidrant"/>
        <w:rPr>
          <w:noProof/>
        </w:rPr>
      </w:pPr>
      <w:r w:rsidRPr="00420537">
        <w:t>(26)</w:t>
      </w:r>
      <w:r w:rsidRPr="00420537">
        <w:tab/>
      </w:r>
      <w:r w:rsidR="0019167A" w:rsidRPr="009B54D8">
        <w:rPr>
          <w:noProof/>
        </w:rPr>
        <w:t>Moreover, as part of</w:t>
      </w:r>
      <w:r w:rsidR="006E67BF" w:rsidRPr="009B54D8">
        <w:rPr>
          <w:noProof/>
        </w:rPr>
        <w:t xml:space="preserve"> the</w:t>
      </w:r>
      <w:r w:rsidR="003F5C80" w:rsidRPr="009B54D8">
        <w:rPr>
          <w:noProof/>
        </w:rPr>
        <w:t xml:space="preserve"> </w:t>
      </w:r>
      <w:r w:rsidR="00640FDE" w:rsidRPr="009B54D8">
        <w:rPr>
          <w:noProof/>
        </w:rPr>
        <w:t xml:space="preserve">draft and final </w:t>
      </w:r>
      <w:r w:rsidR="003F5C80" w:rsidRPr="009B54D8">
        <w:rPr>
          <w:noProof/>
        </w:rPr>
        <w:t>update of their National Energy and Climate Plans (NECPs) in 2023</w:t>
      </w:r>
      <w:r w:rsidR="00640FDE" w:rsidRPr="009B54D8">
        <w:rPr>
          <w:noProof/>
        </w:rPr>
        <w:t xml:space="preserve"> and 20</w:t>
      </w:r>
      <w:r w:rsidR="003F5C80" w:rsidRPr="009B54D8">
        <w:rPr>
          <w:noProof/>
        </w:rPr>
        <w:t>24</w:t>
      </w:r>
      <w:r w:rsidR="00BB6864" w:rsidRPr="009B54D8">
        <w:rPr>
          <w:noProof/>
        </w:rPr>
        <w:t>,</w:t>
      </w:r>
      <w:r w:rsidR="00640FDE" w:rsidRPr="009B54D8">
        <w:rPr>
          <w:noProof/>
        </w:rPr>
        <w:t xml:space="preserve"> respectively</w:t>
      </w:r>
      <w:r w:rsidR="009D7A0C" w:rsidRPr="009B54D8">
        <w:rPr>
          <w:noProof/>
        </w:rPr>
        <w:t>, in accordance with Article 14 of the Governance Regulation</w:t>
      </w:r>
      <w:r w:rsidR="006E67BF" w:rsidRPr="0096740E">
        <w:rPr>
          <w:rStyle w:val="FootnoteReference"/>
          <w:rFonts w:eastAsia="Calibri"/>
          <w:noProof/>
        </w:rPr>
        <w:footnoteReference w:id="100"/>
      </w:r>
      <w:r w:rsidR="003F5C80" w:rsidRPr="009B54D8">
        <w:rPr>
          <w:noProof/>
        </w:rPr>
        <w:t>,</w:t>
      </w:r>
      <w:r w:rsidR="006E67BF" w:rsidRPr="009B54D8">
        <w:rPr>
          <w:noProof/>
        </w:rPr>
        <w:t xml:space="preserve"> Member States</w:t>
      </w:r>
      <w:r w:rsidR="004D2CB8" w:rsidRPr="009B54D8">
        <w:rPr>
          <w:noProof/>
        </w:rPr>
        <w:t xml:space="preserve"> should draw </w:t>
      </w:r>
      <w:r w:rsidR="006E67BF" w:rsidRPr="009B54D8">
        <w:rPr>
          <w:noProof/>
        </w:rPr>
        <w:t xml:space="preserve">on this Recommendation </w:t>
      </w:r>
      <w:r w:rsidR="0019167A" w:rsidRPr="009B54D8">
        <w:rPr>
          <w:noProof/>
        </w:rPr>
        <w:t>to</w:t>
      </w:r>
      <w:r w:rsidR="006E67BF" w:rsidRPr="009B54D8">
        <w:rPr>
          <w:noProof/>
        </w:rPr>
        <w:t xml:space="preserve"> </w:t>
      </w:r>
      <w:r w:rsidR="00640FDE" w:rsidRPr="009B54D8">
        <w:rPr>
          <w:noProof/>
        </w:rPr>
        <w:t xml:space="preserve">consider </w:t>
      </w:r>
      <w:r w:rsidR="003F5C80" w:rsidRPr="009B54D8">
        <w:rPr>
          <w:noProof/>
        </w:rPr>
        <w:t>mainstream</w:t>
      </w:r>
      <w:r w:rsidR="00640FDE" w:rsidRPr="009B54D8">
        <w:rPr>
          <w:noProof/>
        </w:rPr>
        <w:t>ing</w:t>
      </w:r>
      <w:r w:rsidR="003F5C80" w:rsidRPr="009B54D8">
        <w:rPr>
          <w:noProof/>
        </w:rPr>
        <w:t xml:space="preserve"> </w:t>
      </w:r>
      <w:r w:rsidR="004D2CB8" w:rsidRPr="009B54D8">
        <w:rPr>
          <w:noProof/>
        </w:rPr>
        <w:t xml:space="preserve">employment, social and distributional impact assessments and </w:t>
      </w:r>
      <w:r w:rsidR="001C6DE0" w:rsidRPr="009B54D8">
        <w:rPr>
          <w:noProof/>
        </w:rPr>
        <w:t xml:space="preserve">fair </w:t>
      </w:r>
      <w:r w:rsidR="006D51CC" w:rsidRPr="009B54D8">
        <w:rPr>
          <w:noProof/>
        </w:rPr>
        <w:t>transition</w:t>
      </w:r>
      <w:r w:rsidR="003F5C80" w:rsidRPr="009B54D8">
        <w:rPr>
          <w:noProof/>
        </w:rPr>
        <w:t xml:space="preserve"> aspects across the five dimensions of the Energy Union</w:t>
      </w:r>
      <w:r w:rsidR="00640FDE" w:rsidRPr="009B54D8">
        <w:rPr>
          <w:noProof/>
        </w:rPr>
        <w:t xml:space="preserve"> </w:t>
      </w:r>
      <w:r w:rsidR="003F5C80" w:rsidRPr="009B54D8">
        <w:rPr>
          <w:noProof/>
        </w:rPr>
        <w:t xml:space="preserve">and further enhance policy measures for addressing </w:t>
      </w:r>
      <w:r w:rsidR="004D2CB8" w:rsidRPr="009B54D8">
        <w:rPr>
          <w:noProof/>
        </w:rPr>
        <w:t xml:space="preserve">these impacts, with a particular focus on </w:t>
      </w:r>
      <w:r w:rsidR="003F5C80" w:rsidRPr="009B54D8">
        <w:rPr>
          <w:noProof/>
        </w:rPr>
        <w:t>energy poverty.</w:t>
      </w:r>
    </w:p>
    <w:p w14:paraId="41F87A0B" w14:textId="7D03A1B3" w:rsidR="00B044BA" w:rsidRPr="0096740E" w:rsidRDefault="00420537" w:rsidP="00420537">
      <w:pPr>
        <w:pStyle w:val="ManualConsidrant"/>
        <w:rPr>
          <w:noProof/>
        </w:rPr>
      </w:pPr>
      <w:r w:rsidRPr="00420537">
        <w:t>(27)</w:t>
      </w:r>
      <w:r w:rsidRPr="00420537">
        <w:tab/>
      </w:r>
      <w:r w:rsidR="004D2CB8" w:rsidRPr="0096740E">
        <w:rPr>
          <w:noProof/>
        </w:rPr>
        <w:t xml:space="preserve">Furthermore, </w:t>
      </w:r>
      <w:r w:rsidR="0019167A" w:rsidRPr="0096740E">
        <w:rPr>
          <w:noProof/>
        </w:rPr>
        <w:t>the monitoring of the implementation of th</w:t>
      </w:r>
      <w:r w:rsidR="001702B7" w:rsidRPr="0096740E">
        <w:rPr>
          <w:noProof/>
        </w:rPr>
        <w:t>is</w:t>
      </w:r>
      <w:r w:rsidR="0019167A" w:rsidRPr="0096740E">
        <w:rPr>
          <w:noProof/>
        </w:rPr>
        <w:t xml:space="preserve"> Recommendation</w:t>
      </w:r>
      <w:r w:rsidR="001702B7" w:rsidRPr="0096740E">
        <w:rPr>
          <w:noProof/>
        </w:rPr>
        <w:t xml:space="preserve"> </w:t>
      </w:r>
      <w:r w:rsidR="00F97931" w:rsidRPr="0096740E">
        <w:rPr>
          <w:noProof/>
        </w:rPr>
        <w:t xml:space="preserve">can build on </w:t>
      </w:r>
      <w:r w:rsidR="004D2CB8" w:rsidRPr="0096740E">
        <w:rPr>
          <w:noProof/>
        </w:rPr>
        <w:t xml:space="preserve">existing evidence </w:t>
      </w:r>
      <w:r w:rsidR="002D6E76" w:rsidRPr="0096740E">
        <w:rPr>
          <w:noProof/>
        </w:rPr>
        <w:t>in the context of the established multilateral surveillance processes</w:t>
      </w:r>
      <w:r w:rsidR="00024D91" w:rsidRPr="0096740E">
        <w:rPr>
          <w:noProof/>
        </w:rPr>
        <w:t xml:space="preserve"> notably under the European Semester</w:t>
      </w:r>
      <w:r w:rsidR="0019167A" w:rsidRPr="009B54D8">
        <w:rPr>
          <w:rFonts w:eastAsia="Calibri"/>
          <w:noProof/>
        </w:rPr>
        <w:t>.</w:t>
      </w:r>
      <w:r w:rsidR="00DA60D5" w:rsidRPr="009B54D8">
        <w:rPr>
          <w:rFonts w:eastAsia="Calibri"/>
          <w:noProof/>
        </w:rPr>
        <w:t xml:space="preserve"> The Council or the Commission can request the Employment Committee and the Social Protection Committee, in accordance with Articles 150 and 160 TFEU respectively, to examine in their respective area of competence the implementation of this Recommendation on the basis of </w:t>
      </w:r>
      <w:r w:rsidR="00587CAF" w:rsidRPr="009B54D8">
        <w:rPr>
          <w:rFonts w:eastAsia="Calibri"/>
          <w:noProof/>
        </w:rPr>
        <w:t>adequate reporting</w:t>
      </w:r>
      <w:r w:rsidR="00DA60D5" w:rsidRPr="009B54D8">
        <w:rPr>
          <w:rFonts w:eastAsia="Calibri"/>
          <w:noProof/>
        </w:rPr>
        <w:t xml:space="preserve"> by the Commission and other multilateral surveillance tool</w:t>
      </w:r>
      <w:r w:rsidR="00F97931" w:rsidRPr="009B54D8">
        <w:rPr>
          <w:rFonts w:eastAsia="Calibri"/>
          <w:noProof/>
        </w:rPr>
        <w:t>s</w:t>
      </w:r>
      <w:r w:rsidR="00DA60D5" w:rsidRPr="009B54D8">
        <w:rPr>
          <w:rFonts w:eastAsia="Calibri"/>
          <w:noProof/>
        </w:rPr>
        <w:t>.</w:t>
      </w:r>
      <w:r w:rsidR="00DA60D5" w:rsidRPr="0096740E" w:rsidDel="00024D91">
        <w:rPr>
          <w:noProof/>
        </w:rPr>
        <w:t xml:space="preserve"> </w:t>
      </w:r>
      <w:r w:rsidR="00024D91" w:rsidRPr="009B54D8">
        <w:rPr>
          <w:rFonts w:eastAsia="Calibri"/>
          <w:noProof/>
        </w:rPr>
        <w:t>Also against this background</w:t>
      </w:r>
      <w:r w:rsidR="00C04208" w:rsidRPr="009B54D8">
        <w:rPr>
          <w:rFonts w:eastAsia="Calibri"/>
          <w:noProof/>
        </w:rPr>
        <w:t xml:space="preserve">, </w:t>
      </w:r>
      <w:r w:rsidR="0097499A" w:rsidRPr="0096740E">
        <w:rPr>
          <w:noProof/>
        </w:rPr>
        <w:t>the Commission is working to</w:t>
      </w:r>
      <w:r w:rsidR="007A2BB0" w:rsidRPr="0096740E">
        <w:rPr>
          <w:noProof/>
        </w:rPr>
        <w:t xml:space="preserve"> </w:t>
      </w:r>
      <w:r w:rsidR="001702B7" w:rsidRPr="0096740E">
        <w:rPr>
          <w:noProof/>
        </w:rPr>
        <w:t>enhance</w:t>
      </w:r>
      <w:r w:rsidR="003F5C80" w:rsidRPr="0096740E">
        <w:rPr>
          <w:noProof/>
        </w:rPr>
        <w:t xml:space="preserve"> data</w:t>
      </w:r>
      <w:r w:rsidR="004D2CB8" w:rsidRPr="0096740E">
        <w:rPr>
          <w:noProof/>
        </w:rPr>
        <w:t xml:space="preserve"> </w:t>
      </w:r>
      <w:r w:rsidR="007A2BB0" w:rsidRPr="0096740E">
        <w:rPr>
          <w:noProof/>
        </w:rPr>
        <w:t>availability</w:t>
      </w:r>
      <w:r w:rsidR="004D2CB8" w:rsidRPr="0096740E">
        <w:rPr>
          <w:noProof/>
        </w:rPr>
        <w:t xml:space="preserve">, </w:t>
      </w:r>
      <w:r w:rsidR="0097499A" w:rsidRPr="0096740E">
        <w:rPr>
          <w:noProof/>
        </w:rPr>
        <w:t xml:space="preserve">to update, develop and use </w:t>
      </w:r>
      <w:r w:rsidR="001E5473" w:rsidRPr="0096740E">
        <w:rPr>
          <w:noProof/>
        </w:rPr>
        <w:t xml:space="preserve">frameworks </w:t>
      </w:r>
      <w:r w:rsidR="007A2BB0" w:rsidRPr="0096740E">
        <w:rPr>
          <w:noProof/>
        </w:rPr>
        <w:t>and methodologi</w:t>
      </w:r>
      <w:r w:rsidR="00CE7B3B" w:rsidRPr="0096740E">
        <w:rPr>
          <w:noProof/>
        </w:rPr>
        <w:t>cal guidance</w:t>
      </w:r>
      <w:r w:rsidR="003F5C80" w:rsidRPr="0096740E">
        <w:rPr>
          <w:noProof/>
        </w:rPr>
        <w:t xml:space="preserve">, including </w:t>
      </w:r>
      <w:r w:rsidR="001702B7" w:rsidRPr="0096740E">
        <w:rPr>
          <w:noProof/>
        </w:rPr>
        <w:t xml:space="preserve">for the measurement of </w:t>
      </w:r>
      <w:r w:rsidR="003F5C80" w:rsidRPr="0096740E">
        <w:rPr>
          <w:noProof/>
        </w:rPr>
        <w:t xml:space="preserve">energy </w:t>
      </w:r>
      <w:r w:rsidR="00C04208" w:rsidRPr="0096740E">
        <w:rPr>
          <w:noProof/>
        </w:rPr>
        <w:t xml:space="preserve">and transport </w:t>
      </w:r>
      <w:r w:rsidR="003F5C80" w:rsidRPr="0096740E">
        <w:rPr>
          <w:noProof/>
        </w:rPr>
        <w:t>poverty</w:t>
      </w:r>
      <w:r w:rsidR="001702B7" w:rsidRPr="0096740E">
        <w:rPr>
          <w:noProof/>
        </w:rPr>
        <w:t xml:space="preserve"> </w:t>
      </w:r>
      <w:r w:rsidR="00702C86" w:rsidRPr="0096740E">
        <w:rPr>
          <w:noProof/>
        </w:rPr>
        <w:t xml:space="preserve">and environmental inequalities, </w:t>
      </w:r>
      <w:r w:rsidR="001702B7" w:rsidRPr="0096740E">
        <w:rPr>
          <w:noProof/>
        </w:rPr>
        <w:t xml:space="preserve">and for evaluating the effectiveness </w:t>
      </w:r>
      <w:r w:rsidR="0097499A" w:rsidRPr="0096740E">
        <w:rPr>
          <w:noProof/>
        </w:rPr>
        <w:t xml:space="preserve">and actual impact </w:t>
      </w:r>
      <w:r w:rsidR="001702B7" w:rsidRPr="0096740E">
        <w:rPr>
          <w:noProof/>
        </w:rPr>
        <w:t>of policy measures.</w:t>
      </w:r>
      <w:r w:rsidR="000C3B88" w:rsidRPr="0096740E">
        <w:rPr>
          <w:noProof/>
        </w:rPr>
        <w:t xml:space="preserve"> </w:t>
      </w:r>
      <w:r w:rsidR="00B044BA" w:rsidRPr="0096740E">
        <w:rPr>
          <w:noProof/>
        </w:rPr>
        <w:t xml:space="preserve"> </w:t>
      </w:r>
    </w:p>
    <w:p w14:paraId="0DF54E4C" w14:textId="7A5F8F1A" w:rsidR="008209DA" w:rsidRPr="0096740E" w:rsidRDefault="003E5077" w:rsidP="005145BE">
      <w:pPr>
        <w:pStyle w:val="Formuledadoption"/>
        <w:rPr>
          <w:noProof/>
        </w:rPr>
      </w:pPr>
      <w:r w:rsidRPr="0096740E">
        <w:rPr>
          <w:noProof/>
        </w:rPr>
        <w:t>H</w:t>
      </w:r>
      <w:r w:rsidR="008209DA" w:rsidRPr="0096740E">
        <w:rPr>
          <w:noProof/>
        </w:rPr>
        <w:t>AS ADOPTED THIS RECOMMENDATION</w:t>
      </w:r>
      <w:r w:rsidRPr="0096740E">
        <w:rPr>
          <w:noProof/>
        </w:rPr>
        <w:t>:</w:t>
      </w:r>
      <w:r w:rsidR="00530182" w:rsidRPr="0096740E">
        <w:rPr>
          <w:noProof/>
        </w:rPr>
        <w:t xml:space="preserve"> </w:t>
      </w:r>
    </w:p>
    <w:p w14:paraId="16C96C6A" w14:textId="77777777" w:rsidR="00454049" w:rsidRPr="0096740E" w:rsidRDefault="00454049" w:rsidP="00B35D4E">
      <w:pPr>
        <w:rPr>
          <w:noProof/>
        </w:rPr>
      </w:pPr>
    </w:p>
    <w:p w14:paraId="4850D7D4" w14:textId="77777777" w:rsidR="00002649" w:rsidRPr="008F5DD4" w:rsidRDefault="00002649" w:rsidP="00B35D4E">
      <w:pPr>
        <w:rPr>
          <w:noProof/>
        </w:rPr>
      </w:pPr>
      <w:r w:rsidRPr="008F5DD4">
        <w:rPr>
          <w:noProof/>
        </w:rPr>
        <w:t xml:space="preserve">OBJECTIVE  </w:t>
      </w:r>
    </w:p>
    <w:p w14:paraId="6074B821" w14:textId="33A28636" w:rsidR="00A47217" w:rsidRPr="00BE2E79" w:rsidRDefault="00420537" w:rsidP="00420537">
      <w:pPr>
        <w:pStyle w:val="Point0"/>
        <w:rPr>
          <w:noProof/>
        </w:rPr>
      </w:pPr>
      <w:r w:rsidRPr="00420537">
        <w:t>(1)</w:t>
      </w:r>
      <w:r w:rsidRPr="00420537">
        <w:tab/>
      </w:r>
      <w:r w:rsidR="00972E37" w:rsidRPr="00BE2E79">
        <w:rPr>
          <w:noProof/>
        </w:rPr>
        <w:t xml:space="preserve">In line with the principles of the European Green Deal and the European Pillar of Social Rights, </w:t>
      </w:r>
      <w:r w:rsidR="00002649" w:rsidRPr="00BE2E79">
        <w:rPr>
          <w:noProof/>
        </w:rPr>
        <w:t xml:space="preserve">this Recommendation </w:t>
      </w:r>
      <w:r w:rsidR="00A4322A" w:rsidRPr="00BE2E79">
        <w:rPr>
          <w:noProof/>
        </w:rPr>
        <w:t xml:space="preserve">aims </w:t>
      </w:r>
      <w:r w:rsidR="00F83EE7" w:rsidRPr="00BE2E79">
        <w:rPr>
          <w:noProof/>
        </w:rPr>
        <w:t xml:space="preserve">to </w:t>
      </w:r>
      <w:r w:rsidR="00002649" w:rsidRPr="00BE2E79">
        <w:rPr>
          <w:noProof/>
        </w:rPr>
        <w:t>ensur</w:t>
      </w:r>
      <w:r w:rsidR="002D6E76" w:rsidRPr="00BE2E79">
        <w:rPr>
          <w:noProof/>
        </w:rPr>
        <w:t>e</w:t>
      </w:r>
      <w:r w:rsidR="00002649" w:rsidRPr="00BE2E79">
        <w:rPr>
          <w:noProof/>
        </w:rPr>
        <w:t xml:space="preserve"> that the</w:t>
      </w:r>
      <w:r w:rsidR="00D172AB" w:rsidRPr="00BE2E79">
        <w:rPr>
          <w:noProof/>
        </w:rPr>
        <w:t xml:space="preserve"> Union’s</w:t>
      </w:r>
      <w:r w:rsidR="00002649" w:rsidRPr="00BE2E79">
        <w:rPr>
          <w:noProof/>
        </w:rPr>
        <w:t xml:space="preserve"> transition towards </w:t>
      </w:r>
      <w:r w:rsidR="00972E37" w:rsidRPr="00BE2E79">
        <w:rPr>
          <w:noProof/>
        </w:rPr>
        <w:t xml:space="preserve">a </w:t>
      </w:r>
      <w:r w:rsidR="00002649" w:rsidRPr="00BE2E79">
        <w:rPr>
          <w:noProof/>
        </w:rPr>
        <w:t>climate</w:t>
      </w:r>
      <w:r w:rsidR="00972E37" w:rsidRPr="00BE2E79">
        <w:rPr>
          <w:noProof/>
        </w:rPr>
        <w:t>-</w:t>
      </w:r>
      <w:r w:rsidR="00002649" w:rsidRPr="00BE2E79">
        <w:rPr>
          <w:noProof/>
        </w:rPr>
        <w:t>neutral</w:t>
      </w:r>
      <w:r w:rsidR="00972E37" w:rsidRPr="00BE2E79">
        <w:rPr>
          <w:noProof/>
        </w:rPr>
        <w:t xml:space="preserve"> and environmentally</w:t>
      </w:r>
      <w:r w:rsidR="008F3DED" w:rsidRPr="00BE2E79">
        <w:rPr>
          <w:noProof/>
        </w:rPr>
        <w:t xml:space="preserve"> </w:t>
      </w:r>
      <w:r w:rsidR="00972E37" w:rsidRPr="00BE2E79">
        <w:rPr>
          <w:noProof/>
        </w:rPr>
        <w:t xml:space="preserve">sustainable economy </w:t>
      </w:r>
      <w:r w:rsidR="00F83EE7" w:rsidRPr="00BE2E79">
        <w:rPr>
          <w:noProof/>
        </w:rPr>
        <w:t>by 2050</w:t>
      </w:r>
      <w:r w:rsidR="00972E37" w:rsidRPr="00BE2E79">
        <w:rPr>
          <w:noProof/>
        </w:rPr>
        <w:t xml:space="preserve"> </w:t>
      </w:r>
      <w:r w:rsidR="00002649" w:rsidRPr="00BE2E79">
        <w:rPr>
          <w:noProof/>
        </w:rPr>
        <w:t xml:space="preserve">is </w:t>
      </w:r>
      <w:r w:rsidR="0004009A" w:rsidRPr="00BE2E79">
        <w:rPr>
          <w:noProof/>
        </w:rPr>
        <w:t>fair</w:t>
      </w:r>
      <w:r w:rsidR="00002649" w:rsidRPr="00BE2E79">
        <w:rPr>
          <w:noProof/>
        </w:rPr>
        <w:t xml:space="preserve"> </w:t>
      </w:r>
      <w:r w:rsidR="00E36A0E" w:rsidRPr="00BE2E79">
        <w:rPr>
          <w:noProof/>
        </w:rPr>
        <w:t>and leaves nobody behind</w:t>
      </w:r>
      <w:r w:rsidR="00972E37" w:rsidRPr="00BE2E79">
        <w:rPr>
          <w:noProof/>
        </w:rPr>
        <w:t>.</w:t>
      </w:r>
    </w:p>
    <w:p w14:paraId="78C8BB34" w14:textId="2150CBAE" w:rsidR="00002649" w:rsidRPr="00BE2E79" w:rsidRDefault="00420537" w:rsidP="00420537">
      <w:pPr>
        <w:pStyle w:val="Point0"/>
        <w:rPr>
          <w:noProof/>
        </w:rPr>
      </w:pPr>
      <w:r w:rsidRPr="00420537">
        <w:t>(2)</w:t>
      </w:r>
      <w:r w:rsidRPr="00420537">
        <w:tab/>
      </w:r>
      <w:r w:rsidR="00002649" w:rsidRPr="00BE2E79">
        <w:rPr>
          <w:noProof/>
        </w:rPr>
        <w:t xml:space="preserve">Member States are invited, for that purpose, to </w:t>
      </w:r>
      <w:r w:rsidR="009F41E2" w:rsidRPr="00BE2E79">
        <w:rPr>
          <w:noProof/>
        </w:rPr>
        <w:t>adopt</w:t>
      </w:r>
      <w:r w:rsidR="00002649" w:rsidRPr="00BE2E79">
        <w:rPr>
          <w:noProof/>
        </w:rPr>
        <w:t xml:space="preserve"> and</w:t>
      </w:r>
      <w:r w:rsidR="004A621F" w:rsidRPr="00BE2E79">
        <w:rPr>
          <w:noProof/>
        </w:rPr>
        <w:t>, in close cooperation with social partners as relevant,</w:t>
      </w:r>
      <w:r w:rsidR="00002649" w:rsidRPr="00BE2E79">
        <w:rPr>
          <w:noProof/>
        </w:rPr>
        <w:t xml:space="preserve"> implement comprehensive and coherent policy packages</w:t>
      </w:r>
      <w:r w:rsidR="00AD6078" w:rsidRPr="00BE2E79">
        <w:rPr>
          <w:noProof/>
        </w:rPr>
        <w:t>, addressing</w:t>
      </w:r>
      <w:r w:rsidR="004357AA" w:rsidRPr="00BE2E79">
        <w:rPr>
          <w:noProof/>
        </w:rPr>
        <w:t xml:space="preserve"> the </w:t>
      </w:r>
      <w:r w:rsidR="00E84400" w:rsidRPr="00BE2E79">
        <w:rPr>
          <w:noProof/>
        </w:rPr>
        <w:t>employment and social</w:t>
      </w:r>
      <w:r w:rsidR="004357AA" w:rsidRPr="00BE2E79">
        <w:rPr>
          <w:noProof/>
        </w:rPr>
        <w:t xml:space="preserve"> aspects </w:t>
      </w:r>
      <w:r w:rsidR="0004009A" w:rsidRPr="00BE2E79">
        <w:rPr>
          <w:noProof/>
        </w:rPr>
        <w:t xml:space="preserve">to promote a fair transition </w:t>
      </w:r>
      <w:r w:rsidR="00E355B9" w:rsidRPr="00BE2E79">
        <w:rPr>
          <w:noProof/>
        </w:rPr>
        <w:t>across all policies, notably</w:t>
      </w:r>
      <w:r w:rsidR="0004009A" w:rsidRPr="00BE2E79">
        <w:rPr>
          <w:noProof/>
        </w:rPr>
        <w:t xml:space="preserve"> climate, energy and environmental policies</w:t>
      </w:r>
      <w:r w:rsidR="004357AA" w:rsidRPr="00BE2E79">
        <w:rPr>
          <w:noProof/>
        </w:rPr>
        <w:t xml:space="preserve">, </w:t>
      </w:r>
      <w:r w:rsidR="00002649" w:rsidRPr="00BE2E79">
        <w:rPr>
          <w:noProof/>
        </w:rPr>
        <w:t>as well as to make optimal use of public and private funding.</w:t>
      </w:r>
    </w:p>
    <w:p w14:paraId="47C2A556" w14:textId="11195AD9" w:rsidR="00002649" w:rsidRPr="00BE2E79" w:rsidRDefault="00002649" w:rsidP="00002649">
      <w:pPr>
        <w:rPr>
          <w:noProof/>
        </w:rPr>
      </w:pPr>
    </w:p>
    <w:p w14:paraId="114DC05E" w14:textId="77777777" w:rsidR="00002649" w:rsidRPr="00BE2E79" w:rsidRDefault="00002649" w:rsidP="00002649">
      <w:pPr>
        <w:rPr>
          <w:noProof/>
        </w:rPr>
      </w:pPr>
      <w:r w:rsidRPr="00BE2E79">
        <w:rPr>
          <w:noProof/>
        </w:rPr>
        <w:t>DEFINITIONS</w:t>
      </w:r>
    </w:p>
    <w:p w14:paraId="6ED98DBE" w14:textId="04E35C19" w:rsidR="00002649" w:rsidRPr="00BE2E79" w:rsidRDefault="00420537" w:rsidP="00420537">
      <w:pPr>
        <w:pStyle w:val="Point0"/>
        <w:rPr>
          <w:noProof/>
        </w:rPr>
      </w:pPr>
      <w:r w:rsidRPr="00420537">
        <w:t>(3)</w:t>
      </w:r>
      <w:r w:rsidRPr="00420537">
        <w:tab/>
      </w:r>
      <w:r w:rsidR="00002649" w:rsidRPr="00BE2E79">
        <w:rPr>
          <w:noProof/>
        </w:rPr>
        <w:t>For the purpose of this Recommendation, the following definitions apply:</w:t>
      </w:r>
    </w:p>
    <w:p w14:paraId="2B1FA9AF" w14:textId="62702FB7" w:rsidR="00915273" w:rsidRPr="00BE2E79" w:rsidRDefault="00420537" w:rsidP="00420537">
      <w:pPr>
        <w:pStyle w:val="Point1"/>
        <w:rPr>
          <w:noProof/>
        </w:rPr>
      </w:pPr>
      <w:r w:rsidRPr="00420537">
        <w:t>(a)</w:t>
      </w:r>
      <w:r w:rsidRPr="00420537">
        <w:tab/>
      </w:r>
      <w:r w:rsidR="00915273" w:rsidRPr="00BE2E79">
        <w:rPr>
          <w:noProof/>
        </w:rPr>
        <w:t>‘Green transition’</w:t>
      </w:r>
      <w:r w:rsidR="00A85DE9" w:rsidRPr="00BE2E79">
        <w:rPr>
          <w:noProof/>
        </w:rPr>
        <w:t xml:space="preserve"> </w:t>
      </w:r>
      <w:r w:rsidR="00264218" w:rsidRPr="00BE2E79">
        <w:rPr>
          <w:noProof/>
        </w:rPr>
        <w:t>means</w:t>
      </w:r>
      <w:r w:rsidR="00A85DE9" w:rsidRPr="00BE2E79">
        <w:rPr>
          <w:noProof/>
        </w:rPr>
        <w:t xml:space="preserve"> </w:t>
      </w:r>
      <w:r w:rsidR="008F2A83" w:rsidRPr="00BE2E79">
        <w:rPr>
          <w:noProof/>
        </w:rPr>
        <w:t xml:space="preserve">the </w:t>
      </w:r>
      <w:r w:rsidR="00915273" w:rsidRPr="00BE2E79">
        <w:rPr>
          <w:noProof/>
        </w:rPr>
        <w:t xml:space="preserve">transition of the EU economy and society towards </w:t>
      </w:r>
      <w:r w:rsidR="00A4322A" w:rsidRPr="00BE2E79">
        <w:rPr>
          <w:noProof/>
        </w:rPr>
        <w:t xml:space="preserve">the achievement of the </w:t>
      </w:r>
      <w:r w:rsidR="0067740F" w:rsidRPr="00BE2E79">
        <w:rPr>
          <w:noProof/>
        </w:rPr>
        <w:t>climate and environmental objectives</w:t>
      </w:r>
      <w:r w:rsidR="00863C66" w:rsidRPr="00BE2E79">
        <w:rPr>
          <w:noProof/>
        </w:rPr>
        <w:t xml:space="preserve"> </w:t>
      </w:r>
      <w:r w:rsidR="00AD526F" w:rsidRPr="00BE2E79">
        <w:rPr>
          <w:noProof/>
        </w:rPr>
        <w:t>primarily through policies and investments,</w:t>
      </w:r>
      <w:r w:rsidR="00915273" w:rsidRPr="00BE2E79">
        <w:rPr>
          <w:noProof/>
        </w:rPr>
        <w:t xml:space="preserve"> in line with </w:t>
      </w:r>
      <w:r w:rsidR="00E355B9" w:rsidRPr="00BE2E79">
        <w:rPr>
          <w:noProof/>
        </w:rPr>
        <w:t>the European Climate Law</w:t>
      </w:r>
      <w:r w:rsidR="007723F6" w:rsidRPr="00BE2E79">
        <w:rPr>
          <w:noProof/>
        </w:rPr>
        <w:t xml:space="preserve"> laying down the obligation to achieve climate neutrality by 2050</w:t>
      </w:r>
      <w:r w:rsidR="00E355B9" w:rsidRPr="00BE2E79">
        <w:rPr>
          <w:noProof/>
        </w:rPr>
        <w:t xml:space="preserve">, the European Green Deal and </w:t>
      </w:r>
      <w:r w:rsidR="00915273" w:rsidRPr="00BE2E79">
        <w:rPr>
          <w:noProof/>
        </w:rPr>
        <w:t>the Paris Agreement.</w:t>
      </w:r>
    </w:p>
    <w:p w14:paraId="78BD7B8F" w14:textId="3AFEF7AB" w:rsidR="00915273" w:rsidRPr="0058076B" w:rsidRDefault="00420537" w:rsidP="00420537">
      <w:pPr>
        <w:pStyle w:val="Point1"/>
        <w:rPr>
          <w:noProof/>
        </w:rPr>
      </w:pPr>
      <w:r w:rsidRPr="00420537">
        <w:t>(b)</w:t>
      </w:r>
      <w:r w:rsidRPr="00420537">
        <w:tab/>
      </w:r>
      <w:r w:rsidR="00915273" w:rsidRPr="00BE2E79">
        <w:rPr>
          <w:noProof/>
        </w:rPr>
        <w:t xml:space="preserve">‘Climate and environmental objectives’ </w:t>
      </w:r>
      <w:r w:rsidR="00264218" w:rsidRPr="00BE2E79">
        <w:rPr>
          <w:noProof/>
        </w:rPr>
        <w:t>means</w:t>
      </w:r>
      <w:r w:rsidR="00915273" w:rsidRPr="00BE2E79">
        <w:rPr>
          <w:noProof/>
        </w:rPr>
        <w:t xml:space="preserve"> the six objectives laid </w:t>
      </w:r>
      <w:r w:rsidR="008F2A83" w:rsidRPr="00BE2E79">
        <w:rPr>
          <w:noProof/>
        </w:rPr>
        <w:t>down</w:t>
      </w:r>
      <w:r w:rsidR="00915273" w:rsidRPr="00BE2E79">
        <w:rPr>
          <w:noProof/>
        </w:rPr>
        <w:t xml:space="preserve"> by </w:t>
      </w:r>
      <w:r w:rsidR="00915273" w:rsidRPr="009F495F">
        <w:rPr>
          <w:noProof/>
        </w:rPr>
        <w:t>Regulation (EU) 2020/852</w:t>
      </w:r>
      <w:r w:rsidR="00915273" w:rsidRPr="009F495F">
        <w:rPr>
          <w:rStyle w:val="FootnoteReference"/>
          <w:noProof/>
        </w:rPr>
        <w:footnoteReference w:id="101"/>
      </w:r>
      <w:r w:rsidR="00915273" w:rsidRPr="009F495F">
        <w:rPr>
          <w:noProof/>
        </w:rPr>
        <w:t>,</w:t>
      </w:r>
      <w:r w:rsidR="00915273" w:rsidRPr="00BE2E79">
        <w:rPr>
          <w:noProof/>
        </w:rPr>
        <w:t xml:space="preserve"> namely</w:t>
      </w:r>
      <w:r w:rsidR="00915273" w:rsidRPr="009F495F">
        <w:rPr>
          <w:noProof/>
        </w:rPr>
        <w:t>:</w:t>
      </w:r>
      <w:r w:rsidR="00915273" w:rsidRPr="00BE2E79">
        <w:rPr>
          <w:noProof/>
        </w:rPr>
        <w:t xml:space="preserve"> </w:t>
      </w:r>
      <w:r w:rsidR="00915273" w:rsidRPr="0096740E">
        <w:rPr>
          <w:noProof/>
        </w:rPr>
        <w:t xml:space="preserve">climate change mitigation; climate change adaptation; </w:t>
      </w:r>
      <w:r w:rsidR="00915273" w:rsidRPr="009F495F">
        <w:rPr>
          <w:noProof/>
        </w:rPr>
        <w:t xml:space="preserve">the sustainable use and protection of water and marine resources; </w:t>
      </w:r>
      <w:r w:rsidR="00915273" w:rsidRPr="0096740E">
        <w:rPr>
          <w:noProof/>
        </w:rPr>
        <w:t xml:space="preserve">the transition to a circular economy; pollution prevention and control; </w:t>
      </w:r>
      <w:r w:rsidR="00915273" w:rsidRPr="009F495F">
        <w:rPr>
          <w:noProof/>
        </w:rPr>
        <w:t xml:space="preserve">and </w:t>
      </w:r>
      <w:r w:rsidR="00915273" w:rsidRPr="0096740E">
        <w:rPr>
          <w:noProof/>
        </w:rPr>
        <w:t xml:space="preserve">the protection and restoration of biodiversity </w:t>
      </w:r>
      <w:r w:rsidR="00915273" w:rsidRPr="009F495F">
        <w:rPr>
          <w:noProof/>
        </w:rPr>
        <w:t>and ecosystems</w:t>
      </w:r>
      <w:r w:rsidR="00915273" w:rsidRPr="0096740E">
        <w:rPr>
          <w:noProof/>
        </w:rPr>
        <w:t>.</w:t>
      </w:r>
    </w:p>
    <w:p w14:paraId="183A06C0" w14:textId="652E444C" w:rsidR="00DA61A5" w:rsidRPr="00BE2E79" w:rsidRDefault="00420537" w:rsidP="00420537">
      <w:pPr>
        <w:pStyle w:val="Point1"/>
        <w:rPr>
          <w:noProof/>
        </w:rPr>
      </w:pPr>
      <w:r w:rsidRPr="00420537">
        <w:t>(c)</w:t>
      </w:r>
      <w:r w:rsidRPr="00420537">
        <w:tab/>
      </w:r>
      <w:r w:rsidR="00915273" w:rsidRPr="00BE2E79">
        <w:rPr>
          <w:noProof/>
        </w:rPr>
        <w:t>‘People</w:t>
      </w:r>
      <w:r w:rsidR="00635EB3" w:rsidRPr="00BE2E79">
        <w:rPr>
          <w:noProof/>
        </w:rPr>
        <w:t xml:space="preserve"> and households</w:t>
      </w:r>
      <w:r w:rsidR="00915273" w:rsidRPr="00BE2E79">
        <w:rPr>
          <w:noProof/>
        </w:rPr>
        <w:t xml:space="preserve"> most affected by the green transition’ </w:t>
      </w:r>
      <w:r w:rsidR="00264218" w:rsidRPr="00BE2E79">
        <w:rPr>
          <w:noProof/>
        </w:rPr>
        <w:t>means</w:t>
      </w:r>
      <w:r w:rsidR="00915273" w:rsidRPr="00BE2E79">
        <w:rPr>
          <w:noProof/>
        </w:rPr>
        <w:t xml:space="preserve"> </w:t>
      </w:r>
      <w:r w:rsidR="00A4322A" w:rsidRPr="00BE2E79">
        <w:rPr>
          <w:noProof/>
        </w:rPr>
        <w:t>those</w:t>
      </w:r>
      <w:r w:rsidR="00635EB3" w:rsidRPr="00BE2E79">
        <w:rPr>
          <w:noProof/>
        </w:rPr>
        <w:t xml:space="preserve"> </w:t>
      </w:r>
      <w:r w:rsidR="00915273" w:rsidRPr="00BE2E79">
        <w:rPr>
          <w:noProof/>
        </w:rPr>
        <w:t xml:space="preserve">whose </w:t>
      </w:r>
      <w:r w:rsidR="00E2541D" w:rsidRPr="00BE2E79">
        <w:rPr>
          <w:noProof/>
        </w:rPr>
        <w:t xml:space="preserve">effective </w:t>
      </w:r>
      <w:r w:rsidR="00915273" w:rsidRPr="00BE2E79">
        <w:rPr>
          <w:noProof/>
        </w:rPr>
        <w:t>access to quality employment</w:t>
      </w:r>
      <w:r w:rsidR="00544537" w:rsidRPr="00BE2E79">
        <w:rPr>
          <w:noProof/>
        </w:rPr>
        <w:t>, including self-employment,</w:t>
      </w:r>
      <w:r w:rsidR="00915273" w:rsidRPr="00BE2E79">
        <w:rPr>
          <w:noProof/>
        </w:rPr>
        <w:t xml:space="preserve"> </w:t>
      </w:r>
      <w:r w:rsidR="00D866F0" w:rsidRPr="00BE2E79">
        <w:rPr>
          <w:noProof/>
        </w:rPr>
        <w:t xml:space="preserve">and/or </w:t>
      </w:r>
      <w:r w:rsidR="00DB647E" w:rsidRPr="00BE2E79">
        <w:rPr>
          <w:noProof/>
        </w:rPr>
        <w:t>to education and trainin</w:t>
      </w:r>
      <w:r w:rsidR="00041DA4" w:rsidRPr="00BE2E79">
        <w:rPr>
          <w:noProof/>
        </w:rPr>
        <w:t>g</w:t>
      </w:r>
      <w:r w:rsidR="00DB647E" w:rsidRPr="00BE2E79">
        <w:rPr>
          <w:noProof/>
        </w:rPr>
        <w:t xml:space="preserve"> </w:t>
      </w:r>
      <w:r w:rsidR="00915273" w:rsidRPr="00BE2E79">
        <w:rPr>
          <w:noProof/>
        </w:rPr>
        <w:t>and/or to a decent standard of living</w:t>
      </w:r>
      <w:r w:rsidR="00AD526F" w:rsidRPr="00BE2E79">
        <w:rPr>
          <w:noProof/>
        </w:rPr>
        <w:t xml:space="preserve"> and</w:t>
      </w:r>
      <w:r w:rsidR="001B51F1" w:rsidRPr="00BE2E79">
        <w:rPr>
          <w:noProof/>
        </w:rPr>
        <w:t xml:space="preserve"> </w:t>
      </w:r>
      <w:r w:rsidR="00915273" w:rsidRPr="00BE2E79">
        <w:rPr>
          <w:noProof/>
        </w:rPr>
        <w:t xml:space="preserve">essential services is </w:t>
      </w:r>
      <w:r w:rsidR="00A85DE9" w:rsidRPr="00BE2E79">
        <w:rPr>
          <w:noProof/>
        </w:rPr>
        <w:t xml:space="preserve">significantly </w:t>
      </w:r>
      <w:r w:rsidR="00915273" w:rsidRPr="00BE2E79">
        <w:rPr>
          <w:noProof/>
        </w:rPr>
        <w:t xml:space="preserve">limited or at risk of being </w:t>
      </w:r>
      <w:r w:rsidR="00A85DE9" w:rsidRPr="00BE2E79">
        <w:rPr>
          <w:noProof/>
        </w:rPr>
        <w:t xml:space="preserve">significantly </w:t>
      </w:r>
      <w:r w:rsidR="00915273" w:rsidRPr="00BE2E79">
        <w:rPr>
          <w:noProof/>
        </w:rPr>
        <w:t>limited as a direct or indirect consequence of the green transition.</w:t>
      </w:r>
    </w:p>
    <w:p w14:paraId="0521B983" w14:textId="2A2B9635" w:rsidR="00DA61A5" w:rsidRDefault="00420537" w:rsidP="00420537">
      <w:pPr>
        <w:pStyle w:val="Point1"/>
        <w:rPr>
          <w:noProof/>
        </w:rPr>
      </w:pPr>
      <w:r w:rsidRPr="00420537">
        <w:t>(d)</w:t>
      </w:r>
      <w:r w:rsidRPr="00420537">
        <w:tab/>
      </w:r>
      <w:r w:rsidR="00915273" w:rsidRPr="00BE2E79">
        <w:rPr>
          <w:noProof/>
        </w:rPr>
        <w:t xml:space="preserve">‘People </w:t>
      </w:r>
      <w:r w:rsidR="00635EB3" w:rsidRPr="00BE2E79">
        <w:rPr>
          <w:noProof/>
        </w:rPr>
        <w:t xml:space="preserve">and households </w:t>
      </w:r>
      <w:r w:rsidR="00915273" w:rsidRPr="00BE2E79">
        <w:rPr>
          <w:noProof/>
        </w:rPr>
        <w:t xml:space="preserve">in vulnerable situations’ </w:t>
      </w:r>
      <w:r w:rsidR="00264218" w:rsidRPr="00BE2E79">
        <w:rPr>
          <w:noProof/>
        </w:rPr>
        <w:t>means</w:t>
      </w:r>
      <w:r w:rsidR="00915273" w:rsidRPr="00BE2E79">
        <w:rPr>
          <w:noProof/>
        </w:rPr>
        <w:t xml:space="preserve"> </w:t>
      </w:r>
      <w:r w:rsidR="00A4322A" w:rsidRPr="00BE2E79">
        <w:rPr>
          <w:noProof/>
        </w:rPr>
        <w:t>those</w:t>
      </w:r>
      <w:r w:rsidR="00635EB3" w:rsidRPr="00BE2E79">
        <w:rPr>
          <w:noProof/>
        </w:rPr>
        <w:t xml:space="preserve"> </w:t>
      </w:r>
      <w:r w:rsidR="00915273" w:rsidRPr="00BE2E79">
        <w:rPr>
          <w:noProof/>
        </w:rPr>
        <w:t>who</w:t>
      </w:r>
      <w:r w:rsidR="00EE77FA" w:rsidRPr="00BE2E79">
        <w:rPr>
          <w:noProof/>
        </w:rPr>
        <w:t>, independently of the green transition,</w:t>
      </w:r>
      <w:r w:rsidR="00915273" w:rsidRPr="00BE2E79">
        <w:rPr>
          <w:noProof/>
        </w:rPr>
        <w:t xml:space="preserve"> </w:t>
      </w:r>
      <w:r w:rsidR="00A85DE9" w:rsidRPr="00BE2E79">
        <w:rPr>
          <w:noProof/>
        </w:rPr>
        <w:t>face</w:t>
      </w:r>
      <w:r w:rsidR="00EE77FA" w:rsidRPr="00BE2E79">
        <w:rPr>
          <w:noProof/>
        </w:rPr>
        <w:t xml:space="preserve"> or are at risk of facing</w:t>
      </w:r>
      <w:r w:rsidR="00A85DE9" w:rsidRPr="00BE2E79">
        <w:rPr>
          <w:noProof/>
        </w:rPr>
        <w:t xml:space="preserve"> a situation of significantly </w:t>
      </w:r>
      <w:r w:rsidR="00915273" w:rsidRPr="00BE2E79">
        <w:rPr>
          <w:noProof/>
        </w:rPr>
        <w:t>limited access to quality employment</w:t>
      </w:r>
      <w:r w:rsidR="00544537" w:rsidRPr="00BE2E79">
        <w:rPr>
          <w:noProof/>
        </w:rPr>
        <w:t>, including self-employment,</w:t>
      </w:r>
      <w:r w:rsidR="00915273" w:rsidRPr="00BE2E79">
        <w:rPr>
          <w:noProof/>
        </w:rPr>
        <w:t xml:space="preserve"> and</w:t>
      </w:r>
      <w:r w:rsidR="006334A3" w:rsidRPr="00BE2E79">
        <w:rPr>
          <w:noProof/>
        </w:rPr>
        <w:t>/or to education and training,</w:t>
      </w:r>
      <w:r w:rsidR="00915273" w:rsidRPr="00BE2E79">
        <w:rPr>
          <w:noProof/>
        </w:rPr>
        <w:t xml:space="preserve"> and/or to a decent standard of living</w:t>
      </w:r>
      <w:r w:rsidR="00AD526F" w:rsidRPr="00BE2E79">
        <w:rPr>
          <w:noProof/>
        </w:rPr>
        <w:t xml:space="preserve"> and</w:t>
      </w:r>
      <w:r w:rsidR="001B51F1" w:rsidRPr="00BE2E79">
        <w:rPr>
          <w:noProof/>
        </w:rPr>
        <w:t xml:space="preserve"> </w:t>
      </w:r>
      <w:r w:rsidR="00915273" w:rsidRPr="00BE2E79">
        <w:rPr>
          <w:noProof/>
        </w:rPr>
        <w:t xml:space="preserve">essential services, </w:t>
      </w:r>
      <w:r w:rsidR="00A85DE9" w:rsidRPr="00BE2E79">
        <w:rPr>
          <w:noProof/>
        </w:rPr>
        <w:t>implying</w:t>
      </w:r>
      <w:r w:rsidR="00915273" w:rsidRPr="00BE2E79">
        <w:rPr>
          <w:noProof/>
        </w:rPr>
        <w:t xml:space="preserve"> low capacities to adapt to the consequences of the green transition</w:t>
      </w:r>
      <w:r w:rsidR="00DA61A5" w:rsidRPr="00BE2E79">
        <w:rPr>
          <w:noProof/>
        </w:rPr>
        <w:t>.</w:t>
      </w:r>
    </w:p>
    <w:p w14:paraId="096FE804" w14:textId="3804C5F8" w:rsidR="002412E0" w:rsidRDefault="00420537" w:rsidP="00420537">
      <w:pPr>
        <w:pStyle w:val="Point1"/>
        <w:rPr>
          <w:noProof/>
        </w:rPr>
      </w:pPr>
      <w:r w:rsidRPr="00420537">
        <w:t>(e)</w:t>
      </w:r>
      <w:r w:rsidRPr="00420537">
        <w:tab/>
      </w:r>
      <w:r w:rsidR="00DA61A5" w:rsidRPr="002412E0">
        <w:rPr>
          <w:noProof/>
        </w:rPr>
        <w:t>‘Micro, small and medium-sized enterprises’ means enterprises that employ fewer than 250 persons, including solo self-employed, and which have an annual turnover not exceeding EUR 50 million, and/or an annual balance sheet total not exceeding EUR 43 million, calculated in accordance with Articles 3 to 6 of Annex I to Commission Regulation (EU) No 651/2014</w:t>
      </w:r>
      <w:r w:rsidR="00DA61A5" w:rsidRPr="00557A25">
        <w:rPr>
          <w:rStyle w:val="FootnoteReference"/>
          <w:noProof/>
        </w:rPr>
        <w:footnoteReference w:id="102"/>
      </w:r>
      <w:r w:rsidR="00DA61A5" w:rsidRPr="002412E0">
        <w:rPr>
          <w:noProof/>
        </w:rPr>
        <w:t>.</w:t>
      </w:r>
    </w:p>
    <w:p w14:paraId="5579559B" w14:textId="4AC30E34" w:rsidR="002412E0" w:rsidRPr="00557A25" w:rsidRDefault="00420537" w:rsidP="00420537">
      <w:pPr>
        <w:pStyle w:val="Point1"/>
        <w:rPr>
          <w:noProof/>
        </w:rPr>
      </w:pPr>
      <w:r w:rsidRPr="00420537">
        <w:t>(f)</w:t>
      </w:r>
      <w:r w:rsidRPr="00420537">
        <w:tab/>
      </w:r>
      <w:r w:rsidR="00DA61A5" w:rsidRPr="00557A25">
        <w:rPr>
          <w:noProof/>
        </w:rPr>
        <w:t>‘Energy poverty’ means the situation defined in Article 2(49) of the Energy Efficiency Directive recast</w:t>
      </w:r>
      <w:r w:rsidR="00DA61A5" w:rsidRPr="0096740E">
        <w:rPr>
          <w:rStyle w:val="FootnoteReference"/>
          <w:noProof/>
        </w:rPr>
        <w:footnoteReference w:id="103"/>
      </w:r>
      <w:r w:rsidR="00DA61A5" w:rsidRPr="00557A25">
        <w:rPr>
          <w:noProof/>
        </w:rPr>
        <w:t xml:space="preserve">, namely </w:t>
      </w:r>
      <w:r w:rsidR="00316632">
        <w:rPr>
          <w:noProof/>
        </w:rPr>
        <w:t xml:space="preserve">a </w:t>
      </w:r>
      <w:r w:rsidR="00316632" w:rsidRPr="00316632">
        <w:rPr>
          <w:noProof/>
        </w:rPr>
        <w:t>‘</w:t>
      </w:r>
      <w:r w:rsidR="00DA61A5" w:rsidRPr="0096740E">
        <w:rPr>
          <w:noProof/>
        </w:rPr>
        <w:t>household’s lack of access to essential energy services that underpin a decent standard of living and health, including adequate warmth, cooling, lighting, and energy to power appliances, in the relevant national context, existing social pol</w:t>
      </w:r>
      <w:r w:rsidR="00316632">
        <w:rPr>
          <w:noProof/>
        </w:rPr>
        <w:t>icy and other relevant policies</w:t>
      </w:r>
      <w:r w:rsidR="00316632">
        <w:rPr>
          <w:noProof/>
          <w:sz w:val="20"/>
          <w:szCs w:val="20"/>
        </w:rPr>
        <w:t>’</w:t>
      </w:r>
      <w:r w:rsidR="00DA61A5" w:rsidRPr="0096740E">
        <w:rPr>
          <w:rStyle w:val="FootnoteReference"/>
          <w:noProof/>
        </w:rPr>
        <w:footnoteReference w:id="104"/>
      </w:r>
      <w:r w:rsidR="00DA61A5" w:rsidRPr="00557A25">
        <w:rPr>
          <w:noProof/>
        </w:rPr>
        <w:t>.</w:t>
      </w:r>
    </w:p>
    <w:p w14:paraId="6E194803" w14:textId="34C027C9" w:rsidR="002412E0" w:rsidRDefault="00420537" w:rsidP="00420537">
      <w:pPr>
        <w:pStyle w:val="Point1"/>
        <w:rPr>
          <w:noProof/>
        </w:rPr>
      </w:pPr>
      <w:r w:rsidRPr="00420537">
        <w:t>(g)</w:t>
      </w:r>
      <w:r w:rsidRPr="00420537">
        <w:tab/>
      </w:r>
      <w:r w:rsidR="00DA61A5" w:rsidRPr="00557A25">
        <w:rPr>
          <w:noProof/>
        </w:rPr>
        <w:t xml:space="preserve">‘Essential services’ means </w:t>
      </w:r>
      <w:r w:rsidR="00DA61A5" w:rsidRPr="0096740E">
        <w:rPr>
          <w:noProof/>
        </w:rPr>
        <w:t>services of good quality, including water, sanitation, energy, transport</w:t>
      </w:r>
      <w:r w:rsidR="00807A59">
        <w:rPr>
          <w:noProof/>
        </w:rPr>
        <w:t xml:space="preserve"> and mobility</w:t>
      </w:r>
      <w:r w:rsidR="00DA61A5" w:rsidRPr="0096740E">
        <w:rPr>
          <w:noProof/>
        </w:rPr>
        <w:t>, financial services and digital communications; support for access to such services should be made available for those in need, according to principle 20 of the European Pillar of Social Rights</w:t>
      </w:r>
      <w:r w:rsidR="004A1170" w:rsidRPr="00277C69">
        <w:rPr>
          <w:noProof/>
        </w:rPr>
        <w:t xml:space="preserve">, together with providing cost saving opportunities, including through reuse, repair, donation and sharing </w:t>
      </w:r>
      <w:r w:rsidR="003260EE">
        <w:rPr>
          <w:noProof/>
        </w:rPr>
        <w:t>services</w:t>
      </w:r>
      <w:r w:rsidR="00DA61A5" w:rsidRPr="0096740E">
        <w:rPr>
          <w:noProof/>
        </w:rPr>
        <w:t>.</w:t>
      </w:r>
    </w:p>
    <w:p w14:paraId="20A650F5" w14:textId="21181A92" w:rsidR="00DA61A5" w:rsidRPr="00557A25" w:rsidRDefault="00420537" w:rsidP="00420537">
      <w:pPr>
        <w:pStyle w:val="Point1"/>
        <w:rPr>
          <w:noProof/>
        </w:rPr>
      </w:pPr>
      <w:r w:rsidRPr="00420537">
        <w:t>(h)</w:t>
      </w:r>
      <w:r w:rsidRPr="00420537">
        <w:tab/>
      </w:r>
      <w:r w:rsidR="00DA61A5" w:rsidRPr="00557A25">
        <w:rPr>
          <w:noProof/>
        </w:rPr>
        <w:t>‘Policy package’ means a comprehensive and coherent set of policy measures that integrates employment, skills and social policies with climate, energy, transport, environmental and other green transition policies, through a well-coordinated approach based on one or several national strategies and/or action plans, and benefiting from EU-level coordination and governance mechanisms as appropriate.</w:t>
      </w:r>
    </w:p>
    <w:p w14:paraId="277C8CC4" w14:textId="7083BD49" w:rsidR="00002649" w:rsidRPr="00557A25" w:rsidRDefault="00002649" w:rsidP="00B35D4E">
      <w:pPr>
        <w:rPr>
          <w:noProof/>
        </w:rPr>
      </w:pPr>
    </w:p>
    <w:p w14:paraId="7030F2CC" w14:textId="77777777" w:rsidR="00002649" w:rsidRPr="00557A25" w:rsidRDefault="00002649" w:rsidP="00002649">
      <w:pPr>
        <w:rPr>
          <w:noProof/>
        </w:rPr>
      </w:pPr>
      <w:r w:rsidRPr="00557A25">
        <w:rPr>
          <w:noProof/>
        </w:rPr>
        <w:t xml:space="preserve">POLICY PACKAGES FOR A </w:t>
      </w:r>
      <w:r w:rsidR="001C6DE0" w:rsidRPr="00557A25">
        <w:rPr>
          <w:noProof/>
        </w:rPr>
        <w:t xml:space="preserve">FAIR </w:t>
      </w:r>
      <w:r w:rsidRPr="00557A25">
        <w:rPr>
          <w:noProof/>
        </w:rPr>
        <w:t>GREEN TRANSITION</w:t>
      </w:r>
    </w:p>
    <w:p w14:paraId="20DF73C6" w14:textId="26B8F83E" w:rsidR="00002649" w:rsidRPr="0096740E" w:rsidRDefault="00420537" w:rsidP="00420537">
      <w:pPr>
        <w:pStyle w:val="Point0"/>
        <w:rPr>
          <w:noProof/>
        </w:rPr>
      </w:pPr>
      <w:r w:rsidRPr="00420537">
        <w:t>(4)</w:t>
      </w:r>
      <w:r w:rsidRPr="00420537">
        <w:tab/>
      </w:r>
      <w:r w:rsidR="00DA4622" w:rsidRPr="0096740E">
        <w:rPr>
          <w:noProof/>
        </w:rPr>
        <w:t>T</w:t>
      </w:r>
      <w:r w:rsidR="00002649" w:rsidRPr="0096740E">
        <w:rPr>
          <w:noProof/>
        </w:rPr>
        <w:t>o provid</w:t>
      </w:r>
      <w:r w:rsidR="00DA4622" w:rsidRPr="0096740E">
        <w:rPr>
          <w:noProof/>
        </w:rPr>
        <w:t>e</w:t>
      </w:r>
      <w:r w:rsidR="00002649" w:rsidRPr="0096740E">
        <w:rPr>
          <w:noProof/>
        </w:rPr>
        <w:t xml:space="preserve"> active support to quality employment for a </w:t>
      </w:r>
      <w:r w:rsidR="001C6DE0" w:rsidRPr="0096740E">
        <w:rPr>
          <w:noProof/>
        </w:rPr>
        <w:t xml:space="preserve">fair </w:t>
      </w:r>
      <w:r w:rsidR="00002649" w:rsidRPr="0096740E">
        <w:rPr>
          <w:noProof/>
        </w:rPr>
        <w:t>transition</w:t>
      </w:r>
      <w:r w:rsidR="00A4322A" w:rsidRPr="0096740E">
        <w:rPr>
          <w:noProof/>
        </w:rPr>
        <w:t xml:space="preserve"> </w:t>
      </w:r>
      <w:r w:rsidR="00C368FE" w:rsidRPr="0096740E">
        <w:rPr>
          <w:noProof/>
        </w:rPr>
        <w:t xml:space="preserve">and </w:t>
      </w:r>
      <w:r w:rsidR="00C368FE" w:rsidRPr="00557A25">
        <w:rPr>
          <w:noProof/>
        </w:rPr>
        <w:t xml:space="preserve">build on the EASE Recommendation, </w:t>
      </w:r>
      <w:r w:rsidR="00002649" w:rsidRPr="0096740E">
        <w:rPr>
          <w:noProof/>
        </w:rPr>
        <w:t>Member States are encouraged</w:t>
      </w:r>
      <w:r w:rsidR="004A621F" w:rsidRPr="0096740E">
        <w:rPr>
          <w:noProof/>
        </w:rPr>
        <w:t>, in close cooperation with social partners,</w:t>
      </w:r>
      <w:r w:rsidR="00002649" w:rsidRPr="0096740E">
        <w:rPr>
          <w:noProof/>
        </w:rPr>
        <w:t xml:space="preserve"> to</w:t>
      </w:r>
      <w:r w:rsidR="009616B5" w:rsidRPr="0096740E">
        <w:rPr>
          <w:noProof/>
        </w:rPr>
        <w:t xml:space="preserve"> consider the following measures </w:t>
      </w:r>
      <w:r w:rsidR="00252BA2" w:rsidRPr="0096740E">
        <w:rPr>
          <w:noProof/>
        </w:rPr>
        <w:t>in</w:t>
      </w:r>
      <w:r w:rsidR="009616B5" w:rsidRPr="0096740E">
        <w:rPr>
          <w:noProof/>
        </w:rPr>
        <w:t xml:space="preserve"> support</w:t>
      </w:r>
      <w:r w:rsidR="00252BA2" w:rsidRPr="0096740E">
        <w:rPr>
          <w:noProof/>
        </w:rPr>
        <w:t xml:space="preserve"> of </w:t>
      </w:r>
      <w:r w:rsidR="000A2F8F" w:rsidRPr="0096740E">
        <w:rPr>
          <w:noProof/>
        </w:rPr>
        <w:t xml:space="preserve">people </w:t>
      </w:r>
      <w:r w:rsidR="00252BA2" w:rsidRPr="0096740E">
        <w:rPr>
          <w:noProof/>
        </w:rPr>
        <w:t xml:space="preserve">most affected by the green transition, notably </w:t>
      </w:r>
      <w:r w:rsidR="00F20B69" w:rsidRPr="0096740E">
        <w:rPr>
          <w:noProof/>
        </w:rPr>
        <w:t xml:space="preserve">those </w:t>
      </w:r>
      <w:r w:rsidR="00252BA2" w:rsidRPr="0096740E">
        <w:rPr>
          <w:noProof/>
        </w:rPr>
        <w:t>in vulnerable situations</w:t>
      </w:r>
      <w:r w:rsidR="007738E9" w:rsidRPr="0096740E">
        <w:rPr>
          <w:noProof/>
        </w:rPr>
        <w:t>,</w:t>
      </w:r>
      <w:r w:rsidR="00943132" w:rsidRPr="0096740E">
        <w:rPr>
          <w:noProof/>
        </w:rPr>
        <w:t xml:space="preserve"> </w:t>
      </w:r>
      <w:r w:rsidR="007D3CA4" w:rsidRPr="0096740E">
        <w:rPr>
          <w:noProof/>
        </w:rPr>
        <w:t xml:space="preserve">and, where adequate, </w:t>
      </w:r>
      <w:r w:rsidR="00F43E97" w:rsidRPr="0096740E">
        <w:rPr>
          <w:noProof/>
        </w:rPr>
        <w:t>help them to transit</w:t>
      </w:r>
      <w:r w:rsidR="00C34D6D" w:rsidRPr="0096740E">
        <w:rPr>
          <w:noProof/>
        </w:rPr>
        <w:t>, through employment or self-employment,</w:t>
      </w:r>
      <w:r w:rsidR="005A2C08" w:rsidRPr="0096740E">
        <w:rPr>
          <w:noProof/>
        </w:rPr>
        <w:t xml:space="preserve"> </w:t>
      </w:r>
      <w:r w:rsidR="001B442B" w:rsidRPr="0096740E">
        <w:rPr>
          <w:noProof/>
        </w:rPr>
        <w:t xml:space="preserve">towards </w:t>
      </w:r>
      <w:r w:rsidR="005A2C08" w:rsidRPr="0096740E">
        <w:rPr>
          <w:noProof/>
        </w:rPr>
        <w:t>economic activities</w:t>
      </w:r>
      <w:r w:rsidR="00672ABE" w:rsidRPr="0096740E">
        <w:rPr>
          <w:noProof/>
        </w:rPr>
        <w:t xml:space="preserve"> </w:t>
      </w:r>
      <w:r w:rsidR="005A2C08" w:rsidRPr="0096740E">
        <w:rPr>
          <w:noProof/>
        </w:rPr>
        <w:t>contributing to climate and environmental objectives</w:t>
      </w:r>
      <w:r w:rsidR="000D3ADC" w:rsidRPr="0096740E">
        <w:rPr>
          <w:noProof/>
        </w:rPr>
        <w:t>:</w:t>
      </w:r>
    </w:p>
    <w:p w14:paraId="3769298E" w14:textId="65772450" w:rsidR="00002649" w:rsidRPr="0096740E" w:rsidRDefault="00420537" w:rsidP="00420537">
      <w:pPr>
        <w:pStyle w:val="Point1"/>
        <w:rPr>
          <w:noProof/>
        </w:rPr>
      </w:pPr>
      <w:r w:rsidRPr="00420537">
        <w:t>(a)</w:t>
      </w:r>
      <w:r w:rsidRPr="00420537">
        <w:tab/>
      </w:r>
      <w:r w:rsidR="00F43E97" w:rsidRPr="0096740E">
        <w:rPr>
          <w:noProof/>
        </w:rPr>
        <w:t xml:space="preserve">Effectively </w:t>
      </w:r>
      <w:r w:rsidR="00002649" w:rsidRPr="0096740E">
        <w:rPr>
          <w:noProof/>
        </w:rPr>
        <w:t xml:space="preserve">support access to quality employment, notably through </w:t>
      </w:r>
      <w:r w:rsidR="008A42E0" w:rsidRPr="0096740E">
        <w:rPr>
          <w:noProof/>
        </w:rPr>
        <w:t xml:space="preserve">tailored job search assistance and </w:t>
      </w:r>
      <w:r w:rsidR="000D379F" w:rsidRPr="0096740E">
        <w:rPr>
          <w:noProof/>
        </w:rPr>
        <w:t xml:space="preserve">flexible and modular learning courses </w:t>
      </w:r>
      <w:r w:rsidR="00463635" w:rsidRPr="0096740E">
        <w:rPr>
          <w:noProof/>
        </w:rPr>
        <w:t xml:space="preserve">that </w:t>
      </w:r>
      <w:r w:rsidR="00B904C5" w:rsidRPr="0096740E">
        <w:rPr>
          <w:noProof/>
        </w:rPr>
        <w:t xml:space="preserve">also </w:t>
      </w:r>
      <w:r w:rsidR="00463635" w:rsidRPr="0096740E">
        <w:rPr>
          <w:noProof/>
        </w:rPr>
        <w:t>target green and digital skills</w:t>
      </w:r>
      <w:r w:rsidR="00B904C5" w:rsidRPr="0096740E">
        <w:rPr>
          <w:noProof/>
        </w:rPr>
        <w:t xml:space="preserve"> </w:t>
      </w:r>
      <w:r w:rsidR="00355D38" w:rsidRPr="0096740E">
        <w:rPr>
          <w:noProof/>
        </w:rPr>
        <w:t xml:space="preserve">where </w:t>
      </w:r>
      <w:r w:rsidR="008A42E0" w:rsidRPr="0096740E">
        <w:rPr>
          <w:noProof/>
        </w:rPr>
        <w:t>appropriate</w:t>
      </w:r>
      <w:r w:rsidR="00463635" w:rsidRPr="0096740E">
        <w:rPr>
          <w:noProof/>
        </w:rPr>
        <w:t>. C</w:t>
      </w:r>
      <w:r w:rsidR="00F43E97" w:rsidRPr="0096740E">
        <w:rPr>
          <w:noProof/>
        </w:rPr>
        <w:t>onsider</w:t>
      </w:r>
      <w:r w:rsidR="00463635" w:rsidRPr="0096740E">
        <w:rPr>
          <w:noProof/>
        </w:rPr>
        <w:t xml:space="preserve"> </w:t>
      </w:r>
      <w:r w:rsidR="00096D2B" w:rsidRPr="0096740E">
        <w:rPr>
          <w:noProof/>
        </w:rPr>
        <w:t>also well-designed, targeted and</w:t>
      </w:r>
      <w:r w:rsidR="00463635" w:rsidRPr="0096740E">
        <w:rPr>
          <w:noProof/>
        </w:rPr>
        <w:t xml:space="preserve"> </w:t>
      </w:r>
      <w:r w:rsidR="00002649" w:rsidRPr="0096740E">
        <w:rPr>
          <w:noProof/>
        </w:rPr>
        <w:t>time-bound employment programmes</w:t>
      </w:r>
      <w:r w:rsidR="00463635" w:rsidRPr="0096740E">
        <w:rPr>
          <w:noProof/>
        </w:rPr>
        <w:t xml:space="preserve"> that</w:t>
      </w:r>
      <w:r w:rsidR="00002649" w:rsidRPr="0096740E">
        <w:rPr>
          <w:noProof/>
        </w:rPr>
        <w:t xml:space="preserve"> </w:t>
      </w:r>
      <w:r w:rsidR="000D379F" w:rsidRPr="0096740E">
        <w:rPr>
          <w:noProof/>
        </w:rPr>
        <w:t>prepare</w:t>
      </w:r>
      <w:r w:rsidR="00002649" w:rsidRPr="0096740E">
        <w:rPr>
          <w:noProof/>
        </w:rPr>
        <w:t xml:space="preserve"> beneficiaries</w:t>
      </w:r>
      <w:r w:rsidR="00096D2B" w:rsidRPr="0096740E">
        <w:rPr>
          <w:noProof/>
        </w:rPr>
        <w:t xml:space="preserve"> via training</w:t>
      </w:r>
      <w:r w:rsidR="009144D1" w:rsidRPr="0096740E">
        <w:rPr>
          <w:noProof/>
        </w:rPr>
        <w:t>, in particular people in vulnerable situations,</w:t>
      </w:r>
      <w:r w:rsidR="00002649" w:rsidRPr="0096740E">
        <w:rPr>
          <w:noProof/>
        </w:rPr>
        <w:t xml:space="preserve"> for continued participation in the labour market</w:t>
      </w:r>
      <w:r w:rsidR="00463635" w:rsidRPr="0096740E">
        <w:rPr>
          <w:noProof/>
        </w:rPr>
        <w:t xml:space="preserve">. </w:t>
      </w:r>
    </w:p>
    <w:p w14:paraId="586BF005" w14:textId="7237E5C8" w:rsidR="00002649" w:rsidRPr="0096740E" w:rsidRDefault="00420537" w:rsidP="00420537">
      <w:pPr>
        <w:pStyle w:val="Point1"/>
        <w:rPr>
          <w:noProof/>
        </w:rPr>
      </w:pPr>
      <w:r w:rsidRPr="00420537">
        <w:t>(b)</w:t>
      </w:r>
      <w:r w:rsidRPr="00420537">
        <w:tab/>
      </w:r>
      <w:r w:rsidR="00002649" w:rsidRPr="0096740E">
        <w:rPr>
          <w:noProof/>
        </w:rPr>
        <w:t xml:space="preserve">Make effective use of </w:t>
      </w:r>
      <w:r w:rsidR="00463635" w:rsidRPr="0096740E">
        <w:rPr>
          <w:noProof/>
        </w:rPr>
        <w:t>targeted</w:t>
      </w:r>
      <w:r w:rsidR="00096D2B" w:rsidRPr="0096740E">
        <w:rPr>
          <w:noProof/>
        </w:rPr>
        <w:t xml:space="preserve"> and well-designed</w:t>
      </w:r>
      <w:r w:rsidR="009C19B7" w:rsidRPr="0096740E">
        <w:rPr>
          <w:noProof/>
        </w:rPr>
        <w:t xml:space="preserve"> </w:t>
      </w:r>
      <w:r w:rsidR="00002649" w:rsidRPr="0096740E">
        <w:rPr>
          <w:noProof/>
        </w:rPr>
        <w:t xml:space="preserve">hiring and transition incentives, including </w:t>
      </w:r>
      <w:r w:rsidR="003A74B6" w:rsidRPr="0096740E">
        <w:rPr>
          <w:noProof/>
        </w:rPr>
        <w:t xml:space="preserve">by </w:t>
      </w:r>
      <w:r w:rsidR="00E55E07" w:rsidRPr="0096740E">
        <w:rPr>
          <w:noProof/>
        </w:rPr>
        <w:t xml:space="preserve">considering the adequate use </w:t>
      </w:r>
      <w:r w:rsidR="008358AB" w:rsidRPr="0096740E">
        <w:rPr>
          <w:noProof/>
        </w:rPr>
        <w:t>of</w:t>
      </w:r>
      <w:r w:rsidR="00E55E07" w:rsidRPr="0096740E">
        <w:rPr>
          <w:noProof/>
        </w:rPr>
        <w:t xml:space="preserve"> </w:t>
      </w:r>
      <w:r w:rsidR="00002649" w:rsidRPr="0096740E">
        <w:rPr>
          <w:noProof/>
        </w:rPr>
        <w:t xml:space="preserve">wage and recruitment </w:t>
      </w:r>
      <w:r w:rsidR="00033745" w:rsidRPr="0096740E">
        <w:rPr>
          <w:noProof/>
        </w:rPr>
        <w:t>subsidies</w:t>
      </w:r>
      <w:r w:rsidR="003A74B6" w:rsidRPr="0096740E">
        <w:rPr>
          <w:noProof/>
        </w:rPr>
        <w:t xml:space="preserve"> and </w:t>
      </w:r>
      <w:r w:rsidR="00CE3AC2" w:rsidRPr="0096740E">
        <w:rPr>
          <w:noProof/>
        </w:rPr>
        <w:t>incentives linked to</w:t>
      </w:r>
      <w:r w:rsidR="00002649" w:rsidRPr="0096740E">
        <w:rPr>
          <w:noProof/>
        </w:rPr>
        <w:t xml:space="preserve"> social security contributions</w:t>
      </w:r>
      <w:r w:rsidR="00463635" w:rsidRPr="0096740E">
        <w:rPr>
          <w:noProof/>
        </w:rPr>
        <w:t xml:space="preserve">, </w:t>
      </w:r>
      <w:r w:rsidR="00E55E07" w:rsidRPr="0096740E">
        <w:rPr>
          <w:noProof/>
        </w:rPr>
        <w:t>to accompany labour market transitions and labour mobility across regions and countries</w:t>
      </w:r>
      <w:r w:rsidR="00355D38" w:rsidRPr="0096740E">
        <w:rPr>
          <w:noProof/>
        </w:rPr>
        <w:t>,</w:t>
      </w:r>
      <w:r w:rsidR="00E55E07" w:rsidRPr="0096740E">
        <w:rPr>
          <w:noProof/>
        </w:rPr>
        <w:t xml:space="preserve"> </w:t>
      </w:r>
      <w:r w:rsidR="00463635" w:rsidRPr="0096740E">
        <w:rPr>
          <w:noProof/>
        </w:rPr>
        <w:t>in view of the opportunities and challenges of the green transition.</w:t>
      </w:r>
    </w:p>
    <w:p w14:paraId="3FE3DBF0" w14:textId="59F04946" w:rsidR="00002649" w:rsidRPr="0096740E" w:rsidRDefault="00420537" w:rsidP="00420537">
      <w:pPr>
        <w:pStyle w:val="Point1"/>
        <w:rPr>
          <w:noProof/>
        </w:rPr>
      </w:pPr>
      <w:r w:rsidRPr="00420537">
        <w:t>(c)</w:t>
      </w:r>
      <w:r w:rsidRPr="00420537">
        <w:tab/>
      </w:r>
      <w:r w:rsidR="000A6481" w:rsidRPr="0096740E">
        <w:rPr>
          <w:noProof/>
        </w:rPr>
        <w:t>P</w:t>
      </w:r>
      <w:r w:rsidR="00002649" w:rsidRPr="0096740E">
        <w:rPr>
          <w:noProof/>
        </w:rPr>
        <w:t>romote entrepreneurship, in</w:t>
      </w:r>
      <w:r w:rsidR="00DA0113" w:rsidRPr="0096740E">
        <w:rPr>
          <w:noProof/>
        </w:rPr>
        <w:t>cluding</w:t>
      </w:r>
      <w:r w:rsidR="00002649" w:rsidRPr="0096740E">
        <w:rPr>
          <w:noProof/>
        </w:rPr>
        <w:t xml:space="preserve"> social enterprises</w:t>
      </w:r>
      <w:r w:rsidR="005C7938">
        <w:rPr>
          <w:rStyle w:val="FootnoteReference"/>
          <w:noProof/>
        </w:rPr>
        <w:footnoteReference w:id="105"/>
      </w:r>
      <w:r w:rsidR="00002649" w:rsidRPr="0096740E">
        <w:rPr>
          <w:noProof/>
        </w:rPr>
        <w:t>, in particular in regions facing transition challenges</w:t>
      </w:r>
      <w:r w:rsidR="00A028C7" w:rsidRPr="0096740E">
        <w:rPr>
          <w:noProof/>
        </w:rPr>
        <w:t xml:space="preserve"> an</w:t>
      </w:r>
      <w:r w:rsidR="00415F6D" w:rsidRPr="0096740E">
        <w:rPr>
          <w:noProof/>
        </w:rPr>
        <w:t xml:space="preserve">d, where </w:t>
      </w:r>
      <w:r w:rsidR="00355D38" w:rsidRPr="0096740E">
        <w:rPr>
          <w:noProof/>
        </w:rPr>
        <w:t>appropriate</w:t>
      </w:r>
      <w:r w:rsidR="00415F6D" w:rsidRPr="0096740E">
        <w:rPr>
          <w:noProof/>
        </w:rPr>
        <w:t>,</w:t>
      </w:r>
      <w:r w:rsidR="00355D38" w:rsidRPr="0096740E">
        <w:rPr>
          <w:noProof/>
        </w:rPr>
        <w:t xml:space="preserve"> in</w:t>
      </w:r>
      <w:r w:rsidR="00415F6D" w:rsidRPr="0096740E">
        <w:rPr>
          <w:noProof/>
        </w:rPr>
        <w:t xml:space="preserve"> sectors promoting climate and envi</w:t>
      </w:r>
      <w:r w:rsidR="00A028C7" w:rsidRPr="0096740E">
        <w:rPr>
          <w:noProof/>
        </w:rPr>
        <w:t>ronmental</w:t>
      </w:r>
      <w:r w:rsidR="00415F6D" w:rsidRPr="0096740E">
        <w:rPr>
          <w:noProof/>
        </w:rPr>
        <w:t xml:space="preserve"> object</w:t>
      </w:r>
      <w:r w:rsidR="004A621F" w:rsidRPr="0096740E">
        <w:rPr>
          <w:noProof/>
        </w:rPr>
        <w:t>ives</w:t>
      </w:r>
      <w:r w:rsidR="00415F6D" w:rsidRPr="0096740E">
        <w:rPr>
          <w:noProof/>
        </w:rPr>
        <w:t xml:space="preserve"> such as the circular economy</w:t>
      </w:r>
      <w:r w:rsidR="00002649" w:rsidRPr="0096740E">
        <w:rPr>
          <w:noProof/>
        </w:rPr>
        <w:t>. Support should combine financial</w:t>
      </w:r>
      <w:r w:rsidR="000A6481" w:rsidRPr="0096740E">
        <w:rPr>
          <w:noProof/>
        </w:rPr>
        <w:t xml:space="preserve"> </w:t>
      </w:r>
      <w:r w:rsidR="000E1FDA" w:rsidRPr="0096740E">
        <w:rPr>
          <w:noProof/>
        </w:rPr>
        <w:t>measures, including</w:t>
      </w:r>
      <w:r w:rsidR="000A6481" w:rsidRPr="0096740E">
        <w:rPr>
          <w:noProof/>
        </w:rPr>
        <w:t xml:space="preserve"> grants, loans or equity</w:t>
      </w:r>
      <w:r w:rsidR="000E1FDA" w:rsidRPr="0096740E">
        <w:rPr>
          <w:noProof/>
        </w:rPr>
        <w:t xml:space="preserve">, </w:t>
      </w:r>
      <w:r w:rsidR="00002649" w:rsidRPr="0096740E">
        <w:rPr>
          <w:noProof/>
        </w:rPr>
        <w:t>and non-financial measures</w:t>
      </w:r>
      <w:r w:rsidR="0068481A" w:rsidRPr="0096740E">
        <w:rPr>
          <w:noProof/>
        </w:rPr>
        <w:t>,</w:t>
      </w:r>
      <w:r w:rsidR="00C24AF5" w:rsidRPr="0096740E">
        <w:rPr>
          <w:noProof/>
        </w:rPr>
        <w:t xml:space="preserve"> including training and advisory services,</w:t>
      </w:r>
      <w:r w:rsidR="0068481A" w:rsidRPr="0096740E">
        <w:rPr>
          <w:noProof/>
        </w:rPr>
        <w:t xml:space="preserve"> tailored to</w:t>
      </w:r>
      <w:r w:rsidR="00A8763D" w:rsidRPr="0096740E">
        <w:rPr>
          <w:noProof/>
        </w:rPr>
        <w:t xml:space="preserve"> each phase of</w:t>
      </w:r>
      <w:r w:rsidR="0068481A" w:rsidRPr="0096740E">
        <w:rPr>
          <w:noProof/>
        </w:rPr>
        <w:t xml:space="preserve"> the business lifecycle</w:t>
      </w:r>
      <w:r w:rsidR="00A8763D" w:rsidRPr="0096740E">
        <w:rPr>
          <w:noProof/>
        </w:rPr>
        <w:t>. It should</w:t>
      </w:r>
      <w:r w:rsidR="00002649" w:rsidRPr="0096740E">
        <w:rPr>
          <w:noProof/>
        </w:rPr>
        <w:t xml:space="preserve"> be inclusive </w:t>
      </w:r>
      <w:r w:rsidR="00A8763D" w:rsidRPr="0096740E">
        <w:rPr>
          <w:noProof/>
        </w:rPr>
        <w:t>and accessible to</w:t>
      </w:r>
      <w:r w:rsidR="00002649" w:rsidRPr="0096740E">
        <w:rPr>
          <w:noProof/>
        </w:rPr>
        <w:t xml:space="preserve"> under-represented and disadvantaged groups.</w:t>
      </w:r>
    </w:p>
    <w:p w14:paraId="23796426" w14:textId="5F15948A" w:rsidR="006504B1" w:rsidRPr="0096740E" w:rsidRDefault="00420537" w:rsidP="00420537">
      <w:pPr>
        <w:pStyle w:val="Point1"/>
        <w:rPr>
          <w:noProof/>
        </w:rPr>
      </w:pPr>
      <w:r w:rsidRPr="00420537">
        <w:t>(d)</w:t>
      </w:r>
      <w:r w:rsidRPr="00420537">
        <w:tab/>
      </w:r>
      <w:r w:rsidR="006504B1" w:rsidRPr="0096740E">
        <w:rPr>
          <w:noProof/>
        </w:rPr>
        <w:t>Stimulate job creation</w:t>
      </w:r>
      <w:r w:rsidR="00AE4930" w:rsidRPr="0096740E">
        <w:rPr>
          <w:noProof/>
        </w:rPr>
        <w:t xml:space="preserve">, in particular in </w:t>
      </w:r>
      <w:r w:rsidR="00626444" w:rsidRPr="0096740E">
        <w:rPr>
          <w:noProof/>
        </w:rPr>
        <w:t>territories</w:t>
      </w:r>
      <w:r w:rsidR="00AE4930" w:rsidRPr="0096740E">
        <w:rPr>
          <w:noProof/>
        </w:rPr>
        <w:t xml:space="preserve"> most affected by the green transition</w:t>
      </w:r>
      <w:r w:rsidR="00415F6D" w:rsidRPr="0096740E">
        <w:rPr>
          <w:noProof/>
        </w:rPr>
        <w:t xml:space="preserve"> and, where </w:t>
      </w:r>
      <w:r w:rsidR="00355D38" w:rsidRPr="0096740E">
        <w:rPr>
          <w:noProof/>
        </w:rPr>
        <w:t>appropriate</w:t>
      </w:r>
      <w:r w:rsidR="00415F6D" w:rsidRPr="0096740E">
        <w:rPr>
          <w:noProof/>
        </w:rPr>
        <w:t>, sectors promoting c</w:t>
      </w:r>
      <w:r w:rsidR="00C40536">
        <w:rPr>
          <w:noProof/>
        </w:rPr>
        <w:t>limate and environmental objectives</w:t>
      </w:r>
      <w:r w:rsidR="00415F6D" w:rsidRPr="0096740E">
        <w:rPr>
          <w:noProof/>
        </w:rPr>
        <w:t xml:space="preserve"> such as the circular economy</w:t>
      </w:r>
      <w:r w:rsidR="00AE4930" w:rsidRPr="0096740E">
        <w:rPr>
          <w:noProof/>
        </w:rPr>
        <w:t>, by facilitating access to finance and markets for micro, small and medium-sized enterprises, in particular those contributing to climate and environmental objectives with</w:t>
      </w:r>
      <w:r w:rsidR="00355D38" w:rsidRPr="0096740E">
        <w:rPr>
          <w:noProof/>
        </w:rPr>
        <w:t xml:space="preserve"> a</w:t>
      </w:r>
      <w:r w:rsidR="00AE4930" w:rsidRPr="0096740E">
        <w:rPr>
          <w:noProof/>
        </w:rPr>
        <w:t xml:space="preserve"> view to </w:t>
      </w:r>
      <w:r w:rsidR="00C24AF5" w:rsidRPr="0096740E">
        <w:rPr>
          <w:noProof/>
        </w:rPr>
        <w:t>promoting</w:t>
      </w:r>
      <w:r w:rsidR="00AE4930" w:rsidRPr="0096740E">
        <w:rPr>
          <w:noProof/>
        </w:rPr>
        <w:t xml:space="preserve"> competitiveness</w:t>
      </w:r>
      <w:r w:rsidR="00C24AF5" w:rsidRPr="0096740E">
        <w:rPr>
          <w:noProof/>
        </w:rPr>
        <w:t xml:space="preserve">, innovation and </w:t>
      </w:r>
      <w:r w:rsidR="003119C8" w:rsidRPr="0096740E">
        <w:rPr>
          <w:noProof/>
        </w:rPr>
        <w:t>employment</w:t>
      </w:r>
      <w:r w:rsidR="0007788F" w:rsidRPr="0096740E">
        <w:rPr>
          <w:noProof/>
        </w:rPr>
        <w:t xml:space="preserve"> across the single market</w:t>
      </w:r>
      <w:r w:rsidR="003119C8" w:rsidRPr="0096740E">
        <w:rPr>
          <w:noProof/>
        </w:rPr>
        <w:t>, including</w:t>
      </w:r>
      <w:r w:rsidR="0097341D" w:rsidRPr="0096740E">
        <w:rPr>
          <w:noProof/>
        </w:rPr>
        <w:t xml:space="preserve"> in sectors and eco-systems </w:t>
      </w:r>
      <w:r w:rsidR="003119C8" w:rsidRPr="0096740E">
        <w:rPr>
          <w:noProof/>
        </w:rPr>
        <w:t>of strategic relevance</w:t>
      </w:r>
      <w:r w:rsidR="0097341D" w:rsidRPr="0096740E">
        <w:rPr>
          <w:noProof/>
        </w:rPr>
        <w:t xml:space="preserve"> </w:t>
      </w:r>
      <w:r w:rsidR="003119C8" w:rsidRPr="0096740E">
        <w:rPr>
          <w:noProof/>
        </w:rPr>
        <w:t>in</w:t>
      </w:r>
      <w:r w:rsidR="0097341D" w:rsidRPr="0096740E">
        <w:rPr>
          <w:noProof/>
        </w:rPr>
        <w:t xml:space="preserve"> national and local </w:t>
      </w:r>
      <w:r w:rsidR="003119C8" w:rsidRPr="0096740E">
        <w:rPr>
          <w:noProof/>
        </w:rPr>
        <w:t>contexts</w:t>
      </w:r>
      <w:r w:rsidR="00344686" w:rsidRPr="0096740E">
        <w:rPr>
          <w:noProof/>
        </w:rPr>
        <w:t>.</w:t>
      </w:r>
    </w:p>
    <w:p w14:paraId="0303D71B" w14:textId="4CCFE874" w:rsidR="00E56CCA" w:rsidRPr="0096740E" w:rsidRDefault="00420537" w:rsidP="00420537">
      <w:pPr>
        <w:pStyle w:val="Point1"/>
        <w:rPr>
          <w:noProof/>
        </w:rPr>
      </w:pPr>
      <w:r w:rsidRPr="00420537">
        <w:t>(e)</w:t>
      </w:r>
      <w:r w:rsidRPr="00420537">
        <w:tab/>
      </w:r>
      <w:r w:rsidR="007E7C14" w:rsidRPr="0096740E">
        <w:rPr>
          <w:noProof/>
        </w:rPr>
        <w:t>E</w:t>
      </w:r>
      <w:r w:rsidR="00B72CF3" w:rsidRPr="0096740E">
        <w:rPr>
          <w:noProof/>
        </w:rPr>
        <w:t xml:space="preserve">nsure the </w:t>
      </w:r>
      <w:r w:rsidR="00002649" w:rsidRPr="0096740E">
        <w:rPr>
          <w:noProof/>
        </w:rPr>
        <w:t xml:space="preserve">effective implementation and enforcement of existing rules </w:t>
      </w:r>
      <w:r w:rsidR="000A6481" w:rsidRPr="0096740E">
        <w:rPr>
          <w:noProof/>
        </w:rPr>
        <w:t xml:space="preserve">on </w:t>
      </w:r>
      <w:r w:rsidR="00002649" w:rsidRPr="0096740E">
        <w:rPr>
          <w:noProof/>
        </w:rPr>
        <w:t>working conditions</w:t>
      </w:r>
      <w:r w:rsidR="00672ABE" w:rsidRPr="0096740E">
        <w:rPr>
          <w:noProof/>
        </w:rPr>
        <w:t>, in particular concerning occupational health and safety, work organisation and involvement of workers,</w:t>
      </w:r>
      <w:r w:rsidR="007E7C14" w:rsidRPr="0096740E">
        <w:rPr>
          <w:noProof/>
        </w:rPr>
        <w:t xml:space="preserve"> </w:t>
      </w:r>
      <w:r w:rsidR="00672ABE" w:rsidRPr="0096740E">
        <w:rPr>
          <w:noProof/>
        </w:rPr>
        <w:t xml:space="preserve">in order </w:t>
      </w:r>
      <w:r w:rsidR="007E7C14" w:rsidRPr="0096740E">
        <w:rPr>
          <w:noProof/>
        </w:rPr>
        <w:t>to safeguard job quality in</w:t>
      </w:r>
      <w:r w:rsidR="008A42E0" w:rsidRPr="0096740E">
        <w:rPr>
          <w:noProof/>
        </w:rPr>
        <w:t xml:space="preserve"> the transition</w:t>
      </w:r>
      <w:r w:rsidR="007E7C14" w:rsidRPr="0096740E">
        <w:rPr>
          <w:noProof/>
        </w:rPr>
        <w:t>, including in economic activities contributing to climate and environmental objectives</w:t>
      </w:r>
      <w:r w:rsidR="00326357" w:rsidRPr="0096740E">
        <w:rPr>
          <w:noProof/>
        </w:rPr>
        <w:t xml:space="preserve">. </w:t>
      </w:r>
    </w:p>
    <w:p w14:paraId="455FDD5B" w14:textId="16581951" w:rsidR="00002649" w:rsidRPr="0096740E" w:rsidRDefault="00420537" w:rsidP="00420537">
      <w:pPr>
        <w:pStyle w:val="Point1"/>
        <w:rPr>
          <w:noProof/>
        </w:rPr>
      </w:pPr>
      <w:r w:rsidRPr="00420537">
        <w:t>(f)</w:t>
      </w:r>
      <w:r w:rsidRPr="00420537">
        <w:tab/>
      </w:r>
      <w:r w:rsidR="000A6481" w:rsidRPr="0096740E">
        <w:rPr>
          <w:noProof/>
        </w:rPr>
        <w:t xml:space="preserve">Foster </w:t>
      </w:r>
      <w:r w:rsidR="00E56CCA" w:rsidRPr="0096740E">
        <w:rPr>
          <w:noProof/>
        </w:rPr>
        <w:t xml:space="preserve">the use of </w:t>
      </w:r>
      <w:r w:rsidR="00002649" w:rsidRPr="0096740E">
        <w:rPr>
          <w:noProof/>
        </w:rPr>
        <w:t>socially responsible public procurement standards</w:t>
      </w:r>
      <w:r w:rsidR="007D73ED" w:rsidRPr="0096740E">
        <w:rPr>
          <w:rStyle w:val="FootnoteReference"/>
          <w:noProof/>
        </w:rPr>
        <w:footnoteReference w:id="106"/>
      </w:r>
      <w:r w:rsidR="00E56CCA" w:rsidRPr="0096740E">
        <w:rPr>
          <w:noProof/>
        </w:rPr>
        <w:t>, including via social award criteria creating opportunities for people most affected</w:t>
      </w:r>
      <w:r w:rsidR="00423CD8" w:rsidRPr="0096740E">
        <w:rPr>
          <w:noProof/>
        </w:rPr>
        <w:t xml:space="preserve"> by the green transition</w:t>
      </w:r>
      <w:r w:rsidR="00FF7D12" w:rsidRPr="0096740E">
        <w:rPr>
          <w:noProof/>
        </w:rPr>
        <w:t xml:space="preserve">, </w:t>
      </w:r>
      <w:r w:rsidR="000A6481" w:rsidRPr="0096740E">
        <w:rPr>
          <w:noProof/>
        </w:rPr>
        <w:t xml:space="preserve">while also </w:t>
      </w:r>
      <w:r w:rsidR="0029407A" w:rsidRPr="0096740E">
        <w:rPr>
          <w:noProof/>
        </w:rPr>
        <w:t>promoting</w:t>
      </w:r>
      <w:r w:rsidR="000A6481" w:rsidRPr="0096740E">
        <w:rPr>
          <w:noProof/>
        </w:rPr>
        <w:t xml:space="preserve"> green award criteria</w:t>
      </w:r>
      <w:r w:rsidR="00002649" w:rsidRPr="0096740E">
        <w:rPr>
          <w:noProof/>
        </w:rPr>
        <w:t>.</w:t>
      </w:r>
    </w:p>
    <w:p w14:paraId="09BBCEE5" w14:textId="207A7E9D" w:rsidR="00002649" w:rsidRPr="0096740E" w:rsidRDefault="00420537" w:rsidP="00420537">
      <w:pPr>
        <w:pStyle w:val="Point1"/>
        <w:rPr>
          <w:noProof/>
        </w:rPr>
      </w:pPr>
      <w:r w:rsidRPr="00420537">
        <w:t>(g)</w:t>
      </w:r>
      <w:r w:rsidRPr="00420537">
        <w:tab/>
      </w:r>
      <w:r w:rsidR="00002649" w:rsidRPr="0096740E">
        <w:rPr>
          <w:noProof/>
        </w:rPr>
        <w:t>Provide for the full and meaningful involvement of workers and their representatives</w:t>
      </w:r>
      <w:r w:rsidR="009E68C7" w:rsidRPr="0096740E">
        <w:rPr>
          <w:noProof/>
        </w:rPr>
        <w:t xml:space="preserve"> as regards</w:t>
      </w:r>
      <w:r w:rsidR="00002649" w:rsidRPr="0096740E">
        <w:rPr>
          <w:noProof/>
        </w:rPr>
        <w:t xml:space="preserve"> the anticipation of change and the management of restructuring processes</w:t>
      </w:r>
      <w:r w:rsidR="00E05823" w:rsidRPr="0096740E">
        <w:rPr>
          <w:noProof/>
        </w:rPr>
        <w:t xml:space="preserve"> including those </w:t>
      </w:r>
      <w:r w:rsidR="00002649" w:rsidRPr="0096740E">
        <w:rPr>
          <w:noProof/>
        </w:rPr>
        <w:t>linked to the green transition, in line with the EU Quality Framework for anticipation of change and restructuring</w:t>
      </w:r>
      <w:r w:rsidR="00411F69" w:rsidRPr="0096740E">
        <w:rPr>
          <w:rStyle w:val="FootnoteReference"/>
          <w:noProof/>
        </w:rPr>
        <w:footnoteReference w:id="107"/>
      </w:r>
      <w:r w:rsidR="00002649" w:rsidRPr="0096740E">
        <w:rPr>
          <w:noProof/>
        </w:rPr>
        <w:t>.</w:t>
      </w:r>
    </w:p>
    <w:p w14:paraId="04FCE1B7" w14:textId="4E1BEDB1" w:rsidR="00CA5722" w:rsidRPr="0096740E" w:rsidRDefault="00420537" w:rsidP="00420537">
      <w:pPr>
        <w:pStyle w:val="Point0"/>
        <w:rPr>
          <w:noProof/>
        </w:rPr>
      </w:pPr>
      <w:r w:rsidRPr="00420537">
        <w:t>(5)</w:t>
      </w:r>
      <w:r w:rsidRPr="00420537">
        <w:tab/>
      </w:r>
      <w:r w:rsidR="00DA4622" w:rsidRPr="0096740E">
        <w:rPr>
          <w:noProof/>
        </w:rPr>
        <w:t>T</w:t>
      </w:r>
      <w:r w:rsidR="00EB5E19" w:rsidRPr="0096740E">
        <w:rPr>
          <w:noProof/>
        </w:rPr>
        <w:t>o ensur</w:t>
      </w:r>
      <w:r w:rsidR="00DA4622" w:rsidRPr="0096740E">
        <w:rPr>
          <w:noProof/>
        </w:rPr>
        <w:t>e</w:t>
      </w:r>
      <w:r w:rsidR="00EB5E19" w:rsidRPr="0096740E">
        <w:rPr>
          <w:noProof/>
        </w:rPr>
        <w:t xml:space="preserve"> equal access to quality and inclusive education, training and life-long learning</w:t>
      </w:r>
      <w:r w:rsidR="0074461E" w:rsidRPr="0096740E">
        <w:rPr>
          <w:noProof/>
        </w:rPr>
        <w:t xml:space="preserve"> </w:t>
      </w:r>
      <w:r w:rsidR="00EB5E19" w:rsidRPr="0096740E">
        <w:rPr>
          <w:noProof/>
        </w:rPr>
        <w:t>a</w:t>
      </w:r>
      <w:r w:rsidR="0074461E" w:rsidRPr="0096740E">
        <w:rPr>
          <w:noProof/>
        </w:rPr>
        <w:t>s well as</w:t>
      </w:r>
      <w:r w:rsidR="00EB5E19" w:rsidRPr="0096740E" w:rsidDel="00C64E3D">
        <w:rPr>
          <w:noProof/>
        </w:rPr>
        <w:t xml:space="preserve"> equal opportunities</w:t>
      </w:r>
      <w:r w:rsidR="00EB5E19" w:rsidRPr="0096740E">
        <w:rPr>
          <w:noProof/>
        </w:rPr>
        <w:t xml:space="preserve">, Member States are encouraged to consider the following measures, </w:t>
      </w:r>
      <w:r w:rsidR="00881F22" w:rsidRPr="0096740E">
        <w:rPr>
          <w:noProof/>
        </w:rPr>
        <w:t xml:space="preserve">to be implemented in close cooperation with social partners, </w:t>
      </w:r>
      <w:r w:rsidR="00EB5E19" w:rsidRPr="0096740E">
        <w:rPr>
          <w:noProof/>
        </w:rPr>
        <w:t xml:space="preserve">in particular in support of </w:t>
      </w:r>
      <w:r w:rsidR="00662079" w:rsidRPr="0096740E">
        <w:rPr>
          <w:noProof/>
        </w:rPr>
        <w:t xml:space="preserve">people </w:t>
      </w:r>
      <w:r w:rsidR="00635EB3" w:rsidRPr="0096740E">
        <w:rPr>
          <w:noProof/>
        </w:rPr>
        <w:t xml:space="preserve">and households </w:t>
      </w:r>
      <w:r w:rsidR="00EB5E19" w:rsidRPr="0096740E">
        <w:rPr>
          <w:noProof/>
        </w:rPr>
        <w:t xml:space="preserve">most affected by the green transition, notably those in vulnerable situations. </w:t>
      </w:r>
    </w:p>
    <w:p w14:paraId="746BD7A2" w14:textId="01FC7B89" w:rsidR="00002649" w:rsidRPr="0096740E" w:rsidRDefault="00420537" w:rsidP="00420537">
      <w:pPr>
        <w:pStyle w:val="Point1"/>
        <w:rPr>
          <w:noProof/>
        </w:rPr>
      </w:pPr>
      <w:r w:rsidRPr="00420537">
        <w:t>(a)</w:t>
      </w:r>
      <w:r w:rsidRPr="00420537">
        <w:tab/>
      </w:r>
      <w:r w:rsidR="00002649" w:rsidRPr="0096740E">
        <w:rPr>
          <w:noProof/>
        </w:rPr>
        <w:t xml:space="preserve">Integrate </w:t>
      </w:r>
      <w:r w:rsidR="00FF7D12" w:rsidRPr="0096740E">
        <w:rPr>
          <w:noProof/>
        </w:rPr>
        <w:t>the employment and social</w:t>
      </w:r>
      <w:r w:rsidR="00002649" w:rsidRPr="0096740E">
        <w:rPr>
          <w:noProof/>
        </w:rPr>
        <w:t xml:space="preserve"> aspects</w:t>
      </w:r>
      <w:r w:rsidR="00FF7D12" w:rsidRPr="0096740E">
        <w:rPr>
          <w:noProof/>
        </w:rPr>
        <w:t xml:space="preserve"> of the green transition</w:t>
      </w:r>
      <w:r w:rsidR="00002649" w:rsidRPr="0096740E">
        <w:rPr>
          <w:noProof/>
        </w:rPr>
        <w:t xml:space="preserve"> in the development and implementation of </w:t>
      </w:r>
      <w:r w:rsidR="00C64E3D" w:rsidRPr="0096740E">
        <w:rPr>
          <w:noProof/>
        </w:rPr>
        <w:t xml:space="preserve">the </w:t>
      </w:r>
      <w:r w:rsidR="00440CAD" w:rsidRPr="0096740E">
        <w:rPr>
          <w:noProof/>
        </w:rPr>
        <w:t>n</w:t>
      </w:r>
      <w:r w:rsidR="00002649" w:rsidRPr="0096740E">
        <w:rPr>
          <w:noProof/>
        </w:rPr>
        <w:t xml:space="preserve">ational </w:t>
      </w:r>
      <w:r w:rsidR="00440CAD" w:rsidRPr="0096740E">
        <w:rPr>
          <w:noProof/>
        </w:rPr>
        <w:t>s</w:t>
      </w:r>
      <w:r w:rsidR="00002649" w:rsidRPr="0096740E">
        <w:rPr>
          <w:noProof/>
        </w:rPr>
        <w:t xml:space="preserve">kills </w:t>
      </w:r>
      <w:r w:rsidR="00440CAD" w:rsidRPr="0096740E">
        <w:rPr>
          <w:noProof/>
        </w:rPr>
        <w:t>s</w:t>
      </w:r>
      <w:r w:rsidR="00002649" w:rsidRPr="0096740E">
        <w:rPr>
          <w:noProof/>
        </w:rPr>
        <w:t xml:space="preserve">trategies </w:t>
      </w:r>
      <w:r w:rsidR="00C64E3D" w:rsidRPr="0096740E">
        <w:rPr>
          <w:noProof/>
        </w:rPr>
        <w:t xml:space="preserve">under </w:t>
      </w:r>
      <w:r w:rsidR="00FF7D12" w:rsidRPr="0096740E">
        <w:rPr>
          <w:noProof/>
        </w:rPr>
        <w:t>the European Skills Agenda</w:t>
      </w:r>
      <w:r w:rsidR="00C64E3D" w:rsidRPr="0096740E">
        <w:rPr>
          <w:noProof/>
        </w:rPr>
        <w:t xml:space="preserve"> </w:t>
      </w:r>
      <w:r w:rsidR="00002649" w:rsidRPr="0096740E">
        <w:rPr>
          <w:noProof/>
        </w:rPr>
        <w:t xml:space="preserve">and set-up and pro-actively steer </w:t>
      </w:r>
      <w:r w:rsidR="00440CAD" w:rsidRPr="0096740E">
        <w:rPr>
          <w:noProof/>
        </w:rPr>
        <w:t xml:space="preserve">stakeholder </w:t>
      </w:r>
      <w:r w:rsidR="00002649" w:rsidRPr="0096740E">
        <w:rPr>
          <w:noProof/>
        </w:rPr>
        <w:t xml:space="preserve">partnerships under the Pact for Skills, </w:t>
      </w:r>
      <w:r w:rsidR="00440CAD" w:rsidRPr="0096740E">
        <w:rPr>
          <w:noProof/>
        </w:rPr>
        <w:t xml:space="preserve">ensuring notably that skills are at the heart of co-created </w:t>
      </w:r>
      <w:r w:rsidR="00274E46" w:rsidRPr="0096740E">
        <w:rPr>
          <w:noProof/>
        </w:rPr>
        <w:t xml:space="preserve">transition pathways for relevant </w:t>
      </w:r>
      <w:r w:rsidR="00AC13E8" w:rsidRPr="0096740E">
        <w:rPr>
          <w:noProof/>
        </w:rPr>
        <w:t xml:space="preserve">industrial </w:t>
      </w:r>
      <w:r w:rsidR="00274E46" w:rsidRPr="0096740E">
        <w:rPr>
          <w:noProof/>
        </w:rPr>
        <w:t>ecosystems</w:t>
      </w:r>
      <w:r w:rsidR="008F0AEB" w:rsidRPr="0096740E">
        <w:rPr>
          <w:noProof/>
        </w:rPr>
        <w:t xml:space="preserve"> contributing to climate and environmental objectives</w:t>
      </w:r>
      <w:r w:rsidR="00002649" w:rsidRPr="0096740E">
        <w:rPr>
          <w:noProof/>
        </w:rPr>
        <w:t>.</w:t>
      </w:r>
    </w:p>
    <w:p w14:paraId="683C5DDB" w14:textId="2BE16C17" w:rsidR="00585F92" w:rsidRPr="0096740E" w:rsidRDefault="00420537" w:rsidP="00420537">
      <w:pPr>
        <w:pStyle w:val="Point1"/>
        <w:rPr>
          <w:noProof/>
        </w:rPr>
      </w:pPr>
      <w:r w:rsidRPr="00420537">
        <w:t>(b)</w:t>
      </w:r>
      <w:r w:rsidRPr="00420537">
        <w:tab/>
      </w:r>
      <w:r w:rsidR="00002649" w:rsidRPr="0096740E">
        <w:rPr>
          <w:noProof/>
        </w:rPr>
        <w:t>Develop up-to-date labour market and skills intelligence and foresight, identifying and forecasting occupation-specific and transversal skills</w:t>
      </w:r>
      <w:r w:rsidR="000208FD" w:rsidRPr="0096740E">
        <w:rPr>
          <w:noProof/>
        </w:rPr>
        <w:t xml:space="preserve"> needs</w:t>
      </w:r>
      <w:r w:rsidR="00002649" w:rsidRPr="0096740E">
        <w:rPr>
          <w:noProof/>
        </w:rPr>
        <w:t xml:space="preserve">. Build </w:t>
      </w:r>
      <w:r w:rsidR="00AC13E8" w:rsidRPr="0096740E">
        <w:rPr>
          <w:noProof/>
        </w:rPr>
        <w:t xml:space="preserve">on existing tools and initiatives, including the </w:t>
      </w:r>
      <w:r w:rsidR="00002649" w:rsidRPr="0096740E">
        <w:rPr>
          <w:noProof/>
        </w:rPr>
        <w:t>expertise of and cooperation with social partners and relevant stakeholders.</w:t>
      </w:r>
      <w:r w:rsidR="00AC13E8" w:rsidRPr="0096740E">
        <w:rPr>
          <w:noProof/>
        </w:rPr>
        <w:t xml:space="preserve"> Adapt education and training curricula accordingly.</w:t>
      </w:r>
    </w:p>
    <w:p w14:paraId="6EE98C13" w14:textId="2A1CBF3E" w:rsidR="00AE4B7E" w:rsidRPr="0096740E" w:rsidRDefault="00420537" w:rsidP="00420537">
      <w:pPr>
        <w:pStyle w:val="Point1"/>
        <w:rPr>
          <w:noProof/>
        </w:rPr>
      </w:pPr>
      <w:r w:rsidRPr="00420537">
        <w:t>(c)</w:t>
      </w:r>
      <w:r w:rsidRPr="00420537">
        <w:tab/>
      </w:r>
      <w:r w:rsidR="00002649" w:rsidRPr="0096740E">
        <w:rPr>
          <w:noProof/>
        </w:rPr>
        <w:t xml:space="preserve">Provide </w:t>
      </w:r>
      <w:r w:rsidR="00FF7D12" w:rsidRPr="0096740E">
        <w:rPr>
          <w:noProof/>
        </w:rPr>
        <w:t>high-quality and inclusive</w:t>
      </w:r>
      <w:r w:rsidR="00002649" w:rsidRPr="0096740E">
        <w:rPr>
          <w:noProof/>
        </w:rPr>
        <w:t xml:space="preserve"> initial education and training</w:t>
      </w:r>
      <w:r w:rsidR="00FF7D12" w:rsidRPr="0096740E">
        <w:rPr>
          <w:noProof/>
        </w:rPr>
        <w:t>, including vocational education and training,</w:t>
      </w:r>
      <w:r w:rsidR="00E05732" w:rsidRPr="0096740E">
        <w:rPr>
          <w:noProof/>
        </w:rPr>
        <w:t xml:space="preserve"> that </w:t>
      </w:r>
      <w:r w:rsidR="00002649" w:rsidRPr="0096740E">
        <w:rPr>
          <w:noProof/>
        </w:rPr>
        <w:t>equip</w:t>
      </w:r>
      <w:r w:rsidR="00A25900" w:rsidRPr="0096740E">
        <w:rPr>
          <w:noProof/>
        </w:rPr>
        <w:t>s</w:t>
      </w:r>
      <w:r w:rsidR="00002649" w:rsidRPr="0096740E">
        <w:rPr>
          <w:noProof/>
        </w:rPr>
        <w:t xml:space="preserve"> learners with skills and competences relevant for the green transition. Learning for </w:t>
      </w:r>
      <w:r w:rsidR="00FF7D12" w:rsidRPr="0096740E">
        <w:rPr>
          <w:noProof/>
        </w:rPr>
        <w:t>sustainability</w:t>
      </w:r>
      <w:r w:rsidR="005C1C3E" w:rsidRPr="0096740E">
        <w:rPr>
          <w:noProof/>
        </w:rPr>
        <w:t xml:space="preserve"> –</w:t>
      </w:r>
      <w:r w:rsidR="00002649" w:rsidRPr="0096740E">
        <w:rPr>
          <w:noProof/>
        </w:rPr>
        <w:t xml:space="preserve"> </w:t>
      </w:r>
      <w:r w:rsidR="00FF7D12" w:rsidRPr="0096740E">
        <w:rPr>
          <w:noProof/>
        </w:rPr>
        <w:t xml:space="preserve">including </w:t>
      </w:r>
      <w:r w:rsidR="00002649" w:rsidRPr="0096740E">
        <w:rPr>
          <w:noProof/>
        </w:rPr>
        <w:t>science, technology, engineering and mathematics (STEM)</w:t>
      </w:r>
      <w:r w:rsidR="00FF7D12" w:rsidRPr="0096740E">
        <w:rPr>
          <w:noProof/>
        </w:rPr>
        <w:t>, interdisciplinary approach</w:t>
      </w:r>
      <w:r w:rsidR="00AC13E8" w:rsidRPr="0096740E">
        <w:rPr>
          <w:noProof/>
        </w:rPr>
        <w:t>es</w:t>
      </w:r>
      <w:r w:rsidR="00FF7D12" w:rsidRPr="0096740E">
        <w:rPr>
          <w:noProof/>
        </w:rPr>
        <w:t>,</w:t>
      </w:r>
      <w:r w:rsidR="003C3145" w:rsidRPr="0096740E">
        <w:rPr>
          <w:noProof/>
        </w:rPr>
        <w:t xml:space="preserve"> and digital skills</w:t>
      </w:r>
      <w:r w:rsidR="005C1C3E" w:rsidRPr="0096740E">
        <w:rPr>
          <w:noProof/>
        </w:rPr>
        <w:t xml:space="preserve"> – </w:t>
      </w:r>
      <w:r w:rsidR="00002649" w:rsidRPr="0096740E">
        <w:rPr>
          <w:noProof/>
        </w:rPr>
        <w:t xml:space="preserve">should be an integral part of these programmes. </w:t>
      </w:r>
      <w:r w:rsidR="00585F92" w:rsidRPr="0096740E">
        <w:rPr>
          <w:noProof/>
        </w:rPr>
        <w:t>Take s</w:t>
      </w:r>
      <w:r w:rsidR="00817906" w:rsidRPr="0096740E">
        <w:rPr>
          <w:noProof/>
        </w:rPr>
        <w:t>pecific actions to attract</w:t>
      </w:r>
      <w:r w:rsidR="00F148FE" w:rsidRPr="0096740E">
        <w:rPr>
          <w:noProof/>
        </w:rPr>
        <w:t xml:space="preserve"> women and</w:t>
      </w:r>
      <w:r w:rsidR="00817906" w:rsidRPr="0096740E">
        <w:rPr>
          <w:noProof/>
        </w:rPr>
        <w:t xml:space="preserve"> </w:t>
      </w:r>
      <w:r w:rsidR="00F148FE" w:rsidRPr="0096740E">
        <w:rPr>
          <w:noProof/>
        </w:rPr>
        <w:t xml:space="preserve">other </w:t>
      </w:r>
      <w:r w:rsidR="00817906" w:rsidRPr="0096740E">
        <w:rPr>
          <w:noProof/>
        </w:rPr>
        <w:t>groups currently under-represented in the occupational areas</w:t>
      </w:r>
      <w:r w:rsidR="00A25900" w:rsidRPr="0096740E">
        <w:rPr>
          <w:noProof/>
        </w:rPr>
        <w:t xml:space="preserve"> concerned</w:t>
      </w:r>
      <w:r w:rsidR="00817906" w:rsidRPr="0096740E">
        <w:rPr>
          <w:noProof/>
        </w:rPr>
        <w:t>.</w:t>
      </w:r>
    </w:p>
    <w:p w14:paraId="10AF95DD" w14:textId="7DD68798" w:rsidR="00AE4B7E" w:rsidRPr="0096740E" w:rsidRDefault="00420537" w:rsidP="00420537">
      <w:pPr>
        <w:pStyle w:val="Point1"/>
        <w:rPr>
          <w:noProof/>
        </w:rPr>
      </w:pPr>
      <w:r w:rsidRPr="00420537">
        <w:t>(d)</w:t>
      </w:r>
      <w:r w:rsidRPr="00420537">
        <w:tab/>
      </w:r>
      <w:r w:rsidR="00AE4B7E" w:rsidRPr="0096740E">
        <w:rPr>
          <w:noProof/>
        </w:rPr>
        <w:t xml:space="preserve">Introduce or strengthen support schemes </w:t>
      </w:r>
      <w:r w:rsidR="008E7E8C" w:rsidRPr="0096740E">
        <w:rPr>
          <w:noProof/>
        </w:rPr>
        <w:t>for</w:t>
      </w:r>
      <w:r w:rsidR="00AE4B7E" w:rsidRPr="0096740E">
        <w:rPr>
          <w:noProof/>
        </w:rPr>
        <w:t xml:space="preserve"> apprenticeships and paid traineeships</w:t>
      </w:r>
      <w:r w:rsidR="00595D31" w:rsidRPr="0096740E">
        <w:rPr>
          <w:noProof/>
        </w:rPr>
        <w:t xml:space="preserve"> </w:t>
      </w:r>
      <w:r w:rsidR="00A25900" w:rsidRPr="0096740E">
        <w:rPr>
          <w:noProof/>
        </w:rPr>
        <w:t xml:space="preserve">with </w:t>
      </w:r>
      <w:r w:rsidR="008E7E8C" w:rsidRPr="0096740E">
        <w:rPr>
          <w:noProof/>
        </w:rPr>
        <w:t xml:space="preserve">a strong </w:t>
      </w:r>
      <w:r w:rsidR="00595D31" w:rsidRPr="0096740E">
        <w:rPr>
          <w:noProof/>
        </w:rPr>
        <w:t>training</w:t>
      </w:r>
      <w:r w:rsidR="008E7E8C" w:rsidRPr="0096740E">
        <w:rPr>
          <w:noProof/>
        </w:rPr>
        <w:t xml:space="preserve"> component</w:t>
      </w:r>
      <w:r w:rsidR="00AE4B7E" w:rsidRPr="0096740E">
        <w:rPr>
          <w:noProof/>
        </w:rPr>
        <w:t>,</w:t>
      </w:r>
      <w:r w:rsidR="00595D31" w:rsidRPr="0096740E">
        <w:rPr>
          <w:noProof/>
        </w:rPr>
        <w:t xml:space="preserve"> </w:t>
      </w:r>
      <w:r w:rsidR="00AE4B7E" w:rsidRPr="0096740E">
        <w:rPr>
          <w:noProof/>
        </w:rPr>
        <w:t>in particular in micro, small and medium-sized enterprises, including those contributing to climate and environmental objectives and in sectors facing particular skill shortages</w:t>
      </w:r>
      <w:r w:rsidR="004B02D9">
        <w:rPr>
          <w:noProof/>
        </w:rPr>
        <w:t>, such as construction</w:t>
      </w:r>
      <w:r w:rsidR="00277C69">
        <w:rPr>
          <w:noProof/>
        </w:rPr>
        <w:t xml:space="preserve"> and</w:t>
      </w:r>
      <w:r w:rsidR="0003241C" w:rsidRPr="00277C69">
        <w:rPr>
          <w:noProof/>
        </w:rPr>
        <w:t xml:space="preserve"> </w:t>
      </w:r>
      <w:r w:rsidR="0003241C" w:rsidRPr="003260EE">
        <w:rPr>
          <w:noProof/>
        </w:rPr>
        <w:t>ICT</w:t>
      </w:r>
      <w:r w:rsidR="00AE4B7E" w:rsidRPr="0096740E">
        <w:rPr>
          <w:noProof/>
        </w:rPr>
        <w:t>.</w:t>
      </w:r>
      <w:r w:rsidR="00595D31" w:rsidRPr="0096740E">
        <w:rPr>
          <w:noProof/>
        </w:rPr>
        <w:t xml:space="preserve"> Such schemes should be subject to monitoring and evaluation, and safeguard job quality, in line with the European Framework for Quality and Effective Apprenticeships</w:t>
      </w:r>
      <w:r w:rsidR="0038506C" w:rsidRPr="0096740E">
        <w:rPr>
          <w:rStyle w:val="FootnoteReference"/>
          <w:noProof/>
        </w:rPr>
        <w:footnoteReference w:id="108"/>
      </w:r>
      <w:r w:rsidR="00595D31" w:rsidRPr="0096740E">
        <w:rPr>
          <w:noProof/>
        </w:rPr>
        <w:t xml:space="preserve"> </w:t>
      </w:r>
      <w:r w:rsidR="00A90FC2" w:rsidRPr="0096740E">
        <w:rPr>
          <w:noProof/>
        </w:rPr>
        <w:t>and</w:t>
      </w:r>
      <w:r w:rsidR="00595D31" w:rsidRPr="0096740E">
        <w:rPr>
          <w:noProof/>
        </w:rPr>
        <w:t xml:space="preserve"> the Quality Framework for Traineeships</w:t>
      </w:r>
      <w:r w:rsidR="0038506C" w:rsidRPr="0096740E">
        <w:rPr>
          <w:rStyle w:val="FootnoteReference"/>
          <w:noProof/>
        </w:rPr>
        <w:footnoteReference w:id="109"/>
      </w:r>
      <w:r w:rsidR="00595D31" w:rsidRPr="0096740E">
        <w:rPr>
          <w:noProof/>
        </w:rPr>
        <w:t>.</w:t>
      </w:r>
    </w:p>
    <w:p w14:paraId="3B14F48F" w14:textId="12706B71" w:rsidR="00002649" w:rsidRPr="0096740E" w:rsidRDefault="00420537" w:rsidP="00420537">
      <w:pPr>
        <w:pStyle w:val="Point1"/>
        <w:rPr>
          <w:noProof/>
        </w:rPr>
      </w:pPr>
      <w:r w:rsidRPr="00420537">
        <w:t>(e)</w:t>
      </w:r>
      <w:r w:rsidRPr="00420537">
        <w:tab/>
      </w:r>
      <w:r w:rsidR="00002649" w:rsidRPr="0096740E">
        <w:rPr>
          <w:noProof/>
        </w:rPr>
        <w:t>Increase adult participation in training</w:t>
      </w:r>
      <w:r w:rsidR="00E05823" w:rsidRPr="0096740E">
        <w:rPr>
          <w:noProof/>
        </w:rPr>
        <w:t xml:space="preserve"> throughout the </w:t>
      </w:r>
      <w:r w:rsidR="00A25900" w:rsidRPr="0096740E">
        <w:rPr>
          <w:noProof/>
        </w:rPr>
        <w:t xml:space="preserve">working </w:t>
      </w:r>
      <w:r w:rsidR="00E05823" w:rsidRPr="0096740E">
        <w:rPr>
          <w:noProof/>
        </w:rPr>
        <w:t>life</w:t>
      </w:r>
      <w:r w:rsidR="00002649" w:rsidRPr="0096740E">
        <w:rPr>
          <w:noProof/>
        </w:rPr>
        <w:t>, in line with the upskilling and reskilling needs for the green transition, by ensuring that support is available for</w:t>
      </w:r>
      <w:r w:rsidR="00D46E25" w:rsidRPr="0096740E">
        <w:rPr>
          <w:noProof/>
        </w:rPr>
        <w:t xml:space="preserve"> training within jobs,</w:t>
      </w:r>
      <w:r w:rsidR="00002649" w:rsidRPr="0096740E">
        <w:rPr>
          <w:noProof/>
        </w:rPr>
        <w:t xml:space="preserve"> professional transitions and for transversal skills</w:t>
      </w:r>
      <w:r w:rsidR="00A85E3C">
        <w:rPr>
          <w:noProof/>
        </w:rPr>
        <w:t xml:space="preserve">, notably to facilitate reconversion </w:t>
      </w:r>
      <w:r w:rsidR="0003241C">
        <w:rPr>
          <w:noProof/>
        </w:rPr>
        <w:t>to</w:t>
      </w:r>
      <w:r w:rsidR="003260EE">
        <w:rPr>
          <w:noProof/>
        </w:rPr>
        <w:t>wards</w:t>
      </w:r>
      <w:r w:rsidR="00A85E3C">
        <w:rPr>
          <w:noProof/>
        </w:rPr>
        <w:t xml:space="preserve"> sectors and economic activities expected to </w:t>
      </w:r>
      <w:r w:rsidR="0003241C">
        <w:rPr>
          <w:noProof/>
        </w:rPr>
        <w:t>expand</w:t>
      </w:r>
      <w:r w:rsidR="00EF434B">
        <w:rPr>
          <w:noProof/>
        </w:rPr>
        <w:t>.</w:t>
      </w:r>
      <w:r w:rsidR="00257D1A" w:rsidRPr="0096740E">
        <w:rPr>
          <w:noProof/>
        </w:rPr>
        <w:t xml:space="preserve"> To this end, provide training entitlements</w:t>
      </w:r>
      <w:r w:rsidR="00002649" w:rsidRPr="0096740E">
        <w:rPr>
          <w:noProof/>
        </w:rPr>
        <w:t xml:space="preserve"> </w:t>
      </w:r>
      <w:r w:rsidR="00423CD8" w:rsidRPr="0096740E">
        <w:rPr>
          <w:noProof/>
        </w:rPr>
        <w:t xml:space="preserve">in line with </w:t>
      </w:r>
      <w:r w:rsidR="005C1C3E" w:rsidRPr="0096740E">
        <w:rPr>
          <w:noProof/>
        </w:rPr>
        <w:t xml:space="preserve">the proposed </w:t>
      </w:r>
      <w:r w:rsidR="005A7BC7" w:rsidRPr="0096740E">
        <w:rPr>
          <w:noProof/>
        </w:rPr>
        <w:t>Council Recommendation on i</w:t>
      </w:r>
      <w:r w:rsidR="00423CD8" w:rsidRPr="0096740E">
        <w:rPr>
          <w:noProof/>
        </w:rPr>
        <w:t xml:space="preserve">ndividual </w:t>
      </w:r>
      <w:r w:rsidR="005A7BC7" w:rsidRPr="0096740E">
        <w:rPr>
          <w:noProof/>
        </w:rPr>
        <w:t>l</w:t>
      </w:r>
      <w:r w:rsidR="00423CD8" w:rsidRPr="0096740E">
        <w:rPr>
          <w:noProof/>
        </w:rPr>
        <w:t xml:space="preserve">earning </w:t>
      </w:r>
      <w:r w:rsidR="005A7BC7" w:rsidRPr="0096740E">
        <w:rPr>
          <w:noProof/>
        </w:rPr>
        <w:t>a</w:t>
      </w:r>
      <w:r w:rsidR="00423CD8" w:rsidRPr="0096740E">
        <w:rPr>
          <w:noProof/>
        </w:rPr>
        <w:t>ccounts</w:t>
      </w:r>
      <w:r w:rsidR="00EB0D27" w:rsidRPr="0096740E">
        <w:rPr>
          <w:rStyle w:val="FootnoteReference"/>
          <w:noProof/>
        </w:rPr>
        <w:footnoteReference w:id="110"/>
      </w:r>
      <w:r w:rsidR="00423CD8" w:rsidRPr="0096740E">
        <w:rPr>
          <w:noProof/>
        </w:rPr>
        <w:t xml:space="preserve"> and in the form of </w:t>
      </w:r>
      <w:r w:rsidR="00002649" w:rsidRPr="0096740E">
        <w:rPr>
          <w:noProof/>
        </w:rPr>
        <w:t>paid training leave and career guidance</w:t>
      </w:r>
      <w:r w:rsidR="00A0770A" w:rsidRPr="0096740E">
        <w:rPr>
          <w:noProof/>
        </w:rPr>
        <w:t xml:space="preserve">. </w:t>
      </w:r>
      <w:r w:rsidR="00002649" w:rsidRPr="0096740E">
        <w:rPr>
          <w:noProof/>
        </w:rPr>
        <w:t>Support the development of short</w:t>
      </w:r>
      <w:r w:rsidR="00423CD8" w:rsidRPr="0096740E">
        <w:rPr>
          <w:noProof/>
        </w:rPr>
        <w:t>, quality-assured and widely recognised</w:t>
      </w:r>
      <w:r w:rsidR="00002649" w:rsidRPr="0096740E">
        <w:rPr>
          <w:noProof/>
        </w:rPr>
        <w:t xml:space="preserve"> courses</w:t>
      </w:r>
      <w:r w:rsidR="00A0770A" w:rsidRPr="0096740E">
        <w:rPr>
          <w:noProof/>
        </w:rPr>
        <w:t xml:space="preserve"> </w:t>
      </w:r>
      <w:r w:rsidR="00002649" w:rsidRPr="0096740E">
        <w:rPr>
          <w:noProof/>
        </w:rPr>
        <w:t>building on the European approach to micro-credentials</w:t>
      </w:r>
      <w:r w:rsidR="00A0770A" w:rsidRPr="0096740E">
        <w:rPr>
          <w:rStyle w:val="FootnoteReference"/>
          <w:noProof/>
        </w:rPr>
        <w:footnoteReference w:id="111"/>
      </w:r>
      <w:r w:rsidR="00002649" w:rsidRPr="0096740E">
        <w:rPr>
          <w:noProof/>
        </w:rPr>
        <w:t>.</w:t>
      </w:r>
    </w:p>
    <w:p w14:paraId="2DF6F169" w14:textId="62953DCA" w:rsidR="00002649" w:rsidRPr="0096740E" w:rsidRDefault="00420537" w:rsidP="00420537">
      <w:pPr>
        <w:pStyle w:val="Point0"/>
        <w:rPr>
          <w:noProof/>
        </w:rPr>
      </w:pPr>
      <w:r w:rsidRPr="00420537">
        <w:t>(6)</w:t>
      </w:r>
      <w:r w:rsidRPr="00420537">
        <w:tab/>
      </w:r>
      <w:r w:rsidR="00364813" w:rsidRPr="0096740E">
        <w:rPr>
          <w:noProof/>
        </w:rPr>
        <w:t>T</w:t>
      </w:r>
      <w:r w:rsidR="00002649" w:rsidRPr="0096740E">
        <w:rPr>
          <w:noProof/>
        </w:rPr>
        <w:t xml:space="preserve">o </w:t>
      </w:r>
      <w:r w:rsidR="005E4DF1" w:rsidRPr="0096740E">
        <w:rPr>
          <w:noProof/>
        </w:rPr>
        <w:t>ensur</w:t>
      </w:r>
      <w:r w:rsidR="00364813" w:rsidRPr="0096740E">
        <w:rPr>
          <w:noProof/>
        </w:rPr>
        <w:t>e</w:t>
      </w:r>
      <w:r w:rsidR="005E4DF1" w:rsidRPr="0096740E">
        <w:rPr>
          <w:noProof/>
        </w:rPr>
        <w:t xml:space="preserve"> the continued</w:t>
      </w:r>
      <w:r w:rsidR="00002649" w:rsidRPr="0096740E">
        <w:rPr>
          <w:noProof/>
        </w:rPr>
        <w:t xml:space="preserve"> fair</w:t>
      </w:r>
      <w:r w:rsidR="005E4DF1" w:rsidRPr="0096740E">
        <w:rPr>
          <w:noProof/>
        </w:rPr>
        <w:t>ness of</w:t>
      </w:r>
      <w:r w:rsidR="00002649" w:rsidRPr="0096740E">
        <w:rPr>
          <w:noProof/>
        </w:rPr>
        <w:t xml:space="preserve"> tax-benefit</w:t>
      </w:r>
      <w:r w:rsidR="00BF3C23" w:rsidRPr="0096740E">
        <w:rPr>
          <w:noProof/>
        </w:rPr>
        <w:t xml:space="preserve"> systems</w:t>
      </w:r>
      <w:r w:rsidR="00002649" w:rsidRPr="0096740E">
        <w:rPr>
          <w:noProof/>
        </w:rPr>
        <w:t xml:space="preserve"> and social protection systems </w:t>
      </w:r>
      <w:r w:rsidR="005E4DF1" w:rsidRPr="0096740E">
        <w:rPr>
          <w:noProof/>
        </w:rPr>
        <w:t>in the context of the green transition</w:t>
      </w:r>
      <w:r w:rsidR="00002649" w:rsidRPr="0096740E">
        <w:rPr>
          <w:noProof/>
        </w:rPr>
        <w:t xml:space="preserve">, </w:t>
      </w:r>
      <w:r w:rsidR="000D3ADC" w:rsidRPr="0096740E">
        <w:rPr>
          <w:noProof/>
        </w:rPr>
        <w:t>and buildin</w:t>
      </w:r>
      <w:r w:rsidR="003260EE">
        <w:rPr>
          <w:noProof/>
        </w:rPr>
        <w:t>g</w:t>
      </w:r>
      <w:r w:rsidR="000D3ADC" w:rsidRPr="0096740E">
        <w:rPr>
          <w:noProof/>
        </w:rPr>
        <w:t xml:space="preserve"> on the Recommendation on </w:t>
      </w:r>
      <w:r w:rsidR="00D52082" w:rsidRPr="0096740E">
        <w:rPr>
          <w:noProof/>
        </w:rPr>
        <w:t>a</w:t>
      </w:r>
      <w:r w:rsidR="000D3ADC" w:rsidRPr="0096740E">
        <w:rPr>
          <w:noProof/>
        </w:rPr>
        <w:t xml:space="preserve">ccess to </w:t>
      </w:r>
      <w:r w:rsidR="00D52082" w:rsidRPr="0096740E">
        <w:rPr>
          <w:noProof/>
        </w:rPr>
        <w:t>s</w:t>
      </w:r>
      <w:r w:rsidR="000D3ADC" w:rsidRPr="0096740E">
        <w:rPr>
          <w:noProof/>
        </w:rPr>
        <w:t xml:space="preserve">ocial </w:t>
      </w:r>
      <w:r w:rsidR="00D52082" w:rsidRPr="0096740E">
        <w:rPr>
          <w:noProof/>
        </w:rPr>
        <w:t>p</w:t>
      </w:r>
      <w:r w:rsidR="000D3ADC" w:rsidRPr="0096740E">
        <w:rPr>
          <w:noProof/>
        </w:rPr>
        <w:t xml:space="preserve">rotection for </w:t>
      </w:r>
      <w:r w:rsidR="00D52082" w:rsidRPr="0096740E">
        <w:rPr>
          <w:noProof/>
        </w:rPr>
        <w:t>workers and the self-employed</w:t>
      </w:r>
      <w:r w:rsidR="00A520DE" w:rsidRPr="0096740E">
        <w:rPr>
          <w:rStyle w:val="FootnoteReference"/>
          <w:noProof/>
        </w:rPr>
        <w:footnoteReference w:id="112"/>
      </w:r>
      <w:r w:rsidR="000D3ADC" w:rsidRPr="0096740E">
        <w:rPr>
          <w:noProof/>
        </w:rPr>
        <w:t xml:space="preserve">, Member States are encouraged to consider the following measures in support of </w:t>
      </w:r>
      <w:r w:rsidR="00662079" w:rsidRPr="0096740E">
        <w:rPr>
          <w:noProof/>
        </w:rPr>
        <w:t xml:space="preserve">people </w:t>
      </w:r>
      <w:r w:rsidR="000D3ADC" w:rsidRPr="0096740E">
        <w:rPr>
          <w:noProof/>
        </w:rPr>
        <w:t>and households most affected by the green transition, notably those in vulnerable situations, in order to support labour market transitions, including transitions towards economic activities contributing to climate and environmental objectives</w:t>
      </w:r>
      <w:r w:rsidR="002F0AAE" w:rsidRPr="0096740E">
        <w:rPr>
          <w:noProof/>
        </w:rPr>
        <w:t xml:space="preserve">, prevent and </w:t>
      </w:r>
      <w:r w:rsidR="00E1269E" w:rsidRPr="0096740E">
        <w:rPr>
          <w:noProof/>
        </w:rPr>
        <w:t xml:space="preserve">alleviate </w:t>
      </w:r>
      <w:r w:rsidR="002F0AAE" w:rsidRPr="0096740E">
        <w:rPr>
          <w:noProof/>
        </w:rPr>
        <w:t xml:space="preserve">energy </w:t>
      </w:r>
      <w:r w:rsidR="008F3082">
        <w:rPr>
          <w:noProof/>
        </w:rPr>
        <w:t>and transport</w:t>
      </w:r>
      <w:r w:rsidR="002F0AAE" w:rsidRPr="0096740E">
        <w:rPr>
          <w:noProof/>
        </w:rPr>
        <w:t xml:space="preserve"> poverty and mitigate regressive impacts of policy measures</w:t>
      </w:r>
      <w:r w:rsidR="000D3ADC" w:rsidRPr="0096740E">
        <w:rPr>
          <w:noProof/>
        </w:rPr>
        <w:t>:</w:t>
      </w:r>
    </w:p>
    <w:p w14:paraId="75980C5A" w14:textId="5D3F5B0F" w:rsidR="00EA3FC0" w:rsidRPr="0096740E" w:rsidRDefault="00420537" w:rsidP="00420537">
      <w:pPr>
        <w:pStyle w:val="Point1"/>
        <w:rPr>
          <w:noProof/>
        </w:rPr>
      </w:pPr>
      <w:r w:rsidRPr="00420537">
        <w:t>(a)</w:t>
      </w:r>
      <w:r w:rsidRPr="00420537">
        <w:tab/>
      </w:r>
      <w:r w:rsidR="005C1C3E" w:rsidRPr="0096740E">
        <w:rPr>
          <w:noProof/>
        </w:rPr>
        <w:t xml:space="preserve">Assess and, where necessary, adapt </w:t>
      </w:r>
      <w:r w:rsidR="00002649" w:rsidRPr="0096740E">
        <w:rPr>
          <w:noProof/>
        </w:rPr>
        <w:t xml:space="preserve">taxation systems </w:t>
      </w:r>
      <w:r w:rsidR="0097329A" w:rsidRPr="0096740E">
        <w:rPr>
          <w:noProof/>
        </w:rPr>
        <w:t xml:space="preserve">in </w:t>
      </w:r>
      <w:r w:rsidR="00F876ED" w:rsidRPr="0096740E">
        <w:rPr>
          <w:noProof/>
        </w:rPr>
        <w:t>view of</w:t>
      </w:r>
      <w:r w:rsidR="00055D97" w:rsidRPr="0096740E">
        <w:rPr>
          <w:noProof/>
        </w:rPr>
        <w:t xml:space="preserve"> the challenges </w:t>
      </w:r>
      <w:r w:rsidR="004A621F" w:rsidRPr="0096740E">
        <w:rPr>
          <w:noProof/>
        </w:rPr>
        <w:t>arising from</w:t>
      </w:r>
      <w:r w:rsidR="00055D97" w:rsidRPr="0096740E">
        <w:rPr>
          <w:noProof/>
        </w:rPr>
        <w:t xml:space="preserve"> the tr</w:t>
      </w:r>
      <w:r w:rsidR="00B13A9B" w:rsidRPr="0096740E">
        <w:rPr>
          <w:noProof/>
        </w:rPr>
        <w:t xml:space="preserve">ansition towards climate </w:t>
      </w:r>
      <w:r w:rsidR="0097329A" w:rsidRPr="0096740E">
        <w:rPr>
          <w:noProof/>
        </w:rPr>
        <w:t>neutrality</w:t>
      </w:r>
      <w:r w:rsidR="00002649" w:rsidRPr="0096740E">
        <w:rPr>
          <w:noProof/>
        </w:rPr>
        <w:t xml:space="preserve">, notably by shifting </w:t>
      </w:r>
      <w:r w:rsidR="007157A8" w:rsidRPr="0096740E">
        <w:rPr>
          <w:noProof/>
        </w:rPr>
        <w:t xml:space="preserve">the tax burden </w:t>
      </w:r>
      <w:r w:rsidR="00002649" w:rsidRPr="0096740E">
        <w:rPr>
          <w:noProof/>
        </w:rPr>
        <w:t>away from labour</w:t>
      </w:r>
      <w:r w:rsidR="007157A8" w:rsidRPr="0096740E">
        <w:rPr>
          <w:noProof/>
        </w:rPr>
        <w:t xml:space="preserve"> </w:t>
      </w:r>
      <w:r w:rsidR="00055D97" w:rsidRPr="0096740E">
        <w:rPr>
          <w:noProof/>
        </w:rPr>
        <w:t>and</w:t>
      </w:r>
      <w:r w:rsidR="007157A8" w:rsidRPr="0096740E">
        <w:rPr>
          <w:noProof/>
        </w:rPr>
        <w:t xml:space="preserve"> </w:t>
      </w:r>
      <w:r w:rsidR="00002649" w:rsidRPr="0096740E">
        <w:rPr>
          <w:noProof/>
        </w:rPr>
        <w:t>reducing the tax wedge</w:t>
      </w:r>
      <w:r w:rsidR="007157A8" w:rsidRPr="0096740E">
        <w:rPr>
          <w:noProof/>
        </w:rPr>
        <w:t xml:space="preserve"> </w:t>
      </w:r>
      <w:r w:rsidR="00002649" w:rsidRPr="0096740E">
        <w:rPr>
          <w:noProof/>
        </w:rPr>
        <w:t xml:space="preserve">for low and middle income groups towards other sources contributing to climate and environmental objectives, </w:t>
      </w:r>
      <w:r w:rsidR="00015739" w:rsidRPr="0096740E">
        <w:rPr>
          <w:noProof/>
        </w:rPr>
        <w:t>prevent</w:t>
      </w:r>
      <w:r w:rsidR="00C23CD4" w:rsidRPr="0096740E">
        <w:rPr>
          <w:noProof/>
        </w:rPr>
        <w:t>ing and mitigating</w:t>
      </w:r>
      <w:r w:rsidR="00EB5E19" w:rsidRPr="0096740E">
        <w:rPr>
          <w:noProof/>
        </w:rPr>
        <w:t xml:space="preserve"> </w:t>
      </w:r>
      <w:r w:rsidR="00015739" w:rsidRPr="0096740E">
        <w:rPr>
          <w:noProof/>
        </w:rPr>
        <w:t>regressive impacts</w:t>
      </w:r>
      <w:r w:rsidR="00CA5722" w:rsidRPr="0096740E">
        <w:rPr>
          <w:noProof/>
        </w:rPr>
        <w:t>,</w:t>
      </w:r>
      <w:r w:rsidR="00705BFA" w:rsidRPr="0096740E">
        <w:rPr>
          <w:noProof/>
        </w:rPr>
        <w:t xml:space="preserve"> </w:t>
      </w:r>
      <w:r w:rsidR="00992163" w:rsidRPr="0096740E">
        <w:rPr>
          <w:noProof/>
        </w:rPr>
        <w:t>pr</w:t>
      </w:r>
      <w:r w:rsidR="00CA5722" w:rsidRPr="0096740E">
        <w:rPr>
          <w:noProof/>
        </w:rPr>
        <w:t>eserving</w:t>
      </w:r>
      <w:r w:rsidR="00992163" w:rsidRPr="0096740E">
        <w:rPr>
          <w:noProof/>
        </w:rPr>
        <w:t xml:space="preserve"> the progressive character</w:t>
      </w:r>
      <w:r w:rsidR="00705BFA" w:rsidRPr="0096740E">
        <w:rPr>
          <w:noProof/>
        </w:rPr>
        <w:t xml:space="preserve"> of </w:t>
      </w:r>
      <w:r w:rsidR="00422B65" w:rsidRPr="00277C69">
        <w:rPr>
          <w:noProof/>
        </w:rPr>
        <w:t>direct</w:t>
      </w:r>
      <w:r w:rsidR="00422B65" w:rsidRPr="0096740E">
        <w:rPr>
          <w:noProof/>
        </w:rPr>
        <w:t xml:space="preserve"> </w:t>
      </w:r>
      <w:r w:rsidR="008832CF" w:rsidRPr="0096740E">
        <w:rPr>
          <w:noProof/>
        </w:rPr>
        <w:t>taxation</w:t>
      </w:r>
      <w:r w:rsidR="00202615" w:rsidRPr="0096740E">
        <w:rPr>
          <w:noProof/>
        </w:rPr>
        <w:t xml:space="preserve"> and </w:t>
      </w:r>
      <w:r w:rsidR="00A123D8" w:rsidRPr="0096740E">
        <w:rPr>
          <w:noProof/>
        </w:rPr>
        <w:t>safeguarding the financing of</w:t>
      </w:r>
      <w:r w:rsidR="00002649" w:rsidRPr="0096740E">
        <w:rPr>
          <w:noProof/>
        </w:rPr>
        <w:t xml:space="preserve"> adequate social protection and investment </w:t>
      </w:r>
      <w:r w:rsidR="00A123D8" w:rsidRPr="0096740E">
        <w:rPr>
          <w:noProof/>
        </w:rPr>
        <w:t>measures</w:t>
      </w:r>
      <w:r w:rsidR="00992163" w:rsidRPr="0096740E">
        <w:rPr>
          <w:noProof/>
        </w:rPr>
        <w:t xml:space="preserve">, especially those targeted </w:t>
      </w:r>
      <w:r w:rsidR="00647FEB" w:rsidRPr="0096740E">
        <w:rPr>
          <w:noProof/>
        </w:rPr>
        <w:t>towards</w:t>
      </w:r>
      <w:r w:rsidR="00BB4BCA" w:rsidRPr="0096740E">
        <w:rPr>
          <w:noProof/>
        </w:rPr>
        <w:t xml:space="preserve"> </w:t>
      </w:r>
      <w:r w:rsidR="00992163" w:rsidRPr="0096740E">
        <w:rPr>
          <w:noProof/>
        </w:rPr>
        <w:t>the green transition</w:t>
      </w:r>
      <w:r w:rsidR="00647FEB" w:rsidRPr="0096740E">
        <w:rPr>
          <w:noProof/>
        </w:rPr>
        <w:t>.</w:t>
      </w:r>
    </w:p>
    <w:p w14:paraId="651ED646" w14:textId="12FBB444" w:rsidR="00EA3FC0" w:rsidRPr="0096740E" w:rsidRDefault="00420537" w:rsidP="00420537">
      <w:pPr>
        <w:pStyle w:val="Point1"/>
        <w:rPr>
          <w:noProof/>
        </w:rPr>
      </w:pPr>
      <w:r w:rsidRPr="00420537">
        <w:t>(b)</w:t>
      </w:r>
      <w:r w:rsidRPr="00420537">
        <w:tab/>
      </w:r>
      <w:r w:rsidR="00F40CB5" w:rsidRPr="0096740E">
        <w:rPr>
          <w:noProof/>
        </w:rPr>
        <w:t xml:space="preserve">Assess and, where </w:t>
      </w:r>
      <w:r w:rsidR="00F4276F" w:rsidRPr="0096740E">
        <w:rPr>
          <w:noProof/>
        </w:rPr>
        <w:t>applicable</w:t>
      </w:r>
      <w:r w:rsidR="00F40CB5" w:rsidRPr="0096740E">
        <w:rPr>
          <w:noProof/>
        </w:rPr>
        <w:t xml:space="preserve">, adapt </w:t>
      </w:r>
      <w:r w:rsidR="00002649" w:rsidRPr="0096740E">
        <w:rPr>
          <w:noProof/>
        </w:rPr>
        <w:t xml:space="preserve">social protection </w:t>
      </w:r>
      <w:r w:rsidR="00D52082" w:rsidRPr="0096740E">
        <w:rPr>
          <w:noProof/>
        </w:rPr>
        <w:t xml:space="preserve">systems </w:t>
      </w:r>
      <w:r w:rsidR="00002649" w:rsidRPr="0096740E">
        <w:rPr>
          <w:noProof/>
        </w:rPr>
        <w:t xml:space="preserve">and social inclusion </w:t>
      </w:r>
      <w:r w:rsidR="003913FB" w:rsidRPr="0096740E">
        <w:rPr>
          <w:noProof/>
        </w:rPr>
        <w:t>policies</w:t>
      </w:r>
      <w:r w:rsidR="00002649" w:rsidRPr="0096740E">
        <w:rPr>
          <w:noProof/>
        </w:rPr>
        <w:t xml:space="preserve"> </w:t>
      </w:r>
      <w:r w:rsidR="00CE3AC2" w:rsidRPr="0096740E">
        <w:rPr>
          <w:noProof/>
        </w:rPr>
        <w:t xml:space="preserve">in view of the </w:t>
      </w:r>
      <w:r w:rsidR="005058D0" w:rsidRPr="0096740E">
        <w:rPr>
          <w:noProof/>
        </w:rPr>
        <w:t xml:space="preserve">employment, social and health </w:t>
      </w:r>
      <w:r w:rsidR="00CE3AC2" w:rsidRPr="0096740E">
        <w:rPr>
          <w:noProof/>
        </w:rPr>
        <w:t>challenges posed by the green transition</w:t>
      </w:r>
      <w:r w:rsidR="0049450F" w:rsidRPr="0096740E">
        <w:rPr>
          <w:noProof/>
        </w:rPr>
        <w:t xml:space="preserve">, in order to ensure their continued </w:t>
      </w:r>
      <w:r w:rsidR="003913FB" w:rsidRPr="0096740E">
        <w:rPr>
          <w:noProof/>
        </w:rPr>
        <w:t xml:space="preserve">adequacy and </w:t>
      </w:r>
      <w:r w:rsidR="00CE3AC2" w:rsidRPr="0096740E">
        <w:rPr>
          <w:noProof/>
        </w:rPr>
        <w:t xml:space="preserve">sustainability. To this end, </w:t>
      </w:r>
      <w:r w:rsidR="005E4DF1" w:rsidRPr="0096740E">
        <w:rPr>
          <w:noProof/>
        </w:rPr>
        <w:t xml:space="preserve">consider how </w:t>
      </w:r>
      <w:r w:rsidR="00D350FB" w:rsidRPr="0096740E">
        <w:rPr>
          <w:noProof/>
        </w:rPr>
        <w:t xml:space="preserve">the provision of </w:t>
      </w:r>
      <w:r w:rsidR="00002649" w:rsidRPr="0096740E">
        <w:rPr>
          <w:noProof/>
        </w:rPr>
        <w:t>adequate income security</w:t>
      </w:r>
      <w:r w:rsidR="007F5E5C" w:rsidRPr="0096740E">
        <w:rPr>
          <w:noProof/>
        </w:rPr>
        <w:t xml:space="preserve">, </w:t>
      </w:r>
      <w:r w:rsidR="005E4DF1" w:rsidRPr="0096740E">
        <w:rPr>
          <w:noProof/>
        </w:rPr>
        <w:t xml:space="preserve">including </w:t>
      </w:r>
      <w:r w:rsidR="0052618A" w:rsidRPr="0096740E">
        <w:rPr>
          <w:noProof/>
        </w:rPr>
        <w:t xml:space="preserve">through </w:t>
      </w:r>
      <w:r w:rsidR="0049450F" w:rsidRPr="0096740E">
        <w:rPr>
          <w:noProof/>
        </w:rPr>
        <w:t xml:space="preserve">innovative job-to-job transition schemes, </w:t>
      </w:r>
      <w:r w:rsidR="0052618A" w:rsidRPr="0096740E">
        <w:rPr>
          <w:noProof/>
        </w:rPr>
        <w:t>unemployment benefits</w:t>
      </w:r>
      <w:r w:rsidR="0049450F" w:rsidRPr="0096740E">
        <w:rPr>
          <w:noProof/>
        </w:rPr>
        <w:t xml:space="preserve"> and</w:t>
      </w:r>
      <w:r w:rsidR="0052618A" w:rsidRPr="0096740E">
        <w:rPr>
          <w:noProof/>
        </w:rPr>
        <w:t xml:space="preserve"> minimum income</w:t>
      </w:r>
      <w:r w:rsidR="00072ABF" w:rsidRPr="0096740E">
        <w:rPr>
          <w:noProof/>
        </w:rPr>
        <w:t xml:space="preserve"> </w:t>
      </w:r>
      <w:r w:rsidR="0049450F" w:rsidRPr="0096740E">
        <w:rPr>
          <w:noProof/>
        </w:rPr>
        <w:t>systems</w:t>
      </w:r>
      <w:r w:rsidR="005E4DF1" w:rsidRPr="0096740E">
        <w:rPr>
          <w:noProof/>
        </w:rPr>
        <w:t xml:space="preserve"> can be best </w:t>
      </w:r>
      <w:r w:rsidR="00D231A2" w:rsidRPr="0096740E">
        <w:rPr>
          <w:noProof/>
        </w:rPr>
        <w:t xml:space="preserve">ensured and </w:t>
      </w:r>
      <w:r w:rsidR="005E4DF1" w:rsidRPr="0096740E">
        <w:rPr>
          <w:noProof/>
        </w:rPr>
        <w:t>adapted to the needs arising from the green transition</w:t>
      </w:r>
      <w:r w:rsidR="00072ABF" w:rsidRPr="0096740E">
        <w:rPr>
          <w:noProof/>
        </w:rPr>
        <w:t xml:space="preserve">. Also ensure the provision </w:t>
      </w:r>
      <w:r w:rsidR="0049450F" w:rsidRPr="0096740E">
        <w:rPr>
          <w:noProof/>
        </w:rPr>
        <w:t xml:space="preserve">and sustainable financing </w:t>
      </w:r>
      <w:r w:rsidR="00072ABF" w:rsidRPr="0096740E">
        <w:rPr>
          <w:noProof/>
        </w:rPr>
        <w:t xml:space="preserve">of </w:t>
      </w:r>
      <w:r w:rsidR="003913FB" w:rsidRPr="0096740E">
        <w:rPr>
          <w:noProof/>
        </w:rPr>
        <w:t>high-quality</w:t>
      </w:r>
      <w:r w:rsidR="00537C0F" w:rsidRPr="0096740E">
        <w:rPr>
          <w:noProof/>
        </w:rPr>
        <w:t xml:space="preserve">, </w:t>
      </w:r>
      <w:r w:rsidR="00F0725B" w:rsidRPr="0096740E">
        <w:rPr>
          <w:noProof/>
        </w:rPr>
        <w:t xml:space="preserve">affordable </w:t>
      </w:r>
      <w:r w:rsidR="00537C0F" w:rsidRPr="0096740E">
        <w:rPr>
          <w:noProof/>
        </w:rPr>
        <w:t xml:space="preserve">and accessible </w:t>
      </w:r>
      <w:r w:rsidR="00002649" w:rsidRPr="0096740E">
        <w:rPr>
          <w:noProof/>
        </w:rPr>
        <w:t>social, health and long-term care services</w:t>
      </w:r>
      <w:r w:rsidR="00F0725B" w:rsidRPr="0096740E">
        <w:rPr>
          <w:noProof/>
        </w:rPr>
        <w:t>,</w:t>
      </w:r>
      <w:r w:rsidR="00002649" w:rsidRPr="0096740E">
        <w:rPr>
          <w:noProof/>
        </w:rPr>
        <w:t xml:space="preserve"> </w:t>
      </w:r>
      <w:r w:rsidR="001F5247" w:rsidRPr="0096740E">
        <w:rPr>
          <w:noProof/>
        </w:rPr>
        <w:t xml:space="preserve">especially to </w:t>
      </w:r>
      <w:r w:rsidR="00662079" w:rsidRPr="0096740E">
        <w:rPr>
          <w:noProof/>
        </w:rPr>
        <w:t>people</w:t>
      </w:r>
      <w:r w:rsidR="00533127" w:rsidRPr="0096740E">
        <w:rPr>
          <w:noProof/>
        </w:rPr>
        <w:t xml:space="preserve"> </w:t>
      </w:r>
      <w:r w:rsidR="00EA0FD5" w:rsidRPr="0096740E">
        <w:rPr>
          <w:noProof/>
        </w:rPr>
        <w:t xml:space="preserve">and households </w:t>
      </w:r>
      <w:r w:rsidR="00533127" w:rsidRPr="0096740E">
        <w:rPr>
          <w:noProof/>
        </w:rPr>
        <w:t xml:space="preserve">most </w:t>
      </w:r>
      <w:r w:rsidR="00662079" w:rsidRPr="0096740E">
        <w:rPr>
          <w:noProof/>
        </w:rPr>
        <w:t>affected by</w:t>
      </w:r>
      <w:r w:rsidR="00533127" w:rsidRPr="0096740E">
        <w:rPr>
          <w:noProof/>
        </w:rPr>
        <w:t xml:space="preserve"> the </w:t>
      </w:r>
      <w:r w:rsidR="00A926DE" w:rsidRPr="0096740E">
        <w:rPr>
          <w:noProof/>
        </w:rPr>
        <w:t xml:space="preserve">green </w:t>
      </w:r>
      <w:r w:rsidR="00533127" w:rsidRPr="0096740E">
        <w:rPr>
          <w:noProof/>
        </w:rPr>
        <w:t>transition</w:t>
      </w:r>
      <w:r w:rsidR="007F5E5C" w:rsidRPr="0096740E">
        <w:rPr>
          <w:noProof/>
        </w:rPr>
        <w:t xml:space="preserve">, notably by </w:t>
      </w:r>
      <w:r w:rsidR="00F4276F" w:rsidRPr="0096740E">
        <w:rPr>
          <w:noProof/>
        </w:rPr>
        <w:t>investing</w:t>
      </w:r>
      <w:r w:rsidR="00EA0FD5" w:rsidRPr="0096740E">
        <w:rPr>
          <w:noProof/>
        </w:rPr>
        <w:t xml:space="preserve"> in</w:t>
      </w:r>
      <w:r w:rsidR="00F4276F" w:rsidRPr="0096740E">
        <w:rPr>
          <w:noProof/>
        </w:rPr>
        <w:t xml:space="preserve"> </w:t>
      </w:r>
      <w:r w:rsidR="00490B6F" w:rsidRPr="0096740E">
        <w:rPr>
          <w:noProof/>
        </w:rPr>
        <w:t>social infrastructure for child</w:t>
      </w:r>
      <w:r w:rsidR="0049450F" w:rsidRPr="0096740E">
        <w:rPr>
          <w:noProof/>
        </w:rPr>
        <w:t>care</w:t>
      </w:r>
      <w:r w:rsidR="00DD1C68" w:rsidRPr="0096740E">
        <w:rPr>
          <w:noProof/>
        </w:rPr>
        <w:t xml:space="preserve">, </w:t>
      </w:r>
      <w:r w:rsidR="004259CB" w:rsidRPr="0096740E">
        <w:rPr>
          <w:noProof/>
        </w:rPr>
        <w:t>long-term</w:t>
      </w:r>
      <w:r w:rsidR="0049450F" w:rsidRPr="0096740E">
        <w:rPr>
          <w:noProof/>
        </w:rPr>
        <w:t xml:space="preserve"> care</w:t>
      </w:r>
      <w:r w:rsidR="00490B6F" w:rsidRPr="0096740E">
        <w:rPr>
          <w:noProof/>
        </w:rPr>
        <w:t xml:space="preserve"> </w:t>
      </w:r>
      <w:r w:rsidR="00DD1C68" w:rsidRPr="0096740E">
        <w:rPr>
          <w:noProof/>
        </w:rPr>
        <w:t>and health</w:t>
      </w:r>
      <w:r w:rsidR="00490B6F" w:rsidRPr="0096740E">
        <w:rPr>
          <w:noProof/>
        </w:rPr>
        <w:t>care</w:t>
      </w:r>
      <w:r w:rsidR="00002649" w:rsidRPr="0096740E">
        <w:rPr>
          <w:noProof/>
        </w:rPr>
        <w:t>.</w:t>
      </w:r>
      <w:r w:rsidR="000D3ADC" w:rsidRPr="0096740E">
        <w:rPr>
          <w:noProof/>
        </w:rPr>
        <w:t xml:space="preserve"> </w:t>
      </w:r>
      <w:r w:rsidR="00533127" w:rsidRPr="0096740E">
        <w:rPr>
          <w:noProof/>
        </w:rPr>
        <w:t xml:space="preserve"> </w:t>
      </w:r>
    </w:p>
    <w:p w14:paraId="6B0F25C0" w14:textId="0D37065C" w:rsidR="00BE05E1" w:rsidRPr="0096740E" w:rsidRDefault="00420537" w:rsidP="00420537">
      <w:pPr>
        <w:pStyle w:val="Point1"/>
        <w:rPr>
          <w:noProof/>
        </w:rPr>
      </w:pPr>
      <w:r w:rsidRPr="00420537">
        <w:t>(c)</w:t>
      </w:r>
      <w:r w:rsidRPr="00420537">
        <w:tab/>
      </w:r>
      <w:r w:rsidR="00BE05E1" w:rsidRPr="0096740E">
        <w:rPr>
          <w:noProof/>
        </w:rPr>
        <w:t>Provide, where necessary</w:t>
      </w:r>
      <w:r w:rsidR="00E05823" w:rsidRPr="0096740E">
        <w:rPr>
          <w:noProof/>
        </w:rPr>
        <w:t>,</w:t>
      </w:r>
      <w:r w:rsidR="00E5357E" w:rsidRPr="0096740E">
        <w:rPr>
          <w:noProof/>
        </w:rPr>
        <w:t xml:space="preserve"> and complementing measures outlined in 7(a)</w:t>
      </w:r>
      <w:r w:rsidR="006B6E34" w:rsidRPr="0096740E">
        <w:rPr>
          <w:noProof/>
        </w:rPr>
        <w:t xml:space="preserve"> while they are being deployed</w:t>
      </w:r>
      <w:r w:rsidR="00BE05E1" w:rsidRPr="0096740E">
        <w:rPr>
          <w:noProof/>
        </w:rPr>
        <w:t xml:space="preserve">, targeted and temporary direct income support, notably to people and households in vulnerable situations, to mitigate </w:t>
      </w:r>
      <w:r w:rsidR="00033745" w:rsidRPr="0096740E">
        <w:rPr>
          <w:noProof/>
        </w:rPr>
        <w:t xml:space="preserve">adverse </w:t>
      </w:r>
      <w:r w:rsidR="00BE05E1" w:rsidRPr="0096740E">
        <w:rPr>
          <w:noProof/>
        </w:rPr>
        <w:t>income and price developments</w:t>
      </w:r>
      <w:r w:rsidR="00AE48F5">
        <w:rPr>
          <w:noProof/>
        </w:rPr>
        <w:t>, also</w:t>
      </w:r>
      <w:r w:rsidR="00BD122F">
        <w:rPr>
          <w:noProof/>
        </w:rPr>
        <w:t xml:space="preserve"> </w:t>
      </w:r>
      <w:r w:rsidR="00042306" w:rsidRPr="0096740E">
        <w:rPr>
          <w:noProof/>
        </w:rPr>
        <w:t xml:space="preserve">linked to </w:t>
      </w:r>
      <w:r w:rsidR="00AE48F5" w:rsidRPr="00AE48F5">
        <w:rPr>
          <w:noProof/>
        </w:rPr>
        <w:t xml:space="preserve">improved incentives for urgently achieving necessary </w:t>
      </w:r>
      <w:r w:rsidR="00042306" w:rsidRPr="0096740E">
        <w:rPr>
          <w:noProof/>
        </w:rPr>
        <w:t>climate and environmental</w:t>
      </w:r>
      <w:r w:rsidR="00AE48F5">
        <w:rPr>
          <w:noProof/>
        </w:rPr>
        <w:t xml:space="preserve"> objectives</w:t>
      </w:r>
      <w:r w:rsidR="00042306" w:rsidRPr="0096740E">
        <w:rPr>
          <w:noProof/>
        </w:rPr>
        <w:t xml:space="preserve"> </w:t>
      </w:r>
      <w:r w:rsidR="008D56D2" w:rsidRPr="0096740E">
        <w:rPr>
          <w:noProof/>
        </w:rPr>
        <w:t xml:space="preserve">while </w:t>
      </w:r>
      <w:r w:rsidR="00033745" w:rsidRPr="0096740E">
        <w:rPr>
          <w:noProof/>
        </w:rPr>
        <w:t>preserving price signals supporting the green transition</w:t>
      </w:r>
      <w:r w:rsidR="00BE05E1" w:rsidRPr="0096740E">
        <w:rPr>
          <w:noProof/>
        </w:rPr>
        <w:t xml:space="preserve">. To this end, ensure the availability of proper funding for those measures, including by improving the quality of public expenditure, making optimal use of the Social Climate Fund, and </w:t>
      </w:r>
      <w:r w:rsidR="00A123D8" w:rsidRPr="0096740E">
        <w:rPr>
          <w:noProof/>
        </w:rPr>
        <w:t xml:space="preserve">drawing on the budgetary </w:t>
      </w:r>
      <w:r w:rsidR="00422B65" w:rsidRPr="00277C69">
        <w:rPr>
          <w:noProof/>
        </w:rPr>
        <w:t>resources</w:t>
      </w:r>
      <w:r w:rsidR="00422B65" w:rsidRPr="0096740E">
        <w:rPr>
          <w:noProof/>
        </w:rPr>
        <w:t xml:space="preserve"> </w:t>
      </w:r>
      <w:r w:rsidR="00A123D8" w:rsidRPr="0096740E">
        <w:rPr>
          <w:noProof/>
        </w:rPr>
        <w:t xml:space="preserve">created by </w:t>
      </w:r>
      <w:r w:rsidR="00BE05E1" w:rsidRPr="0096740E">
        <w:rPr>
          <w:noProof/>
        </w:rPr>
        <w:t>energy and environmental taxes and the EU Emissions Trading System.</w:t>
      </w:r>
    </w:p>
    <w:p w14:paraId="3F282D49" w14:textId="3B24C8C5" w:rsidR="00002649" w:rsidRPr="0096740E" w:rsidRDefault="00420537" w:rsidP="00420537">
      <w:pPr>
        <w:pStyle w:val="Point1"/>
        <w:rPr>
          <w:noProof/>
        </w:rPr>
      </w:pPr>
      <w:r w:rsidRPr="00420537">
        <w:t>(d)</w:t>
      </w:r>
      <w:r w:rsidRPr="00420537">
        <w:tab/>
      </w:r>
      <w:r w:rsidR="001D75E0" w:rsidRPr="0096740E">
        <w:rPr>
          <w:noProof/>
        </w:rPr>
        <w:t>I</w:t>
      </w:r>
      <w:r w:rsidR="000E51D6" w:rsidRPr="0096740E">
        <w:rPr>
          <w:noProof/>
        </w:rPr>
        <w:t>mprov</w:t>
      </w:r>
      <w:r w:rsidR="001D75E0" w:rsidRPr="0096740E">
        <w:rPr>
          <w:noProof/>
        </w:rPr>
        <w:t>e</w:t>
      </w:r>
      <w:r w:rsidR="000E51D6" w:rsidRPr="0096740E">
        <w:rPr>
          <w:noProof/>
        </w:rPr>
        <w:t xml:space="preserve"> risk-awareness</w:t>
      </w:r>
      <w:r w:rsidR="00982721" w:rsidRPr="0096740E">
        <w:rPr>
          <w:noProof/>
        </w:rPr>
        <w:t>, risk reduction</w:t>
      </w:r>
      <w:r w:rsidR="000E51D6" w:rsidRPr="0096740E">
        <w:rPr>
          <w:noProof/>
        </w:rPr>
        <w:t xml:space="preserve"> and risk-transfer solutions</w:t>
      </w:r>
      <w:r w:rsidR="005D3759" w:rsidRPr="0096740E">
        <w:rPr>
          <w:noProof/>
        </w:rPr>
        <w:t xml:space="preserve"> as concerns households and enterprises, in particular </w:t>
      </w:r>
      <w:r w:rsidR="00D076AB" w:rsidRPr="0096740E">
        <w:rPr>
          <w:noProof/>
        </w:rPr>
        <w:t>micro, small and medium-sized enterprises</w:t>
      </w:r>
      <w:r w:rsidR="005D3759" w:rsidRPr="0096740E">
        <w:rPr>
          <w:noProof/>
        </w:rPr>
        <w:t>,</w:t>
      </w:r>
      <w:r w:rsidR="000E51D6" w:rsidRPr="0096740E">
        <w:rPr>
          <w:noProof/>
        </w:rPr>
        <w:t xml:space="preserve"> </w:t>
      </w:r>
      <w:r w:rsidR="005D3759" w:rsidRPr="0096740E">
        <w:rPr>
          <w:noProof/>
        </w:rPr>
        <w:t xml:space="preserve">notably </w:t>
      </w:r>
      <w:r w:rsidR="00A520DE" w:rsidRPr="0096740E">
        <w:rPr>
          <w:noProof/>
        </w:rPr>
        <w:t xml:space="preserve">by </w:t>
      </w:r>
      <w:r w:rsidR="00537C0F" w:rsidRPr="0096740E">
        <w:rPr>
          <w:noProof/>
        </w:rPr>
        <w:t xml:space="preserve">ensuring </w:t>
      </w:r>
      <w:r w:rsidR="000E51D6" w:rsidRPr="0096740E">
        <w:rPr>
          <w:noProof/>
        </w:rPr>
        <w:t xml:space="preserve">the availability </w:t>
      </w:r>
      <w:r w:rsidR="00537C0F" w:rsidRPr="0096740E">
        <w:rPr>
          <w:noProof/>
        </w:rPr>
        <w:t xml:space="preserve">and affordability </w:t>
      </w:r>
      <w:r w:rsidR="000E51D6" w:rsidRPr="0096740E">
        <w:rPr>
          <w:noProof/>
        </w:rPr>
        <w:t>of insurance solutions</w:t>
      </w:r>
      <w:r w:rsidR="001D75E0" w:rsidRPr="0096740E">
        <w:rPr>
          <w:noProof/>
        </w:rPr>
        <w:t xml:space="preserve">, </w:t>
      </w:r>
      <w:r w:rsidR="005D3759" w:rsidRPr="0096740E">
        <w:rPr>
          <w:noProof/>
        </w:rPr>
        <w:t xml:space="preserve">in particular </w:t>
      </w:r>
      <w:r w:rsidR="001D75E0" w:rsidRPr="0096740E">
        <w:rPr>
          <w:noProof/>
        </w:rPr>
        <w:t xml:space="preserve">for </w:t>
      </w:r>
      <w:r w:rsidR="005D3759" w:rsidRPr="0096740E">
        <w:rPr>
          <w:noProof/>
        </w:rPr>
        <w:t xml:space="preserve">people and households </w:t>
      </w:r>
      <w:r w:rsidR="001D75E0" w:rsidRPr="0096740E">
        <w:rPr>
          <w:noProof/>
        </w:rPr>
        <w:t>in vulnerable situations</w:t>
      </w:r>
      <w:r w:rsidR="005D3759" w:rsidRPr="0096740E">
        <w:rPr>
          <w:noProof/>
        </w:rPr>
        <w:t xml:space="preserve">. </w:t>
      </w:r>
    </w:p>
    <w:p w14:paraId="035E3126" w14:textId="15E98876" w:rsidR="00537C0F" w:rsidRPr="0096740E" w:rsidRDefault="00420537" w:rsidP="00420537">
      <w:pPr>
        <w:pStyle w:val="Point0"/>
        <w:rPr>
          <w:noProof/>
        </w:rPr>
      </w:pPr>
      <w:r w:rsidRPr="00420537">
        <w:t>(7)</w:t>
      </w:r>
      <w:r w:rsidRPr="00420537">
        <w:tab/>
      </w:r>
      <w:r w:rsidR="00364813" w:rsidRPr="0096740E">
        <w:rPr>
          <w:noProof/>
        </w:rPr>
        <w:t>T</w:t>
      </w:r>
      <w:r w:rsidR="00002649" w:rsidRPr="0096740E">
        <w:rPr>
          <w:noProof/>
        </w:rPr>
        <w:t>o ensur</w:t>
      </w:r>
      <w:r w:rsidR="00364813" w:rsidRPr="0096740E">
        <w:rPr>
          <w:noProof/>
        </w:rPr>
        <w:t>e</w:t>
      </w:r>
      <w:r w:rsidR="00002649" w:rsidRPr="0096740E">
        <w:rPr>
          <w:noProof/>
        </w:rPr>
        <w:t xml:space="preserve"> access to affordable essential services and housing for </w:t>
      </w:r>
      <w:r w:rsidR="00662079" w:rsidRPr="0096740E">
        <w:rPr>
          <w:noProof/>
        </w:rPr>
        <w:t xml:space="preserve">people </w:t>
      </w:r>
      <w:r w:rsidR="00635EB3" w:rsidRPr="0096740E">
        <w:rPr>
          <w:noProof/>
        </w:rPr>
        <w:t>and households</w:t>
      </w:r>
      <w:r w:rsidR="00635EB3" w:rsidRPr="00277C69">
        <w:rPr>
          <w:noProof/>
        </w:rPr>
        <w:t xml:space="preserve"> </w:t>
      </w:r>
      <w:r w:rsidR="00662079" w:rsidRPr="0096740E">
        <w:rPr>
          <w:noProof/>
        </w:rPr>
        <w:t>most affected by the green transition</w:t>
      </w:r>
      <w:r w:rsidR="00002649" w:rsidRPr="0096740E">
        <w:rPr>
          <w:noProof/>
        </w:rPr>
        <w:t xml:space="preserve">, </w:t>
      </w:r>
      <w:r w:rsidR="00662079" w:rsidRPr="0096740E">
        <w:rPr>
          <w:noProof/>
        </w:rPr>
        <w:t xml:space="preserve">in particular </w:t>
      </w:r>
      <w:r w:rsidR="003415C3" w:rsidRPr="0096740E">
        <w:rPr>
          <w:noProof/>
        </w:rPr>
        <w:t>those</w:t>
      </w:r>
      <w:r w:rsidR="003675C8" w:rsidRPr="0096740E">
        <w:rPr>
          <w:noProof/>
        </w:rPr>
        <w:t xml:space="preserve"> in vulnerable situations, </w:t>
      </w:r>
      <w:r w:rsidR="00002649" w:rsidRPr="0096740E">
        <w:rPr>
          <w:noProof/>
        </w:rPr>
        <w:t>Member States are encouraged to</w:t>
      </w:r>
      <w:r w:rsidR="00562CE2" w:rsidRPr="0096740E">
        <w:rPr>
          <w:noProof/>
        </w:rPr>
        <w:t xml:space="preserve"> </w:t>
      </w:r>
      <w:r w:rsidR="0003026F" w:rsidRPr="0096740E">
        <w:rPr>
          <w:noProof/>
        </w:rPr>
        <w:t>consider the following measures:</w:t>
      </w:r>
    </w:p>
    <w:p w14:paraId="4F903A4C" w14:textId="613A555C" w:rsidR="00537C0F" w:rsidRPr="0096740E" w:rsidRDefault="00420537" w:rsidP="00420537">
      <w:pPr>
        <w:pStyle w:val="Point1"/>
        <w:rPr>
          <w:noProof/>
        </w:rPr>
      </w:pPr>
      <w:r w:rsidRPr="00420537">
        <w:t>(a)</w:t>
      </w:r>
      <w:r w:rsidRPr="00420537">
        <w:tab/>
      </w:r>
      <w:r w:rsidR="00537C0F" w:rsidRPr="0096740E">
        <w:rPr>
          <w:noProof/>
        </w:rPr>
        <w:t xml:space="preserve">Mobilise public </w:t>
      </w:r>
      <w:r w:rsidR="008D56D2" w:rsidRPr="0096740E">
        <w:rPr>
          <w:noProof/>
        </w:rPr>
        <w:t xml:space="preserve">and private financial support </w:t>
      </w:r>
      <w:r w:rsidR="00537C0F" w:rsidRPr="0096740E">
        <w:rPr>
          <w:noProof/>
        </w:rPr>
        <w:t>and provide incentives for private investments into renewable energy sources</w:t>
      </w:r>
      <w:r w:rsidR="003415C3" w:rsidRPr="0096740E">
        <w:rPr>
          <w:noProof/>
        </w:rPr>
        <w:t xml:space="preserve"> and</w:t>
      </w:r>
      <w:r w:rsidR="00537C0F" w:rsidRPr="0096740E">
        <w:rPr>
          <w:noProof/>
        </w:rPr>
        <w:t xml:space="preserve"> energy efficiency</w:t>
      </w:r>
      <w:r w:rsidR="009D36BD" w:rsidRPr="0096740E">
        <w:rPr>
          <w:noProof/>
        </w:rPr>
        <w:t xml:space="preserve">, complemented by </w:t>
      </w:r>
      <w:r w:rsidR="00537C0F" w:rsidRPr="0096740E">
        <w:rPr>
          <w:noProof/>
        </w:rPr>
        <w:t>advice to consumers to better manage their energy use</w:t>
      </w:r>
      <w:r w:rsidR="006B6E34" w:rsidRPr="0096740E">
        <w:rPr>
          <w:noProof/>
        </w:rPr>
        <w:t xml:space="preserve"> and</w:t>
      </w:r>
      <w:r w:rsidR="00537C0F" w:rsidRPr="0096740E">
        <w:rPr>
          <w:noProof/>
        </w:rPr>
        <w:t xml:space="preserve"> to take informed decisions on saving energy</w:t>
      </w:r>
      <w:r w:rsidR="006B6E34" w:rsidRPr="0096740E">
        <w:rPr>
          <w:noProof/>
        </w:rPr>
        <w:t>,</w:t>
      </w:r>
      <w:r w:rsidR="00537C0F" w:rsidRPr="0096740E">
        <w:rPr>
          <w:noProof/>
        </w:rPr>
        <w:t xml:space="preserve"> </w:t>
      </w:r>
      <w:r w:rsidR="00445A97" w:rsidRPr="0096740E">
        <w:rPr>
          <w:noProof/>
        </w:rPr>
        <w:t xml:space="preserve">in order to </w:t>
      </w:r>
      <w:r w:rsidR="00537C0F" w:rsidRPr="0096740E">
        <w:rPr>
          <w:noProof/>
        </w:rPr>
        <w:t>lower their energy bills, target</w:t>
      </w:r>
      <w:r w:rsidR="006B6E34" w:rsidRPr="0096740E">
        <w:rPr>
          <w:noProof/>
        </w:rPr>
        <w:t xml:space="preserve">ing </w:t>
      </w:r>
      <w:r w:rsidR="00537C0F" w:rsidRPr="0096740E">
        <w:rPr>
          <w:noProof/>
        </w:rPr>
        <w:t>vulnerab</w:t>
      </w:r>
      <w:r w:rsidR="001242CD" w:rsidRPr="0096740E">
        <w:rPr>
          <w:noProof/>
        </w:rPr>
        <w:t xml:space="preserve">le </w:t>
      </w:r>
      <w:r w:rsidR="00537C0F" w:rsidRPr="0096740E">
        <w:rPr>
          <w:noProof/>
        </w:rPr>
        <w:t>households and communities</w:t>
      </w:r>
      <w:r w:rsidR="006B6E34" w:rsidRPr="0096740E">
        <w:rPr>
          <w:noProof/>
        </w:rPr>
        <w:t xml:space="preserve"> especially</w:t>
      </w:r>
      <w:r w:rsidR="00537C0F" w:rsidRPr="0096740E">
        <w:rPr>
          <w:noProof/>
        </w:rPr>
        <w:t xml:space="preserve">. To this end, </w:t>
      </w:r>
      <w:r w:rsidR="00445A97" w:rsidRPr="0096740E">
        <w:rPr>
          <w:noProof/>
        </w:rPr>
        <w:t xml:space="preserve">ensure the availability of proper funding for those measures, including by improving the quality of public expenditure, making optimal use of the Social Climate Fund, and drawing on the budgetary </w:t>
      </w:r>
      <w:r w:rsidR="00422B65" w:rsidRPr="00277C69">
        <w:rPr>
          <w:noProof/>
        </w:rPr>
        <w:t>resources</w:t>
      </w:r>
      <w:r w:rsidR="00422B65" w:rsidRPr="0096740E">
        <w:rPr>
          <w:noProof/>
        </w:rPr>
        <w:t xml:space="preserve"> </w:t>
      </w:r>
      <w:r w:rsidR="00445A97" w:rsidRPr="0096740E">
        <w:rPr>
          <w:noProof/>
        </w:rPr>
        <w:t>created by energy and environmental taxes and the EU Emissions Trading System.</w:t>
      </w:r>
    </w:p>
    <w:p w14:paraId="6B1957FD" w14:textId="7FC26F72" w:rsidR="00EB0D27" w:rsidRPr="0096740E" w:rsidRDefault="00420537" w:rsidP="00420537">
      <w:pPr>
        <w:pStyle w:val="Point1"/>
        <w:rPr>
          <w:noProof/>
        </w:rPr>
      </w:pPr>
      <w:r w:rsidRPr="00420537">
        <w:t>(b)</w:t>
      </w:r>
      <w:r w:rsidRPr="00420537">
        <w:tab/>
      </w:r>
      <w:r w:rsidR="000303B0" w:rsidRPr="0096740E">
        <w:rPr>
          <w:noProof/>
        </w:rPr>
        <w:t>P</w:t>
      </w:r>
      <w:r w:rsidR="003F462D" w:rsidRPr="0096740E">
        <w:rPr>
          <w:noProof/>
        </w:rPr>
        <w:t xml:space="preserve">revent and </w:t>
      </w:r>
      <w:r w:rsidR="00CD4FD7" w:rsidRPr="0096740E">
        <w:rPr>
          <w:noProof/>
        </w:rPr>
        <w:t xml:space="preserve">alleviate </w:t>
      </w:r>
      <w:r w:rsidR="003F462D" w:rsidRPr="0096740E">
        <w:rPr>
          <w:noProof/>
        </w:rPr>
        <w:t>energy poverty</w:t>
      </w:r>
      <w:r w:rsidR="000303B0" w:rsidRPr="0096740E">
        <w:rPr>
          <w:noProof/>
        </w:rPr>
        <w:t xml:space="preserve"> by</w:t>
      </w:r>
      <w:r w:rsidR="003F462D" w:rsidRPr="0096740E">
        <w:rPr>
          <w:noProof/>
        </w:rPr>
        <w:t xml:space="preserve"> promot</w:t>
      </w:r>
      <w:r w:rsidR="000303B0" w:rsidRPr="0096740E">
        <w:rPr>
          <w:noProof/>
        </w:rPr>
        <w:t>ing</w:t>
      </w:r>
      <w:r w:rsidR="003F462D" w:rsidRPr="0096740E">
        <w:rPr>
          <w:noProof/>
        </w:rPr>
        <w:t xml:space="preserve"> </w:t>
      </w:r>
      <w:r w:rsidR="00CD4FD7" w:rsidRPr="0096740E">
        <w:rPr>
          <w:noProof/>
        </w:rPr>
        <w:t>and implementing</w:t>
      </w:r>
      <w:r w:rsidR="003F462D" w:rsidRPr="0096740E">
        <w:rPr>
          <w:noProof/>
        </w:rPr>
        <w:t xml:space="preserve"> </w:t>
      </w:r>
      <w:r w:rsidR="008D56D2" w:rsidRPr="0096740E">
        <w:rPr>
          <w:noProof/>
        </w:rPr>
        <w:t xml:space="preserve">energy </w:t>
      </w:r>
      <w:r w:rsidR="003F462D" w:rsidRPr="0096740E">
        <w:rPr>
          <w:noProof/>
        </w:rPr>
        <w:t>efficiency improvement</w:t>
      </w:r>
      <w:r w:rsidR="00CD4FD7" w:rsidRPr="0096740E">
        <w:rPr>
          <w:noProof/>
        </w:rPr>
        <w:t xml:space="preserve"> measures</w:t>
      </w:r>
      <w:r w:rsidR="003F462D" w:rsidRPr="0096740E">
        <w:rPr>
          <w:noProof/>
        </w:rPr>
        <w:t>,</w:t>
      </w:r>
      <w:r w:rsidR="00CD4FD7" w:rsidRPr="0096740E">
        <w:rPr>
          <w:noProof/>
        </w:rPr>
        <w:t xml:space="preserve"> including public and private investments in dwellings</w:t>
      </w:r>
      <w:r w:rsidR="00FA76A5" w:rsidRPr="0096740E">
        <w:rPr>
          <w:noProof/>
        </w:rPr>
        <w:t xml:space="preserve"> to stimulate renovations</w:t>
      </w:r>
      <w:r w:rsidR="00CD4FD7" w:rsidRPr="0096740E">
        <w:rPr>
          <w:noProof/>
        </w:rPr>
        <w:t>,</w:t>
      </w:r>
      <w:r w:rsidR="00FA76A5" w:rsidRPr="0096740E">
        <w:rPr>
          <w:noProof/>
        </w:rPr>
        <w:t xml:space="preserve"> including in the social housing sector</w:t>
      </w:r>
      <w:r w:rsidR="00D1265A" w:rsidRPr="0096740E">
        <w:rPr>
          <w:rStyle w:val="FootnoteReference"/>
          <w:noProof/>
        </w:rPr>
        <w:footnoteReference w:id="113"/>
      </w:r>
      <w:r w:rsidR="00FA76A5" w:rsidRPr="0096740E">
        <w:rPr>
          <w:noProof/>
        </w:rPr>
        <w:t xml:space="preserve">. To this end, </w:t>
      </w:r>
      <w:r w:rsidR="009037AA" w:rsidRPr="0096740E">
        <w:rPr>
          <w:noProof/>
        </w:rPr>
        <w:t>provide</w:t>
      </w:r>
      <w:r w:rsidR="003F462D" w:rsidRPr="0096740E">
        <w:rPr>
          <w:noProof/>
        </w:rPr>
        <w:t xml:space="preserve"> </w:t>
      </w:r>
      <w:r w:rsidR="00607FC6" w:rsidRPr="0096740E">
        <w:rPr>
          <w:noProof/>
        </w:rPr>
        <w:t xml:space="preserve">well-designed </w:t>
      </w:r>
      <w:r w:rsidR="003F462D" w:rsidRPr="0096740E">
        <w:rPr>
          <w:noProof/>
        </w:rPr>
        <w:t>tax incentives, grants and loans,</w:t>
      </w:r>
      <w:r w:rsidR="00B939D3" w:rsidRPr="0096740E">
        <w:rPr>
          <w:noProof/>
        </w:rPr>
        <w:t xml:space="preserve"> </w:t>
      </w:r>
      <w:r w:rsidR="009037AA" w:rsidRPr="0096740E">
        <w:rPr>
          <w:noProof/>
        </w:rPr>
        <w:t xml:space="preserve">together with </w:t>
      </w:r>
      <w:r w:rsidR="00B939D3" w:rsidRPr="0096740E">
        <w:rPr>
          <w:noProof/>
        </w:rPr>
        <w:t>related advice,</w:t>
      </w:r>
      <w:r w:rsidR="009037AA" w:rsidRPr="0096740E">
        <w:rPr>
          <w:noProof/>
        </w:rPr>
        <w:t xml:space="preserve"> also </w:t>
      </w:r>
      <w:r w:rsidR="006519B8" w:rsidRPr="0096740E">
        <w:rPr>
          <w:noProof/>
        </w:rPr>
        <w:t>to</w:t>
      </w:r>
      <w:r w:rsidR="009037AA" w:rsidRPr="0096740E">
        <w:rPr>
          <w:noProof/>
        </w:rPr>
        <w:t xml:space="preserve"> micro</w:t>
      </w:r>
      <w:r w:rsidR="00D076AB" w:rsidRPr="0096740E">
        <w:rPr>
          <w:noProof/>
        </w:rPr>
        <w:t xml:space="preserve">, small and medium-sized </w:t>
      </w:r>
      <w:r w:rsidR="009037AA" w:rsidRPr="0096740E">
        <w:rPr>
          <w:noProof/>
        </w:rPr>
        <w:t xml:space="preserve">enterprises, </w:t>
      </w:r>
      <w:r w:rsidR="000303B0" w:rsidRPr="0096740E">
        <w:rPr>
          <w:noProof/>
        </w:rPr>
        <w:t>w</w:t>
      </w:r>
      <w:r w:rsidR="00AA13B7" w:rsidRPr="0096740E">
        <w:rPr>
          <w:noProof/>
        </w:rPr>
        <w:t>hile paying</w:t>
      </w:r>
      <w:r w:rsidR="000303B0" w:rsidRPr="0096740E">
        <w:rPr>
          <w:noProof/>
        </w:rPr>
        <w:t xml:space="preserve"> due attention to incentives</w:t>
      </w:r>
      <w:r w:rsidR="00FA76A5" w:rsidRPr="0096740E">
        <w:rPr>
          <w:noProof/>
        </w:rPr>
        <w:t xml:space="preserve">, in particular </w:t>
      </w:r>
      <w:r w:rsidR="008D56D2" w:rsidRPr="0096740E">
        <w:rPr>
          <w:noProof/>
        </w:rPr>
        <w:t xml:space="preserve">among </w:t>
      </w:r>
      <w:r w:rsidR="00FA76A5" w:rsidRPr="0096740E">
        <w:rPr>
          <w:noProof/>
        </w:rPr>
        <w:t>owners and tenants,</w:t>
      </w:r>
      <w:r w:rsidR="00FE0263" w:rsidRPr="0096740E">
        <w:rPr>
          <w:noProof/>
        </w:rPr>
        <w:t xml:space="preserve"> and the evolution of</w:t>
      </w:r>
      <w:r w:rsidR="00562CE2" w:rsidRPr="0096740E">
        <w:rPr>
          <w:noProof/>
        </w:rPr>
        <w:t xml:space="preserve"> </w:t>
      </w:r>
      <w:r w:rsidR="003675C8" w:rsidRPr="0096740E">
        <w:rPr>
          <w:noProof/>
        </w:rPr>
        <w:t>housing costs</w:t>
      </w:r>
      <w:r w:rsidR="00562CE2" w:rsidRPr="0096740E">
        <w:rPr>
          <w:noProof/>
        </w:rPr>
        <w:t>,</w:t>
      </w:r>
      <w:r w:rsidR="003675C8" w:rsidRPr="0096740E">
        <w:rPr>
          <w:noProof/>
        </w:rPr>
        <w:t xml:space="preserve"> </w:t>
      </w:r>
      <w:r w:rsidR="00FE0263" w:rsidRPr="0096740E">
        <w:rPr>
          <w:noProof/>
        </w:rPr>
        <w:t xml:space="preserve">notably </w:t>
      </w:r>
      <w:r w:rsidR="003675C8" w:rsidRPr="0096740E">
        <w:rPr>
          <w:noProof/>
        </w:rPr>
        <w:t xml:space="preserve">for </w:t>
      </w:r>
      <w:r w:rsidR="00FE0263" w:rsidRPr="0096740E">
        <w:rPr>
          <w:noProof/>
        </w:rPr>
        <w:t>households in vuln</w:t>
      </w:r>
      <w:r w:rsidR="00562CE2" w:rsidRPr="0096740E">
        <w:rPr>
          <w:noProof/>
        </w:rPr>
        <w:t>e</w:t>
      </w:r>
      <w:r w:rsidR="00FE0263" w:rsidRPr="0096740E">
        <w:rPr>
          <w:noProof/>
        </w:rPr>
        <w:t>rable situations</w:t>
      </w:r>
      <w:r w:rsidR="008F3AF1" w:rsidRPr="0096740E">
        <w:rPr>
          <w:noProof/>
        </w:rPr>
        <w:t>.</w:t>
      </w:r>
    </w:p>
    <w:p w14:paraId="465171B5" w14:textId="61CC9023" w:rsidR="00002649" w:rsidRPr="0096740E" w:rsidRDefault="00420537" w:rsidP="00420537">
      <w:pPr>
        <w:pStyle w:val="Point1"/>
        <w:rPr>
          <w:noProof/>
        </w:rPr>
      </w:pPr>
      <w:r w:rsidRPr="00420537">
        <w:t>(c)</w:t>
      </w:r>
      <w:r w:rsidRPr="00420537">
        <w:tab/>
      </w:r>
      <w:r w:rsidR="00002649" w:rsidRPr="0096740E">
        <w:rPr>
          <w:noProof/>
        </w:rPr>
        <w:t xml:space="preserve">Empower energy consumers, including </w:t>
      </w:r>
      <w:r w:rsidR="00C56952" w:rsidRPr="0096740E">
        <w:rPr>
          <w:noProof/>
        </w:rPr>
        <w:t>households</w:t>
      </w:r>
      <w:r w:rsidR="00D64DD9" w:rsidRPr="0096740E">
        <w:rPr>
          <w:noProof/>
        </w:rPr>
        <w:t xml:space="preserve"> in vulnerable situations</w:t>
      </w:r>
      <w:r w:rsidR="00002649" w:rsidRPr="0096740E">
        <w:rPr>
          <w:noProof/>
        </w:rPr>
        <w:t xml:space="preserve">, by </w:t>
      </w:r>
      <w:r w:rsidR="0039064B" w:rsidRPr="0096740E">
        <w:rPr>
          <w:noProof/>
        </w:rPr>
        <w:t xml:space="preserve">developing further self-supply via individual renewable energy arrangements </w:t>
      </w:r>
      <w:r w:rsidR="00F33505" w:rsidRPr="0096740E">
        <w:rPr>
          <w:noProof/>
        </w:rPr>
        <w:t xml:space="preserve">as well as other services via </w:t>
      </w:r>
      <w:r w:rsidR="0039064B" w:rsidRPr="0096740E">
        <w:rPr>
          <w:noProof/>
        </w:rPr>
        <w:t>citizen energy communities</w:t>
      </w:r>
      <w:r w:rsidR="003913FB" w:rsidRPr="0096740E">
        <w:rPr>
          <w:rStyle w:val="FootnoteReference"/>
          <w:noProof/>
        </w:rPr>
        <w:footnoteReference w:id="114"/>
      </w:r>
      <w:r w:rsidR="0039064B" w:rsidRPr="0096740E">
        <w:rPr>
          <w:noProof/>
        </w:rPr>
        <w:t>,</w:t>
      </w:r>
      <w:r w:rsidR="00AF7B09" w:rsidRPr="0096740E">
        <w:rPr>
          <w:noProof/>
        </w:rPr>
        <w:t xml:space="preserve"> accompanied by educational measures and campaigns,</w:t>
      </w:r>
      <w:r w:rsidR="0039064B" w:rsidRPr="0096740E">
        <w:rPr>
          <w:noProof/>
        </w:rPr>
        <w:t xml:space="preserve"> with a special focus on </w:t>
      </w:r>
      <w:r w:rsidR="00F33505" w:rsidRPr="0096740E">
        <w:rPr>
          <w:noProof/>
        </w:rPr>
        <w:t xml:space="preserve">people in vulnerable situations and </w:t>
      </w:r>
      <w:r w:rsidR="0039064B" w:rsidRPr="0096740E">
        <w:rPr>
          <w:noProof/>
        </w:rPr>
        <w:t>consumers living in rural areas</w:t>
      </w:r>
      <w:r w:rsidR="00AA13B7" w:rsidRPr="0096740E">
        <w:rPr>
          <w:noProof/>
        </w:rPr>
        <w:t>.</w:t>
      </w:r>
    </w:p>
    <w:p w14:paraId="3D83FCB4" w14:textId="2E933E5F" w:rsidR="00002649" w:rsidRPr="00277C69" w:rsidRDefault="00420537" w:rsidP="00420537">
      <w:pPr>
        <w:pStyle w:val="Point1"/>
        <w:rPr>
          <w:noProof/>
        </w:rPr>
      </w:pPr>
      <w:r w:rsidRPr="00420537">
        <w:t>(d)</w:t>
      </w:r>
      <w:r w:rsidRPr="00420537">
        <w:tab/>
      </w:r>
      <w:r w:rsidR="00002649" w:rsidRPr="0096740E">
        <w:rPr>
          <w:noProof/>
        </w:rPr>
        <w:t xml:space="preserve">Prevent and tackle mobility </w:t>
      </w:r>
      <w:r w:rsidR="0007788F" w:rsidRPr="0096740E">
        <w:rPr>
          <w:noProof/>
        </w:rPr>
        <w:t xml:space="preserve">and transport </w:t>
      </w:r>
      <w:r w:rsidR="00002649" w:rsidRPr="0096740E">
        <w:rPr>
          <w:noProof/>
        </w:rPr>
        <w:t xml:space="preserve">challenges and obstacles </w:t>
      </w:r>
      <w:r w:rsidR="00260F67" w:rsidRPr="0096740E">
        <w:rPr>
          <w:noProof/>
        </w:rPr>
        <w:t>for households</w:t>
      </w:r>
      <w:r w:rsidR="004E6231" w:rsidRPr="0096740E">
        <w:rPr>
          <w:noProof/>
        </w:rPr>
        <w:t xml:space="preserve"> in vulnerable situations</w:t>
      </w:r>
      <w:r w:rsidR="00F33505" w:rsidRPr="0096740E">
        <w:rPr>
          <w:noProof/>
        </w:rPr>
        <w:t xml:space="preserve">, especially in </w:t>
      </w:r>
      <w:r w:rsidR="00B164AD" w:rsidRPr="0096740E">
        <w:rPr>
          <w:noProof/>
        </w:rPr>
        <w:t xml:space="preserve">remote, </w:t>
      </w:r>
      <w:r w:rsidR="00F33505" w:rsidRPr="0096740E">
        <w:rPr>
          <w:noProof/>
        </w:rPr>
        <w:t xml:space="preserve">rural and low-income </w:t>
      </w:r>
      <w:r w:rsidR="005164B7" w:rsidRPr="0096740E">
        <w:rPr>
          <w:noProof/>
        </w:rPr>
        <w:t>regions and cities</w:t>
      </w:r>
      <w:r w:rsidR="0014462A" w:rsidRPr="0096740E">
        <w:rPr>
          <w:noProof/>
        </w:rPr>
        <w:t>,</w:t>
      </w:r>
      <w:r w:rsidR="00260F67" w:rsidRPr="0096740E">
        <w:rPr>
          <w:noProof/>
        </w:rPr>
        <w:t xml:space="preserve"> </w:t>
      </w:r>
      <w:r w:rsidR="00002649" w:rsidRPr="0096740E">
        <w:rPr>
          <w:noProof/>
        </w:rPr>
        <w:t>thr</w:t>
      </w:r>
      <w:r w:rsidR="00143679" w:rsidRPr="0096740E">
        <w:rPr>
          <w:noProof/>
        </w:rPr>
        <w:t xml:space="preserve">ough adequate </w:t>
      </w:r>
      <w:r w:rsidR="00607FC6" w:rsidRPr="0096740E">
        <w:rPr>
          <w:noProof/>
        </w:rPr>
        <w:t xml:space="preserve">policy and </w:t>
      </w:r>
      <w:r w:rsidR="00143679" w:rsidRPr="0096740E">
        <w:rPr>
          <w:noProof/>
        </w:rPr>
        <w:t xml:space="preserve">support measures </w:t>
      </w:r>
      <w:r w:rsidR="00002649" w:rsidRPr="0096740E">
        <w:rPr>
          <w:noProof/>
        </w:rPr>
        <w:t>and the development of the necessary infrastructure</w:t>
      </w:r>
      <w:r w:rsidR="00091405" w:rsidRPr="0096740E">
        <w:rPr>
          <w:noProof/>
        </w:rPr>
        <w:t xml:space="preserve">, to </w:t>
      </w:r>
      <w:r w:rsidR="00F83962">
        <w:rPr>
          <w:noProof/>
        </w:rPr>
        <w:t xml:space="preserve">improve essential connectivity, </w:t>
      </w:r>
      <w:r w:rsidR="00091405" w:rsidRPr="0096740E">
        <w:rPr>
          <w:noProof/>
        </w:rPr>
        <w:t>enabl</w:t>
      </w:r>
      <w:r w:rsidR="00F83962">
        <w:rPr>
          <w:noProof/>
        </w:rPr>
        <w:t>ing</w:t>
      </w:r>
      <w:r w:rsidR="00091405" w:rsidRPr="0096740E">
        <w:rPr>
          <w:noProof/>
        </w:rPr>
        <w:t xml:space="preserve"> access to education, </w:t>
      </w:r>
      <w:r w:rsidR="00C705C8">
        <w:rPr>
          <w:noProof/>
        </w:rPr>
        <w:t xml:space="preserve">health, </w:t>
      </w:r>
      <w:r w:rsidR="00091405" w:rsidRPr="0096740E">
        <w:rPr>
          <w:noProof/>
        </w:rPr>
        <w:t>employment, and social participation</w:t>
      </w:r>
      <w:r w:rsidR="00002649" w:rsidRPr="0096740E">
        <w:rPr>
          <w:noProof/>
        </w:rPr>
        <w:t>. Ensure</w:t>
      </w:r>
      <w:r w:rsidR="00CB1C2B" w:rsidRPr="00277C69">
        <w:rPr>
          <w:noProof/>
        </w:rPr>
        <w:t>, in particular,</w:t>
      </w:r>
      <w:r w:rsidR="00002649" w:rsidRPr="00277C69">
        <w:rPr>
          <w:noProof/>
        </w:rPr>
        <w:t xml:space="preserve"> </w:t>
      </w:r>
      <w:r w:rsidR="00002649" w:rsidRPr="0096740E">
        <w:rPr>
          <w:noProof/>
        </w:rPr>
        <w:t xml:space="preserve">the availability, including frequency, of </w:t>
      </w:r>
      <w:r w:rsidR="00CB1C2B" w:rsidRPr="00277C69">
        <w:rPr>
          <w:noProof/>
        </w:rPr>
        <w:t>low-emission</w:t>
      </w:r>
      <w:r w:rsidR="00AC5383" w:rsidRPr="00277C69">
        <w:rPr>
          <w:noProof/>
        </w:rPr>
        <w:t xml:space="preserve"> </w:t>
      </w:r>
      <w:r w:rsidR="004259CB" w:rsidRPr="0096740E">
        <w:rPr>
          <w:noProof/>
        </w:rPr>
        <w:t>public</w:t>
      </w:r>
      <w:r w:rsidR="00D07A48" w:rsidRPr="0096740E">
        <w:rPr>
          <w:noProof/>
        </w:rPr>
        <w:t xml:space="preserve"> </w:t>
      </w:r>
      <w:r w:rsidR="00002649" w:rsidRPr="0096740E">
        <w:rPr>
          <w:noProof/>
        </w:rPr>
        <w:t>transport</w:t>
      </w:r>
      <w:r w:rsidR="00CB1C2B">
        <w:rPr>
          <w:noProof/>
        </w:rPr>
        <w:t xml:space="preserve"> </w:t>
      </w:r>
      <w:r w:rsidR="00CB1C2B" w:rsidRPr="00277C69">
        <w:rPr>
          <w:noProof/>
        </w:rPr>
        <w:t>and, where appropriate, promote the uptake of sustainable modes of private mobility</w:t>
      </w:r>
      <w:r w:rsidR="00CB1C2B" w:rsidRPr="00277C69">
        <w:rPr>
          <w:rStyle w:val="FootnoteReference"/>
          <w:noProof/>
        </w:rPr>
        <w:footnoteReference w:id="115"/>
      </w:r>
      <w:r w:rsidR="00CB1C2B" w:rsidRPr="00277C69">
        <w:rPr>
          <w:noProof/>
        </w:rPr>
        <w:t>, with a focus on ensuring affordability, accessibility and safety.</w:t>
      </w:r>
    </w:p>
    <w:p w14:paraId="0B8257F7" w14:textId="3D16CBBF" w:rsidR="002157A9" w:rsidRDefault="00420537" w:rsidP="00420537">
      <w:pPr>
        <w:pStyle w:val="Point1"/>
        <w:rPr>
          <w:noProof/>
        </w:rPr>
      </w:pPr>
      <w:bookmarkStart w:id="1" w:name="_Hlk89858443"/>
      <w:r w:rsidRPr="00420537">
        <w:t>(e)</w:t>
      </w:r>
      <w:r w:rsidRPr="00420537">
        <w:tab/>
      </w:r>
      <w:r w:rsidR="005E4DF1" w:rsidRPr="0096740E">
        <w:rPr>
          <w:noProof/>
        </w:rPr>
        <w:t xml:space="preserve">Facilitate access to </w:t>
      </w:r>
      <w:r w:rsidR="002157A9" w:rsidRPr="0096740E">
        <w:rPr>
          <w:noProof/>
        </w:rPr>
        <w:t>sustainable consumption</w:t>
      </w:r>
      <w:r w:rsidR="00DD57CC" w:rsidRPr="0096740E">
        <w:rPr>
          <w:noProof/>
        </w:rPr>
        <w:t>, including nutrition,</w:t>
      </w:r>
      <w:r w:rsidR="00A44616" w:rsidRPr="0096740E">
        <w:rPr>
          <w:noProof/>
        </w:rPr>
        <w:t xml:space="preserve"> </w:t>
      </w:r>
      <w:r w:rsidR="002157A9" w:rsidRPr="0096740E">
        <w:rPr>
          <w:noProof/>
        </w:rPr>
        <w:t xml:space="preserve">especially </w:t>
      </w:r>
      <w:r w:rsidR="00091405" w:rsidRPr="0096740E">
        <w:rPr>
          <w:noProof/>
        </w:rPr>
        <w:t xml:space="preserve">for </w:t>
      </w:r>
      <w:r w:rsidR="002157A9" w:rsidRPr="0096740E">
        <w:rPr>
          <w:noProof/>
        </w:rPr>
        <w:t xml:space="preserve">people and households in vulnerable situations and </w:t>
      </w:r>
      <w:r w:rsidR="00091405" w:rsidRPr="0096740E">
        <w:rPr>
          <w:noProof/>
        </w:rPr>
        <w:t>in particular</w:t>
      </w:r>
      <w:r w:rsidR="002157A9" w:rsidRPr="0096740E">
        <w:rPr>
          <w:noProof/>
        </w:rPr>
        <w:t xml:space="preserve"> children</w:t>
      </w:r>
      <w:r w:rsidR="002F34E2" w:rsidRPr="00277C69">
        <w:rPr>
          <w:noProof/>
        </w:rPr>
        <w:t>, and promote cost-saving opportunities linked to the circular economy</w:t>
      </w:r>
      <w:r w:rsidR="002157A9" w:rsidRPr="0096740E" w:rsidDel="00537C0F">
        <w:rPr>
          <w:noProof/>
        </w:rPr>
        <w:t>.</w:t>
      </w:r>
      <w:r w:rsidR="002157A9" w:rsidRPr="0096740E">
        <w:rPr>
          <w:noProof/>
        </w:rPr>
        <w:t xml:space="preserve"> </w:t>
      </w:r>
      <w:bookmarkEnd w:id="1"/>
      <w:r w:rsidR="002157A9" w:rsidRPr="0096740E">
        <w:rPr>
          <w:noProof/>
        </w:rPr>
        <w:t>To this end, provide for effective incentives and tools</w:t>
      </w:r>
      <w:r w:rsidR="002646BA" w:rsidRPr="0096740E">
        <w:rPr>
          <w:noProof/>
        </w:rPr>
        <w:t>, such as social innovation actions and local initiatives</w:t>
      </w:r>
      <w:r w:rsidR="00091405" w:rsidRPr="00277C69">
        <w:rPr>
          <w:noProof/>
        </w:rPr>
        <w:t xml:space="preserve">, </w:t>
      </w:r>
      <w:r w:rsidR="002F34E2" w:rsidRPr="00277C69">
        <w:rPr>
          <w:noProof/>
        </w:rPr>
        <w:t>support reuse, repair, donation and sharing schemes, including through social economy enterprises,</w:t>
      </w:r>
      <w:r w:rsidR="002F34E2">
        <w:rPr>
          <w:noProof/>
        </w:rPr>
        <w:t xml:space="preserve"> </w:t>
      </w:r>
      <w:r w:rsidR="00091405" w:rsidRPr="0096740E">
        <w:rPr>
          <w:noProof/>
        </w:rPr>
        <w:t xml:space="preserve">and promote education </w:t>
      </w:r>
      <w:r w:rsidR="002646BA" w:rsidRPr="0096740E">
        <w:rPr>
          <w:noProof/>
        </w:rPr>
        <w:t xml:space="preserve">and awareness raising </w:t>
      </w:r>
      <w:r w:rsidR="00091405" w:rsidRPr="0096740E">
        <w:rPr>
          <w:noProof/>
        </w:rPr>
        <w:t xml:space="preserve">for </w:t>
      </w:r>
      <w:r w:rsidR="00894BC7" w:rsidRPr="0096740E">
        <w:rPr>
          <w:noProof/>
        </w:rPr>
        <w:t xml:space="preserve">environmental </w:t>
      </w:r>
      <w:r w:rsidR="00091405" w:rsidRPr="0096740E">
        <w:rPr>
          <w:noProof/>
        </w:rPr>
        <w:t>sustainability</w:t>
      </w:r>
      <w:r w:rsidR="00894BC7" w:rsidRPr="0096740E">
        <w:rPr>
          <w:noProof/>
        </w:rPr>
        <w:t xml:space="preserve"> for learners of all ages and at all levels of education</w:t>
      </w:r>
      <w:r w:rsidR="00894BC7" w:rsidRPr="0096740E">
        <w:rPr>
          <w:rStyle w:val="FootnoteReference"/>
          <w:noProof/>
        </w:rPr>
        <w:footnoteReference w:id="116"/>
      </w:r>
      <w:r w:rsidR="002157A9" w:rsidRPr="0096740E">
        <w:rPr>
          <w:noProof/>
        </w:rPr>
        <w:t xml:space="preserve">. </w:t>
      </w:r>
    </w:p>
    <w:p w14:paraId="06FFA1D0" w14:textId="3FBF55DF" w:rsidR="0010430B" w:rsidRPr="0096740E" w:rsidRDefault="0010430B" w:rsidP="00AE5D56">
      <w:pPr>
        <w:rPr>
          <w:noProof/>
        </w:rPr>
      </w:pPr>
    </w:p>
    <w:p w14:paraId="227558A7" w14:textId="77777777" w:rsidR="00002649" w:rsidRPr="00557A25" w:rsidRDefault="00002649" w:rsidP="001220D5">
      <w:pPr>
        <w:rPr>
          <w:noProof/>
        </w:rPr>
      </w:pPr>
      <w:r w:rsidRPr="00557A25">
        <w:rPr>
          <w:noProof/>
        </w:rPr>
        <w:t>CROSS-CUTTING ELEMENTS FOR POLICY ACTIONS</w:t>
      </w:r>
      <w:r w:rsidR="000E1983" w:rsidRPr="00557A25">
        <w:rPr>
          <w:noProof/>
        </w:rPr>
        <w:t xml:space="preserve"> SUPPORTING A FAIR GREEN TRANSITION</w:t>
      </w:r>
    </w:p>
    <w:p w14:paraId="0AD6C1CF" w14:textId="3A8C8D55" w:rsidR="006835D8" w:rsidRPr="00557A25" w:rsidRDefault="00420537" w:rsidP="00420537">
      <w:pPr>
        <w:pStyle w:val="Point0"/>
        <w:rPr>
          <w:noProof/>
        </w:rPr>
      </w:pPr>
      <w:r w:rsidRPr="00420537">
        <w:t>(8)</w:t>
      </w:r>
      <w:r w:rsidRPr="00420537">
        <w:tab/>
      </w:r>
      <w:r w:rsidR="00364813" w:rsidRPr="0096740E">
        <w:rPr>
          <w:noProof/>
        </w:rPr>
        <w:t>T</w:t>
      </w:r>
      <w:r w:rsidR="00002649" w:rsidRPr="0096740E">
        <w:rPr>
          <w:noProof/>
        </w:rPr>
        <w:t xml:space="preserve">o </w:t>
      </w:r>
      <w:r w:rsidR="00D916DB" w:rsidRPr="0096740E">
        <w:rPr>
          <w:noProof/>
        </w:rPr>
        <w:t>advanc</w:t>
      </w:r>
      <w:r w:rsidR="00364813" w:rsidRPr="0096740E">
        <w:rPr>
          <w:noProof/>
        </w:rPr>
        <w:t>e</w:t>
      </w:r>
      <w:r w:rsidR="00D916DB" w:rsidRPr="0096740E">
        <w:rPr>
          <w:noProof/>
        </w:rPr>
        <w:t xml:space="preserve"> the green transition in an inclusive and democratic way</w:t>
      </w:r>
      <w:r w:rsidR="00327BD8" w:rsidRPr="0096740E">
        <w:rPr>
          <w:noProof/>
        </w:rPr>
        <w:t xml:space="preserve">, integrating </w:t>
      </w:r>
      <w:r w:rsidR="001C6DE0" w:rsidRPr="0096740E">
        <w:rPr>
          <w:noProof/>
        </w:rPr>
        <w:t>fair</w:t>
      </w:r>
      <w:r w:rsidR="00327BD8" w:rsidRPr="0096740E">
        <w:rPr>
          <w:noProof/>
        </w:rPr>
        <w:t xml:space="preserve"> transition objectives from the outset into policy-making at all levels</w:t>
      </w:r>
      <w:r w:rsidR="00D916DB" w:rsidRPr="0096740E">
        <w:rPr>
          <w:noProof/>
        </w:rPr>
        <w:t xml:space="preserve"> and </w:t>
      </w:r>
      <w:r w:rsidR="00002649" w:rsidRPr="0096740E">
        <w:rPr>
          <w:noProof/>
        </w:rPr>
        <w:t xml:space="preserve">ensuring an </w:t>
      </w:r>
      <w:r w:rsidR="00D916DB" w:rsidRPr="0096740E">
        <w:rPr>
          <w:noProof/>
        </w:rPr>
        <w:t xml:space="preserve">effective </w:t>
      </w:r>
      <w:r w:rsidR="00002649" w:rsidRPr="0096740E">
        <w:rPr>
          <w:noProof/>
        </w:rPr>
        <w:t xml:space="preserve">whole-of-economy approach to </w:t>
      </w:r>
      <w:r w:rsidR="001C6DE0" w:rsidRPr="0096740E">
        <w:rPr>
          <w:noProof/>
        </w:rPr>
        <w:t>fair</w:t>
      </w:r>
      <w:r w:rsidR="00002649" w:rsidRPr="0096740E">
        <w:rPr>
          <w:noProof/>
        </w:rPr>
        <w:t xml:space="preserve"> transition policies, Member States are invited to:</w:t>
      </w:r>
    </w:p>
    <w:p w14:paraId="6BD5CC15" w14:textId="301541DD" w:rsidR="00F33505" w:rsidRPr="0096740E" w:rsidRDefault="00420537" w:rsidP="00420537">
      <w:pPr>
        <w:pStyle w:val="Point1"/>
        <w:rPr>
          <w:noProof/>
        </w:rPr>
      </w:pPr>
      <w:r w:rsidRPr="00420537">
        <w:t>(a)</w:t>
      </w:r>
      <w:r w:rsidRPr="00420537">
        <w:tab/>
      </w:r>
      <w:r w:rsidR="00002649" w:rsidRPr="0096740E">
        <w:rPr>
          <w:noProof/>
        </w:rPr>
        <w:t xml:space="preserve">Coordinate policy-making at all levels and across all relevant policy areas, </w:t>
      </w:r>
      <w:r w:rsidR="007B714C" w:rsidRPr="0096740E">
        <w:rPr>
          <w:noProof/>
        </w:rPr>
        <w:t>notably in the context of the European Semester</w:t>
      </w:r>
      <w:r w:rsidR="00002649" w:rsidRPr="0096740E" w:rsidDel="00F33505">
        <w:rPr>
          <w:noProof/>
        </w:rPr>
        <w:t>,</w:t>
      </w:r>
      <w:r w:rsidR="00002649" w:rsidRPr="0096740E">
        <w:rPr>
          <w:noProof/>
        </w:rPr>
        <w:t xml:space="preserve"> </w:t>
      </w:r>
      <w:r w:rsidR="00445A97" w:rsidRPr="0096740E">
        <w:rPr>
          <w:noProof/>
        </w:rPr>
        <w:t>including</w:t>
      </w:r>
      <w:r w:rsidR="00002649" w:rsidRPr="0096740E">
        <w:rPr>
          <w:noProof/>
        </w:rPr>
        <w:t xml:space="preserve"> research and innovation</w:t>
      </w:r>
      <w:r w:rsidR="00002649" w:rsidRPr="0096740E">
        <w:rPr>
          <w:rFonts w:eastAsia="Calibri"/>
          <w:noProof/>
        </w:rPr>
        <w:t xml:space="preserve"> with a view to building an integrated and enabling policy framework</w:t>
      </w:r>
      <w:r w:rsidR="00827F8D" w:rsidRPr="0096740E">
        <w:rPr>
          <w:rFonts w:eastAsia="Calibri"/>
          <w:noProof/>
        </w:rPr>
        <w:t xml:space="preserve"> that pays due attention to distributional impacts</w:t>
      </w:r>
      <w:r w:rsidR="00A60B2C" w:rsidRPr="0096740E">
        <w:rPr>
          <w:rFonts w:eastAsia="Calibri"/>
          <w:noProof/>
        </w:rPr>
        <w:t xml:space="preserve"> as well as </w:t>
      </w:r>
      <w:r w:rsidR="00445A97" w:rsidRPr="0096740E">
        <w:rPr>
          <w:rFonts w:eastAsia="Calibri"/>
          <w:noProof/>
        </w:rPr>
        <w:t xml:space="preserve">to positive and </w:t>
      </w:r>
      <w:r w:rsidR="00A60B2C" w:rsidRPr="0096740E">
        <w:rPr>
          <w:rFonts w:eastAsia="Calibri"/>
          <w:noProof/>
        </w:rPr>
        <w:t>negative spill</w:t>
      </w:r>
      <w:r w:rsidR="005164B7" w:rsidRPr="0096740E">
        <w:rPr>
          <w:rFonts w:eastAsia="Calibri"/>
          <w:noProof/>
        </w:rPr>
        <w:t>-</w:t>
      </w:r>
      <w:r w:rsidR="00A60B2C" w:rsidRPr="0096740E">
        <w:rPr>
          <w:rFonts w:eastAsia="Calibri"/>
          <w:noProof/>
        </w:rPr>
        <w:t>overs</w:t>
      </w:r>
      <w:r w:rsidR="005164B7" w:rsidRPr="0096740E">
        <w:rPr>
          <w:rFonts w:eastAsia="Calibri"/>
          <w:noProof/>
        </w:rPr>
        <w:t>,</w:t>
      </w:r>
      <w:r w:rsidR="00A60B2C" w:rsidRPr="0096740E">
        <w:rPr>
          <w:rFonts w:eastAsia="Calibri"/>
          <w:noProof/>
        </w:rPr>
        <w:t xml:space="preserve"> including </w:t>
      </w:r>
      <w:r w:rsidR="005164B7" w:rsidRPr="0096740E">
        <w:rPr>
          <w:rFonts w:eastAsia="Calibri"/>
          <w:noProof/>
        </w:rPr>
        <w:t xml:space="preserve">in </w:t>
      </w:r>
      <w:r w:rsidR="00A60B2C" w:rsidRPr="0096740E">
        <w:rPr>
          <w:rFonts w:eastAsia="Calibri"/>
          <w:noProof/>
        </w:rPr>
        <w:t>cross</w:t>
      </w:r>
      <w:r w:rsidR="005164B7" w:rsidRPr="0096740E">
        <w:rPr>
          <w:rFonts w:eastAsia="Calibri"/>
          <w:noProof/>
        </w:rPr>
        <w:t>-</w:t>
      </w:r>
      <w:r w:rsidR="00A60B2C" w:rsidRPr="0096740E">
        <w:rPr>
          <w:rFonts w:eastAsia="Calibri"/>
          <w:noProof/>
        </w:rPr>
        <w:t>border regions</w:t>
      </w:r>
      <w:r w:rsidR="005164B7" w:rsidRPr="0096740E">
        <w:rPr>
          <w:rFonts w:eastAsia="Calibri"/>
          <w:noProof/>
        </w:rPr>
        <w:t>,</w:t>
      </w:r>
      <w:r w:rsidR="00827F8D" w:rsidRPr="0096740E">
        <w:rPr>
          <w:rFonts w:eastAsia="Calibri"/>
          <w:noProof/>
        </w:rPr>
        <w:t xml:space="preserve"> and </w:t>
      </w:r>
      <w:r w:rsidR="00F26A68" w:rsidRPr="0096740E">
        <w:rPr>
          <w:rFonts w:eastAsia="Calibri"/>
          <w:noProof/>
        </w:rPr>
        <w:t xml:space="preserve">integrates adequate and systematic evaluation strategies, including </w:t>
      </w:r>
      <w:r w:rsidR="00827F8D" w:rsidRPr="0096740E">
        <w:rPr>
          <w:rFonts w:eastAsia="Calibri"/>
          <w:noProof/>
        </w:rPr>
        <w:t>ex-ante and ex-post assessment</w:t>
      </w:r>
      <w:r w:rsidR="00C824D9" w:rsidRPr="0096740E">
        <w:rPr>
          <w:rFonts w:eastAsia="Calibri"/>
          <w:noProof/>
        </w:rPr>
        <w:t>s</w:t>
      </w:r>
      <w:r w:rsidR="00002649" w:rsidRPr="0096740E">
        <w:rPr>
          <w:noProof/>
        </w:rPr>
        <w:t>.</w:t>
      </w:r>
      <w:r w:rsidR="00F33505" w:rsidRPr="0096740E">
        <w:rPr>
          <w:noProof/>
        </w:rPr>
        <w:t xml:space="preserve"> </w:t>
      </w:r>
    </w:p>
    <w:p w14:paraId="04033014" w14:textId="71F07068" w:rsidR="00002649" w:rsidRPr="0096740E" w:rsidRDefault="00420537" w:rsidP="00420537">
      <w:pPr>
        <w:pStyle w:val="Point1"/>
        <w:rPr>
          <w:noProof/>
        </w:rPr>
      </w:pPr>
      <w:r w:rsidRPr="00420537">
        <w:t>(b)</w:t>
      </w:r>
      <w:r w:rsidRPr="00420537">
        <w:tab/>
      </w:r>
      <w:r w:rsidR="00F33505" w:rsidRPr="0096740E">
        <w:rPr>
          <w:noProof/>
        </w:rPr>
        <w:t xml:space="preserve">Give an active role to regional and local authorities, </w:t>
      </w:r>
      <w:r w:rsidR="00445A97" w:rsidRPr="0096740E">
        <w:rPr>
          <w:noProof/>
        </w:rPr>
        <w:t>given their proximity to</w:t>
      </w:r>
      <w:r w:rsidR="00F33505" w:rsidRPr="0096740E">
        <w:rPr>
          <w:noProof/>
        </w:rPr>
        <w:t xml:space="preserve"> citizens</w:t>
      </w:r>
      <w:r w:rsidR="00445A97" w:rsidRPr="0096740E">
        <w:rPr>
          <w:noProof/>
        </w:rPr>
        <w:t xml:space="preserve"> and local businesses</w:t>
      </w:r>
      <w:r w:rsidR="00F33505" w:rsidRPr="0096740E">
        <w:rPr>
          <w:noProof/>
        </w:rPr>
        <w:t xml:space="preserve">, in the implementation and monitoring of </w:t>
      </w:r>
      <w:r w:rsidR="001C6DE0" w:rsidRPr="0096740E">
        <w:rPr>
          <w:noProof/>
        </w:rPr>
        <w:t>fair</w:t>
      </w:r>
      <w:r w:rsidR="00F33505" w:rsidRPr="0096740E">
        <w:rPr>
          <w:noProof/>
        </w:rPr>
        <w:t xml:space="preserve"> transition policies.</w:t>
      </w:r>
    </w:p>
    <w:p w14:paraId="095818DB" w14:textId="37F5F623" w:rsidR="00002649" w:rsidRPr="0096740E" w:rsidRDefault="00420537" w:rsidP="00420537">
      <w:pPr>
        <w:pStyle w:val="Point1"/>
        <w:rPr>
          <w:noProof/>
        </w:rPr>
      </w:pPr>
      <w:r w:rsidRPr="00420537">
        <w:t>(c)</w:t>
      </w:r>
      <w:r w:rsidRPr="00420537">
        <w:tab/>
      </w:r>
      <w:r w:rsidR="00002649" w:rsidRPr="0096740E">
        <w:rPr>
          <w:noProof/>
        </w:rPr>
        <w:t xml:space="preserve">Involve social partners at national, regional and local levels in </w:t>
      </w:r>
      <w:r w:rsidR="004A621F" w:rsidRPr="0096740E">
        <w:rPr>
          <w:noProof/>
        </w:rPr>
        <w:t>all</w:t>
      </w:r>
      <w:r w:rsidR="00002649" w:rsidRPr="0096740E">
        <w:rPr>
          <w:noProof/>
        </w:rPr>
        <w:t xml:space="preserve"> stages of policy-making</w:t>
      </w:r>
      <w:r w:rsidR="00C824D9" w:rsidRPr="0096740E">
        <w:rPr>
          <w:noProof/>
        </w:rPr>
        <w:t xml:space="preserve"> foresee</w:t>
      </w:r>
      <w:r w:rsidR="000F526D" w:rsidRPr="0096740E">
        <w:rPr>
          <w:noProof/>
        </w:rPr>
        <w:t>n</w:t>
      </w:r>
      <w:r w:rsidR="00C824D9" w:rsidRPr="0096740E">
        <w:rPr>
          <w:noProof/>
        </w:rPr>
        <w:t xml:space="preserve"> under this recommendation</w:t>
      </w:r>
      <w:r w:rsidR="00051A6E" w:rsidRPr="00556CB6">
        <w:rPr>
          <w:noProof/>
        </w:rPr>
        <w:t>, including through social dialogue and collective bargaining where adequate</w:t>
      </w:r>
      <w:r w:rsidR="00D04153" w:rsidRPr="00051A6E">
        <w:rPr>
          <w:noProof/>
        </w:rPr>
        <w:t xml:space="preserve">. </w:t>
      </w:r>
      <w:r w:rsidR="00C824D9" w:rsidRPr="0096740E">
        <w:rPr>
          <w:noProof/>
        </w:rPr>
        <w:t>In addition, p</w:t>
      </w:r>
      <w:r w:rsidR="00D04153" w:rsidRPr="0096740E">
        <w:rPr>
          <w:noProof/>
        </w:rPr>
        <w:t xml:space="preserve">romote further the full involvement of social partners in the design and implementation of transition pathways for </w:t>
      </w:r>
      <w:r w:rsidR="00651D6F" w:rsidRPr="0096740E">
        <w:rPr>
          <w:noProof/>
        </w:rPr>
        <w:t xml:space="preserve">industrial </w:t>
      </w:r>
      <w:r w:rsidR="00D04153" w:rsidRPr="0096740E">
        <w:rPr>
          <w:noProof/>
        </w:rPr>
        <w:t xml:space="preserve">ecosystems under the EU’s </w:t>
      </w:r>
      <w:r w:rsidR="00651D6F" w:rsidRPr="0096740E">
        <w:rPr>
          <w:noProof/>
        </w:rPr>
        <w:t xml:space="preserve">updated </w:t>
      </w:r>
      <w:r w:rsidR="00D04153" w:rsidRPr="0096740E">
        <w:rPr>
          <w:noProof/>
        </w:rPr>
        <w:t>New Industrial Strategy</w:t>
      </w:r>
      <w:r w:rsidR="00002649" w:rsidRPr="0096740E">
        <w:rPr>
          <w:noProof/>
        </w:rPr>
        <w:t>.</w:t>
      </w:r>
    </w:p>
    <w:p w14:paraId="13BE35C5" w14:textId="7D942901" w:rsidR="00002649" w:rsidRPr="0096740E" w:rsidRDefault="00420537" w:rsidP="00420537">
      <w:pPr>
        <w:pStyle w:val="Point1"/>
        <w:rPr>
          <w:noProof/>
        </w:rPr>
      </w:pPr>
      <w:r w:rsidRPr="00420537">
        <w:t>(d)</w:t>
      </w:r>
      <w:r w:rsidRPr="00420537">
        <w:tab/>
      </w:r>
      <w:r w:rsidR="00002649" w:rsidRPr="0096740E">
        <w:rPr>
          <w:noProof/>
        </w:rPr>
        <w:t xml:space="preserve">Empower and enable </w:t>
      </w:r>
      <w:r w:rsidR="004D038E" w:rsidRPr="0096740E">
        <w:rPr>
          <w:noProof/>
        </w:rPr>
        <w:t xml:space="preserve">people, </w:t>
      </w:r>
      <w:r w:rsidR="00002649" w:rsidRPr="0096740E">
        <w:rPr>
          <w:noProof/>
        </w:rPr>
        <w:t>civil society and stakeholders, including</w:t>
      </w:r>
      <w:r w:rsidR="00CD2611" w:rsidRPr="0096740E">
        <w:rPr>
          <w:noProof/>
        </w:rPr>
        <w:t xml:space="preserve"> </w:t>
      </w:r>
      <w:r w:rsidR="00002649" w:rsidRPr="0096740E">
        <w:rPr>
          <w:noProof/>
        </w:rPr>
        <w:t>organisations</w:t>
      </w:r>
      <w:r w:rsidR="003913FB" w:rsidRPr="0096740E">
        <w:rPr>
          <w:noProof/>
        </w:rPr>
        <w:t xml:space="preserve"> </w:t>
      </w:r>
      <w:r w:rsidR="00E65D2F" w:rsidRPr="0096740E">
        <w:rPr>
          <w:noProof/>
        </w:rPr>
        <w:t>representing</w:t>
      </w:r>
      <w:r w:rsidR="003913FB" w:rsidRPr="0096740E">
        <w:rPr>
          <w:noProof/>
        </w:rPr>
        <w:t xml:space="preserve"> people in</w:t>
      </w:r>
      <w:r w:rsidR="00F6497A" w:rsidRPr="0096740E">
        <w:rPr>
          <w:noProof/>
        </w:rPr>
        <w:t xml:space="preserve"> </w:t>
      </w:r>
      <w:r w:rsidR="003913FB" w:rsidRPr="0096740E">
        <w:rPr>
          <w:noProof/>
        </w:rPr>
        <w:t>vulnerable situations</w:t>
      </w:r>
      <w:r w:rsidR="00002649" w:rsidRPr="0096740E">
        <w:rPr>
          <w:noProof/>
        </w:rPr>
        <w:t xml:space="preserve">, </w:t>
      </w:r>
      <w:r w:rsidR="00E65D2F" w:rsidRPr="0096740E">
        <w:rPr>
          <w:noProof/>
        </w:rPr>
        <w:t xml:space="preserve">including </w:t>
      </w:r>
      <w:r w:rsidR="00C84E40">
        <w:rPr>
          <w:noProof/>
        </w:rPr>
        <w:t>women</w:t>
      </w:r>
      <w:r w:rsidR="009C2B21">
        <w:rPr>
          <w:noProof/>
        </w:rPr>
        <w:t>, people</w:t>
      </w:r>
      <w:r w:rsidR="00C84E40">
        <w:rPr>
          <w:noProof/>
        </w:rPr>
        <w:t xml:space="preserve"> with disabilities,</w:t>
      </w:r>
      <w:r w:rsidR="00E65D2F" w:rsidRPr="0096740E">
        <w:rPr>
          <w:noProof/>
        </w:rPr>
        <w:t xml:space="preserve"> youth and </w:t>
      </w:r>
      <w:r w:rsidR="00002649" w:rsidRPr="0096740E">
        <w:rPr>
          <w:noProof/>
        </w:rPr>
        <w:t>children</w:t>
      </w:r>
      <w:r w:rsidR="00E65D2F" w:rsidRPr="0096740E">
        <w:rPr>
          <w:noProof/>
        </w:rPr>
        <w:t xml:space="preserve"> calling for urgent climate action</w:t>
      </w:r>
      <w:r w:rsidR="00385FC2" w:rsidRPr="0096740E">
        <w:rPr>
          <w:noProof/>
        </w:rPr>
        <w:t>,</w:t>
      </w:r>
      <w:r w:rsidR="002D0A58" w:rsidRPr="0096740E">
        <w:rPr>
          <w:noProof/>
        </w:rPr>
        <w:t xml:space="preserve"> and social economy actors</w:t>
      </w:r>
      <w:r w:rsidR="00D358EE" w:rsidRPr="0096740E">
        <w:rPr>
          <w:noProof/>
        </w:rPr>
        <w:t xml:space="preserve"> including through European Climate Pact</w:t>
      </w:r>
      <w:r w:rsidR="00D358EE" w:rsidRPr="0096740E">
        <w:rPr>
          <w:rStyle w:val="FootnoteReference"/>
          <w:noProof/>
        </w:rPr>
        <w:footnoteReference w:id="117"/>
      </w:r>
      <w:r w:rsidR="002D0A58" w:rsidRPr="0096740E">
        <w:rPr>
          <w:noProof/>
        </w:rPr>
        <w:t>,</w:t>
      </w:r>
      <w:r w:rsidR="00385FC2" w:rsidRPr="0096740E">
        <w:rPr>
          <w:noProof/>
        </w:rPr>
        <w:t xml:space="preserve"> </w:t>
      </w:r>
      <w:r w:rsidR="006835D8" w:rsidRPr="0096740E">
        <w:rPr>
          <w:noProof/>
        </w:rPr>
        <w:t xml:space="preserve">with </w:t>
      </w:r>
      <w:r w:rsidR="00A520DE" w:rsidRPr="0096740E">
        <w:rPr>
          <w:noProof/>
        </w:rPr>
        <w:t xml:space="preserve">a </w:t>
      </w:r>
      <w:r w:rsidR="006835D8" w:rsidRPr="0096740E">
        <w:rPr>
          <w:noProof/>
        </w:rPr>
        <w:t xml:space="preserve">view to their participation in policy design and implementation, </w:t>
      </w:r>
      <w:r w:rsidR="00385FC2" w:rsidRPr="0096740E">
        <w:rPr>
          <w:noProof/>
        </w:rPr>
        <w:t>also</w:t>
      </w:r>
      <w:r w:rsidR="006835D8" w:rsidRPr="0096740E">
        <w:rPr>
          <w:noProof/>
        </w:rPr>
        <w:t xml:space="preserve"> by</w:t>
      </w:r>
      <w:r w:rsidR="00385FC2" w:rsidRPr="0096740E">
        <w:rPr>
          <w:noProof/>
        </w:rPr>
        <w:t xml:space="preserve"> making use of new participatory models involving </w:t>
      </w:r>
      <w:r w:rsidR="009E3D51" w:rsidRPr="0096740E">
        <w:rPr>
          <w:noProof/>
        </w:rPr>
        <w:t xml:space="preserve">people </w:t>
      </w:r>
      <w:r w:rsidR="00002649" w:rsidRPr="0096740E">
        <w:rPr>
          <w:noProof/>
        </w:rPr>
        <w:t>in vulnerable situations.</w:t>
      </w:r>
      <w:r w:rsidR="004A621F" w:rsidRPr="0096740E">
        <w:rPr>
          <w:noProof/>
        </w:rPr>
        <w:t xml:space="preserve"> </w:t>
      </w:r>
    </w:p>
    <w:p w14:paraId="0321807D" w14:textId="50A24DEC" w:rsidR="00002649" w:rsidRPr="0096740E" w:rsidRDefault="00420537" w:rsidP="00420537">
      <w:pPr>
        <w:pStyle w:val="Point1"/>
        <w:rPr>
          <w:noProof/>
        </w:rPr>
      </w:pPr>
      <w:r w:rsidRPr="00420537">
        <w:t>(e)</w:t>
      </w:r>
      <w:r w:rsidRPr="00420537">
        <w:tab/>
      </w:r>
      <w:r w:rsidR="00327BD8" w:rsidRPr="0096740E">
        <w:rPr>
          <w:noProof/>
        </w:rPr>
        <w:t>S</w:t>
      </w:r>
      <w:r w:rsidR="00B660A8" w:rsidRPr="0096740E">
        <w:rPr>
          <w:noProof/>
        </w:rPr>
        <w:t xml:space="preserve">trengthen </w:t>
      </w:r>
      <w:r w:rsidR="00002649" w:rsidRPr="0096740E">
        <w:rPr>
          <w:noProof/>
        </w:rPr>
        <w:t xml:space="preserve">the operational capacities of </w:t>
      </w:r>
      <w:r w:rsidR="0008456C" w:rsidRPr="0096740E">
        <w:rPr>
          <w:noProof/>
        </w:rPr>
        <w:t xml:space="preserve">the relevant </w:t>
      </w:r>
      <w:r w:rsidR="00002649" w:rsidRPr="0096740E">
        <w:rPr>
          <w:noProof/>
        </w:rPr>
        <w:t>public services</w:t>
      </w:r>
      <w:r w:rsidR="00327BD8" w:rsidRPr="0096740E">
        <w:rPr>
          <w:noProof/>
        </w:rPr>
        <w:t xml:space="preserve"> to provide effective guidance and support for </w:t>
      </w:r>
      <w:r w:rsidR="00CD20B5" w:rsidRPr="0096740E">
        <w:rPr>
          <w:noProof/>
        </w:rPr>
        <w:t xml:space="preserve">implementing fair transition policies. In particular, strengthen public employment services </w:t>
      </w:r>
      <w:r w:rsidR="0008456C" w:rsidRPr="0096740E">
        <w:rPr>
          <w:noProof/>
        </w:rPr>
        <w:t xml:space="preserve">to </w:t>
      </w:r>
      <w:r w:rsidR="00CD20B5" w:rsidRPr="0096740E">
        <w:rPr>
          <w:noProof/>
        </w:rPr>
        <w:t xml:space="preserve">support labour market transitions and skills intelligence, </w:t>
      </w:r>
      <w:r w:rsidR="00B05853" w:rsidRPr="0096740E">
        <w:rPr>
          <w:noProof/>
        </w:rPr>
        <w:t xml:space="preserve">as well as </w:t>
      </w:r>
      <w:r w:rsidR="00CD20B5" w:rsidRPr="0096740E">
        <w:rPr>
          <w:noProof/>
        </w:rPr>
        <w:t>labour inspectorates to safeguard working conditions.</w:t>
      </w:r>
      <w:r w:rsidR="00743B20" w:rsidRPr="0096740E">
        <w:rPr>
          <w:noProof/>
        </w:rPr>
        <w:t xml:space="preserve"> </w:t>
      </w:r>
      <w:r w:rsidR="00B660A8" w:rsidRPr="0096740E">
        <w:rPr>
          <w:noProof/>
        </w:rPr>
        <w:t xml:space="preserve">In addition, mobilise </w:t>
      </w:r>
      <w:r w:rsidR="00743B20" w:rsidRPr="0096740E">
        <w:rPr>
          <w:noProof/>
        </w:rPr>
        <w:t>social and health services where appropriate</w:t>
      </w:r>
      <w:r w:rsidR="00CD20B5" w:rsidRPr="0096740E">
        <w:rPr>
          <w:noProof/>
        </w:rPr>
        <w:t>, notably to support labour market transitions and address energy poverty</w:t>
      </w:r>
      <w:r w:rsidR="00002649" w:rsidRPr="0096740E">
        <w:rPr>
          <w:noProof/>
        </w:rPr>
        <w:t>.</w:t>
      </w:r>
    </w:p>
    <w:p w14:paraId="374AFE8C" w14:textId="3C02C091" w:rsidR="00003E7D" w:rsidRPr="00557A25" w:rsidRDefault="00420537" w:rsidP="00420537">
      <w:pPr>
        <w:pStyle w:val="Point0"/>
        <w:rPr>
          <w:noProof/>
        </w:rPr>
      </w:pPr>
      <w:r w:rsidRPr="00420537">
        <w:t>(9)</w:t>
      </w:r>
      <w:r w:rsidRPr="00420537">
        <w:tab/>
      </w:r>
      <w:r w:rsidR="00364813" w:rsidRPr="0096740E">
        <w:rPr>
          <w:noProof/>
        </w:rPr>
        <w:t>T</w:t>
      </w:r>
      <w:r w:rsidR="00002649" w:rsidRPr="0096740E">
        <w:rPr>
          <w:noProof/>
        </w:rPr>
        <w:t xml:space="preserve">o </w:t>
      </w:r>
      <w:r w:rsidR="00F358EC" w:rsidRPr="0096740E">
        <w:rPr>
          <w:noProof/>
        </w:rPr>
        <w:t>ensur</w:t>
      </w:r>
      <w:r w:rsidR="00364813" w:rsidRPr="0096740E">
        <w:rPr>
          <w:noProof/>
        </w:rPr>
        <w:t>e</w:t>
      </w:r>
      <w:r w:rsidR="00F358EC" w:rsidRPr="0096740E">
        <w:rPr>
          <w:noProof/>
        </w:rPr>
        <w:t xml:space="preserve"> th</w:t>
      </w:r>
      <w:r w:rsidR="00325B70" w:rsidRPr="0096740E">
        <w:rPr>
          <w:noProof/>
        </w:rPr>
        <w:t>e availability and quality of</w:t>
      </w:r>
      <w:r w:rsidR="00F358EC" w:rsidRPr="0096740E">
        <w:rPr>
          <w:noProof/>
        </w:rPr>
        <w:t xml:space="preserve"> the data and evidence </w:t>
      </w:r>
      <w:r w:rsidR="00325B70" w:rsidRPr="0096740E">
        <w:rPr>
          <w:noProof/>
        </w:rPr>
        <w:t xml:space="preserve">that are </w:t>
      </w:r>
      <w:r w:rsidR="00002649" w:rsidRPr="0096740E">
        <w:rPr>
          <w:noProof/>
        </w:rPr>
        <w:t xml:space="preserve">needed to put in place sound social and labour market policies </w:t>
      </w:r>
      <w:r w:rsidR="00325B70" w:rsidRPr="0096740E">
        <w:rPr>
          <w:noProof/>
        </w:rPr>
        <w:t>for</w:t>
      </w:r>
      <w:r w:rsidR="00002649" w:rsidRPr="0096740E">
        <w:rPr>
          <w:noProof/>
        </w:rPr>
        <w:t xml:space="preserve"> a </w:t>
      </w:r>
      <w:r w:rsidR="001C6DE0" w:rsidRPr="0096740E">
        <w:rPr>
          <w:noProof/>
        </w:rPr>
        <w:t>fair</w:t>
      </w:r>
      <w:r w:rsidR="00002649" w:rsidRPr="0096740E">
        <w:rPr>
          <w:noProof/>
        </w:rPr>
        <w:t xml:space="preserve"> transition to climate neutrality, Member States are invited to:</w:t>
      </w:r>
    </w:p>
    <w:p w14:paraId="5314111C" w14:textId="4D6F259C" w:rsidR="00002649" w:rsidRPr="0096740E" w:rsidRDefault="00420537" w:rsidP="00420537">
      <w:pPr>
        <w:pStyle w:val="Point1"/>
        <w:rPr>
          <w:noProof/>
        </w:rPr>
      </w:pPr>
      <w:r w:rsidRPr="00420537">
        <w:t>(a)</w:t>
      </w:r>
      <w:r w:rsidRPr="00420537">
        <w:tab/>
      </w:r>
      <w:r w:rsidR="00002649" w:rsidRPr="0096740E">
        <w:rPr>
          <w:noProof/>
        </w:rPr>
        <w:t xml:space="preserve">Strengthen the evidence base on </w:t>
      </w:r>
      <w:r w:rsidR="001C6DE0" w:rsidRPr="0096740E">
        <w:rPr>
          <w:noProof/>
        </w:rPr>
        <w:t>fair</w:t>
      </w:r>
      <w:r w:rsidR="00002649" w:rsidRPr="0096740E">
        <w:rPr>
          <w:noProof/>
        </w:rPr>
        <w:t xml:space="preserve"> transition policies by inter alia advancing the gradual harmonisation and consistency of definiti</w:t>
      </w:r>
      <w:r w:rsidR="00CB5E44">
        <w:rPr>
          <w:noProof/>
        </w:rPr>
        <w:t>ons, concepts and methodologies</w:t>
      </w:r>
      <w:r w:rsidR="002646BA" w:rsidRPr="0096740E">
        <w:rPr>
          <w:noProof/>
        </w:rPr>
        <w:t>,</w:t>
      </w:r>
      <w:r w:rsidR="00002649" w:rsidRPr="0096740E">
        <w:rPr>
          <w:noProof/>
        </w:rPr>
        <w:t xml:space="preserve"> </w:t>
      </w:r>
      <w:r w:rsidR="00F41181" w:rsidRPr="0096740E">
        <w:rPr>
          <w:noProof/>
        </w:rPr>
        <w:t xml:space="preserve">including on the basis of </w:t>
      </w:r>
      <w:r w:rsidR="00002649" w:rsidRPr="0096740E">
        <w:rPr>
          <w:noProof/>
        </w:rPr>
        <w:t>Commission Recommendation (EU) 2020/1563 on energy poverty</w:t>
      </w:r>
      <w:r w:rsidR="00985031" w:rsidRPr="0096740E">
        <w:rPr>
          <w:noProof/>
        </w:rPr>
        <w:t xml:space="preserve"> and follow-up actions in the Energy Poverty and Vulnerable Consumers Coordination Group</w:t>
      </w:r>
      <w:r w:rsidR="00FA77C7" w:rsidRPr="0096740E">
        <w:rPr>
          <w:noProof/>
        </w:rPr>
        <w:t>, and using available methods for policy impact evaluations</w:t>
      </w:r>
      <w:r w:rsidR="00985031" w:rsidRPr="0096740E">
        <w:rPr>
          <w:noProof/>
        </w:rPr>
        <w:t>. I</w:t>
      </w:r>
      <w:r w:rsidR="00EC388B" w:rsidRPr="0096740E">
        <w:rPr>
          <w:noProof/>
        </w:rPr>
        <w:t>nclud</w:t>
      </w:r>
      <w:r w:rsidR="00985031" w:rsidRPr="0096740E">
        <w:rPr>
          <w:noProof/>
        </w:rPr>
        <w:t>e</w:t>
      </w:r>
      <w:r w:rsidR="00EC388B" w:rsidRPr="0096740E">
        <w:rPr>
          <w:noProof/>
        </w:rPr>
        <w:t xml:space="preserve"> </w:t>
      </w:r>
      <w:r w:rsidR="00985031" w:rsidRPr="0096740E">
        <w:rPr>
          <w:noProof/>
        </w:rPr>
        <w:t xml:space="preserve">also </w:t>
      </w:r>
      <w:r w:rsidR="00EC388B" w:rsidRPr="0096740E">
        <w:rPr>
          <w:noProof/>
        </w:rPr>
        <w:t xml:space="preserve">evaluation and data collection strategies </w:t>
      </w:r>
      <w:r w:rsidR="00602C61" w:rsidRPr="0096740E">
        <w:rPr>
          <w:noProof/>
        </w:rPr>
        <w:t xml:space="preserve">in the preparation and design of relevant </w:t>
      </w:r>
      <w:r w:rsidR="00EC388B" w:rsidRPr="0096740E">
        <w:rPr>
          <w:noProof/>
        </w:rPr>
        <w:t>policy measures and legislative initiatives</w:t>
      </w:r>
      <w:r w:rsidR="00002649" w:rsidRPr="0096740E">
        <w:rPr>
          <w:noProof/>
        </w:rPr>
        <w:t xml:space="preserve">. </w:t>
      </w:r>
    </w:p>
    <w:p w14:paraId="43E13E42" w14:textId="1C85A09B" w:rsidR="00002649" w:rsidRPr="0096740E" w:rsidRDefault="00420537" w:rsidP="00420537">
      <w:pPr>
        <w:pStyle w:val="Point1"/>
        <w:rPr>
          <w:noProof/>
        </w:rPr>
      </w:pPr>
      <w:r w:rsidRPr="00420537">
        <w:t>(b)</w:t>
      </w:r>
      <w:r w:rsidRPr="00420537">
        <w:tab/>
      </w:r>
      <w:r w:rsidR="00F41181" w:rsidRPr="0096740E">
        <w:rPr>
          <w:noProof/>
        </w:rPr>
        <w:t>Develop and m</w:t>
      </w:r>
      <w:r w:rsidR="00002649" w:rsidRPr="0096740E">
        <w:rPr>
          <w:noProof/>
        </w:rPr>
        <w:t xml:space="preserve">ainstream the use of robust and transparent employment, social and distributional </w:t>
      </w:r>
      <w:r w:rsidR="00EC388B" w:rsidRPr="0096740E">
        <w:rPr>
          <w:noProof/>
        </w:rPr>
        <w:t>(ex</w:t>
      </w:r>
      <w:r w:rsidR="00E078F3" w:rsidRPr="0096740E">
        <w:rPr>
          <w:noProof/>
        </w:rPr>
        <w:t>-</w:t>
      </w:r>
      <w:r w:rsidR="00EC388B" w:rsidRPr="0096740E">
        <w:rPr>
          <w:noProof/>
        </w:rPr>
        <w:t xml:space="preserve">ante) </w:t>
      </w:r>
      <w:r w:rsidR="00002649" w:rsidRPr="0096740E">
        <w:rPr>
          <w:noProof/>
        </w:rPr>
        <w:t>impact assessments as part of national climate, energy and environmental reforms and measures.</w:t>
      </w:r>
    </w:p>
    <w:p w14:paraId="331E30B6" w14:textId="3D846E3B" w:rsidR="00002649" w:rsidRPr="0096740E" w:rsidRDefault="00420537" w:rsidP="00420537">
      <w:pPr>
        <w:pStyle w:val="Point1"/>
        <w:rPr>
          <w:noProof/>
        </w:rPr>
      </w:pPr>
      <w:r w:rsidRPr="00420537">
        <w:t>(c)</w:t>
      </w:r>
      <w:r w:rsidRPr="00420537">
        <w:tab/>
      </w:r>
      <w:r w:rsidR="00002649" w:rsidRPr="0096740E">
        <w:rPr>
          <w:noProof/>
        </w:rPr>
        <w:t xml:space="preserve">Ensure effective and transparent monitoring and </w:t>
      </w:r>
      <w:r w:rsidR="00B660A8" w:rsidRPr="0096740E">
        <w:rPr>
          <w:noProof/>
        </w:rPr>
        <w:t xml:space="preserve">independent </w:t>
      </w:r>
      <w:r w:rsidR="00EC388B" w:rsidRPr="0096740E">
        <w:rPr>
          <w:noProof/>
        </w:rPr>
        <w:t>(ex</w:t>
      </w:r>
      <w:r w:rsidR="00E078F3" w:rsidRPr="0096740E">
        <w:rPr>
          <w:noProof/>
        </w:rPr>
        <w:t>-</w:t>
      </w:r>
      <w:r w:rsidR="00EC388B" w:rsidRPr="0096740E">
        <w:rPr>
          <w:noProof/>
        </w:rPr>
        <w:t xml:space="preserve">post) </w:t>
      </w:r>
      <w:r w:rsidR="00002649" w:rsidRPr="0096740E">
        <w:rPr>
          <w:noProof/>
        </w:rPr>
        <w:t>evaluation of the employment, social and distributional effects of national reforms and measures contributing to climate and environmental objectives</w:t>
      </w:r>
      <w:r w:rsidR="00B660A8" w:rsidRPr="0096740E">
        <w:rPr>
          <w:noProof/>
        </w:rPr>
        <w:t xml:space="preserve">, involving social partners and other stakeholders in the </w:t>
      </w:r>
      <w:r w:rsidR="00D74FBC" w:rsidRPr="0096740E">
        <w:rPr>
          <w:noProof/>
        </w:rPr>
        <w:t>identification of</w:t>
      </w:r>
      <w:r w:rsidR="00B660A8" w:rsidRPr="0096740E">
        <w:rPr>
          <w:noProof/>
        </w:rPr>
        <w:t xml:space="preserve"> evaluation questions</w:t>
      </w:r>
      <w:r w:rsidR="00D74FBC" w:rsidRPr="0096740E">
        <w:rPr>
          <w:noProof/>
        </w:rPr>
        <w:t xml:space="preserve"> and, as relevant, in the design and implementation of evaluation and consultation strategies</w:t>
      </w:r>
      <w:r w:rsidR="00002649" w:rsidRPr="0096740E">
        <w:rPr>
          <w:noProof/>
        </w:rPr>
        <w:t>.</w:t>
      </w:r>
    </w:p>
    <w:p w14:paraId="283F7B94" w14:textId="4EB62A5F" w:rsidR="00827F8D" w:rsidRPr="0096740E" w:rsidRDefault="00420537" w:rsidP="00420537">
      <w:pPr>
        <w:pStyle w:val="Point1"/>
        <w:rPr>
          <w:noProof/>
        </w:rPr>
      </w:pPr>
      <w:r w:rsidRPr="00420537">
        <w:t>(d)</w:t>
      </w:r>
      <w:r w:rsidRPr="00420537">
        <w:tab/>
      </w:r>
      <w:r w:rsidR="00827F8D" w:rsidRPr="0096740E">
        <w:rPr>
          <w:noProof/>
        </w:rPr>
        <w:t>Strengthen research and innovation actions</w:t>
      </w:r>
      <w:r w:rsidR="000A4ED0" w:rsidRPr="0096740E">
        <w:rPr>
          <w:noProof/>
        </w:rPr>
        <w:t xml:space="preserve"> at </w:t>
      </w:r>
      <w:r w:rsidR="006E08DB" w:rsidRPr="0096740E">
        <w:rPr>
          <w:noProof/>
        </w:rPr>
        <w:t>national and EU levels</w:t>
      </w:r>
      <w:r w:rsidR="00827F8D" w:rsidRPr="0096740E">
        <w:rPr>
          <w:noProof/>
        </w:rPr>
        <w:t xml:space="preserve"> </w:t>
      </w:r>
      <w:r w:rsidR="00125C75" w:rsidRPr="0096740E">
        <w:rPr>
          <w:noProof/>
        </w:rPr>
        <w:t xml:space="preserve">including through funding from the Horizon Europe programme, </w:t>
      </w:r>
      <w:r w:rsidR="00827F8D" w:rsidRPr="0096740E">
        <w:rPr>
          <w:noProof/>
        </w:rPr>
        <w:t xml:space="preserve">to enhance the modelling and assessment of the macroeconomic, employment and social dimension of </w:t>
      </w:r>
      <w:r w:rsidR="006E08DB" w:rsidRPr="0096740E">
        <w:rPr>
          <w:noProof/>
        </w:rPr>
        <w:t>climate change policies</w:t>
      </w:r>
      <w:r w:rsidR="00827F8D" w:rsidRPr="0096740E">
        <w:rPr>
          <w:noProof/>
        </w:rPr>
        <w:t xml:space="preserve">. </w:t>
      </w:r>
      <w:r w:rsidR="00003E7D" w:rsidRPr="0096740E">
        <w:rPr>
          <w:noProof/>
        </w:rPr>
        <w:t xml:space="preserve">Promote the involvement of social partners in the implementation of relevant </w:t>
      </w:r>
      <w:r w:rsidR="00B259B4" w:rsidRPr="0096740E">
        <w:rPr>
          <w:noProof/>
        </w:rPr>
        <w:t xml:space="preserve">research and innovation actions, notably </w:t>
      </w:r>
      <w:r w:rsidR="00003E7D" w:rsidRPr="0096740E">
        <w:rPr>
          <w:noProof/>
        </w:rPr>
        <w:t>Horizon Europe missions</w:t>
      </w:r>
      <w:r w:rsidR="00B259B4" w:rsidRPr="0096740E">
        <w:rPr>
          <w:noProof/>
        </w:rPr>
        <w:t xml:space="preserve"> </w:t>
      </w:r>
      <w:r w:rsidR="00003E7D" w:rsidRPr="0096740E">
        <w:rPr>
          <w:noProof/>
        </w:rPr>
        <w:t>on ‘Climate change adaptation, including Societal Transformation’ and on ‘Smart and climate-neutral cities’, which can help develop practical solutions in support of the green transition at regional and local levels.</w:t>
      </w:r>
    </w:p>
    <w:p w14:paraId="26749EDB" w14:textId="6C9FEF8F" w:rsidR="00002649" w:rsidRPr="0058076B" w:rsidRDefault="00420537" w:rsidP="00420537">
      <w:pPr>
        <w:pStyle w:val="Point1"/>
        <w:rPr>
          <w:noProof/>
        </w:rPr>
      </w:pPr>
      <w:r w:rsidRPr="00420537">
        <w:t>(e)</w:t>
      </w:r>
      <w:r w:rsidRPr="00420537">
        <w:tab/>
      </w:r>
      <w:r w:rsidR="00002649" w:rsidRPr="0096740E">
        <w:rPr>
          <w:noProof/>
        </w:rPr>
        <w:t xml:space="preserve">Present the outcomes of evaluations, foresight and monitoring exercises to the public </w:t>
      </w:r>
      <w:r w:rsidR="00B660A8" w:rsidRPr="0096740E">
        <w:rPr>
          <w:noProof/>
        </w:rPr>
        <w:t xml:space="preserve">at </w:t>
      </w:r>
      <w:r w:rsidR="00002649" w:rsidRPr="0096740E">
        <w:rPr>
          <w:noProof/>
        </w:rPr>
        <w:t>regular intervals, and organise exchanges with social partners, civil society and other stakeholders on the main outcomes and possible ad</w:t>
      </w:r>
      <w:r w:rsidR="001C6DE0" w:rsidRPr="0096740E">
        <w:rPr>
          <w:noProof/>
        </w:rPr>
        <w:t>just</w:t>
      </w:r>
      <w:r w:rsidR="00002649" w:rsidRPr="0096740E">
        <w:rPr>
          <w:noProof/>
        </w:rPr>
        <w:t xml:space="preserve">ments. </w:t>
      </w:r>
    </w:p>
    <w:p w14:paraId="111DA6A6" w14:textId="77777777" w:rsidR="00EE5BEF" w:rsidRDefault="00EE5BEF" w:rsidP="00002649">
      <w:pPr>
        <w:ind w:left="567" w:hanging="567"/>
        <w:rPr>
          <w:rFonts w:eastAsia="Calibri"/>
          <w:b/>
          <w:noProof/>
        </w:rPr>
      </w:pPr>
    </w:p>
    <w:p w14:paraId="62FEF2FA" w14:textId="34E0049C" w:rsidR="00002649" w:rsidRPr="001220D5" w:rsidRDefault="00002649" w:rsidP="00002649">
      <w:pPr>
        <w:ind w:left="567" w:hanging="567"/>
        <w:rPr>
          <w:rFonts w:eastAsia="Calibri"/>
          <w:noProof/>
        </w:rPr>
      </w:pPr>
      <w:r w:rsidRPr="001220D5">
        <w:rPr>
          <w:rFonts w:eastAsia="Calibri"/>
          <w:noProof/>
        </w:rPr>
        <w:t>OPTIMAL USE OF PUBLIC AND PRIVATE FUNDING</w:t>
      </w:r>
    </w:p>
    <w:p w14:paraId="69BC3C3B" w14:textId="552AF904" w:rsidR="00002649" w:rsidRPr="0096740E" w:rsidRDefault="00420537" w:rsidP="00420537">
      <w:pPr>
        <w:pStyle w:val="Point0"/>
        <w:rPr>
          <w:noProof/>
        </w:rPr>
      </w:pPr>
      <w:r w:rsidRPr="00420537">
        <w:t>(10)</w:t>
      </w:r>
      <w:r w:rsidRPr="00420537">
        <w:tab/>
      </w:r>
      <w:r w:rsidR="00364813" w:rsidRPr="0096740E">
        <w:rPr>
          <w:noProof/>
        </w:rPr>
        <w:t>T</w:t>
      </w:r>
      <w:r w:rsidR="00002649" w:rsidRPr="0096740E">
        <w:rPr>
          <w:noProof/>
        </w:rPr>
        <w:t>o provid</w:t>
      </w:r>
      <w:r w:rsidR="00364813" w:rsidRPr="0096740E">
        <w:rPr>
          <w:noProof/>
        </w:rPr>
        <w:t>e</w:t>
      </w:r>
      <w:r w:rsidR="00002649" w:rsidRPr="0096740E">
        <w:rPr>
          <w:noProof/>
        </w:rPr>
        <w:t xml:space="preserve"> </w:t>
      </w:r>
      <w:r w:rsidR="00961A6B" w:rsidRPr="0096740E">
        <w:rPr>
          <w:noProof/>
        </w:rPr>
        <w:t>cost-</w:t>
      </w:r>
      <w:r w:rsidR="00002649" w:rsidRPr="0096740E">
        <w:rPr>
          <w:noProof/>
        </w:rPr>
        <w:t xml:space="preserve">effective </w:t>
      </w:r>
      <w:r w:rsidR="008F35E8" w:rsidRPr="0096740E">
        <w:rPr>
          <w:noProof/>
        </w:rPr>
        <w:t xml:space="preserve">investment and </w:t>
      </w:r>
      <w:r w:rsidR="00002649" w:rsidRPr="0096740E">
        <w:rPr>
          <w:noProof/>
        </w:rPr>
        <w:t>financial support</w:t>
      </w:r>
      <w:r w:rsidR="004D5495" w:rsidRPr="0096740E">
        <w:rPr>
          <w:noProof/>
        </w:rPr>
        <w:t xml:space="preserve"> in line with the state aid framework</w:t>
      </w:r>
      <w:r w:rsidR="00002649" w:rsidRPr="0096740E">
        <w:rPr>
          <w:noProof/>
        </w:rPr>
        <w:t xml:space="preserve"> to address the social and labour markets aspects of </w:t>
      </w:r>
      <w:r w:rsidR="006D51CC" w:rsidRPr="0096740E">
        <w:rPr>
          <w:noProof/>
        </w:rPr>
        <w:t xml:space="preserve">a </w:t>
      </w:r>
      <w:r w:rsidR="001C6DE0" w:rsidRPr="0096740E">
        <w:rPr>
          <w:noProof/>
        </w:rPr>
        <w:t>fair</w:t>
      </w:r>
      <w:r w:rsidR="006D51CC" w:rsidRPr="0096740E">
        <w:rPr>
          <w:noProof/>
        </w:rPr>
        <w:t xml:space="preserve"> green</w:t>
      </w:r>
      <w:r w:rsidR="00002649" w:rsidRPr="0096740E">
        <w:rPr>
          <w:noProof/>
        </w:rPr>
        <w:t xml:space="preserve"> transition, </w:t>
      </w:r>
      <w:r w:rsidR="00125C75" w:rsidRPr="0096740E">
        <w:rPr>
          <w:noProof/>
        </w:rPr>
        <w:t>while exploiting synergies across available programmes and instruments</w:t>
      </w:r>
      <w:r w:rsidR="00F60E3A">
        <w:rPr>
          <w:noProof/>
        </w:rPr>
        <w:t xml:space="preserve">, and focusing on regions </w:t>
      </w:r>
      <w:r w:rsidR="00F60E3A" w:rsidRPr="00277C69">
        <w:rPr>
          <w:noProof/>
        </w:rPr>
        <w:t xml:space="preserve">and </w:t>
      </w:r>
      <w:r w:rsidR="00101B20" w:rsidRPr="00277C69">
        <w:rPr>
          <w:noProof/>
        </w:rPr>
        <w:t xml:space="preserve">industrial </w:t>
      </w:r>
      <w:r w:rsidR="00F60E3A" w:rsidRPr="00277C69">
        <w:rPr>
          <w:noProof/>
        </w:rPr>
        <w:t>ecosystems</w:t>
      </w:r>
      <w:r w:rsidR="00F60E3A">
        <w:rPr>
          <w:noProof/>
        </w:rPr>
        <w:t xml:space="preserve"> most affected</w:t>
      </w:r>
      <w:r w:rsidR="00125C75" w:rsidRPr="0096740E">
        <w:rPr>
          <w:noProof/>
        </w:rPr>
        <w:t xml:space="preserve">, </w:t>
      </w:r>
      <w:r w:rsidR="00002649" w:rsidRPr="0096740E">
        <w:rPr>
          <w:noProof/>
        </w:rPr>
        <w:t>Member States are invited to:</w:t>
      </w:r>
    </w:p>
    <w:p w14:paraId="755F9459" w14:textId="690A8F5E" w:rsidR="0008456C" w:rsidRPr="0096740E" w:rsidRDefault="00420537" w:rsidP="00420537">
      <w:pPr>
        <w:pStyle w:val="Point1"/>
        <w:rPr>
          <w:noProof/>
        </w:rPr>
      </w:pPr>
      <w:r w:rsidRPr="00420537">
        <w:t>(a)</w:t>
      </w:r>
      <w:r w:rsidRPr="00420537">
        <w:tab/>
      </w:r>
      <w:r w:rsidR="0008456C" w:rsidRPr="0096740E">
        <w:rPr>
          <w:noProof/>
        </w:rPr>
        <w:t>Implement fully the relevant reforms and investments under the Recovery and Resilience Plans, ensuring complementarity with other funds.</w:t>
      </w:r>
    </w:p>
    <w:p w14:paraId="6ECB1044" w14:textId="55318D67" w:rsidR="0008456C" w:rsidRPr="0096740E" w:rsidRDefault="00420537" w:rsidP="00420537">
      <w:pPr>
        <w:pStyle w:val="Point1"/>
        <w:rPr>
          <w:noProof/>
        </w:rPr>
      </w:pPr>
      <w:r w:rsidRPr="00420537">
        <w:t>(b)</w:t>
      </w:r>
      <w:r w:rsidRPr="00420537">
        <w:tab/>
      </w:r>
      <w:r w:rsidR="0008456C" w:rsidRPr="0096740E">
        <w:rPr>
          <w:noProof/>
        </w:rPr>
        <w:t>Mobilise, and ensure a coherent and optimal use of existing instruments and funding options, including technical assistance, at Member States and EU level</w:t>
      </w:r>
      <w:r w:rsidR="00627D9D" w:rsidRPr="0096740E">
        <w:rPr>
          <w:noProof/>
        </w:rPr>
        <w:t>, to support relevant actions and investments</w:t>
      </w:r>
      <w:r w:rsidR="0008456C" w:rsidRPr="0096740E">
        <w:rPr>
          <w:noProof/>
        </w:rPr>
        <w:t xml:space="preserve">. EU funding instruments comprise, in particular, the Cohesion Policy funds, the Just Transition Mechanism, InvestEU, the Technical Support Instrument, </w:t>
      </w:r>
      <w:r w:rsidR="0008456C" w:rsidRPr="00BD122F">
        <w:rPr>
          <w:rFonts w:eastAsia="Calibri"/>
          <w:noProof/>
        </w:rPr>
        <w:t xml:space="preserve">ERASMUS+, </w:t>
      </w:r>
      <w:r w:rsidR="0008456C" w:rsidRPr="0096740E">
        <w:rPr>
          <w:noProof/>
        </w:rPr>
        <w:t xml:space="preserve">the </w:t>
      </w:r>
      <w:r w:rsidR="0008456C" w:rsidRPr="00BD122F">
        <w:rPr>
          <w:rFonts w:eastAsia="Calibri"/>
          <w:noProof/>
        </w:rPr>
        <w:t>European Globalisation Adjustment Fund for Displaced Workers (EGF), the LIFE programme</w:t>
      </w:r>
      <w:r w:rsidR="00A56083" w:rsidRPr="00BD122F">
        <w:rPr>
          <w:rFonts w:eastAsia="Calibri"/>
          <w:noProof/>
        </w:rPr>
        <w:t>, and the Modernisation Fund</w:t>
      </w:r>
      <w:r w:rsidR="0008456C" w:rsidRPr="0096740E">
        <w:rPr>
          <w:noProof/>
        </w:rPr>
        <w:t xml:space="preserve">. </w:t>
      </w:r>
    </w:p>
    <w:p w14:paraId="7F3BFD4E" w14:textId="583A71EE" w:rsidR="00002649" w:rsidRPr="00BD122F" w:rsidRDefault="00420537" w:rsidP="00420537">
      <w:pPr>
        <w:pStyle w:val="Point1"/>
        <w:rPr>
          <w:noProof/>
        </w:rPr>
      </w:pPr>
      <w:r w:rsidRPr="00420537">
        <w:t>(c)</w:t>
      </w:r>
      <w:r w:rsidRPr="00420537">
        <w:tab/>
      </w:r>
      <w:r w:rsidR="00002649" w:rsidRPr="00BD122F">
        <w:rPr>
          <w:noProof/>
        </w:rPr>
        <w:t xml:space="preserve">Commit and deploy adequate national resources to contribute to the implementation of comprehensive sets of measures delivering a </w:t>
      </w:r>
      <w:r w:rsidR="004369E8" w:rsidRPr="00BD122F">
        <w:rPr>
          <w:noProof/>
        </w:rPr>
        <w:t xml:space="preserve">fair </w:t>
      </w:r>
      <w:r w:rsidR="00002649" w:rsidRPr="00BD122F">
        <w:rPr>
          <w:noProof/>
        </w:rPr>
        <w:t>green transition</w:t>
      </w:r>
      <w:r w:rsidR="001E4678" w:rsidRPr="00BD122F">
        <w:rPr>
          <w:noProof/>
        </w:rPr>
        <w:t>. These measures should be adequately financed,</w:t>
      </w:r>
      <w:r w:rsidR="00002649" w:rsidRPr="00BD122F">
        <w:rPr>
          <w:noProof/>
        </w:rPr>
        <w:t xml:space="preserve"> including by </w:t>
      </w:r>
      <w:r w:rsidR="001E4678" w:rsidRPr="00BD122F">
        <w:rPr>
          <w:noProof/>
        </w:rPr>
        <w:t>improving the quality of public expenditure</w:t>
      </w:r>
      <w:r w:rsidR="00961A6B" w:rsidRPr="00BD122F">
        <w:rPr>
          <w:noProof/>
        </w:rPr>
        <w:t>, mobilising further private financing,</w:t>
      </w:r>
      <w:r w:rsidR="001E4678" w:rsidRPr="00BD122F">
        <w:rPr>
          <w:noProof/>
        </w:rPr>
        <w:t xml:space="preserve"> and/or using additional public revenues, also </w:t>
      </w:r>
      <w:r w:rsidR="00002649" w:rsidRPr="00BD122F">
        <w:rPr>
          <w:noProof/>
        </w:rPr>
        <w:t xml:space="preserve">drawing on </w:t>
      </w:r>
      <w:r w:rsidR="003F7D80" w:rsidRPr="00BD122F">
        <w:rPr>
          <w:noProof/>
        </w:rPr>
        <w:t xml:space="preserve">increasing </w:t>
      </w:r>
      <w:r w:rsidR="00002649" w:rsidRPr="00BD122F">
        <w:rPr>
          <w:noProof/>
        </w:rPr>
        <w:t xml:space="preserve">revenues from </w:t>
      </w:r>
      <w:r w:rsidR="003F7D80" w:rsidRPr="00BD122F">
        <w:rPr>
          <w:noProof/>
        </w:rPr>
        <w:t>emissions trading</w:t>
      </w:r>
      <w:r w:rsidR="00002649" w:rsidRPr="00BD122F">
        <w:rPr>
          <w:noProof/>
        </w:rPr>
        <w:t>.</w:t>
      </w:r>
      <w:r w:rsidR="004369E8" w:rsidRPr="00BD122F">
        <w:rPr>
          <w:noProof/>
        </w:rPr>
        <w:t xml:space="preserve"> Take into account employment, social and distributional aspects in the </w:t>
      </w:r>
      <w:r w:rsidR="004369E8" w:rsidRPr="0096740E">
        <w:rPr>
          <w:noProof/>
        </w:rPr>
        <w:t>development of green budgeting practices.</w:t>
      </w:r>
    </w:p>
    <w:p w14:paraId="2240C029" w14:textId="5E7C0E38" w:rsidR="004D5495" w:rsidRDefault="00420537" w:rsidP="00420537">
      <w:pPr>
        <w:pStyle w:val="Point1"/>
        <w:rPr>
          <w:noProof/>
        </w:rPr>
      </w:pPr>
      <w:r w:rsidRPr="00420537">
        <w:t>(d)</w:t>
      </w:r>
      <w:r w:rsidRPr="00420537">
        <w:tab/>
      </w:r>
      <w:r w:rsidR="004D5495" w:rsidRPr="0096740E">
        <w:rPr>
          <w:noProof/>
        </w:rPr>
        <w:t>Design a balanced mix of measures in the national Social Climate Plans under the proposed Social Climate Fund</w:t>
      </w:r>
      <w:r w:rsidR="000769BB" w:rsidRPr="0096740E">
        <w:rPr>
          <w:noProof/>
        </w:rPr>
        <w:t xml:space="preserve">, including </w:t>
      </w:r>
      <w:r w:rsidR="004D5495" w:rsidRPr="0096740E">
        <w:rPr>
          <w:noProof/>
        </w:rPr>
        <w:t xml:space="preserve">by </w:t>
      </w:r>
      <w:r w:rsidR="00136B4C" w:rsidRPr="0096740E">
        <w:rPr>
          <w:noProof/>
        </w:rPr>
        <w:t xml:space="preserve">complementing </w:t>
      </w:r>
      <w:r w:rsidR="004D5495" w:rsidRPr="0096740E">
        <w:rPr>
          <w:noProof/>
        </w:rPr>
        <w:t>green investments</w:t>
      </w:r>
      <w:r w:rsidR="00884DA4" w:rsidRPr="0096740E">
        <w:rPr>
          <w:noProof/>
        </w:rPr>
        <w:t>, where needed pending the impact of investments on reducing emissions and energy bills,</w:t>
      </w:r>
      <w:r w:rsidR="004D5495" w:rsidRPr="0096740E">
        <w:rPr>
          <w:noProof/>
        </w:rPr>
        <w:t xml:space="preserve"> </w:t>
      </w:r>
      <w:r w:rsidR="000769BB" w:rsidRPr="0096740E">
        <w:rPr>
          <w:noProof/>
        </w:rPr>
        <w:t xml:space="preserve">with </w:t>
      </w:r>
      <w:r w:rsidR="004D5495" w:rsidRPr="0096740E">
        <w:rPr>
          <w:noProof/>
        </w:rPr>
        <w:t xml:space="preserve">temporary </w:t>
      </w:r>
      <w:r w:rsidR="00C05CB4" w:rsidRPr="0096740E">
        <w:rPr>
          <w:noProof/>
        </w:rPr>
        <w:t xml:space="preserve">and targeted </w:t>
      </w:r>
      <w:r w:rsidR="004D5495" w:rsidRPr="0096740E">
        <w:rPr>
          <w:noProof/>
        </w:rPr>
        <w:t>income support measures to compensate vulnerable households</w:t>
      </w:r>
      <w:r w:rsidR="00884DA4" w:rsidRPr="0096740E">
        <w:rPr>
          <w:noProof/>
        </w:rPr>
        <w:t xml:space="preserve"> and households that are</w:t>
      </w:r>
      <w:r w:rsidR="004D5495" w:rsidRPr="0096740E">
        <w:rPr>
          <w:noProof/>
        </w:rPr>
        <w:t xml:space="preserve"> transport users, </w:t>
      </w:r>
      <w:r w:rsidR="00E87256" w:rsidRPr="0096740E">
        <w:rPr>
          <w:noProof/>
        </w:rPr>
        <w:t>taking also into account</w:t>
      </w:r>
      <w:r w:rsidR="004D5495" w:rsidRPr="0096740E">
        <w:rPr>
          <w:noProof/>
        </w:rPr>
        <w:t xml:space="preserve"> </w:t>
      </w:r>
      <w:r w:rsidR="00AE0569" w:rsidRPr="0096740E">
        <w:rPr>
          <w:noProof/>
        </w:rPr>
        <w:t xml:space="preserve">as appropriate </w:t>
      </w:r>
      <w:r w:rsidR="00216EB6" w:rsidRPr="0096740E">
        <w:rPr>
          <w:noProof/>
        </w:rPr>
        <w:t xml:space="preserve">relevant </w:t>
      </w:r>
      <w:r w:rsidR="004D5495" w:rsidRPr="0096740E">
        <w:rPr>
          <w:noProof/>
        </w:rPr>
        <w:t>country-specific challenges identified and recommendations issued in the context of the European Semester.</w:t>
      </w:r>
    </w:p>
    <w:p w14:paraId="60FDF135" w14:textId="2F7D4048" w:rsidR="001220D5" w:rsidRPr="0096740E" w:rsidRDefault="001220D5" w:rsidP="00AE5D56">
      <w:pPr>
        <w:rPr>
          <w:noProof/>
        </w:rPr>
      </w:pPr>
    </w:p>
    <w:p w14:paraId="2918BC7D" w14:textId="77777777" w:rsidR="00EC0681" w:rsidRPr="001220D5" w:rsidRDefault="00847202" w:rsidP="009C2412">
      <w:pPr>
        <w:rPr>
          <w:noProof/>
        </w:rPr>
      </w:pPr>
      <w:r w:rsidRPr="001220D5">
        <w:rPr>
          <w:bCs/>
          <w:noProof/>
        </w:rPr>
        <w:t xml:space="preserve">FUTURE ACTIONS FOR A FAIR </w:t>
      </w:r>
      <w:r w:rsidR="000E1983" w:rsidRPr="001220D5">
        <w:rPr>
          <w:bCs/>
          <w:noProof/>
        </w:rPr>
        <w:t xml:space="preserve">GREEN </w:t>
      </w:r>
      <w:r w:rsidRPr="001220D5">
        <w:rPr>
          <w:bCs/>
          <w:noProof/>
        </w:rPr>
        <w:t>TRANS</w:t>
      </w:r>
      <w:r w:rsidR="000E1983" w:rsidRPr="001220D5">
        <w:rPr>
          <w:bCs/>
          <w:noProof/>
        </w:rPr>
        <w:t>I</w:t>
      </w:r>
      <w:r w:rsidRPr="001220D5">
        <w:rPr>
          <w:bCs/>
          <w:noProof/>
        </w:rPr>
        <w:t>TION</w:t>
      </w:r>
    </w:p>
    <w:p w14:paraId="3503C7D9" w14:textId="06CC1631" w:rsidR="00002649" w:rsidRPr="0096740E" w:rsidRDefault="00420537" w:rsidP="00420537">
      <w:pPr>
        <w:pStyle w:val="Point0"/>
        <w:rPr>
          <w:noProof/>
        </w:rPr>
      </w:pPr>
      <w:r w:rsidRPr="00420537">
        <w:t>(11)</w:t>
      </w:r>
      <w:r w:rsidRPr="00420537">
        <w:tab/>
      </w:r>
      <w:r w:rsidR="00364813" w:rsidRPr="0096740E">
        <w:rPr>
          <w:noProof/>
        </w:rPr>
        <w:t>T</w:t>
      </w:r>
      <w:r w:rsidR="00002649" w:rsidRPr="0096740E">
        <w:rPr>
          <w:noProof/>
        </w:rPr>
        <w:t>o pursu</w:t>
      </w:r>
      <w:r w:rsidR="00364813" w:rsidRPr="0096740E">
        <w:rPr>
          <w:noProof/>
        </w:rPr>
        <w:t>e</w:t>
      </w:r>
      <w:r w:rsidR="00002649" w:rsidRPr="0096740E">
        <w:rPr>
          <w:noProof/>
        </w:rPr>
        <w:t xml:space="preserve"> useful follow-up actions to this Council Recommendation, the </w:t>
      </w:r>
      <w:r w:rsidR="00985031" w:rsidRPr="0096740E">
        <w:rPr>
          <w:noProof/>
        </w:rPr>
        <w:t>Council of the European Union welcomes the</w:t>
      </w:r>
      <w:r w:rsidR="0038506C" w:rsidRPr="0096740E">
        <w:rPr>
          <w:noProof/>
        </w:rPr>
        <w:t xml:space="preserve"> </w:t>
      </w:r>
      <w:r w:rsidR="00985031" w:rsidRPr="0096740E">
        <w:rPr>
          <w:noProof/>
        </w:rPr>
        <w:t>Commission’s intention to</w:t>
      </w:r>
      <w:r w:rsidR="00002649" w:rsidRPr="0096740E">
        <w:rPr>
          <w:noProof/>
        </w:rPr>
        <w:t>:</w:t>
      </w:r>
    </w:p>
    <w:p w14:paraId="1F4BF94C" w14:textId="2402498B" w:rsidR="000F5D99" w:rsidRDefault="00420537" w:rsidP="00420537">
      <w:pPr>
        <w:pStyle w:val="Point1"/>
        <w:rPr>
          <w:noProof/>
        </w:rPr>
      </w:pPr>
      <w:r w:rsidRPr="00420537">
        <w:t>(a)</w:t>
      </w:r>
      <w:r w:rsidRPr="00420537">
        <w:tab/>
      </w:r>
      <w:r w:rsidR="000F5D99" w:rsidRPr="0096740E">
        <w:rPr>
          <w:noProof/>
        </w:rPr>
        <w:t>Further enhance the exchanges with key stakeholders</w:t>
      </w:r>
      <w:r w:rsidR="000F5D99">
        <w:rPr>
          <w:noProof/>
        </w:rPr>
        <w:t>,</w:t>
      </w:r>
      <w:r w:rsidR="000F5D99" w:rsidRPr="0096740E">
        <w:rPr>
          <w:noProof/>
        </w:rPr>
        <w:t xml:space="preserve"> people and communities concerned as well as exchanges of best practices, </w:t>
      </w:r>
      <w:r w:rsidR="000F5D99" w:rsidRPr="00277C69">
        <w:rPr>
          <w:noProof/>
        </w:rPr>
        <w:t>including</w:t>
      </w:r>
      <w:r w:rsidR="000F5D99" w:rsidRPr="0096740E">
        <w:rPr>
          <w:noProof/>
        </w:rPr>
        <w:t xml:space="preserve"> </w:t>
      </w:r>
      <w:r w:rsidR="000F5D99">
        <w:rPr>
          <w:noProof/>
        </w:rPr>
        <w:t>in the context of industrial ecosystems' transition pathways</w:t>
      </w:r>
      <w:r w:rsidR="000F5D99">
        <w:rPr>
          <w:rStyle w:val="FootnoteReference"/>
          <w:noProof/>
        </w:rPr>
        <w:footnoteReference w:id="118"/>
      </w:r>
      <w:r w:rsidR="000F5D99">
        <w:rPr>
          <w:noProof/>
        </w:rPr>
        <w:t xml:space="preserve">, </w:t>
      </w:r>
      <w:r w:rsidR="000F5D99" w:rsidRPr="00277C69">
        <w:rPr>
          <w:noProof/>
        </w:rPr>
        <w:t>notably</w:t>
      </w:r>
      <w:r w:rsidR="000F5D99">
        <w:rPr>
          <w:noProof/>
        </w:rPr>
        <w:t xml:space="preserve"> </w:t>
      </w:r>
      <w:r w:rsidR="000F5D99" w:rsidRPr="0096740E">
        <w:rPr>
          <w:noProof/>
        </w:rPr>
        <w:t>in a cross border context and with a focus on the regions and sectors most affected.</w:t>
      </w:r>
      <w:r w:rsidR="000F5D99">
        <w:rPr>
          <w:noProof/>
        </w:rPr>
        <w:t xml:space="preserve"> </w:t>
      </w:r>
    </w:p>
    <w:p w14:paraId="6028D694" w14:textId="07A6C5E3" w:rsidR="00A57EDA" w:rsidRPr="0096740E" w:rsidRDefault="00420537" w:rsidP="00420537">
      <w:pPr>
        <w:pStyle w:val="Point1"/>
        <w:rPr>
          <w:noProof/>
        </w:rPr>
      </w:pPr>
      <w:r w:rsidRPr="00420537">
        <w:t>(b)</w:t>
      </w:r>
      <w:r w:rsidRPr="00420537">
        <w:tab/>
      </w:r>
      <w:r w:rsidR="00A57EDA" w:rsidRPr="000F5D99">
        <w:rPr>
          <w:noProof/>
        </w:rPr>
        <w:t>Support the enhancement of the adequacy, consistency and effectiveness of Member States’ fair transition policies, including for the employment, social and distributional aspects to be considered in the design, implementation, monitoring and assessment of the national plans and long-term strategies, possibly also in the context of the future review of the Governance Regulation as appropriate.</w:t>
      </w:r>
    </w:p>
    <w:p w14:paraId="1AAE6F31" w14:textId="68EA82BF" w:rsidR="00002649" w:rsidRPr="0096740E" w:rsidRDefault="00420537" w:rsidP="00420537">
      <w:pPr>
        <w:pStyle w:val="Point1"/>
        <w:rPr>
          <w:noProof/>
        </w:rPr>
      </w:pPr>
      <w:r w:rsidRPr="00420537">
        <w:t>(c)</w:t>
      </w:r>
      <w:r w:rsidRPr="00420537">
        <w:tab/>
      </w:r>
      <w:r w:rsidR="00002649" w:rsidRPr="00BD122F">
        <w:rPr>
          <w:noProof/>
        </w:rPr>
        <w:t>Strengthen the database</w:t>
      </w:r>
      <w:r w:rsidR="00EF1924" w:rsidRPr="00BD122F">
        <w:rPr>
          <w:noProof/>
        </w:rPr>
        <w:t>,</w:t>
      </w:r>
      <w:r w:rsidR="005324AD" w:rsidRPr="00BD122F">
        <w:rPr>
          <w:noProof/>
        </w:rPr>
        <w:t xml:space="preserve"> </w:t>
      </w:r>
      <w:r w:rsidR="00EF1924" w:rsidRPr="00BD122F">
        <w:rPr>
          <w:noProof/>
        </w:rPr>
        <w:t>notably by accessing administrative data sources</w:t>
      </w:r>
      <w:r w:rsidR="00EF1924" w:rsidRPr="00BD122F" w:rsidDel="001E5ED3">
        <w:rPr>
          <w:noProof/>
        </w:rPr>
        <w:t xml:space="preserve"> and</w:t>
      </w:r>
      <w:r w:rsidR="00A47209" w:rsidRPr="00BD122F">
        <w:rPr>
          <w:noProof/>
        </w:rPr>
        <w:t>,</w:t>
      </w:r>
      <w:r w:rsidR="00EF1924" w:rsidRPr="00BD122F" w:rsidDel="001E5ED3">
        <w:rPr>
          <w:noProof/>
        </w:rPr>
        <w:t xml:space="preserve"> where relevant</w:t>
      </w:r>
      <w:r w:rsidR="00EF1924" w:rsidRPr="00BD122F">
        <w:rPr>
          <w:noProof/>
        </w:rPr>
        <w:t xml:space="preserve"> data from social partners, industries, civil society</w:t>
      </w:r>
      <w:r w:rsidR="001E5ED3" w:rsidRPr="00BD122F">
        <w:rPr>
          <w:noProof/>
        </w:rPr>
        <w:t>,</w:t>
      </w:r>
      <w:r w:rsidR="00EF1924" w:rsidRPr="00BD122F">
        <w:rPr>
          <w:noProof/>
        </w:rPr>
        <w:t xml:space="preserve"> and public opinion surveys,</w:t>
      </w:r>
      <w:r w:rsidR="00002649" w:rsidRPr="00BD122F">
        <w:rPr>
          <w:noProof/>
        </w:rPr>
        <w:t xml:space="preserve"> and </w:t>
      </w:r>
      <w:r w:rsidR="00FA77C7" w:rsidRPr="0096740E">
        <w:rPr>
          <w:noProof/>
        </w:rPr>
        <w:t xml:space="preserve">update </w:t>
      </w:r>
      <w:r w:rsidR="00002649" w:rsidRPr="0096740E">
        <w:rPr>
          <w:noProof/>
        </w:rPr>
        <w:t>methodological guidance</w:t>
      </w:r>
      <w:r w:rsidR="00002649" w:rsidRPr="00BD122F">
        <w:rPr>
          <w:noProof/>
        </w:rPr>
        <w:t xml:space="preserve"> for assessing employment, social and distributional impacts of </w:t>
      </w:r>
      <w:r w:rsidR="001770B9" w:rsidRPr="00BD122F">
        <w:rPr>
          <w:noProof/>
        </w:rPr>
        <w:t xml:space="preserve">fair </w:t>
      </w:r>
      <w:r w:rsidR="00002649" w:rsidRPr="00BD122F">
        <w:rPr>
          <w:noProof/>
        </w:rPr>
        <w:t>transition and climate and energy policies</w:t>
      </w:r>
      <w:r w:rsidR="007B714C" w:rsidRPr="00BD122F">
        <w:rPr>
          <w:noProof/>
        </w:rPr>
        <w:t xml:space="preserve"> including in the context of the European Semester</w:t>
      </w:r>
      <w:r w:rsidR="00930C17" w:rsidRPr="00BD122F">
        <w:rPr>
          <w:noProof/>
        </w:rPr>
        <w:t xml:space="preserve"> as </w:t>
      </w:r>
      <w:r w:rsidR="00930C17" w:rsidRPr="0096740E">
        <w:rPr>
          <w:noProof/>
        </w:rPr>
        <w:t>appropriate</w:t>
      </w:r>
      <w:r w:rsidR="00002649" w:rsidRPr="00BD122F">
        <w:rPr>
          <w:noProof/>
        </w:rPr>
        <w:t>.</w:t>
      </w:r>
    </w:p>
    <w:p w14:paraId="30EC6D43" w14:textId="3881DC3B" w:rsidR="00002649" w:rsidRPr="0096740E" w:rsidRDefault="00420537" w:rsidP="00420537">
      <w:pPr>
        <w:pStyle w:val="Point1"/>
        <w:rPr>
          <w:noProof/>
        </w:rPr>
      </w:pPr>
      <w:r w:rsidRPr="00420537">
        <w:t>(d)</w:t>
      </w:r>
      <w:r w:rsidRPr="00420537">
        <w:tab/>
      </w:r>
      <w:r w:rsidR="00002649" w:rsidRPr="0096740E">
        <w:rPr>
          <w:noProof/>
        </w:rPr>
        <w:t>Enhance its regular monitoring and foresight analysis on energy poverty developments and risks in the EU, i</w:t>
      </w:r>
      <w:r w:rsidR="4E99433D" w:rsidRPr="0096740E">
        <w:rPr>
          <w:noProof/>
        </w:rPr>
        <w:t>ncluding social and distributional aspects</w:t>
      </w:r>
      <w:r w:rsidR="00361444" w:rsidRPr="0096740E">
        <w:rPr>
          <w:noProof/>
        </w:rPr>
        <w:t>,</w:t>
      </w:r>
      <w:r w:rsidR="00002649" w:rsidRPr="0096740E">
        <w:rPr>
          <w:noProof/>
        </w:rPr>
        <w:t xml:space="preserve"> </w:t>
      </w:r>
      <w:r w:rsidR="007A1162" w:rsidRPr="0096740E">
        <w:rPr>
          <w:noProof/>
        </w:rPr>
        <w:t xml:space="preserve">also </w:t>
      </w:r>
      <w:r w:rsidR="00002649" w:rsidRPr="0096740E">
        <w:rPr>
          <w:noProof/>
        </w:rPr>
        <w:t xml:space="preserve">to inform the work of </w:t>
      </w:r>
      <w:r w:rsidR="00361444" w:rsidRPr="0096740E">
        <w:rPr>
          <w:noProof/>
        </w:rPr>
        <w:t xml:space="preserve">the Energy Poverty and Vulnerable Consumers Coordination Group and </w:t>
      </w:r>
      <w:r w:rsidR="00002649" w:rsidRPr="0096740E">
        <w:rPr>
          <w:noProof/>
        </w:rPr>
        <w:t xml:space="preserve">other relevant expert groups. </w:t>
      </w:r>
    </w:p>
    <w:p w14:paraId="1096339E" w14:textId="12CC08FF" w:rsidR="00826CA8" w:rsidRPr="0096740E" w:rsidRDefault="00420537" w:rsidP="00420537">
      <w:pPr>
        <w:pStyle w:val="Point1"/>
        <w:rPr>
          <w:noProof/>
        </w:rPr>
      </w:pPr>
      <w:r w:rsidRPr="00420537">
        <w:t>(e)</w:t>
      </w:r>
      <w:r w:rsidRPr="00420537">
        <w:tab/>
      </w:r>
      <w:r w:rsidR="00826CA8" w:rsidRPr="0096740E">
        <w:rPr>
          <w:noProof/>
        </w:rPr>
        <w:t>Develop further research and strengthen evidence concerning the def</w:t>
      </w:r>
      <w:r w:rsidR="00FA595B" w:rsidRPr="0096740E">
        <w:rPr>
          <w:noProof/>
        </w:rPr>
        <w:t>inition, monitoring</w:t>
      </w:r>
      <w:r w:rsidR="00826CA8" w:rsidRPr="0096740E">
        <w:rPr>
          <w:noProof/>
        </w:rPr>
        <w:t xml:space="preserve"> and </w:t>
      </w:r>
      <w:r w:rsidR="00FA595B" w:rsidRPr="0096740E">
        <w:rPr>
          <w:noProof/>
        </w:rPr>
        <w:t xml:space="preserve">evaluation of progress towards the </w:t>
      </w:r>
      <w:r w:rsidR="00930C17" w:rsidRPr="0096740E">
        <w:rPr>
          <w:noProof/>
        </w:rPr>
        <w:t>provision of adequate access to essential services</w:t>
      </w:r>
      <w:r w:rsidR="00884DA4" w:rsidRPr="0096740E">
        <w:rPr>
          <w:noProof/>
        </w:rPr>
        <w:t>, also by developing the concept of ‘</w:t>
      </w:r>
      <w:r w:rsidR="00EF1924" w:rsidRPr="0096740E">
        <w:rPr>
          <w:noProof/>
        </w:rPr>
        <w:t xml:space="preserve">transport </w:t>
      </w:r>
      <w:r w:rsidR="00826CA8" w:rsidRPr="0096740E">
        <w:rPr>
          <w:noProof/>
        </w:rPr>
        <w:t>poverty</w:t>
      </w:r>
      <w:r w:rsidR="00884DA4" w:rsidRPr="0096740E">
        <w:rPr>
          <w:noProof/>
        </w:rPr>
        <w:t>’ if appropriate</w:t>
      </w:r>
      <w:r w:rsidR="00826CA8" w:rsidRPr="0096740E">
        <w:rPr>
          <w:noProof/>
        </w:rPr>
        <w:t>, particularly within the context of the green transition</w:t>
      </w:r>
      <w:r w:rsidR="00E26BB8" w:rsidRPr="0096740E">
        <w:rPr>
          <w:noProof/>
        </w:rPr>
        <w:t xml:space="preserve"> towards a sustainable well-being economy</w:t>
      </w:r>
      <w:r w:rsidR="00826CA8" w:rsidRPr="0096740E">
        <w:rPr>
          <w:noProof/>
        </w:rPr>
        <w:t>.</w:t>
      </w:r>
    </w:p>
    <w:p w14:paraId="6D46F954" w14:textId="3FED6F1A" w:rsidR="005B01BC" w:rsidRDefault="00420537" w:rsidP="00420537">
      <w:pPr>
        <w:pStyle w:val="Point1"/>
        <w:rPr>
          <w:noProof/>
        </w:rPr>
      </w:pPr>
      <w:r w:rsidRPr="00420537">
        <w:t>(f)</w:t>
      </w:r>
      <w:r w:rsidRPr="00420537">
        <w:tab/>
      </w:r>
      <w:r w:rsidR="00002649" w:rsidRPr="0096740E">
        <w:rPr>
          <w:noProof/>
        </w:rPr>
        <w:t>Review progress</w:t>
      </w:r>
      <w:r w:rsidR="003359FB" w:rsidRPr="0096740E">
        <w:rPr>
          <w:noProof/>
        </w:rPr>
        <w:t xml:space="preserve"> </w:t>
      </w:r>
      <w:r w:rsidR="00002649" w:rsidRPr="0096740E">
        <w:rPr>
          <w:noProof/>
        </w:rPr>
        <w:t>made in the implementation of this Recommendation</w:t>
      </w:r>
      <w:r w:rsidR="00F41181" w:rsidRPr="0096740E">
        <w:rPr>
          <w:noProof/>
        </w:rPr>
        <w:t xml:space="preserve"> </w:t>
      </w:r>
      <w:r w:rsidR="00002649" w:rsidRPr="0096740E">
        <w:rPr>
          <w:noProof/>
        </w:rPr>
        <w:t>in the context of multilateral surveillance in the European Semester</w:t>
      </w:r>
      <w:r w:rsidR="00F77072">
        <w:rPr>
          <w:noProof/>
        </w:rPr>
        <w:t xml:space="preserve">, </w:t>
      </w:r>
      <w:r w:rsidR="00F41181" w:rsidRPr="0096740E">
        <w:rPr>
          <w:noProof/>
        </w:rPr>
        <w:t>building on</w:t>
      </w:r>
      <w:r w:rsidR="0031395C" w:rsidRPr="0096740E">
        <w:rPr>
          <w:noProof/>
        </w:rPr>
        <w:t xml:space="preserve"> </w:t>
      </w:r>
      <w:r w:rsidR="00F41181" w:rsidRPr="0096740E">
        <w:rPr>
          <w:noProof/>
        </w:rPr>
        <w:t>existing scoreboards and monitoring frameworks</w:t>
      </w:r>
      <w:r w:rsidR="00CC3563">
        <w:rPr>
          <w:noProof/>
        </w:rPr>
        <w:t xml:space="preserve">, </w:t>
      </w:r>
      <w:r w:rsidR="00CC3563" w:rsidRPr="00CC3563">
        <w:rPr>
          <w:noProof/>
        </w:rPr>
        <w:t>extended by additional indicators where necessary</w:t>
      </w:r>
      <w:r w:rsidR="00CC3563">
        <w:rPr>
          <w:noProof/>
        </w:rPr>
        <w:t xml:space="preserve">. </w:t>
      </w:r>
      <w:r w:rsidR="005B01BC" w:rsidRPr="0096740E">
        <w:rPr>
          <w:noProof/>
        </w:rPr>
        <w:t xml:space="preserve">Consider guidance provided in this Recommendation </w:t>
      </w:r>
      <w:r w:rsidR="00002649" w:rsidRPr="0096740E">
        <w:rPr>
          <w:noProof/>
        </w:rPr>
        <w:t>under the Energy Union and Climate Ac</w:t>
      </w:r>
      <w:r w:rsidR="00E36CA2" w:rsidRPr="0096740E">
        <w:rPr>
          <w:noProof/>
        </w:rPr>
        <w:t>tion</w:t>
      </w:r>
      <w:r w:rsidR="00E36CA2" w:rsidRPr="0096740E" w:rsidDel="0038506C">
        <w:rPr>
          <w:noProof/>
        </w:rPr>
        <w:t xml:space="preserve"> Governance Regulation</w:t>
      </w:r>
      <w:r w:rsidR="005B01BC" w:rsidRPr="0096740E">
        <w:rPr>
          <w:noProof/>
        </w:rPr>
        <w:t xml:space="preserve">, in particular </w:t>
      </w:r>
      <w:r w:rsidR="00651D6F" w:rsidRPr="0096740E">
        <w:rPr>
          <w:noProof/>
        </w:rPr>
        <w:t xml:space="preserve">as part of its assessments </w:t>
      </w:r>
      <w:r w:rsidR="005B01BC" w:rsidRPr="0096740E">
        <w:rPr>
          <w:noProof/>
        </w:rPr>
        <w:t>during the forthcoming update of integrated National Energy and Climate Plans in 2023-24</w:t>
      </w:r>
      <w:r w:rsidR="00E36CA2" w:rsidRPr="0096740E">
        <w:rPr>
          <w:noProof/>
        </w:rPr>
        <w:t xml:space="preserve">. </w:t>
      </w:r>
    </w:p>
    <w:p w14:paraId="45ED4F0D" w14:textId="3D73BB77" w:rsidR="0010430B" w:rsidRPr="0096740E" w:rsidRDefault="0010430B" w:rsidP="00AE5D56">
      <w:pPr>
        <w:rPr>
          <w:noProof/>
        </w:rPr>
      </w:pPr>
    </w:p>
    <w:p w14:paraId="7BCEA216" w14:textId="3C4FAFE8" w:rsidR="00002649" w:rsidRPr="0096740E" w:rsidRDefault="00351105" w:rsidP="00760C8E">
      <w:pPr>
        <w:pStyle w:val="Fait"/>
        <w:rPr>
          <w:noProof/>
        </w:rPr>
      </w:pPr>
      <w:r w:rsidRPr="00351105">
        <w:t>Done at Strasbourg,</w:t>
      </w:r>
    </w:p>
    <w:p w14:paraId="412D2B71" w14:textId="77777777" w:rsidR="00002649" w:rsidRPr="0096740E" w:rsidRDefault="00002649" w:rsidP="00760C8E">
      <w:pPr>
        <w:pStyle w:val="Institutionquisigne"/>
        <w:rPr>
          <w:noProof/>
        </w:rPr>
      </w:pPr>
      <w:r w:rsidRPr="0096740E">
        <w:rPr>
          <w:noProof/>
        </w:rPr>
        <w:tab/>
        <w:t>For the Council</w:t>
      </w:r>
    </w:p>
    <w:p w14:paraId="7CE854DB" w14:textId="77777777" w:rsidR="00A17AEC" w:rsidRPr="007A5E0E" w:rsidRDefault="00002649" w:rsidP="002B5976">
      <w:pPr>
        <w:pStyle w:val="Personnequisigne"/>
        <w:rPr>
          <w:noProof/>
        </w:rPr>
      </w:pPr>
      <w:r w:rsidRPr="0096740E">
        <w:rPr>
          <w:noProof/>
        </w:rPr>
        <w:tab/>
        <w:t>The President</w:t>
      </w:r>
    </w:p>
    <w:sectPr w:rsidR="00A17AEC" w:rsidRPr="007A5E0E" w:rsidSect="0083770C">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7F80" w16cex:dateUtc="2021-12-08T18:01:00Z"/>
  <w16cex:commentExtensible w16cex:durableId="255B25A7" w16cex:dateUtc="2021-12-0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15910" w16cid:durableId="255B7F80"/>
  <w16cid:commentId w16cid:paraId="6E530A5C" w16cid:durableId="255B25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0AAA" w14:textId="77777777" w:rsidR="005A6A52" w:rsidRDefault="005A6A52" w:rsidP="00A17AEC">
      <w:pPr>
        <w:spacing w:before="0" w:after="0"/>
      </w:pPr>
      <w:r>
        <w:separator/>
      </w:r>
    </w:p>
  </w:endnote>
  <w:endnote w:type="continuationSeparator" w:id="0">
    <w:p w14:paraId="7E56E696" w14:textId="77777777" w:rsidR="005A6A52" w:rsidRDefault="005A6A52" w:rsidP="00A17AEC">
      <w:pPr>
        <w:spacing w:before="0" w:after="0"/>
      </w:pPr>
      <w:r>
        <w:continuationSeparator/>
      </w:r>
    </w:p>
  </w:endnote>
  <w:endnote w:type="continuationNotice" w:id="1">
    <w:p w14:paraId="30A235A7" w14:textId="77777777" w:rsidR="005A6A52" w:rsidRDefault="005A6A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4476" w14:textId="2444F9BC" w:rsidR="00C44863" w:rsidRPr="0083770C" w:rsidRDefault="0083770C" w:rsidP="0083770C">
    <w:pPr>
      <w:pStyle w:val="Footer"/>
      <w:rPr>
        <w:rFonts w:ascii="Arial" w:hAnsi="Arial" w:cs="Arial"/>
        <w:b/>
        <w:sz w:val="48"/>
      </w:rPr>
    </w:pPr>
    <w:r w:rsidRPr="0083770C">
      <w:rPr>
        <w:rFonts w:ascii="Arial" w:hAnsi="Arial" w:cs="Arial"/>
        <w:b/>
        <w:sz w:val="48"/>
      </w:rPr>
      <w:t>EN</w:t>
    </w:r>
    <w:r w:rsidRPr="0083770C">
      <w:rPr>
        <w:rFonts w:ascii="Arial" w:hAnsi="Arial" w:cs="Arial"/>
        <w:b/>
        <w:sz w:val="48"/>
      </w:rPr>
      <w:tab/>
    </w:r>
    <w:r w:rsidRPr="0083770C">
      <w:rPr>
        <w:rFonts w:ascii="Arial" w:hAnsi="Arial" w:cs="Arial"/>
        <w:b/>
        <w:sz w:val="48"/>
      </w:rPr>
      <w:tab/>
    </w:r>
    <w:r w:rsidRPr="0083770C">
      <w:tab/>
    </w:r>
    <w:r w:rsidRPr="0083770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0573" w14:textId="780F4E6F" w:rsidR="0083770C" w:rsidRPr="0083770C" w:rsidRDefault="0083770C" w:rsidP="0083770C">
    <w:pPr>
      <w:pStyle w:val="Footer"/>
      <w:rPr>
        <w:rFonts w:ascii="Arial" w:hAnsi="Arial" w:cs="Arial"/>
        <w:b/>
        <w:sz w:val="48"/>
      </w:rPr>
    </w:pPr>
    <w:r w:rsidRPr="0083770C">
      <w:rPr>
        <w:rFonts w:ascii="Arial" w:hAnsi="Arial" w:cs="Arial"/>
        <w:b/>
        <w:sz w:val="48"/>
      </w:rPr>
      <w:t>EN</w:t>
    </w:r>
    <w:r w:rsidRPr="0083770C">
      <w:rPr>
        <w:rFonts w:ascii="Arial" w:hAnsi="Arial" w:cs="Arial"/>
        <w:b/>
        <w:sz w:val="48"/>
      </w:rPr>
      <w:tab/>
    </w:r>
    <w:r>
      <w:fldChar w:fldCharType="begin"/>
    </w:r>
    <w:r>
      <w:instrText xml:space="preserve"> PAGE  \* MERGEFORMAT </w:instrText>
    </w:r>
    <w:r>
      <w:fldChar w:fldCharType="separate"/>
    </w:r>
    <w:r w:rsidR="00760C8E">
      <w:rPr>
        <w:noProof/>
      </w:rPr>
      <w:t>32</w:t>
    </w:r>
    <w:r>
      <w:fldChar w:fldCharType="end"/>
    </w:r>
    <w:r>
      <w:tab/>
    </w:r>
    <w:r w:rsidRPr="0083770C">
      <w:tab/>
    </w:r>
    <w:r w:rsidRPr="0083770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CEE1" w14:textId="77777777" w:rsidR="0083770C" w:rsidRPr="0083770C" w:rsidRDefault="0083770C" w:rsidP="00837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B4839" w14:textId="77777777" w:rsidR="005A6A52" w:rsidRDefault="005A6A52" w:rsidP="00A17AEC">
      <w:pPr>
        <w:spacing w:before="0" w:after="0"/>
      </w:pPr>
      <w:r>
        <w:separator/>
      </w:r>
    </w:p>
  </w:footnote>
  <w:footnote w:type="continuationSeparator" w:id="0">
    <w:p w14:paraId="5A5A02D7" w14:textId="77777777" w:rsidR="005A6A52" w:rsidRDefault="005A6A52" w:rsidP="00A17AEC">
      <w:pPr>
        <w:spacing w:before="0" w:after="0"/>
      </w:pPr>
      <w:r>
        <w:continuationSeparator/>
      </w:r>
    </w:p>
  </w:footnote>
  <w:footnote w:type="continuationNotice" w:id="1">
    <w:p w14:paraId="11D93F70" w14:textId="77777777" w:rsidR="005A6A52" w:rsidRDefault="005A6A52">
      <w:pPr>
        <w:spacing w:before="0" w:after="0"/>
      </w:pPr>
    </w:p>
  </w:footnote>
  <w:footnote w:id="2">
    <w:p w14:paraId="4B1C9D7D" w14:textId="0D78C5BF" w:rsidR="005A6A52" w:rsidRPr="00CC3563" w:rsidRDefault="005A6A52" w:rsidP="0050609F">
      <w:pPr>
        <w:pStyle w:val="FootnoteText"/>
        <w:ind w:left="284" w:hanging="284"/>
        <w:rPr>
          <w:lang w:val="en-US"/>
        </w:rPr>
      </w:pPr>
      <w:r w:rsidRPr="00CC3563">
        <w:rPr>
          <w:rStyle w:val="FootnoteReference"/>
        </w:rPr>
        <w:footnoteRef/>
      </w:r>
      <w:r w:rsidRPr="00CC3563">
        <w:rPr>
          <w:lang w:val="en-US"/>
        </w:rPr>
        <w:tab/>
        <w:t>Communication from the Commission ‘The European Green Deal’, COM(2019) 640 final.</w:t>
      </w:r>
    </w:p>
  </w:footnote>
  <w:footnote w:id="3">
    <w:p w14:paraId="23D2A3A5" w14:textId="6A92431E" w:rsidR="005A6A52" w:rsidRPr="00CC3563" w:rsidRDefault="005A6A52" w:rsidP="0050609F">
      <w:pPr>
        <w:pStyle w:val="FootnoteText"/>
        <w:ind w:left="284" w:hanging="284"/>
      </w:pPr>
      <w:r w:rsidRPr="00CC3563">
        <w:rPr>
          <w:rStyle w:val="FootnoteReference"/>
        </w:rPr>
        <w:footnoteRef/>
      </w:r>
      <w:r w:rsidRPr="00CC3563">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4">
    <w:p w14:paraId="62DCC59C" w14:textId="2C7CCD2C" w:rsidR="005A6A52" w:rsidRPr="00CC3563" w:rsidRDefault="005A6A52" w:rsidP="0050609F">
      <w:pPr>
        <w:pStyle w:val="FootnoteText"/>
        <w:ind w:left="284" w:hanging="284"/>
        <w:contextualSpacing/>
        <w:rPr>
          <w:lang w:val="en-IE"/>
        </w:rPr>
      </w:pPr>
      <w:r w:rsidRPr="00CC3563">
        <w:rPr>
          <w:rStyle w:val="FootnoteReference"/>
        </w:rPr>
        <w:footnoteRef/>
      </w:r>
      <w:r w:rsidRPr="00CC3563">
        <w:tab/>
      </w:r>
      <w:r w:rsidRPr="00CC3563">
        <w:rPr>
          <w:rFonts w:eastAsia="Arial Unicode MS"/>
        </w:rPr>
        <w:t>In pursuit of the long-term temperature goal set out in point (a) of Article 2(1) of the Paris Agreement.</w:t>
      </w:r>
    </w:p>
  </w:footnote>
  <w:footnote w:id="5">
    <w:p w14:paraId="26BABB6D" w14:textId="06ACD520" w:rsidR="005A6A52" w:rsidRDefault="005A6A52" w:rsidP="0050609F">
      <w:pPr>
        <w:pStyle w:val="FootnoteText"/>
        <w:ind w:left="284" w:hanging="284"/>
      </w:pPr>
      <w:r>
        <w:rPr>
          <w:rStyle w:val="FootnoteReference"/>
        </w:rPr>
        <w:footnoteRef/>
      </w:r>
      <w:r>
        <w:tab/>
      </w:r>
      <w:r w:rsidRPr="0045304C">
        <w:t>Proposal for a Regulation of the European Parliament and of the Council establishing a Climate Social Fund, COM(2021) 568 final.</w:t>
      </w:r>
    </w:p>
  </w:footnote>
  <w:footnote w:id="6">
    <w:p w14:paraId="7122E172" w14:textId="75DCB4CF" w:rsidR="005A6A52" w:rsidRPr="00CC3563" w:rsidRDefault="005A6A52" w:rsidP="0050609F">
      <w:pPr>
        <w:pStyle w:val="FootnoteText"/>
        <w:ind w:left="284" w:hanging="284"/>
      </w:pPr>
      <w:r w:rsidRPr="00CC3563">
        <w:rPr>
          <w:rStyle w:val="FootnoteReference"/>
        </w:rPr>
        <w:footnoteRef/>
      </w:r>
      <w:r w:rsidRPr="00CC3563">
        <w:tab/>
        <w:t>Communication from the Commission ‘The European Pillar of Social Rights Action Plan’, COM(2021) 102 final, 4 March 2021.</w:t>
      </w:r>
    </w:p>
  </w:footnote>
  <w:footnote w:id="7">
    <w:p w14:paraId="0AD811DC" w14:textId="3E444635" w:rsidR="005A6A52" w:rsidRPr="00CC3563" w:rsidRDefault="005A6A52" w:rsidP="0050609F">
      <w:pPr>
        <w:pStyle w:val="FootnoteText"/>
        <w:ind w:left="284" w:hanging="284"/>
      </w:pPr>
      <w:r w:rsidRPr="00CC3563">
        <w:rPr>
          <w:rStyle w:val="FootnoteReference"/>
        </w:rPr>
        <w:footnoteRef/>
      </w:r>
      <w:r w:rsidRPr="00CC3563">
        <w:tab/>
      </w:r>
      <w:r w:rsidRPr="00CC3563">
        <w:rPr>
          <w:rFonts w:eastAsia="Arial Unicode MS"/>
          <w:lang w:val="en-IE"/>
        </w:rPr>
        <w:t>According to the impact assessment accompanying the 2030 Climate Target Plan</w:t>
      </w:r>
      <w:r w:rsidRPr="00CC3563">
        <w:t xml:space="preserve"> (SWD(2020)176 final).</w:t>
      </w:r>
    </w:p>
  </w:footnote>
  <w:footnote w:id="8">
    <w:p w14:paraId="4C4FB9B8" w14:textId="0B8B5C34" w:rsidR="005A6A52" w:rsidRPr="00CC3563" w:rsidRDefault="005A6A52" w:rsidP="0050609F">
      <w:pPr>
        <w:pStyle w:val="FootnoteText"/>
        <w:ind w:left="284" w:hanging="284"/>
      </w:pPr>
      <w:r w:rsidRPr="00AE5D56">
        <w:rPr>
          <w:rStyle w:val="FootnoteReference"/>
        </w:rPr>
        <w:footnoteRef/>
      </w:r>
      <w:r>
        <w:tab/>
      </w:r>
      <w:r w:rsidRPr="00CC3563">
        <w:t xml:space="preserve">European Commission (2019), </w:t>
      </w:r>
      <w:r w:rsidRPr="00D9630A">
        <w:t>‘</w:t>
      </w:r>
      <w:hyperlink r:id="rId1" w:history="1">
        <w:r w:rsidRPr="00D9630A">
          <w:rPr>
            <w:rStyle w:val="Hyperlink"/>
            <w:color w:val="auto"/>
            <w:u w:val="none"/>
          </w:rPr>
          <w:t>Sustainable growth for all: choices for the future of Social Europe, Employment and Social Developments in Europe 2019</w:t>
        </w:r>
      </w:hyperlink>
      <w:r w:rsidRPr="00D9630A">
        <w:rPr>
          <w:rStyle w:val="Hyperlink"/>
          <w:color w:val="auto"/>
          <w:u w:val="none"/>
        </w:rPr>
        <w:t>’</w:t>
      </w:r>
      <w:r w:rsidRPr="00CC3563">
        <w:t>,</w:t>
      </w:r>
      <w:r w:rsidRPr="00CC3563">
        <w:rPr>
          <w:lang w:val="en-IE"/>
        </w:rPr>
        <w:t xml:space="preserve"> </w:t>
      </w:r>
      <w:r w:rsidRPr="00CC3563">
        <w:t>4 July 2019. Based on the In-depth analysis accompanying the Communication of the Commission COM(2018) 773.</w:t>
      </w:r>
    </w:p>
  </w:footnote>
  <w:footnote w:id="9">
    <w:p w14:paraId="5FD24797" w14:textId="40D47951" w:rsidR="005A6A52" w:rsidRPr="00CC3563" w:rsidRDefault="005A6A52" w:rsidP="0050609F">
      <w:pPr>
        <w:pStyle w:val="FootnoteText"/>
        <w:ind w:left="284" w:hanging="284"/>
      </w:pPr>
      <w:r w:rsidRPr="00CC3563">
        <w:rPr>
          <w:rStyle w:val="FootnoteReference"/>
        </w:rPr>
        <w:footnoteRef/>
      </w:r>
      <w:r w:rsidRPr="00CC3563">
        <w:tab/>
        <w:t>Eurofound (2019), ‘Energy scenario: Employment implications of the Paris Climate Agreement’, Publications Office of the European Union, Luxembourg.</w:t>
      </w:r>
    </w:p>
  </w:footnote>
  <w:footnote w:id="10">
    <w:p w14:paraId="2111677D" w14:textId="73757EFC" w:rsidR="005A6A52" w:rsidRPr="00CC3563" w:rsidRDefault="005A6A52" w:rsidP="0050609F">
      <w:pPr>
        <w:pStyle w:val="FootnoteText"/>
        <w:ind w:left="284" w:hanging="284"/>
      </w:pPr>
      <w:r w:rsidRPr="00CC3563">
        <w:rPr>
          <w:rStyle w:val="FootnoteReference"/>
        </w:rPr>
        <w:footnoteRef/>
      </w:r>
      <w:r w:rsidRPr="00CC3563">
        <w:tab/>
        <w:t>European Commission (2019), ‘Sustainable growth for all: choices for the future of Social Europe, Employment and Social Developments in Europe 2019’, chapter 5 ‘Towards a greener future: employment and social impacts of climate change policies’, 4 July 2019.</w:t>
      </w:r>
    </w:p>
  </w:footnote>
  <w:footnote w:id="11">
    <w:p w14:paraId="33BBF503" w14:textId="14A2E7F0" w:rsidR="005A6A52" w:rsidRPr="00CC3563" w:rsidRDefault="005A6A52" w:rsidP="0050609F">
      <w:pPr>
        <w:pStyle w:val="FootnoteText"/>
        <w:ind w:left="284" w:hanging="284"/>
        <w:rPr>
          <w:lang w:val="en-IE"/>
        </w:rPr>
      </w:pPr>
      <w:r w:rsidRPr="00CC3563">
        <w:rPr>
          <w:rStyle w:val="FootnoteReference"/>
        </w:rPr>
        <w:footnoteRef/>
      </w:r>
      <w:r w:rsidRPr="00CC3563">
        <w:tab/>
        <w:t>Communication from the European Commission: Renovation Wave for Europe - greening our buildings, creating jobs, improving lives, SWD(2020) 550 final, 14 October 2021.</w:t>
      </w:r>
      <w:r w:rsidRPr="00CC3563">
        <w:rPr>
          <w:i/>
        </w:rPr>
        <w:t xml:space="preserve"> </w:t>
      </w:r>
      <w:r w:rsidRPr="00CC3563">
        <w:t xml:space="preserve"> Given the investment needs in renovation at EUR 275 billion annually, as referred to in the Communication, and the ability of retrofits and energy efficiency investments to create 9-20 jobs per every million dollar invested (SWD(2021) 623 final), the figure could be significantly higher. </w:t>
      </w:r>
    </w:p>
  </w:footnote>
  <w:footnote w:id="12">
    <w:p w14:paraId="2048AD34" w14:textId="77777777" w:rsidR="005A6A52" w:rsidRPr="00CC3563" w:rsidRDefault="005A6A52" w:rsidP="0050609F">
      <w:pPr>
        <w:pStyle w:val="FootnoteText"/>
        <w:ind w:left="284" w:hanging="284"/>
      </w:pPr>
      <w:r w:rsidRPr="00CC3563">
        <w:rPr>
          <w:rStyle w:val="FootnoteReference"/>
        </w:rPr>
        <w:footnoteRef/>
      </w:r>
      <w:r w:rsidRPr="00CC3563">
        <w:tab/>
        <w:t>COM(2021) 660 final.</w:t>
      </w:r>
    </w:p>
  </w:footnote>
  <w:footnote w:id="13">
    <w:p w14:paraId="07D9DDD7" w14:textId="708A3C54" w:rsidR="005A6A52" w:rsidRDefault="005A6A52" w:rsidP="0050609F">
      <w:pPr>
        <w:pStyle w:val="FootnoteText"/>
        <w:ind w:left="284" w:hanging="284"/>
      </w:pPr>
      <w:r w:rsidRPr="003E34B2">
        <w:rPr>
          <w:rStyle w:val="FootnoteReference"/>
        </w:rPr>
        <w:footnoteRef/>
      </w:r>
      <w:r>
        <w:tab/>
      </w:r>
      <w:r w:rsidRPr="0045304C">
        <w:t>‘A Union That Strives for More: My Agenda for Europe’ – Political Guidelines for the next European Commission 2019-2024, 16.07.2019, President von der Leyen.</w:t>
      </w:r>
    </w:p>
  </w:footnote>
  <w:footnote w:id="14">
    <w:p w14:paraId="522BFC5D" w14:textId="77777777" w:rsidR="005A6A52" w:rsidRPr="00CC3563" w:rsidRDefault="005A6A52" w:rsidP="0050609F">
      <w:pPr>
        <w:pStyle w:val="FootnoteText"/>
        <w:ind w:left="284" w:hanging="284"/>
      </w:pPr>
      <w:r w:rsidRPr="00CC3563">
        <w:rPr>
          <w:rStyle w:val="FootnoteReference"/>
        </w:rPr>
        <w:footnoteRef/>
      </w:r>
      <w:r w:rsidRPr="00CC3563">
        <w:tab/>
        <w:t>Commission Recommendation (EU) 2021/402 of 4 March 2021 on an effective active support to employment following the COVID-19 crisis (EASE) (OJ L 80, 8.3.2021, p. 1).</w:t>
      </w:r>
    </w:p>
  </w:footnote>
  <w:footnote w:id="15">
    <w:p w14:paraId="7C7D5732" w14:textId="06A652F9" w:rsidR="005A6A52" w:rsidRPr="00CC3563" w:rsidRDefault="005A6A52" w:rsidP="0050609F">
      <w:pPr>
        <w:pStyle w:val="FootnoteText"/>
        <w:ind w:left="284" w:hanging="284"/>
        <w:mirrorIndents/>
        <w:jc w:val="left"/>
        <w:rPr>
          <w:lang w:val="en-IE"/>
        </w:rPr>
      </w:pPr>
      <w:r w:rsidRPr="00CC3563">
        <w:rPr>
          <w:rStyle w:val="FootnoteReference"/>
        </w:rPr>
        <w:footnoteRef/>
      </w:r>
      <w:r w:rsidRPr="00CC3563">
        <w:tab/>
        <w:t>Council Decision (EU) 2020/1512 of 13 October 2020</w:t>
      </w:r>
      <w:r>
        <w:t xml:space="preserve"> (</w:t>
      </w:r>
      <w:r w:rsidRPr="00843DAA">
        <w:t>OJ L 344, 19.10.</w:t>
      </w:r>
      <w:r w:rsidRPr="00864457">
        <w:t>2020</w:t>
      </w:r>
      <w:r w:rsidRPr="00843DAA">
        <w:t>, p. 22</w:t>
      </w:r>
      <w:r>
        <w:t>).</w:t>
      </w:r>
    </w:p>
  </w:footnote>
  <w:footnote w:id="16">
    <w:p w14:paraId="6F870A14" w14:textId="0482F582" w:rsidR="005A6A52" w:rsidRPr="00CC3563" w:rsidRDefault="005A6A52" w:rsidP="0050609F">
      <w:pPr>
        <w:pStyle w:val="FootnoteText"/>
        <w:ind w:left="284" w:hanging="284"/>
        <w:mirrorIndents/>
        <w:jc w:val="left"/>
      </w:pPr>
      <w:r w:rsidRPr="00CC3563">
        <w:rPr>
          <w:rStyle w:val="FootnoteReference"/>
        </w:rPr>
        <w:footnoteRef/>
      </w:r>
      <w:r w:rsidRPr="00CC3563">
        <w:tab/>
        <w:t>COM (2021) 743 final, Proposal for a Joint Employment Report 2022.</w:t>
      </w:r>
    </w:p>
  </w:footnote>
  <w:footnote w:id="17">
    <w:p w14:paraId="2A9A9748" w14:textId="587246C6" w:rsidR="005A6A52" w:rsidRPr="00CC3563" w:rsidRDefault="005A6A52" w:rsidP="0050609F">
      <w:pPr>
        <w:pStyle w:val="FootnoteText"/>
        <w:ind w:left="284" w:hanging="284"/>
        <w:mirrorIndents/>
        <w:rPr>
          <w:lang w:val="en-IE"/>
        </w:rPr>
      </w:pPr>
      <w:r w:rsidRPr="00CC3563">
        <w:rPr>
          <w:rStyle w:val="FootnoteReference"/>
        </w:rPr>
        <w:footnoteRef/>
      </w:r>
      <w:r w:rsidRPr="00CC3563">
        <w:tab/>
        <w:t>Council Recommendation of 30 October 2020 on ‘A Bridge to Jobs – Reinforcing the Youth Guarantee and replacing the Council Recommendation of 22 April 2013 on establishing a Youth Guarantee’ (OJ C 372, 4.11.2020, p. 1).</w:t>
      </w:r>
    </w:p>
  </w:footnote>
  <w:footnote w:id="18">
    <w:p w14:paraId="07AA5BEF" w14:textId="7B4DA099" w:rsidR="005A6A52" w:rsidRPr="00CC3563" w:rsidRDefault="005A6A52" w:rsidP="0050609F">
      <w:pPr>
        <w:pStyle w:val="FootnoteText"/>
        <w:ind w:left="284" w:hanging="284"/>
        <w:mirrorIndents/>
      </w:pPr>
      <w:r w:rsidRPr="00CC3563">
        <w:rPr>
          <w:rStyle w:val="FootnoteReference"/>
        </w:rPr>
        <w:footnoteRef/>
      </w:r>
      <w:r w:rsidRPr="00CC3563">
        <w:tab/>
        <w:t xml:space="preserve">Council Recommendation of 24 November 2020 on vocational education and training (VET) for sustainable competitiveness, social fairness and resilience </w:t>
      </w:r>
      <w:r w:rsidRPr="00CC3563">
        <w:rPr>
          <w:rStyle w:val="Emphasis"/>
          <w:i w:val="0"/>
          <w:shd w:val="clear" w:color="auto" w:fill="FFFFFF"/>
        </w:rPr>
        <w:t>(OJ C 417, 2.12.2020, p. 1).</w:t>
      </w:r>
    </w:p>
  </w:footnote>
  <w:footnote w:id="19">
    <w:p w14:paraId="2D958AD6" w14:textId="77777777" w:rsidR="005A6A52" w:rsidRPr="00CC3563" w:rsidRDefault="005A6A52" w:rsidP="0050609F">
      <w:pPr>
        <w:pStyle w:val="FootnoteText"/>
        <w:ind w:left="284" w:hanging="284"/>
        <w:mirrorIndents/>
        <w:jc w:val="left"/>
        <w:rPr>
          <w:lang w:val="en-IE"/>
        </w:rPr>
      </w:pPr>
      <w:r w:rsidRPr="00CC3563">
        <w:rPr>
          <w:rStyle w:val="FootnoteReference"/>
        </w:rPr>
        <w:footnoteRef/>
      </w:r>
      <w:r w:rsidRPr="00CC3563">
        <w:tab/>
      </w:r>
      <w:r w:rsidRPr="00CC3563">
        <w:rPr>
          <w:rStyle w:val="Emphasis"/>
          <w:i w:val="0"/>
          <w:shd w:val="clear" w:color="auto" w:fill="FFFFFF"/>
        </w:rPr>
        <w:t>OJ L 328, 21.12.2018, p. 1</w:t>
      </w:r>
      <w:r w:rsidRPr="00CC3563">
        <w:t>.</w:t>
      </w:r>
    </w:p>
  </w:footnote>
  <w:footnote w:id="20">
    <w:p w14:paraId="5CFBF142" w14:textId="5F8D7E18" w:rsidR="005A6A52" w:rsidRPr="00CC3563" w:rsidRDefault="005A6A52" w:rsidP="0050609F">
      <w:pPr>
        <w:pStyle w:val="FootnoteText"/>
        <w:ind w:left="284" w:hanging="284"/>
        <w:rPr>
          <w:lang w:val="en-IE"/>
        </w:rPr>
      </w:pPr>
      <w:r w:rsidRPr="00CC3563">
        <w:rPr>
          <w:rStyle w:val="FootnoteReference"/>
        </w:rPr>
        <w:footnoteRef/>
      </w:r>
      <w:r w:rsidRPr="00CC3563">
        <w:tab/>
        <w:t>EED recast proposal Art. 8 (4) also asks Member States to include information on energy efficiency measures and end-use energy savings achieved among people affected by energy poverty, vulnerable customers and, where applicable, people living in social housing.</w:t>
      </w:r>
    </w:p>
  </w:footnote>
  <w:footnote w:id="21">
    <w:p w14:paraId="48634FB0" w14:textId="32E79757" w:rsidR="005A6A52" w:rsidRPr="00CC3563" w:rsidRDefault="005A6A52" w:rsidP="0050609F">
      <w:pPr>
        <w:pStyle w:val="FootnoteText"/>
        <w:ind w:left="284" w:hanging="284"/>
        <w:mirrorIndents/>
        <w:rPr>
          <w:lang w:val="en-IE"/>
        </w:rPr>
      </w:pPr>
      <w:r w:rsidRPr="00CC3563">
        <w:rPr>
          <w:rStyle w:val="FootnoteReference"/>
        </w:rPr>
        <w:footnoteRef/>
      </w:r>
      <w:r w:rsidRPr="00CC3563">
        <w:tab/>
        <w:t>Eurofound (2021), ‘Distributional impacts of climate policies in Europe’, Publications Office of the European Union, Luxembourg.</w:t>
      </w:r>
    </w:p>
  </w:footnote>
  <w:footnote w:id="22">
    <w:p w14:paraId="24F4DD32" w14:textId="57594CF8" w:rsidR="005A6A52" w:rsidRPr="00CC3563" w:rsidRDefault="005A6A52" w:rsidP="0050609F">
      <w:pPr>
        <w:pStyle w:val="FootnoteText"/>
        <w:ind w:left="284" w:hanging="284"/>
        <w:mirrorIndents/>
        <w:jc w:val="left"/>
        <w:rPr>
          <w:lang w:val="en-IE"/>
        </w:rPr>
      </w:pPr>
      <w:r w:rsidRPr="00CC3563">
        <w:rPr>
          <w:rStyle w:val="FootnoteReference"/>
        </w:rPr>
        <w:footnoteRef/>
      </w:r>
      <w:r w:rsidRPr="00CC3563">
        <w:tab/>
        <w:t>COM(2020) 564 final.</w:t>
      </w:r>
    </w:p>
  </w:footnote>
  <w:footnote w:id="23">
    <w:p w14:paraId="60D67ADD" w14:textId="77777777" w:rsidR="005A6A52" w:rsidRPr="00CC3563" w:rsidRDefault="005A6A52" w:rsidP="0050609F">
      <w:pPr>
        <w:pStyle w:val="FootnoteText"/>
        <w:ind w:left="284" w:hanging="284"/>
        <w:mirrorIndents/>
        <w:rPr>
          <w:lang w:val="en-IE"/>
        </w:rPr>
      </w:pPr>
      <w:r w:rsidRPr="00CC3563">
        <w:rPr>
          <w:rStyle w:val="FootnoteReference"/>
        </w:rPr>
        <w:footnoteRef/>
      </w:r>
      <w:r w:rsidRPr="00CC3563">
        <w:tab/>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
  </w:footnote>
  <w:footnote w:id="24">
    <w:p w14:paraId="1F3456DD" w14:textId="01020AF7" w:rsidR="005A6A52" w:rsidRPr="00CC3563" w:rsidRDefault="005A6A52" w:rsidP="0050609F">
      <w:pPr>
        <w:pStyle w:val="FootnoteText"/>
        <w:ind w:left="284" w:hanging="284"/>
        <w:rPr>
          <w:lang w:val="en-IE"/>
        </w:rPr>
      </w:pPr>
      <w:r w:rsidRPr="00CC3563">
        <w:rPr>
          <w:rStyle w:val="FootnoteReference"/>
        </w:rPr>
        <w:footnoteRef/>
      </w:r>
      <w:r w:rsidRPr="00CC3563">
        <w:tab/>
        <w:t>Regulation (EU) 2021/1057 of the European Parliament and of the Council of 24 June 2021 establishing the European Social Fund Plus (ESF+) and repealing Regulation (EU) No 1296/2013 (OJ L 231, 30.6.2021, p. 21).</w:t>
      </w:r>
    </w:p>
  </w:footnote>
  <w:footnote w:id="25">
    <w:p w14:paraId="35F52950" w14:textId="4023FBCE" w:rsidR="005A6A52" w:rsidRPr="00CC3563" w:rsidRDefault="005A6A52" w:rsidP="0050609F">
      <w:pPr>
        <w:pStyle w:val="FootnoteText"/>
        <w:ind w:left="284" w:hanging="284"/>
      </w:pPr>
      <w:r w:rsidRPr="00CC3563">
        <w:rPr>
          <w:rStyle w:val="FootnoteReference"/>
        </w:rPr>
        <w:footnoteRef/>
      </w:r>
      <w:r w:rsidRPr="00CC3563">
        <w:tab/>
        <w:t>Communication from the Commission ‘European Skills Agenda for sustainable competitiveness, social fairness and resilience’, COM(2020) 274 final, 1 July 2020.</w:t>
      </w:r>
    </w:p>
  </w:footnote>
  <w:footnote w:id="26">
    <w:p w14:paraId="193EB16A" w14:textId="527622A6" w:rsidR="005A6A52" w:rsidRPr="00CC3563" w:rsidRDefault="005A6A52" w:rsidP="0050609F">
      <w:pPr>
        <w:pStyle w:val="FootnoteText"/>
        <w:ind w:left="284" w:hanging="284"/>
        <w:rPr>
          <w:lang w:val="en-IE"/>
        </w:rPr>
      </w:pPr>
      <w:r w:rsidRPr="00CC3563">
        <w:rPr>
          <w:rStyle w:val="FootnoteReference"/>
        </w:rPr>
        <w:footnoteRef/>
      </w:r>
      <w:r w:rsidRPr="00CC3563">
        <w:tab/>
        <w:t>Proposal for a Council Recommendation on individual learning accounts, COM(2021) 773 final, 8 December 2021.</w:t>
      </w:r>
    </w:p>
  </w:footnote>
  <w:footnote w:id="27">
    <w:p w14:paraId="1528F0B3" w14:textId="2D386DAB" w:rsidR="005A6A52" w:rsidRPr="00CC3563" w:rsidRDefault="005A6A52" w:rsidP="0050609F">
      <w:pPr>
        <w:pStyle w:val="FootnoteText"/>
        <w:ind w:left="284" w:hanging="284"/>
        <w:rPr>
          <w:lang w:val="en-IE"/>
        </w:rPr>
      </w:pPr>
      <w:r w:rsidRPr="00CC3563">
        <w:rPr>
          <w:rStyle w:val="FootnoteReference"/>
        </w:rPr>
        <w:footnoteRef/>
      </w:r>
      <w:r w:rsidRPr="00CC3563">
        <w:tab/>
        <w:t>Proposal for a Council Recommendation on a European approach to micro-credentials for lifelong learning and employability, COM(2021) 770 final, 8 December 2021.</w:t>
      </w:r>
    </w:p>
  </w:footnote>
  <w:footnote w:id="28">
    <w:p w14:paraId="5EA6B78D" w14:textId="5B662F3A" w:rsidR="005A6A52" w:rsidRPr="00CC3563" w:rsidRDefault="005A6A52" w:rsidP="0050609F">
      <w:pPr>
        <w:pStyle w:val="FootnoteText"/>
        <w:ind w:left="284" w:hanging="284"/>
        <w:rPr>
          <w:lang w:val="en-IE"/>
        </w:rPr>
      </w:pPr>
      <w:r w:rsidRPr="00CC3563">
        <w:rPr>
          <w:rStyle w:val="FootnoteReference"/>
        </w:rPr>
        <w:footnoteRef/>
      </w:r>
      <w:r w:rsidRPr="00CC3563">
        <w:tab/>
        <w:t>Proposal for a Council Recommendation on learning for environmental sustainability, COM(2021) 557 final, 8 December 2021.</w:t>
      </w:r>
    </w:p>
  </w:footnote>
  <w:footnote w:id="29">
    <w:p w14:paraId="212D66AA" w14:textId="5B542C32" w:rsidR="005A6A52" w:rsidRPr="00CC3563" w:rsidRDefault="005A6A52" w:rsidP="0050609F">
      <w:pPr>
        <w:pStyle w:val="FootnoteText"/>
        <w:ind w:left="284" w:hanging="284"/>
      </w:pPr>
      <w:r w:rsidRPr="00CC3563">
        <w:rPr>
          <w:rStyle w:val="FootnoteReference"/>
        </w:rPr>
        <w:footnoteRef/>
      </w:r>
      <w:r w:rsidRPr="00CC3563">
        <w:tab/>
      </w:r>
      <w:hyperlink r:id="rId2" w:history="1">
        <w:r w:rsidRPr="00CC3563">
          <w:rPr>
            <w:rStyle w:val="Hyperlink"/>
            <w:color w:val="auto"/>
          </w:rPr>
          <w:t>https://ec.europa.eu/social/main.jsp?catId=1517&amp;langId=en</w:t>
        </w:r>
      </w:hyperlink>
      <w:r w:rsidRPr="00CC3563">
        <w:t xml:space="preserve"> .</w:t>
      </w:r>
    </w:p>
  </w:footnote>
  <w:footnote w:id="30">
    <w:p w14:paraId="5F7FCD62" w14:textId="26CDFC9C" w:rsidR="005A6A52" w:rsidRPr="00CC3563" w:rsidRDefault="005A6A52" w:rsidP="0050609F">
      <w:pPr>
        <w:pStyle w:val="FootnoteText"/>
        <w:ind w:left="284" w:hanging="284"/>
      </w:pPr>
      <w:r w:rsidRPr="00CC3563">
        <w:rPr>
          <w:rStyle w:val="FootnoteReference"/>
        </w:rPr>
        <w:footnoteRef/>
      </w:r>
      <w:r w:rsidRPr="00CC3563">
        <w:tab/>
        <w:t>These cover the following industrial eco-systems: automotive; microelectronics; aerospace and defence; shipbuilding; offshore renewable energy.</w:t>
      </w:r>
    </w:p>
  </w:footnote>
  <w:footnote w:id="31">
    <w:p w14:paraId="3CDC82BA" w14:textId="0C1EDD21" w:rsidR="005A6A52" w:rsidRPr="00CC3563" w:rsidRDefault="005A6A52" w:rsidP="0050609F">
      <w:pPr>
        <w:pStyle w:val="FootnoteText"/>
        <w:ind w:left="284" w:hanging="284"/>
        <w:rPr>
          <w:lang w:val="en-US"/>
        </w:rPr>
      </w:pPr>
      <w:r w:rsidRPr="00CC3563">
        <w:rPr>
          <w:rStyle w:val="FootnoteReference"/>
        </w:rPr>
        <w:footnoteRef/>
      </w:r>
      <w:r w:rsidRPr="00CC3563">
        <w:tab/>
      </w:r>
      <w:r w:rsidRPr="00CC3563">
        <w:rPr>
          <w:lang w:val="en-US"/>
        </w:rPr>
        <w:t>Communication from the Commission ‘New Consumer Agenda Strengthening consumer resilience for sustainable recovery’, COM(2020) 696 final.</w:t>
      </w:r>
    </w:p>
  </w:footnote>
  <w:footnote w:id="32">
    <w:p w14:paraId="0D62C8CA" w14:textId="5FE04870" w:rsidR="005A6A52" w:rsidRPr="00B55747" w:rsidRDefault="005A6A52" w:rsidP="00705830">
      <w:pPr>
        <w:spacing w:before="0" w:after="0"/>
        <w:ind w:left="284" w:hanging="284"/>
      </w:pPr>
      <w:r w:rsidRPr="00527A56">
        <w:rPr>
          <w:rStyle w:val="FootnoteReference"/>
        </w:rPr>
        <w:footnoteRef/>
      </w:r>
      <w:r w:rsidRPr="001F6752">
        <w:tab/>
      </w:r>
      <w:r w:rsidR="0056741E" w:rsidRPr="0056741E">
        <w:rPr>
          <w:sz w:val="20"/>
          <w:szCs w:val="20"/>
        </w:rPr>
        <w:t>As announced in the New Consumer Agenda, the Commission will present a legislative proposal to empower consumers for the green transition</w:t>
      </w:r>
      <w:r w:rsidR="0056741E">
        <w:rPr>
          <w:sz w:val="20"/>
          <w:szCs w:val="20"/>
        </w:rPr>
        <w:t>.</w:t>
      </w:r>
    </w:p>
  </w:footnote>
  <w:footnote w:id="33">
    <w:p w14:paraId="728FDFA0" w14:textId="4AF0060D" w:rsidR="005A6A52" w:rsidRPr="00CC3563" w:rsidRDefault="005A6A52" w:rsidP="00B55747">
      <w:pPr>
        <w:pStyle w:val="FootnoteText"/>
        <w:ind w:left="284" w:hanging="284"/>
      </w:pPr>
      <w:r w:rsidRPr="00CC3563">
        <w:rPr>
          <w:rStyle w:val="FootnoteReference"/>
        </w:rPr>
        <w:footnoteRef/>
      </w:r>
      <w:r w:rsidRPr="00CC3563">
        <w:tab/>
        <w:t>Communication from the Commission ‘A long-term Vision for the EU's Rural Areas - Towards stronger, connected, resilient and prosperous rural areas by 204</w:t>
      </w:r>
      <w:r>
        <w:t>0‘, COM(2021)</w:t>
      </w:r>
      <w:r w:rsidRPr="00CC3563">
        <w:t>345 final.</w:t>
      </w:r>
    </w:p>
  </w:footnote>
  <w:footnote w:id="34">
    <w:p w14:paraId="6C0504E4" w14:textId="127596E3" w:rsidR="005A6A52" w:rsidRPr="00CC3563" w:rsidRDefault="005A6A52" w:rsidP="00B55747">
      <w:pPr>
        <w:pStyle w:val="FootnoteText"/>
        <w:ind w:left="284" w:hanging="284"/>
        <w:rPr>
          <w:lang w:val="en-IE"/>
        </w:rPr>
      </w:pPr>
      <w:r w:rsidRPr="00AE5D56">
        <w:rPr>
          <w:rStyle w:val="FootnoteReference"/>
        </w:rPr>
        <w:footnoteRef/>
      </w:r>
      <w:r>
        <w:tab/>
      </w:r>
      <w:r w:rsidRPr="00CC3563">
        <w:rPr>
          <w:lang w:val="en-IE"/>
        </w:rPr>
        <w:t>Communication from the Commission ‘</w:t>
      </w:r>
      <w:r w:rsidRPr="00CC3563">
        <w:t>EU Roma strategic framework for equality inclusion and participation for 2020 – 2030’, COM(2020) 620 final.</w:t>
      </w:r>
    </w:p>
  </w:footnote>
  <w:footnote w:id="35">
    <w:p w14:paraId="1482F6F6" w14:textId="2239D7D0" w:rsidR="005A6A52" w:rsidRPr="00CC3563" w:rsidRDefault="005A6A52" w:rsidP="00B55747">
      <w:pPr>
        <w:pStyle w:val="FootnoteText"/>
        <w:ind w:left="284" w:hanging="284"/>
        <w:rPr>
          <w:lang w:val="en-IE"/>
        </w:rPr>
      </w:pPr>
      <w:r w:rsidRPr="00CC3563">
        <w:rPr>
          <w:rStyle w:val="FootnoteReference"/>
        </w:rPr>
        <w:footnoteRef/>
      </w:r>
      <w:r w:rsidRPr="00CC3563">
        <w:tab/>
        <w:t>Proposal for a Council Directive restructuring the Union framework for the taxation of energy products and electricity (recast), COM(2021) 563 final.</w:t>
      </w:r>
    </w:p>
  </w:footnote>
  <w:footnote w:id="36">
    <w:p w14:paraId="7F48FC54" w14:textId="358EA50A" w:rsidR="005A6A52" w:rsidRPr="00CC3563" w:rsidRDefault="005A6A52" w:rsidP="00B55747">
      <w:pPr>
        <w:pStyle w:val="FootnoteText"/>
        <w:ind w:left="284" w:hanging="284"/>
        <w:rPr>
          <w:lang w:val="en-IE"/>
        </w:rPr>
      </w:pPr>
      <w:r w:rsidRPr="00CC3563">
        <w:rPr>
          <w:rStyle w:val="FootnoteReference"/>
        </w:rPr>
        <w:footnoteRef/>
      </w:r>
      <w:r w:rsidRPr="00CC3563">
        <w:tab/>
        <w:t xml:space="preserve">Proposal for a Directive of the European Parliament and of the Council on </w:t>
      </w:r>
      <w:r>
        <w:t xml:space="preserve">energy efficiency (recast), COM(2021) </w:t>
      </w:r>
      <w:r w:rsidRPr="00CC3563">
        <w:t>558 final.</w:t>
      </w:r>
    </w:p>
  </w:footnote>
  <w:footnote w:id="37">
    <w:p w14:paraId="2E050EDD" w14:textId="05C86B52" w:rsidR="005A6A52" w:rsidRPr="00CC3563" w:rsidRDefault="005A6A52" w:rsidP="00B55747">
      <w:pPr>
        <w:pStyle w:val="FootnoteText"/>
        <w:ind w:left="284" w:hanging="284"/>
        <w:rPr>
          <w:lang w:val="en-IE"/>
        </w:rPr>
      </w:pPr>
      <w:r w:rsidRPr="00CC3563">
        <w:rPr>
          <w:rStyle w:val="FootnoteReference"/>
        </w:rPr>
        <w:footnoteRef/>
      </w:r>
      <w:r w:rsidRPr="00CC3563">
        <w:tab/>
      </w:r>
      <w:r w:rsidRPr="00705830">
        <w:t xml:space="preserve">Proposal for a Directive of the European Parliament and of the Council amending the Directive 2010/31/EU of the European Parliament and of the Council of 19 May 2010 on the energy performance of buildings (as amended by Directive (EU) 2018/844/EU of 30 May 2018),  COM(2021) </w:t>
      </w:r>
      <w:r w:rsidR="001F1C8F" w:rsidRPr="00705830">
        <w:t>802</w:t>
      </w:r>
      <w:r w:rsidRPr="00705830">
        <w:t xml:space="preserve"> final.</w:t>
      </w:r>
    </w:p>
  </w:footnote>
  <w:footnote w:id="38">
    <w:p w14:paraId="131800F1" w14:textId="661E841E" w:rsidR="005A6A52" w:rsidRPr="00CC3563" w:rsidRDefault="005A6A52" w:rsidP="00B55747">
      <w:pPr>
        <w:pStyle w:val="FootnoteText"/>
        <w:ind w:left="284" w:hanging="284"/>
        <w:rPr>
          <w:lang w:val="en-IE"/>
        </w:rPr>
      </w:pPr>
      <w:r w:rsidRPr="00CC3563">
        <w:rPr>
          <w:rStyle w:val="FootnoteReference"/>
        </w:rPr>
        <w:footnoteRef/>
      </w:r>
      <w:r w:rsidRPr="00CC3563">
        <w:tab/>
        <w:t>Proposal for a Directive of the European Parliament and of the Council amending Directive (EU) 2018/2001 of the European Parliament and of the Council, Regulation (EU) 2018/1999 of the European Parliament and of the Council and Directive 98/70/EC of the European Parliament and of the Council as regards the promotion of energy from renewable sources, and repealing Counci</w:t>
      </w:r>
      <w:r>
        <w:t>l Directive (EU) 2015/652, COM(</w:t>
      </w:r>
      <w:r w:rsidRPr="00CC3563">
        <w:t>2</w:t>
      </w:r>
      <w:r>
        <w:t xml:space="preserve">021) </w:t>
      </w:r>
      <w:r w:rsidRPr="00CC3563">
        <w:t>557 final.</w:t>
      </w:r>
    </w:p>
  </w:footnote>
  <w:footnote w:id="39">
    <w:p w14:paraId="75561FE2" w14:textId="2E5B0837" w:rsidR="005A6A52" w:rsidRDefault="005A6A52" w:rsidP="00B55747">
      <w:pPr>
        <w:pStyle w:val="FootnoteText"/>
        <w:ind w:left="284" w:hanging="284"/>
      </w:pPr>
      <w:r>
        <w:rPr>
          <w:rStyle w:val="FootnoteReference"/>
        </w:rPr>
        <w:footnoteRef/>
      </w:r>
      <w:r>
        <w:tab/>
      </w:r>
      <w:r w:rsidRPr="00B251A6">
        <w:t>Proposal for a Regulation of the European Parliament and of the Council on the deployment of alternative fuels infrastructure, and repealing Directive 2014/94/EU of the European Parliament and of the Council, COM(2021) 559 final.</w:t>
      </w:r>
    </w:p>
  </w:footnote>
  <w:footnote w:id="40">
    <w:p w14:paraId="6F9C773D" w14:textId="269DE3D9" w:rsidR="005A6A52" w:rsidRPr="00CC3563" w:rsidRDefault="005A6A52" w:rsidP="00B55747">
      <w:pPr>
        <w:pStyle w:val="FootnoteText"/>
        <w:ind w:left="284" w:hanging="284"/>
        <w:rPr>
          <w:lang w:val="en-IE"/>
        </w:rPr>
      </w:pPr>
      <w:r w:rsidRPr="00CC3563">
        <w:rPr>
          <w:rStyle w:val="FootnoteReference"/>
        </w:rPr>
        <w:footnoteRef/>
      </w:r>
      <w:r w:rsidRPr="00CC3563">
        <w:tab/>
        <w:t>Proposal for a Regulation of the European Parliament and of the Council amending Regulation (EU) 2018/842 on binding annual greenhouse gas emission reductions by Member States from 2021 to 2030 contributing to climate action to meet commitments</w:t>
      </w:r>
      <w:r>
        <w:t xml:space="preserve"> under the Paris Agreement, COM(2021) </w:t>
      </w:r>
      <w:r w:rsidRPr="00CC3563">
        <w:t>555 final.</w:t>
      </w:r>
    </w:p>
  </w:footnote>
  <w:footnote w:id="41">
    <w:p w14:paraId="60975E89" w14:textId="6A0D2A62" w:rsidR="005A6A52" w:rsidRPr="00CC3563" w:rsidRDefault="005A6A52" w:rsidP="0050609F">
      <w:pPr>
        <w:pStyle w:val="FootnoteText"/>
        <w:ind w:left="284" w:hanging="284"/>
        <w:rPr>
          <w:i/>
          <w:lang w:val="en-IE"/>
        </w:rPr>
      </w:pPr>
      <w:r w:rsidRPr="00CC3563">
        <w:rPr>
          <w:rStyle w:val="FootnoteReference"/>
        </w:rPr>
        <w:footnoteRef/>
      </w:r>
      <w:r w:rsidRPr="00CC3563">
        <w:tab/>
        <w:t>Directive (EU) 2018/410 of the European Parliament and of the Council of 14 March 2018 amending Directive 2003/87/EC to enhance cost-effective emission reductions and low-carbon investments, and Decision (EU) 2015/1814 (Text with EEA relevance.) (OJ L 76, 19.3.2018, p. 3).</w:t>
      </w:r>
    </w:p>
  </w:footnote>
  <w:footnote w:id="42">
    <w:p w14:paraId="2A12A5E2" w14:textId="6602C8E4" w:rsidR="005A6A52" w:rsidRPr="0031654A" w:rsidRDefault="005A6A52" w:rsidP="0031654A">
      <w:pPr>
        <w:pStyle w:val="FootnoteText"/>
        <w:ind w:left="284" w:hanging="284"/>
        <w:rPr>
          <w:lang w:val="en-IE"/>
        </w:rPr>
      </w:pPr>
      <w:r w:rsidRPr="0031654A">
        <w:rPr>
          <w:rStyle w:val="FootnoteReference"/>
        </w:rPr>
        <w:footnoteRef/>
      </w:r>
      <w:r w:rsidRPr="0031654A">
        <w:tab/>
        <w:t>Regulation (EU) 2021/1056 of the European Parliament and of the Council of 24 June 2021 establishing the Just Transition Fund (OJ L 231, 30.6.2021, p. 1).</w:t>
      </w:r>
    </w:p>
  </w:footnote>
  <w:footnote w:id="43">
    <w:p w14:paraId="3BC679AD" w14:textId="36327CA9" w:rsidR="005A6A52" w:rsidRPr="0031654A" w:rsidRDefault="005A6A52" w:rsidP="0031654A">
      <w:pPr>
        <w:pStyle w:val="FootnoteText"/>
        <w:ind w:left="284" w:hanging="284"/>
      </w:pPr>
      <w:r w:rsidRPr="0031654A">
        <w:rPr>
          <w:rStyle w:val="FootnoteReference"/>
        </w:rPr>
        <w:footnoteRef/>
      </w:r>
      <w:r w:rsidRPr="0031654A">
        <w:tab/>
        <w:t>European Parliament resolution of 17 December 2020 on a strong social Europe for Just Transitions, (2020/2084(INI)).</w:t>
      </w:r>
    </w:p>
  </w:footnote>
  <w:footnote w:id="44">
    <w:p w14:paraId="433E535E" w14:textId="6A263149" w:rsidR="005A6A52" w:rsidRPr="0031654A" w:rsidRDefault="005A6A52" w:rsidP="0031654A">
      <w:pPr>
        <w:pStyle w:val="NormalWeb"/>
        <w:shd w:val="clear" w:color="auto" w:fill="FFFFFF"/>
        <w:spacing w:before="0" w:beforeAutospacing="0" w:after="0" w:afterAutospacing="0"/>
        <w:ind w:left="284" w:hanging="284"/>
        <w:rPr>
          <w:sz w:val="20"/>
          <w:szCs w:val="20"/>
        </w:rPr>
      </w:pPr>
      <w:r w:rsidRPr="00527A56">
        <w:rPr>
          <w:rStyle w:val="FootnoteReference"/>
        </w:rPr>
        <w:footnoteRef/>
      </w:r>
      <w:r>
        <w:rPr>
          <w:sz w:val="20"/>
          <w:szCs w:val="20"/>
        </w:rPr>
        <w:tab/>
      </w:r>
      <w:r w:rsidRPr="0031654A">
        <w:rPr>
          <w:sz w:val="20"/>
          <w:szCs w:val="20"/>
        </w:rPr>
        <w:t xml:space="preserve">Opinion of the European Economic and Social Committee on ‘No Green Deal without a social deal’ (Own-initiative opinion), EESC 2020/01591 </w:t>
      </w:r>
      <w:r w:rsidRPr="0031654A">
        <w:rPr>
          <w:i/>
          <w:iCs/>
          <w:sz w:val="20"/>
          <w:szCs w:val="20"/>
        </w:rPr>
        <w:t>(</w:t>
      </w:r>
      <w:r w:rsidRPr="0031654A">
        <w:rPr>
          <w:rStyle w:val="Emphasis"/>
          <w:i w:val="0"/>
          <w:iCs w:val="0"/>
          <w:sz w:val="20"/>
          <w:szCs w:val="20"/>
        </w:rPr>
        <w:t>OJ C 341, 24.8.2021, p. 23).</w:t>
      </w:r>
    </w:p>
  </w:footnote>
  <w:footnote w:id="45">
    <w:p w14:paraId="21421A92" w14:textId="258AF057" w:rsidR="005A6A52" w:rsidRPr="0031654A" w:rsidRDefault="005A6A52" w:rsidP="00CB2E17">
      <w:pPr>
        <w:spacing w:before="0" w:after="0"/>
        <w:ind w:left="284" w:hanging="284"/>
      </w:pPr>
      <w:r w:rsidRPr="00527A56">
        <w:rPr>
          <w:rStyle w:val="FootnoteReference"/>
        </w:rPr>
        <w:footnoteRef/>
      </w:r>
      <w:r>
        <w:rPr>
          <w:sz w:val="20"/>
          <w:szCs w:val="20"/>
        </w:rPr>
        <w:tab/>
      </w:r>
      <w:r w:rsidRPr="0031654A">
        <w:rPr>
          <w:sz w:val="20"/>
          <w:szCs w:val="20"/>
          <w:shd w:val="clear" w:color="auto" w:fill="FFFFFF"/>
        </w:rPr>
        <w:t>Opinion of the European Committee of the Regions – A Strong Social Europe for Just Transitions, COR 2020/02167 (</w:t>
      </w:r>
      <w:r w:rsidRPr="0031654A">
        <w:rPr>
          <w:rStyle w:val="Emphasis"/>
          <w:i w:val="0"/>
          <w:iCs w:val="0"/>
          <w:sz w:val="20"/>
          <w:szCs w:val="20"/>
          <w:shd w:val="clear" w:color="auto" w:fill="FFFFFF"/>
        </w:rPr>
        <w:t>OJ C 440, 18.12.2020, p. 42)</w:t>
      </w:r>
      <w:r>
        <w:rPr>
          <w:rStyle w:val="Emphasis"/>
          <w:i w:val="0"/>
          <w:iCs w:val="0"/>
          <w:color w:val="1F497D"/>
          <w:sz w:val="20"/>
          <w:szCs w:val="20"/>
          <w:shd w:val="clear" w:color="auto" w:fill="FFFFFF"/>
        </w:rPr>
        <w:t>.</w:t>
      </w:r>
    </w:p>
  </w:footnote>
  <w:footnote w:id="46">
    <w:p w14:paraId="28728919" w14:textId="6D88D86A" w:rsidR="005A6A52" w:rsidRPr="00CC3563" w:rsidRDefault="005A6A52" w:rsidP="0050609F">
      <w:pPr>
        <w:pStyle w:val="FootnoteText"/>
        <w:ind w:left="284" w:hanging="284"/>
        <w:rPr>
          <w:lang w:val="pt-PT"/>
        </w:rPr>
      </w:pPr>
      <w:r w:rsidRPr="00CC3563">
        <w:rPr>
          <w:rStyle w:val="FootnoteReference"/>
        </w:rPr>
        <w:footnoteRef/>
      </w:r>
      <w:r w:rsidRPr="00CC3563">
        <w:rPr>
          <w:lang w:val="pt-PT"/>
        </w:rPr>
        <w:tab/>
      </w:r>
      <w:r w:rsidRPr="00CB2E17">
        <w:rPr>
          <w:lang w:val="pt-PT"/>
        </w:rPr>
        <w:t>COM(2020) 564 final.</w:t>
      </w:r>
    </w:p>
  </w:footnote>
  <w:footnote w:id="47">
    <w:p w14:paraId="4D024E30" w14:textId="2EDF7B9F" w:rsidR="005A6A52" w:rsidRPr="00CC3563" w:rsidRDefault="005A6A52" w:rsidP="0050609F">
      <w:pPr>
        <w:pStyle w:val="FootnoteText"/>
        <w:ind w:left="284" w:hanging="284"/>
        <w:rPr>
          <w:lang w:val="pt-PT"/>
        </w:rPr>
      </w:pPr>
      <w:r w:rsidRPr="00CC3563">
        <w:rPr>
          <w:rStyle w:val="FootnoteReference"/>
        </w:rPr>
        <w:footnoteRef/>
      </w:r>
      <w:r w:rsidRPr="00CC3563">
        <w:tab/>
      </w:r>
      <w:hyperlink r:id="rId3" w:history="1">
        <w:r w:rsidRPr="00CC3563">
          <w:rPr>
            <w:rStyle w:val="Hyperlink"/>
            <w:color w:val="auto"/>
          </w:rPr>
          <w:t>https://ec.europa.eu/social/main.jsp?langId=en&amp;catId=1049</w:t>
        </w:r>
      </w:hyperlink>
      <w:r w:rsidRPr="00CC3563">
        <w:t xml:space="preserve"> </w:t>
      </w:r>
    </w:p>
  </w:footnote>
  <w:footnote w:id="48">
    <w:p w14:paraId="6C7E5390" w14:textId="01F3CD46" w:rsidR="005A6A52" w:rsidRPr="00CC3563" w:rsidRDefault="005A6A52" w:rsidP="0050609F">
      <w:pPr>
        <w:pStyle w:val="FootnoteText"/>
        <w:ind w:left="284" w:hanging="284"/>
        <w:rPr>
          <w:lang w:val="en-IE"/>
        </w:rPr>
      </w:pPr>
      <w:r w:rsidRPr="00CC3563">
        <w:rPr>
          <w:rStyle w:val="FootnoteReference"/>
        </w:rPr>
        <w:footnoteRef/>
      </w:r>
      <w:r w:rsidRPr="00CC3563">
        <w:tab/>
        <w:t xml:space="preserve">An overview of relevant funding instruments and their inter-linkages, as well as their role in addressing the recommendations made under this proposal, are described in further detail in the accompanying Staff Working Document </w:t>
      </w:r>
      <w:r w:rsidRPr="004E1467">
        <w:t xml:space="preserve">(SWD(2021) </w:t>
      </w:r>
      <w:r w:rsidR="00B875F3">
        <w:t>452</w:t>
      </w:r>
      <w:r w:rsidRPr="004E1467">
        <w:t>).</w:t>
      </w:r>
    </w:p>
  </w:footnote>
  <w:footnote w:id="49">
    <w:p w14:paraId="4558AA22" w14:textId="77777777" w:rsidR="005A6A52" w:rsidRPr="00CC3563" w:rsidRDefault="005A6A52" w:rsidP="0050609F">
      <w:pPr>
        <w:pStyle w:val="FootnoteText"/>
        <w:ind w:left="284" w:hanging="284"/>
        <w:rPr>
          <w:lang w:val="en-IE"/>
        </w:rPr>
      </w:pPr>
      <w:r w:rsidRPr="00CC3563">
        <w:rPr>
          <w:rStyle w:val="FootnoteReference"/>
        </w:rPr>
        <w:footnoteRef/>
      </w:r>
      <w:r w:rsidRPr="00CC3563">
        <w:tab/>
        <w:t>IPCC, 2021: Climate Change 2021: The Physical Science Basis. Contribution of Working Group I to the Sixth Assessment Report of the Intergovernmental Panel on Climate Change.</w:t>
      </w:r>
    </w:p>
  </w:footnote>
  <w:footnote w:id="50">
    <w:p w14:paraId="7583A6B3" w14:textId="77777777" w:rsidR="005A6A52" w:rsidRPr="00CC3563" w:rsidRDefault="005A6A52" w:rsidP="0050609F">
      <w:pPr>
        <w:pStyle w:val="FootnoteText"/>
        <w:ind w:left="284" w:hanging="284"/>
        <w:rPr>
          <w:lang w:val="es-ES"/>
        </w:rPr>
      </w:pPr>
      <w:r w:rsidRPr="00CC3563">
        <w:rPr>
          <w:rStyle w:val="FootnoteReference"/>
        </w:rPr>
        <w:footnoteRef/>
      </w:r>
      <w:r w:rsidRPr="00CC3563">
        <w:rPr>
          <w:lang w:val="es-ES"/>
        </w:rPr>
        <w:tab/>
        <w:t xml:space="preserve">JRC, PESETA IV, </w:t>
      </w:r>
      <w:hyperlink r:id="rId4" w:history="1">
        <w:r w:rsidRPr="00CC3563">
          <w:rPr>
            <w:rStyle w:val="Hyperlink"/>
            <w:color w:val="auto"/>
            <w:lang w:val="es-ES"/>
          </w:rPr>
          <w:t>https://ec.europa.eu/jrc/en/peseta-iv/economic-impacts</w:t>
        </w:r>
      </w:hyperlink>
      <w:r w:rsidRPr="00CC3563">
        <w:rPr>
          <w:lang w:val="es-ES"/>
        </w:rPr>
        <w:t xml:space="preserve"> .</w:t>
      </w:r>
    </w:p>
  </w:footnote>
  <w:footnote w:id="51">
    <w:p w14:paraId="569F24C0" w14:textId="77777777" w:rsidR="005A6A52" w:rsidRPr="00CC3563" w:rsidRDefault="005A6A52" w:rsidP="0050609F">
      <w:pPr>
        <w:pStyle w:val="FootnoteText"/>
        <w:ind w:left="284" w:hanging="284"/>
      </w:pPr>
      <w:r w:rsidRPr="00CC3563">
        <w:rPr>
          <w:rStyle w:val="FootnoteReference"/>
        </w:rPr>
        <w:footnoteRef/>
      </w:r>
      <w:r w:rsidRPr="00CC3563">
        <w:tab/>
        <w:t>Paris Agreement (OJ L 282, 19.10.2016, p. 4).</w:t>
      </w:r>
    </w:p>
  </w:footnote>
  <w:footnote w:id="52">
    <w:p w14:paraId="3251C02E" w14:textId="54189B48" w:rsidR="005A6A52" w:rsidRPr="00CC3563" w:rsidRDefault="005A6A52" w:rsidP="0050609F">
      <w:pPr>
        <w:pStyle w:val="FootnoteText"/>
        <w:ind w:left="284" w:hanging="284"/>
        <w:rPr>
          <w:lang w:val="en-IE"/>
        </w:rPr>
      </w:pPr>
      <w:r w:rsidRPr="00CC3563">
        <w:rPr>
          <w:rStyle w:val="FootnoteReference"/>
        </w:rPr>
        <w:footnoteRef/>
      </w:r>
      <w:r w:rsidRPr="00CC3563">
        <w:tab/>
        <w:t xml:space="preserve">European Commission (2021), PESETA IV study ‘Climate change impacts and adaptation in Europe’, Joint Research Centre, Sevilla, </w:t>
      </w:r>
      <w:hyperlink r:id="rId5" w:history="1">
        <w:r w:rsidRPr="00CC3563">
          <w:rPr>
            <w:rStyle w:val="Hyperlink"/>
            <w:color w:val="auto"/>
          </w:rPr>
          <w:t>http://ec.europa.eu/jrc/en/peseta-iv</w:t>
        </w:r>
      </w:hyperlink>
      <w:r w:rsidRPr="00CC3563">
        <w:rPr>
          <w:rStyle w:val="Hyperlink"/>
          <w:color w:val="auto"/>
        </w:rPr>
        <w:t xml:space="preserve"> .</w:t>
      </w:r>
    </w:p>
  </w:footnote>
  <w:footnote w:id="53">
    <w:p w14:paraId="054663CE" w14:textId="0A069954" w:rsidR="005A6A52" w:rsidRPr="00CC3563" w:rsidRDefault="005A6A52" w:rsidP="0050609F">
      <w:pPr>
        <w:pStyle w:val="FootnoteText"/>
        <w:ind w:left="284" w:hanging="284"/>
      </w:pPr>
      <w:r w:rsidRPr="00CC3563">
        <w:rPr>
          <w:rStyle w:val="FootnoteReference"/>
        </w:rPr>
        <w:footnoteRef/>
      </w:r>
      <w:r w:rsidRPr="00CC3563">
        <w:tab/>
        <w:t>Communication from the Commission</w:t>
      </w:r>
      <w:r>
        <w:t xml:space="preserve"> ‘The European Green Deal’, COM(2019) </w:t>
      </w:r>
      <w:r w:rsidRPr="00CC3563">
        <w:t>640 final.</w:t>
      </w:r>
      <w:r w:rsidRPr="00CC3563" w:rsidDel="00F80E00">
        <w:t xml:space="preserve"> </w:t>
      </w:r>
    </w:p>
  </w:footnote>
  <w:footnote w:id="54">
    <w:p w14:paraId="786F8710" w14:textId="77777777" w:rsidR="005A6A52" w:rsidRPr="00CC3563" w:rsidRDefault="005A6A52" w:rsidP="0050609F">
      <w:pPr>
        <w:pStyle w:val="FootnoteText"/>
        <w:ind w:left="284" w:hanging="284"/>
      </w:pPr>
      <w:r w:rsidRPr="00CC3563">
        <w:rPr>
          <w:rStyle w:val="FootnoteReference"/>
        </w:rPr>
        <w:footnoteRef/>
      </w:r>
      <w:r w:rsidRPr="00CC3563">
        <w:tab/>
      </w:r>
      <w:r w:rsidRPr="00CC3563">
        <w:rPr>
          <w:lang w:val="en-IE"/>
        </w:rPr>
        <w:t>Regulation (EU) 2021/1119 of the European Parliament and of the Council of 30 June 2021 establishing the framework for achieving climate neutrality and amending Regulations (EC) No 401/2009 and (EU) 2018/1999 (‘European Climate Law’) (OJ L 243, 9.7.2021, p. 1).</w:t>
      </w:r>
    </w:p>
  </w:footnote>
  <w:footnote w:id="55">
    <w:p w14:paraId="699D579D" w14:textId="2CCEB8AF" w:rsidR="005A6A52" w:rsidRPr="00CC3563" w:rsidRDefault="005A6A52" w:rsidP="0050609F">
      <w:pPr>
        <w:pStyle w:val="FootnoteText"/>
        <w:ind w:left="284" w:hanging="284"/>
      </w:pPr>
      <w:r w:rsidRPr="00CC3563">
        <w:rPr>
          <w:rStyle w:val="FootnoteReference"/>
        </w:rPr>
        <w:footnoteRef/>
      </w:r>
      <w:r w:rsidRPr="00CC3563">
        <w:tab/>
        <w:t>Proposal for a Decision of the European Parliament and of the Council on a General Union Environmen</w:t>
      </w:r>
      <w:r>
        <w:t xml:space="preserve">t Action Programme to 2030, COM(2020) </w:t>
      </w:r>
      <w:r w:rsidRPr="00CC3563">
        <w:t>652 final.</w:t>
      </w:r>
    </w:p>
  </w:footnote>
  <w:footnote w:id="56">
    <w:p w14:paraId="543703F7" w14:textId="0B0CB9FA" w:rsidR="005A6A52" w:rsidRPr="00CC3563" w:rsidRDefault="005A6A52" w:rsidP="0050609F">
      <w:pPr>
        <w:pStyle w:val="FootnoteText"/>
        <w:ind w:left="284" w:hanging="284"/>
      </w:pPr>
      <w:r w:rsidRPr="00CC3563">
        <w:rPr>
          <w:rStyle w:val="FootnoteReference"/>
        </w:rPr>
        <w:footnoteRef/>
      </w:r>
      <w:r w:rsidRPr="00CC3563">
        <w:tab/>
      </w:r>
      <w:r w:rsidRPr="00CC3563">
        <w:rPr>
          <w:lang w:val="en-IE"/>
        </w:rPr>
        <w:t>For instance as regards infrastructure, Europe will need an estimated EUR 350 billion in additional investment per year over this decade to meet its 2030 emissions-reduction target in energy systems alone, alongside EUR 130 billion need</w:t>
      </w:r>
      <w:r>
        <w:rPr>
          <w:lang w:val="en-IE"/>
        </w:rPr>
        <w:t xml:space="preserve"> for other environmental goals.</w:t>
      </w:r>
    </w:p>
  </w:footnote>
  <w:footnote w:id="57">
    <w:p w14:paraId="5DA00414" w14:textId="019174AB" w:rsidR="005A6A52" w:rsidRPr="00CC3563" w:rsidRDefault="005A6A52" w:rsidP="0050609F">
      <w:pPr>
        <w:pStyle w:val="FootnoteText"/>
        <w:ind w:left="284" w:hanging="284"/>
      </w:pPr>
      <w:r w:rsidRPr="00CC3563">
        <w:rPr>
          <w:rStyle w:val="FootnoteReference"/>
        </w:rPr>
        <w:footnoteRef/>
      </w:r>
      <w:r w:rsidRPr="00CC3563">
        <w:tab/>
        <w:t xml:space="preserve">Communication from the Commission ‘‘Fit for 55’: delivering the EU's 2030 Climate Target on the </w:t>
      </w:r>
      <w:r>
        <w:t xml:space="preserve">way to climate neutrality’, COM(2021) </w:t>
      </w:r>
      <w:r w:rsidRPr="00CC3563">
        <w:t xml:space="preserve">550 final.  </w:t>
      </w:r>
    </w:p>
  </w:footnote>
  <w:footnote w:id="58">
    <w:p w14:paraId="5EC95BF0" w14:textId="50250446" w:rsidR="005A6A52" w:rsidRPr="00CC3563" w:rsidRDefault="005A6A52" w:rsidP="0050609F">
      <w:pPr>
        <w:pStyle w:val="FootnoteText"/>
        <w:ind w:left="284" w:hanging="284"/>
        <w:rPr>
          <w:lang w:val="en-IE"/>
        </w:rPr>
      </w:pPr>
      <w:r w:rsidRPr="00CC3563">
        <w:rPr>
          <w:rStyle w:val="FootnoteReference"/>
        </w:rPr>
        <w:footnoteRef/>
      </w:r>
      <w:r w:rsidRPr="00CC3563">
        <w:rPr>
          <w:rFonts w:ascii="Arial" w:eastAsia="Arial" w:hAnsi="Arial" w:cs="Arial"/>
        </w:rPr>
        <w:tab/>
      </w:r>
      <w:r w:rsidRPr="00CC3563">
        <w:rPr>
          <w:rFonts w:eastAsia="Arial"/>
        </w:rPr>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w:t>
      </w:r>
      <w:r>
        <w:rPr>
          <w:rFonts w:eastAsia="Arial"/>
        </w:rPr>
        <w:t xml:space="preserve">d Regulation (EU) 2015/757, COM(2021) </w:t>
      </w:r>
      <w:r w:rsidRPr="00CC3563">
        <w:rPr>
          <w:rFonts w:eastAsia="Arial"/>
        </w:rPr>
        <w:t>551 final.</w:t>
      </w:r>
    </w:p>
  </w:footnote>
  <w:footnote w:id="59">
    <w:p w14:paraId="6DD8FCDF" w14:textId="77777777" w:rsidR="005A6A52" w:rsidRPr="00CC3563" w:rsidRDefault="005A6A52" w:rsidP="0050609F">
      <w:pPr>
        <w:pStyle w:val="FootnoteText"/>
        <w:ind w:left="284" w:hanging="284"/>
        <w:rPr>
          <w:lang w:val="en-IE"/>
        </w:rPr>
      </w:pPr>
      <w:r w:rsidRPr="00CC3563">
        <w:rPr>
          <w:rStyle w:val="FootnoteReference"/>
        </w:rPr>
        <w:footnoteRef/>
      </w:r>
      <w:r w:rsidRPr="00CC3563">
        <w:tab/>
        <w:t>The guidelines define the concept of just transition and call upon policy-makers and social partners to promote a just transition at the global level.</w:t>
      </w:r>
    </w:p>
  </w:footnote>
  <w:footnote w:id="60">
    <w:p w14:paraId="3869EC6D" w14:textId="77777777" w:rsidR="005A6A52" w:rsidRPr="00CC3563" w:rsidRDefault="005A6A52" w:rsidP="0050609F">
      <w:pPr>
        <w:pStyle w:val="FootnoteText"/>
        <w:ind w:left="284" w:hanging="284"/>
      </w:pPr>
      <w:r w:rsidRPr="00CC3563">
        <w:rPr>
          <w:rStyle w:val="FootnoteReference"/>
        </w:rPr>
        <w:footnoteRef/>
      </w:r>
      <w:r w:rsidRPr="00CC3563">
        <w:tab/>
        <w:t>General Secretariat of the Council, 14545/1/18 REV1 of 26 November 2018.</w:t>
      </w:r>
    </w:p>
  </w:footnote>
  <w:footnote w:id="61">
    <w:p w14:paraId="529FDD59" w14:textId="55F34948" w:rsidR="005A6A52" w:rsidRPr="00CC3563" w:rsidRDefault="005A6A52" w:rsidP="0050609F">
      <w:pPr>
        <w:pStyle w:val="FootnoteText"/>
        <w:ind w:left="284" w:hanging="284"/>
      </w:pPr>
      <w:r w:rsidRPr="00CC3563">
        <w:rPr>
          <w:rStyle w:val="FootnoteReference"/>
        </w:rPr>
        <w:footnoteRef/>
      </w:r>
      <w:r w:rsidRPr="00CC3563">
        <w:tab/>
        <w:t>Communication from the Commission ‘A Strong Social Eu</w:t>
      </w:r>
      <w:r>
        <w:t xml:space="preserve">rope for Just Transitions’, COM(2020) </w:t>
      </w:r>
      <w:r w:rsidRPr="00CC3563">
        <w:t>14, launching the public consultation for the European Pillar of Social Rights Action Plan.</w:t>
      </w:r>
    </w:p>
  </w:footnote>
  <w:footnote w:id="62">
    <w:p w14:paraId="59FB91AC" w14:textId="74B83C5F" w:rsidR="005A6A52" w:rsidRPr="00CC3563" w:rsidRDefault="005A6A52" w:rsidP="005C7938">
      <w:pPr>
        <w:pStyle w:val="FootnoteText"/>
        <w:ind w:left="284" w:hanging="284"/>
      </w:pPr>
      <w:r w:rsidRPr="00CC3563">
        <w:rPr>
          <w:rStyle w:val="FootnoteReference"/>
        </w:rPr>
        <w:footnoteRef/>
      </w:r>
      <w:r w:rsidRPr="00CC3563">
        <w:tab/>
        <w:t xml:space="preserve">Communication from the Commission ‘The European Pillar of </w:t>
      </w:r>
      <w:r>
        <w:t xml:space="preserve">Social Rights Action Plan’, COM(2021) </w:t>
      </w:r>
      <w:r w:rsidRPr="00CC3563">
        <w:t xml:space="preserve">102 final. The European Pillar of Social Rights, proclaimed and signed by the Council of the European Union, the European Parliament and </w:t>
      </w:r>
      <w:r w:rsidRPr="00CC3563">
        <w:rPr>
          <w:lang w:val="en-IE"/>
        </w:rPr>
        <w:t>the</w:t>
      </w:r>
      <w:r w:rsidRPr="00CC3563">
        <w:t xml:space="preserve"> Commission at the Gothenburg Summit in November 2017, is the Union’s guiding compass to a strong social Europe.</w:t>
      </w:r>
    </w:p>
  </w:footnote>
  <w:footnote w:id="63">
    <w:p w14:paraId="4D86F1AD" w14:textId="5A959C94" w:rsidR="005A6A52" w:rsidRPr="004E1467" w:rsidRDefault="005A6A52" w:rsidP="00705830">
      <w:pPr>
        <w:pStyle w:val="FootnoteText"/>
        <w:ind w:left="284" w:hanging="284"/>
      </w:pPr>
      <w:r w:rsidRPr="00DB2FDC">
        <w:rPr>
          <w:rStyle w:val="FootnoteReference"/>
        </w:rPr>
        <w:footnoteRef/>
      </w:r>
      <w:r w:rsidR="009E2666">
        <w:tab/>
      </w:r>
      <w:r w:rsidR="009956C7">
        <w:t>I</w:t>
      </w:r>
      <w:r w:rsidR="009956C7" w:rsidRPr="009956C7">
        <w:t xml:space="preserve">n order to achieve this overall goal, Europe must strive to </w:t>
      </w:r>
      <w:r w:rsidRPr="00EC6D2A">
        <w:t>at least halve the gender employment gap compared to 2019</w:t>
      </w:r>
      <w:r w:rsidR="009956C7">
        <w:t>;</w:t>
      </w:r>
      <w:r w:rsidRPr="00EC6D2A">
        <w:t xml:space="preserve"> to reduce the share of young people (15-29) who are neither in employment, nor in education or training (NEETs) to 9%, and to increase the provision of formal early childhood education and care (ECEC).</w:t>
      </w:r>
    </w:p>
  </w:footnote>
  <w:footnote w:id="64">
    <w:p w14:paraId="4678CFEF" w14:textId="223BCBF9" w:rsidR="005A6A52" w:rsidRPr="004E1467" w:rsidRDefault="005A6A52" w:rsidP="00705830">
      <w:pPr>
        <w:pStyle w:val="FootnoteText"/>
        <w:ind w:left="284" w:hanging="284"/>
      </w:pPr>
      <w:r w:rsidRPr="004E1467">
        <w:rPr>
          <w:rStyle w:val="FootnoteReference"/>
        </w:rPr>
        <w:footnoteRef/>
      </w:r>
      <w:r w:rsidR="003A6B54">
        <w:tab/>
      </w:r>
      <w:r w:rsidR="009956C7">
        <w:t xml:space="preserve">In particular, </w:t>
      </w:r>
      <w:r w:rsidR="009956C7" w:rsidRPr="009956C7">
        <w:t>at least 80% of those aged 16-74 should have basic digital skill</w:t>
      </w:r>
      <w:r w:rsidR="009956C7">
        <w:t xml:space="preserve">s, and </w:t>
      </w:r>
      <w:r w:rsidR="009956C7" w:rsidRPr="009956C7">
        <w:t>early school leaving should be further reduced and participation in upper secondary education increased</w:t>
      </w:r>
      <w:r w:rsidR="009956C7">
        <w:t>.</w:t>
      </w:r>
    </w:p>
  </w:footnote>
  <w:footnote w:id="65">
    <w:p w14:paraId="5D9E924F" w14:textId="5724B722" w:rsidR="005A6A52" w:rsidRPr="004E1467" w:rsidRDefault="005A6A52" w:rsidP="00705830">
      <w:pPr>
        <w:pStyle w:val="FootnoteText"/>
        <w:ind w:left="284" w:hanging="284"/>
      </w:pPr>
      <w:r w:rsidRPr="004E1467">
        <w:rPr>
          <w:rStyle w:val="FootnoteReference"/>
        </w:rPr>
        <w:footnoteRef/>
      </w:r>
      <w:r w:rsidR="003A6B54">
        <w:tab/>
      </w:r>
      <w:r w:rsidR="009956C7" w:rsidRPr="009956C7">
        <w:t>Out of 15 million people to lift out of poverty or social exclusion, at least 5 million should be children.</w:t>
      </w:r>
    </w:p>
  </w:footnote>
  <w:footnote w:id="66">
    <w:p w14:paraId="2310545E" w14:textId="77777777" w:rsidR="005A6A52" w:rsidRPr="004E1467" w:rsidRDefault="005A6A52" w:rsidP="005C7938">
      <w:pPr>
        <w:pStyle w:val="FootnoteText"/>
        <w:ind w:left="284" w:hanging="284"/>
      </w:pPr>
      <w:r w:rsidRPr="004E1467">
        <w:rPr>
          <w:rStyle w:val="FootnoteReference"/>
        </w:rPr>
        <w:footnoteRef/>
      </w:r>
      <w:r w:rsidRPr="004E1467">
        <w:tab/>
        <w:t>European Council, Porto Declaration, 8.5.2021.</w:t>
      </w:r>
    </w:p>
  </w:footnote>
  <w:footnote w:id="67">
    <w:p w14:paraId="44816EAB" w14:textId="3C6AA80A" w:rsidR="005A6A52" w:rsidRPr="00CC3563" w:rsidRDefault="005A6A52" w:rsidP="005C7938">
      <w:pPr>
        <w:pStyle w:val="FootnoteText"/>
        <w:ind w:left="284" w:hanging="284"/>
      </w:pPr>
      <w:r w:rsidRPr="004E1467">
        <w:rPr>
          <w:rStyle w:val="FootnoteReference"/>
        </w:rPr>
        <w:footnoteRef/>
      </w:r>
      <w:r w:rsidRPr="004E1467">
        <w:tab/>
        <w:t>Communication from the Commission ‘‘Fit for 55’: delivering the EU’s 2030 Climate Target on the way to climate neutrality’, COM(2021) 550 final.</w:t>
      </w:r>
    </w:p>
  </w:footnote>
  <w:footnote w:id="68">
    <w:p w14:paraId="0BC4BBD6" w14:textId="21787AD4" w:rsidR="005A6A52" w:rsidRPr="00CC3563" w:rsidRDefault="005A6A52" w:rsidP="005C7938">
      <w:pPr>
        <w:pStyle w:val="FootnoteText"/>
        <w:ind w:left="284" w:hanging="284"/>
      </w:pPr>
      <w:r w:rsidRPr="00AE5D56">
        <w:rPr>
          <w:rStyle w:val="FootnoteReference"/>
        </w:rPr>
        <w:footnoteRef/>
      </w:r>
      <w:r>
        <w:tab/>
      </w:r>
      <w:r w:rsidRPr="00CC3563">
        <w:rPr>
          <w:rFonts w:eastAsia="Arial Unicode MS"/>
        </w:rPr>
        <w:t>Staff Working Document from the Commission, Impact Assessment accompanying the Communication ‘Stepping up Europe’s 2030 climate ambition - Investing in a climate-neutral future for the benefit of our people’, SWD(2020)</w:t>
      </w:r>
      <w:r>
        <w:rPr>
          <w:rFonts w:eastAsia="Arial Unicode MS"/>
        </w:rPr>
        <w:t xml:space="preserve"> </w:t>
      </w:r>
      <w:r w:rsidRPr="00CC3563">
        <w:rPr>
          <w:rFonts w:eastAsia="Arial Unicode MS"/>
        </w:rPr>
        <w:t xml:space="preserve">176 final. </w:t>
      </w:r>
      <w:r w:rsidRPr="00CC3563">
        <w:t>Projections based on E-QUEST using a ‘lower taxation low-skilled labour’ scenario.</w:t>
      </w:r>
    </w:p>
  </w:footnote>
  <w:footnote w:id="69">
    <w:p w14:paraId="208F4DD8" w14:textId="5855E0AE" w:rsidR="005A6A52" w:rsidRPr="00CC3563" w:rsidRDefault="005A6A52" w:rsidP="0050609F">
      <w:pPr>
        <w:pStyle w:val="FootnoteText"/>
        <w:ind w:left="284" w:hanging="284"/>
      </w:pPr>
      <w:r w:rsidRPr="00AE5D56">
        <w:rPr>
          <w:rStyle w:val="FootnoteReference"/>
        </w:rPr>
        <w:footnoteRef/>
      </w:r>
      <w:r>
        <w:tab/>
      </w:r>
      <w:r w:rsidRPr="00CC3563">
        <w:rPr>
          <w:lang w:val="en-IE"/>
        </w:rPr>
        <w:t>European Commission (2019), Sustainable growth for all: choices for the future of Social Europe, Employment and Social Developments in Europe 2019, 4 July 2019. Based on the In-depth analysis accompanying the Communicat</w:t>
      </w:r>
      <w:r>
        <w:rPr>
          <w:lang w:val="en-IE"/>
        </w:rPr>
        <w:t xml:space="preserve">ion of the Commission COM(2018) </w:t>
      </w:r>
      <w:r w:rsidRPr="00CC3563">
        <w:rPr>
          <w:lang w:val="en-IE"/>
        </w:rPr>
        <w:t>773.</w:t>
      </w:r>
    </w:p>
  </w:footnote>
  <w:footnote w:id="70">
    <w:p w14:paraId="17560949" w14:textId="534F5E39" w:rsidR="005A6A52" w:rsidRPr="00CC3563" w:rsidRDefault="005A6A52" w:rsidP="0050609F">
      <w:pPr>
        <w:pStyle w:val="FootnoteText"/>
        <w:ind w:left="284" w:hanging="284"/>
      </w:pPr>
      <w:r w:rsidRPr="00CC3563">
        <w:rPr>
          <w:rStyle w:val="FootnoteReference"/>
        </w:rPr>
        <w:footnoteRef/>
      </w:r>
      <w:r w:rsidRPr="00CC3563">
        <w:tab/>
        <w:t>SWD(2020)</w:t>
      </w:r>
      <w:r>
        <w:t xml:space="preserve"> </w:t>
      </w:r>
      <w:r w:rsidRPr="00CC3563">
        <w:t>176 final.</w:t>
      </w:r>
    </w:p>
  </w:footnote>
  <w:footnote w:id="71">
    <w:p w14:paraId="5AAEE925" w14:textId="6DA14BC4" w:rsidR="005A6A52" w:rsidRPr="00CC3563" w:rsidRDefault="005A6A52" w:rsidP="0050609F">
      <w:pPr>
        <w:pStyle w:val="FootnoteText"/>
        <w:ind w:left="284" w:hanging="284"/>
      </w:pPr>
      <w:r w:rsidRPr="00CC3563">
        <w:rPr>
          <w:rStyle w:val="FootnoteReference"/>
        </w:rPr>
        <w:footnoteRef/>
      </w:r>
      <w:r w:rsidRPr="00CC3563">
        <w:tab/>
        <w:t>SWD(2020)</w:t>
      </w:r>
      <w:r>
        <w:t xml:space="preserve"> </w:t>
      </w:r>
      <w:r w:rsidRPr="00CC3563">
        <w:t>176 final.</w:t>
      </w:r>
    </w:p>
  </w:footnote>
  <w:footnote w:id="72">
    <w:p w14:paraId="0333100E" w14:textId="73162B94" w:rsidR="005A6A52" w:rsidRPr="00CC3563" w:rsidRDefault="005A6A52" w:rsidP="0050609F">
      <w:pPr>
        <w:pStyle w:val="FootnoteText"/>
        <w:ind w:left="284" w:hanging="284"/>
      </w:pPr>
      <w:r w:rsidRPr="00CC3563">
        <w:rPr>
          <w:rStyle w:val="FootnoteReference"/>
        </w:rPr>
        <w:footnoteRef/>
      </w:r>
      <w:r w:rsidRPr="00CC3563">
        <w:tab/>
      </w:r>
      <w:r w:rsidRPr="003D03E8">
        <w:rPr>
          <w:lang w:val="en-IE"/>
        </w:rPr>
        <w:t xml:space="preserve">European Commission (2019), ‘Sustainable growth for all: choices for the future of Social Europe, Employment and Social Developments in Europe 2019’, </w:t>
      </w:r>
      <w:r w:rsidRPr="003D03E8">
        <w:t xml:space="preserve"> </w:t>
      </w:r>
      <w:r w:rsidRPr="003D03E8">
        <w:rPr>
          <w:lang w:val="en-IE"/>
        </w:rPr>
        <w:t xml:space="preserve">chapter 5, 4 July 2019, </w:t>
      </w:r>
      <w:r w:rsidRPr="003D03E8">
        <w:t xml:space="preserve">and </w:t>
      </w:r>
      <w:r w:rsidRPr="003D03E8">
        <w:rPr>
          <w:lang w:val="en-IE"/>
        </w:rPr>
        <w:t xml:space="preserve">European Commission (2020), </w:t>
      </w:r>
      <w:r w:rsidRPr="003D03E8">
        <w:t>‘Leaving no one behind and striving for more: fairness and solidarity in the European social market economy’, Employment and Social Developments in Europe 2020, chapter 4.2.2, 15 September 2020. Overall poverty in this context is measured using the agreed indicator for the at-risk-of poverty rate, in line with Social Scoreboard indicators and the related 2030 headline target under the European Pillar of Social Rights Action Plan.</w:t>
      </w:r>
    </w:p>
  </w:footnote>
  <w:footnote w:id="73">
    <w:p w14:paraId="7D10C645" w14:textId="7A872127" w:rsidR="005A6A52" w:rsidRDefault="005A6A52" w:rsidP="0050609F">
      <w:pPr>
        <w:pStyle w:val="FootnoteText"/>
        <w:ind w:left="284" w:hanging="284"/>
      </w:pPr>
      <w:r>
        <w:rPr>
          <w:rStyle w:val="FootnoteReference"/>
        </w:rPr>
        <w:footnoteRef/>
      </w:r>
      <w:r>
        <w:tab/>
      </w:r>
      <w:r w:rsidRPr="00303D0E">
        <w:t>IEEP (2021),</w:t>
      </w:r>
      <w:r w:rsidRPr="008742B3">
        <w:t xml:space="preserve"> </w:t>
      </w:r>
      <w:hyperlink r:id="rId6" w:history="1">
        <w:r w:rsidRPr="008742B3">
          <w:rPr>
            <w:rStyle w:val="Hyperlink"/>
            <w:color w:val="auto"/>
          </w:rPr>
          <w:t>Green taxation and other economic instruments: internalising environmental costs to make the polluter pay</w:t>
        </w:r>
      </w:hyperlink>
      <w:r w:rsidRPr="008742B3">
        <w:rPr>
          <w:u w:val="single"/>
        </w:rPr>
        <w:t>.</w:t>
      </w:r>
    </w:p>
  </w:footnote>
  <w:footnote w:id="74">
    <w:p w14:paraId="4664A0FD" w14:textId="38A4C775" w:rsidR="005A6A52" w:rsidRPr="00CC3563" w:rsidRDefault="005A6A52" w:rsidP="0050609F">
      <w:pPr>
        <w:pStyle w:val="FootnoteText"/>
        <w:ind w:left="284" w:hanging="284"/>
      </w:pPr>
      <w:r w:rsidRPr="00CC3563">
        <w:rPr>
          <w:rStyle w:val="FootnoteReference"/>
        </w:rPr>
        <w:footnoteRef/>
      </w:r>
      <w:r w:rsidRPr="00CC3563">
        <w:tab/>
        <w:t>2019 EU-SILC data available for all MS; 20</w:t>
      </w:r>
      <w:r>
        <w:t>20</w:t>
      </w:r>
      <w:r w:rsidRPr="00CC3563">
        <w:t xml:space="preserve"> data not available for all Member States yet.</w:t>
      </w:r>
    </w:p>
  </w:footnote>
  <w:footnote w:id="75">
    <w:p w14:paraId="1D80E5A0" w14:textId="77777777" w:rsidR="005A6A52" w:rsidRPr="00CC3563" w:rsidRDefault="005A6A52" w:rsidP="0050609F">
      <w:pPr>
        <w:pStyle w:val="FootnoteText"/>
        <w:ind w:left="284" w:hanging="284"/>
        <w:rPr>
          <w:lang w:val="en-IE"/>
        </w:rPr>
      </w:pPr>
      <w:r w:rsidRPr="00CC3563">
        <w:rPr>
          <w:rStyle w:val="FootnoteReference"/>
        </w:rPr>
        <w:footnoteRef/>
      </w:r>
      <w:r w:rsidRPr="00CC3563">
        <w:tab/>
        <w:t>Moreover, up to 6.2% of Europeans, i.e. over 27 million people, have arrears in paying their utility bills.</w:t>
      </w:r>
    </w:p>
  </w:footnote>
  <w:footnote w:id="76">
    <w:p w14:paraId="74F5EB30" w14:textId="6C2D0724" w:rsidR="005A6A52" w:rsidRPr="00CC3563" w:rsidRDefault="005A6A52" w:rsidP="0050609F">
      <w:pPr>
        <w:pStyle w:val="FootnoteText"/>
        <w:ind w:left="284" w:hanging="284"/>
        <w:rPr>
          <w:lang w:val="en-IE"/>
        </w:rPr>
      </w:pPr>
      <w:r w:rsidRPr="00CC3563">
        <w:rPr>
          <w:rStyle w:val="FootnoteReference"/>
        </w:rPr>
        <w:footnoteRef/>
      </w:r>
      <w:r w:rsidRPr="00CC3563">
        <w:tab/>
      </w:r>
      <w:r w:rsidRPr="00CC3563">
        <w:rPr>
          <w:lang w:val="en-IE"/>
        </w:rPr>
        <w:t>SWD(2019)579 final.</w:t>
      </w:r>
    </w:p>
  </w:footnote>
  <w:footnote w:id="77">
    <w:p w14:paraId="194C75E5" w14:textId="016045C5" w:rsidR="005A6A52" w:rsidRPr="00CC3563" w:rsidRDefault="005A6A52" w:rsidP="0050609F">
      <w:pPr>
        <w:pStyle w:val="FootnoteText"/>
        <w:ind w:left="284" w:hanging="284"/>
      </w:pPr>
      <w:r w:rsidRPr="00CC3563">
        <w:rPr>
          <w:rStyle w:val="FootnoteReference"/>
        </w:rPr>
        <w:footnoteRef/>
      </w:r>
      <w:r w:rsidRPr="00CC3563">
        <w:tab/>
        <w:t xml:space="preserve">See the </w:t>
      </w:r>
      <w:hyperlink r:id="rId7" w:history="1">
        <w:r w:rsidRPr="00CC3563">
          <w:rPr>
            <w:rStyle w:val="Hyperlink"/>
            <w:color w:val="auto"/>
          </w:rPr>
          <w:t>report</w:t>
        </w:r>
      </w:hyperlink>
      <w:r w:rsidRPr="00CC3563">
        <w:t xml:space="preserve"> of the workshop on ‘Energy Poverty’, organised on 9 November 2016 for the EP Committee on Industry, Research and Energy (ITRE).</w:t>
      </w:r>
    </w:p>
  </w:footnote>
  <w:footnote w:id="78">
    <w:p w14:paraId="25538392" w14:textId="60681969" w:rsidR="005A6A52" w:rsidRPr="00CC3563" w:rsidRDefault="005A6A52" w:rsidP="0050609F">
      <w:pPr>
        <w:pStyle w:val="FootnoteText"/>
        <w:ind w:left="284" w:hanging="284"/>
      </w:pPr>
      <w:r w:rsidRPr="00CC3563">
        <w:rPr>
          <w:rStyle w:val="FootnoteReference"/>
        </w:rPr>
        <w:footnoteRef/>
      </w:r>
      <w:r w:rsidRPr="00CC3563">
        <w:tab/>
      </w:r>
      <w:r w:rsidRPr="00CC3563">
        <w:rPr>
          <w:rFonts w:eastAsia="Calibri"/>
        </w:rPr>
        <w:t xml:space="preserve">See </w:t>
      </w:r>
      <w:hyperlink r:id="rId8" w:history="1">
        <w:r w:rsidRPr="00CC3563">
          <w:rPr>
            <w:rFonts w:eastAsia="Calibri"/>
            <w:u w:val="single"/>
          </w:rPr>
          <w:t>Gender perspective on access to energy in the EU (europa.eu)</w:t>
        </w:r>
      </w:hyperlink>
      <w:r w:rsidRPr="00CC3563">
        <w:rPr>
          <w:rFonts w:eastAsia="Calibri"/>
        </w:rPr>
        <w:t xml:space="preserve">, </w:t>
      </w:r>
      <w:hyperlink r:id="rId9" w:history="1">
        <w:r w:rsidRPr="00CC3563">
          <w:rPr>
            <w:rFonts w:eastAsia="Calibri"/>
            <w:u w:val="single"/>
          </w:rPr>
          <w:t>Gender and energy | European Institute for Gender Equality (europa.eu)</w:t>
        </w:r>
      </w:hyperlink>
      <w:r w:rsidRPr="00CC3563">
        <w:rPr>
          <w:rFonts w:eastAsia="Calibri"/>
        </w:rPr>
        <w:t xml:space="preserve">, </w:t>
      </w:r>
      <w:hyperlink r:id="rId10" w:history="1">
        <w:r w:rsidRPr="00CC3563">
          <w:rPr>
            <w:rFonts w:eastAsia="Calibri"/>
            <w:u w:val="single"/>
          </w:rPr>
          <w:t>GFE-Gender-Issues-Note-Session-6.2.pdf (oecd.org)</w:t>
        </w:r>
      </w:hyperlink>
      <w:r w:rsidRPr="00CC3563">
        <w:rPr>
          <w:rFonts w:eastAsia="Calibri"/>
          <w:sz w:val="22"/>
          <w:szCs w:val="22"/>
        </w:rPr>
        <w:t>.</w:t>
      </w:r>
    </w:p>
  </w:footnote>
  <w:footnote w:id="79">
    <w:p w14:paraId="0FEB466B" w14:textId="77777777" w:rsidR="005A6A52" w:rsidRPr="00CC3563" w:rsidRDefault="005A6A52" w:rsidP="0050609F">
      <w:pPr>
        <w:pStyle w:val="FootnoteText"/>
        <w:ind w:left="284" w:hanging="284"/>
        <w:rPr>
          <w:lang w:val="en-IE"/>
        </w:rPr>
      </w:pPr>
      <w:r w:rsidRPr="00CC3563">
        <w:rPr>
          <w:rStyle w:val="FootnoteReference"/>
        </w:rPr>
        <w:footnoteRef/>
      </w:r>
      <w:r w:rsidRPr="00CC3563">
        <w:tab/>
        <w:t>Social fairness is also incorporated in the design of Commission proposals that are part of the ‘Fit for 55’ package, including proposals on the Energy Taxation Directive, the Energy Efficiency Directive, the Renewable Energy Directive, the Alternative Fuels Infrastructure Directive, the Effort Sharing Regulation, and the proposal to establish a Social Climate Fund.</w:t>
      </w:r>
    </w:p>
  </w:footnote>
  <w:footnote w:id="80">
    <w:p w14:paraId="4FF92A32" w14:textId="25BA8644" w:rsidR="005A6A52" w:rsidRPr="00CC3563" w:rsidRDefault="005A6A52" w:rsidP="0050609F">
      <w:pPr>
        <w:pStyle w:val="FootnoteText"/>
        <w:ind w:left="284" w:hanging="284"/>
      </w:pPr>
      <w:r w:rsidRPr="00CC3563">
        <w:rPr>
          <w:rStyle w:val="FootnoteReference"/>
        </w:rPr>
        <w:footnoteRef/>
      </w:r>
      <w:r w:rsidRPr="00CC3563">
        <w:tab/>
        <w:t>Article 5 of Directive (EU) 2019/944 of the European Parliament and of the Council of 5 June 2019 on common rules for the internal market for electricity and amending Directive 2012/27/EU (Text with EEA relevance.) (OJ L 158, 14.6.2019, p. 125); Article 3 of Directive 2009/73/EC of the European Parliament and of the Council of 13 July 2009 concerning common rules for the internal market in natural gas and repealing Directive 2003/55/EC (Text with EEA relevance) (OJ L 211, 14.8.2009, p. 94).</w:t>
      </w:r>
    </w:p>
  </w:footnote>
  <w:footnote w:id="81">
    <w:p w14:paraId="19577FF5" w14:textId="51C3AE4A" w:rsidR="005A6A52" w:rsidRPr="00CC3563" w:rsidRDefault="005A6A52" w:rsidP="0050609F">
      <w:pPr>
        <w:pStyle w:val="FootnoteText"/>
        <w:ind w:left="284" w:hanging="284"/>
        <w:rPr>
          <w:lang w:val="en-IE"/>
        </w:rPr>
      </w:pPr>
      <w:r w:rsidRPr="00CC3563">
        <w:rPr>
          <w:rStyle w:val="FootnoteReference"/>
        </w:rPr>
        <w:footnoteRef/>
      </w:r>
      <w:r>
        <w:tab/>
      </w:r>
      <w:r w:rsidRPr="00CC3563">
        <w:t>COM(2021) 660 final, 13 October 2021.</w:t>
      </w:r>
    </w:p>
  </w:footnote>
  <w:footnote w:id="82">
    <w:p w14:paraId="24D4AA44" w14:textId="6DAD220A" w:rsidR="005A6A52" w:rsidRPr="00CC3563" w:rsidRDefault="005A6A52" w:rsidP="0050609F">
      <w:pPr>
        <w:pStyle w:val="FootnoteText"/>
        <w:ind w:left="284" w:hanging="284"/>
        <w:rPr>
          <w:lang w:val="en-IE"/>
        </w:rPr>
      </w:pPr>
      <w:r w:rsidRPr="00CC3563">
        <w:rPr>
          <w:rStyle w:val="FootnoteReference"/>
        </w:rPr>
        <w:footnoteRef/>
      </w:r>
      <w:r w:rsidRPr="00CC3563">
        <w:tab/>
        <w:t>Proposal for a Regulation of the European Parliament and of the Council establis</w:t>
      </w:r>
      <w:r>
        <w:t xml:space="preserve">hing a Social Climate Fund, COM(2021) </w:t>
      </w:r>
      <w:r w:rsidRPr="00CC3563">
        <w:t>568 final.</w:t>
      </w:r>
    </w:p>
  </w:footnote>
  <w:footnote w:id="83">
    <w:p w14:paraId="0D94ADFA" w14:textId="2ED253B0" w:rsidR="005A6A52" w:rsidRPr="00CC3563" w:rsidRDefault="005A6A52" w:rsidP="0050609F">
      <w:pPr>
        <w:pStyle w:val="FootnoteText"/>
        <w:ind w:left="284" w:hanging="284"/>
        <w:rPr>
          <w:lang w:val="en-IE"/>
        </w:rPr>
      </w:pPr>
      <w:r w:rsidRPr="00CC3563">
        <w:rPr>
          <w:rStyle w:val="FootnoteReference"/>
        </w:rPr>
        <w:footnoteRef/>
      </w:r>
      <w:r w:rsidRPr="00CC3563">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(Text with EEA relevance) (OJ L 328, 21.12.2018, p. 1).</w:t>
      </w:r>
    </w:p>
  </w:footnote>
  <w:footnote w:id="84">
    <w:p w14:paraId="1BE2F6EF" w14:textId="400FBA61" w:rsidR="005A6A52" w:rsidRPr="00CC3563" w:rsidRDefault="005A6A52" w:rsidP="0050609F">
      <w:pPr>
        <w:pStyle w:val="FootnoteText"/>
        <w:ind w:left="284" w:hanging="284"/>
      </w:pPr>
      <w:r w:rsidRPr="00CC3563">
        <w:rPr>
          <w:rStyle w:val="FootnoteReference"/>
        </w:rPr>
        <w:footnoteRef/>
      </w:r>
      <w:r w:rsidRPr="00CC3563">
        <w:tab/>
        <w:t>Regulation (EU) 2021/1056 of the European Parliament and of the Council of 24 June 2021 establishing the Just Transition Fund (</w:t>
      </w:r>
      <w:r w:rsidRPr="00CC3563">
        <w:rPr>
          <w:iCs/>
        </w:rPr>
        <w:t>OJ L 231, 30.6.2021, p. 1).</w:t>
      </w:r>
    </w:p>
  </w:footnote>
  <w:footnote w:id="85">
    <w:p w14:paraId="6D28019E" w14:textId="6BE71408" w:rsidR="005A6A52" w:rsidRPr="00CC3563" w:rsidRDefault="005A6A52" w:rsidP="0050609F">
      <w:pPr>
        <w:pStyle w:val="FootnoteText"/>
        <w:ind w:left="284" w:hanging="284"/>
      </w:pPr>
      <w:r w:rsidRPr="00CC3563">
        <w:rPr>
          <w:rStyle w:val="FootnoteReference"/>
        </w:rPr>
        <w:footnoteRef/>
      </w:r>
      <w:r w:rsidRPr="00CC3563">
        <w:tab/>
        <w:t>Communication from the Commission ‘Europe's moment: Repair and Prepare for the Next Generation’; Regulation (EU) 2021/241 of the European Parliament and of the Council of 12 February 2021 establishing the Recovery and Resilience Facility (</w:t>
      </w:r>
      <w:r w:rsidRPr="00CC3563">
        <w:rPr>
          <w:iCs/>
        </w:rPr>
        <w:t>OJ L 57, 18.2.2021, p. 17).</w:t>
      </w:r>
    </w:p>
  </w:footnote>
  <w:footnote w:id="86">
    <w:p w14:paraId="32D2FF96" w14:textId="78EC274D" w:rsidR="005A6A52" w:rsidRPr="00CC3563" w:rsidRDefault="005A6A52" w:rsidP="0050609F">
      <w:pPr>
        <w:pStyle w:val="FootnoteText"/>
        <w:ind w:left="284" w:hanging="284"/>
      </w:pPr>
      <w:r w:rsidRPr="00CC3563">
        <w:rPr>
          <w:rStyle w:val="FootnoteReference"/>
        </w:rPr>
        <w:footnoteRef/>
      </w:r>
      <w:r w:rsidRPr="00CC3563">
        <w:tab/>
        <w:t>Communication from the Commission ‘An EU-wide assessment of National Energy and Climate Plans Driving forward the green transition and promoting economic recovery through integrated energy and climate plan</w:t>
      </w:r>
      <w:r>
        <w:t xml:space="preserve">ning ‘, COM(2020) </w:t>
      </w:r>
      <w:r w:rsidRPr="00CC3563">
        <w:t>564 final.</w:t>
      </w:r>
    </w:p>
  </w:footnote>
  <w:footnote w:id="87">
    <w:p w14:paraId="63A3FAA0" w14:textId="77777777" w:rsidR="005A6A52" w:rsidRPr="00CC3563" w:rsidRDefault="005A6A52" w:rsidP="0050609F">
      <w:pPr>
        <w:pStyle w:val="FootnoteText"/>
        <w:ind w:left="284" w:hanging="284"/>
      </w:pPr>
      <w:r w:rsidRPr="00CC3563">
        <w:rPr>
          <w:rStyle w:val="FootnoteReference"/>
        </w:rPr>
        <w:footnoteRef/>
      </w:r>
      <w:r w:rsidRPr="00CC3563">
        <w:tab/>
        <w:t>In particular the Annual Sustainable Growth Strategies (ASGS) 2021 and 2022, the Euro area recommendations 2021, and Country-Specific Recommendations.</w:t>
      </w:r>
    </w:p>
  </w:footnote>
  <w:footnote w:id="88">
    <w:p w14:paraId="24D2C3DD" w14:textId="373B6B6A" w:rsidR="005A6A52" w:rsidRPr="00CC3563" w:rsidRDefault="005A6A52" w:rsidP="0050609F">
      <w:pPr>
        <w:pStyle w:val="FootnoteText"/>
        <w:ind w:left="284" w:hanging="284"/>
      </w:pPr>
      <w:r w:rsidRPr="00CC3563">
        <w:rPr>
          <w:rStyle w:val="FootnoteReference"/>
        </w:rPr>
        <w:footnoteRef/>
      </w:r>
      <w:r>
        <w:tab/>
        <w:t xml:space="preserve">Commission Recommendation (2021) </w:t>
      </w:r>
      <w:r w:rsidRPr="00CC3563">
        <w:t>402 of 4 March 2021 on Effective Active Support to employment following the Covid-19 crisis (EASE), (</w:t>
      </w:r>
      <w:r w:rsidRPr="00CC3563">
        <w:rPr>
          <w:iCs/>
        </w:rPr>
        <w:t>OJ L 80, 8.3.2021, p. 1).</w:t>
      </w:r>
    </w:p>
  </w:footnote>
  <w:footnote w:id="89">
    <w:p w14:paraId="44B0B2CD" w14:textId="77777777" w:rsidR="005A6A52" w:rsidRPr="00CC3563" w:rsidRDefault="005A6A52" w:rsidP="0050609F">
      <w:pPr>
        <w:pStyle w:val="FootnoteText"/>
        <w:ind w:left="284" w:hanging="284"/>
        <w:rPr>
          <w:lang w:val="en-IE"/>
        </w:rPr>
      </w:pPr>
      <w:r w:rsidRPr="00CC3563">
        <w:rPr>
          <w:rStyle w:val="FootnoteReference"/>
        </w:rPr>
        <w:footnoteRef/>
      </w:r>
      <w:r w:rsidRPr="00CC3563">
        <w:tab/>
        <w:t>In particular the EASE Recommendation and the guidelines for the employment policies of the Member States adopted in October 2020 and reconfirmed in October 2021.</w:t>
      </w:r>
    </w:p>
  </w:footnote>
  <w:footnote w:id="90">
    <w:p w14:paraId="49C8412F" w14:textId="5F789ADE" w:rsidR="005A6A52" w:rsidRPr="00CC3563" w:rsidRDefault="005A6A52" w:rsidP="0050609F">
      <w:pPr>
        <w:pStyle w:val="FootnoteText"/>
        <w:ind w:left="284" w:hanging="284"/>
        <w:rPr>
          <w:lang w:val="en-IE"/>
        </w:rPr>
      </w:pPr>
      <w:r w:rsidRPr="00CC3563">
        <w:rPr>
          <w:rStyle w:val="FootnoteReference"/>
        </w:rPr>
        <w:footnoteRef/>
      </w:r>
      <w:r w:rsidRPr="00CC3563">
        <w:tab/>
        <w:t>Communication from the Commission ‘Updating the 2020 New Industrial Strategy: Building a stronger Single Mar</w:t>
      </w:r>
      <w:r>
        <w:t xml:space="preserve">ket for Europe’s recovery’, COM(2021) </w:t>
      </w:r>
      <w:r w:rsidRPr="00CC3563">
        <w:t>350 final.</w:t>
      </w:r>
    </w:p>
  </w:footnote>
  <w:footnote w:id="91">
    <w:p w14:paraId="22797255" w14:textId="77777777" w:rsidR="005A6A52" w:rsidRPr="00CC3563" w:rsidRDefault="005A6A52" w:rsidP="0050609F">
      <w:pPr>
        <w:pStyle w:val="FootnoteText"/>
        <w:ind w:left="284" w:hanging="284"/>
      </w:pPr>
      <w:r w:rsidRPr="00CC3563">
        <w:rPr>
          <w:rStyle w:val="FootnoteReference"/>
        </w:rPr>
        <w:footnoteRef/>
      </w:r>
      <w:r w:rsidRPr="00CC3563">
        <w:tab/>
        <w:t>Council Recommendation of 24 November 2020 on vocational education and training (VET) for sustainable competitiveness, social fairness and resilience (OJ C 417, 2.12.2020, p. 1).</w:t>
      </w:r>
    </w:p>
  </w:footnote>
  <w:footnote w:id="92">
    <w:p w14:paraId="2823DA95" w14:textId="017F06CE" w:rsidR="005A6A52" w:rsidRPr="00CC3563" w:rsidRDefault="005A6A52" w:rsidP="0050609F">
      <w:pPr>
        <w:pStyle w:val="FootnoteText"/>
        <w:ind w:left="284" w:hanging="284"/>
      </w:pPr>
      <w:r w:rsidRPr="00CC3563">
        <w:rPr>
          <w:rStyle w:val="FootnoteReference"/>
        </w:rPr>
        <w:footnoteRef/>
      </w:r>
      <w:r w:rsidRPr="00CC3563">
        <w:tab/>
        <w:t>Proposal for a Council Directive restructuring the Union framework for the taxation of energy product</w:t>
      </w:r>
      <w:r>
        <w:t xml:space="preserve">s and electricity (recast), COM(2021) </w:t>
      </w:r>
      <w:r w:rsidRPr="00CC3563">
        <w:t>563 final.</w:t>
      </w:r>
    </w:p>
  </w:footnote>
  <w:footnote w:id="93">
    <w:p w14:paraId="4DE86AFF" w14:textId="77777777" w:rsidR="005A6A52" w:rsidRPr="0010430B" w:rsidRDefault="005A6A52" w:rsidP="0050609F">
      <w:pPr>
        <w:pStyle w:val="FootnoteText"/>
        <w:ind w:left="284" w:hanging="284"/>
      </w:pPr>
      <w:r w:rsidRPr="00CC3563">
        <w:rPr>
          <w:rStyle w:val="FootnoteReference"/>
        </w:rPr>
        <w:footnoteRef/>
      </w:r>
      <w:r w:rsidRPr="00CC3563">
        <w:tab/>
      </w:r>
      <w:hyperlink r:id="rId11" w:history="1">
        <w:r w:rsidRPr="009542A3">
          <w:rPr>
            <w:rStyle w:val="Hyperlink"/>
            <w:color w:val="auto"/>
          </w:rPr>
          <w:t>‘European Pillar of Social Rights’</w:t>
        </w:r>
      </w:hyperlink>
      <w:r w:rsidRPr="0010430B">
        <w:t>, solemnly proclaimed by the European Parliament, the Council and the Commission, 17 November 2017, principle 20.</w:t>
      </w:r>
    </w:p>
  </w:footnote>
  <w:footnote w:id="94">
    <w:p w14:paraId="685D87FC" w14:textId="77777777" w:rsidR="005A6A52" w:rsidRPr="00CC3563" w:rsidRDefault="005A6A52" w:rsidP="0050609F">
      <w:pPr>
        <w:pStyle w:val="FootnoteText"/>
        <w:ind w:left="284" w:hanging="284"/>
      </w:pPr>
      <w:r w:rsidRPr="0010430B">
        <w:rPr>
          <w:rStyle w:val="FootnoteReference"/>
        </w:rPr>
        <w:footnoteRef/>
      </w:r>
      <w:r w:rsidRPr="0010430B">
        <w:tab/>
      </w:r>
      <w:hyperlink r:id="rId12" w:history="1">
        <w:r w:rsidRPr="009542A3">
          <w:rPr>
            <w:rStyle w:val="Hyperlink"/>
            <w:color w:val="auto"/>
          </w:rPr>
          <w:t>‘European Pillar of Social Rights’</w:t>
        </w:r>
      </w:hyperlink>
      <w:r w:rsidRPr="0010430B">
        <w:t>, solemnly proclaimed by the European Parliament, the Council and the Commission, 17 November 2017, principle 19 (a).</w:t>
      </w:r>
    </w:p>
  </w:footnote>
  <w:footnote w:id="95">
    <w:p w14:paraId="60C926A4" w14:textId="77777777" w:rsidR="005A6A52" w:rsidRPr="00CC3563" w:rsidRDefault="005A6A52" w:rsidP="0050609F">
      <w:pPr>
        <w:pStyle w:val="FootnoteText"/>
        <w:ind w:left="284" w:hanging="284"/>
        <w:rPr>
          <w:lang w:val="en-IE"/>
        </w:rPr>
      </w:pPr>
      <w:r w:rsidRPr="00CC3563">
        <w:rPr>
          <w:rStyle w:val="FootnoteReference"/>
        </w:rPr>
        <w:footnoteRef/>
      </w:r>
      <w:r w:rsidRPr="00CC3563">
        <w:tab/>
        <w:t xml:space="preserve">Proposal for a Directive of the European Parliament and of the Council on </w:t>
      </w:r>
      <w:r>
        <w:t xml:space="preserve">energy efficiency (recast), COM(2021) </w:t>
      </w:r>
      <w:r w:rsidRPr="00CC3563">
        <w:t>558 final.</w:t>
      </w:r>
    </w:p>
  </w:footnote>
  <w:footnote w:id="96">
    <w:p w14:paraId="1FF5A244" w14:textId="2484973E" w:rsidR="005A6A52" w:rsidRPr="000C622D" w:rsidRDefault="005A6A52" w:rsidP="0050609F">
      <w:pPr>
        <w:pStyle w:val="FootnoteText"/>
        <w:ind w:left="284" w:hanging="284"/>
        <w:rPr>
          <w:lang w:val="en-IE"/>
        </w:rPr>
      </w:pPr>
      <w:r w:rsidRPr="001F1C8F">
        <w:rPr>
          <w:rStyle w:val="FootnoteReference"/>
        </w:rPr>
        <w:footnoteRef/>
      </w:r>
      <w:r w:rsidRPr="001F1C8F">
        <w:tab/>
      </w:r>
      <w:r w:rsidRPr="00705830">
        <w:t xml:space="preserve">Proposal for a Directive of the European Parliament and of the Council amending the Directive 2010/31/EU of the European Parliament and of the Council of 19 May 2010 on the energy performance of buildings (as amended by Directive (EU) 2018/844/EU of 30 May 2018),  COM(2021) </w:t>
      </w:r>
      <w:r w:rsidR="001F1C8F" w:rsidRPr="00705830">
        <w:t>802</w:t>
      </w:r>
      <w:r w:rsidRPr="00705830">
        <w:t xml:space="preserve"> final.</w:t>
      </w:r>
    </w:p>
  </w:footnote>
  <w:footnote w:id="97">
    <w:p w14:paraId="3C673044" w14:textId="6FFCF6B5" w:rsidR="005A6A52" w:rsidRPr="00CC3563" w:rsidRDefault="005A6A52" w:rsidP="0050609F">
      <w:pPr>
        <w:pStyle w:val="FootnoteText"/>
        <w:ind w:left="284" w:hanging="284"/>
      </w:pPr>
      <w:r w:rsidRPr="003A6B54">
        <w:rPr>
          <w:rStyle w:val="FootnoteReference"/>
        </w:rPr>
        <w:footnoteRef/>
      </w:r>
      <w:r w:rsidRPr="003A6B54">
        <w:tab/>
        <w:t>Communication from the Commission ‘The European Urban Mobility Framework’, COM</w:t>
      </w:r>
      <w:r w:rsidRPr="00B875F3">
        <w:t>(</w:t>
      </w:r>
      <w:r w:rsidRPr="003A6B54">
        <w:t>2021</w:t>
      </w:r>
      <w:r w:rsidRPr="00B875F3">
        <w:t>)</w:t>
      </w:r>
      <w:r w:rsidR="00B875F3">
        <w:t xml:space="preserve"> </w:t>
      </w:r>
      <w:r w:rsidRPr="003A6B54">
        <w:t>811.</w:t>
      </w:r>
    </w:p>
  </w:footnote>
  <w:footnote w:id="98">
    <w:p w14:paraId="5DB38807" w14:textId="4064F63C" w:rsidR="005A6A52" w:rsidRPr="00CC3563" w:rsidRDefault="005A6A52" w:rsidP="0050609F">
      <w:pPr>
        <w:pStyle w:val="FootnoteText"/>
        <w:ind w:left="284" w:hanging="284"/>
        <w:rPr>
          <w:lang w:val="en-IE"/>
        </w:rPr>
      </w:pPr>
      <w:r w:rsidRPr="00CC3563">
        <w:rPr>
          <w:rStyle w:val="FootnoteReference"/>
        </w:rPr>
        <w:footnoteRef/>
      </w:r>
      <w:r w:rsidRPr="00CC3563">
        <w:tab/>
      </w:r>
      <w:r w:rsidRPr="00CC3563">
        <w:rPr>
          <w:shd w:val="clear" w:color="auto" w:fill="FFFFFF"/>
        </w:rPr>
        <w:t>Commission Recommendation (EU) 2020/1563 of 14 October 2020 on energy poverty</w:t>
      </w:r>
      <w:r w:rsidRPr="00CC3563">
        <w:rPr>
          <w:lang w:val="en-IE"/>
        </w:rPr>
        <w:t xml:space="preserve"> (OJ L 357, 27.10.2020, p. 35).</w:t>
      </w:r>
    </w:p>
  </w:footnote>
  <w:footnote w:id="99">
    <w:p w14:paraId="2BCCD6B4" w14:textId="5589F832" w:rsidR="005A6A52" w:rsidRPr="00CC3563" w:rsidRDefault="005A6A52" w:rsidP="0050609F">
      <w:pPr>
        <w:pStyle w:val="FootnoteText"/>
        <w:ind w:left="284" w:hanging="284"/>
      </w:pPr>
      <w:r w:rsidRPr="00CC3563">
        <w:rPr>
          <w:rStyle w:val="FootnoteReference"/>
        </w:rPr>
        <w:footnoteRef/>
      </w:r>
      <w:r w:rsidRPr="00CC3563">
        <w:tab/>
        <w:t>Outside the EU budget and NGEU.</w:t>
      </w:r>
    </w:p>
  </w:footnote>
  <w:footnote w:id="100">
    <w:p w14:paraId="4B7660E4" w14:textId="77777777" w:rsidR="005A6A52" w:rsidRPr="00CC3563" w:rsidRDefault="005A6A52" w:rsidP="0050609F">
      <w:pPr>
        <w:pStyle w:val="FootnoteText"/>
        <w:ind w:left="284" w:hanging="284"/>
        <w:rPr>
          <w:lang w:val="en-IE"/>
        </w:rPr>
      </w:pPr>
      <w:r w:rsidRPr="00CC3563">
        <w:rPr>
          <w:rStyle w:val="FootnoteReference"/>
        </w:rPr>
        <w:footnoteRef/>
      </w:r>
      <w:r w:rsidRPr="00CC3563">
        <w:tab/>
      </w:r>
      <w:r w:rsidRPr="00CC3563">
        <w:rPr>
          <w:rFonts w:eastAsia="Calibri"/>
        </w:rPr>
        <w:t>In accordance with Article 14 of the Governance Regulation (EU) 2018/1999.</w:t>
      </w:r>
    </w:p>
  </w:footnote>
  <w:footnote w:id="101">
    <w:p w14:paraId="176FD755" w14:textId="07C54067" w:rsidR="005A6A52" w:rsidRPr="003B1F34" w:rsidRDefault="005A6A52" w:rsidP="0050609F">
      <w:pPr>
        <w:pStyle w:val="FootnoteText"/>
        <w:ind w:left="284" w:hanging="284"/>
      </w:pPr>
      <w:r w:rsidRPr="00CC3563">
        <w:rPr>
          <w:rStyle w:val="FootnoteReference"/>
        </w:rPr>
        <w:footnoteRef/>
      </w:r>
      <w:r w:rsidRPr="00CC3563">
        <w:tab/>
      </w:r>
      <w:r w:rsidRPr="003B1F34">
        <w:t>Regulation (EU) 2020/852 of the European Parliament and of the Council of 18 June 2020 on the establishment of a framework to facilitate sustainable investment, and amen</w:t>
      </w:r>
      <w:r>
        <w:t xml:space="preserve">ding Regulation (EU) 2019/2088 </w:t>
      </w:r>
      <w:r w:rsidRPr="003B1F34">
        <w:t>(OJ L 198, 22.6.2020, p. 13)</w:t>
      </w:r>
      <w:r>
        <w:t xml:space="preserve"> </w:t>
      </w:r>
      <w:r w:rsidRPr="003B1F34">
        <w:t>(‘Taxonomy Regulation’)</w:t>
      </w:r>
      <w:r w:rsidRPr="00CC3563">
        <w:t xml:space="preserve"> provides a common classification system for sustainable economic activities.</w:t>
      </w:r>
    </w:p>
  </w:footnote>
  <w:footnote w:id="102">
    <w:p w14:paraId="3F5C47DF" w14:textId="71115E58" w:rsidR="005A6A52" w:rsidRPr="00CC3563" w:rsidRDefault="005A6A52" w:rsidP="0050609F">
      <w:pPr>
        <w:pStyle w:val="FootnoteText"/>
        <w:ind w:left="284" w:hanging="284"/>
      </w:pPr>
      <w:r w:rsidRPr="00CC3563">
        <w:rPr>
          <w:rStyle w:val="FootnoteReference"/>
        </w:rPr>
        <w:footnoteRef/>
      </w:r>
      <w:r w:rsidRPr="00CC3563">
        <w:tab/>
        <w:t>Commission Regulation (EU) No 651/2014 of 17 June 2014 declaring certain categories of aid compatible with the internal market in application of Articles 107 and 108 of the Treaty Text with EEA relevance (OJ L 187, 26.6.2014, p. 1).</w:t>
      </w:r>
    </w:p>
  </w:footnote>
  <w:footnote w:id="103">
    <w:p w14:paraId="1E20B59A" w14:textId="3121FBFA" w:rsidR="005A6A52" w:rsidRPr="00CC3563" w:rsidRDefault="005A6A52" w:rsidP="0050609F">
      <w:pPr>
        <w:pStyle w:val="FootnoteText"/>
        <w:ind w:left="284" w:hanging="284"/>
      </w:pPr>
      <w:r w:rsidRPr="00CC3563">
        <w:rPr>
          <w:rStyle w:val="FootnoteReference"/>
        </w:rPr>
        <w:footnoteRef/>
      </w:r>
      <w:r w:rsidRPr="00CC3563">
        <w:tab/>
        <w:t xml:space="preserve">Proposal for a Directive of the European Parliament and of the Council on </w:t>
      </w:r>
      <w:r>
        <w:t xml:space="preserve">energy efficiency (recast), COM(2021) </w:t>
      </w:r>
      <w:r w:rsidRPr="00CC3563">
        <w:t>558 final.</w:t>
      </w:r>
    </w:p>
  </w:footnote>
  <w:footnote w:id="104">
    <w:p w14:paraId="67E386D8" w14:textId="2907D8E3" w:rsidR="005A6A52" w:rsidRPr="00CC3563" w:rsidRDefault="005A6A52" w:rsidP="0050609F">
      <w:pPr>
        <w:pStyle w:val="FootnoteText"/>
        <w:ind w:left="284" w:hanging="284"/>
      </w:pPr>
      <w:r w:rsidRPr="00CC3563">
        <w:rPr>
          <w:rStyle w:val="FootnoteReference"/>
        </w:rPr>
        <w:footnoteRef/>
      </w:r>
      <w:r w:rsidRPr="00CC3563">
        <w:tab/>
        <w:t>While it is left to Member S</w:t>
      </w:r>
      <w:r>
        <w:t xml:space="preserve">tates to define the concept of </w:t>
      </w:r>
      <w:r w:rsidRPr="00F85591">
        <w:t>‘</w:t>
      </w:r>
      <w:r>
        <w:t>vulnerable customers</w:t>
      </w:r>
      <w:r w:rsidRPr="00F85591">
        <w:t>’</w:t>
      </w:r>
      <w:r w:rsidRPr="00CC3563">
        <w:t>, it comprises households unable to heat or cool their homes adequately and/or having arrears in paying their utility bills in line with Commission Recommendation on energy poverty, C/2020/9600 final (OJ L 357, 27.10.2020, p. 35).</w:t>
      </w:r>
    </w:p>
  </w:footnote>
  <w:footnote w:id="105">
    <w:p w14:paraId="0642F353" w14:textId="0DAAE0CC" w:rsidR="005A6A52" w:rsidRPr="00277C69" w:rsidRDefault="005A6A52" w:rsidP="003A6B54">
      <w:pPr>
        <w:pStyle w:val="FootnoteText"/>
        <w:ind w:left="284" w:hanging="284"/>
      </w:pPr>
      <w:r w:rsidRPr="00DB2FDC">
        <w:rPr>
          <w:rStyle w:val="FootnoteReference"/>
        </w:rPr>
        <w:footnoteRef/>
      </w:r>
      <w:r w:rsidR="009E2666">
        <w:tab/>
      </w:r>
      <w:r w:rsidR="00B875F3" w:rsidRPr="00B875F3">
        <w:t>Communication from the Commission ‘Building an economy that works for people: an action plan for the social economy’, COM(2021) 778 final.</w:t>
      </w:r>
    </w:p>
  </w:footnote>
  <w:footnote w:id="106">
    <w:p w14:paraId="1EB90BA0" w14:textId="3A117ECF" w:rsidR="005A6A52" w:rsidRPr="00CC3563" w:rsidRDefault="005A6A52" w:rsidP="0050609F">
      <w:pPr>
        <w:pStyle w:val="FootnoteText"/>
        <w:ind w:left="284" w:hanging="284"/>
      </w:pPr>
      <w:r w:rsidRPr="00CC3563">
        <w:rPr>
          <w:rStyle w:val="FootnoteReference"/>
        </w:rPr>
        <w:footnoteRef/>
      </w:r>
      <w:r w:rsidRPr="00CC3563">
        <w:tab/>
        <w:t>In line with the Directive (EU) 2019/882 of the European Parliament and of the Council of 17 April 2019 on the accessibility requirements for products and services (Text with EEA relevance) (OJ L 151, 7.6.2019, p. 70), and the Commission Notice ‘Buying Social – A guide to taking account of social considerations in public procurement – Second edition’ (OJ C 237, 18.6.2021, p. 1).</w:t>
      </w:r>
    </w:p>
  </w:footnote>
  <w:footnote w:id="107">
    <w:p w14:paraId="3BFFB5F8" w14:textId="3E7712EE" w:rsidR="005A6A52" w:rsidRPr="00CC3563" w:rsidRDefault="005A6A52" w:rsidP="0050609F">
      <w:pPr>
        <w:pStyle w:val="FootnoteText"/>
        <w:ind w:left="284" w:hanging="284"/>
        <w:rPr>
          <w:lang w:val="en-IE"/>
        </w:rPr>
      </w:pPr>
      <w:r w:rsidRPr="00CC3563">
        <w:rPr>
          <w:rStyle w:val="FootnoteReference"/>
        </w:rPr>
        <w:footnoteRef/>
      </w:r>
      <w:r w:rsidRPr="00CC3563">
        <w:tab/>
        <w:t>Communication from the Commission ‘EU Quality Framework for anticipation of</w:t>
      </w:r>
      <w:r>
        <w:t xml:space="preserve"> change and restructuring’, COM(2013) </w:t>
      </w:r>
      <w:r w:rsidRPr="00CC3563">
        <w:t>882 final.</w:t>
      </w:r>
    </w:p>
  </w:footnote>
  <w:footnote w:id="108">
    <w:p w14:paraId="5BF4B173" w14:textId="319EA06E" w:rsidR="005A6A52" w:rsidRPr="00CC3563" w:rsidRDefault="005A6A52" w:rsidP="0050609F">
      <w:pPr>
        <w:pStyle w:val="FootnoteText"/>
        <w:ind w:left="284" w:hanging="284"/>
        <w:rPr>
          <w:lang w:val="en-IE"/>
        </w:rPr>
      </w:pPr>
      <w:r w:rsidRPr="00CC3563">
        <w:rPr>
          <w:rStyle w:val="FootnoteReference"/>
        </w:rPr>
        <w:footnoteRef/>
      </w:r>
      <w:r w:rsidRPr="00CC3563">
        <w:tab/>
        <w:t>Council Recommendation of 15 March 2018 on a European Framework for Quality and Effective Apprenticeships (OJ C 153, 2.5.2018, p. 1).</w:t>
      </w:r>
    </w:p>
  </w:footnote>
  <w:footnote w:id="109">
    <w:p w14:paraId="5548781F" w14:textId="6F7C0C2B" w:rsidR="005A6A52" w:rsidRPr="00CC3563" w:rsidRDefault="005A6A52" w:rsidP="0050609F">
      <w:pPr>
        <w:pStyle w:val="FootnoteText"/>
        <w:ind w:left="284" w:hanging="284"/>
      </w:pPr>
      <w:r w:rsidRPr="00CC3563">
        <w:rPr>
          <w:rStyle w:val="FootnoteReference"/>
        </w:rPr>
        <w:footnoteRef/>
      </w:r>
      <w:r w:rsidRPr="00CC3563">
        <w:tab/>
        <w:t>Council Recommendation of 10 March 2014 on a Quality Framework for Traineeships (OJ C 88, 27.3.2014, p. 1).</w:t>
      </w:r>
    </w:p>
  </w:footnote>
  <w:footnote w:id="110">
    <w:p w14:paraId="583513F4" w14:textId="0DC723E7" w:rsidR="005A6A52" w:rsidRPr="00CC3563" w:rsidRDefault="005A6A52" w:rsidP="0050609F">
      <w:pPr>
        <w:pStyle w:val="FootnoteText"/>
        <w:ind w:left="284" w:hanging="284"/>
      </w:pPr>
      <w:r w:rsidRPr="00CC3563">
        <w:rPr>
          <w:rStyle w:val="FootnoteReference"/>
        </w:rPr>
        <w:footnoteRef/>
      </w:r>
      <w:r w:rsidRPr="00CC3563">
        <w:tab/>
        <w:t>Proposal for a Council Recommendation on individual learnin</w:t>
      </w:r>
      <w:r>
        <w:t>g accounts, COM(2021) 773 final.</w:t>
      </w:r>
    </w:p>
  </w:footnote>
  <w:footnote w:id="111">
    <w:p w14:paraId="074B578D" w14:textId="1FDBEE7B" w:rsidR="005A6A52" w:rsidRPr="00CC3563" w:rsidRDefault="005A6A52" w:rsidP="0050609F">
      <w:pPr>
        <w:pStyle w:val="FootnoteText"/>
        <w:ind w:left="284" w:hanging="284"/>
        <w:contextualSpacing/>
      </w:pPr>
      <w:r w:rsidRPr="00CC3563">
        <w:rPr>
          <w:rStyle w:val="FootnoteReference"/>
        </w:rPr>
        <w:footnoteRef/>
      </w:r>
      <w:r w:rsidRPr="00CC3563">
        <w:tab/>
        <w:t xml:space="preserve">Proposal for a Council Recommendation on a European approach to micro-credentials for lifelong </w:t>
      </w:r>
      <w:r>
        <w:t xml:space="preserve">learning and employability, COM(2021) </w:t>
      </w:r>
      <w:r w:rsidRPr="00CC3563">
        <w:t>770 final.</w:t>
      </w:r>
    </w:p>
  </w:footnote>
  <w:footnote w:id="112">
    <w:p w14:paraId="706A82E1" w14:textId="45CBC266" w:rsidR="005A6A52" w:rsidRPr="00CC3563" w:rsidRDefault="005A6A52" w:rsidP="0050609F">
      <w:pPr>
        <w:pStyle w:val="FootnoteText"/>
        <w:ind w:left="284" w:hanging="284"/>
        <w:contextualSpacing/>
      </w:pPr>
      <w:r w:rsidRPr="00CC3563">
        <w:rPr>
          <w:rStyle w:val="FootnoteReference"/>
        </w:rPr>
        <w:footnoteRef/>
      </w:r>
      <w:r w:rsidRPr="00CC3563">
        <w:tab/>
        <w:t>Council Recommendation of 8 November 2019 on access to social protection for workers and the self-employed (OJ C 387, 15.11.2019, p. 1).</w:t>
      </w:r>
    </w:p>
  </w:footnote>
  <w:footnote w:id="113">
    <w:p w14:paraId="412BD698" w14:textId="7CBD72FE" w:rsidR="005A6A52" w:rsidRPr="00CC3563" w:rsidRDefault="005A6A52" w:rsidP="0050609F">
      <w:pPr>
        <w:pStyle w:val="FootnoteText"/>
        <w:ind w:left="284" w:hanging="284"/>
      </w:pPr>
      <w:r w:rsidRPr="00CC3563">
        <w:rPr>
          <w:rStyle w:val="FootnoteReference"/>
        </w:rPr>
        <w:footnoteRef/>
      </w:r>
      <w:r w:rsidRPr="00CC3563">
        <w:tab/>
        <w:t>In line with the upcoming revised Climate, Energy and Environmental Aid Guidelines foreseen to apply as of 2022.</w:t>
      </w:r>
    </w:p>
  </w:footnote>
  <w:footnote w:id="114">
    <w:p w14:paraId="49D44B93" w14:textId="0B5F8B8D" w:rsidR="005A6A52" w:rsidRPr="00CC3563" w:rsidRDefault="005A6A52" w:rsidP="0050609F">
      <w:pPr>
        <w:pStyle w:val="FootnoteText"/>
        <w:ind w:left="284" w:hanging="284"/>
        <w:rPr>
          <w:lang w:val="en-IE"/>
        </w:rPr>
      </w:pPr>
      <w:r w:rsidRPr="00CC3563">
        <w:rPr>
          <w:rStyle w:val="FootnoteReference"/>
        </w:rPr>
        <w:footnoteRef/>
      </w:r>
      <w:r w:rsidRPr="00CC3563">
        <w:tab/>
      </w:r>
      <w:r w:rsidRPr="00CC3563">
        <w:rPr>
          <w:lang w:val="en-IE"/>
        </w:rPr>
        <w:t xml:space="preserve">As defined in Article 2(11) of the </w:t>
      </w:r>
      <w:r w:rsidRPr="00CC3563">
        <w:t>Directive (EU) 2019/944 of the European Parliament and of the Council of 5 June 2019 on common rules for the internal market for electricity and amending Directive 2012/27/EU (OJ L 158, 14.6.2019, p. 125).</w:t>
      </w:r>
    </w:p>
  </w:footnote>
  <w:footnote w:id="115">
    <w:p w14:paraId="683FEC50" w14:textId="77777777" w:rsidR="005A6A52" w:rsidRPr="00CC3563" w:rsidRDefault="005A6A52" w:rsidP="00CB1C2B">
      <w:pPr>
        <w:pStyle w:val="FootnoteText"/>
        <w:ind w:left="284" w:hanging="284"/>
      </w:pPr>
      <w:r w:rsidRPr="00CC3563">
        <w:rPr>
          <w:rStyle w:val="FootnoteReference"/>
        </w:rPr>
        <w:footnoteRef/>
      </w:r>
      <w:r w:rsidRPr="00CC3563">
        <w:tab/>
        <w:t>In line with the Communication from the Commission ‘Sustainable and Smart Mobility Strategy – putting European transpor</w:t>
      </w:r>
      <w:r>
        <w:t xml:space="preserve">t on track for the future’, COM(2020) </w:t>
      </w:r>
      <w:r w:rsidRPr="00CC3563">
        <w:t>789 final.</w:t>
      </w:r>
    </w:p>
  </w:footnote>
  <w:footnote w:id="116">
    <w:p w14:paraId="4F6EB714" w14:textId="6F5FE7E1" w:rsidR="005A6A52" w:rsidRPr="00CC3563" w:rsidRDefault="005A6A52" w:rsidP="0050609F">
      <w:pPr>
        <w:pStyle w:val="FootnoteText"/>
        <w:ind w:left="284" w:hanging="284"/>
      </w:pPr>
      <w:r w:rsidRPr="00CC3563">
        <w:rPr>
          <w:rStyle w:val="FootnoteReference"/>
        </w:rPr>
        <w:footnoteRef/>
      </w:r>
      <w:r w:rsidRPr="00CC3563">
        <w:tab/>
        <w:t>Proposal for a Council Recommendation on learning for environ</w:t>
      </w:r>
      <w:r>
        <w:t xml:space="preserve">mental sustainability, COM(2021) </w:t>
      </w:r>
      <w:r w:rsidRPr="00CC3563">
        <w:t>557 final.</w:t>
      </w:r>
    </w:p>
  </w:footnote>
  <w:footnote w:id="117">
    <w:p w14:paraId="203B2EFA" w14:textId="43653269" w:rsidR="005A6A52" w:rsidRPr="00CC3563" w:rsidRDefault="005A6A52" w:rsidP="0050609F">
      <w:pPr>
        <w:pStyle w:val="FootnoteText"/>
        <w:ind w:left="284" w:hanging="284"/>
      </w:pPr>
      <w:r w:rsidRPr="00CC3563">
        <w:rPr>
          <w:rStyle w:val="FootnoteReference"/>
        </w:rPr>
        <w:footnoteRef/>
      </w:r>
      <w:r w:rsidRPr="00CC3563">
        <w:tab/>
        <w:t xml:space="preserve">Communication from the Commission ‘European Climate Pact’, </w:t>
      </w:r>
      <w:r>
        <w:rPr>
          <w:shd w:val="clear" w:color="auto" w:fill="FFFFFF"/>
        </w:rPr>
        <w:t xml:space="preserve">COM(2020) </w:t>
      </w:r>
      <w:r w:rsidRPr="00CC3563">
        <w:rPr>
          <w:shd w:val="clear" w:color="auto" w:fill="FFFFFF"/>
        </w:rPr>
        <w:t>788 final.</w:t>
      </w:r>
    </w:p>
  </w:footnote>
  <w:footnote w:id="118">
    <w:p w14:paraId="0785D5D8" w14:textId="66C8F280" w:rsidR="000F5D99" w:rsidRPr="000F5D99" w:rsidRDefault="000F5D99" w:rsidP="000F5D99">
      <w:pPr>
        <w:pStyle w:val="FootnoteText"/>
      </w:pPr>
      <w:r w:rsidRPr="00DB2FDC">
        <w:rPr>
          <w:rStyle w:val="FootnoteReference"/>
        </w:rPr>
        <w:footnoteRef/>
      </w:r>
      <w:r w:rsidR="009E2666">
        <w:tab/>
      </w:r>
      <w:r w:rsidRPr="003A6B54">
        <w:t>As announced in the updated i</w:t>
      </w:r>
      <w:r>
        <w:rPr>
          <w:lang w:val="en-IE"/>
        </w:rPr>
        <w:t xml:space="preserve">ndustrial strategy, such as construction, energy intensive industries, or mobility.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044A20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080E51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568E99A"/>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684A455E"/>
    <w:lvl w:ilvl="0">
      <w:start w:val="1"/>
      <w:numFmt w:val="decimal"/>
      <w:pStyle w:val="ListNumber"/>
      <w:lvlText w:val="%1."/>
      <w:lvlJc w:val="left"/>
      <w:pPr>
        <w:tabs>
          <w:tab w:val="num" w:pos="360"/>
        </w:tabs>
        <w:ind w:left="360" w:hanging="36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6"/>
  </w:num>
  <w:num w:numId="37">
    <w:abstractNumId w:val="16"/>
  </w:num>
  <w:num w:numId="38">
    <w:abstractNumId w:val="16"/>
  </w:num>
  <w:num w:numId="39">
    <w:abstractNumId w:val="10"/>
  </w:num>
  <w:num w:numId="40">
    <w:abstractNumId w:val="5"/>
  </w:num>
  <w:num w:numId="41">
    <w:abstractNumId w:val="5"/>
  </w:num>
  <w:num w:numId="4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AT"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1-12-10 15:47: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23"/>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11"/>
    <w:docVar w:name="DQCStatus" w:val="Yellow"/>
    <w:docVar w:name="DQCVersion" w:val="3"/>
    <w:docVar w:name="DQCWithWarnings" w:val="0"/>
    <w:docVar w:name="LW_CORRIGENDUM" w:val="&lt;UNUSED&gt;"/>
    <w:docVar w:name="LW_COVERPAGE_EXISTS" w:val="True"/>
    <w:docVar w:name="LW_COVERPAGE_GUID" w:val="904F2B6A-33C7-4081-B5CB-0EF4D25ECFF5"/>
    <w:docVar w:name="LW_COVERPAGE_TYPE" w:val="1"/>
    <w:docVar w:name="LW_CROSSREFERENCE" w:val="{SWD(2021) 452 final}"/>
    <w:docVar w:name="LW_DocType" w:val="COM"/>
    <w:docVar w:name="LW_EMISSION" w:val="14.12.2021"/>
    <w:docVar w:name="LW_EMISSION_ISODATE" w:val="2021-12-14"/>
    <w:docVar w:name="LW_EMISSION_LOCATION" w:val="STR"/>
    <w:docVar w:name="LW_EMISSION_PREFIX" w:val="Strasbourg,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421"/>
    <w:docVar w:name="LW_REF.II.NEW.CP_YEAR" w:val="2021"/>
    <w:docVar w:name="LW_REF.INST.NEW" w:val="COM"/>
    <w:docVar w:name="LW_REF.INST.NEW_ADOPTED" w:val="final"/>
    <w:docVar w:name="LW_REF.INST.NEW_TEXT" w:val="(2021) 8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ensuring a fair transition towards climate neutrality _x000b__x000b_"/>
    <w:docVar w:name="LW_TYPE.DOC.CP" w:val="COUNCIL RECOMMENDATION"/>
    <w:docVar w:name="LwApiVersions" w:val="LW4CoDe 1.23.2.0; LW 8.0, Build 20211117"/>
  </w:docVars>
  <w:rsids>
    <w:rsidRoot w:val="00A17AEC"/>
    <w:rsid w:val="00000100"/>
    <w:rsid w:val="000002A9"/>
    <w:rsid w:val="00001200"/>
    <w:rsid w:val="00002649"/>
    <w:rsid w:val="00002F5D"/>
    <w:rsid w:val="0000365E"/>
    <w:rsid w:val="00003E7D"/>
    <w:rsid w:val="00004873"/>
    <w:rsid w:val="0000530B"/>
    <w:rsid w:val="00005746"/>
    <w:rsid w:val="000058C7"/>
    <w:rsid w:val="00005EBD"/>
    <w:rsid w:val="00010271"/>
    <w:rsid w:val="0001148C"/>
    <w:rsid w:val="00011AE3"/>
    <w:rsid w:val="00011E22"/>
    <w:rsid w:val="0001255B"/>
    <w:rsid w:val="00012D5F"/>
    <w:rsid w:val="000136CB"/>
    <w:rsid w:val="00014623"/>
    <w:rsid w:val="00014691"/>
    <w:rsid w:val="00014992"/>
    <w:rsid w:val="00014E1E"/>
    <w:rsid w:val="00015739"/>
    <w:rsid w:val="00015CF4"/>
    <w:rsid w:val="00016397"/>
    <w:rsid w:val="0001645D"/>
    <w:rsid w:val="00016E65"/>
    <w:rsid w:val="00017BBB"/>
    <w:rsid w:val="00017DFD"/>
    <w:rsid w:val="000208FD"/>
    <w:rsid w:val="000213F3"/>
    <w:rsid w:val="000216CC"/>
    <w:rsid w:val="00021D90"/>
    <w:rsid w:val="0002345E"/>
    <w:rsid w:val="00023B13"/>
    <w:rsid w:val="00024035"/>
    <w:rsid w:val="0002405F"/>
    <w:rsid w:val="00024D91"/>
    <w:rsid w:val="000256D4"/>
    <w:rsid w:val="00025D57"/>
    <w:rsid w:val="00026B0E"/>
    <w:rsid w:val="0003026F"/>
    <w:rsid w:val="000303B0"/>
    <w:rsid w:val="000304CD"/>
    <w:rsid w:val="0003121D"/>
    <w:rsid w:val="000323D1"/>
    <w:rsid w:val="0003241C"/>
    <w:rsid w:val="000327EA"/>
    <w:rsid w:val="00033745"/>
    <w:rsid w:val="00034133"/>
    <w:rsid w:val="00034BEF"/>
    <w:rsid w:val="00035283"/>
    <w:rsid w:val="000360A1"/>
    <w:rsid w:val="0003655B"/>
    <w:rsid w:val="000367AB"/>
    <w:rsid w:val="00036AAA"/>
    <w:rsid w:val="00036E53"/>
    <w:rsid w:val="00036E8C"/>
    <w:rsid w:val="0003756C"/>
    <w:rsid w:val="00037C4E"/>
    <w:rsid w:val="0004009A"/>
    <w:rsid w:val="0004018A"/>
    <w:rsid w:val="000402F2"/>
    <w:rsid w:val="00040775"/>
    <w:rsid w:val="0004150F"/>
    <w:rsid w:val="00041DA4"/>
    <w:rsid w:val="00042013"/>
    <w:rsid w:val="00042306"/>
    <w:rsid w:val="00042484"/>
    <w:rsid w:val="00043AE3"/>
    <w:rsid w:val="00044549"/>
    <w:rsid w:val="00044ACD"/>
    <w:rsid w:val="00045175"/>
    <w:rsid w:val="00045A5E"/>
    <w:rsid w:val="00045D2F"/>
    <w:rsid w:val="0004658F"/>
    <w:rsid w:val="00046B57"/>
    <w:rsid w:val="00046D5D"/>
    <w:rsid w:val="00046FBF"/>
    <w:rsid w:val="000476F3"/>
    <w:rsid w:val="000478CD"/>
    <w:rsid w:val="00047B6B"/>
    <w:rsid w:val="000504CB"/>
    <w:rsid w:val="00051A6E"/>
    <w:rsid w:val="00051AF0"/>
    <w:rsid w:val="00051F8E"/>
    <w:rsid w:val="00052710"/>
    <w:rsid w:val="00052747"/>
    <w:rsid w:val="00052F54"/>
    <w:rsid w:val="00054102"/>
    <w:rsid w:val="00054211"/>
    <w:rsid w:val="000543ED"/>
    <w:rsid w:val="000546B2"/>
    <w:rsid w:val="0005492B"/>
    <w:rsid w:val="00055135"/>
    <w:rsid w:val="000557FB"/>
    <w:rsid w:val="00055D97"/>
    <w:rsid w:val="00055F39"/>
    <w:rsid w:val="000564C3"/>
    <w:rsid w:val="00056510"/>
    <w:rsid w:val="00056B37"/>
    <w:rsid w:val="00057031"/>
    <w:rsid w:val="00057634"/>
    <w:rsid w:val="00057B14"/>
    <w:rsid w:val="00057C8F"/>
    <w:rsid w:val="00060743"/>
    <w:rsid w:val="00061347"/>
    <w:rsid w:val="00063034"/>
    <w:rsid w:val="00064A98"/>
    <w:rsid w:val="00064F9E"/>
    <w:rsid w:val="000651C1"/>
    <w:rsid w:val="00065360"/>
    <w:rsid w:val="000653A2"/>
    <w:rsid w:val="000657BC"/>
    <w:rsid w:val="0006695F"/>
    <w:rsid w:val="00066D47"/>
    <w:rsid w:val="000671DC"/>
    <w:rsid w:val="000673BF"/>
    <w:rsid w:val="000703B1"/>
    <w:rsid w:val="00071578"/>
    <w:rsid w:val="00071F47"/>
    <w:rsid w:val="00072946"/>
    <w:rsid w:val="00072ABF"/>
    <w:rsid w:val="000733F8"/>
    <w:rsid w:val="00073C84"/>
    <w:rsid w:val="00074965"/>
    <w:rsid w:val="00074C30"/>
    <w:rsid w:val="00074DF2"/>
    <w:rsid w:val="00075BB1"/>
    <w:rsid w:val="000762AD"/>
    <w:rsid w:val="000769BB"/>
    <w:rsid w:val="00076A41"/>
    <w:rsid w:val="00076B77"/>
    <w:rsid w:val="000774E8"/>
    <w:rsid w:val="0007788F"/>
    <w:rsid w:val="000779C4"/>
    <w:rsid w:val="00077C37"/>
    <w:rsid w:val="00080DD3"/>
    <w:rsid w:val="00080FF6"/>
    <w:rsid w:val="000815CF"/>
    <w:rsid w:val="00081CFB"/>
    <w:rsid w:val="00081FEB"/>
    <w:rsid w:val="00083707"/>
    <w:rsid w:val="00083E78"/>
    <w:rsid w:val="000843AF"/>
    <w:rsid w:val="00084454"/>
    <w:rsid w:val="00084550"/>
    <w:rsid w:val="0008456C"/>
    <w:rsid w:val="000848C4"/>
    <w:rsid w:val="0008512A"/>
    <w:rsid w:val="00085E91"/>
    <w:rsid w:val="0008687E"/>
    <w:rsid w:val="000874EC"/>
    <w:rsid w:val="000875A4"/>
    <w:rsid w:val="00090283"/>
    <w:rsid w:val="00090FEF"/>
    <w:rsid w:val="00091405"/>
    <w:rsid w:val="000916B5"/>
    <w:rsid w:val="00091D44"/>
    <w:rsid w:val="00091F73"/>
    <w:rsid w:val="00092477"/>
    <w:rsid w:val="000932E0"/>
    <w:rsid w:val="000941D2"/>
    <w:rsid w:val="0009489F"/>
    <w:rsid w:val="00094FB7"/>
    <w:rsid w:val="00096B72"/>
    <w:rsid w:val="00096D2B"/>
    <w:rsid w:val="00096E45"/>
    <w:rsid w:val="0009704A"/>
    <w:rsid w:val="000971DF"/>
    <w:rsid w:val="00097226"/>
    <w:rsid w:val="00097392"/>
    <w:rsid w:val="000977AD"/>
    <w:rsid w:val="000978E1"/>
    <w:rsid w:val="000A00D2"/>
    <w:rsid w:val="000A05DE"/>
    <w:rsid w:val="000A0FCB"/>
    <w:rsid w:val="000A122F"/>
    <w:rsid w:val="000A16B8"/>
    <w:rsid w:val="000A1C19"/>
    <w:rsid w:val="000A2F8F"/>
    <w:rsid w:val="000A31A6"/>
    <w:rsid w:val="000A374D"/>
    <w:rsid w:val="000A3A5E"/>
    <w:rsid w:val="000A3D9A"/>
    <w:rsid w:val="000A4ED0"/>
    <w:rsid w:val="000A4F66"/>
    <w:rsid w:val="000A58D7"/>
    <w:rsid w:val="000A6481"/>
    <w:rsid w:val="000A6EBA"/>
    <w:rsid w:val="000A74BC"/>
    <w:rsid w:val="000A7517"/>
    <w:rsid w:val="000A7B1C"/>
    <w:rsid w:val="000A7D82"/>
    <w:rsid w:val="000B0268"/>
    <w:rsid w:val="000B08B3"/>
    <w:rsid w:val="000B0EFD"/>
    <w:rsid w:val="000B126D"/>
    <w:rsid w:val="000B24C7"/>
    <w:rsid w:val="000B269A"/>
    <w:rsid w:val="000B2D8E"/>
    <w:rsid w:val="000B3AAE"/>
    <w:rsid w:val="000B3DC4"/>
    <w:rsid w:val="000B42C5"/>
    <w:rsid w:val="000B4CA5"/>
    <w:rsid w:val="000B5DDD"/>
    <w:rsid w:val="000B63C8"/>
    <w:rsid w:val="000B6E80"/>
    <w:rsid w:val="000B7003"/>
    <w:rsid w:val="000B71F1"/>
    <w:rsid w:val="000B7545"/>
    <w:rsid w:val="000B779E"/>
    <w:rsid w:val="000C0002"/>
    <w:rsid w:val="000C0189"/>
    <w:rsid w:val="000C074D"/>
    <w:rsid w:val="000C0CD2"/>
    <w:rsid w:val="000C131E"/>
    <w:rsid w:val="000C1BA4"/>
    <w:rsid w:val="000C26C2"/>
    <w:rsid w:val="000C3174"/>
    <w:rsid w:val="000C32FB"/>
    <w:rsid w:val="000C355E"/>
    <w:rsid w:val="000C3B50"/>
    <w:rsid w:val="000C3B88"/>
    <w:rsid w:val="000C405B"/>
    <w:rsid w:val="000C467C"/>
    <w:rsid w:val="000C495F"/>
    <w:rsid w:val="000C5859"/>
    <w:rsid w:val="000C58FD"/>
    <w:rsid w:val="000C622D"/>
    <w:rsid w:val="000C735C"/>
    <w:rsid w:val="000D02AF"/>
    <w:rsid w:val="000D0A63"/>
    <w:rsid w:val="000D0BF2"/>
    <w:rsid w:val="000D109C"/>
    <w:rsid w:val="000D139E"/>
    <w:rsid w:val="000D18A6"/>
    <w:rsid w:val="000D1E08"/>
    <w:rsid w:val="000D2465"/>
    <w:rsid w:val="000D2628"/>
    <w:rsid w:val="000D27FC"/>
    <w:rsid w:val="000D31E6"/>
    <w:rsid w:val="000D31E9"/>
    <w:rsid w:val="000D3619"/>
    <w:rsid w:val="000D379F"/>
    <w:rsid w:val="000D37AC"/>
    <w:rsid w:val="000D3869"/>
    <w:rsid w:val="000D39EA"/>
    <w:rsid w:val="000D3ADC"/>
    <w:rsid w:val="000D407D"/>
    <w:rsid w:val="000D45CB"/>
    <w:rsid w:val="000D4B6D"/>
    <w:rsid w:val="000D4E18"/>
    <w:rsid w:val="000D52F5"/>
    <w:rsid w:val="000D630C"/>
    <w:rsid w:val="000D6754"/>
    <w:rsid w:val="000D6995"/>
    <w:rsid w:val="000D6FBE"/>
    <w:rsid w:val="000D7385"/>
    <w:rsid w:val="000E0358"/>
    <w:rsid w:val="000E14CA"/>
    <w:rsid w:val="000E18EF"/>
    <w:rsid w:val="000E1983"/>
    <w:rsid w:val="000E198E"/>
    <w:rsid w:val="000E1FDA"/>
    <w:rsid w:val="000E2249"/>
    <w:rsid w:val="000E2700"/>
    <w:rsid w:val="000E3596"/>
    <w:rsid w:val="000E3B15"/>
    <w:rsid w:val="000E4090"/>
    <w:rsid w:val="000E495B"/>
    <w:rsid w:val="000E51D6"/>
    <w:rsid w:val="000E6B2C"/>
    <w:rsid w:val="000E6BAF"/>
    <w:rsid w:val="000E6C2E"/>
    <w:rsid w:val="000E7F13"/>
    <w:rsid w:val="000F05C8"/>
    <w:rsid w:val="000F085E"/>
    <w:rsid w:val="000F18D6"/>
    <w:rsid w:val="000F214A"/>
    <w:rsid w:val="000F2279"/>
    <w:rsid w:val="000F3962"/>
    <w:rsid w:val="000F3BF4"/>
    <w:rsid w:val="000F4E66"/>
    <w:rsid w:val="000F526D"/>
    <w:rsid w:val="000F5944"/>
    <w:rsid w:val="000F5D99"/>
    <w:rsid w:val="000F6C7F"/>
    <w:rsid w:val="000F7610"/>
    <w:rsid w:val="000F79D4"/>
    <w:rsid w:val="001003F8"/>
    <w:rsid w:val="00101B20"/>
    <w:rsid w:val="00101F50"/>
    <w:rsid w:val="00102500"/>
    <w:rsid w:val="0010269B"/>
    <w:rsid w:val="00102BBE"/>
    <w:rsid w:val="00102CC1"/>
    <w:rsid w:val="00102D85"/>
    <w:rsid w:val="00103EA8"/>
    <w:rsid w:val="0010430B"/>
    <w:rsid w:val="001047A5"/>
    <w:rsid w:val="00104DD3"/>
    <w:rsid w:val="00105231"/>
    <w:rsid w:val="001057DE"/>
    <w:rsid w:val="00105CD0"/>
    <w:rsid w:val="00105ECE"/>
    <w:rsid w:val="001065BC"/>
    <w:rsid w:val="0010704D"/>
    <w:rsid w:val="00107566"/>
    <w:rsid w:val="00107691"/>
    <w:rsid w:val="00110250"/>
    <w:rsid w:val="00110D61"/>
    <w:rsid w:val="0011136A"/>
    <w:rsid w:val="001118D5"/>
    <w:rsid w:val="00111F4E"/>
    <w:rsid w:val="001127A6"/>
    <w:rsid w:val="00112AF4"/>
    <w:rsid w:val="00113268"/>
    <w:rsid w:val="001133D8"/>
    <w:rsid w:val="00113563"/>
    <w:rsid w:val="001135DE"/>
    <w:rsid w:val="00113CA6"/>
    <w:rsid w:val="00113E47"/>
    <w:rsid w:val="001154A9"/>
    <w:rsid w:val="00115AF9"/>
    <w:rsid w:val="00116030"/>
    <w:rsid w:val="00116334"/>
    <w:rsid w:val="00116858"/>
    <w:rsid w:val="0011689B"/>
    <w:rsid w:val="00116F35"/>
    <w:rsid w:val="0011713D"/>
    <w:rsid w:val="0011718C"/>
    <w:rsid w:val="001175EB"/>
    <w:rsid w:val="001177D3"/>
    <w:rsid w:val="0011792E"/>
    <w:rsid w:val="00117BFB"/>
    <w:rsid w:val="00117CDE"/>
    <w:rsid w:val="001202EC"/>
    <w:rsid w:val="0012064D"/>
    <w:rsid w:val="00120801"/>
    <w:rsid w:val="00121C7D"/>
    <w:rsid w:val="00121E25"/>
    <w:rsid w:val="00121E3A"/>
    <w:rsid w:val="001220D5"/>
    <w:rsid w:val="0012257F"/>
    <w:rsid w:val="00122F5C"/>
    <w:rsid w:val="00123F29"/>
    <w:rsid w:val="001242CD"/>
    <w:rsid w:val="00125C75"/>
    <w:rsid w:val="00125D0E"/>
    <w:rsid w:val="00125D10"/>
    <w:rsid w:val="00125ED9"/>
    <w:rsid w:val="001279A0"/>
    <w:rsid w:val="0013075F"/>
    <w:rsid w:val="00130804"/>
    <w:rsid w:val="00130E76"/>
    <w:rsid w:val="00130ED7"/>
    <w:rsid w:val="001313F2"/>
    <w:rsid w:val="00131C19"/>
    <w:rsid w:val="00131C7A"/>
    <w:rsid w:val="0013211C"/>
    <w:rsid w:val="00132A64"/>
    <w:rsid w:val="00134171"/>
    <w:rsid w:val="00136213"/>
    <w:rsid w:val="00136B4C"/>
    <w:rsid w:val="001370C8"/>
    <w:rsid w:val="001401E1"/>
    <w:rsid w:val="00140495"/>
    <w:rsid w:val="00140E61"/>
    <w:rsid w:val="00142339"/>
    <w:rsid w:val="001433AB"/>
    <w:rsid w:val="00143679"/>
    <w:rsid w:val="00143B0C"/>
    <w:rsid w:val="0014462A"/>
    <w:rsid w:val="001449BF"/>
    <w:rsid w:val="0014521E"/>
    <w:rsid w:val="00145766"/>
    <w:rsid w:val="00145F9E"/>
    <w:rsid w:val="001461E7"/>
    <w:rsid w:val="0014632F"/>
    <w:rsid w:val="001463C5"/>
    <w:rsid w:val="0014683D"/>
    <w:rsid w:val="001510DC"/>
    <w:rsid w:val="001513D4"/>
    <w:rsid w:val="00151AF8"/>
    <w:rsid w:val="00151ED8"/>
    <w:rsid w:val="0015252D"/>
    <w:rsid w:val="0015373A"/>
    <w:rsid w:val="00153E3A"/>
    <w:rsid w:val="001545DA"/>
    <w:rsid w:val="00154FA6"/>
    <w:rsid w:val="0015513E"/>
    <w:rsid w:val="0015636A"/>
    <w:rsid w:val="00156CAC"/>
    <w:rsid w:val="001575C0"/>
    <w:rsid w:val="00157636"/>
    <w:rsid w:val="00160368"/>
    <w:rsid w:val="00162166"/>
    <w:rsid w:val="0016227C"/>
    <w:rsid w:val="001622C2"/>
    <w:rsid w:val="001637E8"/>
    <w:rsid w:val="00163BA7"/>
    <w:rsid w:val="0016415B"/>
    <w:rsid w:val="00164210"/>
    <w:rsid w:val="00164730"/>
    <w:rsid w:val="001649D7"/>
    <w:rsid w:val="001658A1"/>
    <w:rsid w:val="001659E5"/>
    <w:rsid w:val="00166119"/>
    <w:rsid w:val="00166353"/>
    <w:rsid w:val="00167464"/>
    <w:rsid w:val="001678F1"/>
    <w:rsid w:val="001702B7"/>
    <w:rsid w:val="00171C0A"/>
    <w:rsid w:val="0017209E"/>
    <w:rsid w:val="00172550"/>
    <w:rsid w:val="00172A3C"/>
    <w:rsid w:val="00172BCE"/>
    <w:rsid w:val="00173278"/>
    <w:rsid w:val="00173757"/>
    <w:rsid w:val="00174594"/>
    <w:rsid w:val="0017470A"/>
    <w:rsid w:val="00174A14"/>
    <w:rsid w:val="00174DC3"/>
    <w:rsid w:val="00175A61"/>
    <w:rsid w:val="00175BEC"/>
    <w:rsid w:val="00176793"/>
    <w:rsid w:val="001768CB"/>
    <w:rsid w:val="001770AA"/>
    <w:rsid w:val="001770B9"/>
    <w:rsid w:val="00177ACE"/>
    <w:rsid w:val="0018031A"/>
    <w:rsid w:val="001817F2"/>
    <w:rsid w:val="001825AE"/>
    <w:rsid w:val="00183554"/>
    <w:rsid w:val="00183BEA"/>
    <w:rsid w:val="00183F69"/>
    <w:rsid w:val="00186297"/>
    <w:rsid w:val="0018646F"/>
    <w:rsid w:val="001866FD"/>
    <w:rsid w:val="00186B5C"/>
    <w:rsid w:val="00187862"/>
    <w:rsid w:val="0019037B"/>
    <w:rsid w:val="00191419"/>
    <w:rsid w:val="0019167A"/>
    <w:rsid w:val="00191936"/>
    <w:rsid w:val="00191FED"/>
    <w:rsid w:val="001921D0"/>
    <w:rsid w:val="00192616"/>
    <w:rsid w:val="00192766"/>
    <w:rsid w:val="00192917"/>
    <w:rsid w:val="00193497"/>
    <w:rsid w:val="001951C2"/>
    <w:rsid w:val="00195830"/>
    <w:rsid w:val="001969A8"/>
    <w:rsid w:val="00196A72"/>
    <w:rsid w:val="0019737F"/>
    <w:rsid w:val="00197D09"/>
    <w:rsid w:val="001A2151"/>
    <w:rsid w:val="001A3725"/>
    <w:rsid w:val="001A4130"/>
    <w:rsid w:val="001A4667"/>
    <w:rsid w:val="001A4E38"/>
    <w:rsid w:val="001A538B"/>
    <w:rsid w:val="001A6062"/>
    <w:rsid w:val="001A650B"/>
    <w:rsid w:val="001A654C"/>
    <w:rsid w:val="001A7AC9"/>
    <w:rsid w:val="001B0105"/>
    <w:rsid w:val="001B0292"/>
    <w:rsid w:val="001B0A37"/>
    <w:rsid w:val="001B0AC7"/>
    <w:rsid w:val="001B113A"/>
    <w:rsid w:val="001B24E3"/>
    <w:rsid w:val="001B442B"/>
    <w:rsid w:val="001B51F1"/>
    <w:rsid w:val="001B5465"/>
    <w:rsid w:val="001B56A3"/>
    <w:rsid w:val="001B5B69"/>
    <w:rsid w:val="001B6149"/>
    <w:rsid w:val="001B6600"/>
    <w:rsid w:val="001B6C0C"/>
    <w:rsid w:val="001C00DA"/>
    <w:rsid w:val="001C12A8"/>
    <w:rsid w:val="001C1A01"/>
    <w:rsid w:val="001C236B"/>
    <w:rsid w:val="001C26DB"/>
    <w:rsid w:val="001C274F"/>
    <w:rsid w:val="001C2816"/>
    <w:rsid w:val="001C354D"/>
    <w:rsid w:val="001C4540"/>
    <w:rsid w:val="001C470A"/>
    <w:rsid w:val="001C4996"/>
    <w:rsid w:val="001C4FAC"/>
    <w:rsid w:val="001C529F"/>
    <w:rsid w:val="001C5A05"/>
    <w:rsid w:val="001C5D8E"/>
    <w:rsid w:val="001C6312"/>
    <w:rsid w:val="001C6DE0"/>
    <w:rsid w:val="001C74D5"/>
    <w:rsid w:val="001D0D54"/>
    <w:rsid w:val="001D1087"/>
    <w:rsid w:val="001D130B"/>
    <w:rsid w:val="001D17EC"/>
    <w:rsid w:val="001D1CA3"/>
    <w:rsid w:val="001D3449"/>
    <w:rsid w:val="001D373A"/>
    <w:rsid w:val="001D39F6"/>
    <w:rsid w:val="001D3B75"/>
    <w:rsid w:val="001D4893"/>
    <w:rsid w:val="001D4D00"/>
    <w:rsid w:val="001D5277"/>
    <w:rsid w:val="001D5405"/>
    <w:rsid w:val="001D6BEC"/>
    <w:rsid w:val="001D6BF3"/>
    <w:rsid w:val="001D71A1"/>
    <w:rsid w:val="001D7453"/>
    <w:rsid w:val="001D75E0"/>
    <w:rsid w:val="001E087C"/>
    <w:rsid w:val="001E146D"/>
    <w:rsid w:val="001E1C5D"/>
    <w:rsid w:val="001E345F"/>
    <w:rsid w:val="001E38EE"/>
    <w:rsid w:val="001E4678"/>
    <w:rsid w:val="001E4D45"/>
    <w:rsid w:val="001E4FF5"/>
    <w:rsid w:val="001E5280"/>
    <w:rsid w:val="001E52CB"/>
    <w:rsid w:val="001E5473"/>
    <w:rsid w:val="001E565D"/>
    <w:rsid w:val="001E589C"/>
    <w:rsid w:val="001E5B7E"/>
    <w:rsid w:val="001E5ED3"/>
    <w:rsid w:val="001E6C21"/>
    <w:rsid w:val="001E72F4"/>
    <w:rsid w:val="001E7694"/>
    <w:rsid w:val="001E7EEB"/>
    <w:rsid w:val="001F0599"/>
    <w:rsid w:val="001F1C8F"/>
    <w:rsid w:val="001F21EE"/>
    <w:rsid w:val="001F2A7D"/>
    <w:rsid w:val="001F2F5D"/>
    <w:rsid w:val="001F4241"/>
    <w:rsid w:val="001F4B6D"/>
    <w:rsid w:val="001F4BBA"/>
    <w:rsid w:val="001F5247"/>
    <w:rsid w:val="001F550D"/>
    <w:rsid w:val="001F559D"/>
    <w:rsid w:val="001F595D"/>
    <w:rsid w:val="001F5D8B"/>
    <w:rsid w:val="001F6752"/>
    <w:rsid w:val="001F6A30"/>
    <w:rsid w:val="001F755C"/>
    <w:rsid w:val="001F783F"/>
    <w:rsid w:val="00200BDB"/>
    <w:rsid w:val="00200E3C"/>
    <w:rsid w:val="00200FAF"/>
    <w:rsid w:val="002011DF"/>
    <w:rsid w:val="00201D72"/>
    <w:rsid w:val="00201E61"/>
    <w:rsid w:val="00202615"/>
    <w:rsid w:val="002027DA"/>
    <w:rsid w:val="00204FD9"/>
    <w:rsid w:val="0020509B"/>
    <w:rsid w:val="00207438"/>
    <w:rsid w:val="00207B7D"/>
    <w:rsid w:val="00207E1B"/>
    <w:rsid w:val="002101D0"/>
    <w:rsid w:val="00210321"/>
    <w:rsid w:val="00210435"/>
    <w:rsid w:val="00210640"/>
    <w:rsid w:val="002120DD"/>
    <w:rsid w:val="002125FD"/>
    <w:rsid w:val="00212A44"/>
    <w:rsid w:val="00212AFD"/>
    <w:rsid w:val="002150FE"/>
    <w:rsid w:val="002157A9"/>
    <w:rsid w:val="002157CD"/>
    <w:rsid w:val="00216855"/>
    <w:rsid w:val="00216EB6"/>
    <w:rsid w:val="002178FB"/>
    <w:rsid w:val="00217C35"/>
    <w:rsid w:val="00217DBF"/>
    <w:rsid w:val="00220F8A"/>
    <w:rsid w:val="002211D8"/>
    <w:rsid w:val="0022248B"/>
    <w:rsid w:val="00222558"/>
    <w:rsid w:val="002227A1"/>
    <w:rsid w:val="00222B0B"/>
    <w:rsid w:val="002231EF"/>
    <w:rsid w:val="0022459B"/>
    <w:rsid w:val="00225149"/>
    <w:rsid w:val="00226466"/>
    <w:rsid w:val="00227BCD"/>
    <w:rsid w:val="00227D48"/>
    <w:rsid w:val="002303C8"/>
    <w:rsid w:val="002313D4"/>
    <w:rsid w:val="00231770"/>
    <w:rsid w:val="00231C1E"/>
    <w:rsid w:val="0023280E"/>
    <w:rsid w:val="00232E98"/>
    <w:rsid w:val="00233296"/>
    <w:rsid w:val="00233C49"/>
    <w:rsid w:val="00234D12"/>
    <w:rsid w:val="002350CC"/>
    <w:rsid w:val="002355FD"/>
    <w:rsid w:val="00236415"/>
    <w:rsid w:val="002364A6"/>
    <w:rsid w:val="0023688A"/>
    <w:rsid w:val="002370FE"/>
    <w:rsid w:val="0023722F"/>
    <w:rsid w:val="00237709"/>
    <w:rsid w:val="00237EA8"/>
    <w:rsid w:val="0024027C"/>
    <w:rsid w:val="00240546"/>
    <w:rsid w:val="00240ECF"/>
    <w:rsid w:val="002412E0"/>
    <w:rsid w:val="002414A7"/>
    <w:rsid w:val="002436FD"/>
    <w:rsid w:val="00243994"/>
    <w:rsid w:val="002447E5"/>
    <w:rsid w:val="00244859"/>
    <w:rsid w:val="0024769F"/>
    <w:rsid w:val="00250B03"/>
    <w:rsid w:val="00250BB0"/>
    <w:rsid w:val="0025202A"/>
    <w:rsid w:val="00252AD9"/>
    <w:rsid w:val="00252BA2"/>
    <w:rsid w:val="00252E8A"/>
    <w:rsid w:val="00253ABA"/>
    <w:rsid w:val="0025456D"/>
    <w:rsid w:val="00254CA5"/>
    <w:rsid w:val="002552F8"/>
    <w:rsid w:val="00256050"/>
    <w:rsid w:val="00256925"/>
    <w:rsid w:val="00256AD9"/>
    <w:rsid w:val="00256BB1"/>
    <w:rsid w:val="00256C4A"/>
    <w:rsid w:val="00256C88"/>
    <w:rsid w:val="00256CD0"/>
    <w:rsid w:val="00256FB8"/>
    <w:rsid w:val="00257BC6"/>
    <w:rsid w:val="00257D1A"/>
    <w:rsid w:val="0026001E"/>
    <w:rsid w:val="0026009D"/>
    <w:rsid w:val="002606B6"/>
    <w:rsid w:val="00260F67"/>
    <w:rsid w:val="00261088"/>
    <w:rsid w:val="00261C08"/>
    <w:rsid w:val="00261E36"/>
    <w:rsid w:val="0026225A"/>
    <w:rsid w:val="00262E1F"/>
    <w:rsid w:val="00263A8E"/>
    <w:rsid w:val="00263E83"/>
    <w:rsid w:val="00264218"/>
    <w:rsid w:val="002644B9"/>
    <w:rsid w:val="002646BA"/>
    <w:rsid w:val="00264962"/>
    <w:rsid w:val="002651EF"/>
    <w:rsid w:val="002665D5"/>
    <w:rsid w:val="00266A6D"/>
    <w:rsid w:val="00266B62"/>
    <w:rsid w:val="00266FC6"/>
    <w:rsid w:val="00267740"/>
    <w:rsid w:val="0027021A"/>
    <w:rsid w:val="00270ECD"/>
    <w:rsid w:val="0027160C"/>
    <w:rsid w:val="00272008"/>
    <w:rsid w:val="002721C2"/>
    <w:rsid w:val="002723A1"/>
    <w:rsid w:val="002727B9"/>
    <w:rsid w:val="00272D40"/>
    <w:rsid w:val="002732A1"/>
    <w:rsid w:val="002740D0"/>
    <w:rsid w:val="0027492C"/>
    <w:rsid w:val="00274E46"/>
    <w:rsid w:val="002756BA"/>
    <w:rsid w:val="00275C81"/>
    <w:rsid w:val="00276CA6"/>
    <w:rsid w:val="0027763C"/>
    <w:rsid w:val="00277C69"/>
    <w:rsid w:val="002811D3"/>
    <w:rsid w:val="002812D1"/>
    <w:rsid w:val="00281912"/>
    <w:rsid w:val="00281B00"/>
    <w:rsid w:val="00281EF3"/>
    <w:rsid w:val="002830BE"/>
    <w:rsid w:val="0028376C"/>
    <w:rsid w:val="002839AA"/>
    <w:rsid w:val="002839CC"/>
    <w:rsid w:val="00283C15"/>
    <w:rsid w:val="002842E7"/>
    <w:rsid w:val="002859C6"/>
    <w:rsid w:val="0028638B"/>
    <w:rsid w:val="002864FC"/>
    <w:rsid w:val="002876F7"/>
    <w:rsid w:val="00291D15"/>
    <w:rsid w:val="00292FC1"/>
    <w:rsid w:val="002931A9"/>
    <w:rsid w:val="0029407A"/>
    <w:rsid w:val="00295462"/>
    <w:rsid w:val="00295E42"/>
    <w:rsid w:val="0029676B"/>
    <w:rsid w:val="002967DA"/>
    <w:rsid w:val="002968CA"/>
    <w:rsid w:val="002969EF"/>
    <w:rsid w:val="002978F2"/>
    <w:rsid w:val="00297BC0"/>
    <w:rsid w:val="00297BD4"/>
    <w:rsid w:val="00297DD2"/>
    <w:rsid w:val="00297FD8"/>
    <w:rsid w:val="002A0EC1"/>
    <w:rsid w:val="002A1E84"/>
    <w:rsid w:val="002A203D"/>
    <w:rsid w:val="002A32CC"/>
    <w:rsid w:val="002A335E"/>
    <w:rsid w:val="002A37C4"/>
    <w:rsid w:val="002A4747"/>
    <w:rsid w:val="002A4791"/>
    <w:rsid w:val="002A5A62"/>
    <w:rsid w:val="002A5F9F"/>
    <w:rsid w:val="002A63B3"/>
    <w:rsid w:val="002A730F"/>
    <w:rsid w:val="002B0CC4"/>
    <w:rsid w:val="002B0E05"/>
    <w:rsid w:val="002B1045"/>
    <w:rsid w:val="002B1BCF"/>
    <w:rsid w:val="002B271D"/>
    <w:rsid w:val="002B2F41"/>
    <w:rsid w:val="002B367D"/>
    <w:rsid w:val="002B39CD"/>
    <w:rsid w:val="002B4DE1"/>
    <w:rsid w:val="002B5024"/>
    <w:rsid w:val="002B5976"/>
    <w:rsid w:val="002B5BB6"/>
    <w:rsid w:val="002B5E89"/>
    <w:rsid w:val="002B6082"/>
    <w:rsid w:val="002B6684"/>
    <w:rsid w:val="002C02EE"/>
    <w:rsid w:val="002C05B6"/>
    <w:rsid w:val="002C0875"/>
    <w:rsid w:val="002C1E39"/>
    <w:rsid w:val="002C21F8"/>
    <w:rsid w:val="002C225D"/>
    <w:rsid w:val="002C36F5"/>
    <w:rsid w:val="002C4191"/>
    <w:rsid w:val="002C4F7E"/>
    <w:rsid w:val="002C50EF"/>
    <w:rsid w:val="002C516F"/>
    <w:rsid w:val="002C52DC"/>
    <w:rsid w:val="002C5DAD"/>
    <w:rsid w:val="002C5DE1"/>
    <w:rsid w:val="002C5FF7"/>
    <w:rsid w:val="002C62E1"/>
    <w:rsid w:val="002C6C59"/>
    <w:rsid w:val="002D0361"/>
    <w:rsid w:val="002D0A58"/>
    <w:rsid w:val="002D0AEB"/>
    <w:rsid w:val="002D1ABC"/>
    <w:rsid w:val="002D2319"/>
    <w:rsid w:val="002D2F2D"/>
    <w:rsid w:val="002D35AB"/>
    <w:rsid w:val="002D362E"/>
    <w:rsid w:val="002D42AA"/>
    <w:rsid w:val="002D5288"/>
    <w:rsid w:val="002D5A34"/>
    <w:rsid w:val="002D5A53"/>
    <w:rsid w:val="002D5E27"/>
    <w:rsid w:val="002D5F18"/>
    <w:rsid w:val="002D6008"/>
    <w:rsid w:val="002D6DB8"/>
    <w:rsid w:val="002D6E76"/>
    <w:rsid w:val="002D6F32"/>
    <w:rsid w:val="002D73B7"/>
    <w:rsid w:val="002D75CA"/>
    <w:rsid w:val="002E1921"/>
    <w:rsid w:val="002E1A9D"/>
    <w:rsid w:val="002E1FB7"/>
    <w:rsid w:val="002E21D3"/>
    <w:rsid w:val="002E24D1"/>
    <w:rsid w:val="002E2505"/>
    <w:rsid w:val="002E27DC"/>
    <w:rsid w:val="002E3858"/>
    <w:rsid w:val="002E4189"/>
    <w:rsid w:val="002E42E7"/>
    <w:rsid w:val="002E456A"/>
    <w:rsid w:val="002E4ED7"/>
    <w:rsid w:val="002E523E"/>
    <w:rsid w:val="002E52E0"/>
    <w:rsid w:val="002E5499"/>
    <w:rsid w:val="002E6AD8"/>
    <w:rsid w:val="002E6FBA"/>
    <w:rsid w:val="002E7F22"/>
    <w:rsid w:val="002F0121"/>
    <w:rsid w:val="002F03EA"/>
    <w:rsid w:val="002F04B9"/>
    <w:rsid w:val="002F085D"/>
    <w:rsid w:val="002F0AAE"/>
    <w:rsid w:val="002F0CD5"/>
    <w:rsid w:val="002F13D8"/>
    <w:rsid w:val="002F1AD5"/>
    <w:rsid w:val="002F2309"/>
    <w:rsid w:val="002F2820"/>
    <w:rsid w:val="002F2950"/>
    <w:rsid w:val="002F2B5F"/>
    <w:rsid w:val="002F3173"/>
    <w:rsid w:val="002F34E2"/>
    <w:rsid w:val="002F3FA5"/>
    <w:rsid w:val="002F47DB"/>
    <w:rsid w:val="002F4BDC"/>
    <w:rsid w:val="002F52F1"/>
    <w:rsid w:val="002F550B"/>
    <w:rsid w:val="002F5C79"/>
    <w:rsid w:val="002F7336"/>
    <w:rsid w:val="002F7626"/>
    <w:rsid w:val="002F78BB"/>
    <w:rsid w:val="00300EC3"/>
    <w:rsid w:val="00300FC3"/>
    <w:rsid w:val="003023EF"/>
    <w:rsid w:val="00302900"/>
    <w:rsid w:val="00302E42"/>
    <w:rsid w:val="00303629"/>
    <w:rsid w:val="00303AE4"/>
    <w:rsid w:val="00303D0E"/>
    <w:rsid w:val="00303DFF"/>
    <w:rsid w:val="00304B4E"/>
    <w:rsid w:val="00304C65"/>
    <w:rsid w:val="00304D48"/>
    <w:rsid w:val="00305274"/>
    <w:rsid w:val="0030600C"/>
    <w:rsid w:val="00306BAF"/>
    <w:rsid w:val="0030714B"/>
    <w:rsid w:val="003073BE"/>
    <w:rsid w:val="00307625"/>
    <w:rsid w:val="00307C3D"/>
    <w:rsid w:val="00307E1C"/>
    <w:rsid w:val="003100ED"/>
    <w:rsid w:val="00310FC1"/>
    <w:rsid w:val="003114B5"/>
    <w:rsid w:val="00311940"/>
    <w:rsid w:val="003119C8"/>
    <w:rsid w:val="00311DF6"/>
    <w:rsid w:val="00311EE1"/>
    <w:rsid w:val="003121AF"/>
    <w:rsid w:val="003121F8"/>
    <w:rsid w:val="0031220B"/>
    <w:rsid w:val="003122B2"/>
    <w:rsid w:val="003124BD"/>
    <w:rsid w:val="0031263F"/>
    <w:rsid w:val="00312828"/>
    <w:rsid w:val="00312C7F"/>
    <w:rsid w:val="00312E67"/>
    <w:rsid w:val="0031395C"/>
    <w:rsid w:val="00313ACB"/>
    <w:rsid w:val="00313F4B"/>
    <w:rsid w:val="00314A33"/>
    <w:rsid w:val="00314A8B"/>
    <w:rsid w:val="00314B6B"/>
    <w:rsid w:val="00314B97"/>
    <w:rsid w:val="00315372"/>
    <w:rsid w:val="00315437"/>
    <w:rsid w:val="00315861"/>
    <w:rsid w:val="0031654A"/>
    <w:rsid w:val="00316632"/>
    <w:rsid w:val="00316E81"/>
    <w:rsid w:val="00317AF5"/>
    <w:rsid w:val="00317BD5"/>
    <w:rsid w:val="00317F63"/>
    <w:rsid w:val="00320045"/>
    <w:rsid w:val="00320F5E"/>
    <w:rsid w:val="00321D7D"/>
    <w:rsid w:val="0032227B"/>
    <w:rsid w:val="00322B82"/>
    <w:rsid w:val="00323328"/>
    <w:rsid w:val="00323F32"/>
    <w:rsid w:val="00324089"/>
    <w:rsid w:val="00324652"/>
    <w:rsid w:val="003249E3"/>
    <w:rsid w:val="00324BB9"/>
    <w:rsid w:val="00324BE7"/>
    <w:rsid w:val="00324F5A"/>
    <w:rsid w:val="00325ADD"/>
    <w:rsid w:val="00325B70"/>
    <w:rsid w:val="00325BBF"/>
    <w:rsid w:val="003260EE"/>
    <w:rsid w:val="00326357"/>
    <w:rsid w:val="003273FE"/>
    <w:rsid w:val="00327BD8"/>
    <w:rsid w:val="00327E33"/>
    <w:rsid w:val="003305BC"/>
    <w:rsid w:val="00330C2D"/>
    <w:rsid w:val="00330E6C"/>
    <w:rsid w:val="00331188"/>
    <w:rsid w:val="00331642"/>
    <w:rsid w:val="003317BC"/>
    <w:rsid w:val="00332104"/>
    <w:rsid w:val="003326F0"/>
    <w:rsid w:val="0033271F"/>
    <w:rsid w:val="0033316F"/>
    <w:rsid w:val="00333286"/>
    <w:rsid w:val="00334754"/>
    <w:rsid w:val="003356B9"/>
    <w:rsid w:val="003359FB"/>
    <w:rsid w:val="00335C81"/>
    <w:rsid w:val="00336CCC"/>
    <w:rsid w:val="00337386"/>
    <w:rsid w:val="0033794C"/>
    <w:rsid w:val="00337E09"/>
    <w:rsid w:val="00340CFC"/>
    <w:rsid w:val="00340DA9"/>
    <w:rsid w:val="003415C3"/>
    <w:rsid w:val="00342490"/>
    <w:rsid w:val="003427D8"/>
    <w:rsid w:val="003439A2"/>
    <w:rsid w:val="00344686"/>
    <w:rsid w:val="00344703"/>
    <w:rsid w:val="00345BD1"/>
    <w:rsid w:val="00345D7C"/>
    <w:rsid w:val="003462A8"/>
    <w:rsid w:val="003468D9"/>
    <w:rsid w:val="00346FB8"/>
    <w:rsid w:val="003471CB"/>
    <w:rsid w:val="003476ED"/>
    <w:rsid w:val="00350348"/>
    <w:rsid w:val="00351105"/>
    <w:rsid w:val="0035175F"/>
    <w:rsid w:val="00351EA8"/>
    <w:rsid w:val="0035200C"/>
    <w:rsid w:val="00352DA2"/>
    <w:rsid w:val="0035357C"/>
    <w:rsid w:val="00353E98"/>
    <w:rsid w:val="003540E3"/>
    <w:rsid w:val="0035413F"/>
    <w:rsid w:val="0035457E"/>
    <w:rsid w:val="00354B4F"/>
    <w:rsid w:val="003551B2"/>
    <w:rsid w:val="0035597E"/>
    <w:rsid w:val="00355D38"/>
    <w:rsid w:val="003565B5"/>
    <w:rsid w:val="003565FB"/>
    <w:rsid w:val="00356A9F"/>
    <w:rsid w:val="003578CA"/>
    <w:rsid w:val="003579DA"/>
    <w:rsid w:val="00357A0C"/>
    <w:rsid w:val="00360669"/>
    <w:rsid w:val="0036072A"/>
    <w:rsid w:val="00360854"/>
    <w:rsid w:val="00361444"/>
    <w:rsid w:val="00361E2B"/>
    <w:rsid w:val="00361FA9"/>
    <w:rsid w:val="00362D88"/>
    <w:rsid w:val="00362E83"/>
    <w:rsid w:val="0036327A"/>
    <w:rsid w:val="0036333E"/>
    <w:rsid w:val="00363418"/>
    <w:rsid w:val="003639D1"/>
    <w:rsid w:val="00363B81"/>
    <w:rsid w:val="003642DA"/>
    <w:rsid w:val="00364813"/>
    <w:rsid w:val="00364A2A"/>
    <w:rsid w:val="00365338"/>
    <w:rsid w:val="003656E2"/>
    <w:rsid w:val="00365A29"/>
    <w:rsid w:val="00365A41"/>
    <w:rsid w:val="00366D7C"/>
    <w:rsid w:val="00367140"/>
    <w:rsid w:val="003675C8"/>
    <w:rsid w:val="0037093F"/>
    <w:rsid w:val="00370B1B"/>
    <w:rsid w:val="00371024"/>
    <w:rsid w:val="00374828"/>
    <w:rsid w:val="00375979"/>
    <w:rsid w:val="00375EA0"/>
    <w:rsid w:val="00375F16"/>
    <w:rsid w:val="00377091"/>
    <w:rsid w:val="00377F7A"/>
    <w:rsid w:val="003804FA"/>
    <w:rsid w:val="003807CF"/>
    <w:rsid w:val="0038209A"/>
    <w:rsid w:val="00382A50"/>
    <w:rsid w:val="00383541"/>
    <w:rsid w:val="00383E85"/>
    <w:rsid w:val="003845B6"/>
    <w:rsid w:val="0038506C"/>
    <w:rsid w:val="00385515"/>
    <w:rsid w:val="00385D21"/>
    <w:rsid w:val="00385FC2"/>
    <w:rsid w:val="003861EE"/>
    <w:rsid w:val="00386374"/>
    <w:rsid w:val="00386DD2"/>
    <w:rsid w:val="0038745B"/>
    <w:rsid w:val="00387AA6"/>
    <w:rsid w:val="00390117"/>
    <w:rsid w:val="003902FA"/>
    <w:rsid w:val="0039064B"/>
    <w:rsid w:val="00390DFC"/>
    <w:rsid w:val="00391094"/>
    <w:rsid w:val="00391113"/>
    <w:rsid w:val="003913FB"/>
    <w:rsid w:val="00391D24"/>
    <w:rsid w:val="00391E24"/>
    <w:rsid w:val="00391E7F"/>
    <w:rsid w:val="00391E80"/>
    <w:rsid w:val="003926C3"/>
    <w:rsid w:val="00392BC1"/>
    <w:rsid w:val="0039448D"/>
    <w:rsid w:val="00394896"/>
    <w:rsid w:val="0039492C"/>
    <w:rsid w:val="00394D27"/>
    <w:rsid w:val="00395E8D"/>
    <w:rsid w:val="0039664D"/>
    <w:rsid w:val="003967D9"/>
    <w:rsid w:val="0039689A"/>
    <w:rsid w:val="00397DA9"/>
    <w:rsid w:val="003A0227"/>
    <w:rsid w:val="003A02FF"/>
    <w:rsid w:val="003A0539"/>
    <w:rsid w:val="003A2391"/>
    <w:rsid w:val="003A2866"/>
    <w:rsid w:val="003A43D3"/>
    <w:rsid w:val="003A4C80"/>
    <w:rsid w:val="003A530B"/>
    <w:rsid w:val="003A6426"/>
    <w:rsid w:val="003A6611"/>
    <w:rsid w:val="003A67CB"/>
    <w:rsid w:val="003A6B54"/>
    <w:rsid w:val="003A7245"/>
    <w:rsid w:val="003A74B6"/>
    <w:rsid w:val="003A7D0C"/>
    <w:rsid w:val="003A7DD1"/>
    <w:rsid w:val="003B07D2"/>
    <w:rsid w:val="003B09EA"/>
    <w:rsid w:val="003B13C3"/>
    <w:rsid w:val="003B169E"/>
    <w:rsid w:val="003B17DA"/>
    <w:rsid w:val="003B188F"/>
    <w:rsid w:val="003B19C9"/>
    <w:rsid w:val="003B1F34"/>
    <w:rsid w:val="003B2971"/>
    <w:rsid w:val="003B3514"/>
    <w:rsid w:val="003B3699"/>
    <w:rsid w:val="003B3AEC"/>
    <w:rsid w:val="003B3F63"/>
    <w:rsid w:val="003B50ED"/>
    <w:rsid w:val="003B5615"/>
    <w:rsid w:val="003B5CB2"/>
    <w:rsid w:val="003B61A0"/>
    <w:rsid w:val="003B65C1"/>
    <w:rsid w:val="003B6BAE"/>
    <w:rsid w:val="003B73E4"/>
    <w:rsid w:val="003C064E"/>
    <w:rsid w:val="003C06BC"/>
    <w:rsid w:val="003C0F5B"/>
    <w:rsid w:val="003C14F9"/>
    <w:rsid w:val="003C1FB5"/>
    <w:rsid w:val="003C22A1"/>
    <w:rsid w:val="003C2553"/>
    <w:rsid w:val="003C25CA"/>
    <w:rsid w:val="003C26AF"/>
    <w:rsid w:val="003C27DA"/>
    <w:rsid w:val="003C3139"/>
    <w:rsid w:val="003C3145"/>
    <w:rsid w:val="003C39BE"/>
    <w:rsid w:val="003C45F4"/>
    <w:rsid w:val="003C7438"/>
    <w:rsid w:val="003C796C"/>
    <w:rsid w:val="003D03E8"/>
    <w:rsid w:val="003D0CFC"/>
    <w:rsid w:val="003D12B8"/>
    <w:rsid w:val="003D181D"/>
    <w:rsid w:val="003D24EB"/>
    <w:rsid w:val="003D2B95"/>
    <w:rsid w:val="003D3289"/>
    <w:rsid w:val="003D4840"/>
    <w:rsid w:val="003D560B"/>
    <w:rsid w:val="003D692D"/>
    <w:rsid w:val="003D6D02"/>
    <w:rsid w:val="003D7192"/>
    <w:rsid w:val="003D722E"/>
    <w:rsid w:val="003D7CD2"/>
    <w:rsid w:val="003E02A1"/>
    <w:rsid w:val="003E0442"/>
    <w:rsid w:val="003E1707"/>
    <w:rsid w:val="003E173C"/>
    <w:rsid w:val="003E2225"/>
    <w:rsid w:val="003E2425"/>
    <w:rsid w:val="003E263C"/>
    <w:rsid w:val="003E2A90"/>
    <w:rsid w:val="003E2FB6"/>
    <w:rsid w:val="003E34B2"/>
    <w:rsid w:val="003E410E"/>
    <w:rsid w:val="003E4203"/>
    <w:rsid w:val="003E5077"/>
    <w:rsid w:val="003E5424"/>
    <w:rsid w:val="003E547D"/>
    <w:rsid w:val="003E5FB3"/>
    <w:rsid w:val="003E6B0E"/>
    <w:rsid w:val="003E75B7"/>
    <w:rsid w:val="003E77BF"/>
    <w:rsid w:val="003E7BC7"/>
    <w:rsid w:val="003E7FFE"/>
    <w:rsid w:val="003F071C"/>
    <w:rsid w:val="003F07E0"/>
    <w:rsid w:val="003F11BF"/>
    <w:rsid w:val="003F1487"/>
    <w:rsid w:val="003F14A0"/>
    <w:rsid w:val="003F1DC4"/>
    <w:rsid w:val="003F3522"/>
    <w:rsid w:val="003F39EB"/>
    <w:rsid w:val="003F403A"/>
    <w:rsid w:val="003F428F"/>
    <w:rsid w:val="003F4335"/>
    <w:rsid w:val="003F462D"/>
    <w:rsid w:val="003F592F"/>
    <w:rsid w:val="003F5C80"/>
    <w:rsid w:val="003F5D99"/>
    <w:rsid w:val="003F6211"/>
    <w:rsid w:val="003F651A"/>
    <w:rsid w:val="003F6B83"/>
    <w:rsid w:val="003F6E24"/>
    <w:rsid w:val="003F797E"/>
    <w:rsid w:val="003F7BD1"/>
    <w:rsid w:val="003F7CFA"/>
    <w:rsid w:val="003F7D80"/>
    <w:rsid w:val="003F7EDA"/>
    <w:rsid w:val="004008CE"/>
    <w:rsid w:val="00401020"/>
    <w:rsid w:val="00401942"/>
    <w:rsid w:val="00401E70"/>
    <w:rsid w:val="004027B7"/>
    <w:rsid w:val="00404230"/>
    <w:rsid w:val="004047D9"/>
    <w:rsid w:val="0040504E"/>
    <w:rsid w:val="00405452"/>
    <w:rsid w:val="00406A90"/>
    <w:rsid w:val="00406D8C"/>
    <w:rsid w:val="0040744A"/>
    <w:rsid w:val="00407C17"/>
    <w:rsid w:val="004100AA"/>
    <w:rsid w:val="00411C7E"/>
    <w:rsid w:val="00411F69"/>
    <w:rsid w:val="00412227"/>
    <w:rsid w:val="00412499"/>
    <w:rsid w:val="00414221"/>
    <w:rsid w:val="004143E1"/>
    <w:rsid w:val="00414E5A"/>
    <w:rsid w:val="00415B09"/>
    <w:rsid w:val="00415F6D"/>
    <w:rsid w:val="00416449"/>
    <w:rsid w:val="0041716A"/>
    <w:rsid w:val="004173CC"/>
    <w:rsid w:val="00417C42"/>
    <w:rsid w:val="00420537"/>
    <w:rsid w:val="00420567"/>
    <w:rsid w:val="00420B7B"/>
    <w:rsid w:val="004217E9"/>
    <w:rsid w:val="004218F6"/>
    <w:rsid w:val="00421A93"/>
    <w:rsid w:val="00421B5F"/>
    <w:rsid w:val="00422B65"/>
    <w:rsid w:val="00422E27"/>
    <w:rsid w:val="004236C3"/>
    <w:rsid w:val="00423CD8"/>
    <w:rsid w:val="00424BB4"/>
    <w:rsid w:val="0042508C"/>
    <w:rsid w:val="004259CB"/>
    <w:rsid w:val="00425A7C"/>
    <w:rsid w:val="00425ECB"/>
    <w:rsid w:val="004268E9"/>
    <w:rsid w:val="0042782C"/>
    <w:rsid w:val="00427BD1"/>
    <w:rsid w:val="00427CE1"/>
    <w:rsid w:val="0043054F"/>
    <w:rsid w:val="00430702"/>
    <w:rsid w:val="00431656"/>
    <w:rsid w:val="004328E6"/>
    <w:rsid w:val="004334FC"/>
    <w:rsid w:val="004338A6"/>
    <w:rsid w:val="004338C3"/>
    <w:rsid w:val="00433C29"/>
    <w:rsid w:val="004348BE"/>
    <w:rsid w:val="00435022"/>
    <w:rsid w:val="0043542F"/>
    <w:rsid w:val="004357AA"/>
    <w:rsid w:val="00435806"/>
    <w:rsid w:val="00435B4C"/>
    <w:rsid w:val="00435B95"/>
    <w:rsid w:val="004369E8"/>
    <w:rsid w:val="004377DF"/>
    <w:rsid w:val="00437996"/>
    <w:rsid w:val="0044002E"/>
    <w:rsid w:val="00440CAD"/>
    <w:rsid w:val="00441F03"/>
    <w:rsid w:val="0044216B"/>
    <w:rsid w:val="004432E6"/>
    <w:rsid w:val="00443AE7"/>
    <w:rsid w:val="00443B26"/>
    <w:rsid w:val="0044443E"/>
    <w:rsid w:val="00444BF4"/>
    <w:rsid w:val="004457D2"/>
    <w:rsid w:val="0044586A"/>
    <w:rsid w:val="00445A97"/>
    <w:rsid w:val="00445CC2"/>
    <w:rsid w:val="0044611F"/>
    <w:rsid w:val="00447737"/>
    <w:rsid w:val="00450004"/>
    <w:rsid w:val="00450080"/>
    <w:rsid w:val="00450087"/>
    <w:rsid w:val="00450132"/>
    <w:rsid w:val="0045085C"/>
    <w:rsid w:val="00450E42"/>
    <w:rsid w:val="00450F19"/>
    <w:rsid w:val="00452424"/>
    <w:rsid w:val="0045304C"/>
    <w:rsid w:val="0045397B"/>
    <w:rsid w:val="00454049"/>
    <w:rsid w:val="00454764"/>
    <w:rsid w:val="00454F31"/>
    <w:rsid w:val="00455033"/>
    <w:rsid w:val="0045504D"/>
    <w:rsid w:val="004579E9"/>
    <w:rsid w:val="00457AE2"/>
    <w:rsid w:val="004602A0"/>
    <w:rsid w:val="004607EA"/>
    <w:rsid w:val="004615FA"/>
    <w:rsid w:val="00463635"/>
    <w:rsid w:val="00463638"/>
    <w:rsid w:val="00463B8C"/>
    <w:rsid w:val="00465DCF"/>
    <w:rsid w:val="00465F62"/>
    <w:rsid w:val="00467027"/>
    <w:rsid w:val="0046790F"/>
    <w:rsid w:val="00467A5D"/>
    <w:rsid w:val="00467A7C"/>
    <w:rsid w:val="00467B6D"/>
    <w:rsid w:val="004700AB"/>
    <w:rsid w:val="00471420"/>
    <w:rsid w:val="0047188D"/>
    <w:rsid w:val="00471AC2"/>
    <w:rsid w:val="0047286D"/>
    <w:rsid w:val="0047324D"/>
    <w:rsid w:val="00473626"/>
    <w:rsid w:val="004740D4"/>
    <w:rsid w:val="00474553"/>
    <w:rsid w:val="00475345"/>
    <w:rsid w:val="004758B7"/>
    <w:rsid w:val="00476689"/>
    <w:rsid w:val="00477690"/>
    <w:rsid w:val="0048063C"/>
    <w:rsid w:val="004812FA"/>
    <w:rsid w:val="00481CB0"/>
    <w:rsid w:val="00481FD3"/>
    <w:rsid w:val="00483A0A"/>
    <w:rsid w:val="00485106"/>
    <w:rsid w:val="004873FD"/>
    <w:rsid w:val="00487C0B"/>
    <w:rsid w:val="00487CD6"/>
    <w:rsid w:val="004907DD"/>
    <w:rsid w:val="00490B6F"/>
    <w:rsid w:val="004913CF"/>
    <w:rsid w:val="00491CCC"/>
    <w:rsid w:val="00491EDC"/>
    <w:rsid w:val="0049204C"/>
    <w:rsid w:val="00492DD0"/>
    <w:rsid w:val="004937FB"/>
    <w:rsid w:val="0049450F"/>
    <w:rsid w:val="004958CC"/>
    <w:rsid w:val="00495D14"/>
    <w:rsid w:val="004962AB"/>
    <w:rsid w:val="00496D81"/>
    <w:rsid w:val="0049772B"/>
    <w:rsid w:val="004A0038"/>
    <w:rsid w:val="004A016F"/>
    <w:rsid w:val="004A1170"/>
    <w:rsid w:val="004A1E2A"/>
    <w:rsid w:val="004A261A"/>
    <w:rsid w:val="004A3CAE"/>
    <w:rsid w:val="004A4800"/>
    <w:rsid w:val="004A4A3F"/>
    <w:rsid w:val="004A4FC6"/>
    <w:rsid w:val="004A55A8"/>
    <w:rsid w:val="004A55C2"/>
    <w:rsid w:val="004A59AB"/>
    <w:rsid w:val="004A621F"/>
    <w:rsid w:val="004A6274"/>
    <w:rsid w:val="004A7ABA"/>
    <w:rsid w:val="004B02D9"/>
    <w:rsid w:val="004B039A"/>
    <w:rsid w:val="004B0F9A"/>
    <w:rsid w:val="004B0FB4"/>
    <w:rsid w:val="004B1E77"/>
    <w:rsid w:val="004B28B2"/>
    <w:rsid w:val="004B2A65"/>
    <w:rsid w:val="004B2B35"/>
    <w:rsid w:val="004B2D47"/>
    <w:rsid w:val="004B2E60"/>
    <w:rsid w:val="004B2F20"/>
    <w:rsid w:val="004B3715"/>
    <w:rsid w:val="004B3743"/>
    <w:rsid w:val="004B3CB4"/>
    <w:rsid w:val="004B458A"/>
    <w:rsid w:val="004B4DFD"/>
    <w:rsid w:val="004B54FA"/>
    <w:rsid w:val="004B63EA"/>
    <w:rsid w:val="004B6C0C"/>
    <w:rsid w:val="004B7D16"/>
    <w:rsid w:val="004C14AB"/>
    <w:rsid w:val="004C18CF"/>
    <w:rsid w:val="004C1CCD"/>
    <w:rsid w:val="004C29CC"/>
    <w:rsid w:val="004C3917"/>
    <w:rsid w:val="004C3E37"/>
    <w:rsid w:val="004C4B84"/>
    <w:rsid w:val="004C4D00"/>
    <w:rsid w:val="004C52A2"/>
    <w:rsid w:val="004C5CC2"/>
    <w:rsid w:val="004C6956"/>
    <w:rsid w:val="004C6AE4"/>
    <w:rsid w:val="004C6FCE"/>
    <w:rsid w:val="004C756C"/>
    <w:rsid w:val="004C7719"/>
    <w:rsid w:val="004D038E"/>
    <w:rsid w:val="004D0627"/>
    <w:rsid w:val="004D12CF"/>
    <w:rsid w:val="004D1A73"/>
    <w:rsid w:val="004D212F"/>
    <w:rsid w:val="004D21DA"/>
    <w:rsid w:val="004D24A5"/>
    <w:rsid w:val="004D261C"/>
    <w:rsid w:val="004D2851"/>
    <w:rsid w:val="004D2BEB"/>
    <w:rsid w:val="004D2CB8"/>
    <w:rsid w:val="004D371E"/>
    <w:rsid w:val="004D3DA0"/>
    <w:rsid w:val="004D4341"/>
    <w:rsid w:val="004D4760"/>
    <w:rsid w:val="004D5495"/>
    <w:rsid w:val="004D55E0"/>
    <w:rsid w:val="004D6B28"/>
    <w:rsid w:val="004D6B30"/>
    <w:rsid w:val="004D6C21"/>
    <w:rsid w:val="004E1467"/>
    <w:rsid w:val="004E2220"/>
    <w:rsid w:val="004E23D6"/>
    <w:rsid w:val="004E331D"/>
    <w:rsid w:val="004E5009"/>
    <w:rsid w:val="004E51D6"/>
    <w:rsid w:val="004E556A"/>
    <w:rsid w:val="004E593C"/>
    <w:rsid w:val="004E5DAE"/>
    <w:rsid w:val="004E5DF2"/>
    <w:rsid w:val="004E6022"/>
    <w:rsid w:val="004E6231"/>
    <w:rsid w:val="004E7252"/>
    <w:rsid w:val="004F0186"/>
    <w:rsid w:val="004F048B"/>
    <w:rsid w:val="004F0711"/>
    <w:rsid w:val="004F09F8"/>
    <w:rsid w:val="004F0E0C"/>
    <w:rsid w:val="004F164C"/>
    <w:rsid w:val="004F2342"/>
    <w:rsid w:val="004F28DB"/>
    <w:rsid w:val="004F29FE"/>
    <w:rsid w:val="004F2DF9"/>
    <w:rsid w:val="004F2E52"/>
    <w:rsid w:val="004F39C4"/>
    <w:rsid w:val="004F3AE8"/>
    <w:rsid w:val="004F3F78"/>
    <w:rsid w:val="004F49D4"/>
    <w:rsid w:val="004F502A"/>
    <w:rsid w:val="004F507B"/>
    <w:rsid w:val="004F54C8"/>
    <w:rsid w:val="004F54DC"/>
    <w:rsid w:val="004F55C9"/>
    <w:rsid w:val="004F627A"/>
    <w:rsid w:val="004F7012"/>
    <w:rsid w:val="004F7F57"/>
    <w:rsid w:val="00500050"/>
    <w:rsid w:val="0050078B"/>
    <w:rsid w:val="005007DF"/>
    <w:rsid w:val="00500820"/>
    <w:rsid w:val="00501014"/>
    <w:rsid w:val="00503084"/>
    <w:rsid w:val="005030A1"/>
    <w:rsid w:val="00503479"/>
    <w:rsid w:val="00503751"/>
    <w:rsid w:val="00503E9E"/>
    <w:rsid w:val="00503F2F"/>
    <w:rsid w:val="005042C8"/>
    <w:rsid w:val="005048EE"/>
    <w:rsid w:val="005055D8"/>
    <w:rsid w:val="00505784"/>
    <w:rsid w:val="005058D0"/>
    <w:rsid w:val="0050609F"/>
    <w:rsid w:val="00506148"/>
    <w:rsid w:val="005062CE"/>
    <w:rsid w:val="005062DB"/>
    <w:rsid w:val="005066EB"/>
    <w:rsid w:val="0050682F"/>
    <w:rsid w:val="00506E69"/>
    <w:rsid w:val="0051013B"/>
    <w:rsid w:val="0051074B"/>
    <w:rsid w:val="00511BDD"/>
    <w:rsid w:val="00511CF3"/>
    <w:rsid w:val="00511D68"/>
    <w:rsid w:val="00511FBF"/>
    <w:rsid w:val="0051302C"/>
    <w:rsid w:val="00513653"/>
    <w:rsid w:val="00513FB4"/>
    <w:rsid w:val="0051437D"/>
    <w:rsid w:val="005145BE"/>
    <w:rsid w:val="005148DD"/>
    <w:rsid w:val="005159F9"/>
    <w:rsid w:val="005164B7"/>
    <w:rsid w:val="00520B80"/>
    <w:rsid w:val="00520EBA"/>
    <w:rsid w:val="00521179"/>
    <w:rsid w:val="00521FB5"/>
    <w:rsid w:val="0052283E"/>
    <w:rsid w:val="00522BF8"/>
    <w:rsid w:val="00523A40"/>
    <w:rsid w:val="00523A90"/>
    <w:rsid w:val="00524132"/>
    <w:rsid w:val="00524447"/>
    <w:rsid w:val="005248F2"/>
    <w:rsid w:val="00524DA6"/>
    <w:rsid w:val="0052618A"/>
    <w:rsid w:val="0052627D"/>
    <w:rsid w:val="005263E3"/>
    <w:rsid w:val="005267A1"/>
    <w:rsid w:val="00527A56"/>
    <w:rsid w:val="00530182"/>
    <w:rsid w:val="005314C9"/>
    <w:rsid w:val="00531517"/>
    <w:rsid w:val="00532297"/>
    <w:rsid w:val="005324AD"/>
    <w:rsid w:val="00532889"/>
    <w:rsid w:val="00532E27"/>
    <w:rsid w:val="00533127"/>
    <w:rsid w:val="005336EA"/>
    <w:rsid w:val="00534625"/>
    <w:rsid w:val="005347E4"/>
    <w:rsid w:val="00534996"/>
    <w:rsid w:val="005349FC"/>
    <w:rsid w:val="005351FE"/>
    <w:rsid w:val="00535EC9"/>
    <w:rsid w:val="00536200"/>
    <w:rsid w:val="00536AF8"/>
    <w:rsid w:val="00536BA5"/>
    <w:rsid w:val="00537C0F"/>
    <w:rsid w:val="0054074F"/>
    <w:rsid w:val="00540CF0"/>
    <w:rsid w:val="00540D52"/>
    <w:rsid w:val="005413F9"/>
    <w:rsid w:val="00541B21"/>
    <w:rsid w:val="00541DE5"/>
    <w:rsid w:val="00542733"/>
    <w:rsid w:val="00542B63"/>
    <w:rsid w:val="00542D1C"/>
    <w:rsid w:val="005432D0"/>
    <w:rsid w:val="005439B2"/>
    <w:rsid w:val="00543E2F"/>
    <w:rsid w:val="00544537"/>
    <w:rsid w:val="0054505B"/>
    <w:rsid w:val="00545068"/>
    <w:rsid w:val="00546822"/>
    <w:rsid w:val="00546CEA"/>
    <w:rsid w:val="0054731F"/>
    <w:rsid w:val="00547434"/>
    <w:rsid w:val="00547907"/>
    <w:rsid w:val="005502D3"/>
    <w:rsid w:val="005504A1"/>
    <w:rsid w:val="0055072B"/>
    <w:rsid w:val="00550776"/>
    <w:rsid w:val="005507E1"/>
    <w:rsid w:val="005507FF"/>
    <w:rsid w:val="00550D33"/>
    <w:rsid w:val="00551763"/>
    <w:rsid w:val="005527F3"/>
    <w:rsid w:val="0055281D"/>
    <w:rsid w:val="00552AE1"/>
    <w:rsid w:val="0055319A"/>
    <w:rsid w:val="0055549B"/>
    <w:rsid w:val="0055549F"/>
    <w:rsid w:val="00555B51"/>
    <w:rsid w:val="00555D47"/>
    <w:rsid w:val="0055665F"/>
    <w:rsid w:val="005568AC"/>
    <w:rsid w:val="00556CB6"/>
    <w:rsid w:val="00557364"/>
    <w:rsid w:val="00557451"/>
    <w:rsid w:val="00557A25"/>
    <w:rsid w:val="00557C71"/>
    <w:rsid w:val="00557CA6"/>
    <w:rsid w:val="00560159"/>
    <w:rsid w:val="00560226"/>
    <w:rsid w:val="005605A5"/>
    <w:rsid w:val="0056086A"/>
    <w:rsid w:val="005610F6"/>
    <w:rsid w:val="005614E7"/>
    <w:rsid w:val="00562C5D"/>
    <w:rsid w:val="00562CE2"/>
    <w:rsid w:val="00564D66"/>
    <w:rsid w:val="00565901"/>
    <w:rsid w:val="00565CAD"/>
    <w:rsid w:val="0056741E"/>
    <w:rsid w:val="00567CFF"/>
    <w:rsid w:val="00570469"/>
    <w:rsid w:val="00570761"/>
    <w:rsid w:val="00570BB0"/>
    <w:rsid w:val="00571322"/>
    <w:rsid w:val="00571B49"/>
    <w:rsid w:val="00571CCA"/>
    <w:rsid w:val="0057227A"/>
    <w:rsid w:val="00572394"/>
    <w:rsid w:val="005723D3"/>
    <w:rsid w:val="00572439"/>
    <w:rsid w:val="00572DC6"/>
    <w:rsid w:val="00573247"/>
    <w:rsid w:val="00573338"/>
    <w:rsid w:val="00573B0F"/>
    <w:rsid w:val="005742FC"/>
    <w:rsid w:val="005746C8"/>
    <w:rsid w:val="00575696"/>
    <w:rsid w:val="00575AB4"/>
    <w:rsid w:val="00576A96"/>
    <w:rsid w:val="005778B1"/>
    <w:rsid w:val="00580259"/>
    <w:rsid w:val="005805EB"/>
    <w:rsid w:val="0058076B"/>
    <w:rsid w:val="00580BA9"/>
    <w:rsid w:val="00580E4F"/>
    <w:rsid w:val="005815A4"/>
    <w:rsid w:val="00582116"/>
    <w:rsid w:val="00582613"/>
    <w:rsid w:val="00583770"/>
    <w:rsid w:val="005839E2"/>
    <w:rsid w:val="00584DF2"/>
    <w:rsid w:val="00584F4D"/>
    <w:rsid w:val="005850D9"/>
    <w:rsid w:val="005853DF"/>
    <w:rsid w:val="005855D0"/>
    <w:rsid w:val="00585F92"/>
    <w:rsid w:val="005861D4"/>
    <w:rsid w:val="00586F87"/>
    <w:rsid w:val="00586FDB"/>
    <w:rsid w:val="0058712A"/>
    <w:rsid w:val="00587AC0"/>
    <w:rsid w:val="00587CAF"/>
    <w:rsid w:val="00590397"/>
    <w:rsid w:val="00590B75"/>
    <w:rsid w:val="00590F4C"/>
    <w:rsid w:val="00591317"/>
    <w:rsid w:val="00591515"/>
    <w:rsid w:val="00591E00"/>
    <w:rsid w:val="00594A4F"/>
    <w:rsid w:val="00595299"/>
    <w:rsid w:val="005952CB"/>
    <w:rsid w:val="00595D31"/>
    <w:rsid w:val="00596B11"/>
    <w:rsid w:val="00597DF1"/>
    <w:rsid w:val="005A0196"/>
    <w:rsid w:val="005A02C2"/>
    <w:rsid w:val="005A02D0"/>
    <w:rsid w:val="005A05CC"/>
    <w:rsid w:val="005A132E"/>
    <w:rsid w:val="005A1343"/>
    <w:rsid w:val="005A1610"/>
    <w:rsid w:val="005A1B4C"/>
    <w:rsid w:val="005A1C83"/>
    <w:rsid w:val="005A2C08"/>
    <w:rsid w:val="005A32F0"/>
    <w:rsid w:val="005A36C6"/>
    <w:rsid w:val="005A3795"/>
    <w:rsid w:val="005A43FD"/>
    <w:rsid w:val="005A4F15"/>
    <w:rsid w:val="005A5C8C"/>
    <w:rsid w:val="005A5FFB"/>
    <w:rsid w:val="005A6A52"/>
    <w:rsid w:val="005A7BC7"/>
    <w:rsid w:val="005A7E16"/>
    <w:rsid w:val="005B00DB"/>
    <w:rsid w:val="005B01BC"/>
    <w:rsid w:val="005B0C8C"/>
    <w:rsid w:val="005B0E3B"/>
    <w:rsid w:val="005B121B"/>
    <w:rsid w:val="005B1B17"/>
    <w:rsid w:val="005B1C0F"/>
    <w:rsid w:val="005B24D9"/>
    <w:rsid w:val="005B26DD"/>
    <w:rsid w:val="005B2847"/>
    <w:rsid w:val="005B2CD9"/>
    <w:rsid w:val="005B34E8"/>
    <w:rsid w:val="005B3C6B"/>
    <w:rsid w:val="005B3F73"/>
    <w:rsid w:val="005B4345"/>
    <w:rsid w:val="005B4BAC"/>
    <w:rsid w:val="005B5481"/>
    <w:rsid w:val="005B5535"/>
    <w:rsid w:val="005B56B6"/>
    <w:rsid w:val="005B780A"/>
    <w:rsid w:val="005C0629"/>
    <w:rsid w:val="005C093B"/>
    <w:rsid w:val="005C0F00"/>
    <w:rsid w:val="005C0FB6"/>
    <w:rsid w:val="005C10D4"/>
    <w:rsid w:val="005C1C3E"/>
    <w:rsid w:val="005C1F40"/>
    <w:rsid w:val="005C27EB"/>
    <w:rsid w:val="005C3116"/>
    <w:rsid w:val="005C37B3"/>
    <w:rsid w:val="005C3C01"/>
    <w:rsid w:val="005C3EAD"/>
    <w:rsid w:val="005C46D0"/>
    <w:rsid w:val="005C4FCB"/>
    <w:rsid w:val="005C5634"/>
    <w:rsid w:val="005C571C"/>
    <w:rsid w:val="005C6804"/>
    <w:rsid w:val="005C6DF3"/>
    <w:rsid w:val="005C7095"/>
    <w:rsid w:val="005C7938"/>
    <w:rsid w:val="005C7F01"/>
    <w:rsid w:val="005D0474"/>
    <w:rsid w:val="005D0823"/>
    <w:rsid w:val="005D099A"/>
    <w:rsid w:val="005D1E27"/>
    <w:rsid w:val="005D1FD7"/>
    <w:rsid w:val="005D2183"/>
    <w:rsid w:val="005D324B"/>
    <w:rsid w:val="005D335F"/>
    <w:rsid w:val="005D3759"/>
    <w:rsid w:val="005D4907"/>
    <w:rsid w:val="005D52DA"/>
    <w:rsid w:val="005D5355"/>
    <w:rsid w:val="005D55BA"/>
    <w:rsid w:val="005D5F78"/>
    <w:rsid w:val="005D6200"/>
    <w:rsid w:val="005D6924"/>
    <w:rsid w:val="005D7779"/>
    <w:rsid w:val="005E024E"/>
    <w:rsid w:val="005E076F"/>
    <w:rsid w:val="005E0B48"/>
    <w:rsid w:val="005E26F4"/>
    <w:rsid w:val="005E305E"/>
    <w:rsid w:val="005E44D9"/>
    <w:rsid w:val="005E462B"/>
    <w:rsid w:val="005E4DF1"/>
    <w:rsid w:val="005E51AD"/>
    <w:rsid w:val="005E5939"/>
    <w:rsid w:val="005E5E9D"/>
    <w:rsid w:val="005E60E0"/>
    <w:rsid w:val="005E7051"/>
    <w:rsid w:val="005E71C2"/>
    <w:rsid w:val="005E7632"/>
    <w:rsid w:val="005E7E82"/>
    <w:rsid w:val="005E7FE4"/>
    <w:rsid w:val="005F1C1B"/>
    <w:rsid w:val="005F29B7"/>
    <w:rsid w:val="005F2C3B"/>
    <w:rsid w:val="005F396D"/>
    <w:rsid w:val="005F397D"/>
    <w:rsid w:val="005F4E82"/>
    <w:rsid w:val="005F5287"/>
    <w:rsid w:val="005F61AE"/>
    <w:rsid w:val="005F676F"/>
    <w:rsid w:val="005F6988"/>
    <w:rsid w:val="005F7855"/>
    <w:rsid w:val="00600EE7"/>
    <w:rsid w:val="00600F40"/>
    <w:rsid w:val="00600FF7"/>
    <w:rsid w:val="0060198B"/>
    <w:rsid w:val="00601C39"/>
    <w:rsid w:val="00602146"/>
    <w:rsid w:val="006025DB"/>
    <w:rsid w:val="00602C61"/>
    <w:rsid w:val="006042E8"/>
    <w:rsid w:val="006056CE"/>
    <w:rsid w:val="00605EB8"/>
    <w:rsid w:val="0060647A"/>
    <w:rsid w:val="006071C1"/>
    <w:rsid w:val="00607531"/>
    <w:rsid w:val="006079B5"/>
    <w:rsid w:val="00607FC6"/>
    <w:rsid w:val="00610DB2"/>
    <w:rsid w:val="006119E2"/>
    <w:rsid w:val="00612D6A"/>
    <w:rsid w:val="00612DB5"/>
    <w:rsid w:val="00613753"/>
    <w:rsid w:val="006138A6"/>
    <w:rsid w:val="006139B0"/>
    <w:rsid w:val="00613A2E"/>
    <w:rsid w:val="00613FBF"/>
    <w:rsid w:val="006143F3"/>
    <w:rsid w:val="00614B24"/>
    <w:rsid w:val="006156F8"/>
    <w:rsid w:val="0061616E"/>
    <w:rsid w:val="00616BAB"/>
    <w:rsid w:val="00616CBD"/>
    <w:rsid w:val="00616F03"/>
    <w:rsid w:val="006175FA"/>
    <w:rsid w:val="006178F4"/>
    <w:rsid w:val="00617CA7"/>
    <w:rsid w:val="00617FF7"/>
    <w:rsid w:val="00620571"/>
    <w:rsid w:val="006216DC"/>
    <w:rsid w:val="00624285"/>
    <w:rsid w:val="00624EEA"/>
    <w:rsid w:val="00625127"/>
    <w:rsid w:val="006253B7"/>
    <w:rsid w:val="00625E0A"/>
    <w:rsid w:val="00625EBA"/>
    <w:rsid w:val="00626444"/>
    <w:rsid w:val="00626814"/>
    <w:rsid w:val="00626BC8"/>
    <w:rsid w:val="0062718F"/>
    <w:rsid w:val="00627AA2"/>
    <w:rsid w:val="00627D9D"/>
    <w:rsid w:val="00627DFF"/>
    <w:rsid w:val="00630283"/>
    <w:rsid w:val="0063145A"/>
    <w:rsid w:val="006314AF"/>
    <w:rsid w:val="00631993"/>
    <w:rsid w:val="00631BEC"/>
    <w:rsid w:val="00631DC4"/>
    <w:rsid w:val="00631F58"/>
    <w:rsid w:val="00632429"/>
    <w:rsid w:val="006332DF"/>
    <w:rsid w:val="006334A3"/>
    <w:rsid w:val="00633C50"/>
    <w:rsid w:val="00633F53"/>
    <w:rsid w:val="00633FFF"/>
    <w:rsid w:val="00635D8A"/>
    <w:rsid w:val="00635EB3"/>
    <w:rsid w:val="0063655E"/>
    <w:rsid w:val="00636E79"/>
    <w:rsid w:val="0063709C"/>
    <w:rsid w:val="00640FDE"/>
    <w:rsid w:val="00641770"/>
    <w:rsid w:val="00641ED2"/>
    <w:rsid w:val="006438E3"/>
    <w:rsid w:val="00643B74"/>
    <w:rsid w:val="00643C6B"/>
    <w:rsid w:val="00644567"/>
    <w:rsid w:val="00645595"/>
    <w:rsid w:val="00645AD3"/>
    <w:rsid w:val="00645C94"/>
    <w:rsid w:val="006462B0"/>
    <w:rsid w:val="006462BE"/>
    <w:rsid w:val="00646E84"/>
    <w:rsid w:val="0064741E"/>
    <w:rsid w:val="00647FEB"/>
    <w:rsid w:val="006504B1"/>
    <w:rsid w:val="00650726"/>
    <w:rsid w:val="006519B8"/>
    <w:rsid w:val="00651D6F"/>
    <w:rsid w:val="00652C5D"/>
    <w:rsid w:val="00653460"/>
    <w:rsid w:val="00653611"/>
    <w:rsid w:val="006539D6"/>
    <w:rsid w:val="00653D80"/>
    <w:rsid w:val="00655C01"/>
    <w:rsid w:val="00655D16"/>
    <w:rsid w:val="0065620A"/>
    <w:rsid w:val="0065624A"/>
    <w:rsid w:val="00657798"/>
    <w:rsid w:val="006579CF"/>
    <w:rsid w:val="006600E6"/>
    <w:rsid w:val="0066010F"/>
    <w:rsid w:val="0066049B"/>
    <w:rsid w:val="00660508"/>
    <w:rsid w:val="00661284"/>
    <w:rsid w:val="006614E3"/>
    <w:rsid w:val="006617A3"/>
    <w:rsid w:val="006617DE"/>
    <w:rsid w:val="00662079"/>
    <w:rsid w:val="00662AFD"/>
    <w:rsid w:val="0066372A"/>
    <w:rsid w:val="00663E54"/>
    <w:rsid w:val="006648A9"/>
    <w:rsid w:val="006648E4"/>
    <w:rsid w:val="00664CC9"/>
    <w:rsid w:val="00664E7F"/>
    <w:rsid w:val="0066589E"/>
    <w:rsid w:val="00666C6F"/>
    <w:rsid w:val="006672E4"/>
    <w:rsid w:val="006673C3"/>
    <w:rsid w:val="00670ACF"/>
    <w:rsid w:val="0067155E"/>
    <w:rsid w:val="0067164C"/>
    <w:rsid w:val="00671C3A"/>
    <w:rsid w:val="00672297"/>
    <w:rsid w:val="00672ABE"/>
    <w:rsid w:val="00672AF2"/>
    <w:rsid w:val="00673517"/>
    <w:rsid w:val="006740DA"/>
    <w:rsid w:val="006744B1"/>
    <w:rsid w:val="00674854"/>
    <w:rsid w:val="00674BAD"/>
    <w:rsid w:val="00674D86"/>
    <w:rsid w:val="006750A8"/>
    <w:rsid w:val="00675DE3"/>
    <w:rsid w:val="00676875"/>
    <w:rsid w:val="00676C21"/>
    <w:rsid w:val="00676E11"/>
    <w:rsid w:val="0067740F"/>
    <w:rsid w:val="00680102"/>
    <w:rsid w:val="00680451"/>
    <w:rsid w:val="00680C0A"/>
    <w:rsid w:val="00680D66"/>
    <w:rsid w:val="00681FB3"/>
    <w:rsid w:val="006820F6"/>
    <w:rsid w:val="006824BA"/>
    <w:rsid w:val="006835D8"/>
    <w:rsid w:val="006835DB"/>
    <w:rsid w:val="00683937"/>
    <w:rsid w:val="00683D6C"/>
    <w:rsid w:val="00683DCF"/>
    <w:rsid w:val="00683F6B"/>
    <w:rsid w:val="00684015"/>
    <w:rsid w:val="006840DB"/>
    <w:rsid w:val="0068459C"/>
    <w:rsid w:val="0068481A"/>
    <w:rsid w:val="0068504B"/>
    <w:rsid w:val="006852E4"/>
    <w:rsid w:val="00685BE7"/>
    <w:rsid w:val="00685FF4"/>
    <w:rsid w:val="0068699E"/>
    <w:rsid w:val="00686F42"/>
    <w:rsid w:val="006876F1"/>
    <w:rsid w:val="00687DFE"/>
    <w:rsid w:val="00690043"/>
    <w:rsid w:val="00690310"/>
    <w:rsid w:val="00691087"/>
    <w:rsid w:val="00691F25"/>
    <w:rsid w:val="00692068"/>
    <w:rsid w:val="006923A3"/>
    <w:rsid w:val="00692431"/>
    <w:rsid w:val="00692560"/>
    <w:rsid w:val="00693730"/>
    <w:rsid w:val="006938EC"/>
    <w:rsid w:val="00693F4E"/>
    <w:rsid w:val="0069425F"/>
    <w:rsid w:val="006945D4"/>
    <w:rsid w:val="00694AE4"/>
    <w:rsid w:val="006950C5"/>
    <w:rsid w:val="00695517"/>
    <w:rsid w:val="0069551F"/>
    <w:rsid w:val="00695737"/>
    <w:rsid w:val="00695A06"/>
    <w:rsid w:val="00695B36"/>
    <w:rsid w:val="00695CC3"/>
    <w:rsid w:val="00695E5A"/>
    <w:rsid w:val="006A0962"/>
    <w:rsid w:val="006A0C58"/>
    <w:rsid w:val="006A1161"/>
    <w:rsid w:val="006A1805"/>
    <w:rsid w:val="006A3EBC"/>
    <w:rsid w:val="006A42F1"/>
    <w:rsid w:val="006A465C"/>
    <w:rsid w:val="006A48FA"/>
    <w:rsid w:val="006A49F7"/>
    <w:rsid w:val="006A7305"/>
    <w:rsid w:val="006B010A"/>
    <w:rsid w:val="006B01EA"/>
    <w:rsid w:val="006B0AAA"/>
    <w:rsid w:val="006B1118"/>
    <w:rsid w:val="006B11BD"/>
    <w:rsid w:val="006B12F6"/>
    <w:rsid w:val="006B3130"/>
    <w:rsid w:val="006B4472"/>
    <w:rsid w:val="006B459D"/>
    <w:rsid w:val="006B49F5"/>
    <w:rsid w:val="006B4A5C"/>
    <w:rsid w:val="006B58EB"/>
    <w:rsid w:val="006B5A72"/>
    <w:rsid w:val="006B5F6C"/>
    <w:rsid w:val="006B6437"/>
    <w:rsid w:val="006B6C54"/>
    <w:rsid w:val="006B6E34"/>
    <w:rsid w:val="006B751F"/>
    <w:rsid w:val="006B7548"/>
    <w:rsid w:val="006B782C"/>
    <w:rsid w:val="006C0692"/>
    <w:rsid w:val="006C0FC4"/>
    <w:rsid w:val="006C14BF"/>
    <w:rsid w:val="006C16C4"/>
    <w:rsid w:val="006C2A6C"/>
    <w:rsid w:val="006C32A8"/>
    <w:rsid w:val="006C336D"/>
    <w:rsid w:val="006C3573"/>
    <w:rsid w:val="006C362D"/>
    <w:rsid w:val="006C3DCA"/>
    <w:rsid w:val="006C454F"/>
    <w:rsid w:val="006C4B6C"/>
    <w:rsid w:val="006C5738"/>
    <w:rsid w:val="006C594D"/>
    <w:rsid w:val="006C60F4"/>
    <w:rsid w:val="006C61B2"/>
    <w:rsid w:val="006C6B03"/>
    <w:rsid w:val="006C6CBF"/>
    <w:rsid w:val="006CB7EC"/>
    <w:rsid w:val="006D09E3"/>
    <w:rsid w:val="006D0BA7"/>
    <w:rsid w:val="006D0BF6"/>
    <w:rsid w:val="006D120C"/>
    <w:rsid w:val="006D1BA0"/>
    <w:rsid w:val="006D2A61"/>
    <w:rsid w:val="006D2F82"/>
    <w:rsid w:val="006D2FC8"/>
    <w:rsid w:val="006D313A"/>
    <w:rsid w:val="006D3201"/>
    <w:rsid w:val="006D379C"/>
    <w:rsid w:val="006D4058"/>
    <w:rsid w:val="006D4D16"/>
    <w:rsid w:val="006D5000"/>
    <w:rsid w:val="006D51CC"/>
    <w:rsid w:val="006D54EE"/>
    <w:rsid w:val="006D59D5"/>
    <w:rsid w:val="006D5E31"/>
    <w:rsid w:val="006D62AC"/>
    <w:rsid w:val="006D6502"/>
    <w:rsid w:val="006D6E89"/>
    <w:rsid w:val="006D7BDD"/>
    <w:rsid w:val="006D7C68"/>
    <w:rsid w:val="006E036A"/>
    <w:rsid w:val="006E06AD"/>
    <w:rsid w:val="006E08DB"/>
    <w:rsid w:val="006E0F8E"/>
    <w:rsid w:val="006E19CA"/>
    <w:rsid w:val="006E1C0E"/>
    <w:rsid w:val="006E2409"/>
    <w:rsid w:val="006E2A51"/>
    <w:rsid w:val="006E317F"/>
    <w:rsid w:val="006E3365"/>
    <w:rsid w:val="006E3392"/>
    <w:rsid w:val="006E3A38"/>
    <w:rsid w:val="006E3E6F"/>
    <w:rsid w:val="006E4DDC"/>
    <w:rsid w:val="006E5FD9"/>
    <w:rsid w:val="006E61FA"/>
    <w:rsid w:val="006E67BF"/>
    <w:rsid w:val="006E69E7"/>
    <w:rsid w:val="006E7993"/>
    <w:rsid w:val="006F1ADE"/>
    <w:rsid w:val="006F22D0"/>
    <w:rsid w:val="006F31EB"/>
    <w:rsid w:val="006F331C"/>
    <w:rsid w:val="006F4A42"/>
    <w:rsid w:val="006F5107"/>
    <w:rsid w:val="006F522F"/>
    <w:rsid w:val="006F7EE5"/>
    <w:rsid w:val="00700092"/>
    <w:rsid w:val="0070128F"/>
    <w:rsid w:val="00701FAA"/>
    <w:rsid w:val="00702C86"/>
    <w:rsid w:val="00702E06"/>
    <w:rsid w:val="00703545"/>
    <w:rsid w:val="00703657"/>
    <w:rsid w:val="00703D8A"/>
    <w:rsid w:val="00703E42"/>
    <w:rsid w:val="00704027"/>
    <w:rsid w:val="00704683"/>
    <w:rsid w:val="0070482D"/>
    <w:rsid w:val="007048C4"/>
    <w:rsid w:val="00704FC1"/>
    <w:rsid w:val="00705830"/>
    <w:rsid w:val="00705BFA"/>
    <w:rsid w:val="00706F3D"/>
    <w:rsid w:val="007071DF"/>
    <w:rsid w:val="007077F6"/>
    <w:rsid w:val="00710003"/>
    <w:rsid w:val="0071053D"/>
    <w:rsid w:val="00710B23"/>
    <w:rsid w:val="00710C65"/>
    <w:rsid w:val="00710DE1"/>
    <w:rsid w:val="00711C87"/>
    <w:rsid w:val="0071227E"/>
    <w:rsid w:val="0071267F"/>
    <w:rsid w:val="00712B43"/>
    <w:rsid w:val="00713631"/>
    <w:rsid w:val="00713DE0"/>
    <w:rsid w:val="00715512"/>
    <w:rsid w:val="007157A8"/>
    <w:rsid w:val="007162CE"/>
    <w:rsid w:val="007165AB"/>
    <w:rsid w:val="007171D9"/>
    <w:rsid w:val="0071E6C1"/>
    <w:rsid w:val="00721463"/>
    <w:rsid w:val="00721DC2"/>
    <w:rsid w:val="00721EA0"/>
    <w:rsid w:val="00721F20"/>
    <w:rsid w:val="007234EF"/>
    <w:rsid w:val="00723823"/>
    <w:rsid w:val="00724638"/>
    <w:rsid w:val="00726684"/>
    <w:rsid w:val="007278D1"/>
    <w:rsid w:val="0073016F"/>
    <w:rsid w:val="00730500"/>
    <w:rsid w:val="0073156F"/>
    <w:rsid w:val="00731976"/>
    <w:rsid w:val="00731D44"/>
    <w:rsid w:val="00732121"/>
    <w:rsid w:val="0073234D"/>
    <w:rsid w:val="00732546"/>
    <w:rsid w:val="00732C02"/>
    <w:rsid w:val="00733C1D"/>
    <w:rsid w:val="0073435D"/>
    <w:rsid w:val="00735170"/>
    <w:rsid w:val="00735974"/>
    <w:rsid w:val="00735EAE"/>
    <w:rsid w:val="0073631E"/>
    <w:rsid w:val="00736616"/>
    <w:rsid w:val="0073738C"/>
    <w:rsid w:val="007377C8"/>
    <w:rsid w:val="00740665"/>
    <w:rsid w:val="00740A0C"/>
    <w:rsid w:val="00741DB1"/>
    <w:rsid w:val="00742152"/>
    <w:rsid w:val="007421D2"/>
    <w:rsid w:val="00743210"/>
    <w:rsid w:val="0074322A"/>
    <w:rsid w:val="007432D4"/>
    <w:rsid w:val="0074333B"/>
    <w:rsid w:val="00743504"/>
    <w:rsid w:val="0074365F"/>
    <w:rsid w:val="00743B20"/>
    <w:rsid w:val="00743B67"/>
    <w:rsid w:val="00743C57"/>
    <w:rsid w:val="0074401D"/>
    <w:rsid w:val="0074461E"/>
    <w:rsid w:val="00744974"/>
    <w:rsid w:val="007450E9"/>
    <w:rsid w:val="0074610B"/>
    <w:rsid w:val="00746756"/>
    <w:rsid w:val="0074676A"/>
    <w:rsid w:val="00747EF6"/>
    <w:rsid w:val="0075043D"/>
    <w:rsid w:val="00750488"/>
    <w:rsid w:val="007506D0"/>
    <w:rsid w:val="00750C3F"/>
    <w:rsid w:val="007510F1"/>
    <w:rsid w:val="00753196"/>
    <w:rsid w:val="007534FE"/>
    <w:rsid w:val="007537D0"/>
    <w:rsid w:val="00753C49"/>
    <w:rsid w:val="00753FCC"/>
    <w:rsid w:val="007550B5"/>
    <w:rsid w:val="0075600B"/>
    <w:rsid w:val="00756D76"/>
    <w:rsid w:val="00757506"/>
    <w:rsid w:val="00757E82"/>
    <w:rsid w:val="007600C6"/>
    <w:rsid w:val="00760C73"/>
    <w:rsid w:val="00760C8E"/>
    <w:rsid w:val="00760E31"/>
    <w:rsid w:val="00760F74"/>
    <w:rsid w:val="00761CCF"/>
    <w:rsid w:val="00761D50"/>
    <w:rsid w:val="00762277"/>
    <w:rsid w:val="007626DF"/>
    <w:rsid w:val="00762CB7"/>
    <w:rsid w:val="0076316D"/>
    <w:rsid w:val="007635D9"/>
    <w:rsid w:val="00763F57"/>
    <w:rsid w:val="0076440A"/>
    <w:rsid w:val="0076520C"/>
    <w:rsid w:val="007655DD"/>
    <w:rsid w:val="00766CDF"/>
    <w:rsid w:val="00766CE5"/>
    <w:rsid w:val="0076734D"/>
    <w:rsid w:val="00767C02"/>
    <w:rsid w:val="00770F1A"/>
    <w:rsid w:val="0077183A"/>
    <w:rsid w:val="00771BE9"/>
    <w:rsid w:val="007723F6"/>
    <w:rsid w:val="00772513"/>
    <w:rsid w:val="00772C0E"/>
    <w:rsid w:val="00772FF3"/>
    <w:rsid w:val="00773268"/>
    <w:rsid w:val="007738E9"/>
    <w:rsid w:val="00773DE8"/>
    <w:rsid w:val="00774706"/>
    <w:rsid w:val="00774B0D"/>
    <w:rsid w:val="00774EEF"/>
    <w:rsid w:val="0077503A"/>
    <w:rsid w:val="00775973"/>
    <w:rsid w:val="0077609F"/>
    <w:rsid w:val="007767F9"/>
    <w:rsid w:val="00777A5A"/>
    <w:rsid w:val="0078092C"/>
    <w:rsid w:val="00780A0B"/>
    <w:rsid w:val="0078239F"/>
    <w:rsid w:val="00783054"/>
    <w:rsid w:val="0078349B"/>
    <w:rsid w:val="007837F8"/>
    <w:rsid w:val="007844AD"/>
    <w:rsid w:val="00784646"/>
    <w:rsid w:val="00784664"/>
    <w:rsid w:val="00785C23"/>
    <w:rsid w:val="00785F15"/>
    <w:rsid w:val="007862AA"/>
    <w:rsid w:val="0078649E"/>
    <w:rsid w:val="00786624"/>
    <w:rsid w:val="00786AB4"/>
    <w:rsid w:val="00786AC4"/>
    <w:rsid w:val="00787DDC"/>
    <w:rsid w:val="007905E1"/>
    <w:rsid w:val="007924F8"/>
    <w:rsid w:val="00792F34"/>
    <w:rsid w:val="00794670"/>
    <w:rsid w:val="0079539C"/>
    <w:rsid w:val="00796CB1"/>
    <w:rsid w:val="00796E7E"/>
    <w:rsid w:val="007970EC"/>
    <w:rsid w:val="007976CA"/>
    <w:rsid w:val="00797E4F"/>
    <w:rsid w:val="007A0693"/>
    <w:rsid w:val="007A0E47"/>
    <w:rsid w:val="007A1162"/>
    <w:rsid w:val="007A1794"/>
    <w:rsid w:val="007A18A6"/>
    <w:rsid w:val="007A2BB0"/>
    <w:rsid w:val="007A459A"/>
    <w:rsid w:val="007A47EE"/>
    <w:rsid w:val="007A57C7"/>
    <w:rsid w:val="007A5E0E"/>
    <w:rsid w:val="007A6135"/>
    <w:rsid w:val="007A6F07"/>
    <w:rsid w:val="007A7953"/>
    <w:rsid w:val="007B0035"/>
    <w:rsid w:val="007B1713"/>
    <w:rsid w:val="007B190F"/>
    <w:rsid w:val="007B1B95"/>
    <w:rsid w:val="007B1DBA"/>
    <w:rsid w:val="007B1F26"/>
    <w:rsid w:val="007B2027"/>
    <w:rsid w:val="007B42EE"/>
    <w:rsid w:val="007B4733"/>
    <w:rsid w:val="007B4E82"/>
    <w:rsid w:val="007B556D"/>
    <w:rsid w:val="007B5F12"/>
    <w:rsid w:val="007B70D6"/>
    <w:rsid w:val="007B714C"/>
    <w:rsid w:val="007B78F7"/>
    <w:rsid w:val="007C0087"/>
    <w:rsid w:val="007C06F6"/>
    <w:rsid w:val="007C0DEE"/>
    <w:rsid w:val="007C4A6B"/>
    <w:rsid w:val="007C4DCE"/>
    <w:rsid w:val="007C4E2C"/>
    <w:rsid w:val="007C7A02"/>
    <w:rsid w:val="007C7F14"/>
    <w:rsid w:val="007D006D"/>
    <w:rsid w:val="007D0955"/>
    <w:rsid w:val="007D1402"/>
    <w:rsid w:val="007D1BFF"/>
    <w:rsid w:val="007D1D17"/>
    <w:rsid w:val="007D24DA"/>
    <w:rsid w:val="007D3CA4"/>
    <w:rsid w:val="007D3D7E"/>
    <w:rsid w:val="007D4739"/>
    <w:rsid w:val="007D492D"/>
    <w:rsid w:val="007D4B35"/>
    <w:rsid w:val="007D4EC2"/>
    <w:rsid w:val="007D6267"/>
    <w:rsid w:val="007D654F"/>
    <w:rsid w:val="007D68B1"/>
    <w:rsid w:val="007D69CC"/>
    <w:rsid w:val="007D70CE"/>
    <w:rsid w:val="007D73ED"/>
    <w:rsid w:val="007D7471"/>
    <w:rsid w:val="007D77E2"/>
    <w:rsid w:val="007D7B79"/>
    <w:rsid w:val="007E0094"/>
    <w:rsid w:val="007E0711"/>
    <w:rsid w:val="007E219C"/>
    <w:rsid w:val="007E2A03"/>
    <w:rsid w:val="007E2EAA"/>
    <w:rsid w:val="007E34F5"/>
    <w:rsid w:val="007E3E61"/>
    <w:rsid w:val="007E4054"/>
    <w:rsid w:val="007E406B"/>
    <w:rsid w:val="007E4F6D"/>
    <w:rsid w:val="007E4FCA"/>
    <w:rsid w:val="007E617F"/>
    <w:rsid w:val="007E75E3"/>
    <w:rsid w:val="007E7C14"/>
    <w:rsid w:val="007F0C88"/>
    <w:rsid w:val="007F11B4"/>
    <w:rsid w:val="007F11F3"/>
    <w:rsid w:val="007F1401"/>
    <w:rsid w:val="007F1BDB"/>
    <w:rsid w:val="007F3DD8"/>
    <w:rsid w:val="007F4A86"/>
    <w:rsid w:val="007F5402"/>
    <w:rsid w:val="007F59C4"/>
    <w:rsid w:val="007F5E15"/>
    <w:rsid w:val="007F5E5C"/>
    <w:rsid w:val="007F5F1C"/>
    <w:rsid w:val="007F65CE"/>
    <w:rsid w:val="007F6942"/>
    <w:rsid w:val="007F6D88"/>
    <w:rsid w:val="007F7B1B"/>
    <w:rsid w:val="0080073A"/>
    <w:rsid w:val="0080093B"/>
    <w:rsid w:val="00800D2D"/>
    <w:rsid w:val="00800E7E"/>
    <w:rsid w:val="00801255"/>
    <w:rsid w:val="008016C1"/>
    <w:rsid w:val="008020AE"/>
    <w:rsid w:val="00802356"/>
    <w:rsid w:val="008032EA"/>
    <w:rsid w:val="00804059"/>
    <w:rsid w:val="00804443"/>
    <w:rsid w:val="00804581"/>
    <w:rsid w:val="008048BF"/>
    <w:rsid w:val="0080673E"/>
    <w:rsid w:val="00807133"/>
    <w:rsid w:val="00807210"/>
    <w:rsid w:val="00807A59"/>
    <w:rsid w:val="00807F02"/>
    <w:rsid w:val="008110AB"/>
    <w:rsid w:val="008112B6"/>
    <w:rsid w:val="008116BB"/>
    <w:rsid w:val="00811BE1"/>
    <w:rsid w:val="00812F94"/>
    <w:rsid w:val="0081337E"/>
    <w:rsid w:val="008133EC"/>
    <w:rsid w:val="00815849"/>
    <w:rsid w:val="00816105"/>
    <w:rsid w:val="00816C1C"/>
    <w:rsid w:val="00817906"/>
    <w:rsid w:val="00817F52"/>
    <w:rsid w:val="00820748"/>
    <w:rsid w:val="00820952"/>
    <w:rsid w:val="008209DA"/>
    <w:rsid w:val="0082183D"/>
    <w:rsid w:val="00822346"/>
    <w:rsid w:val="0082240A"/>
    <w:rsid w:val="008227EB"/>
    <w:rsid w:val="0082409D"/>
    <w:rsid w:val="0082426F"/>
    <w:rsid w:val="00824316"/>
    <w:rsid w:val="008245F1"/>
    <w:rsid w:val="00824F06"/>
    <w:rsid w:val="008252DD"/>
    <w:rsid w:val="00826295"/>
    <w:rsid w:val="00826B3A"/>
    <w:rsid w:val="00826BD9"/>
    <w:rsid w:val="00826CA8"/>
    <w:rsid w:val="00827125"/>
    <w:rsid w:val="00827F8D"/>
    <w:rsid w:val="00830DE8"/>
    <w:rsid w:val="0083194F"/>
    <w:rsid w:val="008327B5"/>
    <w:rsid w:val="00832D29"/>
    <w:rsid w:val="00833A1A"/>
    <w:rsid w:val="00833B51"/>
    <w:rsid w:val="0083415B"/>
    <w:rsid w:val="00834FEF"/>
    <w:rsid w:val="0083553D"/>
    <w:rsid w:val="008358AB"/>
    <w:rsid w:val="00836223"/>
    <w:rsid w:val="00836689"/>
    <w:rsid w:val="00836A16"/>
    <w:rsid w:val="00836E16"/>
    <w:rsid w:val="0083770C"/>
    <w:rsid w:val="00837F19"/>
    <w:rsid w:val="00840574"/>
    <w:rsid w:val="00840F2A"/>
    <w:rsid w:val="008411E6"/>
    <w:rsid w:val="008424FA"/>
    <w:rsid w:val="008425EA"/>
    <w:rsid w:val="00842A14"/>
    <w:rsid w:val="00842AD0"/>
    <w:rsid w:val="00842AFD"/>
    <w:rsid w:val="00843553"/>
    <w:rsid w:val="0084378F"/>
    <w:rsid w:val="00843A54"/>
    <w:rsid w:val="00843E80"/>
    <w:rsid w:val="0084455D"/>
    <w:rsid w:val="008448C9"/>
    <w:rsid w:val="00845BE1"/>
    <w:rsid w:val="0084692C"/>
    <w:rsid w:val="00847202"/>
    <w:rsid w:val="008475D0"/>
    <w:rsid w:val="00847694"/>
    <w:rsid w:val="00847F6D"/>
    <w:rsid w:val="00850DDE"/>
    <w:rsid w:val="00851394"/>
    <w:rsid w:val="0085232B"/>
    <w:rsid w:val="008525C5"/>
    <w:rsid w:val="00853A75"/>
    <w:rsid w:val="0085416F"/>
    <w:rsid w:val="00854D62"/>
    <w:rsid w:val="008559D7"/>
    <w:rsid w:val="00856618"/>
    <w:rsid w:val="00856D32"/>
    <w:rsid w:val="00856E40"/>
    <w:rsid w:val="0085724F"/>
    <w:rsid w:val="00857F70"/>
    <w:rsid w:val="00860736"/>
    <w:rsid w:val="00860C7A"/>
    <w:rsid w:val="00861177"/>
    <w:rsid w:val="008617BA"/>
    <w:rsid w:val="00861ED7"/>
    <w:rsid w:val="00862B26"/>
    <w:rsid w:val="008630C3"/>
    <w:rsid w:val="008634B8"/>
    <w:rsid w:val="00863A87"/>
    <w:rsid w:val="00863B3B"/>
    <w:rsid w:val="00863C66"/>
    <w:rsid w:val="00865076"/>
    <w:rsid w:val="008650E5"/>
    <w:rsid w:val="00865E39"/>
    <w:rsid w:val="00866400"/>
    <w:rsid w:val="00871A0F"/>
    <w:rsid w:val="00873012"/>
    <w:rsid w:val="0087306D"/>
    <w:rsid w:val="0087337C"/>
    <w:rsid w:val="008740EF"/>
    <w:rsid w:val="008742B3"/>
    <w:rsid w:val="00874DC9"/>
    <w:rsid w:val="00875884"/>
    <w:rsid w:val="00875D41"/>
    <w:rsid w:val="0087699E"/>
    <w:rsid w:val="00876BB0"/>
    <w:rsid w:val="00876D12"/>
    <w:rsid w:val="008772DA"/>
    <w:rsid w:val="00877D93"/>
    <w:rsid w:val="008803CB"/>
    <w:rsid w:val="00880839"/>
    <w:rsid w:val="008818FE"/>
    <w:rsid w:val="00881EA5"/>
    <w:rsid w:val="00881F22"/>
    <w:rsid w:val="008830A7"/>
    <w:rsid w:val="008832CF"/>
    <w:rsid w:val="00883B86"/>
    <w:rsid w:val="00883E1F"/>
    <w:rsid w:val="00884DA4"/>
    <w:rsid w:val="00885956"/>
    <w:rsid w:val="00886465"/>
    <w:rsid w:val="00886F10"/>
    <w:rsid w:val="00887F0E"/>
    <w:rsid w:val="0089070C"/>
    <w:rsid w:val="00890E28"/>
    <w:rsid w:val="008916EC"/>
    <w:rsid w:val="00891CC5"/>
    <w:rsid w:val="008925AC"/>
    <w:rsid w:val="008926F2"/>
    <w:rsid w:val="008935C9"/>
    <w:rsid w:val="00893793"/>
    <w:rsid w:val="0089396E"/>
    <w:rsid w:val="00893ACD"/>
    <w:rsid w:val="00893B07"/>
    <w:rsid w:val="00894762"/>
    <w:rsid w:val="00894A3B"/>
    <w:rsid w:val="00894BC7"/>
    <w:rsid w:val="008958AD"/>
    <w:rsid w:val="00895B51"/>
    <w:rsid w:val="00896520"/>
    <w:rsid w:val="00896C2E"/>
    <w:rsid w:val="008A01A6"/>
    <w:rsid w:val="008A1099"/>
    <w:rsid w:val="008A13FD"/>
    <w:rsid w:val="008A18E3"/>
    <w:rsid w:val="008A1F2C"/>
    <w:rsid w:val="008A2338"/>
    <w:rsid w:val="008A2365"/>
    <w:rsid w:val="008A2992"/>
    <w:rsid w:val="008A2C72"/>
    <w:rsid w:val="008A3F5B"/>
    <w:rsid w:val="008A42E0"/>
    <w:rsid w:val="008A44D5"/>
    <w:rsid w:val="008A497A"/>
    <w:rsid w:val="008A4986"/>
    <w:rsid w:val="008A4F17"/>
    <w:rsid w:val="008A5625"/>
    <w:rsid w:val="008A5AA8"/>
    <w:rsid w:val="008A5EE7"/>
    <w:rsid w:val="008A703C"/>
    <w:rsid w:val="008A7209"/>
    <w:rsid w:val="008A761A"/>
    <w:rsid w:val="008A7AA3"/>
    <w:rsid w:val="008A7BD4"/>
    <w:rsid w:val="008B0686"/>
    <w:rsid w:val="008B0834"/>
    <w:rsid w:val="008B095B"/>
    <w:rsid w:val="008B16FD"/>
    <w:rsid w:val="008B32F5"/>
    <w:rsid w:val="008B3E5A"/>
    <w:rsid w:val="008B4FDA"/>
    <w:rsid w:val="008B51EF"/>
    <w:rsid w:val="008B5F21"/>
    <w:rsid w:val="008B63A1"/>
    <w:rsid w:val="008B7423"/>
    <w:rsid w:val="008B780C"/>
    <w:rsid w:val="008C0400"/>
    <w:rsid w:val="008C0C2F"/>
    <w:rsid w:val="008C180B"/>
    <w:rsid w:val="008C1CB7"/>
    <w:rsid w:val="008C30AE"/>
    <w:rsid w:val="008C32E0"/>
    <w:rsid w:val="008C37C3"/>
    <w:rsid w:val="008C3E10"/>
    <w:rsid w:val="008C452D"/>
    <w:rsid w:val="008C4B39"/>
    <w:rsid w:val="008C4D49"/>
    <w:rsid w:val="008C6391"/>
    <w:rsid w:val="008C7670"/>
    <w:rsid w:val="008C78EA"/>
    <w:rsid w:val="008D0300"/>
    <w:rsid w:val="008D045F"/>
    <w:rsid w:val="008D05F9"/>
    <w:rsid w:val="008D0622"/>
    <w:rsid w:val="008D097F"/>
    <w:rsid w:val="008D0A3B"/>
    <w:rsid w:val="008D1178"/>
    <w:rsid w:val="008D1E90"/>
    <w:rsid w:val="008D200B"/>
    <w:rsid w:val="008D2041"/>
    <w:rsid w:val="008D273A"/>
    <w:rsid w:val="008D2744"/>
    <w:rsid w:val="008D2B91"/>
    <w:rsid w:val="008D34DF"/>
    <w:rsid w:val="008D4110"/>
    <w:rsid w:val="008D56D2"/>
    <w:rsid w:val="008D64D4"/>
    <w:rsid w:val="008D64FA"/>
    <w:rsid w:val="008D7763"/>
    <w:rsid w:val="008E08B1"/>
    <w:rsid w:val="008E10DE"/>
    <w:rsid w:val="008E2763"/>
    <w:rsid w:val="008E31D7"/>
    <w:rsid w:val="008E3586"/>
    <w:rsid w:val="008E3B23"/>
    <w:rsid w:val="008E4296"/>
    <w:rsid w:val="008E4641"/>
    <w:rsid w:val="008E48C3"/>
    <w:rsid w:val="008E51B7"/>
    <w:rsid w:val="008E528F"/>
    <w:rsid w:val="008E5593"/>
    <w:rsid w:val="008E55E5"/>
    <w:rsid w:val="008E5895"/>
    <w:rsid w:val="008E6150"/>
    <w:rsid w:val="008E618E"/>
    <w:rsid w:val="008E6509"/>
    <w:rsid w:val="008E70C6"/>
    <w:rsid w:val="008E7A6D"/>
    <w:rsid w:val="008E7DF7"/>
    <w:rsid w:val="008E7E8C"/>
    <w:rsid w:val="008F0AEB"/>
    <w:rsid w:val="008F0CD8"/>
    <w:rsid w:val="008F10D3"/>
    <w:rsid w:val="008F2A83"/>
    <w:rsid w:val="008F2B1D"/>
    <w:rsid w:val="008F3082"/>
    <w:rsid w:val="008F35E8"/>
    <w:rsid w:val="008F38AB"/>
    <w:rsid w:val="008F38FF"/>
    <w:rsid w:val="008F3AF1"/>
    <w:rsid w:val="008F3DED"/>
    <w:rsid w:val="008F459B"/>
    <w:rsid w:val="008F45D2"/>
    <w:rsid w:val="008F51E7"/>
    <w:rsid w:val="008F5375"/>
    <w:rsid w:val="008F577E"/>
    <w:rsid w:val="008F5DD4"/>
    <w:rsid w:val="008F691A"/>
    <w:rsid w:val="008F6925"/>
    <w:rsid w:val="008F6F54"/>
    <w:rsid w:val="009003BE"/>
    <w:rsid w:val="009003DA"/>
    <w:rsid w:val="0090145C"/>
    <w:rsid w:val="009014AA"/>
    <w:rsid w:val="009016DD"/>
    <w:rsid w:val="009026AD"/>
    <w:rsid w:val="00902747"/>
    <w:rsid w:val="00902D20"/>
    <w:rsid w:val="00902FB3"/>
    <w:rsid w:val="00903378"/>
    <w:rsid w:val="009037AA"/>
    <w:rsid w:val="00903AE3"/>
    <w:rsid w:val="00903C00"/>
    <w:rsid w:val="00905F74"/>
    <w:rsid w:val="00906838"/>
    <w:rsid w:val="0090697E"/>
    <w:rsid w:val="0090703E"/>
    <w:rsid w:val="009071C7"/>
    <w:rsid w:val="009072CF"/>
    <w:rsid w:val="009076D3"/>
    <w:rsid w:val="00907E19"/>
    <w:rsid w:val="00907F4D"/>
    <w:rsid w:val="00910B44"/>
    <w:rsid w:val="00911C2E"/>
    <w:rsid w:val="00912168"/>
    <w:rsid w:val="00912D06"/>
    <w:rsid w:val="00912E9D"/>
    <w:rsid w:val="00912FB3"/>
    <w:rsid w:val="0091328F"/>
    <w:rsid w:val="00913298"/>
    <w:rsid w:val="009139E5"/>
    <w:rsid w:val="00913A58"/>
    <w:rsid w:val="00914016"/>
    <w:rsid w:val="0091445D"/>
    <w:rsid w:val="009144D1"/>
    <w:rsid w:val="0091459C"/>
    <w:rsid w:val="0091469C"/>
    <w:rsid w:val="00914742"/>
    <w:rsid w:val="0091489E"/>
    <w:rsid w:val="00915205"/>
    <w:rsid w:val="00915273"/>
    <w:rsid w:val="0091539E"/>
    <w:rsid w:val="00915830"/>
    <w:rsid w:val="00915C2B"/>
    <w:rsid w:val="009160D4"/>
    <w:rsid w:val="00916176"/>
    <w:rsid w:val="00916210"/>
    <w:rsid w:val="00916430"/>
    <w:rsid w:val="00916BFA"/>
    <w:rsid w:val="009171D8"/>
    <w:rsid w:val="009179FD"/>
    <w:rsid w:val="00917A9B"/>
    <w:rsid w:val="00917AC8"/>
    <w:rsid w:val="00917BE9"/>
    <w:rsid w:val="009222B0"/>
    <w:rsid w:val="00922C0C"/>
    <w:rsid w:val="00922EC2"/>
    <w:rsid w:val="009241DA"/>
    <w:rsid w:val="00924580"/>
    <w:rsid w:val="009246E5"/>
    <w:rsid w:val="0092478C"/>
    <w:rsid w:val="0092479A"/>
    <w:rsid w:val="009247CA"/>
    <w:rsid w:val="00924CF9"/>
    <w:rsid w:val="0092508F"/>
    <w:rsid w:val="00925337"/>
    <w:rsid w:val="0092537C"/>
    <w:rsid w:val="00925779"/>
    <w:rsid w:val="00925A9E"/>
    <w:rsid w:val="00926169"/>
    <w:rsid w:val="009261EA"/>
    <w:rsid w:val="009262C5"/>
    <w:rsid w:val="00926300"/>
    <w:rsid w:val="00926E85"/>
    <w:rsid w:val="00927E23"/>
    <w:rsid w:val="00930C17"/>
    <w:rsid w:val="009311D0"/>
    <w:rsid w:val="00932FE8"/>
    <w:rsid w:val="00934062"/>
    <w:rsid w:val="00934338"/>
    <w:rsid w:val="00934843"/>
    <w:rsid w:val="00934E54"/>
    <w:rsid w:val="0093552D"/>
    <w:rsid w:val="0093565C"/>
    <w:rsid w:val="0093572B"/>
    <w:rsid w:val="009400E0"/>
    <w:rsid w:val="0094108D"/>
    <w:rsid w:val="00941570"/>
    <w:rsid w:val="009417DF"/>
    <w:rsid w:val="00942306"/>
    <w:rsid w:val="00943132"/>
    <w:rsid w:val="0094377A"/>
    <w:rsid w:val="0094428E"/>
    <w:rsid w:val="00944B30"/>
    <w:rsid w:val="00945792"/>
    <w:rsid w:val="009467E9"/>
    <w:rsid w:val="0094717B"/>
    <w:rsid w:val="00947373"/>
    <w:rsid w:val="00947407"/>
    <w:rsid w:val="009479D9"/>
    <w:rsid w:val="00947A7B"/>
    <w:rsid w:val="00950A0A"/>
    <w:rsid w:val="0095275B"/>
    <w:rsid w:val="00952792"/>
    <w:rsid w:val="00953BD7"/>
    <w:rsid w:val="009542A3"/>
    <w:rsid w:val="00954C65"/>
    <w:rsid w:val="0095566C"/>
    <w:rsid w:val="009557CD"/>
    <w:rsid w:val="00956372"/>
    <w:rsid w:val="00956D4D"/>
    <w:rsid w:val="00957185"/>
    <w:rsid w:val="00957C69"/>
    <w:rsid w:val="00957E15"/>
    <w:rsid w:val="009600CB"/>
    <w:rsid w:val="009616B5"/>
    <w:rsid w:val="009616F3"/>
    <w:rsid w:val="00961A6B"/>
    <w:rsid w:val="0096259D"/>
    <w:rsid w:val="00962A58"/>
    <w:rsid w:val="00963304"/>
    <w:rsid w:val="00965012"/>
    <w:rsid w:val="00965128"/>
    <w:rsid w:val="009658DD"/>
    <w:rsid w:val="009659B5"/>
    <w:rsid w:val="00965B16"/>
    <w:rsid w:val="0096710E"/>
    <w:rsid w:val="0096740E"/>
    <w:rsid w:val="00970611"/>
    <w:rsid w:val="009707F2"/>
    <w:rsid w:val="00970CB3"/>
    <w:rsid w:val="0097153B"/>
    <w:rsid w:val="009715F7"/>
    <w:rsid w:val="00971766"/>
    <w:rsid w:val="00971911"/>
    <w:rsid w:val="00971F28"/>
    <w:rsid w:val="00972E37"/>
    <w:rsid w:val="00973076"/>
    <w:rsid w:val="0097329A"/>
    <w:rsid w:val="0097341D"/>
    <w:rsid w:val="00974388"/>
    <w:rsid w:val="0097499A"/>
    <w:rsid w:val="00974E53"/>
    <w:rsid w:val="009752CB"/>
    <w:rsid w:val="009758C7"/>
    <w:rsid w:val="00975AE8"/>
    <w:rsid w:val="009766D5"/>
    <w:rsid w:val="00977763"/>
    <w:rsid w:val="00977808"/>
    <w:rsid w:val="00977A03"/>
    <w:rsid w:val="00977DB0"/>
    <w:rsid w:val="00980056"/>
    <w:rsid w:val="009808B7"/>
    <w:rsid w:val="009811F7"/>
    <w:rsid w:val="009812AE"/>
    <w:rsid w:val="00982721"/>
    <w:rsid w:val="00982B85"/>
    <w:rsid w:val="00982F03"/>
    <w:rsid w:val="009843DB"/>
    <w:rsid w:val="0098460C"/>
    <w:rsid w:val="009848C4"/>
    <w:rsid w:val="00984EC2"/>
    <w:rsid w:val="00985031"/>
    <w:rsid w:val="0098536F"/>
    <w:rsid w:val="00985DC8"/>
    <w:rsid w:val="0098631A"/>
    <w:rsid w:val="00986B33"/>
    <w:rsid w:val="009874B7"/>
    <w:rsid w:val="00987AD5"/>
    <w:rsid w:val="00990149"/>
    <w:rsid w:val="009908AE"/>
    <w:rsid w:val="00990D2E"/>
    <w:rsid w:val="00991052"/>
    <w:rsid w:val="009911FD"/>
    <w:rsid w:val="00991342"/>
    <w:rsid w:val="00991B30"/>
    <w:rsid w:val="00991D67"/>
    <w:rsid w:val="00991DC7"/>
    <w:rsid w:val="00992163"/>
    <w:rsid w:val="00993027"/>
    <w:rsid w:val="0099320C"/>
    <w:rsid w:val="009934D2"/>
    <w:rsid w:val="00993C04"/>
    <w:rsid w:val="00993C84"/>
    <w:rsid w:val="00994193"/>
    <w:rsid w:val="00994593"/>
    <w:rsid w:val="00994715"/>
    <w:rsid w:val="00994F22"/>
    <w:rsid w:val="009956C7"/>
    <w:rsid w:val="009959FB"/>
    <w:rsid w:val="009968E8"/>
    <w:rsid w:val="009970DA"/>
    <w:rsid w:val="009A01A8"/>
    <w:rsid w:val="009A0629"/>
    <w:rsid w:val="009A0B59"/>
    <w:rsid w:val="009A0C9A"/>
    <w:rsid w:val="009A0EFB"/>
    <w:rsid w:val="009A1119"/>
    <w:rsid w:val="009A1443"/>
    <w:rsid w:val="009A1479"/>
    <w:rsid w:val="009A1504"/>
    <w:rsid w:val="009A3C46"/>
    <w:rsid w:val="009A5C3C"/>
    <w:rsid w:val="009A6659"/>
    <w:rsid w:val="009A71AC"/>
    <w:rsid w:val="009A72A4"/>
    <w:rsid w:val="009A77E3"/>
    <w:rsid w:val="009B0A5B"/>
    <w:rsid w:val="009B0AD6"/>
    <w:rsid w:val="009B0F97"/>
    <w:rsid w:val="009B100E"/>
    <w:rsid w:val="009B1105"/>
    <w:rsid w:val="009B111F"/>
    <w:rsid w:val="009B317C"/>
    <w:rsid w:val="009B37E5"/>
    <w:rsid w:val="009B3874"/>
    <w:rsid w:val="009B3C19"/>
    <w:rsid w:val="009B4B86"/>
    <w:rsid w:val="009B54D8"/>
    <w:rsid w:val="009B591D"/>
    <w:rsid w:val="009B592F"/>
    <w:rsid w:val="009B5FBC"/>
    <w:rsid w:val="009B66C6"/>
    <w:rsid w:val="009B6898"/>
    <w:rsid w:val="009B7138"/>
    <w:rsid w:val="009C021C"/>
    <w:rsid w:val="009C19B7"/>
    <w:rsid w:val="009C2412"/>
    <w:rsid w:val="009C2B21"/>
    <w:rsid w:val="009C2BBD"/>
    <w:rsid w:val="009C42FE"/>
    <w:rsid w:val="009C4B3C"/>
    <w:rsid w:val="009C4CB7"/>
    <w:rsid w:val="009C5496"/>
    <w:rsid w:val="009C5929"/>
    <w:rsid w:val="009C5A9F"/>
    <w:rsid w:val="009C623F"/>
    <w:rsid w:val="009C6392"/>
    <w:rsid w:val="009C6932"/>
    <w:rsid w:val="009C72A4"/>
    <w:rsid w:val="009C7DC1"/>
    <w:rsid w:val="009D01BB"/>
    <w:rsid w:val="009D03B6"/>
    <w:rsid w:val="009D06B9"/>
    <w:rsid w:val="009D1267"/>
    <w:rsid w:val="009D1651"/>
    <w:rsid w:val="009D3018"/>
    <w:rsid w:val="009D3049"/>
    <w:rsid w:val="009D36BD"/>
    <w:rsid w:val="009D3DE7"/>
    <w:rsid w:val="009D451E"/>
    <w:rsid w:val="009D549A"/>
    <w:rsid w:val="009D5519"/>
    <w:rsid w:val="009D5A34"/>
    <w:rsid w:val="009D5A6F"/>
    <w:rsid w:val="009D6D36"/>
    <w:rsid w:val="009D6D4C"/>
    <w:rsid w:val="009D70E9"/>
    <w:rsid w:val="009D70EA"/>
    <w:rsid w:val="009D7A0C"/>
    <w:rsid w:val="009D7CB9"/>
    <w:rsid w:val="009D7FB4"/>
    <w:rsid w:val="009E0607"/>
    <w:rsid w:val="009E08DA"/>
    <w:rsid w:val="009E16A0"/>
    <w:rsid w:val="009E1B1F"/>
    <w:rsid w:val="009E20F4"/>
    <w:rsid w:val="009E225C"/>
    <w:rsid w:val="009E24E5"/>
    <w:rsid w:val="009E2666"/>
    <w:rsid w:val="009E3D51"/>
    <w:rsid w:val="009E44BD"/>
    <w:rsid w:val="009E5251"/>
    <w:rsid w:val="009E544F"/>
    <w:rsid w:val="009E616D"/>
    <w:rsid w:val="009E68C7"/>
    <w:rsid w:val="009F0772"/>
    <w:rsid w:val="009F11D0"/>
    <w:rsid w:val="009F2CE5"/>
    <w:rsid w:val="009F3AB3"/>
    <w:rsid w:val="009F41E2"/>
    <w:rsid w:val="009F420B"/>
    <w:rsid w:val="009F4544"/>
    <w:rsid w:val="009F495F"/>
    <w:rsid w:val="009F51DA"/>
    <w:rsid w:val="009F5B87"/>
    <w:rsid w:val="009F5CC0"/>
    <w:rsid w:val="009F5ED0"/>
    <w:rsid w:val="009F6068"/>
    <w:rsid w:val="009F6B51"/>
    <w:rsid w:val="009F6C83"/>
    <w:rsid w:val="009F6E9A"/>
    <w:rsid w:val="00A00635"/>
    <w:rsid w:val="00A0067E"/>
    <w:rsid w:val="00A00AA8"/>
    <w:rsid w:val="00A00FA5"/>
    <w:rsid w:val="00A0124A"/>
    <w:rsid w:val="00A0124B"/>
    <w:rsid w:val="00A01345"/>
    <w:rsid w:val="00A02736"/>
    <w:rsid w:val="00A0286D"/>
    <w:rsid w:val="00A028C7"/>
    <w:rsid w:val="00A03EB0"/>
    <w:rsid w:val="00A05D72"/>
    <w:rsid w:val="00A0648B"/>
    <w:rsid w:val="00A0770A"/>
    <w:rsid w:val="00A07B61"/>
    <w:rsid w:val="00A103CD"/>
    <w:rsid w:val="00A10403"/>
    <w:rsid w:val="00A10F06"/>
    <w:rsid w:val="00A11261"/>
    <w:rsid w:val="00A11F19"/>
    <w:rsid w:val="00A123D8"/>
    <w:rsid w:val="00A12E9F"/>
    <w:rsid w:val="00A12FA7"/>
    <w:rsid w:val="00A13134"/>
    <w:rsid w:val="00A1336C"/>
    <w:rsid w:val="00A14B83"/>
    <w:rsid w:val="00A14D07"/>
    <w:rsid w:val="00A15434"/>
    <w:rsid w:val="00A16D96"/>
    <w:rsid w:val="00A16E93"/>
    <w:rsid w:val="00A17AEC"/>
    <w:rsid w:val="00A21132"/>
    <w:rsid w:val="00A2130A"/>
    <w:rsid w:val="00A21489"/>
    <w:rsid w:val="00A21CCD"/>
    <w:rsid w:val="00A223D6"/>
    <w:rsid w:val="00A228F8"/>
    <w:rsid w:val="00A22A91"/>
    <w:rsid w:val="00A22ADF"/>
    <w:rsid w:val="00A240D0"/>
    <w:rsid w:val="00A24482"/>
    <w:rsid w:val="00A245B0"/>
    <w:rsid w:val="00A25900"/>
    <w:rsid w:val="00A26FC0"/>
    <w:rsid w:val="00A27E59"/>
    <w:rsid w:val="00A3006F"/>
    <w:rsid w:val="00A300AE"/>
    <w:rsid w:val="00A30414"/>
    <w:rsid w:val="00A3146F"/>
    <w:rsid w:val="00A31AEB"/>
    <w:rsid w:val="00A32BA0"/>
    <w:rsid w:val="00A332C2"/>
    <w:rsid w:val="00A33603"/>
    <w:rsid w:val="00A35E05"/>
    <w:rsid w:val="00A36D2C"/>
    <w:rsid w:val="00A37F29"/>
    <w:rsid w:val="00A4037F"/>
    <w:rsid w:val="00A40DDE"/>
    <w:rsid w:val="00A40E87"/>
    <w:rsid w:val="00A40EEA"/>
    <w:rsid w:val="00A40F98"/>
    <w:rsid w:val="00A41089"/>
    <w:rsid w:val="00A41884"/>
    <w:rsid w:val="00A41C8E"/>
    <w:rsid w:val="00A41FE6"/>
    <w:rsid w:val="00A420EC"/>
    <w:rsid w:val="00A4275F"/>
    <w:rsid w:val="00A42B22"/>
    <w:rsid w:val="00A4322A"/>
    <w:rsid w:val="00A43992"/>
    <w:rsid w:val="00A439A2"/>
    <w:rsid w:val="00A43ECE"/>
    <w:rsid w:val="00A44616"/>
    <w:rsid w:val="00A44805"/>
    <w:rsid w:val="00A451D1"/>
    <w:rsid w:val="00A45340"/>
    <w:rsid w:val="00A4648A"/>
    <w:rsid w:val="00A466F2"/>
    <w:rsid w:val="00A47209"/>
    <w:rsid w:val="00A47217"/>
    <w:rsid w:val="00A477B3"/>
    <w:rsid w:val="00A47EDD"/>
    <w:rsid w:val="00A51618"/>
    <w:rsid w:val="00A517D0"/>
    <w:rsid w:val="00A51C08"/>
    <w:rsid w:val="00A520DE"/>
    <w:rsid w:val="00A52E13"/>
    <w:rsid w:val="00A5435F"/>
    <w:rsid w:val="00A549F5"/>
    <w:rsid w:val="00A557F8"/>
    <w:rsid w:val="00A558E0"/>
    <w:rsid w:val="00A55DC0"/>
    <w:rsid w:val="00A56083"/>
    <w:rsid w:val="00A5651F"/>
    <w:rsid w:val="00A56DDD"/>
    <w:rsid w:val="00A57942"/>
    <w:rsid w:val="00A57EDA"/>
    <w:rsid w:val="00A60A71"/>
    <w:rsid w:val="00A60B2C"/>
    <w:rsid w:val="00A60E9E"/>
    <w:rsid w:val="00A6125E"/>
    <w:rsid w:val="00A61352"/>
    <w:rsid w:val="00A61F62"/>
    <w:rsid w:val="00A638B6"/>
    <w:rsid w:val="00A63A62"/>
    <w:rsid w:val="00A63B1C"/>
    <w:rsid w:val="00A64789"/>
    <w:rsid w:val="00A649D0"/>
    <w:rsid w:val="00A65C21"/>
    <w:rsid w:val="00A65E4C"/>
    <w:rsid w:val="00A65F65"/>
    <w:rsid w:val="00A668AA"/>
    <w:rsid w:val="00A66B90"/>
    <w:rsid w:val="00A674FF"/>
    <w:rsid w:val="00A67C51"/>
    <w:rsid w:val="00A67E18"/>
    <w:rsid w:val="00A70E07"/>
    <w:rsid w:val="00A7151A"/>
    <w:rsid w:val="00A71ECE"/>
    <w:rsid w:val="00A722A6"/>
    <w:rsid w:val="00A73015"/>
    <w:rsid w:val="00A731B0"/>
    <w:rsid w:val="00A73820"/>
    <w:rsid w:val="00A75995"/>
    <w:rsid w:val="00A75B6A"/>
    <w:rsid w:val="00A75EB6"/>
    <w:rsid w:val="00A76B03"/>
    <w:rsid w:val="00A77399"/>
    <w:rsid w:val="00A773C3"/>
    <w:rsid w:val="00A774C1"/>
    <w:rsid w:val="00A776DA"/>
    <w:rsid w:val="00A77F5F"/>
    <w:rsid w:val="00A77FDF"/>
    <w:rsid w:val="00A80107"/>
    <w:rsid w:val="00A80A25"/>
    <w:rsid w:val="00A828F8"/>
    <w:rsid w:val="00A83041"/>
    <w:rsid w:val="00A8400B"/>
    <w:rsid w:val="00A844F9"/>
    <w:rsid w:val="00A846D1"/>
    <w:rsid w:val="00A84A9A"/>
    <w:rsid w:val="00A84B3F"/>
    <w:rsid w:val="00A84ED0"/>
    <w:rsid w:val="00A852FA"/>
    <w:rsid w:val="00A85DE9"/>
    <w:rsid w:val="00A85E3C"/>
    <w:rsid w:val="00A8763D"/>
    <w:rsid w:val="00A87647"/>
    <w:rsid w:val="00A877DA"/>
    <w:rsid w:val="00A87DCB"/>
    <w:rsid w:val="00A87F16"/>
    <w:rsid w:val="00A90880"/>
    <w:rsid w:val="00A90A14"/>
    <w:rsid w:val="00A90BD4"/>
    <w:rsid w:val="00A90D37"/>
    <w:rsid w:val="00A90FC2"/>
    <w:rsid w:val="00A91AF2"/>
    <w:rsid w:val="00A92440"/>
    <w:rsid w:val="00A926DE"/>
    <w:rsid w:val="00A92DA0"/>
    <w:rsid w:val="00A93467"/>
    <w:rsid w:val="00A93912"/>
    <w:rsid w:val="00A93F0A"/>
    <w:rsid w:val="00A940CD"/>
    <w:rsid w:val="00A9419A"/>
    <w:rsid w:val="00A950C1"/>
    <w:rsid w:val="00A95993"/>
    <w:rsid w:val="00A9639F"/>
    <w:rsid w:val="00A9790D"/>
    <w:rsid w:val="00A9798A"/>
    <w:rsid w:val="00AA01BE"/>
    <w:rsid w:val="00AA10DA"/>
    <w:rsid w:val="00AA134A"/>
    <w:rsid w:val="00AA13B7"/>
    <w:rsid w:val="00AA17F1"/>
    <w:rsid w:val="00AA1E1A"/>
    <w:rsid w:val="00AA1F74"/>
    <w:rsid w:val="00AA2CF1"/>
    <w:rsid w:val="00AA2F2F"/>
    <w:rsid w:val="00AA32FD"/>
    <w:rsid w:val="00AA37F6"/>
    <w:rsid w:val="00AA3F71"/>
    <w:rsid w:val="00AA4540"/>
    <w:rsid w:val="00AA461A"/>
    <w:rsid w:val="00AA484F"/>
    <w:rsid w:val="00AA4D55"/>
    <w:rsid w:val="00AA57F8"/>
    <w:rsid w:val="00AA5C74"/>
    <w:rsid w:val="00AA5CBC"/>
    <w:rsid w:val="00AA741F"/>
    <w:rsid w:val="00AA7518"/>
    <w:rsid w:val="00AB03C7"/>
    <w:rsid w:val="00AB0DC5"/>
    <w:rsid w:val="00AB0FA7"/>
    <w:rsid w:val="00AB104A"/>
    <w:rsid w:val="00AB10C3"/>
    <w:rsid w:val="00AB116F"/>
    <w:rsid w:val="00AB1BBC"/>
    <w:rsid w:val="00AB1EFA"/>
    <w:rsid w:val="00AB21A0"/>
    <w:rsid w:val="00AB227B"/>
    <w:rsid w:val="00AB2716"/>
    <w:rsid w:val="00AB36E7"/>
    <w:rsid w:val="00AB39DE"/>
    <w:rsid w:val="00AB4193"/>
    <w:rsid w:val="00AB50BB"/>
    <w:rsid w:val="00AB54C0"/>
    <w:rsid w:val="00AB5F4B"/>
    <w:rsid w:val="00AB63CB"/>
    <w:rsid w:val="00AB664C"/>
    <w:rsid w:val="00AB692B"/>
    <w:rsid w:val="00AB695B"/>
    <w:rsid w:val="00AB6B55"/>
    <w:rsid w:val="00AB6F57"/>
    <w:rsid w:val="00AB75C6"/>
    <w:rsid w:val="00AB7A25"/>
    <w:rsid w:val="00AB7D96"/>
    <w:rsid w:val="00AB7E28"/>
    <w:rsid w:val="00AB7F5A"/>
    <w:rsid w:val="00AC0291"/>
    <w:rsid w:val="00AC08A2"/>
    <w:rsid w:val="00AC13E8"/>
    <w:rsid w:val="00AC1AA2"/>
    <w:rsid w:val="00AC2A9B"/>
    <w:rsid w:val="00AC3344"/>
    <w:rsid w:val="00AC33DE"/>
    <w:rsid w:val="00AC33E5"/>
    <w:rsid w:val="00AC3527"/>
    <w:rsid w:val="00AC37FB"/>
    <w:rsid w:val="00AC48C7"/>
    <w:rsid w:val="00AC49FE"/>
    <w:rsid w:val="00AC52D9"/>
    <w:rsid w:val="00AC5383"/>
    <w:rsid w:val="00AC58F6"/>
    <w:rsid w:val="00AC5B52"/>
    <w:rsid w:val="00AC5BA8"/>
    <w:rsid w:val="00AC5EEC"/>
    <w:rsid w:val="00AC6778"/>
    <w:rsid w:val="00AC6DA5"/>
    <w:rsid w:val="00AC71A3"/>
    <w:rsid w:val="00AC72B0"/>
    <w:rsid w:val="00AC7501"/>
    <w:rsid w:val="00AC7B6D"/>
    <w:rsid w:val="00AD02F1"/>
    <w:rsid w:val="00AD0CD5"/>
    <w:rsid w:val="00AD1052"/>
    <w:rsid w:val="00AD201F"/>
    <w:rsid w:val="00AD3093"/>
    <w:rsid w:val="00AD3836"/>
    <w:rsid w:val="00AD3F3C"/>
    <w:rsid w:val="00AD4F2B"/>
    <w:rsid w:val="00AD50A1"/>
    <w:rsid w:val="00AD526F"/>
    <w:rsid w:val="00AD52AE"/>
    <w:rsid w:val="00AD55DA"/>
    <w:rsid w:val="00AD5670"/>
    <w:rsid w:val="00AD6078"/>
    <w:rsid w:val="00AD62FA"/>
    <w:rsid w:val="00AD66C8"/>
    <w:rsid w:val="00AD707F"/>
    <w:rsid w:val="00AD75D6"/>
    <w:rsid w:val="00AE0569"/>
    <w:rsid w:val="00AE1998"/>
    <w:rsid w:val="00AE24DA"/>
    <w:rsid w:val="00AE2906"/>
    <w:rsid w:val="00AE2A79"/>
    <w:rsid w:val="00AE3A9F"/>
    <w:rsid w:val="00AE400B"/>
    <w:rsid w:val="00AE48F5"/>
    <w:rsid w:val="00AE4930"/>
    <w:rsid w:val="00AE497B"/>
    <w:rsid w:val="00AE4B7E"/>
    <w:rsid w:val="00AE4C74"/>
    <w:rsid w:val="00AE5067"/>
    <w:rsid w:val="00AE5D56"/>
    <w:rsid w:val="00AE66B1"/>
    <w:rsid w:val="00AE6C91"/>
    <w:rsid w:val="00AE6E5D"/>
    <w:rsid w:val="00AE7011"/>
    <w:rsid w:val="00AE7913"/>
    <w:rsid w:val="00AE794E"/>
    <w:rsid w:val="00AF1E4E"/>
    <w:rsid w:val="00AF1F1B"/>
    <w:rsid w:val="00AF26DB"/>
    <w:rsid w:val="00AF42ED"/>
    <w:rsid w:val="00AF43A8"/>
    <w:rsid w:val="00AF4619"/>
    <w:rsid w:val="00AF565A"/>
    <w:rsid w:val="00AF5BA0"/>
    <w:rsid w:val="00AF6154"/>
    <w:rsid w:val="00AF69A0"/>
    <w:rsid w:val="00AF6A38"/>
    <w:rsid w:val="00AF7B09"/>
    <w:rsid w:val="00AF7E1B"/>
    <w:rsid w:val="00B00028"/>
    <w:rsid w:val="00B003AB"/>
    <w:rsid w:val="00B00D56"/>
    <w:rsid w:val="00B012F3"/>
    <w:rsid w:val="00B015B5"/>
    <w:rsid w:val="00B02856"/>
    <w:rsid w:val="00B02A2A"/>
    <w:rsid w:val="00B0344B"/>
    <w:rsid w:val="00B03530"/>
    <w:rsid w:val="00B03B91"/>
    <w:rsid w:val="00B04003"/>
    <w:rsid w:val="00B044BA"/>
    <w:rsid w:val="00B04A8B"/>
    <w:rsid w:val="00B05853"/>
    <w:rsid w:val="00B05953"/>
    <w:rsid w:val="00B0678E"/>
    <w:rsid w:val="00B06B23"/>
    <w:rsid w:val="00B07390"/>
    <w:rsid w:val="00B10269"/>
    <w:rsid w:val="00B10519"/>
    <w:rsid w:val="00B106FE"/>
    <w:rsid w:val="00B117F1"/>
    <w:rsid w:val="00B11BD3"/>
    <w:rsid w:val="00B11CE9"/>
    <w:rsid w:val="00B12761"/>
    <w:rsid w:val="00B12901"/>
    <w:rsid w:val="00B12D74"/>
    <w:rsid w:val="00B12EA6"/>
    <w:rsid w:val="00B13A9B"/>
    <w:rsid w:val="00B13E36"/>
    <w:rsid w:val="00B1408E"/>
    <w:rsid w:val="00B14AC2"/>
    <w:rsid w:val="00B14D73"/>
    <w:rsid w:val="00B15045"/>
    <w:rsid w:val="00B164AD"/>
    <w:rsid w:val="00B16DD7"/>
    <w:rsid w:val="00B17F99"/>
    <w:rsid w:val="00B17FEC"/>
    <w:rsid w:val="00B202DD"/>
    <w:rsid w:val="00B20A3E"/>
    <w:rsid w:val="00B21175"/>
    <w:rsid w:val="00B2118E"/>
    <w:rsid w:val="00B211BB"/>
    <w:rsid w:val="00B2147A"/>
    <w:rsid w:val="00B2186D"/>
    <w:rsid w:val="00B220F6"/>
    <w:rsid w:val="00B233D9"/>
    <w:rsid w:val="00B23706"/>
    <w:rsid w:val="00B23BD5"/>
    <w:rsid w:val="00B23E4F"/>
    <w:rsid w:val="00B251A6"/>
    <w:rsid w:val="00B256F7"/>
    <w:rsid w:val="00B259B4"/>
    <w:rsid w:val="00B26188"/>
    <w:rsid w:val="00B26363"/>
    <w:rsid w:val="00B3049C"/>
    <w:rsid w:val="00B30775"/>
    <w:rsid w:val="00B321F5"/>
    <w:rsid w:val="00B33184"/>
    <w:rsid w:val="00B3371A"/>
    <w:rsid w:val="00B33E02"/>
    <w:rsid w:val="00B34699"/>
    <w:rsid w:val="00B34B0B"/>
    <w:rsid w:val="00B34C08"/>
    <w:rsid w:val="00B35A03"/>
    <w:rsid w:val="00B35D4E"/>
    <w:rsid w:val="00B364B3"/>
    <w:rsid w:val="00B36707"/>
    <w:rsid w:val="00B36D3B"/>
    <w:rsid w:val="00B378C8"/>
    <w:rsid w:val="00B37F82"/>
    <w:rsid w:val="00B406D4"/>
    <w:rsid w:val="00B4087F"/>
    <w:rsid w:val="00B41909"/>
    <w:rsid w:val="00B421C2"/>
    <w:rsid w:val="00B42213"/>
    <w:rsid w:val="00B428E4"/>
    <w:rsid w:val="00B43884"/>
    <w:rsid w:val="00B44DA8"/>
    <w:rsid w:val="00B44E26"/>
    <w:rsid w:val="00B45638"/>
    <w:rsid w:val="00B459A2"/>
    <w:rsid w:val="00B46A9E"/>
    <w:rsid w:val="00B46DD8"/>
    <w:rsid w:val="00B479FC"/>
    <w:rsid w:val="00B50CCE"/>
    <w:rsid w:val="00B51168"/>
    <w:rsid w:val="00B511B9"/>
    <w:rsid w:val="00B519CE"/>
    <w:rsid w:val="00B52630"/>
    <w:rsid w:val="00B53B14"/>
    <w:rsid w:val="00B54832"/>
    <w:rsid w:val="00B55342"/>
    <w:rsid w:val="00B55747"/>
    <w:rsid w:val="00B55CFB"/>
    <w:rsid w:val="00B568C6"/>
    <w:rsid w:val="00B57D5E"/>
    <w:rsid w:val="00B57DB1"/>
    <w:rsid w:val="00B57EF7"/>
    <w:rsid w:val="00B616E7"/>
    <w:rsid w:val="00B61B72"/>
    <w:rsid w:val="00B625CA"/>
    <w:rsid w:val="00B627E5"/>
    <w:rsid w:val="00B62C35"/>
    <w:rsid w:val="00B63480"/>
    <w:rsid w:val="00B63689"/>
    <w:rsid w:val="00B64031"/>
    <w:rsid w:val="00B64C2D"/>
    <w:rsid w:val="00B654B4"/>
    <w:rsid w:val="00B660A8"/>
    <w:rsid w:val="00B6671A"/>
    <w:rsid w:val="00B667F9"/>
    <w:rsid w:val="00B66816"/>
    <w:rsid w:val="00B66AC3"/>
    <w:rsid w:val="00B6718E"/>
    <w:rsid w:val="00B67DCC"/>
    <w:rsid w:val="00B70174"/>
    <w:rsid w:val="00B70248"/>
    <w:rsid w:val="00B71099"/>
    <w:rsid w:val="00B712D9"/>
    <w:rsid w:val="00B71546"/>
    <w:rsid w:val="00B71E07"/>
    <w:rsid w:val="00B72535"/>
    <w:rsid w:val="00B72CF3"/>
    <w:rsid w:val="00B73224"/>
    <w:rsid w:val="00B73386"/>
    <w:rsid w:val="00B73421"/>
    <w:rsid w:val="00B8039E"/>
    <w:rsid w:val="00B81845"/>
    <w:rsid w:val="00B8284B"/>
    <w:rsid w:val="00B82D29"/>
    <w:rsid w:val="00B82DDE"/>
    <w:rsid w:val="00B82E6C"/>
    <w:rsid w:val="00B82F9B"/>
    <w:rsid w:val="00B831E0"/>
    <w:rsid w:val="00B843C9"/>
    <w:rsid w:val="00B84C19"/>
    <w:rsid w:val="00B84FBE"/>
    <w:rsid w:val="00B85CA3"/>
    <w:rsid w:val="00B875F3"/>
    <w:rsid w:val="00B9010D"/>
    <w:rsid w:val="00B904C5"/>
    <w:rsid w:val="00B90C06"/>
    <w:rsid w:val="00B90CC1"/>
    <w:rsid w:val="00B91215"/>
    <w:rsid w:val="00B91B27"/>
    <w:rsid w:val="00B91BB0"/>
    <w:rsid w:val="00B9215B"/>
    <w:rsid w:val="00B939D3"/>
    <w:rsid w:val="00B93C26"/>
    <w:rsid w:val="00B94159"/>
    <w:rsid w:val="00B94163"/>
    <w:rsid w:val="00B94609"/>
    <w:rsid w:val="00B953CC"/>
    <w:rsid w:val="00B96767"/>
    <w:rsid w:val="00B968B2"/>
    <w:rsid w:val="00B96BBA"/>
    <w:rsid w:val="00B96E10"/>
    <w:rsid w:val="00B97A10"/>
    <w:rsid w:val="00B97C6F"/>
    <w:rsid w:val="00B97FB2"/>
    <w:rsid w:val="00BA0470"/>
    <w:rsid w:val="00BA0DF7"/>
    <w:rsid w:val="00BA12B1"/>
    <w:rsid w:val="00BA2413"/>
    <w:rsid w:val="00BA39E2"/>
    <w:rsid w:val="00BA3BA9"/>
    <w:rsid w:val="00BA3E9C"/>
    <w:rsid w:val="00BA4B2D"/>
    <w:rsid w:val="00BA6295"/>
    <w:rsid w:val="00BA776E"/>
    <w:rsid w:val="00BB02B5"/>
    <w:rsid w:val="00BB1725"/>
    <w:rsid w:val="00BB24B2"/>
    <w:rsid w:val="00BB2A23"/>
    <w:rsid w:val="00BB2AE7"/>
    <w:rsid w:val="00BB2B08"/>
    <w:rsid w:val="00BB2B1B"/>
    <w:rsid w:val="00BB2DDD"/>
    <w:rsid w:val="00BB30FE"/>
    <w:rsid w:val="00BB3494"/>
    <w:rsid w:val="00BB3A60"/>
    <w:rsid w:val="00BB4BCA"/>
    <w:rsid w:val="00BB4F85"/>
    <w:rsid w:val="00BB50F4"/>
    <w:rsid w:val="00BB5256"/>
    <w:rsid w:val="00BB6458"/>
    <w:rsid w:val="00BB67A9"/>
    <w:rsid w:val="00BB6864"/>
    <w:rsid w:val="00BB6B86"/>
    <w:rsid w:val="00BB7BB6"/>
    <w:rsid w:val="00BC001B"/>
    <w:rsid w:val="00BC0C4A"/>
    <w:rsid w:val="00BC1A43"/>
    <w:rsid w:val="00BC1DF3"/>
    <w:rsid w:val="00BC1F2C"/>
    <w:rsid w:val="00BC214F"/>
    <w:rsid w:val="00BC4D5C"/>
    <w:rsid w:val="00BC4DE0"/>
    <w:rsid w:val="00BC4ED8"/>
    <w:rsid w:val="00BC4EF9"/>
    <w:rsid w:val="00BC501F"/>
    <w:rsid w:val="00BC5879"/>
    <w:rsid w:val="00BC5F32"/>
    <w:rsid w:val="00BC615B"/>
    <w:rsid w:val="00BC6EE8"/>
    <w:rsid w:val="00BC760B"/>
    <w:rsid w:val="00BD097C"/>
    <w:rsid w:val="00BD122F"/>
    <w:rsid w:val="00BD1298"/>
    <w:rsid w:val="00BD1668"/>
    <w:rsid w:val="00BD176B"/>
    <w:rsid w:val="00BD2336"/>
    <w:rsid w:val="00BD2640"/>
    <w:rsid w:val="00BD26B1"/>
    <w:rsid w:val="00BD4337"/>
    <w:rsid w:val="00BD4930"/>
    <w:rsid w:val="00BD53D3"/>
    <w:rsid w:val="00BD5F73"/>
    <w:rsid w:val="00BD7219"/>
    <w:rsid w:val="00BD7883"/>
    <w:rsid w:val="00BE02E7"/>
    <w:rsid w:val="00BE0300"/>
    <w:rsid w:val="00BE05E1"/>
    <w:rsid w:val="00BE0695"/>
    <w:rsid w:val="00BE09E4"/>
    <w:rsid w:val="00BE0E0A"/>
    <w:rsid w:val="00BE1C52"/>
    <w:rsid w:val="00BE246D"/>
    <w:rsid w:val="00BE2701"/>
    <w:rsid w:val="00BE2E79"/>
    <w:rsid w:val="00BE30D0"/>
    <w:rsid w:val="00BE360A"/>
    <w:rsid w:val="00BE3CE4"/>
    <w:rsid w:val="00BE4391"/>
    <w:rsid w:val="00BE4451"/>
    <w:rsid w:val="00BE4F4A"/>
    <w:rsid w:val="00BE5219"/>
    <w:rsid w:val="00BE5B2A"/>
    <w:rsid w:val="00BE5BFB"/>
    <w:rsid w:val="00BE6B7B"/>
    <w:rsid w:val="00BE70B4"/>
    <w:rsid w:val="00BE717B"/>
    <w:rsid w:val="00BE7E31"/>
    <w:rsid w:val="00BF0DC6"/>
    <w:rsid w:val="00BF17AA"/>
    <w:rsid w:val="00BF1D21"/>
    <w:rsid w:val="00BF2665"/>
    <w:rsid w:val="00BF27A8"/>
    <w:rsid w:val="00BF2A61"/>
    <w:rsid w:val="00BF357A"/>
    <w:rsid w:val="00BF3C23"/>
    <w:rsid w:val="00BF3E8E"/>
    <w:rsid w:val="00BF492D"/>
    <w:rsid w:val="00BF49AA"/>
    <w:rsid w:val="00BF53DB"/>
    <w:rsid w:val="00BF5B32"/>
    <w:rsid w:val="00BF65C5"/>
    <w:rsid w:val="00BF6C2E"/>
    <w:rsid w:val="00BF74FE"/>
    <w:rsid w:val="00C00012"/>
    <w:rsid w:val="00C00BA6"/>
    <w:rsid w:val="00C0320C"/>
    <w:rsid w:val="00C0417D"/>
    <w:rsid w:val="00C04208"/>
    <w:rsid w:val="00C04247"/>
    <w:rsid w:val="00C04578"/>
    <w:rsid w:val="00C04C5F"/>
    <w:rsid w:val="00C04D9D"/>
    <w:rsid w:val="00C04FB1"/>
    <w:rsid w:val="00C053C6"/>
    <w:rsid w:val="00C05872"/>
    <w:rsid w:val="00C05CB4"/>
    <w:rsid w:val="00C06931"/>
    <w:rsid w:val="00C06F36"/>
    <w:rsid w:val="00C079FC"/>
    <w:rsid w:val="00C07FFD"/>
    <w:rsid w:val="00C1047F"/>
    <w:rsid w:val="00C118BE"/>
    <w:rsid w:val="00C11F12"/>
    <w:rsid w:val="00C12028"/>
    <w:rsid w:val="00C12454"/>
    <w:rsid w:val="00C131E2"/>
    <w:rsid w:val="00C1375D"/>
    <w:rsid w:val="00C13E3B"/>
    <w:rsid w:val="00C148DC"/>
    <w:rsid w:val="00C14BE7"/>
    <w:rsid w:val="00C15844"/>
    <w:rsid w:val="00C15BE1"/>
    <w:rsid w:val="00C15D2E"/>
    <w:rsid w:val="00C16CD9"/>
    <w:rsid w:val="00C20C4E"/>
    <w:rsid w:val="00C22412"/>
    <w:rsid w:val="00C232AE"/>
    <w:rsid w:val="00C234D1"/>
    <w:rsid w:val="00C23C35"/>
    <w:rsid w:val="00C23CD4"/>
    <w:rsid w:val="00C24232"/>
    <w:rsid w:val="00C24463"/>
    <w:rsid w:val="00C24556"/>
    <w:rsid w:val="00C24A4F"/>
    <w:rsid w:val="00C24AF5"/>
    <w:rsid w:val="00C24E19"/>
    <w:rsid w:val="00C26253"/>
    <w:rsid w:val="00C26447"/>
    <w:rsid w:val="00C27070"/>
    <w:rsid w:val="00C27122"/>
    <w:rsid w:val="00C275CA"/>
    <w:rsid w:val="00C27716"/>
    <w:rsid w:val="00C277C6"/>
    <w:rsid w:val="00C27F5F"/>
    <w:rsid w:val="00C31AE1"/>
    <w:rsid w:val="00C31E97"/>
    <w:rsid w:val="00C323C5"/>
    <w:rsid w:val="00C32AF0"/>
    <w:rsid w:val="00C334A7"/>
    <w:rsid w:val="00C3370B"/>
    <w:rsid w:val="00C33844"/>
    <w:rsid w:val="00C338B3"/>
    <w:rsid w:val="00C33A14"/>
    <w:rsid w:val="00C3468E"/>
    <w:rsid w:val="00C34A67"/>
    <w:rsid w:val="00C34D6D"/>
    <w:rsid w:val="00C3521B"/>
    <w:rsid w:val="00C355A1"/>
    <w:rsid w:val="00C35E56"/>
    <w:rsid w:val="00C368FE"/>
    <w:rsid w:val="00C372AB"/>
    <w:rsid w:val="00C3786E"/>
    <w:rsid w:val="00C37908"/>
    <w:rsid w:val="00C37EAB"/>
    <w:rsid w:val="00C4043A"/>
    <w:rsid w:val="00C40480"/>
    <w:rsid w:val="00C40536"/>
    <w:rsid w:val="00C40F0F"/>
    <w:rsid w:val="00C4136C"/>
    <w:rsid w:val="00C414AC"/>
    <w:rsid w:val="00C42416"/>
    <w:rsid w:val="00C425CA"/>
    <w:rsid w:val="00C42E4A"/>
    <w:rsid w:val="00C4309A"/>
    <w:rsid w:val="00C436A1"/>
    <w:rsid w:val="00C44863"/>
    <w:rsid w:val="00C4503D"/>
    <w:rsid w:val="00C455B0"/>
    <w:rsid w:val="00C45CF2"/>
    <w:rsid w:val="00C47809"/>
    <w:rsid w:val="00C47FBB"/>
    <w:rsid w:val="00C50CA2"/>
    <w:rsid w:val="00C51290"/>
    <w:rsid w:val="00C5159C"/>
    <w:rsid w:val="00C51660"/>
    <w:rsid w:val="00C51EB0"/>
    <w:rsid w:val="00C52462"/>
    <w:rsid w:val="00C5250C"/>
    <w:rsid w:val="00C530D8"/>
    <w:rsid w:val="00C53513"/>
    <w:rsid w:val="00C546A6"/>
    <w:rsid w:val="00C54B75"/>
    <w:rsid w:val="00C550A3"/>
    <w:rsid w:val="00C553C7"/>
    <w:rsid w:val="00C55B06"/>
    <w:rsid w:val="00C55DDF"/>
    <w:rsid w:val="00C56329"/>
    <w:rsid w:val="00C56952"/>
    <w:rsid w:val="00C57060"/>
    <w:rsid w:val="00C57F05"/>
    <w:rsid w:val="00C60CEC"/>
    <w:rsid w:val="00C61022"/>
    <w:rsid w:val="00C611C4"/>
    <w:rsid w:val="00C6241A"/>
    <w:rsid w:val="00C6334E"/>
    <w:rsid w:val="00C63518"/>
    <w:rsid w:val="00C639BA"/>
    <w:rsid w:val="00C63C05"/>
    <w:rsid w:val="00C64DBD"/>
    <w:rsid w:val="00C64E3D"/>
    <w:rsid w:val="00C659A3"/>
    <w:rsid w:val="00C6664B"/>
    <w:rsid w:val="00C6733F"/>
    <w:rsid w:val="00C67E2C"/>
    <w:rsid w:val="00C705C8"/>
    <w:rsid w:val="00C70A70"/>
    <w:rsid w:val="00C70E74"/>
    <w:rsid w:val="00C720F9"/>
    <w:rsid w:val="00C72466"/>
    <w:rsid w:val="00C72B17"/>
    <w:rsid w:val="00C72E3A"/>
    <w:rsid w:val="00C72F09"/>
    <w:rsid w:val="00C7301F"/>
    <w:rsid w:val="00C74B15"/>
    <w:rsid w:val="00C75809"/>
    <w:rsid w:val="00C75ABF"/>
    <w:rsid w:val="00C75B1C"/>
    <w:rsid w:val="00C75BE5"/>
    <w:rsid w:val="00C76725"/>
    <w:rsid w:val="00C76866"/>
    <w:rsid w:val="00C76B17"/>
    <w:rsid w:val="00C775C0"/>
    <w:rsid w:val="00C777BB"/>
    <w:rsid w:val="00C77C5D"/>
    <w:rsid w:val="00C77CBD"/>
    <w:rsid w:val="00C80439"/>
    <w:rsid w:val="00C8145A"/>
    <w:rsid w:val="00C81662"/>
    <w:rsid w:val="00C817C7"/>
    <w:rsid w:val="00C821CD"/>
    <w:rsid w:val="00C824D9"/>
    <w:rsid w:val="00C82626"/>
    <w:rsid w:val="00C827C4"/>
    <w:rsid w:val="00C8317E"/>
    <w:rsid w:val="00C8333F"/>
    <w:rsid w:val="00C841AE"/>
    <w:rsid w:val="00C84CB5"/>
    <w:rsid w:val="00C84E40"/>
    <w:rsid w:val="00C84FBF"/>
    <w:rsid w:val="00C853C4"/>
    <w:rsid w:val="00C85A4C"/>
    <w:rsid w:val="00C85BC3"/>
    <w:rsid w:val="00C85E3F"/>
    <w:rsid w:val="00C85F3A"/>
    <w:rsid w:val="00C86185"/>
    <w:rsid w:val="00C869C7"/>
    <w:rsid w:val="00C87722"/>
    <w:rsid w:val="00C87976"/>
    <w:rsid w:val="00C87BA3"/>
    <w:rsid w:val="00C901D5"/>
    <w:rsid w:val="00C9035A"/>
    <w:rsid w:val="00C907D8"/>
    <w:rsid w:val="00C9115E"/>
    <w:rsid w:val="00C9116C"/>
    <w:rsid w:val="00C91DB5"/>
    <w:rsid w:val="00C92019"/>
    <w:rsid w:val="00C924F8"/>
    <w:rsid w:val="00C92F60"/>
    <w:rsid w:val="00C93CF0"/>
    <w:rsid w:val="00C94849"/>
    <w:rsid w:val="00C94ED6"/>
    <w:rsid w:val="00C95CAD"/>
    <w:rsid w:val="00C95E37"/>
    <w:rsid w:val="00C971F1"/>
    <w:rsid w:val="00CA04DE"/>
    <w:rsid w:val="00CA10E4"/>
    <w:rsid w:val="00CA121D"/>
    <w:rsid w:val="00CA195B"/>
    <w:rsid w:val="00CA1972"/>
    <w:rsid w:val="00CA3CEC"/>
    <w:rsid w:val="00CA45CA"/>
    <w:rsid w:val="00CA4B1C"/>
    <w:rsid w:val="00CA5372"/>
    <w:rsid w:val="00CA56A9"/>
    <w:rsid w:val="00CA5722"/>
    <w:rsid w:val="00CA5817"/>
    <w:rsid w:val="00CA5E9E"/>
    <w:rsid w:val="00CA641D"/>
    <w:rsid w:val="00CA7590"/>
    <w:rsid w:val="00CB0199"/>
    <w:rsid w:val="00CB02FC"/>
    <w:rsid w:val="00CB03E5"/>
    <w:rsid w:val="00CB0FC5"/>
    <w:rsid w:val="00CB11FC"/>
    <w:rsid w:val="00CB156A"/>
    <w:rsid w:val="00CB180D"/>
    <w:rsid w:val="00CB1C2B"/>
    <w:rsid w:val="00CB2521"/>
    <w:rsid w:val="00CB2CC7"/>
    <w:rsid w:val="00CB2E17"/>
    <w:rsid w:val="00CB3EF6"/>
    <w:rsid w:val="00CB3F89"/>
    <w:rsid w:val="00CB41E0"/>
    <w:rsid w:val="00CB5E44"/>
    <w:rsid w:val="00CB66F9"/>
    <w:rsid w:val="00CB7757"/>
    <w:rsid w:val="00CB7CB7"/>
    <w:rsid w:val="00CC0FAE"/>
    <w:rsid w:val="00CC11AC"/>
    <w:rsid w:val="00CC2098"/>
    <w:rsid w:val="00CC2159"/>
    <w:rsid w:val="00CC2FBE"/>
    <w:rsid w:val="00CC3563"/>
    <w:rsid w:val="00CC38F5"/>
    <w:rsid w:val="00CC3CB3"/>
    <w:rsid w:val="00CC3E40"/>
    <w:rsid w:val="00CC3F1D"/>
    <w:rsid w:val="00CC4144"/>
    <w:rsid w:val="00CC48DB"/>
    <w:rsid w:val="00CC5E11"/>
    <w:rsid w:val="00CC5E56"/>
    <w:rsid w:val="00CC64A8"/>
    <w:rsid w:val="00CD013F"/>
    <w:rsid w:val="00CD0874"/>
    <w:rsid w:val="00CD0BE2"/>
    <w:rsid w:val="00CD0C9A"/>
    <w:rsid w:val="00CD0E21"/>
    <w:rsid w:val="00CD114B"/>
    <w:rsid w:val="00CD17F6"/>
    <w:rsid w:val="00CD1D1C"/>
    <w:rsid w:val="00CD1E66"/>
    <w:rsid w:val="00CD20B5"/>
    <w:rsid w:val="00CD2611"/>
    <w:rsid w:val="00CD2FE3"/>
    <w:rsid w:val="00CD45E0"/>
    <w:rsid w:val="00CD4AEA"/>
    <w:rsid w:val="00CD4F08"/>
    <w:rsid w:val="00CD4FD7"/>
    <w:rsid w:val="00CD5C4C"/>
    <w:rsid w:val="00CD5D80"/>
    <w:rsid w:val="00CD6715"/>
    <w:rsid w:val="00CD7055"/>
    <w:rsid w:val="00CD7444"/>
    <w:rsid w:val="00CE1FD1"/>
    <w:rsid w:val="00CE2C2F"/>
    <w:rsid w:val="00CE2D47"/>
    <w:rsid w:val="00CE3AC2"/>
    <w:rsid w:val="00CE5309"/>
    <w:rsid w:val="00CE5889"/>
    <w:rsid w:val="00CE5C64"/>
    <w:rsid w:val="00CE64BA"/>
    <w:rsid w:val="00CE6F78"/>
    <w:rsid w:val="00CE7B3B"/>
    <w:rsid w:val="00CF0516"/>
    <w:rsid w:val="00CF0ED2"/>
    <w:rsid w:val="00CF1E1F"/>
    <w:rsid w:val="00CF3860"/>
    <w:rsid w:val="00CF4258"/>
    <w:rsid w:val="00CF431A"/>
    <w:rsid w:val="00CF4DC9"/>
    <w:rsid w:val="00CF529B"/>
    <w:rsid w:val="00CF61D2"/>
    <w:rsid w:val="00CF686E"/>
    <w:rsid w:val="00CF7058"/>
    <w:rsid w:val="00D007BE"/>
    <w:rsid w:val="00D00EE6"/>
    <w:rsid w:val="00D0111C"/>
    <w:rsid w:val="00D0258B"/>
    <w:rsid w:val="00D027BC"/>
    <w:rsid w:val="00D0372F"/>
    <w:rsid w:val="00D04153"/>
    <w:rsid w:val="00D044AF"/>
    <w:rsid w:val="00D048C1"/>
    <w:rsid w:val="00D06A42"/>
    <w:rsid w:val="00D07336"/>
    <w:rsid w:val="00D07472"/>
    <w:rsid w:val="00D07573"/>
    <w:rsid w:val="00D076AB"/>
    <w:rsid w:val="00D07A48"/>
    <w:rsid w:val="00D07E7B"/>
    <w:rsid w:val="00D11B8A"/>
    <w:rsid w:val="00D1261C"/>
    <w:rsid w:val="00D1265A"/>
    <w:rsid w:val="00D129D3"/>
    <w:rsid w:val="00D13570"/>
    <w:rsid w:val="00D13621"/>
    <w:rsid w:val="00D1393B"/>
    <w:rsid w:val="00D14A9F"/>
    <w:rsid w:val="00D15768"/>
    <w:rsid w:val="00D15969"/>
    <w:rsid w:val="00D16213"/>
    <w:rsid w:val="00D16564"/>
    <w:rsid w:val="00D1659F"/>
    <w:rsid w:val="00D16EB3"/>
    <w:rsid w:val="00D172AB"/>
    <w:rsid w:val="00D20C85"/>
    <w:rsid w:val="00D21F82"/>
    <w:rsid w:val="00D22085"/>
    <w:rsid w:val="00D22ECF"/>
    <w:rsid w:val="00D231A2"/>
    <w:rsid w:val="00D232C6"/>
    <w:rsid w:val="00D23542"/>
    <w:rsid w:val="00D238B5"/>
    <w:rsid w:val="00D23CF3"/>
    <w:rsid w:val="00D2419D"/>
    <w:rsid w:val="00D2474D"/>
    <w:rsid w:val="00D25ECB"/>
    <w:rsid w:val="00D26880"/>
    <w:rsid w:val="00D27B62"/>
    <w:rsid w:val="00D27E46"/>
    <w:rsid w:val="00D30022"/>
    <w:rsid w:val="00D30560"/>
    <w:rsid w:val="00D316CF"/>
    <w:rsid w:val="00D317D9"/>
    <w:rsid w:val="00D331AF"/>
    <w:rsid w:val="00D3362C"/>
    <w:rsid w:val="00D33F87"/>
    <w:rsid w:val="00D34F27"/>
    <w:rsid w:val="00D350C4"/>
    <w:rsid w:val="00D350FB"/>
    <w:rsid w:val="00D358EE"/>
    <w:rsid w:val="00D40D44"/>
    <w:rsid w:val="00D40D71"/>
    <w:rsid w:val="00D41435"/>
    <w:rsid w:val="00D417AD"/>
    <w:rsid w:val="00D41A13"/>
    <w:rsid w:val="00D421C1"/>
    <w:rsid w:val="00D4322C"/>
    <w:rsid w:val="00D43759"/>
    <w:rsid w:val="00D43BD1"/>
    <w:rsid w:val="00D43CD9"/>
    <w:rsid w:val="00D43E70"/>
    <w:rsid w:val="00D448AB"/>
    <w:rsid w:val="00D44FC8"/>
    <w:rsid w:val="00D450F3"/>
    <w:rsid w:val="00D458E0"/>
    <w:rsid w:val="00D45B5A"/>
    <w:rsid w:val="00D461D2"/>
    <w:rsid w:val="00D46393"/>
    <w:rsid w:val="00D46DFC"/>
    <w:rsid w:val="00D46E25"/>
    <w:rsid w:val="00D47B59"/>
    <w:rsid w:val="00D500FF"/>
    <w:rsid w:val="00D50508"/>
    <w:rsid w:val="00D512FD"/>
    <w:rsid w:val="00D52082"/>
    <w:rsid w:val="00D522D9"/>
    <w:rsid w:val="00D52D0B"/>
    <w:rsid w:val="00D52DCE"/>
    <w:rsid w:val="00D53AA4"/>
    <w:rsid w:val="00D53BC5"/>
    <w:rsid w:val="00D542DB"/>
    <w:rsid w:val="00D5557E"/>
    <w:rsid w:val="00D55C98"/>
    <w:rsid w:val="00D56003"/>
    <w:rsid w:val="00D56AA3"/>
    <w:rsid w:val="00D57246"/>
    <w:rsid w:val="00D57D8F"/>
    <w:rsid w:val="00D602D3"/>
    <w:rsid w:val="00D60458"/>
    <w:rsid w:val="00D607ED"/>
    <w:rsid w:val="00D60DBD"/>
    <w:rsid w:val="00D61790"/>
    <w:rsid w:val="00D62B68"/>
    <w:rsid w:val="00D62DC2"/>
    <w:rsid w:val="00D6351D"/>
    <w:rsid w:val="00D636E4"/>
    <w:rsid w:val="00D642B2"/>
    <w:rsid w:val="00D64DC4"/>
    <w:rsid w:val="00D64DD9"/>
    <w:rsid w:val="00D65378"/>
    <w:rsid w:val="00D6543B"/>
    <w:rsid w:val="00D65E31"/>
    <w:rsid w:val="00D66B10"/>
    <w:rsid w:val="00D6792C"/>
    <w:rsid w:val="00D67CB2"/>
    <w:rsid w:val="00D67E53"/>
    <w:rsid w:val="00D70400"/>
    <w:rsid w:val="00D70BA3"/>
    <w:rsid w:val="00D71124"/>
    <w:rsid w:val="00D72896"/>
    <w:rsid w:val="00D7335E"/>
    <w:rsid w:val="00D73E7F"/>
    <w:rsid w:val="00D74B0B"/>
    <w:rsid w:val="00D74FBC"/>
    <w:rsid w:val="00D753A5"/>
    <w:rsid w:val="00D76042"/>
    <w:rsid w:val="00D760A8"/>
    <w:rsid w:val="00D761A1"/>
    <w:rsid w:val="00D761F5"/>
    <w:rsid w:val="00D77FED"/>
    <w:rsid w:val="00D784AA"/>
    <w:rsid w:val="00D812B0"/>
    <w:rsid w:val="00D81620"/>
    <w:rsid w:val="00D81CA7"/>
    <w:rsid w:val="00D8213E"/>
    <w:rsid w:val="00D8288A"/>
    <w:rsid w:val="00D82B42"/>
    <w:rsid w:val="00D82C7B"/>
    <w:rsid w:val="00D83CAE"/>
    <w:rsid w:val="00D83F1B"/>
    <w:rsid w:val="00D84173"/>
    <w:rsid w:val="00D84382"/>
    <w:rsid w:val="00D85856"/>
    <w:rsid w:val="00D85A3B"/>
    <w:rsid w:val="00D85DAB"/>
    <w:rsid w:val="00D86245"/>
    <w:rsid w:val="00D866F0"/>
    <w:rsid w:val="00D8778C"/>
    <w:rsid w:val="00D90195"/>
    <w:rsid w:val="00D902CC"/>
    <w:rsid w:val="00D90F31"/>
    <w:rsid w:val="00D91341"/>
    <w:rsid w:val="00D915D5"/>
    <w:rsid w:val="00D916DB"/>
    <w:rsid w:val="00D91AA7"/>
    <w:rsid w:val="00D93402"/>
    <w:rsid w:val="00D936EE"/>
    <w:rsid w:val="00D94700"/>
    <w:rsid w:val="00D94925"/>
    <w:rsid w:val="00D95A00"/>
    <w:rsid w:val="00D95A8F"/>
    <w:rsid w:val="00D95B36"/>
    <w:rsid w:val="00D9630A"/>
    <w:rsid w:val="00D97031"/>
    <w:rsid w:val="00D97076"/>
    <w:rsid w:val="00DA0113"/>
    <w:rsid w:val="00DA0400"/>
    <w:rsid w:val="00DA0900"/>
    <w:rsid w:val="00DA0AAD"/>
    <w:rsid w:val="00DA0DF1"/>
    <w:rsid w:val="00DA1351"/>
    <w:rsid w:val="00DA1792"/>
    <w:rsid w:val="00DA200C"/>
    <w:rsid w:val="00DA2323"/>
    <w:rsid w:val="00DA256B"/>
    <w:rsid w:val="00DA3C0C"/>
    <w:rsid w:val="00DA4622"/>
    <w:rsid w:val="00DA4FF5"/>
    <w:rsid w:val="00DA5233"/>
    <w:rsid w:val="00DA6021"/>
    <w:rsid w:val="00DA609B"/>
    <w:rsid w:val="00DA60D5"/>
    <w:rsid w:val="00DA610B"/>
    <w:rsid w:val="00DA61A5"/>
    <w:rsid w:val="00DA6B91"/>
    <w:rsid w:val="00DB1849"/>
    <w:rsid w:val="00DB1FBF"/>
    <w:rsid w:val="00DB23D9"/>
    <w:rsid w:val="00DB2EF9"/>
    <w:rsid w:val="00DB2FDC"/>
    <w:rsid w:val="00DB3036"/>
    <w:rsid w:val="00DB32B4"/>
    <w:rsid w:val="00DB333D"/>
    <w:rsid w:val="00DB4274"/>
    <w:rsid w:val="00DB4323"/>
    <w:rsid w:val="00DB4A72"/>
    <w:rsid w:val="00DB57B6"/>
    <w:rsid w:val="00DB5B6F"/>
    <w:rsid w:val="00DB6028"/>
    <w:rsid w:val="00DB647E"/>
    <w:rsid w:val="00DB6763"/>
    <w:rsid w:val="00DB6B6B"/>
    <w:rsid w:val="00DB763C"/>
    <w:rsid w:val="00DB7AE1"/>
    <w:rsid w:val="00DC29E6"/>
    <w:rsid w:val="00DC328C"/>
    <w:rsid w:val="00DC3A8F"/>
    <w:rsid w:val="00DC3E17"/>
    <w:rsid w:val="00DC3ED0"/>
    <w:rsid w:val="00DC3F87"/>
    <w:rsid w:val="00DC48BD"/>
    <w:rsid w:val="00DC6742"/>
    <w:rsid w:val="00DC6BFD"/>
    <w:rsid w:val="00DC7CAF"/>
    <w:rsid w:val="00DD04F1"/>
    <w:rsid w:val="00DD097E"/>
    <w:rsid w:val="00DD0EE5"/>
    <w:rsid w:val="00DD1C68"/>
    <w:rsid w:val="00DD2E04"/>
    <w:rsid w:val="00DD3501"/>
    <w:rsid w:val="00DD3512"/>
    <w:rsid w:val="00DD3BC6"/>
    <w:rsid w:val="00DD451B"/>
    <w:rsid w:val="00DD4F00"/>
    <w:rsid w:val="00DD57CC"/>
    <w:rsid w:val="00DD5829"/>
    <w:rsid w:val="00DD5B54"/>
    <w:rsid w:val="00DD69E3"/>
    <w:rsid w:val="00DD7127"/>
    <w:rsid w:val="00DD7419"/>
    <w:rsid w:val="00DD75BF"/>
    <w:rsid w:val="00DE0C11"/>
    <w:rsid w:val="00DE0EC4"/>
    <w:rsid w:val="00DE18CC"/>
    <w:rsid w:val="00DE1CC8"/>
    <w:rsid w:val="00DE2179"/>
    <w:rsid w:val="00DE2433"/>
    <w:rsid w:val="00DE294A"/>
    <w:rsid w:val="00DE2DF7"/>
    <w:rsid w:val="00DE2F2E"/>
    <w:rsid w:val="00DE3078"/>
    <w:rsid w:val="00DE323A"/>
    <w:rsid w:val="00DE3792"/>
    <w:rsid w:val="00DE3C30"/>
    <w:rsid w:val="00DE6921"/>
    <w:rsid w:val="00DE78DC"/>
    <w:rsid w:val="00DE7D0F"/>
    <w:rsid w:val="00DF139C"/>
    <w:rsid w:val="00DF1817"/>
    <w:rsid w:val="00DF2247"/>
    <w:rsid w:val="00DF2461"/>
    <w:rsid w:val="00DF26D1"/>
    <w:rsid w:val="00DF34F5"/>
    <w:rsid w:val="00DF3764"/>
    <w:rsid w:val="00DF4112"/>
    <w:rsid w:val="00DF492A"/>
    <w:rsid w:val="00DF65BD"/>
    <w:rsid w:val="00DF6A7F"/>
    <w:rsid w:val="00DF7342"/>
    <w:rsid w:val="00E002A3"/>
    <w:rsid w:val="00E010E8"/>
    <w:rsid w:val="00E0111B"/>
    <w:rsid w:val="00E0157D"/>
    <w:rsid w:val="00E04C9C"/>
    <w:rsid w:val="00E04F27"/>
    <w:rsid w:val="00E04FB0"/>
    <w:rsid w:val="00E05732"/>
    <w:rsid w:val="00E05823"/>
    <w:rsid w:val="00E05C7A"/>
    <w:rsid w:val="00E05CD1"/>
    <w:rsid w:val="00E05E3C"/>
    <w:rsid w:val="00E0618A"/>
    <w:rsid w:val="00E0643E"/>
    <w:rsid w:val="00E06C12"/>
    <w:rsid w:val="00E06F84"/>
    <w:rsid w:val="00E0760A"/>
    <w:rsid w:val="00E078F3"/>
    <w:rsid w:val="00E07A45"/>
    <w:rsid w:val="00E125F7"/>
    <w:rsid w:val="00E1269E"/>
    <w:rsid w:val="00E13C7B"/>
    <w:rsid w:val="00E15A02"/>
    <w:rsid w:val="00E15D87"/>
    <w:rsid w:val="00E1725B"/>
    <w:rsid w:val="00E17E02"/>
    <w:rsid w:val="00E20306"/>
    <w:rsid w:val="00E20463"/>
    <w:rsid w:val="00E21042"/>
    <w:rsid w:val="00E22AD4"/>
    <w:rsid w:val="00E22B19"/>
    <w:rsid w:val="00E23BF7"/>
    <w:rsid w:val="00E23D6D"/>
    <w:rsid w:val="00E242B7"/>
    <w:rsid w:val="00E24C37"/>
    <w:rsid w:val="00E24CF6"/>
    <w:rsid w:val="00E24CF8"/>
    <w:rsid w:val="00E2520B"/>
    <w:rsid w:val="00E25279"/>
    <w:rsid w:val="00E2541D"/>
    <w:rsid w:val="00E26BB8"/>
    <w:rsid w:val="00E30086"/>
    <w:rsid w:val="00E30097"/>
    <w:rsid w:val="00E3111D"/>
    <w:rsid w:val="00E31841"/>
    <w:rsid w:val="00E319D7"/>
    <w:rsid w:val="00E31BBC"/>
    <w:rsid w:val="00E32472"/>
    <w:rsid w:val="00E326FB"/>
    <w:rsid w:val="00E32A40"/>
    <w:rsid w:val="00E32C5E"/>
    <w:rsid w:val="00E33E2B"/>
    <w:rsid w:val="00E33F50"/>
    <w:rsid w:val="00E340EF"/>
    <w:rsid w:val="00E34D09"/>
    <w:rsid w:val="00E355B9"/>
    <w:rsid w:val="00E367E4"/>
    <w:rsid w:val="00E36A0E"/>
    <w:rsid w:val="00E36CA2"/>
    <w:rsid w:val="00E36D7C"/>
    <w:rsid w:val="00E3703C"/>
    <w:rsid w:val="00E372FB"/>
    <w:rsid w:val="00E378DE"/>
    <w:rsid w:val="00E37DF3"/>
    <w:rsid w:val="00E37F4A"/>
    <w:rsid w:val="00E40F23"/>
    <w:rsid w:val="00E421FA"/>
    <w:rsid w:val="00E424A7"/>
    <w:rsid w:val="00E43B49"/>
    <w:rsid w:val="00E4501E"/>
    <w:rsid w:val="00E45122"/>
    <w:rsid w:val="00E4562C"/>
    <w:rsid w:val="00E46189"/>
    <w:rsid w:val="00E469BC"/>
    <w:rsid w:val="00E46BD2"/>
    <w:rsid w:val="00E47724"/>
    <w:rsid w:val="00E50018"/>
    <w:rsid w:val="00E504CE"/>
    <w:rsid w:val="00E505AB"/>
    <w:rsid w:val="00E50ADF"/>
    <w:rsid w:val="00E50DE9"/>
    <w:rsid w:val="00E51DB5"/>
    <w:rsid w:val="00E51FB9"/>
    <w:rsid w:val="00E51FF2"/>
    <w:rsid w:val="00E52486"/>
    <w:rsid w:val="00E52F41"/>
    <w:rsid w:val="00E5326B"/>
    <w:rsid w:val="00E5341D"/>
    <w:rsid w:val="00E5357E"/>
    <w:rsid w:val="00E535F0"/>
    <w:rsid w:val="00E5381A"/>
    <w:rsid w:val="00E53E32"/>
    <w:rsid w:val="00E5402F"/>
    <w:rsid w:val="00E54A21"/>
    <w:rsid w:val="00E54C6F"/>
    <w:rsid w:val="00E5506F"/>
    <w:rsid w:val="00E5545B"/>
    <w:rsid w:val="00E55E07"/>
    <w:rsid w:val="00E56181"/>
    <w:rsid w:val="00E56352"/>
    <w:rsid w:val="00E563A7"/>
    <w:rsid w:val="00E56653"/>
    <w:rsid w:val="00E56CCA"/>
    <w:rsid w:val="00E56EAA"/>
    <w:rsid w:val="00E57C90"/>
    <w:rsid w:val="00E603CC"/>
    <w:rsid w:val="00E60E56"/>
    <w:rsid w:val="00E6118B"/>
    <w:rsid w:val="00E61886"/>
    <w:rsid w:val="00E620B6"/>
    <w:rsid w:val="00E62DA3"/>
    <w:rsid w:val="00E62DCB"/>
    <w:rsid w:val="00E635FC"/>
    <w:rsid w:val="00E637C1"/>
    <w:rsid w:val="00E639C4"/>
    <w:rsid w:val="00E63BC2"/>
    <w:rsid w:val="00E63E61"/>
    <w:rsid w:val="00E643E7"/>
    <w:rsid w:val="00E645A3"/>
    <w:rsid w:val="00E6472B"/>
    <w:rsid w:val="00E64C6C"/>
    <w:rsid w:val="00E653B0"/>
    <w:rsid w:val="00E653FC"/>
    <w:rsid w:val="00E65D2F"/>
    <w:rsid w:val="00E65F54"/>
    <w:rsid w:val="00E677B3"/>
    <w:rsid w:val="00E67A81"/>
    <w:rsid w:val="00E71448"/>
    <w:rsid w:val="00E720F4"/>
    <w:rsid w:val="00E733D1"/>
    <w:rsid w:val="00E74C4D"/>
    <w:rsid w:val="00E74E0C"/>
    <w:rsid w:val="00E75135"/>
    <w:rsid w:val="00E751F3"/>
    <w:rsid w:val="00E752B0"/>
    <w:rsid w:val="00E75C13"/>
    <w:rsid w:val="00E75C3C"/>
    <w:rsid w:val="00E76606"/>
    <w:rsid w:val="00E76A77"/>
    <w:rsid w:val="00E76B72"/>
    <w:rsid w:val="00E777C0"/>
    <w:rsid w:val="00E80DF9"/>
    <w:rsid w:val="00E8125E"/>
    <w:rsid w:val="00E8276D"/>
    <w:rsid w:val="00E83AE9"/>
    <w:rsid w:val="00E84400"/>
    <w:rsid w:val="00E84601"/>
    <w:rsid w:val="00E84752"/>
    <w:rsid w:val="00E84FB1"/>
    <w:rsid w:val="00E8519C"/>
    <w:rsid w:val="00E86A5D"/>
    <w:rsid w:val="00E8721C"/>
    <w:rsid w:val="00E87256"/>
    <w:rsid w:val="00E87757"/>
    <w:rsid w:val="00E87B5D"/>
    <w:rsid w:val="00E9025F"/>
    <w:rsid w:val="00E918E4"/>
    <w:rsid w:val="00E91DE0"/>
    <w:rsid w:val="00E930C1"/>
    <w:rsid w:val="00E943D9"/>
    <w:rsid w:val="00E9445B"/>
    <w:rsid w:val="00E95CFB"/>
    <w:rsid w:val="00E97023"/>
    <w:rsid w:val="00E9790F"/>
    <w:rsid w:val="00E97A8D"/>
    <w:rsid w:val="00EA0BA7"/>
    <w:rsid w:val="00EA0CC5"/>
    <w:rsid w:val="00EA0F80"/>
    <w:rsid w:val="00EA0FD5"/>
    <w:rsid w:val="00EA1908"/>
    <w:rsid w:val="00EA1B5A"/>
    <w:rsid w:val="00EA1B69"/>
    <w:rsid w:val="00EA223A"/>
    <w:rsid w:val="00EA2920"/>
    <w:rsid w:val="00EA2C4F"/>
    <w:rsid w:val="00EA3ADF"/>
    <w:rsid w:val="00EA3FC0"/>
    <w:rsid w:val="00EA4CCF"/>
    <w:rsid w:val="00EA4FA1"/>
    <w:rsid w:val="00EA72F6"/>
    <w:rsid w:val="00EA7426"/>
    <w:rsid w:val="00EA7FAE"/>
    <w:rsid w:val="00EB0A48"/>
    <w:rsid w:val="00EB0D27"/>
    <w:rsid w:val="00EB14E1"/>
    <w:rsid w:val="00EB1A93"/>
    <w:rsid w:val="00EB1DEF"/>
    <w:rsid w:val="00EB2260"/>
    <w:rsid w:val="00EB2706"/>
    <w:rsid w:val="00EB361F"/>
    <w:rsid w:val="00EB4842"/>
    <w:rsid w:val="00EB51B4"/>
    <w:rsid w:val="00EB5E19"/>
    <w:rsid w:val="00EB6566"/>
    <w:rsid w:val="00EB66B9"/>
    <w:rsid w:val="00EB6DDC"/>
    <w:rsid w:val="00EC0324"/>
    <w:rsid w:val="00EC0681"/>
    <w:rsid w:val="00EC0A0D"/>
    <w:rsid w:val="00EC13F0"/>
    <w:rsid w:val="00EC1407"/>
    <w:rsid w:val="00EC1BBF"/>
    <w:rsid w:val="00EC1D12"/>
    <w:rsid w:val="00EC22B3"/>
    <w:rsid w:val="00EC2A09"/>
    <w:rsid w:val="00EC2F99"/>
    <w:rsid w:val="00EC34DC"/>
    <w:rsid w:val="00EC37D0"/>
    <w:rsid w:val="00EC3835"/>
    <w:rsid w:val="00EC388B"/>
    <w:rsid w:val="00EC3ACF"/>
    <w:rsid w:val="00EC3AD7"/>
    <w:rsid w:val="00EC4613"/>
    <w:rsid w:val="00EC5138"/>
    <w:rsid w:val="00EC6D2A"/>
    <w:rsid w:val="00EC78B6"/>
    <w:rsid w:val="00ED02C5"/>
    <w:rsid w:val="00ED0416"/>
    <w:rsid w:val="00ED047B"/>
    <w:rsid w:val="00ED0500"/>
    <w:rsid w:val="00ED09A5"/>
    <w:rsid w:val="00ED2700"/>
    <w:rsid w:val="00ED366B"/>
    <w:rsid w:val="00ED3BCA"/>
    <w:rsid w:val="00ED3F6A"/>
    <w:rsid w:val="00ED406D"/>
    <w:rsid w:val="00ED55C7"/>
    <w:rsid w:val="00ED626F"/>
    <w:rsid w:val="00ED657A"/>
    <w:rsid w:val="00ED68A6"/>
    <w:rsid w:val="00ED7C23"/>
    <w:rsid w:val="00ED7CA6"/>
    <w:rsid w:val="00EE0078"/>
    <w:rsid w:val="00EE0AB0"/>
    <w:rsid w:val="00EE0B8E"/>
    <w:rsid w:val="00EE0CE1"/>
    <w:rsid w:val="00EE0F24"/>
    <w:rsid w:val="00EE19D3"/>
    <w:rsid w:val="00EE1A48"/>
    <w:rsid w:val="00EE1CD4"/>
    <w:rsid w:val="00EE2514"/>
    <w:rsid w:val="00EE38F3"/>
    <w:rsid w:val="00EE410D"/>
    <w:rsid w:val="00EE43CE"/>
    <w:rsid w:val="00EE4613"/>
    <w:rsid w:val="00EE4FE7"/>
    <w:rsid w:val="00EE5BEF"/>
    <w:rsid w:val="00EE5E48"/>
    <w:rsid w:val="00EE62ED"/>
    <w:rsid w:val="00EE6520"/>
    <w:rsid w:val="00EE6A00"/>
    <w:rsid w:val="00EE6BDD"/>
    <w:rsid w:val="00EE71AB"/>
    <w:rsid w:val="00EE77FA"/>
    <w:rsid w:val="00EE7895"/>
    <w:rsid w:val="00EF070D"/>
    <w:rsid w:val="00EF0905"/>
    <w:rsid w:val="00EF11FC"/>
    <w:rsid w:val="00EF18B7"/>
    <w:rsid w:val="00EF1924"/>
    <w:rsid w:val="00EF1D1B"/>
    <w:rsid w:val="00EF33DF"/>
    <w:rsid w:val="00EF390E"/>
    <w:rsid w:val="00EF4251"/>
    <w:rsid w:val="00EF434B"/>
    <w:rsid w:val="00EF6808"/>
    <w:rsid w:val="00EF6893"/>
    <w:rsid w:val="00EF6B8C"/>
    <w:rsid w:val="00F001FB"/>
    <w:rsid w:val="00F00386"/>
    <w:rsid w:val="00F017D3"/>
    <w:rsid w:val="00F02511"/>
    <w:rsid w:val="00F02B3E"/>
    <w:rsid w:val="00F02E00"/>
    <w:rsid w:val="00F0427D"/>
    <w:rsid w:val="00F044F8"/>
    <w:rsid w:val="00F04533"/>
    <w:rsid w:val="00F04651"/>
    <w:rsid w:val="00F047EF"/>
    <w:rsid w:val="00F04B08"/>
    <w:rsid w:val="00F04FF0"/>
    <w:rsid w:val="00F06A5B"/>
    <w:rsid w:val="00F06E19"/>
    <w:rsid w:val="00F0701D"/>
    <w:rsid w:val="00F0725B"/>
    <w:rsid w:val="00F07CF0"/>
    <w:rsid w:val="00F109ED"/>
    <w:rsid w:val="00F10A9A"/>
    <w:rsid w:val="00F115F2"/>
    <w:rsid w:val="00F11A41"/>
    <w:rsid w:val="00F1265B"/>
    <w:rsid w:val="00F126FA"/>
    <w:rsid w:val="00F13B15"/>
    <w:rsid w:val="00F13CA4"/>
    <w:rsid w:val="00F148FE"/>
    <w:rsid w:val="00F14A7A"/>
    <w:rsid w:val="00F160A9"/>
    <w:rsid w:val="00F16376"/>
    <w:rsid w:val="00F164C0"/>
    <w:rsid w:val="00F165E0"/>
    <w:rsid w:val="00F170A1"/>
    <w:rsid w:val="00F17832"/>
    <w:rsid w:val="00F17ABF"/>
    <w:rsid w:val="00F20062"/>
    <w:rsid w:val="00F200F8"/>
    <w:rsid w:val="00F20AD8"/>
    <w:rsid w:val="00F20B69"/>
    <w:rsid w:val="00F20C7D"/>
    <w:rsid w:val="00F21400"/>
    <w:rsid w:val="00F21D77"/>
    <w:rsid w:val="00F236FA"/>
    <w:rsid w:val="00F2469B"/>
    <w:rsid w:val="00F24D20"/>
    <w:rsid w:val="00F250B0"/>
    <w:rsid w:val="00F25372"/>
    <w:rsid w:val="00F253B0"/>
    <w:rsid w:val="00F25A17"/>
    <w:rsid w:val="00F25A99"/>
    <w:rsid w:val="00F25B43"/>
    <w:rsid w:val="00F26308"/>
    <w:rsid w:val="00F26A68"/>
    <w:rsid w:val="00F26D56"/>
    <w:rsid w:val="00F276D3"/>
    <w:rsid w:val="00F2791C"/>
    <w:rsid w:val="00F27C7A"/>
    <w:rsid w:val="00F27E76"/>
    <w:rsid w:val="00F3050C"/>
    <w:rsid w:val="00F3204E"/>
    <w:rsid w:val="00F32E5D"/>
    <w:rsid w:val="00F33505"/>
    <w:rsid w:val="00F3366D"/>
    <w:rsid w:val="00F33A00"/>
    <w:rsid w:val="00F33B57"/>
    <w:rsid w:val="00F35125"/>
    <w:rsid w:val="00F358EC"/>
    <w:rsid w:val="00F36026"/>
    <w:rsid w:val="00F36414"/>
    <w:rsid w:val="00F3724E"/>
    <w:rsid w:val="00F37327"/>
    <w:rsid w:val="00F3768A"/>
    <w:rsid w:val="00F37AF3"/>
    <w:rsid w:val="00F40163"/>
    <w:rsid w:val="00F40256"/>
    <w:rsid w:val="00F404D5"/>
    <w:rsid w:val="00F4060E"/>
    <w:rsid w:val="00F40CB5"/>
    <w:rsid w:val="00F41181"/>
    <w:rsid w:val="00F41944"/>
    <w:rsid w:val="00F41A47"/>
    <w:rsid w:val="00F4276F"/>
    <w:rsid w:val="00F42898"/>
    <w:rsid w:val="00F42BB2"/>
    <w:rsid w:val="00F430A7"/>
    <w:rsid w:val="00F4362B"/>
    <w:rsid w:val="00F43E97"/>
    <w:rsid w:val="00F43EE7"/>
    <w:rsid w:val="00F4401E"/>
    <w:rsid w:val="00F442CC"/>
    <w:rsid w:val="00F44A62"/>
    <w:rsid w:val="00F44C4F"/>
    <w:rsid w:val="00F4596F"/>
    <w:rsid w:val="00F45E64"/>
    <w:rsid w:val="00F46F43"/>
    <w:rsid w:val="00F47F52"/>
    <w:rsid w:val="00F47F56"/>
    <w:rsid w:val="00F50291"/>
    <w:rsid w:val="00F507F6"/>
    <w:rsid w:val="00F50C27"/>
    <w:rsid w:val="00F50D38"/>
    <w:rsid w:val="00F50F13"/>
    <w:rsid w:val="00F51318"/>
    <w:rsid w:val="00F5221E"/>
    <w:rsid w:val="00F5326B"/>
    <w:rsid w:val="00F5347B"/>
    <w:rsid w:val="00F538D8"/>
    <w:rsid w:val="00F546DB"/>
    <w:rsid w:val="00F549AE"/>
    <w:rsid w:val="00F552AE"/>
    <w:rsid w:val="00F557F5"/>
    <w:rsid w:val="00F56B25"/>
    <w:rsid w:val="00F56E4A"/>
    <w:rsid w:val="00F570F6"/>
    <w:rsid w:val="00F57CAB"/>
    <w:rsid w:val="00F57D6F"/>
    <w:rsid w:val="00F60208"/>
    <w:rsid w:val="00F609A1"/>
    <w:rsid w:val="00F60D95"/>
    <w:rsid w:val="00F60E3A"/>
    <w:rsid w:val="00F61B97"/>
    <w:rsid w:val="00F61F3A"/>
    <w:rsid w:val="00F629BE"/>
    <w:rsid w:val="00F6322F"/>
    <w:rsid w:val="00F6353A"/>
    <w:rsid w:val="00F63565"/>
    <w:rsid w:val="00F64155"/>
    <w:rsid w:val="00F6497A"/>
    <w:rsid w:val="00F64B86"/>
    <w:rsid w:val="00F64CAA"/>
    <w:rsid w:val="00F6518B"/>
    <w:rsid w:val="00F654E8"/>
    <w:rsid w:val="00F6580D"/>
    <w:rsid w:val="00F658B6"/>
    <w:rsid w:val="00F65A43"/>
    <w:rsid w:val="00F65FD6"/>
    <w:rsid w:val="00F665F3"/>
    <w:rsid w:val="00F66A3E"/>
    <w:rsid w:val="00F67576"/>
    <w:rsid w:val="00F676DA"/>
    <w:rsid w:val="00F67820"/>
    <w:rsid w:val="00F678C0"/>
    <w:rsid w:val="00F6797D"/>
    <w:rsid w:val="00F713BC"/>
    <w:rsid w:val="00F71415"/>
    <w:rsid w:val="00F71E7F"/>
    <w:rsid w:val="00F71EDC"/>
    <w:rsid w:val="00F72447"/>
    <w:rsid w:val="00F72482"/>
    <w:rsid w:val="00F7261A"/>
    <w:rsid w:val="00F72EC2"/>
    <w:rsid w:val="00F73008"/>
    <w:rsid w:val="00F751F7"/>
    <w:rsid w:val="00F755F1"/>
    <w:rsid w:val="00F75633"/>
    <w:rsid w:val="00F75865"/>
    <w:rsid w:val="00F75F77"/>
    <w:rsid w:val="00F7615F"/>
    <w:rsid w:val="00F767C9"/>
    <w:rsid w:val="00F7703B"/>
    <w:rsid w:val="00F77072"/>
    <w:rsid w:val="00F774C9"/>
    <w:rsid w:val="00F80351"/>
    <w:rsid w:val="00F807B8"/>
    <w:rsid w:val="00F808DD"/>
    <w:rsid w:val="00F80E00"/>
    <w:rsid w:val="00F81784"/>
    <w:rsid w:val="00F81F52"/>
    <w:rsid w:val="00F8223F"/>
    <w:rsid w:val="00F8296E"/>
    <w:rsid w:val="00F82AB6"/>
    <w:rsid w:val="00F835D3"/>
    <w:rsid w:val="00F83962"/>
    <w:rsid w:val="00F83EE7"/>
    <w:rsid w:val="00F83F45"/>
    <w:rsid w:val="00F83F80"/>
    <w:rsid w:val="00F84928"/>
    <w:rsid w:val="00F849B9"/>
    <w:rsid w:val="00F85591"/>
    <w:rsid w:val="00F86221"/>
    <w:rsid w:val="00F87396"/>
    <w:rsid w:val="00F876ED"/>
    <w:rsid w:val="00F87E63"/>
    <w:rsid w:val="00F90843"/>
    <w:rsid w:val="00F91277"/>
    <w:rsid w:val="00F915EC"/>
    <w:rsid w:val="00F9272E"/>
    <w:rsid w:val="00F93DAD"/>
    <w:rsid w:val="00F95332"/>
    <w:rsid w:val="00F9558F"/>
    <w:rsid w:val="00F9562E"/>
    <w:rsid w:val="00F95964"/>
    <w:rsid w:val="00F96537"/>
    <w:rsid w:val="00F96CFD"/>
    <w:rsid w:val="00F96FE3"/>
    <w:rsid w:val="00F975F6"/>
    <w:rsid w:val="00F97931"/>
    <w:rsid w:val="00F97CA9"/>
    <w:rsid w:val="00FA1426"/>
    <w:rsid w:val="00FA1494"/>
    <w:rsid w:val="00FA14BB"/>
    <w:rsid w:val="00FA1ACD"/>
    <w:rsid w:val="00FA27E5"/>
    <w:rsid w:val="00FA323F"/>
    <w:rsid w:val="00FA3370"/>
    <w:rsid w:val="00FA3886"/>
    <w:rsid w:val="00FA3A55"/>
    <w:rsid w:val="00FA3E69"/>
    <w:rsid w:val="00FA406B"/>
    <w:rsid w:val="00FA4BA2"/>
    <w:rsid w:val="00FA4E76"/>
    <w:rsid w:val="00FA595B"/>
    <w:rsid w:val="00FA5AB6"/>
    <w:rsid w:val="00FA6194"/>
    <w:rsid w:val="00FA6710"/>
    <w:rsid w:val="00FA6C3C"/>
    <w:rsid w:val="00FA6C56"/>
    <w:rsid w:val="00FA7240"/>
    <w:rsid w:val="00FA756F"/>
    <w:rsid w:val="00FA7595"/>
    <w:rsid w:val="00FA76A5"/>
    <w:rsid w:val="00FA77C7"/>
    <w:rsid w:val="00FA7821"/>
    <w:rsid w:val="00FA7B3E"/>
    <w:rsid w:val="00FA7FAB"/>
    <w:rsid w:val="00FB0B28"/>
    <w:rsid w:val="00FB0E56"/>
    <w:rsid w:val="00FB0E8E"/>
    <w:rsid w:val="00FB1887"/>
    <w:rsid w:val="00FB1DDE"/>
    <w:rsid w:val="00FB1F6F"/>
    <w:rsid w:val="00FB20F4"/>
    <w:rsid w:val="00FB22A8"/>
    <w:rsid w:val="00FB2C57"/>
    <w:rsid w:val="00FB37B9"/>
    <w:rsid w:val="00FB3F7E"/>
    <w:rsid w:val="00FB4FB6"/>
    <w:rsid w:val="00FB5CE0"/>
    <w:rsid w:val="00FB5D6A"/>
    <w:rsid w:val="00FB7692"/>
    <w:rsid w:val="00FC06FF"/>
    <w:rsid w:val="00FC135C"/>
    <w:rsid w:val="00FC18CB"/>
    <w:rsid w:val="00FC1E52"/>
    <w:rsid w:val="00FC2879"/>
    <w:rsid w:val="00FC2F05"/>
    <w:rsid w:val="00FC368E"/>
    <w:rsid w:val="00FC3890"/>
    <w:rsid w:val="00FC3C02"/>
    <w:rsid w:val="00FC5C1B"/>
    <w:rsid w:val="00FC6070"/>
    <w:rsid w:val="00FC7704"/>
    <w:rsid w:val="00FC7F39"/>
    <w:rsid w:val="00FD0031"/>
    <w:rsid w:val="00FD005A"/>
    <w:rsid w:val="00FD0090"/>
    <w:rsid w:val="00FD0E0C"/>
    <w:rsid w:val="00FD0E3E"/>
    <w:rsid w:val="00FD0FC2"/>
    <w:rsid w:val="00FD1D27"/>
    <w:rsid w:val="00FD1D79"/>
    <w:rsid w:val="00FD27BD"/>
    <w:rsid w:val="00FD4A44"/>
    <w:rsid w:val="00FD4CDE"/>
    <w:rsid w:val="00FD63EA"/>
    <w:rsid w:val="00FD6569"/>
    <w:rsid w:val="00FD6927"/>
    <w:rsid w:val="00FD6D1B"/>
    <w:rsid w:val="00FD6EA0"/>
    <w:rsid w:val="00FD7EA4"/>
    <w:rsid w:val="00FE0263"/>
    <w:rsid w:val="00FE091A"/>
    <w:rsid w:val="00FE0EE4"/>
    <w:rsid w:val="00FE0F36"/>
    <w:rsid w:val="00FE1029"/>
    <w:rsid w:val="00FE1818"/>
    <w:rsid w:val="00FE1AA3"/>
    <w:rsid w:val="00FE26C2"/>
    <w:rsid w:val="00FE2A2A"/>
    <w:rsid w:val="00FE2E40"/>
    <w:rsid w:val="00FE302D"/>
    <w:rsid w:val="00FE44F6"/>
    <w:rsid w:val="00FE5058"/>
    <w:rsid w:val="00FE5837"/>
    <w:rsid w:val="00FE64B7"/>
    <w:rsid w:val="00FE6CFC"/>
    <w:rsid w:val="00FE7ED5"/>
    <w:rsid w:val="00FF01C7"/>
    <w:rsid w:val="00FF06BE"/>
    <w:rsid w:val="00FF081C"/>
    <w:rsid w:val="00FF1098"/>
    <w:rsid w:val="00FF1321"/>
    <w:rsid w:val="00FF15A4"/>
    <w:rsid w:val="00FF26FD"/>
    <w:rsid w:val="00FF302E"/>
    <w:rsid w:val="00FF31D3"/>
    <w:rsid w:val="00FF37B5"/>
    <w:rsid w:val="00FF55D8"/>
    <w:rsid w:val="00FF5BE7"/>
    <w:rsid w:val="00FF6032"/>
    <w:rsid w:val="00FF61A8"/>
    <w:rsid w:val="00FF6535"/>
    <w:rsid w:val="00FF683C"/>
    <w:rsid w:val="00FF6B40"/>
    <w:rsid w:val="00FF728D"/>
    <w:rsid w:val="00FF789C"/>
    <w:rsid w:val="00FF7D12"/>
    <w:rsid w:val="012043DB"/>
    <w:rsid w:val="013E7638"/>
    <w:rsid w:val="0161CCB2"/>
    <w:rsid w:val="01AA7D98"/>
    <w:rsid w:val="01B62BC2"/>
    <w:rsid w:val="01B76470"/>
    <w:rsid w:val="01DC0FEC"/>
    <w:rsid w:val="0226F64D"/>
    <w:rsid w:val="023475C9"/>
    <w:rsid w:val="02450547"/>
    <w:rsid w:val="028204CD"/>
    <w:rsid w:val="02AABF72"/>
    <w:rsid w:val="02D1CC2C"/>
    <w:rsid w:val="0305DF6F"/>
    <w:rsid w:val="03356110"/>
    <w:rsid w:val="0344B4E8"/>
    <w:rsid w:val="0371EFF2"/>
    <w:rsid w:val="038B184F"/>
    <w:rsid w:val="03C4C650"/>
    <w:rsid w:val="03E14FBB"/>
    <w:rsid w:val="03E466D8"/>
    <w:rsid w:val="0418FB09"/>
    <w:rsid w:val="04204E12"/>
    <w:rsid w:val="0421D1B9"/>
    <w:rsid w:val="043D1DCE"/>
    <w:rsid w:val="04619D2D"/>
    <w:rsid w:val="04653B84"/>
    <w:rsid w:val="04AEA922"/>
    <w:rsid w:val="04B3C397"/>
    <w:rsid w:val="0500DF4D"/>
    <w:rsid w:val="052BD4DC"/>
    <w:rsid w:val="0537ADD9"/>
    <w:rsid w:val="05877D4A"/>
    <w:rsid w:val="05917D60"/>
    <w:rsid w:val="05956EF2"/>
    <w:rsid w:val="05960BCC"/>
    <w:rsid w:val="05A7013C"/>
    <w:rsid w:val="05B5403B"/>
    <w:rsid w:val="0611BE91"/>
    <w:rsid w:val="0641776F"/>
    <w:rsid w:val="0642E0F8"/>
    <w:rsid w:val="0654D5CE"/>
    <w:rsid w:val="06563B64"/>
    <w:rsid w:val="065AD804"/>
    <w:rsid w:val="06BED9A1"/>
    <w:rsid w:val="06FFDD05"/>
    <w:rsid w:val="07143256"/>
    <w:rsid w:val="07194DDC"/>
    <w:rsid w:val="072854AE"/>
    <w:rsid w:val="0744F9A5"/>
    <w:rsid w:val="0775F063"/>
    <w:rsid w:val="07908E8C"/>
    <w:rsid w:val="079FEA40"/>
    <w:rsid w:val="07B0F7C1"/>
    <w:rsid w:val="07C26C69"/>
    <w:rsid w:val="07CFB11C"/>
    <w:rsid w:val="07D84FA2"/>
    <w:rsid w:val="07F6A865"/>
    <w:rsid w:val="07F6F1A1"/>
    <w:rsid w:val="0831D490"/>
    <w:rsid w:val="0840D67F"/>
    <w:rsid w:val="084A5AA0"/>
    <w:rsid w:val="0868FA84"/>
    <w:rsid w:val="086AD7F3"/>
    <w:rsid w:val="0979FE52"/>
    <w:rsid w:val="09950045"/>
    <w:rsid w:val="09B2B096"/>
    <w:rsid w:val="09C13630"/>
    <w:rsid w:val="09D2AA58"/>
    <w:rsid w:val="09EF12B3"/>
    <w:rsid w:val="0A06CF9A"/>
    <w:rsid w:val="0A1FB771"/>
    <w:rsid w:val="0A2DD5E4"/>
    <w:rsid w:val="0A3AA84F"/>
    <w:rsid w:val="0A5AB7EE"/>
    <w:rsid w:val="0A6C262D"/>
    <w:rsid w:val="0A9B6033"/>
    <w:rsid w:val="0A9D3670"/>
    <w:rsid w:val="0AA45AB2"/>
    <w:rsid w:val="0AD391DC"/>
    <w:rsid w:val="0AE86719"/>
    <w:rsid w:val="0B0F332D"/>
    <w:rsid w:val="0B0F4B29"/>
    <w:rsid w:val="0B3F5CC0"/>
    <w:rsid w:val="0B7194F1"/>
    <w:rsid w:val="0B91576F"/>
    <w:rsid w:val="0BA0ED5B"/>
    <w:rsid w:val="0BC9A645"/>
    <w:rsid w:val="0BE82592"/>
    <w:rsid w:val="0BFBC5D1"/>
    <w:rsid w:val="0C0D2BF2"/>
    <w:rsid w:val="0C1AB73A"/>
    <w:rsid w:val="0C382534"/>
    <w:rsid w:val="0C848CB9"/>
    <w:rsid w:val="0C994EB9"/>
    <w:rsid w:val="0CACE48F"/>
    <w:rsid w:val="0CD67F93"/>
    <w:rsid w:val="0CEE9D69"/>
    <w:rsid w:val="0D886F01"/>
    <w:rsid w:val="0D91A9DF"/>
    <w:rsid w:val="0D957280"/>
    <w:rsid w:val="0DA10BE9"/>
    <w:rsid w:val="0DAB0375"/>
    <w:rsid w:val="0DB2AAF2"/>
    <w:rsid w:val="0DC6DA14"/>
    <w:rsid w:val="0DEF5124"/>
    <w:rsid w:val="0DFE8972"/>
    <w:rsid w:val="0E006324"/>
    <w:rsid w:val="0E1DEB74"/>
    <w:rsid w:val="0E27D9AF"/>
    <w:rsid w:val="0E50F557"/>
    <w:rsid w:val="0E619427"/>
    <w:rsid w:val="0E628523"/>
    <w:rsid w:val="0E6D13E1"/>
    <w:rsid w:val="0EBE5B10"/>
    <w:rsid w:val="0F13DDBB"/>
    <w:rsid w:val="0F2A10C0"/>
    <w:rsid w:val="0F3B7E68"/>
    <w:rsid w:val="0F7DC5EA"/>
    <w:rsid w:val="0FBA344A"/>
    <w:rsid w:val="0FC761A0"/>
    <w:rsid w:val="0FDAB115"/>
    <w:rsid w:val="0FFB4FDD"/>
    <w:rsid w:val="1028C37F"/>
    <w:rsid w:val="1038C830"/>
    <w:rsid w:val="10BBF4BA"/>
    <w:rsid w:val="10CD1342"/>
    <w:rsid w:val="10E3F807"/>
    <w:rsid w:val="11439E3E"/>
    <w:rsid w:val="116A3E08"/>
    <w:rsid w:val="116DA65D"/>
    <w:rsid w:val="11900D40"/>
    <w:rsid w:val="119A67B3"/>
    <w:rsid w:val="11B2C833"/>
    <w:rsid w:val="11C51B22"/>
    <w:rsid w:val="11F3F4CC"/>
    <w:rsid w:val="120A0BD9"/>
    <w:rsid w:val="12203192"/>
    <w:rsid w:val="123045F6"/>
    <w:rsid w:val="12427521"/>
    <w:rsid w:val="1257E5E7"/>
    <w:rsid w:val="126C5570"/>
    <w:rsid w:val="12834A9D"/>
    <w:rsid w:val="128D77E5"/>
    <w:rsid w:val="128E483B"/>
    <w:rsid w:val="1294149B"/>
    <w:rsid w:val="1385DCAE"/>
    <w:rsid w:val="138BC043"/>
    <w:rsid w:val="13BF0497"/>
    <w:rsid w:val="13C10273"/>
    <w:rsid w:val="13D9BE80"/>
    <w:rsid w:val="13DDBA79"/>
    <w:rsid w:val="13F7F693"/>
    <w:rsid w:val="13FC434B"/>
    <w:rsid w:val="1407134A"/>
    <w:rsid w:val="140D9418"/>
    <w:rsid w:val="147BD6AF"/>
    <w:rsid w:val="14E0C8BD"/>
    <w:rsid w:val="14E96DAF"/>
    <w:rsid w:val="1538D771"/>
    <w:rsid w:val="1546FA20"/>
    <w:rsid w:val="155CBE68"/>
    <w:rsid w:val="15660180"/>
    <w:rsid w:val="15820369"/>
    <w:rsid w:val="158E7A91"/>
    <w:rsid w:val="15ADAAE7"/>
    <w:rsid w:val="15C5CB68"/>
    <w:rsid w:val="15E2533B"/>
    <w:rsid w:val="161AF57C"/>
    <w:rsid w:val="16225666"/>
    <w:rsid w:val="1673DB08"/>
    <w:rsid w:val="16821703"/>
    <w:rsid w:val="16B063D4"/>
    <w:rsid w:val="16D635C1"/>
    <w:rsid w:val="16E176BB"/>
    <w:rsid w:val="16E99D9C"/>
    <w:rsid w:val="16F1497A"/>
    <w:rsid w:val="172080BE"/>
    <w:rsid w:val="17283B18"/>
    <w:rsid w:val="177F10E4"/>
    <w:rsid w:val="179B1FAC"/>
    <w:rsid w:val="17BBCB58"/>
    <w:rsid w:val="17ED1CB1"/>
    <w:rsid w:val="17F3AA71"/>
    <w:rsid w:val="17FCBCD7"/>
    <w:rsid w:val="183AC913"/>
    <w:rsid w:val="1865AAED"/>
    <w:rsid w:val="1869DE2B"/>
    <w:rsid w:val="1877D5A1"/>
    <w:rsid w:val="187FD720"/>
    <w:rsid w:val="188101B4"/>
    <w:rsid w:val="188CAE21"/>
    <w:rsid w:val="188E1207"/>
    <w:rsid w:val="18B847CE"/>
    <w:rsid w:val="18CFBC8C"/>
    <w:rsid w:val="190CD524"/>
    <w:rsid w:val="190EA4C7"/>
    <w:rsid w:val="19447085"/>
    <w:rsid w:val="19575DF6"/>
    <w:rsid w:val="1964471E"/>
    <w:rsid w:val="199FB5FD"/>
    <w:rsid w:val="19A12B94"/>
    <w:rsid w:val="19AF7A1A"/>
    <w:rsid w:val="19D2E44C"/>
    <w:rsid w:val="19FBF06A"/>
    <w:rsid w:val="1A26AA8A"/>
    <w:rsid w:val="1A4A98F0"/>
    <w:rsid w:val="1ACBA275"/>
    <w:rsid w:val="1AEA4410"/>
    <w:rsid w:val="1AF5929D"/>
    <w:rsid w:val="1B17989D"/>
    <w:rsid w:val="1B1BEDCA"/>
    <w:rsid w:val="1B82F650"/>
    <w:rsid w:val="1B907E87"/>
    <w:rsid w:val="1B9EA169"/>
    <w:rsid w:val="1BAB15E7"/>
    <w:rsid w:val="1BB821AB"/>
    <w:rsid w:val="1BCF0790"/>
    <w:rsid w:val="1BDC9CAA"/>
    <w:rsid w:val="1C59D228"/>
    <w:rsid w:val="1C65E46E"/>
    <w:rsid w:val="1C75ADBD"/>
    <w:rsid w:val="1C8964F0"/>
    <w:rsid w:val="1CAD4E8E"/>
    <w:rsid w:val="1CAEDBF2"/>
    <w:rsid w:val="1CEBC57B"/>
    <w:rsid w:val="1D1C4FCD"/>
    <w:rsid w:val="1D29A6C2"/>
    <w:rsid w:val="1D5CD5FA"/>
    <w:rsid w:val="1D749874"/>
    <w:rsid w:val="1DA2439D"/>
    <w:rsid w:val="1DB79555"/>
    <w:rsid w:val="1DC2F8DC"/>
    <w:rsid w:val="1DF63087"/>
    <w:rsid w:val="1E164AC7"/>
    <w:rsid w:val="1E6EB8D7"/>
    <w:rsid w:val="1EA88009"/>
    <w:rsid w:val="1EC57723"/>
    <w:rsid w:val="1EE8F1AD"/>
    <w:rsid w:val="1F0CE0BC"/>
    <w:rsid w:val="1F3C7B96"/>
    <w:rsid w:val="1F6096A3"/>
    <w:rsid w:val="1F6637EC"/>
    <w:rsid w:val="1F7FC2B8"/>
    <w:rsid w:val="1F84160D"/>
    <w:rsid w:val="1FA2EB18"/>
    <w:rsid w:val="1FA95B0F"/>
    <w:rsid w:val="1FBE8956"/>
    <w:rsid w:val="1FE929F3"/>
    <w:rsid w:val="1FF8F5AC"/>
    <w:rsid w:val="20032636"/>
    <w:rsid w:val="201E4169"/>
    <w:rsid w:val="2026E6A8"/>
    <w:rsid w:val="204F368E"/>
    <w:rsid w:val="205C6BA4"/>
    <w:rsid w:val="206CA8DF"/>
    <w:rsid w:val="20955016"/>
    <w:rsid w:val="20A81217"/>
    <w:rsid w:val="20EEA796"/>
    <w:rsid w:val="20EEAEC0"/>
    <w:rsid w:val="21424945"/>
    <w:rsid w:val="21623B95"/>
    <w:rsid w:val="21CE11F2"/>
    <w:rsid w:val="226165EA"/>
    <w:rsid w:val="22619F0D"/>
    <w:rsid w:val="2287EA1F"/>
    <w:rsid w:val="22CC5610"/>
    <w:rsid w:val="22E3A714"/>
    <w:rsid w:val="235913D7"/>
    <w:rsid w:val="23BD5A11"/>
    <w:rsid w:val="23BDEBC1"/>
    <w:rsid w:val="23C0A5DA"/>
    <w:rsid w:val="23E22A8D"/>
    <w:rsid w:val="24283EDC"/>
    <w:rsid w:val="242CD79E"/>
    <w:rsid w:val="2431F80E"/>
    <w:rsid w:val="2439E8E8"/>
    <w:rsid w:val="2477DD24"/>
    <w:rsid w:val="24C7AECF"/>
    <w:rsid w:val="24D74A4A"/>
    <w:rsid w:val="2513A687"/>
    <w:rsid w:val="25289E3C"/>
    <w:rsid w:val="252C134C"/>
    <w:rsid w:val="25390590"/>
    <w:rsid w:val="256FCF8B"/>
    <w:rsid w:val="258887CF"/>
    <w:rsid w:val="258E7368"/>
    <w:rsid w:val="259B45A3"/>
    <w:rsid w:val="25A3C7AB"/>
    <w:rsid w:val="25B5DAC0"/>
    <w:rsid w:val="25C542A5"/>
    <w:rsid w:val="25F8E4E6"/>
    <w:rsid w:val="25FD3DCB"/>
    <w:rsid w:val="2606615E"/>
    <w:rsid w:val="266B35EA"/>
    <w:rsid w:val="26D055DE"/>
    <w:rsid w:val="270655CE"/>
    <w:rsid w:val="2712CFD2"/>
    <w:rsid w:val="273E0BBD"/>
    <w:rsid w:val="27B44AAC"/>
    <w:rsid w:val="27BD45BE"/>
    <w:rsid w:val="27FA0AE9"/>
    <w:rsid w:val="2819FEB9"/>
    <w:rsid w:val="281F7ED9"/>
    <w:rsid w:val="2820273D"/>
    <w:rsid w:val="285F6B7B"/>
    <w:rsid w:val="2889F49E"/>
    <w:rsid w:val="2896135A"/>
    <w:rsid w:val="289BC3DC"/>
    <w:rsid w:val="28A869A0"/>
    <w:rsid w:val="28D89EC8"/>
    <w:rsid w:val="290AA81A"/>
    <w:rsid w:val="2933CF3A"/>
    <w:rsid w:val="29459827"/>
    <w:rsid w:val="29476402"/>
    <w:rsid w:val="294B5398"/>
    <w:rsid w:val="296FDD45"/>
    <w:rsid w:val="297305B0"/>
    <w:rsid w:val="2976E3DC"/>
    <w:rsid w:val="29C1BC58"/>
    <w:rsid w:val="29E0DED4"/>
    <w:rsid w:val="29E923A7"/>
    <w:rsid w:val="29EC7A9A"/>
    <w:rsid w:val="29EE8148"/>
    <w:rsid w:val="2A17514A"/>
    <w:rsid w:val="2A378BA5"/>
    <w:rsid w:val="2A3C87F2"/>
    <w:rsid w:val="2A736CCD"/>
    <w:rsid w:val="2A83CF2C"/>
    <w:rsid w:val="2A9DDAAD"/>
    <w:rsid w:val="2ADF67FC"/>
    <w:rsid w:val="2AFC0F5B"/>
    <w:rsid w:val="2B4ADB92"/>
    <w:rsid w:val="2B64B3E8"/>
    <w:rsid w:val="2BDC39E7"/>
    <w:rsid w:val="2BE2CFC4"/>
    <w:rsid w:val="2C08E746"/>
    <w:rsid w:val="2C4F71C5"/>
    <w:rsid w:val="2C4F8E9C"/>
    <w:rsid w:val="2C64DA60"/>
    <w:rsid w:val="2C8494BE"/>
    <w:rsid w:val="2CBCBE4C"/>
    <w:rsid w:val="2CE76DF5"/>
    <w:rsid w:val="2CEA8F9D"/>
    <w:rsid w:val="2D4C5C3C"/>
    <w:rsid w:val="2D69847D"/>
    <w:rsid w:val="2D9A60C9"/>
    <w:rsid w:val="2E082C2A"/>
    <w:rsid w:val="2E0A63D3"/>
    <w:rsid w:val="2E1A54EF"/>
    <w:rsid w:val="2E548232"/>
    <w:rsid w:val="2EABDAE4"/>
    <w:rsid w:val="2EE23AA3"/>
    <w:rsid w:val="2F073CE3"/>
    <w:rsid w:val="2F33EC5E"/>
    <w:rsid w:val="2F354AF3"/>
    <w:rsid w:val="2F521320"/>
    <w:rsid w:val="2F69A91B"/>
    <w:rsid w:val="2F7736A1"/>
    <w:rsid w:val="2FA90E8F"/>
    <w:rsid w:val="2FF0651A"/>
    <w:rsid w:val="30251891"/>
    <w:rsid w:val="306B3395"/>
    <w:rsid w:val="30879206"/>
    <w:rsid w:val="308C1A73"/>
    <w:rsid w:val="308FD1F8"/>
    <w:rsid w:val="30D48ED7"/>
    <w:rsid w:val="30FF03A2"/>
    <w:rsid w:val="31019B39"/>
    <w:rsid w:val="311126F3"/>
    <w:rsid w:val="314D5338"/>
    <w:rsid w:val="314FCB21"/>
    <w:rsid w:val="31899392"/>
    <w:rsid w:val="3197AC1F"/>
    <w:rsid w:val="31A34B3D"/>
    <w:rsid w:val="31CE8632"/>
    <w:rsid w:val="31DFA09D"/>
    <w:rsid w:val="31E533C0"/>
    <w:rsid w:val="31EE32F3"/>
    <w:rsid w:val="3215E3D5"/>
    <w:rsid w:val="3253059D"/>
    <w:rsid w:val="328DEE35"/>
    <w:rsid w:val="32AD73D2"/>
    <w:rsid w:val="331B3D5C"/>
    <w:rsid w:val="333BFCF1"/>
    <w:rsid w:val="335F841F"/>
    <w:rsid w:val="33684EB9"/>
    <w:rsid w:val="337D360C"/>
    <w:rsid w:val="3384219D"/>
    <w:rsid w:val="339F0F36"/>
    <w:rsid w:val="3400A2D7"/>
    <w:rsid w:val="342AB172"/>
    <w:rsid w:val="344372F6"/>
    <w:rsid w:val="3455D2E8"/>
    <w:rsid w:val="34564B9F"/>
    <w:rsid w:val="3464DECA"/>
    <w:rsid w:val="346A7DB4"/>
    <w:rsid w:val="348DF38F"/>
    <w:rsid w:val="3491E503"/>
    <w:rsid w:val="34EF58D9"/>
    <w:rsid w:val="354B588A"/>
    <w:rsid w:val="355182B7"/>
    <w:rsid w:val="355F3EEF"/>
    <w:rsid w:val="35627B8B"/>
    <w:rsid w:val="35920E59"/>
    <w:rsid w:val="35D56C5F"/>
    <w:rsid w:val="35FB9080"/>
    <w:rsid w:val="362440CA"/>
    <w:rsid w:val="363FE82A"/>
    <w:rsid w:val="36597F99"/>
    <w:rsid w:val="36CCAD92"/>
    <w:rsid w:val="36F38281"/>
    <w:rsid w:val="370D4E63"/>
    <w:rsid w:val="372887C1"/>
    <w:rsid w:val="3730869B"/>
    <w:rsid w:val="373107E2"/>
    <w:rsid w:val="374B3C1A"/>
    <w:rsid w:val="378A9CFE"/>
    <w:rsid w:val="37A28835"/>
    <w:rsid w:val="37BCD2EE"/>
    <w:rsid w:val="37CDCC50"/>
    <w:rsid w:val="37FBE8EB"/>
    <w:rsid w:val="3887695F"/>
    <w:rsid w:val="38A4537C"/>
    <w:rsid w:val="38C24721"/>
    <w:rsid w:val="38E7DA26"/>
    <w:rsid w:val="39096B31"/>
    <w:rsid w:val="3925619C"/>
    <w:rsid w:val="392F9902"/>
    <w:rsid w:val="3964B6D4"/>
    <w:rsid w:val="39ED1F30"/>
    <w:rsid w:val="3A0F6C14"/>
    <w:rsid w:val="3A25D738"/>
    <w:rsid w:val="3A36B43E"/>
    <w:rsid w:val="3A4D3F58"/>
    <w:rsid w:val="3A6BCA36"/>
    <w:rsid w:val="3A7D71D6"/>
    <w:rsid w:val="3A95448C"/>
    <w:rsid w:val="3AA03D1C"/>
    <w:rsid w:val="3B57A37E"/>
    <w:rsid w:val="3B853C7F"/>
    <w:rsid w:val="3B95C21F"/>
    <w:rsid w:val="3C0DE9E9"/>
    <w:rsid w:val="3C0EF78B"/>
    <w:rsid w:val="3C319477"/>
    <w:rsid w:val="3C64DE35"/>
    <w:rsid w:val="3C7D8EF7"/>
    <w:rsid w:val="3C9760B1"/>
    <w:rsid w:val="3CE49CF6"/>
    <w:rsid w:val="3CFFB8FD"/>
    <w:rsid w:val="3D1BD2C9"/>
    <w:rsid w:val="3D43EDDC"/>
    <w:rsid w:val="3DA98033"/>
    <w:rsid w:val="3DC16D73"/>
    <w:rsid w:val="3DDD6966"/>
    <w:rsid w:val="3DE83345"/>
    <w:rsid w:val="3E29F48E"/>
    <w:rsid w:val="3E68E5C7"/>
    <w:rsid w:val="3E85A340"/>
    <w:rsid w:val="3E93F778"/>
    <w:rsid w:val="3EA13D9D"/>
    <w:rsid w:val="3EF85487"/>
    <w:rsid w:val="3EFD7A21"/>
    <w:rsid w:val="3F2F1649"/>
    <w:rsid w:val="3F5DA4A5"/>
    <w:rsid w:val="4012705E"/>
    <w:rsid w:val="401FAE84"/>
    <w:rsid w:val="408A7907"/>
    <w:rsid w:val="408F7138"/>
    <w:rsid w:val="40B984D5"/>
    <w:rsid w:val="40BAA384"/>
    <w:rsid w:val="40DAE7BD"/>
    <w:rsid w:val="4128C651"/>
    <w:rsid w:val="4171682F"/>
    <w:rsid w:val="417F6BEF"/>
    <w:rsid w:val="4183C5F7"/>
    <w:rsid w:val="41C3661A"/>
    <w:rsid w:val="41E7BC51"/>
    <w:rsid w:val="41F3216E"/>
    <w:rsid w:val="41F919BC"/>
    <w:rsid w:val="422E1842"/>
    <w:rsid w:val="423D25D0"/>
    <w:rsid w:val="4250010A"/>
    <w:rsid w:val="4265F3F1"/>
    <w:rsid w:val="4299222B"/>
    <w:rsid w:val="429ECEEF"/>
    <w:rsid w:val="42A8ABB6"/>
    <w:rsid w:val="42ACF166"/>
    <w:rsid w:val="42AE7033"/>
    <w:rsid w:val="42C1020D"/>
    <w:rsid w:val="431BA87E"/>
    <w:rsid w:val="4332BE72"/>
    <w:rsid w:val="434DF9F7"/>
    <w:rsid w:val="43A87CF6"/>
    <w:rsid w:val="43C9B792"/>
    <w:rsid w:val="43CA8D15"/>
    <w:rsid w:val="43CC767E"/>
    <w:rsid w:val="440D40C3"/>
    <w:rsid w:val="44186C63"/>
    <w:rsid w:val="4436761F"/>
    <w:rsid w:val="4473892A"/>
    <w:rsid w:val="449A1757"/>
    <w:rsid w:val="44F0A3DA"/>
    <w:rsid w:val="45069126"/>
    <w:rsid w:val="4557A1BC"/>
    <w:rsid w:val="45648770"/>
    <w:rsid w:val="4584BC2B"/>
    <w:rsid w:val="45A843A8"/>
    <w:rsid w:val="45AE2F4E"/>
    <w:rsid w:val="45B3405B"/>
    <w:rsid w:val="45C32EA5"/>
    <w:rsid w:val="46012591"/>
    <w:rsid w:val="4615729D"/>
    <w:rsid w:val="4622B296"/>
    <w:rsid w:val="463281E7"/>
    <w:rsid w:val="465473FD"/>
    <w:rsid w:val="466B91B6"/>
    <w:rsid w:val="467FF3FA"/>
    <w:rsid w:val="46A90590"/>
    <w:rsid w:val="46C10CF5"/>
    <w:rsid w:val="46CC4F05"/>
    <w:rsid w:val="46FC0EE9"/>
    <w:rsid w:val="470AE57C"/>
    <w:rsid w:val="4730C941"/>
    <w:rsid w:val="47764D32"/>
    <w:rsid w:val="4799E092"/>
    <w:rsid w:val="47C128C3"/>
    <w:rsid w:val="47C8CDED"/>
    <w:rsid w:val="47DB0BD0"/>
    <w:rsid w:val="47E200DE"/>
    <w:rsid w:val="4805A39C"/>
    <w:rsid w:val="482EF786"/>
    <w:rsid w:val="48355C53"/>
    <w:rsid w:val="48A6EA47"/>
    <w:rsid w:val="491247FF"/>
    <w:rsid w:val="491A7139"/>
    <w:rsid w:val="49256483"/>
    <w:rsid w:val="492F7F3F"/>
    <w:rsid w:val="493BE2D6"/>
    <w:rsid w:val="4991331B"/>
    <w:rsid w:val="49AE3E5A"/>
    <w:rsid w:val="49D006AA"/>
    <w:rsid w:val="4A2B7864"/>
    <w:rsid w:val="4A91F021"/>
    <w:rsid w:val="4AA25CB0"/>
    <w:rsid w:val="4AADC675"/>
    <w:rsid w:val="4B0605C0"/>
    <w:rsid w:val="4B1B4663"/>
    <w:rsid w:val="4B409AFB"/>
    <w:rsid w:val="4B50A495"/>
    <w:rsid w:val="4B5E6A20"/>
    <w:rsid w:val="4B9BA618"/>
    <w:rsid w:val="4BAEDFE0"/>
    <w:rsid w:val="4BB861F1"/>
    <w:rsid w:val="4BBD34E8"/>
    <w:rsid w:val="4BBEE212"/>
    <w:rsid w:val="4BCB19C9"/>
    <w:rsid w:val="4BDA0ECB"/>
    <w:rsid w:val="4C36937C"/>
    <w:rsid w:val="4C414995"/>
    <w:rsid w:val="4C7A07A5"/>
    <w:rsid w:val="4C7A9F78"/>
    <w:rsid w:val="4CA704AC"/>
    <w:rsid w:val="4CDE63B7"/>
    <w:rsid w:val="4CF2B721"/>
    <w:rsid w:val="4D0404E2"/>
    <w:rsid w:val="4D0ECF3C"/>
    <w:rsid w:val="4D0F9F3A"/>
    <w:rsid w:val="4D162D01"/>
    <w:rsid w:val="4D2F5D2B"/>
    <w:rsid w:val="4D56258F"/>
    <w:rsid w:val="4D5BD1EF"/>
    <w:rsid w:val="4D628251"/>
    <w:rsid w:val="4D8A8953"/>
    <w:rsid w:val="4D94428D"/>
    <w:rsid w:val="4E164CD4"/>
    <w:rsid w:val="4E5D4156"/>
    <w:rsid w:val="4E654591"/>
    <w:rsid w:val="4E811C02"/>
    <w:rsid w:val="4E99433D"/>
    <w:rsid w:val="4EDFE5F7"/>
    <w:rsid w:val="4EF65577"/>
    <w:rsid w:val="4F28695E"/>
    <w:rsid w:val="4F5015C1"/>
    <w:rsid w:val="4FE5EEFB"/>
    <w:rsid w:val="4FECB869"/>
    <w:rsid w:val="5011036C"/>
    <w:rsid w:val="501E6AA6"/>
    <w:rsid w:val="502E6A12"/>
    <w:rsid w:val="506D2344"/>
    <w:rsid w:val="5082DB47"/>
    <w:rsid w:val="512948A0"/>
    <w:rsid w:val="5138A50F"/>
    <w:rsid w:val="51673648"/>
    <w:rsid w:val="517DEB52"/>
    <w:rsid w:val="518A87E7"/>
    <w:rsid w:val="51B1B223"/>
    <w:rsid w:val="51B601DD"/>
    <w:rsid w:val="51EEF4A5"/>
    <w:rsid w:val="52206E62"/>
    <w:rsid w:val="52372549"/>
    <w:rsid w:val="524C0F60"/>
    <w:rsid w:val="5277E220"/>
    <w:rsid w:val="52F59F96"/>
    <w:rsid w:val="534E3E99"/>
    <w:rsid w:val="53548D63"/>
    <w:rsid w:val="535FB021"/>
    <w:rsid w:val="53AADFFF"/>
    <w:rsid w:val="53BD6587"/>
    <w:rsid w:val="53D11F42"/>
    <w:rsid w:val="53EFC7D5"/>
    <w:rsid w:val="53F088FA"/>
    <w:rsid w:val="5403B5FE"/>
    <w:rsid w:val="5403CBE4"/>
    <w:rsid w:val="54391176"/>
    <w:rsid w:val="544CBB35"/>
    <w:rsid w:val="54510DAB"/>
    <w:rsid w:val="54625F56"/>
    <w:rsid w:val="5482E46B"/>
    <w:rsid w:val="54F9C427"/>
    <w:rsid w:val="54FBD98D"/>
    <w:rsid w:val="5510F63B"/>
    <w:rsid w:val="55486BAE"/>
    <w:rsid w:val="554930CD"/>
    <w:rsid w:val="554FBE84"/>
    <w:rsid w:val="5554AE57"/>
    <w:rsid w:val="5559E0EF"/>
    <w:rsid w:val="55978975"/>
    <w:rsid w:val="55AD3D78"/>
    <w:rsid w:val="55B3BFF2"/>
    <w:rsid w:val="55C615A7"/>
    <w:rsid w:val="55E88B96"/>
    <w:rsid w:val="55EDAFC3"/>
    <w:rsid w:val="55F20AED"/>
    <w:rsid w:val="55F3F75C"/>
    <w:rsid w:val="55F76E2E"/>
    <w:rsid w:val="564ABC65"/>
    <w:rsid w:val="56F33A0C"/>
    <w:rsid w:val="576E6513"/>
    <w:rsid w:val="5778DC43"/>
    <w:rsid w:val="57A469EE"/>
    <w:rsid w:val="57B6E91F"/>
    <w:rsid w:val="58781EEA"/>
    <w:rsid w:val="58A49B62"/>
    <w:rsid w:val="58B5A463"/>
    <w:rsid w:val="58C9E4A8"/>
    <w:rsid w:val="58DADCB3"/>
    <w:rsid w:val="58E339FA"/>
    <w:rsid w:val="58FAA142"/>
    <w:rsid w:val="5922B19D"/>
    <w:rsid w:val="593385A4"/>
    <w:rsid w:val="593699DC"/>
    <w:rsid w:val="596DDD4D"/>
    <w:rsid w:val="5995CE9F"/>
    <w:rsid w:val="59A486F3"/>
    <w:rsid w:val="59BC7493"/>
    <w:rsid w:val="59C9FA21"/>
    <w:rsid w:val="59CDA718"/>
    <w:rsid w:val="59E6CBDF"/>
    <w:rsid w:val="59E85830"/>
    <w:rsid w:val="59EFF517"/>
    <w:rsid w:val="5A0A4799"/>
    <w:rsid w:val="5A79243F"/>
    <w:rsid w:val="5A9ECEF6"/>
    <w:rsid w:val="5AA6DCFB"/>
    <w:rsid w:val="5AAE7776"/>
    <w:rsid w:val="5AAE9C83"/>
    <w:rsid w:val="5AE94AF1"/>
    <w:rsid w:val="5B3F88FE"/>
    <w:rsid w:val="5B5FE365"/>
    <w:rsid w:val="5B6B813B"/>
    <w:rsid w:val="5B77483A"/>
    <w:rsid w:val="5BB465B1"/>
    <w:rsid w:val="5BD73C56"/>
    <w:rsid w:val="5C0908B0"/>
    <w:rsid w:val="5C5715EF"/>
    <w:rsid w:val="5C80A8C7"/>
    <w:rsid w:val="5CA7BC8C"/>
    <w:rsid w:val="5CA7F6EE"/>
    <w:rsid w:val="5CED84C3"/>
    <w:rsid w:val="5D0A56D4"/>
    <w:rsid w:val="5D2B2AE1"/>
    <w:rsid w:val="5D5A0073"/>
    <w:rsid w:val="5D6CDB61"/>
    <w:rsid w:val="5D9787A1"/>
    <w:rsid w:val="5D997928"/>
    <w:rsid w:val="5DC78868"/>
    <w:rsid w:val="5DCA9AFA"/>
    <w:rsid w:val="5DD37818"/>
    <w:rsid w:val="5E29455C"/>
    <w:rsid w:val="5E2D77B4"/>
    <w:rsid w:val="5E3A518A"/>
    <w:rsid w:val="5E468DF4"/>
    <w:rsid w:val="5E57D018"/>
    <w:rsid w:val="5EAC1006"/>
    <w:rsid w:val="5EC504E6"/>
    <w:rsid w:val="5EE5AEA2"/>
    <w:rsid w:val="5EF56E25"/>
    <w:rsid w:val="5F05BEBC"/>
    <w:rsid w:val="5F287AEB"/>
    <w:rsid w:val="5F46556B"/>
    <w:rsid w:val="5F8512E0"/>
    <w:rsid w:val="5F8AD420"/>
    <w:rsid w:val="5FD48E1B"/>
    <w:rsid w:val="5FFF2BEB"/>
    <w:rsid w:val="6018F511"/>
    <w:rsid w:val="60272FF8"/>
    <w:rsid w:val="6040A4FC"/>
    <w:rsid w:val="604A84E8"/>
    <w:rsid w:val="60BA6308"/>
    <w:rsid w:val="60DA9CE7"/>
    <w:rsid w:val="60DBDB2D"/>
    <w:rsid w:val="60FBE7B2"/>
    <w:rsid w:val="610086C1"/>
    <w:rsid w:val="6109E7FD"/>
    <w:rsid w:val="61253753"/>
    <w:rsid w:val="6174DE1D"/>
    <w:rsid w:val="617C95C2"/>
    <w:rsid w:val="619B9D15"/>
    <w:rsid w:val="619D4CA8"/>
    <w:rsid w:val="61AD343A"/>
    <w:rsid w:val="61B0C182"/>
    <w:rsid w:val="61C5CEA9"/>
    <w:rsid w:val="61D5DE0B"/>
    <w:rsid w:val="61E31E04"/>
    <w:rsid w:val="61F085A3"/>
    <w:rsid w:val="61F6B4F1"/>
    <w:rsid w:val="61FB06FC"/>
    <w:rsid w:val="621BBC44"/>
    <w:rsid w:val="621D3838"/>
    <w:rsid w:val="6255C95C"/>
    <w:rsid w:val="62AB01F0"/>
    <w:rsid w:val="62BF0E46"/>
    <w:rsid w:val="62C33BC0"/>
    <w:rsid w:val="631218DE"/>
    <w:rsid w:val="6333C8D8"/>
    <w:rsid w:val="633D49DF"/>
    <w:rsid w:val="6348958A"/>
    <w:rsid w:val="6348C0BD"/>
    <w:rsid w:val="636D5343"/>
    <w:rsid w:val="639B5D4A"/>
    <w:rsid w:val="63CD996A"/>
    <w:rsid w:val="63D316D1"/>
    <w:rsid w:val="63E22D52"/>
    <w:rsid w:val="63FEBA96"/>
    <w:rsid w:val="640CB566"/>
    <w:rsid w:val="641CBC21"/>
    <w:rsid w:val="643F9491"/>
    <w:rsid w:val="6440199D"/>
    <w:rsid w:val="64680EBC"/>
    <w:rsid w:val="64730CEB"/>
    <w:rsid w:val="6477DE1D"/>
    <w:rsid w:val="64D5B149"/>
    <w:rsid w:val="64EB2EE9"/>
    <w:rsid w:val="64F53BC9"/>
    <w:rsid w:val="6508887D"/>
    <w:rsid w:val="6546BC4C"/>
    <w:rsid w:val="6563A446"/>
    <w:rsid w:val="657E244D"/>
    <w:rsid w:val="65A8404D"/>
    <w:rsid w:val="65ABB7F8"/>
    <w:rsid w:val="65D68E4B"/>
    <w:rsid w:val="66191662"/>
    <w:rsid w:val="663CA84E"/>
    <w:rsid w:val="664EBC2B"/>
    <w:rsid w:val="666F0E38"/>
    <w:rsid w:val="668F5D6A"/>
    <w:rsid w:val="66ABB9A0"/>
    <w:rsid w:val="66B3524C"/>
    <w:rsid w:val="66B8B0EA"/>
    <w:rsid w:val="66E6C1ED"/>
    <w:rsid w:val="66F970F6"/>
    <w:rsid w:val="67103DFE"/>
    <w:rsid w:val="6736E5CF"/>
    <w:rsid w:val="677A2E08"/>
    <w:rsid w:val="677F242A"/>
    <w:rsid w:val="678D4CCF"/>
    <w:rsid w:val="678E551E"/>
    <w:rsid w:val="67ADD90D"/>
    <w:rsid w:val="67D04DA6"/>
    <w:rsid w:val="67DDDD27"/>
    <w:rsid w:val="680ADE99"/>
    <w:rsid w:val="6810B09F"/>
    <w:rsid w:val="682844B5"/>
    <w:rsid w:val="6830F98A"/>
    <w:rsid w:val="683241DD"/>
    <w:rsid w:val="684664F9"/>
    <w:rsid w:val="6854F4F4"/>
    <w:rsid w:val="68632CA0"/>
    <w:rsid w:val="68A76BBE"/>
    <w:rsid w:val="68A91F3A"/>
    <w:rsid w:val="68EE8AF8"/>
    <w:rsid w:val="69056224"/>
    <w:rsid w:val="69591345"/>
    <w:rsid w:val="696DD4B8"/>
    <w:rsid w:val="698E2BF0"/>
    <w:rsid w:val="69C40706"/>
    <w:rsid w:val="6A392DD1"/>
    <w:rsid w:val="6ADB24C0"/>
    <w:rsid w:val="6AE57569"/>
    <w:rsid w:val="6B13933F"/>
    <w:rsid w:val="6B21E829"/>
    <w:rsid w:val="6B2455E1"/>
    <w:rsid w:val="6B5CA5D9"/>
    <w:rsid w:val="6B7BB585"/>
    <w:rsid w:val="6B7ED360"/>
    <w:rsid w:val="6BD15CD1"/>
    <w:rsid w:val="6BF01F70"/>
    <w:rsid w:val="6BF938E6"/>
    <w:rsid w:val="6C30C4E3"/>
    <w:rsid w:val="6C4ADE47"/>
    <w:rsid w:val="6C6821D3"/>
    <w:rsid w:val="6C729D3A"/>
    <w:rsid w:val="6C890CD6"/>
    <w:rsid w:val="6C9F8E55"/>
    <w:rsid w:val="6CA76E9F"/>
    <w:rsid w:val="6CCBF5CF"/>
    <w:rsid w:val="6CDFC60B"/>
    <w:rsid w:val="6CE58D40"/>
    <w:rsid w:val="6D346EDA"/>
    <w:rsid w:val="6D740047"/>
    <w:rsid w:val="6DBDF8EE"/>
    <w:rsid w:val="6DED709A"/>
    <w:rsid w:val="6E0BF5C2"/>
    <w:rsid w:val="6E23868A"/>
    <w:rsid w:val="6E36C2D4"/>
    <w:rsid w:val="6E7AF62B"/>
    <w:rsid w:val="6E7FD177"/>
    <w:rsid w:val="6EB622CF"/>
    <w:rsid w:val="6F0E2ED0"/>
    <w:rsid w:val="6F79123F"/>
    <w:rsid w:val="6F966F4B"/>
    <w:rsid w:val="6FA6C00A"/>
    <w:rsid w:val="6FE00C54"/>
    <w:rsid w:val="7001C90B"/>
    <w:rsid w:val="700567F0"/>
    <w:rsid w:val="7015F07E"/>
    <w:rsid w:val="70353794"/>
    <w:rsid w:val="7046CA77"/>
    <w:rsid w:val="707B320C"/>
    <w:rsid w:val="708321B9"/>
    <w:rsid w:val="7087810A"/>
    <w:rsid w:val="709E0402"/>
    <w:rsid w:val="70A3EB63"/>
    <w:rsid w:val="70B323AC"/>
    <w:rsid w:val="70B4AC0E"/>
    <w:rsid w:val="70F1B8C8"/>
    <w:rsid w:val="71487575"/>
    <w:rsid w:val="714CA553"/>
    <w:rsid w:val="71BE44C9"/>
    <w:rsid w:val="71C28184"/>
    <w:rsid w:val="721E1289"/>
    <w:rsid w:val="72796C55"/>
    <w:rsid w:val="728F3AA7"/>
    <w:rsid w:val="729C14F0"/>
    <w:rsid w:val="72C9F687"/>
    <w:rsid w:val="72CA59FD"/>
    <w:rsid w:val="72D4699E"/>
    <w:rsid w:val="72F9F50D"/>
    <w:rsid w:val="730AC762"/>
    <w:rsid w:val="73126823"/>
    <w:rsid w:val="73721763"/>
    <w:rsid w:val="7397A79B"/>
    <w:rsid w:val="73A93FA7"/>
    <w:rsid w:val="73CA0AB9"/>
    <w:rsid w:val="741EDC01"/>
    <w:rsid w:val="742639C8"/>
    <w:rsid w:val="74668947"/>
    <w:rsid w:val="746A7077"/>
    <w:rsid w:val="7471F856"/>
    <w:rsid w:val="749191A8"/>
    <w:rsid w:val="7499FAE2"/>
    <w:rsid w:val="74AFB9D9"/>
    <w:rsid w:val="74B9FF2F"/>
    <w:rsid w:val="74E21BCC"/>
    <w:rsid w:val="74F1C93F"/>
    <w:rsid w:val="74F6ECD7"/>
    <w:rsid w:val="75176B1C"/>
    <w:rsid w:val="7545D85F"/>
    <w:rsid w:val="75498E02"/>
    <w:rsid w:val="75573EA3"/>
    <w:rsid w:val="755B09E0"/>
    <w:rsid w:val="75603EBC"/>
    <w:rsid w:val="75B4D849"/>
    <w:rsid w:val="75B7B91E"/>
    <w:rsid w:val="75C4632B"/>
    <w:rsid w:val="75FE9E23"/>
    <w:rsid w:val="7607AF06"/>
    <w:rsid w:val="7625DD79"/>
    <w:rsid w:val="7644B69A"/>
    <w:rsid w:val="7653A1A0"/>
    <w:rsid w:val="766D0D86"/>
    <w:rsid w:val="767C6965"/>
    <w:rsid w:val="76908009"/>
    <w:rsid w:val="76AEBAED"/>
    <w:rsid w:val="76CE61D8"/>
    <w:rsid w:val="773ECFE9"/>
    <w:rsid w:val="7754A2B4"/>
    <w:rsid w:val="77770242"/>
    <w:rsid w:val="77788CD2"/>
    <w:rsid w:val="7782C8A5"/>
    <w:rsid w:val="77DAC6C6"/>
    <w:rsid w:val="77E3D864"/>
    <w:rsid w:val="7808381E"/>
    <w:rsid w:val="78251B64"/>
    <w:rsid w:val="782F3D4A"/>
    <w:rsid w:val="7842715A"/>
    <w:rsid w:val="785C2D96"/>
    <w:rsid w:val="7860A146"/>
    <w:rsid w:val="786D70C9"/>
    <w:rsid w:val="788643F1"/>
    <w:rsid w:val="78B7B30A"/>
    <w:rsid w:val="78C8EACF"/>
    <w:rsid w:val="78FE4B5C"/>
    <w:rsid w:val="79013EFB"/>
    <w:rsid w:val="7912A0C2"/>
    <w:rsid w:val="79150967"/>
    <w:rsid w:val="793D4BFF"/>
    <w:rsid w:val="79472026"/>
    <w:rsid w:val="795C6AF9"/>
    <w:rsid w:val="795F79AB"/>
    <w:rsid w:val="799F6BB2"/>
    <w:rsid w:val="79B958B2"/>
    <w:rsid w:val="79C2BE3C"/>
    <w:rsid w:val="79CB0DAB"/>
    <w:rsid w:val="79D7879C"/>
    <w:rsid w:val="79D9ED75"/>
    <w:rsid w:val="7A1CB693"/>
    <w:rsid w:val="7A6493FB"/>
    <w:rsid w:val="7A71E06C"/>
    <w:rsid w:val="7AA1E692"/>
    <w:rsid w:val="7AD4996C"/>
    <w:rsid w:val="7AE8554F"/>
    <w:rsid w:val="7B08E3BE"/>
    <w:rsid w:val="7B1484C0"/>
    <w:rsid w:val="7B263D3B"/>
    <w:rsid w:val="7B289946"/>
    <w:rsid w:val="7B4ECF3A"/>
    <w:rsid w:val="7B9B3CB1"/>
    <w:rsid w:val="7BEB6F4D"/>
    <w:rsid w:val="7BF45E1A"/>
    <w:rsid w:val="7C2214F2"/>
    <w:rsid w:val="7C471881"/>
    <w:rsid w:val="7C8CDE4D"/>
    <w:rsid w:val="7C8DAF74"/>
    <w:rsid w:val="7C94C42A"/>
    <w:rsid w:val="7C96DFD2"/>
    <w:rsid w:val="7CE86BEF"/>
    <w:rsid w:val="7CF4915C"/>
    <w:rsid w:val="7D6A8336"/>
    <w:rsid w:val="7DCF0E1C"/>
    <w:rsid w:val="7DED02DA"/>
    <w:rsid w:val="7DFF0022"/>
    <w:rsid w:val="7E4EF768"/>
    <w:rsid w:val="7E5A653D"/>
    <w:rsid w:val="7EAEB74E"/>
    <w:rsid w:val="7ECC4FE8"/>
    <w:rsid w:val="7EE247C8"/>
    <w:rsid w:val="7F03DC92"/>
    <w:rsid w:val="7F3F4D4E"/>
    <w:rsid w:val="7F5725DF"/>
    <w:rsid w:val="7F5C5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F9A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56CB6"/>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56CB6"/>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56CB6"/>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36"/>
    <w:pPr>
      <w:ind w:left="720"/>
      <w:contextualSpacing/>
    </w:pPr>
  </w:style>
  <w:style w:type="character" w:styleId="Hyperlink">
    <w:name w:val="Hyperlink"/>
    <w:uiPriority w:val="99"/>
    <w:unhideWhenUsed/>
    <w:rsid w:val="00BE0300"/>
    <w:rPr>
      <w:color w:val="0000FF"/>
      <w:u w:val="single"/>
    </w:rPr>
  </w:style>
  <w:style w:type="character" w:styleId="CommentReference">
    <w:name w:val="annotation reference"/>
    <w:basedOn w:val="DefaultParagraphFont"/>
    <w:uiPriority w:val="99"/>
    <w:unhideWhenUsed/>
    <w:rsid w:val="00F570F6"/>
    <w:rPr>
      <w:sz w:val="16"/>
      <w:szCs w:val="16"/>
    </w:rPr>
  </w:style>
  <w:style w:type="paragraph" w:styleId="CommentText">
    <w:name w:val="annotation text"/>
    <w:aliases w:val="IT Kommentartext"/>
    <w:basedOn w:val="Normal"/>
    <w:link w:val="CommentTextChar"/>
    <w:uiPriority w:val="99"/>
    <w:unhideWhenUsed/>
    <w:qFormat/>
    <w:rsid w:val="00F570F6"/>
    <w:rPr>
      <w:sz w:val="20"/>
      <w:szCs w:val="20"/>
    </w:rPr>
  </w:style>
  <w:style w:type="character" w:customStyle="1" w:styleId="CommentTextChar">
    <w:name w:val="Comment Text Char"/>
    <w:aliases w:val="IT Kommentartext Char"/>
    <w:basedOn w:val="DefaultParagraphFont"/>
    <w:link w:val="CommentText"/>
    <w:uiPriority w:val="99"/>
    <w:qFormat/>
    <w:rsid w:val="00F570F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70F6"/>
    <w:rPr>
      <w:b/>
      <w:bCs/>
    </w:rPr>
  </w:style>
  <w:style w:type="character" w:customStyle="1" w:styleId="CommentSubjectChar">
    <w:name w:val="Comment Subject Char"/>
    <w:basedOn w:val="CommentTextChar"/>
    <w:link w:val="CommentSubject"/>
    <w:uiPriority w:val="99"/>
    <w:semiHidden/>
    <w:rsid w:val="00F570F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570F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0F6"/>
    <w:rPr>
      <w:rFonts w:ascii="Segoe UI" w:hAnsi="Segoe UI" w:cs="Segoe UI"/>
      <w:sz w:val="18"/>
      <w:szCs w:val="18"/>
      <w:lang w:val="en-GB"/>
    </w:rPr>
  </w:style>
  <w:style w:type="character" w:styleId="FollowedHyperlink">
    <w:name w:val="FollowedHyperlink"/>
    <w:basedOn w:val="DefaultParagraphFont"/>
    <w:uiPriority w:val="99"/>
    <w:semiHidden/>
    <w:unhideWhenUsed/>
    <w:rsid w:val="00571322"/>
    <w:rPr>
      <w:color w:val="800080" w:themeColor="followedHyperlink"/>
      <w:u w:val="single"/>
    </w:rPr>
  </w:style>
  <w:style w:type="character" w:styleId="Strong">
    <w:name w:val="Strong"/>
    <w:basedOn w:val="DefaultParagraphFont"/>
    <w:uiPriority w:val="22"/>
    <w:qFormat/>
    <w:rsid w:val="000E495B"/>
    <w:rPr>
      <w:b/>
      <w:bCs/>
    </w:rPr>
  </w:style>
  <w:style w:type="paragraph" w:styleId="NormalWeb">
    <w:name w:val="Normal (Web)"/>
    <w:basedOn w:val="Normal"/>
    <w:uiPriority w:val="99"/>
    <w:unhideWhenUsed/>
    <w:rsid w:val="000E495B"/>
    <w:pPr>
      <w:spacing w:before="100" w:beforeAutospacing="1" w:after="100" w:afterAutospacing="1"/>
      <w:jc w:val="left"/>
    </w:pPr>
    <w:rPr>
      <w:rFonts w:eastAsia="Times New Roman"/>
      <w:szCs w:val="24"/>
      <w:lang w:eastAsia="en-GB"/>
    </w:rPr>
  </w:style>
  <w:style w:type="paragraph" w:styleId="Revision">
    <w:name w:val="Revision"/>
    <w:hidden/>
    <w:uiPriority w:val="99"/>
    <w:semiHidden/>
    <w:rsid w:val="009C5A9F"/>
    <w:pPr>
      <w:spacing w:after="0" w:line="240" w:lineRule="auto"/>
    </w:pPr>
    <w:rPr>
      <w:rFonts w:ascii="Times New Roman" w:hAnsi="Times New Roman" w:cs="Times New Roman"/>
      <w:sz w:val="24"/>
      <w:lang w:val="en-GB"/>
    </w:rPr>
  </w:style>
  <w:style w:type="paragraph" w:customStyle="1" w:styleId="Default">
    <w:name w:val="Default"/>
    <w:rsid w:val="006A096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entionnonrsolue1">
    <w:name w:val="Mention non résolue1"/>
    <w:basedOn w:val="DefaultParagraphFont"/>
    <w:uiPriority w:val="99"/>
    <w:semiHidden/>
    <w:unhideWhenUsed/>
    <w:rsid w:val="000C58FD"/>
    <w:rPr>
      <w:color w:val="605E5C"/>
      <w:shd w:val="clear" w:color="auto" w:fill="E1DFDD"/>
    </w:rPr>
  </w:style>
  <w:style w:type="character" w:customStyle="1" w:styleId="Mentionnonrsolue2">
    <w:name w:val="Mention non résolue2"/>
    <w:basedOn w:val="DefaultParagraphFont"/>
    <w:uiPriority w:val="99"/>
    <w:semiHidden/>
    <w:unhideWhenUsed/>
    <w:rsid w:val="007A5E0E"/>
    <w:rPr>
      <w:color w:val="605E5C"/>
      <w:shd w:val="clear" w:color="auto" w:fill="E1DFDD"/>
    </w:rPr>
  </w:style>
  <w:style w:type="paragraph" w:styleId="Signature">
    <w:name w:val="Signature"/>
    <w:basedOn w:val="Normal"/>
    <w:link w:val="SignatureChar"/>
    <w:uiPriority w:val="2"/>
    <w:semiHidden/>
    <w:unhideWhenUsed/>
    <w:rsid w:val="00E3703C"/>
    <w:pPr>
      <w:spacing w:before="1200" w:after="0"/>
      <w:ind w:left="5102"/>
      <w:jc w:val="center"/>
    </w:pPr>
    <w:rPr>
      <w:szCs w:val="24"/>
      <w:lang w:eastAsia="en-GB"/>
    </w:rPr>
  </w:style>
  <w:style w:type="character" w:customStyle="1" w:styleId="SignatureChar">
    <w:name w:val="Signature Char"/>
    <w:basedOn w:val="DefaultParagraphFont"/>
    <w:link w:val="Signature"/>
    <w:uiPriority w:val="2"/>
    <w:semiHidden/>
    <w:rsid w:val="00E3703C"/>
    <w:rPr>
      <w:rFonts w:ascii="Times New Roman" w:hAnsi="Times New Roman" w:cs="Times New Roman"/>
      <w:sz w:val="24"/>
      <w:szCs w:val="24"/>
      <w:lang w:val="en-GB" w:eastAsia="en-GB"/>
    </w:rPr>
  </w:style>
  <w:style w:type="paragraph" w:styleId="ListBullet">
    <w:name w:val="List Bullet"/>
    <w:basedOn w:val="Normal"/>
    <w:uiPriority w:val="99"/>
    <w:semiHidden/>
    <w:unhideWhenUsed/>
    <w:rsid w:val="00766CDF"/>
    <w:pPr>
      <w:tabs>
        <w:tab w:val="num" w:pos="360"/>
      </w:tabs>
      <w:ind w:left="360" w:hanging="360"/>
      <w:contextualSpacing/>
    </w:pPr>
  </w:style>
  <w:style w:type="paragraph" w:styleId="ListBullet2">
    <w:name w:val="List Bullet 2"/>
    <w:basedOn w:val="Normal"/>
    <w:uiPriority w:val="99"/>
    <w:semiHidden/>
    <w:unhideWhenUsed/>
    <w:rsid w:val="00766CDF"/>
    <w:pPr>
      <w:tabs>
        <w:tab w:val="num" w:pos="643"/>
      </w:tabs>
      <w:ind w:left="643" w:hanging="360"/>
      <w:contextualSpacing/>
    </w:pPr>
  </w:style>
  <w:style w:type="paragraph" w:styleId="ListBullet3">
    <w:name w:val="List Bullet 3"/>
    <w:basedOn w:val="Normal"/>
    <w:uiPriority w:val="99"/>
    <w:semiHidden/>
    <w:unhideWhenUsed/>
    <w:rsid w:val="00766CDF"/>
    <w:pPr>
      <w:tabs>
        <w:tab w:val="num" w:pos="926"/>
      </w:tabs>
      <w:ind w:left="926" w:hanging="360"/>
      <w:contextualSpacing/>
    </w:pPr>
  </w:style>
  <w:style w:type="paragraph" w:styleId="ListBullet4">
    <w:name w:val="List Bullet 4"/>
    <w:basedOn w:val="Normal"/>
    <w:uiPriority w:val="99"/>
    <w:semiHidden/>
    <w:unhideWhenUsed/>
    <w:rsid w:val="00766CDF"/>
    <w:pPr>
      <w:tabs>
        <w:tab w:val="num" w:pos="1209"/>
      </w:tabs>
      <w:ind w:left="1209" w:hanging="360"/>
      <w:contextualSpacing/>
    </w:pPr>
  </w:style>
  <w:style w:type="paragraph" w:customStyle="1" w:styleId="Normal1">
    <w:name w:val="Normal1"/>
    <w:basedOn w:val="Normal"/>
    <w:rsid w:val="00A520DE"/>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BF492D"/>
  </w:style>
  <w:style w:type="paragraph" w:customStyle="1" w:styleId="paragraph">
    <w:name w:val="paragraph"/>
    <w:basedOn w:val="Normal"/>
    <w:rsid w:val="00BF492D"/>
    <w:pPr>
      <w:spacing w:before="100" w:beforeAutospacing="1" w:after="100" w:afterAutospacing="1"/>
      <w:jc w:val="left"/>
    </w:pPr>
    <w:rPr>
      <w:rFonts w:eastAsia="Times New Roman"/>
      <w:szCs w:val="24"/>
      <w:lang w:eastAsia="en-GB"/>
    </w:rPr>
  </w:style>
  <w:style w:type="character" w:customStyle="1" w:styleId="eop">
    <w:name w:val="eop"/>
    <w:basedOn w:val="DefaultParagraphFont"/>
    <w:rsid w:val="00BF492D"/>
  </w:style>
  <w:style w:type="character" w:styleId="Emphasis">
    <w:name w:val="Emphasis"/>
    <w:basedOn w:val="DefaultParagraphFont"/>
    <w:uiPriority w:val="20"/>
    <w:qFormat/>
    <w:rsid w:val="00107691"/>
    <w:rPr>
      <w:i/>
      <w:iCs/>
    </w:rPr>
  </w:style>
  <w:style w:type="paragraph" w:styleId="Caption">
    <w:name w:val="caption"/>
    <w:basedOn w:val="Normal"/>
    <w:next w:val="Normal"/>
    <w:uiPriority w:val="35"/>
    <w:semiHidden/>
    <w:unhideWhenUsed/>
    <w:qFormat/>
    <w:rsid w:val="0089652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96520"/>
    <w:pPr>
      <w:spacing w:after="0"/>
    </w:pPr>
  </w:style>
  <w:style w:type="paragraph" w:styleId="ListNumber">
    <w:name w:val="List Number"/>
    <w:basedOn w:val="Normal"/>
    <w:uiPriority w:val="99"/>
    <w:semiHidden/>
    <w:unhideWhenUsed/>
    <w:rsid w:val="00896520"/>
    <w:pPr>
      <w:numPr>
        <w:numId w:val="2"/>
      </w:numPr>
      <w:contextualSpacing/>
    </w:pPr>
  </w:style>
  <w:style w:type="paragraph" w:styleId="ListNumber2">
    <w:name w:val="List Number 2"/>
    <w:basedOn w:val="Normal"/>
    <w:uiPriority w:val="99"/>
    <w:semiHidden/>
    <w:unhideWhenUsed/>
    <w:rsid w:val="00896520"/>
    <w:pPr>
      <w:numPr>
        <w:numId w:val="3"/>
      </w:numPr>
      <w:contextualSpacing/>
    </w:pPr>
  </w:style>
  <w:style w:type="paragraph" w:styleId="ListNumber3">
    <w:name w:val="List Number 3"/>
    <w:basedOn w:val="Normal"/>
    <w:uiPriority w:val="99"/>
    <w:semiHidden/>
    <w:unhideWhenUsed/>
    <w:rsid w:val="00896520"/>
    <w:pPr>
      <w:numPr>
        <w:numId w:val="4"/>
      </w:numPr>
      <w:contextualSpacing/>
    </w:pPr>
  </w:style>
  <w:style w:type="paragraph" w:styleId="ListNumber4">
    <w:name w:val="List Number 4"/>
    <w:basedOn w:val="Normal"/>
    <w:uiPriority w:val="99"/>
    <w:semiHidden/>
    <w:unhideWhenUsed/>
    <w:rsid w:val="00896520"/>
    <w:pPr>
      <w:numPr>
        <w:numId w:val="5"/>
      </w:numPr>
      <w:contextualSpacing/>
    </w:pPr>
  </w:style>
  <w:style w:type="paragraph" w:customStyle="1" w:styleId="Point1lettter">
    <w:name w:val="Point 1 lettter"/>
    <w:basedOn w:val="Point0letter"/>
    <w:rsid w:val="003439A2"/>
    <w:pPr>
      <w:ind w:left="1418" w:hanging="567"/>
    </w:pPr>
  </w:style>
  <w:style w:type="paragraph" w:customStyle="1" w:styleId="Point1letter0">
    <w:name w:val="Point 1 letter"/>
    <w:basedOn w:val="Point1lettter"/>
    <w:rsid w:val="003439A2"/>
  </w:style>
  <w:style w:type="paragraph" w:customStyle="1" w:styleId="oj-normal">
    <w:name w:val="oj-normal"/>
    <w:basedOn w:val="Normal"/>
    <w:rsid w:val="007837F8"/>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83770C"/>
    <w:pPr>
      <w:tabs>
        <w:tab w:val="center" w:pos="4535"/>
        <w:tab w:val="right" w:pos="9071"/>
      </w:tabs>
      <w:spacing w:before="0"/>
    </w:pPr>
  </w:style>
  <w:style w:type="character" w:customStyle="1" w:styleId="HeaderChar">
    <w:name w:val="Header Char"/>
    <w:basedOn w:val="DefaultParagraphFont"/>
    <w:link w:val="Header"/>
    <w:uiPriority w:val="99"/>
    <w:rsid w:val="0083770C"/>
    <w:rPr>
      <w:rFonts w:ascii="Times New Roman" w:hAnsi="Times New Roman" w:cs="Times New Roman"/>
      <w:sz w:val="24"/>
      <w:lang w:val="en-GB"/>
    </w:rPr>
  </w:style>
  <w:style w:type="paragraph" w:styleId="Footer">
    <w:name w:val="footer"/>
    <w:basedOn w:val="Normal"/>
    <w:link w:val="FooterChar"/>
    <w:uiPriority w:val="99"/>
    <w:unhideWhenUsed/>
    <w:rsid w:val="0083770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3770C"/>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83770C"/>
    <w:pPr>
      <w:tabs>
        <w:tab w:val="center" w:pos="7285"/>
        <w:tab w:val="right" w:pos="14003"/>
      </w:tabs>
      <w:spacing w:before="0"/>
    </w:pPr>
  </w:style>
  <w:style w:type="paragraph" w:customStyle="1" w:styleId="FooterLandscape">
    <w:name w:val="FooterLandscape"/>
    <w:basedOn w:val="Normal"/>
    <w:rsid w:val="0083770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3770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3770C"/>
    <w:pPr>
      <w:spacing w:before="0"/>
      <w:jc w:val="right"/>
    </w:pPr>
    <w:rPr>
      <w:sz w:val="28"/>
    </w:rPr>
  </w:style>
  <w:style w:type="paragraph" w:customStyle="1" w:styleId="FooterSensitivity">
    <w:name w:val="Footer Sensitivity"/>
    <w:basedOn w:val="Normal"/>
    <w:rsid w:val="0083770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2"/>
      </w:numPr>
    </w:pPr>
  </w:style>
  <w:style w:type="paragraph" w:customStyle="1" w:styleId="Tiret1">
    <w:name w:val="Tiret 1"/>
    <w:basedOn w:val="Point1"/>
    <w:rsid w:val="009B7138"/>
    <w:pPr>
      <w:numPr>
        <w:numId w:val="23"/>
      </w:numPr>
    </w:pPr>
  </w:style>
  <w:style w:type="paragraph" w:customStyle="1" w:styleId="Tiret2">
    <w:name w:val="Tiret 2"/>
    <w:basedOn w:val="Point2"/>
    <w:rsid w:val="009B7138"/>
    <w:pPr>
      <w:numPr>
        <w:numId w:val="24"/>
      </w:numPr>
    </w:pPr>
  </w:style>
  <w:style w:type="paragraph" w:customStyle="1" w:styleId="Tiret3">
    <w:name w:val="Tiret 3"/>
    <w:basedOn w:val="Point3"/>
    <w:rsid w:val="009B7138"/>
    <w:pPr>
      <w:numPr>
        <w:numId w:val="25"/>
      </w:numPr>
    </w:pPr>
  </w:style>
  <w:style w:type="paragraph" w:customStyle="1" w:styleId="Tiret4">
    <w:name w:val="Tiret 4"/>
    <w:basedOn w:val="Point4"/>
    <w:rsid w:val="009B7138"/>
    <w:pPr>
      <w:numPr>
        <w:numId w:val="2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2"/>
      </w:numPr>
    </w:pPr>
  </w:style>
  <w:style w:type="paragraph" w:customStyle="1" w:styleId="NumPar2">
    <w:name w:val="NumPar 2"/>
    <w:basedOn w:val="Normal"/>
    <w:next w:val="Text1"/>
    <w:rsid w:val="009B7138"/>
    <w:pPr>
      <w:numPr>
        <w:ilvl w:val="1"/>
        <w:numId w:val="42"/>
      </w:numPr>
    </w:pPr>
  </w:style>
  <w:style w:type="paragraph" w:customStyle="1" w:styleId="NumPar3">
    <w:name w:val="NumPar 3"/>
    <w:basedOn w:val="Normal"/>
    <w:next w:val="Text1"/>
    <w:rsid w:val="009B7138"/>
    <w:pPr>
      <w:numPr>
        <w:ilvl w:val="2"/>
        <w:numId w:val="42"/>
      </w:numPr>
    </w:pPr>
  </w:style>
  <w:style w:type="paragraph" w:customStyle="1" w:styleId="NumPar4">
    <w:name w:val="NumPar 4"/>
    <w:basedOn w:val="Normal"/>
    <w:next w:val="Text1"/>
    <w:rsid w:val="009B7138"/>
    <w:pPr>
      <w:numPr>
        <w:ilvl w:val="3"/>
        <w:numId w:val="4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9"/>
      </w:numPr>
    </w:pPr>
  </w:style>
  <w:style w:type="paragraph" w:customStyle="1" w:styleId="Point1number">
    <w:name w:val="Point 1 (number)"/>
    <w:basedOn w:val="Normal"/>
    <w:rsid w:val="009B7138"/>
    <w:pPr>
      <w:numPr>
        <w:ilvl w:val="2"/>
        <w:numId w:val="29"/>
      </w:numPr>
    </w:pPr>
  </w:style>
  <w:style w:type="paragraph" w:customStyle="1" w:styleId="Point2number">
    <w:name w:val="Point 2 (number)"/>
    <w:basedOn w:val="Normal"/>
    <w:rsid w:val="009B7138"/>
    <w:pPr>
      <w:numPr>
        <w:ilvl w:val="4"/>
        <w:numId w:val="29"/>
      </w:numPr>
    </w:pPr>
  </w:style>
  <w:style w:type="paragraph" w:customStyle="1" w:styleId="Point3number">
    <w:name w:val="Point 3 (number)"/>
    <w:basedOn w:val="Normal"/>
    <w:rsid w:val="009B7138"/>
    <w:pPr>
      <w:numPr>
        <w:ilvl w:val="6"/>
        <w:numId w:val="29"/>
      </w:numPr>
    </w:pPr>
  </w:style>
  <w:style w:type="paragraph" w:customStyle="1" w:styleId="Point0letter">
    <w:name w:val="Point 0 (letter)"/>
    <w:basedOn w:val="Normal"/>
    <w:rsid w:val="009B7138"/>
    <w:pPr>
      <w:numPr>
        <w:ilvl w:val="1"/>
        <w:numId w:val="29"/>
      </w:numPr>
    </w:pPr>
  </w:style>
  <w:style w:type="paragraph" w:customStyle="1" w:styleId="Point1letter">
    <w:name w:val="Point 1 (letter)"/>
    <w:basedOn w:val="Normal"/>
    <w:rsid w:val="009B7138"/>
    <w:pPr>
      <w:numPr>
        <w:ilvl w:val="3"/>
        <w:numId w:val="29"/>
      </w:numPr>
    </w:pPr>
  </w:style>
  <w:style w:type="paragraph" w:customStyle="1" w:styleId="Point2letter">
    <w:name w:val="Point 2 (letter)"/>
    <w:basedOn w:val="Normal"/>
    <w:rsid w:val="009B7138"/>
    <w:pPr>
      <w:numPr>
        <w:ilvl w:val="5"/>
        <w:numId w:val="29"/>
      </w:numPr>
    </w:pPr>
  </w:style>
  <w:style w:type="paragraph" w:customStyle="1" w:styleId="Point3letter">
    <w:name w:val="Point 3 (letter)"/>
    <w:basedOn w:val="Normal"/>
    <w:rsid w:val="009B7138"/>
    <w:pPr>
      <w:numPr>
        <w:ilvl w:val="7"/>
        <w:numId w:val="29"/>
      </w:numPr>
    </w:pPr>
  </w:style>
  <w:style w:type="paragraph" w:customStyle="1" w:styleId="Point4letter">
    <w:name w:val="Point 4 (letter)"/>
    <w:basedOn w:val="Normal"/>
    <w:rsid w:val="009B7138"/>
    <w:pPr>
      <w:numPr>
        <w:ilvl w:val="8"/>
        <w:numId w:val="29"/>
      </w:numPr>
    </w:pPr>
  </w:style>
  <w:style w:type="paragraph" w:customStyle="1" w:styleId="Bullet0">
    <w:name w:val="Bullet 0"/>
    <w:basedOn w:val="Normal"/>
    <w:rsid w:val="009B7138"/>
    <w:pPr>
      <w:numPr>
        <w:numId w:val="30"/>
      </w:numPr>
    </w:pPr>
  </w:style>
  <w:style w:type="paragraph" w:customStyle="1" w:styleId="Bullet1">
    <w:name w:val="Bullet 1"/>
    <w:basedOn w:val="Normal"/>
    <w:rsid w:val="009B7138"/>
    <w:pPr>
      <w:numPr>
        <w:numId w:val="31"/>
      </w:numPr>
    </w:pPr>
  </w:style>
  <w:style w:type="paragraph" w:customStyle="1" w:styleId="Bullet2">
    <w:name w:val="Bullet 2"/>
    <w:basedOn w:val="Normal"/>
    <w:rsid w:val="009B7138"/>
    <w:pPr>
      <w:numPr>
        <w:numId w:val="32"/>
      </w:numPr>
    </w:pPr>
  </w:style>
  <w:style w:type="paragraph" w:customStyle="1" w:styleId="Bullet3">
    <w:name w:val="Bullet 3"/>
    <w:basedOn w:val="Normal"/>
    <w:rsid w:val="009B7138"/>
    <w:pPr>
      <w:numPr>
        <w:numId w:val="33"/>
      </w:numPr>
    </w:pPr>
  </w:style>
  <w:style w:type="paragraph" w:customStyle="1" w:styleId="Bullet4">
    <w:name w:val="Bullet 4"/>
    <w:basedOn w:val="Normal"/>
    <w:rsid w:val="009B7138"/>
    <w:pPr>
      <w:numPr>
        <w:numId w:val="3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556CB6"/>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56CB6"/>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56CB6"/>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556CB6"/>
    <w:pPr>
      <w:keepNext/>
      <w:tabs>
        <w:tab w:val="left" w:pos="1417"/>
      </w:tabs>
      <w:ind w:left="1417" w:hanging="1417"/>
      <w:outlineLvl w:val="4"/>
    </w:pPr>
  </w:style>
  <w:style w:type="paragraph" w:customStyle="1" w:styleId="ManualHeading6">
    <w:name w:val="Manual Heading 6"/>
    <w:basedOn w:val="Normal"/>
    <w:next w:val="Text2"/>
    <w:rsid w:val="00556CB6"/>
    <w:pPr>
      <w:keepNext/>
      <w:tabs>
        <w:tab w:val="left" w:pos="1417"/>
      </w:tabs>
      <w:ind w:left="1417" w:hanging="1417"/>
      <w:outlineLvl w:val="5"/>
    </w:pPr>
  </w:style>
  <w:style w:type="paragraph" w:customStyle="1" w:styleId="ManualHeading7">
    <w:name w:val="Manual Heading 7"/>
    <w:basedOn w:val="Normal"/>
    <w:next w:val="Text2"/>
    <w:rsid w:val="00556CB6"/>
    <w:pPr>
      <w:keepNext/>
      <w:tabs>
        <w:tab w:val="left" w:pos="1417"/>
      </w:tabs>
      <w:ind w:left="1417" w:hanging="1417"/>
      <w:outlineLvl w:val="6"/>
    </w:pPr>
  </w:style>
  <w:style w:type="paragraph" w:customStyle="1" w:styleId="Text5">
    <w:name w:val="Text 5"/>
    <w:basedOn w:val="Normal"/>
    <w:rsid w:val="00556CB6"/>
    <w:pPr>
      <w:ind w:left="3118"/>
    </w:pPr>
  </w:style>
  <w:style w:type="paragraph" w:customStyle="1" w:styleId="Text6">
    <w:name w:val="Text 6"/>
    <w:basedOn w:val="Normal"/>
    <w:rsid w:val="00556CB6"/>
    <w:pPr>
      <w:ind w:left="3685"/>
    </w:pPr>
  </w:style>
  <w:style w:type="paragraph" w:customStyle="1" w:styleId="Point5">
    <w:name w:val="Point 5"/>
    <w:basedOn w:val="Normal"/>
    <w:rsid w:val="00556CB6"/>
    <w:pPr>
      <w:ind w:left="3685" w:hanging="567"/>
    </w:pPr>
  </w:style>
  <w:style w:type="paragraph" w:customStyle="1" w:styleId="Tiret5">
    <w:name w:val="Tiret 5"/>
    <w:basedOn w:val="Point5"/>
    <w:rsid w:val="00556CB6"/>
    <w:pPr>
      <w:numPr>
        <w:numId w:val="39"/>
      </w:numPr>
    </w:pPr>
  </w:style>
  <w:style w:type="paragraph" w:customStyle="1" w:styleId="NumPar5">
    <w:name w:val="NumPar 5"/>
    <w:basedOn w:val="Normal"/>
    <w:next w:val="Text2"/>
    <w:rsid w:val="00556CB6"/>
    <w:pPr>
      <w:numPr>
        <w:ilvl w:val="4"/>
        <w:numId w:val="42"/>
      </w:numPr>
    </w:pPr>
  </w:style>
  <w:style w:type="paragraph" w:customStyle="1" w:styleId="NumPar6">
    <w:name w:val="NumPar 6"/>
    <w:basedOn w:val="Normal"/>
    <w:next w:val="Text2"/>
    <w:rsid w:val="00556CB6"/>
    <w:pPr>
      <w:numPr>
        <w:ilvl w:val="5"/>
        <w:numId w:val="42"/>
      </w:numPr>
    </w:pPr>
  </w:style>
  <w:style w:type="paragraph" w:customStyle="1" w:styleId="NumPar7">
    <w:name w:val="NumPar 7"/>
    <w:basedOn w:val="Normal"/>
    <w:next w:val="Text2"/>
    <w:rsid w:val="00556CB6"/>
    <w:pPr>
      <w:numPr>
        <w:ilvl w:val="6"/>
        <w:numId w:val="42"/>
      </w:numPr>
    </w:pPr>
  </w:style>
  <w:style w:type="paragraph" w:customStyle="1" w:styleId="ManualNumPar5">
    <w:name w:val="Manual NumPar 5"/>
    <w:basedOn w:val="Normal"/>
    <w:next w:val="Text2"/>
    <w:rsid w:val="00556CB6"/>
    <w:pPr>
      <w:ind w:left="1417" w:hanging="1417"/>
    </w:pPr>
  </w:style>
  <w:style w:type="paragraph" w:customStyle="1" w:styleId="ManualNumPar6">
    <w:name w:val="Manual NumPar 6"/>
    <w:basedOn w:val="Normal"/>
    <w:next w:val="Text2"/>
    <w:rsid w:val="00556CB6"/>
    <w:pPr>
      <w:ind w:left="1417" w:hanging="1417"/>
    </w:pPr>
  </w:style>
  <w:style w:type="paragraph" w:customStyle="1" w:styleId="ManualNumPar7">
    <w:name w:val="Manual NumPar 7"/>
    <w:basedOn w:val="Normal"/>
    <w:next w:val="Text2"/>
    <w:rsid w:val="00556CB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73">
      <w:bodyDiv w:val="1"/>
      <w:marLeft w:val="0"/>
      <w:marRight w:val="0"/>
      <w:marTop w:val="0"/>
      <w:marBottom w:val="0"/>
      <w:divBdr>
        <w:top w:val="none" w:sz="0" w:space="0" w:color="auto"/>
        <w:left w:val="none" w:sz="0" w:space="0" w:color="auto"/>
        <w:bottom w:val="none" w:sz="0" w:space="0" w:color="auto"/>
        <w:right w:val="none" w:sz="0" w:space="0" w:color="auto"/>
      </w:divBdr>
    </w:div>
    <w:div w:id="3099396">
      <w:bodyDiv w:val="1"/>
      <w:marLeft w:val="0"/>
      <w:marRight w:val="0"/>
      <w:marTop w:val="0"/>
      <w:marBottom w:val="0"/>
      <w:divBdr>
        <w:top w:val="none" w:sz="0" w:space="0" w:color="auto"/>
        <w:left w:val="none" w:sz="0" w:space="0" w:color="auto"/>
        <w:bottom w:val="none" w:sz="0" w:space="0" w:color="auto"/>
        <w:right w:val="none" w:sz="0" w:space="0" w:color="auto"/>
      </w:divBdr>
    </w:div>
    <w:div w:id="15008294">
      <w:bodyDiv w:val="1"/>
      <w:marLeft w:val="0"/>
      <w:marRight w:val="0"/>
      <w:marTop w:val="0"/>
      <w:marBottom w:val="0"/>
      <w:divBdr>
        <w:top w:val="none" w:sz="0" w:space="0" w:color="auto"/>
        <w:left w:val="none" w:sz="0" w:space="0" w:color="auto"/>
        <w:bottom w:val="none" w:sz="0" w:space="0" w:color="auto"/>
        <w:right w:val="none" w:sz="0" w:space="0" w:color="auto"/>
      </w:divBdr>
    </w:div>
    <w:div w:id="36319302">
      <w:bodyDiv w:val="1"/>
      <w:marLeft w:val="0"/>
      <w:marRight w:val="0"/>
      <w:marTop w:val="0"/>
      <w:marBottom w:val="0"/>
      <w:divBdr>
        <w:top w:val="none" w:sz="0" w:space="0" w:color="auto"/>
        <w:left w:val="none" w:sz="0" w:space="0" w:color="auto"/>
        <w:bottom w:val="none" w:sz="0" w:space="0" w:color="auto"/>
        <w:right w:val="none" w:sz="0" w:space="0" w:color="auto"/>
      </w:divBdr>
    </w:div>
    <w:div w:id="44985758">
      <w:bodyDiv w:val="1"/>
      <w:marLeft w:val="0"/>
      <w:marRight w:val="0"/>
      <w:marTop w:val="0"/>
      <w:marBottom w:val="0"/>
      <w:divBdr>
        <w:top w:val="none" w:sz="0" w:space="0" w:color="auto"/>
        <w:left w:val="none" w:sz="0" w:space="0" w:color="auto"/>
        <w:bottom w:val="none" w:sz="0" w:space="0" w:color="auto"/>
        <w:right w:val="none" w:sz="0" w:space="0" w:color="auto"/>
      </w:divBdr>
    </w:div>
    <w:div w:id="49967750">
      <w:bodyDiv w:val="1"/>
      <w:marLeft w:val="0"/>
      <w:marRight w:val="0"/>
      <w:marTop w:val="0"/>
      <w:marBottom w:val="0"/>
      <w:divBdr>
        <w:top w:val="none" w:sz="0" w:space="0" w:color="auto"/>
        <w:left w:val="none" w:sz="0" w:space="0" w:color="auto"/>
        <w:bottom w:val="none" w:sz="0" w:space="0" w:color="auto"/>
        <w:right w:val="none" w:sz="0" w:space="0" w:color="auto"/>
      </w:divBdr>
    </w:div>
    <w:div w:id="84882590">
      <w:bodyDiv w:val="1"/>
      <w:marLeft w:val="0"/>
      <w:marRight w:val="0"/>
      <w:marTop w:val="0"/>
      <w:marBottom w:val="0"/>
      <w:divBdr>
        <w:top w:val="none" w:sz="0" w:space="0" w:color="auto"/>
        <w:left w:val="none" w:sz="0" w:space="0" w:color="auto"/>
        <w:bottom w:val="none" w:sz="0" w:space="0" w:color="auto"/>
        <w:right w:val="none" w:sz="0" w:space="0" w:color="auto"/>
      </w:divBdr>
    </w:div>
    <w:div w:id="94255623">
      <w:bodyDiv w:val="1"/>
      <w:marLeft w:val="0"/>
      <w:marRight w:val="0"/>
      <w:marTop w:val="0"/>
      <w:marBottom w:val="0"/>
      <w:divBdr>
        <w:top w:val="none" w:sz="0" w:space="0" w:color="auto"/>
        <w:left w:val="none" w:sz="0" w:space="0" w:color="auto"/>
        <w:bottom w:val="none" w:sz="0" w:space="0" w:color="auto"/>
        <w:right w:val="none" w:sz="0" w:space="0" w:color="auto"/>
      </w:divBdr>
    </w:div>
    <w:div w:id="124592021">
      <w:bodyDiv w:val="1"/>
      <w:marLeft w:val="0"/>
      <w:marRight w:val="0"/>
      <w:marTop w:val="0"/>
      <w:marBottom w:val="0"/>
      <w:divBdr>
        <w:top w:val="none" w:sz="0" w:space="0" w:color="auto"/>
        <w:left w:val="none" w:sz="0" w:space="0" w:color="auto"/>
        <w:bottom w:val="none" w:sz="0" w:space="0" w:color="auto"/>
        <w:right w:val="none" w:sz="0" w:space="0" w:color="auto"/>
      </w:divBdr>
    </w:div>
    <w:div w:id="136843796">
      <w:bodyDiv w:val="1"/>
      <w:marLeft w:val="0"/>
      <w:marRight w:val="0"/>
      <w:marTop w:val="0"/>
      <w:marBottom w:val="0"/>
      <w:divBdr>
        <w:top w:val="none" w:sz="0" w:space="0" w:color="auto"/>
        <w:left w:val="none" w:sz="0" w:space="0" w:color="auto"/>
        <w:bottom w:val="none" w:sz="0" w:space="0" w:color="auto"/>
        <w:right w:val="none" w:sz="0" w:space="0" w:color="auto"/>
      </w:divBdr>
    </w:div>
    <w:div w:id="161091955">
      <w:bodyDiv w:val="1"/>
      <w:marLeft w:val="0"/>
      <w:marRight w:val="0"/>
      <w:marTop w:val="0"/>
      <w:marBottom w:val="0"/>
      <w:divBdr>
        <w:top w:val="none" w:sz="0" w:space="0" w:color="auto"/>
        <w:left w:val="none" w:sz="0" w:space="0" w:color="auto"/>
        <w:bottom w:val="none" w:sz="0" w:space="0" w:color="auto"/>
        <w:right w:val="none" w:sz="0" w:space="0" w:color="auto"/>
      </w:divBdr>
    </w:div>
    <w:div w:id="161822833">
      <w:bodyDiv w:val="1"/>
      <w:marLeft w:val="0"/>
      <w:marRight w:val="0"/>
      <w:marTop w:val="0"/>
      <w:marBottom w:val="0"/>
      <w:divBdr>
        <w:top w:val="none" w:sz="0" w:space="0" w:color="auto"/>
        <w:left w:val="none" w:sz="0" w:space="0" w:color="auto"/>
        <w:bottom w:val="none" w:sz="0" w:space="0" w:color="auto"/>
        <w:right w:val="none" w:sz="0" w:space="0" w:color="auto"/>
      </w:divBdr>
    </w:div>
    <w:div w:id="199442511">
      <w:bodyDiv w:val="1"/>
      <w:marLeft w:val="0"/>
      <w:marRight w:val="0"/>
      <w:marTop w:val="0"/>
      <w:marBottom w:val="0"/>
      <w:divBdr>
        <w:top w:val="none" w:sz="0" w:space="0" w:color="auto"/>
        <w:left w:val="none" w:sz="0" w:space="0" w:color="auto"/>
        <w:bottom w:val="none" w:sz="0" w:space="0" w:color="auto"/>
        <w:right w:val="none" w:sz="0" w:space="0" w:color="auto"/>
      </w:divBdr>
    </w:div>
    <w:div w:id="222985859">
      <w:bodyDiv w:val="1"/>
      <w:marLeft w:val="0"/>
      <w:marRight w:val="0"/>
      <w:marTop w:val="0"/>
      <w:marBottom w:val="0"/>
      <w:divBdr>
        <w:top w:val="none" w:sz="0" w:space="0" w:color="auto"/>
        <w:left w:val="none" w:sz="0" w:space="0" w:color="auto"/>
        <w:bottom w:val="none" w:sz="0" w:space="0" w:color="auto"/>
        <w:right w:val="none" w:sz="0" w:space="0" w:color="auto"/>
      </w:divBdr>
    </w:div>
    <w:div w:id="224606153">
      <w:bodyDiv w:val="1"/>
      <w:marLeft w:val="0"/>
      <w:marRight w:val="0"/>
      <w:marTop w:val="0"/>
      <w:marBottom w:val="0"/>
      <w:divBdr>
        <w:top w:val="none" w:sz="0" w:space="0" w:color="auto"/>
        <w:left w:val="none" w:sz="0" w:space="0" w:color="auto"/>
        <w:bottom w:val="none" w:sz="0" w:space="0" w:color="auto"/>
        <w:right w:val="none" w:sz="0" w:space="0" w:color="auto"/>
      </w:divBdr>
    </w:div>
    <w:div w:id="247496039">
      <w:bodyDiv w:val="1"/>
      <w:marLeft w:val="0"/>
      <w:marRight w:val="0"/>
      <w:marTop w:val="0"/>
      <w:marBottom w:val="0"/>
      <w:divBdr>
        <w:top w:val="none" w:sz="0" w:space="0" w:color="auto"/>
        <w:left w:val="none" w:sz="0" w:space="0" w:color="auto"/>
        <w:bottom w:val="none" w:sz="0" w:space="0" w:color="auto"/>
        <w:right w:val="none" w:sz="0" w:space="0" w:color="auto"/>
      </w:divBdr>
    </w:div>
    <w:div w:id="255789118">
      <w:bodyDiv w:val="1"/>
      <w:marLeft w:val="0"/>
      <w:marRight w:val="0"/>
      <w:marTop w:val="0"/>
      <w:marBottom w:val="0"/>
      <w:divBdr>
        <w:top w:val="none" w:sz="0" w:space="0" w:color="auto"/>
        <w:left w:val="none" w:sz="0" w:space="0" w:color="auto"/>
        <w:bottom w:val="none" w:sz="0" w:space="0" w:color="auto"/>
        <w:right w:val="none" w:sz="0" w:space="0" w:color="auto"/>
      </w:divBdr>
    </w:div>
    <w:div w:id="277839603">
      <w:bodyDiv w:val="1"/>
      <w:marLeft w:val="0"/>
      <w:marRight w:val="0"/>
      <w:marTop w:val="0"/>
      <w:marBottom w:val="0"/>
      <w:divBdr>
        <w:top w:val="none" w:sz="0" w:space="0" w:color="auto"/>
        <w:left w:val="none" w:sz="0" w:space="0" w:color="auto"/>
        <w:bottom w:val="none" w:sz="0" w:space="0" w:color="auto"/>
        <w:right w:val="none" w:sz="0" w:space="0" w:color="auto"/>
      </w:divBdr>
    </w:div>
    <w:div w:id="282077379">
      <w:bodyDiv w:val="1"/>
      <w:marLeft w:val="0"/>
      <w:marRight w:val="0"/>
      <w:marTop w:val="0"/>
      <w:marBottom w:val="0"/>
      <w:divBdr>
        <w:top w:val="none" w:sz="0" w:space="0" w:color="auto"/>
        <w:left w:val="none" w:sz="0" w:space="0" w:color="auto"/>
        <w:bottom w:val="none" w:sz="0" w:space="0" w:color="auto"/>
        <w:right w:val="none" w:sz="0" w:space="0" w:color="auto"/>
      </w:divBdr>
    </w:div>
    <w:div w:id="285428951">
      <w:bodyDiv w:val="1"/>
      <w:marLeft w:val="0"/>
      <w:marRight w:val="0"/>
      <w:marTop w:val="0"/>
      <w:marBottom w:val="0"/>
      <w:divBdr>
        <w:top w:val="none" w:sz="0" w:space="0" w:color="auto"/>
        <w:left w:val="none" w:sz="0" w:space="0" w:color="auto"/>
        <w:bottom w:val="none" w:sz="0" w:space="0" w:color="auto"/>
        <w:right w:val="none" w:sz="0" w:space="0" w:color="auto"/>
      </w:divBdr>
    </w:div>
    <w:div w:id="356077541">
      <w:bodyDiv w:val="1"/>
      <w:marLeft w:val="0"/>
      <w:marRight w:val="0"/>
      <w:marTop w:val="0"/>
      <w:marBottom w:val="0"/>
      <w:divBdr>
        <w:top w:val="none" w:sz="0" w:space="0" w:color="auto"/>
        <w:left w:val="none" w:sz="0" w:space="0" w:color="auto"/>
        <w:bottom w:val="none" w:sz="0" w:space="0" w:color="auto"/>
        <w:right w:val="none" w:sz="0" w:space="0" w:color="auto"/>
      </w:divBdr>
    </w:div>
    <w:div w:id="376127771">
      <w:bodyDiv w:val="1"/>
      <w:marLeft w:val="0"/>
      <w:marRight w:val="0"/>
      <w:marTop w:val="0"/>
      <w:marBottom w:val="0"/>
      <w:divBdr>
        <w:top w:val="none" w:sz="0" w:space="0" w:color="auto"/>
        <w:left w:val="none" w:sz="0" w:space="0" w:color="auto"/>
        <w:bottom w:val="none" w:sz="0" w:space="0" w:color="auto"/>
        <w:right w:val="none" w:sz="0" w:space="0" w:color="auto"/>
      </w:divBdr>
    </w:div>
    <w:div w:id="391002167">
      <w:bodyDiv w:val="1"/>
      <w:marLeft w:val="0"/>
      <w:marRight w:val="0"/>
      <w:marTop w:val="0"/>
      <w:marBottom w:val="0"/>
      <w:divBdr>
        <w:top w:val="none" w:sz="0" w:space="0" w:color="auto"/>
        <w:left w:val="none" w:sz="0" w:space="0" w:color="auto"/>
        <w:bottom w:val="none" w:sz="0" w:space="0" w:color="auto"/>
        <w:right w:val="none" w:sz="0" w:space="0" w:color="auto"/>
      </w:divBdr>
    </w:div>
    <w:div w:id="393624094">
      <w:bodyDiv w:val="1"/>
      <w:marLeft w:val="0"/>
      <w:marRight w:val="0"/>
      <w:marTop w:val="0"/>
      <w:marBottom w:val="0"/>
      <w:divBdr>
        <w:top w:val="none" w:sz="0" w:space="0" w:color="auto"/>
        <w:left w:val="none" w:sz="0" w:space="0" w:color="auto"/>
        <w:bottom w:val="none" w:sz="0" w:space="0" w:color="auto"/>
        <w:right w:val="none" w:sz="0" w:space="0" w:color="auto"/>
      </w:divBdr>
    </w:div>
    <w:div w:id="417606006">
      <w:bodyDiv w:val="1"/>
      <w:marLeft w:val="0"/>
      <w:marRight w:val="0"/>
      <w:marTop w:val="0"/>
      <w:marBottom w:val="0"/>
      <w:divBdr>
        <w:top w:val="none" w:sz="0" w:space="0" w:color="auto"/>
        <w:left w:val="none" w:sz="0" w:space="0" w:color="auto"/>
        <w:bottom w:val="none" w:sz="0" w:space="0" w:color="auto"/>
        <w:right w:val="none" w:sz="0" w:space="0" w:color="auto"/>
      </w:divBdr>
    </w:div>
    <w:div w:id="426586539">
      <w:bodyDiv w:val="1"/>
      <w:marLeft w:val="0"/>
      <w:marRight w:val="0"/>
      <w:marTop w:val="0"/>
      <w:marBottom w:val="0"/>
      <w:divBdr>
        <w:top w:val="none" w:sz="0" w:space="0" w:color="auto"/>
        <w:left w:val="none" w:sz="0" w:space="0" w:color="auto"/>
        <w:bottom w:val="none" w:sz="0" w:space="0" w:color="auto"/>
        <w:right w:val="none" w:sz="0" w:space="0" w:color="auto"/>
      </w:divBdr>
    </w:div>
    <w:div w:id="431122604">
      <w:bodyDiv w:val="1"/>
      <w:marLeft w:val="0"/>
      <w:marRight w:val="0"/>
      <w:marTop w:val="0"/>
      <w:marBottom w:val="0"/>
      <w:divBdr>
        <w:top w:val="none" w:sz="0" w:space="0" w:color="auto"/>
        <w:left w:val="none" w:sz="0" w:space="0" w:color="auto"/>
        <w:bottom w:val="none" w:sz="0" w:space="0" w:color="auto"/>
        <w:right w:val="none" w:sz="0" w:space="0" w:color="auto"/>
      </w:divBdr>
    </w:div>
    <w:div w:id="460003272">
      <w:bodyDiv w:val="1"/>
      <w:marLeft w:val="0"/>
      <w:marRight w:val="0"/>
      <w:marTop w:val="0"/>
      <w:marBottom w:val="0"/>
      <w:divBdr>
        <w:top w:val="none" w:sz="0" w:space="0" w:color="auto"/>
        <w:left w:val="none" w:sz="0" w:space="0" w:color="auto"/>
        <w:bottom w:val="none" w:sz="0" w:space="0" w:color="auto"/>
        <w:right w:val="none" w:sz="0" w:space="0" w:color="auto"/>
      </w:divBdr>
    </w:div>
    <w:div w:id="471094788">
      <w:bodyDiv w:val="1"/>
      <w:marLeft w:val="0"/>
      <w:marRight w:val="0"/>
      <w:marTop w:val="0"/>
      <w:marBottom w:val="0"/>
      <w:divBdr>
        <w:top w:val="none" w:sz="0" w:space="0" w:color="auto"/>
        <w:left w:val="none" w:sz="0" w:space="0" w:color="auto"/>
        <w:bottom w:val="none" w:sz="0" w:space="0" w:color="auto"/>
        <w:right w:val="none" w:sz="0" w:space="0" w:color="auto"/>
      </w:divBdr>
    </w:div>
    <w:div w:id="474219635">
      <w:bodyDiv w:val="1"/>
      <w:marLeft w:val="0"/>
      <w:marRight w:val="0"/>
      <w:marTop w:val="0"/>
      <w:marBottom w:val="0"/>
      <w:divBdr>
        <w:top w:val="none" w:sz="0" w:space="0" w:color="auto"/>
        <w:left w:val="none" w:sz="0" w:space="0" w:color="auto"/>
        <w:bottom w:val="none" w:sz="0" w:space="0" w:color="auto"/>
        <w:right w:val="none" w:sz="0" w:space="0" w:color="auto"/>
      </w:divBdr>
    </w:div>
    <w:div w:id="481893843">
      <w:bodyDiv w:val="1"/>
      <w:marLeft w:val="0"/>
      <w:marRight w:val="0"/>
      <w:marTop w:val="0"/>
      <w:marBottom w:val="0"/>
      <w:divBdr>
        <w:top w:val="none" w:sz="0" w:space="0" w:color="auto"/>
        <w:left w:val="none" w:sz="0" w:space="0" w:color="auto"/>
        <w:bottom w:val="none" w:sz="0" w:space="0" w:color="auto"/>
        <w:right w:val="none" w:sz="0" w:space="0" w:color="auto"/>
      </w:divBdr>
    </w:div>
    <w:div w:id="486626192">
      <w:bodyDiv w:val="1"/>
      <w:marLeft w:val="0"/>
      <w:marRight w:val="0"/>
      <w:marTop w:val="0"/>
      <w:marBottom w:val="0"/>
      <w:divBdr>
        <w:top w:val="none" w:sz="0" w:space="0" w:color="auto"/>
        <w:left w:val="none" w:sz="0" w:space="0" w:color="auto"/>
        <w:bottom w:val="none" w:sz="0" w:space="0" w:color="auto"/>
        <w:right w:val="none" w:sz="0" w:space="0" w:color="auto"/>
      </w:divBdr>
    </w:div>
    <w:div w:id="489709364">
      <w:bodyDiv w:val="1"/>
      <w:marLeft w:val="0"/>
      <w:marRight w:val="0"/>
      <w:marTop w:val="0"/>
      <w:marBottom w:val="0"/>
      <w:divBdr>
        <w:top w:val="none" w:sz="0" w:space="0" w:color="auto"/>
        <w:left w:val="none" w:sz="0" w:space="0" w:color="auto"/>
        <w:bottom w:val="none" w:sz="0" w:space="0" w:color="auto"/>
        <w:right w:val="none" w:sz="0" w:space="0" w:color="auto"/>
      </w:divBdr>
    </w:div>
    <w:div w:id="526723430">
      <w:bodyDiv w:val="1"/>
      <w:marLeft w:val="0"/>
      <w:marRight w:val="0"/>
      <w:marTop w:val="0"/>
      <w:marBottom w:val="0"/>
      <w:divBdr>
        <w:top w:val="none" w:sz="0" w:space="0" w:color="auto"/>
        <w:left w:val="none" w:sz="0" w:space="0" w:color="auto"/>
        <w:bottom w:val="none" w:sz="0" w:space="0" w:color="auto"/>
        <w:right w:val="none" w:sz="0" w:space="0" w:color="auto"/>
      </w:divBdr>
    </w:div>
    <w:div w:id="529031624">
      <w:bodyDiv w:val="1"/>
      <w:marLeft w:val="0"/>
      <w:marRight w:val="0"/>
      <w:marTop w:val="0"/>
      <w:marBottom w:val="0"/>
      <w:divBdr>
        <w:top w:val="none" w:sz="0" w:space="0" w:color="auto"/>
        <w:left w:val="none" w:sz="0" w:space="0" w:color="auto"/>
        <w:bottom w:val="none" w:sz="0" w:space="0" w:color="auto"/>
        <w:right w:val="none" w:sz="0" w:space="0" w:color="auto"/>
      </w:divBdr>
    </w:div>
    <w:div w:id="531115028">
      <w:bodyDiv w:val="1"/>
      <w:marLeft w:val="0"/>
      <w:marRight w:val="0"/>
      <w:marTop w:val="0"/>
      <w:marBottom w:val="0"/>
      <w:divBdr>
        <w:top w:val="none" w:sz="0" w:space="0" w:color="auto"/>
        <w:left w:val="none" w:sz="0" w:space="0" w:color="auto"/>
        <w:bottom w:val="none" w:sz="0" w:space="0" w:color="auto"/>
        <w:right w:val="none" w:sz="0" w:space="0" w:color="auto"/>
      </w:divBdr>
    </w:div>
    <w:div w:id="546994736">
      <w:bodyDiv w:val="1"/>
      <w:marLeft w:val="0"/>
      <w:marRight w:val="0"/>
      <w:marTop w:val="0"/>
      <w:marBottom w:val="0"/>
      <w:divBdr>
        <w:top w:val="none" w:sz="0" w:space="0" w:color="auto"/>
        <w:left w:val="none" w:sz="0" w:space="0" w:color="auto"/>
        <w:bottom w:val="none" w:sz="0" w:space="0" w:color="auto"/>
        <w:right w:val="none" w:sz="0" w:space="0" w:color="auto"/>
      </w:divBdr>
    </w:div>
    <w:div w:id="554464549">
      <w:bodyDiv w:val="1"/>
      <w:marLeft w:val="0"/>
      <w:marRight w:val="0"/>
      <w:marTop w:val="0"/>
      <w:marBottom w:val="0"/>
      <w:divBdr>
        <w:top w:val="none" w:sz="0" w:space="0" w:color="auto"/>
        <w:left w:val="none" w:sz="0" w:space="0" w:color="auto"/>
        <w:bottom w:val="none" w:sz="0" w:space="0" w:color="auto"/>
        <w:right w:val="none" w:sz="0" w:space="0" w:color="auto"/>
      </w:divBdr>
    </w:div>
    <w:div w:id="559681998">
      <w:bodyDiv w:val="1"/>
      <w:marLeft w:val="0"/>
      <w:marRight w:val="0"/>
      <w:marTop w:val="0"/>
      <w:marBottom w:val="0"/>
      <w:divBdr>
        <w:top w:val="none" w:sz="0" w:space="0" w:color="auto"/>
        <w:left w:val="none" w:sz="0" w:space="0" w:color="auto"/>
        <w:bottom w:val="none" w:sz="0" w:space="0" w:color="auto"/>
        <w:right w:val="none" w:sz="0" w:space="0" w:color="auto"/>
      </w:divBdr>
    </w:div>
    <w:div w:id="566571325">
      <w:bodyDiv w:val="1"/>
      <w:marLeft w:val="0"/>
      <w:marRight w:val="0"/>
      <w:marTop w:val="0"/>
      <w:marBottom w:val="0"/>
      <w:divBdr>
        <w:top w:val="none" w:sz="0" w:space="0" w:color="auto"/>
        <w:left w:val="none" w:sz="0" w:space="0" w:color="auto"/>
        <w:bottom w:val="none" w:sz="0" w:space="0" w:color="auto"/>
        <w:right w:val="none" w:sz="0" w:space="0" w:color="auto"/>
      </w:divBdr>
    </w:div>
    <w:div w:id="587036071">
      <w:bodyDiv w:val="1"/>
      <w:marLeft w:val="0"/>
      <w:marRight w:val="0"/>
      <w:marTop w:val="0"/>
      <w:marBottom w:val="0"/>
      <w:divBdr>
        <w:top w:val="none" w:sz="0" w:space="0" w:color="auto"/>
        <w:left w:val="none" w:sz="0" w:space="0" w:color="auto"/>
        <w:bottom w:val="none" w:sz="0" w:space="0" w:color="auto"/>
        <w:right w:val="none" w:sz="0" w:space="0" w:color="auto"/>
      </w:divBdr>
    </w:div>
    <w:div w:id="595939215">
      <w:bodyDiv w:val="1"/>
      <w:marLeft w:val="0"/>
      <w:marRight w:val="0"/>
      <w:marTop w:val="0"/>
      <w:marBottom w:val="0"/>
      <w:divBdr>
        <w:top w:val="none" w:sz="0" w:space="0" w:color="auto"/>
        <w:left w:val="none" w:sz="0" w:space="0" w:color="auto"/>
        <w:bottom w:val="none" w:sz="0" w:space="0" w:color="auto"/>
        <w:right w:val="none" w:sz="0" w:space="0" w:color="auto"/>
      </w:divBdr>
    </w:div>
    <w:div w:id="598634976">
      <w:bodyDiv w:val="1"/>
      <w:marLeft w:val="0"/>
      <w:marRight w:val="0"/>
      <w:marTop w:val="0"/>
      <w:marBottom w:val="0"/>
      <w:divBdr>
        <w:top w:val="none" w:sz="0" w:space="0" w:color="auto"/>
        <w:left w:val="none" w:sz="0" w:space="0" w:color="auto"/>
        <w:bottom w:val="none" w:sz="0" w:space="0" w:color="auto"/>
        <w:right w:val="none" w:sz="0" w:space="0" w:color="auto"/>
      </w:divBdr>
    </w:div>
    <w:div w:id="601691156">
      <w:bodyDiv w:val="1"/>
      <w:marLeft w:val="0"/>
      <w:marRight w:val="0"/>
      <w:marTop w:val="0"/>
      <w:marBottom w:val="0"/>
      <w:divBdr>
        <w:top w:val="none" w:sz="0" w:space="0" w:color="auto"/>
        <w:left w:val="none" w:sz="0" w:space="0" w:color="auto"/>
        <w:bottom w:val="none" w:sz="0" w:space="0" w:color="auto"/>
        <w:right w:val="none" w:sz="0" w:space="0" w:color="auto"/>
      </w:divBdr>
    </w:div>
    <w:div w:id="619653331">
      <w:bodyDiv w:val="1"/>
      <w:marLeft w:val="0"/>
      <w:marRight w:val="0"/>
      <w:marTop w:val="0"/>
      <w:marBottom w:val="0"/>
      <w:divBdr>
        <w:top w:val="none" w:sz="0" w:space="0" w:color="auto"/>
        <w:left w:val="none" w:sz="0" w:space="0" w:color="auto"/>
        <w:bottom w:val="none" w:sz="0" w:space="0" w:color="auto"/>
        <w:right w:val="none" w:sz="0" w:space="0" w:color="auto"/>
      </w:divBdr>
    </w:div>
    <w:div w:id="624701842">
      <w:bodyDiv w:val="1"/>
      <w:marLeft w:val="0"/>
      <w:marRight w:val="0"/>
      <w:marTop w:val="0"/>
      <w:marBottom w:val="0"/>
      <w:divBdr>
        <w:top w:val="none" w:sz="0" w:space="0" w:color="auto"/>
        <w:left w:val="none" w:sz="0" w:space="0" w:color="auto"/>
        <w:bottom w:val="none" w:sz="0" w:space="0" w:color="auto"/>
        <w:right w:val="none" w:sz="0" w:space="0" w:color="auto"/>
      </w:divBdr>
    </w:div>
    <w:div w:id="630331307">
      <w:bodyDiv w:val="1"/>
      <w:marLeft w:val="0"/>
      <w:marRight w:val="0"/>
      <w:marTop w:val="0"/>
      <w:marBottom w:val="0"/>
      <w:divBdr>
        <w:top w:val="none" w:sz="0" w:space="0" w:color="auto"/>
        <w:left w:val="none" w:sz="0" w:space="0" w:color="auto"/>
        <w:bottom w:val="none" w:sz="0" w:space="0" w:color="auto"/>
        <w:right w:val="none" w:sz="0" w:space="0" w:color="auto"/>
      </w:divBdr>
    </w:div>
    <w:div w:id="638269052">
      <w:bodyDiv w:val="1"/>
      <w:marLeft w:val="0"/>
      <w:marRight w:val="0"/>
      <w:marTop w:val="0"/>
      <w:marBottom w:val="0"/>
      <w:divBdr>
        <w:top w:val="none" w:sz="0" w:space="0" w:color="auto"/>
        <w:left w:val="none" w:sz="0" w:space="0" w:color="auto"/>
        <w:bottom w:val="none" w:sz="0" w:space="0" w:color="auto"/>
        <w:right w:val="none" w:sz="0" w:space="0" w:color="auto"/>
      </w:divBdr>
    </w:div>
    <w:div w:id="641735272">
      <w:bodyDiv w:val="1"/>
      <w:marLeft w:val="0"/>
      <w:marRight w:val="0"/>
      <w:marTop w:val="0"/>
      <w:marBottom w:val="0"/>
      <w:divBdr>
        <w:top w:val="none" w:sz="0" w:space="0" w:color="auto"/>
        <w:left w:val="none" w:sz="0" w:space="0" w:color="auto"/>
        <w:bottom w:val="none" w:sz="0" w:space="0" w:color="auto"/>
        <w:right w:val="none" w:sz="0" w:space="0" w:color="auto"/>
      </w:divBdr>
    </w:div>
    <w:div w:id="642780117">
      <w:bodyDiv w:val="1"/>
      <w:marLeft w:val="0"/>
      <w:marRight w:val="0"/>
      <w:marTop w:val="0"/>
      <w:marBottom w:val="0"/>
      <w:divBdr>
        <w:top w:val="none" w:sz="0" w:space="0" w:color="auto"/>
        <w:left w:val="none" w:sz="0" w:space="0" w:color="auto"/>
        <w:bottom w:val="none" w:sz="0" w:space="0" w:color="auto"/>
        <w:right w:val="none" w:sz="0" w:space="0" w:color="auto"/>
      </w:divBdr>
    </w:div>
    <w:div w:id="696003655">
      <w:bodyDiv w:val="1"/>
      <w:marLeft w:val="0"/>
      <w:marRight w:val="0"/>
      <w:marTop w:val="0"/>
      <w:marBottom w:val="0"/>
      <w:divBdr>
        <w:top w:val="none" w:sz="0" w:space="0" w:color="auto"/>
        <w:left w:val="none" w:sz="0" w:space="0" w:color="auto"/>
        <w:bottom w:val="none" w:sz="0" w:space="0" w:color="auto"/>
        <w:right w:val="none" w:sz="0" w:space="0" w:color="auto"/>
      </w:divBdr>
    </w:div>
    <w:div w:id="700326881">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5082538">
      <w:bodyDiv w:val="1"/>
      <w:marLeft w:val="0"/>
      <w:marRight w:val="0"/>
      <w:marTop w:val="0"/>
      <w:marBottom w:val="0"/>
      <w:divBdr>
        <w:top w:val="none" w:sz="0" w:space="0" w:color="auto"/>
        <w:left w:val="none" w:sz="0" w:space="0" w:color="auto"/>
        <w:bottom w:val="none" w:sz="0" w:space="0" w:color="auto"/>
        <w:right w:val="none" w:sz="0" w:space="0" w:color="auto"/>
      </w:divBdr>
    </w:div>
    <w:div w:id="735011624">
      <w:bodyDiv w:val="1"/>
      <w:marLeft w:val="0"/>
      <w:marRight w:val="0"/>
      <w:marTop w:val="0"/>
      <w:marBottom w:val="0"/>
      <w:divBdr>
        <w:top w:val="none" w:sz="0" w:space="0" w:color="auto"/>
        <w:left w:val="none" w:sz="0" w:space="0" w:color="auto"/>
        <w:bottom w:val="none" w:sz="0" w:space="0" w:color="auto"/>
        <w:right w:val="none" w:sz="0" w:space="0" w:color="auto"/>
      </w:divBdr>
    </w:div>
    <w:div w:id="741148572">
      <w:bodyDiv w:val="1"/>
      <w:marLeft w:val="0"/>
      <w:marRight w:val="0"/>
      <w:marTop w:val="0"/>
      <w:marBottom w:val="0"/>
      <w:divBdr>
        <w:top w:val="none" w:sz="0" w:space="0" w:color="auto"/>
        <w:left w:val="none" w:sz="0" w:space="0" w:color="auto"/>
        <w:bottom w:val="none" w:sz="0" w:space="0" w:color="auto"/>
        <w:right w:val="none" w:sz="0" w:space="0" w:color="auto"/>
      </w:divBdr>
    </w:div>
    <w:div w:id="796484793">
      <w:bodyDiv w:val="1"/>
      <w:marLeft w:val="0"/>
      <w:marRight w:val="0"/>
      <w:marTop w:val="0"/>
      <w:marBottom w:val="0"/>
      <w:divBdr>
        <w:top w:val="none" w:sz="0" w:space="0" w:color="auto"/>
        <w:left w:val="none" w:sz="0" w:space="0" w:color="auto"/>
        <w:bottom w:val="none" w:sz="0" w:space="0" w:color="auto"/>
        <w:right w:val="none" w:sz="0" w:space="0" w:color="auto"/>
      </w:divBdr>
    </w:div>
    <w:div w:id="820779281">
      <w:bodyDiv w:val="1"/>
      <w:marLeft w:val="0"/>
      <w:marRight w:val="0"/>
      <w:marTop w:val="0"/>
      <w:marBottom w:val="0"/>
      <w:divBdr>
        <w:top w:val="none" w:sz="0" w:space="0" w:color="auto"/>
        <w:left w:val="none" w:sz="0" w:space="0" w:color="auto"/>
        <w:bottom w:val="none" w:sz="0" w:space="0" w:color="auto"/>
        <w:right w:val="none" w:sz="0" w:space="0" w:color="auto"/>
      </w:divBdr>
      <w:divsChild>
        <w:div w:id="1158615282">
          <w:marLeft w:val="0"/>
          <w:marRight w:val="0"/>
          <w:marTop w:val="0"/>
          <w:marBottom w:val="0"/>
          <w:divBdr>
            <w:top w:val="none" w:sz="0" w:space="0" w:color="auto"/>
            <w:left w:val="none" w:sz="0" w:space="0" w:color="auto"/>
            <w:bottom w:val="none" w:sz="0" w:space="0" w:color="auto"/>
            <w:right w:val="none" w:sz="0" w:space="0" w:color="auto"/>
          </w:divBdr>
        </w:div>
        <w:div w:id="2087991949">
          <w:marLeft w:val="0"/>
          <w:marRight w:val="0"/>
          <w:marTop w:val="0"/>
          <w:marBottom w:val="0"/>
          <w:divBdr>
            <w:top w:val="none" w:sz="0" w:space="0" w:color="auto"/>
            <w:left w:val="none" w:sz="0" w:space="0" w:color="auto"/>
            <w:bottom w:val="none" w:sz="0" w:space="0" w:color="auto"/>
            <w:right w:val="none" w:sz="0" w:space="0" w:color="auto"/>
          </w:divBdr>
        </w:div>
      </w:divsChild>
    </w:div>
    <w:div w:id="823198804">
      <w:bodyDiv w:val="1"/>
      <w:marLeft w:val="0"/>
      <w:marRight w:val="0"/>
      <w:marTop w:val="0"/>
      <w:marBottom w:val="0"/>
      <w:divBdr>
        <w:top w:val="none" w:sz="0" w:space="0" w:color="auto"/>
        <w:left w:val="none" w:sz="0" w:space="0" w:color="auto"/>
        <w:bottom w:val="none" w:sz="0" w:space="0" w:color="auto"/>
        <w:right w:val="none" w:sz="0" w:space="0" w:color="auto"/>
      </w:divBdr>
    </w:div>
    <w:div w:id="827476940">
      <w:bodyDiv w:val="1"/>
      <w:marLeft w:val="0"/>
      <w:marRight w:val="0"/>
      <w:marTop w:val="0"/>
      <w:marBottom w:val="0"/>
      <w:divBdr>
        <w:top w:val="none" w:sz="0" w:space="0" w:color="auto"/>
        <w:left w:val="none" w:sz="0" w:space="0" w:color="auto"/>
        <w:bottom w:val="none" w:sz="0" w:space="0" w:color="auto"/>
        <w:right w:val="none" w:sz="0" w:space="0" w:color="auto"/>
      </w:divBdr>
    </w:div>
    <w:div w:id="833758334">
      <w:bodyDiv w:val="1"/>
      <w:marLeft w:val="0"/>
      <w:marRight w:val="0"/>
      <w:marTop w:val="0"/>
      <w:marBottom w:val="0"/>
      <w:divBdr>
        <w:top w:val="none" w:sz="0" w:space="0" w:color="auto"/>
        <w:left w:val="none" w:sz="0" w:space="0" w:color="auto"/>
        <w:bottom w:val="none" w:sz="0" w:space="0" w:color="auto"/>
        <w:right w:val="none" w:sz="0" w:space="0" w:color="auto"/>
      </w:divBdr>
    </w:div>
    <w:div w:id="838472670">
      <w:bodyDiv w:val="1"/>
      <w:marLeft w:val="0"/>
      <w:marRight w:val="0"/>
      <w:marTop w:val="0"/>
      <w:marBottom w:val="0"/>
      <w:divBdr>
        <w:top w:val="none" w:sz="0" w:space="0" w:color="auto"/>
        <w:left w:val="none" w:sz="0" w:space="0" w:color="auto"/>
        <w:bottom w:val="none" w:sz="0" w:space="0" w:color="auto"/>
        <w:right w:val="none" w:sz="0" w:space="0" w:color="auto"/>
      </w:divBdr>
    </w:div>
    <w:div w:id="841092671">
      <w:bodyDiv w:val="1"/>
      <w:marLeft w:val="0"/>
      <w:marRight w:val="0"/>
      <w:marTop w:val="0"/>
      <w:marBottom w:val="0"/>
      <w:divBdr>
        <w:top w:val="none" w:sz="0" w:space="0" w:color="auto"/>
        <w:left w:val="none" w:sz="0" w:space="0" w:color="auto"/>
        <w:bottom w:val="none" w:sz="0" w:space="0" w:color="auto"/>
        <w:right w:val="none" w:sz="0" w:space="0" w:color="auto"/>
      </w:divBdr>
    </w:div>
    <w:div w:id="850804252">
      <w:bodyDiv w:val="1"/>
      <w:marLeft w:val="0"/>
      <w:marRight w:val="0"/>
      <w:marTop w:val="0"/>
      <w:marBottom w:val="0"/>
      <w:divBdr>
        <w:top w:val="none" w:sz="0" w:space="0" w:color="auto"/>
        <w:left w:val="none" w:sz="0" w:space="0" w:color="auto"/>
        <w:bottom w:val="none" w:sz="0" w:space="0" w:color="auto"/>
        <w:right w:val="none" w:sz="0" w:space="0" w:color="auto"/>
      </w:divBdr>
    </w:div>
    <w:div w:id="874580098">
      <w:bodyDiv w:val="1"/>
      <w:marLeft w:val="0"/>
      <w:marRight w:val="0"/>
      <w:marTop w:val="0"/>
      <w:marBottom w:val="0"/>
      <w:divBdr>
        <w:top w:val="none" w:sz="0" w:space="0" w:color="auto"/>
        <w:left w:val="none" w:sz="0" w:space="0" w:color="auto"/>
        <w:bottom w:val="none" w:sz="0" w:space="0" w:color="auto"/>
        <w:right w:val="none" w:sz="0" w:space="0" w:color="auto"/>
      </w:divBdr>
    </w:div>
    <w:div w:id="882864310">
      <w:bodyDiv w:val="1"/>
      <w:marLeft w:val="0"/>
      <w:marRight w:val="0"/>
      <w:marTop w:val="0"/>
      <w:marBottom w:val="0"/>
      <w:divBdr>
        <w:top w:val="none" w:sz="0" w:space="0" w:color="auto"/>
        <w:left w:val="none" w:sz="0" w:space="0" w:color="auto"/>
        <w:bottom w:val="none" w:sz="0" w:space="0" w:color="auto"/>
        <w:right w:val="none" w:sz="0" w:space="0" w:color="auto"/>
      </w:divBdr>
      <w:divsChild>
        <w:div w:id="21050917">
          <w:marLeft w:val="0"/>
          <w:marRight w:val="0"/>
          <w:marTop w:val="0"/>
          <w:marBottom w:val="0"/>
          <w:divBdr>
            <w:top w:val="none" w:sz="0" w:space="0" w:color="auto"/>
            <w:left w:val="none" w:sz="0" w:space="0" w:color="auto"/>
            <w:bottom w:val="none" w:sz="0" w:space="0" w:color="auto"/>
            <w:right w:val="none" w:sz="0" w:space="0" w:color="auto"/>
          </w:divBdr>
          <w:divsChild>
            <w:div w:id="11566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1372">
      <w:bodyDiv w:val="1"/>
      <w:marLeft w:val="0"/>
      <w:marRight w:val="0"/>
      <w:marTop w:val="0"/>
      <w:marBottom w:val="0"/>
      <w:divBdr>
        <w:top w:val="none" w:sz="0" w:space="0" w:color="auto"/>
        <w:left w:val="none" w:sz="0" w:space="0" w:color="auto"/>
        <w:bottom w:val="none" w:sz="0" w:space="0" w:color="auto"/>
        <w:right w:val="none" w:sz="0" w:space="0" w:color="auto"/>
      </w:divBdr>
    </w:div>
    <w:div w:id="925260301">
      <w:bodyDiv w:val="1"/>
      <w:marLeft w:val="0"/>
      <w:marRight w:val="0"/>
      <w:marTop w:val="0"/>
      <w:marBottom w:val="0"/>
      <w:divBdr>
        <w:top w:val="none" w:sz="0" w:space="0" w:color="auto"/>
        <w:left w:val="none" w:sz="0" w:space="0" w:color="auto"/>
        <w:bottom w:val="none" w:sz="0" w:space="0" w:color="auto"/>
        <w:right w:val="none" w:sz="0" w:space="0" w:color="auto"/>
      </w:divBdr>
    </w:div>
    <w:div w:id="926230823">
      <w:bodyDiv w:val="1"/>
      <w:marLeft w:val="0"/>
      <w:marRight w:val="0"/>
      <w:marTop w:val="0"/>
      <w:marBottom w:val="0"/>
      <w:divBdr>
        <w:top w:val="none" w:sz="0" w:space="0" w:color="auto"/>
        <w:left w:val="none" w:sz="0" w:space="0" w:color="auto"/>
        <w:bottom w:val="none" w:sz="0" w:space="0" w:color="auto"/>
        <w:right w:val="none" w:sz="0" w:space="0" w:color="auto"/>
      </w:divBdr>
    </w:div>
    <w:div w:id="927469064">
      <w:bodyDiv w:val="1"/>
      <w:marLeft w:val="0"/>
      <w:marRight w:val="0"/>
      <w:marTop w:val="0"/>
      <w:marBottom w:val="0"/>
      <w:divBdr>
        <w:top w:val="none" w:sz="0" w:space="0" w:color="auto"/>
        <w:left w:val="none" w:sz="0" w:space="0" w:color="auto"/>
        <w:bottom w:val="none" w:sz="0" w:space="0" w:color="auto"/>
        <w:right w:val="none" w:sz="0" w:space="0" w:color="auto"/>
      </w:divBdr>
    </w:div>
    <w:div w:id="956105207">
      <w:bodyDiv w:val="1"/>
      <w:marLeft w:val="0"/>
      <w:marRight w:val="0"/>
      <w:marTop w:val="0"/>
      <w:marBottom w:val="0"/>
      <w:divBdr>
        <w:top w:val="none" w:sz="0" w:space="0" w:color="auto"/>
        <w:left w:val="none" w:sz="0" w:space="0" w:color="auto"/>
        <w:bottom w:val="none" w:sz="0" w:space="0" w:color="auto"/>
        <w:right w:val="none" w:sz="0" w:space="0" w:color="auto"/>
      </w:divBdr>
    </w:div>
    <w:div w:id="968317849">
      <w:bodyDiv w:val="1"/>
      <w:marLeft w:val="0"/>
      <w:marRight w:val="0"/>
      <w:marTop w:val="0"/>
      <w:marBottom w:val="0"/>
      <w:divBdr>
        <w:top w:val="none" w:sz="0" w:space="0" w:color="auto"/>
        <w:left w:val="none" w:sz="0" w:space="0" w:color="auto"/>
        <w:bottom w:val="none" w:sz="0" w:space="0" w:color="auto"/>
        <w:right w:val="none" w:sz="0" w:space="0" w:color="auto"/>
      </w:divBdr>
    </w:div>
    <w:div w:id="979311398">
      <w:bodyDiv w:val="1"/>
      <w:marLeft w:val="0"/>
      <w:marRight w:val="0"/>
      <w:marTop w:val="0"/>
      <w:marBottom w:val="0"/>
      <w:divBdr>
        <w:top w:val="none" w:sz="0" w:space="0" w:color="auto"/>
        <w:left w:val="none" w:sz="0" w:space="0" w:color="auto"/>
        <w:bottom w:val="none" w:sz="0" w:space="0" w:color="auto"/>
        <w:right w:val="none" w:sz="0" w:space="0" w:color="auto"/>
      </w:divBdr>
    </w:div>
    <w:div w:id="984579371">
      <w:bodyDiv w:val="1"/>
      <w:marLeft w:val="0"/>
      <w:marRight w:val="0"/>
      <w:marTop w:val="0"/>
      <w:marBottom w:val="0"/>
      <w:divBdr>
        <w:top w:val="none" w:sz="0" w:space="0" w:color="auto"/>
        <w:left w:val="none" w:sz="0" w:space="0" w:color="auto"/>
        <w:bottom w:val="none" w:sz="0" w:space="0" w:color="auto"/>
        <w:right w:val="none" w:sz="0" w:space="0" w:color="auto"/>
      </w:divBdr>
    </w:div>
    <w:div w:id="989093679">
      <w:bodyDiv w:val="1"/>
      <w:marLeft w:val="0"/>
      <w:marRight w:val="0"/>
      <w:marTop w:val="0"/>
      <w:marBottom w:val="0"/>
      <w:divBdr>
        <w:top w:val="none" w:sz="0" w:space="0" w:color="auto"/>
        <w:left w:val="none" w:sz="0" w:space="0" w:color="auto"/>
        <w:bottom w:val="none" w:sz="0" w:space="0" w:color="auto"/>
        <w:right w:val="none" w:sz="0" w:space="0" w:color="auto"/>
      </w:divBdr>
    </w:div>
    <w:div w:id="990911325">
      <w:bodyDiv w:val="1"/>
      <w:marLeft w:val="0"/>
      <w:marRight w:val="0"/>
      <w:marTop w:val="0"/>
      <w:marBottom w:val="0"/>
      <w:divBdr>
        <w:top w:val="none" w:sz="0" w:space="0" w:color="auto"/>
        <w:left w:val="none" w:sz="0" w:space="0" w:color="auto"/>
        <w:bottom w:val="none" w:sz="0" w:space="0" w:color="auto"/>
        <w:right w:val="none" w:sz="0" w:space="0" w:color="auto"/>
      </w:divBdr>
    </w:div>
    <w:div w:id="999693059">
      <w:bodyDiv w:val="1"/>
      <w:marLeft w:val="0"/>
      <w:marRight w:val="0"/>
      <w:marTop w:val="0"/>
      <w:marBottom w:val="0"/>
      <w:divBdr>
        <w:top w:val="none" w:sz="0" w:space="0" w:color="auto"/>
        <w:left w:val="none" w:sz="0" w:space="0" w:color="auto"/>
        <w:bottom w:val="none" w:sz="0" w:space="0" w:color="auto"/>
        <w:right w:val="none" w:sz="0" w:space="0" w:color="auto"/>
      </w:divBdr>
    </w:div>
    <w:div w:id="1002246533">
      <w:bodyDiv w:val="1"/>
      <w:marLeft w:val="0"/>
      <w:marRight w:val="0"/>
      <w:marTop w:val="0"/>
      <w:marBottom w:val="0"/>
      <w:divBdr>
        <w:top w:val="none" w:sz="0" w:space="0" w:color="auto"/>
        <w:left w:val="none" w:sz="0" w:space="0" w:color="auto"/>
        <w:bottom w:val="none" w:sz="0" w:space="0" w:color="auto"/>
        <w:right w:val="none" w:sz="0" w:space="0" w:color="auto"/>
      </w:divBdr>
    </w:div>
    <w:div w:id="1003894151">
      <w:bodyDiv w:val="1"/>
      <w:marLeft w:val="0"/>
      <w:marRight w:val="0"/>
      <w:marTop w:val="0"/>
      <w:marBottom w:val="0"/>
      <w:divBdr>
        <w:top w:val="none" w:sz="0" w:space="0" w:color="auto"/>
        <w:left w:val="none" w:sz="0" w:space="0" w:color="auto"/>
        <w:bottom w:val="none" w:sz="0" w:space="0" w:color="auto"/>
        <w:right w:val="none" w:sz="0" w:space="0" w:color="auto"/>
      </w:divBdr>
    </w:div>
    <w:div w:id="1013651939">
      <w:bodyDiv w:val="1"/>
      <w:marLeft w:val="0"/>
      <w:marRight w:val="0"/>
      <w:marTop w:val="0"/>
      <w:marBottom w:val="0"/>
      <w:divBdr>
        <w:top w:val="none" w:sz="0" w:space="0" w:color="auto"/>
        <w:left w:val="none" w:sz="0" w:space="0" w:color="auto"/>
        <w:bottom w:val="none" w:sz="0" w:space="0" w:color="auto"/>
        <w:right w:val="none" w:sz="0" w:space="0" w:color="auto"/>
      </w:divBdr>
    </w:div>
    <w:div w:id="1030497121">
      <w:bodyDiv w:val="1"/>
      <w:marLeft w:val="0"/>
      <w:marRight w:val="0"/>
      <w:marTop w:val="0"/>
      <w:marBottom w:val="0"/>
      <w:divBdr>
        <w:top w:val="none" w:sz="0" w:space="0" w:color="auto"/>
        <w:left w:val="none" w:sz="0" w:space="0" w:color="auto"/>
        <w:bottom w:val="none" w:sz="0" w:space="0" w:color="auto"/>
        <w:right w:val="none" w:sz="0" w:space="0" w:color="auto"/>
      </w:divBdr>
    </w:div>
    <w:div w:id="1048914758">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77361050">
      <w:bodyDiv w:val="1"/>
      <w:marLeft w:val="0"/>
      <w:marRight w:val="0"/>
      <w:marTop w:val="0"/>
      <w:marBottom w:val="0"/>
      <w:divBdr>
        <w:top w:val="none" w:sz="0" w:space="0" w:color="auto"/>
        <w:left w:val="none" w:sz="0" w:space="0" w:color="auto"/>
        <w:bottom w:val="none" w:sz="0" w:space="0" w:color="auto"/>
        <w:right w:val="none" w:sz="0" w:space="0" w:color="auto"/>
      </w:divBdr>
    </w:div>
    <w:div w:id="1079867968">
      <w:bodyDiv w:val="1"/>
      <w:marLeft w:val="0"/>
      <w:marRight w:val="0"/>
      <w:marTop w:val="0"/>
      <w:marBottom w:val="0"/>
      <w:divBdr>
        <w:top w:val="none" w:sz="0" w:space="0" w:color="auto"/>
        <w:left w:val="none" w:sz="0" w:space="0" w:color="auto"/>
        <w:bottom w:val="none" w:sz="0" w:space="0" w:color="auto"/>
        <w:right w:val="none" w:sz="0" w:space="0" w:color="auto"/>
      </w:divBdr>
    </w:div>
    <w:div w:id="1096442481">
      <w:bodyDiv w:val="1"/>
      <w:marLeft w:val="0"/>
      <w:marRight w:val="0"/>
      <w:marTop w:val="0"/>
      <w:marBottom w:val="0"/>
      <w:divBdr>
        <w:top w:val="none" w:sz="0" w:space="0" w:color="auto"/>
        <w:left w:val="none" w:sz="0" w:space="0" w:color="auto"/>
        <w:bottom w:val="none" w:sz="0" w:space="0" w:color="auto"/>
        <w:right w:val="none" w:sz="0" w:space="0" w:color="auto"/>
      </w:divBdr>
    </w:div>
    <w:div w:id="1111583517">
      <w:bodyDiv w:val="1"/>
      <w:marLeft w:val="0"/>
      <w:marRight w:val="0"/>
      <w:marTop w:val="0"/>
      <w:marBottom w:val="0"/>
      <w:divBdr>
        <w:top w:val="none" w:sz="0" w:space="0" w:color="auto"/>
        <w:left w:val="none" w:sz="0" w:space="0" w:color="auto"/>
        <w:bottom w:val="none" w:sz="0" w:space="0" w:color="auto"/>
        <w:right w:val="none" w:sz="0" w:space="0" w:color="auto"/>
      </w:divBdr>
    </w:div>
    <w:div w:id="1122698354">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56914283">
      <w:bodyDiv w:val="1"/>
      <w:marLeft w:val="0"/>
      <w:marRight w:val="0"/>
      <w:marTop w:val="0"/>
      <w:marBottom w:val="0"/>
      <w:divBdr>
        <w:top w:val="none" w:sz="0" w:space="0" w:color="auto"/>
        <w:left w:val="none" w:sz="0" w:space="0" w:color="auto"/>
        <w:bottom w:val="none" w:sz="0" w:space="0" w:color="auto"/>
        <w:right w:val="none" w:sz="0" w:space="0" w:color="auto"/>
      </w:divBdr>
    </w:div>
    <w:div w:id="1192259562">
      <w:bodyDiv w:val="1"/>
      <w:marLeft w:val="0"/>
      <w:marRight w:val="0"/>
      <w:marTop w:val="0"/>
      <w:marBottom w:val="0"/>
      <w:divBdr>
        <w:top w:val="none" w:sz="0" w:space="0" w:color="auto"/>
        <w:left w:val="none" w:sz="0" w:space="0" w:color="auto"/>
        <w:bottom w:val="none" w:sz="0" w:space="0" w:color="auto"/>
        <w:right w:val="none" w:sz="0" w:space="0" w:color="auto"/>
      </w:divBdr>
    </w:div>
    <w:div w:id="1194420901">
      <w:bodyDiv w:val="1"/>
      <w:marLeft w:val="0"/>
      <w:marRight w:val="0"/>
      <w:marTop w:val="0"/>
      <w:marBottom w:val="0"/>
      <w:divBdr>
        <w:top w:val="none" w:sz="0" w:space="0" w:color="auto"/>
        <w:left w:val="none" w:sz="0" w:space="0" w:color="auto"/>
        <w:bottom w:val="none" w:sz="0" w:space="0" w:color="auto"/>
        <w:right w:val="none" w:sz="0" w:space="0" w:color="auto"/>
      </w:divBdr>
    </w:div>
    <w:div w:id="1228153205">
      <w:bodyDiv w:val="1"/>
      <w:marLeft w:val="0"/>
      <w:marRight w:val="0"/>
      <w:marTop w:val="0"/>
      <w:marBottom w:val="0"/>
      <w:divBdr>
        <w:top w:val="none" w:sz="0" w:space="0" w:color="auto"/>
        <w:left w:val="none" w:sz="0" w:space="0" w:color="auto"/>
        <w:bottom w:val="none" w:sz="0" w:space="0" w:color="auto"/>
        <w:right w:val="none" w:sz="0" w:space="0" w:color="auto"/>
      </w:divBdr>
    </w:div>
    <w:div w:id="1236207454">
      <w:bodyDiv w:val="1"/>
      <w:marLeft w:val="0"/>
      <w:marRight w:val="0"/>
      <w:marTop w:val="0"/>
      <w:marBottom w:val="0"/>
      <w:divBdr>
        <w:top w:val="none" w:sz="0" w:space="0" w:color="auto"/>
        <w:left w:val="none" w:sz="0" w:space="0" w:color="auto"/>
        <w:bottom w:val="none" w:sz="0" w:space="0" w:color="auto"/>
        <w:right w:val="none" w:sz="0" w:space="0" w:color="auto"/>
      </w:divBdr>
    </w:div>
    <w:div w:id="1236815849">
      <w:bodyDiv w:val="1"/>
      <w:marLeft w:val="0"/>
      <w:marRight w:val="0"/>
      <w:marTop w:val="0"/>
      <w:marBottom w:val="0"/>
      <w:divBdr>
        <w:top w:val="none" w:sz="0" w:space="0" w:color="auto"/>
        <w:left w:val="none" w:sz="0" w:space="0" w:color="auto"/>
        <w:bottom w:val="none" w:sz="0" w:space="0" w:color="auto"/>
        <w:right w:val="none" w:sz="0" w:space="0" w:color="auto"/>
      </w:divBdr>
    </w:div>
    <w:div w:id="1243763111">
      <w:bodyDiv w:val="1"/>
      <w:marLeft w:val="0"/>
      <w:marRight w:val="0"/>
      <w:marTop w:val="0"/>
      <w:marBottom w:val="0"/>
      <w:divBdr>
        <w:top w:val="none" w:sz="0" w:space="0" w:color="auto"/>
        <w:left w:val="none" w:sz="0" w:space="0" w:color="auto"/>
        <w:bottom w:val="none" w:sz="0" w:space="0" w:color="auto"/>
        <w:right w:val="none" w:sz="0" w:space="0" w:color="auto"/>
      </w:divBdr>
    </w:div>
    <w:div w:id="1250850720">
      <w:bodyDiv w:val="1"/>
      <w:marLeft w:val="0"/>
      <w:marRight w:val="0"/>
      <w:marTop w:val="0"/>
      <w:marBottom w:val="0"/>
      <w:divBdr>
        <w:top w:val="none" w:sz="0" w:space="0" w:color="auto"/>
        <w:left w:val="none" w:sz="0" w:space="0" w:color="auto"/>
        <w:bottom w:val="none" w:sz="0" w:space="0" w:color="auto"/>
        <w:right w:val="none" w:sz="0" w:space="0" w:color="auto"/>
      </w:divBdr>
    </w:div>
    <w:div w:id="1291743507">
      <w:bodyDiv w:val="1"/>
      <w:marLeft w:val="0"/>
      <w:marRight w:val="0"/>
      <w:marTop w:val="0"/>
      <w:marBottom w:val="0"/>
      <w:divBdr>
        <w:top w:val="none" w:sz="0" w:space="0" w:color="auto"/>
        <w:left w:val="none" w:sz="0" w:space="0" w:color="auto"/>
        <w:bottom w:val="none" w:sz="0" w:space="0" w:color="auto"/>
        <w:right w:val="none" w:sz="0" w:space="0" w:color="auto"/>
      </w:divBdr>
    </w:div>
    <w:div w:id="1297226364">
      <w:bodyDiv w:val="1"/>
      <w:marLeft w:val="0"/>
      <w:marRight w:val="0"/>
      <w:marTop w:val="0"/>
      <w:marBottom w:val="0"/>
      <w:divBdr>
        <w:top w:val="none" w:sz="0" w:space="0" w:color="auto"/>
        <w:left w:val="none" w:sz="0" w:space="0" w:color="auto"/>
        <w:bottom w:val="none" w:sz="0" w:space="0" w:color="auto"/>
        <w:right w:val="none" w:sz="0" w:space="0" w:color="auto"/>
      </w:divBdr>
    </w:div>
    <w:div w:id="1307272998">
      <w:bodyDiv w:val="1"/>
      <w:marLeft w:val="0"/>
      <w:marRight w:val="0"/>
      <w:marTop w:val="0"/>
      <w:marBottom w:val="0"/>
      <w:divBdr>
        <w:top w:val="none" w:sz="0" w:space="0" w:color="auto"/>
        <w:left w:val="none" w:sz="0" w:space="0" w:color="auto"/>
        <w:bottom w:val="none" w:sz="0" w:space="0" w:color="auto"/>
        <w:right w:val="none" w:sz="0" w:space="0" w:color="auto"/>
      </w:divBdr>
    </w:div>
    <w:div w:id="1313876557">
      <w:bodyDiv w:val="1"/>
      <w:marLeft w:val="0"/>
      <w:marRight w:val="0"/>
      <w:marTop w:val="0"/>
      <w:marBottom w:val="0"/>
      <w:divBdr>
        <w:top w:val="none" w:sz="0" w:space="0" w:color="auto"/>
        <w:left w:val="none" w:sz="0" w:space="0" w:color="auto"/>
        <w:bottom w:val="none" w:sz="0" w:space="0" w:color="auto"/>
        <w:right w:val="none" w:sz="0" w:space="0" w:color="auto"/>
      </w:divBdr>
    </w:div>
    <w:div w:id="1319847586">
      <w:bodyDiv w:val="1"/>
      <w:marLeft w:val="0"/>
      <w:marRight w:val="0"/>
      <w:marTop w:val="0"/>
      <w:marBottom w:val="0"/>
      <w:divBdr>
        <w:top w:val="none" w:sz="0" w:space="0" w:color="auto"/>
        <w:left w:val="none" w:sz="0" w:space="0" w:color="auto"/>
        <w:bottom w:val="none" w:sz="0" w:space="0" w:color="auto"/>
        <w:right w:val="none" w:sz="0" w:space="0" w:color="auto"/>
      </w:divBdr>
    </w:div>
    <w:div w:id="1336035268">
      <w:bodyDiv w:val="1"/>
      <w:marLeft w:val="0"/>
      <w:marRight w:val="0"/>
      <w:marTop w:val="0"/>
      <w:marBottom w:val="0"/>
      <w:divBdr>
        <w:top w:val="none" w:sz="0" w:space="0" w:color="auto"/>
        <w:left w:val="none" w:sz="0" w:space="0" w:color="auto"/>
        <w:bottom w:val="none" w:sz="0" w:space="0" w:color="auto"/>
        <w:right w:val="none" w:sz="0" w:space="0" w:color="auto"/>
      </w:divBdr>
    </w:div>
    <w:div w:id="1341279795">
      <w:bodyDiv w:val="1"/>
      <w:marLeft w:val="0"/>
      <w:marRight w:val="0"/>
      <w:marTop w:val="0"/>
      <w:marBottom w:val="0"/>
      <w:divBdr>
        <w:top w:val="none" w:sz="0" w:space="0" w:color="auto"/>
        <w:left w:val="none" w:sz="0" w:space="0" w:color="auto"/>
        <w:bottom w:val="none" w:sz="0" w:space="0" w:color="auto"/>
        <w:right w:val="none" w:sz="0" w:space="0" w:color="auto"/>
      </w:divBdr>
    </w:div>
    <w:div w:id="1348289942">
      <w:bodyDiv w:val="1"/>
      <w:marLeft w:val="0"/>
      <w:marRight w:val="0"/>
      <w:marTop w:val="0"/>
      <w:marBottom w:val="0"/>
      <w:divBdr>
        <w:top w:val="none" w:sz="0" w:space="0" w:color="auto"/>
        <w:left w:val="none" w:sz="0" w:space="0" w:color="auto"/>
        <w:bottom w:val="none" w:sz="0" w:space="0" w:color="auto"/>
        <w:right w:val="none" w:sz="0" w:space="0" w:color="auto"/>
      </w:divBdr>
    </w:div>
    <w:div w:id="1355570632">
      <w:bodyDiv w:val="1"/>
      <w:marLeft w:val="0"/>
      <w:marRight w:val="0"/>
      <w:marTop w:val="0"/>
      <w:marBottom w:val="0"/>
      <w:divBdr>
        <w:top w:val="none" w:sz="0" w:space="0" w:color="auto"/>
        <w:left w:val="none" w:sz="0" w:space="0" w:color="auto"/>
        <w:bottom w:val="none" w:sz="0" w:space="0" w:color="auto"/>
        <w:right w:val="none" w:sz="0" w:space="0" w:color="auto"/>
      </w:divBdr>
    </w:div>
    <w:div w:id="1362821804">
      <w:bodyDiv w:val="1"/>
      <w:marLeft w:val="0"/>
      <w:marRight w:val="0"/>
      <w:marTop w:val="0"/>
      <w:marBottom w:val="0"/>
      <w:divBdr>
        <w:top w:val="none" w:sz="0" w:space="0" w:color="auto"/>
        <w:left w:val="none" w:sz="0" w:space="0" w:color="auto"/>
        <w:bottom w:val="none" w:sz="0" w:space="0" w:color="auto"/>
        <w:right w:val="none" w:sz="0" w:space="0" w:color="auto"/>
      </w:divBdr>
    </w:div>
    <w:div w:id="1379167956">
      <w:bodyDiv w:val="1"/>
      <w:marLeft w:val="0"/>
      <w:marRight w:val="0"/>
      <w:marTop w:val="0"/>
      <w:marBottom w:val="0"/>
      <w:divBdr>
        <w:top w:val="none" w:sz="0" w:space="0" w:color="auto"/>
        <w:left w:val="none" w:sz="0" w:space="0" w:color="auto"/>
        <w:bottom w:val="none" w:sz="0" w:space="0" w:color="auto"/>
        <w:right w:val="none" w:sz="0" w:space="0" w:color="auto"/>
      </w:divBdr>
    </w:div>
    <w:div w:id="1395347816">
      <w:bodyDiv w:val="1"/>
      <w:marLeft w:val="0"/>
      <w:marRight w:val="0"/>
      <w:marTop w:val="0"/>
      <w:marBottom w:val="0"/>
      <w:divBdr>
        <w:top w:val="none" w:sz="0" w:space="0" w:color="auto"/>
        <w:left w:val="none" w:sz="0" w:space="0" w:color="auto"/>
        <w:bottom w:val="none" w:sz="0" w:space="0" w:color="auto"/>
        <w:right w:val="none" w:sz="0" w:space="0" w:color="auto"/>
      </w:divBdr>
    </w:div>
    <w:div w:id="1396247478">
      <w:bodyDiv w:val="1"/>
      <w:marLeft w:val="0"/>
      <w:marRight w:val="0"/>
      <w:marTop w:val="0"/>
      <w:marBottom w:val="0"/>
      <w:divBdr>
        <w:top w:val="none" w:sz="0" w:space="0" w:color="auto"/>
        <w:left w:val="none" w:sz="0" w:space="0" w:color="auto"/>
        <w:bottom w:val="none" w:sz="0" w:space="0" w:color="auto"/>
        <w:right w:val="none" w:sz="0" w:space="0" w:color="auto"/>
      </w:divBdr>
    </w:div>
    <w:div w:id="1401250341">
      <w:bodyDiv w:val="1"/>
      <w:marLeft w:val="0"/>
      <w:marRight w:val="0"/>
      <w:marTop w:val="0"/>
      <w:marBottom w:val="0"/>
      <w:divBdr>
        <w:top w:val="none" w:sz="0" w:space="0" w:color="auto"/>
        <w:left w:val="none" w:sz="0" w:space="0" w:color="auto"/>
        <w:bottom w:val="none" w:sz="0" w:space="0" w:color="auto"/>
        <w:right w:val="none" w:sz="0" w:space="0" w:color="auto"/>
      </w:divBdr>
    </w:div>
    <w:div w:id="1436562151">
      <w:bodyDiv w:val="1"/>
      <w:marLeft w:val="0"/>
      <w:marRight w:val="0"/>
      <w:marTop w:val="0"/>
      <w:marBottom w:val="0"/>
      <w:divBdr>
        <w:top w:val="none" w:sz="0" w:space="0" w:color="auto"/>
        <w:left w:val="none" w:sz="0" w:space="0" w:color="auto"/>
        <w:bottom w:val="none" w:sz="0" w:space="0" w:color="auto"/>
        <w:right w:val="none" w:sz="0" w:space="0" w:color="auto"/>
      </w:divBdr>
    </w:div>
    <w:div w:id="1453862655">
      <w:bodyDiv w:val="1"/>
      <w:marLeft w:val="0"/>
      <w:marRight w:val="0"/>
      <w:marTop w:val="0"/>
      <w:marBottom w:val="0"/>
      <w:divBdr>
        <w:top w:val="none" w:sz="0" w:space="0" w:color="auto"/>
        <w:left w:val="none" w:sz="0" w:space="0" w:color="auto"/>
        <w:bottom w:val="none" w:sz="0" w:space="0" w:color="auto"/>
        <w:right w:val="none" w:sz="0" w:space="0" w:color="auto"/>
      </w:divBdr>
    </w:div>
    <w:div w:id="1460341075">
      <w:bodyDiv w:val="1"/>
      <w:marLeft w:val="0"/>
      <w:marRight w:val="0"/>
      <w:marTop w:val="0"/>
      <w:marBottom w:val="0"/>
      <w:divBdr>
        <w:top w:val="none" w:sz="0" w:space="0" w:color="auto"/>
        <w:left w:val="none" w:sz="0" w:space="0" w:color="auto"/>
        <w:bottom w:val="none" w:sz="0" w:space="0" w:color="auto"/>
        <w:right w:val="none" w:sz="0" w:space="0" w:color="auto"/>
      </w:divBdr>
    </w:div>
    <w:div w:id="1461920427">
      <w:bodyDiv w:val="1"/>
      <w:marLeft w:val="0"/>
      <w:marRight w:val="0"/>
      <w:marTop w:val="0"/>
      <w:marBottom w:val="0"/>
      <w:divBdr>
        <w:top w:val="none" w:sz="0" w:space="0" w:color="auto"/>
        <w:left w:val="none" w:sz="0" w:space="0" w:color="auto"/>
        <w:bottom w:val="none" w:sz="0" w:space="0" w:color="auto"/>
        <w:right w:val="none" w:sz="0" w:space="0" w:color="auto"/>
      </w:divBdr>
    </w:div>
    <w:div w:id="1463647671">
      <w:bodyDiv w:val="1"/>
      <w:marLeft w:val="0"/>
      <w:marRight w:val="0"/>
      <w:marTop w:val="0"/>
      <w:marBottom w:val="0"/>
      <w:divBdr>
        <w:top w:val="none" w:sz="0" w:space="0" w:color="auto"/>
        <w:left w:val="none" w:sz="0" w:space="0" w:color="auto"/>
        <w:bottom w:val="none" w:sz="0" w:space="0" w:color="auto"/>
        <w:right w:val="none" w:sz="0" w:space="0" w:color="auto"/>
      </w:divBdr>
    </w:div>
    <w:div w:id="1477918254">
      <w:bodyDiv w:val="1"/>
      <w:marLeft w:val="0"/>
      <w:marRight w:val="0"/>
      <w:marTop w:val="0"/>
      <w:marBottom w:val="0"/>
      <w:divBdr>
        <w:top w:val="none" w:sz="0" w:space="0" w:color="auto"/>
        <w:left w:val="none" w:sz="0" w:space="0" w:color="auto"/>
        <w:bottom w:val="none" w:sz="0" w:space="0" w:color="auto"/>
        <w:right w:val="none" w:sz="0" w:space="0" w:color="auto"/>
      </w:divBdr>
    </w:div>
    <w:div w:id="1483766453">
      <w:bodyDiv w:val="1"/>
      <w:marLeft w:val="0"/>
      <w:marRight w:val="0"/>
      <w:marTop w:val="0"/>
      <w:marBottom w:val="0"/>
      <w:divBdr>
        <w:top w:val="none" w:sz="0" w:space="0" w:color="auto"/>
        <w:left w:val="none" w:sz="0" w:space="0" w:color="auto"/>
        <w:bottom w:val="none" w:sz="0" w:space="0" w:color="auto"/>
        <w:right w:val="none" w:sz="0" w:space="0" w:color="auto"/>
      </w:divBdr>
    </w:div>
    <w:div w:id="1510678784">
      <w:bodyDiv w:val="1"/>
      <w:marLeft w:val="0"/>
      <w:marRight w:val="0"/>
      <w:marTop w:val="0"/>
      <w:marBottom w:val="0"/>
      <w:divBdr>
        <w:top w:val="none" w:sz="0" w:space="0" w:color="auto"/>
        <w:left w:val="none" w:sz="0" w:space="0" w:color="auto"/>
        <w:bottom w:val="none" w:sz="0" w:space="0" w:color="auto"/>
        <w:right w:val="none" w:sz="0" w:space="0" w:color="auto"/>
      </w:divBdr>
    </w:div>
    <w:div w:id="1526552243">
      <w:bodyDiv w:val="1"/>
      <w:marLeft w:val="0"/>
      <w:marRight w:val="0"/>
      <w:marTop w:val="0"/>
      <w:marBottom w:val="0"/>
      <w:divBdr>
        <w:top w:val="none" w:sz="0" w:space="0" w:color="auto"/>
        <w:left w:val="none" w:sz="0" w:space="0" w:color="auto"/>
        <w:bottom w:val="none" w:sz="0" w:space="0" w:color="auto"/>
        <w:right w:val="none" w:sz="0" w:space="0" w:color="auto"/>
      </w:divBdr>
    </w:div>
    <w:div w:id="1550261957">
      <w:bodyDiv w:val="1"/>
      <w:marLeft w:val="0"/>
      <w:marRight w:val="0"/>
      <w:marTop w:val="0"/>
      <w:marBottom w:val="0"/>
      <w:divBdr>
        <w:top w:val="none" w:sz="0" w:space="0" w:color="auto"/>
        <w:left w:val="none" w:sz="0" w:space="0" w:color="auto"/>
        <w:bottom w:val="none" w:sz="0" w:space="0" w:color="auto"/>
        <w:right w:val="none" w:sz="0" w:space="0" w:color="auto"/>
      </w:divBdr>
    </w:div>
    <w:div w:id="1553998746">
      <w:bodyDiv w:val="1"/>
      <w:marLeft w:val="0"/>
      <w:marRight w:val="0"/>
      <w:marTop w:val="0"/>
      <w:marBottom w:val="0"/>
      <w:divBdr>
        <w:top w:val="none" w:sz="0" w:space="0" w:color="auto"/>
        <w:left w:val="none" w:sz="0" w:space="0" w:color="auto"/>
        <w:bottom w:val="none" w:sz="0" w:space="0" w:color="auto"/>
        <w:right w:val="none" w:sz="0" w:space="0" w:color="auto"/>
      </w:divBdr>
    </w:div>
    <w:div w:id="1565330946">
      <w:bodyDiv w:val="1"/>
      <w:marLeft w:val="0"/>
      <w:marRight w:val="0"/>
      <w:marTop w:val="0"/>
      <w:marBottom w:val="0"/>
      <w:divBdr>
        <w:top w:val="none" w:sz="0" w:space="0" w:color="auto"/>
        <w:left w:val="none" w:sz="0" w:space="0" w:color="auto"/>
        <w:bottom w:val="none" w:sz="0" w:space="0" w:color="auto"/>
        <w:right w:val="none" w:sz="0" w:space="0" w:color="auto"/>
      </w:divBdr>
    </w:div>
    <w:div w:id="1565917215">
      <w:bodyDiv w:val="1"/>
      <w:marLeft w:val="0"/>
      <w:marRight w:val="0"/>
      <w:marTop w:val="0"/>
      <w:marBottom w:val="0"/>
      <w:divBdr>
        <w:top w:val="none" w:sz="0" w:space="0" w:color="auto"/>
        <w:left w:val="none" w:sz="0" w:space="0" w:color="auto"/>
        <w:bottom w:val="none" w:sz="0" w:space="0" w:color="auto"/>
        <w:right w:val="none" w:sz="0" w:space="0" w:color="auto"/>
      </w:divBdr>
    </w:div>
    <w:div w:id="1606689411">
      <w:bodyDiv w:val="1"/>
      <w:marLeft w:val="0"/>
      <w:marRight w:val="0"/>
      <w:marTop w:val="0"/>
      <w:marBottom w:val="0"/>
      <w:divBdr>
        <w:top w:val="none" w:sz="0" w:space="0" w:color="auto"/>
        <w:left w:val="none" w:sz="0" w:space="0" w:color="auto"/>
        <w:bottom w:val="none" w:sz="0" w:space="0" w:color="auto"/>
        <w:right w:val="none" w:sz="0" w:space="0" w:color="auto"/>
      </w:divBdr>
    </w:div>
    <w:div w:id="1610165010">
      <w:bodyDiv w:val="1"/>
      <w:marLeft w:val="0"/>
      <w:marRight w:val="0"/>
      <w:marTop w:val="0"/>
      <w:marBottom w:val="0"/>
      <w:divBdr>
        <w:top w:val="none" w:sz="0" w:space="0" w:color="auto"/>
        <w:left w:val="none" w:sz="0" w:space="0" w:color="auto"/>
        <w:bottom w:val="none" w:sz="0" w:space="0" w:color="auto"/>
        <w:right w:val="none" w:sz="0" w:space="0" w:color="auto"/>
      </w:divBdr>
    </w:div>
    <w:div w:id="1625572496">
      <w:bodyDiv w:val="1"/>
      <w:marLeft w:val="0"/>
      <w:marRight w:val="0"/>
      <w:marTop w:val="0"/>
      <w:marBottom w:val="0"/>
      <w:divBdr>
        <w:top w:val="none" w:sz="0" w:space="0" w:color="auto"/>
        <w:left w:val="none" w:sz="0" w:space="0" w:color="auto"/>
        <w:bottom w:val="none" w:sz="0" w:space="0" w:color="auto"/>
        <w:right w:val="none" w:sz="0" w:space="0" w:color="auto"/>
      </w:divBdr>
    </w:div>
    <w:div w:id="1632634464">
      <w:bodyDiv w:val="1"/>
      <w:marLeft w:val="0"/>
      <w:marRight w:val="0"/>
      <w:marTop w:val="0"/>
      <w:marBottom w:val="0"/>
      <w:divBdr>
        <w:top w:val="none" w:sz="0" w:space="0" w:color="auto"/>
        <w:left w:val="none" w:sz="0" w:space="0" w:color="auto"/>
        <w:bottom w:val="none" w:sz="0" w:space="0" w:color="auto"/>
        <w:right w:val="none" w:sz="0" w:space="0" w:color="auto"/>
      </w:divBdr>
    </w:div>
    <w:div w:id="1633362337">
      <w:bodyDiv w:val="1"/>
      <w:marLeft w:val="0"/>
      <w:marRight w:val="0"/>
      <w:marTop w:val="0"/>
      <w:marBottom w:val="0"/>
      <w:divBdr>
        <w:top w:val="none" w:sz="0" w:space="0" w:color="auto"/>
        <w:left w:val="none" w:sz="0" w:space="0" w:color="auto"/>
        <w:bottom w:val="none" w:sz="0" w:space="0" w:color="auto"/>
        <w:right w:val="none" w:sz="0" w:space="0" w:color="auto"/>
      </w:divBdr>
    </w:div>
    <w:div w:id="1646622413">
      <w:bodyDiv w:val="1"/>
      <w:marLeft w:val="0"/>
      <w:marRight w:val="0"/>
      <w:marTop w:val="0"/>
      <w:marBottom w:val="0"/>
      <w:divBdr>
        <w:top w:val="none" w:sz="0" w:space="0" w:color="auto"/>
        <w:left w:val="none" w:sz="0" w:space="0" w:color="auto"/>
        <w:bottom w:val="none" w:sz="0" w:space="0" w:color="auto"/>
        <w:right w:val="none" w:sz="0" w:space="0" w:color="auto"/>
      </w:divBdr>
    </w:div>
    <w:div w:id="1654600673">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76805981">
      <w:bodyDiv w:val="1"/>
      <w:marLeft w:val="0"/>
      <w:marRight w:val="0"/>
      <w:marTop w:val="0"/>
      <w:marBottom w:val="0"/>
      <w:divBdr>
        <w:top w:val="none" w:sz="0" w:space="0" w:color="auto"/>
        <w:left w:val="none" w:sz="0" w:space="0" w:color="auto"/>
        <w:bottom w:val="none" w:sz="0" w:space="0" w:color="auto"/>
        <w:right w:val="none" w:sz="0" w:space="0" w:color="auto"/>
      </w:divBdr>
    </w:div>
    <w:div w:id="1687125810">
      <w:bodyDiv w:val="1"/>
      <w:marLeft w:val="0"/>
      <w:marRight w:val="0"/>
      <w:marTop w:val="0"/>
      <w:marBottom w:val="0"/>
      <w:divBdr>
        <w:top w:val="none" w:sz="0" w:space="0" w:color="auto"/>
        <w:left w:val="none" w:sz="0" w:space="0" w:color="auto"/>
        <w:bottom w:val="none" w:sz="0" w:space="0" w:color="auto"/>
        <w:right w:val="none" w:sz="0" w:space="0" w:color="auto"/>
      </w:divBdr>
    </w:div>
    <w:div w:id="1698308538">
      <w:bodyDiv w:val="1"/>
      <w:marLeft w:val="0"/>
      <w:marRight w:val="0"/>
      <w:marTop w:val="0"/>
      <w:marBottom w:val="0"/>
      <w:divBdr>
        <w:top w:val="none" w:sz="0" w:space="0" w:color="auto"/>
        <w:left w:val="none" w:sz="0" w:space="0" w:color="auto"/>
        <w:bottom w:val="none" w:sz="0" w:space="0" w:color="auto"/>
        <w:right w:val="none" w:sz="0" w:space="0" w:color="auto"/>
      </w:divBdr>
    </w:div>
    <w:div w:id="1698391871">
      <w:bodyDiv w:val="1"/>
      <w:marLeft w:val="0"/>
      <w:marRight w:val="0"/>
      <w:marTop w:val="0"/>
      <w:marBottom w:val="0"/>
      <w:divBdr>
        <w:top w:val="none" w:sz="0" w:space="0" w:color="auto"/>
        <w:left w:val="none" w:sz="0" w:space="0" w:color="auto"/>
        <w:bottom w:val="none" w:sz="0" w:space="0" w:color="auto"/>
        <w:right w:val="none" w:sz="0" w:space="0" w:color="auto"/>
      </w:divBdr>
    </w:div>
    <w:div w:id="1705013508">
      <w:bodyDiv w:val="1"/>
      <w:marLeft w:val="0"/>
      <w:marRight w:val="0"/>
      <w:marTop w:val="0"/>
      <w:marBottom w:val="0"/>
      <w:divBdr>
        <w:top w:val="none" w:sz="0" w:space="0" w:color="auto"/>
        <w:left w:val="none" w:sz="0" w:space="0" w:color="auto"/>
        <w:bottom w:val="none" w:sz="0" w:space="0" w:color="auto"/>
        <w:right w:val="none" w:sz="0" w:space="0" w:color="auto"/>
      </w:divBdr>
    </w:div>
    <w:div w:id="1706563935">
      <w:bodyDiv w:val="1"/>
      <w:marLeft w:val="0"/>
      <w:marRight w:val="0"/>
      <w:marTop w:val="0"/>
      <w:marBottom w:val="0"/>
      <w:divBdr>
        <w:top w:val="none" w:sz="0" w:space="0" w:color="auto"/>
        <w:left w:val="none" w:sz="0" w:space="0" w:color="auto"/>
        <w:bottom w:val="none" w:sz="0" w:space="0" w:color="auto"/>
        <w:right w:val="none" w:sz="0" w:space="0" w:color="auto"/>
      </w:divBdr>
    </w:div>
    <w:div w:id="1721782520">
      <w:bodyDiv w:val="1"/>
      <w:marLeft w:val="0"/>
      <w:marRight w:val="0"/>
      <w:marTop w:val="0"/>
      <w:marBottom w:val="0"/>
      <w:divBdr>
        <w:top w:val="none" w:sz="0" w:space="0" w:color="auto"/>
        <w:left w:val="none" w:sz="0" w:space="0" w:color="auto"/>
        <w:bottom w:val="none" w:sz="0" w:space="0" w:color="auto"/>
        <w:right w:val="none" w:sz="0" w:space="0" w:color="auto"/>
      </w:divBdr>
    </w:div>
    <w:div w:id="1749813516">
      <w:bodyDiv w:val="1"/>
      <w:marLeft w:val="0"/>
      <w:marRight w:val="0"/>
      <w:marTop w:val="0"/>
      <w:marBottom w:val="0"/>
      <w:divBdr>
        <w:top w:val="none" w:sz="0" w:space="0" w:color="auto"/>
        <w:left w:val="none" w:sz="0" w:space="0" w:color="auto"/>
        <w:bottom w:val="none" w:sz="0" w:space="0" w:color="auto"/>
        <w:right w:val="none" w:sz="0" w:space="0" w:color="auto"/>
      </w:divBdr>
    </w:div>
    <w:div w:id="1759256716">
      <w:bodyDiv w:val="1"/>
      <w:marLeft w:val="0"/>
      <w:marRight w:val="0"/>
      <w:marTop w:val="0"/>
      <w:marBottom w:val="0"/>
      <w:divBdr>
        <w:top w:val="none" w:sz="0" w:space="0" w:color="auto"/>
        <w:left w:val="none" w:sz="0" w:space="0" w:color="auto"/>
        <w:bottom w:val="none" w:sz="0" w:space="0" w:color="auto"/>
        <w:right w:val="none" w:sz="0" w:space="0" w:color="auto"/>
      </w:divBdr>
    </w:div>
    <w:div w:id="1787502359">
      <w:bodyDiv w:val="1"/>
      <w:marLeft w:val="0"/>
      <w:marRight w:val="0"/>
      <w:marTop w:val="0"/>
      <w:marBottom w:val="0"/>
      <w:divBdr>
        <w:top w:val="none" w:sz="0" w:space="0" w:color="auto"/>
        <w:left w:val="none" w:sz="0" w:space="0" w:color="auto"/>
        <w:bottom w:val="none" w:sz="0" w:space="0" w:color="auto"/>
        <w:right w:val="none" w:sz="0" w:space="0" w:color="auto"/>
      </w:divBdr>
    </w:div>
    <w:div w:id="1803579147">
      <w:bodyDiv w:val="1"/>
      <w:marLeft w:val="0"/>
      <w:marRight w:val="0"/>
      <w:marTop w:val="0"/>
      <w:marBottom w:val="0"/>
      <w:divBdr>
        <w:top w:val="none" w:sz="0" w:space="0" w:color="auto"/>
        <w:left w:val="none" w:sz="0" w:space="0" w:color="auto"/>
        <w:bottom w:val="none" w:sz="0" w:space="0" w:color="auto"/>
        <w:right w:val="none" w:sz="0" w:space="0" w:color="auto"/>
      </w:divBdr>
    </w:div>
    <w:div w:id="1815557552">
      <w:bodyDiv w:val="1"/>
      <w:marLeft w:val="0"/>
      <w:marRight w:val="0"/>
      <w:marTop w:val="0"/>
      <w:marBottom w:val="0"/>
      <w:divBdr>
        <w:top w:val="none" w:sz="0" w:space="0" w:color="auto"/>
        <w:left w:val="none" w:sz="0" w:space="0" w:color="auto"/>
        <w:bottom w:val="none" w:sz="0" w:space="0" w:color="auto"/>
        <w:right w:val="none" w:sz="0" w:space="0" w:color="auto"/>
      </w:divBdr>
    </w:div>
    <w:div w:id="1816945856">
      <w:bodyDiv w:val="1"/>
      <w:marLeft w:val="0"/>
      <w:marRight w:val="0"/>
      <w:marTop w:val="0"/>
      <w:marBottom w:val="0"/>
      <w:divBdr>
        <w:top w:val="none" w:sz="0" w:space="0" w:color="auto"/>
        <w:left w:val="none" w:sz="0" w:space="0" w:color="auto"/>
        <w:bottom w:val="none" w:sz="0" w:space="0" w:color="auto"/>
        <w:right w:val="none" w:sz="0" w:space="0" w:color="auto"/>
      </w:divBdr>
    </w:div>
    <w:div w:id="1822427098">
      <w:bodyDiv w:val="1"/>
      <w:marLeft w:val="0"/>
      <w:marRight w:val="0"/>
      <w:marTop w:val="0"/>
      <w:marBottom w:val="0"/>
      <w:divBdr>
        <w:top w:val="none" w:sz="0" w:space="0" w:color="auto"/>
        <w:left w:val="none" w:sz="0" w:space="0" w:color="auto"/>
        <w:bottom w:val="none" w:sz="0" w:space="0" w:color="auto"/>
        <w:right w:val="none" w:sz="0" w:space="0" w:color="auto"/>
      </w:divBdr>
    </w:div>
    <w:div w:id="1908949841">
      <w:bodyDiv w:val="1"/>
      <w:marLeft w:val="0"/>
      <w:marRight w:val="0"/>
      <w:marTop w:val="0"/>
      <w:marBottom w:val="0"/>
      <w:divBdr>
        <w:top w:val="none" w:sz="0" w:space="0" w:color="auto"/>
        <w:left w:val="none" w:sz="0" w:space="0" w:color="auto"/>
        <w:bottom w:val="none" w:sz="0" w:space="0" w:color="auto"/>
        <w:right w:val="none" w:sz="0" w:space="0" w:color="auto"/>
      </w:divBdr>
    </w:div>
    <w:div w:id="1909072108">
      <w:bodyDiv w:val="1"/>
      <w:marLeft w:val="0"/>
      <w:marRight w:val="0"/>
      <w:marTop w:val="0"/>
      <w:marBottom w:val="0"/>
      <w:divBdr>
        <w:top w:val="none" w:sz="0" w:space="0" w:color="auto"/>
        <w:left w:val="none" w:sz="0" w:space="0" w:color="auto"/>
        <w:bottom w:val="none" w:sz="0" w:space="0" w:color="auto"/>
        <w:right w:val="none" w:sz="0" w:space="0" w:color="auto"/>
      </w:divBdr>
    </w:div>
    <w:div w:id="1949894389">
      <w:bodyDiv w:val="1"/>
      <w:marLeft w:val="0"/>
      <w:marRight w:val="0"/>
      <w:marTop w:val="0"/>
      <w:marBottom w:val="0"/>
      <w:divBdr>
        <w:top w:val="none" w:sz="0" w:space="0" w:color="auto"/>
        <w:left w:val="none" w:sz="0" w:space="0" w:color="auto"/>
        <w:bottom w:val="none" w:sz="0" w:space="0" w:color="auto"/>
        <w:right w:val="none" w:sz="0" w:space="0" w:color="auto"/>
      </w:divBdr>
    </w:div>
    <w:div w:id="1965193712">
      <w:bodyDiv w:val="1"/>
      <w:marLeft w:val="0"/>
      <w:marRight w:val="0"/>
      <w:marTop w:val="0"/>
      <w:marBottom w:val="0"/>
      <w:divBdr>
        <w:top w:val="none" w:sz="0" w:space="0" w:color="auto"/>
        <w:left w:val="none" w:sz="0" w:space="0" w:color="auto"/>
        <w:bottom w:val="none" w:sz="0" w:space="0" w:color="auto"/>
        <w:right w:val="none" w:sz="0" w:space="0" w:color="auto"/>
      </w:divBdr>
    </w:div>
    <w:div w:id="1971277545">
      <w:bodyDiv w:val="1"/>
      <w:marLeft w:val="0"/>
      <w:marRight w:val="0"/>
      <w:marTop w:val="0"/>
      <w:marBottom w:val="0"/>
      <w:divBdr>
        <w:top w:val="none" w:sz="0" w:space="0" w:color="auto"/>
        <w:left w:val="none" w:sz="0" w:space="0" w:color="auto"/>
        <w:bottom w:val="none" w:sz="0" w:space="0" w:color="auto"/>
        <w:right w:val="none" w:sz="0" w:space="0" w:color="auto"/>
      </w:divBdr>
      <w:divsChild>
        <w:div w:id="84035264">
          <w:marLeft w:val="0"/>
          <w:marRight w:val="0"/>
          <w:marTop w:val="0"/>
          <w:marBottom w:val="0"/>
          <w:divBdr>
            <w:top w:val="none" w:sz="0" w:space="0" w:color="auto"/>
            <w:left w:val="none" w:sz="0" w:space="0" w:color="auto"/>
            <w:bottom w:val="none" w:sz="0" w:space="0" w:color="auto"/>
            <w:right w:val="none" w:sz="0" w:space="0" w:color="auto"/>
          </w:divBdr>
        </w:div>
        <w:div w:id="560022416">
          <w:marLeft w:val="0"/>
          <w:marRight w:val="0"/>
          <w:marTop w:val="0"/>
          <w:marBottom w:val="0"/>
          <w:divBdr>
            <w:top w:val="none" w:sz="0" w:space="0" w:color="auto"/>
            <w:left w:val="none" w:sz="0" w:space="0" w:color="auto"/>
            <w:bottom w:val="none" w:sz="0" w:space="0" w:color="auto"/>
            <w:right w:val="none" w:sz="0" w:space="0" w:color="auto"/>
          </w:divBdr>
        </w:div>
        <w:div w:id="1087309293">
          <w:marLeft w:val="0"/>
          <w:marRight w:val="0"/>
          <w:marTop w:val="0"/>
          <w:marBottom w:val="0"/>
          <w:divBdr>
            <w:top w:val="none" w:sz="0" w:space="0" w:color="auto"/>
            <w:left w:val="none" w:sz="0" w:space="0" w:color="auto"/>
            <w:bottom w:val="none" w:sz="0" w:space="0" w:color="auto"/>
            <w:right w:val="none" w:sz="0" w:space="0" w:color="auto"/>
          </w:divBdr>
        </w:div>
        <w:div w:id="1263344366">
          <w:marLeft w:val="0"/>
          <w:marRight w:val="0"/>
          <w:marTop w:val="0"/>
          <w:marBottom w:val="0"/>
          <w:divBdr>
            <w:top w:val="none" w:sz="0" w:space="0" w:color="auto"/>
            <w:left w:val="none" w:sz="0" w:space="0" w:color="auto"/>
            <w:bottom w:val="none" w:sz="0" w:space="0" w:color="auto"/>
            <w:right w:val="none" w:sz="0" w:space="0" w:color="auto"/>
          </w:divBdr>
        </w:div>
        <w:div w:id="1355767103">
          <w:marLeft w:val="0"/>
          <w:marRight w:val="0"/>
          <w:marTop w:val="0"/>
          <w:marBottom w:val="0"/>
          <w:divBdr>
            <w:top w:val="none" w:sz="0" w:space="0" w:color="auto"/>
            <w:left w:val="none" w:sz="0" w:space="0" w:color="auto"/>
            <w:bottom w:val="none" w:sz="0" w:space="0" w:color="auto"/>
            <w:right w:val="none" w:sz="0" w:space="0" w:color="auto"/>
          </w:divBdr>
        </w:div>
      </w:divsChild>
    </w:div>
    <w:div w:id="1982923100">
      <w:bodyDiv w:val="1"/>
      <w:marLeft w:val="0"/>
      <w:marRight w:val="0"/>
      <w:marTop w:val="0"/>
      <w:marBottom w:val="0"/>
      <w:divBdr>
        <w:top w:val="none" w:sz="0" w:space="0" w:color="auto"/>
        <w:left w:val="none" w:sz="0" w:space="0" w:color="auto"/>
        <w:bottom w:val="none" w:sz="0" w:space="0" w:color="auto"/>
        <w:right w:val="none" w:sz="0" w:space="0" w:color="auto"/>
      </w:divBdr>
    </w:div>
    <w:div w:id="2001303574">
      <w:bodyDiv w:val="1"/>
      <w:marLeft w:val="0"/>
      <w:marRight w:val="0"/>
      <w:marTop w:val="0"/>
      <w:marBottom w:val="0"/>
      <w:divBdr>
        <w:top w:val="none" w:sz="0" w:space="0" w:color="auto"/>
        <w:left w:val="none" w:sz="0" w:space="0" w:color="auto"/>
        <w:bottom w:val="none" w:sz="0" w:space="0" w:color="auto"/>
        <w:right w:val="none" w:sz="0" w:space="0" w:color="auto"/>
      </w:divBdr>
    </w:div>
    <w:div w:id="2003462803">
      <w:bodyDiv w:val="1"/>
      <w:marLeft w:val="0"/>
      <w:marRight w:val="0"/>
      <w:marTop w:val="0"/>
      <w:marBottom w:val="0"/>
      <w:divBdr>
        <w:top w:val="none" w:sz="0" w:space="0" w:color="auto"/>
        <w:left w:val="none" w:sz="0" w:space="0" w:color="auto"/>
        <w:bottom w:val="none" w:sz="0" w:space="0" w:color="auto"/>
        <w:right w:val="none" w:sz="0" w:space="0" w:color="auto"/>
      </w:divBdr>
    </w:div>
    <w:div w:id="2047365420">
      <w:bodyDiv w:val="1"/>
      <w:marLeft w:val="0"/>
      <w:marRight w:val="0"/>
      <w:marTop w:val="0"/>
      <w:marBottom w:val="0"/>
      <w:divBdr>
        <w:top w:val="none" w:sz="0" w:space="0" w:color="auto"/>
        <w:left w:val="none" w:sz="0" w:space="0" w:color="auto"/>
        <w:bottom w:val="none" w:sz="0" w:space="0" w:color="auto"/>
        <w:right w:val="none" w:sz="0" w:space="0" w:color="auto"/>
      </w:divBdr>
    </w:div>
    <w:div w:id="2063869865">
      <w:bodyDiv w:val="1"/>
      <w:marLeft w:val="0"/>
      <w:marRight w:val="0"/>
      <w:marTop w:val="0"/>
      <w:marBottom w:val="0"/>
      <w:divBdr>
        <w:top w:val="none" w:sz="0" w:space="0" w:color="auto"/>
        <w:left w:val="none" w:sz="0" w:space="0" w:color="auto"/>
        <w:bottom w:val="none" w:sz="0" w:space="0" w:color="auto"/>
        <w:right w:val="none" w:sz="0" w:space="0" w:color="auto"/>
      </w:divBdr>
    </w:div>
    <w:div w:id="2084333681">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145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STUD/2017/596816/IPOL_STU(2017)596816_EN.pdf" TargetMode="External"/><Relationship Id="rId3" Type="http://schemas.openxmlformats.org/officeDocument/2006/relationships/hyperlink" Target="https://ec.europa.eu/social/main.jsp?langId=en&amp;catId=1049" TargetMode="External"/><Relationship Id="rId7" Type="http://schemas.openxmlformats.org/officeDocument/2006/relationships/hyperlink" Target="https://www.europarl.europa.eu/RegData/etudes/STUD/2017/607350/IPOL_STU(2017)607350_EN.pdf" TargetMode="External"/><Relationship Id="rId12" Type="http://schemas.openxmlformats.org/officeDocument/2006/relationships/hyperlink" Target="http://ec.europa.eu/info/sites/default/files/social-summit-european-pillar-social-rights-booklet_en.pdf" TargetMode="External"/><Relationship Id="rId2" Type="http://schemas.openxmlformats.org/officeDocument/2006/relationships/hyperlink" Target="https://ec.europa.eu/social/main.jsp?catId=1517&amp;langId=en" TargetMode="External"/><Relationship Id="rId1" Type="http://schemas.openxmlformats.org/officeDocument/2006/relationships/hyperlink" Target="https://ec.europa.eu/social/esde2019" TargetMode="External"/><Relationship Id="rId6" Type="http://schemas.openxmlformats.org/officeDocument/2006/relationships/hyperlink" Target="https://ec.europa.eu/environment/publications/green-taxation-and-other-economic-instruments-internalising-environmental-costs-make-polluter-pay_en" TargetMode="External"/><Relationship Id="rId11" Type="http://schemas.openxmlformats.org/officeDocument/2006/relationships/hyperlink" Target="http://ec.europa.eu/info/sites/default/files/social-summit-european-pillar-social-rights-booklet_en.pdf" TargetMode="External"/><Relationship Id="rId5" Type="http://schemas.openxmlformats.org/officeDocument/2006/relationships/hyperlink" Target="http://ec.europa.eu/jrc/en/peseta-iv" TargetMode="External"/><Relationship Id="rId10" Type="http://schemas.openxmlformats.org/officeDocument/2006/relationships/hyperlink" Target="https://search.oecd.org/env/GFE-Gender-Issues-Note-Session-6.2.pdf" TargetMode="External"/><Relationship Id="rId4" Type="http://schemas.openxmlformats.org/officeDocument/2006/relationships/hyperlink" Target="https://ec.europa.eu/jrc/en/peseta-iv/economic-impacts" TargetMode="External"/><Relationship Id="rId9" Type="http://schemas.openxmlformats.org/officeDocument/2006/relationships/hyperlink" Target="https://eige.europa.eu/publications/gender-and-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EDD5-C272-4DF3-A57D-2CB614BD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33</Pages>
  <Words>13276</Words>
  <Characters>77800</Characters>
  <Application>Microsoft Office Word</Application>
  <DocSecurity>0</DocSecurity>
  <Lines>1196</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2021-12-13T14:30:00Z</dcterms:created>
  <dcterms:modified xsi:type="dcterms:W3CDTF">2021-12-13T21:24:00Z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SJ-022</vt:lpwstr>
  </property>
  <property fmtid="{D5CDD505-2E9C-101B-9397-08002B2CF9AE}" pid="8" name="DQCStatus">
    <vt:lpwstr>Yellow (DQC version 03)</vt:lpwstr>
  </property>
</Properties>
</file>