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2BC92" w14:textId="49843DDA" w:rsidR="00F03D88" w:rsidRPr="00F03D88" w:rsidRDefault="00714B31" w:rsidP="00714B31">
      <w:pPr>
        <w:pStyle w:val="Pagedecouverture"/>
        <w:rPr>
          <w:noProof/>
        </w:rPr>
      </w:pPr>
      <w:bookmarkStart w:id="0" w:name="LW_BM_COVERPAGE"/>
      <w:r>
        <w:rPr>
          <w:noProof/>
        </w:rPr>
        <w:pict w14:anchorId="45A16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308A8A-3AB7-4AA3-A58A-FB3F914A2FEB" style="width:455.25pt;height:365.25pt">
            <v:imagedata r:id="rId15" o:title=""/>
          </v:shape>
        </w:pict>
      </w:r>
    </w:p>
    <w:bookmarkEnd w:id="0"/>
    <w:p w14:paraId="587931A9" w14:textId="77777777" w:rsidR="009E7DA1" w:rsidRDefault="009E7DA1">
      <w:pPr>
        <w:rPr>
          <w:noProof/>
        </w:rPr>
        <w:sectPr w:rsidR="009E7DA1" w:rsidSect="00714B31">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3C730DB7" w14:textId="77777777" w:rsidR="009E7DA1" w:rsidRDefault="0001745B" w:rsidP="00083DBA">
      <w:pPr>
        <w:pStyle w:val="Heading1"/>
        <w:rPr>
          <w:noProof/>
        </w:rPr>
      </w:pPr>
      <w:bookmarkStart w:id="1" w:name="_GoBack"/>
      <w:bookmarkEnd w:id="1"/>
      <w:r>
        <w:rPr>
          <w:noProof/>
        </w:rPr>
        <w:lastRenderedPageBreak/>
        <w:t>Introduction</w:t>
      </w:r>
    </w:p>
    <w:p w14:paraId="24E1FFD9" w14:textId="685E1279" w:rsidR="000C588C" w:rsidRDefault="00A906DE" w:rsidP="0018107C">
      <w:pPr>
        <w:spacing w:line="276" w:lineRule="auto"/>
        <w:rPr>
          <w:noProof/>
        </w:rPr>
      </w:pPr>
      <w:r>
        <w:rPr>
          <w:noProof/>
        </w:rPr>
        <w:t xml:space="preserve">Fraud and related illegal activities such as </w:t>
      </w:r>
      <w:r w:rsidR="00B8047B">
        <w:rPr>
          <w:noProof/>
        </w:rPr>
        <w:t xml:space="preserve">corruption, money laundering and </w:t>
      </w:r>
      <w:r>
        <w:rPr>
          <w:noProof/>
        </w:rPr>
        <w:t xml:space="preserve">illicit trade </w:t>
      </w:r>
      <w:r w:rsidR="000B5C10">
        <w:rPr>
          <w:noProof/>
        </w:rPr>
        <w:t xml:space="preserve">can </w:t>
      </w:r>
      <w:r>
        <w:rPr>
          <w:noProof/>
        </w:rPr>
        <w:t>pose a serious problem to the European Union (EU) and to</w:t>
      </w:r>
      <w:r w:rsidR="00241C88">
        <w:rPr>
          <w:noProof/>
        </w:rPr>
        <w:t xml:space="preserve"> the</w:t>
      </w:r>
      <w:r>
        <w:rPr>
          <w:noProof/>
        </w:rPr>
        <w:t xml:space="preserve"> Member States, </w:t>
      </w:r>
      <w:r w:rsidR="00B36FAA" w:rsidRPr="00E83B32">
        <w:rPr>
          <w:noProof/>
        </w:rPr>
        <w:t xml:space="preserve">and they can undermine </w:t>
      </w:r>
      <w:r>
        <w:rPr>
          <w:noProof/>
        </w:rPr>
        <w:t xml:space="preserve">both EU and national finances. </w:t>
      </w:r>
      <w:r w:rsidR="000C588C">
        <w:rPr>
          <w:noProof/>
        </w:rPr>
        <w:t xml:space="preserve">This </w:t>
      </w:r>
      <w:r w:rsidR="00FC2190" w:rsidRPr="00E83B32">
        <w:rPr>
          <w:noProof/>
        </w:rPr>
        <w:t>i</w:t>
      </w:r>
      <w:r w:rsidR="000B5C10">
        <w:rPr>
          <w:noProof/>
        </w:rPr>
        <w:t xml:space="preserve">s </w:t>
      </w:r>
      <w:r w:rsidR="000C588C">
        <w:rPr>
          <w:noProof/>
        </w:rPr>
        <w:t xml:space="preserve">all the more </w:t>
      </w:r>
      <w:r w:rsidR="00FC2190" w:rsidRPr="00E83B32">
        <w:rPr>
          <w:noProof/>
        </w:rPr>
        <w:t>pressing</w:t>
      </w:r>
      <w:r w:rsidR="000B5C10">
        <w:rPr>
          <w:noProof/>
        </w:rPr>
        <w:t xml:space="preserve"> </w:t>
      </w:r>
      <w:r w:rsidR="000C588C">
        <w:rPr>
          <w:noProof/>
        </w:rPr>
        <w:t>at a moment</w:t>
      </w:r>
      <w:r w:rsidR="000B5C10">
        <w:rPr>
          <w:noProof/>
        </w:rPr>
        <w:t xml:space="preserve"> </w:t>
      </w:r>
      <w:r w:rsidR="000C588C">
        <w:rPr>
          <w:noProof/>
        </w:rPr>
        <w:t>when</w:t>
      </w:r>
      <w:r w:rsidR="00B36FAA" w:rsidRPr="00E83B32">
        <w:rPr>
          <w:noProof/>
        </w:rPr>
        <w:t>, partially in response to</w:t>
      </w:r>
      <w:r w:rsidR="000B5C10">
        <w:rPr>
          <w:noProof/>
        </w:rPr>
        <w:t xml:space="preserve"> the </w:t>
      </w:r>
      <w:r w:rsidR="00B36FAA" w:rsidRPr="00E83B32">
        <w:rPr>
          <w:noProof/>
        </w:rPr>
        <w:t xml:space="preserve">pandemic, </w:t>
      </w:r>
      <w:r w:rsidR="000B5C10" w:rsidRPr="00E83B32">
        <w:rPr>
          <w:noProof/>
        </w:rPr>
        <w:t xml:space="preserve">the </w:t>
      </w:r>
      <w:r w:rsidR="00FC2190" w:rsidRPr="00E83B32">
        <w:rPr>
          <w:noProof/>
        </w:rPr>
        <w:t>E</w:t>
      </w:r>
      <w:r w:rsidR="000B5C10" w:rsidRPr="00E83B32">
        <w:rPr>
          <w:noProof/>
        </w:rPr>
        <w:t>U’s</w:t>
      </w:r>
      <w:r w:rsidR="000C588C">
        <w:rPr>
          <w:noProof/>
        </w:rPr>
        <w:t xml:space="preserve"> total spending reaches an unprecedented volume of around </w:t>
      </w:r>
      <w:r w:rsidR="00552B14" w:rsidRPr="00E83B32">
        <w:rPr>
          <w:noProof/>
        </w:rPr>
        <w:t>EUR </w:t>
      </w:r>
      <w:r w:rsidR="000C588C">
        <w:rPr>
          <w:noProof/>
        </w:rPr>
        <w:t xml:space="preserve">1.8 trillion for the </w:t>
      </w:r>
      <w:r w:rsidR="00B36FAA" w:rsidRPr="00E83B32">
        <w:rPr>
          <w:noProof/>
        </w:rPr>
        <w:t xml:space="preserve">EU’s </w:t>
      </w:r>
      <w:r w:rsidR="00552B14" w:rsidRPr="00E83B32">
        <w:rPr>
          <w:noProof/>
        </w:rPr>
        <w:t>m</w:t>
      </w:r>
      <w:r w:rsidR="000C588C" w:rsidRPr="00E83B32">
        <w:rPr>
          <w:noProof/>
        </w:rPr>
        <w:t xml:space="preserve">ultiannual </w:t>
      </w:r>
      <w:r w:rsidR="00B36FAA" w:rsidRPr="00E83B32">
        <w:rPr>
          <w:noProof/>
        </w:rPr>
        <w:t>budget for</w:t>
      </w:r>
      <w:r w:rsidR="000C588C">
        <w:rPr>
          <w:noProof/>
        </w:rPr>
        <w:t xml:space="preserve"> 2021-2027. </w:t>
      </w:r>
      <w:r w:rsidR="00FC2190" w:rsidRPr="00E83B32">
        <w:rPr>
          <w:noProof/>
        </w:rPr>
        <w:t>E</w:t>
      </w:r>
      <w:r w:rsidR="000C588C" w:rsidRPr="00E83B32">
        <w:rPr>
          <w:noProof/>
        </w:rPr>
        <w:t>fficient</w:t>
      </w:r>
      <w:r w:rsidR="000C588C">
        <w:rPr>
          <w:noProof/>
        </w:rPr>
        <w:t xml:space="preserve"> and proper spending of the </w:t>
      </w:r>
      <w:r w:rsidR="00552B14" w:rsidRPr="00E83B32">
        <w:rPr>
          <w:noProof/>
        </w:rPr>
        <w:t>E</w:t>
      </w:r>
      <w:r w:rsidR="000C588C" w:rsidRPr="00E83B32">
        <w:rPr>
          <w:noProof/>
        </w:rPr>
        <w:t>U</w:t>
      </w:r>
      <w:r w:rsidR="000C588C">
        <w:rPr>
          <w:noProof/>
        </w:rPr>
        <w:t xml:space="preserve"> budget, including in the Member States, is key to maintain</w:t>
      </w:r>
      <w:r w:rsidR="000C588C" w:rsidRPr="00E83B32">
        <w:rPr>
          <w:noProof/>
        </w:rPr>
        <w:t xml:space="preserve"> </w:t>
      </w:r>
      <w:r w:rsidR="00B36FAA" w:rsidRPr="00E83B32">
        <w:rPr>
          <w:noProof/>
        </w:rPr>
        <w:t>public (and taxpayers’)</w:t>
      </w:r>
      <w:r w:rsidR="000C588C">
        <w:rPr>
          <w:noProof/>
        </w:rPr>
        <w:t xml:space="preserve"> trust and to boost the strength and added-value of European </w:t>
      </w:r>
      <w:r w:rsidR="00FC2190" w:rsidRPr="00E83B32">
        <w:rPr>
          <w:noProof/>
        </w:rPr>
        <w:t>integration</w:t>
      </w:r>
      <w:r w:rsidR="000C588C">
        <w:rPr>
          <w:noProof/>
        </w:rPr>
        <w:t xml:space="preserve">. Conversely, a high prevalence of fraud can stifle economic growth and </w:t>
      </w:r>
      <w:r w:rsidR="00FC2190" w:rsidRPr="00E83B32">
        <w:rPr>
          <w:noProof/>
        </w:rPr>
        <w:t xml:space="preserve">undermine </w:t>
      </w:r>
      <w:r w:rsidR="000C588C">
        <w:rPr>
          <w:noProof/>
        </w:rPr>
        <w:t xml:space="preserve">the </w:t>
      </w:r>
      <w:r w:rsidR="00FC2190" w:rsidRPr="00E83B32">
        <w:rPr>
          <w:noProof/>
        </w:rPr>
        <w:t xml:space="preserve">broader </w:t>
      </w:r>
      <w:r w:rsidR="000C588C">
        <w:rPr>
          <w:noProof/>
        </w:rPr>
        <w:t>economic recovery. Reinforcing our joint defences against fraud</w:t>
      </w:r>
      <w:r w:rsidR="00FC2190" w:rsidRPr="00E83B32">
        <w:rPr>
          <w:noProof/>
        </w:rPr>
        <w:t>,</w:t>
      </w:r>
      <w:r w:rsidR="000C588C" w:rsidRPr="00E83B32">
        <w:rPr>
          <w:noProof/>
        </w:rPr>
        <w:t xml:space="preserve"> </w:t>
      </w:r>
      <w:r w:rsidR="00FC2190" w:rsidRPr="00E83B32">
        <w:rPr>
          <w:noProof/>
        </w:rPr>
        <w:t>both internal and external,</w:t>
      </w:r>
      <w:r w:rsidR="000C588C">
        <w:rPr>
          <w:noProof/>
        </w:rPr>
        <w:t xml:space="preserve"> is thus an integral component of strengthening the </w:t>
      </w:r>
      <w:r w:rsidR="00552B14" w:rsidRPr="00E83B32">
        <w:rPr>
          <w:noProof/>
        </w:rPr>
        <w:t>E</w:t>
      </w:r>
      <w:r w:rsidR="000C588C" w:rsidRPr="00E83B32">
        <w:rPr>
          <w:noProof/>
        </w:rPr>
        <w:t>U’s</w:t>
      </w:r>
      <w:r w:rsidR="000C588C">
        <w:rPr>
          <w:noProof/>
        </w:rPr>
        <w:t xml:space="preserve"> resilience.</w:t>
      </w:r>
    </w:p>
    <w:p w14:paraId="0D20DD8F" w14:textId="77777777" w:rsidR="00B8047B" w:rsidRDefault="00103F5C" w:rsidP="0018107C">
      <w:pPr>
        <w:spacing w:line="276" w:lineRule="auto"/>
        <w:rPr>
          <w:noProof/>
        </w:rPr>
      </w:pPr>
      <w:r>
        <w:rPr>
          <w:noProof/>
        </w:rPr>
        <w:t xml:space="preserve">Article 325 of the Treaty of the Functioning of the European Union (TFEU) </w:t>
      </w:r>
      <w:r w:rsidR="00FC2190" w:rsidRPr="00E83B32">
        <w:rPr>
          <w:noProof/>
        </w:rPr>
        <w:t xml:space="preserve">makes it </w:t>
      </w:r>
      <w:r>
        <w:rPr>
          <w:noProof/>
        </w:rPr>
        <w:t xml:space="preserve">a joint obligation of the Member States and the </w:t>
      </w:r>
      <w:r w:rsidR="00FC2190" w:rsidRPr="00E83B32">
        <w:rPr>
          <w:noProof/>
        </w:rPr>
        <w:t>E</w:t>
      </w:r>
      <w:r w:rsidRPr="00E83B32">
        <w:rPr>
          <w:noProof/>
        </w:rPr>
        <w:t>U</w:t>
      </w:r>
      <w:r>
        <w:rPr>
          <w:noProof/>
        </w:rPr>
        <w:t xml:space="preserve"> to protect the EU’s financial interest</w:t>
      </w:r>
      <w:r w:rsidR="00855976">
        <w:rPr>
          <w:noProof/>
        </w:rPr>
        <w:t>s</w:t>
      </w:r>
      <w:r>
        <w:rPr>
          <w:noProof/>
        </w:rPr>
        <w:t xml:space="preserve">. </w:t>
      </w:r>
      <w:r w:rsidR="00B8047B">
        <w:rPr>
          <w:noProof/>
        </w:rPr>
        <w:t xml:space="preserve">At </w:t>
      </w:r>
      <w:r w:rsidR="00FC2190" w:rsidRPr="00E83B32">
        <w:rPr>
          <w:noProof/>
        </w:rPr>
        <w:t>E</w:t>
      </w:r>
      <w:r w:rsidR="00B8047B" w:rsidRPr="00E83B32">
        <w:rPr>
          <w:noProof/>
        </w:rPr>
        <w:t>U</w:t>
      </w:r>
      <w:r w:rsidR="00B8047B">
        <w:rPr>
          <w:noProof/>
        </w:rPr>
        <w:t xml:space="preserve"> level, the anti-fraud landscape has recently undergone </w:t>
      </w:r>
      <w:r w:rsidR="00FC2190" w:rsidRPr="00E83B32">
        <w:rPr>
          <w:noProof/>
        </w:rPr>
        <w:t xml:space="preserve">major </w:t>
      </w:r>
      <w:r w:rsidR="00B8047B">
        <w:rPr>
          <w:noProof/>
        </w:rPr>
        <w:t xml:space="preserve">changes with the </w:t>
      </w:r>
      <w:r w:rsidR="00FC2190" w:rsidRPr="00E83B32">
        <w:rPr>
          <w:noProof/>
        </w:rPr>
        <w:t xml:space="preserve">new </w:t>
      </w:r>
      <w:r w:rsidR="00B8047B">
        <w:rPr>
          <w:noProof/>
        </w:rPr>
        <w:t>European Public Prosecutor’</w:t>
      </w:r>
      <w:r w:rsidR="00ED498F">
        <w:rPr>
          <w:noProof/>
        </w:rPr>
        <w:t>s</w:t>
      </w:r>
      <w:r w:rsidR="00B8047B">
        <w:rPr>
          <w:noProof/>
        </w:rPr>
        <w:t xml:space="preserve"> Office (EPPO)</w:t>
      </w:r>
      <w:r w:rsidR="00B8047B" w:rsidRPr="00E83B32">
        <w:rPr>
          <w:noProof/>
        </w:rPr>
        <w:t xml:space="preserve"> </w:t>
      </w:r>
      <w:r w:rsidR="00FC2190" w:rsidRPr="00E83B32">
        <w:rPr>
          <w:noProof/>
        </w:rPr>
        <w:t>becoming operational</w:t>
      </w:r>
      <w:r w:rsidR="00B8047B">
        <w:rPr>
          <w:noProof/>
        </w:rPr>
        <w:t xml:space="preserve"> in June 2021, and the recent revision of the OLAF Regulation</w:t>
      </w:r>
      <w:r w:rsidR="00B8047B">
        <w:rPr>
          <w:rStyle w:val="FootnoteReference"/>
          <w:noProof/>
        </w:rPr>
        <w:footnoteReference w:id="2"/>
      </w:r>
      <w:r w:rsidR="00B8047B">
        <w:rPr>
          <w:noProof/>
        </w:rPr>
        <w:t xml:space="preserve"> strengthening the effectiveness of administrative investigations carried out by the European Anti-Fraud Office (OLAF). </w:t>
      </w:r>
      <w:r w:rsidR="00FC2190" w:rsidRPr="00E83B32">
        <w:rPr>
          <w:noProof/>
        </w:rPr>
        <w:t>T</w:t>
      </w:r>
      <w:r w:rsidR="00B8047B" w:rsidRPr="00E83B32">
        <w:rPr>
          <w:noProof/>
        </w:rPr>
        <w:t xml:space="preserve">he </w:t>
      </w:r>
      <w:r w:rsidR="00FC2190" w:rsidRPr="00E83B32">
        <w:rPr>
          <w:noProof/>
        </w:rPr>
        <w:t>E</w:t>
      </w:r>
      <w:r w:rsidR="00B8047B" w:rsidRPr="00E83B32">
        <w:rPr>
          <w:noProof/>
        </w:rPr>
        <w:t>U’s</w:t>
      </w:r>
      <w:r w:rsidR="00B8047B">
        <w:rPr>
          <w:noProof/>
        </w:rPr>
        <w:t xml:space="preserve"> substantive</w:t>
      </w:r>
      <w:r w:rsidR="00ED498F">
        <w:rPr>
          <w:noProof/>
        </w:rPr>
        <w:t xml:space="preserve"> criminal law</w:t>
      </w:r>
      <w:r w:rsidR="00B8047B">
        <w:rPr>
          <w:noProof/>
        </w:rPr>
        <w:t xml:space="preserve"> framework was</w:t>
      </w:r>
      <w:r w:rsidR="00B8047B" w:rsidRPr="00E83B32">
        <w:rPr>
          <w:noProof/>
        </w:rPr>
        <w:t xml:space="preserve"> </w:t>
      </w:r>
      <w:r w:rsidR="00FC2190" w:rsidRPr="00E83B32">
        <w:rPr>
          <w:noProof/>
        </w:rPr>
        <w:t>also</w:t>
      </w:r>
      <w:r w:rsidR="00B8047B">
        <w:rPr>
          <w:noProof/>
        </w:rPr>
        <w:t xml:space="preserve"> </w:t>
      </w:r>
      <w:r w:rsidR="00855976">
        <w:rPr>
          <w:noProof/>
        </w:rPr>
        <w:t xml:space="preserve">reinforced </w:t>
      </w:r>
      <w:r w:rsidR="00B8047B">
        <w:rPr>
          <w:noProof/>
        </w:rPr>
        <w:t xml:space="preserve">with the </w:t>
      </w:r>
      <w:r w:rsidR="00B8047B" w:rsidRPr="00B8047B">
        <w:rPr>
          <w:noProof/>
        </w:rPr>
        <w:t>Di</w:t>
      </w:r>
      <w:r w:rsidR="00B8047B">
        <w:rPr>
          <w:noProof/>
        </w:rPr>
        <w:t xml:space="preserve">rective </w:t>
      </w:r>
      <w:r w:rsidR="00B8047B" w:rsidRPr="00B8047B">
        <w:rPr>
          <w:noProof/>
        </w:rPr>
        <w:t>on the fight against fraud to the Union's financial interests by means of criminal law</w:t>
      </w:r>
      <w:r w:rsidR="00B8047B">
        <w:rPr>
          <w:noProof/>
        </w:rPr>
        <w:t>.</w:t>
      </w:r>
      <w:r w:rsidR="00B8047B">
        <w:rPr>
          <w:rStyle w:val="FootnoteReference"/>
          <w:noProof/>
        </w:rPr>
        <w:footnoteReference w:id="3"/>
      </w:r>
      <w:r w:rsidR="00B8047B">
        <w:rPr>
          <w:noProof/>
        </w:rPr>
        <w:t xml:space="preserve"> </w:t>
      </w:r>
    </w:p>
    <w:p w14:paraId="40E0737E" w14:textId="77777777" w:rsidR="000B5C10" w:rsidRDefault="00FC2190" w:rsidP="0018107C">
      <w:pPr>
        <w:spacing w:line="276" w:lineRule="auto"/>
        <w:rPr>
          <w:noProof/>
        </w:rPr>
      </w:pPr>
      <w:r w:rsidRPr="00E83B32">
        <w:rPr>
          <w:noProof/>
        </w:rPr>
        <w:t>T</w:t>
      </w:r>
      <w:r w:rsidR="000C588C" w:rsidRPr="00E83B32">
        <w:rPr>
          <w:noProof/>
        </w:rPr>
        <w:t>here</w:t>
      </w:r>
      <w:r w:rsidR="000C588C">
        <w:rPr>
          <w:noProof/>
        </w:rPr>
        <w:t xml:space="preserve"> is a general recognition that </w:t>
      </w:r>
      <w:r w:rsidR="000B5C10">
        <w:rPr>
          <w:noProof/>
        </w:rPr>
        <w:t xml:space="preserve">in parallel, </w:t>
      </w:r>
      <w:r w:rsidR="000C588C">
        <w:rPr>
          <w:noProof/>
        </w:rPr>
        <w:t xml:space="preserve">the </w:t>
      </w:r>
      <w:r w:rsidRPr="00E83B32">
        <w:rPr>
          <w:noProof/>
        </w:rPr>
        <w:t>E</w:t>
      </w:r>
      <w:r w:rsidR="000C588C" w:rsidRPr="00E83B32">
        <w:rPr>
          <w:noProof/>
        </w:rPr>
        <w:t>U</w:t>
      </w:r>
      <w:r w:rsidR="000C588C">
        <w:rPr>
          <w:noProof/>
        </w:rPr>
        <w:t xml:space="preserve"> should also support Member States in their </w:t>
      </w:r>
      <w:r w:rsidRPr="00E83B32">
        <w:rPr>
          <w:noProof/>
        </w:rPr>
        <w:t>work</w:t>
      </w:r>
      <w:r w:rsidR="000C588C">
        <w:rPr>
          <w:noProof/>
        </w:rPr>
        <w:t xml:space="preserve"> to protect its financial interests</w:t>
      </w:r>
      <w:r w:rsidR="000B5C10">
        <w:rPr>
          <w:noProof/>
        </w:rPr>
        <w:t xml:space="preserve">. After all, </w:t>
      </w:r>
      <w:r w:rsidR="000C588C">
        <w:rPr>
          <w:noProof/>
        </w:rPr>
        <w:t xml:space="preserve">the majority of cases </w:t>
      </w:r>
      <w:r w:rsidR="00954B87">
        <w:rPr>
          <w:noProof/>
        </w:rPr>
        <w:t xml:space="preserve">of fraud and irregularities </w:t>
      </w:r>
      <w:r w:rsidR="000C588C">
        <w:rPr>
          <w:noProof/>
        </w:rPr>
        <w:t>are detected, investigated and prosecuted</w:t>
      </w:r>
      <w:r w:rsidRPr="00E83B32">
        <w:rPr>
          <w:noProof/>
        </w:rPr>
        <w:t xml:space="preserve"> at national level</w:t>
      </w:r>
      <w:r w:rsidR="000C588C">
        <w:rPr>
          <w:noProof/>
        </w:rPr>
        <w:t xml:space="preserve">. </w:t>
      </w:r>
    </w:p>
    <w:p w14:paraId="7DBB799E" w14:textId="77777777" w:rsidR="007954F0" w:rsidRDefault="000C588C" w:rsidP="0018107C">
      <w:pPr>
        <w:spacing w:line="276" w:lineRule="auto"/>
        <w:rPr>
          <w:noProof/>
        </w:rPr>
      </w:pPr>
      <w:r>
        <w:rPr>
          <w:noProof/>
        </w:rPr>
        <w:t xml:space="preserve">During the last </w:t>
      </w:r>
      <w:r w:rsidR="00FC2190" w:rsidRPr="00E83B32">
        <w:rPr>
          <w:noProof/>
        </w:rPr>
        <w:t>E</w:t>
      </w:r>
      <w:r w:rsidR="00574C27" w:rsidRPr="00E83B32">
        <w:rPr>
          <w:noProof/>
        </w:rPr>
        <w:t>U</w:t>
      </w:r>
      <w:r w:rsidR="00FC2190" w:rsidRPr="00E83B32">
        <w:rPr>
          <w:noProof/>
        </w:rPr>
        <w:t xml:space="preserve"> budget </w:t>
      </w:r>
      <w:r w:rsidR="00574C27" w:rsidRPr="00E83B32">
        <w:rPr>
          <w:noProof/>
        </w:rPr>
        <w:t xml:space="preserve">period </w:t>
      </w:r>
      <w:r w:rsidR="00FC2190" w:rsidRPr="00E83B32">
        <w:rPr>
          <w:noProof/>
        </w:rPr>
        <w:t>spanning</w:t>
      </w:r>
      <w:r>
        <w:rPr>
          <w:noProof/>
        </w:rPr>
        <w:t xml:space="preserve"> 2014-2020, the Hercule III </w:t>
      </w:r>
      <w:r w:rsidR="00FC2190" w:rsidRPr="00E83B32">
        <w:rPr>
          <w:noProof/>
        </w:rPr>
        <w:t>p</w:t>
      </w:r>
      <w:r w:rsidRPr="00E83B32">
        <w:rPr>
          <w:noProof/>
        </w:rPr>
        <w:t xml:space="preserve">rogramme </w:t>
      </w:r>
      <w:r>
        <w:rPr>
          <w:noProof/>
        </w:rPr>
        <w:t xml:space="preserve">was the </w:t>
      </w:r>
      <w:r w:rsidR="00FC2190" w:rsidRPr="00E83B32">
        <w:rPr>
          <w:noProof/>
        </w:rPr>
        <w:t>E</w:t>
      </w:r>
      <w:r w:rsidR="000B5C10" w:rsidRPr="00E83B32">
        <w:rPr>
          <w:noProof/>
        </w:rPr>
        <w:t>U</w:t>
      </w:r>
      <w:r w:rsidR="00FC2190" w:rsidRPr="00E83B32">
        <w:rPr>
          <w:noProof/>
        </w:rPr>
        <w:t>’s</w:t>
      </w:r>
      <w:r w:rsidR="000B5C10">
        <w:rPr>
          <w:noProof/>
        </w:rPr>
        <w:t xml:space="preserve"> </w:t>
      </w:r>
      <w:r w:rsidR="00954B87">
        <w:rPr>
          <w:noProof/>
        </w:rPr>
        <w:t>dedicated</w:t>
      </w:r>
      <w:r>
        <w:rPr>
          <w:noProof/>
        </w:rPr>
        <w:t xml:space="preserve"> </w:t>
      </w:r>
      <w:r w:rsidR="00FC2190" w:rsidRPr="00E83B32">
        <w:rPr>
          <w:noProof/>
        </w:rPr>
        <w:t>facility</w:t>
      </w:r>
      <w:r>
        <w:rPr>
          <w:noProof/>
        </w:rPr>
        <w:t xml:space="preserve"> </w:t>
      </w:r>
      <w:r w:rsidR="00954B87">
        <w:rPr>
          <w:noProof/>
        </w:rPr>
        <w:t>to</w:t>
      </w:r>
      <w:r>
        <w:rPr>
          <w:noProof/>
        </w:rPr>
        <w:t xml:space="preserve"> provid</w:t>
      </w:r>
      <w:r w:rsidR="00954B87">
        <w:rPr>
          <w:noProof/>
        </w:rPr>
        <w:t xml:space="preserve">e </w:t>
      </w:r>
      <w:r>
        <w:rPr>
          <w:noProof/>
        </w:rPr>
        <w:t>such support.</w:t>
      </w:r>
      <w:r w:rsidR="000B5C10">
        <w:rPr>
          <w:noProof/>
        </w:rPr>
        <w:t xml:space="preserve"> </w:t>
      </w:r>
      <w:r w:rsidR="007954F0" w:rsidRPr="007954F0">
        <w:rPr>
          <w:noProof/>
        </w:rPr>
        <w:t xml:space="preserve">The </w:t>
      </w:r>
      <w:r w:rsidR="00FC2190" w:rsidRPr="00E83B32">
        <w:rPr>
          <w:noProof/>
        </w:rPr>
        <w:t>p</w:t>
      </w:r>
      <w:r w:rsidR="007954F0" w:rsidRPr="007954F0">
        <w:rPr>
          <w:noProof/>
        </w:rPr>
        <w:t xml:space="preserve">rogramme, which </w:t>
      </w:r>
      <w:r w:rsidR="00241C88">
        <w:rPr>
          <w:noProof/>
        </w:rPr>
        <w:t>wa</w:t>
      </w:r>
      <w:r w:rsidR="007954F0" w:rsidRPr="007954F0">
        <w:rPr>
          <w:noProof/>
        </w:rPr>
        <w:t xml:space="preserve">s administered by OLAF within the Commission, was established by Regulation </w:t>
      </w:r>
      <w:r w:rsidR="00FC2190" w:rsidRPr="00E83B32">
        <w:rPr>
          <w:noProof/>
        </w:rPr>
        <w:t xml:space="preserve">(EU) No </w:t>
      </w:r>
      <w:r w:rsidR="007954F0" w:rsidRPr="007954F0">
        <w:rPr>
          <w:noProof/>
        </w:rPr>
        <w:t>250/2014</w:t>
      </w:r>
      <w:r w:rsidR="007954F0">
        <w:rPr>
          <w:rStyle w:val="FootnoteReference"/>
          <w:noProof/>
        </w:rPr>
        <w:footnoteReference w:id="4"/>
      </w:r>
      <w:r w:rsidR="007954F0" w:rsidRPr="007954F0">
        <w:rPr>
          <w:noProof/>
        </w:rPr>
        <w:t xml:space="preserve"> (‘the Regulation’)</w:t>
      </w:r>
      <w:r w:rsidR="0076580C">
        <w:rPr>
          <w:noProof/>
        </w:rPr>
        <w:t xml:space="preserve">. The </w:t>
      </w:r>
      <w:r w:rsidR="00FC2190" w:rsidRPr="00E83B32">
        <w:rPr>
          <w:noProof/>
        </w:rPr>
        <w:t xml:space="preserve">programme’s </w:t>
      </w:r>
      <w:r w:rsidR="0076580C">
        <w:rPr>
          <w:noProof/>
        </w:rPr>
        <w:t xml:space="preserve">general objective </w:t>
      </w:r>
      <w:r w:rsidR="00241C88">
        <w:rPr>
          <w:noProof/>
        </w:rPr>
        <w:t>wa</w:t>
      </w:r>
      <w:r w:rsidR="007954F0" w:rsidRPr="007954F0">
        <w:rPr>
          <w:noProof/>
        </w:rPr>
        <w:t xml:space="preserve">s </w:t>
      </w:r>
      <w:r w:rsidR="007954F0" w:rsidRPr="00E83B32">
        <w:rPr>
          <w:noProof/>
        </w:rPr>
        <w:t>t</w:t>
      </w:r>
      <w:r w:rsidR="00FC2190" w:rsidRPr="00E83B32">
        <w:rPr>
          <w:noProof/>
        </w:rPr>
        <w:t>o</w:t>
      </w:r>
      <w:r w:rsidR="007954F0">
        <w:rPr>
          <w:noProof/>
        </w:rPr>
        <w:t xml:space="preserve"> </w:t>
      </w:r>
      <w:r w:rsidR="007954F0" w:rsidRPr="007954F0">
        <w:rPr>
          <w:noProof/>
        </w:rPr>
        <w:t xml:space="preserve">protect the </w:t>
      </w:r>
      <w:r w:rsidR="00FC2190" w:rsidRPr="00E83B32">
        <w:rPr>
          <w:noProof/>
        </w:rPr>
        <w:t xml:space="preserve">EU’s </w:t>
      </w:r>
      <w:r w:rsidR="007954F0" w:rsidRPr="007954F0">
        <w:rPr>
          <w:noProof/>
        </w:rPr>
        <w:t>financial interests</w:t>
      </w:r>
      <w:r w:rsidR="00CE6570" w:rsidRPr="00E83B32">
        <w:rPr>
          <w:noProof/>
        </w:rPr>
        <w:t>,</w:t>
      </w:r>
      <w:r w:rsidR="007954F0" w:rsidRPr="007954F0">
        <w:rPr>
          <w:noProof/>
        </w:rPr>
        <w:t xml:space="preserve"> thus enhancing the competitiveness of the economy and </w:t>
      </w:r>
      <w:r w:rsidR="007954F0" w:rsidRPr="00E83B32">
        <w:rPr>
          <w:noProof/>
        </w:rPr>
        <w:t>protectin</w:t>
      </w:r>
      <w:r w:rsidR="00FC2190" w:rsidRPr="00E83B32">
        <w:rPr>
          <w:noProof/>
        </w:rPr>
        <w:t>g</w:t>
      </w:r>
      <w:r w:rsidR="007954F0">
        <w:rPr>
          <w:noProof/>
        </w:rPr>
        <w:t xml:space="preserve"> taxpayers' money.</w:t>
      </w:r>
      <w:r w:rsidR="007954F0" w:rsidRPr="007954F0">
        <w:rPr>
          <w:noProof/>
        </w:rPr>
        <w:t xml:space="preserve"> </w:t>
      </w:r>
      <w:r w:rsidR="007954F0">
        <w:rPr>
          <w:noProof/>
        </w:rPr>
        <w:t>T</w:t>
      </w:r>
      <w:r w:rsidR="0076580C">
        <w:rPr>
          <w:noProof/>
        </w:rPr>
        <w:t xml:space="preserve">he </w:t>
      </w:r>
      <w:r w:rsidR="007954F0">
        <w:rPr>
          <w:noProof/>
        </w:rPr>
        <w:t>specific objec</w:t>
      </w:r>
      <w:r w:rsidR="00241C88">
        <w:rPr>
          <w:noProof/>
        </w:rPr>
        <w:t>tive wa</w:t>
      </w:r>
      <w:r w:rsidR="007954F0">
        <w:rPr>
          <w:noProof/>
        </w:rPr>
        <w:t xml:space="preserve">s </w:t>
      </w:r>
      <w:r w:rsidR="007954F0" w:rsidRPr="007954F0">
        <w:rPr>
          <w:noProof/>
        </w:rPr>
        <w:t>to prevent and combat fraud, corruptio</w:t>
      </w:r>
      <w:r w:rsidR="0076580C">
        <w:rPr>
          <w:noProof/>
        </w:rPr>
        <w:t>n and any other illegal activity</w:t>
      </w:r>
      <w:r w:rsidR="007954F0" w:rsidRPr="007954F0">
        <w:rPr>
          <w:noProof/>
        </w:rPr>
        <w:t xml:space="preserve"> affecting the </w:t>
      </w:r>
      <w:r w:rsidR="00FC2190" w:rsidRPr="00E83B32">
        <w:rPr>
          <w:noProof/>
        </w:rPr>
        <w:t xml:space="preserve">EU’s </w:t>
      </w:r>
      <w:r w:rsidR="007954F0" w:rsidRPr="007954F0">
        <w:rPr>
          <w:noProof/>
        </w:rPr>
        <w:t>financial interests</w:t>
      </w:r>
      <w:r w:rsidR="00B668C0">
        <w:rPr>
          <w:noProof/>
        </w:rPr>
        <w:t>.</w:t>
      </w:r>
      <w:r w:rsidR="00A124AF" w:rsidRPr="006C679C">
        <w:rPr>
          <w:noProof/>
        </w:rPr>
        <w:t xml:space="preserve"> Action to protect the financial interests cover</w:t>
      </w:r>
      <w:r w:rsidR="00241C88">
        <w:rPr>
          <w:noProof/>
        </w:rPr>
        <w:t>ed</w:t>
      </w:r>
      <w:r w:rsidR="00A124AF" w:rsidRPr="006C679C">
        <w:rPr>
          <w:noProof/>
        </w:rPr>
        <w:t xml:space="preserve"> the whole expenditu</w:t>
      </w:r>
      <w:r w:rsidR="00A124AF">
        <w:rPr>
          <w:noProof/>
        </w:rPr>
        <w:t>re side</w:t>
      </w:r>
      <w:r w:rsidR="0076580C">
        <w:rPr>
          <w:noProof/>
        </w:rPr>
        <w:t xml:space="preserve"> of the </w:t>
      </w:r>
      <w:r w:rsidR="00574C27" w:rsidRPr="00E83B32">
        <w:rPr>
          <w:noProof/>
        </w:rPr>
        <w:t>E</w:t>
      </w:r>
      <w:r w:rsidR="0076580C" w:rsidRPr="00E83B32">
        <w:rPr>
          <w:noProof/>
        </w:rPr>
        <w:t>U</w:t>
      </w:r>
      <w:r w:rsidR="00A124AF">
        <w:rPr>
          <w:noProof/>
        </w:rPr>
        <w:t xml:space="preserve"> budget. </w:t>
      </w:r>
      <w:r w:rsidR="00A124AF" w:rsidRPr="006C679C">
        <w:rPr>
          <w:noProof/>
        </w:rPr>
        <w:t>On the revenue side</w:t>
      </w:r>
      <w:r w:rsidR="00A124AF">
        <w:rPr>
          <w:noProof/>
        </w:rPr>
        <w:t>,</w:t>
      </w:r>
      <w:r w:rsidR="00A124AF" w:rsidRPr="006C679C">
        <w:rPr>
          <w:noProof/>
        </w:rPr>
        <w:t xml:space="preserve"> action </w:t>
      </w:r>
      <w:r w:rsidR="00855976">
        <w:rPr>
          <w:noProof/>
        </w:rPr>
        <w:t>focused on</w:t>
      </w:r>
      <w:r w:rsidR="009216E2">
        <w:rPr>
          <w:noProof/>
        </w:rPr>
        <w:t xml:space="preserve"> traditional </w:t>
      </w:r>
      <w:r w:rsidR="00A124AF">
        <w:rPr>
          <w:noProof/>
        </w:rPr>
        <w:t>o</w:t>
      </w:r>
      <w:r w:rsidR="00A124AF" w:rsidRPr="006C679C">
        <w:rPr>
          <w:noProof/>
        </w:rPr>
        <w:t xml:space="preserve">wn </w:t>
      </w:r>
      <w:r w:rsidR="00A124AF">
        <w:rPr>
          <w:noProof/>
        </w:rPr>
        <w:t>r</w:t>
      </w:r>
      <w:r w:rsidR="00A124AF" w:rsidRPr="006C679C">
        <w:rPr>
          <w:noProof/>
        </w:rPr>
        <w:t>esources</w:t>
      </w:r>
      <w:r w:rsidR="00A124AF">
        <w:rPr>
          <w:noProof/>
        </w:rPr>
        <w:t>.</w:t>
      </w:r>
    </w:p>
    <w:p w14:paraId="1C35A23B" w14:textId="1655B667" w:rsidR="007954F0" w:rsidRDefault="007954F0" w:rsidP="0018107C">
      <w:pPr>
        <w:spacing w:line="276" w:lineRule="auto"/>
        <w:rPr>
          <w:noProof/>
        </w:rPr>
      </w:pPr>
      <w:r>
        <w:rPr>
          <w:noProof/>
        </w:rPr>
        <w:t>Article 13(2)(b) of the Regulation</w:t>
      </w:r>
      <w:r w:rsidR="000B5C10">
        <w:rPr>
          <w:noProof/>
        </w:rPr>
        <w:t xml:space="preserve"> mandates</w:t>
      </w:r>
      <w:r>
        <w:rPr>
          <w:noProof/>
        </w:rPr>
        <w:t xml:space="preserve"> </w:t>
      </w:r>
      <w:r w:rsidRPr="007954F0">
        <w:rPr>
          <w:noProof/>
        </w:rPr>
        <w:t xml:space="preserve">the Commission </w:t>
      </w:r>
      <w:r w:rsidR="000B5C10">
        <w:rPr>
          <w:noProof/>
        </w:rPr>
        <w:t xml:space="preserve">to </w:t>
      </w:r>
      <w:r w:rsidRPr="007954F0">
        <w:rPr>
          <w:noProof/>
        </w:rPr>
        <w:t>carr</w:t>
      </w:r>
      <w:r w:rsidR="000B5C10">
        <w:rPr>
          <w:noProof/>
        </w:rPr>
        <w:t>y</w:t>
      </w:r>
      <w:r w:rsidRPr="007954F0">
        <w:rPr>
          <w:noProof/>
        </w:rPr>
        <w:t xml:space="preserve"> out a</w:t>
      </w:r>
      <w:r>
        <w:rPr>
          <w:noProof/>
        </w:rPr>
        <w:t>n evaluation</w:t>
      </w:r>
      <w:r w:rsidRPr="007954F0">
        <w:rPr>
          <w:noProof/>
        </w:rPr>
        <w:t xml:space="preserve"> of the </w:t>
      </w:r>
      <w:r w:rsidR="00574C27" w:rsidRPr="00E83B32">
        <w:rPr>
          <w:noProof/>
        </w:rPr>
        <w:t>p</w:t>
      </w:r>
      <w:r w:rsidRPr="007954F0">
        <w:rPr>
          <w:noProof/>
        </w:rPr>
        <w:t xml:space="preserve">rogramme. The </w:t>
      </w:r>
      <w:r w:rsidR="00B005B8">
        <w:rPr>
          <w:noProof/>
        </w:rPr>
        <w:t>accompanying</w:t>
      </w:r>
      <w:r w:rsidRPr="007954F0">
        <w:rPr>
          <w:noProof/>
        </w:rPr>
        <w:t xml:space="preserve"> </w:t>
      </w:r>
      <w:r w:rsidR="00574C27" w:rsidRPr="00E83B32">
        <w:rPr>
          <w:noProof/>
        </w:rPr>
        <w:t>s</w:t>
      </w:r>
      <w:r w:rsidRPr="00E83B32">
        <w:rPr>
          <w:noProof/>
        </w:rPr>
        <w:t xml:space="preserve">taff </w:t>
      </w:r>
      <w:r w:rsidR="00574C27" w:rsidRPr="00E83B32">
        <w:rPr>
          <w:noProof/>
        </w:rPr>
        <w:t>w</w:t>
      </w:r>
      <w:r w:rsidRPr="00E83B32">
        <w:rPr>
          <w:noProof/>
        </w:rPr>
        <w:t xml:space="preserve">orking </w:t>
      </w:r>
      <w:r w:rsidR="00574C27" w:rsidRPr="00E83B32">
        <w:rPr>
          <w:noProof/>
        </w:rPr>
        <w:t>d</w:t>
      </w:r>
      <w:r w:rsidRPr="007954F0">
        <w:rPr>
          <w:noProof/>
        </w:rPr>
        <w:t>ocument contains the detailed findings</w:t>
      </w:r>
      <w:r w:rsidR="000B5C10">
        <w:rPr>
          <w:noProof/>
        </w:rPr>
        <w:t xml:space="preserve"> of the evaluation</w:t>
      </w:r>
      <w:r w:rsidR="000B5C10" w:rsidRPr="000B5C10">
        <w:rPr>
          <w:noProof/>
        </w:rPr>
        <w:t xml:space="preserve"> </w:t>
      </w:r>
      <w:r w:rsidR="000B5C10" w:rsidRPr="007954F0">
        <w:rPr>
          <w:noProof/>
        </w:rPr>
        <w:t xml:space="preserve">of the Hercule III </w:t>
      </w:r>
      <w:r w:rsidR="00574C27" w:rsidRPr="00E83B32">
        <w:rPr>
          <w:noProof/>
        </w:rPr>
        <w:t>p</w:t>
      </w:r>
      <w:r w:rsidR="000B5C10" w:rsidRPr="007954F0">
        <w:rPr>
          <w:noProof/>
        </w:rPr>
        <w:t>rogramme</w:t>
      </w:r>
      <w:r w:rsidR="000B5C10">
        <w:rPr>
          <w:noProof/>
        </w:rPr>
        <w:t>, and makes a number of recommendations based on that analysis</w:t>
      </w:r>
      <w:r w:rsidRPr="007954F0">
        <w:rPr>
          <w:noProof/>
        </w:rPr>
        <w:t>.</w:t>
      </w:r>
    </w:p>
    <w:p w14:paraId="509D606A" w14:textId="77777777" w:rsidR="00682F41" w:rsidRPr="004E7D1E" w:rsidRDefault="00682F41" w:rsidP="004E7D1E">
      <w:pPr>
        <w:pStyle w:val="Heading1"/>
        <w:rPr>
          <w:noProof/>
        </w:rPr>
      </w:pPr>
      <w:r w:rsidRPr="008A1DD2">
        <w:rPr>
          <w:noProof/>
        </w:rPr>
        <w:t xml:space="preserve">The </w:t>
      </w:r>
      <w:r w:rsidR="004E7D1E" w:rsidRPr="004E7D1E">
        <w:rPr>
          <w:noProof/>
        </w:rPr>
        <w:t xml:space="preserve">Hercule III </w:t>
      </w:r>
      <w:r w:rsidR="00574C27" w:rsidRPr="00E83B32">
        <w:rPr>
          <w:noProof/>
        </w:rPr>
        <w:t>p</w:t>
      </w:r>
      <w:r w:rsidRPr="008A1DD2">
        <w:rPr>
          <w:noProof/>
        </w:rPr>
        <w:t>rogramme</w:t>
      </w:r>
    </w:p>
    <w:p w14:paraId="40889814" w14:textId="77777777" w:rsidR="002341CF" w:rsidRPr="006C679C" w:rsidRDefault="00855976" w:rsidP="0018107C">
      <w:pPr>
        <w:spacing w:line="276" w:lineRule="auto"/>
        <w:rPr>
          <w:noProof/>
        </w:rPr>
      </w:pPr>
      <w:r>
        <w:rPr>
          <w:noProof/>
        </w:rPr>
        <w:t xml:space="preserve">The </w:t>
      </w:r>
      <w:r w:rsidR="002341CF" w:rsidRPr="006C679C">
        <w:rPr>
          <w:noProof/>
        </w:rPr>
        <w:t xml:space="preserve">Hercule </w:t>
      </w:r>
      <w:r w:rsidR="00A124AF">
        <w:rPr>
          <w:noProof/>
        </w:rPr>
        <w:t xml:space="preserve">III </w:t>
      </w:r>
      <w:r w:rsidR="00574C27" w:rsidRPr="00E83B32">
        <w:rPr>
          <w:noProof/>
        </w:rPr>
        <w:t>p</w:t>
      </w:r>
      <w:r w:rsidR="002341CF" w:rsidRPr="00E83B32">
        <w:rPr>
          <w:noProof/>
        </w:rPr>
        <w:t xml:space="preserve">rogramme </w:t>
      </w:r>
      <w:r w:rsidR="00CE6570" w:rsidRPr="00E83B32">
        <w:rPr>
          <w:noProof/>
        </w:rPr>
        <w:t>i</w:t>
      </w:r>
      <w:r w:rsidR="002341CF" w:rsidRPr="00E83B32">
        <w:rPr>
          <w:noProof/>
        </w:rPr>
        <w:t xml:space="preserve">s </w:t>
      </w:r>
      <w:r w:rsidR="00CE6570" w:rsidRPr="00E83B32">
        <w:rPr>
          <w:noProof/>
        </w:rPr>
        <w:t>a targeted</w:t>
      </w:r>
      <w:r w:rsidR="002341CF" w:rsidRPr="006C679C">
        <w:rPr>
          <w:noProof/>
        </w:rPr>
        <w:t xml:space="preserve"> </w:t>
      </w:r>
      <w:r w:rsidR="00CE6570" w:rsidRPr="00E83B32">
        <w:rPr>
          <w:noProof/>
        </w:rPr>
        <w:t xml:space="preserve">programme, </w:t>
      </w:r>
      <w:r w:rsidR="00463B6B">
        <w:rPr>
          <w:noProof/>
        </w:rPr>
        <w:t xml:space="preserve">the </w:t>
      </w:r>
      <w:r w:rsidR="00CE6570" w:rsidRPr="00E83B32">
        <w:rPr>
          <w:noProof/>
        </w:rPr>
        <w:t xml:space="preserve">EU’s </w:t>
      </w:r>
      <w:r w:rsidR="00463B6B">
        <w:rPr>
          <w:noProof/>
        </w:rPr>
        <w:t xml:space="preserve">main programme </w:t>
      </w:r>
      <w:r w:rsidR="002341CF" w:rsidRPr="006C679C">
        <w:rPr>
          <w:noProof/>
        </w:rPr>
        <w:t xml:space="preserve">to protect the </w:t>
      </w:r>
      <w:r w:rsidR="00574C27" w:rsidRPr="00E83B32">
        <w:rPr>
          <w:noProof/>
        </w:rPr>
        <w:t xml:space="preserve">EU’s </w:t>
      </w:r>
      <w:r w:rsidR="002341CF" w:rsidRPr="006C679C">
        <w:rPr>
          <w:noProof/>
        </w:rPr>
        <w:t>financial interests.</w:t>
      </w:r>
      <w:r w:rsidR="00A124AF">
        <w:rPr>
          <w:noProof/>
        </w:rPr>
        <w:t xml:space="preserve"> </w:t>
      </w:r>
    </w:p>
    <w:p w14:paraId="533EFB60" w14:textId="77777777" w:rsidR="008D1694" w:rsidRDefault="00855976" w:rsidP="0018107C">
      <w:pPr>
        <w:spacing w:line="276" w:lineRule="auto"/>
        <w:rPr>
          <w:noProof/>
        </w:rPr>
      </w:pPr>
      <w:r>
        <w:rPr>
          <w:noProof/>
        </w:rPr>
        <w:t xml:space="preserve">During preparations </w:t>
      </w:r>
      <w:r w:rsidR="006B11B4" w:rsidRPr="00E83B32">
        <w:rPr>
          <w:noProof/>
        </w:rPr>
        <w:t>f</w:t>
      </w:r>
      <w:r w:rsidRPr="00E83B32">
        <w:rPr>
          <w:noProof/>
        </w:rPr>
        <w:t>o</w:t>
      </w:r>
      <w:r w:rsidR="006B11B4" w:rsidRPr="00E83B32">
        <w:rPr>
          <w:noProof/>
        </w:rPr>
        <w:t>r</w:t>
      </w:r>
      <w:r>
        <w:rPr>
          <w:noProof/>
        </w:rPr>
        <w:t xml:space="preserve"> the last </w:t>
      </w:r>
      <w:r w:rsidR="00CE6570" w:rsidRPr="00E83B32">
        <w:rPr>
          <w:noProof/>
        </w:rPr>
        <w:t>multiannual budget</w:t>
      </w:r>
      <w:r>
        <w:rPr>
          <w:noProof/>
        </w:rPr>
        <w:t>, t</w:t>
      </w:r>
      <w:r w:rsidR="008D1694">
        <w:rPr>
          <w:noProof/>
        </w:rPr>
        <w:t xml:space="preserve">he </w:t>
      </w:r>
      <w:r w:rsidR="008D1694" w:rsidRPr="006C679C">
        <w:rPr>
          <w:noProof/>
        </w:rPr>
        <w:t>irregularities and suspected fraud cases detected during implementation of the budget</w:t>
      </w:r>
      <w:r w:rsidR="008D1694">
        <w:rPr>
          <w:noProof/>
        </w:rPr>
        <w:t xml:space="preserve"> and reported</w:t>
      </w:r>
      <w:r w:rsidR="002341CF" w:rsidRPr="006C679C">
        <w:rPr>
          <w:noProof/>
        </w:rPr>
        <w:t xml:space="preserve"> by Member States</w:t>
      </w:r>
      <w:r w:rsidR="002341CF" w:rsidRPr="006C679C">
        <w:rPr>
          <w:noProof/>
          <w:vertAlign w:val="superscript"/>
        </w:rPr>
        <w:footnoteReference w:id="5"/>
      </w:r>
      <w:r w:rsidR="002341CF" w:rsidRPr="006C679C">
        <w:rPr>
          <w:noProof/>
        </w:rPr>
        <w:t xml:space="preserve"> </w:t>
      </w:r>
      <w:r w:rsidR="00CE6570" w:rsidRPr="00E83B32">
        <w:rPr>
          <w:noProof/>
        </w:rPr>
        <w:t xml:space="preserve">under </w:t>
      </w:r>
      <w:r w:rsidR="002341CF" w:rsidRPr="006C679C">
        <w:rPr>
          <w:noProof/>
        </w:rPr>
        <w:t xml:space="preserve">Article 325 TFEU showed that the detrimental </w:t>
      </w:r>
      <w:r w:rsidR="009C6237" w:rsidRPr="006C679C">
        <w:rPr>
          <w:noProof/>
        </w:rPr>
        <w:t xml:space="preserve">financial </w:t>
      </w:r>
      <w:r w:rsidR="002341CF" w:rsidRPr="006C679C">
        <w:rPr>
          <w:noProof/>
        </w:rPr>
        <w:t xml:space="preserve">impact throughout the years remained at levels requiring the </w:t>
      </w:r>
      <w:r w:rsidR="006B11B4" w:rsidRPr="00E83B32">
        <w:rPr>
          <w:noProof/>
        </w:rPr>
        <w:t>E</w:t>
      </w:r>
      <w:r w:rsidR="002341CF" w:rsidRPr="00E83B32">
        <w:rPr>
          <w:noProof/>
        </w:rPr>
        <w:t>U</w:t>
      </w:r>
      <w:r w:rsidR="002341CF" w:rsidRPr="006C679C">
        <w:rPr>
          <w:noProof/>
        </w:rPr>
        <w:t xml:space="preserve"> to </w:t>
      </w:r>
      <w:r w:rsidR="008A0CCD">
        <w:rPr>
          <w:noProof/>
        </w:rPr>
        <w:t>continue enforcing its obligation to</w:t>
      </w:r>
      <w:r w:rsidR="00E8409E">
        <w:rPr>
          <w:noProof/>
        </w:rPr>
        <w:t xml:space="preserve"> protect the EU budget through </w:t>
      </w:r>
      <w:r w:rsidR="00463B6B">
        <w:rPr>
          <w:noProof/>
        </w:rPr>
        <w:t>a programme such as Hercule</w:t>
      </w:r>
      <w:r w:rsidR="002341CF" w:rsidRPr="00E83B32">
        <w:rPr>
          <w:noProof/>
        </w:rPr>
        <w:t>.</w:t>
      </w:r>
      <w:r w:rsidR="00227D59">
        <w:rPr>
          <w:noProof/>
        </w:rPr>
        <w:t xml:space="preserve"> </w:t>
      </w:r>
      <w:r w:rsidR="006B11B4" w:rsidRPr="00E83B32">
        <w:rPr>
          <w:noProof/>
        </w:rPr>
        <w:t>T</w:t>
      </w:r>
      <w:r w:rsidR="006C679C" w:rsidRPr="00E83B32">
        <w:rPr>
          <w:noProof/>
        </w:rPr>
        <w:t>o</w:t>
      </w:r>
      <w:r w:rsidR="002341CF" w:rsidRPr="006C679C">
        <w:rPr>
          <w:noProof/>
        </w:rPr>
        <w:t xml:space="preserve"> reach th</w:t>
      </w:r>
      <w:r>
        <w:rPr>
          <w:noProof/>
        </w:rPr>
        <w:t>at</w:t>
      </w:r>
      <w:r w:rsidR="002341CF" w:rsidRPr="006C679C">
        <w:rPr>
          <w:noProof/>
        </w:rPr>
        <w:t xml:space="preserve"> objective, the </w:t>
      </w:r>
      <w:r w:rsidR="006B11B4" w:rsidRPr="00E83B32">
        <w:rPr>
          <w:noProof/>
        </w:rPr>
        <w:t xml:space="preserve">budget for </w:t>
      </w:r>
      <w:r w:rsidR="008D1694">
        <w:rPr>
          <w:noProof/>
        </w:rPr>
        <w:t>Hercule III</w:t>
      </w:r>
      <w:r w:rsidR="002341CF" w:rsidRPr="006C679C">
        <w:rPr>
          <w:noProof/>
        </w:rPr>
        <w:t xml:space="preserve"> </w:t>
      </w:r>
      <w:r w:rsidR="008D1694">
        <w:rPr>
          <w:noProof/>
        </w:rPr>
        <w:t>amounted to</w:t>
      </w:r>
      <w:r w:rsidR="002341CF" w:rsidRPr="006C679C">
        <w:rPr>
          <w:noProof/>
        </w:rPr>
        <w:t xml:space="preserve"> </w:t>
      </w:r>
      <w:r w:rsidR="002341CF" w:rsidRPr="00855976">
        <w:rPr>
          <w:b/>
          <w:noProof/>
        </w:rPr>
        <w:t>EUR</w:t>
      </w:r>
      <w:r w:rsidR="00DF6117" w:rsidRPr="00E83B32">
        <w:rPr>
          <w:b/>
          <w:noProof/>
        </w:rPr>
        <w:t> </w:t>
      </w:r>
      <w:r w:rsidR="002341CF" w:rsidRPr="00855976">
        <w:rPr>
          <w:b/>
          <w:noProof/>
        </w:rPr>
        <w:t>104.9 million over the period 2014-2020</w:t>
      </w:r>
      <w:r w:rsidR="002341CF" w:rsidRPr="006C679C">
        <w:rPr>
          <w:noProof/>
        </w:rPr>
        <w:t xml:space="preserve">. </w:t>
      </w:r>
      <w:r w:rsidR="008D1694">
        <w:rPr>
          <w:noProof/>
        </w:rPr>
        <w:t>T</w:t>
      </w:r>
      <w:r w:rsidR="008D1694" w:rsidRPr="006C679C">
        <w:rPr>
          <w:noProof/>
        </w:rPr>
        <w:t xml:space="preserve">he eligible beneficiaries of the </w:t>
      </w:r>
      <w:r w:rsidR="006B11B4" w:rsidRPr="00E83B32">
        <w:rPr>
          <w:noProof/>
        </w:rPr>
        <w:t>p</w:t>
      </w:r>
      <w:r w:rsidR="008D1694" w:rsidRPr="006C679C">
        <w:rPr>
          <w:noProof/>
        </w:rPr>
        <w:t xml:space="preserve">rogramme </w:t>
      </w:r>
      <w:r w:rsidR="008D1694">
        <w:rPr>
          <w:noProof/>
        </w:rPr>
        <w:t>were</w:t>
      </w:r>
      <w:r w:rsidR="008D1694" w:rsidRPr="006C679C">
        <w:rPr>
          <w:noProof/>
        </w:rPr>
        <w:t xml:space="preserve"> national or regional a</w:t>
      </w:r>
      <w:r w:rsidR="008D1694">
        <w:rPr>
          <w:noProof/>
        </w:rPr>
        <w:t>dministrations of Member States</w:t>
      </w:r>
      <w:r w:rsidR="008D1694" w:rsidRPr="006C679C">
        <w:rPr>
          <w:noProof/>
        </w:rPr>
        <w:t xml:space="preserve"> and research bodies, as well as educational institutes and non-profit entities </w:t>
      </w:r>
      <w:r w:rsidR="006B11B4" w:rsidRPr="00E83B32">
        <w:rPr>
          <w:noProof/>
        </w:rPr>
        <w:t xml:space="preserve">set up </w:t>
      </w:r>
      <w:r w:rsidR="008D1694" w:rsidRPr="006C679C">
        <w:rPr>
          <w:noProof/>
        </w:rPr>
        <w:t xml:space="preserve">and </w:t>
      </w:r>
      <w:r w:rsidR="008D1694" w:rsidRPr="00E83B32">
        <w:rPr>
          <w:noProof/>
        </w:rPr>
        <w:t>operati</w:t>
      </w:r>
      <w:r w:rsidR="006B11B4" w:rsidRPr="00E83B32">
        <w:rPr>
          <w:noProof/>
        </w:rPr>
        <w:t>o</w:t>
      </w:r>
      <w:r w:rsidR="008D1694" w:rsidRPr="00E83B32">
        <w:rPr>
          <w:noProof/>
        </w:rPr>
        <w:t>n</w:t>
      </w:r>
      <w:r w:rsidR="006B11B4" w:rsidRPr="00E83B32">
        <w:rPr>
          <w:noProof/>
        </w:rPr>
        <w:t>al</w:t>
      </w:r>
      <w:r w:rsidR="008D1694" w:rsidRPr="006C679C">
        <w:rPr>
          <w:noProof/>
        </w:rPr>
        <w:t xml:space="preserve"> in a Member State for at least one year.</w:t>
      </w:r>
    </w:p>
    <w:p w14:paraId="323E6FFC" w14:textId="77777777" w:rsidR="006B11B4" w:rsidRPr="00E83B32" w:rsidRDefault="008D1694" w:rsidP="0018107C">
      <w:pPr>
        <w:spacing w:line="276" w:lineRule="auto"/>
        <w:rPr>
          <w:noProof/>
        </w:rPr>
      </w:pPr>
      <w:r>
        <w:rPr>
          <w:noProof/>
        </w:rPr>
        <w:t xml:space="preserve">The </w:t>
      </w:r>
      <w:r w:rsidR="006B11B4" w:rsidRPr="00E83B32">
        <w:rPr>
          <w:noProof/>
        </w:rPr>
        <w:t>p</w:t>
      </w:r>
      <w:r>
        <w:rPr>
          <w:noProof/>
        </w:rPr>
        <w:t>rogramme was</w:t>
      </w:r>
      <w:r w:rsidRPr="00237535">
        <w:rPr>
          <w:noProof/>
        </w:rPr>
        <w:t xml:space="preserve"> implemented on the basis of annual cycles </w:t>
      </w:r>
      <w:r w:rsidR="00DF6117" w:rsidRPr="00E83B32">
        <w:rPr>
          <w:noProof/>
        </w:rPr>
        <w:t xml:space="preserve">that carried out the </w:t>
      </w:r>
      <w:r w:rsidRPr="00237535">
        <w:rPr>
          <w:noProof/>
        </w:rPr>
        <w:t>work programmes adopted by the Commission. Hercule III provide</w:t>
      </w:r>
      <w:r>
        <w:rPr>
          <w:noProof/>
        </w:rPr>
        <w:t>d</w:t>
      </w:r>
      <w:r w:rsidRPr="00237535">
        <w:rPr>
          <w:noProof/>
        </w:rPr>
        <w:t xml:space="preserve"> financial support for</w:t>
      </w:r>
      <w:r w:rsidR="006B11B4" w:rsidRPr="00E83B32">
        <w:rPr>
          <w:noProof/>
        </w:rPr>
        <w:t>:</w:t>
      </w:r>
      <w:r w:rsidRPr="00237535">
        <w:rPr>
          <w:noProof/>
        </w:rPr>
        <w:t xml:space="preserve"> </w:t>
      </w:r>
    </w:p>
    <w:p w14:paraId="205AF5C8" w14:textId="77777777" w:rsidR="006B11B4" w:rsidRPr="00E83B32" w:rsidRDefault="008D1694" w:rsidP="006B11B4">
      <w:pPr>
        <w:pStyle w:val="ListParagraph"/>
        <w:numPr>
          <w:ilvl w:val="0"/>
          <w:numId w:val="45"/>
        </w:numPr>
        <w:spacing w:line="276" w:lineRule="auto"/>
        <w:rPr>
          <w:noProof/>
        </w:rPr>
      </w:pPr>
      <w:r w:rsidRPr="00855976">
        <w:rPr>
          <w:b/>
          <w:noProof/>
        </w:rPr>
        <w:t>technical assistance</w:t>
      </w:r>
      <w:r w:rsidRPr="00237535">
        <w:rPr>
          <w:noProof/>
        </w:rPr>
        <w:t xml:space="preserve"> (at least 70% of the </w:t>
      </w:r>
      <w:r w:rsidR="006B11B4" w:rsidRPr="00E83B32">
        <w:rPr>
          <w:noProof/>
        </w:rPr>
        <w:t>p</w:t>
      </w:r>
      <w:r w:rsidRPr="00237535">
        <w:rPr>
          <w:noProof/>
        </w:rPr>
        <w:t xml:space="preserve">rogramme's budget) for </w:t>
      </w:r>
      <w:r w:rsidR="006B11B4" w:rsidRPr="00E83B32">
        <w:rPr>
          <w:noProof/>
        </w:rPr>
        <w:t>measures</w:t>
      </w:r>
      <w:r w:rsidRPr="00237535">
        <w:rPr>
          <w:noProof/>
        </w:rPr>
        <w:t xml:space="preserve"> such as the purchase of technical equipment and information technology tools, the</w:t>
      </w:r>
      <w:r w:rsidRPr="00E83B32">
        <w:rPr>
          <w:noProof/>
        </w:rPr>
        <w:t xml:space="preserve"> </w:t>
      </w:r>
      <w:r w:rsidR="00DF6117" w:rsidRPr="00E83B32">
        <w:rPr>
          <w:noProof/>
        </w:rPr>
        <w:t>support for</w:t>
      </w:r>
      <w:r w:rsidRPr="00237535">
        <w:rPr>
          <w:noProof/>
        </w:rPr>
        <w:t xml:space="preserve"> cross-border cooperation and joint operations, staff exchanges, and the development and provision of access to databases for Member States and OLAF, </w:t>
      </w:r>
    </w:p>
    <w:p w14:paraId="5C93CE53" w14:textId="77777777" w:rsidR="006B11B4" w:rsidRPr="00E83B32" w:rsidRDefault="008D1694" w:rsidP="006B11B4">
      <w:pPr>
        <w:pStyle w:val="ListParagraph"/>
        <w:numPr>
          <w:ilvl w:val="0"/>
          <w:numId w:val="45"/>
        </w:numPr>
        <w:spacing w:line="276" w:lineRule="auto"/>
        <w:rPr>
          <w:noProof/>
        </w:rPr>
      </w:pPr>
      <w:r w:rsidRPr="00855976">
        <w:rPr>
          <w:b/>
          <w:noProof/>
        </w:rPr>
        <w:t>training</w:t>
      </w:r>
      <w:r w:rsidRPr="00237535">
        <w:rPr>
          <w:noProof/>
        </w:rPr>
        <w:t xml:space="preserve"> (maximum 25% of the </w:t>
      </w:r>
      <w:r w:rsidR="006A7E01" w:rsidRPr="00E83B32">
        <w:rPr>
          <w:noProof/>
        </w:rPr>
        <w:t>p</w:t>
      </w:r>
      <w:r w:rsidRPr="00237535">
        <w:rPr>
          <w:noProof/>
        </w:rPr>
        <w:t xml:space="preserve">rogramme's budget) for </w:t>
      </w:r>
      <w:r w:rsidR="006A7E01" w:rsidRPr="00E83B32">
        <w:rPr>
          <w:noProof/>
        </w:rPr>
        <w:t>measures</w:t>
      </w:r>
      <w:r w:rsidRPr="00237535">
        <w:rPr>
          <w:noProof/>
        </w:rPr>
        <w:t xml:space="preserve"> such as conferences and seminars to </w:t>
      </w:r>
      <w:r w:rsidRPr="00E83B32">
        <w:rPr>
          <w:noProof/>
        </w:rPr>
        <w:t>en</w:t>
      </w:r>
      <w:r w:rsidR="00DF6117" w:rsidRPr="00E83B32">
        <w:rPr>
          <w:noProof/>
        </w:rPr>
        <w:t xml:space="preserve">able </w:t>
      </w:r>
      <w:r w:rsidRPr="00237535">
        <w:rPr>
          <w:noProof/>
        </w:rPr>
        <w:t xml:space="preserve">cross-border exchange of experience and best practice, digital forensics training, and the development of high-profile research activities and studies, and </w:t>
      </w:r>
    </w:p>
    <w:p w14:paraId="2D5F29BC" w14:textId="77777777" w:rsidR="00D035C0" w:rsidRPr="00E83B32" w:rsidRDefault="008D1694" w:rsidP="006B11B4">
      <w:pPr>
        <w:pStyle w:val="ListParagraph"/>
        <w:numPr>
          <w:ilvl w:val="0"/>
          <w:numId w:val="45"/>
        </w:numPr>
        <w:spacing w:line="276" w:lineRule="auto"/>
        <w:rPr>
          <w:noProof/>
        </w:rPr>
      </w:pPr>
      <w:r w:rsidRPr="00855976">
        <w:rPr>
          <w:b/>
          <w:noProof/>
        </w:rPr>
        <w:t xml:space="preserve">any other action that falls within the </w:t>
      </w:r>
      <w:r w:rsidR="006A7E01" w:rsidRPr="00E83B32">
        <w:rPr>
          <w:b/>
          <w:noProof/>
        </w:rPr>
        <w:t>p</w:t>
      </w:r>
      <w:r w:rsidRPr="00855976">
        <w:rPr>
          <w:b/>
          <w:noProof/>
        </w:rPr>
        <w:t>rogrammes’ remit</w:t>
      </w:r>
      <w:r w:rsidRPr="00237535">
        <w:rPr>
          <w:noProof/>
        </w:rPr>
        <w:t xml:space="preserve"> (</w:t>
      </w:r>
      <w:r w:rsidR="00E75058">
        <w:rPr>
          <w:noProof/>
        </w:rPr>
        <w:t>maximum</w:t>
      </w:r>
      <w:r>
        <w:rPr>
          <w:noProof/>
        </w:rPr>
        <w:t xml:space="preserve"> 5% of the budget). </w:t>
      </w:r>
    </w:p>
    <w:p w14:paraId="36D0D422" w14:textId="77777777" w:rsidR="00227D59" w:rsidRDefault="008D1694" w:rsidP="0018107C">
      <w:pPr>
        <w:spacing w:line="276" w:lineRule="auto"/>
        <w:rPr>
          <w:noProof/>
        </w:rPr>
      </w:pPr>
      <w:r>
        <w:rPr>
          <w:noProof/>
        </w:rPr>
        <w:t xml:space="preserve">The </w:t>
      </w:r>
      <w:r w:rsidR="006A7E01" w:rsidRPr="00E83B32">
        <w:rPr>
          <w:noProof/>
        </w:rPr>
        <w:t>p</w:t>
      </w:r>
      <w:r w:rsidRPr="00237535">
        <w:rPr>
          <w:noProof/>
        </w:rPr>
        <w:t>rogramme provide</w:t>
      </w:r>
      <w:r>
        <w:rPr>
          <w:noProof/>
        </w:rPr>
        <w:t>d</w:t>
      </w:r>
      <w:r w:rsidRPr="00237535">
        <w:rPr>
          <w:noProof/>
        </w:rPr>
        <w:t xml:space="preserve"> financial support in the form of grants, public procurement contracts and reimbursement of the costs incurred by the participants to the activities.</w:t>
      </w:r>
      <w:r>
        <w:rPr>
          <w:noProof/>
        </w:rPr>
        <w:t xml:space="preserve"> A</w:t>
      </w:r>
      <w:r w:rsidR="00227D59">
        <w:rPr>
          <w:noProof/>
        </w:rPr>
        <w:t xml:space="preserve"> major change </w:t>
      </w:r>
      <w:r w:rsidR="00806423">
        <w:rPr>
          <w:noProof/>
        </w:rPr>
        <w:t xml:space="preserve">from Hercule II to Hercule III </w:t>
      </w:r>
      <w:r w:rsidR="00227D59">
        <w:rPr>
          <w:noProof/>
        </w:rPr>
        <w:t xml:space="preserve">was the increase </w:t>
      </w:r>
      <w:r w:rsidR="006A7E01" w:rsidRPr="00E83B32">
        <w:rPr>
          <w:noProof/>
        </w:rPr>
        <w:t>in</w:t>
      </w:r>
      <w:r w:rsidR="00227D59">
        <w:rPr>
          <w:noProof/>
        </w:rPr>
        <w:t xml:space="preserve"> the co-financing rate under technical assistance from 50% (Hercule II) to 80% (Hercule III) of </w:t>
      </w:r>
      <w:r w:rsidR="00691A59">
        <w:rPr>
          <w:noProof/>
        </w:rPr>
        <w:t>the</w:t>
      </w:r>
      <w:r w:rsidR="00227D59">
        <w:rPr>
          <w:noProof/>
        </w:rPr>
        <w:t xml:space="preserve"> eligible cost of technical assistance.</w:t>
      </w:r>
    </w:p>
    <w:p w14:paraId="0466F718" w14:textId="7FBFC6F6" w:rsidR="002341CF" w:rsidRDefault="00DC30B3" w:rsidP="0018107C">
      <w:pPr>
        <w:spacing w:line="276" w:lineRule="auto"/>
        <w:rPr>
          <w:noProof/>
        </w:rPr>
      </w:pPr>
      <w:r>
        <w:rPr>
          <w:noProof/>
        </w:rPr>
        <w:t>In</w:t>
      </w:r>
      <w:r w:rsidR="009030EB">
        <w:rPr>
          <w:noProof/>
        </w:rPr>
        <w:t xml:space="preserve"> November </w:t>
      </w:r>
      <w:r w:rsidR="006C679C">
        <w:rPr>
          <w:noProof/>
        </w:rPr>
        <w:t xml:space="preserve">2021, OLAF </w:t>
      </w:r>
      <w:r w:rsidR="00DF6117" w:rsidRPr="00E83B32">
        <w:rPr>
          <w:noProof/>
        </w:rPr>
        <w:t xml:space="preserve">had </w:t>
      </w:r>
      <w:r w:rsidR="006C679C">
        <w:rPr>
          <w:noProof/>
        </w:rPr>
        <w:t>registered 2</w:t>
      </w:r>
      <w:r w:rsidR="002D652D">
        <w:rPr>
          <w:noProof/>
        </w:rPr>
        <w:t>80</w:t>
      </w:r>
      <w:r w:rsidR="006C679C">
        <w:rPr>
          <w:noProof/>
        </w:rPr>
        <w:t xml:space="preserve"> </w:t>
      </w:r>
      <w:r w:rsidR="00546824">
        <w:rPr>
          <w:noProof/>
        </w:rPr>
        <w:t xml:space="preserve">finalised </w:t>
      </w:r>
      <w:r w:rsidR="006C679C">
        <w:rPr>
          <w:noProof/>
        </w:rPr>
        <w:t>projects out of 336 applications (</w:t>
      </w:r>
      <w:r w:rsidR="002D652D">
        <w:rPr>
          <w:noProof/>
        </w:rPr>
        <w:t>83.3</w:t>
      </w:r>
      <w:r w:rsidR="006C679C">
        <w:rPr>
          <w:noProof/>
        </w:rPr>
        <w:t xml:space="preserve">%). For a project to be </w:t>
      </w:r>
      <w:r w:rsidR="000B5C10">
        <w:rPr>
          <w:noProof/>
        </w:rPr>
        <w:t xml:space="preserve">considered </w:t>
      </w:r>
      <w:r w:rsidR="006C679C">
        <w:rPr>
          <w:noProof/>
        </w:rPr>
        <w:t>finalised, the technical and financial report</w:t>
      </w:r>
      <w:r w:rsidR="0076580C">
        <w:rPr>
          <w:noProof/>
        </w:rPr>
        <w:t>s</w:t>
      </w:r>
      <w:r w:rsidR="006C679C">
        <w:rPr>
          <w:noProof/>
        </w:rPr>
        <w:t xml:space="preserve"> </w:t>
      </w:r>
      <w:r w:rsidR="00F40761">
        <w:rPr>
          <w:noProof/>
        </w:rPr>
        <w:t>have to</w:t>
      </w:r>
      <w:r w:rsidR="006C679C">
        <w:rPr>
          <w:noProof/>
        </w:rPr>
        <w:t xml:space="preserve"> be submitted and the final payment </w:t>
      </w:r>
      <w:r w:rsidR="00DF6117" w:rsidRPr="00E83B32">
        <w:rPr>
          <w:noProof/>
        </w:rPr>
        <w:t>made</w:t>
      </w:r>
      <w:r w:rsidR="00F40761">
        <w:rPr>
          <w:noProof/>
        </w:rPr>
        <w:t>.</w:t>
      </w:r>
    </w:p>
    <w:p w14:paraId="7D2205EB" w14:textId="77777777" w:rsidR="002341CF" w:rsidRPr="0018107C" w:rsidRDefault="006C679C" w:rsidP="0018107C">
      <w:pPr>
        <w:pStyle w:val="Heading1"/>
        <w:rPr>
          <w:noProof/>
        </w:rPr>
      </w:pPr>
      <w:r w:rsidRPr="008A1DD2">
        <w:rPr>
          <w:noProof/>
        </w:rPr>
        <w:t>The final eval</w:t>
      </w:r>
      <w:r w:rsidR="00BC0D14" w:rsidRPr="008A1DD2">
        <w:rPr>
          <w:noProof/>
        </w:rPr>
        <w:t>uation</w:t>
      </w:r>
    </w:p>
    <w:p w14:paraId="1D49FD09" w14:textId="77777777" w:rsidR="00237535" w:rsidRPr="00237535" w:rsidRDefault="00DF6117" w:rsidP="0018107C">
      <w:pPr>
        <w:spacing w:line="276" w:lineRule="auto"/>
        <w:rPr>
          <w:noProof/>
        </w:rPr>
      </w:pPr>
      <w:r w:rsidRPr="00E83B32">
        <w:rPr>
          <w:noProof/>
        </w:rPr>
        <w:t xml:space="preserve">Under </w:t>
      </w:r>
      <w:r w:rsidR="00237535" w:rsidRPr="00237535">
        <w:rPr>
          <w:noProof/>
        </w:rPr>
        <w:t xml:space="preserve">Article 13 of the Regulation and the Commission’s Better Regulation </w:t>
      </w:r>
      <w:r w:rsidR="0018107C">
        <w:rPr>
          <w:noProof/>
        </w:rPr>
        <w:t>Guidelines, the evaluation assessed</w:t>
      </w:r>
      <w:r w:rsidR="00237535" w:rsidRPr="00237535">
        <w:rPr>
          <w:noProof/>
        </w:rPr>
        <w:t xml:space="preserve"> </w:t>
      </w:r>
      <w:r w:rsidRPr="00E83B32">
        <w:rPr>
          <w:noProof/>
        </w:rPr>
        <w:t>the programme against five</w:t>
      </w:r>
      <w:r w:rsidR="00237535" w:rsidRPr="00E83B32">
        <w:rPr>
          <w:noProof/>
        </w:rPr>
        <w:t xml:space="preserve"> </w:t>
      </w:r>
      <w:r w:rsidRPr="00E83B32">
        <w:rPr>
          <w:noProof/>
        </w:rPr>
        <w:t>criteria</w:t>
      </w:r>
      <w:r w:rsidR="0018107C" w:rsidRPr="00E83B32">
        <w:rPr>
          <w:noProof/>
        </w:rPr>
        <w:t>:</w:t>
      </w:r>
      <w:r w:rsidR="00237535" w:rsidRPr="00237535">
        <w:rPr>
          <w:noProof/>
        </w:rPr>
        <w:t xml:space="preserve"> </w:t>
      </w:r>
    </w:p>
    <w:p w14:paraId="3A7D1511" w14:textId="77777777" w:rsidR="00DF6117" w:rsidRPr="00E83B32" w:rsidRDefault="00237535" w:rsidP="00DF6117">
      <w:pPr>
        <w:pStyle w:val="ListParagraph"/>
        <w:numPr>
          <w:ilvl w:val="0"/>
          <w:numId w:val="46"/>
        </w:numPr>
        <w:spacing w:line="276" w:lineRule="auto"/>
        <w:rPr>
          <w:noProof/>
        </w:rPr>
      </w:pPr>
      <w:r w:rsidRPr="00E83B32">
        <w:rPr>
          <w:noProof/>
        </w:rPr>
        <w:t xml:space="preserve">relevance of all </w:t>
      </w:r>
      <w:r w:rsidR="00D035C0" w:rsidRPr="00E83B32">
        <w:rPr>
          <w:noProof/>
        </w:rPr>
        <w:t xml:space="preserve">programme </w:t>
      </w:r>
      <w:r w:rsidRPr="00E83B32">
        <w:rPr>
          <w:noProof/>
        </w:rPr>
        <w:t xml:space="preserve">objectives; </w:t>
      </w:r>
    </w:p>
    <w:p w14:paraId="6B9DFBFF" w14:textId="77777777" w:rsidR="00DF6117" w:rsidRPr="00E83B32" w:rsidRDefault="00237535" w:rsidP="00DF6117">
      <w:pPr>
        <w:pStyle w:val="ListParagraph"/>
        <w:numPr>
          <w:ilvl w:val="0"/>
          <w:numId w:val="46"/>
        </w:numPr>
        <w:spacing w:line="276" w:lineRule="auto"/>
        <w:rPr>
          <w:noProof/>
        </w:rPr>
      </w:pPr>
      <w:r w:rsidRPr="00E83B32">
        <w:rPr>
          <w:noProof/>
        </w:rPr>
        <w:t xml:space="preserve">internal and external coherence of the </w:t>
      </w:r>
      <w:r w:rsidR="00D035C0" w:rsidRPr="00E83B32">
        <w:rPr>
          <w:noProof/>
        </w:rPr>
        <w:t>p</w:t>
      </w:r>
      <w:r w:rsidRPr="00E83B32">
        <w:rPr>
          <w:noProof/>
        </w:rPr>
        <w:t xml:space="preserve">rogramme with other </w:t>
      </w:r>
      <w:r w:rsidR="00D035C0" w:rsidRPr="00E83B32">
        <w:rPr>
          <w:noProof/>
        </w:rPr>
        <w:t xml:space="preserve">areas of </w:t>
      </w:r>
      <w:r w:rsidRPr="00E83B32">
        <w:rPr>
          <w:noProof/>
        </w:rPr>
        <w:t xml:space="preserve">EU </w:t>
      </w:r>
      <w:r w:rsidR="00D035C0" w:rsidRPr="00E83B32">
        <w:rPr>
          <w:noProof/>
        </w:rPr>
        <w:t>action</w:t>
      </w:r>
      <w:r w:rsidRPr="00E83B32">
        <w:rPr>
          <w:noProof/>
        </w:rPr>
        <w:t>;</w:t>
      </w:r>
    </w:p>
    <w:p w14:paraId="26D96923" w14:textId="77777777" w:rsidR="00DF6117" w:rsidRPr="00E83B32" w:rsidRDefault="00237535" w:rsidP="00DF6117">
      <w:pPr>
        <w:pStyle w:val="ListParagraph"/>
        <w:numPr>
          <w:ilvl w:val="0"/>
          <w:numId w:val="46"/>
        </w:numPr>
        <w:spacing w:line="276" w:lineRule="auto"/>
        <w:rPr>
          <w:noProof/>
        </w:rPr>
      </w:pPr>
      <w:r w:rsidRPr="00E83B32">
        <w:rPr>
          <w:noProof/>
        </w:rPr>
        <w:t>effectiveness in attaining its objectives and expected results</w:t>
      </w:r>
      <w:r w:rsidR="0018107C" w:rsidRPr="00E83B32">
        <w:rPr>
          <w:noProof/>
        </w:rPr>
        <w:t xml:space="preserve"> including sustainability</w:t>
      </w:r>
      <w:r w:rsidRPr="00E83B32">
        <w:rPr>
          <w:noProof/>
        </w:rPr>
        <w:t xml:space="preserve">; </w:t>
      </w:r>
    </w:p>
    <w:p w14:paraId="7DA33529" w14:textId="77777777" w:rsidR="00DF6117" w:rsidRPr="00E83B32" w:rsidRDefault="00237535" w:rsidP="00DF6117">
      <w:pPr>
        <w:pStyle w:val="ListParagraph"/>
        <w:numPr>
          <w:ilvl w:val="0"/>
          <w:numId w:val="46"/>
        </w:numPr>
        <w:spacing w:line="276" w:lineRule="auto"/>
        <w:rPr>
          <w:noProof/>
        </w:rPr>
      </w:pPr>
      <w:r w:rsidRPr="00E83B32">
        <w:rPr>
          <w:noProof/>
        </w:rPr>
        <w:t>efficien</w:t>
      </w:r>
      <w:r w:rsidR="007C5136" w:rsidRPr="00E83B32">
        <w:rPr>
          <w:noProof/>
        </w:rPr>
        <w:t>t</w:t>
      </w:r>
      <w:r w:rsidRPr="00E83B32">
        <w:rPr>
          <w:noProof/>
        </w:rPr>
        <w:t xml:space="preserve"> use of resources</w:t>
      </w:r>
      <w:r w:rsidR="006E481C">
        <w:rPr>
          <w:noProof/>
        </w:rPr>
        <w:t>,</w:t>
      </w:r>
      <w:r w:rsidR="0018107C" w:rsidRPr="00E83B32">
        <w:rPr>
          <w:noProof/>
        </w:rPr>
        <w:t xml:space="preserve"> and </w:t>
      </w:r>
    </w:p>
    <w:p w14:paraId="793B50BD" w14:textId="77777777" w:rsidR="00DF6117" w:rsidRPr="00E83B32" w:rsidRDefault="006E481C" w:rsidP="00DF6117">
      <w:pPr>
        <w:pStyle w:val="ListParagraph"/>
        <w:numPr>
          <w:ilvl w:val="0"/>
          <w:numId w:val="46"/>
        </w:numPr>
        <w:spacing w:line="276" w:lineRule="auto"/>
        <w:rPr>
          <w:noProof/>
        </w:rPr>
      </w:pPr>
      <w:r>
        <w:rPr>
          <w:noProof/>
        </w:rPr>
        <w:t xml:space="preserve">the programme’s </w:t>
      </w:r>
      <w:r w:rsidR="00DF6117" w:rsidRPr="00E83B32">
        <w:rPr>
          <w:noProof/>
        </w:rPr>
        <w:t>EU added value.</w:t>
      </w:r>
    </w:p>
    <w:p w14:paraId="739563C2" w14:textId="77777777" w:rsidR="00237535" w:rsidRPr="00E83B32" w:rsidRDefault="00237535" w:rsidP="00DF6117">
      <w:pPr>
        <w:spacing w:line="276" w:lineRule="auto"/>
        <w:rPr>
          <w:noProof/>
        </w:rPr>
      </w:pPr>
      <w:r w:rsidRPr="00E83B32">
        <w:rPr>
          <w:noProof/>
        </w:rPr>
        <w:t>The time period covered by the evaluation is the seve</w:t>
      </w:r>
      <w:r w:rsidR="00691A59" w:rsidRPr="00E83B32">
        <w:rPr>
          <w:noProof/>
        </w:rPr>
        <w:t>n</w:t>
      </w:r>
      <w:r w:rsidR="00417F91" w:rsidRPr="00E83B32">
        <w:rPr>
          <w:noProof/>
        </w:rPr>
        <w:t>-</w:t>
      </w:r>
      <w:r w:rsidR="00691A59" w:rsidRPr="00E83B32">
        <w:rPr>
          <w:noProof/>
        </w:rPr>
        <w:t xml:space="preserve">year </w:t>
      </w:r>
      <w:r w:rsidR="00D035C0" w:rsidRPr="00E83B32">
        <w:rPr>
          <w:noProof/>
        </w:rPr>
        <w:t xml:space="preserve">programming </w:t>
      </w:r>
      <w:r w:rsidR="00691A59" w:rsidRPr="00E83B32">
        <w:rPr>
          <w:noProof/>
        </w:rPr>
        <w:t xml:space="preserve">period </w:t>
      </w:r>
      <w:r w:rsidR="00D035C0" w:rsidRPr="00E83B32">
        <w:rPr>
          <w:noProof/>
        </w:rPr>
        <w:t xml:space="preserve">for </w:t>
      </w:r>
      <w:r w:rsidR="00691A59" w:rsidRPr="00E83B32">
        <w:rPr>
          <w:noProof/>
        </w:rPr>
        <w:t>Hercule III</w:t>
      </w:r>
      <w:r w:rsidRPr="00E83B32">
        <w:rPr>
          <w:noProof/>
        </w:rPr>
        <w:t xml:space="preserve">, </w:t>
      </w:r>
      <w:r w:rsidR="0018107C" w:rsidRPr="00E83B32">
        <w:rPr>
          <w:noProof/>
        </w:rPr>
        <w:t>from</w:t>
      </w:r>
      <w:r w:rsidRPr="00E83B32">
        <w:rPr>
          <w:noProof/>
        </w:rPr>
        <w:t xml:space="preserve"> 1 January 2014 </w:t>
      </w:r>
      <w:r w:rsidR="00DF6117" w:rsidRPr="00E83B32">
        <w:rPr>
          <w:noProof/>
        </w:rPr>
        <w:t xml:space="preserve">to </w:t>
      </w:r>
      <w:r w:rsidR="009023FE" w:rsidRPr="00E83B32">
        <w:rPr>
          <w:noProof/>
        </w:rPr>
        <w:t>31 December 2020</w:t>
      </w:r>
      <w:r w:rsidRPr="00E83B32">
        <w:rPr>
          <w:noProof/>
        </w:rPr>
        <w:t xml:space="preserve">. </w:t>
      </w:r>
    </w:p>
    <w:p w14:paraId="4521087B" w14:textId="77777777" w:rsidR="00237535" w:rsidRPr="00237535" w:rsidRDefault="009023FE" w:rsidP="00237535">
      <w:pPr>
        <w:spacing w:line="288" w:lineRule="auto"/>
        <w:rPr>
          <w:noProof/>
        </w:rPr>
      </w:pPr>
      <w:r>
        <w:rPr>
          <w:b/>
          <w:bCs/>
          <w:noProof/>
        </w:rPr>
        <w:t xml:space="preserve">The </w:t>
      </w:r>
      <w:r w:rsidR="00237535" w:rsidRPr="00237535">
        <w:rPr>
          <w:b/>
          <w:bCs/>
          <w:noProof/>
        </w:rPr>
        <w:t xml:space="preserve">evaluation methodology </w:t>
      </w:r>
    </w:p>
    <w:p w14:paraId="1F4F2C07" w14:textId="77777777" w:rsidR="00237535" w:rsidRPr="00237535" w:rsidRDefault="00DF6117" w:rsidP="0018107C">
      <w:pPr>
        <w:spacing w:line="276" w:lineRule="auto"/>
        <w:rPr>
          <w:noProof/>
        </w:rPr>
      </w:pPr>
      <w:r w:rsidRPr="00E83B32">
        <w:rPr>
          <w:noProof/>
        </w:rPr>
        <w:t xml:space="preserve">In </w:t>
      </w:r>
      <w:r w:rsidR="007C5136" w:rsidRPr="00E83B32">
        <w:rPr>
          <w:noProof/>
        </w:rPr>
        <w:t>carry</w:t>
      </w:r>
      <w:r w:rsidRPr="00E83B32">
        <w:rPr>
          <w:noProof/>
        </w:rPr>
        <w:t>ing</w:t>
      </w:r>
      <w:r w:rsidR="007C5136" w:rsidRPr="00E83B32">
        <w:rPr>
          <w:noProof/>
        </w:rPr>
        <w:t xml:space="preserve"> out</w:t>
      </w:r>
      <w:r w:rsidR="00237535" w:rsidRPr="00237535">
        <w:rPr>
          <w:noProof/>
        </w:rPr>
        <w:t xml:space="preserve"> the </w:t>
      </w:r>
      <w:r w:rsidR="009023FE">
        <w:rPr>
          <w:noProof/>
        </w:rPr>
        <w:t xml:space="preserve">final </w:t>
      </w:r>
      <w:r w:rsidR="00237535" w:rsidRPr="00237535">
        <w:rPr>
          <w:noProof/>
        </w:rPr>
        <w:t xml:space="preserve">evaluation, the Commission primarily </w:t>
      </w:r>
      <w:r w:rsidRPr="00E83B32">
        <w:rPr>
          <w:noProof/>
        </w:rPr>
        <w:t xml:space="preserve">drew </w:t>
      </w:r>
      <w:r w:rsidR="00237535" w:rsidRPr="00237535">
        <w:rPr>
          <w:noProof/>
        </w:rPr>
        <w:t xml:space="preserve">on </w:t>
      </w:r>
      <w:r w:rsidR="000B5C10">
        <w:rPr>
          <w:noProof/>
        </w:rPr>
        <w:t xml:space="preserve">a </w:t>
      </w:r>
      <w:r w:rsidR="000B5C10" w:rsidRPr="004F2372">
        <w:rPr>
          <w:b/>
          <w:noProof/>
        </w:rPr>
        <w:t>study prepared by an</w:t>
      </w:r>
      <w:r w:rsidR="00237535" w:rsidRPr="004F2372">
        <w:rPr>
          <w:b/>
          <w:noProof/>
        </w:rPr>
        <w:t xml:space="preserve"> external contractor</w:t>
      </w:r>
      <w:r w:rsidR="000B5C10">
        <w:rPr>
          <w:rStyle w:val="FootnoteReference"/>
          <w:noProof/>
        </w:rPr>
        <w:footnoteReference w:id="6"/>
      </w:r>
      <w:r w:rsidR="004E5338">
        <w:rPr>
          <w:noProof/>
        </w:rPr>
        <w:t xml:space="preserve">. </w:t>
      </w:r>
      <w:r w:rsidR="007C5136" w:rsidRPr="00E83B32">
        <w:rPr>
          <w:noProof/>
        </w:rPr>
        <w:t xml:space="preserve">It also drew on </w:t>
      </w:r>
      <w:r w:rsidR="00237535" w:rsidRPr="00237535">
        <w:rPr>
          <w:noProof/>
        </w:rPr>
        <w:t xml:space="preserve">the impact assessment carried out </w:t>
      </w:r>
      <w:r w:rsidR="007C5136" w:rsidRPr="00E83B32">
        <w:rPr>
          <w:noProof/>
        </w:rPr>
        <w:t xml:space="preserve">in preparation for </w:t>
      </w:r>
      <w:r w:rsidR="00237535" w:rsidRPr="00237535">
        <w:rPr>
          <w:noProof/>
        </w:rPr>
        <w:t xml:space="preserve">the legislative proposal for the </w:t>
      </w:r>
      <w:r w:rsidR="007C5136" w:rsidRPr="00E83B32">
        <w:rPr>
          <w:noProof/>
        </w:rPr>
        <w:t>p</w:t>
      </w:r>
      <w:r w:rsidR="00237535" w:rsidRPr="00237535">
        <w:rPr>
          <w:noProof/>
        </w:rPr>
        <w:t xml:space="preserve">rogramme, the Commission’s </w:t>
      </w:r>
      <w:r w:rsidR="009023FE">
        <w:rPr>
          <w:noProof/>
        </w:rPr>
        <w:t>mid-term evaluation</w:t>
      </w:r>
      <w:r w:rsidR="004E5338" w:rsidRPr="00F03D88">
        <w:rPr>
          <w:rStyle w:val="FootnoteReference"/>
          <w:noProof/>
        </w:rPr>
        <w:footnoteReference w:id="7"/>
      </w:r>
      <w:r w:rsidR="009023FE" w:rsidRPr="00F03D88">
        <w:rPr>
          <w:noProof/>
        </w:rPr>
        <w:t xml:space="preserve">, </w:t>
      </w:r>
      <w:r w:rsidR="00237535" w:rsidRPr="00F03D88">
        <w:rPr>
          <w:noProof/>
        </w:rPr>
        <w:t>the annual</w:t>
      </w:r>
      <w:r w:rsidR="00237535" w:rsidRPr="00237535">
        <w:rPr>
          <w:noProof/>
        </w:rPr>
        <w:t xml:space="preserve"> work programmes of Hercule III, and the annual overview</w:t>
      </w:r>
      <w:r w:rsidR="0018107C">
        <w:rPr>
          <w:noProof/>
        </w:rPr>
        <w:t xml:space="preserve">s on the implementation of the </w:t>
      </w:r>
      <w:r w:rsidR="007C5136" w:rsidRPr="00E83B32">
        <w:rPr>
          <w:noProof/>
        </w:rPr>
        <w:t>p</w:t>
      </w:r>
      <w:r w:rsidR="00237535" w:rsidRPr="00237535">
        <w:rPr>
          <w:noProof/>
        </w:rPr>
        <w:t xml:space="preserve">rogramme prepared by the Commission and annexed to the Commission annual report on the protection of the </w:t>
      </w:r>
      <w:r w:rsidR="00F23969" w:rsidRPr="00E83B32">
        <w:rPr>
          <w:noProof/>
        </w:rPr>
        <w:t>E</w:t>
      </w:r>
      <w:r w:rsidR="00237535" w:rsidRPr="00E83B32">
        <w:rPr>
          <w:noProof/>
        </w:rPr>
        <w:t>U's</w:t>
      </w:r>
      <w:r w:rsidR="00237535" w:rsidRPr="00237535">
        <w:rPr>
          <w:noProof/>
        </w:rPr>
        <w:t xml:space="preserve"> financial interests</w:t>
      </w:r>
      <w:r w:rsidR="00691A59">
        <w:rPr>
          <w:noProof/>
        </w:rPr>
        <w:t xml:space="preserve"> (</w:t>
      </w:r>
      <w:r w:rsidR="004E5338">
        <w:rPr>
          <w:noProof/>
        </w:rPr>
        <w:t>‘</w:t>
      </w:r>
      <w:r w:rsidR="00691A59">
        <w:rPr>
          <w:noProof/>
        </w:rPr>
        <w:t>PIF Reports</w:t>
      </w:r>
      <w:r w:rsidR="004E5338">
        <w:rPr>
          <w:noProof/>
        </w:rPr>
        <w:t>’</w:t>
      </w:r>
      <w:r w:rsidR="00691A59">
        <w:rPr>
          <w:noProof/>
        </w:rPr>
        <w:t>)</w:t>
      </w:r>
      <w:r w:rsidR="00237535" w:rsidRPr="00237535">
        <w:rPr>
          <w:noProof/>
        </w:rPr>
        <w:t xml:space="preserve">. </w:t>
      </w:r>
      <w:r w:rsidR="009023FE">
        <w:rPr>
          <w:noProof/>
        </w:rPr>
        <w:t>An i</w:t>
      </w:r>
      <w:r w:rsidR="00237535" w:rsidRPr="00237535">
        <w:rPr>
          <w:noProof/>
        </w:rPr>
        <w:t>nter-</w:t>
      </w:r>
      <w:r w:rsidR="009023FE">
        <w:rPr>
          <w:noProof/>
        </w:rPr>
        <w:t>s</w:t>
      </w:r>
      <w:r w:rsidR="00237535" w:rsidRPr="00237535">
        <w:rPr>
          <w:noProof/>
        </w:rPr>
        <w:t xml:space="preserve">ervice </w:t>
      </w:r>
      <w:r w:rsidR="009023FE">
        <w:rPr>
          <w:noProof/>
        </w:rPr>
        <w:t>s</w:t>
      </w:r>
      <w:r w:rsidR="00237535" w:rsidRPr="00237535">
        <w:rPr>
          <w:noProof/>
        </w:rPr>
        <w:t xml:space="preserve">teering </w:t>
      </w:r>
      <w:r w:rsidR="009023FE">
        <w:rPr>
          <w:noProof/>
        </w:rPr>
        <w:t>g</w:t>
      </w:r>
      <w:r w:rsidR="00237535" w:rsidRPr="00237535">
        <w:rPr>
          <w:noProof/>
        </w:rPr>
        <w:t>roup (IS</w:t>
      </w:r>
      <w:r w:rsidR="0018107C">
        <w:rPr>
          <w:noProof/>
        </w:rPr>
        <w:t>S</w:t>
      </w:r>
      <w:r w:rsidR="00237535" w:rsidRPr="00237535">
        <w:rPr>
          <w:noProof/>
        </w:rPr>
        <w:t xml:space="preserve">G) of </w:t>
      </w:r>
      <w:r w:rsidR="004E5338">
        <w:rPr>
          <w:noProof/>
        </w:rPr>
        <w:t xml:space="preserve">relevant </w:t>
      </w:r>
      <w:r w:rsidR="00237535" w:rsidRPr="00237535">
        <w:rPr>
          <w:noProof/>
        </w:rPr>
        <w:t xml:space="preserve">Commission </w:t>
      </w:r>
      <w:r w:rsidR="007C5136" w:rsidRPr="00E83B32">
        <w:rPr>
          <w:noProof/>
        </w:rPr>
        <w:t>departments</w:t>
      </w:r>
      <w:r w:rsidR="00237535" w:rsidRPr="00237535">
        <w:rPr>
          <w:noProof/>
        </w:rPr>
        <w:t xml:space="preserve"> was set up to support the evaluation process. It reviewed the roadmap, the terms of reference for the external contract, </w:t>
      </w:r>
      <w:r w:rsidR="007C5136" w:rsidRPr="00E83B32">
        <w:rPr>
          <w:noProof/>
        </w:rPr>
        <w:t xml:space="preserve">and </w:t>
      </w:r>
      <w:r w:rsidR="00237535" w:rsidRPr="00237535">
        <w:rPr>
          <w:noProof/>
        </w:rPr>
        <w:t xml:space="preserve">the inception and </w:t>
      </w:r>
      <w:r w:rsidR="00691A59">
        <w:rPr>
          <w:noProof/>
        </w:rPr>
        <w:t>final</w:t>
      </w:r>
      <w:r w:rsidR="00237535" w:rsidRPr="00237535">
        <w:rPr>
          <w:noProof/>
        </w:rPr>
        <w:t xml:space="preserve"> reports. </w:t>
      </w:r>
    </w:p>
    <w:p w14:paraId="3B58DE1D" w14:textId="77777777" w:rsidR="00237535" w:rsidRPr="00237535" w:rsidRDefault="00237535" w:rsidP="0018107C">
      <w:pPr>
        <w:spacing w:line="276" w:lineRule="auto"/>
        <w:rPr>
          <w:noProof/>
        </w:rPr>
      </w:pPr>
      <w:r w:rsidRPr="00237535">
        <w:rPr>
          <w:noProof/>
        </w:rPr>
        <w:t xml:space="preserve">The scope of the </w:t>
      </w:r>
      <w:r w:rsidR="009023FE">
        <w:rPr>
          <w:noProof/>
        </w:rPr>
        <w:t>final</w:t>
      </w:r>
      <w:r w:rsidRPr="00237535">
        <w:rPr>
          <w:noProof/>
        </w:rPr>
        <w:t xml:space="preserve"> evaluation covers </w:t>
      </w:r>
      <w:r w:rsidR="007C5136" w:rsidRPr="00E83B32">
        <w:rPr>
          <w:noProof/>
        </w:rPr>
        <w:t xml:space="preserve">all measures funded </w:t>
      </w:r>
      <w:r w:rsidR="0018107C">
        <w:rPr>
          <w:noProof/>
        </w:rPr>
        <w:t xml:space="preserve">under the Hercule III </w:t>
      </w:r>
      <w:r w:rsidR="007C5136" w:rsidRPr="00E83B32">
        <w:rPr>
          <w:noProof/>
        </w:rPr>
        <w:t>p</w:t>
      </w:r>
      <w:r w:rsidRPr="00237535">
        <w:rPr>
          <w:noProof/>
        </w:rPr>
        <w:t xml:space="preserve">rogramme as well as preparatory and implementing </w:t>
      </w:r>
      <w:r w:rsidR="007C5136" w:rsidRPr="00E83B32">
        <w:rPr>
          <w:noProof/>
        </w:rPr>
        <w:t xml:space="preserve">work carried out </w:t>
      </w:r>
      <w:r w:rsidRPr="00237535">
        <w:rPr>
          <w:noProof/>
        </w:rPr>
        <w:t xml:space="preserve">by the stakeholders for these </w:t>
      </w:r>
      <w:r w:rsidR="007C5136" w:rsidRPr="00E83B32">
        <w:rPr>
          <w:noProof/>
        </w:rPr>
        <w:t>measures</w:t>
      </w:r>
      <w:r w:rsidRPr="00237535">
        <w:rPr>
          <w:noProof/>
        </w:rPr>
        <w:t>. It also covers applications for grants submitted by potential beneficiaries</w:t>
      </w:r>
      <w:r w:rsidR="007C5136" w:rsidRPr="00E83B32">
        <w:rPr>
          <w:noProof/>
        </w:rPr>
        <w:t xml:space="preserve"> that were rejected</w:t>
      </w:r>
      <w:r w:rsidRPr="00E83B32">
        <w:rPr>
          <w:noProof/>
        </w:rPr>
        <w:t>.</w:t>
      </w:r>
      <w:r w:rsidRPr="00237535">
        <w:rPr>
          <w:noProof/>
        </w:rPr>
        <w:t xml:space="preserve"> </w:t>
      </w:r>
    </w:p>
    <w:p w14:paraId="5B4DC2A5" w14:textId="77777777" w:rsidR="00237535" w:rsidRPr="00237535" w:rsidRDefault="00237535" w:rsidP="0018107C">
      <w:pPr>
        <w:spacing w:line="276" w:lineRule="auto"/>
        <w:rPr>
          <w:noProof/>
        </w:rPr>
      </w:pPr>
      <w:r w:rsidRPr="00237535">
        <w:rPr>
          <w:noProof/>
        </w:rPr>
        <w:t xml:space="preserve">The external study </w:t>
      </w:r>
      <w:r w:rsidR="007248ED" w:rsidRPr="00E83B32">
        <w:rPr>
          <w:noProof/>
        </w:rPr>
        <w:t xml:space="preserve">was based </w:t>
      </w:r>
      <w:r w:rsidR="004E5338">
        <w:rPr>
          <w:noProof/>
        </w:rPr>
        <w:t xml:space="preserve">mostly </w:t>
      </w:r>
      <w:r w:rsidRPr="00237535">
        <w:rPr>
          <w:noProof/>
        </w:rPr>
        <w:t>on primary data sources</w:t>
      </w:r>
      <w:r w:rsidRPr="00E83B32">
        <w:rPr>
          <w:noProof/>
        </w:rPr>
        <w:t xml:space="preserve"> </w:t>
      </w:r>
      <w:r w:rsidR="00F23969" w:rsidRPr="00E83B32">
        <w:rPr>
          <w:noProof/>
        </w:rPr>
        <w:t>provided in response</w:t>
      </w:r>
      <w:r w:rsidRPr="00237535">
        <w:rPr>
          <w:noProof/>
        </w:rPr>
        <w:t xml:space="preserve"> to the evaluation questions collected via (i) interviews of EU and national civil servants, </w:t>
      </w:r>
      <w:r w:rsidRPr="00E83B32">
        <w:rPr>
          <w:noProof/>
        </w:rPr>
        <w:t>a</w:t>
      </w:r>
      <w:r w:rsidR="007248ED" w:rsidRPr="00E83B32">
        <w:rPr>
          <w:noProof/>
        </w:rPr>
        <w:t xml:space="preserve">nd </w:t>
      </w:r>
      <w:r w:rsidRPr="00237535">
        <w:rPr>
          <w:noProof/>
        </w:rPr>
        <w:t xml:space="preserve">beneficiaries of </w:t>
      </w:r>
      <w:r w:rsidR="007248ED" w:rsidRPr="00E83B32">
        <w:rPr>
          <w:noProof/>
        </w:rPr>
        <w:t xml:space="preserve">measures </w:t>
      </w:r>
      <w:r w:rsidRPr="00237535">
        <w:rPr>
          <w:noProof/>
        </w:rPr>
        <w:t xml:space="preserve">funded under the </w:t>
      </w:r>
      <w:r w:rsidR="007248ED" w:rsidRPr="00E83B32">
        <w:rPr>
          <w:noProof/>
        </w:rPr>
        <w:t>p</w:t>
      </w:r>
      <w:r w:rsidRPr="00237535">
        <w:rPr>
          <w:noProof/>
        </w:rPr>
        <w:t>rogramme</w:t>
      </w:r>
      <w:r w:rsidR="004E5338">
        <w:rPr>
          <w:noProof/>
        </w:rPr>
        <w:t>,</w:t>
      </w:r>
      <w:r w:rsidRPr="00237535">
        <w:rPr>
          <w:noProof/>
        </w:rPr>
        <w:t xml:space="preserve"> and (ii) online surveys with beneficiaries, unsuccessful applicants, participants in events funded under the </w:t>
      </w:r>
      <w:r w:rsidR="007248ED" w:rsidRPr="00E83B32">
        <w:rPr>
          <w:noProof/>
        </w:rPr>
        <w:t>p</w:t>
      </w:r>
      <w:r w:rsidRPr="00237535">
        <w:rPr>
          <w:noProof/>
        </w:rPr>
        <w:t xml:space="preserve">rogramme, as well as users of services procured under the </w:t>
      </w:r>
      <w:r w:rsidR="007248ED" w:rsidRPr="00E83B32">
        <w:rPr>
          <w:noProof/>
        </w:rPr>
        <w:t>p</w:t>
      </w:r>
      <w:r w:rsidRPr="00237535">
        <w:rPr>
          <w:noProof/>
        </w:rPr>
        <w:t xml:space="preserve">rogramme. </w:t>
      </w:r>
      <w:r w:rsidR="004E5338">
        <w:rPr>
          <w:noProof/>
        </w:rPr>
        <w:t xml:space="preserve">This research </w:t>
      </w:r>
      <w:r w:rsidR="004E5338" w:rsidRPr="00D40F0F">
        <w:rPr>
          <w:rFonts w:cs="Arial"/>
          <w:noProof/>
          <w:color w:val="000000"/>
          <w:szCs w:val="24"/>
        </w:rPr>
        <w:t>includ</w:t>
      </w:r>
      <w:r w:rsidR="004E5338">
        <w:rPr>
          <w:rFonts w:cs="Arial"/>
          <w:noProof/>
          <w:color w:val="000000"/>
          <w:szCs w:val="24"/>
        </w:rPr>
        <w:t>ed</w:t>
      </w:r>
      <w:r w:rsidR="004E5338" w:rsidRPr="00D40F0F">
        <w:rPr>
          <w:rFonts w:cs="Arial"/>
          <w:noProof/>
          <w:color w:val="000000"/>
          <w:szCs w:val="24"/>
        </w:rPr>
        <w:t xml:space="preserve"> 16 case studies </w:t>
      </w:r>
      <w:r w:rsidR="004E5338">
        <w:rPr>
          <w:rFonts w:cs="Arial"/>
          <w:noProof/>
          <w:color w:val="000000"/>
          <w:szCs w:val="24"/>
        </w:rPr>
        <w:t>in</w:t>
      </w:r>
      <w:r w:rsidR="004E5338" w:rsidRPr="00D40F0F">
        <w:rPr>
          <w:rFonts w:cs="Arial"/>
          <w:noProof/>
          <w:color w:val="000000"/>
          <w:szCs w:val="24"/>
        </w:rPr>
        <w:t xml:space="preserve"> </w:t>
      </w:r>
      <w:r w:rsidR="00F23969" w:rsidRPr="00E83B32">
        <w:rPr>
          <w:rFonts w:cs="Arial"/>
          <w:noProof/>
          <w:color w:val="000000"/>
          <w:szCs w:val="24"/>
        </w:rPr>
        <w:t>eight</w:t>
      </w:r>
      <w:r w:rsidR="004E5338" w:rsidRPr="00D40F0F">
        <w:rPr>
          <w:rFonts w:cs="Arial"/>
          <w:noProof/>
          <w:color w:val="000000"/>
          <w:szCs w:val="24"/>
        </w:rPr>
        <w:t xml:space="preserve"> Member States</w:t>
      </w:r>
      <w:r w:rsidR="004E5338">
        <w:rPr>
          <w:rFonts w:cs="Arial"/>
          <w:noProof/>
          <w:color w:val="000000"/>
          <w:szCs w:val="24"/>
        </w:rPr>
        <w:t>.</w:t>
      </w:r>
      <w:r w:rsidR="004E5338" w:rsidRPr="00237535">
        <w:rPr>
          <w:noProof/>
        </w:rPr>
        <w:t xml:space="preserve"> </w:t>
      </w:r>
      <w:r w:rsidR="007248ED" w:rsidRPr="00E83B32">
        <w:rPr>
          <w:noProof/>
        </w:rPr>
        <w:t>It also used s</w:t>
      </w:r>
      <w:r w:rsidRPr="00237535">
        <w:rPr>
          <w:noProof/>
        </w:rPr>
        <w:t>econdary data, such as publicly available sources (e.g. the Hercule III annual work programmes</w:t>
      </w:r>
      <w:r w:rsidRPr="00E83B32">
        <w:rPr>
          <w:noProof/>
        </w:rPr>
        <w:t>)</w:t>
      </w:r>
      <w:r w:rsidR="00F23969" w:rsidRPr="00E83B32">
        <w:rPr>
          <w:noProof/>
        </w:rPr>
        <w:t>,</w:t>
      </w:r>
      <w:r w:rsidRPr="00237535">
        <w:rPr>
          <w:noProof/>
        </w:rPr>
        <w:t xml:space="preserve"> applications </w:t>
      </w:r>
      <w:r w:rsidR="007248ED" w:rsidRPr="00E83B32">
        <w:rPr>
          <w:noProof/>
        </w:rPr>
        <w:t xml:space="preserve">submitted </w:t>
      </w:r>
      <w:r w:rsidRPr="00237535">
        <w:rPr>
          <w:noProof/>
        </w:rPr>
        <w:t xml:space="preserve">for grants and contracts </w:t>
      </w:r>
      <w:r w:rsidRPr="00E83B32">
        <w:rPr>
          <w:noProof/>
        </w:rPr>
        <w:t>a</w:t>
      </w:r>
      <w:r w:rsidR="00F23969" w:rsidRPr="00E83B32">
        <w:rPr>
          <w:noProof/>
        </w:rPr>
        <w:t>nd</w:t>
      </w:r>
      <w:r w:rsidRPr="00237535">
        <w:rPr>
          <w:noProof/>
        </w:rPr>
        <w:t xml:space="preserve"> final reports submitted by beneficiaries. </w:t>
      </w:r>
    </w:p>
    <w:p w14:paraId="5131120D" w14:textId="77777777" w:rsidR="00237535" w:rsidRPr="00237535" w:rsidRDefault="009023FE" w:rsidP="0018107C">
      <w:pPr>
        <w:pStyle w:val="Heading1"/>
        <w:rPr>
          <w:noProof/>
        </w:rPr>
      </w:pPr>
      <w:r w:rsidRPr="0018107C">
        <w:rPr>
          <w:noProof/>
        </w:rPr>
        <w:t xml:space="preserve">Main findings of the final </w:t>
      </w:r>
      <w:r w:rsidR="00237535" w:rsidRPr="0018107C">
        <w:rPr>
          <w:noProof/>
        </w:rPr>
        <w:t xml:space="preserve">evaluation </w:t>
      </w:r>
    </w:p>
    <w:p w14:paraId="628E5BF4" w14:textId="77777777" w:rsidR="00BA0A65" w:rsidRPr="00213CC0" w:rsidRDefault="00EE0038" w:rsidP="00D40F0F">
      <w:pPr>
        <w:autoSpaceDE w:val="0"/>
        <w:autoSpaceDN w:val="0"/>
        <w:adjustRightInd w:val="0"/>
        <w:spacing w:line="288" w:lineRule="auto"/>
        <w:rPr>
          <w:rFonts w:cs="Arial"/>
          <w:noProof/>
          <w:color w:val="000000"/>
          <w:szCs w:val="24"/>
        </w:rPr>
      </w:pPr>
      <w:r w:rsidRPr="00D40F0F">
        <w:rPr>
          <w:rFonts w:cs="Arial"/>
          <w:noProof/>
          <w:color w:val="000000"/>
          <w:szCs w:val="24"/>
        </w:rPr>
        <w:t xml:space="preserve">Overall, </w:t>
      </w:r>
      <w:r w:rsidR="004E5338">
        <w:rPr>
          <w:rFonts w:cs="Arial"/>
          <w:noProof/>
          <w:color w:val="000000"/>
          <w:szCs w:val="24"/>
        </w:rPr>
        <w:t xml:space="preserve">based on the evidence collected, </w:t>
      </w:r>
      <w:r w:rsidR="007248ED" w:rsidRPr="00E83B32">
        <w:rPr>
          <w:rFonts w:cs="Arial"/>
          <w:noProof/>
          <w:color w:val="000000"/>
          <w:szCs w:val="24"/>
        </w:rPr>
        <w:t xml:space="preserve">the evaluation found </w:t>
      </w:r>
      <w:r w:rsidR="004E5338">
        <w:rPr>
          <w:rFonts w:cs="Arial"/>
          <w:noProof/>
          <w:color w:val="000000"/>
          <w:szCs w:val="24"/>
        </w:rPr>
        <w:t xml:space="preserve">that the </w:t>
      </w:r>
      <w:r w:rsidR="0076580C">
        <w:rPr>
          <w:rFonts w:cs="Arial"/>
          <w:noProof/>
          <w:color w:val="000000"/>
          <w:szCs w:val="24"/>
        </w:rPr>
        <w:t>Hercule III</w:t>
      </w:r>
      <w:r w:rsidRPr="00D40F0F">
        <w:rPr>
          <w:rFonts w:cs="Arial"/>
          <w:noProof/>
          <w:color w:val="000000"/>
          <w:szCs w:val="24"/>
        </w:rPr>
        <w:t xml:space="preserve"> </w:t>
      </w:r>
      <w:r w:rsidR="007248ED" w:rsidRPr="00E83B32">
        <w:rPr>
          <w:rFonts w:cs="Arial"/>
          <w:noProof/>
          <w:color w:val="000000"/>
          <w:szCs w:val="24"/>
        </w:rPr>
        <w:t>p</w:t>
      </w:r>
      <w:r w:rsidRPr="00E83B32">
        <w:rPr>
          <w:rFonts w:cs="Arial"/>
          <w:noProof/>
          <w:color w:val="000000"/>
          <w:szCs w:val="24"/>
        </w:rPr>
        <w:t>rogramme</w:t>
      </w:r>
      <w:r w:rsidR="0001745B" w:rsidRPr="00E83B32">
        <w:rPr>
          <w:rFonts w:cs="Arial"/>
          <w:noProof/>
          <w:color w:val="000000"/>
          <w:szCs w:val="24"/>
        </w:rPr>
        <w:t xml:space="preserve"> </w:t>
      </w:r>
      <w:r w:rsidR="007248ED" w:rsidRPr="00E83B32">
        <w:rPr>
          <w:rFonts w:cs="Arial"/>
          <w:noProof/>
          <w:color w:val="000000"/>
          <w:szCs w:val="24"/>
        </w:rPr>
        <w:t>had</w:t>
      </w:r>
      <w:r w:rsidR="0001745B" w:rsidRPr="00D40F0F">
        <w:rPr>
          <w:rFonts w:cs="Arial"/>
          <w:noProof/>
          <w:color w:val="000000"/>
          <w:szCs w:val="24"/>
        </w:rPr>
        <w:t xml:space="preserve"> </w:t>
      </w:r>
      <w:r w:rsidR="0076580C">
        <w:rPr>
          <w:rFonts w:cs="Arial"/>
          <w:noProof/>
          <w:color w:val="000000"/>
          <w:szCs w:val="24"/>
        </w:rPr>
        <w:t>successfully</w:t>
      </w:r>
      <w:r w:rsidR="0076580C" w:rsidRPr="00E83B32">
        <w:rPr>
          <w:rFonts w:cs="Arial"/>
          <w:noProof/>
          <w:color w:val="000000"/>
          <w:szCs w:val="24"/>
        </w:rPr>
        <w:t xml:space="preserve"> </w:t>
      </w:r>
      <w:r w:rsidR="007248ED" w:rsidRPr="00E83B32">
        <w:rPr>
          <w:rFonts w:cs="Arial"/>
          <w:noProof/>
          <w:color w:val="000000"/>
          <w:szCs w:val="24"/>
        </w:rPr>
        <w:t>met</w:t>
      </w:r>
      <w:r w:rsidR="0076580C">
        <w:rPr>
          <w:rFonts w:cs="Arial"/>
          <w:noProof/>
          <w:color w:val="000000"/>
          <w:szCs w:val="24"/>
        </w:rPr>
        <w:t xml:space="preserve"> </w:t>
      </w:r>
      <w:r w:rsidR="0001745B" w:rsidRPr="00D40F0F">
        <w:rPr>
          <w:rFonts w:cs="Arial"/>
          <w:noProof/>
          <w:color w:val="000000"/>
          <w:szCs w:val="24"/>
        </w:rPr>
        <w:t xml:space="preserve">its </w:t>
      </w:r>
      <w:r w:rsidR="008A1DD2" w:rsidRPr="00D40F0F">
        <w:rPr>
          <w:rFonts w:cs="Arial"/>
          <w:noProof/>
          <w:color w:val="000000"/>
          <w:szCs w:val="24"/>
        </w:rPr>
        <w:t xml:space="preserve">general, specific and operational </w:t>
      </w:r>
      <w:r w:rsidR="0001745B" w:rsidRPr="00D40F0F">
        <w:rPr>
          <w:rFonts w:cs="Arial"/>
          <w:noProof/>
          <w:color w:val="000000"/>
          <w:szCs w:val="24"/>
        </w:rPr>
        <w:t>objectives</w:t>
      </w:r>
      <w:r w:rsidR="008A1DD2" w:rsidRPr="00D40F0F">
        <w:rPr>
          <w:rFonts w:cs="Arial"/>
          <w:noProof/>
          <w:color w:val="000000"/>
          <w:szCs w:val="24"/>
        </w:rPr>
        <w:t xml:space="preserve">. </w:t>
      </w:r>
      <w:r w:rsidR="004E5338">
        <w:rPr>
          <w:rFonts w:cs="Arial"/>
          <w:noProof/>
          <w:color w:val="000000"/>
          <w:szCs w:val="24"/>
        </w:rPr>
        <w:t>Echoing the views of many beneficiaries, t</w:t>
      </w:r>
      <w:r w:rsidR="008A1DD2" w:rsidRPr="00D40F0F">
        <w:rPr>
          <w:rFonts w:cs="Arial"/>
          <w:noProof/>
          <w:color w:val="000000"/>
          <w:szCs w:val="24"/>
        </w:rPr>
        <w:t>h</w:t>
      </w:r>
      <w:r w:rsidR="0076580C">
        <w:rPr>
          <w:rFonts w:cs="Arial"/>
          <w:noProof/>
          <w:color w:val="000000"/>
          <w:szCs w:val="24"/>
        </w:rPr>
        <w:t>e evaluation</w:t>
      </w:r>
      <w:r w:rsidR="004E5338">
        <w:rPr>
          <w:rFonts w:cs="Arial"/>
          <w:noProof/>
          <w:color w:val="000000"/>
          <w:szCs w:val="24"/>
        </w:rPr>
        <w:t xml:space="preserve"> also concluded </w:t>
      </w:r>
      <w:r w:rsidR="007248ED" w:rsidRPr="00E83B32">
        <w:rPr>
          <w:rFonts w:cs="Arial"/>
          <w:noProof/>
          <w:color w:val="000000"/>
          <w:szCs w:val="24"/>
        </w:rPr>
        <w:t xml:space="preserve">that it was </w:t>
      </w:r>
      <w:r w:rsidR="008A1DD2" w:rsidRPr="00E83B32">
        <w:rPr>
          <w:rFonts w:cs="Arial"/>
          <w:noProof/>
          <w:color w:val="000000"/>
          <w:szCs w:val="24"/>
        </w:rPr>
        <w:t>necess</w:t>
      </w:r>
      <w:r w:rsidR="007248ED" w:rsidRPr="00E83B32">
        <w:rPr>
          <w:rFonts w:cs="Arial"/>
          <w:noProof/>
          <w:color w:val="000000"/>
          <w:szCs w:val="24"/>
        </w:rPr>
        <w:t>ar</w:t>
      </w:r>
      <w:r w:rsidR="008A1DD2" w:rsidRPr="00E83B32">
        <w:rPr>
          <w:rFonts w:cs="Arial"/>
          <w:noProof/>
          <w:color w:val="000000"/>
          <w:szCs w:val="24"/>
        </w:rPr>
        <w:t>y</w:t>
      </w:r>
      <w:r w:rsidR="008A1DD2" w:rsidRPr="00D40F0F">
        <w:rPr>
          <w:rFonts w:cs="Arial"/>
          <w:noProof/>
          <w:color w:val="000000"/>
          <w:szCs w:val="24"/>
        </w:rPr>
        <w:t xml:space="preserve"> to </w:t>
      </w:r>
      <w:r w:rsidR="0076580C">
        <w:rPr>
          <w:rFonts w:cs="Arial"/>
          <w:noProof/>
          <w:color w:val="000000"/>
          <w:szCs w:val="24"/>
        </w:rPr>
        <w:t>maintain</w:t>
      </w:r>
      <w:r w:rsidR="008A1DD2" w:rsidRPr="00D40F0F">
        <w:rPr>
          <w:rFonts w:cs="Arial"/>
          <w:noProof/>
          <w:color w:val="000000"/>
          <w:szCs w:val="24"/>
        </w:rPr>
        <w:t xml:space="preserve"> a funding programme support</w:t>
      </w:r>
      <w:r w:rsidR="0076580C">
        <w:rPr>
          <w:rFonts w:cs="Arial"/>
          <w:noProof/>
          <w:color w:val="000000"/>
          <w:szCs w:val="24"/>
        </w:rPr>
        <w:t>ing</w:t>
      </w:r>
      <w:r w:rsidR="008A1DD2" w:rsidRPr="00D40F0F">
        <w:rPr>
          <w:rFonts w:cs="Arial"/>
          <w:noProof/>
          <w:color w:val="000000"/>
          <w:szCs w:val="24"/>
        </w:rPr>
        <w:t xml:space="preserve"> the</w:t>
      </w:r>
      <w:r w:rsidR="00417F91">
        <w:rPr>
          <w:rFonts w:cs="Arial"/>
          <w:noProof/>
          <w:color w:val="000000"/>
          <w:szCs w:val="24"/>
        </w:rPr>
        <w:t>m</w:t>
      </w:r>
      <w:r w:rsidR="008A1DD2" w:rsidRPr="00D40F0F">
        <w:rPr>
          <w:rFonts w:cs="Arial"/>
          <w:noProof/>
          <w:color w:val="000000"/>
          <w:szCs w:val="24"/>
        </w:rPr>
        <w:t xml:space="preserve"> in their </w:t>
      </w:r>
      <w:r w:rsidR="00FF68A7" w:rsidRPr="00E83B32">
        <w:rPr>
          <w:rFonts w:cs="Arial"/>
          <w:noProof/>
          <w:color w:val="000000"/>
          <w:szCs w:val="24"/>
        </w:rPr>
        <w:t>work</w:t>
      </w:r>
      <w:r w:rsidR="0076580C">
        <w:rPr>
          <w:rFonts w:cs="Arial"/>
          <w:noProof/>
          <w:color w:val="000000"/>
          <w:szCs w:val="24"/>
        </w:rPr>
        <w:t xml:space="preserve"> to</w:t>
      </w:r>
      <w:r w:rsidR="008A1DD2" w:rsidRPr="00D40F0F">
        <w:rPr>
          <w:rFonts w:cs="Arial"/>
          <w:noProof/>
          <w:color w:val="000000"/>
          <w:szCs w:val="24"/>
        </w:rPr>
        <w:t xml:space="preserve"> protect the</w:t>
      </w:r>
      <w:r w:rsidR="008A1DD2" w:rsidRPr="00E83B32">
        <w:rPr>
          <w:rFonts w:cs="Arial"/>
          <w:noProof/>
          <w:color w:val="000000"/>
          <w:szCs w:val="24"/>
        </w:rPr>
        <w:t xml:space="preserve"> </w:t>
      </w:r>
      <w:r w:rsidR="007248ED" w:rsidRPr="00E83B32">
        <w:rPr>
          <w:rFonts w:cs="Arial"/>
          <w:noProof/>
          <w:color w:val="000000"/>
          <w:szCs w:val="24"/>
        </w:rPr>
        <w:t>EU’s</w:t>
      </w:r>
      <w:r w:rsidR="008A1DD2" w:rsidRPr="00D40F0F">
        <w:rPr>
          <w:rFonts w:cs="Arial"/>
          <w:noProof/>
          <w:color w:val="000000"/>
          <w:szCs w:val="24"/>
        </w:rPr>
        <w:t xml:space="preserve"> financial interests, which </w:t>
      </w:r>
      <w:r w:rsidR="0076580C">
        <w:rPr>
          <w:rFonts w:cs="Arial"/>
          <w:noProof/>
          <w:color w:val="000000"/>
          <w:szCs w:val="24"/>
        </w:rPr>
        <w:t xml:space="preserve">contributes </w:t>
      </w:r>
      <w:r w:rsidR="00417F91">
        <w:rPr>
          <w:rFonts w:cs="Arial"/>
          <w:noProof/>
          <w:color w:val="000000"/>
          <w:szCs w:val="24"/>
        </w:rPr>
        <w:t xml:space="preserve">also </w:t>
      </w:r>
      <w:r w:rsidR="0076580C">
        <w:rPr>
          <w:rFonts w:cs="Arial"/>
          <w:noProof/>
          <w:color w:val="000000"/>
          <w:szCs w:val="24"/>
        </w:rPr>
        <w:t xml:space="preserve">to </w:t>
      </w:r>
      <w:r w:rsidR="008A1DD2" w:rsidRPr="00D40F0F">
        <w:rPr>
          <w:rFonts w:cs="Arial"/>
          <w:noProof/>
          <w:color w:val="000000"/>
          <w:szCs w:val="24"/>
        </w:rPr>
        <w:t xml:space="preserve">the protection </w:t>
      </w:r>
      <w:r w:rsidR="003054A3" w:rsidRPr="00D40F0F">
        <w:rPr>
          <w:rFonts w:cs="Arial"/>
          <w:noProof/>
          <w:color w:val="000000"/>
          <w:szCs w:val="24"/>
        </w:rPr>
        <w:t>of national financial interests.</w:t>
      </w:r>
      <w:r w:rsidR="0025473E">
        <w:rPr>
          <w:rFonts w:cs="Arial"/>
          <w:noProof/>
          <w:color w:val="000000"/>
          <w:szCs w:val="24"/>
        </w:rPr>
        <w:t xml:space="preserve"> T</w:t>
      </w:r>
      <w:r w:rsidR="00BA0A65" w:rsidRPr="00D40F0F">
        <w:rPr>
          <w:rFonts w:cs="Arial"/>
          <w:noProof/>
          <w:color w:val="000000"/>
          <w:szCs w:val="24"/>
        </w:rPr>
        <w:t xml:space="preserve">he </w:t>
      </w:r>
      <w:r w:rsidR="0025473E">
        <w:rPr>
          <w:rFonts w:cs="Arial"/>
          <w:noProof/>
          <w:color w:val="000000"/>
          <w:szCs w:val="24"/>
        </w:rPr>
        <w:t xml:space="preserve">beneficiaries </w:t>
      </w:r>
      <w:r w:rsidR="0076580C">
        <w:rPr>
          <w:rFonts w:cs="Arial"/>
          <w:noProof/>
          <w:color w:val="000000"/>
          <w:szCs w:val="24"/>
        </w:rPr>
        <w:t>considered</w:t>
      </w:r>
      <w:r w:rsidR="00BA0A65" w:rsidRPr="00D40F0F">
        <w:rPr>
          <w:rFonts w:cs="Arial"/>
          <w:noProof/>
          <w:color w:val="000000"/>
          <w:szCs w:val="24"/>
        </w:rPr>
        <w:t xml:space="preserve"> that the results </w:t>
      </w:r>
      <w:r w:rsidR="00FF68A7" w:rsidRPr="00E83B32">
        <w:rPr>
          <w:rFonts w:cs="Arial"/>
          <w:noProof/>
          <w:color w:val="000000"/>
          <w:szCs w:val="24"/>
        </w:rPr>
        <w:t xml:space="preserve">obtained </w:t>
      </w:r>
      <w:r w:rsidR="00BA0A65" w:rsidRPr="00E83B32">
        <w:rPr>
          <w:rFonts w:cs="Arial"/>
          <w:noProof/>
          <w:color w:val="000000"/>
          <w:szCs w:val="24"/>
        </w:rPr>
        <w:t xml:space="preserve">and </w:t>
      </w:r>
      <w:r w:rsidR="00FF68A7" w:rsidRPr="00E83B32">
        <w:rPr>
          <w:rFonts w:cs="Arial"/>
          <w:noProof/>
          <w:color w:val="000000"/>
          <w:szCs w:val="24"/>
        </w:rPr>
        <w:t>the programme’s</w:t>
      </w:r>
      <w:r w:rsidR="00BA0A65" w:rsidRPr="00D40F0F">
        <w:rPr>
          <w:rFonts w:cs="Arial"/>
          <w:noProof/>
          <w:color w:val="000000"/>
          <w:szCs w:val="24"/>
        </w:rPr>
        <w:t xml:space="preserve"> </w:t>
      </w:r>
      <w:r w:rsidR="00DA2C54" w:rsidRPr="00D40F0F">
        <w:rPr>
          <w:rFonts w:cs="Arial"/>
          <w:noProof/>
          <w:color w:val="000000"/>
          <w:szCs w:val="24"/>
        </w:rPr>
        <w:t xml:space="preserve">overall </w:t>
      </w:r>
      <w:r w:rsidR="00BA0A65" w:rsidRPr="00D40F0F">
        <w:rPr>
          <w:rFonts w:cs="Arial"/>
          <w:noProof/>
          <w:color w:val="000000"/>
          <w:szCs w:val="24"/>
        </w:rPr>
        <w:t>output</w:t>
      </w:r>
      <w:r w:rsidR="00DA2C54" w:rsidRPr="00D40F0F">
        <w:rPr>
          <w:rFonts w:cs="Arial"/>
          <w:noProof/>
          <w:color w:val="000000"/>
          <w:szCs w:val="24"/>
        </w:rPr>
        <w:t xml:space="preserve"> </w:t>
      </w:r>
      <w:r w:rsidR="0083282C" w:rsidRPr="00D40F0F">
        <w:rPr>
          <w:rFonts w:cs="Arial"/>
          <w:noProof/>
          <w:color w:val="000000"/>
          <w:szCs w:val="24"/>
        </w:rPr>
        <w:t xml:space="preserve">largely </w:t>
      </w:r>
      <w:r w:rsidR="00BA0A65" w:rsidRPr="00E83B32">
        <w:rPr>
          <w:rFonts w:cs="Arial"/>
          <w:noProof/>
          <w:color w:val="000000"/>
          <w:szCs w:val="24"/>
        </w:rPr>
        <w:t>outweigh</w:t>
      </w:r>
      <w:r w:rsidR="00FF68A7" w:rsidRPr="00E83B32">
        <w:rPr>
          <w:rFonts w:cs="Arial"/>
          <w:noProof/>
          <w:color w:val="000000"/>
          <w:szCs w:val="24"/>
        </w:rPr>
        <w:t>ed</w:t>
      </w:r>
      <w:r w:rsidR="00BA0A65" w:rsidRPr="00D40F0F">
        <w:rPr>
          <w:rFonts w:cs="Arial"/>
          <w:noProof/>
          <w:color w:val="000000"/>
          <w:szCs w:val="24"/>
        </w:rPr>
        <w:t xml:space="preserve"> the required investment in time</w:t>
      </w:r>
      <w:r w:rsidR="00DA2C54" w:rsidRPr="00D40F0F">
        <w:rPr>
          <w:rFonts w:cs="Arial"/>
          <w:noProof/>
          <w:color w:val="000000"/>
          <w:szCs w:val="24"/>
        </w:rPr>
        <w:t>, effort and cost</w:t>
      </w:r>
      <w:r w:rsidR="0083282C" w:rsidRPr="00D40F0F">
        <w:rPr>
          <w:rFonts w:cs="Arial"/>
          <w:noProof/>
          <w:color w:val="000000"/>
          <w:szCs w:val="24"/>
        </w:rPr>
        <w:t xml:space="preserve"> to participate</w:t>
      </w:r>
      <w:r w:rsidR="00DA2C54" w:rsidRPr="00D40F0F">
        <w:rPr>
          <w:rFonts w:cs="Arial"/>
          <w:noProof/>
          <w:color w:val="000000"/>
          <w:szCs w:val="24"/>
        </w:rPr>
        <w:t>.</w:t>
      </w:r>
      <w:r w:rsidR="0083282C" w:rsidRPr="00D40F0F">
        <w:rPr>
          <w:rFonts w:cs="Arial"/>
          <w:noProof/>
          <w:color w:val="000000"/>
          <w:szCs w:val="24"/>
        </w:rPr>
        <w:t xml:space="preserve"> </w:t>
      </w:r>
      <w:r w:rsidR="009B127C">
        <w:rPr>
          <w:rFonts w:cs="Arial"/>
          <w:noProof/>
          <w:color w:val="000000"/>
          <w:szCs w:val="24"/>
        </w:rPr>
        <w:t xml:space="preserve">The </w:t>
      </w:r>
      <w:r w:rsidR="00BF25C4">
        <w:rPr>
          <w:rFonts w:cs="Arial"/>
          <w:noProof/>
          <w:color w:val="000000"/>
          <w:szCs w:val="24"/>
        </w:rPr>
        <w:t xml:space="preserve">participants </w:t>
      </w:r>
      <w:r w:rsidR="00F23969" w:rsidRPr="00E83B32">
        <w:rPr>
          <w:rFonts w:cs="Arial"/>
          <w:noProof/>
          <w:color w:val="000000"/>
          <w:szCs w:val="24"/>
        </w:rPr>
        <w:t xml:space="preserve">also </w:t>
      </w:r>
      <w:r w:rsidR="00BF25C4">
        <w:rPr>
          <w:rFonts w:cs="Arial"/>
          <w:noProof/>
          <w:color w:val="000000"/>
          <w:szCs w:val="24"/>
        </w:rPr>
        <w:t xml:space="preserve">considered the </w:t>
      </w:r>
      <w:r w:rsidR="009B127C">
        <w:rPr>
          <w:rFonts w:cs="Arial"/>
          <w:noProof/>
          <w:color w:val="000000"/>
          <w:szCs w:val="24"/>
        </w:rPr>
        <w:t xml:space="preserve">recognition and reputation </w:t>
      </w:r>
      <w:r w:rsidR="00BF25C4">
        <w:rPr>
          <w:rFonts w:cs="Arial"/>
          <w:noProof/>
          <w:color w:val="000000"/>
          <w:szCs w:val="24"/>
        </w:rPr>
        <w:t xml:space="preserve">linked to </w:t>
      </w:r>
      <w:r w:rsidR="00BF25C4" w:rsidRPr="00E83B32">
        <w:rPr>
          <w:rFonts w:cs="Arial"/>
          <w:noProof/>
          <w:color w:val="000000"/>
          <w:szCs w:val="24"/>
        </w:rPr>
        <w:t>the</w:t>
      </w:r>
      <w:r w:rsidR="00F23969" w:rsidRPr="00E83B32">
        <w:rPr>
          <w:rFonts w:cs="Arial"/>
          <w:noProof/>
          <w:color w:val="000000"/>
          <w:szCs w:val="24"/>
        </w:rPr>
        <w:t>ir</w:t>
      </w:r>
      <w:r w:rsidR="009B127C">
        <w:rPr>
          <w:rFonts w:cs="Arial"/>
          <w:noProof/>
          <w:color w:val="000000"/>
          <w:szCs w:val="24"/>
        </w:rPr>
        <w:t xml:space="preserve"> participat</w:t>
      </w:r>
      <w:r w:rsidR="00BF25C4">
        <w:rPr>
          <w:rFonts w:cs="Arial"/>
          <w:noProof/>
          <w:color w:val="000000"/>
          <w:szCs w:val="24"/>
        </w:rPr>
        <w:t>ion</w:t>
      </w:r>
      <w:r w:rsidR="009B127C">
        <w:rPr>
          <w:rFonts w:cs="Arial"/>
          <w:noProof/>
          <w:color w:val="000000"/>
          <w:szCs w:val="24"/>
        </w:rPr>
        <w:t xml:space="preserve"> in the </w:t>
      </w:r>
      <w:r w:rsidR="00F23969" w:rsidRPr="00E83B32">
        <w:rPr>
          <w:rFonts w:cs="Arial"/>
          <w:noProof/>
          <w:color w:val="000000"/>
          <w:szCs w:val="24"/>
        </w:rPr>
        <w:t>p</w:t>
      </w:r>
      <w:r w:rsidR="009B127C">
        <w:rPr>
          <w:rFonts w:cs="Arial"/>
          <w:noProof/>
          <w:color w:val="000000"/>
          <w:szCs w:val="24"/>
        </w:rPr>
        <w:t xml:space="preserve">rogramme as </w:t>
      </w:r>
      <w:r w:rsidR="004E5338">
        <w:rPr>
          <w:rFonts w:cs="Arial"/>
          <w:noProof/>
          <w:color w:val="000000"/>
          <w:szCs w:val="24"/>
        </w:rPr>
        <w:t>a</w:t>
      </w:r>
      <w:r w:rsidR="009B127C">
        <w:rPr>
          <w:rFonts w:cs="Arial"/>
          <w:noProof/>
          <w:color w:val="000000"/>
          <w:szCs w:val="24"/>
        </w:rPr>
        <w:t xml:space="preserve"> valuable asset. </w:t>
      </w:r>
    </w:p>
    <w:p w14:paraId="0A6A9AAD" w14:textId="77777777" w:rsidR="009E7DA1" w:rsidRPr="00213CC0" w:rsidRDefault="0001745B">
      <w:pPr>
        <w:pStyle w:val="Heading2"/>
        <w:rPr>
          <w:noProof/>
        </w:rPr>
      </w:pPr>
      <w:r w:rsidRPr="00213CC0">
        <w:rPr>
          <w:noProof/>
        </w:rPr>
        <w:t>Relevance</w:t>
      </w:r>
    </w:p>
    <w:p w14:paraId="36BC9C11" w14:textId="77777777" w:rsidR="00CE7A12" w:rsidRDefault="0025473E" w:rsidP="0025473E">
      <w:pPr>
        <w:spacing w:line="288" w:lineRule="auto"/>
        <w:rPr>
          <w:noProof/>
        </w:rPr>
      </w:pPr>
      <w:r w:rsidRPr="00237535">
        <w:rPr>
          <w:noProof/>
        </w:rPr>
        <w:t xml:space="preserve">The </w:t>
      </w:r>
      <w:r w:rsidR="00FF68A7" w:rsidRPr="00E83B32">
        <w:rPr>
          <w:noProof/>
        </w:rPr>
        <w:t>p</w:t>
      </w:r>
      <w:r w:rsidR="00CE7A12">
        <w:rPr>
          <w:noProof/>
        </w:rPr>
        <w:t xml:space="preserve">rogramme was seen as </w:t>
      </w:r>
      <w:r w:rsidR="00CE7A12" w:rsidRPr="00CE7A12">
        <w:rPr>
          <w:b/>
          <w:noProof/>
        </w:rPr>
        <w:t>hig</w:t>
      </w:r>
      <w:r w:rsidR="00402974">
        <w:rPr>
          <w:b/>
          <w:noProof/>
        </w:rPr>
        <w:t>h</w:t>
      </w:r>
      <w:r w:rsidR="00CE7A12" w:rsidRPr="00CE7A12">
        <w:rPr>
          <w:b/>
          <w:noProof/>
        </w:rPr>
        <w:t>ly relevant</w:t>
      </w:r>
      <w:r w:rsidR="00CE7A12">
        <w:rPr>
          <w:noProof/>
        </w:rPr>
        <w:t xml:space="preserve"> in addressing the main problems </w:t>
      </w:r>
      <w:r w:rsidR="00F23969" w:rsidRPr="00E83B32">
        <w:rPr>
          <w:noProof/>
        </w:rPr>
        <w:t xml:space="preserve">faced by </w:t>
      </w:r>
      <w:r w:rsidR="00CE7A12">
        <w:rPr>
          <w:noProof/>
        </w:rPr>
        <w:t xml:space="preserve">stakeholders </w:t>
      </w:r>
      <w:r w:rsidR="00F23969" w:rsidRPr="00E83B32">
        <w:rPr>
          <w:noProof/>
        </w:rPr>
        <w:t xml:space="preserve">in </w:t>
      </w:r>
      <w:r w:rsidR="00CE7A12" w:rsidRPr="00E83B32">
        <w:rPr>
          <w:noProof/>
        </w:rPr>
        <w:t>protectin</w:t>
      </w:r>
      <w:r w:rsidR="00F23969" w:rsidRPr="00E83B32">
        <w:rPr>
          <w:noProof/>
        </w:rPr>
        <w:t>g</w:t>
      </w:r>
      <w:r w:rsidR="00CE7A12">
        <w:rPr>
          <w:noProof/>
        </w:rPr>
        <w:t xml:space="preserve"> the </w:t>
      </w:r>
      <w:r w:rsidR="00FF68A7" w:rsidRPr="00E83B32">
        <w:rPr>
          <w:noProof/>
        </w:rPr>
        <w:t>E</w:t>
      </w:r>
      <w:r w:rsidR="00CE7A12" w:rsidRPr="00E83B32">
        <w:rPr>
          <w:noProof/>
        </w:rPr>
        <w:t>U</w:t>
      </w:r>
      <w:r w:rsidR="00FF68A7" w:rsidRPr="00E83B32">
        <w:rPr>
          <w:noProof/>
        </w:rPr>
        <w:t>’s</w:t>
      </w:r>
      <w:r w:rsidR="00CE7A12">
        <w:rPr>
          <w:noProof/>
        </w:rPr>
        <w:t xml:space="preserve"> financial </w:t>
      </w:r>
      <w:r w:rsidR="00CE7A12" w:rsidRPr="00E83B32">
        <w:rPr>
          <w:noProof/>
        </w:rPr>
        <w:t>intere</w:t>
      </w:r>
      <w:r w:rsidR="00FF68A7" w:rsidRPr="00E83B32">
        <w:rPr>
          <w:noProof/>
        </w:rPr>
        <w:t>s</w:t>
      </w:r>
      <w:r w:rsidR="00CE7A12" w:rsidRPr="00E83B32">
        <w:rPr>
          <w:noProof/>
        </w:rPr>
        <w:t>ts</w:t>
      </w:r>
      <w:r w:rsidR="00CE7A12">
        <w:rPr>
          <w:noProof/>
        </w:rPr>
        <w:t xml:space="preserve">, confirmed by a large majority (80%) of applicants </w:t>
      </w:r>
      <w:r w:rsidR="00FF68A7" w:rsidRPr="00E83B32">
        <w:rPr>
          <w:noProof/>
        </w:rPr>
        <w:t xml:space="preserve">who responded to </w:t>
      </w:r>
      <w:r w:rsidR="00CE7A12">
        <w:rPr>
          <w:noProof/>
        </w:rPr>
        <w:t xml:space="preserve">the survey. </w:t>
      </w:r>
      <w:r w:rsidR="00CE7A12" w:rsidRPr="00E83B32">
        <w:rPr>
          <w:noProof/>
        </w:rPr>
        <w:t>The</w:t>
      </w:r>
      <w:r w:rsidR="00FF68A7" w:rsidRPr="00E83B32">
        <w:rPr>
          <w:noProof/>
        </w:rPr>
        <w:t>y considered the</w:t>
      </w:r>
      <w:r w:rsidR="00CE7A12" w:rsidRPr="00E83B32">
        <w:rPr>
          <w:noProof/>
        </w:rPr>
        <w:t xml:space="preserve"> </w:t>
      </w:r>
      <w:r w:rsidR="00FF68A7" w:rsidRPr="00E83B32">
        <w:rPr>
          <w:noProof/>
        </w:rPr>
        <w:t>p</w:t>
      </w:r>
      <w:r w:rsidR="00CE7A12">
        <w:rPr>
          <w:noProof/>
        </w:rPr>
        <w:t>rogramme relevant because it comple</w:t>
      </w:r>
      <w:r w:rsidR="00691A59">
        <w:rPr>
          <w:noProof/>
        </w:rPr>
        <w:t>mented the work carried out at Member State level.</w:t>
      </w:r>
      <w:r w:rsidR="00CE7A12">
        <w:rPr>
          <w:noProof/>
        </w:rPr>
        <w:t xml:space="preserve"> </w:t>
      </w:r>
      <w:r w:rsidR="00F23969" w:rsidRPr="00E83B32">
        <w:rPr>
          <w:noProof/>
        </w:rPr>
        <w:t>T</w:t>
      </w:r>
      <w:r w:rsidR="00CE7A12" w:rsidRPr="00E83B32">
        <w:rPr>
          <w:noProof/>
        </w:rPr>
        <w:t>he</w:t>
      </w:r>
      <w:r w:rsidR="00CE7A12">
        <w:rPr>
          <w:noProof/>
        </w:rPr>
        <w:t xml:space="preserve"> evaluation confirmed that the </w:t>
      </w:r>
      <w:r w:rsidRPr="00237535">
        <w:rPr>
          <w:noProof/>
        </w:rPr>
        <w:t xml:space="preserve">drivers </w:t>
      </w:r>
      <w:r w:rsidR="00CE7A12">
        <w:rPr>
          <w:noProof/>
        </w:rPr>
        <w:t xml:space="preserve">underpinning the </w:t>
      </w:r>
      <w:r w:rsidR="00CE7A12" w:rsidRPr="00E83B32">
        <w:rPr>
          <w:noProof/>
        </w:rPr>
        <w:t>Commission</w:t>
      </w:r>
      <w:r w:rsidR="00F23969" w:rsidRPr="00E83B32">
        <w:rPr>
          <w:noProof/>
        </w:rPr>
        <w:t>’s</w:t>
      </w:r>
      <w:r w:rsidRPr="00E83B32">
        <w:rPr>
          <w:noProof/>
        </w:rPr>
        <w:t xml:space="preserve"> </w:t>
      </w:r>
      <w:r w:rsidR="00F23969" w:rsidRPr="00E83B32">
        <w:rPr>
          <w:noProof/>
        </w:rPr>
        <w:t>p</w:t>
      </w:r>
      <w:r w:rsidR="00CE7A12">
        <w:rPr>
          <w:noProof/>
        </w:rPr>
        <w:t xml:space="preserve">roposal for a </w:t>
      </w:r>
      <w:r w:rsidR="00F23969" w:rsidRPr="00E83B32">
        <w:rPr>
          <w:noProof/>
        </w:rPr>
        <w:t>r</w:t>
      </w:r>
      <w:r w:rsidR="00CE7A12">
        <w:rPr>
          <w:noProof/>
        </w:rPr>
        <w:t>egulation</w:t>
      </w:r>
      <w:r w:rsidRPr="00237535">
        <w:rPr>
          <w:noProof/>
        </w:rPr>
        <w:t xml:space="preserve"> </w:t>
      </w:r>
      <w:r>
        <w:rPr>
          <w:noProof/>
        </w:rPr>
        <w:t xml:space="preserve">(2011) </w:t>
      </w:r>
      <w:r w:rsidR="00CE7A12">
        <w:rPr>
          <w:noProof/>
        </w:rPr>
        <w:t>establishing</w:t>
      </w:r>
      <w:r w:rsidRPr="00237535">
        <w:rPr>
          <w:noProof/>
        </w:rPr>
        <w:t xml:space="preserve"> the Hercule III </w:t>
      </w:r>
      <w:r w:rsidR="00F23969" w:rsidRPr="00E83B32">
        <w:rPr>
          <w:noProof/>
        </w:rPr>
        <w:t>p</w:t>
      </w:r>
      <w:r w:rsidRPr="00237535">
        <w:rPr>
          <w:noProof/>
        </w:rPr>
        <w:t>rogramme</w:t>
      </w:r>
      <w:r w:rsidR="00CE7A12">
        <w:rPr>
          <w:noProof/>
        </w:rPr>
        <w:t xml:space="preserve"> and the findings of</w:t>
      </w:r>
      <w:r>
        <w:rPr>
          <w:noProof/>
        </w:rPr>
        <w:t xml:space="preserve"> the mid-term evaluation </w:t>
      </w:r>
      <w:r w:rsidR="00CE7A12">
        <w:rPr>
          <w:noProof/>
        </w:rPr>
        <w:t>(</w:t>
      </w:r>
      <w:r>
        <w:rPr>
          <w:noProof/>
        </w:rPr>
        <w:t>2018</w:t>
      </w:r>
      <w:r w:rsidR="00CE7A12">
        <w:rPr>
          <w:noProof/>
        </w:rPr>
        <w:t xml:space="preserve">) </w:t>
      </w:r>
      <w:r w:rsidR="00F23969" w:rsidRPr="00E83B32">
        <w:rPr>
          <w:noProof/>
        </w:rPr>
        <w:t>remain</w:t>
      </w:r>
      <w:r w:rsidR="00CE7A12">
        <w:rPr>
          <w:noProof/>
        </w:rPr>
        <w:t xml:space="preserve"> valid</w:t>
      </w:r>
      <w:r>
        <w:rPr>
          <w:noProof/>
        </w:rPr>
        <w:t xml:space="preserve"> </w:t>
      </w:r>
      <w:r w:rsidRPr="00237535">
        <w:rPr>
          <w:noProof/>
        </w:rPr>
        <w:t xml:space="preserve">today, in particular </w:t>
      </w:r>
      <w:r w:rsidR="00691A59">
        <w:rPr>
          <w:noProof/>
        </w:rPr>
        <w:t xml:space="preserve">the occurrence of fraud to the </w:t>
      </w:r>
      <w:r w:rsidR="008A0CCD">
        <w:rPr>
          <w:noProof/>
        </w:rPr>
        <w:t xml:space="preserve">European </w:t>
      </w:r>
      <w:r w:rsidRPr="00237535">
        <w:rPr>
          <w:noProof/>
        </w:rPr>
        <w:t>U</w:t>
      </w:r>
      <w:r w:rsidR="00691A59">
        <w:rPr>
          <w:noProof/>
        </w:rPr>
        <w:t>nion</w:t>
      </w:r>
      <w:r w:rsidR="00413D08">
        <w:rPr>
          <w:noProof/>
        </w:rPr>
        <w:t>’s</w:t>
      </w:r>
      <w:r w:rsidRPr="00237535">
        <w:rPr>
          <w:noProof/>
        </w:rPr>
        <w:t xml:space="preserve"> financial interests. </w:t>
      </w:r>
    </w:p>
    <w:p w14:paraId="7CBBFB02" w14:textId="77777777" w:rsidR="00CE7A12" w:rsidRPr="00D40F0F" w:rsidRDefault="00691A59" w:rsidP="00CE7A12">
      <w:pPr>
        <w:autoSpaceDE w:val="0"/>
        <w:autoSpaceDN w:val="0"/>
        <w:adjustRightInd w:val="0"/>
        <w:spacing w:line="288" w:lineRule="auto"/>
        <w:rPr>
          <w:rFonts w:cs="Arial"/>
          <w:noProof/>
          <w:color w:val="000000"/>
          <w:szCs w:val="24"/>
        </w:rPr>
      </w:pPr>
      <w:r>
        <w:rPr>
          <w:rFonts w:cs="Arial"/>
          <w:noProof/>
          <w:color w:val="000000"/>
          <w:szCs w:val="24"/>
        </w:rPr>
        <w:t xml:space="preserve">Evidence from </w:t>
      </w:r>
      <w:r w:rsidRPr="00D40F0F">
        <w:rPr>
          <w:rFonts w:cs="Arial"/>
          <w:noProof/>
          <w:color w:val="000000"/>
          <w:szCs w:val="24"/>
        </w:rPr>
        <w:t xml:space="preserve">interviews </w:t>
      </w:r>
      <w:r>
        <w:rPr>
          <w:rFonts w:cs="Arial"/>
          <w:noProof/>
          <w:color w:val="000000"/>
          <w:szCs w:val="24"/>
        </w:rPr>
        <w:t xml:space="preserve">with stakeholders and </w:t>
      </w:r>
      <w:r w:rsidR="00CE7A12">
        <w:rPr>
          <w:rFonts w:cs="Arial"/>
          <w:noProof/>
          <w:color w:val="000000"/>
          <w:szCs w:val="24"/>
        </w:rPr>
        <w:t xml:space="preserve">16 </w:t>
      </w:r>
      <w:r w:rsidR="00CE7A12" w:rsidRPr="00D40F0F">
        <w:rPr>
          <w:rFonts w:cs="Arial"/>
          <w:noProof/>
          <w:color w:val="000000"/>
          <w:szCs w:val="24"/>
        </w:rPr>
        <w:t xml:space="preserve">case studies </w:t>
      </w:r>
      <w:r w:rsidR="00CE7A12">
        <w:rPr>
          <w:rFonts w:cs="Arial"/>
          <w:noProof/>
          <w:color w:val="000000"/>
          <w:szCs w:val="24"/>
        </w:rPr>
        <w:t>demonstrated</w:t>
      </w:r>
      <w:r w:rsidR="00CE7A12" w:rsidRPr="00D40F0F">
        <w:rPr>
          <w:rFonts w:cs="Arial"/>
          <w:noProof/>
          <w:color w:val="000000"/>
          <w:szCs w:val="24"/>
        </w:rPr>
        <w:t xml:space="preserve"> that</w:t>
      </w:r>
      <w:r w:rsidR="0088308D" w:rsidRPr="00E83B32">
        <w:rPr>
          <w:rFonts w:cs="Arial"/>
          <w:noProof/>
          <w:color w:val="000000"/>
          <w:szCs w:val="24"/>
        </w:rPr>
        <w:t>,</w:t>
      </w:r>
      <w:r w:rsidR="00CE7A12" w:rsidRPr="00D40F0F">
        <w:rPr>
          <w:rFonts w:cs="Arial"/>
          <w:noProof/>
          <w:color w:val="000000"/>
          <w:szCs w:val="24"/>
        </w:rPr>
        <w:t xml:space="preserve"> while most Member States have their own national </w:t>
      </w:r>
      <w:r w:rsidR="00CE7A12">
        <w:rPr>
          <w:rFonts w:cs="Arial"/>
          <w:noProof/>
          <w:color w:val="000000"/>
          <w:szCs w:val="24"/>
        </w:rPr>
        <w:t xml:space="preserve">anti-fraud </w:t>
      </w:r>
      <w:r w:rsidR="00CE7A12" w:rsidRPr="00D40F0F">
        <w:rPr>
          <w:rFonts w:cs="Arial"/>
          <w:noProof/>
          <w:color w:val="000000"/>
          <w:szCs w:val="24"/>
        </w:rPr>
        <w:t>strateg</w:t>
      </w:r>
      <w:r>
        <w:rPr>
          <w:rFonts w:cs="Arial"/>
          <w:noProof/>
          <w:color w:val="000000"/>
          <w:szCs w:val="24"/>
        </w:rPr>
        <w:t>ies</w:t>
      </w:r>
      <w:r w:rsidR="00CE7A12" w:rsidRPr="00D40F0F">
        <w:rPr>
          <w:rFonts w:cs="Arial"/>
          <w:noProof/>
          <w:color w:val="000000"/>
          <w:szCs w:val="24"/>
        </w:rPr>
        <w:t xml:space="preserve">, the </w:t>
      </w:r>
      <w:r w:rsidR="0088308D" w:rsidRPr="00E83B32">
        <w:rPr>
          <w:rFonts w:cs="Arial"/>
          <w:noProof/>
          <w:color w:val="000000"/>
          <w:szCs w:val="24"/>
        </w:rPr>
        <w:t>p</w:t>
      </w:r>
      <w:r w:rsidR="00CE7A12" w:rsidRPr="00D40F0F">
        <w:rPr>
          <w:rFonts w:cs="Arial"/>
          <w:noProof/>
          <w:color w:val="000000"/>
          <w:szCs w:val="24"/>
        </w:rPr>
        <w:t xml:space="preserve">rogramme provided additional support that could be acquired </w:t>
      </w:r>
      <w:r w:rsidR="00CE7A12">
        <w:rPr>
          <w:rFonts w:cs="Arial"/>
          <w:noProof/>
          <w:color w:val="000000"/>
          <w:szCs w:val="24"/>
        </w:rPr>
        <w:t>fast</w:t>
      </w:r>
      <w:r w:rsidR="00CE7A12" w:rsidRPr="00D40F0F">
        <w:rPr>
          <w:rFonts w:cs="Arial"/>
          <w:noProof/>
          <w:color w:val="000000"/>
          <w:szCs w:val="24"/>
        </w:rPr>
        <w:t xml:space="preserve">, </w:t>
      </w:r>
      <w:r w:rsidR="00F23969" w:rsidRPr="00E83B32">
        <w:rPr>
          <w:rFonts w:cs="Arial"/>
          <w:noProof/>
          <w:color w:val="000000"/>
          <w:szCs w:val="24"/>
        </w:rPr>
        <w:t>enabl</w:t>
      </w:r>
      <w:r w:rsidR="00CE7A12" w:rsidRPr="00E83B32">
        <w:rPr>
          <w:rFonts w:cs="Arial"/>
          <w:noProof/>
          <w:color w:val="000000"/>
          <w:szCs w:val="24"/>
        </w:rPr>
        <w:t>ing</w:t>
      </w:r>
      <w:r w:rsidR="00CE7A12" w:rsidRPr="00D40F0F">
        <w:rPr>
          <w:rFonts w:cs="Arial"/>
          <w:noProof/>
          <w:color w:val="000000"/>
          <w:szCs w:val="24"/>
        </w:rPr>
        <w:t xml:space="preserve"> national authorities to reach their national objectives more rapidly. Interviews with representatives of EU institutions </w:t>
      </w:r>
      <w:r>
        <w:rPr>
          <w:rFonts w:cs="Arial"/>
          <w:noProof/>
          <w:color w:val="000000"/>
          <w:szCs w:val="24"/>
        </w:rPr>
        <w:t>confirmed</w:t>
      </w:r>
      <w:r w:rsidR="00CE7A12" w:rsidRPr="00D40F0F">
        <w:rPr>
          <w:rFonts w:cs="Arial"/>
          <w:noProof/>
          <w:color w:val="000000"/>
          <w:szCs w:val="24"/>
        </w:rPr>
        <w:t xml:space="preserve"> this </w:t>
      </w:r>
      <w:r w:rsidR="0088308D" w:rsidRPr="00E83B32">
        <w:rPr>
          <w:rFonts w:cs="Arial"/>
          <w:noProof/>
          <w:color w:val="000000"/>
          <w:szCs w:val="24"/>
        </w:rPr>
        <w:t>finding</w:t>
      </w:r>
      <w:r w:rsidR="00CE7A12" w:rsidRPr="00D40F0F">
        <w:rPr>
          <w:rFonts w:cs="Arial"/>
          <w:noProof/>
          <w:color w:val="000000"/>
          <w:szCs w:val="24"/>
        </w:rPr>
        <w:t>, ad</w:t>
      </w:r>
      <w:r w:rsidR="00CE7A12">
        <w:rPr>
          <w:rFonts w:cs="Arial"/>
          <w:noProof/>
          <w:color w:val="000000"/>
          <w:szCs w:val="24"/>
        </w:rPr>
        <w:t>ding that the</w:t>
      </w:r>
      <w:r w:rsidR="00CE7A12" w:rsidRPr="00D40F0F">
        <w:rPr>
          <w:rFonts w:cs="Arial"/>
          <w:noProof/>
          <w:color w:val="000000"/>
          <w:szCs w:val="24"/>
        </w:rPr>
        <w:t xml:space="preserve"> support was even more </w:t>
      </w:r>
      <w:r w:rsidR="0088308D" w:rsidRPr="00E83B32">
        <w:rPr>
          <w:rFonts w:cs="Arial"/>
          <w:noProof/>
          <w:color w:val="000000"/>
          <w:szCs w:val="24"/>
        </w:rPr>
        <w:t>relevant</w:t>
      </w:r>
      <w:r w:rsidR="00CE7A12" w:rsidRPr="00D40F0F">
        <w:rPr>
          <w:rFonts w:cs="Arial"/>
          <w:noProof/>
          <w:color w:val="000000"/>
          <w:szCs w:val="24"/>
        </w:rPr>
        <w:t xml:space="preserve"> where</w:t>
      </w:r>
      <w:r w:rsidR="00CE7A12" w:rsidRPr="00E83B32">
        <w:rPr>
          <w:rFonts w:cs="Arial"/>
          <w:noProof/>
          <w:color w:val="000000"/>
          <w:szCs w:val="24"/>
        </w:rPr>
        <w:t xml:space="preserve"> </w:t>
      </w:r>
      <w:r w:rsidR="00F23969" w:rsidRPr="00E83B32">
        <w:rPr>
          <w:rFonts w:cs="Arial"/>
          <w:noProof/>
          <w:color w:val="000000"/>
          <w:szCs w:val="24"/>
        </w:rPr>
        <w:t>the Member States had recently cut the</w:t>
      </w:r>
      <w:r w:rsidR="00CE7A12" w:rsidRPr="00D40F0F">
        <w:rPr>
          <w:rFonts w:cs="Arial"/>
          <w:noProof/>
          <w:color w:val="000000"/>
          <w:szCs w:val="24"/>
        </w:rPr>
        <w:t xml:space="preserve"> available funding for national agencies. </w:t>
      </w:r>
    </w:p>
    <w:p w14:paraId="52997CD4" w14:textId="77777777" w:rsidR="0083282C" w:rsidRPr="0025473E" w:rsidRDefault="0088308D" w:rsidP="0025473E">
      <w:pPr>
        <w:spacing w:line="288" w:lineRule="auto"/>
        <w:rPr>
          <w:b/>
          <w:smallCaps/>
          <w:noProof/>
        </w:rPr>
      </w:pPr>
      <w:r w:rsidRPr="00E83B32">
        <w:rPr>
          <w:rFonts w:cs="Arial"/>
          <w:noProof/>
          <w:color w:val="000000"/>
          <w:szCs w:val="24"/>
        </w:rPr>
        <w:t xml:space="preserve">During </w:t>
      </w:r>
      <w:r w:rsidR="00CE7A12">
        <w:rPr>
          <w:rFonts w:cs="Arial"/>
          <w:noProof/>
          <w:color w:val="000000"/>
          <w:szCs w:val="24"/>
        </w:rPr>
        <w:t>the evaluation</w:t>
      </w:r>
      <w:r w:rsidR="008405F8">
        <w:rPr>
          <w:rFonts w:cs="Arial"/>
          <w:noProof/>
          <w:color w:val="000000"/>
          <w:szCs w:val="24"/>
        </w:rPr>
        <w:t>,</w:t>
      </w:r>
      <w:r w:rsidR="00691A59">
        <w:rPr>
          <w:rFonts w:cs="Arial"/>
          <w:noProof/>
          <w:color w:val="000000"/>
          <w:szCs w:val="24"/>
        </w:rPr>
        <w:t xml:space="preserve"> stakeholders provided su</w:t>
      </w:r>
      <w:r w:rsidR="00CE7A12">
        <w:rPr>
          <w:rFonts w:cs="Arial"/>
          <w:noProof/>
          <w:color w:val="000000"/>
          <w:szCs w:val="24"/>
        </w:rPr>
        <w:t xml:space="preserve">ggestions to </w:t>
      </w:r>
      <w:r w:rsidR="00CC5176" w:rsidRPr="00D40F0F">
        <w:rPr>
          <w:rFonts w:cs="Arial"/>
          <w:noProof/>
          <w:color w:val="000000"/>
          <w:szCs w:val="24"/>
        </w:rPr>
        <w:t>further improve</w:t>
      </w:r>
      <w:r w:rsidR="00CE7A12">
        <w:rPr>
          <w:rFonts w:cs="Arial"/>
          <w:noProof/>
          <w:color w:val="000000"/>
          <w:szCs w:val="24"/>
        </w:rPr>
        <w:t xml:space="preserve"> </w:t>
      </w:r>
      <w:r w:rsidR="00CC5176" w:rsidRPr="00D40F0F">
        <w:rPr>
          <w:rFonts w:cs="Arial"/>
          <w:noProof/>
          <w:color w:val="000000"/>
          <w:szCs w:val="24"/>
        </w:rPr>
        <w:t xml:space="preserve">the </w:t>
      </w:r>
      <w:r w:rsidRPr="00E83B32">
        <w:rPr>
          <w:rFonts w:cs="Arial"/>
          <w:noProof/>
          <w:color w:val="000000"/>
          <w:szCs w:val="24"/>
        </w:rPr>
        <w:t>p</w:t>
      </w:r>
      <w:r w:rsidR="00691A59" w:rsidRPr="00E83B32">
        <w:rPr>
          <w:rFonts w:cs="Arial"/>
          <w:noProof/>
          <w:color w:val="000000"/>
          <w:szCs w:val="24"/>
        </w:rPr>
        <w:t>rogramme</w:t>
      </w:r>
      <w:r w:rsidR="00CE7A12" w:rsidRPr="00E83B32">
        <w:rPr>
          <w:rFonts w:cs="Arial"/>
          <w:noProof/>
          <w:color w:val="000000"/>
          <w:szCs w:val="24"/>
        </w:rPr>
        <w:t xml:space="preserve">. </w:t>
      </w:r>
      <w:r w:rsidR="00F23969" w:rsidRPr="00E83B32">
        <w:rPr>
          <w:rFonts w:cs="Arial"/>
          <w:noProof/>
          <w:color w:val="000000"/>
          <w:szCs w:val="24"/>
        </w:rPr>
        <w:t>They felt it</w:t>
      </w:r>
      <w:r w:rsidR="00CE7A12">
        <w:rPr>
          <w:rFonts w:cs="Arial"/>
          <w:noProof/>
          <w:color w:val="000000"/>
          <w:szCs w:val="24"/>
        </w:rPr>
        <w:t xml:space="preserve"> could focus more</w:t>
      </w:r>
      <w:r w:rsidR="00CC5176" w:rsidRPr="00D40F0F">
        <w:rPr>
          <w:rFonts w:cs="Arial"/>
          <w:noProof/>
          <w:color w:val="000000"/>
          <w:szCs w:val="24"/>
        </w:rPr>
        <w:t xml:space="preserve"> on expenditure fraud</w:t>
      </w:r>
      <w:r w:rsidR="00CE7A12">
        <w:rPr>
          <w:rFonts w:cs="Arial"/>
          <w:noProof/>
          <w:color w:val="000000"/>
          <w:szCs w:val="24"/>
        </w:rPr>
        <w:t xml:space="preserve"> and </w:t>
      </w:r>
      <w:r w:rsidR="00CC5176" w:rsidRPr="00D40F0F">
        <w:rPr>
          <w:rFonts w:cs="Arial"/>
          <w:noProof/>
          <w:color w:val="000000"/>
          <w:szCs w:val="24"/>
        </w:rPr>
        <w:t>be more reactive to emerging threats</w:t>
      </w:r>
      <w:r w:rsidR="00CE7A12">
        <w:rPr>
          <w:rFonts w:cs="Arial"/>
          <w:noProof/>
          <w:color w:val="000000"/>
          <w:szCs w:val="24"/>
        </w:rPr>
        <w:t xml:space="preserve"> </w:t>
      </w:r>
      <w:r w:rsidR="008F21CC">
        <w:rPr>
          <w:rFonts w:cs="Arial"/>
          <w:noProof/>
          <w:color w:val="000000"/>
          <w:szCs w:val="24"/>
        </w:rPr>
        <w:t xml:space="preserve">areas </w:t>
      </w:r>
      <w:r w:rsidR="00CE7A12">
        <w:rPr>
          <w:rFonts w:cs="Arial"/>
          <w:noProof/>
          <w:color w:val="000000"/>
          <w:szCs w:val="24"/>
        </w:rPr>
        <w:t xml:space="preserve">such as food fraud, </w:t>
      </w:r>
      <w:r w:rsidR="00080FCD">
        <w:rPr>
          <w:rFonts w:cs="Arial"/>
          <w:noProof/>
          <w:color w:val="000000"/>
          <w:szCs w:val="24"/>
        </w:rPr>
        <w:t>mis</w:t>
      </w:r>
      <w:r w:rsidR="00CE7A12">
        <w:rPr>
          <w:rFonts w:cs="Arial"/>
          <w:noProof/>
          <w:color w:val="000000"/>
          <w:szCs w:val="24"/>
        </w:rPr>
        <w:t xml:space="preserve">use of drones and </w:t>
      </w:r>
      <w:r w:rsidR="00CE7A12" w:rsidRPr="00D40F0F">
        <w:rPr>
          <w:rFonts w:cs="Arial"/>
          <w:noProof/>
          <w:color w:val="000000"/>
          <w:szCs w:val="24"/>
        </w:rPr>
        <w:t>cybercrime</w:t>
      </w:r>
      <w:r w:rsidR="00CC5176" w:rsidRPr="00F03D88">
        <w:rPr>
          <w:rFonts w:cs="Arial"/>
          <w:noProof/>
          <w:color w:val="000000"/>
          <w:szCs w:val="24"/>
        </w:rPr>
        <w:t>.</w:t>
      </w:r>
      <w:r w:rsidR="00BF1C58" w:rsidRPr="00F03D88">
        <w:rPr>
          <w:rFonts w:cs="Arial"/>
          <w:noProof/>
          <w:color w:val="000000"/>
          <w:szCs w:val="24"/>
        </w:rPr>
        <w:t xml:space="preserve"> </w:t>
      </w:r>
      <w:r w:rsidR="00F23969" w:rsidRPr="00E83B32">
        <w:rPr>
          <w:rFonts w:cs="Arial"/>
          <w:noProof/>
          <w:color w:val="000000"/>
          <w:szCs w:val="24"/>
        </w:rPr>
        <w:t>S</w:t>
      </w:r>
      <w:r w:rsidR="008F21CC" w:rsidRPr="00E83B32">
        <w:rPr>
          <w:rFonts w:cs="Arial"/>
          <w:noProof/>
          <w:color w:val="000000"/>
          <w:szCs w:val="24"/>
        </w:rPr>
        <w:t>ome</w:t>
      </w:r>
      <w:r w:rsidR="008F21CC" w:rsidRPr="00F03D88">
        <w:rPr>
          <w:rFonts w:cs="Arial"/>
          <w:noProof/>
          <w:color w:val="000000"/>
          <w:szCs w:val="24"/>
        </w:rPr>
        <w:t xml:space="preserve"> stakeholders highlighted that for the support to remain relevant </w:t>
      </w:r>
      <w:r w:rsidRPr="00E83B32">
        <w:rPr>
          <w:rFonts w:cs="Arial"/>
          <w:noProof/>
          <w:color w:val="000000"/>
          <w:szCs w:val="24"/>
        </w:rPr>
        <w:t>in future years</w:t>
      </w:r>
      <w:r w:rsidR="008F21CC" w:rsidRPr="00F03D88">
        <w:rPr>
          <w:rFonts w:cs="Arial"/>
          <w:noProof/>
          <w:color w:val="000000"/>
          <w:szCs w:val="24"/>
        </w:rPr>
        <w:t xml:space="preserve">, it was important to continuously adapt the </w:t>
      </w:r>
      <w:r w:rsidRPr="00E83B32">
        <w:rPr>
          <w:rFonts w:cs="Arial"/>
          <w:noProof/>
          <w:color w:val="000000"/>
          <w:szCs w:val="24"/>
        </w:rPr>
        <w:t>focus of the p</w:t>
      </w:r>
      <w:r w:rsidR="008F21CC" w:rsidRPr="00F03D88">
        <w:rPr>
          <w:rFonts w:cs="Arial"/>
          <w:noProof/>
          <w:color w:val="000000"/>
          <w:szCs w:val="24"/>
        </w:rPr>
        <w:t>rogramme to the ever-changing fraud landscape, in particular</w:t>
      </w:r>
      <w:r w:rsidR="008F21CC" w:rsidRPr="00E83B32">
        <w:rPr>
          <w:rFonts w:cs="Arial"/>
          <w:noProof/>
          <w:color w:val="000000"/>
          <w:szCs w:val="24"/>
        </w:rPr>
        <w:t xml:space="preserve"> </w:t>
      </w:r>
      <w:r w:rsidR="00F23969" w:rsidRPr="00E83B32">
        <w:rPr>
          <w:rFonts w:cs="Arial"/>
          <w:noProof/>
          <w:color w:val="000000"/>
          <w:szCs w:val="24"/>
        </w:rPr>
        <w:t>to</w:t>
      </w:r>
      <w:r w:rsidR="008F21CC" w:rsidRPr="00F03D88">
        <w:rPr>
          <w:rFonts w:cs="Arial"/>
          <w:noProof/>
          <w:color w:val="000000"/>
          <w:szCs w:val="24"/>
        </w:rPr>
        <w:t xml:space="preserve"> new threats and new technologies.</w:t>
      </w:r>
    </w:p>
    <w:p w14:paraId="6556A9A7" w14:textId="77777777" w:rsidR="009E7DA1" w:rsidRDefault="0001745B">
      <w:pPr>
        <w:pStyle w:val="Heading2"/>
        <w:rPr>
          <w:noProof/>
        </w:rPr>
      </w:pPr>
      <w:r w:rsidRPr="00E631A6">
        <w:rPr>
          <w:noProof/>
        </w:rPr>
        <w:t>Effectiveness</w:t>
      </w:r>
    </w:p>
    <w:p w14:paraId="48B7674D" w14:textId="00F84D74" w:rsidR="00E631A6" w:rsidRDefault="00CE03E1" w:rsidP="00CE03E1">
      <w:pPr>
        <w:autoSpaceDE w:val="0"/>
        <w:autoSpaceDN w:val="0"/>
        <w:adjustRightInd w:val="0"/>
        <w:spacing w:line="288" w:lineRule="auto"/>
        <w:rPr>
          <w:rFonts w:cs="Arial"/>
          <w:noProof/>
          <w:color w:val="000000"/>
          <w:szCs w:val="24"/>
        </w:rPr>
      </w:pPr>
      <w:r w:rsidRPr="00CE03E1">
        <w:rPr>
          <w:rFonts w:cs="Arial"/>
          <w:noProof/>
          <w:color w:val="000000"/>
          <w:szCs w:val="24"/>
        </w:rPr>
        <w:t xml:space="preserve">The evaluation </w:t>
      </w:r>
      <w:r w:rsidR="0088308D" w:rsidRPr="00E83B32">
        <w:rPr>
          <w:rFonts w:cs="Arial"/>
          <w:noProof/>
          <w:color w:val="000000"/>
          <w:szCs w:val="24"/>
        </w:rPr>
        <w:t>conclud</w:t>
      </w:r>
      <w:r w:rsidRPr="00CE03E1">
        <w:rPr>
          <w:rFonts w:cs="Arial"/>
          <w:noProof/>
          <w:color w:val="000000"/>
          <w:szCs w:val="24"/>
        </w:rPr>
        <w:t xml:space="preserve">ed that the </w:t>
      </w:r>
      <w:r w:rsidR="0088308D" w:rsidRPr="00E83B32">
        <w:rPr>
          <w:rFonts w:cs="Arial"/>
          <w:noProof/>
          <w:color w:val="000000"/>
          <w:szCs w:val="24"/>
        </w:rPr>
        <w:t>p</w:t>
      </w:r>
      <w:r w:rsidRPr="00CE03E1">
        <w:rPr>
          <w:rFonts w:cs="Arial"/>
          <w:noProof/>
          <w:color w:val="000000"/>
          <w:szCs w:val="24"/>
        </w:rPr>
        <w:t xml:space="preserve">rogramme </w:t>
      </w:r>
      <w:r w:rsidR="00691A59">
        <w:rPr>
          <w:rFonts w:cs="Arial"/>
          <w:noProof/>
          <w:color w:val="000000"/>
          <w:szCs w:val="24"/>
        </w:rPr>
        <w:t>was</w:t>
      </w:r>
      <w:r w:rsidRPr="00CE03E1">
        <w:rPr>
          <w:rFonts w:cs="Arial"/>
          <w:noProof/>
          <w:color w:val="000000"/>
          <w:szCs w:val="24"/>
        </w:rPr>
        <w:t xml:space="preserve"> </w:t>
      </w:r>
      <w:r w:rsidRPr="008405F8">
        <w:rPr>
          <w:rFonts w:cs="Arial"/>
          <w:b/>
          <w:noProof/>
          <w:color w:val="000000"/>
          <w:szCs w:val="24"/>
        </w:rPr>
        <w:t>effective</w:t>
      </w:r>
      <w:r w:rsidRPr="00CE03E1">
        <w:rPr>
          <w:rFonts w:cs="Arial"/>
          <w:noProof/>
          <w:color w:val="000000"/>
          <w:szCs w:val="24"/>
        </w:rPr>
        <w:t xml:space="preserve"> in its technical assistance and training by contributing to </w:t>
      </w:r>
      <w:r w:rsidR="0088308D" w:rsidRPr="00E83B32">
        <w:rPr>
          <w:rFonts w:cs="Arial"/>
          <w:noProof/>
          <w:color w:val="000000"/>
          <w:szCs w:val="24"/>
        </w:rPr>
        <w:t>its stated</w:t>
      </w:r>
      <w:r w:rsidRPr="00CE03E1">
        <w:rPr>
          <w:rFonts w:cs="Arial"/>
          <w:noProof/>
          <w:color w:val="000000"/>
          <w:szCs w:val="24"/>
        </w:rPr>
        <w:t xml:space="preserve"> objectives</w:t>
      </w:r>
      <w:r w:rsidR="006A6CD8">
        <w:rPr>
          <w:rFonts w:cs="Arial"/>
          <w:noProof/>
          <w:color w:val="000000"/>
          <w:szCs w:val="24"/>
        </w:rPr>
        <w:t xml:space="preserve">. Stakeholders highlighted </w:t>
      </w:r>
      <w:r w:rsidR="00417F91">
        <w:rPr>
          <w:rFonts w:cs="Arial"/>
          <w:noProof/>
          <w:color w:val="000000"/>
          <w:szCs w:val="24"/>
        </w:rPr>
        <w:t xml:space="preserve">for example </w:t>
      </w:r>
      <w:r w:rsidR="006A6CD8">
        <w:rPr>
          <w:rFonts w:cs="Arial"/>
          <w:noProof/>
          <w:color w:val="000000"/>
          <w:szCs w:val="24"/>
        </w:rPr>
        <w:t>that the funded activities</w:t>
      </w:r>
      <w:r w:rsidR="00691A59">
        <w:rPr>
          <w:rFonts w:cs="Arial"/>
          <w:noProof/>
          <w:color w:val="000000"/>
          <w:szCs w:val="24"/>
        </w:rPr>
        <w:t xml:space="preserve"> minimis</w:t>
      </w:r>
      <w:r w:rsidR="006A6CD8">
        <w:rPr>
          <w:rFonts w:cs="Arial"/>
          <w:noProof/>
          <w:color w:val="000000"/>
          <w:szCs w:val="24"/>
        </w:rPr>
        <w:t>ed</w:t>
      </w:r>
      <w:r w:rsidR="00691A59">
        <w:rPr>
          <w:rFonts w:cs="Arial"/>
          <w:noProof/>
          <w:color w:val="000000"/>
          <w:szCs w:val="24"/>
        </w:rPr>
        <w:t xml:space="preserve"> risk in </w:t>
      </w:r>
      <w:r w:rsidRPr="00CE03E1">
        <w:rPr>
          <w:rFonts w:cs="Arial"/>
          <w:noProof/>
          <w:color w:val="000000"/>
          <w:szCs w:val="24"/>
        </w:rPr>
        <w:t>key areas of cigarette smuggling and counterfeiting</w:t>
      </w:r>
      <w:r w:rsidR="00CC5979" w:rsidRPr="00E83B32">
        <w:rPr>
          <w:rFonts w:cs="Arial"/>
          <w:noProof/>
          <w:color w:val="000000"/>
          <w:szCs w:val="24"/>
        </w:rPr>
        <w:t xml:space="preserve">, </w:t>
      </w:r>
      <w:r w:rsidRPr="00CE03E1">
        <w:rPr>
          <w:rFonts w:cs="Arial"/>
          <w:noProof/>
          <w:color w:val="000000"/>
          <w:szCs w:val="24"/>
        </w:rPr>
        <w:t>improv</w:t>
      </w:r>
      <w:r w:rsidR="006A6CD8">
        <w:rPr>
          <w:rFonts w:cs="Arial"/>
          <w:noProof/>
          <w:color w:val="000000"/>
          <w:szCs w:val="24"/>
        </w:rPr>
        <w:t>ed</w:t>
      </w:r>
      <w:r w:rsidRPr="00CE03E1">
        <w:rPr>
          <w:rFonts w:cs="Arial"/>
          <w:noProof/>
          <w:color w:val="000000"/>
          <w:szCs w:val="24"/>
        </w:rPr>
        <w:t xml:space="preserve"> </w:t>
      </w:r>
      <w:r w:rsidR="0088308D" w:rsidRPr="00E83B32">
        <w:rPr>
          <w:rFonts w:cs="Arial"/>
          <w:noProof/>
          <w:color w:val="000000"/>
          <w:szCs w:val="24"/>
        </w:rPr>
        <w:t xml:space="preserve">the </w:t>
      </w:r>
      <w:r w:rsidRPr="00CE03E1">
        <w:rPr>
          <w:rFonts w:cs="Arial"/>
          <w:noProof/>
          <w:color w:val="000000"/>
          <w:szCs w:val="24"/>
        </w:rPr>
        <w:t>prevention and investigation of fraud cases</w:t>
      </w:r>
      <w:r w:rsidR="00CC5979" w:rsidRPr="00E83B32">
        <w:rPr>
          <w:rFonts w:cs="Arial"/>
          <w:noProof/>
          <w:color w:val="000000"/>
          <w:szCs w:val="24"/>
        </w:rPr>
        <w:t>,</w:t>
      </w:r>
      <w:r w:rsidRPr="00CE03E1">
        <w:rPr>
          <w:rFonts w:cs="Arial"/>
          <w:noProof/>
          <w:color w:val="000000"/>
          <w:szCs w:val="24"/>
        </w:rPr>
        <w:t xml:space="preserve"> facilitat</w:t>
      </w:r>
      <w:r w:rsidR="006A6CD8">
        <w:rPr>
          <w:rFonts w:cs="Arial"/>
          <w:noProof/>
          <w:color w:val="000000"/>
          <w:szCs w:val="24"/>
        </w:rPr>
        <w:t>ed</w:t>
      </w:r>
      <w:r w:rsidRPr="00CE03E1">
        <w:rPr>
          <w:rFonts w:cs="Arial"/>
          <w:noProof/>
          <w:color w:val="000000"/>
          <w:szCs w:val="24"/>
        </w:rPr>
        <w:t xml:space="preserve"> the coordination of anti-fraud activities, exchange of information, knowledge, experience and best practice, as well as developing high-profile research activities</w:t>
      </w:r>
      <w:r w:rsidR="00CC5979" w:rsidRPr="00E83B32">
        <w:rPr>
          <w:rFonts w:cs="Arial"/>
          <w:noProof/>
          <w:color w:val="000000"/>
          <w:szCs w:val="24"/>
        </w:rPr>
        <w:t>,</w:t>
      </w:r>
      <w:r w:rsidRPr="00CE03E1">
        <w:rPr>
          <w:rFonts w:cs="Arial"/>
          <w:noProof/>
          <w:color w:val="000000"/>
          <w:szCs w:val="24"/>
        </w:rPr>
        <w:t xml:space="preserve"> improv</w:t>
      </w:r>
      <w:r w:rsidR="006A6CD8">
        <w:rPr>
          <w:rFonts w:cs="Arial"/>
          <w:noProof/>
          <w:color w:val="000000"/>
          <w:szCs w:val="24"/>
        </w:rPr>
        <w:t>ed</w:t>
      </w:r>
      <w:r w:rsidRPr="00CE03E1">
        <w:rPr>
          <w:rFonts w:cs="Arial"/>
          <w:noProof/>
          <w:color w:val="000000"/>
          <w:szCs w:val="24"/>
        </w:rPr>
        <w:t xml:space="preserve"> cooperation between practitioners and academics</w:t>
      </w:r>
      <w:r w:rsidR="00CC5979" w:rsidRPr="00E83B32">
        <w:rPr>
          <w:rFonts w:cs="Arial"/>
          <w:noProof/>
          <w:color w:val="000000"/>
          <w:szCs w:val="24"/>
        </w:rPr>
        <w:t>,</w:t>
      </w:r>
      <w:r w:rsidRPr="00CE03E1">
        <w:rPr>
          <w:rFonts w:cs="Arial"/>
          <w:noProof/>
          <w:color w:val="000000"/>
          <w:szCs w:val="24"/>
        </w:rPr>
        <w:t xml:space="preserve"> and rais</w:t>
      </w:r>
      <w:r w:rsidR="006A6CD8">
        <w:rPr>
          <w:rFonts w:cs="Arial"/>
          <w:noProof/>
          <w:color w:val="000000"/>
          <w:szCs w:val="24"/>
        </w:rPr>
        <w:t>ed</w:t>
      </w:r>
      <w:r w:rsidRPr="00CE03E1">
        <w:rPr>
          <w:rFonts w:cs="Arial"/>
          <w:noProof/>
          <w:color w:val="000000"/>
          <w:szCs w:val="24"/>
        </w:rPr>
        <w:t xml:space="preserve"> awareness of magistrates and legal practitioners in the field of criminal law</w:t>
      </w:r>
      <w:r w:rsidR="009B7398">
        <w:rPr>
          <w:rFonts w:cs="Arial"/>
          <w:noProof/>
          <w:color w:val="000000"/>
          <w:szCs w:val="24"/>
        </w:rPr>
        <w:t xml:space="preserve"> through conferences</w:t>
      </w:r>
      <w:r w:rsidRPr="00CE03E1">
        <w:rPr>
          <w:rFonts w:cs="Arial"/>
          <w:noProof/>
          <w:color w:val="000000"/>
          <w:szCs w:val="24"/>
        </w:rPr>
        <w:t>.</w:t>
      </w:r>
    </w:p>
    <w:p w14:paraId="3F02C393" w14:textId="77777777" w:rsidR="00417F91" w:rsidRDefault="008405F8" w:rsidP="00CE03E1">
      <w:pPr>
        <w:autoSpaceDE w:val="0"/>
        <w:autoSpaceDN w:val="0"/>
        <w:adjustRightInd w:val="0"/>
        <w:spacing w:line="288" w:lineRule="auto"/>
        <w:rPr>
          <w:rFonts w:cs="Arial"/>
          <w:noProof/>
          <w:color w:val="000000"/>
          <w:szCs w:val="24"/>
        </w:rPr>
      </w:pPr>
      <w:r>
        <w:rPr>
          <w:rFonts w:cs="Arial"/>
          <w:noProof/>
          <w:color w:val="000000"/>
          <w:szCs w:val="24"/>
        </w:rPr>
        <w:t xml:space="preserve">There was </w:t>
      </w:r>
      <w:r w:rsidR="006A6CD8">
        <w:rPr>
          <w:rFonts w:cs="Arial"/>
          <w:noProof/>
          <w:color w:val="000000"/>
          <w:szCs w:val="24"/>
        </w:rPr>
        <w:t xml:space="preserve">a </w:t>
      </w:r>
      <w:r w:rsidR="0088308D" w:rsidRPr="00E83B32">
        <w:rPr>
          <w:rFonts w:cs="Arial"/>
          <w:noProof/>
          <w:color w:val="000000"/>
          <w:szCs w:val="24"/>
        </w:rPr>
        <w:t>broad</w:t>
      </w:r>
      <w:r w:rsidR="006A6CD8">
        <w:rPr>
          <w:rFonts w:cs="Arial"/>
          <w:noProof/>
          <w:color w:val="000000"/>
          <w:szCs w:val="24"/>
        </w:rPr>
        <w:t xml:space="preserve"> </w:t>
      </w:r>
      <w:r>
        <w:rPr>
          <w:rFonts w:cs="Arial"/>
          <w:noProof/>
          <w:color w:val="000000"/>
          <w:szCs w:val="24"/>
        </w:rPr>
        <w:t>consensus among different stakeholders that t</w:t>
      </w:r>
      <w:r w:rsidR="003965BD">
        <w:rPr>
          <w:rFonts w:cs="Arial"/>
          <w:noProof/>
          <w:color w:val="000000"/>
          <w:szCs w:val="24"/>
        </w:rPr>
        <w:t>echnical assistance</w:t>
      </w:r>
      <w:r w:rsidR="00CE03E1" w:rsidRPr="00CE03E1">
        <w:rPr>
          <w:rFonts w:cs="Arial"/>
          <w:noProof/>
          <w:color w:val="000000"/>
          <w:szCs w:val="24"/>
        </w:rPr>
        <w:t xml:space="preserve"> </w:t>
      </w:r>
      <w:r w:rsidR="00E1351A" w:rsidRPr="00E83B32">
        <w:rPr>
          <w:rFonts w:cs="Arial"/>
          <w:noProof/>
          <w:color w:val="000000"/>
          <w:szCs w:val="24"/>
        </w:rPr>
        <w:t xml:space="preserve">measures </w:t>
      </w:r>
      <w:r w:rsidR="00D106CF">
        <w:rPr>
          <w:rFonts w:cs="Arial"/>
          <w:noProof/>
          <w:color w:val="000000"/>
          <w:szCs w:val="24"/>
        </w:rPr>
        <w:t>(</w:t>
      </w:r>
      <w:r w:rsidR="00417F91">
        <w:rPr>
          <w:rFonts w:cs="Arial"/>
          <w:noProof/>
          <w:color w:val="000000"/>
          <w:szCs w:val="24"/>
        </w:rPr>
        <w:t xml:space="preserve">such as </w:t>
      </w:r>
      <w:r w:rsidR="00D106CF">
        <w:rPr>
          <w:rFonts w:cs="Arial"/>
          <w:noProof/>
          <w:color w:val="000000"/>
          <w:szCs w:val="24"/>
        </w:rPr>
        <w:t xml:space="preserve">financing </w:t>
      </w:r>
      <w:r w:rsidR="00417F91">
        <w:rPr>
          <w:rFonts w:cs="Arial"/>
          <w:noProof/>
          <w:color w:val="000000"/>
          <w:szCs w:val="24"/>
        </w:rPr>
        <w:t xml:space="preserve">the </w:t>
      </w:r>
      <w:r w:rsidR="00E1351A" w:rsidRPr="00E83B32">
        <w:rPr>
          <w:rFonts w:cs="Arial"/>
          <w:noProof/>
          <w:color w:val="000000"/>
          <w:szCs w:val="24"/>
        </w:rPr>
        <w:t>purchase</w:t>
      </w:r>
      <w:r w:rsidR="00D106CF">
        <w:rPr>
          <w:rFonts w:cs="Arial"/>
          <w:noProof/>
          <w:color w:val="000000"/>
          <w:szCs w:val="24"/>
        </w:rPr>
        <w:t xml:space="preserve"> of scanners to detect smuggled goods, </w:t>
      </w:r>
      <w:r w:rsidR="00417F91">
        <w:rPr>
          <w:rFonts w:cs="Arial"/>
          <w:noProof/>
          <w:color w:val="000000"/>
          <w:szCs w:val="24"/>
        </w:rPr>
        <w:t xml:space="preserve">or </w:t>
      </w:r>
      <w:r w:rsidR="00E1351A" w:rsidRPr="00E83B32">
        <w:rPr>
          <w:rFonts w:cs="Arial"/>
          <w:noProof/>
          <w:color w:val="000000"/>
          <w:szCs w:val="24"/>
        </w:rPr>
        <w:t xml:space="preserve">funding training in </w:t>
      </w:r>
      <w:r w:rsidR="00D106CF">
        <w:rPr>
          <w:rFonts w:cs="Arial"/>
          <w:noProof/>
          <w:color w:val="000000"/>
          <w:szCs w:val="24"/>
        </w:rPr>
        <w:t xml:space="preserve">digital </w:t>
      </w:r>
      <w:r w:rsidR="00D106CF" w:rsidRPr="00E83B32">
        <w:rPr>
          <w:rFonts w:cs="Arial"/>
          <w:noProof/>
          <w:color w:val="000000"/>
          <w:szCs w:val="24"/>
        </w:rPr>
        <w:t>forensic</w:t>
      </w:r>
      <w:r w:rsidR="00E1351A" w:rsidRPr="00E83B32">
        <w:rPr>
          <w:rFonts w:cs="Arial"/>
          <w:noProof/>
          <w:color w:val="000000"/>
          <w:szCs w:val="24"/>
        </w:rPr>
        <w:t>s</w:t>
      </w:r>
      <w:r w:rsidR="00D106CF">
        <w:rPr>
          <w:rFonts w:cs="Arial"/>
          <w:noProof/>
          <w:color w:val="000000"/>
          <w:szCs w:val="24"/>
        </w:rPr>
        <w:t xml:space="preserve">) </w:t>
      </w:r>
      <w:r>
        <w:rPr>
          <w:rFonts w:cs="Arial"/>
          <w:noProof/>
          <w:color w:val="000000"/>
          <w:szCs w:val="24"/>
        </w:rPr>
        <w:t>provided support to th</w:t>
      </w:r>
      <w:r w:rsidR="00D106CF">
        <w:rPr>
          <w:rFonts w:cs="Arial"/>
          <w:noProof/>
          <w:color w:val="000000"/>
          <w:szCs w:val="24"/>
        </w:rPr>
        <w:t>e law enforcement authorities in</w:t>
      </w:r>
      <w:r>
        <w:rPr>
          <w:rFonts w:cs="Arial"/>
          <w:noProof/>
          <w:color w:val="000000"/>
          <w:szCs w:val="24"/>
        </w:rPr>
        <w:t xml:space="preserve"> the Member States in their </w:t>
      </w:r>
      <w:r w:rsidR="00CC5979" w:rsidRPr="00E83B32">
        <w:rPr>
          <w:rFonts w:cs="Arial"/>
          <w:noProof/>
          <w:color w:val="000000"/>
          <w:szCs w:val="24"/>
        </w:rPr>
        <w:t xml:space="preserve">work to combat </w:t>
      </w:r>
      <w:r>
        <w:rPr>
          <w:rFonts w:cs="Arial"/>
          <w:noProof/>
          <w:color w:val="000000"/>
          <w:szCs w:val="24"/>
        </w:rPr>
        <w:t xml:space="preserve">illegal cross-border activities. </w:t>
      </w:r>
    </w:p>
    <w:p w14:paraId="6815A6A2" w14:textId="77777777" w:rsidR="00CE03E1" w:rsidRDefault="008405F8" w:rsidP="00CE03E1">
      <w:pPr>
        <w:autoSpaceDE w:val="0"/>
        <w:autoSpaceDN w:val="0"/>
        <w:adjustRightInd w:val="0"/>
        <w:spacing w:line="288" w:lineRule="auto"/>
        <w:rPr>
          <w:rFonts w:cs="Arial"/>
          <w:noProof/>
          <w:color w:val="000000"/>
          <w:szCs w:val="24"/>
        </w:rPr>
      </w:pPr>
      <w:r>
        <w:rPr>
          <w:rFonts w:cs="Arial"/>
          <w:noProof/>
          <w:color w:val="000000"/>
          <w:szCs w:val="24"/>
        </w:rPr>
        <w:t>T</w:t>
      </w:r>
      <w:r w:rsidR="00CE03E1" w:rsidRPr="00CE03E1">
        <w:rPr>
          <w:rFonts w:cs="Arial"/>
          <w:noProof/>
          <w:color w:val="000000"/>
          <w:szCs w:val="24"/>
        </w:rPr>
        <w:t>he</w:t>
      </w:r>
      <w:r w:rsidR="00CE03E1" w:rsidRPr="00E83B32">
        <w:rPr>
          <w:rFonts w:cs="Arial"/>
          <w:noProof/>
          <w:color w:val="000000"/>
          <w:szCs w:val="24"/>
        </w:rPr>
        <w:t xml:space="preserve"> </w:t>
      </w:r>
      <w:r w:rsidR="00E1351A" w:rsidRPr="00E83B32">
        <w:rPr>
          <w:rFonts w:cs="Arial"/>
          <w:noProof/>
          <w:color w:val="000000"/>
          <w:szCs w:val="24"/>
        </w:rPr>
        <w:t>purchase</w:t>
      </w:r>
      <w:r w:rsidR="00CE03E1" w:rsidRPr="00CE03E1">
        <w:rPr>
          <w:rFonts w:cs="Arial"/>
          <w:noProof/>
          <w:color w:val="000000"/>
          <w:szCs w:val="24"/>
        </w:rPr>
        <w:t xml:space="preserve"> of modern equipment </w:t>
      </w:r>
      <w:r>
        <w:rPr>
          <w:rFonts w:cs="Arial"/>
          <w:noProof/>
          <w:color w:val="000000"/>
          <w:szCs w:val="24"/>
        </w:rPr>
        <w:t xml:space="preserve">also </w:t>
      </w:r>
      <w:r w:rsidR="00E1351A" w:rsidRPr="00E83B32">
        <w:rPr>
          <w:rFonts w:cs="Arial"/>
          <w:noProof/>
          <w:color w:val="000000"/>
          <w:szCs w:val="24"/>
        </w:rPr>
        <w:t xml:space="preserve">produced </w:t>
      </w:r>
      <w:r w:rsidR="00CE03E1" w:rsidRPr="00CE03E1">
        <w:rPr>
          <w:rFonts w:cs="Arial"/>
          <w:noProof/>
          <w:color w:val="000000"/>
          <w:szCs w:val="24"/>
        </w:rPr>
        <w:t xml:space="preserve">a number of positive effects that are not among the primary </w:t>
      </w:r>
      <w:r w:rsidR="00E1351A" w:rsidRPr="00E83B32">
        <w:rPr>
          <w:rFonts w:cs="Arial"/>
          <w:noProof/>
          <w:color w:val="000000"/>
          <w:szCs w:val="24"/>
        </w:rPr>
        <w:t xml:space="preserve">programme </w:t>
      </w:r>
      <w:r w:rsidR="00CE03E1" w:rsidRPr="00CE03E1">
        <w:rPr>
          <w:rFonts w:cs="Arial"/>
          <w:noProof/>
          <w:color w:val="000000"/>
          <w:szCs w:val="24"/>
        </w:rPr>
        <w:t>objectives, but nevertheless benefit nat</w:t>
      </w:r>
      <w:r w:rsidR="003965BD">
        <w:rPr>
          <w:rFonts w:cs="Arial"/>
          <w:noProof/>
          <w:color w:val="000000"/>
          <w:szCs w:val="24"/>
        </w:rPr>
        <w:t>ional law enforcement agencies</w:t>
      </w:r>
      <w:r w:rsidR="00CC5979" w:rsidRPr="00E83B32">
        <w:rPr>
          <w:rFonts w:cs="Arial"/>
          <w:noProof/>
          <w:color w:val="000000"/>
          <w:szCs w:val="24"/>
        </w:rPr>
        <w:t>. For example</w:t>
      </w:r>
      <w:r w:rsidR="003965BD" w:rsidRPr="00E83B32">
        <w:rPr>
          <w:rFonts w:cs="Arial"/>
          <w:noProof/>
          <w:color w:val="000000"/>
          <w:szCs w:val="24"/>
        </w:rPr>
        <w:t xml:space="preserve">, </w:t>
      </w:r>
      <w:r w:rsidR="00CC5979" w:rsidRPr="00E83B32">
        <w:rPr>
          <w:rFonts w:cs="Arial"/>
          <w:noProof/>
          <w:color w:val="000000"/>
          <w:szCs w:val="24"/>
        </w:rPr>
        <w:t>the</w:t>
      </w:r>
      <w:r w:rsidR="00CE03E1" w:rsidRPr="00CE03E1">
        <w:rPr>
          <w:rFonts w:cs="Arial"/>
          <w:noProof/>
          <w:color w:val="000000"/>
          <w:szCs w:val="24"/>
        </w:rPr>
        <w:t xml:space="preserve"> equipment </w:t>
      </w:r>
      <w:r w:rsidR="00E1351A" w:rsidRPr="00E83B32">
        <w:rPr>
          <w:rFonts w:cs="Arial"/>
          <w:noProof/>
          <w:color w:val="000000"/>
          <w:szCs w:val="24"/>
        </w:rPr>
        <w:t xml:space="preserve">purchased </w:t>
      </w:r>
      <w:r w:rsidR="00CE03E1" w:rsidRPr="00CE03E1">
        <w:rPr>
          <w:rFonts w:cs="Arial"/>
          <w:noProof/>
          <w:color w:val="000000"/>
          <w:szCs w:val="24"/>
        </w:rPr>
        <w:t xml:space="preserve">to </w:t>
      </w:r>
      <w:r w:rsidR="00E1351A" w:rsidRPr="00E83B32">
        <w:rPr>
          <w:rFonts w:cs="Arial"/>
          <w:noProof/>
          <w:color w:val="000000"/>
          <w:szCs w:val="24"/>
        </w:rPr>
        <w:t>carry out</w:t>
      </w:r>
      <w:r w:rsidR="00CE03E1" w:rsidRPr="00CE03E1">
        <w:rPr>
          <w:rFonts w:cs="Arial"/>
          <w:noProof/>
          <w:color w:val="000000"/>
          <w:szCs w:val="24"/>
        </w:rPr>
        <w:t xml:space="preserve"> border checks had proven useful </w:t>
      </w:r>
      <w:r w:rsidR="00CC5979" w:rsidRPr="00E83B32">
        <w:rPr>
          <w:rFonts w:cs="Arial"/>
          <w:noProof/>
          <w:color w:val="000000"/>
          <w:szCs w:val="24"/>
        </w:rPr>
        <w:t>in</w:t>
      </w:r>
      <w:r w:rsidR="00CE03E1" w:rsidRPr="00E83B32">
        <w:rPr>
          <w:rFonts w:cs="Arial"/>
          <w:noProof/>
          <w:color w:val="000000"/>
          <w:szCs w:val="24"/>
        </w:rPr>
        <w:t xml:space="preserve"> detect</w:t>
      </w:r>
      <w:r w:rsidR="00CC5979" w:rsidRPr="00E83B32">
        <w:rPr>
          <w:rFonts w:cs="Arial"/>
          <w:noProof/>
          <w:color w:val="000000"/>
          <w:szCs w:val="24"/>
        </w:rPr>
        <w:t>ing</w:t>
      </w:r>
      <w:r w:rsidR="00CE03E1" w:rsidRPr="00CE03E1">
        <w:rPr>
          <w:rFonts w:cs="Arial"/>
          <w:noProof/>
          <w:color w:val="000000"/>
          <w:szCs w:val="24"/>
        </w:rPr>
        <w:t xml:space="preserve"> illegal drugs or weapons. </w:t>
      </w:r>
      <w:r w:rsidR="00D106CF">
        <w:rPr>
          <w:rFonts w:cs="Arial"/>
          <w:noProof/>
          <w:color w:val="000000"/>
          <w:szCs w:val="24"/>
        </w:rPr>
        <w:t>This</w:t>
      </w:r>
      <w:r>
        <w:rPr>
          <w:rFonts w:cs="Arial"/>
          <w:noProof/>
          <w:color w:val="000000"/>
          <w:szCs w:val="24"/>
        </w:rPr>
        <w:t xml:space="preserve"> proved also </w:t>
      </w:r>
      <w:r w:rsidR="00CE03E1" w:rsidRPr="00CE03E1">
        <w:rPr>
          <w:rFonts w:cs="Arial"/>
          <w:noProof/>
          <w:color w:val="000000"/>
          <w:szCs w:val="24"/>
        </w:rPr>
        <w:t xml:space="preserve">useful in seizing illegal substances or artefacts that do not primarily </w:t>
      </w:r>
      <w:r w:rsidR="00CC5979" w:rsidRPr="00E83B32">
        <w:rPr>
          <w:rFonts w:cs="Arial"/>
          <w:noProof/>
          <w:color w:val="000000"/>
          <w:szCs w:val="24"/>
        </w:rPr>
        <w:t>undermine</w:t>
      </w:r>
      <w:r w:rsidR="00CE03E1" w:rsidRPr="00CE03E1">
        <w:rPr>
          <w:rFonts w:cs="Arial"/>
          <w:noProof/>
          <w:color w:val="000000"/>
          <w:szCs w:val="24"/>
        </w:rPr>
        <w:t xml:space="preserve"> the </w:t>
      </w:r>
      <w:r w:rsidR="00E1351A" w:rsidRPr="00E83B32">
        <w:rPr>
          <w:rFonts w:cs="Arial"/>
          <w:noProof/>
          <w:color w:val="000000"/>
          <w:szCs w:val="24"/>
        </w:rPr>
        <w:t xml:space="preserve">EU’s </w:t>
      </w:r>
      <w:r w:rsidR="00CE03E1" w:rsidRPr="00CE03E1">
        <w:rPr>
          <w:rFonts w:cs="Arial"/>
          <w:noProof/>
          <w:color w:val="000000"/>
          <w:szCs w:val="24"/>
        </w:rPr>
        <w:t xml:space="preserve">financial </w:t>
      </w:r>
      <w:r w:rsidR="00CE03E1" w:rsidRPr="00E83B32">
        <w:rPr>
          <w:rFonts w:cs="Arial"/>
          <w:noProof/>
          <w:color w:val="000000"/>
          <w:szCs w:val="24"/>
        </w:rPr>
        <w:t>interest</w:t>
      </w:r>
      <w:r w:rsidR="00E1351A" w:rsidRPr="00E83B32">
        <w:rPr>
          <w:rFonts w:cs="Arial"/>
          <w:noProof/>
          <w:color w:val="000000"/>
          <w:szCs w:val="24"/>
        </w:rPr>
        <w:t>s</w:t>
      </w:r>
      <w:r w:rsidR="00CE03E1" w:rsidRPr="00CE03E1">
        <w:rPr>
          <w:rFonts w:cs="Arial"/>
          <w:noProof/>
          <w:color w:val="000000"/>
          <w:szCs w:val="24"/>
        </w:rPr>
        <w:t xml:space="preserve"> but pose a more general secur</w:t>
      </w:r>
      <w:r w:rsidR="009B7398">
        <w:rPr>
          <w:rFonts w:cs="Arial"/>
          <w:noProof/>
          <w:color w:val="000000"/>
          <w:szCs w:val="24"/>
        </w:rPr>
        <w:t xml:space="preserve">ity threat to </w:t>
      </w:r>
      <w:r>
        <w:rPr>
          <w:rFonts w:cs="Arial"/>
          <w:noProof/>
          <w:color w:val="000000"/>
          <w:szCs w:val="24"/>
        </w:rPr>
        <w:t>the</w:t>
      </w:r>
      <w:r w:rsidR="009B7398">
        <w:rPr>
          <w:rFonts w:cs="Arial"/>
          <w:noProof/>
          <w:color w:val="000000"/>
          <w:szCs w:val="24"/>
        </w:rPr>
        <w:t xml:space="preserve"> Member States. </w:t>
      </w:r>
      <w:r>
        <w:rPr>
          <w:rFonts w:cs="Arial"/>
          <w:noProof/>
          <w:color w:val="000000"/>
          <w:szCs w:val="24"/>
        </w:rPr>
        <w:t xml:space="preserve">The acquisition of modern </w:t>
      </w:r>
      <w:r w:rsidR="00CE03E1" w:rsidRPr="00CE03E1">
        <w:rPr>
          <w:rFonts w:cs="Arial"/>
          <w:noProof/>
          <w:color w:val="000000"/>
          <w:szCs w:val="24"/>
        </w:rPr>
        <w:t xml:space="preserve">technical equipment </w:t>
      </w:r>
      <w:r w:rsidR="006A6CD8">
        <w:rPr>
          <w:rFonts w:cs="Arial"/>
          <w:noProof/>
          <w:color w:val="000000"/>
          <w:szCs w:val="24"/>
        </w:rPr>
        <w:t xml:space="preserve">also </w:t>
      </w:r>
      <w:r w:rsidR="00CE03E1" w:rsidRPr="00CE03E1">
        <w:rPr>
          <w:rFonts w:cs="Arial"/>
          <w:noProof/>
          <w:color w:val="000000"/>
          <w:szCs w:val="24"/>
        </w:rPr>
        <w:t>increased the health and safety of customs and police officers</w:t>
      </w:r>
      <w:r w:rsidR="00D106CF">
        <w:rPr>
          <w:rFonts w:cs="Arial"/>
          <w:noProof/>
          <w:color w:val="000000"/>
          <w:szCs w:val="24"/>
        </w:rPr>
        <w:t xml:space="preserve"> </w:t>
      </w:r>
      <w:r>
        <w:rPr>
          <w:rFonts w:cs="Arial"/>
          <w:noProof/>
          <w:color w:val="000000"/>
          <w:szCs w:val="24"/>
        </w:rPr>
        <w:t>as</w:t>
      </w:r>
      <w:r w:rsidR="00CE03E1" w:rsidRPr="00CE03E1">
        <w:rPr>
          <w:rFonts w:cs="Arial"/>
          <w:noProof/>
          <w:color w:val="000000"/>
          <w:szCs w:val="24"/>
        </w:rPr>
        <w:t xml:space="preserve"> </w:t>
      </w:r>
      <w:r w:rsidR="00E1351A" w:rsidRPr="00E83B32">
        <w:rPr>
          <w:rFonts w:cs="Arial"/>
          <w:noProof/>
          <w:color w:val="000000"/>
          <w:szCs w:val="24"/>
        </w:rPr>
        <w:t xml:space="preserve">it lowered </w:t>
      </w:r>
      <w:r w:rsidR="00CE03E1" w:rsidRPr="00CE03E1">
        <w:rPr>
          <w:rFonts w:cs="Arial"/>
          <w:noProof/>
          <w:color w:val="000000"/>
          <w:szCs w:val="24"/>
        </w:rPr>
        <w:t xml:space="preserve">the risk </w:t>
      </w:r>
      <w:r>
        <w:rPr>
          <w:rFonts w:cs="Arial"/>
          <w:noProof/>
          <w:color w:val="000000"/>
          <w:szCs w:val="24"/>
        </w:rPr>
        <w:t xml:space="preserve">of </w:t>
      </w:r>
      <w:r w:rsidRPr="00CE03E1">
        <w:rPr>
          <w:rFonts w:cs="Arial"/>
          <w:noProof/>
          <w:color w:val="000000"/>
          <w:szCs w:val="24"/>
        </w:rPr>
        <w:t xml:space="preserve">exposure </w:t>
      </w:r>
      <w:r w:rsidR="00CE03E1" w:rsidRPr="00CE03E1">
        <w:rPr>
          <w:rFonts w:cs="Arial"/>
          <w:noProof/>
          <w:color w:val="000000"/>
          <w:szCs w:val="24"/>
        </w:rPr>
        <w:t>to radiation</w:t>
      </w:r>
      <w:r>
        <w:rPr>
          <w:rFonts w:cs="Arial"/>
          <w:noProof/>
          <w:color w:val="000000"/>
          <w:szCs w:val="24"/>
        </w:rPr>
        <w:t xml:space="preserve">. </w:t>
      </w:r>
      <w:r w:rsidR="00CC5979" w:rsidRPr="00E83B32">
        <w:rPr>
          <w:rFonts w:cs="Arial"/>
          <w:noProof/>
          <w:color w:val="000000"/>
          <w:szCs w:val="24"/>
        </w:rPr>
        <w:t>Last</w:t>
      </w:r>
      <w:r>
        <w:rPr>
          <w:rFonts w:cs="Arial"/>
          <w:noProof/>
          <w:color w:val="000000"/>
          <w:szCs w:val="24"/>
        </w:rPr>
        <w:t xml:space="preserve">ly, </w:t>
      </w:r>
      <w:r w:rsidR="00CE03E1" w:rsidRPr="00CE03E1">
        <w:rPr>
          <w:rFonts w:cs="Arial"/>
          <w:noProof/>
          <w:color w:val="000000"/>
          <w:szCs w:val="24"/>
        </w:rPr>
        <w:t>modern communication and surveillance equipment helped monitor criminal activities while staying undetected</w:t>
      </w:r>
      <w:r>
        <w:rPr>
          <w:rFonts w:cs="Arial"/>
          <w:noProof/>
          <w:color w:val="000000"/>
          <w:szCs w:val="24"/>
        </w:rPr>
        <w:t>.</w:t>
      </w:r>
    </w:p>
    <w:p w14:paraId="21A67297" w14:textId="77777777" w:rsidR="0077676A" w:rsidRPr="00CE03E1" w:rsidRDefault="0077676A" w:rsidP="00CE03E1">
      <w:pPr>
        <w:autoSpaceDE w:val="0"/>
        <w:autoSpaceDN w:val="0"/>
        <w:adjustRightInd w:val="0"/>
        <w:spacing w:line="288" w:lineRule="auto"/>
        <w:rPr>
          <w:rFonts w:cs="Arial"/>
          <w:noProof/>
          <w:color w:val="000000"/>
          <w:szCs w:val="24"/>
        </w:rPr>
      </w:pPr>
      <w:r>
        <w:rPr>
          <w:rFonts w:cs="Arial"/>
          <w:noProof/>
          <w:color w:val="000000"/>
          <w:szCs w:val="24"/>
        </w:rPr>
        <w:t xml:space="preserve">The evaluation demonstrated that the </w:t>
      </w:r>
      <w:r w:rsidR="00E1351A" w:rsidRPr="00E83B32">
        <w:rPr>
          <w:rFonts w:cs="Arial"/>
          <w:noProof/>
          <w:color w:val="000000"/>
          <w:szCs w:val="24"/>
        </w:rPr>
        <w:t xml:space="preserve">measures </w:t>
      </w:r>
      <w:r>
        <w:rPr>
          <w:rFonts w:cs="Arial"/>
          <w:noProof/>
          <w:color w:val="000000"/>
          <w:szCs w:val="24"/>
        </w:rPr>
        <w:t xml:space="preserve">funded by the </w:t>
      </w:r>
      <w:r w:rsidR="00E1351A" w:rsidRPr="00E83B32">
        <w:rPr>
          <w:rFonts w:cs="Arial"/>
          <w:noProof/>
          <w:color w:val="000000"/>
          <w:szCs w:val="24"/>
        </w:rPr>
        <w:t>p</w:t>
      </w:r>
      <w:r>
        <w:rPr>
          <w:rFonts w:cs="Arial"/>
          <w:noProof/>
          <w:color w:val="000000"/>
          <w:szCs w:val="24"/>
        </w:rPr>
        <w:t xml:space="preserve">rogramme are sustainable, i.e. they produced effects that </w:t>
      </w:r>
      <w:r w:rsidR="00E1351A" w:rsidRPr="00E83B32">
        <w:rPr>
          <w:rFonts w:cs="Arial"/>
          <w:noProof/>
          <w:color w:val="000000"/>
          <w:szCs w:val="24"/>
        </w:rPr>
        <w:t xml:space="preserve">lasted beyond </w:t>
      </w:r>
      <w:r>
        <w:rPr>
          <w:rFonts w:cs="Arial"/>
          <w:noProof/>
          <w:color w:val="000000"/>
          <w:szCs w:val="24"/>
        </w:rPr>
        <w:t xml:space="preserve">the </w:t>
      </w:r>
      <w:r w:rsidR="00E1351A" w:rsidRPr="00E83B32">
        <w:rPr>
          <w:rFonts w:cs="Arial"/>
          <w:noProof/>
          <w:color w:val="000000"/>
          <w:szCs w:val="24"/>
        </w:rPr>
        <w:t>programme completion</w:t>
      </w:r>
      <w:r>
        <w:rPr>
          <w:rFonts w:cs="Arial"/>
          <w:noProof/>
          <w:color w:val="000000"/>
          <w:szCs w:val="24"/>
        </w:rPr>
        <w:t xml:space="preserve">. </w:t>
      </w:r>
      <w:r w:rsidR="00E1351A" w:rsidRPr="00E83B32">
        <w:rPr>
          <w:rFonts w:cs="Arial"/>
          <w:noProof/>
          <w:color w:val="000000"/>
          <w:szCs w:val="24"/>
        </w:rPr>
        <w:t>T</w:t>
      </w:r>
      <w:r w:rsidRPr="00E83B32">
        <w:rPr>
          <w:rFonts w:cs="Arial"/>
          <w:noProof/>
          <w:color w:val="000000"/>
          <w:szCs w:val="24"/>
        </w:rPr>
        <w:t>he</w:t>
      </w:r>
      <w:r>
        <w:rPr>
          <w:rFonts w:cs="Arial"/>
          <w:noProof/>
          <w:color w:val="000000"/>
          <w:szCs w:val="24"/>
        </w:rPr>
        <w:t xml:space="preserve"> sustainability </w:t>
      </w:r>
      <w:r w:rsidR="00E1351A" w:rsidRPr="00E83B32">
        <w:rPr>
          <w:rFonts w:cs="Arial"/>
          <w:noProof/>
          <w:color w:val="000000"/>
          <w:szCs w:val="24"/>
        </w:rPr>
        <w:t xml:space="preserve">of technical assistance </w:t>
      </w:r>
      <w:r>
        <w:rPr>
          <w:rFonts w:cs="Arial"/>
          <w:noProof/>
          <w:color w:val="000000"/>
          <w:szCs w:val="24"/>
        </w:rPr>
        <w:t xml:space="preserve">depends on the nature and costs of the purchased equipment. As long as the equipment is used </w:t>
      </w:r>
      <w:r w:rsidR="00E1351A" w:rsidRPr="00E83B32">
        <w:rPr>
          <w:rFonts w:cs="Arial"/>
          <w:noProof/>
          <w:color w:val="000000"/>
          <w:szCs w:val="24"/>
        </w:rPr>
        <w:t>to combat</w:t>
      </w:r>
      <w:r>
        <w:rPr>
          <w:rFonts w:cs="Arial"/>
          <w:noProof/>
          <w:color w:val="000000"/>
          <w:szCs w:val="24"/>
        </w:rPr>
        <w:t xml:space="preserve"> fraud, </w:t>
      </w:r>
      <w:r w:rsidR="00E1351A" w:rsidRPr="00E83B32">
        <w:rPr>
          <w:rFonts w:cs="Arial"/>
          <w:noProof/>
          <w:color w:val="000000"/>
          <w:szCs w:val="24"/>
        </w:rPr>
        <w:t xml:space="preserve">it can have long-lasting </w:t>
      </w:r>
      <w:r>
        <w:rPr>
          <w:rFonts w:cs="Arial"/>
          <w:noProof/>
          <w:color w:val="000000"/>
          <w:szCs w:val="24"/>
        </w:rPr>
        <w:t xml:space="preserve">effects. </w:t>
      </w:r>
      <w:r w:rsidR="00E1351A" w:rsidRPr="00E83B32">
        <w:rPr>
          <w:rFonts w:cs="Arial"/>
          <w:noProof/>
          <w:color w:val="000000"/>
          <w:szCs w:val="24"/>
        </w:rPr>
        <w:t>T</w:t>
      </w:r>
      <w:r w:rsidRPr="00E83B32">
        <w:rPr>
          <w:rFonts w:cs="Arial"/>
          <w:noProof/>
          <w:color w:val="000000"/>
          <w:szCs w:val="24"/>
        </w:rPr>
        <w:t>rain</w:t>
      </w:r>
      <w:r w:rsidR="00E1351A" w:rsidRPr="00E83B32">
        <w:rPr>
          <w:rFonts w:cs="Arial"/>
          <w:noProof/>
          <w:color w:val="000000"/>
          <w:szCs w:val="24"/>
        </w:rPr>
        <w:t>in</w:t>
      </w:r>
      <w:r w:rsidRPr="00E83B32">
        <w:rPr>
          <w:rFonts w:cs="Arial"/>
          <w:noProof/>
          <w:color w:val="000000"/>
          <w:szCs w:val="24"/>
        </w:rPr>
        <w:t>g</w:t>
      </w:r>
      <w:r>
        <w:rPr>
          <w:rFonts w:cs="Arial"/>
          <w:noProof/>
          <w:color w:val="000000"/>
          <w:szCs w:val="24"/>
        </w:rPr>
        <w:t xml:space="preserve"> and conferences</w:t>
      </w:r>
      <w:r w:rsidRPr="00E83B32">
        <w:rPr>
          <w:rFonts w:cs="Arial"/>
          <w:noProof/>
          <w:color w:val="000000"/>
          <w:szCs w:val="24"/>
        </w:rPr>
        <w:t xml:space="preserve"> </w:t>
      </w:r>
      <w:r w:rsidR="00E1351A" w:rsidRPr="00E83B32">
        <w:rPr>
          <w:rFonts w:cs="Arial"/>
          <w:noProof/>
          <w:color w:val="000000"/>
          <w:szCs w:val="24"/>
        </w:rPr>
        <w:t>also</w:t>
      </w:r>
      <w:r>
        <w:rPr>
          <w:rFonts w:cs="Arial"/>
          <w:noProof/>
          <w:color w:val="000000"/>
          <w:szCs w:val="24"/>
        </w:rPr>
        <w:t xml:space="preserve"> produced some sustainable effects, in particular when participants shared knowledge and experience at their workplaces after the event.</w:t>
      </w:r>
    </w:p>
    <w:p w14:paraId="0986C740" w14:textId="77777777" w:rsidR="00CE03E1" w:rsidRPr="00AD40A1" w:rsidRDefault="00AD40A1" w:rsidP="00A50D1E">
      <w:pPr>
        <w:autoSpaceDE w:val="0"/>
        <w:autoSpaceDN w:val="0"/>
        <w:adjustRightInd w:val="0"/>
        <w:spacing w:line="288" w:lineRule="auto"/>
        <w:rPr>
          <w:rFonts w:cs="Arial"/>
          <w:noProof/>
          <w:color w:val="000000"/>
          <w:szCs w:val="24"/>
        </w:rPr>
      </w:pPr>
      <w:r w:rsidRPr="00AD40A1">
        <w:rPr>
          <w:rFonts w:cs="Arial"/>
          <w:noProof/>
          <w:color w:val="000000"/>
          <w:szCs w:val="24"/>
        </w:rPr>
        <w:t xml:space="preserve">The evaluation </w:t>
      </w:r>
      <w:r w:rsidR="00E1351A" w:rsidRPr="00E83B32">
        <w:rPr>
          <w:rFonts w:cs="Arial"/>
          <w:noProof/>
          <w:color w:val="000000"/>
          <w:szCs w:val="24"/>
        </w:rPr>
        <w:t xml:space="preserve">also </w:t>
      </w:r>
      <w:r w:rsidRPr="00AD40A1">
        <w:rPr>
          <w:rFonts w:cs="Arial"/>
          <w:noProof/>
          <w:color w:val="000000"/>
          <w:szCs w:val="24"/>
        </w:rPr>
        <w:t xml:space="preserve">indicated aspects that may </w:t>
      </w:r>
      <w:r w:rsidR="00CC5979" w:rsidRPr="00E83B32">
        <w:rPr>
          <w:rFonts w:cs="Arial"/>
          <w:noProof/>
          <w:color w:val="000000"/>
          <w:szCs w:val="24"/>
        </w:rPr>
        <w:t xml:space="preserve">hamper </w:t>
      </w:r>
      <w:r w:rsidRPr="00AD40A1">
        <w:rPr>
          <w:rFonts w:cs="Arial"/>
          <w:noProof/>
          <w:color w:val="000000"/>
          <w:szCs w:val="24"/>
        </w:rPr>
        <w:t xml:space="preserve">the effectiveness of the </w:t>
      </w:r>
      <w:r w:rsidR="00CC5979" w:rsidRPr="00E83B32">
        <w:rPr>
          <w:rFonts w:cs="Arial"/>
          <w:noProof/>
          <w:color w:val="000000"/>
          <w:szCs w:val="24"/>
        </w:rPr>
        <w:t>p</w:t>
      </w:r>
      <w:r w:rsidRPr="00AD40A1">
        <w:rPr>
          <w:rFonts w:cs="Arial"/>
          <w:noProof/>
          <w:color w:val="000000"/>
          <w:szCs w:val="24"/>
        </w:rPr>
        <w:t xml:space="preserve">rogramme. The lack of resources in Member State administrations and subsequent inability to cope with </w:t>
      </w:r>
      <w:r w:rsidR="00617D39" w:rsidRPr="00E83B32">
        <w:rPr>
          <w:rFonts w:cs="Arial"/>
          <w:noProof/>
          <w:color w:val="000000"/>
          <w:szCs w:val="24"/>
        </w:rPr>
        <w:t xml:space="preserve">the </w:t>
      </w:r>
      <w:r w:rsidRPr="00AD40A1">
        <w:rPr>
          <w:rFonts w:cs="Arial"/>
          <w:noProof/>
          <w:color w:val="000000"/>
          <w:szCs w:val="24"/>
        </w:rPr>
        <w:t xml:space="preserve">administrative requirements of the </w:t>
      </w:r>
      <w:r w:rsidR="00617D39" w:rsidRPr="00E83B32">
        <w:rPr>
          <w:rFonts w:cs="Arial"/>
          <w:noProof/>
          <w:color w:val="000000"/>
          <w:szCs w:val="24"/>
        </w:rPr>
        <w:t>p</w:t>
      </w:r>
      <w:r w:rsidRPr="00AD40A1">
        <w:rPr>
          <w:rFonts w:cs="Arial"/>
          <w:noProof/>
          <w:color w:val="000000"/>
          <w:szCs w:val="24"/>
        </w:rPr>
        <w:t xml:space="preserve">rogramme can lead to fewer applications. Making more guidance available to applicants could be a key </w:t>
      </w:r>
      <w:r w:rsidR="00617D39" w:rsidRPr="00E83B32">
        <w:rPr>
          <w:rFonts w:cs="Arial"/>
          <w:noProof/>
          <w:color w:val="000000"/>
          <w:szCs w:val="24"/>
        </w:rPr>
        <w:t xml:space="preserve">to </w:t>
      </w:r>
      <w:r w:rsidRPr="00AD40A1">
        <w:rPr>
          <w:rFonts w:cs="Arial"/>
          <w:noProof/>
          <w:color w:val="000000"/>
          <w:szCs w:val="24"/>
        </w:rPr>
        <w:t>remedy this issue.</w:t>
      </w:r>
    </w:p>
    <w:p w14:paraId="1296A52A" w14:textId="77777777" w:rsidR="009E7DA1" w:rsidRDefault="0001745B">
      <w:pPr>
        <w:pStyle w:val="Heading2"/>
        <w:rPr>
          <w:noProof/>
        </w:rPr>
      </w:pPr>
      <w:r>
        <w:rPr>
          <w:noProof/>
        </w:rPr>
        <w:t>Efficiency</w:t>
      </w:r>
    </w:p>
    <w:p w14:paraId="384AF79A" w14:textId="77777777" w:rsidR="009216E2" w:rsidRDefault="00243327" w:rsidP="00B07258">
      <w:pPr>
        <w:autoSpaceDE w:val="0"/>
        <w:autoSpaceDN w:val="0"/>
        <w:adjustRightInd w:val="0"/>
        <w:spacing w:line="288" w:lineRule="auto"/>
        <w:rPr>
          <w:rFonts w:cs="Arial"/>
          <w:noProof/>
          <w:color w:val="000000"/>
          <w:szCs w:val="24"/>
        </w:rPr>
      </w:pPr>
      <w:r>
        <w:rPr>
          <w:rFonts w:cs="Arial"/>
          <w:noProof/>
          <w:color w:val="000000"/>
          <w:szCs w:val="24"/>
        </w:rPr>
        <w:t>Overall, th</w:t>
      </w:r>
      <w:r w:rsidR="00BB5BA1">
        <w:rPr>
          <w:rFonts w:cs="Arial"/>
          <w:noProof/>
          <w:color w:val="000000"/>
          <w:szCs w:val="24"/>
        </w:rPr>
        <w:t xml:space="preserve">e </w:t>
      </w:r>
      <w:r>
        <w:rPr>
          <w:rFonts w:cs="Arial"/>
          <w:noProof/>
          <w:color w:val="000000"/>
          <w:szCs w:val="24"/>
        </w:rPr>
        <w:t xml:space="preserve">evaluation </w:t>
      </w:r>
      <w:r w:rsidR="00B83DA3">
        <w:rPr>
          <w:rFonts w:cs="Arial"/>
          <w:noProof/>
          <w:color w:val="000000"/>
          <w:szCs w:val="24"/>
        </w:rPr>
        <w:t>showed</w:t>
      </w:r>
      <w:r>
        <w:rPr>
          <w:rFonts w:cs="Arial"/>
          <w:noProof/>
          <w:color w:val="000000"/>
          <w:szCs w:val="24"/>
        </w:rPr>
        <w:t xml:space="preserve"> that the </w:t>
      </w:r>
      <w:r w:rsidR="00617D39" w:rsidRPr="00E83B32">
        <w:rPr>
          <w:rFonts w:cs="Arial"/>
          <w:noProof/>
          <w:color w:val="000000"/>
          <w:szCs w:val="24"/>
        </w:rPr>
        <w:t>p</w:t>
      </w:r>
      <w:r>
        <w:rPr>
          <w:rFonts w:cs="Arial"/>
          <w:noProof/>
          <w:color w:val="000000"/>
          <w:szCs w:val="24"/>
        </w:rPr>
        <w:t xml:space="preserve">rogramme is </w:t>
      </w:r>
      <w:r w:rsidRPr="007022A8">
        <w:rPr>
          <w:rFonts w:cs="Arial"/>
          <w:b/>
          <w:noProof/>
          <w:color w:val="000000"/>
          <w:szCs w:val="24"/>
        </w:rPr>
        <w:t>efficient</w:t>
      </w:r>
      <w:r w:rsidR="00617D39" w:rsidRPr="00E83B32">
        <w:rPr>
          <w:rFonts w:cs="Arial"/>
          <w:b/>
          <w:noProof/>
          <w:color w:val="000000"/>
          <w:szCs w:val="24"/>
        </w:rPr>
        <w:t>,</w:t>
      </w:r>
      <w:r>
        <w:rPr>
          <w:rFonts w:cs="Arial"/>
          <w:noProof/>
          <w:color w:val="000000"/>
          <w:szCs w:val="24"/>
        </w:rPr>
        <w:t xml:space="preserve"> both </w:t>
      </w:r>
      <w:r w:rsidR="00617D39" w:rsidRPr="00E83B32">
        <w:rPr>
          <w:rFonts w:cs="Arial"/>
          <w:noProof/>
          <w:color w:val="000000"/>
          <w:szCs w:val="24"/>
        </w:rPr>
        <w:t xml:space="preserve">in terms of </w:t>
      </w:r>
      <w:r>
        <w:rPr>
          <w:rFonts w:cs="Arial"/>
          <w:noProof/>
          <w:color w:val="000000"/>
          <w:szCs w:val="24"/>
        </w:rPr>
        <w:t xml:space="preserve">training and technical assistance. </w:t>
      </w:r>
      <w:r w:rsidR="00CC5979" w:rsidRPr="00E83B32">
        <w:rPr>
          <w:rFonts w:cs="Arial"/>
          <w:noProof/>
          <w:color w:val="000000"/>
          <w:szCs w:val="24"/>
        </w:rPr>
        <w:t xml:space="preserve">Weighing up </w:t>
      </w:r>
      <w:r>
        <w:rPr>
          <w:rFonts w:cs="Arial"/>
          <w:noProof/>
          <w:color w:val="000000"/>
          <w:szCs w:val="24"/>
        </w:rPr>
        <w:t xml:space="preserve">the costs and benefits </w:t>
      </w:r>
      <w:r w:rsidR="00CC5979" w:rsidRPr="00E83B32">
        <w:rPr>
          <w:rFonts w:cs="Arial"/>
          <w:noProof/>
          <w:color w:val="000000"/>
          <w:szCs w:val="24"/>
        </w:rPr>
        <w:t>of the programme</w:t>
      </w:r>
      <w:r>
        <w:rPr>
          <w:rFonts w:cs="Arial"/>
          <w:noProof/>
          <w:color w:val="000000"/>
          <w:szCs w:val="24"/>
        </w:rPr>
        <w:t xml:space="preserve">, </w:t>
      </w:r>
      <w:r w:rsidRPr="00E83B32">
        <w:rPr>
          <w:rFonts w:cs="Arial"/>
          <w:noProof/>
          <w:color w:val="000000"/>
          <w:szCs w:val="24"/>
        </w:rPr>
        <w:t>m</w:t>
      </w:r>
      <w:r w:rsidR="00617D39" w:rsidRPr="00E83B32">
        <w:rPr>
          <w:rFonts w:cs="Arial"/>
          <w:noProof/>
          <w:color w:val="000000"/>
          <w:szCs w:val="24"/>
        </w:rPr>
        <w:t>ost</w:t>
      </w:r>
      <w:r>
        <w:rPr>
          <w:rFonts w:cs="Arial"/>
          <w:noProof/>
          <w:color w:val="000000"/>
          <w:szCs w:val="24"/>
        </w:rPr>
        <w:t xml:space="preserve"> </w:t>
      </w:r>
      <w:r w:rsidR="00CC5979" w:rsidRPr="00E83B32">
        <w:rPr>
          <w:rFonts w:cs="Arial"/>
          <w:noProof/>
          <w:color w:val="000000"/>
          <w:szCs w:val="24"/>
        </w:rPr>
        <w:t xml:space="preserve">stakeholders </w:t>
      </w:r>
      <w:r w:rsidRPr="00E83B32">
        <w:rPr>
          <w:rFonts w:cs="Arial"/>
          <w:noProof/>
          <w:color w:val="000000"/>
          <w:szCs w:val="24"/>
        </w:rPr>
        <w:t>w</w:t>
      </w:r>
      <w:r w:rsidR="00617D39" w:rsidRPr="00E83B32">
        <w:rPr>
          <w:rFonts w:cs="Arial"/>
          <w:noProof/>
          <w:color w:val="000000"/>
          <w:szCs w:val="24"/>
        </w:rPr>
        <w:t>ere</w:t>
      </w:r>
      <w:r>
        <w:rPr>
          <w:rFonts w:cs="Arial"/>
          <w:noProof/>
          <w:color w:val="000000"/>
          <w:szCs w:val="24"/>
        </w:rPr>
        <w:t xml:space="preserve"> of the view that the benefits outweighed </w:t>
      </w:r>
      <w:r w:rsidR="00617D39" w:rsidRPr="00E83B32">
        <w:rPr>
          <w:rFonts w:cs="Arial"/>
          <w:noProof/>
          <w:color w:val="000000"/>
          <w:szCs w:val="24"/>
        </w:rPr>
        <w:t>the</w:t>
      </w:r>
      <w:r>
        <w:rPr>
          <w:rFonts w:cs="Arial"/>
          <w:noProof/>
          <w:color w:val="000000"/>
          <w:szCs w:val="24"/>
        </w:rPr>
        <w:t xml:space="preserve"> costs</w:t>
      </w:r>
      <w:r w:rsidR="007022A8">
        <w:rPr>
          <w:rFonts w:cs="Arial"/>
          <w:noProof/>
          <w:color w:val="000000"/>
          <w:szCs w:val="24"/>
        </w:rPr>
        <w:t xml:space="preserve"> (92% of replies </w:t>
      </w:r>
      <w:r w:rsidR="00617D39" w:rsidRPr="00E83B32">
        <w:rPr>
          <w:rFonts w:cs="Arial"/>
          <w:noProof/>
          <w:color w:val="000000"/>
          <w:szCs w:val="24"/>
        </w:rPr>
        <w:t xml:space="preserve">to </w:t>
      </w:r>
      <w:r w:rsidR="007022A8">
        <w:rPr>
          <w:rFonts w:cs="Arial"/>
          <w:noProof/>
          <w:color w:val="000000"/>
          <w:szCs w:val="24"/>
        </w:rPr>
        <w:t>the applicants’ survey)</w:t>
      </w:r>
      <w:r>
        <w:rPr>
          <w:rFonts w:cs="Arial"/>
          <w:noProof/>
          <w:color w:val="000000"/>
          <w:szCs w:val="24"/>
        </w:rPr>
        <w:t>.</w:t>
      </w:r>
      <w:r w:rsidR="007022A8">
        <w:rPr>
          <w:rFonts w:cs="Arial"/>
          <w:noProof/>
          <w:color w:val="000000"/>
          <w:szCs w:val="24"/>
        </w:rPr>
        <w:t xml:space="preserve"> </w:t>
      </w:r>
      <w:r w:rsidR="00CC5979" w:rsidRPr="00E83B32">
        <w:rPr>
          <w:rFonts w:cs="Arial"/>
          <w:noProof/>
          <w:color w:val="000000"/>
          <w:szCs w:val="24"/>
        </w:rPr>
        <w:t xml:space="preserve"> </w:t>
      </w:r>
    </w:p>
    <w:p w14:paraId="2F09A364" w14:textId="77777777" w:rsidR="00B07258" w:rsidRPr="00B07258" w:rsidRDefault="007022A8" w:rsidP="00B07258">
      <w:pPr>
        <w:autoSpaceDE w:val="0"/>
        <w:autoSpaceDN w:val="0"/>
        <w:adjustRightInd w:val="0"/>
        <w:spacing w:line="288" w:lineRule="auto"/>
        <w:rPr>
          <w:rFonts w:cs="Arial"/>
          <w:noProof/>
          <w:color w:val="000000"/>
          <w:szCs w:val="24"/>
        </w:rPr>
      </w:pPr>
      <w:r>
        <w:rPr>
          <w:rFonts w:cs="Arial"/>
          <w:noProof/>
          <w:color w:val="000000"/>
          <w:szCs w:val="24"/>
        </w:rPr>
        <w:t xml:space="preserve">Some applicants suggested </w:t>
      </w:r>
      <w:r w:rsidR="00CC5979" w:rsidRPr="00E83B32">
        <w:rPr>
          <w:rFonts w:cs="Arial"/>
          <w:noProof/>
          <w:color w:val="000000"/>
          <w:szCs w:val="24"/>
        </w:rPr>
        <w:t>lightening</w:t>
      </w:r>
      <w:r>
        <w:rPr>
          <w:rFonts w:cs="Arial"/>
          <w:noProof/>
          <w:color w:val="000000"/>
          <w:szCs w:val="24"/>
        </w:rPr>
        <w:t xml:space="preserve"> the </w:t>
      </w:r>
      <w:r w:rsidR="00CC5979" w:rsidRPr="00E83B32">
        <w:rPr>
          <w:rFonts w:cs="Arial"/>
          <w:noProof/>
          <w:color w:val="000000"/>
          <w:szCs w:val="24"/>
        </w:rPr>
        <w:t>work involved in</w:t>
      </w:r>
      <w:r>
        <w:rPr>
          <w:rFonts w:cs="Arial"/>
          <w:noProof/>
          <w:color w:val="000000"/>
          <w:szCs w:val="24"/>
        </w:rPr>
        <w:t xml:space="preserve"> the application and reporting processes, for instance </w:t>
      </w:r>
      <w:r w:rsidR="00617D39" w:rsidRPr="00E83B32">
        <w:rPr>
          <w:rFonts w:cs="Arial"/>
          <w:noProof/>
          <w:color w:val="000000"/>
          <w:szCs w:val="24"/>
        </w:rPr>
        <w:t xml:space="preserve">by </w:t>
      </w:r>
      <w:r>
        <w:rPr>
          <w:rFonts w:cs="Arial"/>
          <w:noProof/>
          <w:color w:val="000000"/>
          <w:szCs w:val="24"/>
        </w:rPr>
        <w:t xml:space="preserve">reducing redundancies in the application form or reducing the </w:t>
      </w:r>
      <w:r w:rsidR="00617D39" w:rsidRPr="00E83B32">
        <w:rPr>
          <w:rFonts w:cs="Arial"/>
          <w:noProof/>
          <w:color w:val="000000"/>
          <w:szCs w:val="24"/>
        </w:rPr>
        <w:t xml:space="preserve">volume </w:t>
      </w:r>
      <w:r>
        <w:rPr>
          <w:rFonts w:cs="Arial"/>
          <w:noProof/>
          <w:color w:val="000000"/>
          <w:szCs w:val="24"/>
        </w:rPr>
        <w:t>of information</w:t>
      </w:r>
      <w:r w:rsidR="00617D39" w:rsidRPr="00E83B32">
        <w:rPr>
          <w:rFonts w:cs="Arial"/>
          <w:noProof/>
          <w:color w:val="000000"/>
          <w:szCs w:val="24"/>
        </w:rPr>
        <w:t xml:space="preserve"> requested</w:t>
      </w:r>
      <w:r w:rsidRPr="00E83B32">
        <w:rPr>
          <w:rFonts w:cs="Arial"/>
          <w:noProof/>
          <w:color w:val="000000"/>
          <w:szCs w:val="24"/>
        </w:rPr>
        <w:t>.</w:t>
      </w:r>
      <w:r w:rsidR="00243327" w:rsidRPr="00E83B32">
        <w:rPr>
          <w:rFonts w:cs="Arial"/>
          <w:noProof/>
          <w:color w:val="000000"/>
          <w:szCs w:val="24"/>
        </w:rPr>
        <w:t xml:space="preserve"> </w:t>
      </w:r>
      <w:r w:rsidR="00617D39" w:rsidRPr="00E83B32">
        <w:rPr>
          <w:rFonts w:cs="Arial"/>
          <w:noProof/>
          <w:color w:val="000000"/>
          <w:szCs w:val="24"/>
        </w:rPr>
        <w:t>They</w:t>
      </w:r>
      <w:r w:rsidR="00243327">
        <w:rPr>
          <w:rFonts w:cs="Arial"/>
          <w:noProof/>
          <w:color w:val="000000"/>
          <w:szCs w:val="24"/>
        </w:rPr>
        <w:t xml:space="preserve"> </w:t>
      </w:r>
      <w:r w:rsidR="004C7BF1">
        <w:rPr>
          <w:rFonts w:cs="Arial"/>
          <w:noProof/>
          <w:color w:val="000000"/>
          <w:szCs w:val="24"/>
        </w:rPr>
        <w:t xml:space="preserve">also suggested that </w:t>
      </w:r>
      <w:r w:rsidR="00D106CF">
        <w:rPr>
          <w:rFonts w:cs="Arial"/>
          <w:noProof/>
          <w:color w:val="000000"/>
          <w:szCs w:val="24"/>
        </w:rPr>
        <w:t xml:space="preserve">it would be useful to </w:t>
      </w:r>
      <w:r w:rsidR="004C7BF1">
        <w:rPr>
          <w:rFonts w:cs="Arial"/>
          <w:noProof/>
          <w:color w:val="000000"/>
          <w:szCs w:val="24"/>
        </w:rPr>
        <w:t>provid</w:t>
      </w:r>
      <w:r w:rsidR="00D106CF">
        <w:rPr>
          <w:rFonts w:cs="Arial"/>
          <w:noProof/>
          <w:color w:val="000000"/>
          <w:szCs w:val="24"/>
        </w:rPr>
        <w:t>e</w:t>
      </w:r>
      <w:r w:rsidR="004C7BF1">
        <w:rPr>
          <w:rFonts w:cs="Arial"/>
          <w:noProof/>
          <w:color w:val="000000"/>
          <w:szCs w:val="24"/>
        </w:rPr>
        <w:t xml:space="preserve"> further guidance and support to better understand the award criteria and best practices. This would help avoid common mistakes and reduce the time </w:t>
      </w:r>
      <w:r w:rsidR="00CC5979" w:rsidRPr="00E83B32">
        <w:rPr>
          <w:rFonts w:cs="Arial"/>
          <w:noProof/>
          <w:color w:val="000000"/>
          <w:szCs w:val="24"/>
        </w:rPr>
        <w:t xml:space="preserve">it takes to </w:t>
      </w:r>
      <w:r w:rsidR="004C7BF1" w:rsidRPr="00E83B32">
        <w:rPr>
          <w:rFonts w:cs="Arial"/>
          <w:noProof/>
          <w:color w:val="000000"/>
          <w:szCs w:val="24"/>
        </w:rPr>
        <w:t>prepar</w:t>
      </w:r>
      <w:r w:rsidR="00CC5979" w:rsidRPr="00E83B32">
        <w:rPr>
          <w:rFonts w:cs="Arial"/>
          <w:noProof/>
          <w:color w:val="000000"/>
          <w:szCs w:val="24"/>
        </w:rPr>
        <w:t>e</w:t>
      </w:r>
      <w:r w:rsidR="004C7BF1">
        <w:rPr>
          <w:rFonts w:cs="Arial"/>
          <w:noProof/>
          <w:color w:val="000000"/>
          <w:szCs w:val="24"/>
        </w:rPr>
        <w:t xml:space="preserve"> </w:t>
      </w:r>
      <w:r w:rsidR="004C7BF1" w:rsidRPr="00E83B32">
        <w:rPr>
          <w:rFonts w:cs="Arial"/>
          <w:noProof/>
          <w:color w:val="000000"/>
          <w:szCs w:val="24"/>
        </w:rPr>
        <w:t>application</w:t>
      </w:r>
      <w:r w:rsidR="00617D39" w:rsidRPr="00E83B32">
        <w:rPr>
          <w:rFonts w:cs="Arial"/>
          <w:noProof/>
          <w:color w:val="000000"/>
          <w:szCs w:val="24"/>
        </w:rPr>
        <w:t>s</w:t>
      </w:r>
      <w:r w:rsidR="004C7BF1">
        <w:rPr>
          <w:rFonts w:cs="Arial"/>
          <w:noProof/>
          <w:color w:val="000000"/>
          <w:szCs w:val="24"/>
        </w:rPr>
        <w:t>.</w:t>
      </w:r>
    </w:p>
    <w:p w14:paraId="1FCE0201" w14:textId="77777777" w:rsidR="009E7DA1" w:rsidRDefault="0001745B">
      <w:pPr>
        <w:pStyle w:val="Heading2"/>
        <w:rPr>
          <w:noProof/>
        </w:rPr>
      </w:pPr>
      <w:r>
        <w:rPr>
          <w:noProof/>
        </w:rPr>
        <w:t>Coherence</w:t>
      </w:r>
    </w:p>
    <w:p w14:paraId="3D2FAF90" w14:textId="77777777" w:rsidR="00B07258" w:rsidRDefault="00A55C3F" w:rsidP="00B07258">
      <w:pPr>
        <w:autoSpaceDE w:val="0"/>
        <w:autoSpaceDN w:val="0"/>
        <w:adjustRightInd w:val="0"/>
        <w:spacing w:line="288" w:lineRule="auto"/>
        <w:rPr>
          <w:rFonts w:cs="Arial"/>
          <w:noProof/>
          <w:color w:val="000000"/>
          <w:szCs w:val="24"/>
        </w:rPr>
      </w:pPr>
      <w:r>
        <w:rPr>
          <w:rFonts w:cs="Arial"/>
          <w:noProof/>
          <w:color w:val="000000"/>
          <w:szCs w:val="24"/>
        </w:rPr>
        <w:t xml:space="preserve">The evaluation demonstrated </w:t>
      </w:r>
      <w:r w:rsidR="003D4398">
        <w:rPr>
          <w:rFonts w:cs="Arial"/>
          <w:noProof/>
          <w:color w:val="000000"/>
          <w:szCs w:val="24"/>
        </w:rPr>
        <w:t xml:space="preserve">that </w:t>
      </w:r>
      <w:r>
        <w:rPr>
          <w:rFonts w:cs="Arial"/>
          <w:noProof/>
          <w:color w:val="000000"/>
          <w:szCs w:val="24"/>
        </w:rPr>
        <w:t xml:space="preserve">the </w:t>
      </w:r>
      <w:r w:rsidRPr="00A55C3F">
        <w:rPr>
          <w:rFonts w:cs="Arial"/>
          <w:b/>
          <w:noProof/>
          <w:color w:val="000000"/>
          <w:szCs w:val="24"/>
        </w:rPr>
        <w:t>internal and external coherence</w:t>
      </w:r>
      <w:r>
        <w:rPr>
          <w:rFonts w:cs="Arial"/>
          <w:noProof/>
          <w:color w:val="000000"/>
          <w:szCs w:val="24"/>
        </w:rPr>
        <w:t xml:space="preserve"> of the </w:t>
      </w:r>
      <w:r w:rsidR="006D3EB5" w:rsidRPr="00E83B32">
        <w:rPr>
          <w:rFonts w:cs="Arial"/>
          <w:noProof/>
          <w:color w:val="000000"/>
          <w:szCs w:val="24"/>
        </w:rPr>
        <w:t>p</w:t>
      </w:r>
      <w:r>
        <w:rPr>
          <w:rFonts w:cs="Arial"/>
          <w:noProof/>
          <w:color w:val="000000"/>
          <w:szCs w:val="24"/>
        </w:rPr>
        <w:t>rogramme</w:t>
      </w:r>
      <w:r w:rsidR="003D4398">
        <w:rPr>
          <w:rFonts w:cs="Arial"/>
          <w:noProof/>
          <w:color w:val="000000"/>
          <w:szCs w:val="24"/>
        </w:rPr>
        <w:t xml:space="preserve"> was satisfactory</w:t>
      </w:r>
      <w:r>
        <w:rPr>
          <w:rFonts w:cs="Arial"/>
          <w:noProof/>
          <w:color w:val="000000"/>
          <w:szCs w:val="24"/>
        </w:rPr>
        <w:t xml:space="preserve">. </w:t>
      </w:r>
      <w:r w:rsidR="006D3EB5" w:rsidRPr="00E83B32">
        <w:rPr>
          <w:rFonts w:cs="Arial"/>
          <w:noProof/>
          <w:color w:val="000000"/>
          <w:szCs w:val="24"/>
        </w:rPr>
        <w:t>Specifically on internal coherence</w:t>
      </w:r>
      <w:r w:rsidR="003D4398">
        <w:rPr>
          <w:rFonts w:cs="Arial"/>
          <w:noProof/>
          <w:color w:val="000000"/>
          <w:szCs w:val="24"/>
        </w:rPr>
        <w:t xml:space="preserve">, </w:t>
      </w:r>
      <w:r>
        <w:rPr>
          <w:rFonts w:cs="Arial"/>
          <w:noProof/>
          <w:color w:val="000000"/>
          <w:szCs w:val="24"/>
        </w:rPr>
        <w:t xml:space="preserve">the </w:t>
      </w:r>
      <w:r w:rsidR="003D4398">
        <w:rPr>
          <w:rFonts w:cs="Arial"/>
          <w:noProof/>
          <w:color w:val="000000"/>
          <w:szCs w:val="24"/>
        </w:rPr>
        <w:t>consultant’</w:t>
      </w:r>
      <w:r w:rsidR="00413D08">
        <w:rPr>
          <w:rFonts w:cs="Arial"/>
          <w:noProof/>
          <w:color w:val="000000"/>
          <w:szCs w:val="24"/>
        </w:rPr>
        <w:t>s</w:t>
      </w:r>
      <w:r w:rsidR="003D4398">
        <w:rPr>
          <w:rFonts w:cs="Arial"/>
          <w:noProof/>
          <w:color w:val="000000"/>
          <w:szCs w:val="24"/>
        </w:rPr>
        <w:t xml:space="preserve"> </w:t>
      </w:r>
      <w:r>
        <w:rPr>
          <w:rFonts w:cs="Arial"/>
          <w:noProof/>
          <w:color w:val="000000"/>
          <w:szCs w:val="24"/>
        </w:rPr>
        <w:t>study did not identify</w:t>
      </w:r>
      <w:r w:rsidRPr="00E83B32">
        <w:rPr>
          <w:rFonts w:cs="Arial"/>
          <w:noProof/>
          <w:color w:val="000000"/>
          <w:szCs w:val="24"/>
        </w:rPr>
        <w:t xml:space="preserve"> </w:t>
      </w:r>
      <w:r w:rsidR="006D3EB5" w:rsidRPr="00E83B32">
        <w:rPr>
          <w:rFonts w:cs="Arial"/>
          <w:noProof/>
          <w:color w:val="000000"/>
          <w:szCs w:val="24"/>
        </w:rPr>
        <w:t>any</w:t>
      </w:r>
      <w:r>
        <w:rPr>
          <w:rFonts w:cs="Arial"/>
          <w:noProof/>
          <w:color w:val="000000"/>
          <w:szCs w:val="24"/>
        </w:rPr>
        <w:t xml:space="preserve"> overlaps between activities funded by Hercule III. Some activities funded under technical assistance and training may appear similar but they target different audiences and have different objectives. For instance</w:t>
      </w:r>
      <w:r w:rsidR="006D3EB5" w:rsidRPr="00E83B32">
        <w:rPr>
          <w:rFonts w:cs="Arial"/>
          <w:noProof/>
          <w:color w:val="000000"/>
          <w:szCs w:val="24"/>
        </w:rPr>
        <w:t>,</w:t>
      </w:r>
      <w:r>
        <w:rPr>
          <w:rFonts w:cs="Arial"/>
          <w:noProof/>
          <w:color w:val="000000"/>
          <w:szCs w:val="24"/>
        </w:rPr>
        <w:t xml:space="preserve"> training under the technical assistance pillar focuse</w:t>
      </w:r>
      <w:r w:rsidR="00D106CF">
        <w:rPr>
          <w:rFonts w:cs="Arial"/>
          <w:noProof/>
          <w:color w:val="000000"/>
          <w:szCs w:val="24"/>
        </w:rPr>
        <w:t>d</w:t>
      </w:r>
      <w:r>
        <w:rPr>
          <w:rFonts w:cs="Arial"/>
          <w:noProof/>
          <w:color w:val="000000"/>
          <w:szCs w:val="24"/>
        </w:rPr>
        <w:t xml:space="preserve"> on providing information </w:t>
      </w:r>
      <w:r w:rsidR="00176C66" w:rsidRPr="00E83B32">
        <w:rPr>
          <w:rFonts w:cs="Arial"/>
          <w:noProof/>
          <w:color w:val="000000"/>
          <w:szCs w:val="24"/>
        </w:rPr>
        <w:t xml:space="preserve">on </w:t>
      </w:r>
      <w:r>
        <w:rPr>
          <w:rFonts w:cs="Arial"/>
          <w:noProof/>
          <w:color w:val="000000"/>
          <w:szCs w:val="24"/>
        </w:rPr>
        <w:t xml:space="preserve">the use of the technical equipment </w:t>
      </w:r>
      <w:r w:rsidR="00176C66" w:rsidRPr="00E83B32">
        <w:rPr>
          <w:rFonts w:cs="Arial"/>
          <w:noProof/>
          <w:color w:val="000000"/>
          <w:szCs w:val="24"/>
        </w:rPr>
        <w:t xml:space="preserve">purchased </w:t>
      </w:r>
      <w:r>
        <w:rPr>
          <w:rFonts w:cs="Arial"/>
          <w:noProof/>
          <w:color w:val="000000"/>
          <w:szCs w:val="24"/>
        </w:rPr>
        <w:t>whereas training under the training pillar</w:t>
      </w:r>
      <w:r w:rsidRPr="00E83B32">
        <w:rPr>
          <w:rFonts w:cs="Arial"/>
          <w:noProof/>
          <w:color w:val="000000"/>
          <w:szCs w:val="24"/>
        </w:rPr>
        <w:t xml:space="preserve"> </w:t>
      </w:r>
      <w:r w:rsidR="00CC5979" w:rsidRPr="00E83B32">
        <w:rPr>
          <w:rFonts w:cs="Arial"/>
          <w:noProof/>
          <w:color w:val="000000"/>
          <w:szCs w:val="24"/>
        </w:rPr>
        <w:t>focused on</w:t>
      </w:r>
      <w:r>
        <w:rPr>
          <w:rFonts w:cs="Arial"/>
          <w:noProof/>
          <w:color w:val="000000"/>
          <w:szCs w:val="24"/>
        </w:rPr>
        <w:t xml:space="preserve"> raising awar</w:t>
      </w:r>
      <w:r w:rsidR="003D4398">
        <w:rPr>
          <w:rFonts w:cs="Arial"/>
          <w:noProof/>
          <w:color w:val="000000"/>
          <w:szCs w:val="24"/>
        </w:rPr>
        <w:t>e</w:t>
      </w:r>
      <w:r>
        <w:rPr>
          <w:rFonts w:cs="Arial"/>
          <w:noProof/>
          <w:color w:val="000000"/>
          <w:szCs w:val="24"/>
        </w:rPr>
        <w:t>ne</w:t>
      </w:r>
      <w:r w:rsidR="003D4398">
        <w:rPr>
          <w:rFonts w:cs="Arial"/>
          <w:noProof/>
          <w:color w:val="000000"/>
          <w:szCs w:val="24"/>
        </w:rPr>
        <w:t>s</w:t>
      </w:r>
      <w:r>
        <w:rPr>
          <w:rFonts w:cs="Arial"/>
          <w:noProof/>
          <w:color w:val="000000"/>
          <w:szCs w:val="24"/>
        </w:rPr>
        <w:t xml:space="preserve">s and exchanging best practice. Therefore, the activities eligible for funding under the </w:t>
      </w:r>
      <w:r w:rsidR="00176C66" w:rsidRPr="00E83B32">
        <w:rPr>
          <w:rFonts w:cs="Arial"/>
          <w:noProof/>
          <w:color w:val="000000"/>
          <w:szCs w:val="24"/>
        </w:rPr>
        <w:t>p</w:t>
      </w:r>
      <w:r>
        <w:rPr>
          <w:rFonts w:cs="Arial"/>
          <w:noProof/>
          <w:color w:val="000000"/>
          <w:szCs w:val="24"/>
        </w:rPr>
        <w:t xml:space="preserve">rogramme </w:t>
      </w:r>
      <w:r w:rsidR="00D106CF">
        <w:rPr>
          <w:rFonts w:cs="Arial"/>
          <w:noProof/>
          <w:color w:val="000000"/>
          <w:szCs w:val="24"/>
        </w:rPr>
        <w:t>were</w:t>
      </w:r>
      <w:r>
        <w:rPr>
          <w:rFonts w:cs="Arial"/>
          <w:noProof/>
          <w:color w:val="000000"/>
          <w:szCs w:val="24"/>
        </w:rPr>
        <w:t xml:space="preserve"> strongly complementary.</w:t>
      </w:r>
    </w:p>
    <w:p w14:paraId="696F00ED" w14:textId="716E56AF" w:rsidR="00CC5979" w:rsidRPr="00E83B32" w:rsidRDefault="00CC5979" w:rsidP="00B07258">
      <w:pPr>
        <w:autoSpaceDE w:val="0"/>
        <w:autoSpaceDN w:val="0"/>
        <w:adjustRightInd w:val="0"/>
        <w:spacing w:line="288" w:lineRule="auto"/>
        <w:rPr>
          <w:rFonts w:cs="Arial"/>
          <w:noProof/>
          <w:color w:val="000000"/>
          <w:szCs w:val="24"/>
        </w:rPr>
      </w:pPr>
      <w:r w:rsidRPr="00E83B32">
        <w:rPr>
          <w:rFonts w:cs="Arial"/>
          <w:noProof/>
          <w:color w:val="000000"/>
          <w:szCs w:val="24"/>
        </w:rPr>
        <w:t>The Commission used its internal consultation processes to ensure e</w:t>
      </w:r>
      <w:r w:rsidR="00A55C3F">
        <w:rPr>
          <w:rFonts w:cs="Arial"/>
          <w:noProof/>
          <w:color w:val="000000"/>
          <w:szCs w:val="24"/>
        </w:rPr>
        <w:t xml:space="preserve">xternal coherence between the </w:t>
      </w:r>
      <w:r w:rsidR="00176C66" w:rsidRPr="00E83B32">
        <w:rPr>
          <w:rFonts w:cs="Arial"/>
          <w:noProof/>
          <w:color w:val="000000"/>
          <w:szCs w:val="24"/>
        </w:rPr>
        <w:t>p</w:t>
      </w:r>
      <w:r w:rsidR="00A55C3F">
        <w:rPr>
          <w:rFonts w:cs="Arial"/>
          <w:noProof/>
          <w:color w:val="000000"/>
          <w:szCs w:val="24"/>
        </w:rPr>
        <w:t xml:space="preserve">rogramme and other </w:t>
      </w:r>
      <w:r w:rsidR="00D106CF">
        <w:rPr>
          <w:rFonts w:cs="Arial"/>
          <w:noProof/>
          <w:color w:val="000000"/>
          <w:szCs w:val="24"/>
        </w:rPr>
        <w:t>Commission spending programmes</w:t>
      </w:r>
      <w:r w:rsidR="00A55C3F">
        <w:rPr>
          <w:rFonts w:cs="Arial"/>
          <w:noProof/>
          <w:color w:val="000000"/>
          <w:szCs w:val="24"/>
        </w:rPr>
        <w:t>, in particular at the stage</w:t>
      </w:r>
      <w:r w:rsidR="006A6CD8">
        <w:rPr>
          <w:rFonts w:cs="Arial"/>
          <w:noProof/>
          <w:color w:val="000000"/>
          <w:szCs w:val="24"/>
        </w:rPr>
        <w:t>s</w:t>
      </w:r>
      <w:r w:rsidR="00A55C3F">
        <w:rPr>
          <w:rFonts w:cs="Arial"/>
          <w:noProof/>
          <w:color w:val="000000"/>
          <w:szCs w:val="24"/>
        </w:rPr>
        <w:t xml:space="preserve"> of prepar</w:t>
      </w:r>
      <w:r w:rsidR="006A6CD8">
        <w:rPr>
          <w:rFonts w:cs="Arial"/>
          <w:noProof/>
          <w:color w:val="000000"/>
          <w:szCs w:val="24"/>
        </w:rPr>
        <w:t>ing</w:t>
      </w:r>
      <w:r w:rsidR="00A55C3F">
        <w:rPr>
          <w:rFonts w:cs="Arial"/>
          <w:noProof/>
          <w:color w:val="000000"/>
          <w:szCs w:val="24"/>
        </w:rPr>
        <w:t xml:space="preserve"> the annual work programmes and selecti</w:t>
      </w:r>
      <w:r w:rsidR="006A6CD8">
        <w:rPr>
          <w:rFonts w:cs="Arial"/>
          <w:noProof/>
          <w:color w:val="000000"/>
          <w:szCs w:val="24"/>
        </w:rPr>
        <w:t xml:space="preserve">ng </w:t>
      </w:r>
      <w:r w:rsidR="00176C66" w:rsidRPr="00E83B32">
        <w:rPr>
          <w:rFonts w:cs="Arial"/>
          <w:noProof/>
          <w:color w:val="000000"/>
          <w:szCs w:val="24"/>
        </w:rPr>
        <w:t xml:space="preserve">grant </w:t>
      </w:r>
      <w:r w:rsidR="00A55C3F">
        <w:rPr>
          <w:rFonts w:cs="Arial"/>
          <w:noProof/>
          <w:color w:val="000000"/>
          <w:szCs w:val="24"/>
        </w:rPr>
        <w:t>applications.</w:t>
      </w:r>
      <w:r w:rsidR="00A55C3F" w:rsidRPr="00E83B32">
        <w:rPr>
          <w:rFonts w:cs="Arial"/>
          <w:noProof/>
          <w:color w:val="000000"/>
          <w:szCs w:val="24"/>
        </w:rPr>
        <w:t xml:space="preserve"> </w:t>
      </w:r>
      <w:r w:rsidR="00176C66" w:rsidRPr="00E83B32">
        <w:rPr>
          <w:rFonts w:cs="Arial"/>
          <w:noProof/>
          <w:color w:val="000000"/>
          <w:szCs w:val="24"/>
        </w:rPr>
        <w:t>The Commission prevented</w:t>
      </w:r>
      <w:r w:rsidR="00A55C3F">
        <w:rPr>
          <w:rFonts w:cs="Arial"/>
          <w:noProof/>
          <w:color w:val="000000"/>
          <w:szCs w:val="24"/>
        </w:rPr>
        <w:t xml:space="preserve"> </w:t>
      </w:r>
      <w:r w:rsidR="00DC5077">
        <w:rPr>
          <w:rFonts w:cs="Arial"/>
          <w:noProof/>
          <w:color w:val="000000"/>
          <w:szCs w:val="24"/>
        </w:rPr>
        <w:t xml:space="preserve">overlaps between Hercule III and </w:t>
      </w:r>
      <w:r w:rsidR="003D4398">
        <w:rPr>
          <w:rFonts w:cs="Arial"/>
          <w:noProof/>
          <w:color w:val="000000"/>
          <w:szCs w:val="24"/>
        </w:rPr>
        <w:t xml:space="preserve">the </w:t>
      </w:r>
      <w:r w:rsidR="00DC5077">
        <w:rPr>
          <w:rFonts w:cs="Arial"/>
          <w:noProof/>
          <w:color w:val="000000"/>
          <w:szCs w:val="24"/>
        </w:rPr>
        <w:t xml:space="preserve">Fiscalis 2020, </w:t>
      </w:r>
      <w:r w:rsidR="003D4398">
        <w:rPr>
          <w:rFonts w:cs="Arial"/>
          <w:noProof/>
          <w:color w:val="000000"/>
          <w:szCs w:val="24"/>
        </w:rPr>
        <w:t xml:space="preserve">the </w:t>
      </w:r>
      <w:r w:rsidR="00DC5077">
        <w:rPr>
          <w:rFonts w:cs="Arial"/>
          <w:noProof/>
          <w:color w:val="000000"/>
          <w:szCs w:val="24"/>
        </w:rPr>
        <w:t xml:space="preserve">Customs 2020 and the Justice </w:t>
      </w:r>
      <w:r w:rsidR="00E23E1C">
        <w:rPr>
          <w:rFonts w:cs="Arial"/>
          <w:noProof/>
          <w:color w:val="000000"/>
          <w:szCs w:val="24"/>
        </w:rPr>
        <w:t>p</w:t>
      </w:r>
      <w:r w:rsidR="00DC5077">
        <w:rPr>
          <w:rFonts w:cs="Arial"/>
          <w:noProof/>
          <w:color w:val="000000"/>
          <w:szCs w:val="24"/>
        </w:rPr>
        <w:t xml:space="preserve">rogramme </w:t>
      </w:r>
      <w:r w:rsidR="00D106CF">
        <w:rPr>
          <w:rFonts w:cs="Arial"/>
          <w:noProof/>
          <w:color w:val="000000"/>
          <w:szCs w:val="24"/>
        </w:rPr>
        <w:t xml:space="preserve">by </w:t>
      </w:r>
      <w:r w:rsidR="00176C66" w:rsidRPr="00E83B32">
        <w:rPr>
          <w:rFonts w:cs="Arial"/>
          <w:noProof/>
          <w:color w:val="000000"/>
          <w:szCs w:val="24"/>
        </w:rPr>
        <w:t xml:space="preserve">ensuring that </w:t>
      </w:r>
      <w:r w:rsidR="006A6CD8">
        <w:rPr>
          <w:rFonts w:cs="Arial"/>
          <w:noProof/>
          <w:color w:val="000000"/>
          <w:szCs w:val="24"/>
        </w:rPr>
        <w:t xml:space="preserve">the </w:t>
      </w:r>
      <w:r w:rsidR="00176C66" w:rsidRPr="00E83B32">
        <w:rPr>
          <w:rFonts w:cs="Arial"/>
          <w:noProof/>
          <w:color w:val="000000"/>
          <w:szCs w:val="24"/>
        </w:rPr>
        <w:t xml:space="preserve">programmes pursued separate </w:t>
      </w:r>
      <w:r w:rsidR="006A6CD8">
        <w:rPr>
          <w:rFonts w:cs="Arial"/>
          <w:noProof/>
          <w:color w:val="000000"/>
          <w:szCs w:val="24"/>
        </w:rPr>
        <w:t>objectives</w:t>
      </w:r>
      <w:r w:rsidR="00176C66" w:rsidRPr="00E83B32">
        <w:rPr>
          <w:rFonts w:cs="Arial"/>
          <w:noProof/>
          <w:color w:val="000000"/>
          <w:szCs w:val="24"/>
        </w:rPr>
        <w:t>,</w:t>
      </w:r>
      <w:r w:rsidR="006A6CD8" w:rsidRPr="00E83B32">
        <w:rPr>
          <w:rFonts w:cs="Arial"/>
          <w:noProof/>
          <w:color w:val="000000"/>
          <w:szCs w:val="24"/>
        </w:rPr>
        <w:t xml:space="preserve"> </w:t>
      </w:r>
      <w:r w:rsidR="00176C66" w:rsidRPr="00E83B32">
        <w:rPr>
          <w:rFonts w:cs="Arial"/>
          <w:noProof/>
          <w:color w:val="000000"/>
          <w:szCs w:val="24"/>
        </w:rPr>
        <w:t>as</w:t>
      </w:r>
      <w:r w:rsidR="006A6CD8">
        <w:rPr>
          <w:rFonts w:cs="Arial"/>
          <w:noProof/>
          <w:color w:val="000000"/>
          <w:szCs w:val="24"/>
        </w:rPr>
        <w:t xml:space="preserve"> </w:t>
      </w:r>
      <w:r w:rsidR="00D106CF">
        <w:rPr>
          <w:rFonts w:cs="Arial"/>
          <w:noProof/>
          <w:color w:val="000000"/>
          <w:szCs w:val="24"/>
        </w:rPr>
        <w:t xml:space="preserve">laid down in the legislation. </w:t>
      </w:r>
      <w:r w:rsidR="00176C66" w:rsidRPr="00E83B32">
        <w:rPr>
          <w:rFonts w:cs="Arial"/>
          <w:noProof/>
          <w:color w:val="000000"/>
          <w:szCs w:val="24"/>
        </w:rPr>
        <w:t xml:space="preserve">Any </w:t>
      </w:r>
      <w:r w:rsidR="00D106CF">
        <w:rPr>
          <w:rFonts w:cs="Arial"/>
          <w:noProof/>
          <w:color w:val="000000"/>
          <w:szCs w:val="24"/>
        </w:rPr>
        <w:t xml:space="preserve">residual potential overlaps were </w:t>
      </w:r>
      <w:r w:rsidR="00DC5077">
        <w:rPr>
          <w:rFonts w:cs="Arial"/>
          <w:noProof/>
          <w:color w:val="000000"/>
          <w:szCs w:val="24"/>
        </w:rPr>
        <w:t xml:space="preserve">avoided by </w:t>
      </w:r>
      <w:r w:rsidR="00176C66" w:rsidRPr="00E83B32">
        <w:rPr>
          <w:rFonts w:cs="Arial"/>
          <w:noProof/>
          <w:color w:val="000000"/>
          <w:szCs w:val="24"/>
        </w:rPr>
        <w:t>provid</w:t>
      </w:r>
      <w:r w:rsidRPr="00E83B32">
        <w:rPr>
          <w:rFonts w:cs="Arial"/>
          <w:noProof/>
          <w:color w:val="000000"/>
          <w:szCs w:val="24"/>
        </w:rPr>
        <w:t>i</w:t>
      </w:r>
      <w:r w:rsidR="00176C66" w:rsidRPr="00E83B32">
        <w:rPr>
          <w:rFonts w:cs="Arial"/>
          <w:noProof/>
          <w:color w:val="000000"/>
          <w:szCs w:val="24"/>
        </w:rPr>
        <w:t xml:space="preserve">ng detail in each </w:t>
      </w:r>
      <w:r w:rsidR="00DC5077">
        <w:rPr>
          <w:rFonts w:cs="Arial"/>
          <w:noProof/>
          <w:color w:val="000000"/>
          <w:szCs w:val="24"/>
        </w:rPr>
        <w:t>annual work programmes</w:t>
      </w:r>
      <w:r w:rsidR="00176C66" w:rsidRPr="00E83B32">
        <w:rPr>
          <w:rFonts w:cs="Arial"/>
          <w:noProof/>
          <w:color w:val="000000"/>
          <w:szCs w:val="24"/>
        </w:rPr>
        <w:t>,</w:t>
      </w:r>
      <w:r w:rsidR="00DC5077">
        <w:rPr>
          <w:rFonts w:cs="Arial"/>
          <w:noProof/>
          <w:color w:val="000000"/>
          <w:szCs w:val="24"/>
        </w:rPr>
        <w:t xml:space="preserve"> including </w:t>
      </w:r>
      <w:r w:rsidR="00176C66" w:rsidRPr="00E83B32">
        <w:rPr>
          <w:rFonts w:cs="Arial"/>
          <w:noProof/>
          <w:color w:val="000000"/>
          <w:szCs w:val="24"/>
        </w:rPr>
        <w:t xml:space="preserve">on the </w:t>
      </w:r>
      <w:r w:rsidR="00D106CF">
        <w:rPr>
          <w:rFonts w:cs="Arial"/>
          <w:noProof/>
          <w:color w:val="000000"/>
          <w:szCs w:val="24"/>
        </w:rPr>
        <w:t xml:space="preserve">annual </w:t>
      </w:r>
      <w:r w:rsidR="00DC5077">
        <w:rPr>
          <w:rFonts w:cs="Arial"/>
          <w:noProof/>
          <w:color w:val="000000"/>
          <w:szCs w:val="24"/>
        </w:rPr>
        <w:t xml:space="preserve">objectives, type of activities, participants and beneficiaries </w:t>
      </w:r>
      <w:r w:rsidR="00176C66" w:rsidRPr="00E83B32">
        <w:rPr>
          <w:rFonts w:cs="Arial"/>
          <w:noProof/>
          <w:color w:val="000000"/>
          <w:szCs w:val="24"/>
        </w:rPr>
        <w:t xml:space="preserve">to </w:t>
      </w:r>
      <w:r w:rsidR="00DC5077">
        <w:rPr>
          <w:rFonts w:cs="Arial"/>
          <w:noProof/>
          <w:color w:val="000000"/>
          <w:szCs w:val="24"/>
        </w:rPr>
        <w:t xml:space="preserve">prevent duplication. </w:t>
      </w:r>
    </w:p>
    <w:p w14:paraId="6283673A" w14:textId="77777777" w:rsidR="008F21CC" w:rsidRPr="00B07258" w:rsidRDefault="00DC5077" w:rsidP="00B07258">
      <w:pPr>
        <w:autoSpaceDE w:val="0"/>
        <w:autoSpaceDN w:val="0"/>
        <w:adjustRightInd w:val="0"/>
        <w:spacing w:line="288" w:lineRule="auto"/>
        <w:rPr>
          <w:rFonts w:cs="Arial"/>
          <w:noProof/>
          <w:color w:val="000000"/>
          <w:szCs w:val="24"/>
        </w:rPr>
      </w:pPr>
      <w:r>
        <w:rPr>
          <w:rFonts w:cs="Arial"/>
          <w:noProof/>
          <w:color w:val="000000"/>
          <w:szCs w:val="24"/>
        </w:rPr>
        <w:t xml:space="preserve">The evaluation </w:t>
      </w:r>
      <w:r w:rsidR="003D4398">
        <w:rPr>
          <w:rFonts w:cs="Arial"/>
          <w:noProof/>
          <w:color w:val="000000"/>
          <w:szCs w:val="24"/>
        </w:rPr>
        <w:t xml:space="preserve">also </w:t>
      </w:r>
      <w:r>
        <w:rPr>
          <w:rFonts w:cs="Arial"/>
          <w:noProof/>
          <w:color w:val="000000"/>
          <w:szCs w:val="24"/>
        </w:rPr>
        <w:t xml:space="preserve">identified </w:t>
      </w:r>
      <w:r w:rsidR="00176C66" w:rsidRPr="00E83B32">
        <w:rPr>
          <w:rFonts w:cs="Arial"/>
          <w:noProof/>
          <w:color w:val="000000"/>
          <w:szCs w:val="24"/>
        </w:rPr>
        <w:t xml:space="preserve">a </w:t>
      </w:r>
      <w:r w:rsidR="00CC5979" w:rsidRPr="00E83B32">
        <w:rPr>
          <w:rFonts w:cs="Arial"/>
          <w:noProof/>
          <w:color w:val="000000"/>
          <w:szCs w:val="24"/>
        </w:rPr>
        <w:t>high</w:t>
      </w:r>
      <w:r w:rsidRPr="00E83B32">
        <w:rPr>
          <w:rFonts w:cs="Arial"/>
          <w:noProof/>
          <w:color w:val="000000"/>
          <w:szCs w:val="24"/>
        </w:rPr>
        <w:t xml:space="preserve"> </w:t>
      </w:r>
      <w:r w:rsidR="00176C66" w:rsidRPr="00E83B32">
        <w:rPr>
          <w:rFonts w:cs="Arial"/>
          <w:noProof/>
          <w:color w:val="000000"/>
          <w:szCs w:val="24"/>
        </w:rPr>
        <w:t>degree of</w:t>
      </w:r>
      <w:r>
        <w:rPr>
          <w:rFonts w:cs="Arial"/>
          <w:noProof/>
          <w:color w:val="000000"/>
          <w:szCs w:val="24"/>
        </w:rPr>
        <w:t xml:space="preserve"> complementarity between the </w:t>
      </w:r>
      <w:r w:rsidR="00176C66" w:rsidRPr="00E83B32">
        <w:rPr>
          <w:rFonts w:cs="Arial"/>
          <w:noProof/>
          <w:color w:val="000000"/>
          <w:szCs w:val="24"/>
        </w:rPr>
        <w:t>p</w:t>
      </w:r>
      <w:r>
        <w:rPr>
          <w:rFonts w:cs="Arial"/>
          <w:noProof/>
          <w:color w:val="000000"/>
          <w:szCs w:val="24"/>
        </w:rPr>
        <w:t xml:space="preserve">rogramme and the Anti-fraud Information System (AFIS). Anticipating this finding, the Commission decided to integrate AFIS into the </w:t>
      </w:r>
      <w:r w:rsidR="00176C66" w:rsidRPr="00E83B32">
        <w:rPr>
          <w:rFonts w:cs="Arial"/>
          <w:noProof/>
          <w:color w:val="000000"/>
          <w:szCs w:val="24"/>
        </w:rPr>
        <w:t>E</w:t>
      </w:r>
      <w:r w:rsidRPr="00E83B32">
        <w:rPr>
          <w:rFonts w:cs="Arial"/>
          <w:noProof/>
          <w:color w:val="000000"/>
          <w:szCs w:val="24"/>
        </w:rPr>
        <w:t>U</w:t>
      </w:r>
      <w:r w:rsidR="00176C66" w:rsidRPr="00E83B32">
        <w:rPr>
          <w:rFonts w:cs="Arial"/>
          <w:noProof/>
          <w:color w:val="000000"/>
          <w:szCs w:val="24"/>
        </w:rPr>
        <w:t>’s</w:t>
      </w:r>
      <w:r w:rsidRPr="00E83B32">
        <w:rPr>
          <w:rFonts w:cs="Arial"/>
          <w:noProof/>
          <w:color w:val="000000"/>
          <w:szCs w:val="24"/>
        </w:rPr>
        <w:t xml:space="preserve"> </w:t>
      </w:r>
      <w:r w:rsidR="00176C66" w:rsidRPr="00E83B32">
        <w:rPr>
          <w:rFonts w:cs="Arial"/>
          <w:noProof/>
          <w:color w:val="000000"/>
          <w:szCs w:val="24"/>
        </w:rPr>
        <w:t>a</w:t>
      </w:r>
      <w:r w:rsidRPr="00E83B32">
        <w:rPr>
          <w:rFonts w:cs="Arial"/>
          <w:noProof/>
          <w:color w:val="000000"/>
          <w:szCs w:val="24"/>
        </w:rPr>
        <w:t>nti-</w:t>
      </w:r>
      <w:r w:rsidR="00176C66" w:rsidRPr="00E83B32">
        <w:rPr>
          <w:rFonts w:cs="Arial"/>
          <w:noProof/>
          <w:color w:val="000000"/>
          <w:szCs w:val="24"/>
        </w:rPr>
        <w:t>f</w:t>
      </w:r>
      <w:r w:rsidRPr="00E83B32">
        <w:rPr>
          <w:rFonts w:cs="Arial"/>
          <w:noProof/>
          <w:color w:val="000000"/>
          <w:szCs w:val="24"/>
        </w:rPr>
        <w:t xml:space="preserve">raud </w:t>
      </w:r>
      <w:r w:rsidR="00176C66" w:rsidRPr="00E83B32">
        <w:rPr>
          <w:rFonts w:cs="Arial"/>
          <w:noProof/>
          <w:color w:val="000000"/>
          <w:szCs w:val="24"/>
        </w:rPr>
        <w:t>p</w:t>
      </w:r>
      <w:r>
        <w:rPr>
          <w:rFonts w:cs="Arial"/>
          <w:noProof/>
          <w:color w:val="000000"/>
          <w:szCs w:val="24"/>
        </w:rPr>
        <w:t>rogramme, the successor of Hercule III</w:t>
      </w:r>
      <w:r w:rsidR="006A6CD8">
        <w:rPr>
          <w:rFonts w:cs="Arial"/>
          <w:noProof/>
          <w:color w:val="000000"/>
          <w:szCs w:val="24"/>
        </w:rPr>
        <w:t xml:space="preserve"> for the </w:t>
      </w:r>
      <w:r w:rsidR="00176C66" w:rsidRPr="00E83B32">
        <w:rPr>
          <w:rFonts w:cs="Arial"/>
          <w:noProof/>
          <w:color w:val="000000"/>
          <w:szCs w:val="24"/>
        </w:rPr>
        <w:t>next budget period</w:t>
      </w:r>
      <w:r w:rsidR="006A6CD8">
        <w:rPr>
          <w:rFonts w:cs="Arial"/>
          <w:noProof/>
          <w:color w:val="000000"/>
          <w:szCs w:val="24"/>
        </w:rPr>
        <w:t xml:space="preserve"> 2021-2027</w:t>
      </w:r>
      <w:r w:rsidRPr="00F03D88">
        <w:rPr>
          <w:rFonts w:cs="Arial"/>
          <w:noProof/>
          <w:color w:val="000000"/>
          <w:szCs w:val="24"/>
        </w:rPr>
        <w:t>.</w:t>
      </w:r>
      <w:r w:rsidR="008F21CC" w:rsidRPr="00F03D88">
        <w:rPr>
          <w:rFonts w:cs="Arial"/>
          <w:noProof/>
          <w:color w:val="000000"/>
          <w:szCs w:val="24"/>
        </w:rPr>
        <w:t xml:space="preserve"> </w:t>
      </w:r>
      <w:r w:rsidR="00176C66" w:rsidRPr="00E83B32">
        <w:rPr>
          <w:rFonts w:cs="Arial"/>
          <w:noProof/>
          <w:color w:val="000000"/>
          <w:szCs w:val="24"/>
        </w:rPr>
        <w:t>Last</w:t>
      </w:r>
      <w:r w:rsidR="008F21CC" w:rsidRPr="00F03D88">
        <w:rPr>
          <w:rFonts w:cs="Arial"/>
          <w:noProof/>
          <w:color w:val="000000"/>
          <w:szCs w:val="24"/>
        </w:rPr>
        <w:t xml:space="preserve">ly, the </w:t>
      </w:r>
      <w:r w:rsidR="00176C66" w:rsidRPr="00E83B32">
        <w:rPr>
          <w:rFonts w:cs="Arial"/>
          <w:noProof/>
          <w:color w:val="000000"/>
          <w:szCs w:val="24"/>
        </w:rPr>
        <w:t>p</w:t>
      </w:r>
      <w:r w:rsidR="008F21CC" w:rsidRPr="00F03D88">
        <w:rPr>
          <w:rFonts w:cs="Arial"/>
          <w:noProof/>
          <w:color w:val="000000"/>
          <w:szCs w:val="24"/>
        </w:rPr>
        <w:t xml:space="preserve">rogramme leaves </w:t>
      </w:r>
      <w:r w:rsidR="00176C66" w:rsidRPr="00E83B32">
        <w:rPr>
          <w:rFonts w:cs="Arial"/>
          <w:noProof/>
          <w:color w:val="000000"/>
          <w:szCs w:val="24"/>
        </w:rPr>
        <w:t xml:space="preserve">scope </w:t>
      </w:r>
      <w:r w:rsidR="008F21CC" w:rsidRPr="00F03D88">
        <w:rPr>
          <w:rFonts w:cs="Arial"/>
          <w:noProof/>
          <w:color w:val="000000"/>
          <w:szCs w:val="24"/>
        </w:rPr>
        <w:t xml:space="preserve">for Member States to target their requests in areas highlighted </w:t>
      </w:r>
      <w:r w:rsidR="00176C66" w:rsidRPr="00E83B32">
        <w:rPr>
          <w:rFonts w:cs="Arial"/>
          <w:noProof/>
          <w:color w:val="000000"/>
          <w:szCs w:val="24"/>
        </w:rPr>
        <w:t xml:space="preserve">in </w:t>
      </w:r>
      <w:r w:rsidR="008F21CC" w:rsidRPr="00F03D88">
        <w:rPr>
          <w:rFonts w:cs="Arial"/>
          <w:noProof/>
          <w:color w:val="000000"/>
          <w:szCs w:val="24"/>
        </w:rPr>
        <w:t xml:space="preserve">the </w:t>
      </w:r>
      <w:r w:rsidR="00176C66" w:rsidRPr="00E83B32">
        <w:rPr>
          <w:rFonts w:cs="Arial"/>
          <w:noProof/>
          <w:color w:val="000000"/>
          <w:szCs w:val="24"/>
        </w:rPr>
        <w:t>multiple</w:t>
      </w:r>
      <w:r w:rsidR="008F21CC" w:rsidRPr="00E83B32">
        <w:rPr>
          <w:rFonts w:cs="Arial"/>
          <w:noProof/>
          <w:color w:val="000000"/>
          <w:szCs w:val="24"/>
        </w:rPr>
        <w:t xml:space="preserve"> </w:t>
      </w:r>
      <w:r w:rsidR="00176C66" w:rsidRPr="00E83B32">
        <w:rPr>
          <w:rFonts w:cs="Arial"/>
          <w:noProof/>
          <w:color w:val="000000"/>
          <w:szCs w:val="24"/>
        </w:rPr>
        <w:t>a</w:t>
      </w:r>
      <w:r w:rsidR="008F21CC" w:rsidRPr="00E83B32">
        <w:rPr>
          <w:rFonts w:cs="Arial"/>
          <w:noProof/>
          <w:color w:val="000000"/>
          <w:szCs w:val="24"/>
        </w:rPr>
        <w:t xml:space="preserve">ction </w:t>
      </w:r>
      <w:r w:rsidR="00176C66" w:rsidRPr="00E83B32">
        <w:rPr>
          <w:rFonts w:cs="Arial"/>
          <w:noProof/>
          <w:color w:val="000000"/>
          <w:szCs w:val="24"/>
        </w:rPr>
        <w:t>p</w:t>
      </w:r>
      <w:r w:rsidR="008F21CC" w:rsidRPr="00F03D88">
        <w:rPr>
          <w:rFonts w:cs="Arial"/>
          <w:noProof/>
          <w:color w:val="000000"/>
          <w:szCs w:val="24"/>
        </w:rPr>
        <w:t xml:space="preserve">lans adopted by the </w:t>
      </w:r>
      <w:r w:rsidR="00176C66" w:rsidRPr="00E83B32">
        <w:rPr>
          <w:rFonts w:cs="Arial"/>
          <w:noProof/>
          <w:color w:val="000000"/>
          <w:szCs w:val="24"/>
        </w:rPr>
        <w:t>E</w:t>
      </w:r>
      <w:r w:rsidR="008F21CC" w:rsidRPr="00E83B32">
        <w:rPr>
          <w:rFonts w:cs="Arial"/>
          <w:noProof/>
          <w:color w:val="000000"/>
          <w:szCs w:val="24"/>
        </w:rPr>
        <w:t xml:space="preserve">U </w:t>
      </w:r>
      <w:r w:rsidR="00176C66" w:rsidRPr="00E83B32">
        <w:rPr>
          <w:rFonts w:cs="Arial"/>
          <w:noProof/>
          <w:color w:val="000000"/>
          <w:szCs w:val="24"/>
        </w:rPr>
        <w:t>o</w:t>
      </w:r>
      <w:r w:rsidR="008F21CC" w:rsidRPr="00F03D88">
        <w:rPr>
          <w:rFonts w:cs="Arial"/>
          <w:noProof/>
          <w:color w:val="000000"/>
          <w:szCs w:val="24"/>
        </w:rPr>
        <w:t>n anti-fraud, home</w:t>
      </w:r>
      <w:r w:rsidR="008F21CC" w:rsidRPr="00E83B32">
        <w:rPr>
          <w:rFonts w:cs="Arial"/>
          <w:noProof/>
          <w:color w:val="000000"/>
          <w:szCs w:val="24"/>
        </w:rPr>
        <w:t xml:space="preserve"> </w:t>
      </w:r>
      <w:r w:rsidR="00176C66" w:rsidRPr="00E83B32">
        <w:rPr>
          <w:rFonts w:cs="Arial"/>
          <w:noProof/>
          <w:color w:val="000000"/>
          <w:szCs w:val="24"/>
        </w:rPr>
        <w:t>affairs</w:t>
      </w:r>
      <w:r w:rsidR="008F21CC" w:rsidRPr="00F03D88">
        <w:rPr>
          <w:rFonts w:cs="Arial"/>
          <w:noProof/>
          <w:color w:val="000000"/>
          <w:szCs w:val="24"/>
        </w:rPr>
        <w:t xml:space="preserve"> and customs. This creates additional synergies and promotes coherence with other </w:t>
      </w:r>
      <w:r w:rsidR="00176C66" w:rsidRPr="00E83B32">
        <w:rPr>
          <w:rFonts w:cs="Arial"/>
          <w:noProof/>
          <w:color w:val="000000"/>
          <w:szCs w:val="24"/>
        </w:rPr>
        <w:t>areas of E</w:t>
      </w:r>
      <w:r w:rsidR="008F21CC" w:rsidRPr="00E83B32">
        <w:rPr>
          <w:rFonts w:cs="Arial"/>
          <w:noProof/>
          <w:color w:val="000000"/>
          <w:szCs w:val="24"/>
        </w:rPr>
        <w:t>U</w:t>
      </w:r>
      <w:r w:rsidR="008F21CC" w:rsidRPr="00F03D88">
        <w:rPr>
          <w:rFonts w:cs="Arial"/>
          <w:noProof/>
          <w:color w:val="000000"/>
          <w:szCs w:val="24"/>
        </w:rPr>
        <w:t xml:space="preserve"> action.</w:t>
      </w:r>
      <w:r w:rsidR="008F21CC">
        <w:rPr>
          <w:rFonts w:cs="Arial"/>
          <w:noProof/>
          <w:color w:val="000000"/>
          <w:szCs w:val="24"/>
        </w:rPr>
        <w:t xml:space="preserve"> </w:t>
      </w:r>
    </w:p>
    <w:p w14:paraId="661C01D2" w14:textId="77777777" w:rsidR="009E7DA1" w:rsidRDefault="0001745B">
      <w:pPr>
        <w:pStyle w:val="Heading2"/>
        <w:rPr>
          <w:noProof/>
        </w:rPr>
      </w:pPr>
      <w:r>
        <w:rPr>
          <w:noProof/>
        </w:rPr>
        <w:t>EU added value</w:t>
      </w:r>
    </w:p>
    <w:p w14:paraId="5B7EC8C1" w14:textId="77777777" w:rsidR="003D4398" w:rsidRDefault="00B83DA3" w:rsidP="00B07258">
      <w:pPr>
        <w:autoSpaceDE w:val="0"/>
        <w:autoSpaceDN w:val="0"/>
        <w:adjustRightInd w:val="0"/>
        <w:spacing w:line="288" w:lineRule="auto"/>
        <w:rPr>
          <w:rFonts w:cs="Arial"/>
          <w:noProof/>
          <w:color w:val="000000"/>
          <w:szCs w:val="24"/>
        </w:rPr>
      </w:pPr>
      <w:r>
        <w:rPr>
          <w:rFonts w:cs="Arial"/>
          <w:noProof/>
          <w:color w:val="000000"/>
          <w:szCs w:val="24"/>
        </w:rPr>
        <w:t xml:space="preserve">The evaluation demonstrated the </w:t>
      </w:r>
      <w:r w:rsidR="00176C66" w:rsidRPr="00E83B32">
        <w:rPr>
          <w:rFonts w:cs="Arial"/>
          <w:noProof/>
          <w:color w:val="000000"/>
          <w:szCs w:val="24"/>
        </w:rPr>
        <w:t>programme’s</w:t>
      </w:r>
      <w:r w:rsidRPr="00E83B32">
        <w:rPr>
          <w:rFonts w:cs="Arial"/>
          <w:noProof/>
          <w:color w:val="000000"/>
          <w:szCs w:val="24"/>
        </w:rPr>
        <w:t xml:space="preserve"> </w:t>
      </w:r>
      <w:r w:rsidRPr="009D37EF">
        <w:rPr>
          <w:rFonts w:cs="Arial"/>
          <w:b/>
          <w:noProof/>
          <w:color w:val="000000"/>
          <w:szCs w:val="24"/>
        </w:rPr>
        <w:t>EU added value</w:t>
      </w:r>
      <w:r>
        <w:rPr>
          <w:rFonts w:cs="Arial"/>
          <w:noProof/>
          <w:color w:val="000000"/>
          <w:szCs w:val="24"/>
        </w:rPr>
        <w:t xml:space="preserve">. Stakeholders almost unanimously considered that </w:t>
      </w:r>
      <w:r w:rsidR="007515A0" w:rsidRPr="00E83B32">
        <w:rPr>
          <w:rFonts w:cs="Arial"/>
          <w:noProof/>
          <w:color w:val="000000"/>
          <w:szCs w:val="24"/>
        </w:rPr>
        <w:t xml:space="preserve">action taken under </w:t>
      </w:r>
      <w:r>
        <w:rPr>
          <w:rFonts w:cs="Arial"/>
          <w:noProof/>
          <w:color w:val="000000"/>
          <w:szCs w:val="24"/>
        </w:rPr>
        <w:t xml:space="preserve">the </w:t>
      </w:r>
      <w:r w:rsidR="007515A0" w:rsidRPr="00E83B32">
        <w:rPr>
          <w:rFonts w:cs="Arial"/>
          <w:noProof/>
          <w:color w:val="000000"/>
          <w:szCs w:val="24"/>
        </w:rPr>
        <w:t>p</w:t>
      </w:r>
      <w:r>
        <w:rPr>
          <w:rFonts w:cs="Arial"/>
          <w:noProof/>
          <w:color w:val="000000"/>
          <w:szCs w:val="24"/>
        </w:rPr>
        <w:t>rogramme ha</w:t>
      </w:r>
      <w:r w:rsidR="00F4033D">
        <w:rPr>
          <w:rFonts w:cs="Arial"/>
          <w:noProof/>
          <w:color w:val="000000"/>
          <w:szCs w:val="24"/>
        </w:rPr>
        <w:t>d</w:t>
      </w:r>
      <w:r>
        <w:rPr>
          <w:rFonts w:cs="Arial"/>
          <w:noProof/>
          <w:color w:val="000000"/>
          <w:szCs w:val="24"/>
        </w:rPr>
        <w:t xml:space="preserve"> significant added value compared to what could have been achieved at national and regional levels without the </w:t>
      </w:r>
      <w:r w:rsidR="00CC5979" w:rsidRPr="00E83B32">
        <w:rPr>
          <w:rFonts w:cs="Arial"/>
          <w:noProof/>
          <w:color w:val="000000"/>
          <w:szCs w:val="24"/>
        </w:rPr>
        <w:t>p</w:t>
      </w:r>
      <w:r>
        <w:rPr>
          <w:rFonts w:cs="Arial"/>
          <w:noProof/>
          <w:color w:val="000000"/>
          <w:szCs w:val="24"/>
        </w:rPr>
        <w:t xml:space="preserve">rogramme. In particular, </w:t>
      </w:r>
      <w:r w:rsidR="002716AF" w:rsidRPr="00E83B32">
        <w:rPr>
          <w:rFonts w:cs="Arial"/>
          <w:noProof/>
          <w:color w:val="000000"/>
          <w:szCs w:val="24"/>
        </w:rPr>
        <w:t xml:space="preserve">respondents found </w:t>
      </w:r>
      <w:r>
        <w:rPr>
          <w:rFonts w:cs="Arial"/>
          <w:noProof/>
          <w:color w:val="000000"/>
          <w:szCs w:val="24"/>
        </w:rPr>
        <w:t xml:space="preserve">the </w:t>
      </w:r>
      <w:r w:rsidR="002716AF" w:rsidRPr="00E83B32">
        <w:rPr>
          <w:rFonts w:cs="Arial"/>
          <w:noProof/>
          <w:color w:val="000000"/>
          <w:szCs w:val="24"/>
        </w:rPr>
        <w:t>p</w:t>
      </w:r>
      <w:r>
        <w:rPr>
          <w:rFonts w:cs="Arial"/>
          <w:noProof/>
          <w:color w:val="000000"/>
          <w:szCs w:val="24"/>
        </w:rPr>
        <w:t xml:space="preserve">rogramme to provide additional value in two areas. Firstly, </w:t>
      </w:r>
      <w:r w:rsidR="002716AF" w:rsidRPr="00E83B32">
        <w:rPr>
          <w:rFonts w:cs="Arial"/>
          <w:noProof/>
          <w:color w:val="000000"/>
          <w:szCs w:val="24"/>
        </w:rPr>
        <w:t xml:space="preserve">it </w:t>
      </w:r>
      <w:r>
        <w:rPr>
          <w:rFonts w:cs="Arial"/>
          <w:noProof/>
          <w:color w:val="000000"/>
          <w:szCs w:val="24"/>
        </w:rPr>
        <w:t xml:space="preserve">acted as a driver and enabler to counter and reduce the risk of fraud </w:t>
      </w:r>
      <w:r w:rsidR="00303529" w:rsidRPr="00E83B32">
        <w:rPr>
          <w:rFonts w:cs="Arial"/>
          <w:noProof/>
          <w:color w:val="000000"/>
          <w:szCs w:val="24"/>
        </w:rPr>
        <w:t>f</w:t>
      </w:r>
      <w:r w:rsidRPr="00E83B32">
        <w:rPr>
          <w:rFonts w:cs="Arial"/>
          <w:noProof/>
          <w:color w:val="000000"/>
          <w:szCs w:val="24"/>
        </w:rPr>
        <w:t>o</w:t>
      </w:r>
      <w:r w:rsidR="00303529" w:rsidRPr="00E83B32">
        <w:rPr>
          <w:rFonts w:cs="Arial"/>
          <w:noProof/>
          <w:color w:val="000000"/>
          <w:szCs w:val="24"/>
        </w:rPr>
        <w:t>r</w:t>
      </w:r>
      <w:r w:rsidRPr="00E83B32">
        <w:rPr>
          <w:rFonts w:cs="Arial"/>
          <w:noProof/>
          <w:color w:val="000000"/>
          <w:szCs w:val="24"/>
        </w:rPr>
        <w:t xml:space="preserve"> </w:t>
      </w:r>
      <w:r w:rsidR="002716AF" w:rsidRPr="00E83B32">
        <w:rPr>
          <w:rFonts w:cs="Arial"/>
          <w:noProof/>
          <w:color w:val="000000"/>
          <w:szCs w:val="24"/>
        </w:rPr>
        <w:t>the E</w:t>
      </w:r>
      <w:r w:rsidRPr="00E83B32">
        <w:rPr>
          <w:rFonts w:cs="Arial"/>
          <w:noProof/>
          <w:color w:val="000000"/>
          <w:szCs w:val="24"/>
        </w:rPr>
        <w:t>U</w:t>
      </w:r>
      <w:r w:rsidR="002716AF" w:rsidRPr="00E83B32">
        <w:rPr>
          <w:rFonts w:cs="Arial"/>
          <w:noProof/>
          <w:color w:val="000000"/>
          <w:szCs w:val="24"/>
        </w:rPr>
        <w:t xml:space="preserve">’s </w:t>
      </w:r>
      <w:r w:rsidRPr="00E83B32">
        <w:rPr>
          <w:rFonts w:cs="Arial"/>
          <w:noProof/>
          <w:color w:val="000000"/>
          <w:szCs w:val="24"/>
        </w:rPr>
        <w:t>financ</w:t>
      </w:r>
      <w:r w:rsidR="00303529" w:rsidRPr="00E83B32">
        <w:rPr>
          <w:rFonts w:cs="Arial"/>
          <w:noProof/>
          <w:color w:val="000000"/>
          <w:szCs w:val="24"/>
        </w:rPr>
        <w:t>es</w:t>
      </w:r>
      <w:r w:rsidRPr="00E83B32">
        <w:rPr>
          <w:rFonts w:cs="Arial"/>
          <w:noProof/>
          <w:color w:val="000000"/>
          <w:szCs w:val="24"/>
        </w:rPr>
        <w:t>.</w:t>
      </w:r>
      <w:r>
        <w:rPr>
          <w:rFonts w:cs="Arial"/>
          <w:noProof/>
          <w:color w:val="000000"/>
          <w:szCs w:val="24"/>
        </w:rPr>
        <w:t xml:space="preserve"> This was particularly the case for technical assistance </w:t>
      </w:r>
      <w:r w:rsidR="002716AF" w:rsidRPr="00E83B32">
        <w:rPr>
          <w:rFonts w:cs="Arial"/>
          <w:noProof/>
          <w:color w:val="000000"/>
          <w:szCs w:val="24"/>
        </w:rPr>
        <w:t xml:space="preserve">measures </w:t>
      </w:r>
      <w:r>
        <w:rPr>
          <w:rFonts w:cs="Arial"/>
          <w:noProof/>
          <w:color w:val="000000"/>
          <w:szCs w:val="24"/>
        </w:rPr>
        <w:t>where</w:t>
      </w:r>
      <w:r w:rsidR="002716AF" w:rsidRPr="00E83B32">
        <w:rPr>
          <w:rFonts w:cs="Arial"/>
          <w:noProof/>
          <w:color w:val="000000"/>
          <w:szCs w:val="24"/>
        </w:rPr>
        <w:t>,</w:t>
      </w:r>
      <w:r>
        <w:rPr>
          <w:rFonts w:cs="Arial"/>
          <w:noProof/>
          <w:color w:val="000000"/>
          <w:szCs w:val="24"/>
        </w:rPr>
        <w:t xml:space="preserve"> according to beneficiaries</w:t>
      </w:r>
      <w:r w:rsidR="002716AF" w:rsidRPr="00E83B32">
        <w:rPr>
          <w:rFonts w:cs="Arial"/>
          <w:noProof/>
          <w:color w:val="000000"/>
          <w:szCs w:val="24"/>
        </w:rPr>
        <w:t>,</w:t>
      </w:r>
      <w:r w:rsidRPr="00E83B32">
        <w:rPr>
          <w:rFonts w:cs="Arial"/>
          <w:noProof/>
          <w:color w:val="000000"/>
          <w:szCs w:val="24"/>
        </w:rPr>
        <w:t xml:space="preserve"> </w:t>
      </w:r>
      <w:r w:rsidR="002716AF" w:rsidRPr="00E83B32">
        <w:rPr>
          <w:rFonts w:cs="Arial"/>
          <w:noProof/>
          <w:color w:val="000000"/>
          <w:szCs w:val="24"/>
        </w:rPr>
        <w:t>the</w:t>
      </w:r>
      <w:r>
        <w:rPr>
          <w:rFonts w:cs="Arial"/>
          <w:noProof/>
          <w:color w:val="000000"/>
          <w:szCs w:val="24"/>
        </w:rPr>
        <w:t xml:space="preserve"> limits </w:t>
      </w:r>
      <w:r w:rsidR="002716AF" w:rsidRPr="00E83B32">
        <w:rPr>
          <w:rFonts w:cs="Arial"/>
          <w:noProof/>
          <w:color w:val="000000"/>
          <w:szCs w:val="24"/>
        </w:rPr>
        <w:t xml:space="preserve">set under </w:t>
      </w:r>
      <w:r>
        <w:rPr>
          <w:rFonts w:cs="Arial"/>
          <w:noProof/>
          <w:color w:val="000000"/>
          <w:szCs w:val="24"/>
        </w:rPr>
        <w:t xml:space="preserve">national budgets would not </w:t>
      </w:r>
      <w:r w:rsidR="00F4033D">
        <w:rPr>
          <w:rFonts w:cs="Arial"/>
          <w:noProof/>
          <w:color w:val="000000"/>
          <w:szCs w:val="24"/>
        </w:rPr>
        <w:t>have</w:t>
      </w:r>
      <w:r w:rsidR="00F4033D" w:rsidRPr="00E83B32">
        <w:rPr>
          <w:rFonts w:cs="Arial"/>
          <w:noProof/>
          <w:color w:val="000000"/>
          <w:szCs w:val="24"/>
        </w:rPr>
        <w:t xml:space="preserve"> </w:t>
      </w:r>
      <w:r w:rsidR="002716AF" w:rsidRPr="00E83B32">
        <w:rPr>
          <w:rFonts w:cs="Arial"/>
          <w:noProof/>
          <w:color w:val="000000"/>
          <w:szCs w:val="24"/>
        </w:rPr>
        <w:t>enabled them</w:t>
      </w:r>
      <w:r w:rsidR="00F4033D">
        <w:rPr>
          <w:rFonts w:cs="Arial"/>
          <w:noProof/>
          <w:color w:val="000000"/>
          <w:szCs w:val="24"/>
        </w:rPr>
        <w:t xml:space="preserve"> </w:t>
      </w:r>
      <w:r>
        <w:rPr>
          <w:rFonts w:cs="Arial"/>
          <w:noProof/>
          <w:color w:val="000000"/>
          <w:szCs w:val="24"/>
        </w:rPr>
        <w:t>to make large investments in technical equipment. In this context, several beneficiaries and uns</w:t>
      </w:r>
      <w:r w:rsidR="00744364">
        <w:rPr>
          <w:rFonts w:cs="Arial"/>
          <w:noProof/>
          <w:color w:val="000000"/>
          <w:szCs w:val="24"/>
        </w:rPr>
        <w:t>u</w:t>
      </w:r>
      <w:r>
        <w:rPr>
          <w:rFonts w:cs="Arial"/>
          <w:noProof/>
          <w:color w:val="000000"/>
          <w:szCs w:val="24"/>
        </w:rPr>
        <w:t>ccessful ap</w:t>
      </w:r>
      <w:r w:rsidR="003D4398">
        <w:rPr>
          <w:rFonts w:cs="Arial"/>
          <w:noProof/>
          <w:color w:val="000000"/>
          <w:szCs w:val="24"/>
        </w:rPr>
        <w:t>p</w:t>
      </w:r>
      <w:r>
        <w:rPr>
          <w:rFonts w:cs="Arial"/>
          <w:noProof/>
          <w:color w:val="000000"/>
          <w:szCs w:val="24"/>
        </w:rPr>
        <w:t xml:space="preserve">licants mentioned that being associated with the </w:t>
      </w:r>
      <w:r w:rsidR="002716AF" w:rsidRPr="00E83B32">
        <w:rPr>
          <w:rFonts w:cs="Arial"/>
          <w:noProof/>
          <w:color w:val="000000"/>
          <w:szCs w:val="24"/>
        </w:rPr>
        <w:t>p</w:t>
      </w:r>
      <w:r>
        <w:rPr>
          <w:rFonts w:cs="Arial"/>
          <w:noProof/>
          <w:color w:val="000000"/>
          <w:szCs w:val="24"/>
        </w:rPr>
        <w:t xml:space="preserve">rogramme provides </w:t>
      </w:r>
      <w:r w:rsidR="00303529" w:rsidRPr="00E83B32">
        <w:rPr>
          <w:rFonts w:cs="Arial"/>
          <w:noProof/>
          <w:color w:val="000000"/>
          <w:szCs w:val="24"/>
        </w:rPr>
        <w:t xml:space="preserve">a </w:t>
      </w:r>
      <w:r>
        <w:rPr>
          <w:rFonts w:cs="Arial"/>
          <w:noProof/>
          <w:color w:val="000000"/>
          <w:szCs w:val="24"/>
        </w:rPr>
        <w:t xml:space="preserve">higher </w:t>
      </w:r>
      <w:r w:rsidR="00303529" w:rsidRPr="00E83B32">
        <w:rPr>
          <w:rFonts w:cs="Arial"/>
          <w:noProof/>
          <w:color w:val="000000"/>
          <w:szCs w:val="24"/>
        </w:rPr>
        <w:t xml:space="preserve">degree of </w:t>
      </w:r>
      <w:r>
        <w:rPr>
          <w:rFonts w:cs="Arial"/>
          <w:noProof/>
          <w:color w:val="000000"/>
          <w:szCs w:val="24"/>
        </w:rPr>
        <w:t xml:space="preserve">legitimacy to </w:t>
      </w:r>
      <w:r w:rsidRPr="00E83B32">
        <w:rPr>
          <w:rFonts w:cs="Arial"/>
          <w:noProof/>
          <w:color w:val="000000"/>
          <w:szCs w:val="24"/>
        </w:rPr>
        <w:t>the</w:t>
      </w:r>
      <w:r w:rsidR="00303529" w:rsidRPr="00E83B32">
        <w:rPr>
          <w:rFonts w:cs="Arial"/>
          <w:noProof/>
          <w:color w:val="000000"/>
          <w:szCs w:val="24"/>
        </w:rPr>
        <w:t>ir</w:t>
      </w:r>
      <w:r>
        <w:rPr>
          <w:rFonts w:cs="Arial"/>
          <w:noProof/>
          <w:color w:val="000000"/>
          <w:szCs w:val="24"/>
        </w:rPr>
        <w:t xml:space="preserve"> work at national level.</w:t>
      </w:r>
    </w:p>
    <w:p w14:paraId="29E86A6F" w14:textId="77777777" w:rsidR="00B07258" w:rsidRPr="00B07258" w:rsidRDefault="00B83DA3" w:rsidP="00B07258">
      <w:pPr>
        <w:autoSpaceDE w:val="0"/>
        <w:autoSpaceDN w:val="0"/>
        <w:adjustRightInd w:val="0"/>
        <w:spacing w:line="288" w:lineRule="auto"/>
        <w:rPr>
          <w:rFonts w:cs="Arial"/>
          <w:noProof/>
          <w:color w:val="000000"/>
          <w:szCs w:val="24"/>
        </w:rPr>
      </w:pPr>
      <w:r>
        <w:rPr>
          <w:rFonts w:cs="Arial"/>
          <w:noProof/>
          <w:color w:val="000000"/>
          <w:szCs w:val="24"/>
        </w:rPr>
        <w:t xml:space="preserve">Secondly, </w:t>
      </w:r>
      <w:r w:rsidR="007C79F1" w:rsidRPr="00E83B32">
        <w:rPr>
          <w:rFonts w:cs="Arial"/>
          <w:noProof/>
          <w:color w:val="000000"/>
          <w:szCs w:val="24"/>
        </w:rPr>
        <w:t xml:space="preserve">respondents perceived </w:t>
      </w:r>
      <w:r>
        <w:rPr>
          <w:rFonts w:cs="Arial"/>
          <w:noProof/>
          <w:color w:val="000000"/>
          <w:szCs w:val="24"/>
        </w:rPr>
        <w:t xml:space="preserve">the </w:t>
      </w:r>
      <w:r w:rsidR="007C79F1" w:rsidRPr="00E83B32">
        <w:rPr>
          <w:rFonts w:cs="Arial"/>
          <w:noProof/>
          <w:color w:val="000000"/>
          <w:szCs w:val="24"/>
        </w:rPr>
        <w:t>p</w:t>
      </w:r>
      <w:r>
        <w:rPr>
          <w:rFonts w:cs="Arial"/>
          <w:noProof/>
          <w:color w:val="000000"/>
          <w:szCs w:val="24"/>
        </w:rPr>
        <w:t xml:space="preserve">rogramme </w:t>
      </w:r>
      <w:r w:rsidR="007C79F1" w:rsidRPr="00E83B32">
        <w:rPr>
          <w:rFonts w:cs="Arial"/>
          <w:noProof/>
          <w:color w:val="000000"/>
          <w:szCs w:val="24"/>
        </w:rPr>
        <w:t>to be</w:t>
      </w:r>
      <w:r>
        <w:rPr>
          <w:rFonts w:cs="Arial"/>
          <w:noProof/>
          <w:color w:val="000000"/>
          <w:szCs w:val="24"/>
        </w:rPr>
        <w:t xml:space="preserve"> a factor facilitating cooperation between the Member States through conferences, training and database tools.</w:t>
      </w:r>
      <w:r w:rsidR="003D4398">
        <w:rPr>
          <w:rFonts w:cs="Arial"/>
          <w:noProof/>
          <w:color w:val="000000"/>
          <w:szCs w:val="24"/>
        </w:rPr>
        <w:t xml:space="preserve"> Such cross-border cooperation would have been much more difficult to achieve at national level.</w:t>
      </w:r>
    </w:p>
    <w:p w14:paraId="5447E164" w14:textId="77777777" w:rsidR="00EE0038" w:rsidRDefault="00EE0038">
      <w:pPr>
        <w:pStyle w:val="Heading1"/>
        <w:rPr>
          <w:noProof/>
        </w:rPr>
      </w:pPr>
      <w:r>
        <w:rPr>
          <w:noProof/>
        </w:rPr>
        <w:t>Conclusions and recommendations</w:t>
      </w:r>
    </w:p>
    <w:p w14:paraId="649E9497" w14:textId="77777777" w:rsidR="00C472F3" w:rsidRDefault="00E34EBD" w:rsidP="0096798B">
      <w:pPr>
        <w:autoSpaceDE w:val="0"/>
        <w:autoSpaceDN w:val="0"/>
        <w:adjustRightInd w:val="0"/>
        <w:spacing w:line="288" w:lineRule="auto"/>
        <w:rPr>
          <w:rFonts w:cs="Arial"/>
          <w:noProof/>
          <w:color w:val="000000"/>
          <w:szCs w:val="24"/>
        </w:rPr>
      </w:pPr>
      <w:r>
        <w:rPr>
          <w:rFonts w:cs="Arial"/>
          <w:noProof/>
          <w:color w:val="000000"/>
          <w:szCs w:val="24"/>
        </w:rPr>
        <w:t>The evaluation</w:t>
      </w:r>
      <w:r w:rsidR="00C472F3">
        <w:rPr>
          <w:rFonts w:cs="Arial"/>
          <w:noProof/>
          <w:color w:val="000000"/>
          <w:szCs w:val="24"/>
        </w:rPr>
        <w:t xml:space="preserve"> </w:t>
      </w:r>
      <w:r w:rsidR="007C79F1" w:rsidRPr="00E83B32">
        <w:rPr>
          <w:rFonts w:cs="Arial"/>
          <w:noProof/>
          <w:color w:val="000000"/>
          <w:szCs w:val="24"/>
        </w:rPr>
        <w:t xml:space="preserve">concluded </w:t>
      </w:r>
      <w:r>
        <w:rPr>
          <w:rFonts w:cs="Arial"/>
          <w:noProof/>
          <w:color w:val="000000"/>
          <w:szCs w:val="24"/>
        </w:rPr>
        <w:t xml:space="preserve">that the </w:t>
      </w:r>
      <w:r w:rsidR="007C79F1" w:rsidRPr="00E83B32">
        <w:rPr>
          <w:rFonts w:cs="Arial"/>
          <w:noProof/>
          <w:color w:val="000000"/>
          <w:szCs w:val="24"/>
        </w:rPr>
        <w:t>p</w:t>
      </w:r>
      <w:r>
        <w:rPr>
          <w:rFonts w:cs="Arial"/>
          <w:noProof/>
          <w:color w:val="000000"/>
          <w:szCs w:val="24"/>
        </w:rPr>
        <w:t xml:space="preserve">rogramme remains relevant. It is coherent, effective, efficient and provides </w:t>
      </w:r>
      <w:r w:rsidR="00C472F3">
        <w:rPr>
          <w:rFonts w:cs="Arial"/>
          <w:noProof/>
          <w:color w:val="000000"/>
          <w:szCs w:val="24"/>
        </w:rPr>
        <w:t xml:space="preserve">EU </w:t>
      </w:r>
      <w:r>
        <w:rPr>
          <w:rFonts w:cs="Arial"/>
          <w:noProof/>
          <w:color w:val="000000"/>
          <w:szCs w:val="24"/>
        </w:rPr>
        <w:t xml:space="preserve">added value. </w:t>
      </w:r>
      <w:r w:rsidR="00C472F3">
        <w:rPr>
          <w:rFonts w:cs="Arial"/>
          <w:noProof/>
          <w:color w:val="000000"/>
          <w:szCs w:val="24"/>
        </w:rPr>
        <w:t xml:space="preserve">However, </w:t>
      </w:r>
      <w:r w:rsidR="007C79F1" w:rsidRPr="00E83B32">
        <w:rPr>
          <w:rFonts w:cs="Arial"/>
          <w:noProof/>
          <w:color w:val="000000"/>
          <w:szCs w:val="24"/>
        </w:rPr>
        <w:t xml:space="preserve">it also </w:t>
      </w:r>
      <w:r w:rsidR="0096798B" w:rsidRPr="0096798B">
        <w:rPr>
          <w:rFonts w:cs="Arial"/>
          <w:noProof/>
          <w:color w:val="000000"/>
          <w:szCs w:val="24"/>
        </w:rPr>
        <w:t>identified a number of current and f</w:t>
      </w:r>
      <w:r w:rsidR="003D4398">
        <w:rPr>
          <w:rFonts w:cs="Arial"/>
          <w:noProof/>
          <w:color w:val="000000"/>
          <w:szCs w:val="24"/>
        </w:rPr>
        <w:t>oreseeable</w:t>
      </w:r>
      <w:r w:rsidR="0096798B" w:rsidRPr="0096798B">
        <w:rPr>
          <w:rFonts w:cs="Arial"/>
          <w:noProof/>
          <w:color w:val="000000"/>
          <w:szCs w:val="24"/>
        </w:rPr>
        <w:t xml:space="preserve"> challenges which the </w:t>
      </w:r>
      <w:r w:rsidR="00C472F3">
        <w:rPr>
          <w:rFonts w:cs="Arial"/>
          <w:noProof/>
          <w:color w:val="000000"/>
          <w:szCs w:val="24"/>
        </w:rPr>
        <w:t xml:space="preserve">successor </w:t>
      </w:r>
      <w:r w:rsidR="007C79F1" w:rsidRPr="00E83B32">
        <w:rPr>
          <w:rFonts w:cs="Arial"/>
          <w:noProof/>
          <w:color w:val="000000"/>
          <w:szCs w:val="24"/>
        </w:rPr>
        <w:t xml:space="preserve">programme </w:t>
      </w:r>
      <w:r w:rsidR="00C472F3">
        <w:rPr>
          <w:rFonts w:cs="Arial"/>
          <w:noProof/>
          <w:color w:val="000000"/>
          <w:szCs w:val="24"/>
        </w:rPr>
        <w:t xml:space="preserve">of Hercule III, the </w:t>
      </w:r>
      <w:r w:rsidR="00303529" w:rsidRPr="00E83B32">
        <w:rPr>
          <w:rFonts w:cs="Arial"/>
          <w:noProof/>
          <w:color w:val="000000"/>
          <w:szCs w:val="24"/>
        </w:rPr>
        <w:t xml:space="preserve">EU’s </w:t>
      </w:r>
      <w:r w:rsidR="003D4398">
        <w:rPr>
          <w:rFonts w:cs="Arial"/>
          <w:noProof/>
          <w:color w:val="000000"/>
          <w:szCs w:val="24"/>
        </w:rPr>
        <w:t xml:space="preserve">new </w:t>
      </w:r>
      <w:r w:rsidR="00303529" w:rsidRPr="00E83B32">
        <w:rPr>
          <w:rFonts w:cs="Arial"/>
          <w:noProof/>
          <w:color w:val="000000"/>
          <w:szCs w:val="24"/>
        </w:rPr>
        <w:t>a</w:t>
      </w:r>
      <w:r w:rsidR="006D3311" w:rsidRPr="00E83B32">
        <w:rPr>
          <w:rFonts w:cs="Arial"/>
          <w:noProof/>
          <w:color w:val="000000"/>
          <w:szCs w:val="24"/>
        </w:rPr>
        <w:t>nti-</w:t>
      </w:r>
      <w:r w:rsidR="00303529" w:rsidRPr="00E83B32">
        <w:rPr>
          <w:rFonts w:cs="Arial"/>
          <w:noProof/>
          <w:color w:val="000000"/>
          <w:szCs w:val="24"/>
        </w:rPr>
        <w:t>f</w:t>
      </w:r>
      <w:r w:rsidR="006D3311" w:rsidRPr="00E83B32">
        <w:rPr>
          <w:rFonts w:cs="Arial"/>
          <w:noProof/>
          <w:color w:val="000000"/>
          <w:szCs w:val="24"/>
        </w:rPr>
        <w:t xml:space="preserve">raud </w:t>
      </w:r>
      <w:r w:rsidR="00303529" w:rsidRPr="00E83B32">
        <w:rPr>
          <w:rFonts w:cs="Arial"/>
          <w:noProof/>
          <w:color w:val="000000"/>
          <w:szCs w:val="24"/>
        </w:rPr>
        <w:t>p</w:t>
      </w:r>
      <w:r w:rsidR="006D3311">
        <w:rPr>
          <w:rFonts w:cs="Arial"/>
          <w:noProof/>
          <w:color w:val="000000"/>
          <w:szCs w:val="24"/>
        </w:rPr>
        <w:t>rogramme (</w:t>
      </w:r>
      <w:r w:rsidR="00FB23CB">
        <w:rPr>
          <w:rFonts w:cs="Arial"/>
          <w:noProof/>
          <w:color w:val="000000"/>
          <w:szCs w:val="24"/>
        </w:rPr>
        <w:t>UAFP</w:t>
      </w:r>
      <w:r w:rsidR="00FB23CB" w:rsidRPr="00E83B32">
        <w:rPr>
          <w:rFonts w:cs="Arial"/>
          <w:noProof/>
          <w:color w:val="000000"/>
          <w:szCs w:val="24"/>
        </w:rPr>
        <w:t>)</w:t>
      </w:r>
      <w:r w:rsidR="007C79F1" w:rsidRPr="00E83B32">
        <w:rPr>
          <w:rFonts w:cs="Arial"/>
          <w:noProof/>
          <w:color w:val="000000"/>
          <w:szCs w:val="24"/>
        </w:rPr>
        <w:t xml:space="preserve"> must</w:t>
      </w:r>
      <w:r w:rsidR="0096798B" w:rsidRPr="0096798B">
        <w:rPr>
          <w:rFonts w:cs="Arial"/>
          <w:noProof/>
          <w:color w:val="000000"/>
          <w:szCs w:val="24"/>
        </w:rPr>
        <w:t xml:space="preserve"> </w:t>
      </w:r>
      <w:r w:rsidR="004F2372">
        <w:rPr>
          <w:rFonts w:cs="Arial"/>
          <w:noProof/>
          <w:color w:val="000000"/>
          <w:szCs w:val="24"/>
        </w:rPr>
        <w:t>address</w:t>
      </w:r>
      <w:r w:rsidR="0096798B" w:rsidRPr="0096798B">
        <w:rPr>
          <w:rFonts w:cs="Arial"/>
          <w:noProof/>
          <w:color w:val="000000"/>
          <w:szCs w:val="24"/>
        </w:rPr>
        <w:t xml:space="preserve">. </w:t>
      </w:r>
    </w:p>
    <w:p w14:paraId="32B747D6" w14:textId="77777777" w:rsidR="0096798B" w:rsidRPr="00F03D88" w:rsidRDefault="003D4398" w:rsidP="0096798B">
      <w:pPr>
        <w:autoSpaceDE w:val="0"/>
        <w:autoSpaceDN w:val="0"/>
        <w:adjustRightInd w:val="0"/>
        <w:spacing w:line="288" w:lineRule="auto"/>
        <w:rPr>
          <w:rFonts w:cs="Arial"/>
          <w:noProof/>
          <w:color w:val="000000"/>
          <w:szCs w:val="24"/>
        </w:rPr>
      </w:pPr>
      <w:r>
        <w:rPr>
          <w:rFonts w:cs="Arial"/>
          <w:noProof/>
          <w:color w:val="000000"/>
          <w:szCs w:val="24"/>
        </w:rPr>
        <w:t xml:space="preserve">Like the Hercule III </w:t>
      </w:r>
      <w:r w:rsidR="00303529" w:rsidRPr="00E83B32">
        <w:rPr>
          <w:rFonts w:cs="Arial"/>
          <w:noProof/>
          <w:color w:val="000000"/>
          <w:szCs w:val="24"/>
        </w:rPr>
        <w:t>p</w:t>
      </w:r>
      <w:r>
        <w:rPr>
          <w:rFonts w:cs="Arial"/>
          <w:noProof/>
          <w:color w:val="000000"/>
          <w:szCs w:val="24"/>
        </w:rPr>
        <w:t>rogramme, the UAFP</w:t>
      </w:r>
      <w:r w:rsidR="00E34EBD">
        <w:rPr>
          <w:rFonts w:cs="Arial"/>
          <w:noProof/>
          <w:color w:val="000000"/>
          <w:szCs w:val="24"/>
        </w:rPr>
        <w:t xml:space="preserve"> should</w:t>
      </w:r>
      <w:r w:rsidR="00E34EBD" w:rsidRPr="00E83B32">
        <w:rPr>
          <w:rFonts w:cs="Arial"/>
          <w:noProof/>
          <w:color w:val="000000"/>
          <w:szCs w:val="24"/>
        </w:rPr>
        <w:t xml:space="preserve"> </w:t>
      </w:r>
      <w:r w:rsidR="007C79F1" w:rsidRPr="00E83B32">
        <w:rPr>
          <w:rFonts w:cs="Arial"/>
          <w:noProof/>
          <w:color w:val="000000"/>
          <w:szCs w:val="24"/>
        </w:rPr>
        <w:t>also</w:t>
      </w:r>
      <w:r w:rsidR="00E34EBD">
        <w:rPr>
          <w:rFonts w:cs="Arial"/>
          <w:noProof/>
          <w:color w:val="000000"/>
          <w:szCs w:val="24"/>
        </w:rPr>
        <w:t xml:space="preserve"> continu</w:t>
      </w:r>
      <w:r w:rsidR="00C472F3">
        <w:rPr>
          <w:rFonts w:cs="Arial"/>
          <w:noProof/>
          <w:color w:val="000000"/>
          <w:szCs w:val="24"/>
        </w:rPr>
        <w:t>o</w:t>
      </w:r>
      <w:r w:rsidR="00E44F3D">
        <w:rPr>
          <w:rFonts w:cs="Arial"/>
          <w:noProof/>
          <w:color w:val="000000"/>
          <w:szCs w:val="24"/>
        </w:rPr>
        <w:t>u</w:t>
      </w:r>
      <w:r w:rsidR="00E34EBD">
        <w:rPr>
          <w:rFonts w:cs="Arial"/>
          <w:noProof/>
          <w:color w:val="000000"/>
          <w:szCs w:val="24"/>
        </w:rPr>
        <w:t xml:space="preserve">sly adjust to new developments in the fraud landscape, such as </w:t>
      </w:r>
      <w:r w:rsidR="0096798B" w:rsidRPr="0096798B">
        <w:rPr>
          <w:rFonts w:cs="Arial"/>
          <w:noProof/>
          <w:color w:val="000000"/>
          <w:szCs w:val="24"/>
        </w:rPr>
        <w:t>technological developments and the increasing complexity of criminal activities</w:t>
      </w:r>
      <w:r w:rsidR="004F2372">
        <w:rPr>
          <w:rFonts w:cs="Arial"/>
          <w:noProof/>
          <w:color w:val="000000"/>
          <w:szCs w:val="24"/>
        </w:rPr>
        <w:t xml:space="preserve">, notably cross-border </w:t>
      </w:r>
      <w:r w:rsidR="007C79F1" w:rsidRPr="00E83B32">
        <w:rPr>
          <w:rFonts w:cs="Arial"/>
          <w:noProof/>
          <w:color w:val="000000"/>
          <w:szCs w:val="24"/>
        </w:rPr>
        <w:t>crime</w:t>
      </w:r>
      <w:r w:rsidR="004F2372">
        <w:rPr>
          <w:rFonts w:cs="Arial"/>
          <w:noProof/>
          <w:color w:val="000000"/>
          <w:szCs w:val="24"/>
        </w:rPr>
        <w:t xml:space="preserve">. This applies in equal measure to </w:t>
      </w:r>
      <w:r w:rsidR="004F2372" w:rsidRPr="00F03D88">
        <w:rPr>
          <w:rFonts w:cs="Arial"/>
          <w:noProof/>
          <w:color w:val="000000"/>
          <w:szCs w:val="24"/>
        </w:rPr>
        <w:t>fraud</w:t>
      </w:r>
      <w:r w:rsidR="004F2372" w:rsidRPr="00E83B32">
        <w:rPr>
          <w:rFonts w:cs="Arial"/>
          <w:noProof/>
          <w:color w:val="000000"/>
          <w:szCs w:val="24"/>
        </w:rPr>
        <w:t xml:space="preserve"> </w:t>
      </w:r>
      <w:r w:rsidR="007C79F1" w:rsidRPr="00E83B32">
        <w:rPr>
          <w:rFonts w:cs="Arial"/>
          <w:noProof/>
          <w:color w:val="000000"/>
          <w:szCs w:val="24"/>
        </w:rPr>
        <w:t>on both</w:t>
      </w:r>
      <w:r w:rsidR="004F2372" w:rsidRPr="00F03D88">
        <w:rPr>
          <w:rFonts w:cs="Arial"/>
          <w:noProof/>
          <w:color w:val="000000"/>
          <w:szCs w:val="24"/>
        </w:rPr>
        <w:t xml:space="preserve"> the expenditure and the revenue side of the budget</w:t>
      </w:r>
      <w:r w:rsidRPr="00F03D88">
        <w:rPr>
          <w:rFonts w:cs="Arial"/>
          <w:noProof/>
          <w:color w:val="000000"/>
          <w:szCs w:val="24"/>
        </w:rPr>
        <w:t>,</w:t>
      </w:r>
      <w:r w:rsidR="004F2372" w:rsidRPr="00F03D88">
        <w:rPr>
          <w:rFonts w:cs="Arial"/>
          <w:noProof/>
          <w:color w:val="000000"/>
          <w:szCs w:val="24"/>
        </w:rPr>
        <w:t xml:space="preserve"> where attempts </w:t>
      </w:r>
      <w:r w:rsidR="0096798B" w:rsidRPr="00F03D88">
        <w:rPr>
          <w:rFonts w:cs="Arial"/>
          <w:noProof/>
          <w:color w:val="000000"/>
          <w:szCs w:val="24"/>
        </w:rPr>
        <w:t xml:space="preserve">to avoid tax </w:t>
      </w:r>
      <w:r w:rsidR="004F2372" w:rsidRPr="00F03D88">
        <w:rPr>
          <w:rFonts w:cs="Arial"/>
          <w:noProof/>
          <w:color w:val="000000"/>
          <w:szCs w:val="24"/>
        </w:rPr>
        <w:t>and</w:t>
      </w:r>
      <w:r w:rsidR="0096798B" w:rsidRPr="00F03D88">
        <w:rPr>
          <w:rFonts w:cs="Arial"/>
          <w:noProof/>
          <w:color w:val="000000"/>
          <w:szCs w:val="24"/>
        </w:rPr>
        <w:t xml:space="preserve"> customs duties pose serious challenges to the fight against fraud.</w:t>
      </w:r>
      <w:r w:rsidR="008F21CC" w:rsidRPr="00F03D88">
        <w:rPr>
          <w:rFonts w:cs="Arial"/>
          <w:noProof/>
          <w:color w:val="000000"/>
          <w:szCs w:val="24"/>
        </w:rPr>
        <w:t xml:space="preserve"> The Commission should continue to consult Member States </w:t>
      </w:r>
      <w:r w:rsidR="007C79F1" w:rsidRPr="00E83B32">
        <w:rPr>
          <w:rFonts w:cs="Arial"/>
          <w:noProof/>
          <w:color w:val="000000"/>
          <w:szCs w:val="24"/>
        </w:rPr>
        <w:t xml:space="preserve">when </w:t>
      </w:r>
      <w:r w:rsidR="008F21CC" w:rsidRPr="00E83B32">
        <w:rPr>
          <w:rFonts w:cs="Arial"/>
          <w:noProof/>
          <w:color w:val="000000"/>
          <w:szCs w:val="24"/>
        </w:rPr>
        <w:t>prepar</w:t>
      </w:r>
      <w:r w:rsidR="007C79F1" w:rsidRPr="00E83B32">
        <w:rPr>
          <w:rFonts w:cs="Arial"/>
          <w:noProof/>
          <w:color w:val="000000"/>
          <w:szCs w:val="24"/>
        </w:rPr>
        <w:t xml:space="preserve">ing the </w:t>
      </w:r>
      <w:r w:rsidR="008F21CC" w:rsidRPr="00F03D88">
        <w:rPr>
          <w:rFonts w:cs="Arial"/>
          <w:noProof/>
          <w:color w:val="000000"/>
          <w:szCs w:val="24"/>
        </w:rPr>
        <w:t>new UAFP work programmes to ensure maximum relevance of the support offered.</w:t>
      </w:r>
      <w:r w:rsidR="00E83B32">
        <w:rPr>
          <w:rFonts w:cs="Arial"/>
          <w:noProof/>
          <w:color w:val="000000"/>
          <w:szCs w:val="24"/>
        </w:rPr>
        <w:t xml:space="preserve"> </w:t>
      </w:r>
    </w:p>
    <w:p w14:paraId="3C4BB48F" w14:textId="77777777" w:rsidR="00E34EBD" w:rsidRDefault="00E34EBD" w:rsidP="0096798B">
      <w:pPr>
        <w:autoSpaceDE w:val="0"/>
        <w:autoSpaceDN w:val="0"/>
        <w:adjustRightInd w:val="0"/>
        <w:spacing w:line="288" w:lineRule="auto"/>
        <w:rPr>
          <w:rFonts w:cs="Arial"/>
          <w:noProof/>
          <w:color w:val="000000"/>
          <w:szCs w:val="24"/>
        </w:rPr>
      </w:pPr>
      <w:r w:rsidRPr="00F03D88">
        <w:rPr>
          <w:rFonts w:cs="Arial"/>
          <w:noProof/>
          <w:color w:val="000000"/>
          <w:szCs w:val="24"/>
        </w:rPr>
        <w:t xml:space="preserve">The benefits of the </w:t>
      </w:r>
      <w:r w:rsidR="007C79F1" w:rsidRPr="00E83B32">
        <w:rPr>
          <w:rFonts w:cs="Arial"/>
          <w:noProof/>
          <w:color w:val="000000"/>
          <w:szCs w:val="24"/>
        </w:rPr>
        <w:t>p</w:t>
      </w:r>
      <w:r w:rsidRPr="00F03D88">
        <w:rPr>
          <w:rFonts w:cs="Arial"/>
          <w:noProof/>
          <w:color w:val="000000"/>
          <w:szCs w:val="24"/>
        </w:rPr>
        <w:t>rogramme clearly outweigh</w:t>
      </w:r>
      <w:r w:rsidR="003D4398" w:rsidRPr="00F03D88">
        <w:rPr>
          <w:rFonts w:cs="Arial"/>
          <w:noProof/>
          <w:color w:val="000000"/>
          <w:szCs w:val="24"/>
        </w:rPr>
        <w:t>ed</w:t>
      </w:r>
      <w:r w:rsidRPr="00F03D88">
        <w:rPr>
          <w:rFonts w:cs="Arial"/>
          <w:noProof/>
          <w:color w:val="000000"/>
          <w:szCs w:val="24"/>
        </w:rPr>
        <w:t xml:space="preserve"> the costs </w:t>
      </w:r>
      <w:r w:rsidRPr="00E83B32">
        <w:rPr>
          <w:rFonts w:cs="Arial"/>
          <w:noProof/>
          <w:color w:val="000000"/>
          <w:szCs w:val="24"/>
        </w:rPr>
        <w:t>incur</w:t>
      </w:r>
      <w:r w:rsidR="007C79F1" w:rsidRPr="00E83B32">
        <w:rPr>
          <w:rFonts w:cs="Arial"/>
          <w:noProof/>
          <w:color w:val="000000"/>
          <w:szCs w:val="24"/>
        </w:rPr>
        <w:t>r</w:t>
      </w:r>
      <w:r w:rsidRPr="00E83B32">
        <w:rPr>
          <w:rFonts w:cs="Arial"/>
          <w:noProof/>
          <w:color w:val="000000"/>
          <w:szCs w:val="24"/>
        </w:rPr>
        <w:t>ed</w:t>
      </w:r>
      <w:r w:rsidRPr="00F03D88">
        <w:rPr>
          <w:rFonts w:cs="Arial"/>
          <w:noProof/>
          <w:color w:val="000000"/>
          <w:szCs w:val="24"/>
        </w:rPr>
        <w:t xml:space="preserve"> by the beneficiaries. However, </w:t>
      </w:r>
      <w:r w:rsidRPr="00E83B32">
        <w:rPr>
          <w:rFonts w:cs="Arial"/>
          <w:noProof/>
          <w:color w:val="000000"/>
          <w:szCs w:val="24"/>
        </w:rPr>
        <w:t>differen</w:t>
      </w:r>
      <w:r w:rsidR="00C51838" w:rsidRPr="00E83B32">
        <w:rPr>
          <w:rFonts w:cs="Arial"/>
          <w:noProof/>
          <w:color w:val="000000"/>
          <w:szCs w:val="24"/>
        </w:rPr>
        <w:t xml:space="preserve">ces in the </w:t>
      </w:r>
      <w:r w:rsidRPr="00F03D88">
        <w:rPr>
          <w:rFonts w:cs="Arial"/>
          <w:noProof/>
          <w:color w:val="000000"/>
          <w:szCs w:val="24"/>
        </w:rPr>
        <w:t xml:space="preserve">administrative </w:t>
      </w:r>
      <w:r w:rsidRPr="00E83B32">
        <w:rPr>
          <w:rFonts w:cs="Arial"/>
          <w:noProof/>
          <w:color w:val="000000"/>
          <w:szCs w:val="24"/>
        </w:rPr>
        <w:t>capacit</w:t>
      </w:r>
      <w:r w:rsidR="00C51838" w:rsidRPr="00E83B32">
        <w:rPr>
          <w:rFonts w:cs="Arial"/>
          <w:noProof/>
          <w:color w:val="000000"/>
          <w:szCs w:val="24"/>
        </w:rPr>
        <w:t>y</w:t>
      </w:r>
      <w:r w:rsidRPr="00F03D88">
        <w:rPr>
          <w:rFonts w:cs="Arial"/>
          <w:noProof/>
          <w:color w:val="000000"/>
          <w:szCs w:val="24"/>
        </w:rPr>
        <w:t xml:space="preserve"> of Member State administrations pose a challenge that could be</w:t>
      </w:r>
      <w:r>
        <w:rPr>
          <w:rFonts w:cs="Arial"/>
          <w:noProof/>
          <w:color w:val="000000"/>
          <w:szCs w:val="24"/>
        </w:rPr>
        <w:t xml:space="preserve"> </w:t>
      </w:r>
      <w:r w:rsidR="00E83B32">
        <w:rPr>
          <w:rFonts w:cs="Arial"/>
          <w:noProof/>
          <w:color w:val="000000"/>
          <w:szCs w:val="24"/>
        </w:rPr>
        <w:t xml:space="preserve">overcome </w:t>
      </w:r>
      <w:r>
        <w:rPr>
          <w:rFonts w:cs="Arial"/>
          <w:noProof/>
          <w:color w:val="000000"/>
          <w:szCs w:val="24"/>
        </w:rPr>
        <w:t xml:space="preserve">by </w:t>
      </w:r>
      <w:r w:rsidR="00C51838" w:rsidRPr="00E83B32">
        <w:rPr>
          <w:rFonts w:cs="Arial"/>
          <w:noProof/>
          <w:color w:val="000000"/>
          <w:szCs w:val="24"/>
        </w:rPr>
        <w:t xml:space="preserve">providing </w:t>
      </w:r>
      <w:r>
        <w:rPr>
          <w:rFonts w:cs="Arial"/>
          <w:noProof/>
          <w:color w:val="000000"/>
          <w:szCs w:val="24"/>
        </w:rPr>
        <w:t xml:space="preserve">more guidance </w:t>
      </w:r>
      <w:r w:rsidR="00C51838" w:rsidRPr="00E83B32">
        <w:rPr>
          <w:rFonts w:cs="Arial"/>
          <w:noProof/>
          <w:color w:val="000000"/>
          <w:szCs w:val="24"/>
        </w:rPr>
        <w:t>f</w:t>
      </w:r>
      <w:r w:rsidRPr="00E83B32">
        <w:rPr>
          <w:rFonts w:cs="Arial"/>
          <w:noProof/>
          <w:color w:val="000000"/>
          <w:szCs w:val="24"/>
        </w:rPr>
        <w:t>o</w:t>
      </w:r>
      <w:r w:rsidR="00C51838" w:rsidRPr="00E83B32">
        <w:rPr>
          <w:rFonts w:cs="Arial"/>
          <w:noProof/>
          <w:color w:val="000000"/>
          <w:szCs w:val="24"/>
        </w:rPr>
        <w:t>r</w:t>
      </w:r>
      <w:r>
        <w:rPr>
          <w:rFonts w:cs="Arial"/>
          <w:noProof/>
          <w:color w:val="000000"/>
          <w:szCs w:val="24"/>
        </w:rPr>
        <w:t xml:space="preserve"> applicants and</w:t>
      </w:r>
      <w:r w:rsidR="004F2372">
        <w:rPr>
          <w:rFonts w:cs="Arial"/>
          <w:noProof/>
          <w:color w:val="000000"/>
          <w:szCs w:val="24"/>
        </w:rPr>
        <w:t xml:space="preserve">, </w:t>
      </w:r>
      <w:r w:rsidR="00C51838" w:rsidRPr="00E83B32">
        <w:rPr>
          <w:rFonts w:cs="Arial"/>
          <w:noProof/>
          <w:color w:val="000000"/>
          <w:szCs w:val="24"/>
        </w:rPr>
        <w:t xml:space="preserve">where </w:t>
      </w:r>
      <w:r w:rsidR="004F2372">
        <w:rPr>
          <w:rFonts w:cs="Arial"/>
          <w:noProof/>
          <w:color w:val="000000"/>
          <w:szCs w:val="24"/>
        </w:rPr>
        <w:t>possible,</w:t>
      </w:r>
      <w:r>
        <w:rPr>
          <w:rFonts w:cs="Arial"/>
          <w:noProof/>
          <w:color w:val="000000"/>
          <w:szCs w:val="24"/>
        </w:rPr>
        <w:t xml:space="preserve"> </w:t>
      </w:r>
      <w:r w:rsidR="00C51838" w:rsidRPr="00E83B32">
        <w:rPr>
          <w:rFonts w:cs="Arial"/>
          <w:noProof/>
          <w:color w:val="000000"/>
          <w:szCs w:val="24"/>
        </w:rPr>
        <w:t xml:space="preserve">by </w:t>
      </w:r>
      <w:r w:rsidRPr="00E83B32">
        <w:rPr>
          <w:rFonts w:cs="Arial"/>
          <w:noProof/>
          <w:color w:val="000000"/>
          <w:szCs w:val="24"/>
        </w:rPr>
        <w:t>simplif</w:t>
      </w:r>
      <w:r w:rsidR="00C51838" w:rsidRPr="00E83B32">
        <w:rPr>
          <w:rFonts w:cs="Arial"/>
          <w:noProof/>
          <w:color w:val="000000"/>
          <w:szCs w:val="24"/>
        </w:rPr>
        <w:t xml:space="preserve">ying the </w:t>
      </w:r>
      <w:r>
        <w:rPr>
          <w:rFonts w:cs="Arial"/>
          <w:noProof/>
          <w:color w:val="000000"/>
          <w:szCs w:val="24"/>
        </w:rPr>
        <w:t>procedures.</w:t>
      </w:r>
    </w:p>
    <w:p w14:paraId="3F5AA74B" w14:textId="77777777" w:rsidR="00E34EBD" w:rsidRDefault="00E34EBD" w:rsidP="0096798B">
      <w:pPr>
        <w:autoSpaceDE w:val="0"/>
        <w:autoSpaceDN w:val="0"/>
        <w:adjustRightInd w:val="0"/>
        <w:spacing w:line="288" w:lineRule="auto"/>
        <w:rPr>
          <w:rFonts w:cs="Arial"/>
          <w:noProof/>
          <w:color w:val="000000"/>
          <w:szCs w:val="24"/>
        </w:rPr>
      </w:pPr>
      <w:r>
        <w:rPr>
          <w:rFonts w:cs="Arial"/>
          <w:noProof/>
          <w:color w:val="000000"/>
          <w:szCs w:val="24"/>
        </w:rPr>
        <w:t xml:space="preserve">The </w:t>
      </w:r>
      <w:r w:rsidR="00C51838" w:rsidRPr="00E83B32">
        <w:rPr>
          <w:rFonts w:cs="Arial"/>
          <w:noProof/>
          <w:color w:val="000000"/>
          <w:szCs w:val="24"/>
        </w:rPr>
        <w:t>p</w:t>
      </w:r>
      <w:r>
        <w:rPr>
          <w:rFonts w:cs="Arial"/>
          <w:noProof/>
          <w:color w:val="000000"/>
          <w:szCs w:val="24"/>
        </w:rPr>
        <w:t>rogramme proved to be internally and externally coherent but</w:t>
      </w:r>
      <w:r w:rsidRPr="00E83B32">
        <w:rPr>
          <w:rFonts w:cs="Arial"/>
          <w:noProof/>
          <w:color w:val="000000"/>
          <w:szCs w:val="24"/>
        </w:rPr>
        <w:t xml:space="preserve"> </w:t>
      </w:r>
      <w:r w:rsidR="00C51838" w:rsidRPr="00E83B32">
        <w:rPr>
          <w:rFonts w:cs="Arial"/>
          <w:noProof/>
          <w:color w:val="000000"/>
          <w:szCs w:val="24"/>
        </w:rPr>
        <w:t>it is important to maintain the</w:t>
      </w:r>
      <w:r>
        <w:rPr>
          <w:rFonts w:cs="Arial"/>
          <w:noProof/>
          <w:color w:val="000000"/>
          <w:szCs w:val="24"/>
        </w:rPr>
        <w:t xml:space="preserve"> internal</w:t>
      </w:r>
      <w:r w:rsidR="004F2372">
        <w:rPr>
          <w:rFonts w:cs="Arial"/>
          <w:noProof/>
          <w:color w:val="000000"/>
          <w:szCs w:val="24"/>
        </w:rPr>
        <w:t xml:space="preserve"> consultation and</w:t>
      </w:r>
      <w:r>
        <w:rPr>
          <w:rFonts w:cs="Arial"/>
          <w:noProof/>
          <w:color w:val="000000"/>
          <w:szCs w:val="24"/>
        </w:rPr>
        <w:t xml:space="preserve"> coordination procedures </w:t>
      </w:r>
      <w:r w:rsidR="004F2372" w:rsidRPr="00F03D88">
        <w:rPr>
          <w:rFonts w:cs="Arial"/>
          <w:noProof/>
          <w:color w:val="000000"/>
          <w:szCs w:val="24"/>
        </w:rPr>
        <w:t>to avoid any overlap</w:t>
      </w:r>
      <w:r w:rsidRPr="00F03D88">
        <w:rPr>
          <w:rFonts w:cs="Arial"/>
          <w:noProof/>
          <w:color w:val="000000"/>
          <w:szCs w:val="24"/>
        </w:rPr>
        <w:t>.</w:t>
      </w:r>
      <w:r w:rsidR="003D4398" w:rsidRPr="00F03D88">
        <w:rPr>
          <w:rFonts w:cs="Arial"/>
          <w:noProof/>
          <w:color w:val="000000"/>
          <w:szCs w:val="24"/>
        </w:rPr>
        <w:t xml:space="preserve"> For example, the Commission’s first </w:t>
      </w:r>
      <w:r w:rsidR="00E83B32">
        <w:rPr>
          <w:rFonts w:cs="Arial"/>
          <w:noProof/>
          <w:color w:val="000000"/>
          <w:szCs w:val="24"/>
        </w:rPr>
        <w:t>i</w:t>
      </w:r>
      <w:r w:rsidR="003D4398" w:rsidRPr="00E83B32">
        <w:rPr>
          <w:rFonts w:cs="Arial"/>
          <w:noProof/>
          <w:color w:val="000000"/>
          <w:szCs w:val="24"/>
        </w:rPr>
        <w:t xml:space="preserve">mplementing </w:t>
      </w:r>
      <w:r w:rsidR="00E83B32">
        <w:rPr>
          <w:rFonts w:cs="Arial"/>
          <w:noProof/>
          <w:color w:val="000000"/>
          <w:szCs w:val="24"/>
        </w:rPr>
        <w:t>d</w:t>
      </w:r>
      <w:r w:rsidR="003D4398" w:rsidRPr="00F03D88">
        <w:rPr>
          <w:rFonts w:cs="Arial"/>
          <w:noProof/>
          <w:color w:val="000000"/>
          <w:szCs w:val="24"/>
        </w:rPr>
        <w:t>ecision</w:t>
      </w:r>
      <w:r w:rsidR="003D4398" w:rsidRPr="00F03D88">
        <w:rPr>
          <w:rStyle w:val="FootnoteReference"/>
          <w:rFonts w:cs="Arial"/>
          <w:noProof/>
          <w:color w:val="000000"/>
          <w:szCs w:val="24"/>
        </w:rPr>
        <w:footnoteReference w:id="8"/>
      </w:r>
      <w:r w:rsidR="003D4398" w:rsidRPr="00F03D88">
        <w:rPr>
          <w:rFonts w:cs="Arial"/>
          <w:noProof/>
          <w:color w:val="000000"/>
          <w:szCs w:val="24"/>
        </w:rPr>
        <w:t xml:space="preserve"> under the UAFP already </w:t>
      </w:r>
      <w:r w:rsidR="000B586D" w:rsidRPr="00F03D88">
        <w:rPr>
          <w:rFonts w:cs="Arial"/>
          <w:noProof/>
          <w:color w:val="000000"/>
          <w:szCs w:val="24"/>
        </w:rPr>
        <w:t xml:space="preserve">explicitly </w:t>
      </w:r>
      <w:r w:rsidR="003D4398" w:rsidRPr="00F03D88">
        <w:rPr>
          <w:rFonts w:cs="Arial"/>
          <w:noProof/>
          <w:color w:val="000000"/>
          <w:szCs w:val="24"/>
        </w:rPr>
        <w:t xml:space="preserve">addresses any potential overlap between </w:t>
      </w:r>
      <w:r w:rsidR="000B586D" w:rsidRPr="00F03D88">
        <w:rPr>
          <w:rFonts w:cs="Arial"/>
          <w:noProof/>
          <w:color w:val="000000"/>
          <w:szCs w:val="24"/>
        </w:rPr>
        <w:t xml:space="preserve">action under </w:t>
      </w:r>
      <w:r w:rsidR="003D4398" w:rsidRPr="00F03D88">
        <w:rPr>
          <w:rFonts w:cs="Arial"/>
          <w:noProof/>
          <w:color w:val="000000"/>
          <w:szCs w:val="24"/>
        </w:rPr>
        <w:t>the UAFP and the new</w:t>
      </w:r>
      <w:r w:rsidR="00CD1187">
        <w:rPr>
          <w:rFonts w:cs="Arial"/>
          <w:noProof/>
          <w:color w:val="000000"/>
          <w:szCs w:val="24"/>
        </w:rPr>
        <w:t>ly established</w:t>
      </w:r>
      <w:r w:rsidR="003D4398" w:rsidRPr="00F03D88">
        <w:rPr>
          <w:rFonts w:cs="Arial"/>
          <w:noProof/>
          <w:color w:val="000000"/>
          <w:szCs w:val="24"/>
        </w:rPr>
        <w:t xml:space="preserve"> </w:t>
      </w:r>
      <w:r w:rsidR="00B81D48">
        <w:rPr>
          <w:rFonts w:cs="Arial"/>
          <w:noProof/>
          <w:color w:val="000000"/>
          <w:szCs w:val="24"/>
        </w:rPr>
        <w:t>instrument for financial support for customs control e</w:t>
      </w:r>
      <w:r w:rsidR="00CD1187">
        <w:rPr>
          <w:rFonts w:cs="Arial"/>
          <w:noProof/>
          <w:color w:val="000000"/>
          <w:szCs w:val="24"/>
        </w:rPr>
        <w:t>quip</w:t>
      </w:r>
      <w:r w:rsidR="00B81D48">
        <w:rPr>
          <w:rFonts w:cs="Arial"/>
          <w:noProof/>
          <w:color w:val="000000"/>
          <w:szCs w:val="24"/>
        </w:rPr>
        <w:t>men</w:t>
      </w:r>
      <w:r w:rsidR="00B81D48" w:rsidRPr="00092067">
        <w:rPr>
          <w:rFonts w:cs="Arial"/>
          <w:noProof/>
          <w:color w:val="000000"/>
          <w:szCs w:val="24"/>
        </w:rPr>
        <w:t>t</w:t>
      </w:r>
      <w:r w:rsidR="000B586D" w:rsidRPr="00F03D88">
        <w:rPr>
          <w:rStyle w:val="FootnoteReference"/>
          <w:rFonts w:cs="Arial"/>
          <w:noProof/>
          <w:color w:val="000000"/>
          <w:szCs w:val="24"/>
        </w:rPr>
        <w:footnoteReference w:id="9"/>
      </w:r>
      <w:r w:rsidR="003D4398" w:rsidRPr="00F03D88">
        <w:rPr>
          <w:rFonts w:cs="Arial"/>
          <w:noProof/>
          <w:color w:val="000000"/>
          <w:szCs w:val="24"/>
        </w:rPr>
        <w:t>.</w:t>
      </w:r>
    </w:p>
    <w:p w14:paraId="13D0BDD1" w14:textId="77777777" w:rsidR="00E34EBD" w:rsidRPr="0096798B" w:rsidRDefault="00E34EBD" w:rsidP="0096798B">
      <w:pPr>
        <w:autoSpaceDE w:val="0"/>
        <w:autoSpaceDN w:val="0"/>
        <w:adjustRightInd w:val="0"/>
        <w:spacing w:line="288" w:lineRule="auto"/>
        <w:rPr>
          <w:rFonts w:cs="Arial"/>
          <w:noProof/>
          <w:color w:val="000000"/>
          <w:szCs w:val="24"/>
        </w:rPr>
      </w:pPr>
      <w:r>
        <w:rPr>
          <w:rFonts w:cs="Arial"/>
          <w:noProof/>
          <w:color w:val="000000"/>
          <w:szCs w:val="24"/>
        </w:rPr>
        <w:t xml:space="preserve">The </w:t>
      </w:r>
      <w:r w:rsidR="00C51838" w:rsidRPr="00E83B32">
        <w:rPr>
          <w:rFonts w:cs="Arial"/>
          <w:noProof/>
          <w:color w:val="000000"/>
          <w:szCs w:val="24"/>
        </w:rPr>
        <w:t>p</w:t>
      </w:r>
      <w:r w:rsidRPr="00E83B32">
        <w:rPr>
          <w:rFonts w:cs="Arial"/>
          <w:noProof/>
          <w:color w:val="000000"/>
          <w:szCs w:val="24"/>
        </w:rPr>
        <w:t xml:space="preserve">rogramme </w:t>
      </w:r>
      <w:r w:rsidR="00E83B32">
        <w:rPr>
          <w:rFonts w:cs="Arial"/>
          <w:noProof/>
          <w:color w:val="000000"/>
          <w:szCs w:val="24"/>
        </w:rPr>
        <w:t>demonstrated</w:t>
      </w:r>
      <w:r>
        <w:rPr>
          <w:rFonts w:cs="Arial"/>
          <w:noProof/>
          <w:color w:val="000000"/>
          <w:szCs w:val="24"/>
        </w:rPr>
        <w:t xml:space="preserve"> clear EU added value. However, </w:t>
      </w:r>
      <w:r w:rsidR="004F2372">
        <w:rPr>
          <w:rFonts w:cs="Arial"/>
          <w:noProof/>
          <w:color w:val="000000"/>
          <w:szCs w:val="24"/>
        </w:rPr>
        <w:t xml:space="preserve">despite the good </w:t>
      </w:r>
      <w:r w:rsidR="004F2372" w:rsidRPr="00E83B32">
        <w:rPr>
          <w:rFonts w:cs="Arial"/>
          <w:noProof/>
          <w:color w:val="000000"/>
          <w:szCs w:val="24"/>
        </w:rPr>
        <w:t>eviden</w:t>
      </w:r>
      <w:r w:rsidR="00E83B32">
        <w:rPr>
          <w:rFonts w:cs="Arial"/>
          <w:noProof/>
          <w:color w:val="000000"/>
          <w:szCs w:val="24"/>
        </w:rPr>
        <w:t>ce</w:t>
      </w:r>
      <w:r w:rsidR="004F2372">
        <w:rPr>
          <w:rFonts w:cs="Arial"/>
          <w:noProof/>
          <w:color w:val="000000"/>
          <w:szCs w:val="24"/>
        </w:rPr>
        <w:t xml:space="preserve"> base available to the external consultant, </w:t>
      </w:r>
      <w:r>
        <w:rPr>
          <w:rFonts w:cs="Arial"/>
          <w:noProof/>
          <w:color w:val="000000"/>
          <w:szCs w:val="24"/>
        </w:rPr>
        <w:t xml:space="preserve">it </w:t>
      </w:r>
      <w:r w:rsidR="004F2372">
        <w:rPr>
          <w:rFonts w:cs="Arial"/>
          <w:noProof/>
          <w:color w:val="000000"/>
          <w:szCs w:val="24"/>
        </w:rPr>
        <w:t xml:space="preserve">remains a </w:t>
      </w:r>
      <w:r>
        <w:rPr>
          <w:rFonts w:cs="Arial"/>
          <w:noProof/>
          <w:color w:val="000000"/>
          <w:szCs w:val="24"/>
        </w:rPr>
        <w:t>challeng</w:t>
      </w:r>
      <w:r w:rsidR="004F2372">
        <w:rPr>
          <w:rFonts w:cs="Arial"/>
          <w:noProof/>
          <w:color w:val="000000"/>
          <w:szCs w:val="24"/>
        </w:rPr>
        <w:t>e</w:t>
      </w:r>
      <w:r>
        <w:rPr>
          <w:rFonts w:cs="Arial"/>
          <w:noProof/>
          <w:color w:val="000000"/>
          <w:szCs w:val="24"/>
        </w:rPr>
        <w:t xml:space="preserve"> to assess the impact of the </w:t>
      </w:r>
      <w:r w:rsidR="00C51838" w:rsidRPr="00E83B32">
        <w:rPr>
          <w:rFonts w:cs="Arial"/>
          <w:noProof/>
          <w:color w:val="000000"/>
          <w:szCs w:val="24"/>
        </w:rPr>
        <w:t>p</w:t>
      </w:r>
      <w:r w:rsidRPr="00E83B32">
        <w:rPr>
          <w:rFonts w:cs="Arial"/>
          <w:noProof/>
          <w:color w:val="000000"/>
          <w:szCs w:val="24"/>
        </w:rPr>
        <w:t>rogramme</w:t>
      </w:r>
      <w:r w:rsidR="00C51838" w:rsidRPr="00E83B32">
        <w:rPr>
          <w:rFonts w:cs="Arial"/>
          <w:noProof/>
          <w:color w:val="000000"/>
          <w:szCs w:val="24"/>
        </w:rPr>
        <w:t>,</w:t>
      </w:r>
      <w:r>
        <w:rPr>
          <w:rFonts w:cs="Arial"/>
          <w:noProof/>
          <w:color w:val="000000"/>
          <w:szCs w:val="24"/>
        </w:rPr>
        <w:t xml:space="preserve"> </w:t>
      </w:r>
      <w:r w:rsidR="004F2372">
        <w:rPr>
          <w:rFonts w:cs="Arial"/>
          <w:noProof/>
          <w:color w:val="000000"/>
          <w:szCs w:val="24"/>
        </w:rPr>
        <w:t xml:space="preserve">especially in </w:t>
      </w:r>
      <w:r w:rsidR="004F2372" w:rsidRPr="00E83B32">
        <w:rPr>
          <w:rFonts w:cs="Arial"/>
          <w:noProof/>
          <w:color w:val="000000"/>
          <w:szCs w:val="24"/>
        </w:rPr>
        <w:t>quantit</w:t>
      </w:r>
      <w:r w:rsidR="00744BD4">
        <w:rPr>
          <w:rFonts w:cs="Arial"/>
          <w:noProof/>
          <w:color w:val="000000"/>
          <w:szCs w:val="24"/>
        </w:rPr>
        <w:t>at</w:t>
      </w:r>
      <w:r w:rsidR="004F2372" w:rsidRPr="00E83B32">
        <w:rPr>
          <w:rFonts w:cs="Arial"/>
          <w:noProof/>
          <w:color w:val="000000"/>
          <w:szCs w:val="24"/>
        </w:rPr>
        <w:t>ive</w:t>
      </w:r>
      <w:r w:rsidR="004F2372">
        <w:rPr>
          <w:rFonts w:cs="Arial"/>
          <w:noProof/>
          <w:color w:val="000000"/>
          <w:szCs w:val="24"/>
        </w:rPr>
        <w:t xml:space="preserve"> terms</w:t>
      </w:r>
      <w:r w:rsidR="00C51838" w:rsidRPr="00E83B32">
        <w:rPr>
          <w:rFonts w:cs="Arial"/>
          <w:noProof/>
          <w:color w:val="000000"/>
          <w:szCs w:val="24"/>
        </w:rPr>
        <w:t>,</w:t>
      </w:r>
      <w:r w:rsidR="004F2372">
        <w:rPr>
          <w:rFonts w:cs="Arial"/>
          <w:noProof/>
          <w:color w:val="000000"/>
          <w:szCs w:val="24"/>
        </w:rPr>
        <w:t xml:space="preserve"> </w:t>
      </w:r>
      <w:r>
        <w:rPr>
          <w:rFonts w:cs="Arial"/>
          <w:noProof/>
          <w:color w:val="000000"/>
          <w:szCs w:val="24"/>
        </w:rPr>
        <w:t xml:space="preserve">under the monitoring and evaluation framework applicable to Hercule III. </w:t>
      </w:r>
      <w:r w:rsidR="00FB23CB">
        <w:rPr>
          <w:rFonts w:cs="Arial"/>
          <w:noProof/>
          <w:color w:val="000000"/>
          <w:szCs w:val="24"/>
        </w:rPr>
        <w:t xml:space="preserve">Under the new </w:t>
      </w:r>
      <w:r w:rsidR="00C51838" w:rsidRPr="00E83B32">
        <w:rPr>
          <w:rFonts w:cs="Arial"/>
          <w:noProof/>
          <w:color w:val="000000"/>
          <w:szCs w:val="24"/>
        </w:rPr>
        <w:t>m</w:t>
      </w:r>
      <w:r w:rsidR="00FB23CB" w:rsidRPr="00E83B32">
        <w:rPr>
          <w:rFonts w:cs="Arial"/>
          <w:noProof/>
          <w:color w:val="000000"/>
          <w:szCs w:val="24"/>
        </w:rPr>
        <w:t xml:space="preserve">ultiannual </w:t>
      </w:r>
      <w:r w:rsidR="00C51838" w:rsidRPr="00E83B32">
        <w:rPr>
          <w:rFonts w:cs="Arial"/>
          <w:noProof/>
          <w:color w:val="000000"/>
          <w:szCs w:val="24"/>
        </w:rPr>
        <w:t>budget</w:t>
      </w:r>
      <w:r w:rsidR="00FB23CB">
        <w:rPr>
          <w:rFonts w:cs="Arial"/>
          <w:noProof/>
          <w:color w:val="000000"/>
          <w:szCs w:val="24"/>
        </w:rPr>
        <w:t xml:space="preserve">, </w:t>
      </w:r>
      <w:r w:rsidR="00C51838" w:rsidRPr="00E83B32">
        <w:rPr>
          <w:rFonts w:cs="Arial"/>
          <w:noProof/>
          <w:color w:val="000000"/>
          <w:szCs w:val="24"/>
        </w:rPr>
        <w:t xml:space="preserve">the Commission is developing </w:t>
      </w:r>
      <w:r w:rsidR="00FB23CB">
        <w:rPr>
          <w:rFonts w:cs="Arial"/>
          <w:noProof/>
          <w:color w:val="000000"/>
          <w:szCs w:val="24"/>
        </w:rPr>
        <w:t xml:space="preserve">a </w:t>
      </w:r>
      <w:r w:rsidR="00C51838" w:rsidRPr="00E83B32">
        <w:rPr>
          <w:rFonts w:cs="Arial"/>
          <w:noProof/>
          <w:color w:val="000000"/>
          <w:szCs w:val="24"/>
        </w:rPr>
        <w:t>cross-cutting</w:t>
      </w:r>
      <w:r w:rsidR="00FB23CB">
        <w:rPr>
          <w:rFonts w:cs="Arial"/>
          <w:noProof/>
          <w:color w:val="000000"/>
          <w:szCs w:val="24"/>
        </w:rPr>
        <w:t xml:space="preserve"> evaluation and monitoring framework applicable to all spending programmes. In addition, the UAFP could </w:t>
      </w:r>
      <w:r w:rsidR="00E83B32">
        <w:rPr>
          <w:rFonts w:cs="Arial"/>
          <w:noProof/>
          <w:color w:val="000000"/>
          <w:szCs w:val="24"/>
        </w:rPr>
        <w:t xml:space="preserve">improve </w:t>
      </w:r>
      <w:r w:rsidR="00FB23CB">
        <w:rPr>
          <w:rFonts w:cs="Arial"/>
          <w:noProof/>
          <w:color w:val="000000"/>
          <w:szCs w:val="24"/>
        </w:rPr>
        <w:t xml:space="preserve">the current framework </w:t>
      </w:r>
      <w:r w:rsidR="00C51838" w:rsidRPr="00E83B32">
        <w:rPr>
          <w:rFonts w:cs="Arial"/>
          <w:noProof/>
          <w:color w:val="000000"/>
          <w:szCs w:val="24"/>
        </w:rPr>
        <w:t xml:space="preserve">by </w:t>
      </w:r>
      <w:r w:rsidR="00FB23CB">
        <w:rPr>
          <w:rFonts w:cs="Arial"/>
          <w:noProof/>
          <w:color w:val="000000"/>
          <w:szCs w:val="24"/>
        </w:rPr>
        <w:t xml:space="preserve">developing an appropriate number of indicators </w:t>
      </w:r>
      <w:r w:rsidR="00C51838" w:rsidRPr="00E83B32">
        <w:rPr>
          <w:rFonts w:cs="Arial"/>
          <w:noProof/>
          <w:color w:val="000000"/>
          <w:szCs w:val="24"/>
        </w:rPr>
        <w:t xml:space="preserve">specific to </w:t>
      </w:r>
      <w:r w:rsidR="00FB23CB">
        <w:rPr>
          <w:rFonts w:cs="Arial"/>
          <w:noProof/>
          <w:color w:val="000000"/>
          <w:szCs w:val="24"/>
        </w:rPr>
        <w:t xml:space="preserve">eligible </w:t>
      </w:r>
      <w:r w:rsidR="00E83B32">
        <w:rPr>
          <w:rFonts w:cs="Arial"/>
          <w:noProof/>
          <w:color w:val="000000"/>
          <w:szCs w:val="24"/>
        </w:rPr>
        <w:t>projects</w:t>
      </w:r>
      <w:r w:rsidR="00FB23CB">
        <w:rPr>
          <w:rFonts w:cs="Arial"/>
          <w:noProof/>
          <w:color w:val="000000"/>
          <w:szCs w:val="24"/>
        </w:rPr>
        <w:t>.</w:t>
      </w:r>
      <w:r w:rsidR="004F2372">
        <w:rPr>
          <w:rFonts w:cs="Arial"/>
          <w:noProof/>
          <w:color w:val="000000"/>
          <w:szCs w:val="24"/>
        </w:rPr>
        <w:t xml:space="preserve"> </w:t>
      </w:r>
      <w:r w:rsidR="00C51838" w:rsidRPr="00E83B32">
        <w:rPr>
          <w:rFonts w:cs="Arial"/>
          <w:noProof/>
          <w:color w:val="000000"/>
          <w:szCs w:val="24"/>
        </w:rPr>
        <w:t xml:space="preserve">It would also be useful to set up </w:t>
      </w:r>
      <w:r w:rsidR="004F2372">
        <w:rPr>
          <w:rFonts w:cs="Arial"/>
          <w:noProof/>
          <w:color w:val="000000"/>
          <w:szCs w:val="24"/>
        </w:rPr>
        <w:t>a</w:t>
      </w:r>
      <w:r w:rsidR="00FB23CB">
        <w:rPr>
          <w:rFonts w:cs="Arial"/>
          <w:noProof/>
          <w:color w:val="000000"/>
          <w:szCs w:val="24"/>
        </w:rPr>
        <w:t xml:space="preserve"> centralised database of implemented </w:t>
      </w:r>
      <w:r w:rsidR="00E83B32">
        <w:rPr>
          <w:rFonts w:cs="Arial"/>
          <w:noProof/>
          <w:color w:val="000000"/>
          <w:szCs w:val="24"/>
        </w:rPr>
        <w:t>projects</w:t>
      </w:r>
      <w:r w:rsidR="00FB23CB">
        <w:rPr>
          <w:rFonts w:cs="Arial"/>
          <w:noProof/>
          <w:color w:val="000000"/>
          <w:szCs w:val="24"/>
        </w:rPr>
        <w:t xml:space="preserve">. This would </w:t>
      </w:r>
      <w:r w:rsidR="00E83B32">
        <w:rPr>
          <w:rFonts w:cs="Arial"/>
          <w:noProof/>
          <w:color w:val="000000"/>
          <w:szCs w:val="24"/>
        </w:rPr>
        <w:t xml:space="preserve">help collate and store </w:t>
      </w:r>
      <w:r w:rsidR="00C51838" w:rsidRPr="00E83B32">
        <w:rPr>
          <w:rFonts w:cs="Arial"/>
          <w:noProof/>
          <w:color w:val="000000"/>
          <w:szCs w:val="24"/>
        </w:rPr>
        <w:t xml:space="preserve">data </w:t>
      </w:r>
      <w:r w:rsidR="00E83B32">
        <w:rPr>
          <w:rFonts w:cs="Arial"/>
          <w:noProof/>
          <w:color w:val="000000"/>
          <w:szCs w:val="24"/>
        </w:rPr>
        <w:t>o</w:t>
      </w:r>
      <w:r w:rsidR="00C51838" w:rsidRPr="00E83B32">
        <w:rPr>
          <w:rFonts w:cs="Arial"/>
          <w:noProof/>
          <w:color w:val="000000"/>
          <w:szCs w:val="24"/>
        </w:rPr>
        <w:t xml:space="preserve">n </w:t>
      </w:r>
      <w:r w:rsidR="00FB23CB">
        <w:rPr>
          <w:rFonts w:cs="Arial"/>
          <w:noProof/>
          <w:color w:val="000000"/>
          <w:szCs w:val="24"/>
        </w:rPr>
        <w:t xml:space="preserve">implementation of the UAFP and would </w:t>
      </w:r>
      <w:r w:rsidR="00E83B32">
        <w:rPr>
          <w:rFonts w:cs="Arial"/>
          <w:noProof/>
          <w:color w:val="000000"/>
          <w:szCs w:val="24"/>
        </w:rPr>
        <w:t>aid</w:t>
      </w:r>
      <w:r w:rsidR="00FB23CB" w:rsidRPr="00E83B32">
        <w:rPr>
          <w:rFonts w:cs="Arial"/>
          <w:noProof/>
          <w:color w:val="000000"/>
          <w:szCs w:val="24"/>
        </w:rPr>
        <w:t xml:space="preserve"> </w:t>
      </w:r>
      <w:r w:rsidR="00C51838" w:rsidRPr="00E83B32">
        <w:rPr>
          <w:rFonts w:cs="Arial"/>
          <w:noProof/>
          <w:color w:val="000000"/>
          <w:szCs w:val="24"/>
        </w:rPr>
        <w:t xml:space="preserve">the subsequent </w:t>
      </w:r>
      <w:r w:rsidR="00FB23CB">
        <w:rPr>
          <w:rFonts w:cs="Arial"/>
          <w:noProof/>
          <w:color w:val="000000"/>
          <w:szCs w:val="24"/>
        </w:rPr>
        <w:t>evaluation</w:t>
      </w:r>
      <w:r w:rsidR="00C51838" w:rsidRPr="00E83B32">
        <w:rPr>
          <w:rFonts w:cs="Arial"/>
          <w:noProof/>
          <w:color w:val="000000"/>
          <w:szCs w:val="24"/>
        </w:rPr>
        <w:t xml:space="preserve"> stage</w:t>
      </w:r>
      <w:r w:rsidR="00FB23CB">
        <w:rPr>
          <w:rFonts w:cs="Arial"/>
          <w:noProof/>
          <w:color w:val="000000"/>
          <w:szCs w:val="24"/>
        </w:rPr>
        <w:t>.</w:t>
      </w:r>
    </w:p>
    <w:p w14:paraId="4A0EBF09" w14:textId="77777777" w:rsidR="009E7DA1" w:rsidRDefault="00EE0038">
      <w:pPr>
        <w:pStyle w:val="Heading1"/>
        <w:rPr>
          <w:noProof/>
        </w:rPr>
      </w:pPr>
      <w:r>
        <w:rPr>
          <w:noProof/>
        </w:rPr>
        <w:t>The way forward</w:t>
      </w:r>
    </w:p>
    <w:p w14:paraId="32C39A61" w14:textId="789035AD" w:rsidR="000679E1" w:rsidRDefault="004F2372" w:rsidP="000679E1">
      <w:pPr>
        <w:autoSpaceDE w:val="0"/>
        <w:autoSpaceDN w:val="0"/>
        <w:adjustRightInd w:val="0"/>
        <w:spacing w:line="288" w:lineRule="auto"/>
        <w:rPr>
          <w:rFonts w:cs="Arial"/>
          <w:noProof/>
          <w:color w:val="000000"/>
          <w:szCs w:val="24"/>
        </w:rPr>
      </w:pPr>
      <w:r>
        <w:rPr>
          <w:rFonts w:cs="Arial"/>
          <w:noProof/>
          <w:color w:val="000000"/>
          <w:szCs w:val="24"/>
        </w:rPr>
        <w:t>It is reassuring that t</w:t>
      </w:r>
      <w:r w:rsidR="000679E1" w:rsidRPr="0096798B">
        <w:rPr>
          <w:rFonts w:cs="Arial"/>
          <w:noProof/>
          <w:color w:val="000000"/>
          <w:szCs w:val="24"/>
        </w:rPr>
        <w:t xml:space="preserve">he conclusions and recommendations presented </w:t>
      </w:r>
      <w:r w:rsidR="0001744A">
        <w:rPr>
          <w:rFonts w:cs="Arial"/>
          <w:noProof/>
          <w:color w:val="000000"/>
          <w:szCs w:val="24"/>
        </w:rPr>
        <w:t xml:space="preserve">in this </w:t>
      </w:r>
      <w:r w:rsidR="00E23E1C">
        <w:rPr>
          <w:rFonts w:cs="Arial"/>
          <w:noProof/>
          <w:color w:val="000000"/>
          <w:szCs w:val="24"/>
        </w:rPr>
        <w:t>report</w:t>
      </w:r>
      <w:r w:rsidR="0001744A">
        <w:rPr>
          <w:rFonts w:cs="Arial"/>
          <w:noProof/>
          <w:color w:val="000000"/>
          <w:szCs w:val="24"/>
        </w:rPr>
        <w:t xml:space="preserve"> </w:t>
      </w:r>
      <w:r w:rsidR="00F40EAD">
        <w:rPr>
          <w:rFonts w:cs="Arial"/>
          <w:noProof/>
          <w:color w:val="000000"/>
          <w:szCs w:val="24"/>
        </w:rPr>
        <w:t>and</w:t>
      </w:r>
      <w:r w:rsidR="00D15809">
        <w:rPr>
          <w:rFonts w:cs="Arial"/>
          <w:noProof/>
          <w:color w:val="000000"/>
          <w:szCs w:val="24"/>
        </w:rPr>
        <w:t>,</w:t>
      </w:r>
      <w:r w:rsidR="00F40EAD">
        <w:rPr>
          <w:rFonts w:cs="Arial"/>
          <w:noProof/>
          <w:color w:val="000000"/>
          <w:szCs w:val="24"/>
        </w:rPr>
        <w:t xml:space="preserve"> </w:t>
      </w:r>
      <w:r>
        <w:rPr>
          <w:rFonts w:cs="Arial"/>
          <w:noProof/>
          <w:color w:val="000000"/>
          <w:szCs w:val="24"/>
        </w:rPr>
        <w:t>in more detail</w:t>
      </w:r>
      <w:r w:rsidR="00D15809">
        <w:rPr>
          <w:rFonts w:cs="Arial"/>
          <w:noProof/>
          <w:color w:val="000000"/>
          <w:szCs w:val="24"/>
        </w:rPr>
        <w:t>,</w:t>
      </w:r>
      <w:r>
        <w:rPr>
          <w:rFonts w:cs="Arial"/>
          <w:noProof/>
          <w:color w:val="000000"/>
          <w:szCs w:val="24"/>
        </w:rPr>
        <w:t xml:space="preserve"> </w:t>
      </w:r>
      <w:r w:rsidR="000679E1" w:rsidRPr="0096798B">
        <w:rPr>
          <w:rFonts w:cs="Arial"/>
          <w:noProof/>
          <w:color w:val="000000"/>
          <w:szCs w:val="24"/>
        </w:rPr>
        <w:t xml:space="preserve">in the </w:t>
      </w:r>
      <w:r w:rsidR="00E23E1C">
        <w:rPr>
          <w:rFonts w:cs="Arial"/>
          <w:noProof/>
          <w:color w:val="000000"/>
          <w:szCs w:val="24"/>
        </w:rPr>
        <w:t xml:space="preserve">accompanying </w:t>
      </w:r>
      <w:r w:rsidR="00B77F28" w:rsidRPr="00E83B32">
        <w:rPr>
          <w:rFonts w:cs="Arial"/>
          <w:noProof/>
          <w:color w:val="000000"/>
          <w:szCs w:val="24"/>
        </w:rPr>
        <w:t>s</w:t>
      </w:r>
      <w:r w:rsidR="0001744A" w:rsidRPr="00E83B32">
        <w:rPr>
          <w:rFonts w:cs="Arial"/>
          <w:noProof/>
          <w:color w:val="000000"/>
          <w:szCs w:val="24"/>
        </w:rPr>
        <w:t xml:space="preserve">taff </w:t>
      </w:r>
      <w:r w:rsidR="00B77F28" w:rsidRPr="00E83B32">
        <w:rPr>
          <w:rFonts w:cs="Arial"/>
          <w:noProof/>
          <w:color w:val="000000"/>
          <w:szCs w:val="24"/>
        </w:rPr>
        <w:t>w</w:t>
      </w:r>
      <w:r w:rsidR="0001744A" w:rsidRPr="00E83B32">
        <w:rPr>
          <w:rFonts w:cs="Arial"/>
          <w:noProof/>
          <w:color w:val="000000"/>
          <w:szCs w:val="24"/>
        </w:rPr>
        <w:t xml:space="preserve">orking </w:t>
      </w:r>
      <w:r w:rsidR="00B77F28" w:rsidRPr="00E83B32">
        <w:rPr>
          <w:rFonts w:cs="Arial"/>
          <w:noProof/>
          <w:color w:val="000000"/>
          <w:szCs w:val="24"/>
        </w:rPr>
        <w:t>d</w:t>
      </w:r>
      <w:r w:rsidR="0001744A">
        <w:rPr>
          <w:rFonts w:cs="Arial"/>
          <w:noProof/>
          <w:color w:val="000000"/>
          <w:szCs w:val="24"/>
        </w:rPr>
        <w:t xml:space="preserve">ocument </w:t>
      </w:r>
      <w:r w:rsidR="000679E1" w:rsidRPr="0096798B">
        <w:rPr>
          <w:rFonts w:cs="Arial"/>
          <w:noProof/>
          <w:color w:val="000000"/>
          <w:szCs w:val="24"/>
        </w:rPr>
        <w:t>are to a good extent already reflected in</w:t>
      </w:r>
      <w:r w:rsidR="0001744A">
        <w:rPr>
          <w:rFonts w:cs="Arial"/>
          <w:noProof/>
          <w:color w:val="000000"/>
          <w:szCs w:val="24"/>
        </w:rPr>
        <w:t xml:space="preserve"> the UAFP. In that sense, this e</w:t>
      </w:r>
      <w:r w:rsidR="000679E1" w:rsidRPr="0096798B">
        <w:rPr>
          <w:rFonts w:cs="Arial"/>
          <w:noProof/>
          <w:color w:val="000000"/>
          <w:szCs w:val="24"/>
        </w:rPr>
        <w:t xml:space="preserve">valuation lends good support to the Commission’s current practice. </w:t>
      </w:r>
    </w:p>
    <w:p w14:paraId="15065A7A" w14:textId="77777777" w:rsidR="000E37DC" w:rsidRDefault="004C7BF1" w:rsidP="004C7BF1">
      <w:pPr>
        <w:autoSpaceDE w:val="0"/>
        <w:autoSpaceDN w:val="0"/>
        <w:adjustRightInd w:val="0"/>
        <w:spacing w:line="288" w:lineRule="auto"/>
        <w:rPr>
          <w:rFonts w:cs="Arial"/>
          <w:noProof/>
          <w:color w:val="000000"/>
          <w:szCs w:val="24"/>
        </w:rPr>
      </w:pPr>
      <w:r w:rsidRPr="0096798B">
        <w:rPr>
          <w:rFonts w:cs="Arial"/>
          <w:noProof/>
          <w:color w:val="000000"/>
          <w:szCs w:val="24"/>
        </w:rPr>
        <w:t xml:space="preserve">The </w:t>
      </w:r>
      <w:r w:rsidR="00F40EAD">
        <w:rPr>
          <w:rFonts w:cs="Arial"/>
          <w:noProof/>
          <w:color w:val="000000"/>
          <w:szCs w:val="24"/>
        </w:rPr>
        <w:t xml:space="preserve">UAFP </w:t>
      </w:r>
      <w:r w:rsidRPr="0096798B">
        <w:rPr>
          <w:rFonts w:cs="Arial"/>
          <w:noProof/>
          <w:color w:val="000000"/>
          <w:szCs w:val="24"/>
        </w:rPr>
        <w:t xml:space="preserve">has two main objectives. </w:t>
      </w:r>
      <w:r w:rsidR="00F40EAD">
        <w:rPr>
          <w:rFonts w:cs="Arial"/>
          <w:noProof/>
          <w:color w:val="000000"/>
          <w:szCs w:val="24"/>
        </w:rPr>
        <w:t>F</w:t>
      </w:r>
      <w:r w:rsidRPr="0096798B">
        <w:rPr>
          <w:rFonts w:cs="Arial"/>
          <w:noProof/>
          <w:color w:val="000000"/>
          <w:szCs w:val="24"/>
        </w:rPr>
        <w:t xml:space="preserve">irst, to protect the </w:t>
      </w:r>
      <w:r w:rsidR="00E83B32">
        <w:rPr>
          <w:rFonts w:cs="Arial"/>
          <w:noProof/>
          <w:color w:val="000000"/>
          <w:szCs w:val="24"/>
        </w:rPr>
        <w:t xml:space="preserve">EU’s </w:t>
      </w:r>
      <w:r w:rsidRPr="0096798B">
        <w:rPr>
          <w:rFonts w:cs="Arial"/>
          <w:noProof/>
          <w:color w:val="000000"/>
          <w:szCs w:val="24"/>
        </w:rPr>
        <w:t xml:space="preserve">financial interests. </w:t>
      </w:r>
      <w:r w:rsidR="00F40EAD">
        <w:rPr>
          <w:rFonts w:cs="Arial"/>
          <w:noProof/>
          <w:color w:val="000000"/>
          <w:szCs w:val="24"/>
        </w:rPr>
        <w:t>S</w:t>
      </w:r>
      <w:r w:rsidRPr="0096798B">
        <w:rPr>
          <w:rFonts w:cs="Arial"/>
          <w:noProof/>
          <w:color w:val="000000"/>
          <w:szCs w:val="24"/>
        </w:rPr>
        <w:t xml:space="preserve">econd, to support mutual assistance between Member States </w:t>
      </w:r>
      <w:r w:rsidR="00E83B32" w:rsidRPr="00E83B32">
        <w:rPr>
          <w:rFonts w:cs="Arial"/>
          <w:noProof/>
          <w:color w:val="000000"/>
          <w:szCs w:val="24"/>
        </w:rPr>
        <w:t xml:space="preserve">authorities </w:t>
      </w:r>
      <w:r w:rsidRPr="0096798B">
        <w:rPr>
          <w:rFonts w:cs="Arial"/>
          <w:noProof/>
          <w:color w:val="000000"/>
          <w:szCs w:val="24"/>
        </w:rPr>
        <w:t xml:space="preserve">and cooperation between </w:t>
      </w:r>
      <w:r w:rsidRPr="00E83B32">
        <w:rPr>
          <w:rFonts w:cs="Arial"/>
          <w:noProof/>
          <w:color w:val="000000"/>
          <w:szCs w:val="24"/>
        </w:rPr>
        <w:t>the</w:t>
      </w:r>
      <w:r w:rsidR="00E83B32">
        <w:rPr>
          <w:rFonts w:cs="Arial"/>
          <w:noProof/>
          <w:color w:val="000000"/>
          <w:szCs w:val="24"/>
        </w:rPr>
        <w:t>m</w:t>
      </w:r>
      <w:r w:rsidRPr="0096798B">
        <w:rPr>
          <w:rFonts w:cs="Arial"/>
          <w:noProof/>
          <w:color w:val="000000"/>
          <w:szCs w:val="24"/>
        </w:rPr>
        <w:t xml:space="preserve"> and the Commission to ensure the correct application of the law on customs and agricultural matters. </w:t>
      </w:r>
      <w:r w:rsidR="00A54717" w:rsidRPr="00E83B32">
        <w:rPr>
          <w:rFonts w:cs="Arial"/>
          <w:noProof/>
          <w:color w:val="000000"/>
          <w:szCs w:val="24"/>
        </w:rPr>
        <w:t>In addition to</w:t>
      </w:r>
      <w:r w:rsidR="000E37DC">
        <w:rPr>
          <w:rFonts w:cs="Arial"/>
          <w:noProof/>
          <w:color w:val="000000"/>
          <w:szCs w:val="24"/>
        </w:rPr>
        <w:t xml:space="preserve"> these objectives, what this evaluation has shown is that protecting the </w:t>
      </w:r>
      <w:r w:rsidR="00A54717" w:rsidRPr="00E83B32">
        <w:rPr>
          <w:rFonts w:cs="Arial"/>
          <w:noProof/>
          <w:color w:val="000000"/>
          <w:szCs w:val="24"/>
        </w:rPr>
        <w:t>E</w:t>
      </w:r>
      <w:r w:rsidR="000E37DC" w:rsidRPr="00E83B32">
        <w:rPr>
          <w:rFonts w:cs="Arial"/>
          <w:noProof/>
          <w:color w:val="000000"/>
          <w:szCs w:val="24"/>
        </w:rPr>
        <w:t>U</w:t>
      </w:r>
      <w:r w:rsidR="00A54717" w:rsidRPr="00E83B32">
        <w:rPr>
          <w:rFonts w:cs="Arial"/>
          <w:noProof/>
          <w:color w:val="000000"/>
          <w:szCs w:val="24"/>
        </w:rPr>
        <w:t>’s</w:t>
      </w:r>
      <w:r w:rsidR="000E37DC">
        <w:rPr>
          <w:rFonts w:cs="Arial"/>
          <w:noProof/>
          <w:color w:val="000000"/>
          <w:szCs w:val="24"/>
        </w:rPr>
        <w:t xml:space="preserve"> financial interests often has </w:t>
      </w:r>
      <w:r w:rsidR="004A3B74">
        <w:rPr>
          <w:rFonts w:cs="Arial"/>
          <w:noProof/>
          <w:color w:val="000000"/>
          <w:szCs w:val="24"/>
        </w:rPr>
        <w:t>positive</w:t>
      </w:r>
      <w:r w:rsidR="000E37DC">
        <w:rPr>
          <w:rFonts w:cs="Arial"/>
          <w:noProof/>
          <w:color w:val="000000"/>
          <w:szCs w:val="24"/>
        </w:rPr>
        <w:t xml:space="preserve"> side effects – for the fight against drugs, in combating the shadow economy </w:t>
      </w:r>
      <w:r w:rsidR="00E83B32">
        <w:rPr>
          <w:rFonts w:cs="Arial"/>
          <w:noProof/>
          <w:color w:val="000000"/>
          <w:szCs w:val="24"/>
        </w:rPr>
        <w:t xml:space="preserve">and </w:t>
      </w:r>
      <w:r w:rsidR="000E37DC">
        <w:rPr>
          <w:rFonts w:cs="Arial"/>
          <w:noProof/>
          <w:color w:val="000000"/>
          <w:szCs w:val="24"/>
        </w:rPr>
        <w:t xml:space="preserve">money laundering, for public security and even for the environment </w:t>
      </w:r>
      <w:r w:rsidR="00E83B32">
        <w:rPr>
          <w:rFonts w:cs="Arial"/>
          <w:noProof/>
          <w:color w:val="000000"/>
          <w:szCs w:val="24"/>
        </w:rPr>
        <w:t>and</w:t>
      </w:r>
      <w:r w:rsidR="000E37DC">
        <w:rPr>
          <w:rFonts w:cs="Arial"/>
          <w:noProof/>
          <w:color w:val="000000"/>
          <w:szCs w:val="24"/>
        </w:rPr>
        <w:t xml:space="preserve"> the health of officers</w:t>
      </w:r>
      <w:r w:rsidR="00744364">
        <w:rPr>
          <w:rFonts w:cs="Arial"/>
          <w:noProof/>
          <w:color w:val="000000"/>
          <w:szCs w:val="24"/>
        </w:rPr>
        <w:t xml:space="preserve"> carrying out </w:t>
      </w:r>
      <w:r w:rsidR="00744364" w:rsidRPr="00E83B32">
        <w:rPr>
          <w:rFonts w:cs="Arial"/>
          <w:noProof/>
          <w:color w:val="000000"/>
          <w:szCs w:val="24"/>
        </w:rPr>
        <w:t>c</w:t>
      </w:r>
      <w:r w:rsidR="00A54717" w:rsidRPr="00E83B32">
        <w:rPr>
          <w:rFonts w:cs="Arial"/>
          <w:noProof/>
          <w:color w:val="000000"/>
          <w:szCs w:val="24"/>
        </w:rPr>
        <w:t>hecks</w:t>
      </w:r>
      <w:r w:rsidR="000E37DC">
        <w:rPr>
          <w:rFonts w:cs="Arial"/>
          <w:noProof/>
          <w:color w:val="000000"/>
          <w:szCs w:val="24"/>
        </w:rPr>
        <w:t>.</w:t>
      </w:r>
    </w:p>
    <w:p w14:paraId="2FC9A8A1" w14:textId="77777777" w:rsidR="004C7BF1" w:rsidRDefault="004C7BF1" w:rsidP="004C7BF1">
      <w:pPr>
        <w:autoSpaceDE w:val="0"/>
        <w:autoSpaceDN w:val="0"/>
        <w:adjustRightInd w:val="0"/>
        <w:spacing w:line="288" w:lineRule="auto"/>
        <w:rPr>
          <w:rFonts w:cs="Arial"/>
          <w:noProof/>
          <w:color w:val="000000"/>
          <w:szCs w:val="24"/>
        </w:rPr>
      </w:pPr>
      <w:r w:rsidRPr="0096798B">
        <w:rPr>
          <w:rFonts w:cs="Arial"/>
          <w:noProof/>
          <w:color w:val="000000"/>
          <w:szCs w:val="24"/>
        </w:rPr>
        <w:t xml:space="preserve">The new programme combines the activities of the former Hercule </w:t>
      </w:r>
      <w:r w:rsidR="00F40EAD">
        <w:rPr>
          <w:rFonts w:cs="Arial"/>
          <w:noProof/>
          <w:color w:val="000000"/>
          <w:szCs w:val="24"/>
        </w:rPr>
        <w:t xml:space="preserve">III </w:t>
      </w:r>
      <w:r w:rsidR="00A54717" w:rsidRPr="00E83B32">
        <w:rPr>
          <w:rFonts w:cs="Arial"/>
          <w:noProof/>
          <w:color w:val="000000"/>
          <w:szCs w:val="24"/>
        </w:rPr>
        <w:t>p</w:t>
      </w:r>
      <w:r w:rsidRPr="0096798B">
        <w:rPr>
          <w:rFonts w:cs="Arial"/>
          <w:noProof/>
          <w:color w:val="000000"/>
          <w:szCs w:val="24"/>
        </w:rPr>
        <w:t xml:space="preserve">rogramme with the financing of the </w:t>
      </w:r>
      <w:r w:rsidR="00F40EAD">
        <w:rPr>
          <w:rFonts w:cs="Arial"/>
          <w:noProof/>
          <w:color w:val="000000"/>
          <w:szCs w:val="24"/>
        </w:rPr>
        <w:t xml:space="preserve">AFIS and </w:t>
      </w:r>
      <w:r w:rsidRPr="0096798B">
        <w:rPr>
          <w:rFonts w:cs="Arial"/>
          <w:noProof/>
          <w:color w:val="000000"/>
          <w:szCs w:val="24"/>
        </w:rPr>
        <w:t xml:space="preserve">the Irregularities Management System (IMS). </w:t>
      </w:r>
      <w:r w:rsidR="00092067">
        <w:rPr>
          <w:rFonts w:cs="Arial"/>
          <w:noProof/>
          <w:color w:val="000000"/>
          <w:szCs w:val="24"/>
        </w:rPr>
        <w:t xml:space="preserve">This </w:t>
      </w:r>
      <w:r w:rsidR="000B586D">
        <w:rPr>
          <w:rFonts w:cs="Arial"/>
          <w:noProof/>
          <w:color w:val="000000"/>
          <w:szCs w:val="24"/>
        </w:rPr>
        <w:t xml:space="preserve">merger of operational activities </w:t>
      </w:r>
      <w:r w:rsidR="00092067">
        <w:rPr>
          <w:rFonts w:cs="Arial"/>
          <w:noProof/>
          <w:color w:val="000000"/>
          <w:szCs w:val="24"/>
        </w:rPr>
        <w:t>is exp</w:t>
      </w:r>
      <w:r w:rsidR="000E37DC">
        <w:rPr>
          <w:rFonts w:cs="Arial"/>
          <w:noProof/>
          <w:color w:val="000000"/>
          <w:szCs w:val="24"/>
        </w:rPr>
        <w:t>ected to generate</w:t>
      </w:r>
      <w:r w:rsidR="00092067">
        <w:rPr>
          <w:rFonts w:cs="Arial"/>
          <w:noProof/>
          <w:color w:val="000000"/>
          <w:szCs w:val="24"/>
        </w:rPr>
        <w:t xml:space="preserve"> synergies and to allow for a better strategic alignment of these previously separate </w:t>
      </w:r>
      <w:r w:rsidR="000B586D">
        <w:rPr>
          <w:rFonts w:cs="Arial"/>
          <w:noProof/>
          <w:color w:val="000000"/>
          <w:szCs w:val="24"/>
        </w:rPr>
        <w:t>strands of work</w:t>
      </w:r>
      <w:r w:rsidR="00092067">
        <w:rPr>
          <w:rFonts w:cs="Arial"/>
          <w:noProof/>
          <w:color w:val="000000"/>
          <w:szCs w:val="24"/>
        </w:rPr>
        <w:t>.</w:t>
      </w:r>
    </w:p>
    <w:p w14:paraId="6656E5B4" w14:textId="77777777" w:rsidR="00400160" w:rsidRDefault="00400160" w:rsidP="00400160">
      <w:pPr>
        <w:autoSpaceDE w:val="0"/>
        <w:autoSpaceDN w:val="0"/>
        <w:adjustRightInd w:val="0"/>
        <w:spacing w:line="288" w:lineRule="auto"/>
        <w:rPr>
          <w:rFonts w:cs="Arial"/>
          <w:noProof/>
          <w:color w:val="000000"/>
          <w:szCs w:val="24"/>
        </w:rPr>
      </w:pPr>
      <w:r>
        <w:rPr>
          <w:rFonts w:cs="Arial"/>
          <w:noProof/>
          <w:color w:val="000000"/>
          <w:szCs w:val="24"/>
        </w:rPr>
        <w:t xml:space="preserve">More generally, the UAFP responds to today’s challenges in </w:t>
      </w:r>
      <w:r w:rsidR="00A54717" w:rsidRPr="00E83B32">
        <w:rPr>
          <w:rFonts w:cs="Arial"/>
          <w:noProof/>
          <w:color w:val="000000"/>
          <w:szCs w:val="24"/>
        </w:rPr>
        <w:t>several</w:t>
      </w:r>
      <w:r>
        <w:rPr>
          <w:rFonts w:cs="Arial"/>
          <w:noProof/>
          <w:color w:val="000000"/>
          <w:szCs w:val="24"/>
        </w:rPr>
        <w:t xml:space="preserve"> ways: </w:t>
      </w:r>
    </w:p>
    <w:p w14:paraId="2EB71397" w14:textId="77777777" w:rsidR="00400160" w:rsidRDefault="00400160" w:rsidP="00400160">
      <w:pPr>
        <w:autoSpaceDE w:val="0"/>
        <w:autoSpaceDN w:val="0"/>
        <w:adjustRightInd w:val="0"/>
        <w:spacing w:line="288" w:lineRule="auto"/>
        <w:rPr>
          <w:rFonts w:cs="Arial"/>
          <w:noProof/>
          <w:color w:val="000000"/>
          <w:szCs w:val="24"/>
        </w:rPr>
      </w:pPr>
      <w:r>
        <w:rPr>
          <w:rFonts w:cs="Arial"/>
          <w:noProof/>
          <w:color w:val="000000"/>
          <w:szCs w:val="24"/>
        </w:rPr>
        <w:t xml:space="preserve">First of all, as more and more criminal activities </w:t>
      </w:r>
      <w:r w:rsidR="00E83B32">
        <w:rPr>
          <w:rFonts w:cs="Arial"/>
          <w:noProof/>
          <w:color w:val="000000"/>
          <w:szCs w:val="24"/>
        </w:rPr>
        <w:t xml:space="preserve">are run </w:t>
      </w:r>
      <w:r>
        <w:rPr>
          <w:rFonts w:cs="Arial"/>
          <w:noProof/>
          <w:color w:val="000000"/>
          <w:szCs w:val="24"/>
        </w:rPr>
        <w:t xml:space="preserve">in cyberspace, </w:t>
      </w:r>
      <w:r w:rsidR="00A54717" w:rsidRPr="00E83B32">
        <w:rPr>
          <w:rFonts w:cs="Arial"/>
          <w:noProof/>
          <w:color w:val="000000"/>
          <w:szCs w:val="24"/>
        </w:rPr>
        <w:t xml:space="preserve">the programme supports </w:t>
      </w:r>
      <w:r>
        <w:rPr>
          <w:rFonts w:cs="Arial"/>
          <w:noProof/>
          <w:color w:val="000000"/>
          <w:szCs w:val="24"/>
        </w:rPr>
        <w:t>Member States in strengthening their</w:t>
      </w:r>
      <w:r w:rsidRPr="00D15809">
        <w:rPr>
          <w:rFonts w:cs="Arial"/>
          <w:b/>
          <w:noProof/>
          <w:color w:val="000000"/>
          <w:szCs w:val="24"/>
        </w:rPr>
        <w:t xml:space="preserve"> digital </w:t>
      </w:r>
      <w:r w:rsidRPr="00E83B32">
        <w:rPr>
          <w:rFonts w:cs="Arial"/>
          <w:b/>
          <w:noProof/>
          <w:color w:val="000000"/>
          <w:szCs w:val="24"/>
        </w:rPr>
        <w:t>capacit</w:t>
      </w:r>
      <w:r w:rsidR="00A54717" w:rsidRPr="00E83B32">
        <w:rPr>
          <w:rFonts w:cs="Arial"/>
          <w:b/>
          <w:noProof/>
          <w:color w:val="000000"/>
          <w:szCs w:val="24"/>
        </w:rPr>
        <w:t>y</w:t>
      </w:r>
      <w:r w:rsidRPr="00D15809">
        <w:rPr>
          <w:rFonts w:cs="Arial"/>
          <w:noProof/>
          <w:color w:val="000000"/>
          <w:szCs w:val="24"/>
        </w:rPr>
        <w:t xml:space="preserve"> to </w:t>
      </w:r>
      <w:r>
        <w:rPr>
          <w:rFonts w:cs="Arial"/>
          <w:noProof/>
          <w:color w:val="000000"/>
          <w:szCs w:val="24"/>
        </w:rPr>
        <w:t>detect and investigate</w:t>
      </w:r>
      <w:r w:rsidRPr="00D15809">
        <w:rPr>
          <w:rFonts w:cs="Arial"/>
          <w:noProof/>
          <w:color w:val="000000"/>
          <w:szCs w:val="24"/>
        </w:rPr>
        <w:t xml:space="preserve"> fraud</w:t>
      </w:r>
      <w:r>
        <w:rPr>
          <w:rFonts w:cs="Arial"/>
          <w:noProof/>
          <w:color w:val="000000"/>
          <w:szCs w:val="24"/>
        </w:rPr>
        <w:t>. To this end, the UAFP supports the purchase of advance</w:t>
      </w:r>
      <w:r w:rsidR="00744364">
        <w:rPr>
          <w:rFonts w:cs="Arial"/>
          <w:noProof/>
          <w:color w:val="000000"/>
          <w:szCs w:val="24"/>
        </w:rPr>
        <w:t>d</w:t>
      </w:r>
      <w:r w:rsidR="005034F2">
        <w:rPr>
          <w:rFonts w:cs="Arial"/>
          <w:noProof/>
          <w:color w:val="000000"/>
          <w:szCs w:val="24"/>
        </w:rPr>
        <w:t xml:space="preserve"> analytical tools, data</w:t>
      </w:r>
      <w:r>
        <w:rPr>
          <w:rFonts w:cs="Arial"/>
          <w:noProof/>
          <w:color w:val="000000"/>
          <w:szCs w:val="24"/>
        </w:rPr>
        <w:t xml:space="preserve">bases </w:t>
      </w:r>
      <w:r w:rsidR="000B586D">
        <w:rPr>
          <w:rFonts w:cs="Arial"/>
          <w:noProof/>
          <w:color w:val="000000"/>
          <w:szCs w:val="24"/>
        </w:rPr>
        <w:t xml:space="preserve">and </w:t>
      </w:r>
      <w:r w:rsidR="00A54717" w:rsidRPr="00E83B32">
        <w:rPr>
          <w:rFonts w:cs="Arial"/>
          <w:noProof/>
          <w:color w:val="000000"/>
          <w:szCs w:val="24"/>
        </w:rPr>
        <w:t>provides</w:t>
      </w:r>
      <w:r w:rsidR="000B586D">
        <w:rPr>
          <w:rFonts w:cs="Arial"/>
          <w:noProof/>
          <w:color w:val="000000"/>
          <w:szCs w:val="24"/>
        </w:rPr>
        <w:t xml:space="preserve"> expert training on digital forensics</w:t>
      </w:r>
      <w:r>
        <w:rPr>
          <w:rFonts w:cs="Arial"/>
          <w:noProof/>
          <w:color w:val="000000"/>
          <w:szCs w:val="24"/>
        </w:rPr>
        <w:t xml:space="preserve">. </w:t>
      </w:r>
      <w:r w:rsidR="000B586D">
        <w:rPr>
          <w:rFonts w:cs="Arial"/>
          <w:noProof/>
          <w:color w:val="000000"/>
          <w:szCs w:val="24"/>
        </w:rPr>
        <w:t>A</w:t>
      </w:r>
      <w:r>
        <w:rPr>
          <w:rFonts w:cs="Arial"/>
          <w:noProof/>
          <w:color w:val="000000"/>
          <w:szCs w:val="24"/>
        </w:rPr>
        <w:t xml:space="preserve"> </w:t>
      </w:r>
      <w:r w:rsidR="000B586D">
        <w:rPr>
          <w:rFonts w:cs="Arial"/>
          <w:noProof/>
          <w:color w:val="000000"/>
          <w:szCs w:val="24"/>
        </w:rPr>
        <w:t>stronger</w:t>
      </w:r>
      <w:r>
        <w:rPr>
          <w:rFonts w:cs="Arial"/>
          <w:noProof/>
          <w:color w:val="000000"/>
          <w:szCs w:val="24"/>
        </w:rPr>
        <w:t xml:space="preserve"> focus </w:t>
      </w:r>
      <w:r w:rsidR="000B586D">
        <w:rPr>
          <w:rFonts w:cs="Arial"/>
          <w:noProof/>
          <w:color w:val="000000"/>
          <w:szCs w:val="24"/>
        </w:rPr>
        <w:t xml:space="preserve">on data and analysis </w:t>
      </w:r>
      <w:r>
        <w:rPr>
          <w:rFonts w:cs="Arial"/>
          <w:noProof/>
          <w:color w:val="000000"/>
          <w:szCs w:val="24"/>
        </w:rPr>
        <w:t xml:space="preserve">also is fully aligned with the new </w:t>
      </w:r>
      <w:r w:rsidR="00C60175">
        <w:rPr>
          <w:rFonts w:cs="Arial"/>
          <w:noProof/>
          <w:color w:val="000000"/>
          <w:szCs w:val="24"/>
        </w:rPr>
        <w:t>Commission anti-fraud strategy (</w:t>
      </w:r>
      <w:r>
        <w:rPr>
          <w:rFonts w:cs="Arial"/>
          <w:noProof/>
          <w:color w:val="000000"/>
          <w:szCs w:val="24"/>
        </w:rPr>
        <w:t>CAFS</w:t>
      </w:r>
      <w:r w:rsidR="00C60175">
        <w:rPr>
          <w:rFonts w:cs="Arial"/>
          <w:noProof/>
          <w:color w:val="000000"/>
          <w:szCs w:val="24"/>
        </w:rPr>
        <w:t>)</w:t>
      </w:r>
      <w:r w:rsidR="00A54717" w:rsidRPr="00E83B32">
        <w:rPr>
          <w:rFonts w:cs="Arial"/>
          <w:noProof/>
          <w:color w:val="000000"/>
          <w:szCs w:val="24"/>
        </w:rPr>
        <w:t>,</w:t>
      </w:r>
      <w:r>
        <w:rPr>
          <w:rFonts w:cs="Arial"/>
          <w:noProof/>
          <w:color w:val="000000"/>
          <w:szCs w:val="24"/>
        </w:rPr>
        <w:t xml:space="preserve"> which promotes the deployment of advanced analytical tools.</w:t>
      </w:r>
    </w:p>
    <w:p w14:paraId="40776298" w14:textId="77777777" w:rsidR="00400160" w:rsidRDefault="00400160" w:rsidP="00400160">
      <w:pPr>
        <w:autoSpaceDE w:val="0"/>
        <w:autoSpaceDN w:val="0"/>
        <w:adjustRightInd w:val="0"/>
        <w:spacing w:line="288" w:lineRule="auto"/>
        <w:rPr>
          <w:rFonts w:cs="Arial"/>
          <w:noProof/>
          <w:color w:val="000000"/>
          <w:szCs w:val="24"/>
        </w:rPr>
      </w:pPr>
      <w:r>
        <w:rPr>
          <w:rFonts w:cs="Arial"/>
          <w:noProof/>
          <w:color w:val="000000"/>
          <w:szCs w:val="24"/>
        </w:rPr>
        <w:t xml:space="preserve">Secondly, considering especially the increase in </w:t>
      </w:r>
      <w:r w:rsidR="00A54717" w:rsidRPr="00E83B32">
        <w:rPr>
          <w:rFonts w:cs="Arial"/>
          <w:noProof/>
          <w:color w:val="000000"/>
          <w:szCs w:val="24"/>
        </w:rPr>
        <w:t>E</w:t>
      </w:r>
      <w:r w:rsidRPr="00E83B32">
        <w:rPr>
          <w:rFonts w:cs="Arial"/>
          <w:noProof/>
          <w:color w:val="000000"/>
          <w:szCs w:val="24"/>
        </w:rPr>
        <w:t>U</w:t>
      </w:r>
      <w:r>
        <w:rPr>
          <w:rFonts w:cs="Arial"/>
          <w:noProof/>
          <w:color w:val="000000"/>
          <w:szCs w:val="24"/>
        </w:rPr>
        <w:t xml:space="preserve"> expenditure under the new </w:t>
      </w:r>
      <w:r w:rsidR="00A54717" w:rsidRPr="00E83B32">
        <w:rPr>
          <w:rFonts w:cs="Arial"/>
          <w:noProof/>
          <w:color w:val="000000"/>
          <w:szCs w:val="24"/>
        </w:rPr>
        <w:t>budget</w:t>
      </w:r>
      <w:r>
        <w:rPr>
          <w:rFonts w:cs="Arial"/>
          <w:noProof/>
          <w:color w:val="000000"/>
          <w:szCs w:val="24"/>
        </w:rPr>
        <w:t xml:space="preserve"> and NextGenerationEU, the UAFP </w:t>
      </w:r>
      <w:r w:rsidRPr="00400160">
        <w:rPr>
          <w:rFonts w:cs="Arial"/>
          <w:b/>
          <w:noProof/>
          <w:color w:val="000000"/>
          <w:szCs w:val="24"/>
        </w:rPr>
        <w:t>shifts the bulk of funding from the revenue side to fighting fraud against expenditure</w:t>
      </w:r>
      <w:r>
        <w:rPr>
          <w:rFonts w:cs="Arial"/>
          <w:noProof/>
          <w:color w:val="000000"/>
          <w:szCs w:val="24"/>
        </w:rPr>
        <w:t xml:space="preserve">, including under the Recovery and Resilience Facility. This change of paradigm is amplified by the fact that the </w:t>
      </w:r>
      <w:r w:rsidR="00A54717" w:rsidRPr="00E83B32">
        <w:rPr>
          <w:rFonts w:cs="Arial"/>
          <w:noProof/>
          <w:color w:val="000000"/>
          <w:szCs w:val="24"/>
        </w:rPr>
        <w:t>E</w:t>
      </w:r>
      <w:r w:rsidRPr="00E83B32">
        <w:rPr>
          <w:rFonts w:cs="Arial"/>
          <w:noProof/>
          <w:color w:val="000000"/>
          <w:szCs w:val="24"/>
        </w:rPr>
        <w:t>U</w:t>
      </w:r>
      <w:r>
        <w:rPr>
          <w:rFonts w:cs="Arial"/>
          <w:noProof/>
          <w:color w:val="000000"/>
          <w:szCs w:val="24"/>
        </w:rPr>
        <w:t xml:space="preserve"> has now established </w:t>
      </w:r>
      <w:r w:rsidR="000B586D" w:rsidRPr="00E83B32">
        <w:rPr>
          <w:rFonts w:cs="Arial"/>
          <w:noProof/>
          <w:color w:val="000000"/>
          <w:szCs w:val="24"/>
        </w:rPr>
        <w:t>the</w:t>
      </w:r>
      <w:r w:rsidRPr="00E83B32">
        <w:rPr>
          <w:rFonts w:cs="Arial"/>
          <w:noProof/>
          <w:color w:val="000000"/>
          <w:szCs w:val="24"/>
        </w:rPr>
        <w:t xml:space="preserve"> </w:t>
      </w:r>
      <w:r w:rsidR="00CD1187">
        <w:rPr>
          <w:rFonts w:cs="Arial"/>
          <w:noProof/>
          <w:color w:val="000000"/>
          <w:szCs w:val="24"/>
        </w:rPr>
        <w:t>new</w:t>
      </w:r>
      <w:r>
        <w:rPr>
          <w:rFonts w:cs="Arial"/>
          <w:noProof/>
          <w:color w:val="000000"/>
          <w:szCs w:val="24"/>
        </w:rPr>
        <w:t xml:space="preserve"> </w:t>
      </w:r>
      <w:r w:rsidR="00C60175">
        <w:rPr>
          <w:rFonts w:cs="Arial"/>
          <w:noProof/>
          <w:color w:val="000000"/>
          <w:szCs w:val="24"/>
        </w:rPr>
        <w:t>p</w:t>
      </w:r>
      <w:r>
        <w:rPr>
          <w:rFonts w:cs="Arial"/>
          <w:noProof/>
          <w:color w:val="000000"/>
          <w:szCs w:val="24"/>
        </w:rPr>
        <w:t>rogramme for the purchase</w:t>
      </w:r>
      <w:r w:rsidR="00B671C5">
        <w:rPr>
          <w:rFonts w:cs="Arial"/>
          <w:noProof/>
          <w:color w:val="000000"/>
          <w:szCs w:val="24"/>
        </w:rPr>
        <w:t xml:space="preserve">, upgrade and </w:t>
      </w:r>
      <w:r w:rsidR="00CD1187">
        <w:rPr>
          <w:rFonts w:cs="Arial"/>
          <w:noProof/>
          <w:color w:val="000000"/>
          <w:szCs w:val="24"/>
        </w:rPr>
        <w:t>maintenance</w:t>
      </w:r>
      <w:r>
        <w:rPr>
          <w:rFonts w:cs="Arial"/>
          <w:noProof/>
          <w:color w:val="000000"/>
          <w:szCs w:val="24"/>
        </w:rPr>
        <w:t xml:space="preserve"> of </w:t>
      </w:r>
      <w:r w:rsidR="00A70FA9">
        <w:rPr>
          <w:rFonts w:cs="Arial"/>
          <w:noProof/>
          <w:color w:val="000000"/>
          <w:szCs w:val="24"/>
        </w:rPr>
        <w:t>c</w:t>
      </w:r>
      <w:r w:rsidRPr="00E83B32">
        <w:rPr>
          <w:rFonts w:cs="Arial"/>
          <w:noProof/>
          <w:color w:val="000000"/>
          <w:szCs w:val="24"/>
        </w:rPr>
        <w:t xml:space="preserve">ustoms </w:t>
      </w:r>
      <w:r w:rsidR="00A70FA9">
        <w:rPr>
          <w:rFonts w:cs="Arial"/>
          <w:noProof/>
          <w:color w:val="000000"/>
          <w:szCs w:val="24"/>
        </w:rPr>
        <w:t>c</w:t>
      </w:r>
      <w:r w:rsidRPr="00E83B32">
        <w:rPr>
          <w:rFonts w:cs="Arial"/>
          <w:noProof/>
          <w:color w:val="000000"/>
          <w:szCs w:val="24"/>
        </w:rPr>
        <w:t xml:space="preserve">ontrol </w:t>
      </w:r>
      <w:r w:rsidR="00A70FA9">
        <w:rPr>
          <w:rFonts w:cs="Arial"/>
          <w:noProof/>
          <w:color w:val="000000"/>
          <w:szCs w:val="24"/>
        </w:rPr>
        <w:t>e</w:t>
      </w:r>
      <w:r>
        <w:rPr>
          <w:rFonts w:cs="Arial"/>
          <w:noProof/>
          <w:color w:val="000000"/>
          <w:szCs w:val="24"/>
        </w:rPr>
        <w:t>quipmen</w:t>
      </w:r>
      <w:r w:rsidRPr="00092067">
        <w:rPr>
          <w:rFonts w:cs="Arial"/>
          <w:noProof/>
          <w:color w:val="000000"/>
          <w:szCs w:val="24"/>
        </w:rPr>
        <w:t xml:space="preserve">t </w:t>
      </w:r>
      <w:r w:rsidR="000B586D">
        <w:rPr>
          <w:rFonts w:cs="Arial"/>
          <w:noProof/>
          <w:color w:val="000000"/>
          <w:szCs w:val="24"/>
        </w:rPr>
        <w:t>(CCE)</w:t>
      </w:r>
      <w:r>
        <w:rPr>
          <w:rFonts w:cs="Arial"/>
          <w:noProof/>
          <w:color w:val="000000"/>
          <w:szCs w:val="24"/>
        </w:rPr>
        <w:t xml:space="preserve">. With a budget of around </w:t>
      </w:r>
      <w:r w:rsidR="00A54717" w:rsidRPr="00E83B32">
        <w:rPr>
          <w:rFonts w:cs="Arial"/>
          <w:noProof/>
          <w:color w:val="000000"/>
          <w:szCs w:val="24"/>
        </w:rPr>
        <w:t>EUR </w:t>
      </w:r>
      <w:r>
        <w:rPr>
          <w:rFonts w:cs="Arial"/>
          <w:noProof/>
          <w:color w:val="000000"/>
          <w:szCs w:val="24"/>
        </w:rPr>
        <w:t xml:space="preserve">1 billion for the current </w:t>
      </w:r>
      <w:r w:rsidR="00A70FA9">
        <w:rPr>
          <w:rFonts w:cs="Arial"/>
          <w:noProof/>
          <w:color w:val="000000"/>
          <w:szCs w:val="24"/>
        </w:rPr>
        <w:t>seven</w:t>
      </w:r>
      <w:r>
        <w:rPr>
          <w:rFonts w:cs="Arial"/>
          <w:noProof/>
          <w:color w:val="000000"/>
          <w:szCs w:val="24"/>
        </w:rPr>
        <w:t xml:space="preserve">-year period, this new instrument will free up some resources in the UAFP since CCE had absorbed a substantial </w:t>
      </w:r>
      <w:r w:rsidR="00A54717" w:rsidRPr="00E83B32">
        <w:rPr>
          <w:rFonts w:cs="Arial"/>
          <w:noProof/>
          <w:color w:val="000000"/>
          <w:szCs w:val="24"/>
        </w:rPr>
        <w:t>share</w:t>
      </w:r>
      <w:r>
        <w:rPr>
          <w:rFonts w:cs="Arial"/>
          <w:noProof/>
          <w:color w:val="000000"/>
          <w:szCs w:val="24"/>
        </w:rPr>
        <w:t xml:space="preserve"> of the technical assistance provided under the Hercule III </w:t>
      </w:r>
      <w:r w:rsidR="00A54717" w:rsidRPr="00E83B32">
        <w:rPr>
          <w:rFonts w:cs="Arial"/>
          <w:noProof/>
          <w:color w:val="000000"/>
          <w:szCs w:val="24"/>
        </w:rPr>
        <w:t>p</w:t>
      </w:r>
      <w:r>
        <w:rPr>
          <w:rFonts w:cs="Arial"/>
          <w:noProof/>
          <w:color w:val="000000"/>
          <w:szCs w:val="24"/>
        </w:rPr>
        <w:t>rogramme.</w:t>
      </w:r>
    </w:p>
    <w:p w14:paraId="3F0E39C9" w14:textId="77777777" w:rsidR="00400160" w:rsidRDefault="00400160" w:rsidP="00400160">
      <w:pPr>
        <w:autoSpaceDE w:val="0"/>
        <w:autoSpaceDN w:val="0"/>
        <w:adjustRightInd w:val="0"/>
        <w:spacing w:line="288" w:lineRule="auto"/>
        <w:rPr>
          <w:rFonts w:cs="Arial"/>
          <w:noProof/>
          <w:color w:val="000000"/>
          <w:szCs w:val="24"/>
        </w:rPr>
      </w:pPr>
      <w:r>
        <w:rPr>
          <w:rFonts w:cs="Arial"/>
          <w:noProof/>
          <w:color w:val="000000"/>
          <w:szCs w:val="24"/>
        </w:rPr>
        <w:t xml:space="preserve">Looking at the findings of this evaluation, the Commission considers that the UAFP provides a solid base to support Member States and other eligible entities </w:t>
      </w:r>
      <w:r w:rsidR="00744BD4">
        <w:rPr>
          <w:rFonts w:cs="Arial"/>
          <w:noProof/>
          <w:color w:val="000000"/>
          <w:szCs w:val="24"/>
        </w:rPr>
        <w:t xml:space="preserve">in </w:t>
      </w:r>
      <w:r w:rsidRPr="00E83B32">
        <w:rPr>
          <w:rFonts w:cs="Arial"/>
          <w:noProof/>
          <w:color w:val="000000"/>
          <w:szCs w:val="24"/>
        </w:rPr>
        <w:t>tackl</w:t>
      </w:r>
      <w:r w:rsidR="00744BD4">
        <w:rPr>
          <w:rFonts w:cs="Arial"/>
          <w:noProof/>
          <w:color w:val="000000"/>
          <w:szCs w:val="24"/>
        </w:rPr>
        <w:t>ing</w:t>
      </w:r>
      <w:r>
        <w:rPr>
          <w:rFonts w:cs="Arial"/>
          <w:noProof/>
          <w:color w:val="000000"/>
          <w:szCs w:val="24"/>
        </w:rPr>
        <w:t xml:space="preserve"> the ever-evolving fraud landscape</w:t>
      </w:r>
      <w:r w:rsidR="00A54717" w:rsidRPr="00E83B32">
        <w:rPr>
          <w:rFonts w:cs="Arial"/>
          <w:noProof/>
          <w:color w:val="000000"/>
          <w:szCs w:val="24"/>
        </w:rPr>
        <w:t xml:space="preserve">. It </w:t>
      </w:r>
      <w:r>
        <w:rPr>
          <w:rFonts w:cs="Arial"/>
          <w:noProof/>
          <w:color w:val="000000"/>
          <w:szCs w:val="24"/>
        </w:rPr>
        <w:t xml:space="preserve">also </w:t>
      </w:r>
      <w:r w:rsidRPr="00E83B32">
        <w:rPr>
          <w:rFonts w:cs="Arial"/>
          <w:noProof/>
          <w:color w:val="000000"/>
          <w:szCs w:val="24"/>
        </w:rPr>
        <w:t>tak</w:t>
      </w:r>
      <w:r w:rsidR="00A54717" w:rsidRPr="00E83B32">
        <w:rPr>
          <w:rFonts w:cs="Arial"/>
          <w:noProof/>
          <w:color w:val="000000"/>
          <w:szCs w:val="24"/>
        </w:rPr>
        <w:t>es</w:t>
      </w:r>
      <w:r>
        <w:rPr>
          <w:rFonts w:cs="Arial"/>
          <w:noProof/>
          <w:color w:val="000000"/>
          <w:szCs w:val="24"/>
        </w:rPr>
        <w:t xml:space="preserve"> into account the new institutional setting at European level with the </w:t>
      </w:r>
      <w:r w:rsidR="00A54717" w:rsidRPr="00E83B32">
        <w:rPr>
          <w:rFonts w:cs="Arial"/>
          <w:noProof/>
          <w:color w:val="000000"/>
          <w:szCs w:val="24"/>
        </w:rPr>
        <w:t xml:space="preserve">launch of the </w:t>
      </w:r>
      <w:r>
        <w:rPr>
          <w:rFonts w:cs="Arial"/>
          <w:noProof/>
          <w:color w:val="000000"/>
          <w:szCs w:val="24"/>
        </w:rPr>
        <w:t xml:space="preserve">EPPO. </w:t>
      </w:r>
    </w:p>
    <w:p w14:paraId="1FCBA252" w14:textId="77777777" w:rsidR="00092067" w:rsidRPr="0096798B" w:rsidRDefault="00400160" w:rsidP="00F40EAD">
      <w:pPr>
        <w:autoSpaceDE w:val="0"/>
        <w:autoSpaceDN w:val="0"/>
        <w:adjustRightInd w:val="0"/>
        <w:spacing w:line="288" w:lineRule="auto"/>
        <w:rPr>
          <w:rFonts w:cs="Arial"/>
          <w:noProof/>
          <w:color w:val="000000"/>
          <w:szCs w:val="24"/>
        </w:rPr>
      </w:pPr>
      <w:r>
        <w:rPr>
          <w:rFonts w:cs="Arial"/>
          <w:noProof/>
          <w:color w:val="000000"/>
          <w:szCs w:val="24"/>
        </w:rPr>
        <w:t>At a more operational level, when</w:t>
      </w:r>
      <w:r w:rsidR="000E37DC">
        <w:rPr>
          <w:rFonts w:cs="Arial"/>
          <w:noProof/>
          <w:color w:val="000000"/>
          <w:szCs w:val="24"/>
        </w:rPr>
        <w:t xml:space="preserve"> summarising the key findings </w:t>
      </w:r>
      <w:r>
        <w:rPr>
          <w:rFonts w:cs="Arial"/>
          <w:noProof/>
          <w:color w:val="000000"/>
          <w:szCs w:val="24"/>
        </w:rPr>
        <w:t>of the evaluation</w:t>
      </w:r>
      <w:r w:rsidR="000B586D">
        <w:rPr>
          <w:rFonts w:cs="Arial"/>
          <w:noProof/>
          <w:color w:val="000000"/>
          <w:szCs w:val="24"/>
        </w:rPr>
        <w:t xml:space="preserve"> in terms of recommendations for the future</w:t>
      </w:r>
      <w:r>
        <w:rPr>
          <w:rFonts w:cs="Arial"/>
          <w:noProof/>
          <w:color w:val="000000"/>
          <w:szCs w:val="24"/>
        </w:rPr>
        <w:t xml:space="preserve">, two </w:t>
      </w:r>
      <w:r w:rsidR="000E37DC">
        <w:rPr>
          <w:rFonts w:cs="Arial"/>
          <w:noProof/>
          <w:color w:val="000000"/>
          <w:szCs w:val="24"/>
        </w:rPr>
        <w:t xml:space="preserve">aspects stand out: first, the desire </w:t>
      </w:r>
      <w:r w:rsidR="00744BD4">
        <w:rPr>
          <w:rFonts w:cs="Arial"/>
          <w:noProof/>
          <w:color w:val="000000"/>
          <w:szCs w:val="24"/>
        </w:rPr>
        <w:t xml:space="preserve">voiced by </w:t>
      </w:r>
      <w:r w:rsidR="000E37DC">
        <w:rPr>
          <w:rFonts w:cs="Arial"/>
          <w:noProof/>
          <w:color w:val="000000"/>
          <w:szCs w:val="24"/>
        </w:rPr>
        <w:t xml:space="preserve">stakeholders to </w:t>
      </w:r>
      <w:r w:rsidR="00A54717" w:rsidRPr="00E83B32">
        <w:rPr>
          <w:rFonts w:cs="Arial"/>
          <w:noProof/>
          <w:color w:val="000000"/>
          <w:szCs w:val="24"/>
        </w:rPr>
        <w:t>receive</w:t>
      </w:r>
      <w:r w:rsidR="000E37DC">
        <w:rPr>
          <w:rFonts w:cs="Arial"/>
          <w:noProof/>
          <w:color w:val="000000"/>
          <w:szCs w:val="24"/>
        </w:rPr>
        <w:t xml:space="preserve"> more detailed guidance from the Commission when they </w:t>
      </w:r>
      <w:r w:rsidR="000E37DC" w:rsidRPr="00E83B32">
        <w:rPr>
          <w:rFonts w:cs="Arial"/>
          <w:noProof/>
          <w:color w:val="000000"/>
          <w:szCs w:val="24"/>
        </w:rPr>
        <w:t>prepar</w:t>
      </w:r>
      <w:r w:rsidR="00A54717" w:rsidRPr="00E83B32">
        <w:rPr>
          <w:rFonts w:cs="Arial"/>
          <w:noProof/>
          <w:color w:val="000000"/>
          <w:szCs w:val="24"/>
        </w:rPr>
        <w:t>e</w:t>
      </w:r>
      <w:r w:rsidR="000E37DC">
        <w:rPr>
          <w:rFonts w:cs="Arial"/>
          <w:noProof/>
          <w:color w:val="000000"/>
          <w:szCs w:val="24"/>
        </w:rPr>
        <w:t xml:space="preserve"> an application. This is something the Commission, with OLAF as lead </w:t>
      </w:r>
      <w:r w:rsidR="00EB75CC">
        <w:rPr>
          <w:rFonts w:cs="Arial"/>
          <w:noProof/>
          <w:color w:val="000000"/>
          <w:szCs w:val="24"/>
        </w:rPr>
        <w:t>s</w:t>
      </w:r>
      <w:r w:rsidR="000E37DC">
        <w:rPr>
          <w:rFonts w:cs="Arial"/>
          <w:noProof/>
          <w:color w:val="000000"/>
          <w:szCs w:val="24"/>
        </w:rPr>
        <w:t xml:space="preserve">ervice, will </w:t>
      </w:r>
      <w:r w:rsidR="00744BD4">
        <w:rPr>
          <w:rFonts w:cs="Arial"/>
          <w:noProof/>
          <w:color w:val="000000"/>
          <w:szCs w:val="24"/>
        </w:rPr>
        <w:t xml:space="preserve">look into </w:t>
      </w:r>
      <w:r w:rsidR="000E37DC">
        <w:rPr>
          <w:rFonts w:cs="Arial"/>
          <w:noProof/>
          <w:color w:val="000000"/>
          <w:szCs w:val="24"/>
        </w:rPr>
        <w:t xml:space="preserve">when launching the next calls for proposals in 2022 </w:t>
      </w:r>
      <w:r w:rsidR="00EB75CC">
        <w:rPr>
          <w:rFonts w:cs="Arial"/>
          <w:noProof/>
          <w:color w:val="000000"/>
          <w:szCs w:val="24"/>
        </w:rPr>
        <w:t>a</w:t>
      </w:r>
      <w:r w:rsidR="000E37DC">
        <w:rPr>
          <w:rFonts w:cs="Arial"/>
          <w:noProof/>
          <w:color w:val="000000"/>
          <w:szCs w:val="24"/>
        </w:rPr>
        <w:t>n</w:t>
      </w:r>
      <w:r w:rsidR="00EB75CC">
        <w:rPr>
          <w:rFonts w:cs="Arial"/>
          <w:noProof/>
          <w:color w:val="000000"/>
          <w:szCs w:val="24"/>
        </w:rPr>
        <w:t>d</w:t>
      </w:r>
      <w:r w:rsidR="000E37DC">
        <w:rPr>
          <w:rFonts w:cs="Arial"/>
          <w:noProof/>
          <w:color w:val="000000"/>
          <w:szCs w:val="24"/>
        </w:rPr>
        <w:t xml:space="preserve"> beyond</w:t>
      </w:r>
      <w:r>
        <w:rPr>
          <w:rFonts w:cs="Arial"/>
          <w:noProof/>
          <w:color w:val="000000"/>
          <w:szCs w:val="24"/>
        </w:rPr>
        <w:t xml:space="preserve">, </w:t>
      </w:r>
      <w:r w:rsidR="00A54717" w:rsidRPr="00E83B32">
        <w:rPr>
          <w:rFonts w:cs="Arial"/>
          <w:noProof/>
          <w:color w:val="000000"/>
          <w:szCs w:val="24"/>
        </w:rPr>
        <w:t xml:space="preserve">mindful of the need for the </w:t>
      </w:r>
      <w:r>
        <w:rPr>
          <w:rFonts w:cs="Arial"/>
          <w:noProof/>
          <w:color w:val="000000"/>
          <w:szCs w:val="24"/>
        </w:rPr>
        <w:t xml:space="preserve">process </w:t>
      </w:r>
      <w:r w:rsidR="00A54717" w:rsidRPr="00E83B32">
        <w:rPr>
          <w:rFonts w:cs="Arial"/>
          <w:noProof/>
          <w:color w:val="000000"/>
          <w:szCs w:val="24"/>
        </w:rPr>
        <w:t xml:space="preserve">to give </w:t>
      </w:r>
      <w:r>
        <w:rPr>
          <w:rFonts w:cs="Arial"/>
          <w:noProof/>
          <w:color w:val="000000"/>
          <w:szCs w:val="24"/>
        </w:rPr>
        <w:t xml:space="preserve">fair and equal chances </w:t>
      </w:r>
      <w:r w:rsidR="00A54717" w:rsidRPr="00E83B32">
        <w:rPr>
          <w:rFonts w:cs="Arial"/>
          <w:noProof/>
          <w:color w:val="000000"/>
          <w:szCs w:val="24"/>
        </w:rPr>
        <w:t>t</w:t>
      </w:r>
      <w:r>
        <w:rPr>
          <w:rFonts w:cs="Arial"/>
          <w:noProof/>
          <w:color w:val="000000"/>
          <w:szCs w:val="24"/>
        </w:rPr>
        <w:t xml:space="preserve">o all applicants. </w:t>
      </w:r>
      <w:r w:rsidR="000E37DC">
        <w:rPr>
          <w:rFonts w:cs="Arial"/>
          <w:noProof/>
          <w:color w:val="000000"/>
          <w:szCs w:val="24"/>
        </w:rPr>
        <w:t>Second</w:t>
      </w:r>
      <w:r>
        <w:rPr>
          <w:rFonts w:cs="Arial"/>
          <w:noProof/>
          <w:color w:val="000000"/>
          <w:szCs w:val="24"/>
        </w:rPr>
        <w:t xml:space="preserve">, the findings of the evaluation invite the Commission </w:t>
      </w:r>
      <w:r w:rsidR="000B586D">
        <w:rPr>
          <w:rFonts w:cs="Arial"/>
          <w:noProof/>
          <w:color w:val="000000"/>
          <w:szCs w:val="24"/>
        </w:rPr>
        <w:t xml:space="preserve">to </w:t>
      </w:r>
      <w:r>
        <w:rPr>
          <w:rFonts w:cs="Arial"/>
          <w:noProof/>
          <w:color w:val="000000"/>
          <w:szCs w:val="24"/>
        </w:rPr>
        <w:t xml:space="preserve">reflect again on the delicate balance between the strong wish to minimise the administrative burden on applicants and the need </w:t>
      </w:r>
      <w:r w:rsidR="00A54717" w:rsidRPr="00E83B32">
        <w:rPr>
          <w:rFonts w:cs="Arial"/>
          <w:noProof/>
          <w:color w:val="000000"/>
          <w:szCs w:val="24"/>
        </w:rPr>
        <w:t>f</w:t>
      </w:r>
      <w:r w:rsidRPr="00E83B32">
        <w:rPr>
          <w:rFonts w:cs="Arial"/>
          <w:noProof/>
          <w:color w:val="000000"/>
          <w:szCs w:val="24"/>
        </w:rPr>
        <w:t>o</w:t>
      </w:r>
      <w:r w:rsidR="00A54717" w:rsidRPr="00E83B32">
        <w:rPr>
          <w:rFonts w:cs="Arial"/>
          <w:noProof/>
          <w:color w:val="000000"/>
          <w:szCs w:val="24"/>
        </w:rPr>
        <w:t>r</w:t>
      </w:r>
      <w:r>
        <w:rPr>
          <w:rFonts w:cs="Arial"/>
          <w:noProof/>
          <w:color w:val="000000"/>
          <w:szCs w:val="24"/>
        </w:rPr>
        <w:t xml:space="preserve"> more information readily available for monitoring and ex-post assessments. This balance </w:t>
      </w:r>
      <w:r w:rsidR="00A54717" w:rsidRPr="00E83B32">
        <w:rPr>
          <w:rFonts w:cs="Arial"/>
          <w:noProof/>
          <w:color w:val="000000"/>
          <w:szCs w:val="24"/>
        </w:rPr>
        <w:t xml:space="preserve">is </w:t>
      </w:r>
      <w:r>
        <w:rPr>
          <w:rFonts w:cs="Arial"/>
          <w:noProof/>
          <w:color w:val="000000"/>
          <w:szCs w:val="24"/>
        </w:rPr>
        <w:t>not easy</w:t>
      </w:r>
      <w:r w:rsidR="00A54717" w:rsidRPr="00E83B32">
        <w:rPr>
          <w:rFonts w:cs="Arial"/>
          <w:noProof/>
          <w:color w:val="000000"/>
          <w:szCs w:val="24"/>
        </w:rPr>
        <w:t xml:space="preserve"> to strike</w:t>
      </w:r>
      <w:r>
        <w:rPr>
          <w:rFonts w:cs="Arial"/>
          <w:noProof/>
          <w:color w:val="000000"/>
          <w:szCs w:val="24"/>
        </w:rPr>
        <w:t>, and the Commission will look into ways to further fine-tune its reporting tools</w:t>
      </w:r>
      <w:r w:rsidR="00A54717" w:rsidRPr="00E83B32">
        <w:rPr>
          <w:rFonts w:cs="Arial"/>
          <w:noProof/>
          <w:color w:val="000000"/>
          <w:szCs w:val="24"/>
        </w:rPr>
        <w:t xml:space="preserve"> to this end</w:t>
      </w:r>
      <w:r>
        <w:rPr>
          <w:rFonts w:cs="Arial"/>
          <w:noProof/>
          <w:color w:val="000000"/>
          <w:szCs w:val="24"/>
        </w:rPr>
        <w:t xml:space="preserve">. </w:t>
      </w:r>
    </w:p>
    <w:sectPr w:rsidR="00092067" w:rsidRPr="0096798B">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D8D7" w14:textId="77777777" w:rsidR="008D4E8B" w:rsidRDefault="008D4E8B">
      <w:pPr>
        <w:spacing w:after="0"/>
      </w:pPr>
      <w:r>
        <w:separator/>
      </w:r>
    </w:p>
  </w:endnote>
  <w:endnote w:type="continuationSeparator" w:id="0">
    <w:p w14:paraId="299F18B8" w14:textId="77777777" w:rsidR="008D4E8B" w:rsidRDefault="008D4E8B">
      <w:pPr>
        <w:spacing w:after="0"/>
      </w:pPr>
      <w:r>
        <w:continuationSeparator/>
      </w:r>
    </w:p>
  </w:endnote>
  <w:endnote w:type="continuationNotice" w:id="1">
    <w:p w14:paraId="0399FE16" w14:textId="77777777" w:rsidR="008D4E8B" w:rsidRDefault="008D4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54C" w14:textId="77777777" w:rsidR="00714B31" w:rsidRPr="00714B31" w:rsidRDefault="00714B31" w:rsidP="0071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8D8C" w14:textId="2872C49B" w:rsidR="00862563" w:rsidRPr="00714B31" w:rsidRDefault="00714B31" w:rsidP="00714B31">
    <w:pPr>
      <w:pStyle w:val="FooterCoverPage"/>
      <w:rPr>
        <w:rFonts w:ascii="Arial" w:hAnsi="Arial" w:cs="Arial"/>
        <w:b/>
        <w:sz w:val="48"/>
      </w:rPr>
    </w:pPr>
    <w:r w:rsidRPr="00714B31">
      <w:rPr>
        <w:rFonts w:ascii="Arial" w:hAnsi="Arial" w:cs="Arial"/>
        <w:b/>
        <w:sz w:val="48"/>
      </w:rPr>
      <w:t>EN</w:t>
    </w:r>
    <w:r w:rsidRPr="00714B31">
      <w:rPr>
        <w:rFonts w:ascii="Arial" w:hAnsi="Arial" w:cs="Arial"/>
        <w:b/>
        <w:sz w:val="48"/>
      </w:rPr>
      <w:tab/>
    </w:r>
    <w:r w:rsidRPr="00714B31">
      <w:rPr>
        <w:rFonts w:ascii="Arial" w:hAnsi="Arial" w:cs="Arial"/>
        <w:b/>
        <w:sz w:val="48"/>
      </w:rPr>
      <w:tab/>
    </w:r>
    <w:r w:rsidRPr="00714B31">
      <w:tab/>
    </w:r>
    <w:r w:rsidRPr="00714B3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F23A" w14:textId="77777777" w:rsidR="00714B31" w:rsidRPr="00714B31" w:rsidRDefault="00714B31" w:rsidP="00714B3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1A52" w14:textId="77777777" w:rsidR="00E8409E" w:rsidRDefault="00E8409E">
    <w:pPr>
      <w:pStyle w:val="FooterLine"/>
      <w:jc w:val="center"/>
    </w:pPr>
    <w:r>
      <w:fldChar w:fldCharType="begin"/>
    </w:r>
    <w:r>
      <w:instrText>PAGE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78AA" w14:textId="3D8C05FC" w:rsidR="00E8409E" w:rsidRDefault="00E8409E">
    <w:pPr>
      <w:pStyle w:val="FooterLine"/>
      <w:jc w:val="center"/>
    </w:pPr>
    <w:r>
      <w:fldChar w:fldCharType="begin"/>
    </w:r>
    <w:r>
      <w:instrText>PAGE   \* MERGEFORMAT</w:instrText>
    </w:r>
    <w:r>
      <w:fldChar w:fldCharType="separate"/>
    </w:r>
    <w:r w:rsidR="00714B31">
      <w:rPr>
        <w:noProof/>
      </w:rP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476237"/>
      <w:docPartObj>
        <w:docPartGallery w:val="Page Numbers (Bottom of Page)"/>
        <w:docPartUnique/>
      </w:docPartObj>
    </w:sdtPr>
    <w:sdtEndPr>
      <w:rPr>
        <w:noProof/>
      </w:rPr>
    </w:sdtEndPr>
    <w:sdtContent>
      <w:p w14:paraId="5255EC30" w14:textId="0DF8A013" w:rsidR="00E8409E" w:rsidRDefault="00E8409E">
        <w:pPr>
          <w:pStyle w:val="Footer"/>
          <w:jc w:val="center"/>
        </w:pPr>
        <w:r>
          <w:fldChar w:fldCharType="begin"/>
        </w:r>
        <w:r>
          <w:instrText xml:space="preserve"> PAGE   \* MERGEFORMAT </w:instrText>
        </w:r>
        <w:r>
          <w:fldChar w:fldCharType="separate"/>
        </w:r>
        <w:r w:rsidR="00714B31">
          <w:rPr>
            <w:noProof/>
          </w:rPr>
          <w:t>1</w:t>
        </w:r>
        <w:r>
          <w:rPr>
            <w:noProof/>
          </w:rPr>
          <w:fldChar w:fldCharType="end"/>
        </w:r>
      </w:p>
    </w:sdtContent>
  </w:sdt>
  <w:p w14:paraId="4552C82D" w14:textId="77777777" w:rsidR="00E8409E" w:rsidRDefault="00E8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FB7FE" w14:textId="77777777" w:rsidR="008D4E8B" w:rsidRDefault="008D4E8B">
      <w:pPr>
        <w:spacing w:after="0"/>
      </w:pPr>
      <w:r>
        <w:separator/>
      </w:r>
    </w:p>
  </w:footnote>
  <w:footnote w:type="continuationSeparator" w:id="0">
    <w:p w14:paraId="2FDC8548" w14:textId="77777777" w:rsidR="008D4E8B" w:rsidRDefault="008D4E8B">
      <w:pPr>
        <w:spacing w:after="0"/>
      </w:pPr>
      <w:r>
        <w:continuationSeparator/>
      </w:r>
    </w:p>
  </w:footnote>
  <w:footnote w:type="continuationNotice" w:id="1">
    <w:p w14:paraId="0DAD81B9" w14:textId="77777777" w:rsidR="008D4E8B" w:rsidRDefault="008D4E8B">
      <w:pPr>
        <w:spacing w:after="0"/>
      </w:pPr>
    </w:p>
  </w:footnote>
  <w:footnote w:id="2">
    <w:p w14:paraId="17935A6C" w14:textId="77777777" w:rsidR="00E8409E" w:rsidRPr="00B8047B" w:rsidRDefault="00E8409E">
      <w:pPr>
        <w:pStyle w:val="FootnoteText"/>
      </w:pPr>
      <w:r>
        <w:rPr>
          <w:rStyle w:val="FootnoteReference"/>
        </w:rPr>
        <w:footnoteRef/>
      </w:r>
      <w:r>
        <w:t xml:space="preserve"> </w:t>
      </w:r>
      <w:r>
        <w:tab/>
      </w:r>
      <w:r w:rsidRPr="00B8047B">
        <w:t>Regulation (EU, Euratom) 2020/2223 of the European Parliament and of the Council of 23 December 2020 amending Regulation (EU, Euratom) No 883/2013, as regards cooperation with the European Public Prosecutor’s Office and the effectiveness of the European Anti-Fraud Office investigations</w:t>
      </w:r>
      <w:r>
        <w:t>,</w:t>
      </w:r>
      <w:r w:rsidRPr="000C588C">
        <w:t xml:space="preserve"> </w:t>
      </w:r>
      <w:r w:rsidRPr="000C588C">
        <w:rPr>
          <w:rStyle w:val="Emphasis"/>
          <w:i w:val="0"/>
        </w:rPr>
        <w:t>OJ L 437</w:t>
      </w:r>
      <w:r>
        <w:rPr>
          <w:rStyle w:val="Emphasis"/>
          <w:i w:val="0"/>
        </w:rPr>
        <w:t xml:space="preserve"> of </w:t>
      </w:r>
      <w:r w:rsidRPr="000C588C">
        <w:rPr>
          <w:rStyle w:val="Emphasis"/>
          <w:i w:val="0"/>
        </w:rPr>
        <w:t>28</w:t>
      </w:r>
      <w:r>
        <w:rPr>
          <w:rStyle w:val="Emphasis"/>
          <w:i w:val="0"/>
        </w:rPr>
        <w:t xml:space="preserve"> December </w:t>
      </w:r>
      <w:r w:rsidRPr="000C588C">
        <w:rPr>
          <w:rStyle w:val="Emphasis"/>
          <w:i w:val="0"/>
        </w:rPr>
        <w:t>2020</w:t>
      </w:r>
      <w:r>
        <w:rPr>
          <w:rStyle w:val="Emphasis"/>
          <w:i w:val="0"/>
        </w:rPr>
        <w:t>.</w:t>
      </w:r>
    </w:p>
  </w:footnote>
  <w:footnote w:id="3">
    <w:p w14:paraId="0B00A918" w14:textId="77777777" w:rsidR="00E8409E" w:rsidRPr="00B8047B" w:rsidRDefault="00E8409E">
      <w:pPr>
        <w:pStyle w:val="FootnoteText"/>
      </w:pPr>
      <w:r>
        <w:rPr>
          <w:rStyle w:val="FootnoteReference"/>
        </w:rPr>
        <w:footnoteRef/>
      </w:r>
      <w:r>
        <w:t xml:space="preserve"> </w:t>
      </w:r>
      <w:r>
        <w:tab/>
      </w:r>
      <w:r w:rsidRPr="00B8047B">
        <w:t>Directive (EU) 2017/1371 of the European Parliament and of the Council of 5 July 2017 on the fight against fraud to the Union's financial interests by means of criminal law</w:t>
      </w:r>
      <w:r>
        <w:t xml:space="preserve">, </w:t>
      </w:r>
      <w:r w:rsidRPr="00B8047B">
        <w:t>OJ L 198</w:t>
      </w:r>
      <w:r>
        <w:t xml:space="preserve"> of </w:t>
      </w:r>
      <w:r w:rsidRPr="00B8047B">
        <w:t>28</w:t>
      </w:r>
      <w:r>
        <w:t xml:space="preserve"> July </w:t>
      </w:r>
      <w:r w:rsidRPr="00B8047B">
        <w:t>2017</w:t>
      </w:r>
      <w:r>
        <w:t>.</w:t>
      </w:r>
    </w:p>
  </w:footnote>
  <w:footnote w:id="4">
    <w:p w14:paraId="3363B89D" w14:textId="77777777" w:rsidR="00E8409E" w:rsidRDefault="00E8409E">
      <w:pPr>
        <w:pStyle w:val="FootnoteText"/>
      </w:pPr>
      <w:r>
        <w:rPr>
          <w:rStyle w:val="FootnoteReference"/>
        </w:rPr>
        <w:footnoteRef/>
      </w:r>
      <w:r>
        <w:t xml:space="preserve"> </w:t>
      </w:r>
      <w:r>
        <w:tab/>
      </w:r>
      <w:r w:rsidRPr="007954F0">
        <w:t>Regulation (EU) No 250/2014 of the European Parliament and of the Council of 26 February 2014 establishing a programme to promote activities in the field of the protection of the financial interests of the European Union (Hercule III programme) and repealing Decision No 804/2004/EC, OJ L 84 of 20 March 2014.</w:t>
      </w:r>
    </w:p>
  </w:footnote>
  <w:footnote w:id="5">
    <w:p w14:paraId="13AE3009" w14:textId="77777777" w:rsidR="00E8409E" w:rsidRDefault="00E8409E" w:rsidP="002341CF">
      <w:pPr>
        <w:pStyle w:val="FootnoteText"/>
      </w:pPr>
      <w:r>
        <w:rPr>
          <w:rStyle w:val="FootnoteReference"/>
        </w:rPr>
        <w:footnoteRef/>
      </w:r>
      <w:r>
        <w:t xml:space="preserve"> </w:t>
      </w:r>
      <w:r>
        <w:tab/>
        <w:t xml:space="preserve">Annual reports under Article 325 of the Treaty on the Functioning of the EU on the protection of the Union's financial interests (PIF Reports) are available at: </w:t>
      </w:r>
      <w:hyperlink r:id="rId1" w:history="1">
        <w:r>
          <w:rPr>
            <w:rStyle w:val="Hyperlink"/>
          </w:rPr>
          <w:t>https://ec.europa.eu/anti-fraud/reports_en</w:t>
        </w:r>
      </w:hyperlink>
      <w:r>
        <w:rPr>
          <w:rStyle w:val="Hyperlink"/>
        </w:rPr>
        <w:t>.</w:t>
      </w:r>
    </w:p>
  </w:footnote>
  <w:footnote w:id="6">
    <w:p w14:paraId="1C758A4F" w14:textId="0912E07A" w:rsidR="00E8409E" w:rsidRPr="000B5C10" w:rsidRDefault="00E8409E">
      <w:pPr>
        <w:pStyle w:val="FootnoteText"/>
      </w:pPr>
      <w:r>
        <w:rPr>
          <w:rStyle w:val="FootnoteReference"/>
        </w:rPr>
        <w:footnoteRef/>
      </w:r>
      <w:r>
        <w:t xml:space="preserve"> </w:t>
      </w:r>
      <w:r>
        <w:tab/>
      </w:r>
      <w:r w:rsidRPr="000B5C10">
        <w:t>The study</w:t>
      </w:r>
      <w:r w:rsidR="001C5B45">
        <w:t xml:space="preserve"> by RAMBOLL Management Consult</w:t>
      </w:r>
      <w:r w:rsidR="00EF6EF6">
        <w:t>ing</w:t>
      </w:r>
      <w:r w:rsidRPr="000B5C10">
        <w:t xml:space="preserve"> is available at </w:t>
      </w:r>
      <w:hyperlink r:id="rId2" w:history="1">
        <w:r w:rsidR="009030EB">
          <w:rPr>
            <w:rStyle w:val="Hyperlink"/>
            <w:lang w:val="en-IE"/>
          </w:rPr>
          <w:t>https://data.europa.eu/doi/10.2784/62582</w:t>
        </w:r>
      </w:hyperlink>
      <w:r>
        <w:t>.</w:t>
      </w:r>
    </w:p>
  </w:footnote>
  <w:footnote w:id="7">
    <w:p w14:paraId="6447C5A6" w14:textId="77777777" w:rsidR="00E8409E" w:rsidRPr="00F03D88" w:rsidRDefault="00E8409E">
      <w:pPr>
        <w:pStyle w:val="FootnoteText"/>
      </w:pPr>
      <w:r>
        <w:rPr>
          <w:rStyle w:val="FootnoteReference"/>
        </w:rPr>
        <w:footnoteRef/>
      </w:r>
      <w:r>
        <w:t xml:space="preserve"> </w:t>
      </w:r>
      <w:r>
        <w:tab/>
      </w:r>
      <w:r w:rsidRPr="00F03D88">
        <w:t>Report from the Commission to the European Parliament and the Council COM(2018)</w:t>
      </w:r>
      <w:r>
        <w:t xml:space="preserve"> </w:t>
      </w:r>
      <w:r w:rsidRPr="00F03D88">
        <w:t>3 final - Mid-Term evaluation of the Regulation (EU) No 250/2014 of the European Parliament and of the Council of 26 February 2014 establishing a programme to promote activities in the field of the protection of the financial interests of the European Union (Hercule III programme) and repe</w:t>
      </w:r>
      <w:r>
        <w:t>aling Decision No 804/2004/EC</w:t>
      </w:r>
      <w:r w:rsidRPr="00F03D88">
        <w:t>, 10.1.2018.</w:t>
      </w:r>
    </w:p>
  </w:footnote>
  <w:footnote w:id="8">
    <w:p w14:paraId="3076600D" w14:textId="77777777" w:rsidR="00E8409E" w:rsidRPr="00F03D88" w:rsidRDefault="00E8409E">
      <w:pPr>
        <w:pStyle w:val="FootnoteText"/>
      </w:pPr>
      <w:r>
        <w:rPr>
          <w:rStyle w:val="FootnoteReference"/>
        </w:rPr>
        <w:footnoteRef/>
      </w:r>
      <w:r>
        <w:t xml:space="preserve"> </w:t>
      </w:r>
      <w:r>
        <w:tab/>
      </w:r>
      <w:r w:rsidRPr="00F03D88">
        <w:t>Commission Implementing Decision COM(2021)</w:t>
      </w:r>
      <w:r>
        <w:t xml:space="preserve"> </w:t>
      </w:r>
      <w:r w:rsidRPr="00F03D88">
        <w:t xml:space="preserve">5338 final of 23.7.2021 on the financing of the Union Anti-Fraud Programme and the adoption of the </w:t>
      </w:r>
      <w:r>
        <w:t>work programme for 2021</w:t>
      </w:r>
      <w:r w:rsidRPr="00F03D88">
        <w:t>, 23.7.2021.</w:t>
      </w:r>
    </w:p>
  </w:footnote>
  <w:footnote w:id="9">
    <w:p w14:paraId="484F9808" w14:textId="77777777" w:rsidR="00E8409E" w:rsidRPr="00F03D88" w:rsidRDefault="00E8409E">
      <w:pPr>
        <w:pStyle w:val="FootnoteText"/>
      </w:pPr>
      <w:r>
        <w:rPr>
          <w:rStyle w:val="FootnoteReference"/>
        </w:rPr>
        <w:footnoteRef/>
      </w:r>
      <w:r>
        <w:t xml:space="preserve"> </w:t>
      </w:r>
      <w:r>
        <w:tab/>
      </w:r>
      <w:r w:rsidRPr="00F03D88">
        <w:t>Regulation (EU) 2021/1077 of the European Parliament and of the Council of 24 June 2021</w:t>
      </w:r>
      <w:r>
        <w:t xml:space="preserve"> </w:t>
      </w:r>
      <w:r w:rsidRPr="00F03D88">
        <w:t>establishing, as part of the Integrated Border Management Fund, the instrument for financial support for customs control equipment, OJ L 234, 2 July 2021, p.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CAA5" w14:textId="77777777" w:rsidR="00714B31" w:rsidRPr="00714B31" w:rsidRDefault="00714B31" w:rsidP="0071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0A70" w14:textId="77777777" w:rsidR="00714B31" w:rsidRPr="00714B31" w:rsidRDefault="00714B31" w:rsidP="00714B3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7539" w14:textId="77777777" w:rsidR="00714B31" w:rsidRPr="00714B31" w:rsidRDefault="00714B31" w:rsidP="00714B3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1A48" w14:textId="77777777" w:rsidR="00E8409E" w:rsidRDefault="00E840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5988" w14:textId="77777777" w:rsidR="00E8409E" w:rsidRDefault="00E840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14F1" w14:textId="77777777" w:rsidR="00E8409E" w:rsidRDefault="00E8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37A"/>
    <w:multiLevelType w:val="hybridMultilevel"/>
    <w:tmpl w:val="D718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5B98"/>
    <w:multiLevelType w:val="hybridMultilevel"/>
    <w:tmpl w:val="5BDEACA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AA64547"/>
    <w:multiLevelType w:val="hybridMultilevel"/>
    <w:tmpl w:val="E8BCFAC0"/>
    <w:lvl w:ilvl="0" w:tplc="B06CA5C2">
      <w:start w:val="1"/>
      <w:numFmt w:val="decimal"/>
      <w:lvlText w:val="(%1)"/>
      <w:lvlJc w:val="left"/>
      <w:pPr>
        <w:ind w:left="1215" w:hanging="375"/>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5252BE"/>
    <w:multiLevelType w:val="hybridMultilevel"/>
    <w:tmpl w:val="FF7E1D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B359F0"/>
    <w:multiLevelType w:val="hybridMultilevel"/>
    <w:tmpl w:val="5066B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1E305683"/>
    <w:multiLevelType w:val="multilevel"/>
    <w:tmpl w:val="EDB264BE"/>
    <w:lvl w:ilvl="0">
      <w:start w:val="1"/>
      <w:numFmt w:val="decimal"/>
      <w:lvlText w:val="%1."/>
      <w:lvlJc w:val="left"/>
      <w:pPr>
        <w:ind w:left="720" w:hanging="360"/>
      </w:pPr>
    </w:lvl>
    <w:lvl w:ilvl="1">
      <w:start w:val="2"/>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3" w15:restartNumberingAfterBreak="0">
    <w:nsid w:val="1F734306"/>
    <w:multiLevelType w:val="multilevel"/>
    <w:tmpl w:val="B26C6B06"/>
    <w:lvl w:ilvl="0">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34170E"/>
    <w:multiLevelType w:val="hybridMultilevel"/>
    <w:tmpl w:val="CE367E00"/>
    <w:lvl w:ilvl="0" w:tplc="D30290B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200225"/>
    <w:multiLevelType w:val="multilevel"/>
    <w:tmpl w:val="ED4E5E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1F71030"/>
    <w:multiLevelType w:val="hybridMultilevel"/>
    <w:tmpl w:val="3968D61A"/>
    <w:lvl w:ilvl="0" w:tplc="64208C7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36B32876"/>
    <w:multiLevelType w:val="hybridMultilevel"/>
    <w:tmpl w:val="77461CC2"/>
    <w:lvl w:ilvl="0" w:tplc="188E5CEE">
      <w:start w:val="1"/>
      <w:numFmt w:val="decimal"/>
      <w:lvlText w:val="%1)"/>
      <w:lvlJc w:val="left"/>
      <w:pPr>
        <w:ind w:left="720" w:hanging="360"/>
      </w:pPr>
      <w:rPr>
        <w:b/>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C072B5F"/>
    <w:multiLevelType w:val="hybridMultilevel"/>
    <w:tmpl w:val="ADFAFC06"/>
    <w:lvl w:ilvl="0" w:tplc="0809000F">
      <w:start w:val="1"/>
      <w:numFmt w:val="decimal"/>
      <w:lvlText w:val="%1."/>
      <w:lvlJc w:val="left"/>
      <w:pPr>
        <w:ind w:left="1202" w:hanging="360"/>
      </w:pPr>
    </w:lvl>
    <w:lvl w:ilvl="1" w:tplc="FBC65CDC">
      <w:start w:val="1"/>
      <w:numFmt w:val="decimal"/>
      <w:lvlText w:val="(%2)"/>
      <w:lvlJc w:val="left"/>
      <w:pPr>
        <w:ind w:left="1922" w:hanging="360"/>
      </w:pPr>
      <w:rPr>
        <w:rFonts w:hint="default"/>
      </w:r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4" w15:restartNumberingAfterBreak="0">
    <w:nsid w:val="3FE44083"/>
    <w:multiLevelType w:val="hybridMultilevel"/>
    <w:tmpl w:val="357AD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147B1"/>
    <w:multiLevelType w:val="hybridMultilevel"/>
    <w:tmpl w:val="AFEEEAD2"/>
    <w:lvl w:ilvl="0" w:tplc="B06CA5C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654A1"/>
    <w:multiLevelType w:val="hybridMultilevel"/>
    <w:tmpl w:val="6450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676E2"/>
    <w:multiLevelType w:val="hybridMultilevel"/>
    <w:tmpl w:val="2B4A2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B66362"/>
    <w:multiLevelType w:val="hybridMultilevel"/>
    <w:tmpl w:val="5386B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A122D2"/>
    <w:multiLevelType w:val="multilevel"/>
    <w:tmpl w:val="1E3EA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0A4ABD"/>
    <w:multiLevelType w:val="hybridMultilevel"/>
    <w:tmpl w:val="162C04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BD15D9"/>
    <w:multiLevelType w:val="hybridMultilevel"/>
    <w:tmpl w:val="D0444876"/>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7C65145E"/>
    <w:multiLevelType w:val="multilevel"/>
    <w:tmpl w:val="67B27BC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A16FD1"/>
    <w:multiLevelType w:val="hybridMultilevel"/>
    <w:tmpl w:val="0C1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22"/>
  </w:num>
  <w:num w:numId="4">
    <w:abstractNumId w:val="15"/>
  </w:num>
  <w:num w:numId="5">
    <w:abstractNumId w:val="8"/>
  </w:num>
  <w:num w:numId="6">
    <w:abstractNumId w:val="7"/>
  </w:num>
  <w:num w:numId="7">
    <w:abstractNumId w:val="30"/>
  </w:num>
  <w:num w:numId="8">
    <w:abstractNumId w:val="21"/>
  </w:num>
  <w:num w:numId="9">
    <w:abstractNumId w:val="11"/>
  </w:num>
  <w:num w:numId="10">
    <w:abstractNumId w:val="19"/>
  </w:num>
  <w:num w:numId="11">
    <w:abstractNumId w:val="2"/>
  </w:num>
  <w:num w:numId="12">
    <w:abstractNumId w:val="6"/>
  </w:num>
  <w:num w:numId="13">
    <w:abstractNumId w:val="26"/>
  </w:num>
  <w:num w:numId="14">
    <w:abstractNumId w:val="9"/>
  </w:num>
  <w:num w:numId="15">
    <w:abstractNumId w:val="4"/>
  </w:num>
  <w:num w:numId="16">
    <w:abstractNumId w:val="31"/>
  </w:num>
  <w:num w:numId="17">
    <w:abstractNumId w:val="16"/>
  </w:num>
  <w:num w:numId="18">
    <w:abstractNumId w:val="33"/>
  </w:num>
  <w:num w:numId="19">
    <w:abstractNumId w:val="36"/>
  </w:num>
  <w:num w:numId="20">
    <w:abstractNumId w:val="36"/>
  </w:num>
  <w:num w:numId="21">
    <w:abstractNumId w:val="36"/>
  </w:num>
  <w:num w:numId="22">
    <w:abstractNumId w:val="36"/>
  </w:num>
  <w:num w:numId="23">
    <w:abstractNumId w:val="17"/>
  </w:num>
  <w:num w:numId="24">
    <w:abstractNumId w:val="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5"/>
  </w:num>
  <w:num w:numId="28">
    <w:abstractNumId w:val="24"/>
  </w:num>
  <w:num w:numId="29">
    <w:abstractNumId w:val="23"/>
  </w:num>
  <w:num w:numId="30">
    <w:abstractNumId w:val="14"/>
  </w:num>
  <w:num w:numId="31">
    <w:abstractNumId w:val="18"/>
  </w:num>
  <w:num w:numId="32">
    <w:abstractNumId w:val="35"/>
  </w:num>
  <w:num w:numId="33">
    <w:abstractNumId w:val="10"/>
  </w:num>
  <w:num w:numId="34">
    <w:abstractNumId w:val="27"/>
  </w:num>
  <w:num w:numId="35">
    <w:abstractNumId w:val="3"/>
  </w:num>
  <w:num w:numId="36">
    <w:abstractNumId w:val="37"/>
  </w:num>
  <w:num w:numId="37">
    <w:abstractNumId w:val="32"/>
  </w:num>
  <w:num w:numId="38">
    <w:abstractNumId w:val="28"/>
  </w:num>
  <w:num w:numId="39">
    <w:abstractNumId w:val="13"/>
  </w:num>
  <w:num w:numId="40">
    <w:abstractNumId w:val="12"/>
  </w:num>
  <w:num w:numId="41">
    <w:abstractNumId w:val="34"/>
  </w:num>
  <w:num w:numId="42">
    <w:abstractNumId w:val="36"/>
  </w:num>
  <w:num w:numId="43">
    <w:abstractNumId w:val="36"/>
  </w:num>
  <w:num w:numId="44">
    <w:abstractNumId w:val="36"/>
  </w:num>
  <w:num w:numId="45">
    <w:abstractNumId w:val="29"/>
  </w:num>
  <w:num w:numId="4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revisionView w:markup="0"/>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6873B9-2A0D-4F10-A2B3-639898B4529D}"/>
    <w:docVar w:name="dgnword-eventsink" w:val="627864512"/>
    <w:docVar w:name="dgnword-lastRevisionsView" w:val="0"/>
    <w:docVar w:name="DocStatus" w:val="Green"/>
    <w:docVar w:name="LW_CORRIGENDUM" w:val="&lt;UNUSED&gt;"/>
    <w:docVar w:name="LW_COVERPAGE_EXISTS" w:val="True"/>
    <w:docVar w:name="LW_COVERPAGE_GUID" w:val="90308A8A-3AB7-4AA3-A58A-FB3F914A2FEB"/>
    <w:docVar w:name="LW_COVERPAGE_TYPE" w:val="1"/>
    <w:docVar w:name="LW_CROSSREFERENCE" w:val="{SWD(2021) 386 final}"/>
    <w:docVar w:name="LW_DocType" w:val="EUROLOOK"/>
    <w:docVar w:name="LW_EMISSION" w:val="16.12.2021"/>
    <w:docVar w:name="LW_EMISSION_ISODATE" w:val="2021-12-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l evaluation of the Regulation (EU) No 250/2014 of the European Parliament and of the Council of 26 February 2014 establishing a programme to promote activities in the field of the protection of the financial interests of the European Union (Hercule III programme) and repealing Decision No 804/2004/EC"/>
    <w:docVar w:name="LW_TYPE.DOC.CP" w:val="REPORT FROM THE COMMISSION TO THE EUROPEAN PARLIAMENT AND THE COUNCIL"/>
    <w:docVar w:name="LwApiVersions" w:val="LW4CoDe 1.23.2.0; LW 8.0, Build 20211117"/>
  </w:docVars>
  <w:rsids>
    <w:rsidRoot w:val="009E7DA1"/>
    <w:rsid w:val="00015C4E"/>
    <w:rsid w:val="0001744A"/>
    <w:rsid w:val="0001745B"/>
    <w:rsid w:val="0002471C"/>
    <w:rsid w:val="00046955"/>
    <w:rsid w:val="0006178E"/>
    <w:rsid w:val="000679E1"/>
    <w:rsid w:val="00080FCD"/>
    <w:rsid w:val="00083DBA"/>
    <w:rsid w:val="00092067"/>
    <w:rsid w:val="000B586D"/>
    <w:rsid w:val="000B5C10"/>
    <w:rsid w:val="000C588C"/>
    <w:rsid w:val="000E37DC"/>
    <w:rsid w:val="00103F5C"/>
    <w:rsid w:val="00111348"/>
    <w:rsid w:val="001250E5"/>
    <w:rsid w:val="00131C2E"/>
    <w:rsid w:val="00153E68"/>
    <w:rsid w:val="001546E9"/>
    <w:rsid w:val="0016205B"/>
    <w:rsid w:val="00163B76"/>
    <w:rsid w:val="0016494B"/>
    <w:rsid w:val="00176C66"/>
    <w:rsid w:val="0018107C"/>
    <w:rsid w:val="00185EC3"/>
    <w:rsid w:val="001B6BBD"/>
    <w:rsid w:val="001C5B45"/>
    <w:rsid w:val="00201E5B"/>
    <w:rsid w:val="00212C69"/>
    <w:rsid w:val="00213CC0"/>
    <w:rsid w:val="002204FD"/>
    <w:rsid w:val="00227D59"/>
    <w:rsid w:val="002341CF"/>
    <w:rsid w:val="00237535"/>
    <w:rsid w:val="00241C88"/>
    <w:rsid w:val="00243327"/>
    <w:rsid w:val="00252105"/>
    <w:rsid w:val="0025473E"/>
    <w:rsid w:val="0025770A"/>
    <w:rsid w:val="002653E6"/>
    <w:rsid w:val="00267EB2"/>
    <w:rsid w:val="002716AF"/>
    <w:rsid w:val="00287ABB"/>
    <w:rsid w:val="002A1B3E"/>
    <w:rsid w:val="002C3E9B"/>
    <w:rsid w:val="002D652D"/>
    <w:rsid w:val="002E33EA"/>
    <w:rsid w:val="002E602B"/>
    <w:rsid w:val="00303529"/>
    <w:rsid w:val="003054A3"/>
    <w:rsid w:val="003220D8"/>
    <w:rsid w:val="0032513E"/>
    <w:rsid w:val="003545E7"/>
    <w:rsid w:val="00357419"/>
    <w:rsid w:val="00377F0C"/>
    <w:rsid w:val="00382FF1"/>
    <w:rsid w:val="00394468"/>
    <w:rsid w:val="003965BD"/>
    <w:rsid w:val="003A3CAD"/>
    <w:rsid w:val="003D4398"/>
    <w:rsid w:val="003D5223"/>
    <w:rsid w:val="003E0233"/>
    <w:rsid w:val="00400160"/>
    <w:rsid w:val="004016D1"/>
    <w:rsid w:val="00402974"/>
    <w:rsid w:val="00413D08"/>
    <w:rsid w:val="00414AF2"/>
    <w:rsid w:val="00415E4E"/>
    <w:rsid w:val="00417F91"/>
    <w:rsid w:val="00423935"/>
    <w:rsid w:val="00463B6B"/>
    <w:rsid w:val="00466557"/>
    <w:rsid w:val="004776BF"/>
    <w:rsid w:val="004804F0"/>
    <w:rsid w:val="00484867"/>
    <w:rsid w:val="004A3B74"/>
    <w:rsid w:val="004C7BF1"/>
    <w:rsid w:val="004D17C7"/>
    <w:rsid w:val="004D2C67"/>
    <w:rsid w:val="004E5338"/>
    <w:rsid w:val="004E7D1E"/>
    <w:rsid w:val="004F0793"/>
    <w:rsid w:val="004F2372"/>
    <w:rsid w:val="004F3E51"/>
    <w:rsid w:val="005034F2"/>
    <w:rsid w:val="00546824"/>
    <w:rsid w:val="00552B14"/>
    <w:rsid w:val="00574C27"/>
    <w:rsid w:val="0057532C"/>
    <w:rsid w:val="005853C5"/>
    <w:rsid w:val="00585EDA"/>
    <w:rsid w:val="005E3776"/>
    <w:rsid w:val="006016B4"/>
    <w:rsid w:val="00610766"/>
    <w:rsid w:val="00612E10"/>
    <w:rsid w:val="00617D39"/>
    <w:rsid w:val="006325FB"/>
    <w:rsid w:val="00643BC4"/>
    <w:rsid w:val="00654199"/>
    <w:rsid w:val="006553B1"/>
    <w:rsid w:val="00657604"/>
    <w:rsid w:val="0066781C"/>
    <w:rsid w:val="006716DB"/>
    <w:rsid w:val="00671AF9"/>
    <w:rsid w:val="00682F41"/>
    <w:rsid w:val="006905F3"/>
    <w:rsid w:val="00691A59"/>
    <w:rsid w:val="006961A4"/>
    <w:rsid w:val="006A6CD8"/>
    <w:rsid w:val="006A7E01"/>
    <w:rsid w:val="006B11B4"/>
    <w:rsid w:val="006C24AE"/>
    <w:rsid w:val="006C53FA"/>
    <w:rsid w:val="006C679C"/>
    <w:rsid w:val="006D3311"/>
    <w:rsid w:val="006D3EB5"/>
    <w:rsid w:val="006D5E68"/>
    <w:rsid w:val="006E481C"/>
    <w:rsid w:val="007002FE"/>
    <w:rsid w:val="007022A8"/>
    <w:rsid w:val="00714B31"/>
    <w:rsid w:val="007248ED"/>
    <w:rsid w:val="00744364"/>
    <w:rsid w:val="00744BD4"/>
    <w:rsid w:val="007515A0"/>
    <w:rsid w:val="007648FC"/>
    <w:rsid w:val="0076580C"/>
    <w:rsid w:val="00766FE8"/>
    <w:rsid w:val="0077676A"/>
    <w:rsid w:val="007954F0"/>
    <w:rsid w:val="007C5136"/>
    <w:rsid w:val="007C79F1"/>
    <w:rsid w:val="007E6257"/>
    <w:rsid w:val="00806423"/>
    <w:rsid w:val="008128AD"/>
    <w:rsid w:val="0083282C"/>
    <w:rsid w:val="008405F8"/>
    <w:rsid w:val="00842F00"/>
    <w:rsid w:val="00855976"/>
    <w:rsid w:val="00862563"/>
    <w:rsid w:val="00872555"/>
    <w:rsid w:val="00875E3A"/>
    <w:rsid w:val="0088308D"/>
    <w:rsid w:val="008A0CCD"/>
    <w:rsid w:val="008A1DD2"/>
    <w:rsid w:val="008B43B5"/>
    <w:rsid w:val="008D1694"/>
    <w:rsid w:val="008D1FE1"/>
    <w:rsid w:val="008D4E8B"/>
    <w:rsid w:val="008E5124"/>
    <w:rsid w:val="008E7EB8"/>
    <w:rsid w:val="008F21CC"/>
    <w:rsid w:val="009023FE"/>
    <w:rsid w:val="009030EB"/>
    <w:rsid w:val="00916BD0"/>
    <w:rsid w:val="009216E2"/>
    <w:rsid w:val="0092650C"/>
    <w:rsid w:val="00954B87"/>
    <w:rsid w:val="0096798B"/>
    <w:rsid w:val="009A1439"/>
    <w:rsid w:val="009A7ACE"/>
    <w:rsid w:val="009B127C"/>
    <w:rsid w:val="009B66D6"/>
    <w:rsid w:val="009B7398"/>
    <w:rsid w:val="009C6237"/>
    <w:rsid w:val="009D37EF"/>
    <w:rsid w:val="009E7DA1"/>
    <w:rsid w:val="00A124AF"/>
    <w:rsid w:val="00A30749"/>
    <w:rsid w:val="00A41062"/>
    <w:rsid w:val="00A50D1E"/>
    <w:rsid w:val="00A54717"/>
    <w:rsid w:val="00A55C3F"/>
    <w:rsid w:val="00A6463E"/>
    <w:rsid w:val="00A70FA9"/>
    <w:rsid w:val="00A86017"/>
    <w:rsid w:val="00A906DE"/>
    <w:rsid w:val="00A90985"/>
    <w:rsid w:val="00AA197D"/>
    <w:rsid w:val="00AB5EB4"/>
    <w:rsid w:val="00AC62B2"/>
    <w:rsid w:val="00AD40A1"/>
    <w:rsid w:val="00AE13A0"/>
    <w:rsid w:val="00B005B8"/>
    <w:rsid w:val="00B02919"/>
    <w:rsid w:val="00B07258"/>
    <w:rsid w:val="00B173AF"/>
    <w:rsid w:val="00B22099"/>
    <w:rsid w:val="00B36FAA"/>
    <w:rsid w:val="00B61704"/>
    <w:rsid w:val="00B668C0"/>
    <w:rsid w:val="00B671C5"/>
    <w:rsid w:val="00B77F28"/>
    <w:rsid w:val="00B8047B"/>
    <w:rsid w:val="00B81D48"/>
    <w:rsid w:val="00B83DA3"/>
    <w:rsid w:val="00BA0080"/>
    <w:rsid w:val="00BA0A65"/>
    <w:rsid w:val="00BB5BA1"/>
    <w:rsid w:val="00BC0D14"/>
    <w:rsid w:val="00BE1384"/>
    <w:rsid w:val="00BF1C58"/>
    <w:rsid w:val="00BF25C4"/>
    <w:rsid w:val="00C20577"/>
    <w:rsid w:val="00C31D57"/>
    <w:rsid w:val="00C336F3"/>
    <w:rsid w:val="00C354CD"/>
    <w:rsid w:val="00C472F3"/>
    <w:rsid w:val="00C50608"/>
    <w:rsid w:val="00C51838"/>
    <w:rsid w:val="00C60175"/>
    <w:rsid w:val="00CC5176"/>
    <w:rsid w:val="00CC5979"/>
    <w:rsid w:val="00CD1187"/>
    <w:rsid w:val="00CD5E2F"/>
    <w:rsid w:val="00CE03E1"/>
    <w:rsid w:val="00CE6570"/>
    <w:rsid w:val="00CE7A12"/>
    <w:rsid w:val="00D012BE"/>
    <w:rsid w:val="00D035C0"/>
    <w:rsid w:val="00D106CF"/>
    <w:rsid w:val="00D15809"/>
    <w:rsid w:val="00D30A56"/>
    <w:rsid w:val="00D40F0F"/>
    <w:rsid w:val="00D572EB"/>
    <w:rsid w:val="00D91C0C"/>
    <w:rsid w:val="00DA21E6"/>
    <w:rsid w:val="00DA2C54"/>
    <w:rsid w:val="00DC30B3"/>
    <w:rsid w:val="00DC5077"/>
    <w:rsid w:val="00DD2588"/>
    <w:rsid w:val="00DF6117"/>
    <w:rsid w:val="00E077F1"/>
    <w:rsid w:val="00E1351A"/>
    <w:rsid w:val="00E23E1C"/>
    <w:rsid w:val="00E34EBD"/>
    <w:rsid w:val="00E37904"/>
    <w:rsid w:val="00E44F3D"/>
    <w:rsid w:val="00E631A6"/>
    <w:rsid w:val="00E75058"/>
    <w:rsid w:val="00E83B32"/>
    <w:rsid w:val="00E8409E"/>
    <w:rsid w:val="00EB75CC"/>
    <w:rsid w:val="00EC13AA"/>
    <w:rsid w:val="00EC4D4C"/>
    <w:rsid w:val="00ED498F"/>
    <w:rsid w:val="00EE0038"/>
    <w:rsid w:val="00EF6EF6"/>
    <w:rsid w:val="00F03D88"/>
    <w:rsid w:val="00F10439"/>
    <w:rsid w:val="00F11969"/>
    <w:rsid w:val="00F23969"/>
    <w:rsid w:val="00F4033D"/>
    <w:rsid w:val="00F40761"/>
    <w:rsid w:val="00F40EAD"/>
    <w:rsid w:val="00F62184"/>
    <w:rsid w:val="00F90FCB"/>
    <w:rsid w:val="00FA6E84"/>
    <w:rsid w:val="00FB23CB"/>
    <w:rsid w:val="00FC2190"/>
    <w:rsid w:val="00FF68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8E42DA"/>
  <w15:docId w15:val="{7C1A6D0E-FC58-4C55-BEA0-E313F29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99"/>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uiPriority w:val="99"/>
    <w:qFormat/>
    <w:pPr>
      <w:keepNext w:val="0"/>
      <w:outlineLvl w:val="9"/>
    </w:pPr>
    <w:rPr>
      <w:b w:val="0"/>
    </w:rPr>
  </w:style>
  <w:style w:type="paragraph" w:customStyle="1" w:styleId="NumPar3">
    <w:name w:val="NumPar 3"/>
    <w:basedOn w:val="Heading3"/>
    <w:uiPriority w:val="99"/>
    <w:qFormat/>
    <w:pPr>
      <w:keepNext w:val="0"/>
      <w:outlineLvl w:val="9"/>
    </w:pPr>
    <w:rPr>
      <w:i w:val="0"/>
    </w:rPr>
  </w:style>
  <w:style w:type="paragraph" w:customStyle="1" w:styleId="NumPar4">
    <w:name w:val="NumPar 4"/>
    <w:basedOn w:val="Heading4"/>
    <w:uiPriority w:val="99"/>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bidi="ar-SA"/>
    </w:rPr>
  </w:style>
  <w:style w:type="character" w:customStyle="1" w:styleId="FooterCoverPageChar">
    <w:name w:val="Footer Cover Page Char"/>
    <w:basedOn w:val="Heading1Char"/>
    <w:link w:val="FooterCoverPage"/>
    <w:rPr>
      <w:b w:val="0"/>
      <w:smallCaps w:val="0"/>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bidi="ar-SA"/>
    </w:r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lang w:bidi="ar-SA"/>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Hyperlink1">
    <w:name w:val="Hyperlink1"/>
    <w:basedOn w:val="Normal"/>
    <w:pPr>
      <w:spacing w:before="100" w:beforeAutospacing="1" w:after="100" w:afterAutospacing="1"/>
      <w:jc w:val="left"/>
    </w:pPr>
    <w:rPr>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99"/>
    <w:qFormat/>
    <w:locked/>
    <w:rPr>
      <w:sz w:val="24"/>
      <w:lang w:bidi="ar-SA"/>
    </w:rPr>
  </w:style>
  <w:style w:type="table" w:styleId="TableGrid">
    <w:name w:val="Table Grid"/>
    <w:aliases w:val="Document Table,CV1,Gena,Tabellengitternetz"/>
    <w:basedOn w:val="TableNormal"/>
    <w:uiPriority w:val="5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
    <w:uiPriority w:val="99"/>
    <w:unhideWhenUsed/>
    <w:qFormat/>
    <w:rPr>
      <w:vertAlign w:val="superscript"/>
    </w:rPr>
  </w:style>
  <w:style w:type="paragraph" w:customStyle="1" w:styleId="SecurityMarking">
    <w:name w:val="SecurityMarking"/>
    <w:basedOn w:val="Normal"/>
    <w:rsid w:val="00357419"/>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357419"/>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357419"/>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rsid w:val="00357419"/>
    <w:pPr>
      <w:spacing w:after="120"/>
      <w:jc w:val="right"/>
    </w:pPr>
    <w:rPr>
      <w:sz w:val="28"/>
    </w:rPr>
  </w:style>
  <w:style w:type="paragraph" w:customStyle="1" w:styleId="Default">
    <w:name w:val="Default"/>
    <w:rsid w:val="002341CF"/>
    <w:pPr>
      <w:autoSpaceDE w:val="0"/>
      <w:autoSpaceDN w:val="0"/>
      <w:adjustRightInd w:val="0"/>
      <w:jc w:val="both"/>
    </w:pPr>
    <w:rPr>
      <w:rFonts w:ascii="Arial" w:eastAsiaTheme="minorHAnsi" w:hAnsi="Arial" w:cs="Arial"/>
      <w:color w:val="000000"/>
      <w:sz w:val="24"/>
      <w:szCs w:val="24"/>
      <w:lang w:eastAsia="en-US" w:bidi="ar-SA"/>
    </w:rPr>
  </w:style>
  <w:style w:type="paragraph" w:customStyle="1" w:styleId="SUPERSChar">
    <w:name w:val="SUPERS Char"/>
    <w:aliases w:val="EN Footnote Reference Char"/>
    <w:basedOn w:val="Normal"/>
    <w:link w:val="FootnoteReference"/>
    <w:uiPriority w:val="99"/>
    <w:rsid w:val="002341CF"/>
    <w:pPr>
      <w:widowControl w:val="0"/>
      <w:adjustRightInd w:val="0"/>
      <w:spacing w:after="160" w:line="240" w:lineRule="exact"/>
      <w:textAlignment w:val="baseline"/>
    </w:pPr>
    <w:rPr>
      <w:sz w:val="20"/>
      <w:vertAlign w:val="superscript"/>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0957">
      <w:bodyDiv w:val="1"/>
      <w:marLeft w:val="0"/>
      <w:marRight w:val="0"/>
      <w:marTop w:val="0"/>
      <w:marBottom w:val="0"/>
      <w:divBdr>
        <w:top w:val="none" w:sz="0" w:space="0" w:color="auto"/>
        <w:left w:val="none" w:sz="0" w:space="0" w:color="auto"/>
        <w:bottom w:val="none" w:sz="0" w:space="0" w:color="auto"/>
        <w:right w:val="none" w:sz="0" w:space="0" w:color="auto"/>
      </w:divBdr>
    </w:div>
    <w:div w:id="295643350">
      <w:bodyDiv w:val="1"/>
      <w:marLeft w:val="0"/>
      <w:marRight w:val="0"/>
      <w:marTop w:val="0"/>
      <w:marBottom w:val="0"/>
      <w:divBdr>
        <w:top w:val="none" w:sz="0" w:space="0" w:color="auto"/>
        <w:left w:val="none" w:sz="0" w:space="0" w:color="auto"/>
        <w:bottom w:val="none" w:sz="0" w:space="0" w:color="auto"/>
        <w:right w:val="none" w:sz="0" w:space="0" w:color="auto"/>
      </w:divBdr>
      <w:divsChild>
        <w:div w:id="28920184">
          <w:marLeft w:val="0"/>
          <w:marRight w:val="0"/>
          <w:marTop w:val="0"/>
          <w:marBottom w:val="0"/>
          <w:divBdr>
            <w:top w:val="none" w:sz="0" w:space="0" w:color="auto"/>
            <w:left w:val="none" w:sz="0" w:space="0" w:color="auto"/>
            <w:bottom w:val="none" w:sz="0" w:space="0" w:color="auto"/>
            <w:right w:val="none" w:sz="0" w:space="0" w:color="auto"/>
          </w:divBdr>
        </w:div>
        <w:div w:id="210923017">
          <w:marLeft w:val="0"/>
          <w:marRight w:val="0"/>
          <w:marTop w:val="0"/>
          <w:marBottom w:val="0"/>
          <w:divBdr>
            <w:top w:val="none" w:sz="0" w:space="0" w:color="auto"/>
            <w:left w:val="none" w:sz="0" w:space="0" w:color="auto"/>
            <w:bottom w:val="none" w:sz="0" w:space="0" w:color="auto"/>
            <w:right w:val="none" w:sz="0" w:space="0" w:color="auto"/>
          </w:divBdr>
        </w:div>
        <w:div w:id="957569478">
          <w:marLeft w:val="0"/>
          <w:marRight w:val="0"/>
          <w:marTop w:val="0"/>
          <w:marBottom w:val="0"/>
          <w:divBdr>
            <w:top w:val="none" w:sz="0" w:space="0" w:color="auto"/>
            <w:left w:val="none" w:sz="0" w:space="0" w:color="auto"/>
            <w:bottom w:val="none" w:sz="0" w:space="0" w:color="auto"/>
            <w:right w:val="none" w:sz="0" w:space="0" w:color="auto"/>
          </w:divBdr>
        </w:div>
        <w:div w:id="1655143573">
          <w:marLeft w:val="0"/>
          <w:marRight w:val="0"/>
          <w:marTop w:val="0"/>
          <w:marBottom w:val="0"/>
          <w:divBdr>
            <w:top w:val="none" w:sz="0" w:space="0" w:color="auto"/>
            <w:left w:val="none" w:sz="0" w:space="0" w:color="auto"/>
            <w:bottom w:val="none" w:sz="0" w:space="0" w:color="auto"/>
            <w:right w:val="none" w:sz="0" w:space="0" w:color="auto"/>
          </w:divBdr>
        </w:div>
        <w:div w:id="1755589930">
          <w:marLeft w:val="0"/>
          <w:marRight w:val="0"/>
          <w:marTop w:val="0"/>
          <w:marBottom w:val="0"/>
          <w:divBdr>
            <w:top w:val="none" w:sz="0" w:space="0" w:color="auto"/>
            <w:left w:val="none" w:sz="0" w:space="0" w:color="auto"/>
            <w:bottom w:val="none" w:sz="0" w:space="0" w:color="auto"/>
            <w:right w:val="none" w:sz="0" w:space="0" w:color="auto"/>
          </w:divBdr>
        </w:div>
      </w:divsChild>
    </w:div>
    <w:div w:id="429861855">
      <w:bodyDiv w:val="1"/>
      <w:marLeft w:val="0"/>
      <w:marRight w:val="0"/>
      <w:marTop w:val="0"/>
      <w:marBottom w:val="0"/>
      <w:divBdr>
        <w:top w:val="none" w:sz="0" w:space="0" w:color="auto"/>
        <w:left w:val="none" w:sz="0" w:space="0" w:color="auto"/>
        <w:bottom w:val="none" w:sz="0" w:space="0" w:color="auto"/>
        <w:right w:val="none" w:sz="0" w:space="0" w:color="auto"/>
      </w:divBdr>
    </w:div>
    <w:div w:id="599023146">
      <w:bodyDiv w:val="1"/>
      <w:marLeft w:val="0"/>
      <w:marRight w:val="0"/>
      <w:marTop w:val="0"/>
      <w:marBottom w:val="0"/>
      <w:divBdr>
        <w:top w:val="none" w:sz="0" w:space="0" w:color="auto"/>
        <w:left w:val="none" w:sz="0" w:space="0" w:color="auto"/>
        <w:bottom w:val="none" w:sz="0" w:space="0" w:color="auto"/>
        <w:right w:val="none" w:sz="0" w:space="0" w:color="auto"/>
      </w:divBdr>
    </w:div>
    <w:div w:id="683942521">
      <w:bodyDiv w:val="1"/>
      <w:marLeft w:val="0"/>
      <w:marRight w:val="0"/>
      <w:marTop w:val="0"/>
      <w:marBottom w:val="0"/>
      <w:divBdr>
        <w:top w:val="none" w:sz="0" w:space="0" w:color="auto"/>
        <w:left w:val="none" w:sz="0" w:space="0" w:color="auto"/>
        <w:bottom w:val="none" w:sz="0" w:space="0" w:color="auto"/>
        <w:right w:val="none" w:sz="0" w:space="0" w:color="auto"/>
      </w:divBdr>
    </w:div>
    <w:div w:id="845484269">
      <w:bodyDiv w:val="1"/>
      <w:marLeft w:val="0"/>
      <w:marRight w:val="0"/>
      <w:marTop w:val="0"/>
      <w:marBottom w:val="0"/>
      <w:divBdr>
        <w:top w:val="none" w:sz="0" w:space="0" w:color="auto"/>
        <w:left w:val="none" w:sz="0" w:space="0" w:color="auto"/>
        <w:bottom w:val="none" w:sz="0" w:space="0" w:color="auto"/>
        <w:right w:val="none" w:sz="0" w:space="0" w:color="auto"/>
      </w:divBdr>
    </w:div>
    <w:div w:id="940574702">
      <w:bodyDiv w:val="1"/>
      <w:marLeft w:val="0"/>
      <w:marRight w:val="0"/>
      <w:marTop w:val="0"/>
      <w:marBottom w:val="0"/>
      <w:divBdr>
        <w:top w:val="none" w:sz="0" w:space="0" w:color="auto"/>
        <w:left w:val="none" w:sz="0" w:space="0" w:color="auto"/>
        <w:bottom w:val="none" w:sz="0" w:space="0" w:color="auto"/>
        <w:right w:val="none" w:sz="0" w:space="0" w:color="auto"/>
      </w:divBdr>
      <w:divsChild>
        <w:div w:id="558832263">
          <w:marLeft w:val="0"/>
          <w:marRight w:val="0"/>
          <w:marTop w:val="0"/>
          <w:marBottom w:val="0"/>
          <w:divBdr>
            <w:top w:val="none" w:sz="0" w:space="0" w:color="auto"/>
            <w:left w:val="none" w:sz="0" w:space="0" w:color="auto"/>
            <w:bottom w:val="none" w:sz="0" w:space="0" w:color="auto"/>
            <w:right w:val="none" w:sz="0" w:space="0" w:color="auto"/>
          </w:divBdr>
        </w:div>
        <w:div w:id="1232035111">
          <w:marLeft w:val="0"/>
          <w:marRight w:val="0"/>
          <w:marTop w:val="0"/>
          <w:marBottom w:val="0"/>
          <w:divBdr>
            <w:top w:val="none" w:sz="0" w:space="0" w:color="auto"/>
            <w:left w:val="none" w:sz="0" w:space="0" w:color="auto"/>
            <w:bottom w:val="none" w:sz="0" w:space="0" w:color="auto"/>
            <w:right w:val="none" w:sz="0" w:space="0" w:color="auto"/>
          </w:divBdr>
        </w:div>
        <w:div w:id="1737123179">
          <w:marLeft w:val="0"/>
          <w:marRight w:val="0"/>
          <w:marTop w:val="0"/>
          <w:marBottom w:val="0"/>
          <w:divBdr>
            <w:top w:val="none" w:sz="0" w:space="0" w:color="auto"/>
            <w:left w:val="none" w:sz="0" w:space="0" w:color="auto"/>
            <w:bottom w:val="none" w:sz="0" w:space="0" w:color="auto"/>
            <w:right w:val="none" w:sz="0" w:space="0" w:color="auto"/>
          </w:divBdr>
        </w:div>
        <w:div w:id="1863204959">
          <w:marLeft w:val="0"/>
          <w:marRight w:val="0"/>
          <w:marTop w:val="0"/>
          <w:marBottom w:val="0"/>
          <w:divBdr>
            <w:top w:val="none" w:sz="0" w:space="0" w:color="auto"/>
            <w:left w:val="none" w:sz="0" w:space="0" w:color="auto"/>
            <w:bottom w:val="none" w:sz="0" w:space="0" w:color="auto"/>
            <w:right w:val="none" w:sz="0" w:space="0" w:color="auto"/>
          </w:divBdr>
        </w:div>
      </w:divsChild>
    </w:div>
    <w:div w:id="1113087480">
      <w:bodyDiv w:val="1"/>
      <w:marLeft w:val="0"/>
      <w:marRight w:val="0"/>
      <w:marTop w:val="0"/>
      <w:marBottom w:val="0"/>
      <w:divBdr>
        <w:top w:val="none" w:sz="0" w:space="0" w:color="auto"/>
        <w:left w:val="none" w:sz="0" w:space="0" w:color="auto"/>
        <w:bottom w:val="none" w:sz="0" w:space="0" w:color="auto"/>
        <w:right w:val="none" w:sz="0" w:space="0" w:color="auto"/>
      </w:divBdr>
    </w:div>
    <w:div w:id="1126778665">
      <w:bodyDiv w:val="1"/>
      <w:marLeft w:val="0"/>
      <w:marRight w:val="0"/>
      <w:marTop w:val="0"/>
      <w:marBottom w:val="0"/>
      <w:divBdr>
        <w:top w:val="none" w:sz="0" w:space="0" w:color="auto"/>
        <w:left w:val="none" w:sz="0" w:space="0" w:color="auto"/>
        <w:bottom w:val="none" w:sz="0" w:space="0" w:color="auto"/>
        <w:right w:val="none" w:sz="0" w:space="0" w:color="auto"/>
      </w:divBdr>
    </w:div>
    <w:div w:id="1145855044">
      <w:bodyDiv w:val="1"/>
      <w:marLeft w:val="0"/>
      <w:marRight w:val="0"/>
      <w:marTop w:val="0"/>
      <w:marBottom w:val="0"/>
      <w:divBdr>
        <w:top w:val="none" w:sz="0" w:space="0" w:color="auto"/>
        <w:left w:val="none" w:sz="0" w:space="0" w:color="auto"/>
        <w:bottom w:val="none" w:sz="0" w:space="0" w:color="auto"/>
        <w:right w:val="none" w:sz="0" w:space="0" w:color="auto"/>
      </w:divBdr>
    </w:div>
    <w:div w:id="1372805335">
      <w:bodyDiv w:val="1"/>
      <w:marLeft w:val="0"/>
      <w:marRight w:val="0"/>
      <w:marTop w:val="0"/>
      <w:marBottom w:val="0"/>
      <w:divBdr>
        <w:top w:val="none" w:sz="0" w:space="0" w:color="auto"/>
        <w:left w:val="none" w:sz="0" w:space="0" w:color="auto"/>
        <w:bottom w:val="none" w:sz="0" w:space="0" w:color="auto"/>
        <w:right w:val="none" w:sz="0" w:space="0" w:color="auto"/>
      </w:divBdr>
    </w:div>
    <w:div w:id="1634408765">
      <w:bodyDiv w:val="1"/>
      <w:marLeft w:val="0"/>
      <w:marRight w:val="0"/>
      <w:marTop w:val="0"/>
      <w:marBottom w:val="0"/>
      <w:divBdr>
        <w:top w:val="none" w:sz="0" w:space="0" w:color="auto"/>
        <w:left w:val="none" w:sz="0" w:space="0" w:color="auto"/>
        <w:bottom w:val="none" w:sz="0" w:space="0" w:color="auto"/>
        <w:right w:val="none" w:sz="0" w:space="0" w:color="auto"/>
      </w:divBdr>
    </w:div>
    <w:div w:id="1832019599">
      <w:bodyDiv w:val="1"/>
      <w:marLeft w:val="0"/>
      <w:marRight w:val="0"/>
      <w:marTop w:val="0"/>
      <w:marBottom w:val="0"/>
      <w:divBdr>
        <w:top w:val="none" w:sz="0" w:space="0" w:color="auto"/>
        <w:left w:val="none" w:sz="0" w:space="0" w:color="auto"/>
        <w:bottom w:val="none" w:sz="0" w:space="0" w:color="auto"/>
        <w:right w:val="none" w:sz="0" w:space="0" w:color="auto"/>
      </w:divBdr>
    </w:div>
    <w:div w:id="2026666720">
      <w:bodyDiv w:val="1"/>
      <w:marLeft w:val="0"/>
      <w:marRight w:val="0"/>
      <w:marTop w:val="0"/>
      <w:marBottom w:val="0"/>
      <w:divBdr>
        <w:top w:val="none" w:sz="0" w:space="0" w:color="auto"/>
        <w:left w:val="none" w:sz="0" w:space="0" w:color="auto"/>
        <w:bottom w:val="none" w:sz="0" w:space="0" w:color="auto"/>
        <w:right w:val="none" w:sz="0" w:space="0" w:color="auto"/>
      </w:divBdr>
    </w:div>
    <w:div w:id="2073388198">
      <w:bodyDiv w:val="1"/>
      <w:marLeft w:val="0"/>
      <w:marRight w:val="0"/>
      <w:marTop w:val="0"/>
      <w:marBottom w:val="0"/>
      <w:divBdr>
        <w:top w:val="none" w:sz="0" w:space="0" w:color="auto"/>
        <w:left w:val="none" w:sz="0" w:space="0" w:color="auto"/>
        <w:bottom w:val="none" w:sz="0" w:space="0" w:color="auto"/>
        <w:right w:val="none" w:sz="0" w:space="0" w:color="auto"/>
      </w:divBdr>
      <w:divsChild>
        <w:div w:id="292563720">
          <w:marLeft w:val="0"/>
          <w:marRight w:val="0"/>
          <w:marTop w:val="0"/>
          <w:marBottom w:val="0"/>
          <w:divBdr>
            <w:top w:val="none" w:sz="0" w:space="0" w:color="auto"/>
            <w:left w:val="none" w:sz="0" w:space="0" w:color="auto"/>
            <w:bottom w:val="none" w:sz="0" w:space="0" w:color="auto"/>
            <w:right w:val="none" w:sz="0" w:space="0" w:color="auto"/>
          </w:divBdr>
        </w:div>
        <w:div w:id="1578057268">
          <w:marLeft w:val="0"/>
          <w:marRight w:val="0"/>
          <w:marTop w:val="0"/>
          <w:marBottom w:val="0"/>
          <w:divBdr>
            <w:top w:val="none" w:sz="0" w:space="0" w:color="auto"/>
            <w:left w:val="none" w:sz="0" w:space="0" w:color="auto"/>
            <w:bottom w:val="none" w:sz="0" w:space="0" w:color="auto"/>
            <w:right w:val="none" w:sz="0" w:space="0" w:color="auto"/>
          </w:divBdr>
        </w:div>
        <w:div w:id="1789349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data.europa.eu/doi/10.2784/62582" TargetMode="External"/><Relationship Id="rId1" Type="http://schemas.openxmlformats.org/officeDocument/2006/relationships/hyperlink" Target="https://ec.europa.eu/anti-fraud/repor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Id>58d2e0f9-a26b-4669-b291-b358827010d4</Id>
  <Names>
    <Latin>
      <FirstName>Manuel</FirstName>
      <LastName>Carmona Yebra</LastName>
    </Latin>
    <Greek>
      <FirstName/>
      <LastName/>
    </Greek>
    <Cyrillic>
      <FirstName/>
      <LastName/>
    </Cyrillic>
    <DocumentScript>
      <FirstName>Manuel</FirstName>
      <LastName>Carmona Yebra</LastName>
      <FullName>Manuel Carmona Yebra</FullName>
    </DocumentScript>
  </Names>
  <Initials>MCY</Initials>
  <Gender>m</Gender>
  <Email>Manuel.CARMONA-YEBRA@ec.europa.eu</Email>
  <Service>CLIMA.A.3</Service>
  <Function>Policy Officer</Function>
  <WebAddress>https://ec.europa.eu/clima/policies/adaptation_en</WebAddress>
  <InheritedWebAddress>https://ec.europa.eu/clima/policies/adaptation_en</InheritedWebAddress>
  <OrgaEntity1>
    <Id>494505e3-c184-406f-85c1-b535bf446120</Id>
    <LogicalLevel>1</LogicalLevel>
    <Name>CLIMA</Name>
    <HeadLine1>DIRECTORATE-GENERAL</HeadLine1>
    <HeadLine2>CLIMATE ACTION</HeadLine2>
    <PrimaryAddressId>f03b5801-04c9-4931-aa17-c6d6c70bc579</PrimaryAddressId>
    <SecondaryAddressId/>
    <WebAddress/>
    <InheritedWebAddress>http://europa.eu</InheritedWebAddress>
    <ShowInHeader>true</ShowInHeader>
  </OrgaEntity1>
  <OrgaEntity2>
    <Id>fca2cc3c-b41a-417a-8ead-bbaff587ebb9</Id>
    <LogicalLevel>2</LogicalLevel>
    <Name>CLIMA.A</Name>
    <HeadLine1>Directorate A - International and Mainstreaming</HeadLine1>
    <HeadLine2/>
    <PrimaryAddressId>f03b5801-04c9-4931-aa17-c6d6c70bc579</PrimaryAddressId>
    <SecondaryAddressId/>
    <WebAddress/>
    <InheritedWebAddress>http://europa.eu</InheritedWebAddress>
    <ShowInHeader>true</ShowInHeader>
  </OrgaEntity2>
  <OrgaEntity3>
    <Id>7a625a99-6f8b-4810-82ec-9b2328536b37</Id>
    <LogicalLevel>3</LogicalLevel>
    <Name>CLIMA.A.3</Name>
    <HeadLine1>CLIMA.A.3 - Adaptation</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+32 229 96247</Phone>
    <Office>BU24 01/022</Office>
  </MainWorkplace>
  <Workplaces>
    <Workplace IsMain="false">
      <AddressId>1264fb81-f6bb-475e-9f9d-a937d3be6ee2</AddressId>
      <Fax/>
      <Phone/>
      <Office/>
    </Workplace>
    <Workplace IsMain="true">
      <AddressId>f03b5801-04c9-4931-aa17-c6d6c70bc579</AddressId>
      <Fax/>
      <Phone>+32 229 96247</Phone>
      <Office>BU24 01/022</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2587439257D4990995187F497FE7C" ma:contentTypeVersion="0" ma:contentTypeDescription="Create a new document." ma:contentTypeScope="" ma:versionID="7a2e6b49bae686807becec02e7979dfc">
  <xsd:schema xmlns:xsd="http://www.w3.org/2001/XMLSchema" xmlns:xs="http://www.w3.org/2001/XMLSchema" xmlns:p="http://schemas.microsoft.com/office/2006/metadata/properties" targetNamespace="http://schemas.microsoft.com/office/2006/metadata/properties" ma:root="true" ma:fieldsID="b1efd5a2684c0cf2cd74cced9ed1e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10.0.37441.0</Version>
    <Date>2018-06-07T17:15:16</Date>
    <Language>EN</Language>
    <Note/>
  </Created>
  <Edited>
    <Version>10.0.41840.0</Version>
    <Date>2021-11-11T16:57:27</Date>
  </Edited>
  <DocumentModel>
    <Id>6cbda13a-4db2-46c6-876a-ef72275827ef</Id>
    <Name>Report</Name>
  </DocumentModel>
  <DocumentDate>2018-06-07T17:15:16</DocumentDate>
  <DocumentVersion>0.1</DocumentVersion>
  <CompatibilityMode>Eurolook10</CompatibilityMode>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6B790096C3C6E48BCF063689AA5D52C" ma:contentTypeVersion="0" ma:contentTypeDescription="Create a new document." ma:contentTypeScope="" ma:versionID="8f1a769da26674d77cdeba3c66e748f8">
  <xsd:schema xmlns:xsd="http://www.w3.org/2001/XMLSchema" xmlns:xs="http://www.w3.org/2001/XMLSchema" xmlns:p="http://schemas.microsoft.com/office/2006/metadata/properties" targetNamespace="http://schemas.microsoft.com/office/2006/metadata/properties" ma:root="true" ma:fieldsID="4b5fe55c7592d11ba4d605913986c3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C237780D-0C6F-40EF-B7C4-F057D46312E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E771CC9-3AC7-48E5-8AEA-EC7B93EFFE57}">
  <ds:schemaRefs>
    <ds:schemaRef ds:uri="http://schemas.microsoft.com/sharepoint/v3/contenttype/forms"/>
  </ds:schemaRefs>
</ds:datastoreItem>
</file>

<file path=customXml/itemProps4.xml><?xml version="1.0" encoding="utf-8"?>
<ds:datastoreItem xmlns:ds="http://schemas.openxmlformats.org/officeDocument/2006/customXml" ds:itemID="{22B563C6-102C-4B63-9109-A4E2D5B5C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AC6E09CD-75B3-45DD-A48E-B18EDF36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83EA18FC-89B6-4A7C-8F41-5092BFB6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3362</Words>
  <Characters>19236</Characters>
  <Application>Microsoft Office Word</Application>
  <DocSecurity>0</DocSecurity>
  <PresentationFormat>Microsoft Word 14.0</PresentationFormat>
  <Lines>295</Lines>
  <Paragraphs>75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2021-09-28T10:11:00Z</cp:lastPrinted>
  <dcterms:created xsi:type="dcterms:W3CDTF">2021-11-10T15:54:00Z</dcterms:created>
  <dcterms:modified xsi:type="dcterms:W3CDTF">2021-12-09T08:54:00Z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IsMyDocuments">
    <vt:bool>true</vt:bool>
  </property>
  <property fmtid="{D5CDD505-2E9C-101B-9397-08002B2CF9AE}" pid="7" name="Last edited using">
    <vt:lpwstr>LW 7.0.1, Build 20200226</vt:lpwstr>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ContentTypeId">
    <vt:lpwstr>0x0101006E02587439257D4990995187F497FE7C</vt:lpwstr>
  </property>
  <property fmtid="{D5CDD505-2E9C-101B-9397-08002B2CF9AE}" pid="11" name="_LW_INVALIDATED_EurolookVersion">
    <vt:lpwstr>10.0</vt:lpwstr>
  </property>
  <property fmtid="{D5CDD505-2E9C-101B-9397-08002B2CF9AE}" pid="12" name="_LW_INVALIDATED_ELDocType">
    <vt:lpwstr>rep.dot</vt:lpwstr>
  </property>
  <property fmtid="{D5CDD505-2E9C-101B-9397-08002B2CF9AE}" pid="13" name="_LW_INVALIDATED_ContentTypeId">
    <vt:lpwstr>0x01010006B790096C3C6E48BCF063689AA5D52C</vt:lpwstr>
  </property>
  <property fmtid="{D5CDD505-2E9C-101B-9397-08002B2CF9AE}" pid="14" name="_LW_INVALIDATED_Formatting">
    <vt:lpwstr>4.1</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rep.dot</vt:lpwstr>
  </property>
  <property fmtid="{D5CDD505-2E9C-101B-9397-08002B2CF9AE}" pid="17" name="_LW_INVALIDATED__LW_INVALIDATED__LW_INVALIDATED_ContentTypeId">
    <vt:lpwstr>0x01010006B790096C3C6E48BCF063689AA5D52C</vt:lpwstr>
  </property>
  <property fmtid="{D5CDD505-2E9C-101B-9397-08002B2CF9AE}" pid="18" name="_LW_INVALIDATED__LW_INVALIDATED__LW_INVALIDATED_Formatting">
    <vt:lpwstr>4.1</vt:lpwstr>
  </property>
</Properties>
</file>