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2BC92" w14:textId="222DDA49" w:rsidR="00F03D88" w:rsidRPr="00F03D88" w:rsidRDefault="00FF6D30" w:rsidP="00FF6D30">
      <w:pPr>
        <w:pStyle w:val="Pagedecouverture"/>
        <w:rPr>
          <w:noProof/>
        </w:rPr>
      </w:pPr>
      <w:bookmarkStart w:id="0" w:name="LW_BM_COVERPAGE"/>
      <w:r>
        <w:rPr>
          <w:noProof/>
        </w:rPr>
        <w:pict w14:anchorId="16FF7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4626D68-D621-48DB-8023-1122AF4243B3" style="width:455.25pt;height:351.75pt">
            <v:imagedata r:id="rId15" o:title=""/>
          </v:shape>
        </w:pict>
      </w:r>
    </w:p>
    <w:bookmarkEnd w:id="0"/>
    <w:p w14:paraId="587931A9" w14:textId="77777777" w:rsidR="009E7DA1" w:rsidRDefault="009E7DA1">
      <w:pPr>
        <w:rPr>
          <w:noProof/>
        </w:rPr>
        <w:sectPr w:rsidR="009E7DA1" w:rsidSect="00FF6D30">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14:paraId="3C730DB7" w14:textId="77777777" w:rsidR="009E7DA1" w:rsidRDefault="0001745B" w:rsidP="00083DBA">
      <w:pPr>
        <w:pStyle w:val="Heading1"/>
        <w:rPr>
          <w:noProof/>
        </w:rPr>
      </w:pPr>
      <w:bookmarkStart w:id="1" w:name="_GoBack"/>
      <w:bookmarkEnd w:id="1"/>
      <w:r>
        <w:rPr>
          <w:noProof/>
        </w:rPr>
        <w:lastRenderedPageBreak/>
        <w:t>Bevezetés</w:t>
      </w:r>
    </w:p>
    <w:p w14:paraId="24E1FFD9" w14:textId="685E1279" w:rsidR="000C588C" w:rsidRDefault="00A906DE" w:rsidP="0018107C">
      <w:pPr>
        <w:spacing w:line="276" w:lineRule="auto"/>
        <w:rPr>
          <w:noProof/>
        </w:rPr>
      </w:pPr>
      <w:r>
        <w:rPr>
          <w:noProof/>
        </w:rPr>
        <w:t>A csalás és az ahhoz kapcsolódó illegális tevékenységek, mint például a korrupció, a pénzmosás és az illegális kereskedelem súlyos problémát jelent az Európai Unió és a tagállamok számára, és alááshatja az EU és a tagállamok pénzügyeit is. A probléma kezelése különösen sürgető feladat most, hogy – részben a világjárványra történő reagálás miatt – az EU összes kiadása rekordösszegre, kb. 1,8 billió EUR-ra fog rúgni a 2021–2027-es többéves költségvetési keretben. Az uniós polgárok bizalmának megnyerése, valamint az európai integráció szilárdságának és hozzáadott értékének erősítése szempontjából kulcsfontosságú, hogy az uniós költségvetési források felhasználása – és azok tagállamokban történő elköltése – hatékonyan és megfelelően történjen. A nagy arányban előforduló csalás viszont gátolhatja a gazdasági növekedést és alááshatja a tágabb értelemben vett gazdasági talpraállást. A külső és belső csalással szembeni közös védekezésünk fokozása tehát nélkülözhetetlen az EU rezilienciájának megerősítéséhez.</w:t>
      </w:r>
    </w:p>
    <w:p w14:paraId="0D20DD8F" w14:textId="77777777" w:rsidR="00B8047B" w:rsidRDefault="00103F5C" w:rsidP="0018107C">
      <w:pPr>
        <w:spacing w:line="276" w:lineRule="auto"/>
        <w:rPr>
          <w:noProof/>
        </w:rPr>
      </w:pPr>
      <w:r>
        <w:rPr>
          <w:noProof/>
        </w:rPr>
        <w:t>Az Európai Unió működéséről szóló szerződés (a továbbiakban: EUMSZ) 325. cikke előírja, hogy a tagállamok és az EU közös kötelessége védelmezni az utóbbi pénzügyi érdekeit. Uniós szinten a csalások elleni küzdelmet biztosító intézményi háttér jelentős változásokon ment keresztül: 2021 júniusában megkezdte működését az újonnan létrehozott Európai Ügyészség, az OLAF-rendelet közelmúltbeli felülvizsgálatának</w:t>
      </w:r>
      <w:r w:rsidR="00B8047B">
        <w:rPr>
          <w:rStyle w:val="FootnoteReference"/>
          <w:noProof/>
        </w:rPr>
        <w:footnoteReference w:id="2"/>
      </w:r>
      <w:r>
        <w:rPr>
          <w:noProof/>
        </w:rPr>
        <w:t xml:space="preserve"> köszönhetően pedig eredményesebbé váltak az Európai Csalás Elleni Hivatal (OLAF) által végzett közigazgatási vizsgálatok. Továbbá az EU büntető anyagi jogi keretszabályozását megerősítette az Unió pénzügyi érdekeit érintő csalás ellen büntetőjogi eszközökkel folytatott küzdelemről szóló irányelv</w:t>
      </w:r>
      <w:r w:rsidR="00B8047B">
        <w:rPr>
          <w:rStyle w:val="FootnoteReference"/>
          <w:noProof/>
        </w:rPr>
        <w:footnoteReference w:id="3"/>
      </w:r>
      <w:r>
        <w:rPr>
          <w:noProof/>
        </w:rPr>
        <w:t xml:space="preserve">. </w:t>
      </w:r>
    </w:p>
    <w:p w14:paraId="40E0737E" w14:textId="77777777" w:rsidR="000B5C10" w:rsidRDefault="00FC2190" w:rsidP="0018107C">
      <w:pPr>
        <w:spacing w:line="276" w:lineRule="auto"/>
        <w:rPr>
          <w:noProof/>
        </w:rPr>
      </w:pPr>
      <w:r>
        <w:rPr>
          <w:noProof/>
        </w:rPr>
        <w:t xml:space="preserve">Általánosan elismert tény, hogy ezzel párhuzamosan az EU-nak a tagállamokat is támogatnia kell a pénzügyi érdekeik védelmére irányuló erőfeszítéseikben. A csalások és szabálytalanságok többségét ugyanis nemzeti szinten tárják fel, vizsgálják ki és vonják büntetőeljárás alá. </w:t>
      </w:r>
    </w:p>
    <w:p w14:paraId="7DBB799E" w14:textId="77777777" w:rsidR="007954F0" w:rsidRDefault="000C588C" w:rsidP="0018107C">
      <w:pPr>
        <w:spacing w:line="276" w:lineRule="auto"/>
        <w:rPr>
          <w:noProof/>
        </w:rPr>
      </w:pPr>
      <w:r>
        <w:rPr>
          <w:noProof/>
        </w:rPr>
        <w:t>A legutóbbi, 2014 és 2020 közötti uniós költségvetési időszakban a Herkules III program volt az az uniós eszköz, amelynek kifejezetten ezen erőfeszítések támogatása volt a célja. A programot a 250/2014/EU rendelet</w:t>
      </w:r>
      <w:r w:rsidR="007954F0">
        <w:rPr>
          <w:rStyle w:val="FootnoteReference"/>
          <w:noProof/>
        </w:rPr>
        <w:footnoteReference w:id="4"/>
      </w:r>
      <w:r>
        <w:rPr>
          <w:noProof/>
        </w:rPr>
        <w:t xml:space="preserve"> (a továbbiakban: a rendelet) hozta létre, és a Bizottságon belül az OLAF irányította. A program általános célja az EU pénzügy érdekeinek védelme, és ezen keresztül a gazdaság versenyképességének fokozása és az adófizetők pénzének védelme volt. Az egyedi célkitűzés a csalás, a korrupció és az Unió pénzügyi érdekeit érintő egyéb jogellenes tevékenységek megelőzése és az ezek elleni küzdelem volt. A pénzügyi érdekek védelmére irányuló intézkedések az uniós költségvetés teljes kiadási oldalára kiterjedtek. A bevételi oldalon az intézkedés a tradicionális saját forrásokra fókuszált.</w:t>
      </w:r>
    </w:p>
    <w:p w14:paraId="1C35A23B" w14:textId="1655B667" w:rsidR="007954F0" w:rsidRDefault="007954F0" w:rsidP="0018107C">
      <w:pPr>
        <w:spacing w:line="276" w:lineRule="auto"/>
        <w:rPr>
          <w:noProof/>
        </w:rPr>
      </w:pPr>
      <w:r>
        <w:rPr>
          <w:noProof/>
        </w:rPr>
        <w:t>A rendelet 13. cikke (2) bekezdésének b) pontja előírja, hogy a Bizottságnak értékelnie kell a program végrehajtását. A jelen dokumentumhoz csatolt bizottsági szolgálati munkadokumentum tartalmazza a Herkules III program értékelésének részletes megállapításait, és az elemzés alapján számos ajánlást fogalmaz meg.</w:t>
      </w:r>
    </w:p>
    <w:p w14:paraId="509D606A" w14:textId="77777777" w:rsidR="00682F41" w:rsidRPr="004E7D1E" w:rsidRDefault="00682F41" w:rsidP="004E7D1E">
      <w:pPr>
        <w:pStyle w:val="Heading1"/>
        <w:rPr>
          <w:noProof/>
        </w:rPr>
      </w:pPr>
      <w:r>
        <w:rPr>
          <w:noProof/>
        </w:rPr>
        <w:t>A Herkules III program</w:t>
      </w:r>
    </w:p>
    <w:p w14:paraId="40889814" w14:textId="77777777" w:rsidR="002341CF" w:rsidRPr="006C679C" w:rsidRDefault="00855976" w:rsidP="0018107C">
      <w:pPr>
        <w:spacing w:line="276" w:lineRule="auto"/>
        <w:rPr>
          <w:noProof/>
        </w:rPr>
      </w:pPr>
      <w:r>
        <w:rPr>
          <w:noProof/>
        </w:rPr>
        <w:t xml:space="preserve">A Herkules III program egy célzott program, az EU pénzügyi érdekeinek védelmét szolgáló legfőbb uniós program. </w:t>
      </w:r>
    </w:p>
    <w:p w14:paraId="533EFB60" w14:textId="77777777" w:rsidR="008D1694" w:rsidRDefault="00855976" w:rsidP="0018107C">
      <w:pPr>
        <w:spacing w:line="276" w:lineRule="auto"/>
        <w:rPr>
          <w:noProof/>
        </w:rPr>
      </w:pPr>
      <w:r>
        <w:rPr>
          <w:noProof/>
        </w:rPr>
        <w:t>A legutóbbi többéves költségvetés előkészítése során a költségvetés végrehajtása alatt a tagállamok által az EUMSZ 325. cikke alapján feltárt és bejelentett szabálytalanságok és csalásgyanús esetek</w:t>
      </w:r>
      <w:r w:rsidR="002341CF" w:rsidRPr="006C679C">
        <w:rPr>
          <w:noProof/>
          <w:vertAlign w:val="superscript"/>
        </w:rPr>
        <w:footnoteReference w:id="5"/>
      </w:r>
      <w:r>
        <w:rPr>
          <w:noProof/>
        </w:rPr>
        <w:t xml:space="preserve"> azt mutatták, hogy az évek során a káros pénzügyi hatás olyan szinten maradt, amely szükségessé teszi, hogy az EU továbbra is teljesítse az uniós költségvetés védelmére irányuló kötelezettségét olyan programok révén, mint például a Herkules. E célkitűzés elérése érdekében a Herkules III költségvetésére </w:t>
      </w:r>
      <w:r>
        <w:rPr>
          <w:b/>
          <w:noProof/>
        </w:rPr>
        <w:t>104,9 millió EUR-t fordítottak a 2014 és 2020 közötti időszakban</w:t>
      </w:r>
      <w:r>
        <w:rPr>
          <w:noProof/>
        </w:rPr>
        <w:t>. A program keretében a tagállamok nemzeti vagy regionális közigazgatási hatóságai, valamint a valamely tagállamban legalább egy éve létrehozott és azóta működő kutatási intézmények, oktatási intézmények és nonprofit szervezetek lehetnek támogatásra jogosult kedvezményezettek.</w:t>
      </w:r>
    </w:p>
    <w:p w14:paraId="323E6FFC" w14:textId="77777777" w:rsidR="006B11B4" w:rsidRPr="00E83B32" w:rsidRDefault="008D1694" w:rsidP="0018107C">
      <w:pPr>
        <w:spacing w:line="276" w:lineRule="auto"/>
        <w:rPr>
          <w:noProof/>
        </w:rPr>
      </w:pPr>
      <w:r>
        <w:rPr>
          <w:noProof/>
        </w:rPr>
        <w:t xml:space="preserve">A program végrehajtása éves ciklusokban történt, melyek során végrehajtották a Bizottság által elfogadott munkaprogramokat. A Herkules III pénzügyi támogatást nyújtott az alábbiakhoz: </w:t>
      </w:r>
    </w:p>
    <w:p w14:paraId="205AF5C8" w14:textId="77777777" w:rsidR="006B11B4" w:rsidRPr="00E83B32" w:rsidRDefault="008D1694" w:rsidP="006B11B4">
      <w:pPr>
        <w:pStyle w:val="ListParagraph"/>
        <w:numPr>
          <w:ilvl w:val="0"/>
          <w:numId w:val="45"/>
        </w:numPr>
        <w:spacing w:line="276" w:lineRule="auto"/>
        <w:rPr>
          <w:noProof/>
        </w:rPr>
      </w:pPr>
      <w:r>
        <w:rPr>
          <w:b/>
          <w:noProof/>
        </w:rPr>
        <w:t>technikai segítségnyújtás</w:t>
      </w:r>
      <w:r>
        <w:rPr>
          <w:noProof/>
        </w:rPr>
        <w:t xml:space="preserve"> (a program költségvetésének legalább 70 %-át teszi ki) olyan intézkedésekhez, mint például a műszaki berendezések és informatikai eszközök vásárlása, a határon átnyúló együttműködés és a közös műveletek támogatása, a személyzeti csereprogramok, valamint a tagállamok és az OLAF adatbázisainak fejlesztése és az ezekhez való hozzáférés biztosítása; </w:t>
      </w:r>
    </w:p>
    <w:p w14:paraId="5C93CE53" w14:textId="77777777" w:rsidR="006B11B4" w:rsidRPr="00E83B32" w:rsidRDefault="008D1694" w:rsidP="006B11B4">
      <w:pPr>
        <w:pStyle w:val="ListParagraph"/>
        <w:numPr>
          <w:ilvl w:val="0"/>
          <w:numId w:val="45"/>
        </w:numPr>
        <w:spacing w:line="276" w:lineRule="auto"/>
        <w:rPr>
          <w:noProof/>
        </w:rPr>
      </w:pPr>
      <w:r>
        <w:rPr>
          <w:b/>
          <w:noProof/>
        </w:rPr>
        <w:t>képzés</w:t>
      </w:r>
      <w:r>
        <w:rPr>
          <w:noProof/>
        </w:rPr>
        <w:t xml:space="preserve"> (a program költségvetésének legfeljebb 25 %-a) olyan intézkedésekhez, mint például a tapasztalatok és a bevált gyakorlatok határon átnyúló cseréjét lehetővé tévő konferenciák és szemináriumok, képzések a digitális kriminalisztika terén, valamint magas színvonalú kutatási tevékenységek és tanulmányok kidolgozása; továbbá </w:t>
      </w:r>
    </w:p>
    <w:p w14:paraId="2D5F29BC" w14:textId="77777777" w:rsidR="00D035C0" w:rsidRPr="00E83B32" w:rsidRDefault="008D1694" w:rsidP="006B11B4">
      <w:pPr>
        <w:pStyle w:val="ListParagraph"/>
        <w:numPr>
          <w:ilvl w:val="0"/>
          <w:numId w:val="45"/>
        </w:numPr>
        <w:spacing w:line="276" w:lineRule="auto"/>
        <w:rPr>
          <w:noProof/>
        </w:rPr>
      </w:pPr>
      <w:r>
        <w:rPr>
          <w:b/>
          <w:noProof/>
        </w:rPr>
        <w:t>bármely egyéb, a programok hatókörébe tartozó intézkedés</w:t>
      </w:r>
      <w:r>
        <w:rPr>
          <w:noProof/>
        </w:rPr>
        <w:t xml:space="preserve"> (a költségvetés legfeljebb 5 %-a). </w:t>
      </w:r>
    </w:p>
    <w:p w14:paraId="36D0D422" w14:textId="77777777" w:rsidR="00227D59" w:rsidRDefault="008D1694" w:rsidP="0018107C">
      <w:pPr>
        <w:spacing w:line="276" w:lineRule="auto"/>
        <w:rPr>
          <w:noProof/>
        </w:rPr>
      </w:pPr>
      <w:r>
        <w:rPr>
          <w:noProof/>
        </w:rPr>
        <w:t>A program vissza nem térítendő támogatások, közbeszerzési szerződések és a tevékenységek résztvevői által viselt költségek visszatérítése formájában nyújt pénzügyi támogatást. A Herkules II és a Herkules III között az volt az egyik nagy változás, hogy a technikai segítségnyújtás társfinanszírozási aránya a technikai segítségnyújtás elszámolható költségeire vonatkozóan a Herkules II-ben alkalmazott 50 %-ról 80 %-ra nőtt a Herkules III programban.</w:t>
      </w:r>
    </w:p>
    <w:p w14:paraId="0466F718" w14:textId="7FBFC6F6" w:rsidR="002341CF" w:rsidRDefault="00DC30B3" w:rsidP="0018107C">
      <w:pPr>
        <w:spacing w:line="276" w:lineRule="auto"/>
        <w:rPr>
          <w:noProof/>
        </w:rPr>
      </w:pPr>
      <w:r>
        <w:rPr>
          <w:noProof/>
        </w:rPr>
        <w:t>2021 novemberében az OLAF a 336 pályázatból 280 befejezett projektet vett nyilvántartásba (83,3 %). Ahhoz, hogy egy projektet befejezettnek lehessen tekinteni, be kell nyújtani a technikai és pénzügyi jelentéseket, és végre kell hajtani a végső kifizetést.</w:t>
      </w:r>
    </w:p>
    <w:p w14:paraId="7D2205EB" w14:textId="77777777" w:rsidR="002341CF" w:rsidRPr="0018107C" w:rsidRDefault="006C679C" w:rsidP="0018107C">
      <w:pPr>
        <w:pStyle w:val="Heading1"/>
        <w:rPr>
          <w:noProof/>
        </w:rPr>
      </w:pPr>
      <w:r>
        <w:rPr>
          <w:noProof/>
        </w:rPr>
        <w:t>A végleges értékelés</w:t>
      </w:r>
    </w:p>
    <w:p w14:paraId="1D49FD09" w14:textId="77777777" w:rsidR="00237535" w:rsidRPr="00237535" w:rsidRDefault="00DF6117" w:rsidP="0018107C">
      <w:pPr>
        <w:spacing w:line="276" w:lineRule="auto"/>
        <w:rPr>
          <w:noProof/>
        </w:rPr>
      </w:pPr>
      <w:r>
        <w:rPr>
          <w:noProof/>
        </w:rPr>
        <w:t xml:space="preserve">A rendelet 13. cikkével és a Bizottságnak a minőségi jogalkotásra vonatkozó iránymutatásaival összhangban az értékelés 5 kritérium alapján vizsgálta a programokat: </w:t>
      </w:r>
    </w:p>
    <w:p w14:paraId="3A7D1511" w14:textId="77777777" w:rsidR="00DF6117" w:rsidRPr="00E83B32" w:rsidRDefault="00237535" w:rsidP="00DF6117">
      <w:pPr>
        <w:pStyle w:val="ListParagraph"/>
        <w:numPr>
          <w:ilvl w:val="0"/>
          <w:numId w:val="46"/>
        </w:numPr>
        <w:spacing w:line="276" w:lineRule="auto"/>
        <w:rPr>
          <w:noProof/>
        </w:rPr>
      </w:pPr>
      <w:r>
        <w:rPr>
          <w:noProof/>
        </w:rPr>
        <w:t xml:space="preserve">a programok összes célkitűzésének relevanciája, </w:t>
      </w:r>
    </w:p>
    <w:p w14:paraId="6B9DFBFF" w14:textId="77777777" w:rsidR="00DF6117" w:rsidRPr="00E83B32" w:rsidRDefault="00237535" w:rsidP="00DF6117">
      <w:pPr>
        <w:pStyle w:val="ListParagraph"/>
        <w:numPr>
          <w:ilvl w:val="0"/>
          <w:numId w:val="46"/>
        </w:numPr>
        <w:spacing w:line="276" w:lineRule="auto"/>
        <w:rPr>
          <w:noProof/>
        </w:rPr>
      </w:pPr>
      <w:r>
        <w:rPr>
          <w:noProof/>
        </w:rPr>
        <w:t>a program belső és külső koherenciája más uniós intézkedésekkel,</w:t>
      </w:r>
    </w:p>
    <w:p w14:paraId="26D96923" w14:textId="77777777" w:rsidR="00DF6117" w:rsidRPr="00E83B32" w:rsidRDefault="00237535" w:rsidP="00DF6117">
      <w:pPr>
        <w:pStyle w:val="ListParagraph"/>
        <w:numPr>
          <w:ilvl w:val="0"/>
          <w:numId w:val="46"/>
        </w:numPr>
        <w:spacing w:line="276" w:lineRule="auto"/>
        <w:rPr>
          <w:noProof/>
        </w:rPr>
      </w:pPr>
      <w:r>
        <w:rPr>
          <w:noProof/>
        </w:rPr>
        <w:t xml:space="preserve">a program eredményessége a célkitűzések és a várt eredmények elérése szempontjából, a fenntarthatóságot is beleértve, </w:t>
      </w:r>
    </w:p>
    <w:p w14:paraId="7DA33529" w14:textId="77777777" w:rsidR="00DF6117" w:rsidRPr="00E83B32" w:rsidRDefault="00237535" w:rsidP="00DF6117">
      <w:pPr>
        <w:pStyle w:val="ListParagraph"/>
        <w:numPr>
          <w:ilvl w:val="0"/>
          <w:numId w:val="46"/>
        </w:numPr>
        <w:spacing w:line="276" w:lineRule="auto"/>
        <w:rPr>
          <w:noProof/>
        </w:rPr>
      </w:pPr>
      <w:r>
        <w:rPr>
          <w:noProof/>
        </w:rPr>
        <w:t xml:space="preserve">a források hatékony felhasználása, és </w:t>
      </w:r>
    </w:p>
    <w:p w14:paraId="793B50BD" w14:textId="77777777" w:rsidR="00DF6117" w:rsidRPr="00E83B32" w:rsidRDefault="006E481C" w:rsidP="00DF6117">
      <w:pPr>
        <w:pStyle w:val="ListParagraph"/>
        <w:numPr>
          <w:ilvl w:val="0"/>
          <w:numId w:val="46"/>
        </w:numPr>
        <w:spacing w:line="276" w:lineRule="auto"/>
        <w:rPr>
          <w:noProof/>
        </w:rPr>
      </w:pPr>
      <w:r>
        <w:rPr>
          <w:noProof/>
        </w:rPr>
        <w:t>a program uniós hozzáadott értéke.</w:t>
      </w:r>
    </w:p>
    <w:p w14:paraId="739563C2" w14:textId="77777777" w:rsidR="00237535" w:rsidRPr="00E83B32" w:rsidRDefault="00237535" w:rsidP="00DF6117">
      <w:pPr>
        <w:spacing w:line="276" w:lineRule="auto"/>
        <w:rPr>
          <w:noProof/>
        </w:rPr>
      </w:pPr>
      <w:r>
        <w:rPr>
          <w:noProof/>
        </w:rPr>
        <w:t xml:space="preserve">Az értékelés által lefedett időszak a Herkules III hétéves programozási időszaka, amely 2014. január 1-jétől 2020. december 31-ig tart. </w:t>
      </w:r>
    </w:p>
    <w:p w14:paraId="4521087B" w14:textId="77777777" w:rsidR="00237535" w:rsidRPr="00237535" w:rsidRDefault="009023FE" w:rsidP="00237535">
      <w:pPr>
        <w:spacing w:line="288" w:lineRule="auto"/>
        <w:rPr>
          <w:noProof/>
        </w:rPr>
      </w:pPr>
      <w:r>
        <w:rPr>
          <w:b/>
          <w:bCs/>
          <w:noProof/>
        </w:rPr>
        <w:t xml:space="preserve">Az értékelési módszertan </w:t>
      </w:r>
    </w:p>
    <w:p w14:paraId="1F4F2C07" w14:textId="77777777" w:rsidR="00237535" w:rsidRPr="00237535" w:rsidRDefault="00DF6117" w:rsidP="0018107C">
      <w:pPr>
        <w:spacing w:line="276" w:lineRule="auto"/>
        <w:rPr>
          <w:noProof/>
        </w:rPr>
      </w:pPr>
      <w:r>
        <w:rPr>
          <w:noProof/>
        </w:rPr>
        <w:t xml:space="preserve">A végleges értékelés során a Bizottság elsősorban a </w:t>
      </w:r>
      <w:r>
        <w:rPr>
          <w:b/>
          <w:noProof/>
        </w:rPr>
        <w:t>külső vállalkozó által készített tanulmányra</w:t>
      </w:r>
      <w:r w:rsidR="000B5C10">
        <w:rPr>
          <w:rStyle w:val="FootnoteReference"/>
          <w:noProof/>
        </w:rPr>
        <w:footnoteReference w:id="6"/>
      </w:r>
      <w:r>
        <w:rPr>
          <w:noProof/>
        </w:rPr>
        <w:t xml:space="preserve"> támaszkodott. Ezenkívül figyelembe vette a programra vonatkozó jogalkotási javaslat kidolgozásakor végzett hatásvizsgálatot, a Bizottság félidős értékelését</w:t>
      </w:r>
      <w:r w:rsidR="004E5338" w:rsidRPr="00F03D88">
        <w:rPr>
          <w:rStyle w:val="FootnoteReference"/>
          <w:noProof/>
        </w:rPr>
        <w:footnoteReference w:id="7"/>
      </w:r>
      <w:r>
        <w:rPr>
          <w:noProof/>
        </w:rPr>
        <w:t xml:space="preserve">, a Herkules III éves munkaprogramjait, és a program végrehajtásának a Bizottság által készített éves áttekintéseit, amelyek az EU pénzügyi érdekeinek védelméről szóló bizottsági éves jelentés (PIF-jelentés) mellékletét képezik. Az értékelési folyamat elősegítése érdekében létrejött egy szolgálatközi irányítócsoport, amely a Bizottság érintett szolgálatait fogja össze. A csoport áttekintette az ütemtervet, a külső szerződésben szereplő feladatmeghatározást, valamint a kezdeti és a záró jelentéseket. </w:t>
      </w:r>
    </w:p>
    <w:p w14:paraId="3B58DE1D" w14:textId="77777777" w:rsidR="00237535" w:rsidRPr="00237535" w:rsidRDefault="00237535" w:rsidP="0018107C">
      <w:pPr>
        <w:spacing w:line="276" w:lineRule="auto"/>
        <w:rPr>
          <w:noProof/>
        </w:rPr>
      </w:pPr>
      <w:r>
        <w:rPr>
          <w:noProof/>
        </w:rPr>
        <w:t xml:space="preserve">A végleges értékelés kiterjed a Herkules III program keretében finanszírozott összes intézkedésre, valamint az érdekelt felek által az intézkedések előkészítésével és végrehajtásával kapcsolatban végzett tevékenységekre. Foglalkozik továbbá a potenciális kedvezményezettek által benyújtott, de végül elutasított pályázatokkal is. </w:t>
      </w:r>
    </w:p>
    <w:p w14:paraId="5B4DC2A5" w14:textId="77777777" w:rsidR="00237535" w:rsidRPr="00237535" w:rsidRDefault="00237535" w:rsidP="0018107C">
      <w:pPr>
        <w:spacing w:line="276" w:lineRule="auto"/>
        <w:rPr>
          <w:noProof/>
        </w:rPr>
      </w:pPr>
      <w:r>
        <w:rPr>
          <w:noProof/>
        </w:rPr>
        <w:t xml:space="preserve">A külső tanulmány az értékelési kérdésekre válaszul szolgáltatott elsődleges adatforrásokon alapult, az adatgyűjtést i. uniós és nemzeti köztisztviselőkkel, valamint a program keretében finanszírozott intézkedések kedvezményezettjeivel folytatott interjúk, valamint ii. kedvezményezettek, sikertelen pályázók, a program keretében finanszírozott események résztvevői, továbbá a program keretében beszerzett szolgáltatások használói körében végzett online felmérések révén végezte. A kutatás 16 esettanulmányt foglalt magában nyolc tagállamban. Felhasznált továbbá többek között nyilvánosan elérhető forrásokból (például a Herkules III program éves munkaprogramjai), a benyújtott támogatási és szerződéskötésre vonatkozó pályázatokból, valamint a kedvezményezettek által benyújtott zárójelentésekből származó másodlagos adatokat is. </w:t>
      </w:r>
    </w:p>
    <w:p w14:paraId="5131120D" w14:textId="77777777" w:rsidR="00237535" w:rsidRPr="00237535" w:rsidRDefault="009023FE" w:rsidP="0018107C">
      <w:pPr>
        <w:pStyle w:val="Heading1"/>
        <w:rPr>
          <w:noProof/>
        </w:rPr>
      </w:pPr>
      <w:r>
        <w:rPr>
          <w:noProof/>
        </w:rPr>
        <w:t xml:space="preserve">A végleges értékelés fő megállapításai </w:t>
      </w:r>
    </w:p>
    <w:p w14:paraId="628E5BF4" w14:textId="77777777" w:rsidR="00BA0A65" w:rsidRPr="00213CC0" w:rsidRDefault="00EE0038" w:rsidP="00D40F0F">
      <w:pPr>
        <w:autoSpaceDE w:val="0"/>
        <w:autoSpaceDN w:val="0"/>
        <w:adjustRightInd w:val="0"/>
        <w:spacing w:line="288" w:lineRule="auto"/>
        <w:rPr>
          <w:rFonts w:cs="Arial"/>
          <w:noProof/>
          <w:color w:val="000000"/>
          <w:szCs w:val="24"/>
        </w:rPr>
      </w:pPr>
      <w:r>
        <w:rPr>
          <w:noProof/>
          <w:color w:val="000000"/>
          <w:szCs w:val="24"/>
        </w:rPr>
        <w:t xml:space="preserve">Az összegyűjtött adatok alapján az értékelés arra az átfogó következtetésre jutott, hogy a Herkules III program sikeresen teljesítette az általános, a konkrét és az operatív célkitűzéseit. Az értékelés számos kedvezményezett véleményét tükrözve arra a következtetésre jutott, hogy fenn kell tartani egy olyan finanszírozási programot, amely támogatja őket az Unió pénzügyi érdekeinek védelmében végzett munkájukban, ami a nemzeti pénzügyi érdekek védelméhez is hozzájárul. A kedvezményezettek úgy vélték, hogy az elért eredmények és a program összteljesítménye nagyban meghaladta a szükséges ráfordításokat a részvételhez szükséges idő, erőfeszítés és költségek tekintetében. A résztvevők ezenkívül úgy vélték, hogy a programban való részvételükkel kiérdemelt elismerés és hírnév értékes eszközt jelent számukra. </w:t>
      </w:r>
    </w:p>
    <w:p w14:paraId="0A6A9AAD" w14:textId="77777777" w:rsidR="009E7DA1" w:rsidRPr="00213CC0" w:rsidRDefault="0001745B">
      <w:pPr>
        <w:pStyle w:val="Heading2"/>
        <w:rPr>
          <w:noProof/>
        </w:rPr>
      </w:pPr>
      <w:r>
        <w:rPr>
          <w:noProof/>
        </w:rPr>
        <w:t>Relevancia</w:t>
      </w:r>
    </w:p>
    <w:p w14:paraId="36BC9C11" w14:textId="77777777" w:rsidR="00CE7A12" w:rsidRDefault="0025473E" w:rsidP="0025473E">
      <w:pPr>
        <w:spacing w:line="288" w:lineRule="auto"/>
        <w:rPr>
          <w:noProof/>
        </w:rPr>
      </w:pPr>
      <w:r>
        <w:rPr>
          <w:noProof/>
        </w:rPr>
        <w:t xml:space="preserve">A programot </w:t>
      </w:r>
      <w:r>
        <w:rPr>
          <w:b/>
          <w:noProof/>
        </w:rPr>
        <w:t>rendkívül relevánsnak</w:t>
      </w:r>
      <w:r>
        <w:rPr>
          <w:noProof/>
        </w:rPr>
        <w:t xml:space="preserve"> tartották azon fő problémák kezelésében, amelyekkel az érdekelt felek az EU pénzügyi érdekeinek védelme terén szembesülnek, amit a felmérés keretében válaszoló pályázók nagy többsége (80 %) is megerősített. Úgy vélték, hogy a program releváns, mivel kiegészítette a tagállami szinten végzett munkát. Az értékelés megerősítette, hogy a Herkules III program létrehozásáról szóló rendeletre irányuló bizottsági javaslatot (2011) alátámasztó tényezők és a 2018. évi félidős értékelés megállapításai ma is érvényesek, különösen az Európai Unió pénzügyi érdekeit sértő csalások előfordulása tekintetében. </w:t>
      </w:r>
    </w:p>
    <w:p w14:paraId="7CBBFB02" w14:textId="77777777" w:rsidR="00CE7A12" w:rsidRPr="00D40F0F" w:rsidRDefault="00691A59" w:rsidP="00CE7A12">
      <w:pPr>
        <w:autoSpaceDE w:val="0"/>
        <w:autoSpaceDN w:val="0"/>
        <w:adjustRightInd w:val="0"/>
        <w:spacing w:line="288" w:lineRule="auto"/>
        <w:rPr>
          <w:rFonts w:cs="Arial"/>
          <w:noProof/>
          <w:color w:val="000000"/>
          <w:szCs w:val="24"/>
        </w:rPr>
      </w:pPr>
      <w:r>
        <w:rPr>
          <w:noProof/>
          <w:color w:val="000000"/>
          <w:szCs w:val="24"/>
        </w:rPr>
        <w:t xml:space="preserve">Az érdekelt felekkel folytatott interjúkból és 16 esettanulmányból származó bizonyítékok azt mutatták, hogy bár a legtöbb tagállam rendelkezik saját csalás elleni stratégiával, a program kiegészítő, gyorsan megszerezhető támogatást nyújtott, lehetővé téve a nemzeti hatóságok számára, hogy gyorsabban elérjék nemzeti célkitűzéseiket. Az uniós intézmények képviselőivel folytatott interjúk megerősítették ezt a megállapítást, kiegészítve azzal, hogy a támogatás még relevánsabb azokban az esetekben, amikor a tagállamok a közelmúltban csökkentették a nemzeti ügynökségek számára rendelkezésre álló forrásokat. </w:t>
      </w:r>
    </w:p>
    <w:p w14:paraId="52997CD4" w14:textId="77777777" w:rsidR="0083282C" w:rsidRPr="0025473E" w:rsidRDefault="0088308D" w:rsidP="0025473E">
      <w:pPr>
        <w:spacing w:line="288" w:lineRule="auto"/>
        <w:rPr>
          <w:b/>
          <w:smallCaps/>
          <w:noProof/>
        </w:rPr>
      </w:pPr>
      <w:r>
        <w:rPr>
          <w:noProof/>
          <w:color w:val="000000"/>
          <w:szCs w:val="24"/>
        </w:rPr>
        <w:t>Az értékelés során az érdekelt felek javaslatokat tettek a program további javítására. Úgy vélték, hogy a program jobban összpontosíthatna a kiadásokat érintő csalásra, és jobban reagálhatna az olyan újonnan megjelenő fenyegetésfajtákra, mint az élelmiszercsalás, a drónokkal való visszaélés és a kiberbűnözés. Néhány érdekelt fél kiemelte, hogy ahhoz, hogy a támogatás az elkövetkező években is releváns maradjon, fontos, hogy a program folyamatosan igazodjon a folyamatosan változó csalási környezethez, különösen az új fenyegetésekhez és az új technológiákhoz.</w:t>
      </w:r>
    </w:p>
    <w:p w14:paraId="6556A9A7" w14:textId="77777777" w:rsidR="009E7DA1" w:rsidRDefault="0001745B">
      <w:pPr>
        <w:pStyle w:val="Heading2"/>
        <w:rPr>
          <w:noProof/>
        </w:rPr>
      </w:pPr>
      <w:r>
        <w:rPr>
          <w:noProof/>
        </w:rPr>
        <w:t>Eredményesség</w:t>
      </w:r>
    </w:p>
    <w:p w14:paraId="48B7674D" w14:textId="00F84D74" w:rsidR="00E631A6" w:rsidRDefault="00CE03E1" w:rsidP="00CE03E1">
      <w:pPr>
        <w:autoSpaceDE w:val="0"/>
        <w:autoSpaceDN w:val="0"/>
        <w:adjustRightInd w:val="0"/>
        <w:spacing w:line="288" w:lineRule="auto"/>
        <w:rPr>
          <w:rFonts w:cs="Arial"/>
          <w:noProof/>
          <w:color w:val="000000"/>
          <w:szCs w:val="24"/>
        </w:rPr>
      </w:pPr>
      <w:r>
        <w:rPr>
          <w:noProof/>
          <w:color w:val="000000"/>
          <w:szCs w:val="24"/>
        </w:rPr>
        <w:t xml:space="preserve">Az értékelés arra a következtetésre jutott, hogy a program keretében biztosított technikai segítségnyújtás és képzés </w:t>
      </w:r>
      <w:r>
        <w:rPr>
          <w:b/>
          <w:noProof/>
          <w:color w:val="000000"/>
          <w:szCs w:val="24"/>
        </w:rPr>
        <w:t>eredményes</w:t>
      </w:r>
      <w:r>
        <w:rPr>
          <w:noProof/>
          <w:color w:val="000000"/>
          <w:szCs w:val="24"/>
        </w:rPr>
        <w:t xml:space="preserve"> volt, mert hozzájárult a kitűzött célok eléréséhez. Az érdekelt felek kiemelték például, hogy a finanszírozott tevékenységek minimálisra csökkentették a kockázatot olyan kulcsfontosságú területeken, mint a cigarettacsempészet és -hamisítás, javították a csalások megelőzését és kivizsgálását, elősegítették a csalás elleni tevékenységek összehangolását, az információk, az ismeretek, a tapasztalatok és a bevált gyakorlatok cseréjét, valamint magas színvonalú kutatási tevékenységek kialakítását, a gyakorló szakemberek és a tudományos élet képviselői közötti jobb együttműködést, valamint felhívták a bírák és a büntetőjogi szakemberek figyelmét a csalással kapcsolatos kérdésekre konferenciák révén.</w:t>
      </w:r>
    </w:p>
    <w:p w14:paraId="3F02C393" w14:textId="77777777" w:rsidR="00417F91" w:rsidRDefault="008405F8" w:rsidP="00CE03E1">
      <w:pPr>
        <w:autoSpaceDE w:val="0"/>
        <w:autoSpaceDN w:val="0"/>
        <w:adjustRightInd w:val="0"/>
        <w:spacing w:line="288" w:lineRule="auto"/>
        <w:rPr>
          <w:rFonts w:cs="Arial"/>
          <w:noProof/>
          <w:color w:val="000000"/>
          <w:szCs w:val="24"/>
        </w:rPr>
      </w:pPr>
      <w:r>
        <w:rPr>
          <w:noProof/>
          <w:color w:val="000000"/>
          <w:szCs w:val="24"/>
        </w:rPr>
        <w:t xml:space="preserve">A különböző érdekelt felek általában véve egyetértettek abban, hogy a technikai segítségnyújtási intézkedések (például a csempészett áruk felderítésére szolgáló szkennerek beszerzésének finanszírozása vagy a digitális kriminalisztika területén nyújtott képzés finanszírozása) segítettek a tagállamok bűnüldöző hatóságainak a határokon átnyúló illegális tevékenységek elleni küzdelemben. </w:t>
      </w:r>
    </w:p>
    <w:p w14:paraId="6815A6A2" w14:textId="77777777" w:rsidR="00CE03E1" w:rsidRDefault="008405F8" w:rsidP="00CE03E1">
      <w:pPr>
        <w:autoSpaceDE w:val="0"/>
        <w:autoSpaceDN w:val="0"/>
        <w:adjustRightInd w:val="0"/>
        <w:spacing w:line="288" w:lineRule="auto"/>
        <w:rPr>
          <w:rFonts w:cs="Arial"/>
          <w:noProof/>
          <w:color w:val="000000"/>
          <w:szCs w:val="24"/>
        </w:rPr>
      </w:pPr>
      <w:r>
        <w:rPr>
          <w:noProof/>
          <w:color w:val="000000"/>
          <w:szCs w:val="24"/>
        </w:rPr>
        <w:t>A modern berendezések beszerzése számos pozitív hatást is kiváltott, amelyek nem szerepelnek a program elsődleges célkitűzései között, de mégis a nemzeti bűnüldöző hatóságok javát szolgálják. Például a határforgalom-ellenőrzéshez beszerzett eszközök hasznosnak bizonyultak az illegális kábítószerek vagy fegyverek felderítésében. Ez hasznosnak bizonyult az olyan illegális anyagok vagy tárgyak lefoglalásában is, amelyek nem elsősorban az EU pénzügyi érdekeit veszélyeztetik, hanem általánosabb biztonsági fenyegetést jelentenek a tagállamokra nézve. A modern műszaki eszközök beszerzése a vámtisztviselők és a rendőrök munkahelyi egészségvédelmét és biztonságát is javította, mivel csökkentette a sugárzásnak való kitettség kockázatát. Végezetül a modern kommunikációs és megfigyelési eszközök segítettek a bűncselekmények rejtett nyomon követésében.</w:t>
      </w:r>
    </w:p>
    <w:p w14:paraId="21A67297" w14:textId="77777777" w:rsidR="0077676A" w:rsidRPr="00CE03E1" w:rsidRDefault="0077676A" w:rsidP="00CE03E1">
      <w:pPr>
        <w:autoSpaceDE w:val="0"/>
        <w:autoSpaceDN w:val="0"/>
        <w:adjustRightInd w:val="0"/>
        <w:spacing w:line="288" w:lineRule="auto"/>
        <w:rPr>
          <w:rFonts w:cs="Arial"/>
          <w:noProof/>
          <w:color w:val="000000"/>
          <w:szCs w:val="24"/>
        </w:rPr>
      </w:pPr>
      <w:r>
        <w:rPr>
          <w:noProof/>
          <w:color w:val="000000"/>
          <w:szCs w:val="24"/>
        </w:rPr>
        <w:t>Az értékelés kimutatta, hogy a program által finanszírozott intézkedések fenntarthatóak, azaz a hatásaik a program befejeződése után is fennmaradtak. A technikai segítségnyújtás fenntarthatósága a beszerzett eszközök jellegétől és költségeitől függ. Mindaddig, amíg az eszközöket csalás elleni küzdelemre használják, hosszú távú hatásaik lehetnek. A képzés és a konferenciák is hoztak bizonyos fenntartható hatásokat, különösen akkor, ha a résztvevők a rendezvényt követően a munkahelyükön megosztották a konferencián szerzett ismereteiket és tapasztalataikat.</w:t>
      </w:r>
    </w:p>
    <w:p w14:paraId="0986C740" w14:textId="77777777" w:rsidR="00CE03E1" w:rsidRPr="00AD40A1" w:rsidRDefault="00AD40A1" w:rsidP="00A50D1E">
      <w:pPr>
        <w:autoSpaceDE w:val="0"/>
        <w:autoSpaceDN w:val="0"/>
        <w:adjustRightInd w:val="0"/>
        <w:spacing w:line="288" w:lineRule="auto"/>
        <w:rPr>
          <w:rFonts w:cs="Arial"/>
          <w:noProof/>
          <w:color w:val="000000"/>
          <w:szCs w:val="24"/>
        </w:rPr>
      </w:pPr>
      <w:r>
        <w:rPr>
          <w:noProof/>
          <w:color w:val="000000"/>
          <w:szCs w:val="24"/>
        </w:rPr>
        <w:t>Az értékelés olyan tényezőket is megjelölt, amelyek akadályozhatják a program eredményességét. A tagállami közigazgatási szervek erőforráshiánya és az, hogy ebből következően nem képesek megbirkózni a program adminisztratív követelményeivel, ahhoz vezethet, hogy kevesebb pályázatot nyújtanak be. E problémát orvosolhatja, ha több iránymutatást nyújtanak a pályázóknak.</w:t>
      </w:r>
    </w:p>
    <w:p w14:paraId="1296A52A" w14:textId="77777777" w:rsidR="009E7DA1" w:rsidRDefault="0001745B">
      <w:pPr>
        <w:pStyle w:val="Heading2"/>
        <w:rPr>
          <w:noProof/>
        </w:rPr>
      </w:pPr>
      <w:r>
        <w:rPr>
          <w:noProof/>
        </w:rPr>
        <w:t>Hatékonyság</w:t>
      </w:r>
    </w:p>
    <w:p w14:paraId="384AF79A" w14:textId="77777777" w:rsidR="009216E2" w:rsidRDefault="00243327" w:rsidP="00B07258">
      <w:pPr>
        <w:autoSpaceDE w:val="0"/>
        <w:autoSpaceDN w:val="0"/>
        <w:adjustRightInd w:val="0"/>
        <w:spacing w:line="288" w:lineRule="auto"/>
        <w:rPr>
          <w:rFonts w:cs="Arial"/>
          <w:noProof/>
          <w:color w:val="000000"/>
          <w:szCs w:val="24"/>
        </w:rPr>
      </w:pPr>
      <w:r>
        <w:rPr>
          <w:noProof/>
          <w:color w:val="000000"/>
          <w:szCs w:val="24"/>
        </w:rPr>
        <w:t xml:space="preserve">Az értékelés összességében azt mutatta, hogy a program mind a képzés, mind a technikai segítségnyújtás tekintetében </w:t>
      </w:r>
      <w:r>
        <w:rPr>
          <w:b/>
          <w:noProof/>
          <w:color w:val="000000"/>
          <w:szCs w:val="24"/>
        </w:rPr>
        <w:t>hatékony</w:t>
      </w:r>
      <w:r>
        <w:rPr>
          <w:noProof/>
          <w:color w:val="000000"/>
          <w:szCs w:val="24"/>
        </w:rPr>
        <w:t xml:space="preserve">. A program költségeinek és előnyeinek mérlegelésekor a legtöbb érdekelt fél úgy látta, hogy az előnyök meghaladják a költségeket (a pályázói felmérés keretében adott válaszok 92 %-a).  </w:t>
      </w:r>
    </w:p>
    <w:p w14:paraId="2F09A364" w14:textId="77777777" w:rsidR="00B07258" w:rsidRPr="00B07258" w:rsidRDefault="007022A8" w:rsidP="00B07258">
      <w:pPr>
        <w:autoSpaceDE w:val="0"/>
        <w:autoSpaceDN w:val="0"/>
        <w:adjustRightInd w:val="0"/>
        <w:spacing w:line="288" w:lineRule="auto"/>
        <w:rPr>
          <w:rFonts w:cs="Arial"/>
          <w:noProof/>
          <w:color w:val="000000"/>
          <w:szCs w:val="24"/>
        </w:rPr>
      </w:pPr>
      <w:r>
        <w:rPr>
          <w:noProof/>
          <w:color w:val="000000"/>
          <w:szCs w:val="24"/>
        </w:rPr>
        <w:t>Egyes pályázók azt javasolták, hogy enyhítsék a pályázati és jelentéstételi folyamatokhoz kapcsolódó munkát, például a pályázati űrlapon redundanciáinak csökkentése vagy a kért információk mennyiségének csökkentése révén. Úgy vélték továbbá, hogy célszerű lenne további útmutatást és támogatást nyújtani az odaítélési kritériumok és a bevált gyakorlatok jobb megértéséhez. Így könnyebb lenne elkerülni a gyakori hibákat, és kevesebb időre lenne szükség a pályázatok elkészítéséhez.</w:t>
      </w:r>
    </w:p>
    <w:p w14:paraId="1FCE0201" w14:textId="77777777" w:rsidR="009E7DA1" w:rsidRDefault="0001745B">
      <w:pPr>
        <w:pStyle w:val="Heading2"/>
        <w:rPr>
          <w:noProof/>
        </w:rPr>
      </w:pPr>
      <w:r>
        <w:rPr>
          <w:noProof/>
        </w:rPr>
        <w:t>Koherencia</w:t>
      </w:r>
    </w:p>
    <w:p w14:paraId="3D2FAF90" w14:textId="77777777" w:rsidR="00B07258" w:rsidRDefault="00A55C3F" w:rsidP="00B07258">
      <w:pPr>
        <w:autoSpaceDE w:val="0"/>
        <w:autoSpaceDN w:val="0"/>
        <w:adjustRightInd w:val="0"/>
        <w:spacing w:line="288" w:lineRule="auto"/>
        <w:rPr>
          <w:rFonts w:cs="Arial"/>
          <w:noProof/>
          <w:color w:val="000000"/>
          <w:szCs w:val="24"/>
        </w:rPr>
      </w:pPr>
      <w:r>
        <w:rPr>
          <w:noProof/>
          <w:color w:val="000000"/>
          <w:szCs w:val="24"/>
        </w:rPr>
        <w:t xml:space="preserve">Az értékelés azt mutatta, hogy a program </w:t>
      </w:r>
      <w:r>
        <w:rPr>
          <w:b/>
          <w:noProof/>
          <w:color w:val="000000"/>
          <w:szCs w:val="24"/>
        </w:rPr>
        <w:t>belső és külső koherenciája</w:t>
      </w:r>
      <w:r>
        <w:rPr>
          <w:noProof/>
          <w:color w:val="000000"/>
          <w:szCs w:val="24"/>
        </w:rPr>
        <w:t xml:space="preserve"> kielégítő volt. Ami a belső koherenciát illeti, a felkért külső vállalkozó által készített tanulmány egyetlen átfedést sem talált a Herkules III által finanszírozott tevékenységek között. Vannak ugyan olyan – a technikai segítségnyújtás és a képzés keretében finanszírozott – tevékenységek, amelyek hasonlónak tűnnek, de eltérő közönséget céloznak meg, és eltérőek a céljaik. Például a technikai segítségnyújtási pillér keretében nyújtott képzés a megvásárolt technikai berendezések használatára vonatkozó információk átadására irányult, míg a képzési pillér keretében nyújtott képzés középpontjában a tudatosság növelése és a bevált módszerek cseréje állt. Elmondható tehát, hogy a program keretében finanszírozásra jogosult tevékenységek nagymértékben kiegészítették egymást.</w:t>
      </w:r>
    </w:p>
    <w:p w14:paraId="696F00ED" w14:textId="716E56AF" w:rsidR="00CC5979" w:rsidRPr="00E83B32" w:rsidRDefault="00CC5979" w:rsidP="00B07258">
      <w:pPr>
        <w:autoSpaceDE w:val="0"/>
        <w:autoSpaceDN w:val="0"/>
        <w:adjustRightInd w:val="0"/>
        <w:spacing w:line="288" w:lineRule="auto"/>
        <w:rPr>
          <w:rFonts w:cs="Arial"/>
          <w:noProof/>
          <w:color w:val="000000"/>
          <w:szCs w:val="24"/>
        </w:rPr>
      </w:pPr>
      <w:r>
        <w:rPr>
          <w:noProof/>
          <w:color w:val="000000"/>
          <w:szCs w:val="24"/>
        </w:rPr>
        <w:t xml:space="preserve">A Bizottság belső konzultációs folyamatait használta fel a program és a Bizottság más kiadási programjai közötti külső koherencia biztosítására, különösen az éves munkaprogramok kidolgozásának és a vissza nem térítendő támogatás elnyerésére irányuló pályázatok kiválasztásának szakaszaiban. A Bizottság megakadályozta a Herkules III és a Fiscalis 2020, a Vám 2020 és a Jogérvényesülés program közötti átfedéseket azáltal, hogy biztosította, hogy a programok a jogszabályokban meghatározott külön célkitűzéseket kövessenek. A további potenciális átfedéseket úgy kerülték el, hogy minden éves munkaprogramban részletezték az éves célkitűzéseket, a tevékenységek típusát, a résztvevőket és a kedvezményezetteket. </w:t>
      </w:r>
    </w:p>
    <w:p w14:paraId="6283673A" w14:textId="77777777" w:rsidR="008F21CC" w:rsidRPr="00B07258" w:rsidRDefault="00DC5077" w:rsidP="00B07258">
      <w:pPr>
        <w:autoSpaceDE w:val="0"/>
        <w:autoSpaceDN w:val="0"/>
        <w:adjustRightInd w:val="0"/>
        <w:spacing w:line="288" w:lineRule="auto"/>
        <w:rPr>
          <w:rFonts w:cs="Arial"/>
          <w:noProof/>
          <w:color w:val="000000"/>
          <w:szCs w:val="24"/>
        </w:rPr>
      </w:pPr>
      <w:r>
        <w:rPr>
          <w:noProof/>
          <w:color w:val="000000"/>
          <w:szCs w:val="24"/>
        </w:rPr>
        <w:t xml:space="preserve">Az értékelés azt is megállapította, hogy a program és a Csalás Elleni Információs Rendszer (AFIS) nagymértékben kiegészíti egymást. E megállapítást mintegy megelőlegezve a Bizottság úgy határozott, hogy az AFIS-t beépíti az EU csalás elleni programjába, a Herkules III utódjába a következő, 2021–2027-es költségvetési időszakra. Végezetül a program lehetőséget biztosít a tagállamoknak arra, hogy kéréseiket az EU által a csalás elleni küzdelem, a belügyek és a vámügy terén elfogadott cselekvési tervekben kiemelt területekre összpontosítsák. Ez további szinergiákat teremt és elősegíti a koherenciát az uniós fellépés más területeivel. </w:t>
      </w:r>
    </w:p>
    <w:p w14:paraId="661C01D2" w14:textId="77777777" w:rsidR="009E7DA1" w:rsidRDefault="0001745B">
      <w:pPr>
        <w:pStyle w:val="Heading2"/>
        <w:rPr>
          <w:noProof/>
        </w:rPr>
      </w:pPr>
      <w:r>
        <w:rPr>
          <w:noProof/>
        </w:rPr>
        <w:t>Uniós hozzáadott érték</w:t>
      </w:r>
    </w:p>
    <w:p w14:paraId="5B7EC8C1" w14:textId="77777777" w:rsidR="003D4398" w:rsidRDefault="00B83DA3" w:rsidP="00B07258">
      <w:pPr>
        <w:autoSpaceDE w:val="0"/>
        <w:autoSpaceDN w:val="0"/>
        <w:adjustRightInd w:val="0"/>
        <w:spacing w:line="288" w:lineRule="auto"/>
        <w:rPr>
          <w:rFonts w:cs="Arial"/>
          <w:noProof/>
          <w:color w:val="000000"/>
          <w:szCs w:val="24"/>
        </w:rPr>
      </w:pPr>
      <w:r>
        <w:rPr>
          <w:noProof/>
          <w:color w:val="000000"/>
          <w:szCs w:val="24"/>
        </w:rPr>
        <w:t xml:space="preserve">Az értékelés rávilágított a program </w:t>
      </w:r>
      <w:r>
        <w:rPr>
          <w:b/>
          <w:noProof/>
          <w:color w:val="000000"/>
          <w:szCs w:val="24"/>
        </w:rPr>
        <w:t>uniós hozzáadott értékére</w:t>
      </w:r>
      <w:r>
        <w:rPr>
          <w:noProof/>
          <w:color w:val="000000"/>
          <w:szCs w:val="24"/>
        </w:rPr>
        <w:t>. Az érdekelt felek szinte egyhangúlag úgy vélték, hogy a program keretében hozott intézkedések jelentős hozzáadott értéket képviselnek ahhoz képest, amit nemzeti és regionális szinten a program nélkül el lehetett volna érni. A válaszadók szerint a program két területen is hozzáadott értéket képvisel. Először is hajtóerőként és katalizátorként működött közre az EU pénzügyeit érintő csalások kockázatának elhárításában és csökkentésében. Ez különösen igaz volt azon technikai segítségnyújtási intézkedésekre, amelyek esetében a kedvezményezettek szerint a nemzeti költségvetésekben meghatározott korlátok nem tették volna lehetővé számukra, hogy jelentős beruházásokat hajtsanak végre a műszaki berendezések terén. Ezzel összefüggésben több kedvezményezett és sikertelen pályázó megemlítette: az, hogy kapcsolatba hozhatók a programmal, nagyobb fokú legitimitást biztosít a munkájukhoz nemzeti szinten.</w:t>
      </w:r>
    </w:p>
    <w:p w14:paraId="29E86A6F" w14:textId="77777777" w:rsidR="00B07258" w:rsidRPr="00B07258" w:rsidRDefault="00B83DA3" w:rsidP="00B07258">
      <w:pPr>
        <w:autoSpaceDE w:val="0"/>
        <w:autoSpaceDN w:val="0"/>
        <w:adjustRightInd w:val="0"/>
        <w:spacing w:line="288" w:lineRule="auto"/>
        <w:rPr>
          <w:rFonts w:cs="Arial"/>
          <w:noProof/>
          <w:color w:val="000000"/>
          <w:szCs w:val="24"/>
        </w:rPr>
      </w:pPr>
      <w:r>
        <w:rPr>
          <w:noProof/>
          <w:color w:val="000000"/>
          <w:szCs w:val="24"/>
        </w:rPr>
        <w:t>Másfelől a válaszadók úgy vélték, hogy a program konferenciák, képzések és adatbázisok révén megkönnyíti a tagállamok közötti együttműködést. Ilyen határokon átnyúló együttműködést sokkal nehezebb lett volna megvalósítani tagállami szinten.</w:t>
      </w:r>
    </w:p>
    <w:p w14:paraId="5447E164" w14:textId="77777777" w:rsidR="00EE0038" w:rsidRDefault="00EE0038">
      <w:pPr>
        <w:pStyle w:val="Heading1"/>
        <w:rPr>
          <w:noProof/>
        </w:rPr>
      </w:pPr>
      <w:r>
        <w:rPr>
          <w:noProof/>
        </w:rPr>
        <w:t>Következtetések és ajánlások</w:t>
      </w:r>
    </w:p>
    <w:p w14:paraId="649E9497" w14:textId="77777777" w:rsidR="00C472F3" w:rsidRDefault="00E34EBD" w:rsidP="0096798B">
      <w:pPr>
        <w:autoSpaceDE w:val="0"/>
        <w:autoSpaceDN w:val="0"/>
        <w:adjustRightInd w:val="0"/>
        <w:spacing w:line="288" w:lineRule="auto"/>
        <w:rPr>
          <w:rFonts w:cs="Arial"/>
          <w:noProof/>
          <w:color w:val="000000"/>
          <w:szCs w:val="24"/>
        </w:rPr>
      </w:pPr>
      <w:r>
        <w:rPr>
          <w:noProof/>
          <w:color w:val="000000"/>
          <w:szCs w:val="24"/>
        </w:rPr>
        <w:t xml:space="preserve">Az értékelés megállapította, hogy a program továbbra is releváns. Koherens, eredményes és hatékony, és uniós hozzáadott értéket teremt. Ugyanakkor számos olyan aktuális és előre látható kihívásra is rámutatott, amelyekkel a Herkules III utódprogramjának, a csalás elleni új uniós programnak foglalkoznia kell. </w:t>
      </w:r>
    </w:p>
    <w:p w14:paraId="32B747D6" w14:textId="77777777" w:rsidR="0096798B" w:rsidRPr="00F03D88" w:rsidRDefault="003D4398" w:rsidP="0096798B">
      <w:pPr>
        <w:autoSpaceDE w:val="0"/>
        <w:autoSpaceDN w:val="0"/>
        <w:adjustRightInd w:val="0"/>
        <w:spacing w:line="288" w:lineRule="auto"/>
        <w:rPr>
          <w:rFonts w:cs="Arial"/>
          <w:noProof/>
          <w:color w:val="000000"/>
          <w:szCs w:val="24"/>
        </w:rPr>
      </w:pPr>
      <w:r>
        <w:rPr>
          <w:noProof/>
          <w:color w:val="000000"/>
          <w:szCs w:val="24"/>
        </w:rPr>
        <w:t xml:space="preserve">A Herkules III programhoz hasonlóan a csalás elleni új uniós programnak is folyamatosan alkalmazkodnia kell a csalási környezet változásaihoz, például a technológiai fejlődéshez és a bűncselekmények – különösen a határokon átnyúló bűnözés – egyre összetettebbé válásához. Ez egyformán vonatkozik a költségvetés kiadási és bevételi oldalát érintő csalásokra, a bevételek esetében ugyanis az adó- és vámelkerülési kísérletek komoly kihívást jelentenek a csalás elleni küzdelemben. A csalás elleni új uniós program új munkaprogramjainak előkészítése során a Bizottságnak továbbra is konzultálnia kell a tagállamokkal a felajánlott támogatás maximális relevanciájának biztosítása érdekében. </w:t>
      </w:r>
    </w:p>
    <w:p w14:paraId="3C4BB48F" w14:textId="77777777" w:rsidR="00E34EBD" w:rsidRDefault="00E34EBD" w:rsidP="0096798B">
      <w:pPr>
        <w:autoSpaceDE w:val="0"/>
        <w:autoSpaceDN w:val="0"/>
        <w:adjustRightInd w:val="0"/>
        <w:spacing w:line="288" w:lineRule="auto"/>
        <w:rPr>
          <w:rFonts w:cs="Arial"/>
          <w:noProof/>
          <w:color w:val="000000"/>
          <w:szCs w:val="24"/>
        </w:rPr>
      </w:pPr>
      <w:r>
        <w:rPr>
          <w:noProof/>
          <w:color w:val="000000"/>
          <w:szCs w:val="24"/>
        </w:rPr>
        <w:t>A program előnyei egyértelműen meghaladták a kedvezményezettek költségeit. A tagállamok közigazgatásának igazgatási kapacitásában mutatkozó különbségek azonban olyan kihívást jelentenek, amelyet a pályázók alaposabb eligazításával és lehetőség szerint az eljárások egyszerűsítésével lehet leküzdeni.</w:t>
      </w:r>
    </w:p>
    <w:p w14:paraId="3F5AA74B" w14:textId="77777777" w:rsidR="00E34EBD" w:rsidRDefault="00E34EBD" w:rsidP="0096798B">
      <w:pPr>
        <w:autoSpaceDE w:val="0"/>
        <w:autoSpaceDN w:val="0"/>
        <w:adjustRightInd w:val="0"/>
        <w:spacing w:line="288" w:lineRule="auto"/>
        <w:rPr>
          <w:rFonts w:cs="Arial"/>
          <w:noProof/>
          <w:color w:val="000000"/>
          <w:szCs w:val="24"/>
        </w:rPr>
      </w:pPr>
      <w:r>
        <w:rPr>
          <w:noProof/>
          <w:color w:val="000000"/>
          <w:szCs w:val="24"/>
        </w:rPr>
        <w:t>A program belső és külső szempontból koherensnek bizonyult, de az átfedések elkerülése érdekében fontos fenntartani a belső konzultációs és koordinációs eljárásokat. Például a Bizottság által a csalás elleni új uniós program keretében hozott első végrehajtási határozat</w:t>
      </w:r>
      <w:r w:rsidR="003D4398" w:rsidRPr="00F03D88">
        <w:rPr>
          <w:rStyle w:val="FootnoteReference"/>
          <w:rFonts w:cs="Arial"/>
          <w:noProof/>
          <w:color w:val="000000"/>
          <w:szCs w:val="24"/>
        </w:rPr>
        <w:footnoteReference w:id="8"/>
      </w:r>
      <w:r>
        <w:rPr>
          <w:noProof/>
          <w:color w:val="000000"/>
          <w:szCs w:val="24"/>
        </w:rPr>
        <w:t xml:space="preserve"> már kifejezetten foglalkozik a csalás elleni új uniós program szerinti intézkedések és vámellenőrzési berendezések újonnan létrehozott pénzügyi támogató eszköze közötti esetleges átfedésekkel</w:t>
      </w:r>
      <w:r w:rsidR="000B586D" w:rsidRPr="00F03D88">
        <w:rPr>
          <w:rStyle w:val="FootnoteReference"/>
          <w:rFonts w:cs="Arial"/>
          <w:noProof/>
          <w:color w:val="000000"/>
          <w:szCs w:val="24"/>
        </w:rPr>
        <w:footnoteReference w:id="9"/>
      </w:r>
      <w:r>
        <w:rPr>
          <w:noProof/>
          <w:color w:val="000000"/>
          <w:szCs w:val="24"/>
        </w:rPr>
        <w:t>.</w:t>
      </w:r>
    </w:p>
    <w:p w14:paraId="13D0BDD1" w14:textId="77777777" w:rsidR="00E34EBD" w:rsidRPr="0096798B" w:rsidRDefault="00E34EBD" w:rsidP="0096798B">
      <w:pPr>
        <w:autoSpaceDE w:val="0"/>
        <w:autoSpaceDN w:val="0"/>
        <w:adjustRightInd w:val="0"/>
        <w:spacing w:line="288" w:lineRule="auto"/>
        <w:rPr>
          <w:rFonts w:cs="Arial"/>
          <w:noProof/>
          <w:color w:val="000000"/>
          <w:szCs w:val="24"/>
        </w:rPr>
      </w:pPr>
      <w:r>
        <w:rPr>
          <w:noProof/>
          <w:color w:val="000000"/>
          <w:szCs w:val="24"/>
        </w:rPr>
        <w:t>A program uniós hozzáadott értéke egyértelműen bebizonyosodott. A külső tanácsadó rendelkezésére álló megfelelő bizonyítékok ellenére azonban továbbra is kihívást jelent a program hatásának értékelése, különösen mennyiségi szempontból, a Herkules III-ra vonatkozó monitoring- és értékelési keret alapján. Az új többéves költségvetés keretében a Bizottság átfogó értékelési és nyomonkövetési keretet dolgoz ki, amely valamennyi kiadási programra alkalmazandó lesz. Emellett a csalás elleni új uniós program javíthatná a jelenlegi keretet azáltal, hogy megfelelő számú, a támogatható projektekre vonatkozó specifikus mutatót dolgoz ki. Hasznos lenne továbbá létrehozni egy központosított adatbázist a végrehajtott projektekről. Ez elősegítené a csalás elleni új uniós program végrehajtására vonatkozó adatok összegyűjtését és tárolását, és segítené a későbbi értékelési szakaszt.</w:t>
      </w:r>
    </w:p>
    <w:p w14:paraId="4A0EBF09" w14:textId="77777777" w:rsidR="009E7DA1" w:rsidRDefault="00EE0038">
      <w:pPr>
        <w:pStyle w:val="Heading1"/>
        <w:rPr>
          <w:noProof/>
        </w:rPr>
      </w:pPr>
      <w:r>
        <w:rPr>
          <w:noProof/>
        </w:rPr>
        <w:t>A további lépések</w:t>
      </w:r>
    </w:p>
    <w:p w14:paraId="32C39A61" w14:textId="789035AD" w:rsidR="000679E1" w:rsidRDefault="004F2372" w:rsidP="000679E1">
      <w:pPr>
        <w:autoSpaceDE w:val="0"/>
        <w:autoSpaceDN w:val="0"/>
        <w:adjustRightInd w:val="0"/>
        <w:spacing w:line="288" w:lineRule="auto"/>
        <w:rPr>
          <w:rFonts w:cs="Arial"/>
          <w:noProof/>
          <w:color w:val="000000"/>
          <w:szCs w:val="24"/>
        </w:rPr>
      </w:pPr>
      <w:r>
        <w:rPr>
          <w:noProof/>
          <w:color w:val="000000"/>
          <w:szCs w:val="24"/>
        </w:rPr>
        <w:t xml:space="preserve">Megnyugtató, hogy az ebben a jelentésben és az azt kísérő bizottsági szolgálati munkadokumentumban ismertetett következtetések és ajánlások már jórészt tükröződnek a csalás elleni új uniós programban. Ebben az értelemben ez az értékelés kellőképpen alátámasztja a Bizottság jelenlegi gyakorlatát. </w:t>
      </w:r>
    </w:p>
    <w:p w14:paraId="15065A7A" w14:textId="77777777" w:rsidR="000E37DC" w:rsidRDefault="004C7BF1" w:rsidP="004C7BF1">
      <w:pPr>
        <w:autoSpaceDE w:val="0"/>
        <w:autoSpaceDN w:val="0"/>
        <w:adjustRightInd w:val="0"/>
        <w:spacing w:line="288" w:lineRule="auto"/>
        <w:rPr>
          <w:rFonts w:cs="Arial"/>
          <w:noProof/>
          <w:color w:val="000000"/>
          <w:szCs w:val="24"/>
        </w:rPr>
      </w:pPr>
      <w:r>
        <w:rPr>
          <w:noProof/>
          <w:color w:val="000000"/>
          <w:szCs w:val="24"/>
        </w:rPr>
        <w:t>A csalás elleni új uniós programnak három fő célkitűzése van. Az első az EU pénzügyi érdekeinek védelme. A második a tagállamok hatóságai közötti kölcsönös segítségnyújtás, valamint a vám- és mezőgazdasági jogszabályok helyes alkalmazásának biztosítása érdekében a tagállamok és a Bizottság közötti együttműködés támogatása. E célkitűzések mellett az értékelés azt mutatja, hogy az EU pénzügyi érdekeinek védelme gyakran pozitív mellékhatásokkal jár – a kábítószerek elleni küzdelem, az árnyékgazdaság és a pénzmosás elleni küzdelem, a közbiztonság, sőt a környezet és az ellenőrzéseket végző tisztviselők egészsége szempontjából is.</w:t>
      </w:r>
    </w:p>
    <w:p w14:paraId="2FC9A8A1" w14:textId="77777777" w:rsidR="004C7BF1" w:rsidRDefault="004C7BF1" w:rsidP="004C7BF1">
      <w:pPr>
        <w:autoSpaceDE w:val="0"/>
        <w:autoSpaceDN w:val="0"/>
        <w:adjustRightInd w:val="0"/>
        <w:spacing w:line="288" w:lineRule="auto"/>
        <w:rPr>
          <w:rFonts w:cs="Arial"/>
          <w:noProof/>
          <w:color w:val="000000"/>
          <w:szCs w:val="24"/>
        </w:rPr>
      </w:pPr>
      <w:r>
        <w:rPr>
          <w:noProof/>
          <w:color w:val="000000"/>
          <w:szCs w:val="24"/>
        </w:rPr>
        <w:t>Az új program ötvözi a korábbi Herkules III program tevékenységeit az AFIS és a szabálytalanságkezelő rendszer (IMS) finanszírozásával. Az operatív tevékenységek ezen összevonása várhatóan szinergiákat teremt, és lehetővé teszi a korábban különálló munkaágak jobb stratégiai összehangolását.</w:t>
      </w:r>
    </w:p>
    <w:p w14:paraId="6656E5B4" w14:textId="77777777" w:rsidR="00400160" w:rsidRDefault="00400160" w:rsidP="00400160">
      <w:pPr>
        <w:autoSpaceDE w:val="0"/>
        <w:autoSpaceDN w:val="0"/>
        <w:adjustRightInd w:val="0"/>
        <w:spacing w:line="288" w:lineRule="auto"/>
        <w:rPr>
          <w:rFonts w:cs="Arial"/>
          <w:noProof/>
          <w:color w:val="000000"/>
          <w:szCs w:val="24"/>
        </w:rPr>
      </w:pPr>
      <w:r>
        <w:rPr>
          <w:noProof/>
          <w:color w:val="000000"/>
          <w:szCs w:val="24"/>
        </w:rPr>
        <w:t xml:space="preserve">Általánosabban fogalmazva, a csalás elleni új uniós program több szempontból is választ ad napjaink kihívásaira: </w:t>
      </w:r>
    </w:p>
    <w:p w14:paraId="2EB71397" w14:textId="77777777" w:rsidR="00400160" w:rsidRDefault="00400160" w:rsidP="00400160">
      <w:pPr>
        <w:autoSpaceDE w:val="0"/>
        <w:autoSpaceDN w:val="0"/>
        <w:adjustRightInd w:val="0"/>
        <w:spacing w:line="288" w:lineRule="auto"/>
        <w:rPr>
          <w:rFonts w:cs="Arial"/>
          <w:noProof/>
          <w:color w:val="000000"/>
          <w:szCs w:val="24"/>
        </w:rPr>
      </w:pPr>
      <w:r>
        <w:rPr>
          <w:noProof/>
          <w:color w:val="000000"/>
          <w:szCs w:val="24"/>
        </w:rPr>
        <w:t xml:space="preserve">Először is, mivel egyre több bűncselekmény folyik a kibertérben, a program támogatja a tagállamokat a csalások felderítését és kivizsgálását szolgáló </w:t>
      </w:r>
      <w:r>
        <w:rPr>
          <w:b/>
          <w:noProof/>
          <w:color w:val="000000"/>
          <w:szCs w:val="24"/>
        </w:rPr>
        <w:t>digitális kapacitásuk</w:t>
      </w:r>
      <w:r>
        <w:rPr>
          <w:noProof/>
          <w:color w:val="000000"/>
          <w:szCs w:val="24"/>
        </w:rPr>
        <w:t xml:space="preserve"> erősítésében. E célból a csalás elleni új uniós program támogatja fejlett analitikai eszközök és adatbázisok beszerzését, és szakértői képzést biztosít a digitális kriminalisztika témájában. Az adatokra és az elemzésekre helyezett nagyobb hangsúly teljes mértékben összhangban van a Bizottság csalás elleni új stratégiájával (CAFS), amely előmozdítja a fejlett analitikai eszközök alkalmazását.</w:t>
      </w:r>
    </w:p>
    <w:p w14:paraId="40776298" w14:textId="77777777" w:rsidR="00400160" w:rsidRDefault="00400160" w:rsidP="00400160">
      <w:pPr>
        <w:autoSpaceDE w:val="0"/>
        <w:autoSpaceDN w:val="0"/>
        <w:adjustRightInd w:val="0"/>
        <w:spacing w:line="288" w:lineRule="auto"/>
        <w:rPr>
          <w:rFonts w:cs="Arial"/>
          <w:noProof/>
          <w:color w:val="000000"/>
          <w:szCs w:val="24"/>
        </w:rPr>
      </w:pPr>
      <w:r>
        <w:rPr>
          <w:noProof/>
          <w:color w:val="000000"/>
          <w:szCs w:val="24"/>
        </w:rPr>
        <w:t xml:space="preserve">Másodszor, figyelembe véve különösen az uniós kiadások növekedését az új költségvetés és a NextGenerationEU keretében, a csalás elleni új uniós program </w:t>
      </w:r>
      <w:r>
        <w:rPr>
          <w:b/>
          <w:noProof/>
          <w:color w:val="000000"/>
          <w:szCs w:val="24"/>
        </w:rPr>
        <w:t>a finanszírozás nagy részét a bevételi oldalról a kiadásokat érintő csalás elleni küzdelemre helyezi át</w:t>
      </w:r>
      <w:r>
        <w:rPr>
          <w:noProof/>
          <w:color w:val="000000"/>
          <w:szCs w:val="24"/>
        </w:rPr>
        <w:t>, többek között a Helyreállítási és Rezilienciaépítési Eszköz keretében. Ezt a paradigmaváltást erősíti az a tény, hogy az EU létrehozta a vámellenőrzési berendezések beszerzésére, korszerűsítésére és karbantartására vonatkozó új programot. A jelenlegi hétéves időszakra vonatkozó mintegy 1 milliárd eurós költségvetéssel ez az új eszköz forrásokat szabadít fel az csalás elleni új uniós programban, mivel a vámellenőrzési berendezések korábban felvették a Herkules III program keretében nyújtott technikai segítségnyújtás jelentős részét.</w:t>
      </w:r>
    </w:p>
    <w:p w14:paraId="3F0E39C9" w14:textId="77777777" w:rsidR="00400160" w:rsidRDefault="00400160" w:rsidP="00400160">
      <w:pPr>
        <w:autoSpaceDE w:val="0"/>
        <w:autoSpaceDN w:val="0"/>
        <w:adjustRightInd w:val="0"/>
        <w:spacing w:line="288" w:lineRule="auto"/>
        <w:rPr>
          <w:rFonts w:cs="Arial"/>
          <w:noProof/>
          <w:color w:val="000000"/>
          <w:szCs w:val="24"/>
        </w:rPr>
      </w:pPr>
      <w:r>
        <w:rPr>
          <w:noProof/>
          <w:color w:val="000000"/>
          <w:szCs w:val="24"/>
        </w:rPr>
        <w:t xml:space="preserve">Ezen értékelés megállapításai alapján a Bizottság úgy véli, hogy a csalás elleni új uniós program szilárd alapot biztosít a tagállamok és más támogatható szervezetek támogatásához a folyamatosan változó csalási környezet kezelésében. Az új program figyelembe veszi továbbá az Európai Ügyészség elindításával létrejött új európai szintű intézményi keretet is. </w:t>
      </w:r>
    </w:p>
    <w:p w14:paraId="1FCBA252" w14:textId="77777777" w:rsidR="00092067" w:rsidRPr="0096798B" w:rsidRDefault="00400160" w:rsidP="00F40EAD">
      <w:pPr>
        <w:autoSpaceDE w:val="0"/>
        <w:autoSpaceDN w:val="0"/>
        <w:adjustRightInd w:val="0"/>
        <w:spacing w:line="288" w:lineRule="auto"/>
        <w:rPr>
          <w:rFonts w:cs="Arial"/>
          <w:noProof/>
          <w:color w:val="000000"/>
          <w:szCs w:val="24"/>
        </w:rPr>
      </w:pPr>
      <w:r>
        <w:rPr>
          <w:noProof/>
          <w:color w:val="000000"/>
          <w:szCs w:val="24"/>
        </w:rPr>
        <w:t xml:space="preserve">Gyakorlatibb szinten, ha összegezzük, hogy az értékelés főbb megállapításai milyen ajánlásokat tartalmaznak a jövőre nézve, a következő két szempontot kell kiemelni: először is, az érdekelt felek hangot adtak azon kívánságuknak, hogy a pályázataik elkészítéséhez nyújtson részletesebb iránymutatást a Bizottság. Ennek lehetőségét a Bizottság – az OLAF-fal mint vezető szolgálattal együtt – meg fogja vizsgálni, amikor 2022-ben és azt követően kiírja a következő pályázati felhívásokat, szem előtt tartva, hogy a folyamatnak tisztességes és egyenlő esélyeket kell biztosítania valamennyi pályázó számára. Másodszor, az értékelés megállapításaiban szerepel egy olyan felkérés a Bizottság felé, hogy gondolja át még egyszer, miként érhető el a kényes egyensúly egyfelől a pályázók adminisztratív terheinek csökkentésére irányuló határozott kívánság, másfelől a nyomon követéshez és az utólagos értékelésekhez szükséges, könnyen hozzáférhető információk iránti igény között. Ezt az egyensúlyt nem könnyű megteremteni, és a Bizottság meg fogja vizsgálni, hogy e célból hogyan lehetne tovább finomítani jelentéstételi eszközeit. </w:t>
      </w:r>
    </w:p>
    <w:sectPr w:rsidR="00092067" w:rsidRPr="0096798B">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DD8D7" w14:textId="77777777" w:rsidR="008D4E8B" w:rsidRDefault="008D4E8B">
      <w:pPr>
        <w:spacing w:after="0"/>
      </w:pPr>
      <w:r>
        <w:separator/>
      </w:r>
    </w:p>
  </w:endnote>
  <w:endnote w:type="continuationSeparator" w:id="0">
    <w:p w14:paraId="299F18B8" w14:textId="77777777" w:rsidR="008D4E8B" w:rsidRDefault="008D4E8B">
      <w:pPr>
        <w:spacing w:after="0"/>
      </w:pPr>
      <w:r>
        <w:continuationSeparator/>
      </w:r>
    </w:p>
  </w:endnote>
  <w:endnote w:type="continuationNotice" w:id="1">
    <w:p w14:paraId="0399FE16" w14:textId="77777777" w:rsidR="008D4E8B" w:rsidRDefault="008D4E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CA1B" w14:textId="77777777" w:rsidR="00FF6D30" w:rsidRPr="00FF6D30" w:rsidRDefault="00FF6D30" w:rsidP="00FF6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19E8F" w14:textId="35FD9D52" w:rsidR="00D6095D" w:rsidRPr="00FF6D30" w:rsidRDefault="00FF6D30" w:rsidP="00FF6D30">
    <w:pPr>
      <w:pStyle w:val="FooterCoverPage"/>
      <w:rPr>
        <w:rFonts w:ascii="Arial" w:hAnsi="Arial" w:cs="Arial"/>
        <w:b/>
        <w:sz w:val="48"/>
      </w:rPr>
    </w:pPr>
    <w:r w:rsidRPr="00FF6D30">
      <w:rPr>
        <w:rFonts w:ascii="Arial" w:hAnsi="Arial" w:cs="Arial"/>
        <w:b/>
        <w:sz w:val="48"/>
      </w:rPr>
      <w:t>HU</w:t>
    </w:r>
    <w:r w:rsidRPr="00FF6D30">
      <w:rPr>
        <w:rFonts w:ascii="Arial" w:hAnsi="Arial" w:cs="Arial"/>
        <w:b/>
        <w:sz w:val="48"/>
      </w:rPr>
      <w:tab/>
    </w:r>
    <w:r w:rsidRPr="00FF6D30">
      <w:rPr>
        <w:rFonts w:ascii="Arial" w:hAnsi="Arial" w:cs="Arial"/>
        <w:b/>
        <w:sz w:val="48"/>
      </w:rPr>
      <w:tab/>
    </w:r>
    <w:r w:rsidRPr="00FF6D30">
      <w:tab/>
    </w:r>
    <w:r w:rsidRPr="00FF6D30">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ED730" w14:textId="77777777" w:rsidR="00FF6D30" w:rsidRPr="00FF6D30" w:rsidRDefault="00FF6D30" w:rsidP="00FF6D3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91A52" w14:textId="77777777" w:rsidR="00E8409E" w:rsidRDefault="00E8409E">
    <w:pPr>
      <w:pStyle w:val="FooterLine"/>
      <w:jc w:val="center"/>
    </w:pPr>
    <w:r>
      <w:fldChar w:fldCharType="begin"/>
    </w:r>
    <w:r>
      <w:instrText>PAGE   \* MERGEFORMAT</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E78AA" w14:textId="336A75ED" w:rsidR="00E8409E" w:rsidRDefault="00E8409E">
    <w:pPr>
      <w:pStyle w:val="FooterLine"/>
      <w:jc w:val="center"/>
    </w:pPr>
    <w:r>
      <w:fldChar w:fldCharType="begin"/>
    </w:r>
    <w:r>
      <w:instrText>PAGE   \* MERGEFORMAT</w:instrText>
    </w:r>
    <w:r>
      <w:fldChar w:fldCharType="separate"/>
    </w:r>
    <w:r w:rsidR="00FF6D30">
      <w:rPr>
        <w:noProof/>
      </w:rPr>
      <w:t>10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476237"/>
      <w:docPartObj>
        <w:docPartGallery w:val="Page Numbers (Bottom of Page)"/>
        <w:docPartUnique/>
      </w:docPartObj>
    </w:sdtPr>
    <w:sdtEndPr>
      <w:rPr>
        <w:noProof/>
      </w:rPr>
    </w:sdtEndPr>
    <w:sdtContent>
      <w:p w14:paraId="5255EC30" w14:textId="4A955209" w:rsidR="00E8409E" w:rsidRDefault="00E8409E">
        <w:pPr>
          <w:pStyle w:val="Footer"/>
          <w:jc w:val="center"/>
        </w:pPr>
        <w:r>
          <w:fldChar w:fldCharType="begin"/>
        </w:r>
        <w:r>
          <w:instrText xml:space="preserve"> PAGE   \* MERGEFORMAT </w:instrText>
        </w:r>
        <w:r>
          <w:fldChar w:fldCharType="separate"/>
        </w:r>
        <w:r w:rsidR="00FF6D30">
          <w:rPr>
            <w:noProof/>
          </w:rPr>
          <w:t>1</w:t>
        </w:r>
        <w:r>
          <w:fldChar w:fldCharType="end"/>
        </w:r>
      </w:p>
    </w:sdtContent>
  </w:sdt>
  <w:p w14:paraId="4552C82D" w14:textId="77777777" w:rsidR="00E8409E" w:rsidRDefault="00E84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FB7FE" w14:textId="77777777" w:rsidR="008D4E8B" w:rsidRDefault="008D4E8B">
      <w:pPr>
        <w:spacing w:after="0"/>
      </w:pPr>
      <w:r>
        <w:separator/>
      </w:r>
    </w:p>
  </w:footnote>
  <w:footnote w:type="continuationSeparator" w:id="0">
    <w:p w14:paraId="2FDC8548" w14:textId="77777777" w:rsidR="008D4E8B" w:rsidRDefault="008D4E8B">
      <w:pPr>
        <w:spacing w:after="0"/>
      </w:pPr>
      <w:r>
        <w:continuationSeparator/>
      </w:r>
    </w:p>
  </w:footnote>
  <w:footnote w:type="continuationNotice" w:id="1">
    <w:p w14:paraId="0DAD81B9" w14:textId="77777777" w:rsidR="008D4E8B" w:rsidRDefault="008D4E8B">
      <w:pPr>
        <w:spacing w:after="0"/>
      </w:pPr>
    </w:p>
  </w:footnote>
  <w:footnote w:id="2">
    <w:p w14:paraId="17935A6C" w14:textId="77777777" w:rsidR="00E8409E" w:rsidRPr="00B8047B" w:rsidRDefault="00E8409E">
      <w:pPr>
        <w:pStyle w:val="FootnoteText"/>
      </w:pPr>
      <w:r>
        <w:rPr>
          <w:rStyle w:val="FootnoteReference"/>
        </w:rPr>
        <w:footnoteRef/>
      </w:r>
      <w:r>
        <w:t xml:space="preserve"> </w:t>
      </w:r>
      <w:r>
        <w:tab/>
        <w:t>Az Európai Parlament és a Tanács (EU, Euratom) 2020/2223 rendelete (2020. december 23.) a 883/2013/EU, Euratom rendeletnek az Európai Ügyészséggel való együttműködés és az Európai Csalás Elleni Hivatal vizsgálatai hatékonysága tekintetében történő módosításáról (</w:t>
      </w:r>
      <w:r>
        <w:rPr>
          <w:rStyle w:val="Emphasis"/>
          <w:i w:val="0"/>
        </w:rPr>
        <w:t>HL L 437., 2020. december 28.</w:t>
      </w:r>
      <w:r>
        <w:t>).</w:t>
      </w:r>
    </w:p>
  </w:footnote>
  <w:footnote w:id="3">
    <w:p w14:paraId="0B00A918" w14:textId="77777777" w:rsidR="00E8409E" w:rsidRPr="00B8047B" w:rsidRDefault="00E8409E">
      <w:pPr>
        <w:pStyle w:val="FootnoteText"/>
      </w:pPr>
      <w:r>
        <w:rPr>
          <w:rStyle w:val="FootnoteReference"/>
        </w:rPr>
        <w:footnoteRef/>
      </w:r>
      <w:r>
        <w:t xml:space="preserve"> </w:t>
      </w:r>
      <w:r>
        <w:tab/>
        <w:t>Az Európai Parlament és a Tanács (EU) 2017/1371 irányelve (2017. július 5.) az Unió pénzügyi érdekeit érintő csalás ellen büntetőjogi eszközökkel folytatott küzdelemről (HL L 198., 2017. július 28.).</w:t>
      </w:r>
    </w:p>
  </w:footnote>
  <w:footnote w:id="4">
    <w:p w14:paraId="3363B89D" w14:textId="77777777" w:rsidR="00E8409E" w:rsidRDefault="00E8409E">
      <w:pPr>
        <w:pStyle w:val="FootnoteText"/>
      </w:pPr>
      <w:r>
        <w:rPr>
          <w:rStyle w:val="FootnoteReference"/>
        </w:rPr>
        <w:footnoteRef/>
      </w:r>
      <w:r>
        <w:t xml:space="preserve"> </w:t>
      </w:r>
      <w:r>
        <w:tab/>
        <w:t>Az Európai Parlament és a Tanács 250/2014/EU rendelete (2014. február 26.) az Európai Unió pénzügyi érdekeinek védelme területén végzett tevékenységek előmozdítására irányuló program (Hercule III program) létrehozásáról és a 804/2004/EK határozat hatályon kívül helyezéséről (HL L 84., 2014. március 20.).</w:t>
      </w:r>
    </w:p>
  </w:footnote>
  <w:footnote w:id="5">
    <w:p w14:paraId="13AE3009" w14:textId="77777777" w:rsidR="00E8409E" w:rsidRDefault="00E8409E" w:rsidP="002341CF">
      <w:pPr>
        <w:pStyle w:val="FootnoteText"/>
      </w:pPr>
      <w:r>
        <w:rPr>
          <w:rStyle w:val="FootnoteReference"/>
        </w:rPr>
        <w:footnoteRef/>
      </w:r>
      <w:r>
        <w:t xml:space="preserve"> </w:t>
      </w:r>
      <w:r>
        <w:tab/>
        <w:t xml:space="preserve">Az Európai Unió működéséről szóló szerződés 325. cikke alapján benyújtott, az Unió pénzügyi érdekeinek védelméről szóló éves jelentések (PIF-jelentések) az alábbi weboldalon érhetők el: </w:t>
      </w:r>
      <w:hyperlink r:id="rId1" w:history="1">
        <w:r>
          <w:rPr>
            <w:rStyle w:val="Hyperlink"/>
          </w:rPr>
          <w:t>https://ec.europa.eu/anti-fraud/reports_en</w:t>
        </w:r>
      </w:hyperlink>
    </w:p>
  </w:footnote>
  <w:footnote w:id="6">
    <w:p w14:paraId="1C758A4F" w14:textId="0912E07A" w:rsidR="00E8409E" w:rsidRPr="000B5C10" w:rsidRDefault="00E8409E">
      <w:pPr>
        <w:pStyle w:val="FootnoteText"/>
      </w:pPr>
      <w:r>
        <w:rPr>
          <w:rStyle w:val="FootnoteReference"/>
        </w:rPr>
        <w:footnoteRef/>
      </w:r>
      <w:r>
        <w:t xml:space="preserve"> </w:t>
      </w:r>
      <w:r>
        <w:tab/>
        <w:t xml:space="preserve">A RAMBOLL Management Consulting tanulmánya az alábbi linken érhető el: </w:t>
      </w:r>
      <w:hyperlink r:id="rId2" w:history="1">
        <w:r>
          <w:rPr>
            <w:rStyle w:val="Hyperlink"/>
          </w:rPr>
          <w:t>https://data.europa.eu/doi/10.2784/62582</w:t>
        </w:r>
      </w:hyperlink>
    </w:p>
  </w:footnote>
  <w:footnote w:id="7">
    <w:p w14:paraId="6447C5A6" w14:textId="77777777" w:rsidR="00E8409E" w:rsidRPr="00F03D88" w:rsidRDefault="00E8409E">
      <w:pPr>
        <w:pStyle w:val="FootnoteText"/>
      </w:pPr>
      <w:r>
        <w:rPr>
          <w:rStyle w:val="FootnoteReference"/>
        </w:rPr>
        <w:footnoteRef/>
      </w:r>
      <w:r>
        <w:t xml:space="preserve"> </w:t>
      </w:r>
      <w:r>
        <w:tab/>
        <w:t>A Bizottság jelentése az Európai Parlamentnek és a Tanácsnak az Európai Unió pénzügyi érdekeinek védelme területén végzett tevékenységek előmozdítására irányuló program (Hercule III program) létrehozásáról és a 804/2004/EK határozat hatályon kívül helyezéséről szóló, 2014. február 26-i 250/2014/EU európai parlamenti és tanácsi rendelet félidős értékeléséről, COM(2018) 3 final, 2018.1.10..</w:t>
      </w:r>
    </w:p>
  </w:footnote>
  <w:footnote w:id="8">
    <w:p w14:paraId="3076600D" w14:textId="77777777" w:rsidR="00E8409E" w:rsidRPr="00F03D88" w:rsidRDefault="00E8409E">
      <w:pPr>
        <w:pStyle w:val="FootnoteText"/>
      </w:pPr>
      <w:r>
        <w:rPr>
          <w:rStyle w:val="FootnoteReference"/>
        </w:rPr>
        <w:footnoteRef/>
      </w:r>
      <w:r>
        <w:t xml:space="preserve"> </w:t>
      </w:r>
      <w:r>
        <w:tab/>
        <w:t>A Bizottság végrehajtási határozata (2021. július 23.) a csalás elleni uniós program finanszírozásáról és a 2021. évi munkaprogram elfogadásáról (COM(2021) 5338 final, 2021.7.23.).</w:t>
      </w:r>
    </w:p>
  </w:footnote>
  <w:footnote w:id="9">
    <w:p w14:paraId="484F9808" w14:textId="77777777" w:rsidR="00E8409E" w:rsidRPr="00F03D88" w:rsidRDefault="00E8409E">
      <w:pPr>
        <w:pStyle w:val="FootnoteText"/>
      </w:pPr>
      <w:r>
        <w:rPr>
          <w:rStyle w:val="FootnoteReference"/>
        </w:rPr>
        <w:footnoteRef/>
      </w:r>
      <w:r>
        <w:t xml:space="preserve"> </w:t>
      </w:r>
      <w:r>
        <w:tab/>
        <w:t>Az Európai Parlament és a Tanács (EU) 2021/1077 rendelete (2021. június 24.) a vámellenőrzési berendezések pénzügyi támogató eszközének az Integrált Határigazgatási Alap részeként történő létrehozásáról (HL L 234., 2021.7.2., 1. 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D58C1" w14:textId="77777777" w:rsidR="00FF6D30" w:rsidRPr="00FF6D30" w:rsidRDefault="00FF6D30" w:rsidP="00FF6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CBB89" w14:textId="77777777" w:rsidR="00FF6D30" w:rsidRPr="00FF6D30" w:rsidRDefault="00FF6D30" w:rsidP="00FF6D3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EA239" w14:textId="77777777" w:rsidR="00FF6D30" w:rsidRPr="00FF6D30" w:rsidRDefault="00FF6D30" w:rsidP="00FF6D3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01A48" w14:textId="77777777" w:rsidR="00E8409E" w:rsidRDefault="00E840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5988" w14:textId="77777777" w:rsidR="00E8409E" w:rsidRDefault="00E840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514F1" w14:textId="77777777" w:rsidR="00E8409E" w:rsidRDefault="00E84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437A"/>
    <w:multiLevelType w:val="hybridMultilevel"/>
    <w:tmpl w:val="D7186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E5B98"/>
    <w:multiLevelType w:val="hybridMultilevel"/>
    <w:tmpl w:val="5BDEACA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 w15:restartNumberingAfterBreak="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 w15:restartNumberingAfterBreak="0">
    <w:nsid w:val="0AA64547"/>
    <w:multiLevelType w:val="hybridMultilevel"/>
    <w:tmpl w:val="E8BCFAC0"/>
    <w:lvl w:ilvl="0" w:tplc="B06CA5C2">
      <w:start w:val="1"/>
      <w:numFmt w:val="decimal"/>
      <w:lvlText w:val="(%1)"/>
      <w:lvlJc w:val="left"/>
      <w:pPr>
        <w:ind w:left="1215" w:hanging="375"/>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 w15:restartNumberingAfterBreak="0">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5252BE"/>
    <w:multiLevelType w:val="hybridMultilevel"/>
    <w:tmpl w:val="FF7E1D08"/>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6" w15:restartNumberingAfterBreak="0">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8" w15:restartNumberingAfterBreak="0">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9" w15:restartNumberingAfterBreak="0">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7B359F0"/>
    <w:multiLevelType w:val="hybridMultilevel"/>
    <w:tmpl w:val="5066B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1E305683"/>
    <w:multiLevelType w:val="multilevel"/>
    <w:tmpl w:val="EDB264BE"/>
    <w:lvl w:ilvl="0">
      <w:start w:val="1"/>
      <w:numFmt w:val="decimal"/>
      <w:lvlText w:val="%1."/>
      <w:lvlJc w:val="left"/>
      <w:pPr>
        <w:ind w:left="720" w:hanging="360"/>
      </w:pPr>
    </w:lvl>
    <w:lvl w:ilvl="1">
      <w:start w:val="2"/>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13" w15:restartNumberingAfterBreak="0">
    <w:nsid w:val="1F734306"/>
    <w:multiLevelType w:val="multilevel"/>
    <w:tmpl w:val="B26C6B06"/>
    <w:lvl w:ilvl="0">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b/>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34170E"/>
    <w:multiLevelType w:val="hybridMultilevel"/>
    <w:tmpl w:val="CE367E00"/>
    <w:lvl w:ilvl="0" w:tplc="D30290B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15:restartNumberingAfterBreak="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0200225"/>
    <w:multiLevelType w:val="multilevel"/>
    <w:tmpl w:val="ED4E5E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1F71030"/>
    <w:multiLevelType w:val="hybridMultilevel"/>
    <w:tmpl w:val="3968D61A"/>
    <w:lvl w:ilvl="0" w:tplc="64208C7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15:restartNumberingAfterBreak="0">
    <w:nsid w:val="36B32876"/>
    <w:multiLevelType w:val="hybridMultilevel"/>
    <w:tmpl w:val="77461CC2"/>
    <w:lvl w:ilvl="0" w:tplc="188E5CEE">
      <w:start w:val="1"/>
      <w:numFmt w:val="decimal"/>
      <w:lvlText w:val="%1)"/>
      <w:lvlJc w:val="left"/>
      <w:pPr>
        <w:ind w:left="720" w:hanging="360"/>
      </w:pPr>
      <w:rPr>
        <w:b/>
        <w:color w:val="1F497D"/>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3C072B5F"/>
    <w:multiLevelType w:val="hybridMultilevel"/>
    <w:tmpl w:val="ADFAFC06"/>
    <w:lvl w:ilvl="0" w:tplc="0809000F">
      <w:start w:val="1"/>
      <w:numFmt w:val="decimal"/>
      <w:lvlText w:val="%1."/>
      <w:lvlJc w:val="left"/>
      <w:pPr>
        <w:ind w:left="1202" w:hanging="360"/>
      </w:pPr>
    </w:lvl>
    <w:lvl w:ilvl="1" w:tplc="FBC65CDC">
      <w:start w:val="1"/>
      <w:numFmt w:val="decimal"/>
      <w:lvlText w:val="(%2)"/>
      <w:lvlJc w:val="left"/>
      <w:pPr>
        <w:ind w:left="1922" w:hanging="360"/>
      </w:pPr>
      <w:rPr>
        <w:rFonts w:hint="default"/>
      </w:r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24" w15:restartNumberingAfterBreak="0">
    <w:nsid w:val="3FE44083"/>
    <w:multiLevelType w:val="hybridMultilevel"/>
    <w:tmpl w:val="357AD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6" w15:restartNumberingAfterBreak="0">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2F147B1"/>
    <w:multiLevelType w:val="hybridMultilevel"/>
    <w:tmpl w:val="AFEEEAD2"/>
    <w:lvl w:ilvl="0" w:tplc="B06CA5C2">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8654A1"/>
    <w:multiLevelType w:val="hybridMultilevel"/>
    <w:tmpl w:val="6450B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9676E2"/>
    <w:multiLevelType w:val="hybridMultilevel"/>
    <w:tmpl w:val="2B4A21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1" w15:restartNumberingAfterBreak="0">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BB66362"/>
    <w:multiLevelType w:val="hybridMultilevel"/>
    <w:tmpl w:val="5386B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A122D2"/>
    <w:multiLevelType w:val="multilevel"/>
    <w:tmpl w:val="1E3EA13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10A4ABD"/>
    <w:multiLevelType w:val="hybridMultilevel"/>
    <w:tmpl w:val="162C047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2BD15D9"/>
    <w:multiLevelType w:val="hybridMultilevel"/>
    <w:tmpl w:val="D0444876"/>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6" w15:restartNumberingAfterBreak="0">
    <w:nsid w:val="7C65145E"/>
    <w:multiLevelType w:val="multilevel"/>
    <w:tmpl w:val="67B27BCA"/>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DA16FD1"/>
    <w:multiLevelType w:val="hybridMultilevel"/>
    <w:tmpl w:val="0C12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5"/>
  </w:num>
  <w:num w:numId="3">
    <w:abstractNumId w:val="22"/>
  </w:num>
  <w:num w:numId="4">
    <w:abstractNumId w:val="15"/>
  </w:num>
  <w:num w:numId="5">
    <w:abstractNumId w:val="8"/>
  </w:num>
  <w:num w:numId="6">
    <w:abstractNumId w:val="7"/>
  </w:num>
  <w:num w:numId="7">
    <w:abstractNumId w:val="30"/>
  </w:num>
  <w:num w:numId="8">
    <w:abstractNumId w:val="21"/>
  </w:num>
  <w:num w:numId="9">
    <w:abstractNumId w:val="11"/>
  </w:num>
  <w:num w:numId="10">
    <w:abstractNumId w:val="19"/>
  </w:num>
  <w:num w:numId="11">
    <w:abstractNumId w:val="2"/>
  </w:num>
  <w:num w:numId="12">
    <w:abstractNumId w:val="6"/>
  </w:num>
  <w:num w:numId="13">
    <w:abstractNumId w:val="26"/>
  </w:num>
  <w:num w:numId="14">
    <w:abstractNumId w:val="9"/>
  </w:num>
  <w:num w:numId="15">
    <w:abstractNumId w:val="4"/>
  </w:num>
  <w:num w:numId="16">
    <w:abstractNumId w:val="31"/>
  </w:num>
  <w:num w:numId="17">
    <w:abstractNumId w:val="16"/>
  </w:num>
  <w:num w:numId="18">
    <w:abstractNumId w:val="33"/>
  </w:num>
  <w:num w:numId="19">
    <w:abstractNumId w:val="36"/>
  </w:num>
  <w:num w:numId="20">
    <w:abstractNumId w:val="36"/>
  </w:num>
  <w:num w:numId="21">
    <w:abstractNumId w:val="36"/>
  </w:num>
  <w:num w:numId="22">
    <w:abstractNumId w:val="36"/>
  </w:num>
  <w:num w:numId="23">
    <w:abstractNumId w:val="17"/>
  </w:num>
  <w:num w:numId="24">
    <w:abstractNumId w:val="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5"/>
  </w:num>
  <w:num w:numId="28">
    <w:abstractNumId w:val="24"/>
  </w:num>
  <w:num w:numId="29">
    <w:abstractNumId w:val="23"/>
  </w:num>
  <w:num w:numId="30">
    <w:abstractNumId w:val="14"/>
  </w:num>
  <w:num w:numId="31">
    <w:abstractNumId w:val="18"/>
  </w:num>
  <w:num w:numId="32">
    <w:abstractNumId w:val="35"/>
  </w:num>
  <w:num w:numId="33">
    <w:abstractNumId w:val="10"/>
  </w:num>
  <w:num w:numId="34">
    <w:abstractNumId w:val="27"/>
  </w:num>
  <w:num w:numId="35">
    <w:abstractNumId w:val="3"/>
  </w:num>
  <w:num w:numId="36">
    <w:abstractNumId w:val="37"/>
  </w:num>
  <w:num w:numId="37">
    <w:abstractNumId w:val="32"/>
  </w:num>
  <w:num w:numId="38">
    <w:abstractNumId w:val="28"/>
  </w:num>
  <w:num w:numId="39">
    <w:abstractNumId w:val="13"/>
  </w:num>
  <w:num w:numId="40">
    <w:abstractNumId w:val="12"/>
  </w:num>
  <w:num w:numId="41">
    <w:abstractNumId w:val="34"/>
  </w:num>
  <w:num w:numId="42">
    <w:abstractNumId w:val="36"/>
  </w:num>
  <w:num w:numId="43">
    <w:abstractNumId w:val="36"/>
  </w:num>
  <w:num w:numId="44">
    <w:abstractNumId w:val="36"/>
  </w:num>
  <w:num w:numId="45">
    <w:abstractNumId w:val="29"/>
  </w:num>
  <w:num w:numId="46">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de-DE" w:vendorID="64" w:dllVersion="131078" w:nlCheck="1" w:checkStyle="0"/>
  <w:revisionView w:markup="0"/>
  <w:doNotTrackFormatting/>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C6873B9-2A0D-4F10-A2B3-639898B4529D}"/>
    <w:docVar w:name="dgnword-eventsink" w:val="627864512"/>
    <w:docVar w:name="dgnword-lastRevisionsView" w:val="0"/>
    <w:docVar w:name="DocStatus" w:val="Green"/>
    <w:docVar w:name="LW_CORRIGENDUM" w:val="&lt;UNUSED&gt;"/>
    <w:docVar w:name="LW_COVERPAGE_EXISTS" w:val="True"/>
    <w:docVar w:name="LW_COVERPAGE_GUID" w:val="84626D68-D621-48DB-8023-1122AF4243B3"/>
    <w:docVar w:name="LW_COVERPAGE_TYPE" w:val="1"/>
    <w:docVar w:name="LW_CROSSREFERENCE" w:val="{SWD(2021) 386 final}"/>
    <w:docVar w:name="LW_DocType" w:val="EUROLOOK"/>
    <w:docVar w:name="LW_EMISSION" w:val="2021.12.16."/>
    <w:docVar w:name="LW_EMISSION_ISODATE" w:val="2021-12-16"/>
    <w:docVar w:name="LW_EMISSION_LOCATION" w:val="BRX"/>
    <w:docVar w:name="LW_EMISSION_PREFIX" w:val="Brüsszel, "/>
    <w:docVar w:name="LW_EMISSION_SUFFIX" w:val=" "/>
    <w:docVar w:name="LW_ID_DOCTYPE_NONLW" w:val="CP-006"/>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1) 8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z Európai Unió pénzügyi érdekeinek védelme területén végzett tevékenységek előmozdítására irányuló program (Hercule III program) létrehozásáról és a 804/2004/EK határozat hatályon kívül helyezéséről szóló, 2014. február 26-i 250/2014/EU európai parlamenti és tanácsi rendelet végleges értékelése"/>
    <w:docVar w:name="LW_TYPE.DOC.CP" w:val="A BIZOTTSÁG JELENTÉSE AZ EURÓPAI PARLAMENTNEK ÉS A TANÁCSNAK"/>
    <w:docVar w:name="LwApiVersions" w:val="LW4CoDe 1.23.2.0; LW 8.0, Build 20211117"/>
  </w:docVars>
  <w:rsids>
    <w:rsidRoot w:val="009E7DA1"/>
    <w:rsid w:val="00015C4E"/>
    <w:rsid w:val="0001744A"/>
    <w:rsid w:val="0001745B"/>
    <w:rsid w:val="0002471C"/>
    <w:rsid w:val="00046955"/>
    <w:rsid w:val="0006178E"/>
    <w:rsid w:val="000679E1"/>
    <w:rsid w:val="00080FCD"/>
    <w:rsid w:val="00083DBA"/>
    <w:rsid w:val="00092067"/>
    <w:rsid w:val="000B586D"/>
    <w:rsid w:val="000B5C10"/>
    <w:rsid w:val="000C588C"/>
    <w:rsid w:val="000E37DC"/>
    <w:rsid w:val="00103F5C"/>
    <w:rsid w:val="00111348"/>
    <w:rsid w:val="001135D0"/>
    <w:rsid w:val="00131C2E"/>
    <w:rsid w:val="00153E68"/>
    <w:rsid w:val="001546E9"/>
    <w:rsid w:val="0016205B"/>
    <w:rsid w:val="00163B76"/>
    <w:rsid w:val="0016494B"/>
    <w:rsid w:val="00176C66"/>
    <w:rsid w:val="0018107C"/>
    <w:rsid w:val="00185EC3"/>
    <w:rsid w:val="001B6BBD"/>
    <w:rsid w:val="001C5B45"/>
    <w:rsid w:val="001D34FB"/>
    <w:rsid w:val="00201E5B"/>
    <w:rsid w:val="00212C69"/>
    <w:rsid w:val="00213CC0"/>
    <w:rsid w:val="002204FD"/>
    <w:rsid w:val="00227D59"/>
    <w:rsid w:val="002341CF"/>
    <w:rsid w:val="00237535"/>
    <w:rsid w:val="00241C88"/>
    <w:rsid w:val="00243327"/>
    <w:rsid w:val="00252105"/>
    <w:rsid w:val="0025473E"/>
    <w:rsid w:val="0025770A"/>
    <w:rsid w:val="002653E6"/>
    <w:rsid w:val="00267EB2"/>
    <w:rsid w:val="002716AF"/>
    <w:rsid w:val="00287ABB"/>
    <w:rsid w:val="002A1B3E"/>
    <w:rsid w:val="002C3E9B"/>
    <w:rsid w:val="002D652D"/>
    <w:rsid w:val="002E33EA"/>
    <w:rsid w:val="00303529"/>
    <w:rsid w:val="003054A3"/>
    <w:rsid w:val="003220D8"/>
    <w:rsid w:val="0032513E"/>
    <w:rsid w:val="003545E7"/>
    <w:rsid w:val="00357419"/>
    <w:rsid w:val="00377F0C"/>
    <w:rsid w:val="00394468"/>
    <w:rsid w:val="003965BD"/>
    <w:rsid w:val="003A3CAD"/>
    <w:rsid w:val="003D4398"/>
    <w:rsid w:val="003D5223"/>
    <w:rsid w:val="003E0233"/>
    <w:rsid w:val="00400160"/>
    <w:rsid w:val="004016D1"/>
    <w:rsid w:val="00402974"/>
    <w:rsid w:val="00413D08"/>
    <w:rsid w:val="00414AF2"/>
    <w:rsid w:val="00415E4E"/>
    <w:rsid w:val="00417F91"/>
    <w:rsid w:val="00423935"/>
    <w:rsid w:val="00463B6B"/>
    <w:rsid w:val="00466557"/>
    <w:rsid w:val="004776BF"/>
    <w:rsid w:val="004804F0"/>
    <w:rsid w:val="00484867"/>
    <w:rsid w:val="004A3B74"/>
    <w:rsid w:val="004C7BF1"/>
    <w:rsid w:val="004D17C7"/>
    <w:rsid w:val="004E5338"/>
    <w:rsid w:val="004E7D1E"/>
    <w:rsid w:val="004F0793"/>
    <w:rsid w:val="004F2372"/>
    <w:rsid w:val="004F3E51"/>
    <w:rsid w:val="005034F2"/>
    <w:rsid w:val="00546824"/>
    <w:rsid w:val="00552B14"/>
    <w:rsid w:val="00574C27"/>
    <w:rsid w:val="0057532C"/>
    <w:rsid w:val="005853C5"/>
    <w:rsid w:val="00585EDA"/>
    <w:rsid w:val="005E3776"/>
    <w:rsid w:val="006016B4"/>
    <w:rsid w:val="00610766"/>
    <w:rsid w:val="00612E10"/>
    <w:rsid w:val="00617D39"/>
    <w:rsid w:val="006325FB"/>
    <w:rsid w:val="00643BC4"/>
    <w:rsid w:val="00654199"/>
    <w:rsid w:val="006553B1"/>
    <w:rsid w:val="0066781C"/>
    <w:rsid w:val="006716DB"/>
    <w:rsid w:val="00671AF9"/>
    <w:rsid w:val="00682F41"/>
    <w:rsid w:val="006905F3"/>
    <w:rsid w:val="00691A59"/>
    <w:rsid w:val="006961A4"/>
    <w:rsid w:val="006A6CD8"/>
    <w:rsid w:val="006A7E01"/>
    <w:rsid w:val="006B11B4"/>
    <w:rsid w:val="006C245E"/>
    <w:rsid w:val="006C24AE"/>
    <w:rsid w:val="006C53FA"/>
    <w:rsid w:val="006C679C"/>
    <w:rsid w:val="006D3311"/>
    <w:rsid w:val="006D3EB5"/>
    <w:rsid w:val="006D5E68"/>
    <w:rsid w:val="006E481C"/>
    <w:rsid w:val="007002FE"/>
    <w:rsid w:val="007022A8"/>
    <w:rsid w:val="007248ED"/>
    <w:rsid w:val="00744364"/>
    <w:rsid w:val="00744BD4"/>
    <w:rsid w:val="007515A0"/>
    <w:rsid w:val="007648FC"/>
    <w:rsid w:val="0076580C"/>
    <w:rsid w:val="00766FE8"/>
    <w:rsid w:val="0077676A"/>
    <w:rsid w:val="007954F0"/>
    <w:rsid w:val="007C5136"/>
    <w:rsid w:val="007C79F1"/>
    <w:rsid w:val="007E6257"/>
    <w:rsid w:val="00806423"/>
    <w:rsid w:val="008128AD"/>
    <w:rsid w:val="0083282C"/>
    <w:rsid w:val="00835EA9"/>
    <w:rsid w:val="008405F8"/>
    <w:rsid w:val="00842F00"/>
    <w:rsid w:val="00855976"/>
    <w:rsid w:val="00862563"/>
    <w:rsid w:val="00875E3A"/>
    <w:rsid w:val="0088308D"/>
    <w:rsid w:val="008A0CCD"/>
    <w:rsid w:val="008A1DD2"/>
    <w:rsid w:val="008B43B5"/>
    <w:rsid w:val="008B5CF7"/>
    <w:rsid w:val="008D1694"/>
    <w:rsid w:val="008D1FE1"/>
    <w:rsid w:val="008D4E8B"/>
    <w:rsid w:val="008E5124"/>
    <w:rsid w:val="008F21CC"/>
    <w:rsid w:val="009023FE"/>
    <w:rsid w:val="009030EB"/>
    <w:rsid w:val="00916BD0"/>
    <w:rsid w:val="009216E2"/>
    <w:rsid w:val="0092650C"/>
    <w:rsid w:val="00954B87"/>
    <w:rsid w:val="0096798B"/>
    <w:rsid w:val="009A1439"/>
    <w:rsid w:val="009A7ACE"/>
    <w:rsid w:val="009B127C"/>
    <w:rsid w:val="009B7398"/>
    <w:rsid w:val="009C6237"/>
    <w:rsid w:val="009D37EF"/>
    <w:rsid w:val="009E7DA1"/>
    <w:rsid w:val="009F3713"/>
    <w:rsid w:val="00A124AF"/>
    <w:rsid w:val="00A41062"/>
    <w:rsid w:val="00A50D1E"/>
    <w:rsid w:val="00A54717"/>
    <w:rsid w:val="00A55C3F"/>
    <w:rsid w:val="00A70FA9"/>
    <w:rsid w:val="00A86017"/>
    <w:rsid w:val="00A906DE"/>
    <w:rsid w:val="00A90985"/>
    <w:rsid w:val="00AA197D"/>
    <w:rsid w:val="00AB5EB4"/>
    <w:rsid w:val="00AC62B2"/>
    <w:rsid w:val="00AD40A1"/>
    <w:rsid w:val="00AE13A0"/>
    <w:rsid w:val="00AE4179"/>
    <w:rsid w:val="00B005B8"/>
    <w:rsid w:val="00B02919"/>
    <w:rsid w:val="00B07258"/>
    <w:rsid w:val="00B152C2"/>
    <w:rsid w:val="00B173AF"/>
    <w:rsid w:val="00B22099"/>
    <w:rsid w:val="00B36FAA"/>
    <w:rsid w:val="00B61704"/>
    <w:rsid w:val="00B668C0"/>
    <w:rsid w:val="00B671C5"/>
    <w:rsid w:val="00B77F28"/>
    <w:rsid w:val="00B8047B"/>
    <w:rsid w:val="00B81D48"/>
    <w:rsid w:val="00B83DA3"/>
    <w:rsid w:val="00BA0A65"/>
    <w:rsid w:val="00BB5BA1"/>
    <w:rsid w:val="00BC0D14"/>
    <w:rsid w:val="00BD1B20"/>
    <w:rsid w:val="00BF1C58"/>
    <w:rsid w:val="00BF25C4"/>
    <w:rsid w:val="00C20577"/>
    <w:rsid w:val="00C31D57"/>
    <w:rsid w:val="00C336F3"/>
    <w:rsid w:val="00C354CD"/>
    <w:rsid w:val="00C472F3"/>
    <w:rsid w:val="00C50608"/>
    <w:rsid w:val="00C51838"/>
    <w:rsid w:val="00C60175"/>
    <w:rsid w:val="00CC5176"/>
    <w:rsid w:val="00CC5979"/>
    <w:rsid w:val="00CD1187"/>
    <w:rsid w:val="00CD5E2F"/>
    <w:rsid w:val="00CE03E1"/>
    <w:rsid w:val="00CE6570"/>
    <w:rsid w:val="00CE7A12"/>
    <w:rsid w:val="00D012BE"/>
    <w:rsid w:val="00D035C0"/>
    <w:rsid w:val="00D106CF"/>
    <w:rsid w:val="00D15809"/>
    <w:rsid w:val="00D30A56"/>
    <w:rsid w:val="00D40F0F"/>
    <w:rsid w:val="00D572EB"/>
    <w:rsid w:val="00D6095D"/>
    <w:rsid w:val="00D65D07"/>
    <w:rsid w:val="00D91C0C"/>
    <w:rsid w:val="00DA21E6"/>
    <w:rsid w:val="00DA2C54"/>
    <w:rsid w:val="00DC30B3"/>
    <w:rsid w:val="00DC5077"/>
    <w:rsid w:val="00DD2588"/>
    <w:rsid w:val="00DF3BFB"/>
    <w:rsid w:val="00DF6117"/>
    <w:rsid w:val="00E077F1"/>
    <w:rsid w:val="00E1351A"/>
    <w:rsid w:val="00E23E1C"/>
    <w:rsid w:val="00E34EBD"/>
    <w:rsid w:val="00E37904"/>
    <w:rsid w:val="00E44F3D"/>
    <w:rsid w:val="00E631A6"/>
    <w:rsid w:val="00E66085"/>
    <w:rsid w:val="00E75058"/>
    <w:rsid w:val="00E83B32"/>
    <w:rsid w:val="00E8409E"/>
    <w:rsid w:val="00EB75CC"/>
    <w:rsid w:val="00EC13AA"/>
    <w:rsid w:val="00EC4D4C"/>
    <w:rsid w:val="00ED498F"/>
    <w:rsid w:val="00EE0038"/>
    <w:rsid w:val="00EF6EF6"/>
    <w:rsid w:val="00F03D88"/>
    <w:rsid w:val="00F10439"/>
    <w:rsid w:val="00F11969"/>
    <w:rsid w:val="00F23969"/>
    <w:rsid w:val="00F4033D"/>
    <w:rsid w:val="00F40761"/>
    <w:rsid w:val="00F40EAD"/>
    <w:rsid w:val="00F90FCB"/>
    <w:rsid w:val="00FA6E84"/>
    <w:rsid w:val="00FB23CB"/>
    <w:rsid w:val="00FC2190"/>
    <w:rsid w:val="00FD492E"/>
    <w:rsid w:val="00FF68A7"/>
    <w:rsid w:val="00FF6D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8E42DA"/>
  <w15:docId w15:val="{7C1A6D0E-FC58-4C55-BEA0-E313F299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en-GB" w:bidi="ne-NP"/>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0"/>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qFormat="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0"/>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bidi="ar-SA"/>
    </w:rPr>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L"/>
    <w:basedOn w:val="Normal"/>
    <w:link w:val="ListParagraphChar"/>
    <w:uiPriority w:val="99"/>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uiPriority w:val="99"/>
    <w:qFormat/>
    <w:pPr>
      <w:keepNext w:val="0"/>
      <w:outlineLvl w:val="9"/>
    </w:pPr>
    <w:rPr>
      <w:b w:val="0"/>
    </w:rPr>
  </w:style>
  <w:style w:type="paragraph" w:customStyle="1" w:styleId="NumPar3">
    <w:name w:val="NumPar 3"/>
    <w:basedOn w:val="Heading3"/>
    <w:uiPriority w:val="99"/>
    <w:qFormat/>
    <w:pPr>
      <w:keepNext w:val="0"/>
      <w:outlineLvl w:val="9"/>
    </w:pPr>
    <w:rPr>
      <w:i w:val="0"/>
    </w:rPr>
  </w:style>
  <w:style w:type="paragraph" w:customStyle="1" w:styleId="NumPar4">
    <w:name w:val="NumPar 4"/>
    <w:basedOn w:val="Heading4"/>
    <w:uiPriority w:val="99"/>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hu-HU" w:eastAsia="en-GB"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bidi="ar-SA"/>
    </w:rPr>
  </w:style>
  <w:style w:type="character" w:customStyle="1" w:styleId="FooterCoverPageChar">
    <w:name w:val="Footer Cover Page Char"/>
    <w:basedOn w:val="Heading1Char"/>
    <w:link w:val="FooterCoverPage"/>
    <w:rPr>
      <w:b w:val="0"/>
      <w:smallCaps w:val="0"/>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Pr>
      <w:b/>
      <w:smallCaps w:val="0"/>
      <w:sz w:val="32"/>
      <w:lang w:bidi="ar-SA"/>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b/>
      <w:smallCaps w:val="0"/>
      <w:sz w:val="32"/>
      <w:lang w:bidi="ar-SA"/>
    </w:rPr>
  </w:style>
  <w:style w:type="character" w:styleId="CommentReference">
    <w:name w:val="annotation reference"/>
    <w:basedOn w:val="DefaultParagraphFont"/>
    <w:uiPriority w:val="99"/>
    <w:unhideWhenUsed/>
    <w:qFormat/>
    <w:rPr>
      <w:sz w:val="16"/>
      <w:szCs w:val="16"/>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lang w:bidi="ar-SA"/>
    </w:rPr>
  </w:style>
  <w:style w:type="character" w:customStyle="1" w:styleId="highlight">
    <w:name w:val="highlight"/>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bidi="ar-SA"/>
    </w:rPr>
  </w:style>
  <w:style w:type="character" w:customStyle="1" w:styleId="CommentSubjectChar">
    <w:name w:val="Comment Subject Char"/>
    <w:basedOn w:val="CommentTextChar"/>
    <w:link w:val="CommentSubject"/>
    <w:uiPriority w:val="99"/>
    <w:semiHidden/>
    <w:rPr>
      <w:b/>
      <w:bCs/>
      <w:lang w:bidi="ar-SA"/>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Revision">
    <w:name w:val="Revision"/>
    <w:hidden/>
    <w:uiPriority w:val="99"/>
    <w:semiHidden/>
    <w:rPr>
      <w:sz w:val="24"/>
      <w:lang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paragraph" w:customStyle="1" w:styleId="Hyperlink1">
    <w:name w:val="Hyperlink1"/>
    <w:basedOn w:val="Normal"/>
    <w:pPr>
      <w:spacing w:before="100" w:beforeAutospacing="1" w:after="100" w:afterAutospacing="1"/>
      <w:jc w:val="left"/>
    </w:pPr>
    <w:rPr>
      <w:szCs w:val="24"/>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L Char"/>
    <w:basedOn w:val="DefaultParagraphFont"/>
    <w:link w:val="ListParagraph"/>
    <w:uiPriority w:val="99"/>
    <w:qFormat/>
    <w:locked/>
    <w:rPr>
      <w:sz w:val="24"/>
      <w:lang w:bidi="ar-SA"/>
    </w:rPr>
  </w:style>
  <w:style w:type="table" w:styleId="TableGrid">
    <w:name w:val="Table Grid"/>
    <w:aliases w:val="Document Table,CV1,Gena,Tabellengitternetz"/>
    <w:basedOn w:val="TableNormal"/>
    <w:uiPriority w:val="59"/>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61">
    <w:name w:val="List Table 2 - Accent 61"/>
    <w:basedOn w:val="TableNormal"/>
    <w:uiPriority w:val="4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SUPERSChar"/>
    <w:uiPriority w:val="99"/>
    <w:unhideWhenUsed/>
    <w:qFormat/>
    <w:rPr>
      <w:vertAlign w:val="superscript"/>
    </w:rPr>
  </w:style>
  <w:style w:type="paragraph" w:customStyle="1" w:styleId="SecurityMarking">
    <w:name w:val="SecurityMarking"/>
    <w:basedOn w:val="Normal"/>
    <w:rsid w:val="00357419"/>
    <w:pPr>
      <w:spacing w:after="0" w:line="276" w:lineRule="auto"/>
      <w:ind w:left="5103"/>
      <w:jc w:val="left"/>
    </w:pPr>
    <w:rPr>
      <w:rFonts w:eastAsiaTheme="minorHAnsi"/>
      <w:sz w:val="28"/>
      <w:szCs w:val="22"/>
      <w:lang w:eastAsia="en-US"/>
    </w:rPr>
  </w:style>
  <w:style w:type="paragraph" w:customStyle="1" w:styleId="DateMarking">
    <w:name w:val="DateMarking"/>
    <w:basedOn w:val="Normal"/>
    <w:rsid w:val="00357419"/>
    <w:pPr>
      <w:spacing w:after="0" w:line="276" w:lineRule="auto"/>
      <w:ind w:left="5103"/>
      <w:jc w:val="left"/>
    </w:pPr>
    <w:rPr>
      <w:rFonts w:eastAsiaTheme="minorHAnsi"/>
      <w:i/>
      <w:sz w:val="28"/>
      <w:szCs w:val="22"/>
      <w:lang w:eastAsia="en-US"/>
    </w:rPr>
  </w:style>
  <w:style w:type="paragraph" w:customStyle="1" w:styleId="ReleasableTo">
    <w:name w:val="ReleasableTo"/>
    <w:basedOn w:val="Normal"/>
    <w:rsid w:val="00357419"/>
    <w:pPr>
      <w:spacing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rsid w:val="00357419"/>
    <w:pPr>
      <w:spacing w:after="120"/>
      <w:jc w:val="right"/>
    </w:pPr>
    <w:rPr>
      <w:sz w:val="28"/>
    </w:rPr>
  </w:style>
  <w:style w:type="paragraph" w:customStyle="1" w:styleId="Default">
    <w:name w:val="Default"/>
    <w:rsid w:val="002341CF"/>
    <w:pPr>
      <w:autoSpaceDE w:val="0"/>
      <w:autoSpaceDN w:val="0"/>
      <w:adjustRightInd w:val="0"/>
      <w:jc w:val="both"/>
    </w:pPr>
    <w:rPr>
      <w:rFonts w:ascii="Arial" w:eastAsiaTheme="minorHAnsi" w:hAnsi="Arial" w:cs="Arial"/>
      <w:color w:val="000000"/>
      <w:sz w:val="24"/>
      <w:szCs w:val="24"/>
      <w:lang w:eastAsia="en-US" w:bidi="ar-SA"/>
    </w:rPr>
  </w:style>
  <w:style w:type="paragraph" w:customStyle="1" w:styleId="SUPERSChar">
    <w:name w:val="SUPERS Char"/>
    <w:aliases w:val="EN Footnote Reference Char"/>
    <w:basedOn w:val="Normal"/>
    <w:link w:val="FootnoteReference"/>
    <w:uiPriority w:val="99"/>
    <w:rsid w:val="002341CF"/>
    <w:pPr>
      <w:widowControl w:val="0"/>
      <w:adjustRightInd w:val="0"/>
      <w:spacing w:after="160" w:line="240" w:lineRule="exact"/>
      <w:textAlignment w:val="baseline"/>
    </w:pPr>
    <w:rPr>
      <w:sz w:val="20"/>
      <w:vertAlign w:val="superscript"/>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0957">
      <w:bodyDiv w:val="1"/>
      <w:marLeft w:val="0"/>
      <w:marRight w:val="0"/>
      <w:marTop w:val="0"/>
      <w:marBottom w:val="0"/>
      <w:divBdr>
        <w:top w:val="none" w:sz="0" w:space="0" w:color="auto"/>
        <w:left w:val="none" w:sz="0" w:space="0" w:color="auto"/>
        <w:bottom w:val="none" w:sz="0" w:space="0" w:color="auto"/>
        <w:right w:val="none" w:sz="0" w:space="0" w:color="auto"/>
      </w:divBdr>
    </w:div>
    <w:div w:id="295643350">
      <w:bodyDiv w:val="1"/>
      <w:marLeft w:val="0"/>
      <w:marRight w:val="0"/>
      <w:marTop w:val="0"/>
      <w:marBottom w:val="0"/>
      <w:divBdr>
        <w:top w:val="none" w:sz="0" w:space="0" w:color="auto"/>
        <w:left w:val="none" w:sz="0" w:space="0" w:color="auto"/>
        <w:bottom w:val="none" w:sz="0" w:space="0" w:color="auto"/>
        <w:right w:val="none" w:sz="0" w:space="0" w:color="auto"/>
      </w:divBdr>
      <w:divsChild>
        <w:div w:id="28920184">
          <w:marLeft w:val="0"/>
          <w:marRight w:val="0"/>
          <w:marTop w:val="0"/>
          <w:marBottom w:val="0"/>
          <w:divBdr>
            <w:top w:val="none" w:sz="0" w:space="0" w:color="auto"/>
            <w:left w:val="none" w:sz="0" w:space="0" w:color="auto"/>
            <w:bottom w:val="none" w:sz="0" w:space="0" w:color="auto"/>
            <w:right w:val="none" w:sz="0" w:space="0" w:color="auto"/>
          </w:divBdr>
        </w:div>
        <w:div w:id="210923017">
          <w:marLeft w:val="0"/>
          <w:marRight w:val="0"/>
          <w:marTop w:val="0"/>
          <w:marBottom w:val="0"/>
          <w:divBdr>
            <w:top w:val="none" w:sz="0" w:space="0" w:color="auto"/>
            <w:left w:val="none" w:sz="0" w:space="0" w:color="auto"/>
            <w:bottom w:val="none" w:sz="0" w:space="0" w:color="auto"/>
            <w:right w:val="none" w:sz="0" w:space="0" w:color="auto"/>
          </w:divBdr>
        </w:div>
        <w:div w:id="957569478">
          <w:marLeft w:val="0"/>
          <w:marRight w:val="0"/>
          <w:marTop w:val="0"/>
          <w:marBottom w:val="0"/>
          <w:divBdr>
            <w:top w:val="none" w:sz="0" w:space="0" w:color="auto"/>
            <w:left w:val="none" w:sz="0" w:space="0" w:color="auto"/>
            <w:bottom w:val="none" w:sz="0" w:space="0" w:color="auto"/>
            <w:right w:val="none" w:sz="0" w:space="0" w:color="auto"/>
          </w:divBdr>
        </w:div>
        <w:div w:id="1655143573">
          <w:marLeft w:val="0"/>
          <w:marRight w:val="0"/>
          <w:marTop w:val="0"/>
          <w:marBottom w:val="0"/>
          <w:divBdr>
            <w:top w:val="none" w:sz="0" w:space="0" w:color="auto"/>
            <w:left w:val="none" w:sz="0" w:space="0" w:color="auto"/>
            <w:bottom w:val="none" w:sz="0" w:space="0" w:color="auto"/>
            <w:right w:val="none" w:sz="0" w:space="0" w:color="auto"/>
          </w:divBdr>
        </w:div>
        <w:div w:id="1755589930">
          <w:marLeft w:val="0"/>
          <w:marRight w:val="0"/>
          <w:marTop w:val="0"/>
          <w:marBottom w:val="0"/>
          <w:divBdr>
            <w:top w:val="none" w:sz="0" w:space="0" w:color="auto"/>
            <w:left w:val="none" w:sz="0" w:space="0" w:color="auto"/>
            <w:bottom w:val="none" w:sz="0" w:space="0" w:color="auto"/>
            <w:right w:val="none" w:sz="0" w:space="0" w:color="auto"/>
          </w:divBdr>
        </w:div>
      </w:divsChild>
    </w:div>
    <w:div w:id="429861855">
      <w:bodyDiv w:val="1"/>
      <w:marLeft w:val="0"/>
      <w:marRight w:val="0"/>
      <w:marTop w:val="0"/>
      <w:marBottom w:val="0"/>
      <w:divBdr>
        <w:top w:val="none" w:sz="0" w:space="0" w:color="auto"/>
        <w:left w:val="none" w:sz="0" w:space="0" w:color="auto"/>
        <w:bottom w:val="none" w:sz="0" w:space="0" w:color="auto"/>
        <w:right w:val="none" w:sz="0" w:space="0" w:color="auto"/>
      </w:divBdr>
    </w:div>
    <w:div w:id="599023146">
      <w:bodyDiv w:val="1"/>
      <w:marLeft w:val="0"/>
      <w:marRight w:val="0"/>
      <w:marTop w:val="0"/>
      <w:marBottom w:val="0"/>
      <w:divBdr>
        <w:top w:val="none" w:sz="0" w:space="0" w:color="auto"/>
        <w:left w:val="none" w:sz="0" w:space="0" w:color="auto"/>
        <w:bottom w:val="none" w:sz="0" w:space="0" w:color="auto"/>
        <w:right w:val="none" w:sz="0" w:space="0" w:color="auto"/>
      </w:divBdr>
    </w:div>
    <w:div w:id="683942521">
      <w:bodyDiv w:val="1"/>
      <w:marLeft w:val="0"/>
      <w:marRight w:val="0"/>
      <w:marTop w:val="0"/>
      <w:marBottom w:val="0"/>
      <w:divBdr>
        <w:top w:val="none" w:sz="0" w:space="0" w:color="auto"/>
        <w:left w:val="none" w:sz="0" w:space="0" w:color="auto"/>
        <w:bottom w:val="none" w:sz="0" w:space="0" w:color="auto"/>
        <w:right w:val="none" w:sz="0" w:space="0" w:color="auto"/>
      </w:divBdr>
    </w:div>
    <w:div w:id="845484269">
      <w:bodyDiv w:val="1"/>
      <w:marLeft w:val="0"/>
      <w:marRight w:val="0"/>
      <w:marTop w:val="0"/>
      <w:marBottom w:val="0"/>
      <w:divBdr>
        <w:top w:val="none" w:sz="0" w:space="0" w:color="auto"/>
        <w:left w:val="none" w:sz="0" w:space="0" w:color="auto"/>
        <w:bottom w:val="none" w:sz="0" w:space="0" w:color="auto"/>
        <w:right w:val="none" w:sz="0" w:space="0" w:color="auto"/>
      </w:divBdr>
    </w:div>
    <w:div w:id="940574702">
      <w:bodyDiv w:val="1"/>
      <w:marLeft w:val="0"/>
      <w:marRight w:val="0"/>
      <w:marTop w:val="0"/>
      <w:marBottom w:val="0"/>
      <w:divBdr>
        <w:top w:val="none" w:sz="0" w:space="0" w:color="auto"/>
        <w:left w:val="none" w:sz="0" w:space="0" w:color="auto"/>
        <w:bottom w:val="none" w:sz="0" w:space="0" w:color="auto"/>
        <w:right w:val="none" w:sz="0" w:space="0" w:color="auto"/>
      </w:divBdr>
      <w:divsChild>
        <w:div w:id="558832263">
          <w:marLeft w:val="0"/>
          <w:marRight w:val="0"/>
          <w:marTop w:val="0"/>
          <w:marBottom w:val="0"/>
          <w:divBdr>
            <w:top w:val="none" w:sz="0" w:space="0" w:color="auto"/>
            <w:left w:val="none" w:sz="0" w:space="0" w:color="auto"/>
            <w:bottom w:val="none" w:sz="0" w:space="0" w:color="auto"/>
            <w:right w:val="none" w:sz="0" w:space="0" w:color="auto"/>
          </w:divBdr>
        </w:div>
        <w:div w:id="1232035111">
          <w:marLeft w:val="0"/>
          <w:marRight w:val="0"/>
          <w:marTop w:val="0"/>
          <w:marBottom w:val="0"/>
          <w:divBdr>
            <w:top w:val="none" w:sz="0" w:space="0" w:color="auto"/>
            <w:left w:val="none" w:sz="0" w:space="0" w:color="auto"/>
            <w:bottom w:val="none" w:sz="0" w:space="0" w:color="auto"/>
            <w:right w:val="none" w:sz="0" w:space="0" w:color="auto"/>
          </w:divBdr>
        </w:div>
        <w:div w:id="1737123179">
          <w:marLeft w:val="0"/>
          <w:marRight w:val="0"/>
          <w:marTop w:val="0"/>
          <w:marBottom w:val="0"/>
          <w:divBdr>
            <w:top w:val="none" w:sz="0" w:space="0" w:color="auto"/>
            <w:left w:val="none" w:sz="0" w:space="0" w:color="auto"/>
            <w:bottom w:val="none" w:sz="0" w:space="0" w:color="auto"/>
            <w:right w:val="none" w:sz="0" w:space="0" w:color="auto"/>
          </w:divBdr>
        </w:div>
        <w:div w:id="1863204959">
          <w:marLeft w:val="0"/>
          <w:marRight w:val="0"/>
          <w:marTop w:val="0"/>
          <w:marBottom w:val="0"/>
          <w:divBdr>
            <w:top w:val="none" w:sz="0" w:space="0" w:color="auto"/>
            <w:left w:val="none" w:sz="0" w:space="0" w:color="auto"/>
            <w:bottom w:val="none" w:sz="0" w:space="0" w:color="auto"/>
            <w:right w:val="none" w:sz="0" w:space="0" w:color="auto"/>
          </w:divBdr>
        </w:div>
      </w:divsChild>
    </w:div>
    <w:div w:id="1113087480">
      <w:bodyDiv w:val="1"/>
      <w:marLeft w:val="0"/>
      <w:marRight w:val="0"/>
      <w:marTop w:val="0"/>
      <w:marBottom w:val="0"/>
      <w:divBdr>
        <w:top w:val="none" w:sz="0" w:space="0" w:color="auto"/>
        <w:left w:val="none" w:sz="0" w:space="0" w:color="auto"/>
        <w:bottom w:val="none" w:sz="0" w:space="0" w:color="auto"/>
        <w:right w:val="none" w:sz="0" w:space="0" w:color="auto"/>
      </w:divBdr>
    </w:div>
    <w:div w:id="1126778665">
      <w:bodyDiv w:val="1"/>
      <w:marLeft w:val="0"/>
      <w:marRight w:val="0"/>
      <w:marTop w:val="0"/>
      <w:marBottom w:val="0"/>
      <w:divBdr>
        <w:top w:val="none" w:sz="0" w:space="0" w:color="auto"/>
        <w:left w:val="none" w:sz="0" w:space="0" w:color="auto"/>
        <w:bottom w:val="none" w:sz="0" w:space="0" w:color="auto"/>
        <w:right w:val="none" w:sz="0" w:space="0" w:color="auto"/>
      </w:divBdr>
    </w:div>
    <w:div w:id="1145855044">
      <w:bodyDiv w:val="1"/>
      <w:marLeft w:val="0"/>
      <w:marRight w:val="0"/>
      <w:marTop w:val="0"/>
      <w:marBottom w:val="0"/>
      <w:divBdr>
        <w:top w:val="none" w:sz="0" w:space="0" w:color="auto"/>
        <w:left w:val="none" w:sz="0" w:space="0" w:color="auto"/>
        <w:bottom w:val="none" w:sz="0" w:space="0" w:color="auto"/>
        <w:right w:val="none" w:sz="0" w:space="0" w:color="auto"/>
      </w:divBdr>
    </w:div>
    <w:div w:id="1372805335">
      <w:bodyDiv w:val="1"/>
      <w:marLeft w:val="0"/>
      <w:marRight w:val="0"/>
      <w:marTop w:val="0"/>
      <w:marBottom w:val="0"/>
      <w:divBdr>
        <w:top w:val="none" w:sz="0" w:space="0" w:color="auto"/>
        <w:left w:val="none" w:sz="0" w:space="0" w:color="auto"/>
        <w:bottom w:val="none" w:sz="0" w:space="0" w:color="auto"/>
        <w:right w:val="none" w:sz="0" w:space="0" w:color="auto"/>
      </w:divBdr>
    </w:div>
    <w:div w:id="1634408765">
      <w:bodyDiv w:val="1"/>
      <w:marLeft w:val="0"/>
      <w:marRight w:val="0"/>
      <w:marTop w:val="0"/>
      <w:marBottom w:val="0"/>
      <w:divBdr>
        <w:top w:val="none" w:sz="0" w:space="0" w:color="auto"/>
        <w:left w:val="none" w:sz="0" w:space="0" w:color="auto"/>
        <w:bottom w:val="none" w:sz="0" w:space="0" w:color="auto"/>
        <w:right w:val="none" w:sz="0" w:space="0" w:color="auto"/>
      </w:divBdr>
    </w:div>
    <w:div w:id="1832019599">
      <w:bodyDiv w:val="1"/>
      <w:marLeft w:val="0"/>
      <w:marRight w:val="0"/>
      <w:marTop w:val="0"/>
      <w:marBottom w:val="0"/>
      <w:divBdr>
        <w:top w:val="none" w:sz="0" w:space="0" w:color="auto"/>
        <w:left w:val="none" w:sz="0" w:space="0" w:color="auto"/>
        <w:bottom w:val="none" w:sz="0" w:space="0" w:color="auto"/>
        <w:right w:val="none" w:sz="0" w:space="0" w:color="auto"/>
      </w:divBdr>
    </w:div>
    <w:div w:id="2026666720">
      <w:bodyDiv w:val="1"/>
      <w:marLeft w:val="0"/>
      <w:marRight w:val="0"/>
      <w:marTop w:val="0"/>
      <w:marBottom w:val="0"/>
      <w:divBdr>
        <w:top w:val="none" w:sz="0" w:space="0" w:color="auto"/>
        <w:left w:val="none" w:sz="0" w:space="0" w:color="auto"/>
        <w:bottom w:val="none" w:sz="0" w:space="0" w:color="auto"/>
        <w:right w:val="none" w:sz="0" w:space="0" w:color="auto"/>
      </w:divBdr>
    </w:div>
    <w:div w:id="2073388198">
      <w:bodyDiv w:val="1"/>
      <w:marLeft w:val="0"/>
      <w:marRight w:val="0"/>
      <w:marTop w:val="0"/>
      <w:marBottom w:val="0"/>
      <w:divBdr>
        <w:top w:val="none" w:sz="0" w:space="0" w:color="auto"/>
        <w:left w:val="none" w:sz="0" w:space="0" w:color="auto"/>
        <w:bottom w:val="none" w:sz="0" w:space="0" w:color="auto"/>
        <w:right w:val="none" w:sz="0" w:space="0" w:color="auto"/>
      </w:divBdr>
      <w:divsChild>
        <w:div w:id="292563720">
          <w:marLeft w:val="0"/>
          <w:marRight w:val="0"/>
          <w:marTop w:val="0"/>
          <w:marBottom w:val="0"/>
          <w:divBdr>
            <w:top w:val="none" w:sz="0" w:space="0" w:color="auto"/>
            <w:left w:val="none" w:sz="0" w:space="0" w:color="auto"/>
            <w:bottom w:val="none" w:sz="0" w:space="0" w:color="auto"/>
            <w:right w:val="none" w:sz="0" w:space="0" w:color="auto"/>
          </w:divBdr>
        </w:div>
        <w:div w:id="1578057268">
          <w:marLeft w:val="0"/>
          <w:marRight w:val="0"/>
          <w:marTop w:val="0"/>
          <w:marBottom w:val="0"/>
          <w:divBdr>
            <w:top w:val="none" w:sz="0" w:space="0" w:color="auto"/>
            <w:left w:val="none" w:sz="0" w:space="0" w:color="auto"/>
            <w:bottom w:val="none" w:sz="0" w:space="0" w:color="auto"/>
            <w:right w:val="none" w:sz="0" w:space="0" w:color="auto"/>
          </w:divBdr>
        </w:div>
        <w:div w:id="17893493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data.europa.eu/doi/10.2784/62582" TargetMode="External"/><Relationship Id="rId1" Type="http://schemas.openxmlformats.org/officeDocument/2006/relationships/hyperlink" Target="https://ec.europa.eu/anti-fraud/report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790096C3C6E48BCF063689AA5D52C" ma:contentTypeVersion="0" ma:contentTypeDescription="Create a new document." ma:contentTypeScope="" ma:versionID="8f1a769da26674d77cdeba3c66e748f8">
  <xsd:schema xmlns:xsd="http://www.w3.org/2001/XMLSchema" xmlns:xs="http://www.w3.org/2001/XMLSchema" xmlns:p="http://schemas.microsoft.com/office/2006/metadata/properties" targetNamespace="http://schemas.microsoft.com/office/2006/metadata/properties" ma:root="true" ma:fieldsID="4b5fe55c7592d11ba4d605913986c3f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
  <Created>
    <Version>10.0.37441.0</Version>
    <Date>2018-06-07T17:15:16</Date>
    <Language>EN</Language>
    <Note/>
  </Created>
  <Edited>
    <Version>10.0.41840.0</Version>
    <Date>2021-11-11T16:57:27</Date>
  </Edited>
  <DocumentModel>
    <Id>6cbda13a-4db2-46c6-876a-ef72275827ef</Id>
    <Name>Report</Name>
  </DocumentModel>
  <DocumentDate>2018-06-07T17:15:16</DocumentDate>
  <DocumentVersion>0.1</DocumentVersion>
  <CompatibilityMode>Eurolook10</CompatibilityMode>
</Eurolook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02587439257D4990995187F497FE7C" ma:contentTypeVersion="0" ma:contentTypeDescription="Create a new document." ma:contentTypeScope="" ma:versionID="7a2e6b49bae686807becec02e7979dfc">
  <xsd:schema xmlns:xsd="http://www.w3.org/2001/XMLSchema" xmlns:xs="http://www.w3.org/2001/XMLSchema" xmlns:p="http://schemas.microsoft.com/office/2006/metadata/properties" targetNamespace="http://schemas.microsoft.com/office/2006/metadata/properties" ma:root="true" ma:fieldsID="b1efd5a2684c0cf2cd74cced9ed1e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Author Role="Creator">
  <Id>58d2e0f9-a26b-4669-b291-b358827010d4</Id>
  <Names>
    <Latin>
      <FirstName>Manuel</FirstName>
      <LastName>Carmona Yebra</LastName>
    </Latin>
    <Greek>
      <FirstName/>
      <LastName/>
    </Greek>
    <Cyrillic>
      <FirstName/>
      <LastName/>
    </Cyrillic>
    <DocumentScript>
      <FirstName>Manuel</FirstName>
      <LastName>Carmona Yebra</LastName>
      <FullName>Manuel Carmona Yebra</FullName>
    </DocumentScript>
  </Names>
  <Initials>MCY</Initials>
  <Gender>m</Gender>
  <Email>Manuel.CARMONA-YEBRA@ec.europa.eu</Email>
  <Service>CLIMA.A.3</Service>
  <Function>Policy Officer</Function>
  <WebAddress>https://ec.europa.eu/clima/policies/adaptation_en</WebAddress>
  <InheritedWebAddress>https://ec.europa.eu/clima/policies/adaptation_en</InheritedWebAddress>
  <OrgaEntity1>
    <Id>494505e3-c184-406f-85c1-b535bf446120</Id>
    <LogicalLevel>1</LogicalLevel>
    <Name>CLIMA</Name>
    <HeadLine1>DIRECTORATE-GENERAL</HeadLine1>
    <HeadLine2>CLIMATE ACTION</HeadLine2>
    <PrimaryAddressId>f03b5801-04c9-4931-aa17-c6d6c70bc579</PrimaryAddressId>
    <SecondaryAddressId/>
    <WebAddress/>
    <InheritedWebAddress>http://europa.eu</InheritedWebAddress>
    <ShowInHeader>true</ShowInHeader>
  </OrgaEntity1>
  <OrgaEntity2>
    <Id>fca2cc3c-b41a-417a-8ead-bbaff587ebb9</Id>
    <LogicalLevel>2</LogicalLevel>
    <Name>CLIMA.A</Name>
    <HeadLine1>Directorate A - International and Mainstreaming</HeadLine1>
    <HeadLine2/>
    <PrimaryAddressId>f03b5801-04c9-4931-aa17-c6d6c70bc579</PrimaryAddressId>
    <SecondaryAddressId/>
    <WebAddress/>
    <InheritedWebAddress>http://europa.eu</InheritedWebAddress>
    <ShowInHeader>true</ShowInHeader>
  </OrgaEntity2>
  <OrgaEntity3>
    <Id>7a625a99-6f8b-4810-82ec-9b2328536b37</Id>
    <LogicalLevel>3</LogicalLevel>
    <Name>CLIMA.A.3</Name>
    <HeadLine1>CLIMA.A.3 - Adaptation</HeadLine1>
    <HeadLine2/>
    <PrimaryAddressId>f03b5801-04c9-4931-aa17-c6d6c70bc579</PrimaryAddressId>
    <SecondaryAddressId/>
    <WebAddress/>
    <InheritedWebAddress>http://europa.eu</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+32 229 96247</Phone>
    <Office>BU24 01/022</Office>
  </MainWorkplace>
  <Workplaces>
    <Workplace IsMain="false">
      <AddressId>1264fb81-f6bb-475e-9f9d-a937d3be6ee2</AddressId>
      <Fax/>
      <Phone/>
      <Office/>
    </Workplace>
    <Workplace IsMain="true">
      <AddressId>f03b5801-04c9-4931-aa17-c6d6c70bc579</AddressId>
      <Fax/>
      <Phone>+32 229 96247</Phone>
      <Office>BU24 01/022</Office>
    </Workplace>
  </Workplaces>
</Author>
</file>

<file path=customXml/item7.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8.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C6E09CD-75B3-45DD-A48E-B18EDF36E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771CC9-3AC7-48E5-8AEA-EC7B93EFFE57}">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22B563C6-102C-4B63-9109-A4E2D5B5C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237780D-0C6F-40EF-B7C4-F057D46312ED}">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EE044946-5330-43F7-8D16-AA78684F2938}">
  <ds:schemaRefs/>
</ds:datastoreItem>
</file>

<file path=customXml/itemProps7.xml><?xml version="1.0" encoding="utf-8"?>
<ds:datastoreItem xmlns:ds="http://schemas.openxmlformats.org/officeDocument/2006/customXml" ds:itemID="{4EF90DE6-88B6-4264-9629-4D8DFDFE87D2}">
  <ds:schemaRefs/>
</ds:datastoreItem>
</file>

<file path=customXml/itemProps8.xml><?xml version="1.0" encoding="utf-8"?>
<ds:datastoreItem xmlns:ds="http://schemas.openxmlformats.org/officeDocument/2006/customXml" ds:itemID="{5398F433-B1A6-412C-867D-5E70925B0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3179</Words>
  <Characters>22004</Characters>
  <Application>Microsoft Office Word</Application>
  <DocSecurity>0</DocSecurity>
  <PresentationFormat>Microsoft Word 14.0</PresentationFormat>
  <Lines>338</Lines>
  <Paragraphs>72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37</cp:revision>
  <cp:lastPrinted>2021-09-28T10:11:00Z</cp:lastPrinted>
  <dcterms:created xsi:type="dcterms:W3CDTF">2021-11-10T15:54:00Z</dcterms:created>
  <dcterms:modified xsi:type="dcterms:W3CDTF">2021-12-16T17:17:00Z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IsMyDocuments">
    <vt:bool>true</vt:bool>
  </property>
  <property fmtid="{D5CDD505-2E9C-101B-9397-08002B2CF9AE}" pid="7" name="Last edited using">
    <vt:lpwstr>LW 7.0.1, Build 20200226</vt:lpwstr>
  </property>
  <property fmtid="{D5CDD505-2E9C-101B-9397-08002B2CF9AE}" pid="8" name="Created using">
    <vt:lpwstr>LW 6.0.1, Build 20180503</vt:lpwstr>
  </property>
  <property fmtid="{D5CDD505-2E9C-101B-9397-08002B2CF9AE}" pid="9" name="CPTemplateID">
    <vt:lpwstr>CP-006</vt:lpwstr>
  </property>
  <property fmtid="{D5CDD505-2E9C-101B-9397-08002B2CF9AE}" pid="10" name="ContentTypeId">
    <vt:lpwstr>0x0101006E02587439257D4990995187F497FE7C</vt:lpwstr>
  </property>
  <property fmtid="{D5CDD505-2E9C-101B-9397-08002B2CF9AE}" pid="11" name="_LW_INVALIDATED_EurolookVersion">
    <vt:lpwstr>10.0</vt:lpwstr>
  </property>
  <property fmtid="{D5CDD505-2E9C-101B-9397-08002B2CF9AE}" pid="12" name="_LW_INVALIDATED_ELDocType">
    <vt:lpwstr>rep.dot</vt:lpwstr>
  </property>
  <property fmtid="{D5CDD505-2E9C-101B-9397-08002B2CF9AE}" pid="13" name="_LW_INVALIDATED_ContentTypeId">
    <vt:lpwstr>0x01010006B790096C3C6E48BCF063689AA5D52C</vt:lpwstr>
  </property>
  <property fmtid="{D5CDD505-2E9C-101B-9397-08002B2CF9AE}" pid="14" name="_LW_INVALIDATED_Formatting">
    <vt:lpwstr>4.1</vt:lpwstr>
  </property>
  <property fmtid="{D5CDD505-2E9C-101B-9397-08002B2CF9AE}" pid="15" name="_LW_INVALIDATED__LW_INVALIDATED__LW_INVALIDATED_EurolookVersion">
    <vt:lpwstr>10.0</vt:lpwstr>
  </property>
  <property fmtid="{D5CDD505-2E9C-101B-9397-08002B2CF9AE}" pid="16" name="_LW_INVALIDATED__LW_INVALIDATED__LW_INVALIDATED_ELDocType">
    <vt:lpwstr>rep.dot</vt:lpwstr>
  </property>
  <property fmtid="{D5CDD505-2E9C-101B-9397-08002B2CF9AE}" pid="17" name="_LW_INVALIDATED__LW_INVALIDATED__LW_INVALIDATED_ContentTypeId">
    <vt:lpwstr>0x01010006B790096C3C6E48BCF063689AA5D52C</vt:lpwstr>
  </property>
  <property fmtid="{D5CDD505-2E9C-101B-9397-08002B2CF9AE}" pid="18" name="_LW_INVALIDATED__LW_INVALIDATED__LW_INVALIDATED_Formatting">
    <vt:lpwstr>4.1</vt:lpwstr>
  </property>
</Properties>
</file>