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A2E" w:rsidRPr="00D43ED4" w:rsidRDefault="006D1872" w:rsidP="006D1872">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D37EDF3-F18E-4875-90B6-B4F40FC5F965" style="width:455.25pt;height:324pt">
            <v:imagedata r:id="rId14" o:title=""/>
          </v:shape>
        </w:pict>
      </w:r>
    </w:p>
    <w:bookmarkEnd w:id="0"/>
    <w:p w:rsidR="00982DF5" w:rsidRPr="00D43ED4" w:rsidRDefault="00982DF5" w:rsidP="00B73EA5">
      <w:pPr>
        <w:spacing w:line="240" w:lineRule="auto"/>
        <w:jc w:val="both"/>
        <w:rPr>
          <w:rFonts w:ascii="Times New Roman" w:hAnsi="Times New Roman" w:cs="Times New Roman"/>
          <w:noProof/>
          <w:sz w:val="24"/>
          <w:szCs w:val="24"/>
        </w:rPr>
        <w:sectPr w:rsidR="00982DF5" w:rsidRPr="00D43ED4" w:rsidSect="006D1872">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60"/>
        </w:sectPr>
      </w:pPr>
    </w:p>
    <w:p w:rsidR="004D3A2E" w:rsidRPr="00AD439B" w:rsidRDefault="001611CB" w:rsidP="00B73EA5">
      <w:pPr>
        <w:pStyle w:val="Heading1"/>
        <w:numPr>
          <w:ilvl w:val="0"/>
          <w:numId w:val="39"/>
        </w:numPr>
        <w:jc w:val="both"/>
        <w:rPr>
          <w:rFonts w:ascii="Times New Roman" w:hAnsi="Times New Roman"/>
          <w:noProof/>
        </w:rPr>
      </w:pPr>
      <w:bookmarkStart w:id="1" w:name="_GoBack"/>
      <w:bookmarkEnd w:id="1"/>
      <w:r w:rsidRPr="00AD439B">
        <w:rPr>
          <w:rFonts w:ascii="Times New Roman" w:hAnsi="Times New Roman"/>
          <w:noProof/>
        </w:rPr>
        <w:lastRenderedPageBreak/>
        <w:t>Úvod</w:t>
      </w:r>
    </w:p>
    <w:p w:rsidR="00A45897" w:rsidRPr="00D43ED4" w:rsidRDefault="00A45897" w:rsidP="00B73EA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Už od vytvorenia Európskej únie prispieva politika hospodárskej súťaže k zachovaniu a podpore </w:t>
      </w:r>
      <w:r w:rsidRPr="00AD439B">
        <w:rPr>
          <w:rFonts w:ascii="Times New Roman" w:hAnsi="Times New Roman"/>
          <w:b/>
          <w:noProof/>
          <w:sz w:val="24"/>
          <w:szCs w:val="24"/>
        </w:rPr>
        <w:t>hospodárskej prosperity Únie</w:t>
      </w:r>
      <w:r w:rsidRPr="00D43ED4">
        <w:rPr>
          <w:rFonts w:ascii="Times New Roman" w:hAnsi="Times New Roman"/>
          <w:noProof/>
          <w:sz w:val="24"/>
          <w:szCs w:val="24"/>
        </w:rPr>
        <w:t>. Vďaka dôraznému presadzovaniu pravidiel hospodárskej súťaže sa môžu európski spotrebitelia a zákazníci, teda občania a podniky, lepšie rozhodovať na trhu a využívať inovatívne výrobky a služby za prijateľné ceny</w:t>
      </w:r>
      <w:r w:rsidRPr="00D43ED4">
        <w:rPr>
          <w:rStyle w:val="FootnoteReference"/>
          <w:rFonts w:ascii="Times New Roman" w:hAnsi="Times New Roman" w:cs="Times New Roman"/>
          <w:noProof/>
          <w:sz w:val="24"/>
          <w:szCs w:val="24"/>
        </w:rPr>
        <w:footnoteReference w:id="2"/>
      </w:r>
      <w:r w:rsidRPr="00D43ED4">
        <w:rPr>
          <w:rFonts w:ascii="Times New Roman" w:hAnsi="Times New Roman"/>
          <w:noProof/>
          <w:sz w:val="24"/>
          <w:szCs w:val="24"/>
        </w:rPr>
        <w:t xml:space="preserve">. Toto dôrazné presadzovanie zároveň pomáha podporovať dynamickú a energickú štruktúru nášho európskeho hospodárstva, ktorú tvoria podnikatelia, startupy a celosvetoví vedúci predstavitelia priemyslu všetkých veľkostí, od malých a stredných podnikov (MSP) až po nadnárodné konglomeráty. </w:t>
      </w:r>
    </w:p>
    <w:p w:rsidR="005E45E0" w:rsidRPr="00D43ED4" w:rsidRDefault="005E45E0" w:rsidP="00083FF1">
      <w:pPr>
        <w:spacing w:after="240" w:line="240" w:lineRule="auto"/>
        <w:jc w:val="both"/>
        <w:rPr>
          <w:rFonts w:ascii="Times New Roman" w:hAnsi="Times New Roman" w:cs="Times New Roman"/>
          <w:noProof/>
          <w:sz w:val="24"/>
          <w:szCs w:val="24"/>
        </w:rPr>
      </w:pPr>
      <w:r w:rsidRPr="00AD439B">
        <w:rPr>
          <w:rFonts w:ascii="Times New Roman" w:hAnsi="Times New Roman"/>
          <w:b/>
          <w:noProof/>
          <w:sz w:val="24"/>
          <w:szCs w:val="24"/>
        </w:rPr>
        <w:t>Pandémia COVID-19 opäť dokázala, ako sa môže európske hospodárstvo dostať vďaka svojej odolnosti a inovačným schopnostiam do vedenia</w:t>
      </w:r>
      <w:r w:rsidRPr="00D43ED4">
        <w:rPr>
          <w:rFonts w:ascii="Times New Roman" w:hAnsi="Times New Roman"/>
          <w:noProof/>
          <w:sz w:val="24"/>
          <w:szCs w:val="24"/>
        </w:rPr>
        <w:t xml:space="preserve">: európsky priemysel sa veľmi usiloval v rekordnom čase vyvinúť účinné vakcíny proti ochoreniu COVID-19, uviesť ich na trh a dodať do celého sveta. Podarilo sa mu prispôsobiť sa potrebám vyplývajúcim z krízy zmenou výrobných liniek na výrobu rúšok a osobných ochranných prostriedkov v prospech všetkých Európanov. Európske spoločnosti rýchlo zmenili obchodné modely a mnohé z nich sa zo dňa na deň preorientovali na elektronický obchod. To by nebolo možné bez flexibility, snahy o inováciu a stimulov na dosiahnutie úspechu, ktoré sa do európskeho hospodárstva vnášali po celé desaťročia presadzovania pravidiel hospodárskej súťaže a jej regulácie. </w:t>
      </w:r>
    </w:p>
    <w:p w:rsidR="00141A31" w:rsidRPr="00D43ED4" w:rsidRDefault="00B97462">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Politika hospodárskej súťaže zohrala dôležitú úlohu aj v súbore nástrojov reakcie na krízu, ktorý má Únia k dispozícii,</w:t>
      </w:r>
      <w:r w:rsidRPr="00D43ED4">
        <w:rPr>
          <w:rStyle w:val="s3"/>
          <w:rFonts w:ascii="Times New Roman" w:hAnsi="Times New Roman"/>
          <w:noProof/>
          <w:sz w:val="24"/>
          <w:szCs w:val="24"/>
        </w:rPr>
        <w:t xml:space="preserve"> čím preukázala svoju</w:t>
      </w:r>
      <w:r w:rsidRPr="00D43ED4">
        <w:rPr>
          <w:rFonts w:ascii="Times New Roman" w:hAnsi="Times New Roman"/>
          <w:noProof/>
          <w:sz w:val="24"/>
          <w:szCs w:val="24"/>
        </w:rPr>
        <w:t xml:space="preserve"> integrovanú schopnosť rýchlo reagovať na </w:t>
      </w:r>
      <w:r w:rsidRPr="00D43ED4">
        <w:rPr>
          <w:rStyle w:val="s3"/>
          <w:rFonts w:ascii="Times New Roman" w:hAnsi="Times New Roman"/>
          <w:noProof/>
          <w:sz w:val="24"/>
          <w:szCs w:val="24"/>
        </w:rPr>
        <w:t>náhle zmeny v hospodárstve</w:t>
      </w:r>
      <w:r w:rsidRPr="00D43ED4">
        <w:rPr>
          <w:rFonts w:ascii="Times New Roman" w:hAnsi="Times New Roman"/>
          <w:noProof/>
          <w:sz w:val="24"/>
          <w:szCs w:val="24"/>
        </w:rPr>
        <w:t xml:space="preserve">. Vďaka </w:t>
      </w:r>
      <w:r w:rsidRPr="00AD439B">
        <w:rPr>
          <w:rFonts w:ascii="Times New Roman" w:hAnsi="Times New Roman"/>
          <w:b/>
          <w:noProof/>
          <w:sz w:val="24"/>
          <w:szCs w:val="24"/>
        </w:rPr>
        <w:t>dočasnému rámcu štátnej pomoci</w:t>
      </w:r>
      <w:r w:rsidRPr="00D43ED4">
        <w:rPr>
          <w:rFonts w:ascii="Times New Roman" w:hAnsi="Times New Roman"/>
          <w:noProof/>
          <w:sz w:val="24"/>
          <w:szCs w:val="24"/>
        </w:rPr>
        <w:t>, ktorý Komisia prijala v marci 2020, mohli členské štáty poskytnúť potrebnú a primeranú podporu podnikom v núdzi. Zároveň sa vďaka nemu zabezpečilo rovnaké zaobchádzanie a obmedzili sa neprimerané narušenia hospodárskej súťaže, ktoré by ohrozovali jednotný trh</w:t>
      </w:r>
      <w:r w:rsidRPr="00D43ED4">
        <w:rPr>
          <w:rStyle w:val="FootnoteReference"/>
          <w:rFonts w:ascii="Times New Roman" w:hAnsi="Times New Roman" w:cs="Times New Roman"/>
          <w:noProof/>
          <w:sz w:val="24"/>
          <w:szCs w:val="24"/>
        </w:rPr>
        <w:footnoteReference w:id="3"/>
      </w:r>
      <w:r w:rsidRPr="00D43ED4">
        <w:rPr>
          <w:rFonts w:ascii="Times New Roman" w:hAnsi="Times New Roman"/>
          <w:noProof/>
          <w:sz w:val="24"/>
          <w:szCs w:val="24"/>
        </w:rPr>
        <w:t xml:space="preserve">. Na základe </w:t>
      </w:r>
      <w:r w:rsidRPr="00AD439B">
        <w:rPr>
          <w:rStyle w:val="s3"/>
          <w:rFonts w:ascii="Times New Roman" w:hAnsi="Times New Roman"/>
          <w:b/>
          <w:noProof/>
          <w:sz w:val="24"/>
          <w:szCs w:val="24"/>
        </w:rPr>
        <w:t>dočasného antitrustového rámca</w:t>
      </w:r>
      <w:r w:rsidRPr="00D43ED4">
        <w:rPr>
          <w:rStyle w:val="s3"/>
          <w:rFonts w:ascii="Times New Roman" w:hAnsi="Times New Roman"/>
          <w:noProof/>
          <w:sz w:val="24"/>
          <w:szCs w:val="24"/>
        </w:rPr>
        <w:t xml:space="preserve"> prijatého v apríli 2020 z</w:t>
      </w:r>
      <w:r w:rsidR="0001786F" w:rsidRPr="00D43ED4">
        <w:rPr>
          <w:rStyle w:val="s3"/>
          <w:rFonts w:ascii="Times New Roman" w:hAnsi="Times New Roman"/>
          <w:noProof/>
          <w:sz w:val="24"/>
          <w:szCs w:val="24"/>
        </w:rPr>
        <w:t>ískali spoločnosti usmernenia a </w:t>
      </w:r>
      <w:r w:rsidRPr="00D43ED4">
        <w:rPr>
          <w:rStyle w:val="s3"/>
          <w:rFonts w:ascii="Times New Roman" w:hAnsi="Times New Roman"/>
          <w:noProof/>
          <w:sz w:val="24"/>
          <w:szCs w:val="24"/>
        </w:rPr>
        <w:t xml:space="preserve">právnu istotu, napr. v rámci spolupráce, ktorej cieľom je </w:t>
      </w:r>
      <w:r w:rsidR="0001786F" w:rsidRPr="00D43ED4">
        <w:rPr>
          <w:rStyle w:val="s3"/>
          <w:rFonts w:ascii="Times New Roman" w:hAnsi="Times New Roman"/>
          <w:noProof/>
          <w:sz w:val="24"/>
          <w:szCs w:val="24"/>
        </w:rPr>
        <w:t>zachovať dodávateľské reťazce v </w:t>
      </w:r>
      <w:r w:rsidRPr="00D43ED4">
        <w:rPr>
          <w:rStyle w:val="s3"/>
          <w:rFonts w:ascii="Times New Roman" w:hAnsi="Times New Roman"/>
          <w:noProof/>
          <w:sz w:val="24"/>
          <w:szCs w:val="24"/>
        </w:rPr>
        <w:t>čase zatvorenia hraníc alebo riešiť nedostatok nemocničných liekov a zdravotníckeho vybavenia alebo ťažkosti vo výrobe vakcín</w:t>
      </w:r>
      <w:r w:rsidRPr="00D43ED4">
        <w:rPr>
          <w:rStyle w:val="FootnoteReference"/>
          <w:rFonts w:ascii="Times New Roman" w:hAnsi="Times New Roman" w:cs="Times New Roman"/>
          <w:noProof/>
          <w:sz w:val="24"/>
          <w:szCs w:val="24"/>
        </w:rPr>
        <w:footnoteReference w:id="4"/>
      </w:r>
      <w:r w:rsidRPr="00D43ED4">
        <w:rPr>
          <w:rStyle w:val="s3"/>
          <w:rFonts w:ascii="Times New Roman" w:hAnsi="Times New Roman"/>
          <w:noProof/>
          <w:sz w:val="24"/>
          <w:szCs w:val="24"/>
        </w:rPr>
        <w:t>. Politika hospodárskej súťaže v rôznych oblastiach bezproblémovo fungovala s ostatnými sociálnymi a hospodárskymi politikami Únie v záujme podpory najviac zasiahnutých odvetví a pracovníkov, pričom zmierňovala vplyv krízy na spoločnosti vrátane</w:t>
      </w:r>
      <w:r w:rsidRPr="00D43ED4">
        <w:rPr>
          <w:rFonts w:ascii="Times New Roman" w:hAnsi="Times New Roman"/>
          <w:noProof/>
          <w:sz w:val="24"/>
          <w:szCs w:val="24"/>
        </w:rPr>
        <w:t xml:space="preserve"> MSP a startupov</w:t>
      </w:r>
      <w:r w:rsidRPr="00D43ED4">
        <w:rPr>
          <w:rStyle w:val="FootnoteReference"/>
          <w:rFonts w:ascii="Times New Roman" w:hAnsi="Times New Roman" w:cs="Times New Roman"/>
          <w:noProof/>
          <w:sz w:val="24"/>
          <w:szCs w:val="24"/>
        </w:rPr>
        <w:footnoteReference w:id="5"/>
      </w:r>
      <w:r w:rsidRPr="00D43ED4">
        <w:rPr>
          <w:rFonts w:ascii="Times New Roman" w:hAnsi="Times New Roman"/>
          <w:noProof/>
          <w:sz w:val="24"/>
          <w:szCs w:val="24"/>
        </w:rPr>
        <w:t>.</w:t>
      </w:r>
    </w:p>
    <w:p w:rsidR="00426686" w:rsidRPr="00D43ED4" w:rsidRDefault="0025143B">
      <w:pPr>
        <w:spacing w:after="240" w:line="240" w:lineRule="auto"/>
        <w:jc w:val="both"/>
        <w:rPr>
          <w:rStyle w:val="s3"/>
          <w:rFonts w:ascii="Times New Roman" w:hAnsi="Times New Roman" w:cs="Times New Roman"/>
          <w:noProof/>
          <w:sz w:val="24"/>
          <w:szCs w:val="24"/>
        </w:rPr>
      </w:pPr>
      <w:r w:rsidRPr="00D43ED4">
        <w:rPr>
          <w:rFonts w:ascii="Times New Roman" w:hAnsi="Times New Roman"/>
          <w:noProof/>
          <w:sz w:val="24"/>
          <w:szCs w:val="24"/>
        </w:rPr>
        <w:t>Vďaka úspechu očkovacích kampaní a postupnému opät</w:t>
      </w:r>
      <w:r w:rsidR="0001786F" w:rsidRPr="00D43ED4">
        <w:rPr>
          <w:rFonts w:ascii="Times New Roman" w:hAnsi="Times New Roman"/>
          <w:noProof/>
          <w:sz w:val="24"/>
          <w:szCs w:val="24"/>
        </w:rPr>
        <w:t>ovnému rozbiehaniu sociálnych a </w:t>
      </w:r>
      <w:r w:rsidRPr="00D43ED4">
        <w:rPr>
          <w:rFonts w:ascii="Times New Roman" w:hAnsi="Times New Roman"/>
          <w:noProof/>
          <w:sz w:val="24"/>
          <w:szCs w:val="24"/>
        </w:rPr>
        <w:t>hospodárskych činností je európske hospodárstvo v súčasnosti na dobrej ceste znovu sa postaviť na nohy, hoci stále postupuje rozdielnym tempom a je vystavené rizikám, ktoré sú výsledkom rastúceho napätia v dodávateľských reťazcoch, zvyšovania cien energií a</w:t>
      </w:r>
      <w:r w:rsidR="0001786F" w:rsidRPr="00D43ED4">
        <w:rPr>
          <w:rFonts w:ascii="Times New Roman" w:hAnsi="Times New Roman"/>
          <w:noProof/>
          <w:sz w:val="24"/>
          <w:szCs w:val="24"/>
        </w:rPr>
        <w:t> </w:t>
      </w:r>
      <w:r w:rsidRPr="00D43ED4">
        <w:rPr>
          <w:rFonts w:ascii="Times New Roman" w:hAnsi="Times New Roman"/>
          <w:noProof/>
          <w:sz w:val="24"/>
          <w:szCs w:val="24"/>
        </w:rPr>
        <w:t>opätovného výskytu prípadov infekcie COVID-19 v niektorých členských štátoch</w:t>
      </w:r>
      <w:r w:rsidRPr="00D43ED4">
        <w:rPr>
          <w:rStyle w:val="FootnoteReference"/>
          <w:rFonts w:ascii="Times New Roman" w:hAnsi="Times New Roman" w:cs="Times New Roman"/>
          <w:noProof/>
          <w:sz w:val="24"/>
          <w:szCs w:val="24"/>
        </w:rPr>
        <w:footnoteReference w:id="6"/>
      </w:r>
      <w:r w:rsidRPr="00D43ED4">
        <w:rPr>
          <w:rFonts w:ascii="Times New Roman" w:hAnsi="Times New Roman"/>
          <w:noProof/>
          <w:sz w:val="24"/>
          <w:szCs w:val="24"/>
        </w:rPr>
        <w:t>.</w:t>
      </w:r>
      <w:r w:rsidRPr="00D43ED4">
        <w:rPr>
          <w:rStyle w:val="s3"/>
          <w:rFonts w:ascii="Times New Roman" w:hAnsi="Times New Roman"/>
          <w:noProof/>
          <w:sz w:val="24"/>
          <w:szCs w:val="24"/>
        </w:rPr>
        <w:t xml:space="preserve"> Hoci sme boli svedkami toho, aký je priemysel EÚ odolný, vynaliezavý a prispôsobivý, zároveň sme boli vystavení účinkom nových zraniteľných miest a starších závislostí, ako aj sociálno-ekonomickým a územným nerovnostiam, ktoré treba riešiť. Kríza odhalila vzájomnú závislosť globálnych hodnotových reťazcov a hodnotu globálne integrovaného jednotného trhu. Úloha, ktorá nás čaká, sa môže zdať náročná: vydať sa nahor strmou cestou obnovy po kríze spôsobenej ochorením COVID-19, poučiť sa zo zistených zraniteľných miest a zároveň umožniť európskym priemyselným odvetviam posilniť svoju odolnosť a byť na čele súbežnej zelenej a digitálnej transformácie a zabezpečiť pritom, aby sa na nikoho nezabudlo.</w:t>
      </w:r>
    </w:p>
    <w:p w:rsidR="009D3AC6" w:rsidRPr="00AD439B" w:rsidDel="00052EA3" w:rsidRDefault="0047473C" w:rsidP="009D3AC6">
      <w:pPr>
        <w:spacing w:after="240" w:line="240" w:lineRule="auto"/>
        <w:jc w:val="both"/>
        <w:rPr>
          <w:rFonts w:ascii="Times New Roman" w:hAnsi="Times New Roman" w:cs="Times New Roman"/>
          <w:b/>
          <w:noProof/>
          <w:sz w:val="24"/>
          <w:szCs w:val="24"/>
        </w:rPr>
      </w:pPr>
      <w:r w:rsidRPr="00D43ED4">
        <w:rPr>
          <w:rStyle w:val="s3"/>
          <w:rFonts w:ascii="Times New Roman" w:hAnsi="Times New Roman"/>
          <w:noProof/>
          <w:sz w:val="24"/>
          <w:szCs w:val="24"/>
        </w:rPr>
        <w:t>Európske hospodárstvo sa skutočne nachádza na pozoruhodnej križovatke: na jednej strane tu existuje potreba oživenia hospodárstva po hlbokej kríze poznačenej e</w:t>
      </w:r>
      <w:r w:rsidR="0001786F" w:rsidRPr="00D43ED4">
        <w:rPr>
          <w:rStyle w:val="s3"/>
          <w:rFonts w:ascii="Times New Roman" w:hAnsi="Times New Roman"/>
          <w:noProof/>
          <w:sz w:val="24"/>
          <w:szCs w:val="24"/>
        </w:rPr>
        <w:t>xtrémnymi rozdielmi v </w:t>
      </w:r>
      <w:r w:rsidRPr="00D43ED4">
        <w:rPr>
          <w:rStyle w:val="s3"/>
          <w:rFonts w:ascii="Times New Roman" w:hAnsi="Times New Roman"/>
          <w:noProof/>
          <w:sz w:val="24"/>
          <w:szCs w:val="24"/>
        </w:rPr>
        <w:t xml:space="preserve">ponuke aj dopyte v Európe i mimo nej, na strane druhej tu máme potrebu zásadných zmien v obchodných postupoch a modeloch a potrebu rozsiahlych dlhodobých investícií s cieľom zabezpečiť zelenú a digitálnu transformáciu a jej budúcu konkurencieschopnosť, ako aj otvorenú strategickú autonómiu v globálnom kontexte. </w:t>
      </w:r>
      <w:r w:rsidRPr="00D43ED4">
        <w:rPr>
          <w:rFonts w:ascii="Times New Roman" w:hAnsi="Times New Roman"/>
          <w:noProof/>
          <w:sz w:val="24"/>
          <w:szCs w:val="24"/>
        </w:rPr>
        <w:t>Dl</w:t>
      </w:r>
      <w:r w:rsidR="0001786F" w:rsidRPr="00D43ED4">
        <w:rPr>
          <w:rFonts w:ascii="Times New Roman" w:hAnsi="Times New Roman"/>
          <w:noProof/>
          <w:sz w:val="24"/>
          <w:szCs w:val="24"/>
        </w:rPr>
        <w:t>hodobý rozpočet EÚ na roky 2021 –</w:t>
      </w:r>
      <w:r w:rsidRPr="00D43ED4">
        <w:rPr>
          <w:rFonts w:ascii="Times New Roman" w:hAnsi="Times New Roman"/>
          <w:noProof/>
          <w:sz w:val="24"/>
          <w:szCs w:val="24"/>
        </w:rPr>
        <w:t>2027 a nástroj NextGenerationEU, a to najmä prostredníctvom Mechanizmu na podporu obnovy a odolnosti</w:t>
      </w:r>
      <w:r w:rsidRPr="00D43ED4">
        <w:rPr>
          <w:rStyle w:val="FootnoteReference"/>
          <w:rFonts w:ascii="Times New Roman" w:hAnsi="Times New Roman" w:cs="Times New Roman"/>
          <w:noProof/>
          <w:sz w:val="24"/>
          <w:szCs w:val="24"/>
        </w:rPr>
        <w:footnoteReference w:id="7"/>
      </w:r>
      <w:r w:rsidRPr="00D43ED4">
        <w:rPr>
          <w:rFonts w:ascii="Times New Roman" w:hAnsi="Times New Roman"/>
          <w:noProof/>
          <w:sz w:val="24"/>
          <w:szCs w:val="24"/>
        </w:rPr>
        <w:t xml:space="preserve"> a balíka Pomoci pri obnove v rámci politiky súdržnosti a pri obnove území v Európe (REACT-EU), poskytujú jedinečnú príležitosť investovať do skutočne nadčasového hospodárstva. Samotná verejná podpora však nemôže zabezpečiť dostatočnú zmenu v praxi. Hoci môže pomôcť s poskytnutím prostriedkov, aj samotné podniky musia cítiť potrebu inovovať, navrhovať nové, efektívnejšie riešenia a investovať vo väčšom rozsahu. </w:t>
      </w:r>
      <w:r w:rsidRPr="00AD439B">
        <w:rPr>
          <w:rFonts w:ascii="Times New Roman" w:hAnsi="Times New Roman"/>
          <w:b/>
          <w:noProof/>
          <w:sz w:val="24"/>
          <w:szCs w:val="24"/>
        </w:rPr>
        <w:t>Hospodárska súťaž k tomuto úsiliu prispieva, pričom podnecuje podniky, aby inovovali a investovali v záujme dosiahnutia úspechu na trhu, a zároveň zabezpečuje spravodlivé podmienky pre európske podniky všetkých veľ</w:t>
      </w:r>
      <w:r w:rsidR="0001786F" w:rsidRPr="00AD439B">
        <w:rPr>
          <w:rFonts w:ascii="Times New Roman" w:hAnsi="Times New Roman"/>
          <w:b/>
          <w:noProof/>
          <w:sz w:val="24"/>
          <w:szCs w:val="24"/>
        </w:rPr>
        <w:t>kostí a to, aby spotrebitelia v </w:t>
      </w:r>
      <w:r w:rsidRPr="00AD439B">
        <w:rPr>
          <w:rFonts w:ascii="Times New Roman" w:hAnsi="Times New Roman"/>
          <w:b/>
          <w:noProof/>
          <w:sz w:val="24"/>
          <w:szCs w:val="24"/>
        </w:rPr>
        <w:t>EÚ naďalej využívali výhody súťažného konania</w:t>
      </w:r>
      <w:r w:rsidRPr="00D43ED4">
        <w:rPr>
          <w:rFonts w:ascii="Times New Roman" w:hAnsi="Times New Roman"/>
          <w:noProof/>
          <w:sz w:val="24"/>
          <w:szCs w:val="24"/>
        </w:rPr>
        <w:t xml:space="preserve">. </w:t>
      </w:r>
    </w:p>
    <w:p w:rsidR="00EF3A53" w:rsidRPr="00D43ED4" w:rsidRDefault="008B0ADF">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Na dosiahnutie týchto cieľov </w:t>
      </w:r>
      <w:r w:rsidRPr="00AD439B">
        <w:rPr>
          <w:rFonts w:ascii="Times New Roman" w:hAnsi="Times New Roman"/>
          <w:b/>
          <w:noProof/>
          <w:sz w:val="24"/>
          <w:szCs w:val="24"/>
        </w:rPr>
        <w:t>potrebuje Európa silný a odolný jednotný trh</w:t>
      </w:r>
      <w:r w:rsidRPr="00D43ED4">
        <w:rPr>
          <w:rFonts w:ascii="Times New Roman" w:hAnsi="Times New Roman"/>
          <w:noProof/>
          <w:sz w:val="24"/>
          <w:szCs w:val="24"/>
        </w:rPr>
        <w:t>, ktorý podporuje podnikanie vo všetkých jeho štádiách a umožňuje podnikom všetkých veľkostí, aby ťažili čo najviac z európskeho rozsahu a aby sami dosiahli určité prínosy z rozsahu a mohli tak lepšie súťažiť v globalizovanom hospodárstve. Vyžaduje si to konkurencieschopné trhy, ktoré vysielajú tie správne cenové signály na stimulovani</w:t>
      </w:r>
      <w:r w:rsidR="0001786F" w:rsidRPr="00D43ED4">
        <w:rPr>
          <w:rFonts w:ascii="Times New Roman" w:hAnsi="Times New Roman"/>
          <w:noProof/>
          <w:sz w:val="24"/>
          <w:szCs w:val="24"/>
        </w:rPr>
        <w:t>e investícií s cieľom umožniť a </w:t>
      </w:r>
      <w:r w:rsidRPr="00D43ED4">
        <w:rPr>
          <w:rFonts w:ascii="Times New Roman" w:hAnsi="Times New Roman"/>
          <w:noProof/>
          <w:sz w:val="24"/>
          <w:szCs w:val="24"/>
        </w:rPr>
        <w:t>zaviesť prelomové inovácie v záujme ekologickejších výrobkov, služieb a hodnotových reťazcov, vyspelejšej digitálnej infraštruktúry a nástrojov (napr. cloudu, mikroprocesorov, umelej inteligencie) a menej znečisťujúcich a efektívnejších výrobných technológií. Vyžaduje si to tiež spravodlivý trh práce s konkrétnymi opatren</w:t>
      </w:r>
      <w:r w:rsidR="0001786F" w:rsidRPr="00D43ED4">
        <w:rPr>
          <w:rFonts w:ascii="Times New Roman" w:hAnsi="Times New Roman"/>
          <w:noProof/>
          <w:sz w:val="24"/>
          <w:szCs w:val="24"/>
        </w:rPr>
        <w:t>iami na riešenie existujúcich a </w:t>
      </w:r>
      <w:r w:rsidRPr="00D43ED4">
        <w:rPr>
          <w:rFonts w:ascii="Times New Roman" w:hAnsi="Times New Roman"/>
          <w:noProof/>
          <w:sz w:val="24"/>
          <w:szCs w:val="24"/>
        </w:rPr>
        <w:t xml:space="preserve">vznikajúcich medzier v oblasti zručností a nerovností v rámci pracovnej sily. Zároveň je na to potrebný aj výber výrobkov a služieb, ktoré </w:t>
      </w:r>
      <w:r w:rsidRPr="00D43ED4">
        <w:rPr>
          <w:rStyle w:val="s3"/>
          <w:rFonts w:ascii="Times New Roman" w:hAnsi="Times New Roman"/>
          <w:noProof/>
          <w:sz w:val="24"/>
          <w:szCs w:val="24"/>
        </w:rPr>
        <w:t>prispievajú k spoľahlivým a rôznorodým dodávateľským reťazcom</w:t>
      </w:r>
      <w:r w:rsidRPr="00D43ED4">
        <w:rPr>
          <w:rFonts w:ascii="Times New Roman" w:hAnsi="Times New Roman"/>
          <w:noProof/>
          <w:sz w:val="24"/>
          <w:szCs w:val="24"/>
        </w:rPr>
        <w:t xml:space="preserve"> a k včasnému uspokojen</w:t>
      </w:r>
      <w:r w:rsidR="0001786F" w:rsidRPr="00D43ED4">
        <w:rPr>
          <w:rFonts w:ascii="Times New Roman" w:hAnsi="Times New Roman"/>
          <w:noProof/>
          <w:sz w:val="24"/>
          <w:szCs w:val="24"/>
        </w:rPr>
        <w:t>iu dopytu európskych podnikov a </w:t>
      </w:r>
      <w:r w:rsidRPr="00D43ED4">
        <w:rPr>
          <w:rFonts w:ascii="Times New Roman" w:hAnsi="Times New Roman"/>
          <w:noProof/>
          <w:sz w:val="24"/>
          <w:szCs w:val="24"/>
        </w:rPr>
        <w:t>spotrebiteľov. Navyše je potrebné, aby boli tieto voľby cenovo dostupné pre všetkých, a to najmä pre domácnosti a MSP. V neposlednom rade si to vyžaduje zachovanie súdržnosti na jednotnom trhu, aby jeho posilnenie neviedlo k prehlbova</w:t>
      </w:r>
      <w:r w:rsidR="0001786F" w:rsidRPr="00D43ED4">
        <w:rPr>
          <w:rFonts w:ascii="Times New Roman" w:hAnsi="Times New Roman"/>
          <w:noProof/>
          <w:sz w:val="24"/>
          <w:szCs w:val="24"/>
        </w:rPr>
        <w:t>niu hospodárskych, sociálnych a </w:t>
      </w:r>
      <w:r w:rsidRPr="00D43ED4">
        <w:rPr>
          <w:rFonts w:ascii="Times New Roman" w:hAnsi="Times New Roman"/>
          <w:noProof/>
          <w:sz w:val="24"/>
          <w:szCs w:val="24"/>
        </w:rPr>
        <w:t>územných rozdielov.</w:t>
      </w:r>
    </w:p>
    <w:p w:rsidR="00244F48" w:rsidRPr="00D43ED4" w:rsidRDefault="001B79FE">
      <w:pPr>
        <w:spacing w:after="240" w:line="240" w:lineRule="auto"/>
        <w:jc w:val="both"/>
        <w:rPr>
          <w:rStyle w:val="s3"/>
          <w:rFonts w:ascii="Times New Roman" w:hAnsi="Times New Roman" w:cs="Times New Roman"/>
          <w:noProof/>
          <w:sz w:val="24"/>
          <w:szCs w:val="24"/>
        </w:rPr>
      </w:pPr>
      <w:r w:rsidRPr="00AD439B">
        <w:rPr>
          <w:rFonts w:ascii="Times New Roman" w:hAnsi="Times New Roman"/>
          <w:b/>
          <w:noProof/>
          <w:sz w:val="24"/>
          <w:szCs w:val="24"/>
        </w:rPr>
        <w:t>To všetko si vyžaduje silnú a účinnú politiku hospodárskej súťaže a jej presadzovanie</w:t>
      </w:r>
      <w:r w:rsidRPr="00D43ED4">
        <w:rPr>
          <w:rFonts w:ascii="Times New Roman" w:hAnsi="Times New Roman"/>
          <w:noProof/>
          <w:sz w:val="24"/>
          <w:szCs w:val="24"/>
        </w:rPr>
        <w:t>, aby európske hospodárstvo nadobudlo agilnosť potrebn</w:t>
      </w:r>
      <w:r w:rsidR="0001786F" w:rsidRPr="00D43ED4">
        <w:rPr>
          <w:rFonts w:ascii="Times New Roman" w:hAnsi="Times New Roman"/>
          <w:noProof/>
          <w:sz w:val="24"/>
          <w:szCs w:val="24"/>
        </w:rPr>
        <w:t>ú na vydanie sa cestou obnovy a </w:t>
      </w:r>
      <w:r w:rsidRPr="00D43ED4">
        <w:rPr>
          <w:rFonts w:ascii="Times New Roman" w:hAnsi="Times New Roman"/>
          <w:noProof/>
          <w:sz w:val="24"/>
          <w:szCs w:val="24"/>
        </w:rPr>
        <w:t>splnenie svojich súbežných zelených a digitálnych ambícií, a to udržateľným a sociálne</w:t>
      </w:r>
      <w:r w:rsidR="0001786F" w:rsidRPr="00D43ED4">
        <w:rPr>
          <w:rFonts w:ascii="Times New Roman" w:hAnsi="Times New Roman"/>
          <w:noProof/>
          <w:sz w:val="24"/>
          <w:szCs w:val="24"/>
        </w:rPr>
        <w:t xml:space="preserve"> a </w:t>
      </w:r>
      <w:r w:rsidRPr="00D43ED4">
        <w:rPr>
          <w:rFonts w:ascii="Times New Roman" w:hAnsi="Times New Roman"/>
          <w:noProof/>
          <w:sz w:val="24"/>
          <w:szCs w:val="24"/>
        </w:rPr>
        <w:t xml:space="preserve">územne inkluzívnym spôsobom. </w:t>
      </w:r>
      <w:r w:rsidRPr="00D43ED4">
        <w:rPr>
          <w:rStyle w:val="s3"/>
          <w:rFonts w:ascii="Times New Roman" w:hAnsi="Times New Roman"/>
          <w:noProof/>
          <w:sz w:val="24"/>
          <w:szCs w:val="24"/>
        </w:rPr>
        <w:t>Na dosiahnutie tohto cieľa v Európskej únii Komisia úzko spolupracuje s vnútroštátnymi orgánmi na ochranu hospodá</w:t>
      </w:r>
      <w:r w:rsidR="0001786F" w:rsidRPr="00D43ED4">
        <w:rPr>
          <w:rStyle w:val="s3"/>
          <w:rFonts w:ascii="Times New Roman" w:hAnsi="Times New Roman"/>
          <w:noProof/>
          <w:sz w:val="24"/>
          <w:szCs w:val="24"/>
        </w:rPr>
        <w:t>rskej súťaže členských štátov a </w:t>
      </w:r>
      <w:r w:rsidRPr="00D43ED4">
        <w:rPr>
          <w:rStyle w:val="s3"/>
          <w:rFonts w:ascii="Times New Roman" w:hAnsi="Times New Roman"/>
          <w:noProof/>
          <w:sz w:val="24"/>
          <w:szCs w:val="24"/>
        </w:rPr>
        <w:t xml:space="preserve">pod dohľadom súdov Únie. </w:t>
      </w:r>
    </w:p>
    <w:p w:rsidR="00720CA3" w:rsidRPr="00D43ED4" w:rsidRDefault="00720CA3">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Komisia v súčasnosti </w:t>
      </w:r>
      <w:r w:rsidRPr="00AD439B">
        <w:rPr>
          <w:rStyle w:val="s3"/>
          <w:rFonts w:ascii="Times New Roman" w:hAnsi="Times New Roman"/>
          <w:b/>
          <w:noProof/>
          <w:sz w:val="24"/>
          <w:szCs w:val="24"/>
        </w:rPr>
        <w:t xml:space="preserve">skúma nástroje politiky hospodárskej súťaže v nevídanom rozsahu a s nevídanými ambíciami: </w:t>
      </w:r>
      <w:r w:rsidRPr="00D43ED4">
        <w:rPr>
          <w:rStyle w:val="s3"/>
          <w:rFonts w:ascii="Times New Roman" w:hAnsi="Times New Roman"/>
          <w:noProof/>
          <w:sz w:val="24"/>
          <w:szCs w:val="24"/>
        </w:rPr>
        <w:t>zabezpečiť, aby všetky nástroje hospodárskej súťaže (kontrola koncentrácií, antitrustová kontrola a kontrola štátnej pomoci) boli aj naďalej vhodné na daný účel. Komisia sa zároveň snaží získať nové nástroje zamerané na riešenie vznikajúcich výziev na jednotnom trhu, ako sú napríklad „strážcovia digitálneho prístupu“ alebo rušivé vplyvy zahraničných subvencií. Cieľom tohto preskúmania v kombinácii s pretrvávajúcim prísnym presadzovaním pravidiel hospodárskej súťaže je umožniť priemyselným odvetviam EÚ postaviť sa na čelo dvojakej transformácie a posilniť odolnosť</w:t>
      </w:r>
      <w:r w:rsidR="0001786F" w:rsidRPr="00D43ED4">
        <w:rPr>
          <w:rStyle w:val="s3"/>
          <w:rFonts w:ascii="Times New Roman" w:hAnsi="Times New Roman"/>
          <w:noProof/>
          <w:sz w:val="24"/>
          <w:szCs w:val="24"/>
        </w:rPr>
        <w:t xml:space="preserve"> jednotného trhu. Podrobnosti a </w:t>
      </w:r>
      <w:r w:rsidRPr="00D43ED4">
        <w:rPr>
          <w:rStyle w:val="s3"/>
          <w:rFonts w:ascii="Times New Roman" w:hAnsi="Times New Roman"/>
          <w:noProof/>
          <w:sz w:val="24"/>
          <w:szCs w:val="24"/>
        </w:rPr>
        <w:t xml:space="preserve">harmonogramy tohto postupu sú uvedené v prílohe k tomuto oznámeniu. </w:t>
      </w:r>
    </w:p>
    <w:p w:rsidR="003C5DBA" w:rsidRPr="00D43ED4" w:rsidRDefault="00244F48" w:rsidP="0069467F">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Za hranicami Európy sa zároveň v čoraz väčšom počte jurisdikcií</w:t>
      </w:r>
      <w:r w:rsidRPr="00D43ED4">
        <w:rPr>
          <w:rFonts w:ascii="Times New Roman" w:hAnsi="Times New Roman"/>
          <w:noProof/>
          <w:sz w:val="24"/>
          <w:szCs w:val="24"/>
        </w:rPr>
        <w:t xml:space="preserve"> objavuje </w:t>
      </w:r>
      <w:r w:rsidRPr="00AD439B">
        <w:rPr>
          <w:rStyle w:val="s3"/>
          <w:rFonts w:ascii="Times New Roman" w:hAnsi="Times New Roman"/>
          <w:b/>
          <w:noProof/>
          <w:sz w:val="24"/>
          <w:szCs w:val="24"/>
        </w:rPr>
        <w:t>impulz na</w:t>
      </w:r>
      <w:r w:rsidRPr="00AD439B">
        <w:rPr>
          <w:rFonts w:ascii="Times New Roman" w:hAnsi="Times New Roman"/>
          <w:b/>
          <w:noProof/>
          <w:sz w:val="24"/>
          <w:szCs w:val="24"/>
        </w:rPr>
        <w:t xml:space="preserve"> dôraznejšie presadzovanie </w:t>
      </w:r>
      <w:r w:rsidRPr="00AD439B">
        <w:rPr>
          <w:rStyle w:val="s3"/>
          <w:rFonts w:ascii="Times New Roman" w:hAnsi="Times New Roman"/>
          <w:b/>
          <w:noProof/>
          <w:sz w:val="24"/>
          <w:szCs w:val="24"/>
        </w:rPr>
        <w:t>a silnejšiu medzinárodnú konvergenciu v rámci politiky hospodárskej súťaže a postupov presadzovania práva</w:t>
      </w:r>
      <w:r w:rsidRPr="00D43ED4">
        <w:rPr>
          <w:rStyle w:val="s3"/>
          <w:rFonts w:ascii="Times New Roman" w:hAnsi="Times New Roman"/>
          <w:noProof/>
          <w:sz w:val="24"/>
          <w:szCs w:val="24"/>
        </w:rPr>
        <w:t>.</w:t>
      </w:r>
      <w:r w:rsidRPr="00D43ED4">
        <w:rPr>
          <w:rFonts w:ascii="Times New Roman" w:hAnsi="Times New Roman"/>
          <w:noProof/>
          <w:sz w:val="24"/>
          <w:szCs w:val="24"/>
        </w:rPr>
        <w:t xml:space="preserve"> Je to dôležité na zabezpečenie </w:t>
      </w:r>
      <w:r w:rsidRPr="00D43ED4">
        <w:rPr>
          <w:rStyle w:val="s3"/>
          <w:rFonts w:ascii="Times New Roman" w:hAnsi="Times New Roman"/>
          <w:noProof/>
          <w:sz w:val="24"/>
          <w:szCs w:val="24"/>
        </w:rPr>
        <w:t>spravodlivej hospodárskej súťaže vo všetkých odvetviach a na to, aby európske firmy dosiahli príslušný efektívny rozsah</w:t>
      </w:r>
      <w:r w:rsidRPr="00D43ED4">
        <w:rPr>
          <w:rFonts w:ascii="Times New Roman" w:hAnsi="Times New Roman"/>
          <w:noProof/>
          <w:sz w:val="24"/>
          <w:szCs w:val="24"/>
        </w:rPr>
        <w:t xml:space="preserve">. </w:t>
      </w:r>
      <w:r w:rsidRPr="00D43ED4">
        <w:rPr>
          <w:rStyle w:val="s3"/>
          <w:rFonts w:ascii="Times New Roman" w:hAnsi="Times New Roman"/>
          <w:noProof/>
          <w:sz w:val="24"/>
          <w:szCs w:val="24"/>
        </w:rPr>
        <w:t>Očakáva sa, že v roku 2024 bude 85 % svetového rastu HDP pochádzať z krajín mimo EÚ. Medzinárodný menový fond nedávno zdôraznil dôležitú úlohu hospodárskej súťaže pri predchádzaní nadmernej koncentrácii trhu, rozvoji inovácií a podpore zdravej obnovy</w:t>
      </w:r>
      <w:r w:rsidRPr="00D43ED4">
        <w:rPr>
          <w:rStyle w:val="FootnoteReference"/>
          <w:rFonts w:ascii="Times New Roman" w:hAnsi="Times New Roman" w:cs="Times New Roman"/>
          <w:noProof/>
          <w:sz w:val="24"/>
          <w:szCs w:val="24"/>
        </w:rPr>
        <w:footnoteReference w:id="8"/>
      </w:r>
      <w:r w:rsidRPr="00D43ED4">
        <w:rPr>
          <w:rStyle w:val="s3"/>
          <w:rFonts w:ascii="Times New Roman" w:hAnsi="Times New Roman"/>
          <w:noProof/>
          <w:sz w:val="24"/>
          <w:szCs w:val="24"/>
        </w:rPr>
        <w:t>. Podobné diskusie sa uskutočnili na úrovni G7</w:t>
      </w:r>
      <w:r w:rsidRPr="00D43ED4">
        <w:rPr>
          <w:rStyle w:val="FootnoteReference"/>
          <w:rFonts w:ascii="Times New Roman" w:hAnsi="Times New Roman" w:cs="Times New Roman"/>
          <w:noProof/>
          <w:sz w:val="24"/>
          <w:szCs w:val="24"/>
        </w:rPr>
        <w:footnoteReference w:id="9"/>
      </w:r>
      <w:r w:rsidRPr="00D43ED4">
        <w:rPr>
          <w:rStyle w:val="s3"/>
          <w:rFonts w:ascii="Times New Roman" w:hAnsi="Times New Roman"/>
          <w:noProof/>
          <w:sz w:val="24"/>
          <w:szCs w:val="24"/>
        </w:rPr>
        <w:t>, pričom podobne zmýšľajúci partneri uplatňujú v celom svojom hospodárstve prierezový prístup zahŕňajúci celú verejnú správu</w:t>
      </w:r>
      <w:r w:rsidRPr="00D43ED4">
        <w:rPr>
          <w:rStyle w:val="FootnoteReference"/>
          <w:rFonts w:ascii="Times New Roman" w:hAnsi="Times New Roman" w:cs="Times New Roman"/>
          <w:noProof/>
          <w:sz w:val="24"/>
          <w:szCs w:val="24"/>
        </w:rPr>
        <w:footnoteReference w:id="10"/>
      </w:r>
      <w:r w:rsidRPr="00D43ED4">
        <w:rPr>
          <w:rStyle w:val="s3"/>
          <w:rFonts w:ascii="Times New Roman" w:hAnsi="Times New Roman"/>
          <w:noProof/>
          <w:sz w:val="24"/>
          <w:szCs w:val="24"/>
        </w:rPr>
        <w:t xml:space="preserve">. Je však nepravdepodobné, že by to tak bolo vo všetkých jurisdikciách. Takáto podpora a spolupráca v oblasti medzinárodnej hospodárskej súťaže tak dopĺňa nástroje obchodnej politiky EÚ určené na zabezpečenie voľného a spravodlivého obchodu na celosvetovej aj bilaterálnej úrovni. Zároveň dopĺňa iniciatívy EÚ na podporu medzinárodného rozvoja a spolupráce, ako sú medzinárodné partnerstvá na riešenie strategických zraniteľných miest v dodávateľskom reťazci. </w:t>
      </w:r>
    </w:p>
    <w:p w:rsidR="005E0512" w:rsidRPr="00D43ED4" w:rsidRDefault="00FA059C" w:rsidP="00B80EA1">
      <w:pPr>
        <w:keepNext/>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V tejto súvislosti sa v tomto oznámení stanovuje:</w:t>
      </w:r>
    </w:p>
    <w:p w:rsidR="005E0512" w:rsidRPr="00D43ED4" w:rsidRDefault="00D9438C" w:rsidP="00EA16DD">
      <w:pPr>
        <w:pStyle w:val="ListParagraph"/>
        <w:numPr>
          <w:ilvl w:val="0"/>
          <w:numId w:val="44"/>
        </w:numPr>
        <w:spacing w:line="240" w:lineRule="auto"/>
        <w:jc w:val="both"/>
        <w:rPr>
          <w:rFonts w:ascii="Times New Roman" w:hAnsi="Times New Roman" w:cs="Times New Roman"/>
          <w:noProof/>
          <w:sz w:val="24"/>
          <w:szCs w:val="24"/>
        </w:rPr>
      </w:pPr>
      <w:r w:rsidRPr="00D43ED4">
        <w:rPr>
          <w:rFonts w:ascii="Times New Roman" w:hAnsi="Times New Roman"/>
          <w:noProof/>
          <w:sz w:val="24"/>
          <w:szCs w:val="24"/>
        </w:rPr>
        <w:t>cesta postupného ukončenia krízových opatrení podľa dočasného rámca štátnej pomoci spolu s opatreniami na naštartovanie a prilákanie súkromných investícií vo fáze obnovy (</w:t>
      </w:r>
      <w:r w:rsidRPr="00AD439B">
        <w:rPr>
          <w:rFonts w:ascii="Times New Roman" w:hAnsi="Times New Roman"/>
          <w:b/>
          <w:noProof/>
          <w:sz w:val="24"/>
          <w:szCs w:val="24"/>
        </w:rPr>
        <w:t>oddiel 2</w:t>
      </w:r>
      <w:r w:rsidRPr="00D43ED4">
        <w:rPr>
          <w:rFonts w:ascii="Times New Roman" w:hAnsi="Times New Roman"/>
          <w:noProof/>
          <w:sz w:val="24"/>
          <w:szCs w:val="24"/>
        </w:rPr>
        <w:t>) a</w:t>
      </w:r>
    </w:p>
    <w:p w:rsidR="00D9438C" w:rsidRPr="00D43ED4" w:rsidRDefault="00D9438C" w:rsidP="00EA16DD">
      <w:pPr>
        <w:pStyle w:val="ListParagraph"/>
        <w:numPr>
          <w:ilvl w:val="0"/>
          <w:numId w:val="44"/>
        </w:numPr>
        <w:spacing w:line="240" w:lineRule="auto"/>
        <w:jc w:val="both"/>
        <w:rPr>
          <w:rFonts w:ascii="Times New Roman" w:hAnsi="Times New Roman" w:cs="Times New Roman"/>
          <w:noProof/>
          <w:sz w:val="24"/>
          <w:szCs w:val="24"/>
        </w:rPr>
      </w:pPr>
      <w:r w:rsidRPr="00D43ED4">
        <w:rPr>
          <w:rFonts w:ascii="Times New Roman" w:hAnsi="Times New Roman"/>
          <w:noProof/>
          <w:sz w:val="24"/>
          <w:szCs w:val="24"/>
        </w:rPr>
        <w:t>príspevok prebiehajúceho, rozsiahleho preskúmania</w:t>
      </w:r>
      <w:r w:rsidR="0001786F" w:rsidRPr="00D43ED4">
        <w:rPr>
          <w:rFonts w:ascii="Times New Roman" w:hAnsi="Times New Roman"/>
          <w:noProof/>
          <w:sz w:val="24"/>
          <w:szCs w:val="24"/>
        </w:rPr>
        <w:t xml:space="preserve"> politiky hospodárskej súťaže a </w:t>
      </w:r>
      <w:r w:rsidRPr="00D43ED4">
        <w:rPr>
          <w:rFonts w:ascii="Times New Roman" w:hAnsi="Times New Roman"/>
          <w:noProof/>
          <w:sz w:val="24"/>
          <w:szCs w:val="24"/>
        </w:rPr>
        <w:t>presadzovania pravidiel hospodárskej súťaže k úsil</w:t>
      </w:r>
      <w:r w:rsidR="0001786F" w:rsidRPr="00D43ED4">
        <w:rPr>
          <w:rFonts w:ascii="Times New Roman" w:hAnsi="Times New Roman"/>
          <w:noProof/>
          <w:sz w:val="24"/>
          <w:szCs w:val="24"/>
        </w:rPr>
        <w:t>iu Únie o dosiahnutie zelenej a </w:t>
      </w:r>
      <w:r w:rsidRPr="00D43ED4">
        <w:rPr>
          <w:rFonts w:ascii="Times New Roman" w:hAnsi="Times New Roman"/>
          <w:noProof/>
          <w:sz w:val="24"/>
          <w:szCs w:val="24"/>
        </w:rPr>
        <w:t>digitálnej transformácie na odolnom jednotnom trhu (</w:t>
      </w:r>
      <w:r w:rsidRPr="00AD439B">
        <w:rPr>
          <w:rFonts w:ascii="Times New Roman" w:hAnsi="Times New Roman"/>
          <w:b/>
          <w:noProof/>
          <w:sz w:val="24"/>
          <w:szCs w:val="24"/>
        </w:rPr>
        <w:t>oddiel 3</w:t>
      </w:r>
      <w:r w:rsidRPr="00D43ED4">
        <w:rPr>
          <w:rFonts w:ascii="Times New Roman" w:hAnsi="Times New Roman"/>
          <w:noProof/>
          <w:sz w:val="24"/>
          <w:szCs w:val="24"/>
        </w:rPr>
        <w:t xml:space="preserve">). </w:t>
      </w:r>
    </w:p>
    <w:p w:rsidR="00FD4B76" w:rsidRPr="00AD439B" w:rsidRDefault="002E5129" w:rsidP="00B73EA5">
      <w:pPr>
        <w:pStyle w:val="Heading1"/>
        <w:numPr>
          <w:ilvl w:val="0"/>
          <w:numId w:val="39"/>
        </w:numPr>
        <w:jc w:val="both"/>
        <w:rPr>
          <w:rFonts w:ascii="Times New Roman" w:hAnsi="Times New Roman"/>
          <w:noProof/>
        </w:rPr>
      </w:pPr>
      <w:r w:rsidRPr="00AD439B">
        <w:rPr>
          <w:rFonts w:ascii="Times New Roman" w:hAnsi="Times New Roman"/>
          <w:noProof/>
        </w:rPr>
        <w:t>Príspevok dočasného rámca štátnej pomoci k urýchleniu obnovy</w:t>
      </w:r>
    </w:p>
    <w:p w:rsidR="00925828" w:rsidRPr="00AD439B" w:rsidRDefault="00A44ACD" w:rsidP="000E21FF">
      <w:pPr>
        <w:spacing w:after="240" w:line="240" w:lineRule="auto"/>
        <w:jc w:val="both"/>
        <w:rPr>
          <w:rStyle w:val="s3"/>
          <w:rFonts w:ascii="Times New Roman" w:hAnsi="Times New Roman" w:cs="Times New Roman"/>
          <w:b/>
          <w:smallCaps/>
          <w:noProof/>
          <w:sz w:val="24"/>
          <w:szCs w:val="24"/>
        </w:rPr>
      </w:pPr>
      <w:r w:rsidRPr="00D43ED4">
        <w:rPr>
          <w:rStyle w:val="s3"/>
          <w:rFonts w:ascii="Times New Roman" w:hAnsi="Times New Roman"/>
          <w:noProof/>
          <w:sz w:val="24"/>
          <w:szCs w:val="24"/>
        </w:rPr>
        <w:t>Keď v marci 2020 naplno prepukla pandémia COVID-19, spoločenský a hospodársky život ľudí v EÚ sa náhle zastavil: boli požiadaní, aby zostali doma, školy, obchody a kancelárie sa zatvorili, továrne prestali fungovať. Bez mimoriadnej verejnej podpory by inak životaschopné spoločnosti museli opustiť trh a nespočetné množstvo ľudí by prišlo o živobytie.</w:t>
      </w:r>
    </w:p>
    <w:p w:rsidR="005D4C32" w:rsidRPr="00D43ED4" w:rsidRDefault="008C6E1A" w:rsidP="00B73EA5">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Komisia naplno využila flexibilitu pravidiel štátnej pomoci pre výnimočné okolnosti na prijatie</w:t>
      </w:r>
      <w:r w:rsidRPr="00D43ED4">
        <w:rPr>
          <w:rFonts w:ascii="Times New Roman" w:hAnsi="Times New Roman"/>
          <w:noProof/>
          <w:sz w:val="24"/>
          <w:szCs w:val="24"/>
        </w:rPr>
        <w:t xml:space="preserve"> </w:t>
      </w:r>
      <w:r w:rsidRPr="00AD439B">
        <w:rPr>
          <w:rStyle w:val="s3"/>
          <w:rFonts w:ascii="Times New Roman" w:hAnsi="Times New Roman"/>
          <w:b/>
          <w:noProof/>
          <w:sz w:val="24"/>
          <w:szCs w:val="24"/>
        </w:rPr>
        <w:t>dočasného rámca</w:t>
      </w:r>
      <w:r w:rsidRPr="00AD439B">
        <w:rPr>
          <w:rFonts w:ascii="Times New Roman" w:hAnsi="Times New Roman"/>
          <w:b/>
          <w:noProof/>
          <w:sz w:val="24"/>
          <w:szCs w:val="24"/>
        </w:rPr>
        <w:t xml:space="preserve"> štátnej pomoci</w:t>
      </w:r>
      <w:r w:rsidRPr="00D43ED4">
        <w:rPr>
          <w:rFonts w:ascii="Times New Roman" w:hAnsi="Times New Roman"/>
          <w:noProof/>
          <w:sz w:val="24"/>
          <w:szCs w:val="24"/>
        </w:rPr>
        <w:t xml:space="preserve"> </w:t>
      </w:r>
      <w:r w:rsidRPr="00D43ED4">
        <w:rPr>
          <w:rStyle w:val="s3"/>
          <w:rFonts w:ascii="Times New Roman" w:hAnsi="Times New Roman"/>
          <w:noProof/>
          <w:sz w:val="24"/>
          <w:szCs w:val="24"/>
        </w:rPr>
        <w:t>s cieľom poskytnúť členským štátom osobitne prispôsobený súbor nástrojov na podporu hospodárstva v týchto ťažkých časoch. Za posledných 18 mesiacov Komisia naďalej prispôsobovala pravidlá vyvíjajúcim sa potrebám členských štátov a podnikov prostredníctvom piatich zmien uvedeného rámca</w:t>
      </w:r>
      <w:r w:rsidRPr="00D43ED4">
        <w:rPr>
          <w:rStyle w:val="FootnoteReference"/>
          <w:rFonts w:ascii="Times New Roman" w:hAnsi="Times New Roman" w:cs="Times New Roman"/>
          <w:noProof/>
          <w:sz w:val="24"/>
          <w:szCs w:val="24"/>
        </w:rPr>
        <w:footnoteReference w:id="11"/>
      </w:r>
      <w:r w:rsidRPr="00D43ED4">
        <w:rPr>
          <w:rStyle w:val="s3"/>
          <w:rFonts w:ascii="Times New Roman" w:hAnsi="Times New Roman"/>
          <w:noProof/>
          <w:sz w:val="24"/>
          <w:szCs w:val="24"/>
        </w:rPr>
        <w:t>, čo členským štátom umožnilo prijať širokú škálu podporných opatrení. Do dnešného dňa Komisia prijala viac ako 670 rozhodnutí, ktorými schválila štátnu pomoc vo výške viac ako 3 bilióny EUR vo všetkých 27 členských štátoch</w:t>
      </w:r>
      <w:r w:rsidRPr="00D43ED4">
        <w:rPr>
          <w:rStyle w:val="FootnoteReference"/>
          <w:rFonts w:ascii="Times New Roman" w:hAnsi="Times New Roman" w:cs="Times New Roman"/>
          <w:noProof/>
          <w:sz w:val="24"/>
          <w:szCs w:val="24"/>
        </w:rPr>
        <w:footnoteReference w:id="12"/>
      </w:r>
      <w:r w:rsidRPr="00D43ED4">
        <w:rPr>
          <w:rFonts w:ascii="Times New Roman" w:hAnsi="Times New Roman"/>
          <w:noProof/>
          <w:sz w:val="24"/>
          <w:szCs w:val="24"/>
        </w:rPr>
        <w:t xml:space="preserve"> a pokryla rôzne odvetvia hospodárstva prostredníctvom rôznych druhov pomoci vrátane podpory zameranej na MSP. Tieto rozhodnutia boli </w:t>
      </w:r>
      <w:r w:rsidRPr="00D43ED4">
        <w:rPr>
          <w:rStyle w:val="s3"/>
          <w:rFonts w:ascii="Times New Roman" w:hAnsi="Times New Roman"/>
          <w:noProof/>
          <w:sz w:val="24"/>
          <w:szCs w:val="24"/>
        </w:rPr>
        <w:t xml:space="preserve">vďaka osobitným postupom prijímania a úzkej spolupráci medzi Komisiou a členskými štátmi prijaté v rekordnom čase. </w:t>
      </w:r>
    </w:p>
    <w:p w:rsidR="002C50D1" w:rsidRPr="00AD439B" w:rsidRDefault="0007755C" w:rsidP="002C50D1">
      <w:pPr>
        <w:spacing w:after="240" w:line="240" w:lineRule="auto"/>
        <w:jc w:val="both"/>
        <w:rPr>
          <w:rFonts w:ascii="Times New Roman" w:hAnsi="Times New Roman" w:cs="Times New Roman"/>
          <w:noProof/>
          <w:sz w:val="24"/>
          <w:szCs w:val="24"/>
          <w:u w:val="single"/>
        </w:rPr>
      </w:pPr>
      <w:r w:rsidRPr="00D43ED4">
        <w:rPr>
          <w:rStyle w:val="s3"/>
          <w:rFonts w:ascii="Times New Roman" w:hAnsi="Times New Roman"/>
          <w:noProof/>
          <w:sz w:val="24"/>
          <w:szCs w:val="24"/>
        </w:rPr>
        <w:t xml:space="preserve">Dočasný rámec štátnej pomoci obsahuje </w:t>
      </w:r>
      <w:r w:rsidRPr="00AD439B">
        <w:rPr>
          <w:rStyle w:val="s3"/>
          <w:rFonts w:ascii="Times New Roman" w:hAnsi="Times New Roman"/>
          <w:b/>
          <w:noProof/>
          <w:sz w:val="24"/>
          <w:szCs w:val="24"/>
        </w:rPr>
        <w:t>záruky na zabezpečenie toho, aby verejná podpora nenarúšala rovnaké podmienky na jednotnom trhu</w:t>
      </w:r>
      <w:r w:rsidRPr="00D43ED4">
        <w:rPr>
          <w:rStyle w:val="FootnoteReference"/>
          <w:rFonts w:ascii="Times New Roman" w:hAnsi="Times New Roman" w:cs="Times New Roman"/>
          <w:noProof/>
          <w:sz w:val="24"/>
          <w:szCs w:val="24"/>
        </w:rPr>
        <w:footnoteReference w:id="13"/>
      </w:r>
      <w:r w:rsidRPr="00D43ED4">
        <w:rPr>
          <w:rStyle w:val="s3"/>
          <w:rFonts w:ascii="Times New Roman" w:hAnsi="Times New Roman"/>
          <w:noProof/>
          <w:sz w:val="24"/>
          <w:szCs w:val="24"/>
        </w:rPr>
        <w:t>. Vzhľadom na výrazné rozdiely v schopnosti vnútroštátnych rozpočtov člens</w:t>
      </w:r>
      <w:r w:rsidR="0001786F" w:rsidRPr="00D43ED4">
        <w:rPr>
          <w:rStyle w:val="s3"/>
          <w:rFonts w:ascii="Times New Roman" w:hAnsi="Times New Roman"/>
          <w:noProof/>
          <w:sz w:val="24"/>
          <w:szCs w:val="24"/>
        </w:rPr>
        <w:t>kých štátov reagovať na krízu a </w:t>
      </w:r>
      <w:r w:rsidRPr="00D43ED4">
        <w:rPr>
          <w:rStyle w:val="s3"/>
          <w:rFonts w:ascii="Times New Roman" w:hAnsi="Times New Roman"/>
          <w:noProof/>
          <w:sz w:val="24"/>
          <w:szCs w:val="24"/>
        </w:rPr>
        <w:t xml:space="preserve">poskytovať podporu je však Komisia naďalej ostražitá, pokiaľ ide o </w:t>
      </w:r>
      <w:r w:rsidRPr="00AD439B">
        <w:rPr>
          <w:rStyle w:val="s3"/>
          <w:rFonts w:ascii="Times New Roman" w:hAnsi="Times New Roman"/>
          <w:b/>
          <w:noProof/>
          <w:sz w:val="24"/>
          <w:szCs w:val="24"/>
        </w:rPr>
        <w:t>vplyv mimoriadnej podpory</w:t>
      </w:r>
      <w:r w:rsidRPr="00D43ED4">
        <w:rPr>
          <w:rStyle w:val="FootnoteReference"/>
          <w:rFonts w:ascii="Times New Roman" w:hAnsi="Times New Roman" w:cs="Times New Roman"/>
          <w:noProof/>
          <w:sz w:val="24"/>
          <w:szCs w:val="24"/>
        </w:rPr>
        <w:footnoteReference w:id="14"/>
      </w:r>
      <w:r w:rsidRPr="00D43ED4">
        <w:rPr>
          <w:rStyle w:val="s3"/>
          <w:rFonts w:ascii="Times New Roman" w:hAnsi="Times New Roman"/>
          <w:noProof/>
          <w:sz w:val="24"/>
          <w:szCs w:val="24"/>
        </w:rPr>
        <w:t>.</w:t>
      </w:r>
      <w:r w:rsidRPr="00D43ED4">
        <w:rPr>
          <w:rFonts w:ascii="Times New Roman" w:hAnsi="Times New Roman"/>
          <w:noProof/>
          <w:sz w:val="24"/>
          <w:szCs w:val="24"/>
        </w:rPr>
        <w:t xml:space="preserve"> Komisia zároveň </w:t>
      </w:r>
      <w:r w:rsidRPr="00D43ED4">
        <w:rPr>
          <w:rFonts w:ascii="Times New Roman" w:hAnsi="Times New Roman"/>
          <w:i/>
          <w:noProof/>
          <w:sz w:val="24"/>
          <w:szCs w:val="24"/>
        </w:rPr>
        <w:t>ex post</w:t>
      </w:r>
      <w:r w:rsidRPr="00D43ED4">
        <w:rPr>
          <w:rFonts w:ascii="Times New Roman" w:hAnsi="Times New Roman"/>
          <w:noProof/>
          <w:sz w:val="24"/>
          <w:szCs w:val="24"/>
        </w:rPr>
        <w:t xml:space="preserve"> vyhodnotí uplatňovanie dočasného rámca štátnej pomoci a vyvodí ponaučenia z jeho vykonávania užitočné do budúcna, a to pokiaľ ide o procedurálne aspekty aj vplyv rôznych druhov pomoci, ktoré povolila napríklad pre MSP v záujme hospodárskej súťaže na jednotnom trhu.</w:t>
      </w:r>
    </w:p>
    <w:p w:rsidR="00282E52" w:rsidRPr="00AD439B" w:rsidRDefault="00B81352" w:rsidP="00EA16DD">
      <w:pPr>
        <w:keepNext/>
        <w:spacing w:after="240" w:line="240" w:lineRule="auto"/>
        <w:jc w:val="both"/>
        <w:rPr>
          <w:rFonts w:ascii="Times New Roman" w:hAnsi="Times New Roman" w:cs="Times New Roman"/>
          <w:b/>
          <w:i/>
          <w:noProof/>
          <w:sz w:val="24"/>
          <w:szCs w:val="24"/>
        </w:rPr>
      </w:pPr>
      <w:r w:rsidRPr="00AD439B">
        <w:rPr>
          <w:rFonts w:ascii="Times New Roman" w:hAnsi="Times New Roman"/>
          <w:b/>
          <w:i/>
          <w:noProof/>
          <w:sz w:val="24"/>
          <w:szCs w:val="24"/>
        </w:rPr>
        <w:t>Postupné ukončenie uplatňovania dočasného rámca štátnej pomoci na ceste k obnove</w:t>
      </w:r>
    </w:p>
    <w:p w:rsidR="00234284" w:rsidRPr="00D43ED4" w:rsidRDefault="0069667F" w:rsidP="00B73EA5">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Ako už bolo uvedené v aktualizácii priemyselnej stratégie</w:t>
      </w:r>
      <w:r w:rsidRPr="00D43ED4">
        <w:rPr>
          <w:rStyle w:val="FootnoteReference"/>
          <w:rFonts w:ascii="Times New Roman" w:hAnsi="Times New Roman" w:cs="Times New Roman"/>
          <w:noProof/>
          <w:sz w:val="24"/>
          <w:szCs w:val="24"/>
        </w:rPr>
        <w:footnoteReference w:id="15"/>
      </w:r>
      <w:r w:rsidRPr="00D43ED4">
        <w:rPr>
          <w:rStyle w:val="s3"/>
          <w:rFonts w:ascii="Times New Roman" w:hAnsi="Times New Roman"/>
          <w:noProof/>
          <w:sz w:val="24"/>
          <w:szCs w:val="24"/>
        </w:rPr>
        <w:t xml:space="preserve">, podporné opatrenia zavedené počas krízy sa musia postupne zrušiť, hneď ako to hospodárska situácia umožní, pričom však treba zamedziť kaskádovým efektom. </w:t>
      </w:r>
      <w:r w:rsidRPr="00D43ED4">
        <w:rPr>
          <w:rFonts w:ascii="Times New Roman" w:hAnsi="Times New Roman"/>
          <w:noProof/>
          <w:sz w:val="24"/>
          <w:szCs w:val="24"/>
        </w:rPr>
        <w:t xml:space="preserve">Cieľom je </w:t>
      </w:r>
      <w:r w:rsidRPr="00D43ED4">
        <w:rPr>
          <w:rStyle w:val="s3"/>
          <w:rFonts w:ascii="Times New Roman" w:hAnsi="Times New Roman"/>
          <w:noProof/>
          <w:sz w:val="24"/>
          <w:szCs w:val="24"/>
        </w:rPr>
        <w:t xml:space="preserve">zabrániť asymetrickej obnove a riziku ešte väčších hospodárskych rozdielov v rámci jednotného trhu. </w:t>
      </w:r>
      <w:r w:rsidRPr="00AD439B">
        <w:rPr>
          <w:rStyle w:val="s3"/>
          <w:rFonts w:ascii="Times New Roman" w:hAnsi="Times New Roman"/>
          <w:b/>
          <w:noProof/>
          <w:sz w:val="24"/>
          <w:szCs w:val="24"/>
        </w:rPr>
        <w:t>Hospodárstvo EÚ sa môže zásadne obnoviť len vtedy, ak sa budeme zotavovať spoločne.</w:t>
      </w:r>
      <w:r w:rsidRPr="00D43ED4">
        <w:rPr>
          <w:rStyle w:val="s3"/>
          <w:rFonts w:ascii="Times New Roman" w:hAnsi="Times New Roman"/>
          <w:noProof/>
          <w:sz w:val="24"/>
          <w:szCs w:val="24"/>
        </w:rPr>
        <w:t xml:space="preserve"> </w:t>
      </w:r>
    </w:p>
    <w:p w:rsidR="00A44ACD" w:rsidRPr="00AD439B" w:rsidRDefault="00234284" w:rsidP="00B73EA5">
      <w:pPr>
        <w:spacing w:after="240" w:line="240" w:lineRule="auto"/>
        <w:jc w:val="both"/>
        <w:rPr>
          <w:rFonts w:ascii="Times New Roman" w:hAnsi="Times New Roman" w:cs="Times New Roman"/>
          <w:b/>
          <w:noProof/>
          <w:sz w:val="24"/>
          <w:szCs w:val="24"/>
        </w:rPr>
      </w:pPr>
      <w:r w:rsidRPr="00D43ED4">
        <w:rPr>
          <w:rStyle w:val="s3"/>
          <w:rFonts w:ascii="Times New Roman" w:hAnsi="Times New Roman"/>
          <w:noProof/>
          <w:sz w:val="24"/>
          <w:szCs w:val="24"/>
        </w:rPr>
        <w:t>Na</w:t>
      </w:r>
      <w:r w:rsidRPr="00D43ED4">
        <w:rPr>
          <w:rFonts w:ascii="Times New Roman" w:hAnsi="Times New Roman"/>
          <w:noProof/>
          <w:sz w:val="24"/>
          <w:szCs w:val="24"/>
        </w:rPr>
        <w:t xml:space="preserve"> základe týchto okolností dnes Komisia prijíma </w:t>
      </w:r>
      <w:r w:rsidRPr="00AD439B">
        <w:rPr>
          <w:rFonts w:ascii="Times New Roman" w:hAnsi="Times New Roman"/>
          <w:b/>
          <w:noProof/>
          <w:sz w:val="24"/>
          <w:szCs w:val="24"/>
        </w:rPr>
        <w:t>šiestu zmenu dočasného rámca štátnej pomoci</w:t>
      </w:r>
      <w:r w:rsidRPr="00D43ED4">
        <w:rPr>
          <w:rFonts w:ascii="Times New Roman" w:hAnsi="Times New Roman"/>
          <w:noProof/>
          <w:sz w:val="24"/>
          <w:szCs w:val="24"/>
        </w:rPr>
        <w:t xml:space="preserve"> s dvoma cieľmi:</w:t>
      </w:r>
    </w:p>
    <w:p w:rsidR="00A44ACD" w:rsidRPr="00D43ED4" w:rsidRDefault="00A44ACD" w:rsidP="00B73EA5">
      <w:pPr>
        <w:spacing w:after="240" w:line="240" w:lineRule="auto"/>
        <w:jc w:val="both"/>
        <w:rPr>
          <w:rFonts w:ascii="Times New Roman" w:hAnsi="Times New Roman" w:cs="Times New Roman"/>
          <w:noProof/>
          <w:sz w:val="24"/>
          <w:szCs w:val="24"/>
        </w:rPr>
      </w:pPr>
      <w:r w:rsidRPr="00AD439B">
        <w:rPr>
          <w:rFonts w:ascii="Times New Roman" w:hAnsi="Times New Roman"/>
          <w:b/>
          <w:noProof/>
          <w:sz w:val="24"/>
          <w:szCs w:val="24"/>
        </w:rPr>
        <w:t>Po prvé</w:t>
      </w:r>
      <w:r w:rsidRPr="00D43ED4">
        <w:rPr>
          <w:rFonts w:ascii="Times New Roman" w:hAnsi="Times New Roman"/>
          <w:noProof/>
          <w:sz w:val="24"/>
          <w:szCs w:val="24"/>
        </w:rPr>
        <w:t xml:space="preserve">, touto zmenou sa stanovuje cesta k </w:t>
      </w:r>
      <w:r w:rsidRPr="00AD439B">
        <w:rPr>
          <w:rFonts w:ascii="Times New Roman" w:hAnsi="Times New Roman"/>
          <w:b/>
          <w:noProof/>
          <w:sz w:val="24"/>
          <w:szCs w:val="24"/>
        </w:rPr>
        <w:t>postupnému rušeniu krízových opatrení</w:t>
      </w:r>
      <w:r w:rsidRPr="00D43ED4">
        <w:rPr>
          <w:rFonts w:ascii="Times New Roman" w:hAnsi="Times New Roman"/>
          <w:noProof/>
          <w:sz w:val="24"/>
          <w:szCs w:val="24"/>
        </w:rPr>
        <w:t xml:space="preserve"> vzhľadom na pozorovanú hospodársku obnovu a v závislosti od vývoja pandémie. Šesťmesačným predĺžením existujúcich opatrení podľa dočasného rámca štátnej pomoci do 30. júna 2022 sa zabráni tomu, aby boli podniky náhle odrezané od stále potrebnej verejnej podpory v čase, keď sa vážne narušenie vplývajúce na hospodárstva členských štátov ešte neskončilo. Umožní koordinované postupné zrušenie danej úrovne podpory v závislosti od rôznej rýchlosti obnovy, hoci určité odvetvia v jednotlivých členských štátoch stále zaostávajú za ostatnými. </w:t>
      </w:r>
    </w:p>
    <w:p w:rsidR="004D3A2E" w:rsidRPr="00D43ED4" w:rsidRDefault="00A44ACD" w:rsidP="00BE36E5">
      <w:pPr>
        <w:spacing w:after="240" w:line="240" w:lineRule="auto"/>
        <w:jc w:val="both"/>
        <w:rPr>
          <w:rFonts w:ascii="Times New Roman" w:hAnsi="Times New Roman" w:cs="Times New Roman"/>
          <w:noProof/>
          <w:sz w:val="24"/>
          <w:szCs w:val="24"/>
        </w:rPr>
      </w:pPr>
      <w:r w:rsidRPr="00AD439B">
        <w:rPr>
          <w:rFonts w:ascii="Times New Roman" w:hAnsi="Times New Roman"/>
          <w:b/>
          <w:noProof/>
          <w:sz w:val="24"/>
          <w:szCs w:val="24"/>
        </w:rPr>
        <w:t>Po druhé</w:t>
      </w:r>
      <w:r w:rsidRPr="00D43ED4">
        <w:rPr>
          <w:rFonts w:ascii="Times New Roman" w:hAnsi="Times New Roman"/>
          <w:noProof/>
          <w:sz w:val="24"/>
          <w:szCs w:val="24"/>
        </w:rPr>
        <w:t xml:space="preserve">, touto zmenou sa zavádzajú dva </w:t>
      </w:r>
      <w:r w:rsidRPr="00AD439B">
        <w:rPr>
          <w:rFonts w:ascii="Times New Roman" w:hAnsi="Times New Roman"/>
          <w:b/>
          <w:noProof/>
          <w:sz w:val="24"/>
          <w:szCs w:val="24"/>
        </w:rPr>
        <w:t>nové nástroje na naštartovanie a prilákanie súkromných investícií v záujme rýchlejšej, zelenšej a digitálnejšej obnovy</w:t>
      </w:r>
      <w:r w:rsidRPr="00D43ED4">
        <w:rPr>
          <w:rFonts w:ascii="Times New Roman" w:hAnsi="Times New Roman"/>
          <w:noProof/>
          <w:sz w:val="24"/>
          <w:szCs w:val="24"/>
        </w:rPr>
        <w:t>:</w:t>
      </w:r>
    </w:p>
    <w:p w:rsidR="0066764A" w:rsidRPr="00D43ED4" w:rsidRDefault="006C14A4" w:rsidP="00A476E5">
      <w:pPr>
        <w:pStyle w:val="ListParagraph"/>
        <w:numPr>
          <w:ilvl w:val="0"/>
          <w:numId w:val="30"/>
        </w:numPr>
        <w:spacing w:after="240" w:line="240" w:lineRule="auto"/>
        <w:jc w:val="both"/>
        <w:rPr>
          <w:rFonts w:ascii="Times New Roman" w:hAnsi="Times New Roman" w:cs="Times New Roman"/>
          <w:noProof/>
          <w:sz w:val="24"/>
          <w:szCs w:val="24"/>
        </w:rPr>
      </w:pPr>
      <w:r w:rsidRPr="00AD439B">
        <w:rPr>
          <w:rFonts w:ascii="Times New Roman" w:hAnsi="Times New Roman"/>
          <w:b/>
          <w:noProof/>
          <w:sz w:val="24"/>
          <w:szCs w:val="24"/>
        </w:rPr>
        <w:t>Investičná podpora na dosiahnutie udržateľnej obnovy</w:t>
      </w:r>
      <w:r w:rsidRPr="00D43ED4">
        <w:rPr>
          <w:rFonts w:ascii="Times New Roman" w:hAnsi="Times New Roman"/>
          <w:noProof/>
          <w:sz w:val="24"/>
          <w:szCs w:val="24"/>
        </w:rPr>
        <w:t xml:space="preserve"> (do 31. decembra 2022): tento nástroj umožňuje členským štátom</w:t>
      </w:r>
      <w:r w:rsidRPr="00AD439B">
        <w:rPr>
          <w:rFonts w:ascii="Times New Roman" w:hAnsi="Times New Roman"/>
          <w:b/>
          <w:noProof/>
          <w:sz w:val="24"/>
          <w:szCs w:val="24"/>
        </w:rPr>
        <w:t xml:space="preserve"> vytvárať priame stimuly pre súkromné investície</w:t>
      </w:r>
      <w:r w:rsidRPr="00D43ED4">
        <w:rPr>
          <w:rFonts w:ascii="Times New Roman" w:hAnsi="Times New Roman"/>
          <w:noProof/>
          <w:sz w:val="24"/>
          <w:szCs w:val="24"/>
        </w:rPr>
        <w:t xml:space="preserve"> s cieľom naštartovať hospodárstvo. Členské štáty môžu tento nástroj využiť na podporu určitých odvetví alebo druhov spoločností s cieľom pomôcť vyriešiť nedostatok investícií, ktorý spôsobila pandémia COVID-19. V snahe zabrániť neprimeranému narúšaniu hospodárskej súťaže sa zavádzajú ochranné opatrenia, napríklad na zabezpečenie toho, aby členské štáty zriadili systémy, ktoré slúžia značnému počtu spoločností, a na zabezpečenie dostatočného vlastného príspevku spoločností. Členské štáty môžu tento nástroj použiť na urýchlenie zelenej a digitálnej transformácie tým, že umožnia podporu všetkých investícií, ktoré členské štáty považujú za dôležité na urýchlenie obnovy svojho hospodárstva po ničivých účinkoch pandémie udržateľným spôsobom, ktorý bude odolný voči budúcim zmenám. Vo všeobecnosti je nepravdepodobné, aby investície, ktoré výrazne narúšajú plnenie environmentálnych cieľov, mali dostatočne pozitívny vplyv na vyváženie svojich negatívnych účinkov na hospodársku súťaž a obchod. V závislosti od rôznych potrieb národných hospodárstiev je na členských štátoch, aby si stanovili priority a navrhli systémy podpory, ktoré využívajú súkromné investície. </w:t>
      </w:r>
    </w:p>
    <w:p w:rsidR="0066764A" w:rsidRPr="00AD439B" w:rsidRDefault="0066764A" w:rsidP="00BE4F91">
      <w:pPr>
        <w:pStyle w:val="ListParagraph"/>
        <w:spacing w:after="240" w:line="240" w:lineRule="auto"/>
        <w:jc w:val="both"/>
        <w:rPr>
          <w:rFonts w:ascii="Times New Roman" w:hAnsi="Times New Roman" w:cs="Times New Roman"/>
          <w:b/>
          <w:noProof/>
          <w:sz w:val="24"/>
          <w:szCs w:val="24"/>
        </w:rPr>
      </w:pPr>
    </w:p>
    <w:p w:rsidR="008928EF" w:rsidRPr="00D43ED4" w:rsidRDefault="008928EF" w:rsidP="00BE4F91">
      <w:pPr>
        <w:pStyle w:val="ListParagraph"/>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Tie môžu zahŕňať napríklad: </w:t>
      </w:r>
    </w:p>
    <w:p w:rsidR="00E82651" w:rsidRPr="00D43ED4" w:rsidRDefault="00E82651" w:rsidP="00BE4F91">
      <w:pPr>
        <w:pStyle w:val="ListParagraph"/>
        <w:spacing w:after="240" w:line="240" w:lineRule="auto"/>
        <w:jc w:val="both"/>
        <w:rPr>
          <w:rFonts w:ascii="Times New Roman" w:hAnsi="Times New Roman" w:cs="Times New Roman"/>
          <w:noProof/>
          <w:sz w:val="24"/>
          <w:szCs w:val="24"/>
        </w:rPr>
      </w:pPr>
    </w:p>
    <w:p w:rsidR="009F229D" w:rsidRPr="00D43ED4" w:rsidRDefault="004F4D3A" w:rsidP="00183F31">
      <w:pPr>
        <w:pStyle w:val="ListParagraph"/>
        <w:numPr>
          <w:ilvl w:val="1"/>
          <w:numId w:val="38"/>
        </w:num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zavádzanie alebo modernizáciu digitálnej infraštruktúry potrebnej na digitalizáciu spoločností,</w:t>
      </w:r>
    </w:p>
    <w:p w:rsidR="004365A0" w:rsidRPr="00D43ED4" w:rsidRDefault="004365A0">
      <w:pPr>
        <w:pStyle w:val="ListParagraph"/>
        <w:numPr>
          <w:ilvl w:val="1"/>
          <w:numId w:val="38"/>
        </w:num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úpravu výrobných liniek pre nové produkty (napr. vybavenie potrebné na digitalizáciu, elektrické vozidlá),</w:t>
      </w:r>
    </w:p>
    <w:p w:rsidR="00E82651" w:rsidRPr="00D43ED4" w:rsidRDefault="006C14A4" w:rsidP="002E6CEA">
      <w:pPr>
        <w:pStyle w:val="ListParagraph"/>
        <w:numPr>
          <w:ilvl w:val="1"/>
          <w:numId w:val="38"/>
        </w:num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investície do nových výrobných liniek alebo</w:t>
      </w:r>
      <w:r w:rsidR="0001786F" w:rsidRPr="00D43ED4">
        <w:rPr>
          <w:rFonts w:ascii="Times New Roman" w:hAnsi="Times New Roman"/>
          <w:noProof/>
          <w:sz w:val="24"/>
          <w:szCs w:val="24"/>
        </w:rPr>
        <w:t xml:space="preserve"> strojov na rozšírenie výroby s </w:t>
      </w:r>
      <w:r w:rsidRPr="00D43ED4">
        <w:rPr>
          <w:rFonts w:ascii="Times New Roman" w:hAnsi="Times New Roman"/>
          <w:noProof/>
          <w:sz w:val="24"/>
          <w:szCs w:val="24"/>
        </w:rPr>
        <w:t xml:space="preserve">cieľom prekonať nedostatočné dodávky, </w:t>
      </w:r>
    </w:p>
    <w:p w:rsidR="00E82651" w:rsidRPr="00D43ED4" w:rsidRDefault="006C14A4">
      <w:pPr>
        <w:pStyle w:val="ListParagraph"/>
        <w:numPr>
          <w:ilvl w:val="1"/>
          <w:numId w:val="38"/>
        </w:num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nahradenie starých strojov alebo zariadení efektívnejšími alebo menej znečisťujúcimi zariadeniami, </w:t>
      </w:r>
    </w:p>
    <w:p w:rsidR="004F4D3A" w:rsidRPr="00D43ED4" w:rsidRDefault="004F4D3A" w:rsidP="004F4D3A">
      <w:pPr>
        <w:pStyle w:val="ListParagraph"/>
        <w:numPr>
          <w:ilvl w:val="1"/>
          <w:numId w:val="38"/>
        </w:num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investície do vybavenia potrebného na zlepšenie obehového hospodárstva/recyklácie a na zabezpečenie udržateľného prístupu k zdrojom,</w:t>
      </w:r>
    </w:p>
    <w:p w:rsidR="00E82651" w:rsidRPr="00D43ED4" w:rsidRDefault="006C14A4">
      <w:pPr>
        <w:pStyle w:val="ListParagraph"/>
        <w:numPr>
          <w:ilvl w:val="1"/>
          <w:numId w:val="38"/>
        </w:num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podporu zvyšovania energetickej hospodárnosti budov, </w:t>
      </w:r>
    </w:p>
    <w:p w:rsidR="001A37DD" w:rsidRPr="00D43ED4" w:rsidRDefault="006C14A4" w:rsidP="004F1C68">
      <w:pPr>
        <w:pStyle w:val="ListParagraph"/>
        <w:numPr>
          <w:ilvl w:val="1"/>
          <w:numId w:val="38"/>
        </w:num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podporu spoločností, ktoré si chcú zaobstarať elektrické bicykle, elektrické vozidlá alebo iné druhy ekologických dopravných prostriedkov, a/alebo</w:t>
      </w:r>
    </w:p>
    <w:p w:rsidR="004F1C68" w:rsidRPr="00D43ED4" w:rsidRDefault="001A37DD" w:rsidP="004F1C68">
      <w:pPr>
        <w:pStyle w:val="ListParagraph"/>
        <w:numPr>
          <w:ilvl w:val="1"/>
          <w:numId w:val="38"/>
        </w:num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podporu programov rekvalifikácie/zvyšovania úrovne zručností s cieľom zabezpečiť prístup priemyslu ku kvalifikovanej pracovnej sile.</w:t>
      </w:r>
    </w:p>
    <w:p w:rsidR="006C14A4" w:rsidRPr="00D43ED4" w:rsidRDefault="006C14A4">
      <w:pPr>
        <w:pStyle w:val="ListParagraph"/>
        <w:spacing w:after="240" w:line="240" w:lineRule="auto"/>
        <w:jc w:val="both"/>
        <w:rPr>
          <w:rFonts w:ascii="Times New Roman" w:hAnsi="Times New Roman" w:cs="Times New Roman"/>
          <w:noProof/>
          <w:sz w:val="24"/>
          <w:szCs w:val="24"/>
        </w:rPr>
      </w:pPr>
    </w:p>
    <w:p w:rsidR="006C14A4" w:rsidRPr="00D43ED4" w:rsidRDefault="006C14A4" w:rsidP="00131D97">
      <w:pPr>
        <w:pStyle w:val="ListParagraph"/>
        <w:numPr>
          <w:ilvl w:val="0"/>
          <w:numId w:val="30"/>
        </w:numPr>
        <w:spacing w:after="240" w:line="240" w:lineRule="auto"/>
        <w:jc w:val="both"/>
        <w:rPr>
          <w:rFonts w:ascii="Times New Roman" w:hAnsi="Times New Roman" w:cs="Times New Roman"/>
          <w:noProof/>
          <w:sz w:val="24"/>
          <w:szCs w:val="24"/>
        </w:rPr>
      </w:pPr>
      <w:r w:rsidRPr="00AD439B">
        <w:rPr>
          <w:rFonts w:ascii="Times New Roman" w:hAnsi="Times New Roman"/>
          <w:b/>
          <w:noProof/>
          <w:sz w:val="24"/>
          <w:szCs w:val="24"/>
        </w:rPr>
        <w:t>Podpora platobnej schopnosti</w:t>
      </w:r>
      <w:r w:rsidRPr="00D43ED4">
        <w:rPr>
          <w:rFonts w:ascii="Times New Roman" w:hAnsi="Times New Roman"/>
          <w:noProof/>
          <w:sz w:val="24"/>
          <w:szCs w:val="24"/>
        </w:rPr>
        <w:t xml:space="preserve"> (do 31. decembra 2023):</w:t>
      </w:r>
      <w:r w:rsidRPr="00AD439B">
        <w:rPr>
          <w:rFonts w:ascii="Times New Roman" w:hAnsi="Times New Roman"/>
          <w:b/>
          <w:noProof/>
          <w:sz w:val="24"/>
          <w:szCs w:val="24"/>
        </w:rPr>
        <w:t xml:space="preserve"> </w:t>
      </w:r>
      <w:r w:rsidRPr="00D43ED4">
        <w:rPr>
          <w:rFonts w:ascii="Times New Roman" w:hAnsi="Times New Roman"/>
          <w:noProof/>
          <w:sz w:val="24"/>
          <w:szCs w:val="24"/>
        </w:rPr>
        <w:t xml:space="preserve">toto opatrenie umožňuje členským štátom </w:t>
      </w:r>
      <w:r w:rsidRPr="00AD439B">
        <w:rPr>
          <w:rFonts w:ascii="Times New Roman" w:hAnsi="Times New Roman"/>
          <w:b/>
          <w:noProof/>
          <w:sz w:val="24"/>
          <w:szCs w:val="24"/>
        </w:rPr>
        <w:t>využívať súkromné finančné prostriedky</w:t>
      </w:r>
      <w:r w:rsidRPr="00D43ED4">
        <w:rPr>
          <w:rFonts w:ascii="Times New Roman" w:hAnsi="Times New Roman"/>
          <w:noProof/>
          <w:sz w:val="24"/>
          <w:szCs w:val="24"/>
        </w:rPr>
        <w:t xml:space="preserve"> a sprístupniť ich na investície do </w:t>
      </w:r>
      <w:r w:rsidRPr="00AD439B">
        <w:rPr>
          <w:rFonts w:ascii="Times New Roman" w:hAnsi="Times New Roman"/>
          <w:b/>
          <w:noProof/>
          <w:sz w:val="24"/>
          <w:szCs w:val="24"/>
        </w:rPr>
        <w:t>MSP vrátane startupov a malých spoločností so strednou trhovou kapitalizáciou</w:t>
      </w:r>
      <w:r w:rsidRPr="00D43ED4">
        <w:rPr>
          <w:rFonts w:ascii="Times New Roman" w:hAnsi="Times New Roman"/>
          <w:noProof/>
          <w:sz w:val="24"/>
          <w:szCs w:val="24"/>
        </w:rPr>
        <w:t>. Tento nástroj je mimoriadne dôležitý vzhľadom na zvyšujúcu sa úroveň zadlženosti počas krízy, najmä pokiaľ ide o menšie spoločnosti. Poskytuje prístup ku kapitálovému financovaniu, ktoré je pre tieto spoločnosti často náročné prilákať individuálne. Členské štáty môžu napríklad poskytnúť záruky vyhradeným investičným fondom, ktoré znížia riziká pre súkromných investorov a zatraktívnia investovanie do MSP, startupov a malých spoločností so strednou trhovou kapitalizáciou.</w:t>
      </w:r>
    </w:p>
    <w:p w:rsidR="004D00C7" w:rsidRPr="00D43ED4" w:rsidRDefault="004D00C7" w:rsidP="004D00C7">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Tieto dva nové nástroje môžu zároveň prispieť k vykonávaniu Mechanizmu na podporu obnovy a odolnosti.</w:t>
      </w:r>
    </w:p>
    <w:p w:rsidR="00E070F8" w:rsidRPr="00AD439B" w:rsidRDefault="00A44ACD">
      <w:pPr>
        <w:pStyle w:val="Heading1"/>
        <w:numPr>
          <w:ilvl w:val="0"/>
          <w:numId w:val="39"/>
        </w:numPr>
        <w:jc w:val="both"/>
        <w:rPr>
          <w:rFonts w:ascii="Times New Roman" w:hAnsi="Times New Roman"/>
          <w:noProof/>
        </w:rPr>
      </w:pPr>
      <w:r w:rsidRPr="00AD439B">
        <w:rPr>
          <w:rFonts w:ascii="Times New Roman" w:hAnsi="Times New Roman"/>
          <w:noProof/>
        </w:rPr>
        <w:t xml:space="preserve">Prínos politiky hospodárskej súťaže k zelenému, digitálnemu a odolnému jednotnému trhu </w:t>
      </w:r>
    </w:p>
    <w:p w:rsidR="00C35D14" w:rsidRPr="00D43ED4" w:rsidRDefault="00EB3858" w:rsidP="00EA16DD">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Prosperita Únie je hlboko zakorenená v jej </w:t>
      </w:r>
      <w:r w:rsidRPr="00AD439B">
        <w:rPr>
          <w:rStyle w:val="s3"/>
          <w:rFonts w:ascii="Times New Roman" w:hAnsi="Times New Roman"/>
          <w:b/>
          <w:noProof/>
          <w:sz w:val="24"/>
          <w:szCs w:val="24"/>
        </w:rPr>
        <w:t>záväzku dodržiavať zásady sociálneho trhového hospodárstva</w:t>
      </w:r>
      <w:r w:rsidRPr="00D43ED4">
        <w:rPr>
          <w:rStyle w:val="s3"/>
          <w:rFonts w:ascii="Times New Roman" w:hAnsi="Times New Roman"/>
          <w:noProof/>
          <w:sz w:val="24"/>
          <w:szCs w:val="24"/>
        </w:rPr>
        <w:t xml:space="preserve">, ako sú zakotvené v Lisabonskej zmluve. </w:t>
      </w:r>
      <w:r w:rsidRPr="00D43ED4">
        <w:rPr>
          <w:rFonts w:ascii="Times New Roman" w:hAnsi="Times New Roman"/>
          <w:noProof/>
          <w:sz w:val="24"/>
          <w:szCs w:val="24"/>
        </w:rPr>
        <w:t xml:space="preserve">Politika hospodárskej súťaže je súčasťou rozsiahleho súboru nástrojov na reguláciu a presadzovanie práva s cieľom </w:t>
      </w:r>
      <w:r w:rsidRPr="00D43ED4">
        <w:rPr>
          <w:rStyle w:val="s3"/>
          <w:rFonts w:ascii="Times New Roman" w:hAnsi="Times New Roman"/>
          <w:noProof/>
          <w:sz w:val="24"/>
          <w:szCs w:val="24"/>
        </w:rPr>
        <w:t>zabezpečiť, aby trhy fungovali v prospech zákazníkov a spotrebiteľov</w:t>
      </w:r>
      <w:r w:rsidRPr="00D43ED4">
        <w:rPr>
          <w:rFonts w:ascii="Times New Roman" w:hAnsi="Times New Roman"/>
          <w:noProof/>
          <w:sz w:val="24"/>
          <w:szCs w:val="24"/>
        </w:rPr>
        <w:t xml:space="preserve">. </w:t>
      </w:r>
      <w:r w:rsidRPr="00D43ED4">
        <w:rPr>
          <w:rStyle w:val="s3"/>
          <w:rFonts w:ascii="Times New Roman" w:hAnsi="Times New Roman"/>
          <w:noProof/>
          <w:sz w:val="24"/>
          <w:szCs w:val="24"/>
        </w:rPr>
        <w:t xml:space="preserve">Zachovaním otvorenosti a konkurencieschopnosti trhov a zabezpečením rovnakých podmienok pomáha politika hospodárskej súťaže dosahovať širšie priority Únie stanovené v jej regulačných politikách. </w:t>
      </w:r>
    </w:p>
    <w:p w:rsidR="00EF128D" w:rsidRPr="00D43ED4" w:rsidRDefault="0053254C" w:rsidP="00EA16DD">
      <w:pPr>
        <w:spacing w:after="240" w:line="240" w:lineRule="auto"/>
        <w:jc w:val="both"/>
        <w:rPr>
          <w:rStyle w:val="s3"/>
          <w:rFonts w:ascii="Times New Roman" w:hAnsi="Times New Roman" w:cs="Times New Roman"/>
          <w:noProof/>
          <w:sz w:val="24"/>
          <w:szCs w:val="24"/>
        </w:rPr>
      </w:pPr>
      <w:r w:rsidRPr="00D43ED4">
        <w:rPr>
          <w:rFonts w:ascii="Times New Roman" w:hAnsi="Times New Roman"/>
          <w:noProof/>
          <w:sz w:val="24"/>
          <w:szCs w:val="24"/>
        </w:rPr>
        <w:t>Konkrétnejšie je cieľom politiky hospodárskej súťaž</w:t>
      </w:r>
      <w:r w:rsidR="0001786F" w:rsidRPr="00D43ED4">
        <w:rPr>
          <w:rFonts w:ascii="Times New Roman" w:hAnsi="Times New Roman"/>
          <w:noProof/>
          <w:sz w:val="24"/>
          <w:szCs w:val="24"/>
        </w:rPr>
        <w:t>e predchádzať narušeniam trhu a </w:t>
      </w:r>
      <w:r w:rsidRPr="00D43ED4">
        <w:rPr>
          <w:rFonts w:ascii="Times New Roman" w:hAnsi="Times New Roman"/>
          <w:noProof/>
          <w:sz w:val="24"/>
          <w:szCs w:val="24"/>
        </w:rPr>
        <w:t xml:space="preserve">odstraňovať ich prostredníctvom účinnej verejnej intervencie. </w:t>
      </w:r>
      <w:r w:rsidRPr="00D43ED4">
        <w:rPr>
          <w:rStyle w:val="s3"/>
          <w:rFonts w:ascii="Times New Roman" w:hAnsi="Times New Roman"/>
          <w:noProof/>
          <w:sz w:val="24"/>
          <w:szCs w:val="24"/>
        </w:rPr>
        <w:t>Kontrola koncentrácií umožňuje spoločnostiam rásť nadobúdaním iných podnikov vrátane konkurentov, dodávateľov alebo zákazníkov a zároveň zabezpečuje, aby na relevantnom trhu stále pôsobilo dosť ďalších spoločností, ktoré môžu ponúknuť alternatív</w:t>
      </w:r>
      <w:r w:rsidR="0001786F" w:rsidRPr="00D43ED4">
        <w:rPr>
          <w:rStyle w:val="s3"/>
          <w:rFonts w:ascii="Times New Roman" w:hAnsi="Times New Roman"/>
          <w:noProof/>
          <w:sz w:val="24"/>
          <w:szCs w:val="24"/>
        </w:rPr>
        <w:t>y, čo prispieva k spoľahlivým a </w:t>
      </w:r>
      <w:r w:rsidRPr="00D43ED4">
        <w:rPr>
          <w:rStyle w:val="s3"/>
          <w:rFonts w:ascii="Times New Roman" w:hAnsi="Times New Roman"/>
          <w:noProof/>
          <w:sz w:val="24"/>
          <w:szCs w:val="24"/>
        </w:rPr>
        <w:t>rozmanitým dodávateľským reťazcom. Presadzovaním antitrustových pravidiel sa zabezpečuje, aby partnerstvá medzi spoločnosťami prinášali výhody bez toho, aby viedli ku vzniku škodlivých kartelov alebo iných protisúťažných dohôd, ktoré obmedzujú dostupnosť výrobkov alebo zvyšujú ceny. Takisto sa ním zabezpečuje, aby dominantné spoločnosti nevyužívali svoju trhovú silu na vylúčenie konkurentov alebo vykorisťovanie zákazníkov. Kontrolou štátnej pomoci sa reguluje využívanie obmedzených verejných zdrojov členskými štátmi na podporu cieľov verejnej politiky, čím sa prispieva k dosiahnutiu optimálnej úrovne investícií do európskeho hospodárstva bez vytláčania súkromných investícií či zapájania do škodlivých pretekov v poskytovaní subvencií, ktoré narúšajú jednotný trh. Prevažná väčšina verejných výdavkov nepredstavuje štátnu pomoc a takmer všetky výdavky, ktoré patria do rozsahu pôsobnosti kontroly štátnej pomoci, poskytujú priamo členské štáty spoločnostiam bez toho, aby bola potrebná predchádzajúca notifikácia Komisii a schválenie zo strany Komisie</w:t>
      </w:r>
      <w:r w:rsidRPr="00D43ED4">
        <w:rPr>
          <w:rStyle w:val="FootnoteReference"/>
          <w:rFonts w:ascii="Times New Roman" w:hAnsi="Times New Roman" w:cs="Times New Roman"/>
          <w:noProof/>
          <w:sz w:val="24"/>
          <w:szCs w:val="24"/>
        </w:rPr>
        <w:footnoteReference w:id="16"/>
      </w:r>
      <w:r w:rsidRPr="00D43ED4">
        <w:rPr>
          <w:rStyle w:val="s3"/>
          <w:rFonts w:ascii="Times New Roman" w:hAnsi="Times New Roman"/>
          <w:noProof/>
          <w:sz w:val="24"/>
          <w:szCs w:val="24"/>
        </w:rPr>
        <w:t xml:space="preserve">. </w:t>
      </w:r>
    </w:p>
    <w:p w:rsidR="00043E5D" w:rsidRPr="00D43ED4" w:rsidRDefault="00B6563C">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V tejto súvislosti </w:t>
      </w:r>
      <w:r w:rsidRPr="00AD439B">
        <w:rPr>
          <w:rStyle w:val="s3"/>
          <w:rFonts w:ascii="Times New Roman" w:hAnsi="Times New Roman"/>
          <w:b/>
          <w:noProof/>
          <w:sz w:val="24"/>
          <w:szCs w:val="24"/>
        </w:rPr>
        <w:t>sa preukázalo, že politika hospodárskej súťaže zostáva účinná vďaka tomu, že reaguje na nový vývoj na trhu a meniace sa politické ciele Únie</w:t>
      </w:r>
      <w:r w:rsidRPr="00D43ED4">
        <w:rPr>
          <w:rStyle w:val="s3"/>
          <w:rFonts w:ascii="Times New Roman" w:hAnsi="Times New Roman"/>
          <w:noProof/>
          <w:sz w:val="24"/>
          <w:szCs w:val="24"/>
        </w:rPr>
        <w:t>. Pravidlá hospodárskej súťaže majú prirodzenú schopnosť prispôsobiť sa, keďže sa uplatňujú na jednotlivé prípady, pričom v čase posudzovania</w:t>
      </w:r>
      <w:r w:rsidRPr="00D43ED4">
        <w:rPr>
          <w:rFonts w:ascii="Times New Roman" w:hAnsi="Times New Roman"/>
          <w:noProof/>
          <w:sz w:val="24"/>
          <w:szCs w:val="24"/>
        </w:rPr>
        <w:t xml:space="preserve"> sa zohľadňuj</w:t>
      </w:r>
      <w:r w:rsidR="0001786F" w:rsidRPr="00D43ED4">
        <w:rPr>
          <w:rFonts w:ascii="Times New Roman" w:hAnsi="Times New Roman"/>
          <w:noProof/>
          <w:sz w:val="24"/>
          <w:szCs w:val="24"/>
        </w:rPr>
        <w:t>ú špecifiká podnikov a trhov, a </w:t>
      </w:r>
      <w:r w:rsidRPr="00D43ED4">
        <w:rPr>
          <w:rFonts w:ascii="Times New Roman" w:hAnsi="Times New Roman"/>
          <w:noProof/>
          <w:sz w:val="24"/>
          <w:szCs w:val="24"/>
        </w:rPr>
        <w:t>to na základe aktuálnych informácií o súčasných podmienkach a predvídateľnom vývoji na trhu, ktoré poskytli subjekty pôsobiace v trhovom hospodárstve</w:t>
      </w:r>
      <w:r w:rsidRPr="00D43ED4">
        <w:rPr>
          <w:rStyle w:val="s3"/>
          <w:rFonts w:ascii="Times New Roman" w:hAnsi="Times New Roman"/>
          <w:noProof/>
          <w:sz w:val="24"/>
          <w:szCs w:val="24"/>
        </w:rPr>
        <w:t>. Podkladom pre priebežné prehodnocovanie pravidiel hospodárskej súťaže sú skúsenosti z praxe. V priebehu rokov viedli takéto preskúmania podľa potreby k niekoľkým kolám úprav pravidiel hospodárskej súťaže</w:t>
      </w:r>
      <w:r w:rsidRPr="00D43ED4">
        <w:rPr>
          <w:rStyle w:val="FootnoteReference"/>
          <w:rFonts w:ascii="Times New Roman" w:hAnsi="Times New Roman" w:cs="Times New Roman"/>
          <w:noProof/>
          <w:sz w:val="24"/>
          <w:szCs w:val="24"/>
        </w:rPr>
        <w:footnoteReference w:id="17"/>
      </w:r>
      <w:r w:rsidRPr="00D43ED4">
        <w:rPr>
          <w:rStyle w:val="s3"/>
          <w:rFonts w:ascii="Times New Roman" w:hAnsi="Times New Roman"/>
          <w:noProof/>
          <w:sz w:val="24"/>
          <w:szCs w:val="24"/>
        </w:rPr>
        <w:t>, ako aj k vytvoreniu nových nástrojov</w:t>
      </w:r>
      <w:r w:rsidRPr="00D43ED4">
        <w:rPr>
          <w:rStyle w:val="FootnoteReference"/>
          <w:rFonts w:ascii="Times New Roman" w:hAnsi="Times New Roman" w:cs="Times New Roman"/>
          <w:noProof/>
          <w:sz w:val="24"/>
          <w:szCs w:val="24"/>
        </w:rPr>
        <w:footnoteReference w:id="18"/>
      </w:r>
      <w:r w:rsidRPr="00D43ED4">
        <w:rPr>
          <w:rStyle w:val="s3"/>
          <w:rFonts w:ascii="Times New Roman" w:hAnsi="Times New Roman"/>
          <w:noProof/>
          <w:sz w:val="24"/>
          <w:szCs w:val="24"/>
        </w:rPr>
        <w:t>. Týmito úpravami sa zabezpečilo, že politika hospodárskej súťaže naďalej stimuluje inovácie a v súlade so zmluvami udržiava sociálne trhové hospodárstvo s vysokou konkurencieschopnosťou, z ktorého majú v konečnom dôsledku prospech občania EÚ.</w:t>
      </w:r>
    </w:p>
    <w:p w:rsidR="002667A4" w:rsidRPr="00D43ED4" w:rsidRDefault="00DE71AF">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Prebiehajúce preskúmanie všetkých nástrojov hospodárskej súťaže (kontrola koncentrácií, antitrustová kontrola a kontrola štátnej pomoci) umožní priemyselným odvetviam EÚ viesť dvojakú transformáciu a posilniť odolnosť jednotného trh</w:t>
      </w:r>
      <w:r w:rsidR="0001786F" w:rsidRPr="00D43ED4">
        <w:rPr>
          <w:rStyle w:val="s3"/>
          <w:rFonts w:ascii="Times New Roman" w:hAnsi="Times New Roman"/>
          <w:noProof/>
          <w:sz w:val="24"/>
          <w:szCs w:val="24"/>
        </w:rPr>
        <w:t>u a zároveň umožní zákazníkom a </w:t>
      </w:r>
      <w:r w:rsidRPr="00D43ED4">
        <w:rPr>
          <w:rStyle w:val="s3"/>
          <w:rFonts w:ascii="Times New Roman" w:hAnsi="Times New Roman"/>
          <w:noProof/>
          <w:sz w:val="24"/>
          <w:szCs w:val="24"/>
        </w:rPr>
        <w:t>spotrebiteľom spravodlivý podiel na výsledných výhod</w:t>
      </w:r>
      <w:r w:rsidR="0001786F" w:rsidRPr="00D43ED4">
        <w:rPr>
          <w:rStyle w:val="s3"/>
          <w:rFonts w:ascii="Times New Roman" w:hAnsi="Times New Roman"/>
          <w:noProof/>
          <w:sz w:val="24"/>
          <w:szCs w:val="24"/>
        </w:rPr>
        <w:t>ách, ako bude vysvetlené v </w:t>
      </w:r>
      <w:r w:rsidRPr="00D43ED4">
        <w:rPr>
          <w:rStyle w:val="s3"/>
          <w:rFonts w:ascii="Times New Roman" w:hAnsi="Times New Roman"/>
          <w:noProof/>
          <w:sz w:val="24"/>
          <w:szCs w:val="24"/>
        </w:rPr>
        <w:t>nasledujúcich pododdieloch. Politika hospodárskej súťaže z</w:t>
      </w:r>
      <w:r w:rsidR="0001786F" w:rsidRPr="00D43ED4">
        <w:rPr>
          <w:rStyle w:val="s3"/>
          <w:rFonts w:ascii="Times New Roman" w:hAnsi="Times New Roman"/>
          <w:noProof/>
          <w:sz w:val="24"/>
          <w:szCs w:val="24"/>
        </w:rPr>
        <w:t>achováva dobre fungujúce trhy a </w:t>
      </w:r>
      <w:r w:rsidRPr="00D43ED4">
        <w:rPr>
          <w:rStyle w:val="s3"/>
          <w:rFonts w:ascii="Times New Roman" w:hAnsi="Times New Roman"/>
          <w:noProof/>
          <w:sz w:val="24"/>
          <w:szCs w:val="24"/>
        </w:rPr>
        <w:t>zároveň rieši príslušné zlyhania trhu, čím prispieva k súbežnej zelenej a digitálnej transformácii a odolnosti jednotného trhu. Komisia bude vo svojej rozhodovacej praxi naďalej zohľadňovať ekologické a digitálne aspekty a aspekty odolnosti v rozsahu, ktorý je relevantný pre posúdenie hospodárskej súťaže.</w:t>
      </w:r>
    </w:p>
    <w:p w:rsidR="00712914" w:rsidRPr="00D43ED4" w:rsidRDefault="00DE71AF" w:rsidP="00DE71AF">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Prebiehajúce preskúmanie zahŕňa preskúmanie nástrojov horizontálnej hospodárskej súťaže, ktoré sú relevantné pre všetky odvetvia a nástroje. Komisia predovšetkým aktualizuje svoje </w:t>
      </w:r>
      <w:r w:rsidRPr="00AD439B">
        <w:rPr>
          <w:rFonts w:ascii="Times New Roman" w:hAnsi="Times New Roman"/>
          <w:b/>
          <w:noProof/>
          <w:sz w:val="24"/>
          <w:szCs w:val="24"/>
        </w:rPr>
        <w:t>oznámenie o definícii trhu z roku 1997</w:t>
      </w:r>
      <w:r w:rsidRPr="00D43ED4">
        <w:rPr>
          <w:rFonts w:ascii="Times New Roman" w:hAnsi="Times New Roman"/>
          <w:noProof/>
          <w:sz w:val="24"/>
          <w:szCs w:val="24"/>
        </w:rPr>
        <w:t xml:space="preserve"> s cieľom zohľadniť zásadný vývoj za posledných dvadsať rokov, najmä digitalizáciu a nové spôsoby ponuky tovaru a služieb, a odzrkadliť čoraz prepojenejšiu a globalizovanejšiu povahu obchodných výmen</w:t>
      </w:r>
      <w:r w:rsidRPr="00D43ED4">
        <w:rPr>
          <w:rFonts w:ascii="Times New Roman" w:hAnsi="Times New Roman" w:cs="Times New Roman"/>
          <w:noProof/>
          <w:sz w:val="24"/>
          <w:szCs w:val="24"/>
          <w:vertAlign w:val="superscript"/>
        </w:rPr>
        <w:footnoteReference w:id="19"/>
      </w:r>
      <w:r w:rsidRPr="00D43ED4">
        <w:rPr>
          <w:rFonts w:ascii="Times New Roman" w:hAnsi="Times New Roman"/>
          <w:noProof/>
          <w:sz w:val="24"/>
          <w:szCs w:val="24"/>
        </w:rPr>
        <w:t xml:space="preserve">. V tejto súvislosti je vymedzenie trhu v rámci hodnotenia Komisie v prípadoch fúzií a antitrustových prípadoch dôležitým krokom na pochopenie konkurenčného prostredia, v ktorom podniky pôsobia, a to v danom čase, ako aj v dynamickejšom kontexte. Keďže trhy nie sú statické, túto analýzu treba zopakovať pre každý jednotlivý prípad, aby sa zohľadnili zmeny vo výrobných procesoch, preferencie spotrebiteľov a iné špecifiká trhu, ako sú inovačné cykly, dodávateľské reťazce, osobitosti digitálnych trhov a súvisiace obchodné modely, ako aj jednoduchý prístup k novým dodávateľom alebo v reakcii na regulačné zmeny. Podobne aj geografický rozsah trhu podlieha v každom prípade novému posúdeniu, čo môže viesť k vymedzeniu trhov od miestnych po globálne v závislosti od toho, ako skutočne fungujú v praxi, a to najmä z pohľadu spotrebiteľov a zákazníkov. Komisia nerozhoduje o tom, ako </w:t>
      </w:r>
      <w:r w:rsidRPr="00D43ED4">
        <w:rPr>
          <w:rFonts w:ascii="Times New Roman" w:hAnsi="Times New Roman"/>
          <w:i/>
          <w:noProof/>
          <w:sz w:val="24"/>
          <w:szCs w:val="24"/>
        </w:rPr>
        <w:t>by</w:t>
      </w:r>
      <w:r w:rsidRPr="00D43ED4">
        <w:rPr>
          <w:rFonts w:ascii="Times New Roman" w:hAnsi="Times New Roman"/>
          <w:noProof/>
          <w:sz w:val="24"/>
          <w:szCs w:val="24"/>
        </w:rPr>
        <w:t xml:space="preserve"> </w:t>
      </w:r>
      <w:r w:rsidRPr="00D43ED4">
        <w:rPr>
          <w:rFonts w:ascii="Times New Roman" w:hAnsi="Times New Roman"/>
          <w:i/>
          <w:noProof/>
          <w:sz w:val="24"/>
          <w:szCs w:val="24"/>
        </w:rPr>
        <w:t>mali</w:t>
      </w:r>
      <w:r w:rsidRPr="00D43ED4">
        <w:rPr>
          <w:rFonts w:ascii="Times New Roman" w:hAnsi="Times New Roman"/>
          <w:noProof/>
          <w:sz w:val="24"/>
          <w:szCs w:val="24"/>
        </w:rPr>
        <w:t xml:space="preserve"> trhy vyzerať. Na základe dôkazov, ktoré poskytli účastníci trhu, Komisi</w:t>
      </w:r>
      <w:r w:rsidR="0001786F" w:rsidRPr="00D43ED4">
        <w:rPr>
          <w:rFonts w:ascii="Times New Roman" w:hAnsi="Times New Roman"/>
          <w:noProof/>
          <w:sz w:val="24"/>
          <w:szCs w:val="24"/>
        </w:rPr>
        <w:t>a skúma, ako daný trh funguje v </w:t>
      </w:r>
      <w:r w:rsidRPr="00D43ED4">
        <w:rPr>
          <w:rFonts w:ascii="Times New Roman" w:hAnsi="Times New Roman"/>
          <w:noProof/>
          <w:sz w:val="24"/>
          <w:szCs w:val="24"/>
        </w:rPr>
        <w:t>praxi, čo využíva ako podklad pre svojom posudzovaní hospodárskej súťaže.</w:t>
      </w:r>
    </w:p>
    <w:p w:rsidR="00DE71AF" w:rsidRPr="00D43ED4" w:rsidRDefault="00677218" w:rsidP="00DE71AF">
      <w:pPr>
        <w:spacing w:after="240" w:line="240" w:lineRule="auto"/>
        <w:jc w:val="both"/>
        <w:rPr>
          <w:rStyle w:val="s3"/>
          <w:rFonts w:ascii="Times New Roman" w:hAnsi="Times New Roman" w:cs="Times New Roman"/>
          <w:noProof/>
          <w:sz w:val="24"/>
          <w:szCs w:val="24"/>
        </w:rPr>
      </w:pPr>
      <w:r w:rsidRPr="00D43ED4">
        <w:rPr>
          <w:rFonts w:ascii="Times New Roman" w:hAnsi="Times New Roman"/>
          <w:noProof/>
          <w:sz w:val="24"/>
          <w:szCs w:val="24"/>
        </w:rPr>
        <w:t xml:space="preserve">Pri individuálnom posudzovaní prípadov bude Komisia neustále zlepšovať svoje analytické nástroje s cieľom zohľadniť pravdepodobné budúce trendy a vývoj na trhu, a to aj pokiaľ ide o obchodné modely, technológie a obchodné vzorce, ako súčasť svojho konkurenčného posudzovania antitrustových prípadov a prípadov fúzií z hľadiska potenciálnej hospodárskej súťaže, ako aj pravdepodobnosť vstupu a/alebo expanzie konkurentov, a to aj z krajín mimo EÚ. </w:t>
      </w:r>
      <w:r w:rsidRPr="00D43ED4">
        <w:rPr>
          <w:rStyle w:val="s3"/>
          <w:rFonts w:ascii="Times New Roman" w:hAnsi="Times New Roman"/>
          <w:noProof/>
          <w:sz w:val="24"/>
          <w:szCs w:val="24"/>
        </w:rPr>
        <w:t>Politika hospodárskej súťaže EÚ a jej presadzovan</w:t>
      </w:r>
      <w:r w:rsidR="0001786F" w:rsidRPr="00D43ED4">
        <w:rPr>
          <w:rStyle w:val="s3"/>
          <w:rFonts w:ascii="Times New Roman" w:hAnsi="Times New Roman"/>
          <w:noProof/>
          <w:sz w:val="24"/>
          <w:szCs w:val="24"/>
        </w:rPr>
        <w:t>ie napokon reagujú na súčasné a </w:t>
      </w:r>
      <w:r w:rsidRPr="00D43ED4">
        <w:rPr>
          <w:rStyle w:val="s3"/>
          <w:rFonts w:ascii="Times New Roman" w:hAnsi="Times New Roman"/>
          <w:noProof/>
          <w:sz w:val="24"/>
          <w:szCs w:val="24"/>
        </w:rPr>
        <w:t>predvídateľné trhové podmienky.</w:t>
      </w:r>
    </w:p>
    <w:p w:rsidR="00E93181" w:rsidRPr="00D43ED4" w:rsidRDefault="00E93181" w:rsidP="00DE71AF">
      <w:pPr>
        <w:spacing w:after="240" w:line="240" w:lineRule="auto"/>
        <w:jc w:val="both"/>
        <w:rPr>
          <w:rFonts w:ascii="Times New Roman" w:hAnsi="Times New Roman" w:cs="Times New Roman"/>
          <w:noProof/>
          <w:sz w:val="24"/>
          <w:szCs w:val="24"/>
        </w:rPr>
      </w:pPr>
      <w:r w:rsidRPr="00D43ED4">
        <w:rPr>
          <w:rStyle w:val="s3"/>
          <w:rFonts w:ascii="Times New Roman" w:hAnsi="Times New Roman"/>
          <w:noProof/>
          <w:sz w:val="24"/>
          <w:szCs w:val="24"/>
        </w:rPr>
        <w:t xml:space="preserve">Komisia okrem toho v súčasnosti skúma rámec štátnej pomoci pre </w:t>
      </w:r>
      <w:r w:rsidRPr="00AD439B">
        <w:rPr>
          <w:rStyle w:val="s3"/>
          <w:rFonts w:ascii="Times New Roman" w:hAnsi="Times New Roman"/>
          <w:b/>
          <w:noProof/>
          <w:sz w:val="24"/>
          <w:szCs w:val="24"/>
        </w:rPr>
        <w:t>dôležité projekty spoločného európskeho záujmu</w:t>
      </w:r>
      <w:r w:rsidRPr="00D43ED4">
        <w:rPr>
          <w:rStyle w:val="s3"/>
          <w:rFonts w:ascii="Times New Roman" w:hAnsi="Times New Roman"/>
          <w:noProof/>
          <w:sz w:val="24"/>
          <w:szCs w:val="24"/>
        </w:rPr>
        <w:t>. Tento rámec umožňuje členským štátom a priemyslu spoločne prekonať zlyhania trhu alebo spoločenské výzvy vytvorením ambicióznych celoeurópskych projektov, a to transparentným a inkluzívnym spôsobom, a zároveň zabezpečiť pozitívne účinky presahovania na hospodárstvo EÚ ako celok. Z hodnotenia existujúceho rámca vyplynulo, že funguje dobre. Napriek tomu sú však namieste určité cielené úpravy</w:t>
      </w:r>
      <w:r w:rsidRPr="00D43ED4">
        <w:rPr>
          <w:rStyle w:val="FootnoteReference"/>
          <w:rFonts w:ascii="Times New Roman" w:hAnsi="Times New Roman" w:cs="Times New Roman"/>
          <w:noProof/>
          <w:sz w:val="24"/>
          <w:szCs w:val="24"/>
        </w:rPr>
        <w:footnoteReference w:id="20"/>
      </w:r>
      <w:r w:rsidRPr="00D43ED4">
        <w:rPr>
          <w:rStyle w:val="s3"/>
          <w:rFonts w:ascii="Times New Roman" w:hAnsi="Times New Roman"/>
          <w:noProof/>
          <w:sz w:val="24"/>
          <w:szCs w:val="24"/>
        </w:rPr>
        <w:t>, pričom sa zároveň zachová existujúci rozsah pôsobnosti rámca s cieľom umožniť prelomové inovácie až po prvé priemyselné využitie a investície do infraštruktúry tam, kde je potrebná verejná intervencia.</w:t>
      </w:r>
    </w:p>
    <w:p w:rsidR="004D3A2E" w:rsidRPr="00AD439B" w:rsidRDefault="0043360C">
      <w:pPr>
        <w:pStyle w:val="Heading1"/>
        <w:ind w:left="0" w:firstLine="720"/>
        <w:jc w:val="both"/>
        <w:rPr>
          <w:rFonts w:ascii="Times New Roman" w:hAnsi="Times New Roman"/>
          <w:noProof/>
        </w:rPr>
      </w:pPr>
      <w:r w:rsidRPr="00AD439B">
        <w:rPr>
          <w:rFonts w:ascii="Times New Roman" w:hAnsi="Times New Roman"/>
          <w:noProof/>
        </w:rPr>
        <w:t>3.1.</w:t>
      </w:r>
      <w:r w:rsidRPr="00AD439B">
        <w:rPr>
          <w:noProof/>
        </w:rPr>
        <w:tab/>
      </w:r>
      <w:r w:rsidRPr="00AD439B">
        <w:rPr>
          <w:rFonts w:ascii="Times New Roman" w:hAnsi="Times New Roman"/>
          <w:noProof/>
        </w:rPr>
        <w:t>Podpora zelenej transformácie</w:t>
      </w:r>
    </w:p>
    <w:p w:rsidR="003B28DA" w:rsidRPr="00D43ED4" w:rsidRDefault="0009560A">
      <w:pPr>
        <w:pStyle w:val="NormalWeb"/>
        <w:shd w:val="clear" w:color="auto" w:fill="FFFFFF"/>
        <w:spacing w:before="0" w:beforeAutospacing="0" w:after="150" w:afterAutospacing="0"/>
        <w:jc w:val="both"/>
        <w:rPr>
          <w:noProof/>
          <w:color w:val="5B676A"/>
        </w:rPr>
      </w:pPr>
      <w:r w:rsidRPr="00D43ED4">
        <w:rPr>
          <w:rStyle w:val="s3"/>
          <w:noProof/>
        </w:rPr>
        <w:t>Boj proti zmene klímy a zhoršovaniu životného prostredia je hlavnou výzvou, ktorej čelí naša generácia. Únia spravila z Európskej zelenej dohody ústredný bod svojej vízie a stratégie rastu, keďže sa vydala na cestu k zabezpečeniu environmentálnej udržateľn</w:t>
      </w:r>
      <w:r w:rsidR="0001786F" w:rsidRPr="00D43ED4">
        <w:rPr>
          <w:rStyle w:val="s3"/>
          <w:noProof/>
        </w:rPr>
        <w:t>osti a k </w:t>
      </w:r>
      <w:r w:rsidRPr="00D43ED4">
        <w:rPr>
          <w:rStyle w:val="s3"/>
          <w:noProof/>
        </w:rPr>
        <w:t>dosiahnutiu klimatickej neutrality do roku 2050. Cieľ</w:t>
      </w:r>
      <w:r w:rsidR="0001786F" w:rsidRPr="00D43ED4">
        <w:rPr>
          <w:rStyle w:val="s3"/>
          <w:noProof/>
        </w:rPr>
        <w:t xml:space="preserve"> zníženia emisií do roku 2030 v </w:t>
      </w:r>
      <w:r w:rsidRPr="00D43ED4">
        <w:rPr>
          <w:rStyle w:val="s3"/>
          <w:noProof/>
        </w:rPr>
        <w:t>porovnaní s úrovňami z roku 1990 aspoň o 55 % sa nadobudnutím účinnosti európskeho právneho predpisu v oblasti klímy stal právne záväzným</w:t>
      </w:r>
      <w:r w:rsidRPr="00D43ED4">
        <w:rPr>
          <w:rStyle w:val="FootnoteReference"/>
          <w:noProof/>
        </w:rPr>
        <w:footnoteReference w:id="21"/>
      </w:r>
      <w:r w:rsidRPr="00D43ED4">
        <w:rPr>
          <w:rStyle w:val="s3"/>
          <w:noProof/>
        </w:rPr>
        <w:t xml:space="preserve">. Dosiahnutie týchto cieľov si vyžaduje pevný a podporný regulačný rámec, stanovenie záväzných noriem, zvýšenie ambícií a motivovanie zainteresovaných strán, aby prispôsobili svoje správanie. V júli minulého roku Komisia prijala balík „Fit for 55“ – súbor návrhov, ktorých cieľom </w:t>
      </w:r>
      <w:r w:rsidR="0001786F" w:rsidRPr="00D43ED4">
        <w:rPr>
          <w:rStyle w:val="s3"/>
          <w:noProof/>
        </w:rPr>
        <w:t>je pripraviť politiky EÚ v </w:t>
      </w:r>
      <w:r w:rsidRPr="00D43ED4">
        <w:rPr>
          <w:rStyle w:val="s3"/>
          <w:noProof/>
        </w:rPr>
        <w:t>oblasti klímy, energetiky, využívania pôdy, dopravy a zdaňovania</w:t>
      </w:r>
      <w:r w:rsidRPr="00D43ED4">
        <w:rPr>
          <w:rStyle w:val="FootnoteReference"/>
          <w:noProof/>
        </w:rPr>
        <w:footnoteReference w:id="22"/>
      </w:r>
      <w:r w:rsidRPr="00D43ED4">
        <w:rPr>
          <w:rStyle w:val="s3"/>
          <w:noProof/>
        </w:rPr>
        <w:t xml:space="preserve"> na zníženie čistých emisií do roku 2030 aspoň o 55 %. Cieľom celého radu ďalších stratégií</w:t>
      </w:r>
      <w:r w:rsidRPr="00D43ED4">
        <w:rPr>
          <w:rStyle w:val="FootnoteReference"/>
          <w:noProof/>
        </w:rPr>
        <w:footnoteReference w:id="23"/>
      </w:r>
      <w:r w:rsidRPr="00D43ED4">
        <w:rPr>
          <w:rStyle w:val="s3"/>
          <w:noProof/>
        </w:rPr>
        <w:t xml:space="preserve"> v rámci zelenej dohody je riešiť širšiu environmentálnu krízu a dosiahnuť čisté a obehové hospodárstvo efektívne využívajúce zdroje.</w:t>
      </w:r>
    </w:p>
    <w:p w:rsidR="00D53622" w:rsidRPr="00D43ED4" w:rsidRDefault="009A0EA0" w:rsidP="00046937">
      <w:pPr>
        <w:spacing w:after="240" w:line="240" w:lineRule="auto"/>
        <w:jc w:val="both"/>
        <w:rPr>
          <w:rStyle w:val="s3"/>
          <w:rFonts w:ascii="Times New Roman" w:hAnsi="Times New Roman" w:cs="Times New Roman"/>
          <w:noProof/>
          <w:sz w:val="24"/>
          <w:szCs w:val="24"/>
        </w:rPr>
      </w:pPr>
      <w:r w:rsidRPr="00AD439B">
        <w:rPr>
          <w:rStyle w:val="s3"/>
          <w:rFonts w:ascii="Times New Roman" w:hAnsi="Times New Roman"/>
          <w:b/>
          <w:noProof/>
          <w:sz w:val="24"/>
          <w:szCs w:val="24"/>
        </w:rPr>
        <w:t>Politika hospodárskej súťaže môže dopĺňať regulačný rámec zabezpečením silných a konkurenčných trhov, ktoré vysielajú tie správne cenové signály</w:t>
      </w:r>
      <w:r w:rsidRPr="00D43ED4">
        <w:rPr>
          <w:rStyle w:val="s3"/>
          <w:rFonts w:ascii="Times New Roman" w:hAnsi="Times New Roman"/>
          <w:noProof/>
          <w:sz w:val="24"/>
          <w:szCs w:val="24"/>
        </w:rPr>
        <w:t xml:space="preserve"> na to, aby potrebné investície prúdili do technológií potrebných na transformáciu a aby sa zároveň zachovala nízka úroveň nákladov pre daňových poplatníkov. Môže pomôcť nastaviť tie správne stimuly pre spoločnosti, aby využívali zdroje efektívne, zabraňov</w:t>
      </w:r>
      <w:r w:rsidR="0001786F" w:rsidRPr="00D43ED4">
        <w:rPr>
          <w:rStyle w:val="s3"/>
          <w:rFonts w:ascii="Times New Roman" w:hAnsi="Times New Roman"/>
          <w:noProof/>
          <w:sz w:val="24"/>
          <w:szCs w:val="24"/>
        </w:rPr>
        <w:t>ali vzniku uviaznutých aktív a </w:t>
      </w:r>
      <w:r w:rsidRPr="00D43ED4">
        <w:rPr>
          <w:rStyle w:val="s3"/>
          <w:rFonts w:ascii="Times New Roman" w:hAnsi="Times New Roman"/>
          <w:noProof/>
          <w:sz w:val="24"/>
          <w:szCs w:val="24"/>
        </w:rPr>
        <w:t xml:space="preserve">inovovali svoje výrobné procesy na dosiahnutie väčšej udržateľnosti. Okrem toho môže podporiť spravodlivú transformáciu, ktorá zmierňuje sociálno-ekonomické a regionálne dôsledky vyplývajúce z prechodu na klimaticky neutrálne hospodárstva. </w:t>
      </w:r>
    </w:p>
    <w:p w:rsidR="00522493" w:rsidRPr="00D43ED4" w:rsidRDefault="00D53622" w:rsidP="00046937">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Komisia v tejto súvislosti začala v roku 2020 proces úvah o úlohe politiky hospodárskej súťaže v zelenej transformácii</w:t>
      </w:r>
      <w:r w:rsidRPr="00D43ED4">
        <w:rPr>
          <w:rStyle w:val="FootnoteReference"/>
          <w:rFonts w:ascii="Times New Roman" w:hAnsi="Times New Roman" w:cs="Times New Roman"/>
          <w:noProof/>
          <w:sz w:val="24"/>
          <w:szCs w:val="24"/>
        </w:rPr>
        <w:footnoteReference w:id="24"/>
      </w:r>
      <w:r w:rsidRPr="00D43ED4">
        <w:rPr>
          <w:rStyle w:val="s3"/>
          <w:rFonts w:ascii="Times New Roman" w:hAnsi="Times New Roman"/>
          <w:noProof/>
          <w:sz w:val="24"/>
          <w:szCs w:val="24"/>
        </w:rPr>
        <w:t>. Tento proces odhalil konvergenciu v súvislosti s významnou úlohou, ktorú politika hospodárskej súťaže zohráva pri dopĺňaní politík Únie v oblasti životného prostredia, klímy a energetiky. Na splnenie cieľov zelenej dohody je skutočne potrebná účinná súhra medzi regulačným rámcom a politikou hospodárskej súťaže.</w:t>
      </w:r>
    </w:p>
    <w:p w:rsidR="000D4D89" w:rsidRPr="00D43ED4" w:rsidRDefault="000D4D89" w:rsidP="00EA16DD">
      <w:pPr>
        <w:keepNext/>
        <w:spacing w:after="240" w:line="240" w:lineRule="auto"/>
        <w:jc w:val="both"/>
        <w:rPr>
          <w:rStyle w:val="s3"/>
          <w:rFonts w:ascii="Times New Roman" w:hAnsi="Times New Roman" w:cs="Times New Roman"/>
          <w:noProof/>
          <w:sz w:val="24"/>
          <w:szCs w:val="24"/>
        </w:rPr>
      </w:pPr>
      <w:r w:rsidRPr="00AD439B">
        <w:rPr>
          <w:rStyle w:val="s3"/>
          <w:rFonts w:ascii="Times New Roman" w:hAnsi="Times New Roman"/>
          <w:b/>
          <w:i/>
          <w:noProof/>
          <w:sz w:val="24"/>
          <w:szCs w:val="24"/>
        </w:rPr>
        <w:t>Vyplnenie medzery v zelených investíciách a umožnenie spravodlivej transformácie</w:t>
      </w:r>
    </w:p>
    <w:p w:rsidR="00982A96" w:rsidRPr="00D43ED4" w:rsidRDefault="00B11F31" w:rsidP="00B73EA5">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Dosiahnutie cieľov Európskej zelenej dohody si bud</w:t>
      </w:r>
      <w:r w:rsidR="0001786F" w:rsidRPr="00D43ED4">
        <w:rPr>
          <w:rStyle w:val="s3"/>
          <w:rFonts w:ascii="Times New Roman" w:hAnsi="Times New Roman"/>
          <w:noProof/>
          <w:sz w:val="24"/>
          <w:szCs w:val="24"/>
        </w:rPr>
        <w:t>e vyžadovať rozsiahle verejné a </w:t>
      </w:r>
      <w:r w:rsidRPr="00D43ED4">
        <w:rPr>
          <w:rStyle w:val="s3"/>
          <w:rFonts w:ascii="Times New Roman" w:hAnsi="Times New Roman"/>
          <w:noProof/>
          <w:sz w:val="24"/>
          <w:szCs w:val="24"/>
        </w:rPr>
        <w:t>súkromné investície, a preto sa najmenej 30 % z 1,8 bilióna EUR</w:t>
      </w:r>
      <w:r w:rsidRPr="00D43ED4">
        <w:rPr>
          <w:rStyle w:val="FootnoteReference"/>
          <w:rFonts w:ascii="Times New Roman" w:hAnsi="Times New Roman" w:cs="Times New Roman"/>
          <w:noProof/>
          <w:sz w:val="24"/>
          <w:szCs w:val="24"/>
        </w:rPr>
        <w:footnoteReference w:id="25"/>
      </w:r>
      <w:r w:rsidRPr="00D43ED4">
        <w:rPr>
          <w:rStyle w:val="s3"/>
          <w:rFonts w:ascii="Times New Roman" w:hAnsi="Times New Roman"/>
          <w:noProof/>
          <w:sz w:val="24"/>
          <w:szCs w:val="24"/>
        </w:rPr>
        <w:t xml:space="preserve"> z nového dlhodobého rozpočtu Európy a nástroja NextGenerationEU vynaloží na boj proti zmene klímy. V rámci hlavnej iniciatívy nástroja NextGenerationEU, a to</w:t>
      </w:r>
      <w:r w:rsidR="0001786F" w:rsidRPr="00D43ED4">
        <w:rPr>
          <w:rStyle w:val="s3"/>
          <w:rFonts w:ascii="Times New Roman" w:hAnsi="Times New Roman"/>
          <w:noProof/>
          <w:sz w:val="24"/>
          <w:szCs w:val="24"/>
        </w:rPr>
        <w:t xml:space="preserve"> Mechanizmu na podporu obnovy a </w:t>
      </w:r>
      <w:r w:rsidRPr="00D43ED4">
        <w:rPr>
          <w:rStyle w:val="s3"/>
          <w:rFonts w:ascii="Times New Roman" w:hAnsi="Times New Roman"/>
          <w:noProof/>
          <w:sz w:val="24"/>
          <w:szCs w:val="24"/>
        </w:rPr>
        <w:t>odolnosti, sa musí aspoň 37 % finančných prostriedkov pridelených členským štátom vyčleniť na opatrenia v oblasti klímy, ktoré prispievajú k zelenej transformácii</w:t>
      </w:r>
      <w:r w:rsidRPr="00D43ED4">
        <w:rPr>
          <w:rStyle w:val="FootnoteReference"/>
          <w:rFonts w:ascii="Times New Roman" w:hAnsi="Times New Roman" w:cs="Times New Roman"/>
          <w:noProof/>
          <w:sz w:val="24"/>
          <w:szCs w:val="24"/>
        </w:rPr>
        <w:footnoteReference w:id="26"/>
      </w:r>
      <w:r w:rsidRPr="00D43ED4">
        <w:rPr>
          <w:rStyle w:val="s3"/>
          <w:rFonts w:ascii="Times New Roman" w:hAnsi="Times New Roman"/>
          <w:noProof/>
          <w:sz w:val="24"/>
          <w:szCs w:val="24"/>
        </w:rPr>
        <w:t>. Toto verejné financovanie bude dôležité aj z hľadiska využívania súkromných investícií, z ktorých sa bude nevyhnutne financovať hlavný podiel potrebných investícií.</w:t>
      </w:r>
    </w:p>
    <w:p w:rsidR="004A4CFC" w:rsidRPr="00D43ED4" w:rsidRDefault="006120BA" w:rsidP="00B73EA5">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Pravidlá štátnej pomoci už tiež preukázali svoju hodnotu: napríklad </w:t>
      </w:r>
      <w:r w:rsidRPr="00AD439B">
        <w:rPr>
          <w:rStyle w:val="s3"/>
          <w:rFonts w:ascii="Times New Roman" w:hAnsi="Times New Roman"/>
          <w:b/>
          <w:noProof/>
          <w:sz w:val="24"/>
          <w:szCs w:val="24"/>
        </w:rPr>
        <w:t>usmernenia o štátnej pomoci v oblasti energetiky a životného prostredia</w:t>
      </w:r>
      <w:r w:rsidRPr="00D43ED4">
        <w:rPr>
          <w:rStyle w:val="FootnoteReference"/>
          <w:rFonts w:ascii="Times New Roman" w:hAnsi="Times New Roman" w:cs="Times New Roman"/>
          <w:noProof/>
          <w:sz w:val="24"/>
          <w:szCs w:val="24"/>
        </w:rPr>
        <w:footnoteReference w:id="27"/>
      </w:r>
      <w:r w:rsidRPr="00D43ED4">
        <w:rPr>
          <w:rStyle w:val="s3"/>
          <w:rFonts w:ascii="Times New Roman" w:hAnsi="Times New Roman"/>
          <w:noProof/>
          <w:sz w:val="24"/>
          <w:szCs w:val="24"/>
        </w:rPr>
        <w:t xml:space="preserve"> pomohli stimulovať dobre navrhnuté programy verejnej podpory na dosiahnutie cieľov v oblasti klímy do roku 2020, vďaka ktorým sa do hospodárstva vlialo vyše 202 miliárd EUR, a to aj s cieľom zvýšiť využívanie obnoviteľných zdrojov energie tam, kde sa súkromné investície ukázali ako nedostatočné. Zároveň prispeli k účinnému využívaniu obmedzených verejných zdrojov: keďže podľa pravidiel štátnej pomoci sa začali v prípade pomoci poskytovanej veľkým zariadeniam na výrobu energie z obnoviteľných zdrojov vyžadovať verejné súťaže, náklady na túto pomoc sa vo viacerých prípadoch znížili o viac ako polovicu a niektoré projekty v oblasti veternej energie na mori v Európe sa v súčasnosti realizujú bez štátnej dotácie</w:t>
      </w:r>
      <w:r w:rsidRPr="00D43ED4">
        <w:rPr>
          <w:rStyle w:val="FootnoteReference"/>
          <w:rFonts w:ascii="Times New Roman" w:hAnsi="Times New Roman" w:cs="Times New Roman"/>
          <w:noProof/>
          <w:sz w:val="24"/>
          <w:szCs w:val="24"/>
        </w:rPr>
        <w:footnoteReference w:id="28"/>
      </w:r>
      <w:r w:rsidRPr="00D43ED4">
        <w:rPr>
          <w:rStyle w:val="s3"/>
          <w:rFonts w:ascii="Times New Roman" w:hAnsi="Times New Roman"/>
          <w:noProof/>
          <w:sz w:val="24"/>
          <w:szCs w:val="24"/>
        </w:rPr>
        <w:t>.</w:t>
      </w:r>
    </w:p>
    <w:p w:rsidR="00B11F31" w:rsidRPr="00D43ED4" w:rsidRDefault="00E87AC6" w:rsidP="00BE36E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V budúcnosti bude rozsiahle preskúmanie pravidiel štátnej pomoci, ktoré vykoná Komisia, naďalej podporovať ambiciózne ciele v oblasti klímy, energetiky a životného prostredia, pričom sa zameria aj na prilákanie súkromných investícií. Napríklad:</w:t>
      </w:r>
    </w:p>
    <w:p w:rsidR="00B76586" w:rsidRPr="00D43ED4" w:rsidRDefault="003625E3" w:rsidP="00083FF1">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Revidované usmernenia o štátnej pomoci v oblasti energetiky a životného prostredia, nazývané aj </w:t>
      </w:r>
      <w:r w:rsidRPr="00AD439B">
        <w:rPr>
          <w:rFonts w:ascii="Times New Roman" w:hAnsi="Times New Roman"/>
          <w:b/>
          <w:noProof/>
          <w:sz w:val="24"/>
          <w:szCs w:val="24"/>
        </w:rPr>
        <w:t>usmernenia o pomoci v oblasti klímy,</w:t>
      </w:r>
      <w:r w:rsidR="0001786F" w:rsidRPr="00AD439B">
        <w:rPr>
          <w:rFonts w:ascii="Times New Roman" w:hAnsi="Times New Roman"/>
          <w:b/>
          <w:noProof/>
          <w:sz w:val="24"/>
          <w:szCs w:val="24"/>
        </w:rPr>
        <w:t xml:space="preserve"> ochrany životného prostredia a </w:t>
      </w:r>
      <w:r w:rsidRPr="00AD439B">
        <w:rPr>
          <w:rFonts w:ascii="Times New Roman" w:hAnsi="Times New Roman"/>
          <w:b/>
          <w:noProof/>
          <w:sz w:val="24"/>
          <w:szCs w:val="24"/>
        </w:rPr>
        <w:t>energetiky</w:t>
      </w:r>
      <w:r w:rsidRPr="00D43ED4">
        <w:rPr>
          <w:rFonts w:ascii="Times New Roman" w:hAnsi="Times New Roman"/>
          <w:noProof/>
          <w:sz w:val="24"/>
          <w:szCs w:val="24"/>
        </w:rPr>
        <w:t xml:space="preserve">, ktoré sa majú uplatňovať od roku 2022, a revízia súvisiacich oddielov </w:t>
      </w:r>
      <w:r w:rsidRPr="00AD439B">
        <w:rPr>
          <w:rFonts w:ascii="Times New Roman" w:hAnsi="Times New Roman"/>
          <w:b/>
          <w:noProof/>
          <w:sz w:val="24"/>
          <w:szCs w:val="24"/>
        </w:rPr>
        <w:t>všeobecného nariadenia o skupinových výnimkách</w:t>
      </w:r>
      <w:r w:rsidRPr="00D43ED4">
        <w:rPr>
          <w:rFonts w:ascii="Times New Roman" w:hAnsi="Times New Roman"/>
          <w:noProof/>
          <w:sz w:val="24"/>
          <w:szCs w:val="24"/>
        </w:rPr>
        <w:t xml:space="preserve"> majú za cieľ zabezpečiť súdržný, na budúcnosť orientovaný a flexibilný rámec, ktorý členským štátom umožní poskytovať potrebnú podporu na realizáciu zelenej dohody. Na tento účel Komisia predpokladá, že nové usmernenia o pomoci v oblasti klímy, ochrany životného prostredia a energetiky</w:t>
      </w:r>
      <w:r w:rsidRPr="00D43ED4">
        <w:rPr>
          <w:rStyle w:val="FootnoteReference"/>
          <w:rFonts w:ascii="Times New Roman" w:hAnsi="Times New Roman" w:cs="Times New Roman"/>
          <w:noProof/>
          <w:sz w:val="24"/>
          <w:szCs w:val="24"/>
        </w:rPr>
        <w:footnoteReference w:id="29"/>
      </w:r>
      <w:r w:rsidRPr="00D43ED4">
        <w:rPr>
          <w:rFonts w:ascii="Times New Roman" w:hAnsi="Times New Roman"/>
          <w:noProof/>
          <w:sz w:val="24"/>
          <w:szCs w:val="24"/>
        </w:rPr>
        <w:t xml:space="preserve"> by napríklad umožnili podporiť úsilie priemyslu o dekarbonizáciu na základe akejkoľvek technológie, ktorá umožňuje zelenú transformáciu, s použitím nástrojov, ako sú rozdielové zmluvy v oblasti uhlíka, napríklad v súvislosti s dodávkami nízkouhlíkového vodíka</w:t>
      </w:r>
      <w:r w:rsidRPr="00D43ED4">
        <w:rPr>
          <w:rStyle w:val="FootnoteReference"/>
          <w:rFonts w:ascii="Times New Roman" w:hAnsi="Times New Roman" w:cs="Times New Roman"/>
          <w:noProof/>
          <w:sz w:val="24"/>
          <w:szCs w:val="24"/>
        </w:rPr>
        <w:footnoteReference w:id="30"/>
      </w:r>
      <w:r w:rsidRPr="00D43ED4">
        <w:rPr>
          <w:rFonts w:ascii="Times New Roman" w:hAnsi="Times New Roman"/>
          <w:noProof/>
          <w:sz w:val="24"/>
          <w:szCs w:val="24"/>
        </w:rPr>
        <w:t>. Okrem toho sa v nich navrhuje napríklad podpora opatrení na zabezpečenie ekonomickej životaschopnosti výrobných procesov s nulovými alebo nízkymi emisiami uhlíka (vrátane konverzie existujúcich zariadení v situáciách, keď je potrebná zvýšená elektrifikácia). S</w:t>
      </w:r>
      <w:r w:rsidR="0001786F" w:rsidRPr="00D43ED4">
        <w:rPr>
          <w:rFonts w:ascii="Times New Roman" w:hAnsi="Times New Roman"/>
          <w:noProof/>
          <w:sz w:val="24"/>
          <w:szCs w:val="24"/>
        </w:rPr>
        <w:t> </w:t>
      </w:r>
      <w:r w:rsidRPr="00D43ED4">
        <w:rPr>
          <w:rFonts w:ascii="Times New Roman" w:hAnsi="Times New Roman"/>
          <w:noProof/>
          <w:sz w:val="24"/>
          <w:szCs w:val="24"/>
        </w:rPr>
        <w:t>cieľom zohľadniť potrebný široký prístup Komisia plánuje uľahčiť podporu aj v oblastiach, ako sú obehové hospodárstvo a biodiverzita, ako aj ekologická mobilita al</w:t>
      </w:r>
      <w:r w:rsidR="0001786F" w:rsidRPr="00D43ED4">
        <w:rPr>
          <w:rFonts w:ascii="Times New Roman" w:hAnsi="Times New Roman"/>
          <w:noProof/>
          <w:sz w:val="24"/>
          <w:szCs w:val="24"/>
        </w:rPr>
        <w:t>ebo mobilita s </w:t>
      </w:r>
      <w:r w:rsidRPr="00D43ED4">
        <w:rPr>
          <w:rFonts w:ascii="Times New Roman" w:hAnsi="Times New Roman"/>
          <w:noProof/>
          <w:sz w:val="24"/>
          <w:szCs w:val="24"/>
        </w:rPr>
        <w:t xml:space="preserve">nulovými emisiami a energetická hospodárnosť budov. </w:t>
      </w:r>
    </w:p>
    <w:p w:rsidR="00E87AC6" w:rsidRPr="00D43ED4" w:rsidRDefault="00973EC9">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Prebiehajúca revízia pravidiel štátnej pomoci sa zameriava aj na zabezpečenie </w:t>
      </w:r>
      <w:r w:rsidRPr="00AD439B">
        <w:rPr>
          <w:rFonts w:ascii="Times New Roman" w:hAnsi="Times New Roman"/>
          <w:b/>
          <w:noProof/>
          <w:sz w:val="24"/>
          <w:szCs w:val="24"/>
        </w:rPr>
        <w:t>súladu so zavedenými aj novými regulačnými zásadami relevantnými pre Európsku zelenú dohodu</w:t>
      </w:r>
      <w:r w:rsidRPr="00D43ED4">
        <w:rPr>
          <w:rFonts w:ascii="Times New Roman" w:hAnsi="Times New Roman"/>
          <w:noProof/>
          <w:sz w:val="24"/>
          <w:szCs w:val="24"/>
        </w:rPr>
        <w:t>, ako je napríklad zásada „znečisťovateľ platí“. V rámci týchto pravidiel sa osobitná pozornosť venuje aj zásade „nespôsobovať významnú škodu“ v rámci individualizovaného posúdenia pozitívnych a negatívnych účinkov. Na tento úče</w:t>
      </w:r>
      <w:r w:rsidR="0001786F" w:rsidRPr="00D43ED4">
        <w:rPr>
          <w:rFonts w:ascii="Times New Roman" w:hAnsi="Times New Roman"/>
          <w:noProof/>
          <w:sz w:val="24"/>
          <w:szCs w:val="24"/>
        </w:rPr>
        <w:t>l by návrh usmernení o pomoci v </w:t>
      </w:r>
      <w:r w:rsidRPr="00D43ED4">
        <w:rPr>
          <w:rFonts w:ascii="Times New Roman" w:hAnsi="Times New Roman"/>
          <w:noProof/>
          <w:sz w:val="24"/>
          <w:szCs w:val="24"/>
        </w:rPr>
        <w:t>oblasti klímy, ochrany životného prostredia a energetiky podporil postupné vyraďovanie fosílnych palív objasnením toho, že štátna podpora na projekty zahŕňajúce takéto palivá, najmä tie, ktoré najviac znečisťujú životné prostredie, ako sú ropa, uhlie a hnedé uhlie, sa pravdepodobne nebude považovať za zlučiteľnú s pravidlami štátnej pomoci</w:t>
      </w:r>
      <w:r w:rsidRPr="00D43ED4">
        <w:rPr>
          <w:rStyle w:val="FootnoteReference"/>
          <w:rFonts w:ascii="Times New Roman" w:hAnsi="Times New Roman" w:cs="Times New Roman"/>
          <w:noProof/>
          <w:sz w:val="24"/>
          <w:szCs w:val="24"/>
        </w:rPr>
        <w:footnoteReference w:id="31"/>
      </w:r>
      <w:r w:rsidRPr="00D43ED4">
        <w:rPr>
          <w:rFonts w:ascii="Times New Roman" w:hAnsi="Times New Roman"/>
          <w:noProof/>
          <w:sz w:val="24"/>
          <w:szCs w:val="24"/>
        </w:rPr>
        <w:t>. Všeobecnejšie povedané, Komisia môže v prípade potreby zohľadniť negatívne externality ako súčasť posúdenia negatívnych účinkov pomoci na hospodársku súťaž a obchod.</w:t>
      </w:r>
    </w:p>
    <w:p w:rsidR="00AD74C7" w:rsidRPr="00D43ED4" w:rsidRDefault="00AD74C7">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Európska zelená dohoda si vyžaduje aj </w:t>
      </w:r>
      <w:r w:rsidRPr="00AD439B">
        <w:rPr>
          <w:rFonts w:ascii="Times New Roman" w:hAnsi="Times New Roman"/>
          <w:b/>
          <w:noProof/>
          <w:sz w:val="24"/>
          <w:szCs w:val="24"/>
        </w:rPr>
        <w:t xml:space="preserve">primerané </w:t>
      </w:r>
      <w:r w:rsidR="0001786F" w:rsidRPr="00AD439B">
        <w:rPr>
          <w:rFonts w:ascii="Times New Roman" w:hAnsi="Times New Roman"/>
          <w:b/>
          <w:noProof/>
          <w:sz w:val="24"/>
          <w:szCs w:val="24"/>
        </w:rPr>
        <w:t>stimuly na vyvíjanie inovácií a </w:t>
      </w:r>
      <w:r w:rsidRPr="00AD439B">
        <w:rPr>
          <w:rFonts w:ascii="Times New Roman" w:hAnsi="Times New Roman"/>
          <w:b/>
          <w:noProof/>
          <w:sz w:val="24"/>
          <w:szCs w:val="24"/>
        </w:rPr>
        <w:t>poskytovanie ekologickejších výrobkov spotrebiteľom</w:t>
      </w:r>
      <w:r w:rsidRPr="00D43ED4">
        <w:rPr>
          <w:rFonts w:ascii="Times New Roman" w:hAnsi="Times New Roman"/>
          <w:noProof/>
          <w:sz w:val="24"/>
          <w:szCs w:val="24"/>
        </w:rPr>
        <w:t>. Hoci sa takéto úsilie realizuje najmä reguláciou, politika hospodárskej súťaže môže pomôcť pri ďalšom stimulovaní dopytu spotrebiteľov po ekologickejších výrobkoch a vytváraní správnych rámcových podmienok. Napríklad v návrhu usmernení o pomoci v oblasti klímy,</w:t>
      </w:r>
      <w:r w:rsidR="0001786F" w:rsidRPr="00D43ED4">
        <w:rPr>
          <w:rFonts w:ascii="Times New Roman" w:hAnsi="Times New Roman"/>
          <w:noProof/>
          <w:sz w:val="24"/>
          <w:szCs w:val="24"/>
        </w:rPr>
        <w:t xml:space="preserve"> ochrany životného prostredia a </w:t>
      </w:r>
      <w:r w:rsidRPr="00D43ED4">
        <w:rPr>
          <w:rFonts w:ascii="Times New Roman" w:hAnsi="Times New Roman"/>
          <w:noProof/>
          <w:sz w:val="24"/>
          <w:szCs w:val="24"/>
        </w:rPr>
        <w:t>energetiky sa navrhuje uľahčiť pomoc na nadobudnutie vozidiel s nulovými/nízkymi emisiami uhlíka a na investície do súvisiacej infraštruktúry nabíjacích a čerpacích staníc, pričom zároveň sa vďaka nemu umožní podpora ekologickejších výrobných procesov.</w:t>
      </w:r>
    </w:p>
    <w:p w:rsidR="00046937" w:rsidRPr="00D43ED4" w:rsidRDefault="005731E2">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V stratégii Komisie pre udržateľnú a inteligentnú mobilitu sa osobitne zdôrazňuje prínos práva hospodárskej súťaže k cieľu dosiahnuť dvojakú transformáciu vo všetkých druhoch dopravy</w:t>
      </w:r>
      <w:r w:rsidRPr="00D43ED4">
        <w:rPr>
          <w:rStyle w:val="FootnoteReference"/>
          <w:rFonts w:ascii="Times New Roman" w:hAnsi="Times New Roman" w:cs="Times New Roman"/>
          <w:noProof/>
          <w:sz w:val="24"/>
          <w:szCs w:val="24"/>
        </w:rPr>
        <w:footnoteReference w:id="32"/>
      </w:r>
      <w:r w:rsidRPr="00D43ED4">
        <w:rPr>
          <w:rFonts w:ascii="Times New Roman" w:hAnsi="Times New Roman"/>
          <w:noProof/>
          <w:sz w:val="24"/>
          <w:szCs w:val="24"/>
        </w:rPr>
        <w:t xml:space="preserve">. Prebiehajúce preskúmanie pravidiel štátnej pomoci týkajúcich sa </w:t>
      </w:r>
      <w:r w:rsidRPr="00AD439B">
        <w:rPr>
          <w:rFonts w:ascii="Times New Roman" w:hAnsi="Times New Roman"/>
          <w:b/>
          <w:noProof/>
          <w:sz w:val="24"/>
          <w:szCs w:val="24"/>
        </w:rPr>
        <w:t>odvetvia dopravy</w:t>
      </w:r>
      <w:r w:rsidRPr="00D43ED4">
        <w:rPr>
          <w:rFonts w:ascii="Times New Roman" w:hAnsi="Times New Roman"/>
          <w:noProof/>
          <w:sz w:val="24"/>
          <w:szCs w:val="24"/>
        </w:rPr>
        <w:t xml:space="preserve"> sa využije najmä na podporu udržateľnej obnovy </w:t>
      </w:r>
      <w:r w:rsidR="0001786F" w:rsidRPr="00D43ED4">
        <w:rPr>
          <w:rFonts w:ascii="Times New Roman" w:hAnsi="Times New Roman"/>
          <w:noProof/>
          <w:sz w:val="24"/>
          <w:szCs w:val="24"/>
        </w:rPr>
        <w:t>odvetvia po pandémii COVID-19 a </w:t>
      </w:r>
      <w:r w:rsidRPr="00D43ED4">
        <w:rPr>
          <w:rFonts w:ascii="Times New Roman" w:hAnsi="Times New Roman"/>
          <w:noProof/>
          <w:sz w:val="24"/>
          <w:szCs w:val="24"/>
        </w:rPr>
        <w:t>na posilnenie jeho schopnosti prejsť na klimatickú neutralitu do roku 2050, konkrétne tým, že sa menej znečisťujúcim druhom dopravy bude poskytovať čoraz väčšia príležitosť súťažiť za rovnakých podmienok</w:t>
      </w:r>
      <w:r w:rsidRPr="00D43ED4">
        <w:rPr>
          <w:rStyle w:val="FootnoteReference"/>
          <w:rFonts w:ascii="Times New Roman" w:hAnsi="Times New Roman" w:cs="Times New Roman"/>
          <w:noProof/>
          <w:sz w:val="24"/>
          <w:szCs w:val="24"/>
        </w:rPr>
        <w:footnoteReference w:id="33"/>
      </w:r>
      <w:r w:rsidRPr="00D43ED4">
        <w:rPr>
          <w:rFonts w:ascii="Times New Roman" w:hAnsi="Times New Roman"/>
          <w:noProof/>
          <w:sz w:val="24"/>
          <w:szCs w:val="24"/>
        </w:rPr>
        <w:t>, a že sa zavedie podporný rámec pre zelené investície. Od roku 2008 Komisia schválila približne 130 opatrení zamer</w:t>
      </w:r>
      <w:r w:rsidR="0001786F" w:rsidRPr="00D43ED4">
        <w:rPr>
          <w:rFonts w:ascii="Times New Roman" w:hAnsi="Times New Roman"/>
          <w:noProof/>
          <w:sz w:val="24"/>
          <w:szCs w:val="24"/>
        </w:rPr>
        <w:t>aných na podporu efektívnosti a </w:t>
      </w:r>
      <w:r w:rsidRPr="00D43ED4">
        <w:rPr>
          <w:rFonts w:ascii="Times New Roman" w:hAnsi="Times New Roman"/>
          <w:noProof/>
          <w:sz w:val="24"/>
          <w:szCs w:val="24"/>
        </w:rPr>
        <w:t xml:space="preserve">udržateľnosti vnútorného dopravného trhu EÚ, a to aj </w:t>
      </w:r>
      <w:r w:rsidRPr="00AD439B">
        <w:rPr>
          <w:rFonts w:ascii="Times New Roman" w:hAnsi="Times New Roman"/>
          <w:b/>
          <w:noProof/>
          <w:sz w:val="24"/>
          <w:szCs w:val="24"/>
        </w:rPr>
        <w:t>zlepšením digitalizácie a zvýšením interoperability železničnej dopravy a podporou udržateľnejších dopravných riešení, než je cestná doprava</w:t>
      </w:r>
      <w:r w:rsidRPr="00D43ED4">
        <w:rPr>
          <w:rFonts w:ascii="Times New Roman" w:hAnsi="Times New Roman"/>
          <w:noProof/>
          <w:sz w:val="24"/>
          <w:szCs w:val="24"/>
        </w:rPr>
        <w:t>, a to napríklad vnútrozemskej vodnej dopravy a intermodálnej dopravy</w:t>
      </w:r>
      <w:r w:rsidRPr="00D43ED4">
        <w:rPr>
          <w:rStyle w:val="FootnoteReference"/>
          <w:rFonts w:ascii="Times New Roman" w:hAnsi="Times New Roman" w:cs="Times New Roman"/>
          <w:noProof/>
          <w:sz w:val="24"/>
          <w:szCs w:val="24"/>
        </w:rPr>
        <w:footnoteReference w:id="34"/>
      </w:r>
      <w:r w:rsidRPr="00D43ED4">
        <w:rPr>
          <w:rFonts w:ascii="Times New Roman" w:hAnsi="Times New Roman"/>
          <w:noProof/>
          <w:sz w:val="24"/>
          <w:szCs w:val="24"/>
        </w:rPr>
        <w:t>. Preskúmaním pravidiel štátnej pomoci, ktoré sa vzťahujú na železničnú dopravu</w:t>
      </w:r>
      <w:r w:rsidRPr="00D43ED4">
        <w:rPr>
          <w:rStyle w:val="FootnoteReference"/>
          <w:rFonts w:ascii="Times New Roman" w:hAnsi="Times New Roman" w:cs="Times New Roman"/>
          <w:noProof/>
          <w:sz w:val="24"/>
          <w:szCs w:val="24"/>
        </w:rPr>
        <w:footnoteReference w:id="35"/>
      </w:r>
      <w:r w:rsidRPr="00D43ED4">
        <w:rPr>
          <w:rFonts w:ascii="Times New Roman" w:hAnsi="Times New Roman"/>
          <w:noProof/>
          <w:sz w:val="24"/>
          <w:szCs w:val="24"/>
        </w:rPr>
        <w:t>, sa tieto pravidlá v plnej miere zosúladia s kľúčovými prioritami Únie. Jeho cieľom je ďalej podporovať prechod na udržateľnejšie druhy dopravy a zároveň zaviesť intenzívnejšie procedurálne zjednodušenia zamerané na opatrenia pomoci v oblasti ekologickejšej pozemnej a intermodálnej dopravy prostredníctvom skupinových výnimiek. Na tento účel Komisia zvažuje aj prijatie návrhu nariadenia Rady, ktorým sa Kom</w:t>
      </w:r>
      <w:r w:rsidR="0001786F" w:rsidRPr="00D43ED4">
        <w:rPr>
          <w:rFonts w:ascii="Times New Roman" w:hAnsi="Times New Roman"/>
          <w:noProof/>
          <w:sz w:val="24"/>
          <w:szCs w:val="24"/>
        </w:rPr>
        <w:t>isii umožní prijať nariadenia o </w:t>
      </w:r>
      <w:r w:rsidRPr="00D43ED4">
        <w:rPr>
          <w:rFonts w:ascii="Times New Roman" w:hAnsi="Times New Roman"/>
          <w:noProof/>
          <w:sz w:val="24"/>
          <w:szCs w:val="24"/>
        </w:rPr>
        <w:t>skupinových výnimkách v oblasti pozemnej dopravy v súlade s článkom 93 ZFEÚ.</w:t>
      </w:r>
      <w:r w:rsidRPr="00D43ED4">
        <w:rPr>
          <w:rStyle w:val="FootnoteReference"/>
          <w:rFonts w:ascii="Times New Roman" w:hAnsi="Times New Roman"/>
          <w:noProof/>
          <w:sz w:val="24"/>
          <w:szCs w:val="24"/>
        </w:rPr>
        <w:t xml:space="preserve"> </w:t>
      </w:r>
    </w:p>
    <w:p w:rsidR="00136E46" w:rsidRPr="00D43ED4" w:rsidRDefault="00136E46" w:rsidP="001011D8">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Politika štátnej pomoci zohráva dôležitú úlohu, aj pokiaľ ide o </w:t>
      </w:r>
      <w:r w:rsidRPr="00AD439B">
        <w:rPr>
          <w:rFonts w:ascii="Times New Roman" w:hAnsi="Times New Roman"/>
          <w:b/>
          <w:noProof/>
          <w:sz w:val="24"/>
          <w:szCs w:val="24"/>
        </w:rPr>
        <w:t>umožňovanie prelomových inovácií</w:t>
      </w:r>
      <w:r w:rsidRPr="00D43ED4">
        <w:rPr>
          <w:rFonts w:ascii="Times New Roman" w:hAnsi="Times New Roman"/>
          <w:noProof/>
          <w:sz w:val="24"/>
          <w:szCs w:val="24"/>
        </w:rPr>
        <w:t xml:space="preserve"> potrebných na dosiahnutie cieľov zelenej dohody, keď sú riziká príliš veľké na to, aby ich niesla len jedna spoločnosť alebo jeden členský štát. Pomocou vyše 6 miliárd EUR finančných prostriedkov členských štátov, vďaka ktorým sa uvoľnilo ďalších 14 miliárd EUR vo forme súkromných investícií, dva dôležité projekty spoločného európskeho záujmu v hodnotovom reťazci batérií </w:t>
      </w:r>
      <w:r w:rsidRPr="00D43ED4">
        <w:rPr>
          <w:rStyle w:val="s3"/>
          <w:rFonts w:ascii="Times New Roman" w:hAnsi="Times New Roman"/>
          <w:noProof/>
          <w:sz w:val="24"/>
          <w:szCs w:val="24"/>
        </w:rPr>
        <w:t>umožnili významné investície do</w:t>
      </w:r>
      <w:r w:rsidRPr="00D43ED4">
        <w:rPr>
          <w:rFonts w:ascii="Times New Roman" w:hAnsi="Times New Roman"/>
          <w:noProof/>
          <w:sz w:val="24"/>
          <w:szCs w:val="24"/>
        </w:rPr>
        <w:t xml:space="preserve"> výskumu a inovácií, ako aj do prvého priemyselného zavádzania nových technológií batérií, pričom zabezpečili pozitívne účinky presahovania na európsky priemysel ako celok</w:t>
      </w:r>
      <w:r w:rsidRPr="00D43ED4">
        <w:rPr>
          <w:rStyle w:val="FootnoteReference"/>
          <w:rFonts w:ascii="Times New Roman" w:hAnsi="Times New Roman" w:cs="Times New Roman"/>
          <w:noProof/>
          <w:sz w:val="24"/>
          <w:szCs w:val="24"/>
        </w:rPr>
        <w:footnoteReference w:id="36"/>
      </w:r>
      <w:r w:rsidRPr="00D43ED4">
        <w:rPr>
          <w:rFonts w:ascii="Times New Roman" w:hAnsi="Times New Roman"/>
          <w:noProof/>
          <w:sz w:val="24"/>
          <w:szCs w:val="24"/>
        </w:rPr>
        <w:t xml:space="preserve">. Podobne bude Komisia aj naďalej aktívne podporovať členské štáty pri navrhovaní </w:t>
      </w:r>
      <w:r w:rsidRPr="00AD439B">
        <w:rPr>
          <w:rFonts w:ascii="Times New Roman" w:hAnsi="Times New Roman"/>
          <w:b/>
          <w:noProof/>
          <w:sz w:val="24"/>
          <w:szCs w:val="24"/>
        </w:rPr>
        <w:t>dôležitých projektov spoločného európskeho záujmu na podporu čistých vodíkových technológií a systémov</w:t>
      </w:r>
      <w:r w:rsidRPr="00D43ED4">
        <w:rPr>
          <w:rFonts w:ascii="Times New Roman" w:hAnsi="Times New Roman"/>
          <w:noProof/>
          <w:sz w:val="24"/>
          <w:szCs w:val="24"/>
        </w:rPr>
        <w:t xml:space="preserve">. </w:t>
      </w:r>
    </w:p>
    <w:p w:rsidR="00070977" w:rsidRPr="00D43ED4" w:rsidRDefault="00F355F4" w:rsidP="009F3054">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Nové </w:t>
      </w:r>
      <w:r w:rsidRPr="00AD439B">
        <w:rPr>
          <w:rFonts w:ascii="Times New Roman" w:hAnsi="Times New Roman"/>
          <w:b/>
          <w:noProof/>
          <w:sz w:val="24"/>
          <w:szCs w:val="24"/>
        </w:rPr>
        <w:t>usmernenia o regionálnej štátnej pomoci</w:t>
      </w:r>
      <w:r w:rsidRPr="00D43ED4">
        <w:rPr>
          <w:rStyle w:val="FootnoteReference"/>
          <w:rFonts w:ascii="Times New Roman" w:hAnsi="Times New Roman" w:cs="Times New Roman"/>
          <w:noProof/>
          <w:sz w:val="24"/>
          <w:szCs w:val="24"/>
        </w:rPr>
        <w:footnoteReference w:id="37"/>
      </w:r>
      <w:r w:rsidRPr="00D43ED4">
        <w:rPr>
          <w:rFonts w:ascii="Times New Roman" w:hAnsi="Times New Roman"/>
          <w:noProof/>
          <w:sz w:val="24"/>
          <w:szCs w:val="24"/>
        </w:rPr>
        <w:t xml:space="preserve"> v neposlednom rade umožňujú členským štátom podporovať najviac znevýhodnené regióny, ako aj regióny, ktoré čelia transformačným alebo štrukturálnym výzvam, najmä regiónom oprávneným na financovanie z Fondu na spravodlivú transformáciu, prispôsobiť sa zelene</w:t>
      </w:r>
      <w:r w:rsidR="0001786F" w:rsidRPr="00D43ED4">
        <w:rPr>
          <w:rFonts w:ascii="Times New Roman" w:hAnsi="Times New Roman"/>
          <w:noProof/>
          <w:sz w:val="24"/>
          <w:szCs w:val="24"/>
        </w:rPr>
        <w:t>j a klimatickej transformácii a </w:t>
      </w:r>
      <w:r w:rsidRPr="00D43ED4">
        <w:rPr>
          <w:rFonts w:ascii="Times New Roman" w:hAnsi="Times New Roman"/>
          <w:noProof/>
          <w:sz w:val="24"/>
          <w:szCs w:val="24"/>
        </w:rPr>
        <w:t>zároveň zabezpečiť členským štátom rovnaké podmienky. Je to dôležité, keďže pravidlá štátnej pomoci musia aj naďalej zachovávať integritu vnútorného trhu vzhľadom na ciele súdržnosti zakotvené v zmluvách EÚ, ktoré sú jadrom európskej integrácie</w:t>
      </w:r>
      <w:r w:rsidRPr="00D43ED4">
        <w:rPr>
          <w:rStyle w:val="FootnoteReference"/>
          <w:rFonts w:ascii="Times New Roman" w:hAnsi="Times New Roman" w:cs="Times New Roman"/>
          <w:noProof/>
          <w:sz w:val="24"/>
          <w:szCs w:val="24"/>
        </w:rPr>
        <w:footnoteReference w:id="38"/>
      </w:r>
      <w:r w:rsidRPr="00D43ED4">
        <w:rPr>
          <w:rFonts w:ascii="Times New Roman" w:hAnsi="Times New Roman"/>
          <w:noProof/>
          <w:sz w:val="24"/>
          <w:szCs w:val="24"/>
        </w:rPr>
        <w:t>.</w:t>
      </w:r>
    </w:p>
    <w:p w:rsidR="000D4D89" w:rsidRPr="00AD439B" w:rsidRDefault="000D4D89" w:rsidP="00EA16DD">
      <w:pPr>
        <w:keepNext/>
        <w:spacing w:after="240" w:line="240" w:lineRule="auto"/>
        <w:jc w:val="both"/>
        <w:rPr>
          <w:rStyle w:val="s3"/>
          <w:rFonts w:ascii="Times New Roman" w:hAnsi="Times New Roman" w:cs="Times New Roman"/>
          <w:b/>
          <w:i/>
          <w:noProof/>
          <w:sz w:val="24"/>
          <w:szCs w:val="24"/>
        </w:rPr>
      </w:pPr>
      <w:r w:rsidRPr="00AD439B">
        <w:rPr>
          <w:rStyle w:val="s3"/>
          <w:rFonts w:ascii="Times New Roman" w:hAnsi="Times New Roman"/>
          <w:b/>
          <w:i/>
          <w:noProof/>
          <w:sz w:val="24"/>
          <w:szCs w:val="24"/>
        </w:rPr>
        <w:t>Presadzovanie a spolupráca pri dosahovaní cieľov Európskej zelenej dohody</w:t>
      </w:r>
    </w:p>
    <w:p w:rsidR="00EA25BC" w:rsidRPr="00D43ED4" w:rsidRDefault="00EA4D4A" w:rsidP="00B73EA5">
      <w:pPr>
        <w:spacing w:after="240" w:line="240" w:lineRule="auto"/>
        <w:jc w:val="both"/>
        <w:rPr>
          <w:rFonts w:ascii="Times New Roman" w:hAnsi="Times New Roman" w:cs="Times New Roman"/>
          <w:noProof/>
          <w:sz w:val="24"/>
          <w:szCs w:val="24"/>
        </w:rPr>
      </w:pPr>
      <w:r w:rsidRPr="00D43ED4">
        <w:rPr>
          <w:rStyle w:val="s3"/>
          <w:rFonts w:ascii="Times New Roman" w:hAnsi="Times New Roman"/>
          <w:noProof/>
          <w:sz w:val="24"/>
          <w:szCs w:val="24"/>
        </w:rPr>
        <w:t>Okrem umožnenia potrebného verejného financovania</w:t>
      </w:r>
      <w:r w:rsidRPr="00D43ED4">
        <w:rPr>
          <w:rFonts w:ascii="Times New Roman" w:hAnsi="Times New Roman"/>
          <w:noProof/>
          <w:sz w:val="24"/>
          <w:szCs w:val="24"/>
        </w:rPr>
        <w:t xml:space="preserve"> môže Komisia dosiahnuť ciele Európskej zelenej dohody aj dôrazným presadzovaním antitrustových pravidiel a pravidiel týkajúcich sa fúzií. Napríklad v júli 2021 Komisia uložila piatim výrobcom automobilov pokutu vo výške 875 miliónov EUR za podieľanie sa na kolúzii s cieľom spomaliť zavádzanie technických vývojárskych riešení s potenciálom zniž</w:t>
      </w:r>
      <w:r w:rsidR="0001786F" w:rsidRPr="00D43ED4">
        <w:rPr>
          <w:rFonts w:ascii="Times New Roman" w:hAnsi="Times New Roman"/>
          <w:noProof/>
          <w:sz w:val="24"/>
          <w:szCs w:val="24"/>
        </w:rPr>
        <w:t>ovať znečistenie pochádzajúce z </w:t>
      </w:r>
      <w:r w:rsidRPr="00D43ED4">
        <w:rPr>
          <w:rFonts w:ascii="Times New Roman" w:hAnsi="Times New Roman"/>
          <w:noProof/>
          <w:sz w:val="24"/>
          <w:szCs w:val="24"/>
        </w:rPr>
        <w:t>automobilov</w:t>
      </w:r>
      <w:r w:rsidRPr="00D43ED4">
        <w:rPr>
          <w:rStyle w:val="FootnoteReference"/>
          <w:rFonts w:ascii="Times New Roman" w:hAnsi="Times New Roman" w:cs="Times New Roman"/>
          <w:noProof/>
          <w:sz w:val="24"/>
          <w:szCs w:val="24"/>
        </w:rPr>
        <w:footnoteReference w:id="39"/>
      </w:r>
      <w:r w:rsidRPr="00D43ED4">
        <w:rPr>
          <w:rFonts w:ascii="Times New Roman" w:hAnsi="Times New Roman"/>
          <w:noProof/>
          <w:sz w:val="24"/>
          <w:szCs w:val="24"/>
        </w:rPr>
        <w:t>.</w:t>
      </w:r>
    </w:p>
    <w:p w:rsidR="005B343F" w:rsidRPr="00D43ED4" w:rsidRDefault="00EA25BC" w:rsidP="005C64C8">
      <w:pPr>
        <w:spacing w:after="240" w:line="240" w:lineRule="auto"/>
        <w:jc w:val="both"/>
        <w:rPr>
          <w:rFonts w:ascii="Times New Roman" w:hAnsi="Times New Roman" w:cs="Times New Roman"/>
          <w:noProof/>
          <w:sz w:val="24"/>
          <w:szCs w:val="24"/>
        </w:rPr>
      </w:pPr>
      <w:r w:rsidRPr="00D43ED4">
        <w:rPr>
          <w:rStyle w:val="s3"/>
          <w:rFonts w:ascii="Times New Roman" w:hAnsi="Times New Roman"/>
          <w:noProof/>
          <w:sz w:val="24"/>
          <w:szCs w:val="24"/>
        </w:rPr>
        <w:t xml:space="preserve">Politika hospodárskej súťaže môže ďalej prispievať k zelenej transformácii tým, že </w:t>
      </w:r>
      <w:r w:rsidRPr="00AD439B">
        <w:rPr>
          <w:rStyle w:val="s3"/>
          <w:rFonts w:ascii="Times New Roman" w:hAnsi="Times New Roman"/>
          <w:b/>
          <w:noProof/>
          <w:sz w:val="24"/>
          <w:szCs w:val="24"/>
        </w:rPr>
        <w:t>umožňuje podnikom spolupracovať, aby mohli realizovať skutočn</w:t>
      </w:r>
      <w:r w:rsidR="0001786F" w:rsidRPr="00AD439B">
        <w:rPr>
          <w:rStyle w:val="s3"/>
          <w:rFonts w:ascii="Times New Roman" w:hAnsi="Times New Roman"/>
          <w:b/>
          <w:noProof/>
          <w:sz w:val="24"/>
          <w:szCs w:val="24"/>
        </w:rPr>
        <w:t>e zelené iniciatívy spoločne, a </w:t>
      </w:r>
      <w:r w:rsidRPr="00AD439B">
        <w:rPr>
          <w:rStyle w:val="s3"/>
          <w:rFonts w:ascii="Times New Roman" w:hAnsi="Times New Roman"/>
          <w:b/>
          <w:noProof/>
          <w:sz w:val="24"/>
          <w:szCs w:val="24"/>
        </w:rPr>
        <w:t>zároveň zabraňuje environmentálne klamlivej reklame, ktorá by poškodzovala spotrebiteľov</w:t>
      </w:r>
      <w:r w:rsidRPr="00D43ED4">
        <w:rPr>
          <w:rStyle w:val="s3"/>
          <w:rFonts w:ascii="Times New Roman" w:hAnsi="Times New Roman"/>
          <w:noProof/>
          <w:sz w:val="24"/>
          <w:szCs w:val="24"/>
        </w:rPr>
        <w:t xml:space="preserve">. Preferencie spotrebiteľov zamerané </w:t>
      </w:r>
      <w:r w:rsidR="0001786F" w:rsidRPr="00D43ED4">
        <w:rPr>
          <w:rStyle w:val="s3"/>
          <w:rFonts w:ascii="Times New Roman" w:hAnsi="Times New Roman"/>
          <w:noProof/>
          <w:sz w:val="24"/>
          <w:szCs w:val="24"/>
        </w:rPr>
        <w:t>na udržateľné výrobky, služby a </w:t>
      </w:r>
      <w:r w:rsidRPr="00D43ED4">
        <w:rPr>
          <w:rStyle w:val="s3"/>
          <w:rFonts w:ascii="Times New Roman" w:hAnsi="Times New Roman"/>
          <w:noProof/>
          <w:sz w:val="24"/>
          <w:szCs w:val="24"/>
        </w:rPr>
        <w:t>technológie by sa mali podľa potreby vždy zohľadňovať aj pri posudzovaní hospodárskej súťaže</w:t>
      </w:r>
      <w:r w:rsidRPr="00D43ED4">
        <w:rPr>
          <w:rFonts w:ascii="Times New Roman" w:hAnsi="Times New Roman"/>
          <w:noProof/>
          <w:sz w:val="24"/>
          <w:szCs w:val="24"/>
        </w:rPr>
        <w:t>. Napríklad dohody obmedzujúce hospodársku súťaž by mohli byť potenciálne vyňaté zo zákazu podľa článku 101 ods. 1 ZFEÚ, keby výhody, ktoré prinášajú zákazníkom, kompenzovali ujmu, ktorú im spôsobujú. Tieto výhody môžu zahŕňať napríklad nahradenie neudržateľného výrobku udržateľným, a teda zlepšenie jeho trvácnosti alebo iných vlastností, čím sa zvýši hodnota, ktorú spotrebitelia danému výrobku pripisujú</w:t>
      </w:r>
      <w:r w:rsidRPr="00D43ED4">
        <w:rPr>
          <w:rStyle w:val="FootnoteReference"/>
          <w:rFonts w:ascii="Times New Roman" w:hAnsi="Times New Roman" w:cs="Times New Roman"/>
          <w:noProof/>
          <w:sz w:val="24"/>
          <w:szCs w:val="24"/>
        </w:rPr>
        <w:footnoteReference w:id="40"/>
      </w:r>
      <w:r w:rsidRPr="00D43ED4">
        <w:rPr>
          <w:noProof/>
        </w:rPr>
        <w:t>.</w:t>
      </w:r>
    </w:p>
    <w:p w:rsidR="00BB307D" w:rsidRPr="00D43ED4" w:rsidRDefault="00BB307D" w:rsidP="005C64C8">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Okrem toho sa v reforme spoločnej poľnohospodárskej po</w:t>
      </w:r>
      <w:r w:rsidR="0001786F" w:rsidRPr="00D43ED4">
        <w:rPr>
          <w:rFonts w:ascii="Times New Roman" w:hAnsi="Times New Roman"/>
          <w:noProof/>
          <w:sz w:val="24"/>
          <w:szCs w:val="24"/>
        </w:rPr>
        <w:t>litiky stanovuje nová výnimka z </w:t>
      </w:r>
      <w:r w:rsidRPr="00D43ED4">
        <w:rPr>
          <w:rFonts w:ascii="Times New Roman" w:hAnsi="Times New Roman"/>
          <w:noProof/>
          <w:sz w:val="24"/>
          <w:szCs w:val="24"/>
        </w:rPr>
        <w:t>antitrustových pravidiel týkajúca sa dohôd o udržateľnosti poľnohospodárstva s cieľom pomôcť európskym poľnohospodárom riešiť problémy súvisiace so znečisťovaním, zmenou klímy a s inými výzvami v oblasti udržateľnosti</w:t>
      </w:r>
      <w:r w:rsidRPr="00D43ED4">
        <w:rPr>
          <w:rStyle w:val="FootnoteReference"/>
          <w:rFonts w:ascii="Times New Roman" w:hAnsi="Times New Roman" w:cs="Times New Roman"/>
          <w:noProof/>
          <w:sz w:val="24"/>
          <w:szCs w:val="24"/>
        </w:rPr>
        <w:footnoteReference w:id="41"/>
      </w:r>
      <w:r w:rsidRPr="00D43ED4">
        <w:rPr>
          <w:rFonts w:ascii="Times New Roman" w:hAnsi="Times New Roman"/>
          <w:noProof/>
          <w:sz w:val="24"/>
          <w:szCs w:val="24"/>
        </w:rPr>
        <w:t>. V snahe pomôcť zainteresovaným stranám pri vykonávaní novej výnimky Komisia navrhne príslušné usmernenia.</w:t>
      </w:r>
    </w:p>
    <w:p w:rsidR="00946DC1" w:rsidRPr="00D43ED4" w:rsidRDefault="005C461E" w:rsidP="00BE36E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Komisia je pripravená reagovať na žiadosti spoločností o usmernenie v záujme poskytnutia právnej istoty, a to aj v prípadoch, keď spoločnosti zvažujú predmetné dohody na dosiahnutie cieľov udržateľnosti. V rámci prebiehajúceho preskúmania </w:t>
      </w:r>
      <w:r w:rsidR="0001786F" w:rsidRPr="00AD439B">
        <w:rPr>
          <w:rFonts w:ascii="Times New Roman" w:hAnsi="Times New Roman"/>
          <w:b/>
          <w:noProof/>
          <w:sz w:val="24"/>
          <w:szCs w:val="24"/>
        </w:rPr>
        <w:t>nariadení a usmernení o </w:t>
      </w:r>
      <w:r w:rsidRPr="00AD439B">
        <w:rPr>
          <w:rFonts w:ascii="Times New Roman" w:hAnsi="Times New Roman"/>
          <w:b/>
          <w:noProof/>
          <w:sz w:val="24"/>
          <w:szCs w:val="24"/>
        </w:rPr>
        <w:t>skupinových výnimkách pre horizontálne dohody</w:t>
      </w:r>
      <w:r w:rsidRPr="00D43ED4">
        <w:rPr>
          <w:rFonts w:ascii="Times New Roman" w:hAnsi="Times New Roman"/>
          <w:noProof/>
          <w:sz w:val="24"/>
          <w:szCs w:val="24"/>
        </w:rPr>
        <w:t xml:space="preserve"> Komi</w:t>
      </w:r>
      <w:r w:rsidR="0001786F" w:rsidRPr="00D43ED4">
        <w:rPr>
          <w:rFonts w:ascii="Times New Roman" w:hAnsi="Times New Roman"/>
          <w:noProof/>
          <w:sz w:val="24"/>
          <w:szCs w:val="24"/>
        </w:rPr>
        <w:t>sia zároveň vedie konzultácie o </w:t>
      </w:r>
      <w:r w:rsidRPr="00D43ED4">
        <w:rPr>
          <w:rFonts w:ascii="Times New Roman" w:hAnsi="Times New Roman"/>
          <w:noProof/>
          <w:sz w:val="24"/>
          <w:szCs w:val="24"/>
        </w:rPr>
        <w:t>podmienkach, za ktorých môže spolupráca medzi konkurentmi prispievať k udržateľnejším výrobkom alebo výrobným procesom.</w:t>
      </w:r>
    </w:p>
    <w:p w:rsidR="004D3A2E" w:rsidRPr="00AD439B" w:rsidRDefault="009F3840" w:rsidP="00BE36E5">
      <w:pPr>
        <w:pStyle w:val="Heading1"/>
        <w:ind w:left="0" w:firstLine="720"/>
        <w:jc w:val="both"/>
        <w:rPr>
          <w:rFonts w:ascii="Times New Roman" w:hAnsi="Times New Roman"/>
          <w:noProof/>
        </w:rPr>
      </w:pPr>
      <w:r w:rsidRPr="00AD439B">
        <w:rPr>
          <w:rFonts w:ascii="Times New Roman" w:hAnsi="Times New Roman"/>
          <w:noProof/>
        </w:rPr>
        <w:t xml:space="preserve">3.2. </w:t>
      </w:r>
      <w:r w:rsidRPr="00AD439B">
        <w:rPr>
          <w:noProof/>
        </w:rPr>
        <w:tab/>
      </w:r>
      <w:r w:rsidRPr="00AD439B">
        <w:rPr>
          <w:rFonts w:ascii="Times New Roman" w:hAnsi="Times New Roman"/>
          <w:noProof/>
        </w:rPr>
        <w:t>Podpora digitálnej transformácie</w:t>
      </w:r>
    </w:p>
    <w:p w:rsidR="00B81352" w:rsidRPr="00D43ED4" w:rsidRDefault="00651C19" w:rsidP="00D65ECA">
      <w:pPr>
        <w:spacing w:after="240" w:line="240" w:lineRule="auto"/>
        <w:jc w:val="both"/>
        <w:rPr>
          <w:rFonts w:ascii="Times New Roman" w:hAnsi="Times New Roman" w:cs="Times New Roman"/>
          <w:noProof/>
          <w:sz w:val="24"/>
          <w:szCs w:val="24"/>
        </w:rPr>
      </w:pPr>
      <w:r w:rsidRPr="00D43ED4">
        <w:rPr>
          <w:rStyle w:val="s3"/>
          <w:rFonts w:ascii="Times New Roman" w:hAnsi="Times New Roman"/>
          <w:noProof/>
          <w:sz w:val="24"/>
          <w:szCs w:val="24"/>
        </w:rPr>
        <w:t>Kríza spôsobená ochorením COVID-19 viedla k masívnemu zrýchleniu</w:t>
      </w:r>
      <w:r w:rsidRPr="00D43ED4">
        <w:rPr>
          <w:rFonts w:ascii="Times New Roman" w:hAnsi="Times New Roman"/>
          <w:noProof/>
          <w:sz w:val="24"/>
          <w:szCs w:val="24"/>
        </w:rPr>
        <w:t xml:space="preserve"> digitálnej transformácie európskeho hospodárstva. Takmer zo dňa na deň sa práca a štúdium na diaľku stali normou, podniky v bezprecedentnom rozsahu presedlali na elektronický obchod a orgány verejnej správy zaviedli digitálne aplikácie na poskytovanie verejných služieb. To všetko poukazuje na prirodzenú prispôsobivosť a inovačný potenciál, ktorý existuje v Európe. Nemalo by to však byť dôvodom na spokojnosť, keďže mnohé časti európskeho hospodárstva a viaceré regióny, najmä tie najmenej rozvinuté, z hľadiska digitálnej transformácie stále zaostávajú: od prístupu k tým správnym zručnostiam či zavádzania najmodernejších infraštruktúr a kapacít až po využívanie digitálnych nástrojov v podnikoch na zvýšenie produktivity. V </w:t>
      </w:r>
      <w:r w:rsidRPr="00D43ED4">
        <w:rPr>
          <w:rStyle w:val="s3"/>
          <w:rFonts w:ascii="Times New Roman" w:hAnsi="Times New Roman"/>
          <w:noProof/>
          <w:sz w:val="24"/>
          <w:szCs w:val="24"/>
        </w:rPr>
        <w:t>oznámení</w:t>
      </w:r>
      <w:r w:rsidRPr="00D43ED4">
        <w:rPr>
          <w:rFonts w:ascii="Times New Roman" w:hAnsi="Times New Roman"/>
          <w:noProof/>
          <w:sz w:val="24"/>
          <w:szCs w:val="24"/>
        </w:rPr>
        <w:t xml:space="preserve"> s názvom Digitálny kompas do roku 2030: digitálne desaťročie na európsky spôsob </w:t>
      </w:r>
      <w:r w:rsidRPr="00D43ED4">
        <w:rPr>
          <w:rStyle w:val="s3"/>
          <w:rFonts w:ascii="Times New Roman" w:hAnsi="Times New Roman"/>
          <w:noProof/>
          <w:sz w:val="24"/>
          <w:szCs w:val="24"/>
        </w:rPr>
        <w:t xml:space="preserve">sa stanovujú ciele a zámery digitálnej </w:t>
      </w:r>
      <w:r w:rsidR="0001786F" w:rsidRPr="00D43ED4">
        <w:rPr>
          <w:rStyle w:val="s3"/>
          <w:rFonts w:ascii="Times New Roman" w:hAnsi="Times New Roman"/>
          <w:noProof/>
          <w:sz w:val="24"/>
          <w:szCs w:val="24"/>
        </w:rPr>
        <w:t>transformácie EÚ do roku 2030 s </w:t>
      </w:r>
      <w:r w:rsidRPr="00D43ED4">
        <w:rPr>
          <w:rStyle w:val="s3"/>
          <w:rFonts w:ascii="Times New Roman" w:hAnsi="Times New Roman"/>
          <w:noProof/>
          <w:sz w:val="24"/>
          <w:szCs w:val="24"/>
        </w:rPr>
        <w:t>úmyslom vytvoriť pre občanov a podniky Únie digitálnu budúcnosť, ktorá bude udržateľná, prosperujúca a zameraná na človeka. Komisia 15. septembra 2021 predložila spolulegislatívne rozhodnutie, ktorým sa stanovuje politický program Cesta k digitálnemu desaťročiu. Ten zahŕňa digitálne ciele a zámery a poskytuje konkrétne nástroje na ich dosiahnutie prostredníctvom spolupráce medzi Komisiou a členskými štátmi</w:t>
      </w:r>
      <w:r w:rsidRPr="00D43ED4">
        <w:rPr>
          <w:rStyle w:val="FootnoteReference"/>
          <w:rFonts w:ascii="Times New Roman" w:hAnsi="Times New Roman" w:cs="Times New Roman"/>
          <w:noProof/>
          <w:sz w:val="24"/>
          <w:szCs w:val="24"/>
        </w:rPr>
        <w:footnoteReference w:id="42"/>
      </w:r>
      <w:r w:rsidRPr="00D43ED4">
        <w:rPr>
          <w:rFonts w:ascii="Times New Roman" w:hAnsi="Times New Roman"/>
          <w:noProof/>
          <w:sz w:val="24"/>
          <w:szCs w:val="24"/>
        </w:rPr>
        <w:t xml:space="preserve">. Najmenej 20 % </w:t>
      </w:r>
      <w:r w:rsidRPr="00D43ED4">
        <w:rPr>
          <w:rStyle w:val="s3"/>
          <w:rFonts w:ascii="Times New Roman" w:hAnsi="Times New Roman"/>
          <w:noProof/>
          <w:sz w:val="24"/>
          <w:szCs w:val="24"/>
        </w:rPr>
        <w:t>finančných prostriedkov pridelených členským štátom v rámci Mechanizmu na podporu obnovy a odolnosti sa musí použiť na opatrenia, ktoré prispievajú k digitálnej transformácii</w:t>
      </w:r>
      <w:r w:rsidRPr="00D43ED4">
        <w:rPr>
          <w:rStyle w:val="FootnoteReference"/>
          <w:rFonts w:ascii="Times New Roman" w:hAnsi="Times New Roman" w:cs="Times New Roman"/>
          <w:noProof/>
          <w:sz w:val="24"/>
          <w:szCs w:val="24"/>
        </w:rPr>
        <w:footnoteReference w:id="43"/>
      </w:r>
      <w:r w:rsidRPr="00D43ED4">
        <w:rPr>
          <w:rStyle w:val="s3"/>
          <w:rFonts w:ascii="Times New Roman" w:hAnsi="Times New Roman"/>
          <w:noProof/>
          <w:sz w:val="24"/>
          <w:szCs w:val="24"/>
        </w:rPr>
        <w:t>.</w:t>
      </w:r>
    </w:p>
    <w:p w:rsidR="00810763" w:rsidRPr="00D43ED4" w:rsidRDefault="009F3A6B" w:rsidP="00083FF1">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Vzhľadom na rastúci význam digitálneho hospodárstva by EÚ nemala zaostávať v dosahovaní pokroku v digitalizácii a zároveň by mala zachovávať konkurenčné podmienky a rovnaké podmienky na digitálnom jednotnom trhu. Politika štátnej pomoci môže pomôcť riešiť potreby rozsiahlych investícií na podporu rozvoja potrebnej infraštruktúry ako opory digitálneho hospodárstva bez vytláčania súkromných investícií a za súbežného prispievania k preklenutiu digitálnej priepasti. Ústredným cieľom politiky hospodárskej súťaže však zároveň zostáva zachovanie konkurencieschopnosti digitálnych trhov. Pokiaľ ide o online platformy, ktoré vo všeobecnosti vykazujú silné sieťové účinky a dynamiku v duchu hesla „víťaz berie všetko“, ako aj významné úspory z rozsahu a takmer nulové hraničné náklady, je mimoriadne dôležité zabezpečiť otvorenosť, spravodlivosť a súťažeschopnosť hneď od začiatku. Vzhľadom na špecifiká online platforiem treba pokračovať v presadzovaní pravidiel hospodárskej súťaže a zároveň doplniť a dokončiť súbor nástrojov s cieľom využívať online platformy a dátové hospodárstvo na maximum. </w:t>
      </w:r>
    </w:p>
    <w:p w:rsidR="00D93C15" w:rsidRPr="00AD439B" w:rsidRDefault="00D93C15" w:rsidP="00D93C15">
      <w:pPr>
        <w:keepNext/>
        <w:spacing w:after="240" w:line="240" w:lineRule="auto"/>
        <w:jc w:val="both"/>
        <w:rPr>
          <w:rFonts w:ascii="Times New Roman" w:hAnsi="Times New Roman" w:cs="Times New Roman"/>
          <w:b/>
          <w:i/>
          <w:noProof/>
          <w:sz w:val="24"/>
          <w:szCs w:val="24"/>
        </w:rPr>
      </w:pPr>
      <w:r w:rsidRPr="00AD439B">
        <w:rPr>
          <w:rFonts w:ascii="Times New Roman" w:hAnsi="Times New Roman"/>
          <w:b/>
          <w:i/>
          <w:noProof/>
          <w:sz w:val="24"/>
          <w:szCs w:val="24"/>
        </w:rPr>
        <w:t xml:space="preserve">Vyplnenie digitálnej investičnej medzery </w:t>
      </w:r>
    </w:p>
    <w:p w:rsidR="00D93C15" w:rsidRPr="00D43ED4" w:rsidRDefault="00092EBA" w:rsidP="00D93C15">
      <w:pPr>
        <w:pStyle w:val="ListNumber"/>
        <w:tabs>
          <w:tab w:val="clear" w:pos="709"/>
        </w:tabs>
        <w:ind w:left="0" w:firstLine="0"/>
        <w:rPr>
          <w:noProof/>
          <w:szCs w:val="24"/>
        </w:rPr>
      </w:pPr>
      <w:r w:rsidRPr="00D43ED4">
        <w:rPr>
          <w:noProof/>
        </w:rPr>
        <w:t>Existujú rôzne druhy digitálnej infraštruktúry, pričom veľké investičné medzery pretrvávajú</w:t>
      </w:r>
      <w:r w:rsidRPr="00D43ED4">
        <w:rPr>
          <w:rStyle w:val="FootnoteReference"/>
          <w:noProof/>
          <w:szCs w:val="24"/>
        </w:rPr>
        <w:footnoteReference w:id="44"/>
      </w:r>
      <w:r w:rsidRPr="00D43ED4">
        <w:rPr>
          <w:noProof/>
        </w:rPr>
        <w:t>. Okrem toho si siete pripojiteľnosti vyžadujú osobitnú pozornosť, keďže sú základom digitálneho hospodárstva a spoločnosti a sú relevantné prak</w:t>
      </w:r>
      <w:r w:rsidR="0001786F" w:rsidRPr="00D43ED4">
        <w:rPr>
          <w:noProof/>
        </w:rPr>
        <w:t>ticky pre všetky podniky a </w:t>
      </w:r>
      <w:r w:rsidRPr="00D43ED4">
        <w:rPr>
          <w:noProof/>
        </w:rPr>
        <w:t>spotrebiteľov. Digitalizácia znamená, že potreby používateľov týkajúce sa šírky pásma sťahovania a nahrávania sa neustále zväčšujú. V oznámení o digitálnom kompase sa predpokladá, že do roku 2030 by všetky európske domácnosti mali byť pokryté gigabitovou sieťou a všetky obývané oblasti by mali byť pokryté sieťou 5G</w:t>
      </w:r>
      <w:r w:rsidRPr="00D43ED4">
        <w:rPr>
          <w:rStyle w:val="FootnoteReference"/>
          <w:noProof/>
          <w:szCs w:val="24"/>
        </w:rPr>
        <w:footnoteReference w:id="45"/>
      </w:r>
      <w:r w:rsidRPr="00D43ED4">
        <w:rPr>
          <w:noProof/>
        </w:rPr>
        <w:t>.</w:t>
      </w:r>
    </w:p>
    <w:p w:rsidR="00D93C15" w:rsidRPr="00D43ED4" w:rsidRDefault="00D93C15" w:rsidP="00D93C1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Väčšina investícií do telekomunikačnej infraštruktúry pochá</w:t>
      </w:r>
      <w:r w:rsidR="0001786F" w:rsidRPr="00D43ED4">
        <w:rPr>
          <w:rFonts w:ascii="Times New Roman" w:hAnsi="Times New Roman"/>
          <w:noProof/>
          <w:sz w:val="24"/>
          <w:szCs w:val="24"/>
        </w:rPr>
        <w:t>dza od súkromných investorov. S </w:t>
      </w:r>
      <w:r w:rsidRPr="00D43ED4">
        <w:rPr>
          <w:rFonts w:ascii="Times New Roman" w:hAnsi="Times New Roman"/>
          <w:noProof/>
          <w:sz w:val="24"/>
          <w:szCs w:val="24"/>
        </w:rPr>
        <w:t xml:space="preserve">cieľom zvýšiť nákladovú efektívnosť zavádzania sietí súkromných prevádzkovateľov ich Komisia nabáda, aby spolupracovali v rámci tzv. </w:t>
      </w:r>
      <w:r w:rsidRPr="00AD439B">
        <w:rPr>
          <w:rFonts w:ascii="Times New Roman" w:hAnsi="Times New Roman"/>
          <w:b/>
          <w:noProof/>
          <w:sz w:val="24"/>
          <w:szCs w:val="24"/>
        </w:rPr>
        <w:t>spoločného využívania siete</w:t>
      </w:r>
      <w:r w:rsidRPr="00D43ED4">
        <w:rPr>
          <w:rFonts w:ascii="Times New Roman" w:hAnsi="Times New Roman"/>
          <w:noProof/>
          <w:sz w:val="24"/>
          <w:szCs w:val="24"/>
        </w:rPr>
        <w:t xml:space="preserve"> a aby zároveň zabezpečili, že to bude prebiehať bez neprimeraného obm</w:t>
      </w:r>
      <w:r w:rsidR="0001786F" w:rsidRPr="00D43ED4">
        <w:rPr>
          <w:rFonts w:ascii="Times New Roman" w:hAnsi="Times New Roman"/>
          <w:noProof/>
          <w:sz w:val="24"/>
          <w:szCs w:val="24"/>
        </w:rPr>
        <w:t>edzovania hospodárskej súťaže v </w:t>
      </w:r>
      <w:r w:rsidRPr="00D43ED4">
        <w:rPr>
          <w:rFonts w:ascii="Times New Roman" w:hAnsi="Times New Roman"/>
          <w:noProof/>
          <w:sz w:val="24"/>
          <w:szCs w:val="24"/>
        </w:rPr>
        <w:t>každom konkrétnom prípade</w:t>
      </w:r>
      <w:r w:rsidRPr="00D43ED4">
        <w:rPr>
          <w:rStyle w:val="FootnoteReference"/>
          <w:rFonts w:ascii="Times New Roman" w:hAnsi="Times New Roman" w:cs="Times New Roman"/>
          <w:noProof/>
          <w:sz w:val="24"/>
          <w:szCs w:val="24"/>
        </w:rPr>
        <w:footnoteReference w:id="46"/>
      </w:r>
      <w:r w:rsidRPr="00D43ED4">
        <w:rPr>
          <w:rFonts w:ascii="Times New Roman" w:hAnsi="Times New Roman"/>
          <w:noProof/>
          <w:sz w:val="24"/>
          <w:szCs w:val="24"/>
        </w:rPr>
        <w:t>. Komisia by v budúcnosti mohla poskytnúť ďalšie usmernenia k spoločnému využívaniu siete v k</w:t>
      </w:r>
      <w:r w:rsidR="0001786F" w:rsidRPr="00D43ED4">
        <w:rPr>
          <w:rFonts w:ascii="Times New Roman" w:hAnsi="Times New Roman"/>
          <w:noProof/>
          <w:sz w:val="24"/>
          <w:szCs w:val="24"/>
        </w:rPr>
        <w:t>ontexte preskúmania usmernení o </w:t>
      </w:r>
      <w:r w:rsidRPr="00D43ED4">
        <w:rPr>
          <w:rFonts w:ascii="Times New Roman" w:hAnsi="Times New Roman"/>
          <w:noProof/>
          <w:sz w:val="24"/>
          <w:szCs w:val="24"/>
        </w:rPr>
        <w:t>horizontálnych obmedzeniach.</w:t>
      </w:r>
    </w:p>
    <w:p w:rsidR="00D93C15" w:rsidRPr="00D43ED4" w:rsidRDefault="00D93C15" w:rsidP="00083FF1">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Politika štátnej pomoci plní kľúčovú podpornú funkciu pri dosahovaní cieľov digitálneho desaťročia, keďže pomáha preklenúť digitálnu priepasť tým, že zabezpečuje vyššiu úroveň širokopásmového pokrytia, najmä vo vidieckych oblast</w:t>
      </w:r>
      <w:r w:rsidR="0001786F" w:rsidRPr="00D43ED4">
        <w:rPr>
          <w:rFonts w:ascii="Times New Roman" w:hAnsi="Times New Roman"/>
          <w:noProof/>
          <w:sz w:val="24"/>
          <w:szCs w:val="24"/>
        </w:rPr>
        <w:t>iach a vzdialených regiónoch, a </w:t>
      </w:r>
      <w:r w:rsidRPr="00D43ED4">
        <w:rPr>
          <w:rFonts w:ascii="Times New Roman" w:hAnsi="Times New Roman"/>
          <w:noProof/>
          <w:sz w:val="24"/>
          <w:szCs w:val="24"/>
        </w:rPr>
        <w:t>rozširovania širokopásmových sietí a podporuje kvalitnejšie a cenovo dostupnejšie služby</w:t>
      </w:r>
      <w:r w:rsidRPr="00D43ED4">
        <w:rPr>
          <w:rStyle w:val="FootnoteReference"/>
          <w:rFonts w:ascii="Times New Roman" w:hAnsi="Times New Roman" w:cs="Times New Roman"/>
          <w:noProof/>
          <w:sz w:val="24"/>
          <w:szCs w:val="24"/>
        </w:rPr>
        <w:footnoteReference w:id="47"/>
      </w:r>
      <w:r w:rsidRPr="00D43ED4">
        <w:rPr>
          <w:rFonts w:ascii="Times New Roman" w:hAnsi="Times New Roman"/>
          <w:noProof/>
          <w:sz w:val="24"/>
          <w:szCs w:val="24"/>
        </w:rPr>
        <w:t xml:space="preserve">. </w:t>
      </w:r>
      <w:r w:rsidRPr="00AD439B">
        <w:rPr>
          <w:rFonts w:ascii="Times New Roman" w:hAnsi="Times New Roman"/>
          <w:b/>
          <w:noProof/>
          <w:sz w:val="24"/>
          <w:szCs w:val="24"/>
        </w:rPr>
        <w:t>Usmernenia o štátnej pomoci na zavádzanie širokopásmových sietí</w:t>
      </w:r>
      <w:r w:rsidRPr="00D43ED4">
        <w:rPr>
          <w:rStyle w:val="FootnoteReference"/>
          <w:rFonts w:ascii="Times New Roman" w:hAnsi="Times New Roman" w:cs="Times New Roman"/>
          <w:noProof/>
          <w:sz w:val="24"/>
          <w:szCs w:val="24"/>
        </w:rPr>
        <w:footnoteReference w:id="48"/>
      </w:r>
      <w:r w:rsidRPr="00D43ED4">
        <w:rPr>
          <w:rFonts w:ascii="Times New Roman" w:hAnsi="Times New Roman"/>
          <w:noProof/>
          <w:sz w:val="24"/>
          <w:szCs w:val="24"/>
        </w:rPr>
        <w:t xml:space="preserve"> a pravidlá všeobecného nariadenia o skupinových výnimkách u</w:t>
      </w:r>
      <w:r w:rsidR="0001786F" w:rsidRPr="00D43ED4">
        <w:rPr>
          <w:rFonts w:ascii="Times New Roman" w:hAnsi="Times New Roman"/>
          <w:noProof/>
          <w:sz w:val="24"/>
          <w:szCs w:val="24"/>
        </w:rPr>
        <w:t>ľahčujú zavádzanie bezpečných a </w:t>
      </w:r>
      <w:r w:rsidRPr="00D43ED4">
        <w:rPr>
          <w:rFonts w:ascii="Times New Roman" w:hAnsi="Times New Roman"/>
          <w:noProof/>
          <w:sz w:val="24"/>
          <w:szCs w:val="24"/>
        </w:rPr>
        <w:t>výkonných sietí cieleným a udržateľným spôsobom tam, kde je nepravdepodobné, že by súkromní poskytovatelia investovali alebo zabezpečili primeranú úroveň infraštruktúry pre rýchlo sa vyvíjajúce potreby zákazníkov. Prebiehajúca revízia usmernení sa zameriava na ďalšie uľahčenie zavádzania a využívania širokopásmových sietí, čím sa urýchli digitálna transformácia a zvýši sa pripojiteľnosť. Napríklad prostredníctvom nových usmernení sa chce Komisia výrazne zamerať na to, aké druhy investícií do pripojiteľnosti sa zvyčajne považujú za potrebné v rámci reakcie na vyvíjajúce sa potreby, pričom členským štátom sa stále ponecháva priestor na identifikáciu náročnejších potrieb. Komisia okrem toho predpokladá, že rozsah pôsobnosti usmernení by sa rozšíril na investície do mobilnej infraštruktúry</w:t>
      </w:r>
      <w:r w:rsidRPr="00D43ED4">
        <w:rPr>
          <w:rStyle w:val="FootnoteReference"/>
          <w:rFonts w:ascii="Times New Roman" w:hAnsi="Times New Roman" w:cs="Times New Roman"/>
          <w:noProof/>
          <w:sz w:val="24"/>
          <w:szCs w:val="24"/>
        </w:rPr>
        <w:footnoteReference w:id="49"/>
      </w:r>
      <w:r w:rsidRPr="00D43ED4">
        <w:rPr>
          <w:rFonts w:ascii="Times New Roman" w:hAnsi="Times New Roman"/>
          <w:noProof/>
          <w:sz w:val="24"/>
          <w:szCs w:val="24"/>
        </w:rPr>
        <w:t xml:space="preserve"> a na zavádzacie opatrenia, ako sú napríklad poukážky na pripojenie a s</w:t>
      </w:r>
      <w:r w:rsidR="0001786F" w:rsidRPr="00D43ED4">
        <w:rPr>
          <w:rFonts w:ascii="Times New Roman" w:hAnsi="Times New Roman"/>
          <w:noProof/>
          <w:sz w:val="24"/>
          <w:szCs w:val="24"/>
        </w:rPr>
        <w:t>ociálne poukazy, v súlade s </w:t>
      </w:r>
      <w:r w:rsidRPr="00D43ED4">
        <w:rPr>
          <w:rFonts w:ascii="Times New Roman" w:hAnsi="Times New Roman"/>
          <w:noProof/>
          <w:sz w:val="24"/>
          <w:szCs w:val="24"/>
        </w:rPr>
        <w:t>technologickým vývojom a digitálnymi a sociálnymi cieľmi Únie.</w:t>
      </w:r>
    </w:p>
    <w:p w:rsidR="00E40B4D" w:rsidRPr="00D43ED4" w:rsidRDefault="00E40B4D" w:rsidP="00083FF1">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Okrem toho cieľom revízie rámca pre výskum, vývoj a inovácie a zodpovedajúcich pravidiel všeobecného nariadenia o skupinových výnimkách je aktualizovať tieto pravidlá tak, aby odrážali najnovší vývoj na trhu a technologický vývoj, a tým uľahčiť investície súkromného sektora, ktoré urýchľujú dvojakú transformáciu.</w:t>
      </w:r>
    </w:p>
    <w:p w:rsidR="00527C05" w:rsidRPr="00AD439B" w:rsidRDefault="00527C05" w:rsidP="00EA16DD">
      <w:pPr>
        <w:keepNext/>
        <w:spacing w:after="240" w:line="240" w:lineRule="auto"/>
        <w:jc w:val="both"/>
        <w:rPr>
          <w:rFonts w:ascii="Times New Roman" w:hAnsi="Times New Roman" w:cs="Times New Roman"/>
          <w:b/>
          <w:i/>
          <w:noProof/>
          <w:sz w:val="24"/>
          <w:szCs w:val="24"/>
        </w:rPr>
      </w:pPr>
      <w:r w:rsidRPr="00AD439B">
        <w:rPr>
          <w:rFonts w:ascii="Times New Roman" w:hAnsi="Times New Roman"/>
          <w:b/>
          <w:i/>
          <w:noProof/>
          <w:sz w:val="24"/>
          <w:szCs w:val="24"/>
        </w:rPr>
        <w:t xml:space="preserve">Udržanie trhovej sily dominantných platforiem pod kontrolou </w:t>
      </w:r>
    </w:p>
    <w:p w:rsidR="00725445" w:rsidRPr="00D43ED4" w:rsidRDefault="00D24B35" w:rsidP="00B73EA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Komisia je globálnym lídrom pri presadzovaní antitrustových pravidiel v digitálnom sektore. V súčasnosti vo viacerých veciach skúma, či dominantné digitálne platformy porušili antitrustové pravidlá EÚ, napríklad diskriminovaním prístupu tretích strán k údajom alebo zneužívaním svojho postavenia strážcov prístupu na distribúciu obsahu prostredníctvom obchodu s aplikáciami</w:t>
      </w:r>
      <w:r w:rsidRPr="00D43ED4">
        <w:rPr>
          <w:rStyle w:val="FootnoteReference"/>
          <w:rFonts w:ascii="Times New Roman" w:hAnsi="Times New Roman" w:cs="Times New Roman"/>
          <w:noProof/>
          <w:sz w:val="24"/>
          <w:szCs w:val="24"/>
        </w:rPr>
        <w:footnoteReference w:id="50"/>
      </w:r>
      <w:r w:rsidRPr="00D43ED4">
        <w:rPr>
          <w:rFonts w:ascii="Times New Roman" w:hAnsi="Times New Roman"/>
          <w:noProof/>
          <w:sz w:val="24"/>
          <w:szCs w:val="24"/>
        </w:rPr>
        <w:t>. Ak sa obavy Komisie potvrdia, môže uložiť pokuty a ukončiť protisúťažné praktiky alebo prijať záväzky do budúcnosti, ktorými sa menia spôsoby podnikania príslušných spoločností v EÚ.</w:t>
      </w:r>
    </w:p>
    <w:p w:rsidR="003D5018" w:rsidRPr="00D43ED4" w:rsidRDefault="003D5018" w:rsidP="00B73EA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Komisia už v minulosti vo viacerých prípadoch uložila sankcie za protisúťažné správanie, ktorého sa dopustili dominantní digitálni hráči. Napríklad v júni 2017 Komisia uložila spoločnosti Google pokutu vo výške 2,42 miliardy EUR za to, že protiprávne uprednostňovala svoje služby porovnávania cien pred službami svojich konkurentov</w:t>
      </w:r>
      <w:r w:rsidRPr="00D43ED4">
        <w:rPr>
          <w:rStyle w:val="FootnoteReference"/>
          <w:rFonts w:ascii="Times New Roman" w:hAnsi="Times New Roman" w:cs="Times New Roman"/>
          <w:noProof/>
          <w:sz w:val="24"/>
          <w:szCs w:val="24"/>
        </w:rPr>
        <w:footnoteReference w:id="51"/>
      </w:r>
      <w:r w:rsidRPr="00D43ED4">
        <w:rPr>
          <w:rFonts w:ascii="Times New Roman" w:hAnsi="Times New Roman"/>
          <w:noProof/>
          <w:sz w:val="24"/>
          <w:szCs w:val="24"/>
        </w:rPr>
        <w:t>. Všeobecný súd 10. novembra 2021 podporil rozhodnutie Komisie a potvrdil, že jej prístup bol správny a právne podložený. Spoločnosť Google následne zmenila takzvané n</w:t>
      </w:r>
      <w:r w:rsidR="0001786F" w:rsidRPr="00D43ED4">
        <w:rPr>
          <w:rFonts w:ascii="Times New Roman" w:hAnsi="Times New Roman"/>
          <w:noProof/>
          <w:sz w:val="24"/>
          <w:szCs w:val="24"/>
        </w:rPr>
        <w:t>ákupné políčko (shopping box) s </w:t>
      </w:r>
      <w:r w:rsidRPr="00D43ED4">
        <w:rPr>
          <w:rFonts w:ascii="Times New Roman" w:hAnsi="Times New Roman"/>
          <w:noProof/>
          <w:sz w:val="24"/>
          <w:szCs w:val="24"/>
        </w:rPr>
        <w:t>cieľom umožniť, aby sa v ňom propagovali služby porovnávania cien, ktoré poskytujú tretie strany. K dnešnému dňu približne 75 % všetkých výrobkov propagovaných v tomto políčku pochádza od tretích strán v porovnaní so situáciou pred zásahom Komisie, keď to nebol ani jeden výrobok.</w:t>
      </w:r>
    </w:p>
    <w:p w:rsidR="008358EC" w:rsidRPr="00D43ED4" w:rsidRDefault="00555B67">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V júli 2018 Komisia uložila spoločnosti Google pokutu vo výške 4,34 miliardy EUR za celý rad nezákonných obchodných praktík týkajúcich sa operačného systému a aplikácií pre Android, ktorých cieľom bola ochrana a posilnenie dominantného postavenia spoločnosti Google v rámci všeobecného internetového vyhľadávania</w:t>
      </w:r>
      <w:r w:rsidRPr="00D43ED4">
        <w:rPr>
          <w:rStyle w:val="FootnoteReference"/>
          <w:rFonts w:ascii="Times New Roman" w:hAnsi="Times New Roman" w:cs="Times New Roman"/>
          <w:noProof/>
          <w:sz w:val="24"/>
          <w:szCs w:val="24"/>
        </w:rPr>
        <w:footnoteReference w:id="52"/>
      </w:r>
      <w:r w:rsidRPr="00D43ED4">
        <w:rPr>
          <w:rFonts w:ascii="Times New Roman" w:hAnsi="Times New Roman"/>
          <w:noProof/>
          <w:sz w:val="24"/>
          <w:szCs w:val="24"/>
        </w:rPr>
        <w:t>. V dôsledku toho spoločnosť Google upustila od zákazu pre výrobcov telefónov uvádzať modely využívajúce verzie operačného systému Android s otvoreným zdrojovým kódom, ktoré nepochádzajú z dielne spoločnosti Google. Spoločnosť Google takisto zaviedla zobrazenie výberu vyhľadávačov (Choice Screen) pre nové zariadenia so systémom Android, v ktorom sa používateľom pri nastavovaní zariadenia v súčasnosti zobrazí až jedenásť konkurenčných vyhľadávačov.</w:t>
      </w:r>
    </w:p>
    <w:p w:rsidR="000541E6" w:rsidRPr="00D43ED4" w:rsidRDefault="000541E6" w:rsidP="00BE36E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Vzhľadom na význam </w:t>
      </w:r>
      <w:r w:rsidRPr="00AD439B">
        <w:rPr>
          <w:rFonts w:ascii="Times New Roman" w:hAnsi="Times New Roman"/>
          <w:b/>
          <w:noProof/>
          <w:sz w:val="24"/>
          <w:szCs w:val="24"/>
        </w:rPr>
        <w:t>údajov ako kľúčovej zložky inovačného potenciálu spoločností</w:t>
      </w:r>
      <w:r w:rsidRPr="00D43ED4">
        <w:rPr>
          <w:rFonts w:ascii="Times New Roman" w:hAnsi="Times New Roman"/>
          <w:noProof/>
          <w:sz w:val="24"/>
          <w:szCs w:val="24"/>
        </w:rPr>
        <w:t xml:space="preserve"> presadzovanie pravidiel hospodárskej súťaže dopĺňa regulačné opatrenia Komisie na podporu spoločného využívania údajov a na vytváranie rovnakých podmienok medzi strážcami prístupu a menšími spoločnosťami. Prístup k údajom alebo zhromažďovanie údajov zohrávali úlohu vo viacerých nedávnych prípadoch fúzií</w:t>
      </w:r>
      <w:r w:rsidRPr="00D43ED4">
        <w:rPr>
          <w:rStyle w:val="FootnoteReference"/>
          <w:rFonts w:ascii="Times New Roman" w:hAnsi="Times New Roman" w:cs="Times New Roman"/>
          <w:noProof/>
          <w:sz w:val="24"/>
          <w:szCs w:val="24"/>
        </w:rPr>
        <w:footnoteReference w:id="53"/>
      </w:r>
      <w:r w:rsidRPr="00D43ED4">
        <w:rPr>
          <w:rFonts w:ascii="Times New Roman" w:hAnsi="Times New Roman"/>
          <w:noProof/>
          <w:sz w:val="24"/>
          <w:szCs w:val="24"/>
        </w:rPr>
        <w:t xml:space="preserve"> a stoja </w:t>
      </w:r>
      <w:r w:rsidR="0001786F" w:rsidRPr="00D43ED4">
        <w:rPr>
          <w:rFonts w:ascii="Times New Roman" w:hAnsi="Times New Roman"/>
          <w:noProof/>
          <w:sz w:val="24"/>
          <w:szCs w:val="24"/>
        </w:rPr>
        <w:t>v centre teórií o vzniku ujmy v </w:t>
      </w:r>
      <w:r w:rsidRPr="00D43ED4">
        <w:rPr>
          <w:rFonts w:ascii="Times New Roman" w:hAnsi="Times New Roman"/>
          <w:noProof/>
          <w:sz w:val="24"/>
          <w:szCs w:val="24"/>
        </w:rPr>
        <w:t xml:space="preserve">niektorých otvorených antitrustových prípadoch uvádzaných vyššie. Komisia zároveň vo svojej praxi v oblasti presadzovania práva uznala relevantnosť </w:t>
      </w:r>
      <w:r w:rsidRPr="00AD439B">
        <w:rPr>
          <w:rFonts w:ascii="Times New Roman" w:hAnsi="Times New Roman"/>
          <w:b/>
          <w:noProof/>
          <w:sz w:val="24"/>
          <w:szCs w:val="24"/>
        </w:rPr>
        <w:t>súkromia ako parametra hospodárskej súťaže</w:t>
      </w:r>
      <w:r w:rsidRPr="00D43ED4">
        <w:rPr>
          <w:rFonts w:ascii="Times New Roman" w:hAnsi="Times New Roman"/>
          <w:noProof/>
          <w:sz w:val="24"/>
          <w:szCs w:val="24"/>
        </w:rPr>
        <w:t xml:space="preserve"> a prijala záväzky napríklad na zabezpečenie toho, aby bol tento konkurenčný rozmer zachovaný</w:t>
      </w:r>
      <w:r w:rsidRPr="00D43ED4">
        <w:rPr>
          <w:rStyle w:val="FootnoteReference"/>
          <w:rFonts w:ascii="Times New Roman" w:hAnsi="Times New Roman" w:cs="Times New Roman"/>
          <w:noProof/>
          <w:sz w:val="24"/>
          <w:szCs w:val="24"/>
        </w:rPr>
        <w:footnoteReference w:id="54"/>
      </w:r>
      <w:r w:rsidRPr="00D43ED4">
        <w:rPr>
          <w:rFonts w:ascii="Times New Roman" w:hAnsi="Times New Roman"/>
          <w:noProof/>
          <w:sz w:val="24"/>
          <w:szCs w:val="24"/>
        </w:rPr>
        <w:t xml:space="preserve">. </w:t>
      </w:r>
    </w:p>
    <w:p w:rsidR="00A42F7B" w:rsidRPr="00D43ED4" w:rsidRDefault="000541E6">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Komisia okrem toho pracovala na prispôsobení sa rýchlo sa meniacej povahe a osobitostiam digitálnych trhov. Využila napríklad </w:t>
      </w:r>
      <w:r w:rsidRPr="00AD439B">
        <w:rPr>
          <w:rFonts w:ascii="Times New Roman" w:hAnsi="Times New Roman"/>
          <w:b/>
          <w:noProof/>
          <w:sz w:val="24"/>
          <w:szCs w:val="24"/>
        </w:rPr>
        <w:t>dočasné opatrenia</w:t>
      </w:r>
      <w:r w:rsidRPr="00D43ED4">
        <w:rPr>
          <w:rFonts w:ascii="Times New Roman" w:hAnsi="Times New Roman"/>
          <w:noProof/>
          <w:sz w:val="24"/>
          <w:szCs w:val="24"/>
        </w:rPr>
        <w:t>, na základe ktorých sa od spoločnosti Broadcom vyžadovalo, aby prestala uplatňovať svoju prax ukladania podmienok exkluzivity svojim zákazníkom, pokiaľ ide o čipy do modemov a televíznych settopboxov</w:t>
      </w:r>
      <w:r w:rsidRPr="00D43ED4">
        <w:rPr>
          <w:rStyle w:val="FootnoteReference"/>
          <w:rFonts w:ascii="Times New Roman" w:hAnsi="Times New Roman" w:cs="Times New Roman"/>
          <w:noProof/>
          <w:sz w:val="24"/>
          <w:szCs w:val="24"/>
        </w:rPr>
        <w:footnoteReference w:id="55"/>
      </w:r>
      <w:r w:rsidRPr="00D43ED4">
        <w:rPr>
          <w:rFonts w:ascii="Times New Roman" w:hAnsi="Times New Roman"/>
          <w:noProof/>
          <w:sz w:val="24"/>
          <w:szCs w:val="24"/>
        </w:rPr>
        <w:t>, a tento nástroj bude naďalej využívať na účinné riešen</w:t>
      </w:r>
      <w:r w:rsidR="0001786F" w:rsidRPr="00D43ED4">
        <w:rPr>
          <w:rFonts w:ascii="Times New Roman" w:hAnsi="Times New Roman"/>
          <w:noProof/>
          <w:sz w:val="24"/>
          <w:szCs w:val="24"/>
        </w:rPr>
        <w:t>ie akéhokoľvek rizika vážneho a </w:t>
      </w:r>
      <w:r w:rsidRPr="00D43ED4">
        <w:rPr>
          <w:rFonts w:ascii="Times New Roman" w:hAnsi="Times New Roman"/>
          <w:noProof/>
          <w:sz w:val="24"/>
          <w:szCs w:val="24"/>
        </w:rPr>
        <w:t>nenapraviteľného narušenia hospodárskej súťaže. Komisia bude vo všeobecnosti neustále preskúmavať účinnosť svojich antitrustových procesných a analytických nástrojov s cieľom zabezpečiť, aby zodpovedali výzvam digitálneho veku.</w:t>
      </w:r>
    </w:p>
    <w:p w:rsidR="007C60EE" w:rsidRPr="00D43ED4" w:rsidDel="005A69EA" w:rsidRDefault="002E363E">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Komisia využila aj odvetvové prieskumy s cieľom včas a komplexne identifikovať potenciálne problémy hospodárskej súťaže na trhu. Posledný </w:t>
      </w:r>
      <w:r w:rsidRPr="00AD439B">
        <w:rPr>
          <w:rFonts w:ascii="Times New Roman" w:hAnsi="Times New Roman"/>
          <w:b/>
          <w:noProof/>
          <w:sz w:val="24"/>
          <w:szCs w:val="24"/>
        </w:rPr>
        <w:t>odvetvový prieskum</w:t>
      </w:r>
      <w:r w:rsidRPr="00D43ED4">
        <w:rPr>
          <w:rFonts w:ascii="Times New Roman" w:hAnsi="Times New Roman"/>
          <w:noProof/>
          <w:sz w:val="24"/>
          <w:szCs w:val="24"/>
        </w:rPr>
        <w:t xml:space="preserve"> sa začal </w:t>
      </w:r>
      <w:r w:rsidR="0001786F" w:rsidRPr="00D43ED4">
        <w:rPr>
          <w:rFonts w:ascii="Times New Roman" w:hAnsi="Times New Roman"/>
          <w:noProof/>
          <w:sz w:val="24"/>
          <w:szCs w:val="24"/>
        </w:rPr>
        <w:t>v </w:t>
      </w:r>
      <w:r w:rsidRPr="00D43ED4">
        <w:rPr>
          <w:rFonts w:ascii="Times New Roman" w:hAnsi="Times New Roman"/>
          <w:noProof/>
          <w:sz w:val="24"/>
          <w:szCs w:val="24"/>
        </w:rPr>
        <w:t xml:space="preserve">júli 2020 </w:t>
      </w:r>
      <w:r w:rsidRPr="00AD439B">
        <w:rPr>
          <w:rFonts w:ascii="Times New Roman" w:hAnsi="Times New Roman"/>
          <w:b/>
          <w:noProof/>
          <w:sz w:val="24"/>
          <w:szCs w:val="24"/>
        </w:rPr>
        <w:t>v súvislosti so</w:t>
      </w:r>
      <w:r w:rsidRPr="00D43ED4">
        <w:rPr>
          <w:rFonts w:ascii="Times New Roman" w:hAnsi="Times New Roman"/>
          <w:noProof/>
          <w:sz w:val="24"/>
          <w:szCs w:val="24"/>
        </w:rPr>
        <w:t xml:space="preserve"> </w:t>
      </w:r>
      <w:r w:rsidRPr="00AD439B">
        <w:rPr>
          <w:rFonts w:ascii="Times New Roman" w:hAnsi="Times New Roman"/>
          <w:b/>
          <w:noProof/>
          <w:sz w:val="24"/>
          <w:szCs w:val="24"/>
        </w:rPr>
        <w:t>spotrebiteľským internetom vecí</w:t>
      </w:r>
      <w:r w:rsidRPr="00D43ED4">
        <w:rPr>
          <w:rFonts w:ascii="Times New Roman" w:hAnsi="Times New Roman"/>
          <w:noProof/>
          <w:sz w:val="24"/>
          <w:szCs w:val="24"/>
        </w:rPr>
        <w:t xml:space="preserve">, </w:t>
      </w:r>
      <w:r w:rsidR="0001786F" w:rsidRPr="00D43ED4">
        <w:rPr>
          <w:rFonts w:ascii="Times New Roman" w:hAnsi="Times New Roman"/>
          <w:noProof/>
          <w:sz w:val="24"/>
          <w:szCs w:val="24"/>
        </w:rPr>
        <w:t>čo je rastúci sektor výrobkov a </w:t>
      </w:r>
      <w:r w:rsidRPr="00D43ED4">
        <w:rPr>
          <w:rFonts w:ascii="Times New Roman" w:hAnsi="Times New Roman"/>
          <w:noProof/>
          <w:sz w:val="24"/>
          <w:szCs w:val="24"/>
        </w:rPr>
        <w:t>služieb pripojených k sieti, ktoré možno ovládať na diaľku pomocou hlasového asistenta alebo mobilného zariadenia. V predbežnej správe z júna 2021 boli identifikované potenciálne obavy súvisiace napríklad s exkluzivitou alebo dohodami o viazanosti, otázkami interoperability či so zhromažďovaním údajov, pričom</w:t>
      </w:r>
      <w:r w:rsidR="0001786F" w:rsidRPr="00D43ED4">
        <w:rPr>
          <w:rFonts w:ascii="Times New Roman" w:hAnsi="Times New Roman"/>
          <w:noProof/>
          <w:sz w:val="24"/>
          <w:szCs w:val="24"/>
        </w:rPr>
        <w:t xml:space="preserve"> všetky tieto vstupy prispejú k </w:t>
      </w:r>
      <w:r w:rsidRPr="00D43ED4">
        <w:rPr>
          <w:rFonts w:ascii="Times New Roman" w:hAnsi="Times New Roman"/>
          <w:noProof/>
          <w:sz w:val="24"/>
          <w:szCs w:val="24"/>
        </w:rPr>
        <w:t>presadzovaniu hospodárskej súťaže zo strany Komisie a k prebiehajúcej regulačnej činnosti.</w:t>
      </w:r>
    </w:p>
    <w:p w:rsidR="008F2F9D" w:rsidRPr="00D43ED4" w:rsidRDefault="000541E6">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Prax Komisie v oblasti presadzovania práva v prípadoch</w:t>
      </w:r>
      <w:r w:rsidR="0001786F" w:rsidRPr="00D43ED4">
        <w:rPr>
          <w:rFonts w:ascii="Times New Roman" w:hAnsi="Times New Roman"/>
          <w:noProof/>
          <w:sz w:val="24"/>
          <w:szCs w:val="24"/>
        </w:rPr>
        <w:t xml:space="preserve"> hospodárskej súťaže prispela k </w:t>
      </w:r>
      <w:r w:rsidRPr="00D43ED4">
        <w:rPr>
          <w:rFonts w:ascii="Times New Roman" w:hAnsi="Times New Roman"/>
          <w:noProof/>
          <w:sz w:val="24"/>
          <w:szCs w:val="24"/>
        </w:rPr>
        <w:t>legislatívnemu návrhu aktu o digitálnych trhoch</w:t>
      </w:r>
      <w:r w:rsidRPr="00D43ED4">
        <w:rPr>
          <w:rStyle w:val="FootnoteReference"/>
          <w:rFonts w:ascii="Times New Roman" w:hAnsi="Times New Roman" w:cs="Times New Roman"/>
          <w:noProof/>
          <w:sz w:val="24"/>
          <w:szCs w:val="24"/>
        </w:rPr>
        <w:footnoteReference w:id="56"/>
      </w:r>
      <w:r w:rsidRPr="00D43ED4">
        <w:rPr>
          <w:rFonts w:ascii="Times New Roman" w:hAnsi="Times New Roman"/>
          <w:noProof/>
          <w:sz w:val="24"/>
          <w:szCs w:val="24"/>
        </w:rPr>
        <w:t xml:space="preserve">, nového regulačného nástroja, ktorým sa stanovujú pravidlá pre veľké digitálne platformy, ktoré pôsobia ako strážcovia prístupu na digitálnych trhoch. Po jeho prijatí </w:t>
      </w:r>
      <w:r w:rsidRPr="00AD439B">
        <w:rPr>
          <w:rFonts w:ascii="Times New Roman" w:hAnsi="Times New Roman"/>
          <w:b/>
          <w:noProof/>
          <w:sz w:val="24"/>
          <w:szCs w:val="24"/>
        </w:rPr>
        <w:t>budú zákon o digitálnych trhoch a presadzovanie pravidiel hospodárskej súťaže fungovať súbežne</w:t>
      </w:r>
      <w:r w:rsidRPr="00D43ED4">
        <w:rPr>
          <w:rFonts w:ascii="Times New Roman" w:hAnsi="Times New Roman"/>
          <w:noProof/>
          <w:sz w:val="24"/>
          <w:szCs w:val="24"/>
        </w:rPr>
        <w:t>:</w:t>
      </w:r>
      <w:r w:rsidRPr="00AD439B">
        <w:rPr>
          <w:rFonts w:ascii="Times New Roman" w:hAnsi="Times New Roman"/>
          <w:b/>
          <w:noProof/>
          <w:sz w:val="24"/>
          <w:szCs w:val="24"/>
        </w:rPr>
        <w:t xml:space="preserve"> </w:t>
      </w:r>
      <w:r w:rsidRPr="00D43ED4">
        <w:rPr>
          <w:rFonts w:ascii="Times New Roman" w:hAnsi="Times New Roman"/>
          <w:noProof/>
          <w:sz w:val="24"/>
          <w:szCs w:val="24"/>
        </w:rPr>
        <w:t xml:space="preserve">v akte o digitálnych trhoch sa stanovia pravidlá </w:t>
      </w:r>
      <w:r w:rsidRPr="00D43ED4">
        <w:rPr>
          <w:rFonts w:ascii="Times New Roman" w:hAnsi="Times New Roman"/>
          <w:i/>
          <w:noProof/>
          <w:sz w:val="24"/>
          <w:szCs w:val="24"/>
        </w:rPr>
        <w:t>ex ante</w:t>
      </w:r>
      <w:r w:rsidRPr="00D43ED4">
        <w:rPr>
          <w:rFonts w:ascii="Times New Roman" w:hAnsi="Times New Roman"/>
          <w:noProof/>
          <w:sz w:val="24"/>
          <w:szCs w:val="24"/>
        </w:rPr>
        <w:t xml:space="preserve"> uplatniteľné na určených strážcov prístupu s cieľom zabezpečiť konkurencieschopné a spravodlivé digitálne trhy, zatiaľ čo pravidlá hospodárskej súťaže sa budú naďalej uplatňovať </w:t>
      </w:r>
      <w:r w:rsidRPr="00D43ED4">
        <w:rPr>
          <w:rFonts w:ascii="Times New Roman" w:hAnsi="Times New Roman"/>
          <w:i/>
          <w:noProof/>
          <w:sz w:val="24"/>
          <w:szCs w:val="24"/>
        </w:rPr>
        <w:t>ex post</w:t>
      </w:r>
      <w:r w:rsidRPr="00D43ED4">
        <w:rPr>
          <w:rFonts w:ascii="Times New Roman" w:hAnsi="Times New Roman"/>
          <w:noProof/>
          <w:sz w:val="24"/>
          <w:szCs w:val="24"/>
        </w:rPr>
        <w:t xml:space="preserve"> na individuálnom základe.</w:t>
      </w:r>
    </w:p>
    <w:p w:rsidR="00527C05" w:rsidRPr="00AD439B" w:rsidRDefault="00A7072E" w:rsidP="00EA16DD">
      <w:pPr>
        <w:keepNext/>
        <w:spacing w:after="240" w:line="240" w:lineRule="auto"/>
        <w:jc w:val="both"/>
        <w:rPr>
          <w:rFonts w:ascii="Times New Roman" w:hAnsi="Times New Roman" w:cs="Times New Roman"/>
          <w:b/>
          <w:i/>
          <w:noProof/>
          <w:sz w:val="24"/>
          <w:szCs w:val="24"/>
        </w:rPr>
      </w:pPr>
      <w:r w:rsidRPr="00AD439B">
        <w:rPr>
          <w:rFonts w:ascii="Times New Roman" w:hAnsi="Times New Roman"/>
          <w:b/>
          <w:i/>
          <w:noProof/>
          <w:sz w:val="24"/>
          <w:szCs w:val="24"/>
        </w:rPr>
        <w:t>Pravidlá hospodárskej súťaže na zohľadnenie osobitostí digitálnych trhov</w:t>
      </w:r>
    </w:p>
    <w:p w:rsidR="008358EC" w:rsidRPr="00D43ED4" w:rsidRDefault="004E5703" w:rsidP="00B73EA5">
      <w:pPr>
        <w:spacing w:after="240" w:line="240" w:lineRule="auto"/>
        <w:jc w:val="both"/>
        <w:rPr>
          <w:rFonts w:ascii="Times New Roman" w:hAnsi="Times New Roman" w:cs="Times New Roman"/>
          <w:noProof/>
          <w:sz w:val="24"/>
          <w:szCs w:val="24"/>
        </w:rPr>
      </w:pPr>
      <w:r w:rsidRPr="00AD439B">
        <w:rPr>
          <w:rFonts w:ascii="Times New Roman" w:hAnsi="Times New Roman"/>
          <w:b/>
          <w:noProof/>
          <w:sz w:val="24"/>
          <w:szCs w:val="24"/>
        </w:rPr>
        <w:t>V snahe posilniť svoju schopnosť riešiť všetky potenciálne protisúťažné akvizície</w:t>
      </w:r>
      <w:r w:rsidRPr="00D43ED4">
        <w:rPr>
          <w:rFonts w:ascii="Times New Roman" w:hAnsi="Times New Roman"/>
          <w:noProof/>
          <w:sz w:val="24"/>
          <w:szCs w:val="24"/>
        </w:rPr>
        <w:t xml:space="preserve"> Komisia vydala usmernenie k uplatňovaniu článku 22 nariadenia o fúziách s cieľom nabádať členské štáty k tomu, aby sa v prípade potreby pozreli na jej preskúmanie potenciálne problematických transakcií, hoci tieto transakcie nespĺňajú vnútroštátne limity pre notifikáciu. Mohlo by to byť najmä v prípade určitých akvizícií inovačných di</w:t>
      </w:r>
      <w:r w:rsidR="0001786F" w:rsidRPr="00D43ED4">
        <w:rPr>
          <w:rFonts w:ascii="Times New Roman" w:hAnsi="Times New Roman"/>
          <w:noProof/>
          <w:sz w:val="24"/>
          <w:szCs w:val="24"/>
        </w:rPr>
        <w:t>gitálnych spoločností s </w:t>
      </w:r>
      <w:r w:rsidRPr="00D43ED4">
        <w:rPr>
          <w:rFonts w:ascii="Times New Roman" w:hAnsi="Times New Roman"/>
          <w:noProof/>
          <w:sz w:val="24"/>
          <w:szCs w:val="24"/>
        </w:rPr>
        <w:t>konkurenčným potenciálom nad rámec toho, čo by naz</w:t>
      </w:r>
      <w:r w:rsidR="0001786F" w:rsidRPr="00D43ED4">
        <w:rPr>
          <w:rFonts w:ascii="Times New Roman" w:hAnsi="Times New Roman"/>
          <w:noProof/>
          <w:sz w:val="24"/>
          <w:szCs w:val="24"/>
        </w:rPr>
        <w:t>načoval ich obrat. Návrh aktu o </w:t>
      </w:r>
      <w:r w:rsidRPr="00D43ED4">
        <w:rPr>
          <w:rFonts w:ascii="Times New Roman" w:hAnsi="Times New Roman"/>
          <w:noProof/>
          <w:sz w:val="24"/>
          <w:szCs w:val="24"/>
        </w:rPr>
        <w:t xml:space="preserve">digitálnych trhoch, ktorý predložila Komisia, obsahuje ustanovenie, ktoré by Komisii malo umožniť získavať od správcov digitálneho prístupu informácie o akvizíciách spoločností poskytujúcich digitálne služby, čím by sa zvýšila jej vedomosť o týchto transakciách a ich obchodných dôvodoch, a tým by sa zlepšili jej analytické nástroje a schopnosť odhaľovať tie, ktoré môžu mať negatívny vplyv na hospodársku súťaž. </w:t>
      </w:r>
    </w:p>
    <w:p w:rsidR="001C0D21" w:rsidRPr="00D43ED4" w:rsidRDefault="00A44DE8" w:rsidP="00BE36E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V tomto novom podnikateľskom prostredí, v ktorom sa údaje stali motorom inovácie a rastu, musia spoločnosti vedieť, kedy a aký druh údajov si môžu vymieňať s konkurentmi, dodávateľmi alebo so zákazníkmi. Predvídateľnosť dodržiavania pravidiel hospodárskej súťaže bude mať zásadný význam pre umožnenie intenzívnejšieho spoločného využívania údajov, ktoré podporujú iniciatívy Komisie v oblasti údajov, ako je napríklad akt o správe údajov a pripravovaný akt o údajoch. V reakcii na túto potrebu poskytne prebiehajúca revízia </w:t>
      </w:r>
      <w:r w:rsidRPr="00AD439B">
        <w:rPr>
          <w:rFonts w:ascii="Times New Roman" w:hAnsi="Times New Roman"/>
          <w:b/>
          <w:noProof/>
          <w:sz w:val="24"/>
          <w:szCs w:val="24"/>
        </w:rPr>
        <w:t>usmernení</w:t>
      </w:r>
      <w:r w:rsidRPr="00D43ED4">
        <w:rPr>
          <w:rFonts w:ascii="Times New Roman" w:hAnsi="Times New Roman"/>
          <w:noProof/>
          <w:sz w:val="24"/>
          <w:szCs w:val="24"/>
        </w:rPr>
        <w:t xml:space="preserve"> </w:t>
      </w:r>
      <w:r w:rsidRPr="00AD439B">
        <w:rPr>
          <w:rFonts w:ascii="Times New Roman" w:hAnsi="Times New Roman"/>
          <w:b/>
          <w:bCs/>
          <w:noProof/>
          <w:sz w:val="24"/>
          <w:szCs w:val="24"/>
        </w:rPr>
        <w:t>o horizontálnych obmedzeniach</w:t>
      </w:r>
      <w:r w:rsidRPr="00D43ED4">
        <w:rPr>
          <w:rFonts w:ascii="Times New Roman" w:hAnsi="Times New Roman"/>
          <w:noProof/>
          <w:sz w:val="24"/>
          <w:szCs w:val="24"/>
        </w:rPr>
        <w:t xml:space="preserve"> aktualizované usmernenia o spoločnom využívaní údajov s cieľom zabezpečiť, aby spoločnosti mohli využívať údaje na maximum bez narušenia hospodárskej súťaže, a umožniť, aby akt o </w:t>
      </w:r>
      <w:r w:rsidR="0001786F" w:rsidRPr="00D43ED4">
        <w:rPr>
          <w:rFonts w:ascii="Times New Roman" w:hAnsi="Times New Roman"/>
          <w:noProof/>
          <w:sz w:val="24"/>
          <w:szCs w:val="24"/>
        </w:rPr>
        <w:t>správe údajov a akt o údajoch v </w:t>
      </w:r>
      <w:r w:rsidRPr="00D43ED4">
        <w:rPr>
          <w:rFonts w:ascii="Times New Roman" w:hAnsi="Times New Roman"/>
          <w:noProof/>
          <w:sz w:val="24"/>
          <w:szCs w:val="24"/>
        </w:rPr>
        <w:t xml:space="preserve">tomto smere naplno rozvinuli svoj potenciál. S rastom online obchodu a online platforiem musia podniky zároveň vedieť, aké obmedzenia môžu zákonne zahrnúť do zmlúv so svojimi dodávateľmi alebo s online distribútormi. S cieľom reagovať na túto výzvu získajú spoločnosti vďaka revízii </w:t>
      </w:r>
      <w:r w:rsidRPr="00AD439B">
        <w:rPr>
          <w:rFonts w:ascii="Times New Roman" w:hAnsi="Times New Roman"/>
          <w:b/>
          <w:noProof/>
          <w:sz w:val="24"/>
          <w:szCs w:val="24"/>
        </w:rPr>
        <w:t>nariadenia o skupinovej výnimke pre vertikálne dohody</w:t>
      </w:r>
      <w:r w:rsidR="00D10330" w:rsidRPr="00AD439B">
        <w:rPr>
          <w:rFonts w:ascii="Times New Roman" w:hAnsi="Times New Roman"/>
          <w:b/>
          <w:noProof/>
          <w:sz w:val="24"/>
          <w:szCs w:val="24"/>
        </w:rPr>
        <w:t xml:space="preserve"> a</w:t>
      </w:r>
      <w:r w:rsidR="00ED67AA" w:rsidRPr="00AD439B">
        <w:rPr>
          <w:rFonts w:ascii="Times New Roman" w:hAnsi="Times New Roman"/>
          <w:b/>
          <w:noProof/>
          <w:sz w:val="24"/>
          <w:szCs w:val="24"/>
        </w:rPr>
        <w:t xml:space="preserve"> súvisiacich </w:t>
      </w:r>
      <w:r w:rsidR="00D10330" w:rsidRPr="00AD439B">
        <w:rPr>
          <w:rFonts w:ascii="Times New Roman" w:hAnsi="Times New Roman"/>
          <w:b/>
          <w:noProof/>
          <w:sz w:val="24"/>
          <w:szCs w:val="24"/>
        </w:rPr>
        <w:t>usmernení</w:t>
      </w:r>
      <w:r w:rsidRPr="00D43ED4">
        <w:rPr>
          <w:rFonts w:ascii="Times New Roman" w:hAnsi="Times New Roman"/>
          <w:noProof/>
          <w:sz w:val="24"/>
          <w:szCs w:val="24"/>
        </w:rPr>
        <w:t xml:space="preserve"> aktuálne usmernenia vrátane informá</w:t>
      </w:r>
      <w:r w:rsidR="00ED67AA" w:rsidRPr="00D43ED4">
        <w:rPr>
          <w:rFonts w:ascii="Times New Roman" w:hAnsi="Times New Roman"/>
          <w:noProof/>
          <w:sz w:val="24"/>
          <w:szCs w:val="24"/>
        </w:rPr>
        <w:t>cií o nových modeloch dodávok a </w:t>
      </w:r>
      <w:r w:rsidRPr="00D43ED4">
        <w:rPr>
          <w:rFonts w:ascii="Times New Roman" w:hAnsi="Times New Roman"/>
          <w:noProof/>
          <w:sz w:val="24"/>
          <w:szCs w:val="24"/>
        </w:rPr>
        <w:t xml:space="preserve">distribúcie. </w:t>
      </w:r>
    </w:p>
    <w:p w:rsidR="005A69EA" w:rsidRPr="00D43ED4" w:rsidRDefault="003341A0" w:rsidP="00BE36E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Podniky možno budú musieť spolupracovať, aby uviedli na trh inovatívne a efektívnejšie riešenia prispievajúce k digitálnej transformácii. Vzhľadom n</w:t>
      </w:r>
      <w:r w:rsidR="0001786F" w:rsidRPr="00D43ED4">
        <w:rPr>
          <w:rFonts w:ascii="Times New Roman" w:hAnsi="Times New Roman"/>
          <w:noProof/>
          <w:sz w:val="24"/>
          <w:szCs w:val="24"/>
        </w:rPr>
        <w:t>a rýchlo sa vyvíjajúcu povahu a </w:t>
      </w:r>
      <w:r w:rsidRPr="00D43ED4">
        <w:rPr>
          <w:rFonts w:ascii="Times New Roman" w:hAnsi="Times New Roman"/>
          <w:noProof/>
          <w:sz w:val="24"/>
          <w:szCs w:val="24"/>
        </w:rPr>
        <w:t xml:space="preserve">osobitosti digitálnych trhov je Komisia v prípade potreby pripravená poskytnúť usmernenia na uľahčenie dohôd podporujúcich hospodársku súťaž, v rámci ktorých je akákoľvek potenciálna ujma pre zákazníkov prevážená výhodami, ktoré by inak nezískali. Komisia napríklad nedávno zaslala list organizácii Gaia-X, ktorej cieľom je podporovať a uľahčovať vývoj otvoreného softvéru a infraštruktúry na spoločné využívanie údajov a združených cloudových služieb v Európe, v ktorom poskytuje spätnú väzbu k tomu, ako posudzovať súlad s antitrustovými pravidlami, pokiaľ ide o pravidlá členstva a fungovania organizácie. </w:t>
      </w:r>
    </w:p>
    <w:p w:rsidR="00192CBA" w:rsidRPr="00D43ED4" w:rsidRDefault="00BE541F" w:rsidP="00BE36E5">
      <w:pPr>
        <w:spacing w:after="240" w:line="240" w:lineRule="auto"/>
        <w:jc w:val="both"/>
        <w:rPr>
          <w:rFonts w:ascii="Times New Roman" w:hAnsi="Times New Roman" w:cs="Times New Roman"/>
          <w:noProof/>
          <w:sz w:val="24"/>
          <w:szCs w:val="24"/>
        </w:rPr>
      </w:pPr>
      <w:r w:rsidRPr="00D43ED4">
        <w:rPr>
          <w:rFonts w:ascii="Times New Roman" w:hAnsi="Times New Roman"/>
          <w:noProof/>
          <w:sz w:val="24"/>
          <w:szCs w:val="24"/>
        </w:rPr>
        <w:t xml:space="preserve">Rast digitálnych platforiem zvýšil flexibilitu a dostupnosť trhov práce, ale v niektorých prípadoch viedol k ťažkým pracovným podmienkam v hospodárstve založenom na platformách aj mimo neho. Súbežne s legislatívnou iniciatívou Komisie na zlepšenie pracovných podmienok v hospodárstve založenom na platformách Komisia začala iniciatívu na </w:t>
      </w:r>
      <w:r w:rsidRPr="00AD439B">
        <w:rPr>
          <w:rFonts w:ascii="Times New Roman" w:hAnsi="Times New Roman"/>
          <w:b/>
          <w:noProof/>
          <w:sz w:val="24"/>
          <w:szCs w:val="24"/>
        </w:rPr>
        <w:t>objasnenie okolností, za ktorých pravidlá hospodárskej súťaže nebránia kolektívnym zmluvám jednotlivých samostatne zárobkovo činných osôb</w:t>
      </w:r>
      <w:r w:rsidRPr="00D43ED4">
        <w:rPr>
          <w:rFonts w:ascii="Times New Roman" w:hAnsi="Times New Roman"/>
          <w:noProof/>
          <w:sz w:val="24"/>
          <w:szCs w:val="24"/>
        </w:rPr>
        <w:t xml:space="preserve"> v zraniteľnom postavení na zlepšenie ich pracovných podmienok. </w:t>
      </w:r>
    </w:p>
    <w:p w:rsidR="00073363" w:rsidRPr="00AD439B" w:rsidRDefault="00073363" w:rsidP="00B73EA5">
      <w:pPr>
        <w:pStyle w:val="Heading1"/>
        <w:numPr>
          <w:ilvl w:val="1"/>
          <w:numId w:val="42"/>
        </w:numPr>
        <w:jc w:val="both"/>
        <w:rPr>
          <w:rFonts w:ascii="Times New Roman" w:hAnsi="Times New Roman"/>
          <w:noProof/>
        </w:rPr>
      </w:pPr>
      <w:r w:rsidRPr="00AD439B">
        <w:rPr>
          <w:rFonts w:ascii="Times New Roman" w:hAnsi="Times New Roman"/>
          <w:noProof/>
        </w:rPr>
        <w:t>Zvyšovanie odolnosti jednotného trhu</w:t>
      </w:r>
    </w:p>
    <w:p w:rsidR="00CE02E1" w:rsidRPr="00D43ED4" w:rsidRDefault="003D52C8" w:rsidP="00276E8C">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Posledných pár mesiacov nám takisto pripomenulo úlohu jednotného trhu ako hlavného prispievateľa k rastu, konkurencieschopnosti a zamestnanosti v Únii a ako kľúčového aktíva na vybudovanie silnejšieho, vyváženejšieho a spravodlivejšieho hospodárstva. Kríza spôsobená ochorením COVID-19 jasne ukázala, že na to, aby </w:t>
      </w:r>
      <w:r w:rsidRPr="00AD439B">
        <w:rPr>
          <w:rStyle w:val="s3"/>
          <w:rFonts w:ascii="Times New Roman" w:hAnsi="Times New Roman"/>
          <w:b/>
          <w:noProof/>
          <w:sz w:val="24"/>
          <w:szCs w:val="24"/>
        </w:rPr>
        <w:t>jednotný trh</w:t>
      </w:r>
      <w:r w:rsidRPr="00D43ED4">
        <w:rPr>
          <w:rStyle w:val="s3"/>
          <w:rFonts w:ascii="Times New Roman" w:hAnsi="Times New Roman"/>
          <w:noProof/>
          <w:sz w:val="24"/>
          <w:szCs w:val="24"/>
        </w:rPr>
        <w:t xml:space="preserve"> odolal krízam, </w:t>
      </w:r>
      <w:r w:rsidRPr="00AD439B">
        <w:rPr>
          <w:rStyle w:val="s3"/>
          <w:rFonts w:ascii="Times New Roman" w:hAnsi="Times New Roman"/>
          <w:b/>
          <w:noProof/>
          <w:sz w:val="24"/>
          <w:szCs w:val="24"/>
        </w:rPr>
        <w:t>musí byť odolný a agilný, aby sa mohol rýchlo prispôsobiť meniacim sa okolnostiam</w:t>
      </w:r>
      <w:r w:rsidRPr="00D43ED4">
        <w:rPr>
          <w:rStyle w:val="s3"/>
          <w:rFonts w:ascii="Times New Roman" w:hAnsi="Times New Roman"/>
          <w:noProof/>
          <w:sz w:val="24"/>
          <w:szCs w:val="24"/>
        </w:rPr>
        <w:t xml:space="preserve">. Zároveň ilustrovala hrozby pre jednotný trh, ktoré predstavujú obmedzenia voľného pohybu osôb, tovaru, služieb a kapitálu, narušenia dodávateľských reťazcov a nedostatok základných výrobkov. </w:t>
      </w:r>
    </w:p>
    <w:p w:rsidR="003341A0" w:rsidRPr="00D43ED4" w:rsidRDefault="002A5A6B" w:rsidP="002A5A6B">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V snahe zabezpečiť lepšiu pripravenosť na budúce krízy Komisia takisto oznámila svoj zámer navrhnúť </w:t>
      </w:r>
      <w:r w:rsidRPr="00AD439B">
        <w:rPr>
          <w:rStyle w:val="s3"/>
          <w:rFonts w:ascii="Times New Roman" w:hAnsi="Times New Roman"/>
          <w:b/>
          <w:noProof/>
          <w:sz w:val="24"/>
          <w:szCs w:val="24"/>
        </w:rPr>
        <w:t>nástroj núdzovej pomoci pre jednotný trh</w:t>
      </w:r>
      <w:r w:rsidRPr="00D43ED4">
        <w:rPr>
          <w:rStyle w:val="s3"/>
          <w:rFonts w:ascii="Times New Roman" w:hAnsi="Times New Roman"/>
          <w:noProof/>
          <w:sz w:val="24"/>
          <w:szCs w:val="24"/>
        </w:rPr>
        <w:t xml:space="preserve"> s cieľom poskytnúť štrukturálne riešenie na zabezpečenie odolnosti, rovnakých podmienok a dobrého fungovania jednotného trhu a jeho dodávateľských reťazcov v kontexte možných budúcich kríz. Keďže ide o nástroj reakcie na krízu, návrh týkajúci sa nástroja núdzovej pomoci pre jednotný trh závisí od pokračujúceho úsilia o zachovanie a ďalšie prehĺbenie jednotného trhu. </w:t>
      </w:r>
    </w:p>
    <w:p w:rsidR="002A5A6B" w:rsidRPr="00D43ED4" w:rsidRDefault="002A5A6B" w:rsidP="002A5A6B">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Vo väčšine prípadov je samotné odvetvie vďaka svojim obchodným rozhodnutiam v tej najlepšej pozícii zlepšiť odolnosť a obmedziť akékoľvek záv</w:t>
      </w:r>
      <w:r w:rsidR="00ED67AA" w:rsidRPr="00D43ED4">
        <w:rPr>
          <w:rStyle w:val="s3"/>
          <w:rFonts w:ascii="Times New Roman" w:hAnsi="Times New Roman"/>
          <w:noProof/>
          <w:sz w:val="24"/>
          <w:szCs w:val="24"/>
        </w:rPr>
        <w:t>islosti, ktoré môžu viesť k </w:t>
      </w:r>
      <w:r w:rsidRPr="00D43ED4">
        <w:rPr>
          <w:rStyle w:val="s3"/>
          <w:rFonts w:ascii="Times New Roman" w:hAnsi="Times New Roman"/>
          <w:noProof/>
          <w:sz w:val="24"/>
          <w:szCs w:val="24"/>
        </w:rPr>
        <w:t>zraniteľnostiam, a to aj prostredníctvom diverzifikácie dodávateľov, zvýšeného využívania druhotných surovín a ich nahrádzania inými vstupnými surovinami. Pre prípady, keď to nie je možné, konkrétne v situáciách, keď</w:t>
      </w:r>
      <w:r w:rsidRPr="00D43ED4">
        <w:rPr>
          <w:rFonts w:ascii="Times New Roman" w:hAnsi="Times New Roman"/>
          <w:noProof/>
          <w:sz w:val="24"/>
        </w:rPr>
        <w:t xml:space="preserve"> koncentrácia výroby alebo získavania zdrojov obmedzuje dostupnosť alternatívnych dodávateľov,</w:t>
      </w:r>
      <w:r w:rsidRPr="00D43ED4">
        <w:rPr>
          <w:rStyle w:val="s3"/>
          <w:rFonts w:ascii="Times New Roman" w:hAnsi="Times New Roman"/>
          <w:noProof/>
          <w:sz w:val="24"/>
          <w:szCs w:val="24"/>
        </w:rPr>
        <w:t xml:space="preserve"> Komisia vo svojej aktualizácii novej priemyselnej stratégie predložila súbor politických nástrojov na podporu úsilia priemyslu o riešenie týchto závislostí a o rozvoj strategickej kapacity vzhľadom na p</w:t>
      </w:r>
      <w:r w:rsidR="0001786F" w:rsidRPr="00D43ED4">
        <w:rPr>
          <w:rStyle w:val="s3"/>
          <w:rFonts w:ascii="Times New Roman" w:hAnsi="Times New Roman"/>
          <w:noProof/>
          <w:sz w:val="24"/>
          <w:szCs w:val="24"/>
        </w:rPr>
        <w:t>otreby: diverzifikácia ponuky a </w:t>
      </w:r>
      <w:r w:rsidRPr="00D43ED4">
        <w:rPr>
          <w:rStyle w:val="s3"/>
          <w:rFonts w:ascii="Times New Roman" w:hAnsi="Times New Roman"/>
          <w:noProof/>
          <w:sz w:val="24"/>
          <w:szCs w:val="24"/>
        </w:rPr>
        <w:t>dopytu, spoliehanie sa na rôznych obchodných partnerov vždy, keď je to možné, ale aj vytváranie zásob a autonómne konanie vždy, keď je to potrebné.</w:t>
      </w:r>
    </w:p>
    <w:p w:rsidR="009F4983" w:rsidRPr="00D43ED4" w:rsidRDefault="00AE3390" w:rsidP="00276E8C">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Politika a presadzovanie hospodárskej súťaže dopĺňajú tieto ciele ako kľúčový pilier odolnosti jednotného trhu, keďže </w:t>
      </w:r>
      <w:r w:rsidRPr="00AD439B">
        <w:rPr>
          <w:rStyle w:val="s3"/>
          <w:rFonts w:ascii="Times New Roman" w:hAnsi="Times New Roman"/>
          <w:b/>
          <w:noProof/>
          <w:sz w:val="24"/>
          <w:szCs w:val="24"/>
        </w:rPr>
        <w:t>zabezpečujú, aby trhy zostali otvorené a dynamické</w:t>
      </w:r>
      <w:r w:rsidRPr="00D43ED4">
        <w:rPr>
          <w:rStyle w:val="s3"/>
          <w:rFonts w:ascii="Times New Roman" w:hAnsi="Times New Roman"/>
          <w:noProof/>
          <w:sz w:val="24"/>
          <w:szCs w:val="24"/>
        </w:rPr>
        <w:t>. Stanovujú predvídateľné trhové podmienky potrebné pre prosperitu podnikov s osobitným dôrazom na MSP a startupy</w:t>
      </w:r>
      <w:r w:rsidRPr="00D43ED4">
        <w:rPr>
          <w:rStyle w:val="FootnoteReference"/>
          <w:rFonts w:ascii="Times New Roman" w:hAnsi="Times New Roman" w:cs="Times New Roman"/>
          <w:noProof/>
          <w:sz w:val="24"/>
          <w:szCs w:val="24"/>
        </w:rPr>
        <w:footnoteReference w:id="57"/>
      </w:r>
      <w:r w:rsidRPr="00D43ED4">
        <w:rPr>
          <w:rStyle w:val="s3"/>
          <w:rFonts w:ascii="Times New Roman" w:hAnsi="Times New Roman"/>
          <w:noProof/>
          <w:sz w:val="24"/>
          <w:szCs w:val="24"/>
        </w:rPr>
        <w:t xml:space="preserve">, umožňujú silné a diverzifikované dodávateľské reťazce a bojujú proti správaniu, ktoré vedie k fragmentácii jednotného trhu, ako sú dohody zabraňujúce voľnému pohybu tovaru cez hranice štátov. Konkurenčné podmienky a narušenia hospodárskej súťaže za hranicami Únie vrátane opatrení vlád budú zároveň často dôležité z hľadiska konkurencieschopnosti európskych firiem a našej celkovej odolnosti. </w:t>
      </w:r>
    </w:p>
    <w:p w:rsidR="00A5559B" w:rsidRPr="00D43ED4" w:rsidRDefault="001721E8" w:rsidP="003C138B">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Konkrétne </w:t>
      </w:r>
      <w:r w:rsidRPr="00AD439B">
        <w:rPr>
          <w:rStyle w:val="s3"/>
          <w:rFonts w:ascii="Times New Roman" w:hAnsi="Times New Roman"/>
          <w:b/>
          <w:noProof/>
          <w:sz w:val="24"/>
          <w:szCs w:val="24"/>
        </w:rPr>
        <w:t>kontrola koncentrácií v EÚ môže prispieť k</w:t>
      </w:r>
      <w:r w:rsidR="0001786F" w:rsidRPr="00AD439B">
        <w:rPr>
          <w:rStyle w:val="s3"/>
          <w:rFonts w:ascii="Times New Roman" w:hAnsi="Times New Roman"/>
          <w:b/>
          <w:noProof/>
          <w:sz w:val="24"/>
          <w:szCs w:val="24"/>
        </w:rPr>
        <w:t xml:space="preserve"> zabráneniu vzniku závislostí a </w:t>
      </w:r>
      <w:r w:rsidRPr="00AD439B">
        <w:rPr>
          <w:rStyle w:val="s3"/>
          <w:rFonts w:ascii="Times New Roman" w:hAnsi="Times New Roman"/>
          <w:b/>
          <w:noProof/>
          <w:sz w:val="24"/>
          <w:szCs w:val="24"/>
        </w:rPr>
        <w:t>zvýšeniu odolnosti hospodárstva EÚ</w:t>
      </w:r>
      <w:r w:rsidRPr="00D43ED4">
        <w:rPr>
          <w:rStyle w:val="s3"/>
          <w:rFonts w:ascii="Times New Roman" w:hAnsi="Times New Roman"/>
          <w:noProof/>
          <w:sz w:val="24"/>
          <w:szCs w:val="24"/>
        </w:rPr>
        <w:t xml:space="preserve"> tým, že zabezpečí, aby dodávateľské reťazce zostali diverzifikované. Umožňuje spoločnostiam rásť a získavať potrebný rozsah na to, aby mohli konkurovať iným, pod podmienkou dostatočnej hospodárskej súťaže a zachovania možnosti výberu na trhu s cieľom stimulovať pokračujúce inovácie a investície</w:t>
      </w:r>
      <w:r w:rsidRPr="00D43ED4">
        <w:rPr>
          <w:rStyle w:val="FootnoteReference"/>
          <w:rFonts w:ascii="Times New Roman" w:hAnsi="Times New Roman" w:cs="Times New Roman"/>
          <w:noProof/>
          <w:sz w:val="24"/>
          <w:szCs w:val="24"/>
        </w:rPr>
        <w:footnoteReference w:id="58"/>
      </w:r>
      <w:r w:rsidRPr="00D43ED4">
        <w:rPr>
          <w:rStyle w:val="s3"/>
          <w:rFonts w:ascii="Times New Roman" w:hAnsi="Times New Roman"/>
          <w:noProof/>
          <w:sz w:val="24"/>
          <w:szCs w:val="24"/>
        </w:rPr>
        <w:t>. Podobne v prípade fúzií medzi spoločnosťami pôsobiacimi na rôznych úrovniach dodávateľského reťazca kontrola fúzií zabezpečuje, aby prístup ku kľúčovým vstupom pre konkurentov v dolnej časti reťazca zostal dostupný za konkurenčných podmienok pre všetky spoločnosti na jednotnom trhu alebo aby konkurenti v hornej časti reťazca nemali obmedzený prístup k dostatočnému počtu zákazníkov v dolnej časti reťazca. Pri posudzovaní fúzií Komisia zohľadňuje viacero faktorov, ako sú cena, kvalita, výber a inovácia. Parametre kvality, ako ich oceňujú zákazníci, sa môžu líšiť, napríklad spoľahlivosť dodávok alebo predvídateľné lehoty na realizáciu.</w:t>
      </w:r>
    </w:p>
    <w:p w:rsidR="00E62984" w:rsidRPr="00D43ED4" w:rsidRDefault="00D46EF6" w:rsidP="00E62984">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Politika hospodárskej súťaže zároveň </w:t>
      </w:r>
      <w:r w:rsidRPr="00AD439B">
        <w:rPr>
          <w:rStyle w:val="s3"/>
          <w:rFonts w:ascii="Times New Roman" w:hAnsi="Times New Roman"/>
          <w:b/>
          <w:noProof/>
          <w:sz w:val="24"/>
          <w:szCs w:val="24"/>
        </w:rPr>
        <w:t>umožňuje podnikom v EÚ spojiť sily</w:t>
      </w:r>
      <w:r w:rsidRPr="00D43ED4">
        <w:rPr>
          <w:rStyle w:val="s3"/>
          <w:rFonts w:ascii="Times New Roman" w:hAnsi="Times New Roman"/>
          <w:noProof/>
          <w:sz w:val="24"/>
          <w:szCs w:val="24"/>
        </w:rPr>
        <w:t>, aby dosiahli pokrok v oblasti výskumu a vývoja, aby navrhovali, vyrábali a predávali výrobky alebo spoločne nakupovali výrobky či služby, ktoré potrebujú na sv</w:t>
      </w:r>
      <w:r w:rsidR="0001786F" w:rsidRPr="00D43ED4">
        <w:rPr>
          <w:rStyle w:val="s3"/>
          <w:rFonts w:ascii="Times New Roman" w:hAnsi="Times New Roman"/>
          <w:noProof/>
          <w:sz w:val="24"/>
          <w:szCs w:val="24"/>
        </w:rPr>
        <w:t>oju činnosť. To môže prispieť k </w:t>
      </w:r>
      <w:r w:rsidRPr="00D43ED4">
        <w:rPr>
          <w:rStyle w:val="s3"/>
          <w:rFonts w:ascii="Times New Roman" w:hAnsi="Times New Roman"/>
          <w:noProof/>
          <w:sz w:val="24"/>
          <w:szCs w:val="24"/>
        </w:rPr>
        <w:t>obmedzeniu závislostí a zvýšeniu odolnosti hospodárstva. Dočasný rámec pre antitrustové otázky napríklad umožnil spoločnostiam spolupracovať s cieľom zabrániť nedostatku kritických liekov na nemocničnú liečbu pacientov s ochorením COVID-19 alebo riešiť úzke miesta vo výrobe vakcín</w:t>
      </w:r>
      <w:r w:rsidRPr="00D43ED4">
        <w:rPr>
          <w:rStyle w:val="FootnoteReference"/>
          <w:rFonts w:ascii="Times New Roman" w:hAnsi="Times New Roman" w:cs="Times New Roman"/>
          <w:noProof/>
          <w:sz w:val="24"/>
          <w:szCs w:val="24"/>
        </w:rPr>
        <w:footnoteReference w:id="59"/>
      </w:r>
      <w:r w:rsidRPr="00D43ED4">
        <w:rPr>
          <w:rStyle w:val="s3"/>
          <w:rFonts w:ascii="Times New Roman" w:hAnsi="Times New Roman"/>
          <w:noProof/>
          <w:sz w:val="24"/>
          <w:szCs w:val="24"/>
        </w:rPr>
        <w:t>. Spoločnosti sa môžu zapojiť do dohôd o spoločnej výrobe, ak im spolupráca umožňuje kombinovať ich schopnosti v záujme uvedenia nového výrobku alebo služby. Okrem toho sa spoločnosti môžu zapojiť do dohôd o výskume a vývoji, napríklad ak kombinujú doplnkové zručnosti a aktíva, čo môže viesť k rýchlejšiemu vývoju a uvádzaniu zdokonalených alebo nových výrobkov a technológií na trh, než by tomu bolo bez nich, čím sa zabezpečí odolnosť hospodárstva EÚ.</w:t>
      </w:r>
    </w:p>
    <w:p w:rsidR="0038058D" w:rsidRPr="00D43ED4" w:rsidRDefault="008140D8" w:rsidP="00083FF1">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Prebiehajúcou revíziou </w:t>
      </w:r>
      <w:r w:rsidR="004821CC" w:rsidRPr="00AD439B">
        <w:rPr>
          <w:rStyle w:val="s3"/>
          <w:rFonts w:ascii="Times New Roman" w:hAnsi="Times New Roman"/>
          <w:b/>
          <w:noProof/>
          <w:sz w:val="24"/>
          <w:szCs w:val="24"/>
        </w:rPr>
        <w:t xml:space="preserve">nariadení </w:t>
      </w:r>
      <w:r w:rsidRPr="00AD439B">
        <w:rPr>
          <w:rStyle w:val="s3"/>
          <w:rFonts w:ascii="Times New Roman" w:hAnsi="Times New Roman"/>
          <w:b/>
          <w:noProof/>
          <w:sz w:val="24"/>
          <w:szCs w:val="24"/>
        </w:rPr>
        <w:t>o skupinových výnimkách pre horizontálne</w:t>
      </w:r>
      <w:r w:rsidRPr="00D43ED4">
        <w:rPr>
          <w:rStyle w:val="s3"/>
          <w:rFonts w:ascii="Times New Roman" w:hAnsi="Times New Roman"/>
          <w:noProof/>
          <w:sz w:val="24"/>
          <w:szCs w:val="24"/>
        </w:rPr>
        <w:t xml:space="preserve"> a</w:t>
      </w:r>
      <w:r w:rsidRPr="00AD439B">
        <w:rPr>
          <w:rStyle w:val="s3"/>
          <w:rFonts w:ascii="Times New Roman" w:hAnsi="Times New Roman"/>
          <w:b/>
          <w:noProof/>
          <w:sz w:val="24"/>
          <w:szCs w:val="24"/>
        </w:rPr>
        <w:t xml:space="preserve"> vertikálne dohody</w:t>
      </w:r>
      <w:r w:rsidR="004821CC" w:rsidRPr="00AD439B">
        <w:rPr>
          <w:rStyle w:val="s3"/>
          <w:rFonts w:ascii="Times New Roman" w:hAnsi="Times New Roman"/>
          <w:b/>
          <w:noProof/>
          <w:sz w:val="24"/>
          <w:szCs w:val="24"/>
        </w:rPr>
        <w:t xml:space="preserve"> a súvisiacich usmernení</w:t>
      </w:r>
      <w:r w:rsidRPr="00D43ED4">
        <w:rPr>
          <w:rStyle w:val="s3"/>
          <w:rFonts w:ascii="Times New Roman" w:hAnsi="Times New Roman"/>
          <w:noProof/>
          <w:sz w:val="24"/>
          <w:szCs w:val="24"/>
        </w:rPr>
        <w:t xml:space="preserve"> sa aktualizujú antitrustové nástroje na podporu takýchto dohôd podporujúcich hospodársku súťaž</w:t>
      </w:r>
      <w:r w:rsidRPr="00D43ED4">
        <w:rPr>
          <w:rStyle w:val="FootnoteReference"/>
          <w:rFonts w:ascii="Times New Roman" w:hAnsi="Times New Roman" w:cs="Times New Roman"/>
          <w:noProof/>
          <w:sz w:val="24"/>
          <w:szCs w:val="24"/>
        </w:rPr>
        <w:footnoteReference w:id="60"/>
      </w:r>
      <w:r w:rsidRPr="00D43ED4">
        <w:rPr>
          <w:rStyle w:val="s3"/>
          <w:rFonts w:ascii="Times New Roman" w:hAnsi="Times New Roman"/>
          <w:noProof/>
          <w:sz w:val="24"/>
          <w:szCs w:val="24"/>
        </w:rPr>
        <w:t xml:space="preserve">. Komisia podobne vypracovala aj </w:t>
      </w:r>
      <w:r w:rsidRPr="00AD439B">
        <w:rPr>
          <w:rStyle w:val="s3"/>
          <w:rFonts w:ascii="Times New Roman" w:hAnsi="Times New Roman"/>
          <w:b/>
          <w:noProof/>
          <w:sz w:val="24"/>
          <w:szCs w:val="24"/>
        </w:rPr>
        <w:t>program dodržiavania pravidiel hospodárskej súťaže s cieľom usmerniť vytváranie priemyselných aliancií</w:t>
      </w:r>
      <w:r w:rsidRPr="00D43ED4">
        <w:rPr>
          <w:rStyle w:val="s3"/>
          <w:rFonts w:ascii="Times New Roman" w:hAnsi="Times New Roman"/>
          <w:noProof/>
          <w:sz w:val="24"/>
          <w:szCs w:val="24"/>
        </w:rPr>
        <w:t xml:space="preserve"> v kľúčových strategických oblastiach, ako sú batérie, polovodiče, cloud a edge computing. Uľahčí sa tým užšia spolupráca a spoločné opatrenia medzi všetkými zainteresovanými partnermi, a to otvoreným a transparentným spôsobom, bez narušenia účinnej hospodárskej súťaže a s ohľadom na možný globálny rozmer.</w:t>
      </w:r>
    </w:p>
    <w:p w:rsidR="00834FBC" w:rsidRPr="00D43ED4" w:rsidRDefault="00834FBC" w:rsidP="00EA16DD">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Na dosiahnutie dostatočného rozsahu na financ</w:t>
      </w:r>
      <w:r w:rsidR="0001786F" w:rsidRPr="00D43ED4">
        <w:rPr>
          <w:rStyle w:val="s3"/>
          <w:rFonts w:ascii="Times New Roman" w:hAnsi="Times New Roman"/>
          <w:noProof/>
          <w:sz w:val="24"/>
          <w:szCs w:val="24"/>
        </w:rPr>
        <w:t>ovanie rozsiahlych výskumných a </w:t>
      </w:r>
      <w:r w:rsidRPr="00D43ED4">
        <w:rPr>
          <w:rStyle w:val="s3"/>
          <w:rFonts w:ascii="Times New Roman" w:hAnsi="Times New Roman"/>
          <w:noProof/>
          <w:sz w:val="24"/>
          <w:szCs w:val="24"/>
        </w:rPr>
        <w:t>infraštruktúrnych projektov je potrebné spojiť vere</w:t>
      </w:r>
      <w:r w:rsidR="0001786F" w:rsidRPr="00D43ED4">
        <w:rPr>
          <w:rStyle w:val="s3"/>
          <w:rFonts w:ascii="Times New Roman" w:hAnsi="Times New Roman"/>
          <w:noProof/>
          <w:sz w:val="24"/>
          <w:szCs w:val="24"/>
        </w:rPr>
        <w:t>jné a súkromné úsilie. Jedným z </w:t>
      </w:r>
      <w:r w:rsidRPr="00D43ED4">
        <w:rPr>
          <w:rStyle w:val="s3"/>
          <w:rFonts w:ascii="Times New Roman" w:hAnsi="Times New Roman"/>
          <w:noProof/>
          <w:sz w:val="24"/>
          <w:szCs w:val="24"/>
        </w:rPr>
        <w:t>dostupných nástrojov je rámec dôležitých projektov spoločného európskeho záujmu, ktorý podporuje kombinovanie vnútroštátnych finančných prostriedkov s financovaním EÚ alebo so súkromným financovaním. Komisia je napríklad pripravená umožniť spolufinancovanie prípadných dôležitých projektov spoločného európskeho zá</w:t>
      </w:r>
      <w:r w:rsidR="0001786F" w:rsidRPr="00D43ED4">
        <w:rPr>
          <w:rStyle w:val="s3"/>
          <w:rFonts w:ascii="Times New Roman" w:hAnsi="Times New Roman"/>
          <w:noProof/>
          <w:sz w:val="24"/>
          <w:szCs w:val="24"/>
        </w:rPr>
        <w:t>ujmu v oblasti zdravia z </w:t>
      </w:r>
      <w:r w:rsidRPr="00D43ED4">
        <w:rPr>
          <w:rStyle w:val="s3"/>
          <w:rFonts w:ascii="Times New Roman" w:hAnsi="Times New Roman"/>
          <w:noProof/>
          <w:sz w:val="24"/>
          <w:szCs w:val="24"/>
        </w:rPr>
        <w:t xml:space="preserve">finančných prostriedkov EÚ, ktoré môžu prispieť k dosiahnutiu cieľov EÚ v oblasti zdravia a odolnosti prostredníctvom navrhovania </w:t>
      </w:r>
      <w:r w:rsidRPr="00D43ED4">
        <w:rPr>
          <w:rFonts w:ascii="Times New Roman" w:hAnsi="Times New Roman"/>
          <w:noProof/>
          <w:sz w:val="24"/>
          <w:szCs w:val="24"/>
        </w:rPr>
        <w:t>nových generácií zdravotníckych protiopatrení alebo prelomových výrobných technológií</w:t>
      </w:r>
      <w:r w:rsidRPr="00D43ED4">
        <w:rPr>
          <w:rStyle w:val="FootnoteReference"/>
          <w:rFonts w:ascii="Times New Roman" w:hAnsi="Times New Roman" w:cs="Times New Roman"/>
          <w:noProof/>
          <w:sz w:val="24"/>
          <w:szCs w:val="24"/>
        </w:rPr>
        <w:footnoteReference w:id="61"/>
      </w:r>
      <w:r w:rsidRPr="00D43ED4">
        <w:rPr>
          <w:rStyle w:val="s3"/>
          <w:rFonts w:ascii="Times New Roman" w:hAnsi="Times New Roman"/>
          <w:noProof/>
          <w:sz w:val="24"/>
          <w:szCs w:val="24"/>
        </w:rPr>
        <w:t>.</w:t>
      </w:r>
    </w:p>
    <w:p w:rsidR="001D4618" w:rsidRPr="00D43ED4" w:rsidRDefault="001D4618" w:rsidP="001D4618">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Okrem toho v pravidlách EÚ o štátnej pomoci sa stanovuje aj niekoľko nástrojov na zabezpečenie </w:t>
      </w:r>
      <w:r w:rsidRPr="00AD439B">
        <w:rPr>
          <w:rStyle w:val="s3"/>
          <w:rFonts w:ascii="Times New Roman" w:hAnsi="Times New Roman"/>
          <w:b/>
          <w:noProof/>
          <w:sz w:val="24"/>
          <w:szCs w:val="24"/>
        </w:rPr>
        <w:t>pripravenosti a reakcie na možné budúce núdzové situácie v oblasti zdravia</w:t>
      </w:r>
      <w:r w:rsidRPr="00D43ED4">
        <w:rPr>
          <w:rStyle w:val="s3"/>
          <w:rFonts w:ascii="Times New Roman" w:hAnsi="Times New Roman"/>
          <w:noProof/>
          <w:sz w:val="24"/>
          <w:szCs w:val="24"/>
        </w:rPr>
        <w:t xml:space="preserve"> z hľadiska výrobných kapacít. Členské štáty by mohli napríklad koordinovať svoje úsili</w:t>
      </w:r>
      <w:r w:rsidR="0001786F" w:rsidRPr="00D43ED4">
        <w:rPr>
          <w:rStyle w:val="s3"/>
          <w:rFonts w:ascii="Times New Roman" w:hAnsi="Times New Roman"/>
          <w:noProof/>
          <w:sz w:val="24"/>
          <w:szCs w:val="24"/>
        </w:rPr>
        <w:t>e o </w:t>
      </w:r>
      <w:r w:rsidRPr="00D43ED4">
        <w:rPr>
          <w:rStyle w:val="s3"/>
          <w:rFonts w:ascii="Times New Roman" w:hAnsi="Times New Roman"/>
          <w:noProof/>
          <w:sz w:val="24"/>
          <w:szCs w:val="24"/>
        </w:rPr>
        <w:t>zaistenie bezpečnosti dodávok vakcín s cieľom obmedziť ri</w:t>
      </w:r>
      <w:r w:rsidR="0001786F" w:rsidRPr="00D43ED4">
        <w:rPr>
          <w:rStyle w:val="s3"/>
          <w:rFonts w:ascii="Times New Roman" w:hAnsi="Times New Roman"/>
          <w:noProof/>
          <w:sz w:val="24"/>
          <w:szCs w:val="24"/>
        </w:rPr>
        <w:t>ziko nedostatku v čase krízy, a </w:t>
      </w:r>
      <w:r w:rsidRPr="00D43ED4">
        <w:rPr>
          <w:rStyle w:val="s3"/>
          <w:rFonts w:ascii="Times New Roman" w:hAnsi="Times New Roman"/>
          <w:noProof/>
          <w:sz w:val="24"/>
          <w:szCs w:val="24"/>
        </w:rPr>
        <w:t>to v súlade s podmienkami rámca pre služby všeobecného hospodárskeho záujmu, v ktorom majú členské štáty široký priestor na voľné konanie pri vymedzovaní cieľov služieb všeobecného hospodárskeho záujmu</w:t>
      </w:r>
      <w:r w:rsidRPr="00D43ED4">
        <w:rPr>
          <w:rStyle w:val="FootnoteReference"/>
          <w:rFonts w:ascii="Times New Roman" w:hAnsi="Times New Roman" w:cs="Times New Roman"/>
          <w:noProof/>
          <w:sz w:val="24"/>
          <w:szCs w:val="24"/>
        </w:rPr>
        <w:footnoteReference w:id="62"/>
      </w:r>
      <w:r w:rsidRPr="00D43ED4">
        <w:rPr>
          <w:rStyle w:val="s3"/>
          <w:rFonts w:ascii="Times New Roman" w:hAnsi="Times New Roman"/>
          <w:noProof/>
          <w:sz w:val="24"/>
          <w:szCs w:val="24"/>
        </w:rPr>
        <w:t xml:space="preserve">. Takéto projekty by sa mohli zveriť spoločnostiam na základe celoeurópskej verejnej súťaže a mohli by doplniť úsilie EÚ o zriadenie Úradu EÚ pre pripravenosť a reakcie na núdzové zdravotné situácie (HERA). </w:t>
      </w:r>
    </w:p>
    <w:p w:rsidR="00D3004F" w:rsidRPr="00D43ED4" w:rsidRDefault="003713A7" w:rsidP="00D3004F">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V pravidlách štátnej pomoci sa uvádza aj niekoľko možností na posilnenie odolnosti </w:t>
      </w:r>
      <w:r w:rsidRPr="00AD439B">
        <w:rPr>
          <w:rStyle w:val="s3"/>
          <w:rFonts w:ascii="Times New Roman" w:hAnsi="Times New Roman"/>
          <w:b/>
          <w:noProof/>
          <w:sz w:val="24"/>
          <w:szCs w:val="24"/>
        </w:rPr>
        <w:t>sektora mikroprocesorov</w:t>
      </w:r>
      <w:r w:rsidRPr="00D43ED4">
        <w:rPr>
          <w:rStyle w:val="s3"/>
          <w:rFonts w:ascii="Times New Roman" w:hAnsi="Times New Roman"/>
          <w:noProof/>
          <w:sz w:val="24"/>
          <w:szCs w:val="24"/>
        </w:rPr>
        <w:t xml:space="preserve"> EÚ. Napríklad </w:t>
      </w:r>
      <w:r w:rsidRPr="00AD439B">
        <w:rPr>
          <w:rStyle w:val="s3"/>
          <w:rFonts w:ascii="Times New Roman" w:hAnsi="Times New Roman"/>
          <w:b/>
          <w:noProof/>
          <w:sz w:val="24"/>
          <w:szCs w:val="24"/>
        </w:rPr>
        <w:t>na základe úspechu prvého dôležitého projektu spoločného európskeho záujmu v oblasti mikroelektroniky</w:t>
      </w:r>
      <w:r w:rsidRPr="00D43ED4">
        <w:rPr>
          <w:rStyle w:val="s3"/>
          <w:rFonts w:ascii="Times New Roman" w:hAnsi="Times New Roman"/>
          <w:noProof/>
          <w:sz w:val="24"/>
          <w:szCs w:val="24"/>
        </w:rPr>
        <w:t>, ktorého cieľom bolo umožniť podporu rozvoja inovačných technológií a komponentov v oblasti mikroelektroniky a ich prvého priemyselného zavedenia</w:t>
      </w:r>
      <w:r w:rsidRPr="00D43ED4">
        <w:rPr>
          <w:rStyle w:val="FootnoteReference"/>
          <w:rFonts w:ascii="Times New Roman" w:hAnsi="Times New Roman" w:cs="Times New Roman"/>
          <w:noProof/>
          <w:sz w:val="24"/>
          <w:szCs w:val="24"/>
        </w:rPr>
        <w:footnoteReference w:id="63"/>
      </w:r>
      <w:r w:rsidRPr="00D43ED4">
        <w:rPr>
          <w:rStyle w:val="s3"/>
          <w:rFonts w:ascii="Times New Roman" w:hAnsi="Times New Roman"/>
          <w:noProof/>
          <w:sz w:val="24"/>
          <w:szCs w:val="24"/>
        </w:rPr>
        <w:t>, Komisia aktívne podporuje prebiehajúce úsilie členských štátov o navrhnutie druhého dôležitého projektu spoločného európskeho záujmu. Navyše</w:t>
      </w:r>
      <w:r w:rsidRPr="00D43ED4">
        <w:rPr>
          <w:rFonts w:ascii="Times New Roman" w:hAnsi="Times New Roman"/>
          <w:noProof/>
          <w:sz w:val="24"/>
          <w:szCs w:val="24"/>
        </w:rPr>
        <w:t xml:space="preserve"> nedávnou zmenou všeobecného nariadenia o skupinových výnimkách</w:t>
      </w:r>
      <w:r w:rsidRPr="00D43ED4">
        <w:rPr>
          <w:rStyle w:val="FootnoteReference"/>
          <w:rFonts w:ascii="Times New Roman" w:hAnsi="Times New Roman" w:cs="Times New Roman"/>
          <w:noProof/>
          <w:sz w:val="24"/>
          <w:szCs w:val="24"/>
        </w:rPr>
        <w:footnoteReference w:id="64"/>
      </w:r>
      <w:r w:rsidRPr="00D43ED4">
        <w:rPr>
          <w:rFonts w:ascii="Times New Roman" w:hAnsi="Times New Roman"/>
          <w:noProof/>
          <w:sz w:val="24"/>
          <w:szCs w:val="24"/>
        </w:rPr>
        <w:t xml:space="preserve"> Komisia zjednodušila pravidlá štátnej pomoci uplatniteľné na vnútroštátne financovanie projektov alebo finančné nástroje, ktoré patria do programu Horizont Európa, ústredného programu EÚ na financovanie výskumu a inovácie, a Programu InvestEU, ktorý je určený na mobilizáciu verejných a</w:t>
      </w:r>
      <w:r w:rsidR="0001786F" w:rsidRPr="00D43ED4">
        <w:rPr>
          <w:rFonts w:ascii="Times New Roman" w:hAnsi="Times New Roman"/>
          <w:noProof/>
          <w:sz w:val="24"/>
          <w:szCs w:val="24"/>
        </w:rPr>
        <w:t> </w:t>
      </w:r>
      <w:r w:rsidRPr="00D43ED4">
        <w:rPr>
          <w:rFonts w:ascii="Times New Roman" w:hAnsi="Times New Roman"/>
          <w:noProof/>
          <w:sz w:val="24"/>
          <w:szCs w:val="24"/>
        </w:rPr>
        <w:t>súkromných investícií na dosiahnutie cieľov politiky EÚ. Posilňujú sa tým synergie medzi politikami vnútroštátneho financovania a financovania z prostriedkov EÚ s cieľom zvýšiť budúcu konkurencieschopnosť EÚ, a to aj v oblasti polovodičov.</w:t>
      </w:r>
    </w:p>
    <w:p w:rsidR="005A4381" w:rsidRPr="00D43ED4" w:rsidRDefault="00CA351F" w:rsidP="00234899">
      <w:pPr>
        <w:spacing w:after="240" w:line="240" w:lineRule="auto"/>
        <w:jc w:val="both"/>
        <w:rPr>
          <w:noProof/>
        </w:rPr>
      </w:pPr>
      <w:r w:rsidRPr="00D43ED4">
        <w:rPr>
          <w:rStyle w:val="s3"/>
          <w:rFonts w:ascii="Times New Roman" w:hAnsi="Times New Roman"/>
          <w:noProof/>
          <w:sz w:val="24"/>
          <w:szCs w:val="24"/>
        </w:rPr>
        <w:t>V kontexte celosvetového nedostatku polovodičov bol okrem toho oznámený</w:t>
      </w:r>
      <w:r w:rsidR="0001786F" w:rsidRPr="00AD439B">
        <w:rPr>
          <w:rStyle w:val="s3"/>
          <w:rFonts w:ascii="Times New Roman" w:hAnsi="Times New Roman"/>
          <w:b/>
          <w:noProof/>
          <w:sz w:val="24"/>
          <w:szCs w:val="24"/>
        </w:rPr>
        <w:t xml:space="preserve"> európsky akt o </w:t>
      </w:r>
      <w:r w:rsidRPr="00AD439B">
        <w:rPr>
          <w:rStyle w:val="s3"/>
          <w:rFonts w:ascii="Times New Roman" w:hAnsi="Times New Roman"/>
          <w:b/>
          <w:noProof/>
          <w:sz w:val="24"/>
          <w:szCs w:val="24"/>
        </w:rPr>
        <w:t>čipoch</w:t>
      </w:r>
      <w:r w:rsidRPr="00D43ED4">
        <w:rPr>
          <w:rStyle w:val="s3"/>
          <w:rFonts w:ascii="Times New Roman" w:hAnsi="Times New Roman"/>
          <w:noProof/>
          <w:sz w:val="24"/>
          <w:szCs w:val="24"/>
        </w:rPr>
        <w:t>, ktorý odhalil mimoriadny význam tohto odvetvia v širokom spektre európskej priemyselnej stopy, od automobilového priemyslu až po zdravotnú starostlivosť. Tento význam sa v budúcnosti exponenciálne zvýši</w:t>
      </w:r>
      <w:r w:rsidRPr="00D43ED4">
        <w:rPr>
          <w:noProof/>
        </w:rPr>
        <w:t xml:space="preserve"> </w:t>
      </w:r>
      <w:r w:rsidRPr="00D43ED4">
        <w:rPr>
          <w:rStyle w:val="s3"/>
          <w:rFonts w:ascii="Times New Roman" w:hAnsi="Times New Roman"/>
          <w:noProof/>
          <w:sz w:val="24"/>
          <w:szCs w:val="24"/>
        </w:rPr>
        <w:t>vzhľadom na požiadavky na pripojiteľnosť, kybernetickú bezpečnosť a energetickú efektívnosť, keďže dvojaká transformácia sa zrýchľuje</w:t>
      </w:r>
      <w:r w:rsidRPr="00D43ED4">
        <w:rPr>
          <w:noProof/>
        </w:rPr>
        <w:t>.</w:t>
      </w:r>
      <w:r w:rsidRPr="00D43ED4">
        <w:rPr>
          <w:rStyle w:val="s3"/>
          <w:rFonts w:ascii="Times New Roman" w:hAnsi="Times New Roman"/>
          <w:noProof/>
          <w:sz w:val="24"/>
          <w:szCs w:val="24"/>
        </w:rPr>
        <w:t xml:space="preserve"> Dosiahnutie odolných a bezpečných dodávok polovodičov pre európsky priemysel je predpokladom na dosiahnutie cieľov digitálneho desaťročia a jeho cieľov do roku 2030, ktoré schválila Európska rada</w:t>
      </w:r>
      <w:r w:rsidRPr="00D43ED4">
        <w:rPr>
          <w:rStyle w:val="FootnoteReference"/>
          <w:rFonts w:ascii="Times New Roman" w:hAnsi="Times New Roman" w:cs="Times New Roman"/>
          <w:noProof/>
          <w:sz w:val="24"/>
          <w:szCs w:val="24"/>
        </w:rPr>
        <w:footnoteReference w:id="65"/>
      </w:r>
      <w:r w:rsidRPr="00D43ED4">
        <w:rPr>
          <w:rStyle w:val="s3"/>
          <w:rFonts w:ascii="Times New Roman" w:hAnsi="Times New Roman"/>
          <w:noProof/>
          <w:sz w:val="24"/>
          <w:szCs w:val="24"/>
        </w:rPr>
        <w:t>. Zároveň to odhalilo závislosť Európy od dodávok od obmedzeného počtu spoločností a geografických oblastí, ako aj jej zraniteľnosť voči vývozným obmedzeniam tretích krajín a iným narušeniam v súčasnom geopolitickom kontexte. Túto závislosť navyše ešte zhoršujú extrémne vysoké prekážky vstupu a kapitálovej náročnosti odvetvia, ako aj jeho osobitný význam pre exi</w:t>
      </w:r>
      <w:r w:rsidR="0001786F" w:rsidRPr="00D43ED4">
        <w:rPr>
          <w:rStyle w:val="s3"/>
          <w:rFonts w:ascii="Times New Roman" w:hAnsi="Times New Roman"/>
          <w:noProof/>
          <w:sz w:val="24"/>
          <w:szCs w:val="24"/>
        </w:rPr>
        <w:t>stujúce a budúce bezpečnostné a </w:t>
      </w:r>
      <w:r w:rsidRPr="00D43ED4">
        <w:rPr>
          <w:rStyle w:val="s3"/>
          <w:rFonts w:ascii="Times New Roman" w:hAnsi="Times New Roman"/>
          <w:noProof/>
          <w:sz w:val="24"/>
          <w:szCs w:val="24"/>
        </w:rPr>
        <w:t>obranné aplikácie</w:t>
      </w:r>
      <w:r w:rsidRPr="00D43ED4">
        <w:rPr>
          <w:rStyle w:val="FootnoteReference"/>
          <w:rFonts w:ascii="Times New Roman" w:hAnsi="Times New Roman" w:cs="Times New Roman"/>
          <w:noProof/>
          <w:sz w:val="24"/>
          <w:szCs w:val="24"/>
        </w:rPr>
        <w:footnoteReference w:id="66"/>
      </w:r>
      <w:r w:rsidRPr="00D43ED4">
        <w:rPr>
          <w:rStyle w:val="s3"/>
          <w:rFonts w:ascii="Times New Roman" w:hAnsi="Times New Roman"/>
          <w:noProof/>
          <w:sz w:val="24"/>
          <w:szCs w:val="24"/>
        </w:rPr>
        <w:t xml:space="preserve">. Po zvážení všetkých faktorov môže Komisia na základe článku 107 ods. 3 ZFEÚ zvážiť </w:t>
      </w:r>
      <w:r w:rsidRPr="00AD439B">
        <w:rPr>
          <w:rStyle w:val="s3"/>
          <w:rFonts w:ascii="Times New Roman" w:hAnsi="Times New Roman"/>
          <w:b/>
          <w:noProof/>
          <w:sz w:val="24"/>
          <w:szCs w:val="24"/>
        </w:rPr>
        <w:t>schválenie verejnej podpory na vyplnenie prípadných medzier vo financovaní ekosystému polovodičov, najmä pokiaľ ide o vytvorenie prvých európskych zariadení tohto druhu</w:t>
      </w:r>
      <w:r w:rsidRPr="00D43ED4">
        <w:rPr>
          <w:rStyle w:val="s3"/>
          <w:rFonts w:ascii="Times New Roman" w:hAnsi="Times New Roman"/>
          <w:noProof/>
          <w:sz w:val="24"/>
          <w:szCs w:val="24"/>
        </w:rPr>
        <w:t xml:space="preserve"> v Únii. Takáto pomoc by musela podliehať silným zárukám, aby sa zabezpečilo, že pomoc bude nevyhnutná, vhodná a primeraná, že sa minimalizujú neprimerané narušenia hospodárskej súťaže a že prínosy sa b</w:t>
      </w:r>
      <w:r w:rsidR="0001786F" w:rsidRPr="00D43ED4">
        <w:rPr>
          <w:rStyle w:val="s3"/>
          <w:rFonts w:ascii="Times New Roman" w:hAnsi="Times New Roman"/>
          <w:noProof/>
          <w:sz w:val="24"/>
          <w:szCs w:val="24"/>
        </w:rPr>
        <w:t>udú zdieľať vo veľkom rozsahu a </w:t>
      </w:r>
      <w:r w:rsidRPr="00D43ED4">
        <w:rPr>
          <w:rStyle w:val="s3"/>
          <w:rFonts w:ascii="Times New Roman" w:hAnsi="Times New Roman"/>
          <w:noProof/>
          <w:sz w:val="24"/>
          <w:szCs w:val="24"/>
        </w:rPr>
        <w:t>bez diskriminácie v celom európskom hospodárstve. Všetky prípady týkajúce sa dodávok takéhoto kritického výrobku sa musia dôkladne preskúmať na základe ich prínosov</w:t>
      </w:r>
      <w:r w:rsidRPr="00D43ED4">
        <w:rPr>
          <w:noProof/>
        </w:rPr>
        <w:t xml:space="preserve">. </w:t>
      </w:r>
    </w:p>
    <w:p w:rsidR="00D914C9" w:rsidRPr="00D43ED4" w:rsidRDefault="00C74788">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V globalizovanom svete s medzinárodnými hodnotovými reťazcami nie je európska odolnosť možná bez dobre fungujúcich </w:t>
      </w:r>
      <w:r w:rsidRPr="00AD439B">
        <w:rPr>
          <w:rStyle w:val="s3"/>
          <w:rFonts w:ascii="Times New Roman" w:hAnsi="Times New Roman"/>
          <w:b/>
          <w:noProof/>
          <w:sz w:val="24"/>
          <w:szCs w:val="24"/>
        </w:rPr>
        <w:t>multilaterálnych a bilaterálnych systémov obchodovania</w:t>
      </w:r>
      <w:r w:rsidRPr="00D43ED4">
        <w:rPr>
          <w:rStyle w:val="s3"/>
          <w:rFonts w:ascii="Times New Roman" w:hAnsi="Times New Roman"/>
          <w:noProof/>
          <w:sz w:val="24"/>
          <w:szCs w:val="24"/>
        </w:rPr>
        <w:t xml:space="preserve">. Otvorenosť jednotného trhu voči obchodu a investíciám je pre Úniu ako významného dovozcu a vývozcu silnou stránkou a zdrojom rastu a odolnosti. Rozsah a rovnaké podmienky, ktoré ponúka jednotný trh, však nemusia zabezpečiť európskym podnikom konkurencieschopnosť, ak spravodlivá hospodárska súťaž nie je zabezpečená aj na celosvetovej úrovni. Otvorenosť si vyžaduje spravodlivosť v zahraničí, ako aj doma. Komisia 5. mája 2021 navrhla nové nariadenie na riešenie rušivých účinkov </w:t>
      </w:r>
      <w:r w:rsidRPr="00AD439B">
        <w:rPr>
          <w:rStyle w:val="s3"/>
          <w:rFonts w:ascii="Times New Roman" w:hAnsi="Times New Roman"/>
          <w:b/>
          <w:noProof/>
          <w:sz w:val="24"/>
          <w:szCs w:val="24"/>
        </w:rPr>
        <w:t>zahraničných subvencií</w:t>
      </w:r>
      <w:r w:rsidRPr="00D43ED4">
        <w:rPr>
          <w:rStyle w:val="s3"/>
          <w:rFonts w:ascii="Times New Roman" w:hAnsi="Times New Roman"/>
          <w:noProof/>
          <w:sz w:val="24"/>
          <w:szCs w:val="24"/>
        </w:rPr>
        <w:t xml:space="preserve"> na jednotnom trhu</w:t>
      </w:r>
      <w:r w:rsidRPr="00D43ED4">
        <w:rPr>
          <w:rStyle w:val="FootnoteReference"/>
          <w:rFonts w:ascii="Times New Roman" w:hAnsi="Times New Roman" w:cs="Times New Roman"/>
          <w:noProof/>
          <w:sz w:val="24"/>
          <w:szCs w:val="24"/>
        </w:rPr>
        <w:footnoteReference w:id="67"/>
      </w:r>
      <w:r w:rsidRPr="00D43ED4">
        <w:rPr>
          <w:rStyle w:val="s3"/>
          <w:rFonts w:ascii="Times New Roman" w:hAnsi="Times New Roman"/>
          <w:noProof/>
          <w:sz w:val="24"/>
          <w:szCs w:val="24"/>
        </w:rPr>
        <w:t>. Jeho cieľom je vyplniť medzeru v právnych predpisoch doplnením rôznych existujúcich nástrojov jednotného trhu a hospodárskej súťaže, prispieť k tomu, aby boli európske trhy spravodlivejšie a konkurenčnejšie, a doplniť existujúce nástroje obchodnej politiky.</w:t>
      </w:r>
    </w:p>
    <w:p w:rsidR="004D3A2E" w:rsidRPr="00AD439B" w:rsidRDefault="004D3A2E">
      <w:pPr>
        <w:pStyle w:val="Heading1"/>
        <w:numPr>
          <w:ilvl w:val="0"/>
          <w:numId w:val="39"/>
        </w:numPr>
        <w:jc w:val="both"/>
        <w:rPr>
          <w:rFonts w:ascii="Times New Roman" w:hAnsi="Times New Roman"/>
          <w:noProof/>
        </w:rPr>
      </w:pPr>
      <w:r w:rsidRPr="00AD439B">
        <w:rPr>
          <w:rFonts w:ascii="Times New Roman" w:hAnsi="Times New Roman"/>
          <w:noProof/>
        </w:rPr>
        <w:t>Záver</w:t>
      </w:r>
    </w:p>
    <w:p w:rsidR="00E20756" w:rsidRPr="00AD439B" w:rsidRDefault="00947C1E">
      <w:pPr>
        <w:spacing w:line="240" w:lineRule="auto"/>
        <w:jc w:val="both"/>
        <w:rPr>
          <w:rStyle w:val="s3"/>
          <w:rFonts w:ascii="Times New Roman" w:hAnsi="Times New Roman" w:cs="Times New Roman"/>
          <w:b/>
          <w:smallCaps/>
          <w:noProof/>
          <w:sz w:val="24"/>
          <w:szCs w:val="24"/>
        </w:rPr>
      </w:pPr>
      <w:r w:rsidRPr="00D43ED4">
        <w:rPr>
          <w:rStyle w:val="s3"/>
          <w:rFonts w:ascii="Times New Roman" w:hAnsi="Times New Roman"/>
          <w:noProof/>
          <w:sz w:val="24"/>
          <w:szCs w:val="24"/>
        </w:rPr>
        <w:t>Od vytvorenia Únie zohráva politika hospodárskej súťaže ústrednú úlohu, keďže stimuluje rast, vytvára pracovné miesta a investície do technológií budúcnosti, pomáha priemyselným odvetviam Únie stať sa silnejšími a celosvetovo konkurencieschopnými a zabezpečuje, aby občania EÚ mohli v konečnom dôsledku využívať výhody vysoko konkurencieschopného sociálneho trhového hospodárstva</w:t>
      </w:r>
      <w:r w:rsidRPr="00D43ED4">
        <w:rPr>
          <w:rFonts w:ascii="Times New Roman" w:hAnsi="Times New Roman"/>
          <w:noProof/>
          <w:sz w:val="24"/>
          <w:szCs w:val="24"/>
        </w:rPr>
        <w:t>.</w:t>
      </w:r>
      <w:r w:rsidRPr="00D43ED4">
        <w:rPr>
          <w:rStyle w:val="s3"/>
          <w:rFonts w:ascii="Times New Roman" w:hAnsi="Times New Roman"/>
          <w:noProof/>
          <w:sz w:val="24"/>
          <w:szCs w:val="24"/>
        </w:rPr>
        <w:t xml:space="preserve"> Presadzovanie práva hospodárskej súťaže založené na pravidlách poskytuje právnu istotu a predvídateľnosť všetkým podnikom, ktoré sa snažia čo najlepšie využiť európsky jednotný trh. Ide o základné zásady a normy, ktoré Komisia presadzuje na celom svete.</w:t>
      </w:r>
    </w:p>
    <w:p w:rsidR="004B4EFA" w:rsidRPr="00D43ED4" w:rsidRDefault="00216DBB">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Úspech politiky hospodárskej súťaže čiastočne súvisí so stabilitou jej základných zásad, ktoré zabezpečujú spravodlivé zaobchádzanie so všetkými podnikmi</w:t>
      </w:r>
      <w:r w:rsidR="0001786F" w:rsidRPr="00D43ED4">
        <w:rPr>
          <w:rStyle w:val="s3"/>
          <w:rFonts w:ascii="Times New Roman" w:hAnsi="Times New Roman"/>
          <w:noProof/>
          <w:sz w:val="24"/>
          <w:szCs w:val="24"/>
        </w:rPr>
        <w:t xml:space="preserve"> pôsobiacimi v Európe, ako aj s </w:t>
      </w:r>
      <w:r w:rsidRPr="00D43ED4">
        <w:rPr>
          <w:rStyle w:val="s3"/>
          <w:rFonts w:ascii="Times New Roman" w:hAnsi="Times New Roman"/>
          <w:noProof/>
          <w:sz w:val="24"/>
          <w:szCs w:val="24"/>
        </w:rPr>
        <w:t xml:space="preserve">európskymi zákazníkmi a spotrebiteľmi, a čiastočne aj s jej flexibilitou, a to s inherentnou, ako aj dosiahnutou na základe systematického a pravidelného preskúmania. Nedávne skúsenosti s pandémiou sú najnovším príkladom tejto flexibility pri prijímaní opatrení. </w:t>
      </w:r>
    </w:p>
    <w:p w:rsidR="00906EB3" w:rsidRPr="00D43ED4" w:rsidRDefault="00E13663">
      <w:pPr>
        <w:spacing w:after="240" w:line="240" w:lineRule="auto"/>
        <w:jc w:val="both"/>
        <w:rPr>
          <w:rStyle w:val="s3"/>
          <w:rFonts w:ascii="Times New Roman" w:hAnsi="Times New Roman" w:cs="Times New Roman"/>
          <w:noProof/>
          <w:sz w:val="24"/>
          <w:szCs w:val="24"/>
        </w:rPr>
      </w:pPr>
      <w:r w:rsidRPr="00D43ED4">
        <w:rPr>
          <w:rStyle w:val="s3"/>
          <w:rFonts w:ascii="Times New Roman" w:hAnsi="Times New Roman"/>
          <w:noProof/>
          <w:sz w:val="24"/>
          <w:szCs w:val="24"/>
        </w:rPr>
        <w:t xml:space="preserve">Prebiehajúce rozsiahle preskúmanie rámca hospodárskej súťaže EÚ opäť poslúži na preukázanie schopnosti týchto pravidiel prispôsobiť sa kľúčovému vývoju a podporiť dôležité priority Únie, najmä Európsku zelenú dohodu, digitálnu transformáciu a odolný vnútorný trh, ako sa stanovuje v európskej priemyselnej stratégii a jej aktualizácii. Nové regulačné nástroje, ako sú napríklad akt o digitálnych trhoch a nariadenie o zahraničných subvenciách, doplnia toto preskúmanie a odstránia nedostatky v celkovom súbore nástrojov Komisie. </w:t>
      </w:r>
    </w:p>
    <w:p w:rsidR="0022469E" w:rsidRPr="00D43ED4" w:rsidRDefault="00906EB3" w:rsidP="00F371AC">
      <w:pPr>
        <w:spacing w:after="240" w:line="240" w:lineRule="auto"/>
        <w:jc w:val="both"/>
        <w:rPr>
          <w:rFonts w:ascii="Times New Roman" w:hAnsi="Times New Roman" w:cs="Times New Roman"/>
          <w:noProof/>
          <w:sz w:val="24"/>
          <w:szCs w:val="24"/>
        </w:rPr>
      </w:pPr>
      <w:r w:rsidRPr="00D43ED4">
        <w:rPr>
          <w:rStyle w:val="s3"/>
          <w:rFonts w:ascii="Times New Roman" w:hAnsi="Times New Roman"/>
          <w:noProof/>
          <w:sz w:val="24"/>
          <w:szCs w:val="24"/>
        </w:rPr>
        <w:t>V konečnom dôsledku zostáva politika hospodárskej súťaže nástrojom, ktorý slúži potrebám ľudí žijúcich v EÚ – ako spotrebiteľov, ktorí profitujú z nižších cien, širšieho dostupného výberu a vyššej kvality, tak aj pracovníkov, ktorí majú prospech z dynamického trhu práce bohatého na pracovné miesta, a vlastníkov podnikov, ktorí využívajú dostupnosť inovatívnych, rôznorodých a spoľahlivých vstupov a rovnaké podmienky.</w:t>
      </w:r>
    </w:p>
    <w:sectPr w:rsidR="0022469E" w:rsidRPr="00D43ED4" w:rsidSect="00B80EA1">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993"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2DC" w:rsidRDefault="006D72DC" w:rsidP="004D3A2E">
      <w:pPr>
        <w:spacing w:after="0" w:line="240" w:lineRule="auto"/>
      </w:pPr>
      <w:r>
        <w:separator/>
      </w:r>
    </w:p>
  </w:endnote>
  <w:endnote w:type="continuationSeparator" w:id="0">
    <w:p w:rsidR="006D72DC" w:rsidRDefault="006D72DC" w:rsidP="004D3A2E">
      <w:pPr>
        <w:spacing w:after="0" w:line="240" w:lineRule="auto"/>
      </w:pPr>
      <w:r>
        <w:continuationSeparator/>
      </w:r>
    </w:p>
  </w:endnote>
  <w:endnote w:type="continuationNotice" w:id="1">
    <w:p w:rsidR="006D72DC" w:rsidRDefault="006D72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72" w:rsidRPr="006D1872" w:rsidRDefault="006D1872" w:rsidP="006D18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D14" w:rsidRPr="006D1872" w:rsidRDefault="006D1872" w:rsidP="006D1872">
    <w:pPr>
      <w:pStyle w:val="FooterCoverPage"/>
      <w:rPr>
        <w:rFonts w:ascii="Arial" w:hAnsi="Arial" w:cs="Arial"/>
        <w:b/>
        <w:sz w:val="48"/>
      </w:rPr>
    </w:pPr>
    <w:r w:rsidRPr="006D1872">
      <w:rPr>
        <w:rFonts w:ascii="Arial" w:hAnsi="Arial" w:cs="Arial"/>
        <w:b/>
        <w:sz w:val="48"/>
      </w:rPr>
      <w:t>SK</w:t>
    </w:r>
    <w:r w:rsidRPr="006D1872">
      <w:rPr>
        <w:rFonts w:ascii="Arial" w:hAnsi="Arial" w:cs="Arial"/>
        <w:b/>
        <w:sz w:val="48"/>
      </w:rPr>
      <w:tab/>
    </w:r>
    <w:r w:rsidRPr="006D1872">
      <w:rPr>
        <w:rFonts w:ascii="Arial" w:hAnsi="Arial" w:cs="Arial"/>
        <w:b/>
        <w:sz w:val="48"/>
      </w:rPr>
      <w:tab/>
    </w:r>
    <w:r w:rsidRPr="006D1872">
      <w:tab/>
    </w:r>
    <w:r w:rsidRPr="006D1872">
      <w:rPr>
        <w:rFonts w:ascii="Arial" w:hAnsi="Arial" w:cs="Arial"/>
        <w:b/>
        <w:sz w:val="48"/>
      </w:rPr>
      <w:t>SK</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72" w:rsidRPr="006D1872" w:rsidRDefault="006D1872" w:rsidP="006D187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9D" w:rsidRDefault="009261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410305"/>
      <w:docPartObj>
        <w:docPartGallery w:val="Page Numbers (Bottom of Page)"/>
        <w:docPartUnique/>
      </w:docPartObj>
    </w:sdtPr>
    <w:sdtEndPr>
      <w:rPr>
        <w:noProof/>
      </w:rPr>
    </w:sdtEndPr>
    <w:sdtContent>
      <w:p w:rsidR="0092619D" w:rsidRDefault="0092619D">
        <w:pPr>
          <w:pStyle w:val="Footer"/>
          <w:jc w:val="center"/>
        </w:pPr>
        <w:r>
          <w:fldChar w:fldCharType="begin"/>
        </w:r>
        <w:r>
          <w:instrText xml:space="preserve"> PAGE   \* MERGEFORMAT </w:instrText>
        </w:r>
        <w:r>
          <w:fldChar w:fldCharType="separate"/>
        </w:r>
        <w:r w:rsidR="006D1872">
          <w:rPr>
            <w:noProof/>
          </w:rPr>
          <w:t>1</w:t>
        </w:r>
        <w:r>
          <w:fldChar w:fldCharType="end"/>
        </w:r>
      </w:p>
    </w:sdtContent>
  </w:sdt>
  <w:p w:rsidR="0092619D" w:rsidRPr="006001DC" w:rsidRDefault="0092619D" w:rsidP="006001D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9D" w:rsidRDefault="00926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2DC" w:rsidRDefault="006D72DC" w:rsidP="004D3A2E">
      <w:pPr>
        <w:spacing w:after="0" w:line="240" w:lineRule="auto"/>
      </w:pPr>
      <w:r>
        <w:separator/>
      </w:r>
    </w:p>
  </w:footnote>
  <w:footnote w:type="continuationSeparator" w:id="0">
    <w:p w:rsidR="006D72DC" w:rsidRDefault="006D72DC" w:rsidP="004D3A2E">
      <w:pPr>
        <w:spacing w:after="0" w:line="240" w:lineRule="auto"/>
      </w:pPr>
      <w:r>
        <w:continuationSeparator/>
      </w:r>
    </w:p>
  </w:footnote>
  <w:footnote w:type="continuationNotice" w:id="1">
    <w:p w:rsidR="006D72DC" w:rsidRDefault="006D72DC">
      <w:pPr>
        <w:spacing w:after="0" w:line="240" w:lineRule="auto"/>
      </w:pPr>
    </w:p>
  </w:footnote>
  <w:footnote w:id="2">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V roku 2020 sa celkové odhadované úspory zákazníkov, ktoré boli výsledk</w:t>
      </w:r>
      <w:r w:rsidR="0001786F">
        <w:rPr>
          <w:rFonts w:ascii="Times New Roman" w:hAnsi="Times New Roman"/>
        </w:rPr>
        <w:t>om zákazu vytvárania kartelov a </w:t>
      </w:r>
      <w:r>
        <w:rPr>
          <w:rFonts w:ascii="Times New Roman" w:hAnsi="Times New Roman"/>
        </w:rPr>
        <w:t xml:space="preserve">zásahov do fúzií, pohybovali v rozmedzí 14 – 23,3 miliardy EUR (pozri výročnú správu o činnosti GR pre hospodársku súťaž za rok 2020). V roku 2019 bolo vďaka pravidlám štátnej pomoci 51 % všetkej pomoci, ktorú poskytli členské štáty, presmerovaných na ochranu životného prostredia a úspory energie a 10 % bolo presmerovaných na výskum a vývoj. </w:t>
      </w:r>
    </w:p>
  </w:footnote>
  <w:footnote w:id="3">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C(2020) 1863 (Ú. v. EÚ C 91I, 20.3.2020, s. 1 – 9).</w:t>
      </w:r>
    </w:p>
  </w:footnote>
  <w:footnote w:id="4">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C(2020) 3200 (Ú. v. EÚ C 116I, 8.4.2020, s. 7 – 10).</w:t>
      </w:r>
    </w:p>
  </w:footnote>
  <w:footnote w:id="5">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Napr. európsky nástroj dočasnej podpory na zmiernenie rizík nezamestnanosti v núdzovej situácii (SURE), Investičná iniciatíva v reakcii na koronavírus a Investičná iniciatíva v reakcii na koronavírus Plus (CR</w:t>
      </w:r>
      <w:r w:rsidR="0001786F">
        <w:rPr>
          <w:rFonts w:ascii="Times New Roman" w:hAnsi="Times New Roman"/>
        </w:rPr>
        <w:t>II a </w:t>
      </w:r>
      <w:r>
        <w:rPr>
          <w:rFonts w:ascii="Times New Roman" w:hAnsi="Times New Roman"/>
        </w:rPr>
        <w:t xml:space="preserve">CRII+), aktivácia všeobecnej únikovej doložky Paktu stability a rastu a iniciatíva Zelené jazdné pruhy. </w:t>
      </w:r>
    </w:p>
  </w:footnote>
  <w:footnote w:id="6">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Podľa hospodárskej prognózy Komisie z jesene 2021 sa očakáva, že HDP sa v</w:t>
      </w:r>
      <w:r w:rsidR="0033221E">
        <w:rPr>
          <w:rFonts w:ascii="Times New Roman" w:hAnsi="Times New Roman"/>
        </w:rPr>
        <w:t xml:space="preserve"> EÚ zvýši v roku 2021 o 5 %</w:t>
      </w:r>
      <w:r w:rsidR="0001786F">
        <w:rPr>
          <w:rFonts w:ascii="Times New Roman" w:hAnsi="Times New Roman"/>
        </w:rPr>
        <w:t>, v </w:t>
      </w:r>
      <w:r w:rsidR="0033221E">
        <w:rPr>
          <w:rFonts w:ascii="Times New Roman" w:hAnsi="Times New Roman"/>
        </w:rPr>
        <w:t xml:space="preserve">roku 2022 o 4,3 % </w:t>
      </w:r>
      <w:r>
        <w:rPr>
          <w:rFonts w:ascii="Times New Roman" w:hAnsi="Times New Roman"/>
        </w:rPr>
        <w:t>a v roku 2023 o 2,5 %. Miera rastu v eurozóne by mala byť v rokoch 2021 a 2022 rovnaká ako v EÚ a v roku 2023 by mala dosiahnuť 2,4 %.</w:t>
      </w:r>
    </w:p>
  </w:footnote>
  <w:footnote w:id="7">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Vďaka Nástroju technickej podpory môžu členské štáty požiadať o podporu pri navrhovaní a zavádzaní reforiem a investícií okrem iného s cieľom zabezpečiť súlad s pravidlami štátnej pomoci pri vykonávaní národných plánov obnovy a odolnosti [pozri nariadenie (EÚ) 2021/240 z 10. februára 2021, ktorým sa zriaďuje Nástroj technickej podpory].</w:t>
      </w:r>
    </w:p>
  </w:footnote>
  <w:footnote w:id="8">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i/>
        </w:rPr>
        <w:t>Rising Market Power –</w:t>
      </w:r>
      <w:r w:rsidR="0033221E">
        <w:rPr>
          <w:rFonts w:ascii="Times New Roman" w:hAnsi="Times New Roman"/>
          <w:i/>
        </w:rPr>
        <w:t xml:space="preserve"> </w:t>
      </w:r>
      <w:r>
        <w:rPr>
          <w:rFonts w:ascii="Times New Roman" w:hAnsi="Times New Roman"/>
          <w:i/>
        </w:rPr>
        <w:t>A Threat to the Recovery?</w:t>
      </w:r>
      <w:r>
        <w:rPr>
          <w:rFonts w:ascii="Times New Roman" w:hAnsi="Times New Roman"/>
        </w:rPr>
        <w:t xml:space="preserve"> (Zvyšovanie trhovej sily – hrozba pre obnovu?) </w:t>
      </w:r>
      <w:r>
        <w:t>(</w:t>
      </w:r>
      <w:hyperlink r:id="rId1" w:history="1">
        <w:r w:rsidRPr="00AD439B">
          <w:rPr>
            <w:rStyle w:val="Hyperlink"/>
            <w:rFonts w:ascii="Times New Roman" w:hAnsi="Times New Roman"/>
          </w:rPr>
          <w:t>https://blogs.imf.org/2021/03/15/rising-market-power-a-threat-to-the-recovery/</w:t>
        </w:r>
      </w:hyperlink>
      <w:r>
        <w:rPr>
          <w:rFonts w:ascii="Times New Roman" w:hAnsi="Times New Roman"/>
        </w:rPr>
        <w:t xml:space="preserve">). Pozri aj oznámenie o politike hospodárskej súťaže s názvom </w:t>
      </w:r>
      <w:r>
        <w:rPr>
          <w:rFonts w:ascii="Times New Roman" w:hAnsi="Times New Roman"/>
          <w:i/>
        </w:rPr>
        <w:t>Industry concentration and competition policy</w:t>
      </w:r>
      <w:r>
        <w:rPr>
          <w:rFonts w:ascii="Times New Roman" w:hAnsi="Times New Roman"/>
        </w:rPr>
        <w:t xml:space="preserve"> (Koncentrácia priemyslu a politika hospodárskej súťaže) (https://ec.europa.eu/competition-policy/system/files/2021-11/Competition%20Policy%20Brief%20-%20Industry%20concentration%20and%20competition%20policy%202-2021.pdf).</w:t>
      </w:r>
    </w:p>
  </w:footnote>
  <w:footnote w:id="9">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Ministerské vyhlásenie G7 o digitálnom a technologickom sektore z 28. apríla 2021 (</w:t>
      </w:r>
      <w:hyperlink r:id="rId2" w:history="1">
        <w:r w:rsidRPr="00AD439B">
          <w:rPr>
            <w:rStyle w:val="Hyperlink"/>
            <w:rFonts w:ascii="Times New Roman" w:hAnsi="Times New Roman"/>
          </w:rPr>
          <w:t>https://www.gov.uk/government/publications/g7-digital-and-technology-ministerial-declaration</w:t>
        </w:r>
      </w:hyperlink>
      <w:r>
        <w:rPr>
          <w:rFonts w:ascii="Times New Roman" w:hAnsi="Times New Roman"/>
        </w:rPr>
        <w:t>) a komuniké zo samitu G7 v Carbis Bay (</w:t>
      </w:r>
      <w:hyperlink r:id="rId3" w:history="1">
        <w:r w:rsidRPr="00AD439B">
          <w:rPr>
            <w:rStyle w:val="Hyperlink"/>
            <w:rFonts w:ascii="Times New Roman" w:hAnsi="Times New Roman"/>
          </w:rPr>
          <w:t>https://www.consilium.europa.eu/media/50361/carbis-bay-g7-summit-communique.pdf</w:t>
        </w:r>
      </w:hyperlink>
      <w:r>
        <w:rPr>
          <w:rFonts w:ascii="Times New Roman" w:hAnsi="Times New Roman"/>
        </w:rPr>
        <w:t>).</w:t>
      </w:r>
    </w:p>
  </w:footnote>
  <w:footnote w:id="10">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Napríklad na základe vykonávacieho nariadenia prezidenta Spojených štátov Joea Bidena z 9. júla 2021 sa zvyšujú zdroje amerických agentúr pre hospodársku súťaž a zavádza sa nový prístup na podporu hospodárskej súťaže v celom hospodárstve USA s cieľom obmedziť silu monopolov a koncentrovaných trhov v hlavných priemyselných odvetviach (</w:t>
      </w:r>
      <w:hyperlink r:id="rId4" w:history="1">
        <w:r w:rsidRPr="00AD439B">
          <w:rPr>
            <w:rStyle w:val="Hyperlink"/>
            <w:rFonts w:ascii="Times New Roman" w:hAnsi="Times New Roman"/>
          </w:rPr>
          <w:t>https://www.whitehouse.gov/briefing-room/presidential-actions/2021/07/09/executive-order-on-promoting-competition-in-the-american-economy/</w:t>
        </w:r>
      </w:hyperlink>
      <w:r>
        <w:rPr>
          <w:rFonts w:ascii="Times New Roman" w:hAnsi="Times New Roman"/>
        </w:rPr>
        <w:t>). Pozri aj oddelenie CANARI zamerané na presadzovanie práva v digitálnej oblasti v Kanade (</w:t>
      </w:r>
      <w:hyperlink r:id="rId5" w:anchor="DigitalEnforcement" w:history="1">
        <w:r w:rsidRPr="00AD439B">
          <w:rPr>
            <w:rStyle w:val="Hyperlink"/>
            <w:rFonts w:ascii="Times New Roman" w:hAnsi="Times New Roman"/>
          </w:rPr>
          <w:t>https://www.competitionbureau.gc.ca/eic/site/cb-bc.nsf/eng/h_00018.html#DigitalEnforcement</w:t>
        </w:r>
      </w:hyperlink>
      <w:r>
        <w:rPr>
          <w:rFonts w:ascii="Times New Roman" w:hAnsi="Times New Roman"/>
        </w:rPr>
        <w:t>).</w:t>
      </w:r>
    </w:p>
  </w:footnote>
  <w:footnote w:id="11">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C(2020) 2215 z 3. apríla 2020, C(2020) 3156 z 8. mája 2020, C(2020) 4509 z 29. júna 2020, C(2020) 7127 z 13. októbra 2020 a C(2021) 564 z 28. januára 2021.</w:t>
      </w:r>
    </w:p>
  </w:footnote>
  <w:footnote w:id="12">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Týka sa to len </w:t>
      </w:r>
      <w:r>
        <w:rPr>
          <w:rStyle w:val="s3"/>
          <w:rFonts w:ascii="Times New Roman" w:hAnsi="Times New Roman"/>
        </w:rPr>
        <w:t>verejnej podpory, pri ktorej sa podľa pravidiel EÚ o štátnej pomoci vyžaduje, aby o nej bola Komisia informovaná.</w:t>
      </w:r>
    </w:p>
  </w:footnote>
  <w:footnote w:id="13">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Style w:val="s3"/>
          <w:rFonts w:ascii="Times New Roman" w:hAnsi="Times New Roman"/>
        </w:rPr>
        <w:t>Napríklad stanovením stropov pomoci na jedného príjemcu a požadovaním opatrení na riešenie narušení hospodárskej súťaže v prípade veľkých rekapitalizácií spoločností s významným vplyvom na trhu.</w:t>
      </w:r>
    </w:p>
  </w:footnote>
  <w:footnote w:id="14">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Style w:val="s3"/>
          <w:rFonts w:ascii="Times New Roman" w:hAnsi="Times New Roman"/>
        </w:rPr>
        <w:t>Na základe údajov predložených členskými štátmi</w:t>
      </w:r>
      <w:r>
        <w:rPr>
          <w:rFonts w:ascii="Times New Roman" w:hAnsi="Times New Roman"/>
        </w:rPr>
        <w:t xml:space="preserve"> sa v období od polovice</w:t>
      </w:r>
      <w:r w:rsidR="0001786F">
        <w:rPr>
          <w:rFonts w:ascii="Times New Roman" w:hAnsi="Times New Roman"/>
        </w:rPr>
        <w:t xml:space="preserve"> marca do konca decembra 2020 z </w:t>
      </w:r>
      <w:r>
        <w:rPr>
          <w:rFonts w:ascii="Times New Roman" w:hAnsi="Times New Roman"/>
        </w:rPr>
        <w:t>dovtedy schválenej pomoci vo výške 2,96 bilióna EUR v skutočnosti použilo približne 544 miliárd EUR. Na úrovni EÚ27 to predstavuje približne 3,9 % HDP EÚ. V absolútnom vyjadrení počas tohto obdobia pripadá viac ako štvrtina celkovej poskytnutej pomoci na Francúzsko (155,36 miliardy EUR</w:t>
      </w:r>
      <w:r w:rsidR="0001786F">
        <w:rPr>
          <w:rFonts w:ascii="Times New Roman" w:hAnsi="Times New Roman"/>
        </w:rPr>
        <w:t>), za ním nasleduje Taliansko s </w:t>
      </w:r>
      <w:r>
        <w:rPr>
          <w:rFonts w:ascii="Times New Roman" w:hAnsi="Times New Roman"/>
        </w:rPr>
        <w:t>19,8 % celkovej poskytnutej pomoci (107,9 miliardy EUR), Nemecko s 19,1 % celkovej poskytnutej pomoci (104,25 miliardy EUR) a Španielsko so 16,7 % (90,8 miliardy EUR). V relatívnom vyjadrení poskytlo pomoc vo výške 7,3 % v porovnaní so svojím HDP Španielsko a za ním nasledovalo Francúzsko (6,4 %). Ďalej nasledovali Taliansko (6,0 %), Grécko (4,4 %), Malta (3,9 %), Maďarsko (3,7 %), Portug</w:t>
      </w:r>
      <w:r w:rsidR="0001786F">
        <w:rPr>
          <w:rFonts w:ascii="Times New Roman" w:hAnsi="Times New Roman"/>
        </w:rPr>
        <w:t>alsko (3,6 %), Poľsko (3,6 %) a </w:t>
      </w:r>
      <w:r>
        <w:rPr>
          <w:rFonts w:ascii="Times New Roman" w:hAnsi="Times New Roman"/>
        </w:rPr>
        <w:t>Cyprus (3,5 %).</w:t>
      </w:r>
    </w:p>
  </w:footnote>
  <w:footnote w:id="15">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Style w:val="s3"/>
          <w:rFonts w:ascii="Times New Roman" w:hAnsi="Times New Roman"/>
        </w:rPr>
        <w:t>C(2021) 350 z 5. mája 2021.</w:t>
      </w:r>
    </w:p>
  </w:footnote>
  <w:footnote w:id="16">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Napríklad všeobecné nariadenie o skupinových výnimkách [C(2021) 5336, Ú. v. EÚ L 270, 29.7.2021, s. 39 – 75] výrazne uľahčuje vyplácanie pomoci vďaka tomu, že členským štátom umožňuje priamo implementovať pomoc na základe jasných a vopred stanovených kritérií bez nutnosti notifik</w:t>
      </w:r>
      <w:r w:rsidR="0001786F">
        <w:rPr>
          <w:rFonts w:ascii="Times New Roman" w:hAnsi="Times New Roman"/>
        </w:rPr>
        <w:t>ovať takéto opatrenia Komisii a </w:t>
      </w:r>
      <w:r>
        <w:rPr>
          <w:rFonts w:ascii="Times New Roman" w:hAnsi="Times New Roman"/>
        </w:rPr>
        <w:t xml:space="preserve">čakať na jej schválenie. Pomoc, na ktorú sa vzťahujú skupinové výnimky, predstavovala viac ako 96 % celkovej štátnej pomoci poskytnutej v EÚ od roku 2015. </w:t>
      </w:r>
    </w:p>
  </w:footnote>
  <w:footnote w:id="17">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Napríklad Modernizácia štátnej pomoci EÚ [COM(2012) 0209] alebo Hodnotenie procesných a jurisdikčných aspektov kontroly koncentrácií EÚ [SWD(2021) 66].</w:t>
      </w:r>
    </w:p>
  </w:footnote>
  <w:footnote w:id="18">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Napríklad smernica o náhrade škody [Ú. v. EÚ L 349, 5.12.2014, s. 1 – 19].</w:t>
      </w:r>
    </w:p>
  </w:footnote>
  <w:footnote w:id="19">
    <w:p w:rsidR="0092619D" w:rsidRPr="00AD439B" w:rsidRDefault="0092619D" w:rsidP="0033221E">
      <w:pPr>
        <w:pStyle w:val="FootnoteText"/>
        <w:ind w:left="405" w:hanging="405"/>
        <w:jc w:val="both"/>
        <w:rPr>
          <w:rFonts w:ascii="Times New Roman" w:hAnsi="Times New Roman" w:cs="Times New Roman"/>
          <w:b/>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Ú. v. ES C 372, 9.12.1997, s. 5 – 13.</w:t>
      </w:r>
      <w:r w:rsidRPr="00AD439B">
        <w:rPr>
          <w:rFonts w:ascii="Times New Roman" w:hAnsi="Times New Roman"/>
          <w:b/>
        </w:rPr>
        <w:t xml:space="preserve"> </w:t>
      </w:r>
    </w:p>
  </w:footnote>
  <w:footnote w:id="20">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Patrí medzi ne ďalšie posilnenie otvorenosti dôležitých projektov spoločného európskeho záujmu, uľahčenie účasti MSP a objasnenie kritérií na združovanie finančných prostriedk</w:t>
      </w:r>
      <w:r w:rsidR="0001786F">
        <w:rPr>
          <w:rFonts w:ascii="Times New Roman" w:hAnsi="Times New Roman"/>
        </w:rPr>
        <w:t>ov z vnútroštátnych rozpočtov a </w:t>
      </w:r>
      <w:r>
        <w:rPr>
          <w:rFonts w:ascii="Times New Roman" w:hAnsi="Times New Roman"/>
        </w:rPr>
        <w:t>programov EÚ.</w:t>
      </w:r>
    </w:p>
  </w:footnote>
  <w:footnote w:id="21">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Ú. v. EÚ L 243, 9.7.2021, s. 1 – 17.</w:t>
      </w:r>
    </w:p>
  </w:footnote>
  <w:footnote w:id="22">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Pozri návrh Komisie týkajúci sa mechanizmu kompenzácie uhlíka na hraniciach [COM(2021) 564 final], návrh revidovanej smernice o zdaňovaní energie [COM(2021) 563 final] a pripravovaný návrh o BEFIT (</w:t>
      </w:r>
      <w:r>
        <w:rPr>
          <w:rFonts w:ascii="Times New Roman" w:hAnsi="Times New Roman"/>
          <w:i/>
        </w:rPr>
        <w:t>Business in Europe: Framework for Income Taxation</w:t>
      </w:r>
      <w:r>
        <w:rPr>
          <w:rFonts w:ascii="Times New Roman" w:hAnsi="Times New Roman"/>
        </w:rPr>
        <w:t>; Podnikanie v Európe: rámec pre zdaňovanie príjmov).</w:t>
      </w:r>
    </w:p>
  </w:footnote>
  <w:footnote w:id="23">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Napr. oznámenia s názvami Stratégia „z farmy na stôl“ v záujme spravodlivého, zdravého potravinového systému šetrného k životnému prostrediu [COM(2020) 381 final]; Nový akčný plán EÚ pre obehové hospodárstvo – Za čistejšiu a konkurencieschopnejšiu Európu [COM(2020) 98]; Stratégia EÚ v oblasti biodiverzity do roku 2030 – Prinavrátenie prírody do našich životov [COM(2020) 380 final]; Cesta k zdravej planéte pre všetkých – Akčný plán EÚ: „Dosahovanie nulového znečisťovania ovzdušia, vody a pôdy“ [COM(2021) 400 final].</w:t>
      </w:r>
    </w:p>
  </w:footnote>
  <w:footnote w:id="24">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Konferencia na tému „Politika hospodárskej súťaže prispievajúca k Európskej zelenej dohode“ z februára 2021 </w:t>
      </w:r>
      <w:hyperlink r:id="rId6" w:history="1">
        <w:r w:rsidRPr="00AD439B">
          <w:rPr>
            <w:rStyle w:val="Hyperlink"/>
            <w:rFonts w:ascii="Times New Roman" w:hAnsi="Times New Roman"/>
          </w:rPr>
          <w:t>https://ec.europa.eu/competition-policy/green-gazette/conference-2021_en</w:t>
        </w:r>
      </w:hyperlink>
      <w:r>
        <w:t>.</w:t>
      </w:r>
    </w:p>
  </w:footnote>
  <w:footnote w:id="25">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V cenách z roku 2018.</w:t>
      </w:r>
    </w:p>
  </w:footnote>
  <w:footnote w:id="26">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Style w:val="s3"/>
          <w:rFonts w:ascii="Times New Roman" w:hAnsi="Times New Roman"/>
        </w:rPr>
        <w:t>Klimatickú transformáciu bude navyše podporovať aj politika súdržnosti s príspevkom vo výške najmenej 30 % z Európskeho fondu regionálneho rozvoja a 37 % z Kohézneho fondu. Fond na spravodlivú transformáciu okrem toho prispeje k riešeniu hospodárskych a sociálnych dôsledkov procesu klimatickej transformácie na najviac postihnutých územiach</w:t>
      </w:r>
      <w:r>
        <w:rPr>
          <w:rFonts w:ascii="Times New Roman" w:hAnsi="Times New Roman"/>
        </w:rPr>
        <w:t>.</w:t>
      </w:r>
    </w:p>
  </w:footnote>
  <w:footnote w:id="27">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Usmernenie o štátnej pomoci v oblasti ochrany životného prostredia a energetiky na roky 2014 – 2020, 2014/C 200/01.</w:t>
      </w:r>
    </w:p>
  </w:footnote>
  <w:footnote w:id="28">
    <w:p w:rsidR="0092619D" w:rsidRPr="0044791D" w:rsidRDefault="0092619D" w:rsidP="0033221E">
      <w:pPr>
        <w:spacing w:after="0" w:line="240" w:lineRule="auto"/>
        <w:ind w:left="405" w:hanging="405"/>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sidR="0033221E">
        <w:rPr>
          <w:rFonts w:ascii="Times New Roman" w:hAnsi="Times New Roman"/>
          <w:sz w:val="20"/>
          <w:szCs w:val="20"/>
        </w:rPr>
        <w:tab/>
      </w:r>
      <w:r>
        <w:rPr>
          <w:rFonts w:ascii="Times New Roman" w:hAnsi="Times New Roman"/>
          <w:sz w:val="20"/>
          <w:szCs w:val="20"/>
        </w:rPr>
        <w:t>Pozri podpornú štúdiu o spätnom hodnotení usmernení o štátnej pomoci v</w:t>
      </w:r>
      <w:r w:rsidR="0001786F">
        <w:rPr>
          <w:rFonts w:ascii="Times New Roman" w:hAnsi="Times New Roman"/>
          <w:sz w:val="20"/>
          <w:szCs w:val="20"/>
        </w:rPr>
        <w:t xml:space="preserve"> oblasti energetiky a životného </w:t>
      </w:r>
      <w:r>
        <w:rPr>
          <w:rFonts w:ascii="Times New Roman" w:hAnsi="Times New Roman"/>
          <w:sz w:val="20"/>
          <w:szCs w:val="20"/>
        </w:rPr>
        <w:t>prostredia, ktorá je k dispozícii na adrese:</w:t>
      </w:r>
    </w:p>
    <w:p w:rsidR="0092619D" w:rsidRPr="00932110" w:rsidRDefault="006D1872" w:rsidP="0033221E">
      <w:pPr>
        <w:pStyle w:val="FootnoteText"/>
        <w:ind w:left="405"/>
        <w:jc w:val="both"/>
        <w:rPr>
          <w:rFonts w:ascii="Times New Roman" w:hAnsi="Times New Roman" w:cs="Times New Roman"/>
        </w:rPr>
      </w:pPr>
      <w:hyperlink r:id="rId7" w:history="1">
        <w:r w:rsidR="00234899" w:rsidRPr="00AD439B">
          <w:rPr>
            <w:rStyle w:val="Hyperlink"/>
            <w:rFonts w:ascii="Times New Roman" w:hAnsi="Times New Roman"/>
          </w:rPr>
          <w:t>https://ec.europa.eu/competition-policy/document/download/69020dc0-b852-4952-9319-542637228f91_en</w:t>
        </w:r>
      </w:hyperlink>
      <w:r w:rsidR="00234899">
        <w:rPr>
          <w:rFonts w:ascii="Times New Roman" w:hAnsi="Times New Roman"/>
        </w:rPr>
        <w:t>.</w:t>
      </w:r>
    </w:p>
  </w:footnote>
  <w:footnote w:id="29">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Pozri návrh na konzultáciu: https://ec.europa.eu/competition-policy/public-consultations/2021-ceeag_en.</w:t>
      </w:r>
    </w:p>
  </w:footnote>
  <w:footnote w:id="30">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T. j. zmluvy oprávňujúce príjemcov na platbu rovnajúcu sa rozdielu medzi pevnou a referenčnou cenou.</w:t>
      </w:r>
    </w:p>
  </w:footnote>
  <w:footnote w:id="31">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To isté by platilo pre opatrenia zahŕňajúce nové investície do zemného plynu, pokiaľ členské štáty nepreukážu, že nedochádza k odkázanosti na určitého dodávateľa. Členské štáty musia okrem iného vysvetliť aj to, ako zabezpečia, aby tieto investície prispievali k dosahovaniu cieľov Únie v oblas</w:t>
      </w:r>
      <w:r w:rsidR="0001786F">
        <w:rPr>
          <w:rFonts w:ascii="Times New Roman" w:hAnsi="Times New Roman"/>
        </w:rPr>
        <w:t>ti klímy do roku 2030 a 2050, a </w:t>
      </w:r>
      <w:r>
        <w:rPr>
          <w:rFonts w:ascii="Times New Roman" w:hAnsi="Times New Roman"/>
        </w:rPr>
        <w:t>ako zamedzia odkázanosti na určitého dodávateľa v prípade využívania zemného plynu.</w:t>
      </w:r>
    </w:p>
  </w:footnote>
  <w:footnote w:id="32">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COM(2020) 789 final.</w:t>
      </w:r>
    </w:p>
  </w:footnote>
  <w:footnote w:id="33">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COM(2020) 789 final, bod 76.</w:t>
      </w:r>
    </w:p>
  </w:footnote>
  <w:footnote w:id="34">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V kontexte pandémie ochorenia COVID-19 členské štáty získali vďaka pravidlám EÚ v oblasti štátnej pomoci možnosť zachovať konkurencieschopnosť prevádzkovateľov nákladnej železničnej dopravy a komerčnej osobnej dopravy v súlade s cieľmi Európskej zelenej dohody: od začiatku pandémie Komisia schválila osem opatrení na poskytnutie pomoci železničným podnikom vo forme zníženia poplatkov za prístup na trať v celkovej výške približne 1,6 miliardy EUR schváleného rozpočtu.</w:t>
      </w:r>
    </w:p>
  </w:footnote>
  <w:footnote w:id="35">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Pozri: </w:t>
      </w:r>
      <w:hyperlink r:id="rId8" w:history="1">
        <w:r w:rsidRPr="00AD439B">
          <w:rPr>
            <w:rStyle w:val="Hyperlink"/>
            <w:rFonts w:ascii="Times New Roman" w:hAnsi="Times New Roman"/>
          </w:rPr>
          <w:t>https://ec.europa.eu/info/law/better-regulation/have-your-say/initiatives/13154-Zeleznicna-doprava-revizia-usmerneni-o-statnej-pomoci_sk</w:t>
        </w:r>
      </w:hyperlink>
      <w:r>
        <w:rPr>
          <w:rFonts w:ascii="Times New Roman" w:hAnsi="Times New Roman"/>
        </w:rPr>
        <w:t>; https://ec.europa.eu/info/law/better-regulation/have-your-say/initiatives/13153-Ekologickejsia-pozemna-doprava-zjednodusene-pravidla-statnej-pomoci-nove-splnomocnujuce-nariadenie-o-pozemnej-doprave-_sk.</w:t>
      </w:r>
    </w:p>
  </w:footnote>
  <w:footnote w:id="36">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Rozhodnutie Komisie z 9. decembra 2019 vo veciach SA.54793, SA.54801, SA.54794, SA.54806, SA.54808, SA.54796 a SA.54809 – Letné dôležité projekty spoločného európskeho záujmu v oblasti batérií a rozhodnutie Komisie z 26. januára 2021 vo veciach SA.55855, SA.55840, SA.55844, SA.55846, SA.55858, SA.55831, SA.56665, SA.55813, SA.55859, SA.55819, SA.55896 a SA.55854 – Jesenné dôležité projekty spoločného európskeho záujmu v oblasti batérií.</w:t>
      </w:r>
    </w:p>
  </w:footnote>
  <w:footnote w:id="37">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Ú. v. EÚ C 153, 29.4.2021, s. 1 – 46.</w:t>
      </w:r>
    </w:p>
  </w:footnote>
  <w:footnote w:id="38">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Pozri aj Investičný plán pre udržateľnú Európu [COM(2020) 21 final]. </w:t>
      </w:r>
    </w:p>
  </w:footnote>
  <w:footnote w:id="39">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Rozhodnutie Komisie z 8. júla 2021 vo veci AT.40178 – Automobilové emisie. Ďalším príkladom je schválenie fúzie medzi skupinou Schwarz Group a spoločnosťou Suez Waste Management zo strany Komisie pod podmienkou, že strany odpredajú príslušné aktíva na zabezpečenie toho, aby zákazníci mohli naďalej využívať služby triedenia menej znečisťujúcich ľahkých obalov (rozhodnutie zo 14. apríla 2021 vo veci M.10047).</w:t>
      </w:r>
    </w:p>
  </w:footnote>
  <w:footnote w:id="40">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Ďalšie príklady sa uvádzajú v stručnom prehľade o politike hospodárskej súťaže s názvom Politika hospodárskej súťaže na podporu zelených ambícií Európy (</w:t>
      </w:r>
      <w:hyperlink w:history="1">
        <w:r w:rsidRPr="00AD439B">
          <w:rPr>
            <w:rStyle w:val="Hyperlink"/>
            <w:rFonts w:ascii="Times New Roman" w:hAnsi="Times New Roman"/>
          </w:rPr>
          <w:t>https://op.europa.eu/en/publication-detail/-/publication/63c4944f-1698-11ec-b4fe-01aa75ed71a1</w:t>
        </w:r>
      </w:hyperlink>
      <w:r>
        <w:rPr>
          <w:rFonts w:ascii="Times New Roman" w:hAnsi="Times New Roman"/>
        </w:rPr>
        <w:t>).</w:t>
      </w:r>
    </w:p>
    <w:p w:rsidR="0092619D" w:rsidRPr="0044791D" w:rsidRDefault="0092619D" w:rsidP="0033221E">
      <w:pPr>
        <w:pStyle w:val="FootnoteText"/>
        <w:ind w:left="405"/>
        <w:jc w:val="both"/>
        <w:rPr>
          <w:rFonts w:ascii="Times New Roman" w:hAnsi="Times New Roman" w:cs="Times New Roman"/>
        </w:rPr>
      </w:pPr>
      <w:r>
        <w:rPr>
          <w:rFonts w:ascii="Times New Roman" w:hAnsi="Times New Roman"/>
        </w:rPr>
        <w:t xml:space="preserve">Podobné výhody možno zohľadniť pri posudzovaní účinkov fúzií, pokiaľ ich strany transakcie predložia a pokiaľ sú overiteľné, špecifické pre danú fúziu a prinášajú výhody spotrebiteľom. </w:t>
      </w:r>
    </w:p>
  </w:footnote>
  <w:footnote w:id="41">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Týmto ustanovením sa z uplatňovania článku 101 ZFEÚ vynímajú dohody o udržateľnosti uzatvorené medzi výrobcami a/alebo inými aktérmi z potravinového hodnotového reťazca zamerané na dosiahnutie prísnejších noriem, než aké sa vyžadujú v právnych predpisoch, pokiaľ ide o ochranu životného prostredia, predchádzanie zmene klímy, zdravie zvierat a dobré životné podmienky zvierat. Táto výnimka sa uplatňuje len vtedy, ak sú obmedzenia hospodárskej súťaže vyplývajúce z platných dohôd o udržateľnosti nevyhnutné na dosiahnutie želanej normy, t. j. neobmedzujú hospodársku súťaž viac, ako je potrebné. Výnimka poskytuje poľnohospodárom príležitosť prijať ekologickejšie postupy v poľnohospodárstve výmenou za rôzne výhody (vyššie ceny, dlhodobejšie dodávateľské vzťahy atď.).</w:t>
      </w:r>
    </w:p>
  </w:footnote>
  <w:footnote w:id="42">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COM(2021) 574 final.</w:t>
      </w:r>
    </w:p>
  </w:footnote>
  <w:footnote w:id="43">
    <w:p w:rsidR="00AE77BE"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Opatrenia na podporu výroby a distribúcie digitálneho obsahu, ako sú napríklad</w:t>
      </w:r>
      <w:r w:rsidR="0001786F">
        <w:rPr>
          <w:rFonts w:ascii="Times New Roman" w:hAnsi="Times New Roman"/>
        </w:rPr>
        <w:t xml:space="preserve"> digitálne médiá, prispievajú k </w:t>
      </w:r>
      <w:r>
        <w:rPr>
          <w:rFonts w:ascii="Times New Roman" w:hAnsi="Times New Roman"/>
        </w:rPr>
        <w:t>tomuto cieľu v rámci úsilia o podporu obnovy a digitálnej trans</w:t>
      </w:r>
      <w:r w:rsidR="0001786F">
        <w:rPr>
          <w:rFonts w:ascii="Times New Roman" w:hAnsi="Times New Roman"/>
        </w:rPr>
        <w:t>formácie spravodajských médií a </w:t>
      </w:r>
      <w:r>
        <w:rPr>
          <w:rFonts w:ascii="Times New Roman" w:hAnsi="Times New Roman"/>
        </w:rPr>
        <w:t>audiovizuálnych sektorov [pozri: COM(2020) 784 final, ako aj usmerňujúci vzor o digitalizácii spravodajských médií:</w:t>
      </w:r>
    </w:p>
    <w:p w:rsidR="0092619D" w:rsidRPr="0044791D" w:rsidRDefault="0092619D" w:rsidP="0033221E">
      <w:pPr>
        <w:pStyle w:val="FootnoteText"/>
        <w:ind w:left="405"/>
        <w:jc w:val="both"/>
        <w:rPr>
          <w:rFonts w:ascii="Times New Roman" w:hAnsi="Times New Roman" w:cs="Times New Roman"/>
        </w:rPr>
      </w:pPr>
      <w:r>
        <w:rPr>
          <w:rFonts w:ascii="Times New Roman" w:hAnsi="Times New Roman"/>
        </w:rPr>
        <w:t xml:space="preserve">https://ec.europa.eu/competition/state_aid/what_is_new/template_RFF_digitalisation_of_news_media.pdf]. </w:t>
      </w:r>
    </w:p>
  </w:footnote>
  <w:footnote w:id="44">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Príkladom takejto infraštruktúry sú cloud a mikroprocesory, v súvislosti s ktorými Komisia podporuje nadchádzajúce dôležité projekty spoločného európskeho záujmu zo strany členských štátov; pozri ďalej oddiel 3.3.</w:t>
      </w:r>
    </w:p>
  </w:footnote>
  <w:footnote w:id="45">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COM(2021) 118.</w:t>
      </w:r>
    </w:p>
  </w:footnote>
  <w:footnote w:id="46">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Napr. priaznivý postoj Komisie k úpravám spolupráce medzi spoločnosťami TIM a Vodafone v Taliansku, ktoré tieto spoločnosti vykonali a ktoré sa na prvý pohľad javili ako vhodné na zmiernenie prípadných obáv vyplývajúcich z dohôd o spoločnom využívaní siete medzi týmito dvoma mobilnými operátormi (dostupné na adrese: </w:t>
      </w:r>
      <w:hyperlink r:id="rId9" w:history="1">
        <w:r w:rsidRPr="00AD439B">
          <w:rPr>
            <w:rStyle w:val="Hyperlink"/>
            <w:rFonts w:ascii="Times New Roman" w:hAnsi="Times New Roman"/>
          </w:rPr>
          <w:t>https://ec.europa.eu/commission/presscorner/detail/en/IP_20_414</w:t>
        </w:r>
      </w:hyperlink>
      <w:r>
        <w:rPr>
          <w:rFonts w:ascii="Times New Roman" w:hAnsi="Times New Roman"/>
        </w:rPr>
        <w:t>). Pozri aj otvorenú vec AT.40305 – Spoločné využívanie siete/Česká republika, v súvislosti s ktorou Komisia začala 1. októbra 2021 test trhu so záväzkami, ktoré ponúkli spoločnosti T-Mobile CZ, CETIN a O2 CZ, s cieľom získať spätnú väzbu od všetkých zainteresovaných strán.</w:t>
      </w:r>
    </w:p>
  </w:footnote>
  <w:footnote w:id="47">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Zmobilizuje sa aj politika súdržnosti s cieľom pomôcť menej rozvinutým oblastiam riešiť zlyhanie trhu, ktoré má vplyv na digitálne investície, najmä vo vzdialených a menej rozvinutých regiónoch.</w:t>
      </w:r>
    </w:p>
  </w:footnote>
  <w:footnote w:id="48">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Ú. v. EÚ C 25/1, 26.1.2013.</w:t>
      </w:r>
    </w:p>
  </w:footnote>
  <w:footnote w:id="49">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Prechod na každú novú mobilnú generáciu je zvyčajne postupný. Očakáva sa napríklad, že prechod zo 4G siete na samostatnú 5G sieť bude na účely štátnej pomoci predstavovať náležitú zásadnú zmenu.</w:t>
      </w:r>
    </w:p>
  </w:footnote>
  <w:footnote w:id="50">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Napríklad: prebiehajúce vyšetrovania vo veciach AT.40652 – Apple – Praktiky obchodu s aplikáciami (elektronické knihy/audioknihy); AT.40670 – Google – Praktiky súvisiace s reklamnými technológiami a</w:t>
      </w:r>
      <w:r w:rsidR="0001786F">
        <w:rPr>
          <w:rFonts w:ascii="Times New Roman" w:hAnsi="Times New Roman"/>
        </w:rPr>
        <w:t> </w:t>
      </w:r>
      <w:r>
        <w:rPr>
          <w:rFonts w:ascii="Times New Roman" w:hAnsi="Times New Roman"/>
        </w:rPr>
        <w:t>údajmi; AT.40716 – Apple – Praktiky obchodu s aplikáciami; AT.40684 – Pákový efekt Facebooku;</w:t>
      </w:r>
      <w:r>
        <w:rPr>
          <w:rFonts w:ascii="Times New Roman" w:hAnsi="Times New Roman"/>
          <w:i/>
        </w:rPr>
        <w:t xml:space="preserve"> </w:t>
      </w:r>
      <w:r>
        <w:rPr>
          <w:rFonts w:ascii="Times New Roman" w:hAnsi="Times New Roman"/>
        </w:rPr>
        <w:t>AT.40703 – Amazon – Buy Box; AT.40462 – Amazon Marketplace; AT.40437 – Apple – Praktiky obchodu s aplikáciami (streamovanie hudby).</w:t>
      </w:r>
    </w:p>
  </w:footnote>
  <w:footnote w:id="51">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Rozhodnutie Komisie z 27. júna 2017 vo veci AT.39740 – Google Search (Shopping).</w:t>
      </w:r>
    </w:p>
  </w:footnote>
  <w:footnote w:id="52">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Rozhodnutie Komisie z 18. júla 2018 vo veci AT.40099 – Google Android</w:t>
      </w:r>
      <w:r>
        <w:rPr>
          <w:rFonts w:ascii="Times New Roman" w:hAnsi="Times New Roman"/>
          <w:i/>
        </w:rPr>
        <w:t>.</w:t>
      </w:r>
    </w:p>
  </w:footnote>
  <w:footnote w:id="53">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Rozhodnutie Komisie zo 6. septembra 2018 vo veci M.8788 – Apple/Shazam; rozhodnutie Komisie zo 17. decembra 2020 vo veci M.9660 – Google/Fitbit.</w:t>
      </w:r>
    </w:p>
  </w:footnote>
  <w:footnote w:id="54">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Rozhodnutie Komisie zo 6. decembra 2016 vo veci M.8124 – Microsoft/LinkedIn.</w:t>
      </w:r>
    </w:p>
  </w:footnote>
  <w:footnote w:id="55">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Rozhodnutie Komisie o dočasných opatreniach zo 16. októbra 2019 vo veci AT.40608 – Broadcom.</w:t>
      </w:r>
    </w:p>
  </w:footnote>
  <w:footnote w:id="56">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COM(2020) 842 final.</w:t>
      </w:r>
    </w:p>
  </w:footnote>
  <w:footnote w:id="57">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Oneskorené platby veľkých podnikov malým a stredným podnikom sú dôsledkom nekalých platobných praktík a asymetrií vo veľkosti podnikov, čo sa deje na úkor MSP. S </w:t>
      </w:r>
      <w:r w:rsidR="0001786F">
        <w:rPr>
          <w:rFonts w:ascii="Times New Roman" w:hAnsi="Times New Roman"/>
        </w:rPr>
        <w:t>cieľom podporiť rýchle platby v </w:t>
      </w:r>
      <w:r>
        <w:rPr>
          <w:rFonts w:ascii="Times New Roman" w:hAnsi="Times New Roman"/>
        </w:rPr>
        <w:t>podnikateľskom prostredí bude Komisia pokračovať vo vykonávaní opatrení oznámených v stratégii pre MSP, aby podporila členské štáty pri presadzovaní smernice o oneskorených platbách. Členské štáty sa môžu rozhodnúť, že pomoc poskytnú len za podmienok, ako je naprík</w:t>
      </w:r>
      <w:r w:rsidR="00AD439B">
        <w:rPr>
          <w:rFonts w:ascii="Times New Roman" w:hAnsi="Times New Roman"/>
        </w:rPr>
        <w:t>lad platobný záznam príjemcov.</w:t>
      </w:r>
    </w:p>
  </w:footnote>
  <w:footnote w:id="58">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Napríklad v decembri 2020 Komisia schválila fúziu spoločností Fiat Chrysler Automobiles a Peugeot, čo viedlo k vytvoreniu štvrtej najväčšej automobilovej skupiny na svete – Stellantis. Schválenie podliehalo nápravnému opatreniu s cieľom uľahčiť vstup nových konkurentov na trh s malými komerčnými úžitkovými vozidlami a ich rast, pričom zámerom bolo zabezpečiť, aby mali európske podniky alternatívnych dodávateľov (rozhodnutie Komisie z 21. decembra 2020 vo veci M.9730 – FCA/PSA). Podobne v marci 2021 Komisia schválila akvizíciu spoločnosti Eaton Hydraulics spoločnosťou Danfoss, ktoré sú obe poprednými svetovými dodávateľmi hydraulických komponentov používaných na výrobu hydraulických systémov pre rôzne druhy strojov. Schválenie bolo predmetom cieleného odpredaja so zámerom zabez</w:t>
      </w:r>
      <w:r w:rsidR="0001786F">
        <w:rPr>
          <w:rFonts w:ascii="Times New Roman" w:hAnsi="Times New Roman"/>
        </w:rPr>
        <w:t>pečiť, aby výrobcovia strojov v </w:t>
      </w:r>
      <w:r>
        <w:rPr>
          <w:rFonts w:ascii="Times New Roman" w:hAnsi="Times New Roman"/>
        </w:rPr>
        <w:t>dolnej časti reťazca, čo je odvetvie, v ktorom európske firmy excelujú, mohli naďalej využívať konkurenčné ceny a mali možnosť vybrať si inovatívne komponenty pre svoje výrobky (rozhodnutie Komisie z 18. marca 2021 vo veci M.9820 – Danfoss/Eaton Hydraulics).</w:t>
      </w:r>
    </w:p>
  </w:footnote>
  <w:footnote w:id="59">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Pozri poznámku pod čiarou č. 3. </w:t>
      </w:r>
    </w:p>
  </w:footnote>
  <w:footnote w:id="60">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Komisia napríklad skúma spôsoby, ako podnietiť spoločnosti k tomu, aby u</w:t>
      </w:r>
      <w:r w:rsidR="0001786F">
        <w:rPr>
          <w:rFonts w:ascii="Times New Roman" w:hAnsi="Times New Roman"/>
        </w:rPr>
        <w:t>zatvárali dohody o spolupráci v </w:t>
      </w:r>
      <w:r>
        <w:rPr>
          <w:rFonts w:ascii="Times New Roman" w:hAnsi="Times New Roman"/>
        </w:rPr>
        <w:t>oblasti výskumu a vývoja a výroby, a to tým, že im poskytuje väčšiu právnu istotu, pričom sa snaží poskytnúť dodávateľom väčšie možnosti navrhovať distribučné systémy podľa prevádzkových potrieb a zároveň zabraňuje fragmentácii jednotného trhu.</w:t>
      </w:r>
    </w:p>
  </w:footnote>
  <w:footnote w:id="61">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Pozri aj oznámenie s názvom Farmaceutická stratégia pre Európu [COM(2020) 761 final].</w:t>
      </w:r>
    </w:p>
  </w:footnote>
  <w:footnote w:id="62">
    <w:p w:rsidR="0092619D" w:rsidRPr="0044791D"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Ú. v. EÚ C 8, 11.1.2012, s. 15 – 22. Alternatívne sa môžu zohľadniť aj p</w:t>
      </w:r>
      <w:r w:rsidR="0001786F">
        <w:rPr>
          <w:rFonts w:ascii="Times New Roman" w:hAnsi="Times New Roman"/>
        </w:rPr>
        <w:t>ravidlá uvedené v rozhodnutí o </w:t>
      </w:r>
      <w:r>
        <w:rPr>
          <w:rFonts w:ascii="Times New Roman" w:hAnsi="Times New Roman"/>
        </w:rPr>
        <w:t xml:space="preserve">službách všeobecného hospodárskeho záujmu (Ú. v. EÚ L 7, 11.1.2012, s. 3 – 10), prahová hodnota </w:t>
      </w:r>
      <w:r>
        <w:rPr>
          <w:rFonts w:ascii="Times New Roman" w:hAnsi="Times New Roman"/>
          <w:i/>
        </w:rPr>
        <w:t>de minimis</w:t>
      </w:r>
      <w:r>
        <w:rPr>
          <w:rFonts w:ascii="Times New Roman" w:hAnsi="Times New Roman"/>
        </w:rPr>
        <w:t xml:space="preserve"> pre služby všeobecného hospodárskeho záujmu (Ú. v. EÚ L 114, 26.4.2012, s. 8) alebo dodržiavanie podmienok stanovených Súdnym dvorom vo veci Altmark (ECLI:EU:C:2003:415).</w:t>
      </w:r>
    </w:p>
  </w:footnote>
  <w:footnote w:id="63">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Rozhodnutie Komisie z 18. decembra 2018 vo veciach SA.46705, </w:t>
      </w:r>
      <w:r w:rsidR="0001786F">
        <w:rPr>
          <w:rFonts w:ascii="Times New Roman" w:hAnsi="Times New Roman"/>
        </w:rPr>
        <w:t>SA.46578, SA.46595 a SA.46590 a </w:t>
      </w:r>
      <w:r>
        <w:rPr>
          <w:rFonts w:ascii="Times New Roman" w:hAnsi="Times New Roman"/>
        </w:rPr>
        <w:t>rozhodnutie z 23. marca 2021 vo veci SA.56606.</w:t>
      </w:r>
    </w:p>
  </w:footnote>
  <w:footnote w:id="64">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Ú. v. EÚ L 270, 29.7.2021, s. 39 – 75. </w:t>
      </w:r>
    </w:p>
  </w:footnote>
  <w:footnote w:id="65">
    <w:p w:rsidR="0092619D" w:rsidRPr="00932110"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V oznámení o digitálnom desaťročí [COM(2021) 118 final] vyjadrila EÚ ambíciu posilniť do roku 2030 svoje postavenie vo výrobe špičkových a udržateľných polovodičov v Európe vrátane procesorov na najmenej 20 % hodnoty celosvetovej produkcie.</w:t>
      </w:r>
    </w:p>
  </w:footnote>
  <w:footnote w:id="66">
    <w:p w:rsidR="000418CF" w:rsidRPr="0044791D" w:rsidRDefault="000418CF"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 xml:space="preserve">Ďalšia analýza sa uvádza napr. v pracovnom dokumente útvarov Komisie s </w:t>
      </w:r>
      <w:r w:rsidR="0001786F">
        <w:rPr>
          <w:rFonts w:ascii="Times New Roman" w:hAnsi="Times New Roman"/>
        </w:rPr>
        <w:t>názvom Strategické závislosti a </w:t>
      </w:r>
      <w:r>
        <w:rPr>
          <w:rFonts w:ascii="Times New Roman" w:hAnsi="Times New Roman"/>
        </w:rPr>
        <w:t>kapacity [SWD(2021) 352 final].</w:t>
      </w:r>
    </w:p>
  </w:footnote>
  <w:footnote w:id="67">
    <w:p w:rsidR="0092619D" w:rsidRPr="00A24178" w:rsidRDefault="0092619D" w:rsidP="0033221E">
      <w:pPr>
        <w:pStyle w:val="FootnoteText"/>
        <w:ind w:left="405" w:hanging="40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33221E">
        <w:rPr>
          <w:rFonts w:ascii="Times New Roman" w:hAnsi="Times New Roman"/>
        </w:rPr>
        <w:tab/>
      </w:r>
      <w:r>
        <w:rPr>
          <w:rFonts w:ascii="Times New Roman" w:hAnsi="Times New Roman"/>
        </w:rPr>
        <w:t>COM(2021) 223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72" w:rsidRPr="006D1872" w:rsidRDefault="006D1872" w:rsidP="006D18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72" w:rsidRPr="006D1872" w:rsidRDefault="006D1872" w:rsidP="006D187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72" w:rsidRPr="006D1872" w:rsidRDefault="006D1872" w:rsidP="006D187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9D" w:rsidRDefault="009261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9D" w:rsidRDefault="009261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19D" w:rsidRDefault="009261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62F"/>
    <w:multiLevelType w:val="multilevel"/>
    <w:tmpl w:val="D9C294CC"/>
    <w:lvl w:ilvl="0">
      <w:start w:val="3"/>
      <w:numFmt w:val="decimal"/>
      <w:lvlText w:val="%1"/>
      <w:lvlJc w:val="left"/>
      <w:pPr>
        <w:ind w:left="360" w:hanging="360"/>
      </w:pPr>
      <w:rPr>
        <w:rFonts w:cs="Times New Roman" w:hint="default"/>
        <w:b/>
        <w:sz w:val="24"/>
      </w:rPr>
    </w:lvl>
    <w:lvl w:ilvl="1">
      <w:start w:val="3"/>
      <w:numFmt w:val="decimal"/>
      <w:lvlText w:val="%1.%2"/>
      <w:lvlJc w:val="left"/>
      <w:pPr>
        <w:ind w:left="1080" w:hanging="360"/>
      </w:pPr>
      <w:rPr>
        <w:rFonts w:cs="Times New Roman" w:hint="default"/>
        <w:b/>
        <w:sz w:val="24"/>
      </w:rPr>
    </w:lvl>
    <w:lvl w:ilvl="2">
      <w:start w:val="1"/>
      <w:numFmt w:val="decimal"/>
      <w:lvlText w:val="%1.%2.%3"/>
      <w:lvlJc w:val="left"/>
      <w:pPr>
        <w:ind w:left="2160" w:hanging="720"/>
      </w:pPr>
      <w:rPr>
        <w:rFonts w:cs="Times New Roman" w:hint="default"/>
        <w:b/>
        <w:sz w:val="24"/>
      </w:rPr>
    </w:lvl>
    <w:lvl w:ilvl="3">
      <w:start w:val="1"/>
      <w:numFmt w:val="decimal"/>
      <w:lvlText w:val="%1.%2.%3.%4"/>
      <w:lvlJc w:val="left"/>
      <w:pPr>
        <w:ind w:left="2880" w:hanging="720"/>
      </w:pPr>
      <w:rPr>
        <w:rFonts w:cs="Times New Roman" w:hint="default"/>
        <w:b/>
        <w:sz w:val="24"/>
      </w:rPr>
    </w:lvl>
    <w:lvl w:ilvl="4">
      <w:start w:val="1"/>
      <w:numFmt w:val="decimal"/>
      <w:lvlText w:val="%1.%2.%3.%4.%5"/>
      <w:lvlJc w:val="left"/>
      <w:pPr>
        <w:ind w:left="3960" w:hanging="1080"/>
      </w:pPr>
      <w:rPr>
        <w:rFonts w:cs="Times New Roman" w:hint="default"/>
        <w:b/>
        <w:sz w:val="24"/>
      </w:rPr>
    </w:lvl>
    <w:lvl w:ilvl="5">
      <w:start w:val="1"/>
      <w:numFmt w:val="decimal"/>
      <w:lvlText w:val="%1.%2.%3.%4.%5.%6"/>
      <w:lvlJc w:val="left"/>
      <w:pPr>
        <w:ind w:left="4680" w:hanging="1080"/>
      </w:pPr>
      <w:rPr>
        <w:rFonts w:cs="Times New Roman" w:hint="default"/>
        <w:b/>
        <w:sz w:val="24"/>
      </w:rPr>
    </w:lvl>
    <w:lvl w:ilvl="6">
      <w:start w:val="1"/>
      <w:numFmt w:val="decimal"/>
      <w:lvlText w:val="%1.%2.%3.%4.%5.%6.%7"/>
      <w:lvlJc w:val="left"/>
      <w:pPr>
        <w:ind w:left="5760" w:hanging="1440"/>
      </w:pPr>
      <w:rPr>
        <w:rFonts w:cs="Times New Roman" w:hint="default"/>
        <w:b/>
        <w:sz w:val="24"/>
      </w:rPr>
    </w:lvl>
    <w:lvl w:ilvl="7">
      <w:start w:val="1"/>
      <w:numFmt w:val="decimal"/>
      <w:lvlText w:val="%1.%2.%3.%4.%5.%6.%7.%8"/>
      <w:lvlJc w:val="left"/>
      <w:pPr>
        <w:ind w:left="6480" w:hanging="1440"/>
      </w:pPr>
      <w:rPr>
        <w:rFonts w:cs="Times New Roman" w:hint="default"/>
        <w:b/>
        <w:sz w:val="24"/>
      </w:rPr>
    </w:lvl>
    <w:lvl w:ilvl="8">
      <w:start w:val="1"/>
      <w:numFmt w:val="decimal"/>
      <w:lvlText w:val="%1.%2.%3.%4.%5.%6.%7.%8.%9"/>
      <w:lvlJc w:val="left"/>
      <w:pPr>
        <w:ind w:left="7200" w:hanging="1440"/>
      </w:pPr>
      <w:rPr>
        <w:rFonts w:cs="Times New Roman" w:hint="default"/>
        <w:b/>
        <w:sz w:val="24"/>
      </w:rPr>
    </w:lvl>
  </w:abstractNum>
  <w:abstractNum w:abstractNumId="1" w15:restartNumberingAfterBreak="0">
    <w:nsid w:val="00474983"/>
    <w:multiLevelType w:val="hybridMultilevel"/>
    <w:tmpl w:val="F1A611A2"/>
    <w:lvl w:ilvl="0" w:tplc="DE027F12">
      <w:start w:val="1"/>
      <w:numFmt w:val="bullet"/>
      <w:lvlText w:val="•"/>
      <w:lvlJc w:val="left"/>
      <w:pPr>
        <w:tabs>
          <w:tab w:val="num" w:pos="720"/>
        </w:tabs>
        <w:ind w:left="720" w:hanging="360"/>
      </w:pPr>
      <w:rPr>
        <w:rFonts w:ascii="Arial" w:hAnsi="Arial" w:hint="default"/>
      </w:rPr>
    </w:lvl>
    <w:lvl w:ilvl="1" w:tplc="3AE4CC1C">
      <w:start w:val="1"/>
      <w:numFmt w:val="bullet"/>
      <w:lvlText w:val="•"/>
      <w:lvlJc w:val="left"/>
      <w:pPr>
        <w:tabs>
          <w:tab w:val="num" w:pos="1440"/>
        </w:tabs>
        <w:ind w:left="1440" w:hanging="360"/>
      </w:pPr>
      <w:rPr>
        <w:rFonts w:ascii="Arial" w:hAnsi="Arial" w:hint="default"/>
      </w:rPr>
    </w:lvl>
    <w:lvl w:ilvl="2" w:tplc="0D5CFEE6" w:tentative="1">
      <w:start w:val="1"/>
      <w:numFmt w:val="bullet"/>
      <w:lvlText w:val="•"/>
      <w:lvlJc w:val="left"/>
      <w:pPr>
        <w:tabs>
          <w:tab w:val="num" w:pos="2160"/>
        </w:tabs>
        <w:ind w:left="2160" w:hanging="360"/>
      </w:pPr>
      <w:rPr>
        <w:rFonts w:ascii="Arial" w:hAnsi="Arial" w:hint="default"/>
      </w:rPr>
    </w:lvl>
    <w:lvl w:ilvl="3" w:tplc="79205448" w:tentative="1">
      <w:start w:val="1"/>
      <w:numFmt w:val="bullet"/>
      <w:lvlText w:val="•"/>
      <w:lvlJc w:val="left"/>
      <w:pPr>
        <w:tabs>
          <w:tab w:val="num" w:pos="2880"/>
        </w:tabs>
        <w:ind w:left="2880" w:hanging="360"/>
      </w:pPr>
      <w:rPr>
        <w:rFonts w:ascii="Arial" w:hAnsi="Arial" w:hint="default"/>
      </w:rPr>
    </w:lvl>
    <w:lvl w:ilvl="4" w:tplc="D8FE0466" w:tentative="1">
      <w:start w:val="1"/>
      <w:numFmt w:val="bullet"/>
      <w:lvlText w:val="•"/>
      <w:lvlJc w:val="left"/>
      <w:pPr>
        <w:tabs>
          <w:tab w:val="num" w:pos="3600"/>
        </w:tabs>
        <w:ind w:left="3600" w:hanging="360"/>
      </w:pPr>
      <w:rPr>
        <w:rFonts w:ascii="Arial" w:hAnsi="Arial" w:hint="default"/>
      </w:rPr>
    </w:lvl>
    <w:lvl w:ilvl="5" w:tplc="1ADA6FFE" w:tentative="1">
      <w:start w:val="1"/>
      <w:numFmt w:val="bullet"/>
      <w:lvlText w:val="•"/>
      <w:lvlJc w:val="left"/>
      <w:pPr>
        <w:tabs>
          <w:tab w:val="num" w:pos="4320"/>
        </w:tabs>
        <w:ind w:left="4320" w:hanging="360"/>
      </w:pPr>
      <w:rPr>
        <w:rFonts w:ascii="Arial" w:hAnsi="Arial" w:hint="default"/>
      </w:rPr>
    </w:lvl>
    <w:lvl w:ilvl="6" w:tplc="0778E49A" w:tentative="1">
      <w:start w:val="1"/>
      <w:numFmt w:val="bullet"/>
      <w:lvlText w:val="•"/>
      <w:lvlJc w:val="left"/>
      <w:pPr>
        <w:tabs>
          <w:tab w:val="num" w:pos="5040"/>
        </w:tabs>
        <w:ind w:left="5040" w:hanging="360"/>
      </w:pPr>
      <w:rPr>
        <w:rFonts w:ascii="Arial" w:hAnsi="Arial" w:hint="default"/>
      </w:rPr>
    </w:lvl>
    <w:lvl w:ilvl="7" w:tplc="99DE6B4C" w:tentative="1">
      <w:start w:val="1"/>
      <w:numFmt w:val="bullet"/>
      <w:lvlText w:val="•"/>
      <w:lvlJc w:val="left"/>
      <w:pPr>
        <w:tabs>
          <w:tab w:val="num" w:pos="5760"/>
        </w:tabs>
        <w:ind w:left="5760" w:hanging="360"/>
      </w:pPr>
      <w:rPr>
        <w:rFonts w:ascii="Arial" w:hAnsi="Arial" w:hint="default"/>
      </w:rPr>
    </w:lvl>
    <w:lvl w:ilvl="8" w:tplc="A8F073C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5D7CC4"/>
    <w:multiLevelType w:val="hybridMultilevel"/>
    <w:tmpl w:val="4112AECA"/>
    <w:lvl w:ilvl="0" w:tplc="822E9DFC">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1F25A64"/>
    <w:multiLevelType w:val="hybridMultilevel"/>
    <w:tmpl w:val="8EB41AC0"/>
    <w:lvl w:ilvl="0" w:tplc="8DCAEDA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4457FEB"/>
    <w:multiLevelType w:val="hybridMultilevel"/>
    <w:tmpl w:val="56820B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5D00CB"/>
    <w:multiLevelType w:val="hybridMultilevel"/>
    <w:tmpl w:val="CEBED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1F7430"/>
    <w:multiLevelType w:val="multilevel"/>
    <w:tmpl w:val="3E721C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2342A"/>
    <w:multiLevelType w:val="hybridMultilevel"/>
    <w:tmpl w:val="C6A672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1157782"/>
    <w:multiLevelType w:val="hybridMultilevel"/>
    <w:tmpl w:val="09E0422E"/>
    <w:lvl w:ilvl="0" w:tplc="27DC68BC">
      <w:start w:val="1"/>
      <w:numFmt w:val="upperRoman"/>
      <w:lvlText w:val="%1."/>
      <w:lvlJc w:val="left"/>
      <w:pPr>
        <w:ind w:left="2160" w:hanging="72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9" w15:restartNumberingAfterBreak="0">
    <w:nsid w:val="12A868C3"/>
    <w:multiLevelType w:val="hybridMultilevel"/>
    <w:tmpl w:val="8FA6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A6BCE"/>
    <w:multiLevelType w:val="multilevel"/>
    <w:tmpl w:val="2ACAEB36"/>
    <w:lvl w:ilvl="0">
      <w:start w:val="1"/>
      <w:numFmt w:val="decimal"/>
      <w:lvlText w:val="%1."/>
      <w:lvlJc w:val="left"/>
      <w:pPr>
        <w:ind w:left="1080" w:hanging="360"/>
      </w:pPr>
      <w:rPr>
        <w:rFonts w:hint="default"/>
        <w:b w:val="0"/>
      </w:rPr>
    </w:lvl>
    <w:lvl w:ilvl="1">
      <w:start w:val="1"/>
      <w:numFmt w:val="decimal"/>
      <w:isLgl/>
      <w:lvlText w:val="%1.%2."/>
      <w:lvlJc w:val="left"/>
      <w:pPr>
        <w:ind w:left="370" w:hanging="360"/>
      </w:pPr>
      <w:rPr>
        <w:rFonts w:hint="default"/>
        <w:b/>
      </w:rPr>
    </w:lvl>
    <w:lvl w:ilvl="2">
      <w:start w:val="1"/>
      <w:numFmt w:val="decimal"/>
      <w:isLgl/>
      <w:lvlText w:val="%1.%2.%3."/>
      <w:lvlJc w:val="left"/>
      <w:pPr>
        <w:ind w:left="730" w:hanging="720"/>
      </w:pPr>
      <w:rPr>
        <w:rFonts w:hint="default"/>
        <w:b w:val="0"/>
      </w:rPr>
    </w:lvl>
    <w:lvl w:ilvl="3">
      <w:start w:val="1"/>
      <w:numFmt w:val="decimal"/>
      <w:isLgl/>
      <w:lvlText w:val="%1.%2.%3.%4."/>
      <w:lvlJc w:val="left"/>
      <w:pPr>
        <w:ind w:left="730" w:hanging="720"/>
      </w:pPr>
      <w:rPr>
        <w:rFonts w:hint="default"/>
        <w:b w:val="0"/>
      </w:rPr>
    </w:lvl>
    <w:lvl w:ilvl="4">
      <w:start w:val="1"/>
      <w:numFmt w:val="decimal"/>
      <w:isLgl/>
      <w:lvlText w:val="%1.%2.%3.%4.%5."/>
      <w:lvlJc w:val="left"/>
      <w:pPr>
        <w:ind w:left="1090" w:hanging="1080"/>
      </w:pPr>
      <w:rPr>
        <w:rFonts w:hint="default"/>
        <w:b w:val="0"/>
      </w:rPr>
    </w:lvl>
    <w:lvl w:ilvl="5">
      <w:start w:val="1"/>
      <w:numFmt w:val="decimal"/>
      <w:isLgl/>
      <w:lvlText w:val="%1.%2.%3.%4.%5.%6."/>
      <w:lvlJc w:val="left"/>
      <w:pPr>
        <w:ind w:left="1090" w:hanging="1080"/>
      </w:pPr>
      <w:rPr>
        <w:rFonts w:hint="default"/>
        <w:b w:val="0"/>
      </w:rPr>
    </w:lvl>
    <w:lvl w:ilvl="6">
      <w:start w:val="1"/>
      <w:numFmt w:val="decimal"/>
      <w:isLgl/>
      <w:lvlText w:val="%1.%2.%3.%4.%5.%6.%7."/>
      <w:lvlJc w:val="left"/>
      <w:pPr>
        <w:ind w:left="1450" w:hanging="1440"/>
      </w:pPr>
      <w:rPr>
        <w:rFonts w:hint="default"/>
        <w:b w:val="0"/>
      </w:rPr>
    </w:lvl>
    <w:lvl w:ilvl="7">
      <w:start w:val="1"/>
      <w:numFmt w:val="decimal"/>
      <w:isLgl/>
      <w:lvlText w:val="%1.%2.%3.%4.%5.%6.%7.%8."/>
      <w:lvlJc w:val="left"/>
      <w:pPr>
        <w:ind w:left="1450" w:hanging="1440"/>
      </w:pPr>
      <w:rPr>
        <w:rFonts w:hint="default"/>
        <w:b w:val="0"/>
      </w:rPr>
    </w:lvl>
    <w:lvl w:ilvl="8">
      <w:start w:val="1"/>
      <w:numFmt w:val="decimal"/>
      <w:isLgl/>
      <w:lvlText w:val="%1.%2.%3.%4.%5.%6.%7.%8.%9."/>
      <w:lvlJc w:val="left"/>
      <w:pPr>
        <w:ind w:left="1810" w:hanging="1800"/>
      </w:pPr>
      <w:rPr>
        <w:rFonts w:hint="default"/>
        <w:b w:val="0"/>
      </w:rPr>
    </w:lvl>
  </w:abstractNum>
  <w:abstractNum w:abstractNumId="11" w15:restartNumberingAfterBreak="0">
    <w:nsid w:val="1C0F2105"/>
    <w:multiLevelType w:val="hybridMultilevel"/>
    <w:tmpl w:val="5906ACEA"/>
    <w:lvl w:ilvl="0" w:tplc="96E42A34">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EA859DB"/>
    <w:multiLevelType w:val="hybridMultilevel"/>
    <w:tmpl w:val="E3F018E2"/>
    <w:lvl w:ilvl="0" w:tplc="F07A2A5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F72C66"/>
    <w:multiLevelType w:val="hybridMultilevel"/>
    <w:tmpl w:val="635E9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55A78"/>
    <w:multiLevelType w:val="hybridMultilevel"/>
    <w:tmpl w:val="F752C43C"/>
    <w:lvl w:ilvl="0" w:tplc="93209A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D30BBA"/>
    <w:multiLevelType w:val="hybridMultilevel"/>
    <w:tmpl w:val="EFE48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75471D"/>
    <w:multiLevelType w:val="hybridMultilevel"/>
    <w:tmpl w:val="E5BE4824"/>
    <w:lvl w:ilvl="0" w:tplc="93209A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595CE0"/>
    <w:multiLevelType w:val="hybridMultilevel"/>
    <w:tmpl w:val="B45810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F017AE"/>
    <w:multiLevelType w:val="hybridMultilevel"/>
    <w:tmpl w:val="A0AA283A"/>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9" w15:restartNumberingAfterBreak="0">
    <w:nsid w:val="33451640"/>
    <w:multiLevelType w:val="hybridMultilevel"/>
    <w:tmpl w:val="3D264534"/>
    <w:lvl w:ilvl="0" w:tplc="6F708516">
      <w:numFmt w:val="bullet"/>
      <w:lvlText w:val="•"/>
      <w:lvlJc w:val="left"/>
      <w:pPr>
        <w:ind w:left="720" w:hanging="720"/>
      </w:pPr>
      <w:rPr>
        <w:rFonts w:ascii="Times New Roman" w:eastAsiaTheme="minorHAnsi"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4376EA2"/>
    <w:multiLevelType w:val="hybridMultilevel"/>
    <w:tmpl w:val="359C012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35F534D9"/>
    <w:multiLevelType w:val="hybridMultilevel"/>
    <w:tmpl w:val="9454E948"/>
    <w:lvl w:ilvl="0" w:tplc="2B06D9EA">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370C134A"/>
    <w:multiLevelType w:val="multilevel"/>
    <w:tmpl w:val="854C2FE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23" w15:restartNumberingAfterBreak="0">
    <w:nsid w:val="39D264B8"/>
    <w:multiLevelType w:val="hybridMultilevel"/>
    <w:tmpl w:val="4BA08F24"/>
    <w:lvl w:ilvl="0" w:tplc="7F7AD55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D51291"/>
    <w:multiLevelType w:val="hybridMultilevel"/>
    <w:tmpl w:val="C4884460"/>
    <w:lvl w:ilvl="0" w:tplc="8FCCFF08">
      <w:start w:val="7"/>
      <w:numFmt w:val="bullet"/>
      <w:lvlText w:val="–"/>
      <w:lvlJc w:val="left"/>
      <w:pPr>
        <w:ind w:left="720" w:hanging="360"/>
      </w:pPr>
      <w:rPr>
        <w:rFonts w:ascii="Verdana" w:eastAsia="Cambr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9C2E51"/>
    <w:multiLevelType w:val="hybridMultilevel"/>
    <w:tmpl w:val="1DFEEB92"/>
    <w:lvl w:ilvl="0" w:tplc="93209A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1057FA"/>
    <w:multiLevelType w:val="hybridMultilevel"/>
    <w:tmpl w:val="02F0F970"/>
    <w:lvl w:ilvl="0" w:tplc="C8E22EC8">
      <w:numFmt w:val="bullet"/>
      <w:lvlText w:val="-"/>
      <w:lvlJc w:val="left"/>
      <w:pPr>
        <w:ind w:left="360" w:hanging="360"/>
      </w:pPr>
      <w:rPr>
        <w:rFonts w:ascii="Times New Roman" w:eastAsiaTheme="minorHAnsi"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4BC9234D"/>
    <w:multiLevelType w:val="hybridMultilevel"/>
    <w:tmpl w:val="822C60C8"/>
    <w:lvl w:ilvl="0" w:tplc="93209A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93593"/>
    <w:multiLevelType w:val="hybridMultilevel"/>
    <w:tmpl w:val="2B1641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E5A22A5"/>
    <w:multiLevelType w:val="hybridMultilevel"/>
    <w:tmpl w:val="76507BE6"/>
    <w:lvl w:ilvl="0" w:tplc="8FCCFF08">
      <w:start w:val="7"/>
      <w:numFmt w:val="bullet"/>
      <w:lvlText w:val="–"/>
      <w:lvlJc w:val="left"/>
      <w:pPr>
        <w:ind w:left="720" w:hanging="360"/>
      </w:pPr>
      <w:rPr>
        <w:rFonts w:ascii="Verdana" w:eastAsia="Cambri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83B5E"/>
    <w:multiLevelType w:val="hybridMultilevel"/>
    <w:tmpl w:val="C12080C2"/>
    <w:lvl w:ilvl="0" w:tplc="080C0001">
      <w:start w:val="1"/>
      <w:numFmt w:val="bullet"/>
      <w:lvlText w:val=""/>
      <w:lvlJc w:val="left"/>
      <w:pPr>
        <w:ind w:left="1800" w:hanging="360"/>
      </w:pPr>
      <w:rPr>
        <w:rFonts w:ascii="Symbol" w:hAnsi="Symbol" w:hint="default"/>
      </w:rPr>
    </w:lvl>
    <w:lvl w:ilvl="1" w:tplc="080C0003">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1" w15:restartNumberingAfterBreak="0">
    <w:nsid w:val="527D3BC2"/>
    <w:multiLevelType w:val="hybridMultilevel"/>
    <w:tmpl w:val="1EF059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2A68FC"/>
    <w:multiLevelType w:val="hybridMultilevel"/>
    <w:tmpl w:val="BF28F708"/>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33" w15:restartNumberingAfterBreak="0">
    <w:nsid w:val="59CD5B1F"/>
    <w:multiLevelType w:val="hybridMultilevel"/>
    <w:tmpl w:val="7EF041F4"/>
    <w:lvl w:ilvl="0" w:tplc="B07C15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0519B6"/>
    <w:multiLevelType w:val="hybridMultilevel"/>
    <w:tmpl w:val="67B4F3AA"/>
    <w:lvl w:ilvl="0" w:tplc="080C0001">
      <w:start w:val="1"/>
      <w:numFmt w:val="bullet"/>
      <w:lvlText w:val=""/>
      <w:lvlJc w:val="left"/>
      <w:pPr>
        <w:ind w:left="1440" w:hanging="360"/>
      </w:pPr>
      <w:rPr>
        <w:rFonts w:ascii="Symbol" w:hAnsi="Symbol" w:hint="default"/>
      </w:rPr>
    </w:lvl>
    <w:lvl w:ilvl="1" w:tplc="080C0003">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5" w15:restartNumberingAfterBreak="0">
    <w:nsid w:val="5E930555"/>
    <w:multiLevelType w:val="hybridMultilevel"/>
    <w:tmpl w:val="7E6EE13A"/>
    <w:lvl w:ilvl="0" w:tplc="27DC68BC">
      <w:start w:val="1"/>
      <w:numFmt w:val="upperRoman"/>
      <w:lvlText w:val="%1."/>
      <w:lvlJc w:val="left"/>
      <w:pPr>
        <w:ind w:left="1440" w:hanging="72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6" w15:restartNumberingAfterBreak="0">
    <w:nsid w:val="5EDE43F4"/>
    <w:multiLevelType w:val="hybridMultilevel"/>
    <w:tmpl w:val="57B40016"/>
    <w:lvl w:ilvl="0" w:tplc="C0088F3E">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F8C3B69"/>
    <w:multiLevelType w:val="multilevel"/>
    <w:tmpl w:val="D95E7120"/>
    <w:lvl w:ilvl="0">
      <w:start w:val="1"/>
      <w:numFmt w:val="decimal"/>
      <w:lvlRestart w:val="0"/>
      <w:lvlText w:val="(%1)"/>
      <w:lvlJc w:val="left"/>
      <w:pPr>
        <w:tabs>
          <w:tab w:val="num" w:pos="1135"/>
        </w:tabs>
        <w:ind w:left="1135" w:hanging="709"/>
      </w:pPr>
      <w:rPr>
        <w:rFonts w:cs="Times New Roman" w:hint="default"/>
        <w:b w:val="0"/>
        <w:i w:val="0"/>
        <w:sz w:val="24"/>
        <w:szCs w:val="24"/>
      </w:rPr>
    </w:lvl>
    <w:lvl w:ilvl="1">
      <w:start w:val="1"/>
      <w:numFmt w:val="lowerLetter"/>
      <w:lvlText w:val="(%2)"/>
      <w:lvlJc w:val="left"/>
      <w:pPr>
        <w:tabs>
          <w:tab w:val="num" w:pos="1843"/>
        </w:tabs>
        <w:ind w:left="1843" w:hanging="708"/>
      </w:pPr>
      <w:rPr>
        <w:rFonts w:ascii="Times New Roman" w:hAnsi="Times New Roman" w:cs="Times New Roman" w:hint="default"/>
        <w:i w:val="0"/>
        <w:sz w:val="24"/>
        <w:szCs w:val="24"/>
      </w:rPr>
    </w:lvl>
    <w:lvl w:ilvl="2">
      <w:start w:val="1"/>
      <w:numFmt w:val="bullet"/>
      <w:lvlText w:val="–"/>
      <w:lvlJc w:val="left"/>
      <w:pPr>
        <w:tabs>
          <w:tab w:val="num" w:pos="2584"/>
        </w:tabs>
        <w:ind w:left="2584" w:hanging="709"/>
      </w:pPr>
      <w:rPr>
        <w:rFonts w:ascii="Times New Roman" w:hAnsi="Times New Roman" w:hint="default"/>
      </w:rPr>
    </w:lvl>
    <w:lvl w:ilvl="3">
      <w:start w:val="1"/>
      <w:numFmt w:val="bullet"/>
      <w:lvlText w:val=""/>
      <w:lvlJc w:val="left"/>
      <w:pPr>
        <w:tabs>
          <w:tab w:val="num" w:pos="3293"/>
        </w:tabs>
        <w:ind w:left="3293" w:hanging="709"/>
      </w:pPr>
      <w:rPr>
        <w:rFonts w:ascii="Symbol" w:hAnsi="Symbol" w:hint="default"/>
      </w:rPr>
    </w:lvl>
    <w:lvl w:ilvl="4">
      <w:start w:val="1"/>
      <w:numFmt w:val="lowerLetter"/>
      <w:lvlText w:val="(%5)"/>
      <w:lvlJc w:val="left"/>
      <w:pPr>
        <w:tabs>
          <w:tab w:val="num" w:pos="2258"/>
        </w:tabs>
        <w:ind w:left="2258" w:hanging="360"/>
      </w:pPr>
      <w:rPr>
        <w:rFonts w:cs="Times New Roman" w:hint="default"/>
      </w:rPr>
    </w:lvl>
    <w:lvl w:ilvl="5">
      <w:start w:val="1"/>
      <w:numFmt w:val="lowerRoman"/>
      <w:lvlText w:val="(%6)"/>
      <w:lvlJc w:val="left"/>
      <w:pPr>
        <w:tabs>
          <w:tab w:val="num" w:pos="2618"/>
        </w:tabs>
        <w:ind w:left="2618" w:hanging="360"/>
      </w:pPr>
      <w:rPr>
        <w:rFonts w:cs="Times New Roman" w:hint="default"/>
      </w:rPr>
    </w:lvl>
    <w:lvl w:ilvl="6">
      <w:start w:val="1"/>
      <w:numFmt w:val="decimal"/>
      <w:lvlText w:val="%7."/>
      <w:lvlJc w:val="left"/>
      <w:pPr>
        <w:tabs>
          <w:tab w:val="num" w:pos="2978"/>
        </w:tabs>
        <w:ind w:left="2978" w:hanging="360"/>
      </w:pPr>
      <w:rPr>
        <w:rFonts w:cs="Times New Roman" w:hint="default"/>
        <w:b w:val="0"/>
      </w:rPr>
    </w:lvl>
    <w:lvl w:ilvl="7">
      <w:start w:val="1"/>
      <w:numFmt w:val="lowerLetter"/>
      <w:lvlText w:val="%8."/>
      <w:lvlJc w:val="left"/>
      <w:pPr>
        <w:tabs>
          <w:tab w:val="num" w:pos="3338"/>
        </w:tabs>
        <w:ind w:left="3338" w:hanging="360"/>
      </w:pPr>
      <w:rPr>
        <w:rFonts w:cs="Times New Roman" w:hint="default"/>
      </w:rPr>
    </w:lvl>
    <w:lvl w:ilvl="8">
      <w:start w:val="1"/>
      <w:numFmt w:val="lowerRoman"/>
      <w:lvlText w:val="%9."/>
      <w:lvlJc w:val="left"/>
      <w:pPr>
        <w:tabs>
          <w:tab w:val="num" w:pos="3698"/>
        </w:tabs>
        <w:ind w:left="3698" w:hanging="360"/>
      </w:pPr>
      <w:rPr>
        <w:rFonts w:cs="Times New Roman" w:hint="default"/>
      </w:rPr>
    </w:lvl>
  </w:abstractNum>
  <w:abstractNum w:abstractNumId="38" w15:restartNumberingAfterBreak="0">
    <w:nsid w:val="60A1494C"/>
    <w:multiLevelType w:val="hybridMultilevel"/>
    <w:tmpl w:val="70087E8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9D60526"/>
    <w:multiLevelType w:val="hybridMultilevel"/>
    <w:tmpl w:val="33D021F8"/>
    <w:lvl w:ilvl="0" w:tplc="93209A9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C81DAB"/>
    <w:multiLevelType w:val="hybridMultilevel"/>
    <w:tmpl w:val="A84AC9D6"/>
    <w:lvl w:ilvl="0" w:tplc="93209A9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8C0C0F"/>
    <w:multiLevelType w:val="hybridMultilevel"/>
    <w:tmpl w:val="2FBA5176"/>
    <w:lvl w:ilvl="0" w:tplc="71E25E0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080AAF"/>
    <w:multiLevelType w:val="hybridMultilevel"/>
    <w:tmpl w:val="FE5E24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724647ED"/>
    <w:multiLevelType w:val="multilevel"/>
    <w:tmpl w:val="39C493FC"/>
    <w:lvl w:ilvl="0">
      <w:start w:val="3"/>
      <w:numFmt w:val="decimal"/>
      <w:lvlText w:val="%1"/>
      <w:lvlJc w:val="left"/>
      <w:pPr>
        <w:ind w:left="360" w:hanging="360"/>
      </w:pPr>
      <w:rPr>
        <w:rFonts w:cs="Times New Roman" w:hint="default"/>
        <w:b/>
        <w:sz w:val="24"/>
      </w:rPr>
    </w:lvl>
    <w:lvl w:ilvl="1">
      <w:start w:val="1"/>
      <w:numFmt w:val="decimal"/>
      <w:lvlText w:val="%1.%2"/>
      <w:lvlJc w:val="left"/>
      <w:pPr>
        <w:ind w:left="1080" w:hanging="360"/>
      </w:pPr>
      <w:rPr>
        <w:rFonts w:cs="Times New Roman" w:hint="default"/>
        <w:b/>
        <w:sz w:val="24"/>
      </w:rPr>
    </w:lvl>
    <w:lvl w:ilvl="2">
      <w:start w:val="1"/>
      <w:numFmt w:val="decimal"/>
      <w:lvlText w:val="%1.%2.%3"/>
      <w:lvlJc w:val="left"/>
      <w:pPr>
        <w:ind w:left="2160" w:hanging="720"/>
      </w:pPr>
      <w:rPr>
        <w:rFonts w:cs="Times New Roman" w:hint="default"/>
        <w:b/>
        <w:sz w:val="24"/>
      </w:rPr>
    </w:lvl>
    <w:lvl w:ilvl="3">
      <w:start w:val="1"/>
      <w:numFmt w:val="decimal"/>
      <w:lvlText w:val="%1.%2.%3.%4"/>
      <w:lvlJc w:val="left"/>
      <w:pPr>
        <w:ind w:left="2880" w:hanging="720"/>
      </w:pPr>
      <w:rPr>
        <w:rFonts w:cs="Times New Roman" w:hint="default"/>
        <w:b/>
        <w:sz w:val="24"/>
      </w:rPr>
    </w:lvl>
    <w:lvl w:ilvl="4">
      <w:start w:val="1"/>
      <w:numFmt w:val="decimal"/>
      <w:lvlText w:val="%1.%2.%3.%4.%5"/>
      <w:lvlJc w:val="left"/>
      <w:pPr>
        <w:ind w:left="3960" w:hanging="1080"/>
      </w:pPr>
      <w:rPr>
        <w:rFonts w:cs="Times New Roman" w:hint="default"/>
        <w:b/>
        <w:sz w:val="24"/>
      </w:rPr>
    </w:lvl>
    <w:lvl w:ilvl="5">
      <w:start w:val="1"/>
      <w:numFmt w:val="decimal"/>
      <w:lvlText w:val="%1.%2.%3.%4.%5.%6"/>
      <w:lvlJc w:val="left"/>
      <w:pPr>
        <w:ind w:left="4680" w:hanging="1080"/>
      </w:pPr>
      <w:rPr>
        <w:rFonts w:cs="Times New Roman" w:hint="default"/>
        <w:b/>
        <w:sz w:val="24"/>
      </w:rPr>
    </w:lvl>
    <w:lvl w:ilvl="6">
      <w:start w:val="1"/>
      <w:numFmt w:val="decimal"/>
      <w:lvlText w:val="%1.%2.%3.%4.%5.%6.%7"/>
      <w:lvlJc w:val="left"/>
      <w:pPr>
        <w:ind w:left="5760" w:hanging="1440"/>
      </w:pPr>
      <w:rPr>
        <w:rFonts w:cs="Times New Roman" w:hint="default"/>
        <w:b/>
        <w:sz w:val="24"/>
      </w:rPr>
    </w:lvl>
    <w:lvl w:ilvl="7">
      <w:start w:val="1"/>
      <w:numFmt w:val="decimal"/>
      <w:lvlText w:val="%1.%2.%3.%4.%5.%6.%7.%8"/>
      <w:lvlJc w:val="left"/>
      <w:pPr>
        <w:ind w:left="6480" w:hanging="1440"/>
      </w:pPr>
      <w:rPr>
        <w:rFonts w:cs="Times New Roman" w:hint="default"/>
        <w:b/>
        <w:sz w:val="24"/>
      </w:rPr>
    </w:lvl>
    <w:lvl w:ilvl="8">
      <w:start w:val="1"/>
      <w:numFmt w:val="decimal"/>
      <w:lvlText w:val="%1.%2.%3.%4.%5.%6.%7.%8.%9"/>
      <w:lvlJc w:val="left"/>
      <w:pPr>
        <w:ind w:left="7200" w:hanging="1440"/>
      </w:pPr>
      <w:rPr>
        <w:rFonts w:cs="Times New Roman" w:hint="default"/>
        <w:b/>
        <w:sz w:val="24"/>
      </w:rPr>
    </w:lvl>
  </w:abstractNum>
  <w:abstractNum w:abstractNumId="44" w15:restartNumberingAfterBreak="0">
    <w:nsid w:val="76A97A24"/>
    <w:multiLevelType w:val="hybridMultilevel"/>
    <w:tmpl w:val="37CAB7C6"/>
    <w:lvl w:ilvl="0" w:tplc="C0088F3E">
      <w:start w:val="1"/>
      <w:numFmt w:val="bullet"/>
      <w:lvlText w:val=""/>
      <w:lvlJc w:val="left"/>
      <w:pPr>
        <w:ind w:left="502" w:hanging="360"/>
      </w:pPr>
      <w:rPr>
        <w:rFonts w:ascii="Symbol" w:hAnsi="Symbol" w:hint="default"/>
      </w:rPr>
    </w:lvl>
    <w:lvl w:ilvl="1" w:tplc="18090003" w:tentative="1">
      <w:start w:val="1"/>
      <w:numFmt w:val="bullet"/>
      <w:lvlText w:val="o"/>
      <w:lvlJc w:val="left"/>
      <w:pPr>
        <w:ind w:left="1222" w:hanging="360"/>
      </w:pPr>
      <w:rPr>
        <w:rFonts w:ascii="Courier New" w:hAnsi="Courier New" w:cs="Courier New" w:hint="default"/>
      </w:rPr>
    </w:lvl>
    <w:lvl w:ilvl="2" w:tplc="18090005" w:tentative="1">
      <w:start w:val="1"/>
      <w:numFmt w:val="bullet"/>
      <w:lvlText w:val=""/>
      <w:lvlJc w:val="left"/>
      <w:pPr>
        <w:ind w:left="1942" w:hanging="360"/>
      </w:pPr>
      <w:rPr>
        <w:rFonts w:ascii="Wingdings" w:hAnsi="Wingdings" w:hint="default"/>
      </w:rPr>
    </w:lvl>
    <w:lvl w:ilvl="3" w:tplc="18090001" w:tentative="1">
      <w:start w:val="1"/>
      <w:numFmt w:val="bullet"/>
      <w:lvlText w:val=""/>
      <w:lvlJc w:val="left"/>
      <w:pPr>
        <w:ind w:left="2662" w:hanging="360"/>
      </w:pPr>
      <w:rPr>
        <w:rFonts w:ascii="Symbol" w:hAnsi="Symbol" w:hint="default"/>
      </w:rPr>
    </w:lvl>
    <w:lvl w:ilvl="4" w:tplc="18090003" w:tentative="1">
      <w:start w:val="1"/>
      <w:numFmt w:val="bullet"/>
      <w:lvlText w:val="o"/>
      <w:lvlJc w:val="left"/>
      <w:pPr>
        <w:ind w:left="3382" w:hanging="360"/>
      </w:pPr>
      <w:rPr>
        <w:rFonts w:ascii="Courier New" w:hAnsi="Courier New" w:cs="Courier New" w:hint="default"/>
      </w:rPr>
    </w:lvl>
    <w:lvl w:ilvl="5" w:tplc="18090005" w:tentative="1">
      <w:start w:val="1"/>
      <w:numFmt w:val="bullet"/>
      <w:lvlText w:val=""/>
      <w:lvlJc w:val="left"/>
      <w:pPr>
        <w:ind w:left="4102" w:hanging="360"/>
      </w:pPr>
      <w:rPr>
        <w:rFonts w:ascii="Wingdings" w:hAnsi="Wingdings" w:hint="default"/>
      </w:rPr>
    </w:lvl>
    <w:lvl w:ilvl="6" w:tplc="18090001" w:tentative="1">
      <w:start w:val="1"/>
      <w:numFmt w:val="bullet"/>
      <w:lvlText w:val=""/>
      <w:lvlJc w:val="left"/>
      <w:pPr>
        <w:ind w:left="4822" w:hanging="360"/>
      </w:pPr>
      <w:rPr>
        <w:rFonts w:ascii="Symbol" w:hAnsi="Symbol" w:hint="default"/>
      </w:rPr>
    </w:lvl>
    <w:lvl w:ilvl="7" w:tplc="18090003" w:tentative="1">
      <w:start w:val="1"/>
      <w:numFmt w:val="bullet"/>
      <w:lvlText w:val="o"/>
      <w:lvlJc w:val="left"/>
      <w:pPr>
        <w:ind w:left="5542" w:hanging="360"/>
      </w:pPr>
      <w:rPr>
        <w:rFonts w:ascii="Courier New" w:hAnsi="Courier New" w:cs="Courier New" w:hint="default"/>
      </w:rPr>
    </w:lvl>
    <w:lvl w:ilvl="8" w:tplc="18090005" w:tentative="1">
      <w:start w:val="1"/>
      <w:numFmt w:val="bullet"/>
      <w:lvlText w:val=""/>
      <w:lvlJc w:val="left"/>
      <w:pPr>
        <w:ind w:left="6262" w:hanging="360"/>
      </w:pPr>
      <w:rPr>
        <w:rFonts w:ascii="Wingdings" w:hAnsi="Wingdings" w:hint="default"/>
      </w:rPr>
    </w:lvl>
  </w:abstractNum>
  <w:abstractNum w:abstractNumId="45" w15:restartNumberingAfterBreak="0">
    <w:nsid w:val="78C919D2"/>
    <w:multiLevelType w:val="hybridMultilevel"/>
    <w:tmpl w:val="A6EA0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8490F"/>
    <w:multiLevelType w:val="hybridMultilevel"/>
    <w:tmpl w:val="2AA2D166"/>
    <w:lvl w:ilvl="0" w:tplc="080C000F">
      <w:start w:val="1"/>
      <w:numFmt w:val="decimal"/>
      <w:lvlText w:val="%1."/>
      <w:lvlJc w:val="left"/>
      <w:pPr>
        <w:ind w:left="2160" w:hanging="360"/>
      </w:pPr>
    </w:lvl>
    <w:lvl w:ilvl="1" w:tplc="080C0019">
      <w:start w:val="1"/>
      <w:numFmt w:val="lowerLetter"/>
      <w:lvlText w:val="%2."/>
      <w:lvlJc w:val="left"/>
      <w:pPr>
        <w:ind w:left="2880" w:hanging="360"/>
      </w:pPr>
    </w:lvl>
    <w:lvl w:ilvl="2" w:tplc="080C001B" w:tentative="1">
      <w:start w:val="1"/>
      <w:numFmt w:val="lowerRoman"/>
      <w:lvlText w:val="%3."/>
      <w:lvlJc w:val="right"/>
      <w:pPr>
        <w:ind w:left="3600" w:hanging="180"/>
      </w:pPr>
    </w:lvl>
    <w:lvl w:ilvl="3" w:tplc="080C000F" w:tentative="1">
      <w:start w:val="1"/>
      <w:numFmt w:val="decimal"/>
      <w:lvlText w:val="%4."/>
      <w:lvlJc w:val="left"/>
      <w:pPr>
        <w:ind w:left="4320" w:hanging="360"/>
      </w:pPr>
    </w:lvl>
    <w:lvl w:ilvl="4" w:tplc="080C0019" w:tentative="1">
      <w:start w:val="1"/>
      <w:numFmt w:val="lowerLetter"/>
      <w:lvlText w:val="%5."/>
      <w:lvlJc w:val="left"/>
      <w:pPr>
        <w:ind w:left="5040" w:hanging="360"/>
      </w:pPr>
    </w:lvl>
    <w:lvl w:ilvl="5" w:tplc="080C001B" w:tentative="1">
      <w:start w:val="1"/>
      <w:numFmt w:val="lowerRoman"/>
      <w:lvlText w:val="%6."/>
      <w:lvlJc w:val="right"/>
      <w:pPr>
        <w:ind w:left="5760" w:hanging="180"/>
      </w:pPr>
    </w:lvl>
    <w:lvl w:ilvl="6" w:tplc="080C000F" w:tentative="1">
      <w:start w:val="1"/>
      <w:numFmt w:val="decimal"/>
      <w:lvlText w:val="%7."/>
      <w:lvlJc w:val="left"/>
      <w:pPr>
        <w:ind w:left="6480" w:hanging="360"/>
      </w:pPr>
    </w:lvl>
    <w:lvl w:ilvl="7" w:tplc="080C0019" w:tentative="1">
      <w:start w:val="1"/>
      <w:numFmt w:val="lowerLetter"/>
      <w:lvlText w:val="%8."/>
      <w:lvlJc w:val="left"/>
      <w:pPr>
        <w:ind w:left="7200" w:hanging="360"/>
      </w:pPr>
    </w:lvl>
    <w:lvl w:ilvl="8" w:tplc="080C001B" w:tentative="1">
      <w:start w:val="1"/>
      <w:numFmt w:val="lowerRoman"/>
      <w:lvlText w:val="%9."/>
      <w:lvlJc w:val="right"/>
      <w:pPr>
        <w:ind w:left="7920" w:hanging="180"/>
      </w:pPr>
    </w:lvl>
  </w:abstractNum>
  <w:abstractNum w:abstractNumId="47" w15:restartNumberingAfterBreak="0">
    <w:nsid w:val="7B09642A"/>
    <w:multiLevelType w:val="hybridMultilevel"/>
    <w:tmpl w:val="F182BD5E"/>
    <w:lvl w:ilvl="0" w:tplc="C0088F3E">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abstractNumId w:val="34"/>
  </w:num>
  <w:num w:numId="2">
    <w:abstractNumId w:val="30"/>
  </w:num>
  <w:num w:numId="3">
    <w:abstractNumId w:val="15"/>
  </w:num>
  <w:num w:numId="4">
    <w:abstractNumId w:val="32"/>
  </w:num>
  <w:num w:numId="5">
    <w:abstractNumId w:val="10"/>
  </w:num>
  <w:num w:numId="6">
    <w:abstractNumId w:val="47"/>
  </w:num>
  <w:num w:numId="7">
    <w:abstractNumId w:val="38"/>
  </w:num>
  <w:num w:numId="8">
    <w:abstractNumId w:val="35"/>
  </w:num>
  <w:num w:numId="9">
    <w:abstractNumId w:val="8"/>
  </w:num>
  <w:num w:numId="10">
    <w:abstractNumId w:val="28"/>
  </w:num>
  <w:num w:numId="11">
    <w:abstractNumId w:val="20"/>
  </w:num>
  <w:num w:numId="12">
    <w:abstractNumId w:val="7"/>
  </w:num>
  <w:num w:numId="13">
    <w:abstractNumId w:val="46"/>
  </w:num>
  <w:num w:numId="14">
    <w:abstractNumId w:val="22"/>
  </w:num>
  <w:num w:numId="15">
    <w:abstractNumId w:val="3"/>
  </w:num>
  <w:num w:numId="16">
    <w:abstractNumId w:val="31"/>
  </w:num>
  <w:num w:numId="17">
    <w:abstractNumId w:val="11"/>
  </w:num>
  <w:num w:numId="18">
    <w:abstractNumId w:val="12"/>
  </w:num>
  <w:num w:numId="19">
    <w:abstractNumId w:val="5"/>
  </w:num>
  <w:num w:numId="20">
    <w:abstractNumId w:val="9"/>
  </w:num>
  <w:num w:numId="21">
    <w:abstractNumId w:val="26"/>
  </w:num>
  <w:num w:numId="22">
    <w:abstractNumId w:val="44"/>
  </w:num>
  <w:num w:numId="23">
    <w:abstractNumId w:val="36"/>
  </w:num>
  <w:num w:numId="24">
    <w:abstractNumId w:val="17"/>
  </w:num>
  <w:num w:numId="25">
    <w:abstractNumId w:val="19"/>
  </w:num>
  <w:num w:numId="26">
    <w:abstractNumId w:val="1"/>
  </w:num>
  <w:num w:numId="27">
    <w:abstractNumId w:val="2"/>
  </w:num>
  <w:num w:numId="28">
    <w:abstractNumId w:val="27"/>
  </w:num>
  <w:num w:numId="29">
    <w:abstractNumId w:val="16"/>
  </w:num>
  <w:num w:numId="30">
    <w:abstractNumId w:val="24"/>
  </w:num>
  <w:num w:numId="31">
    <w:abstractNumId w:val="45"/>
  </w:num>
  <w:num w:numId="32">
    <w:abstractNumId w:val="33"/>
  </w:num>
  <w:num w:numId="33">
    <w:abstractNumId w:val="10"/>
  </w:num>
  <w:num w:numId="34">
    <w:abstractNumId w:val="40"/>
  </w:num>
  <w:num w:numId="35">
    <w:abstractNumId w:val="25"/>
  </w:num>
  <w:num w:numId="36">
    <w:abstractNumId w:val="14"/>
  </w:num>
  <w:num w:numId="37">
    <w:abstractNumId w:val="10"/>
  </w:num>
  <w:num w:numId="38">
    <w:abstractNumId w:val="39"/>
  </w:num>
  <w:num w:numId="39">
    <w:abstractNumId w:val="4"/>
  </w:num>
  <w:num w:numId="40">
    <w:abstractNumId w:val="6"/>
  </w:num>
  <w:num w:numId="41">
    <w:abstractNumId w:val="43"/>
  </w:num>
  <w:num w:numId="42">
    <w:abstractNumId w:val="0"/>
  </w:num>
  <w:num w:numId="43">
    <w:abstractNumId w:val="37"/>
  </w:num>
  <w:num w:numId="44">
    <w:abstractNumId w:val="29"/>
  </w:num>
  <w:num w:numId="45">
    <w:abstractNumId w:val="23"/>
  </w:num>
  <w:num w:numId="46">
    <w:abstractNumId w:val="41"/>
  </w:num>
  <w:num w:numId="47">
    <w:abstractNumId w:val="21"/>
  </w:num>
  <w:num w:numId="48">
    <w:abstractNumId w:val="13"/>
  </w:num>
  <w:num w:numId="49">
    <w:abstractNumId w:val="18"/>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BD37EDF3-F18E-4875-90B6-B4F40FC5F965"/>
    <w:docVar w:name="LW_COVERPAGE_TYPE" w:val="1"/>
    <w:docVar w:name="LW_CROSSREFERENCE" w:val="&lt;UNUSED&gt;"/>
    <w:docVar w:name="LW_DocType" w:val="NORMAL"/>
    <w:docVar w:name="LW_EMISSION" w:val="18. 11. 2021"/>
    <w:docVar w:name="LW_EMISSION_ISODATE" w:val="2021-11-18"/>
    <w:docVar w:name="LW_EMISSION_LOCATION" w:val="BRX"/>
    <w:docVar w:name="LW_EMISSION_PREFIX" w:val="V Bruseli"/>
    <w:docVar w:name="LW_EMISSION_SUFFIX" w:val=" "/>
    <w:docVar w:name="LW_ID_DOCTYPE_NONLW" w:val="CP-014"/>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1) 71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litika hospodárskej súťaže pripravená na nové výzvy_x000d__x000d__x000b_"/>
    <w:docVar w:name="LW_TYPE.DOC.CP" w:val="OZNÁMENIE KOMISIE EURÓPSKEMU PARLAMENTU, RADE, EURÓPSKEMU HOSPODÁRSKEMU A SOCIÁLNEMU VÝBORU A VÝBORU REGIÓNOV"/>
    <w:docVar w:name="LW_TYPE.DOC.CP.USERTEXT" w:val="&lt;EMPTY&gt;"/>
    <w:docVar w:name="LwApiVersions" w:val="LW4CoDe 1.23.2.0; LW 8.0, Build 20211117"/>
  </w:docVars>
  <w:rsids>
    <w:rsidRoot w:val="004D3A2E"/>
    <w:rsid w:val="0000196D"/>
    <w:rsid w:val="00001A69"/>
    <w:rsid w:val="000021E8"/>
    <w:rsid w:val="00002452"/>
    <w:rsid w:val="0000266C"/>
    <w:rsid w:val="00003EEB"/>
    <w:rsid w:val="000040E8"/>
    <w:rsid w:val="00004CBA"/>
    <w:rsid w:val="00005052"/>
    <w:rsid w:val="00005A7F"/>
    <w:rsid w:val="00005FA0"/>
    <w:rsid w:val="00006012"/>
    <w:rsid w:val="00006B28"/>
    <w:rsid w:val="00006D45"/>
    <w:rsid w:val="00010D14"/>
    <w:rsid w:val="00010F52"/>
    <w:rsid w:val="00011709"/>
    <w:rsid w:val="00012065"/>
    <w:rsid w:val="000123A4"/>
    <w:rsid w:val="00013584"/>
    <w:rsid w:val="00015358"/>
    <w:rsid w:val="000157E1"/>
    <w:rsid w:val="00015C73"/>
    <w:rsid w:val="00017683"/>
    <w:rsid w:val="000176BD"/>
    <w:rsid w:val="0001771E"/>
    <w:rsid w:val="0001786F"/>
    <w:rsid w:val="0002077C"/>
    <w:rsid w:val="00020D43"/>
    <w:rsid w:val="00022F41"/>
    <w:rsid w:val="00023545"/>
    <w:rsid w:val="000240A5"/>
    <w:rsid w:val="000245BE"/>
    <w:rsid w:val="00024738"/>
    <w:rsid w:val="00024D55"/>
    <w:rsid w:val="000261EA"/>
    <w:rsid w:val="000274D0"/>
    <w:rsid w:val="000306E0"/>
    <w:rsid w:val="000308CB"/>
    <w:rsid w:val="000319E6"/>
    <w:rsid w:val="0003296C"/>
    <w:rsid w:val="000335EC"/>
    <w:rsid w:val="00033B90"/>
    <w:rsid w:val="000357D1"/>
    <w:rsid w:val="000361F2"/>
    <w:rsid w:val="00040011"/>
    <w:rsid w:val="00040D9A"/>
    <w:rsid w:val="000418CF"/>
    <w:rsid w:val="00041B49"/>
    <w:rsid w:val="00041BFF"/>
    <w:rsid w:val="00042A5D"/>
    <w:rsid w:val="00042EED"/>
    <w:rsid w:val="00043488"/>
    <w:rsid w:val="00043E5D"/>
    <w:rsid w:val="00044089"/>
    <w:rsid w:val="00045D47"/>
    <w:rsid w:val="00046166"/>
    <w:rsid w:val="00046316"/>
    <w:rsid w:val="00046640"/>
    <w:rsid w:val="00046937"/>
    <w:rsid w:val="00050191"/>
    <w:rsid w:val="00050289"/>
    <w:rsid w:val="00050A7D"/>
    <w:rsid w:val="00050D92"/>
    <w:rsid w:val="00050FB6"/>
    <w:rsid w:val="000510D3"/>
    <w:rsid w:val="0005154A"/>
    <w:rsid w:val="00052148"/>
    <w:rsid w:val="00052984"/>
    <w:rsid w:val="00052A06"/>
    <w:rsid w:val="00052EA3"/>
    <w:rsid w:val="000533E6"/>
    <w:rsid w:val="0005407C"/>
    <w:rsid w:val="000541E6"/>
    <w:rsid w:val="00054898"/>
    <w:rsid w:val="000557A8"/>
    <w:rsid w:val="000557F9"/>
    <w:rsid w:val="0005675B"/>
    <w:rsid w:val="0005676C"/>
    <w:rsid w:val="0005678A"/>
    <w:rsid w:val="000613AA"/>
    <w:rsid w:val="0006144A"/>
    <w:rsid w:val="000623EB"/>
    <w:rsid w:val="0006270F"/>
    <w:rsid w:val="000627FA"/>
    <w:rsid w:val="0006397D"/>
    <w:rsid w:val="00063B50"/>
    <w:rsid w:val="00064A2C"/>
    <w:rsid w:val="000652ED"/>
    <w:rsid w:val="00065806"/>
    <w:rsid w:val="00066F9A"/>
    <w:rsid w:val="00067D47"/>
    <w:rsid w:val="000701B3"/>
    <w:rsid w:val="00070977"/>
    <w:rsid w:val="00071F08"/>
    <w:rsid w:val="000724E6"/>
    <w:rsid w:val="00073363"/>
    <w:rsid w:val="000733D0"/>
    <w:rsid w:val="00073780"/>
    <w:rsid w:val="00074A4D"/>
    <w:rsid w:val="00074C84"/>
    <w:rsid w:val="00075BFE"/>
    <w:rsid w:val="00075D5A"/>
    <w:rsid w:val="00076DDD"/>
    <w:rsid w:val="0007734F"/>
    <w:rsid w:val="0007755C"/>
    <w:rsid w:val="00080645"/>
    <w:rsid w:val="000807C2"/>
    <w:rsid w:val="00080FF6"/>
    <w:rsid w:val="0008131C"/>
    <w:rsid w:val="00081E8E"/>
    <w:rsid w:val="00082A74"/>
    <w:rsid w:val="0008362A"/>
    <w:rsid w:val="00083EAB"/>
    <w:rsid w:val="00083FF1"/>
    <w:rsid w:val="00086A84"/>
    <w:rsid w:val="00090638"/>
    <w:rsid w:val="000921B9"/>
    <w:rsid w:val="00092EB4"/>
    <w:rsid w:val="00092EBA"/>
    <w:rsid w:val="00093968"/>
    <w:rsid w:val="00094BF2"/>
    <w:rsid w:val="00095368"/>
    <w:rsid w:val="0009560A"/>
    <w:rsid w:val="00096A9F"/>
    <w:rsid w:val="00096FC1"/>
    <w:rsid w:val="00097241"/>
    <w:rsid w:val="00097496"/>
    <w:rsid w:val="000974A6"/>
    <w:rsid w:val="000A209F"/>
    <w:rsid w:val="000A28F7"/>
    <w:rsid w:val="000A2902"/>
    <w:rsid w:val="000A2DCF"/>
    <w:rsid w:val="000A3220"/>
    <w:rsid w:val="000A333F"/>
    <w:rsid w:val="000A3622"/>
    <w:rsid w:val="000A4862"/>
    <w:rsid w:val="000A4CC0"/>
    <w:rsid w:val="000A77C4"/>
    <w:rsid w:val="000A7C0F"/>
    <w:rsid w:val="000B230A"/>
    <w:rsid w:val="000C067C"/>
    <w:rsid w:val="000C08FE"/>
    <w:rsid w:val="000C0A15"/>
    <w:rsid w:val="000C0AB8"/>
    <w:rsid w:val="000C0B20"/>
    <w:rsid w:val="000C12EB"/>
    <w:rsid w:val="000C2E3A"/>
    <w:rsid w:val="000C4402"/>
    <w:rsid w:val="000C4C4A"/>
    <w:rsid w:val="000C4DA1"/>
    <w:rsid w:val="000C540D"/>
    <w:rsid w:val="000C55A6"/>
    <w:rsid w:val="000C6D60"/>
    <w:rsid w:val="000C6D96"/>
    <w:rsid w:val="000C7F3C"/>
    <w:rsid w:val="000D00D1"/>
    <w:rsid w:val="000D0ECD"/>
    <w:rsid w:val="000D15B8"/>
    <w:rsid w:val="000D2025"/>
    <w:rsid w:val="000D2218"/>
    <w:rsid w:val="000D2625"/>
    <w:rsid w:val="000D2D72"/>
    <w:rsid w:val="000D3F4B"/>
    <w:rsid w:val="000D4D89"/>
    <w:rsid w:val="000D5379"/>
    <w:rsid w:val="000D666B"/>
    <w:rsid w:val="000D7F64"/>
    <w:rsid w:val="000E065F"/>
    <w:rsid w:val="000E21FF"/>
    <w:rsid w:val="000E25C8"/>
    <w:rsid w:val="000E3547"/>
    <w:rsid w:val="000E38AD"/>
    <w:rsid w:val="000E3FC5"/>
    <w:rsid w:val="000E4775"/>
    <w:rsid w:val="000E47B7"/>
    <w:rsid w:val="000E4928"/>
    <w:rsid w:val="000E495F"/>
    <w:rsid w:val="000E4A79"/>
    <w:rsid w:val="000E4D8C"/>
    <w:rsid w:val="000E601D"/>
    <w:rsid w:val="000F03EB"/>
    <w:rsid w:val="000F097E"/>
    <w:rsid w:val="000F0D32"/>
    <w:rsid w:val="000F0DA2"/>
    <w:rsid w:val="000F2F4B"/>
    <w:rsid w:val="000F377E"/>
    <w:rsid w:val="000F4798"/>
    <w:rsid w:val="000F4FC1"/>
    <w:rsid w:val="000F530A"/>
    <w:rsid w:val="000F55E3"/>
    <w:rsid w:val="000F6171"/>
    <w:rsid w:val="000F6D95"/>
    <w:rsid w:val="001009C8"/>
    <w:rsid w:val="001011D8"/>
    <w:rsid w:val="001011FB"/>
    <w:rsid w:val="001015D8"/>
    <w:rsid w:val="00101942"/>
    <w:rsid w:val="00102DB4"/>
    <w:rsid w:val="001044B4"/>
    <w:rsid w:val="001044C4"/>
    <w:rsid w:val="001046A3"/>
    <w:rsid w:val="001047F7"/>
    <w:rsid w:val="00104A7F"/>
    <w:rsid w:val="00104F05"/>
    <w:rsid w:val="0010514B"/>
    <w:rsid w:val="0010612F"/>
    <w:rsid w:val="001075CC"/>
    <w:rsid w:val="00110165"/>
    <w:rsid w:val="0011067B"/>
    <w:rsid w:val="00110DED"/>
    <w:rsid w:val="00112D64"/>
    <w:rsid w:val="00112EED"/>
    <w:rsid w:val="001136A1"/>
    <w:rsid w:val="001155DE"/>
    <w:rsid w:val="00115CBD"/>
    <w:rsid w:val="00116218"/>
    <w:rsid w:val="0011743C"/>
    <w:rsid w:val="00117DAB"/>
    <w:rsid w:val="00120879"/>
    <w:rsid w:val="00120A71"/>
    <w:rsid w:val="00121072"/>
    <w:rsid w:val="001219C0"/>
    <w:rsid w:val="00121B08"/>
    <w:rsid w:val="00122567"/>
    <w:rsid w:val="001226B0"/>
    <w:rsid w:val="0012359C"/>
    <w:rsid w:val="00123E76"/>
    <w:rsid w:val="00124014"/>
    <w:rsid w:val="001258A4"/>
    <w:rsid w:val="0012617B"/>
    <w:rsid w:val="001261D7"/>
    <w:rsid w:val="00126246"/>
    <w:rsid w:val="001263EF"/>
    <w:rsid w:val="001306EC"/>
    <w:rsid w:val="0013079D"/>
    <w:rsid w:val="00130D4E"/>
    <w:rsid w:val="00130DAB"/>
    <w:rsid w:val="0013100C"/>
    <w:rsid w:val="00131D97"/>
    <w:rsid w:val="0013222F"/>
    <w:rsid w:val="00134B46"/>
    <w:rsid w:val="0013567B"/>
    <w:rsid w:val="00135A28"/>
    <w:rsid w:val="00136E46"/>
    <w:rsid w:val="001379CB"/>
    <w:rsid w:val="00137F91"/>
    <w:rsid w:val="001403E7"/>
    <w:rsid w:val="00140DB8"/>
    <w:rsid w:val="001413A6"/>
    <w:rsid w:val="00141814"/>
    <w:rsid w:val="00141A31"/>
    <w:rsid w:val="001432E4"/>
    <w:rsid w:val="001434CE"/>
    <w:rsid w:val="00143E32"/>
    <w:rsid w:val="00144A4D"/>
    <w:rsid w:val="00145063"/>
    <w:rsid w:val="00145ECE"/>
    <w:rsid w:val="00147C3A"/>
    <w:rsid w:val="001502B1"/>
    <w:rsid w:val="00150C37"/>
    <w:rsid w:val="00151511"/>
    <w:rsid w:val="00152140"/>
    <w:rsid w:val="00152FA7"/>
    <w:rsid w:val="00152FBC"/>
    <w:rsid w:val="00153203"/>
    <w:rsid w:val="00154D37"/>
    <w:rsid w:val="00157D74"/>
    <w:rsid w:val="001611CB"/>
    <w:rsid w:val="001612C6"/>
    <w:rsid w:val="001626FC"/>
    <w:rsid w:val="00162DF4"/>
    <w:rsid w:val="0016346E"/>
    <w:rsid w:val="00163F7A"/>
    <w:rsid w:val="001642A6"/>
    <w:rsid w:val="00165408"/>
    <w:rsid w:val="00165C96"/>
    <w:rsid w:val="00166A65"/>
    <w:rsid w:val="001675B6"/>
    <w:rsid w:val="001703BC"/>
    <w:rsid w:val="00170CAB"/>
    <w:rsid w:val="00170D64"/>
    <w:rsid w:val="0017202B"/>
    <w:rsid w:val="001721E8"/>
    <w:rsid w:val="00172412"/>
    <w:rsid w:val="00172C74"/>
    <w:rsid w:val="00172CC0"/>
    <w:rsid w:val="00173345"/>
    <w:rsid w:val="0017372C"/>
    <w:rsid w:val="00174E42"/>
    <w:rsid w:val="00174F6A"/>
    <w:rsid w:val="00175BCC"/>
    <w:rsid w:val="00176E69"/>
    <w:rsid w:val="001805F1"/>
    <w:rsid w:val="001824BB"/>
    <w:rsid w:val="00183F31"/>
    <w:rsid w:val="001858E7"/>
    <w:rsid w:val="001864CB"/>
    <w:rsid w:val="00187941"/>
    <w:rsid w:val="00187CA6"/>
    <w:rsid w:val="00190886"/>
    <w:rsid w:val="001918C6"/>
    <w:rsid w:val="0019255C"/>
    <w:rsid w:val="00192A74"/>
    <w:rsid w:val="00192CBA"/>
    <w:rsid w:val="00194500"/>
    <w:rsid w:val="00197A94"/>
    <w:rsid w:val="001A01D4"/>
    <w:rsid w:val="001A1483"/>
    <w:rsid w:val="001A1CC0"/>
    <w:rsid w:val="001A37DD"/>
    <w:rsid w:val="001A4EDA"/>
    <w:rsid w:val="001A59EE"/>
    <w:rsid w:val="001A5B0C"/>
    <w:rsid w:val="001A689A"/>
    <w:rsid w:val="001A6CF0"/>
    <w:rsid w:val="001A734A"/>
    <w:rsid w:val="001A75DA"/>
    <w:rsid w:val="001B16FB"/>
    <w:rsid w:val="001B2607"/>
    <w:rsid w:val="001B2ADE"/>
    <w:rsid w:val="001B2C57"/>
    <w:rsid w:val="001B43B0"/>
    <w:rsid w:val="001B4866"/>
    <w:rsid w:val="001B4B9C"/>
    <w:rsid w:val="001B5A68"/>
    <w:rsid w:val="001B679B"/>
    <w:rsid w:val="001B6B7A"/>
    <w:rsid w:val="001B79FE"/>
    <w:rsid w:val="001B7C3E"/>
    <w:rsid w:val="001C0128"/>
    <w:rsid w:val="001C06FC"/>
    <w:rsid w:val="001C0B37"/>
    <w:rsid w:val="001C0B67"/>
    <w:rsid w:val="001C0D21"/>
    <w:rsid w:val="001C0EBC"/>
    <w:rsid w:val="001C0F6E"/>
    <w:rsid w:val="001C10FC"/>
    <w:rsid w:val="001C1A97"/>
    <w:rsid w:val="001C1B23"/>
    <w:rsid w:val="001C2063"/>
    <w:rsid w:val="001C2274"/>
    <w:rsid w:val="001C282E"/>
    <w:rsid w:val="001C4BBE"/>
    <w:rsid w:val="001C4FA6"/>
    <w:rsid w:val="001C5A36"/>
    <w:rsid w:val="001C6749"/>
    <w:rsid w:val="001D071B"/>
    <w:rsid w:val="001D0E4D"/>
    <w:rsid w:val="001D11D9"/>
    <w:rsid w:val="001D14CD"/>
    <w:rsid w:val="001D1E5B"/>
    <w:rsid w:val="001D2A28"/>
    <w:rsid w:val="001D2B49"/>
    <w:rsid w:val="001D2D4C"/>
    <w:rsid w:val="001D2E0F"/>
    <w:rsid w:val="001D36F3"/>
    <w:rsid w:val="001D4618"/>
    <w:rsid w:val="001D4E83"/>
    <w:rsid w:val="001D69EF"/>
    <w:rsid w:val="001D6A79"/>
    <w:rsid w:val="001D76BE"/>
    <w:rsid w:val="001D7BC0"/>
    <w:rsid w:val="001E0179"/>
    <w:rsid w:val="001E0C72"/>
    <w:rsid w:val="001E12E0"/>
    <w:rsid w:val="001E1D3B"/>
    <w:rsid w:val="001E1D5B"/>
    <w:rsid w:val="001E1F3B"/>
    <w:rsid w:val="001E3885"/>
    <w:rsid w:val="001E3C6E"/>
    <w:rsid w:val="001E3D7B"/>
    <w:rsid w:val="001E49D7"/>
    <w:rsid w:val="001E5119"/>
    <w:rsid w:val="001E629F"/>
    <w:rsid w:val="001E7EBB"/>
    <w:rsid w:val="001F08F5"/>
    <w:rsid w:val="001F0B0E"/>
    <w:rsid w:val="001F0DAB"/>
    <w:rsid w:val="001F12A9"/>
    <w:rsid w:val="001F15E8"/>
    <w:rsid w:val="001F15FC"/>
    <w:rsid w:val="001F167E"/>
    <w:rsid w:val="001F173E"/>
    <w:rsid w:val="001F25BF"/>
    <w:rsid w:val="001F2618"/>
    <w:rsid w:val="001F2A8D"/>
    <w:rsid w:val="001F4270"/>
    <w:rsid w:val="001F53F0"/>
    <w:rsid w:val="001F6621"/>
    <w:rsid w:val="001F664C"/>
    <w:rsid w:val="001F6DF1"/>
    <w:rsid w:val="001F6FB0"/>
    <w:rsid w:val="002000E9"/>
    <w:rsid w:val="002020FC"/>
    <w:rsid w:val="00202B55"/>
    <w:rsid w:val="00203398"/>
    <w:rsid w:val="002046AD"/>
    <w:rsid w:val="00204E31"/>
    <w:rsid w:val="00206617"/>
    <w:rsid w:val="00206854"/>
    <w:rsid w:val="00206AAD"/>
    <w:rsid w:val="00207623"/>
    <w:rsid w:val="00211BBE"/>
    <w:rsid w:val="0021263C"/>
    <w:rsid w:val="002127FE"/>
    <w:rsid w:val="00212A69"/>
    <w:rsid w:val="00212B33"/>
    <w:rsid w:val="00212C5C"/>
    <w:rsid w:val="00213A13"/>
    <w:rsid w:val="00214881"/>
    <w:rsid w:val="00215CEE"/>
    <w:rsid w:val="002169DD"/>
    <w:rsid w:val="00216DBB"/>
    <w:rsid w:val="00216E8C"/>
    <w:rsid w:val="002177B1"/>
    <w:rsid w:val="00217B24"/>
    <w:rsid w:val="0022031F"/>
    <w:rsid w:val="00220498"/>
    <w:rsid w:val="00220552"/>
    <w:rsid w:val="0022092E"/>
    <w:rsid w:val="002215D6"/>
    <w:rsid w:val="00221AB0"/>
    <w:rsid w:val="00222065"/>
    <w:rsid w:val="002226E4"/>
    <w:rsid w:val="002234B6"/>
    <w:rsid w:val="0022358C"/>
    <w:rsid w:val="00223720"/>
    <w:rsid w:val="0022424B"/>
    <w:rsid w:val="0022461B"/>
    <w:rsid w:val="0022461D"/>
    <w:rsid w:val="0022469E"/>
    <w:rsid w:val="00225483"/>
    <w:rsid w:val="0022660E"/>
    <w:rsid w:val="002279DD"/>
    <w:rsid w:val="00230158"/>
    <w:rsid w:val="0023056F"/>
    <w:rsid w:val="00231440"/>
    <w:rsid w:val="00232BC7"/>
    <w:rsid w:val="002334C1"/>
    <w:rsid w:val="00234284"/>
    <w:rsid w:val="00234899"/>
    <w:rsid w:val="00234AB6"/>
    <w:rsid w:val="00235710"/>
    <w:rsid w:val="00236919"/>
    <w:rsid w:val="00237108"/>
    <w:rsid w:val="0023785A"/>
    <w:rsid w:val="00237C3F"/>
    <w:rsid w:val="002411F9"/>
    <w:rsid w:val="002417BB"/>
    <w:rsid w:val="00241848"/>
    <w:rsid w:val="00241C21"/>
    <w:rsid w:val="00242B02"/>
    <w:rsid w:val="00242F20"/>
    <w:rsid w:val="002430B4"/>
    <w:rsid w:val="00243967"/>
    <w:rsid w:val="002444AA"/>
    <w:rsid w:val="00244F48"/>
    <w:rsid w:val="002450C8"/>
    <w:rsid w:val="002456BF"/>
    <w:rsid w:val="00245EFC"/>
    <w:rsid w:val="00245F06"/>
    <w:rsid w:val="002467A5"/>
    <w:rsid w:val="0024766A"/>
    <w:rsid w:val="002504E6"/>
    <w:rsid w:val="00251424"/>
    <w:rsid w:val="0025143B"/>
    <w:rsid w:val="002515D8"/>
    <w:rsid w:val="00251DCB"/>
    <w:rsid w:val="0025231C"/>
    <w:rsid w:val="0025267C"/>
    <w:rsid w:val="00252CF6"/>
    <w:rsid w:val="00253D19"/>
    <w:rsid w:val="00253E2F"/>
    <w:rsid w:val="00255CA9"/>
    <w:rsid w:val="0025778C"/>
    <w:rsid w:val="0025797C"/>
    <w:rsid w:val="002603B3"/>
    <w:rsid w:val="002612DD"/>
    <w:rsid w:val="002615E4"/>
    <w:rsid w:val="00261CCF"/>
    <w:rsid w:val="00262372"/>
    <w:rsid w:val="002625DC"/>
    <w:rsid w:val="00262B37"/>
    <w:rsid w:val="002639DA"/>
    <w:rsid w:val="002645D3"/>
    <w:rsid w:val="00265762"/>
    <w:rsid w:val="0026663A"/>
    <w:rsid w:val="002667A4"/>
    <w:rsid w:val="00266BD1"/>
    <w:rsid w:val="00266C56"/>
    <w:rsid w:val="00267189"/>
    <w:rsid w:val="00270146"/>
    <w:rsid w:val="002703A0"/>
    <w:rsid w:val="002703B7"/>
    <w:rsid w:val="00270A68"/>
    <w:rsid w:val="00272C97"/>
    <w:rsid w:val="00274102"/>
    <w:rsid w:val="002753BB"/>
    <w:rsid w:val="002769AD"/>
    <w:rsid w:val="00276E8C"/>
    <w:rsid w:val="00277335"/>
    <w:rsid w:val="00277C15"/>
    <w:rsid w:val="00280109"/>
    <w:rsid w:val="00280298"/>
    <w:rsid w:val="002803EC"/>
    <w:rsid w:val="002816A9"/>
    <w:rsid w:val="00282007"/>
    <w:rsid w:val="00282270"/>
    <w:rsid w:val="00282E52"/>
    <w:rsid w:val="002835AA"/>
    <w:rsid w:val="00284B6C"/>
    <w:rsid w:val="00285A6A"/>
    <w:rsid w:val="00285EA2"/>
    <w:rsid w:val="00286EBA"/>
    <w:rsid w:val="0028709C"/>
    <w:rsid w:val="0029092B"/>
    <w:rsid w:val="00290F34"/>
    <w:rsid w:val="00293E20"/>
    <w:rsid w:val="00293EE7"/>
    <w:rsid w:val="00294010"/>
    <w:rsid w:val="002942A4"/>
    <w:rsid w:val="002942D9"/>
    <w:rsid w:val="0029439B"/>
    <w:rsid w:val="00294D3B"/>
    <w:rsid w:val="002968DE"/>
    <w:rsid w:val="002968F2"/>
    <w:rsid w:val="00297320"/>
    <w:rsid w:val="002A03D4"/>
    <w:rsid w:val="002A1A61"/>
    <w:rsid w:val="002A1E5B"/>
    <w:rsid w:val="002A267B"/>
    <w:rsid w:val="002A4024"/>
    <w:rsid w:val="002A4A26"/>
    <w:rsid w:val="002A5A6B"/>
    <w:rsid w:val="002A60CC"/>
    <w:rsid w:val="002A6B6D"/>
    <w:rsid w:val="002B327D"/>
    <w:rsid w:val="002B3BA9"/>
    <w:rsid w:val="002B4531"/>
    <w:rsid w:val="002B7010"/>
    <w:rsid w:val="002B703A"/>
    <w:rsid w:val="002B78DF"/>
    <w:rsid w:val="002B7E46"/>
    <w:rsid w:val="002B7F47"/>
    <w:rsid w:val="002C0241"/>
    <w:rsid w:val="002C037D"/>
    <w:rsid w:val="002C1E4A"/>
    <w:rsid w:val="002C257C"/>
    <w:rsid w:val="002C2A78"/>
    <w:rsid w:val="002C3AC5"/>
    <w:rsid w:val="002C3E93"/>
    <w:rsid w:val="002C419B"/>
    <w:rsid w:val="002C435B"/>
    <w:rsid w:val="002C458D"/>
    <w:rsid w:val="002C4942"/>
    <w:rsid w:val="002C50D1"/>
    <w:rsid w:val="002C581E"/>
    <w:rsid w:val="002C5EE0"/>
    <w:rsid w:val="002C70E6"/>
    <w:rsid w:val="002C7633"/>
    <w:rsid w:val="002D118C"/>
    <w:rsid w:val="002D13C3"/>
    <w:rsid w:val="002D2D57"/>
    <w:rsid w:val="002D3090"/>
    <w:rsid w:val="002D4366"/>
    <w:rsid w:val="002D477B"/>
    <w:rsid w:val="002D6D4A"/>
    <w:rsid w:val="002E0934"/>
    <w:rsid w:val="002E2520"/>
    <w:rsid w:val="002E2A23"/>
    <w:rsid w:val="002E363E"/>
    <w:rsid w:val="002E478A"/>
    <w:rsid w:val="002E4890"/>
    <w:rsid w:val="002E5129"/>
    <w:rsid w:val="002E5CB8"/>
    <w:rsid w:val="002E6082"/>
    <w:rsid w:val="002E6CEA"/>
    <w:rsid w:val="002F06BB"/>
    <w:rsid w:val="002F0E62"/>
    <w:rsid w:val="002F204A"/>
    <w:rsid w:val="002F2BE6"/>
    <w:rsid w:val="002F35A6"/>
    <w:rsid w:val="002F3B13"/>
    <w:rsid w:val="002F4F00"/>
    <w:rsid w:val="002F5219"/>
    <w:rsid w:val="002F53D5"/>
    <w:rsid w:val="002F5AEE"/>
    <w:rsid w:val="002F5FD2"/>
    <w:rsid w:val="002F6C38"/>
    <w:rsid w:val="002F7794"/>
    <w:rsid w:val="002F7E28"/>
    <w:rsid w:val="0030113D"/>
    <w:rsid w:val="003014CD"/>
    <w:rsid w:val="0030166D"/>
    <w:rsid w:val="0030190A"/>
    <w:rsid w:val="00302B5F"/>
    <w:rsid w:val="003034C2"/>
    <w:rsid w:val="00304BAA"/>
    <w:rsid w:val="003058FA"/>
    <w:rsid w:val="00306078"/>
    <w:rsid w:val="00307281"/>
    <w:rsid w:val="00307601"/>
    <w:rsid w:val="00307A43"/>
    <w:rsid w:val="00310556"/>
    <w:rsid w:val="0031064F"/>
    <w:rsid w:val="00310BFA"/>
    <w:rsid w:val="00311BE6"/>
    <w:rsid w:val="003124A2"/>
    <w:rsid w:val="003124A7"/>
    <w:rsid w:val="00312F2C"/>
    <w:rsid w:val="00313623"/>
    <w:rsid w:val="00314F5D"/>
    <w:rsid w:val="003165FB"/>
    <w:rsid w:val="00316E19"/>
    <w:rsid w:val="003179D0"/>
    <w:rsid w:val="00317ACA"/>
    <w:rsid w:val="00321C28"/>
    <w:rsid w:val="00323759"/>
    <w:rsid w:val="00323AD6"/>
    <w:rsid w:val="003245A4"/>
    <w:rsid w:val="003263F0"/>
    <w:rsid w:val="00326B54"/>
    <w:rsid w:val="00326C77"/>
    <w:rsid w:val="00327FC2"/>
    <w:rsid w:val="0033221E"/>
    <w:rsid w:val="0033243E"/>
    <w:rsid w:val="0033255C"/>
    <w:rsid w:val="003341A0"/>
    <w:rsid w:val="003352B0"/>
    <w:rsid w:val="00335E8C"/>
    <w:rsid w:val="00336CEC"/>
    <w:rsid w:val="00340BF5"/>
    <w:rsid w:val="00340FCB"/>
    <w:rsid w:val="00341376"/>
    <w:rsid w:val="0034225D"/>
    <w:rsid w:val="00342D13"/>
    <w:rsid w:val="00343281"/>
    <w:rsid w:val="00344D00"/>
    <w:rsid w:val="00345918"/>
    <w:rsid w:val="00345D88"/>
    <w:rsid w:val="00345F1C"/>
    <w:rsid w:val="00347776"/>
    <w:rsid w:val="00354C62"/>
    <w:rsid w:val="00355409"/>
    <w:rsid w:val="003571FF"/>
    <w:rsid w:val="003576E1"/>
    <w:rsid w:val="003577AE"/>
    <w:rsid w:val="0036051F"/>
    <w:rsid w:val="0036061B"/>
    <w:rsid w:val="0036190D"/>
    <w:rsid w:val="00361D05"/>
    <w:rsid w:val="00362029"/>
    <w:rsid w:val="003625E3"/>
    <w:rsid w:val="00362F5F"/>
    <w:rsid w:val="003632F6"/>
    <w:rsid w:val="00363A1B"/>
    <w:rsid w:val="00364D9A"/>
    <w:rsid w:val="00366603"/>
    <w:rsid w:val="00366777"/>
    <w:rsid w:val="00367103"/>
    <w:rsid w:val="003671A1"/>
    <w:rsid w:val="003672D7"/>
    <w:rsid w:val="00367C33"/>
    <w:rsid w:val="00370073"/>
    <w:rsid w:val="0037081D"/>
    <w:rsid w:val="00370A5A"/>
    <w:rsid w:val="003713A7"/>
    <w:rsid w:val="00371853"/>
    <w:rsid w:val="00371968"/>
    <w:rsid w:val="00373216"/>
    <w:rsid w:val="00374247"/>
    <w:rsid w:val="0037462E"/>
    <w:rsid w:val="00375001"/>
    <w:rsid w:val="00376017"/>
    <w:rsid w:val="0037734E"/>
    <w:rsid w:val="0038058D"/>
    <w:rsid w:val="00380B48"/>
    <w:rsid w:val="00381D35"/>
    <w:rsid w:val="00382162"/>
    <w:rsid w:val="00382CEB"/>
    <w:rsid w:val="0038495F"/>
    <w:rsid w:val="00384A7E"/>
    <w:rsid w:val="003850F1"/>
    <w:rsid w:val="00385B8E"/>
    <w:rsid w:val="003874E2"/>
    <w:rsid w:val="0039164B"/>
    <w:rsid w:val="00391EF2"/>
    <w:rsid w:val="00392394"/>
    <w:rsid w:val="00392CBC"/>
    <w:rsid w:val="003955C2"/>
    <w:rsid w:val="003959DD"/>
    <w:rsid w:val="00395FCD"/>
    <w:rsid w:val="00397416"/>
    <w:rsid w:val="00397A5A"/>
    <w:rsid w:val="003A07BB"/>
    <w:rsid w:val="003A0A22"/>
    <w:rsid w:val="003A10D4"/>
    <w:rsid w:val="003A1349"/>
    <w:rsid w:val="003A1A7E"/>
    <w:rsid w:val="003A2F79"/>
    <w:rsid w:val="003A3B40"/>
    <w:rsid w:val="003A3B77"/>
    <w:rsid w:val="003A3C92"/>
    <w:rsid w:val="003A455C"/>
    <w:rsid w:val="003A46BE"/>
    <w:rsid w:val="003A5FC8"/>
    <w:rsid w:val="003B0113"/>
    <w:rsid w:val="003B0490"/>
    <w:rsid w:val="003B0ADE"/>
    <w:rsid w:val="003B0FA4"/>
    <w:rsid w:val="003B20A9"/>
    <w:rsid w:val="003B24DC"/>
    <w:rsid w:val="003B28DA"/>
    <w:rsid w:val="003B2B95"/>
    <w:rsid w:val="003B35F4"/>
    <w:rsid w:val="003B3610"/>
    <w:rsid w:val="003B3EE1"/>
    <w:rsid w:val="003B3F1D"/>
    <w:rsid w:val="003B4472"/>
    <w:rsid w:val="003B46B9"/>
    <w:rsid w:val="003B594A"/>
    <w:rsid w:val="003B5B51"/>
    <w:rsid w:val="003B6133"/>
    <w:rsid w:val="003B663D"/>
    <w:rsid w:val="003B692D"/>
    <w:rsid w:val="003B6A23"/>
    <w:rsid w:val="003B7444"/>
    <w:rsid w:val="003B7D36"/>
    <w:rsid w:val="003C02DE"/>
    <w:rsid w:val="003C0B35"/>
    <w:rsid w:val="003C1027"/>
    <w:rsid w:val="003C138B"/>
    <w:rsid w:val="003C1C85"/>
    <w:rsid w:val="003C3059"/>
    <w:rsid w:val="003C31F0"/>
    <w:rsid w:val="003C3AEA"/>
    <w:rsid w:val="003C3AF2"/>
    <w:rsid w:val="003C5DBA"/>
    <w:rsid w:val="003C663B"/>
    <w:rsid w:val="003C7520"/>
    <w:rsid w:val="003D0D1E"/>
    <w:rsid w:val="003D17E7"/>
    <w:rsid w:val="003D1BD7"/>
    <w:rsid w:val="003D21CD"/>
    <w:rsid w:val="003D28E3"/>
    <w:rsid w:val="003D345D"/>
    <w:rsid w:val="003D3BD6"/>
    <w:rsid w:val="003D5018"/>
    <w:rsid w:val="003D51C9"/>
    <w:rsid w:val="003D52C8"/>
    <w:rsid w:val="003D56DE"/>
    <w:rsid w:val="003D5CC1"/>
    <w:rsid w:val="003D6151"/>
    <w:rsid w:val="003D6B09"/>
    <w:rsid w:val="003E1B67"/>
    <w:rsid w:val="003E1D5B"/>
    <w:rsid w:val="003E2108"/>
    <w:rsid w:val="003E2BAE"/>
    <w:rsid w:val="003E3FA0"/>
    <w:rsid w:val="003E55CA"/>
    <w:rsid w:val="003E69CD"/>
    <w:rsid w:val="003E6C97"/>
    <w:rsid w:val="003E7846"/>
    <w:rsid w:val="003E7B77"/>
    <w:rsid w:val="003E7D24"/>
    <w:rsid w:val="003F290D"/>
    <w:rsid w:val="003F3D00"/>
    <w:rsid w:val="003F4C24"/>
    <w:rsid w:val="003F5F24"/>
    <w:rsid w:val="003F65D2"/>
    <w:rsid w:val="003F6798"/>
    <w:rsid w:val="003F6DEB"/>
    <w:rsid w:val="003F7936"/>
    <w:rsid w:val="004009EC"/>
    <w:rsid w:val="00400B89"/>
    <w:rsid w:val="00400EC5"/>
    <w:rsid w:val="00400F0C"/>
    <w:rsid w:val="00400F63"/>
    <w:rsid w:val="00401D22"/>
    <w:rsid w:val="00402B7D"/>
    <w:rsid w:val="00403886"/>
    <w:rsid w:val="0040388D"/>
    <w:rsid w:val="00403B88"/>
    <w:rsid w:val="00405082"/>
    <w:rsid w:val="00405B75"/>
    <w:rsid w:val="00405F21"/>
    <w:rsid w:val="004063F3"/>
    <w:rsid w:val="004064B5"/>
    <w:rsid w:val="00406611"/>
    <w:rsid w:val="00407B51"/>
    <w:rsid w:val="00410BE3"/>
    <w:rsid w:val="00411D75"/>
    <w:rsid w:val="00412078"/>
    <w:rsid w:val="00412321"/>
    <w:rsid w:val="00412736"/>
    <w:rsid w:val="00412D6E"/>
    <w:rsid w:val="0041351B"/>
    <w:rsid w:val="00414FBF"/>
    <w:rsid w:val="00415105"/>
    <w:rsid w:val="00415BDD"/>
    <w:rsid w:val="00420365"/>
    <w:rsid w:val="004207C1"/>
    <w:rsid w:val="00421481"/>
    <w:rsid w:val="0042150A"/>
    <w:rsid w:val="004230CC"/>
    <w:rsid w:val="004248F2"/>
    <w:rsid w:val="00424984"/>
    <w:rsid w:val="00424A1B"/>
    <w:rsid w:val="004255F4"/>
    <w:rsid w:val="0042575C"/>
    <w:rsid w:val="00425DF7"/>
    <w:rsid w:val="00426686"/>
    <w:rsid w:val="00427841"/>
    <w:rsid w:val="004304B6"/>
    <w:rsid w:val="00430758"/>
    <w:rsid w:val="00430B3F"/>
    <w:rsid w:val="0043360C"/>
    <w:rsid w:val="0043392D"/>
    <w:rsid w:val="00433B27"/>
    <w:rsid w:val="00434097"/>
    <w:rsid w:val="00434D02"/>
    <w:rsid w:val="004353AB"/>
    <w:rsid w:val="004359CB"/>
    <w:rsid w:val="00435B65"/>
    <w:rsid w:val="00436530"/>
    <w:rsid w:val="004365A0"/>
    <w:rsid w:val="004368CA"/>
    <w:rsid w:val="00437D4F"/>
    <w:rsid w:val="0044067E"/>
    <w:rsid w:val="00440E10"/>
    <w:rsid w:val="00441BBD"/>
    <w:rsid w:val="004421EC"/>
    <w:rsid w:val="00443125"/>
    <w:rsid w:val="0044431A"/>
    <w:rsid w:val="004444C7"/>
    <w:rsid w:val="00444B56"/>
    <w:rsid w:val="00444FEA"/>
    <w:rsid w:val="00445AF8"/>
    <w:rsid w:val="00445D59"/>
    <w:rsid w:val="00446683"/>
    <w:rsid w:val="0044791D"/>
    <w:rsid w:val="00447AB7"/>
    <w:rsid w:val="004505B5"/>
    <w:rsid w:val="00450CA1"/>
    <w:rsid w:val="0045139F"/>
    <w:rsid w:val="004524FA"/>
    <w:rsid w:val="00453F69"/>
    <w:rsid w:val="00454660"/>
    <w:rsid w:val="00455112"/>
    <w:rsid w:val="004553CD"/>
    <w:rsid w:val="004556E9"/>
    <w:rsid w:val="0045572A"/>
    <w:rsid w:val="00455853"/>
    <w:rsid w:val="00457599"/>
    <w:rsid w:val="00457AFE"/>
    <w:rsid w:val="00461826"/>
    <w:rsid w:val="0046354E"/>
    <w:rsid w:val="004644D3"/>
    <w:rsid w:val="004655DC"/>
    <w:rsid w:val="004663AE"/>
    <w:rsid w:val="004666A4"/>
    <w:rsid w:val="004709C0"/>
    <w:rsid w:val="004725E8"/>
    <w:rsid w:val="00473BAB"/>
    <w:rsid w:val="00473BE3"/>
    <w:rsid w:val="004745CF"/>
    <w:rsid w:val="0047473C"/>
    <w:rsid w:val="00475DBE"/>
    <w:rsid w:val="00475E54"/>
    <w:rsid w:val="0047705C"/>
    <w:rsid w:val="0047731A"/>
    <w:rsid w:val="00480AAF"/>
    <w:rsid w:val="00480B05"/>
    <w:rsid w:val="00481FAF"/>
    <w:rsid w:val="004821CC"/>
    <w:rsid w:val="00482846"/>
    <w:rsid w:val="00483734"/>
    <w:rsid w:val="004839BA"/>
    <w:rsid w:val="00484338"/>
    <w:rsid w:val="00484413"/>
    <w:rsid w:val="00484933"/>
    <w:rsid w:val="00484AE9"/>
    <w:rsid w:val="00485236"/>
    <w:rsid w:val="00485CB9"/>
    <w:rsid w:val="00487381"/>
    <w:rsid w:val="004878B0"/>
    <w:rsid w:val="00487CDC"/>
    <w:rsid w:val="0049017C"/>
    <w:rsid w:val="004922B6"/>
    <w:rsid w:val="0049339C"/>
    <w:rsid w:val="00493933"/>
    <w:rsid w:val="0049412F"/>
    <w:rsid w:val="004948C5"/>
    <w:rsid w:val="00495F10"/>
    <w:rsid w:val="00496062"/>
    <w:rsid w:val="004960AC"/>
    <w:rsid w:val="004975D6"/>
    <w:rsid w:val="004979E3"/>
    <w:rsid w:val="00497FB9"/>
    <w:rsid w:val="004A0449"/>
    <w:rsid w:val="004A1B10"/>
    <w:rsid w:val="004A257E"/>
    <w:rsid w:val="004A3130"/>
    <w:rsid w:val="004A38BC"/>
    <w:rsid w:val="004A3F3E"/>
    <w:rsid w:val="004A4658"/>
    <w:rsid w:val="004A49CE"/>
    <w:rsid w:val="004A4CFC"/>
    <w:rsid w:val="004A55ED"/>
    <w:rsid w:val="004A5907"/>
    <w:rsid w:val="004A71EE"/>
    <w:rsid w:val="004A7590"/>
    <w:rsid w:val="004A784A"/>
    <w:rsid w:val="004B00DB"/>
    <w:rsid w:val="004B0693"/>
    <w:rsid w:val="004B0DCC"/>
    <w:rsid w:val="004B170A"/>
    <w:rsid w:val="004B1753"/>
    <w:rsid w:val="004B1A22"/>
    <w:rsid w:val="004B222C"/>
    <w:rsid w:val="004B24D1"/>
    <w:rsid w:val="004B2766"/>
    <w:rsid w:val="004B2ED6"/>
    <w:rsid w:val="004B359F"/>
    <w:rsid w:val="004B399B"/>
    <w:rsid w:val="004B3F1F"/>
    <w:rsid w:val="004B4403"/>
    <w:rsid w:val="004B4EC3"/>
    <w:rsid w:val="004B4EFA"/>
    <w:rsid w:val="004B6599"/>
    <w:rsid w:val="004B68E5"/>
    <w:rsid w:val="004C105A"/>
    <w:rsid w:val="004C1675"/>
    <w:rsid w:val="004C1F93"/>
    <w:rsid w:val="004C2BE0"/>
    <w:rsid w:val="004C459C"/>
    <w:rsid w:val="004C4942"/>
    <w:rsid w:val="004C53D6"/>
    <w:rsid w:val="004C784F"/>
    <w:rsid w:val="004D00C7"/>
    <w:rsid w:val="004D00D4"/>
    <w:rsid w:val="004D1949"/>
    <w:rsid w:val="004D1FF9"/>
    <w:rsid w:val="004D2899"/>
    <w:rsid w:val="004D28F8"/>
    <w:rsid w:val="004D3A2E"/>
    <w:rsid w:val="004D4D7F"/>
    <w:rsid w:val="004D4DBA"/>
    <w:rsid w:val="004D5530"/>
    <w:rsid w:val="004D579A"/>
    <w:rsid w:val="004D7519"/>
    <w:rsid w:val="004D7680"/>
    <w:rsid w:val="004E0125"/>
    <w:rsid w:val="004E1300"/>
    <w:rsid w:val="004E1699"/>
    <w:rsid w:val="004E16E3"/>
    <w:rsid w:val="004E1767"/>
    <w:rsid w:val="004E191C"/>
    <w:rsid w:val="004E1F15"/>
    <w:rsid w:val="004E2EB8"/>
    <w:rsid w:val="004E3481"/>
    <w:rsid w:val="004E3518"/>
    <w:rsid w:val="004E35E8"/>
    <w:rsid w:val="004E3AD8"/>
    <w:rsid w:val="004E3D0F"/>
    <w:rsid w:val="004E3FFA"/>
    <w:rsid w:val="004E471D"/>
    <w:rsid w:val="004E49B4"/>
    <w:rsid w:val="004E4AE1"/>
    <w:rsid w:val="004E506D"/>
    <w:rsid w:val="004E5703"/>
    <w:rsid w:val="004E5AD5"/>
    <w:rsid w:val="004E7504"/>
    <w:rsid w:val="004E7F46"/>
    <w:rsid w:val="004F17E0"/>
    <w:rsid w:val="004F1AF8"/>
    <w:rsid w:val="004F1C68"/>
    <w:rsid w:val="004F1D56"/>
    <w:rsid w:val="004F346F"/>
    <w:rsid w:val="004F3E30"/>
    <w:rsid w:val="004F40FA"/>
    <w:rsid w:val="004F4357"/>
    <w:rsid w:val="004F4D3A"/>
    <w:rsid w:val="004F6585"/>
    <w:rsid w:val="004F78D2"/>
    <w:rsid w:val="005006EB"/>
    <w:rsid w:val="0050228B"/>
    <w:rsid w:val="00502A9E"/>
    <w:rsid w:val="00506552"/>
    <w:rsid w:val="00506A44"/>
    <w:rsid w:val="00506A6D"/>
    <w:rsid w:val="00506C75"/>
    <w:rsid w:val="00507813"/>
    <w:rsid w:val="0051066A"/>
    <w:rsid w:val="00510C36"/>
    <w:rsid w:val="00512695"/>
    <w:rsid w:val="00512F05"/>
    <w:rsid w:val="0051462A"/>
    <w:rsid w:val="00515098"/>
    <w:rsid w:val="00515CF5"/>
    <w:rsid w:val="0051679E"/>
    <w:rsid w:val="00522493"/>
    <w:rsid w:val="005225E0"/>
    <w:rsid w:val="005229A4"/>
    <w:rsid w:val="00522E5E"/>
    <w:rsid w:val="00522ECF"/>
    <w:rsid w:val="00523783"/>
    <w:rsid w:val="00525D9F"/>
    <w:rsid w:val="0052601C"/>
    <w:rsid w:val="00527156"/>
    <w:rsid w:val="005275B2"/>
    <w:rsid w:val="00527C05"/>
    <w:rsid w:val="00527F23"/>
    <w:rsid w:val="00530B8C"/>
    <w:rsid w:val="00531AE7"/>
    <w:rsid w:val="005321C5"/>
    <w:rsid w:val="0053229E"/>
    <w:rsid w:val="0053254C"/>
    <w:rsid w:val="00532AF9"/>
    <w:rsid w:val="00532ECD"/>
    <w:rsid w:val="005337A6"/>
    <w:rsid w:val="00535579"/>
    <w:rsid w:val="00536E91"/>
    <w:rsid w:val="0053782F"/>
    <w:rsid w:val="00537E9B"/>
    <w:rsid w:val="005401AF"/>
    <w:rsid w:val="00540AC8"/>
    <w:rsid w:val="0054108E"/>
    <w:rsid w:val="00541EBE"/>
    <w:rsid w:val="00542CB7"/>
    <w:rsid w:val="0054349B"/>
    <w:rsid w:val="00544014"/>
    <w:rsid w:val="0054546A"/>
    <w:rsid w:val="005463B1"/>
    <w:rsid w:val="005465CD"/>
    <w:rsid w:val="00546C5F"/>
    <w:rsid w:val="005477E0"/>
    <w:rsid w:val="005477EB"/>
    <w:rsid w:val="005500F0"/>
    <w:rsid w:val="00550513"/>
    <w:rsid w:val="00550A81"/>
    <w:rsid w:val="0055111E"/>
    <w:rsid w:val="005528AE"/>
    <w:rsid w:val="005529FF"/>
    <w:rsid w:val="00552CA1"/>
    <w:rsid w:val="00553058"/>
    <w:rsid w:val="00553293"/>
    <w:rsid w:val="00554664"/>
    <w:rsid w:val="00555499"/>
    <w:rsid w:val="00555A73"/>
    <w:rsid w:val="00555B67"/>
    <w:rsid w:val="005562DA"/>
    <w:rsid w:val="00560101"/>
    <w:rsid w:val="00560D0C"/>
    <w:rsid w:val="00561C83"/>
    <w:rsid w:val="00561F2D"/>
    <w:rsid w:val="00562E3A"/>
    <w:rsid w:val="005635F8"/>
    <w:rsid w:val="005653BA"/>
    <w:rsid w:val="005653EB"/>
    <w:rsid w:val="0056576D"/>
    <w:rsid w:val="00566670"/>
    <w:rsid w:val="00566806"/>
    <w:rsid w:val="00567050"/>
    <w:rsid w:val="005670F3"/>
    <w:rsid w:val="00567617"/>
    <w:rsid w:val="00567CD0"/>
    <w:rsid w:val="00571324"/>
    <w:rsid w:val="005731E2"/>
    <w:rsid w:val="00573298"/>
    <w:rsid w:val="005741C2"/>
    <w:rsid w:val="005743E9"/>
    <w:rsid w:val="00574BEF"/>
    <w:rsid w:val="005755B9"/>
    <w:rsid w:val="00576580"/>
    <w:rsid w:val="0057661C"/>
    <w:rsid w:val="00576ABC"/>
    <w:rsid w:val="00576F32"/>
    <w:rsid w:val="005771B2"/>
    <w:rsid w:val="0057737D"/>
    <w:rsid w:val="00580F86"/>
    <w:rsid w:val="00581846"/>
    <w:rsid w:val="00583008"/>
    <w:rsid w:val="00583432"/>
    <w:rsid w:val="00583B63"/>
    <w:rsid w:val="00583D66"/>
    <w:rsid w:val="0058732E"/>
    <w:rsid w:val="00590702"/>
    <w:rsid w:val="00590E5A"/>
    <w:rsid w:val="00591018"/>
    <w:rsid w:val="00591293"/>
    <w:rsid w:val="00593C51"/>
    <w:rsid w:val="00593E43"/>
    <w:rsid w:val="00594C56"/>
    <w:rsid w:val="00596433"/>
    <w:rsid w:val="005969E8"/>
    <w:rsid w:val="00596E93"/>
    <w:rsid w:val="00596FE4"/>
    <w:rsid w:val="005970E4"/>
    <w:rsid w:val="00597E42"/>
    <w:rsid w:val="005A0A45"/>
    <w:rsid w:val="005A1A1C"/>
    <w:rsid w:val="005A2D06"/>
    <w:rsid w:val="005A310D"/>
    <w:rsid w:val="005A4381"/>
    <w:rsid w:val="005A4F1B"/>
    <w:rsid w:val="005A52EE"/>
    <w:rsid w:val="005A5E0A"/>
    <w:rsid w:val="005A6206"/>
    <w:rsid w:val="005A65BF"/>
    <w:rsid w:val="005A69EA"/>
    <w:rsid w:val="005B0FD3"/>
    <w:rsid w:val="005B15DA"/>
    <w:rsid w:val="005B1F37"/>
    <w:rsid w:val="005B209F"/>
    <w:rsid w:val="005B24B6"/>
    <w:rsid w:val="005B343F"/>
    <w:rsid w:val="005B3602"/>
    <w:rsid w:val="005B51F5"/>
    <w:rsid w:val="005B5631"/>
    <w:rsid w:val="005B5695"/>
    <w:rsid w:val="005B57E6"/>
    <w:rsid w:val="005B5B2B"/>
    <w:rsid w:val="005B6C6F"/>
    <w:rsid w:val="005B740A"/>
    <w:rsid w:val="005C1444"/>
    <w:rsid w:val="005C338D"/>
    <w:rsid w:val="005C3A23"/>
    <w:rsid w:val="005C3AB6"/>
    <w:rsid w:val="005C3BE6"/>
    <w:rsid w:val="005C461E"/>
    <w:rsid w:val="005C593D"/>
    <w:rsid w:val="005C613F"/>
    <w:rsid w:val="005C64C8"/>
    <w:rsid w:val="005C6DD2"/>
    <w:rsid w:val="005C771A"/>
    <w:rsid w:val="005C7FA6"/>
    <w:rsid w:val="005D0C10"/>
    <w:rsid w:val="005D20B7"/>
    <w:rsid w:val="005D3519"/>
    <w:rsid w:val="005D3BF1"/>
    <w:rsid w:val="005D4776"/>
    <w:rsid w:val="005D4A3D"/>
    <w:rsid w:val="005D4C32"/>
    <w:rsid w:val="005D4D22"/>
    <w:rsid w:val="005D578A"/>
    <w:rsid w:val="005D5CF4"/>
    <w:rsid w:val="005D6304"/>
    <w:rsid w:val="005D72FE"/>
    <w:rsid w:val="005D779C"/>
    <w:rsid w:val="005E0126"/>
    <w:rsid w:val="005E0512"/>
    <w:rsid w:val="005E070B"/>
    <w:rsid w:val="005E2714"/>
    <w:rsid w:val="005E2FC6"/>
    <w:rsid w:val="005E2FF0"/>
    <w:rsid w:val="005E36EC"/>
    <w:rsid w:val="005E3B0A"/>
    <w:rsid w:val="005E3BEA"/>
    <w:rsid w:val="005E45E0"/>
    <w:rsid w:val="005E5A18"/>
    <w:rsid w:val="005E60ED"/>
    <w:rsid w:val="005E6415"/>
    <w:rsid w:val="005E72B5"/>
    <w:rsid w:val="005E74A7"/>
    <w:rsid w:val="005F1600"/>
    <w:rsid w:val="005F28D8"/>
    <w:rsid w:val="005F76C9"/>
    <w:rsid w:val="00600189"/>
    <w:rsid w:val="006001DC"/>
    <w:rsid w:val="00600B4F"/>
    <w:rsid w:val="006020B8"/>
    <w:rsid w:val="00602C12"/>
    <w:rsid w:val="00602CC8"/>
    <w:rsid w:val="00603E9F"/>
    <w:rsid w:val="00604EEB"/>
    <w:rsid w:val="00606F65"/>
    <w:rsid w:val="006102A2"/>
    <w:rsid w:val="006102D3"/>
    <w:rsid w:val="00611E02"/>
    <w:rsid w:val="006120BA"/>
    <w:rsid w:val="00612415"/>
    <w:rsid w:val="006143FD"/>
    <w:rsid w:val="00614EB1"/>
    <w:rsid w:val="00616294"/>
    <w:rsid w:val="00616304"/>
    <w:rsid w:val="006170F3"/>
    <w:rsid w:val="0061736E"/>
    <w:rsid w:val="00617B04"/>
    <w:rsid w:val="006206AE"/>
    <w:rsid w:val="00621A06"/>
    <w:rsid w:val="00621F8E"/>
    <w:rsid w:val="00622204"/>
    <w:rsid w:val="00622734"/>
    <w:rsid w:val="00625692"/>
    <w:rsid w:val="00627319"/>
    <w:rsid w:val="00630081"/>
    <w:rsid w:val="00631045"/>
    <w:rsid w:val="00631461"/>
    <w:rsid w:val="00631519"/>
    <w:rsid w:val="00632F1B"/>
    <w:rsid w:val="0063425F"/>
    <w:rsid w:val="0063486B"/>
    <w:rsid w:val="00635B1B"/>
    <w:rsid w:val="00636751"/>
    <w:rsid w:val="00637204"/>
    <w:rsid w:val="0063730A"/>
    <w:rsid w:val="00641D53"/>
    <w:rsid w:val="00642BAF"/>
    <w:rsid w:val="0064373E"/>
    <w:rsid w:val="00643E8B"/>
    <w:rsid w:val="0064462C"/>
    <w:rsid w:val="00645A8D"/>
    <w:rsid w:val="00645ECD"/>
    <w:rsid w:val="00646D98"/>
    <w:rsid w:val="00647EAD"/>
    <w:rsid w:val="006504F7"/>
    <w:rsid w:val="006506B4"/>
    <w:rsid w:val="00650CED"/>
    <w:rsid w:val="00651878"/>
    <w:rsid w:val="00651BF2"/>
    <w:rsid w:val="00651C19"/>
    <w:rsid w:val="006520CE"/>
    <w:rsid w:val="00652741"/>
    <w:rsid w:val="00652CC4"/>
    <w:rsid w:val="0065416F"/>
    <w:rsid w:val="0065544A"/>
    <w:rsid w:val="00655751"/>
    <w:rsid w:val="00655AD5"/>
    <w:rsid w:val="00656C5F"/>
    <w:rsid w:val="00656CA8"/>
    <w:rsid w:val="00656F86"/>
    <w:rsid w:val="00660729"/>
    <w:rsid w:val="00660DD5"/>
    <w:rsid w:val="006618E5"/>
    <w:rsid w:val="00662B3D"/>
    <w:rsid w:val="0066417F"/>
    <w:rsid w:val="0066433B"/>
    <w:rsid w:val="00665741"/>
    <w:rsid w:val="00666FF1"/>
    <w:rsid w:val="0066764A"/>
    <w:rsid w:val="00667AF2"/>
    <w:rsid w:val="00667E47"/>
    <w:rsid w:val="006720E7"/>
    <w:rsid w:val="00672407"/>
    <w:rsid w:val="006726D4"/>
    <w:rsid w:val="006728CD"/>
    <w:rsid w:val="00672FF4"/>
    <w:rsid w:val="006734D3"/>
    <w:rsid w:val="006748D4"/>
    <w:rsid w:val="00674F08"/>
    <w:rsid w:val="00675C2A"/>
    <w:rsid w:val="00675DF2"/>
    <w:rsid w:val="00677218"/>
    <w:rsid w:val="0067782A"/>
    <w:rsid w:val="00677FE0"/>
    <w:rsid w:val="006808D9"/>
    <w:rsid w:val="00681282"/>
    <w:rsid w:val="006826E0"/>
    <w:rsid w:val="00683211"/>
    <w:rsid w:val="0068409E"/>
    <w:rsid w:val="0068425D"/>
    <w:rsid w:val="006849C0"/>
    <w:rsid w:val="00684CF3"/>
    <w:rsid w:val="00685F6B"/>
    <w:rsid w:val="0068604F"/>
    <w:rsid w:val="006874AC"/>
    <w:rsid w:val="00687614"/>
    <w:rsid w:val="0069109C"/>
    <w:rsid w:val="00691C70"/>
    <w:rsid w:val="00692C09"/>
    <w:rsid w:val="00692FE0"/>
    <w:rsid w:val="00693757"/>
    <w:rsid w:val="00693D08"/>
    <w:rsid w:val="00694438"/>
    <w:rsid w:val="0069454E"/>
    <w:rsid w:val="0069467F"/>
    <w:rsid w:val="00694723"/>
    <w:rsid w:val="00694BC7"/>
    <w:rsid w:val="00694BD7"/>
    <w:rsid w:val="006956B7"/>
    <w:rsid w:val="0069611A"/>
    <w:rsid w:val="006962BA"/>
    <w:rsid w:val="006962E8"/>
    <w:rsid w:val="0069667F"/>
    <w:rsid w:val="00697708"/>
    <w:rsid w:val="006978BB"/>
    <w:rsid w:val="00697C16"/>
    <w:rsid w:val="00697C44"/>
    <w:rsid w:val="006A0AAB"/>
    <w:rsid w:val="006A15DA"/>
    <w:rsid w:val="006A191F"/>
    <w:rsid w:val="006A37AE"/>
    <w:rsid w:val="006A4B19"/>
    <w:rsid w:val="006A4C11"/>
    <w:rsid w:val="006A5A01"/>
    <w:rsid w:val="006B08D1"/>
    <w:rsid w:val="006B22A4"/>
    <w:rsid w:val="006B26C3"/>
    <w:rsid w:val="006B2C9D"/>
    <w:rsid w:val="006B2DC1"/>
    <w:rsid w:val="006B2FF1"/>
    <w:rsid w:val="006B3181"/>
    <w:rsid w:val="006B4AFD"/>
    <w:rsid w:val="006B6696"/>
    <w:rsid w:val="006B72D3"/>
    <w:rsid w:val="006B7AD6"/>
    <w:rsid w:val="006C0717"/>
    <w:rsid w:val="006C0731"/>
    <w:rsid w:val="006C0888"/>
    <w:rsid w:val="006C0EA3"/>
    <w:rsid w:val="006C121E"/>
    <w:rsid w:val="006C14A4"/>
    <w:rsid w:val="006C1522"/>
    <w:rsid w:val="006C166C"/>
    <w:rsid w:val="006C2F94"/>
    <w:rsid w:val="006C42F5"/>
    <w:rsid w:val="006C4BB9"/>
    <w:rsid w:val="006C4DB7"/>
    <w:rsid w:val="006C4E38"/>
    <w:rsid w:val="006C5301"/>
    <w:rsid w:val="006C5B95"/>
    <w:rsid w:val="006C6104"/>
    <w:rsid w:val="006C679E"/>
    <w:rsid w:val="006C67A3"/>
    <w:rsid w:val="006C6989"/>
    <w:rsid w:val="006C6AA6"/>
    <w:rsid w:val="006C6B06"/>
    <w:rsid w:val="006C77B4"/>
    <w:rsid w:val="006C7A5E"/>
    <w:rsid w:val="006D148C"/>
    <w:rsid w:val="006D1872"/>
    <w:rsid w:val="006D188B"/>
    <w:rsid w:val="006D2FD9"/>
    <w:rsid w:val="006D3A8E"/>
    <w:rsid w:val="006D4592"/>
    <w:rsid w:val="006D4DAF"/>
    <w:rsid w:val="006D52B3"/>
    <w:rsid w:val="006D5E2D"/>
    <w:rsid w:val="006D72DC"/>
    <w:rsid w:val="006D749C"/>
    <w:rsid w:val="006E0C56"/>
    <w:rsid w:val="006E1556"/>
    <w:rsid w:val="006E1F47"/>
    <w:rsid w:val="006E2DD8"/>
    <w:rsid w:val="006E3548"/>
    <w:rsid w:val="006E35F3"/>
    <w:rsid w:val="006E4131"/>
    <w:rsid w:val="006E55D7"/>
    <w:rsid w:val="006E55F0"/>
    <w:rsid w:val="006E6327"/>
    <w:rsid w:val="006E6FC5"/>
    <w:rsid w:val="006E7515"/>
    <w:rsid w:val="006E753E"/>
    <w:rsid w:val="006F0D02"/>
    <w:rsid w:val="006F0DC4"/>
    <w:rsid w:val="006F1619"/>
    <w:rsid w:val="006F19B6"/>
    <w:rsid w:val="006F1EAA"/>
    <w:rsid w:val="006F1FC3"/>
    <w:rsid w:val="006F204A"/>
    <w:rsid w:val="006F32D9"/>
    <w:rsid w:val="006F4906"/>
    <w:rsid w:val="006F5147"/>
    <w:rsid w:val="006F55B1"/>
    <w:rsid w:val="006F5AFB"/>
    <w:rsid w:val="006F5EC2"/>
    <w:rsid w:val="006F6559"/>
    <w:rsid w:val="006F66AA"/>
    <w:rsid w:val="006F7B2F"/>
    <w:rsid w:val="00700B1C"/>
    <w:rsid w:val="00700F72"/>
    <w:rsid w:val="007018B0"/>
    <w:rsid w:val="0070319A"/>
    <w:rsid w:val="00703947"/>
    <w:rsid w:val="00703D3E"/>
    <w:rsid w:val="00704D4C"/>
    <w:rsid w:val="00706A77"/>
    <w:rsid w:val="00710D14"/>
    <w:rsid w:val="00712312"/>
    <w:rsid w:val="00712899"/>
    <w:rsid w:val="00712914"/>
    <w:rsid w:val="0071291C"/>
    <w:rsid w:val="00712C78"/>
    <w:rsid w:val="0071322E"/>
    <w:rsid w:val="00713E49"/>
    <w:rsid w:val="007148A1"/>
    <w:rsid w:val="00715487"/>
    <w:rsid w:val="007178C3"/>
    <w:rsid w:val="00717C41"/>
    <w:rsid w:val="0072029A"/>
    <w:rsid w:val="007207EA"/>
    <w:rsid w:val="00720CA3"/>
    <w:rsid w:val="00720DDA"/>
    <w:rsid w:val="0072194F"/>
    <w:rsid w:val="00722885"/>
    <w:rsid w:val="00723243"/>
    <w:rsid w:val="007235DB"/>
    <w:rsid w:val="00723AC8"/>
    <w:rsid w:val="00723E7C"/>
    <w:rsid w:val="007247E2"/>
    <w:rsid w:val="00725374"/>
    <w:rsid w:val="00725445"/>
    <w:rsid w:val="007269FD"/>
    <w:rsid w:val="007279D7"/>
    <w:rsid w:val="007279E2"/>
    <w:rsid w:val="00730382"/>
    <w:rsid w:val="0073102F"/>
    <w:rsid w:val="007312CC"/>
    <w:rsid w:val="00731538"/>
    <w:rsid w:val="007322D5"/>
    <w:rsid w:val="00732FA7"/>
    <w:rsid w:val="00733939"/>
    <w:rsid w:val="00733B40"/>
    <w:rsid w:val="00734393"/>
    <w:rsid w:val="0073454C"/>
    <w:rsid w:val="00735097"/>
    <w:rsid w:val="00735117"/>
    <w:rsid w:val="00735DA9"/>
    <w:rsid w:val="00735E73"/>
    <w:rsid w:val="00736063"/>
    <w:rsid w:val="0074084E"/>
    <w:rsid w:val="007420CF"/>
    <w:rsid w:val="007422DE"/>
    <w:rsid w:val="00742CDF"/>
    <w:rsid w:val="007433CC"/>
    <w:rsid w:val="00743744"/>
    <w:rsid w:val="00744A94"/>
    <w:rsid w:val="007467E4"/>
    <w:rsid w:val="00747748"/>
    <w:rsid w:val="0075011C"/>
    <w:rsid w:val="0075390D"/>
    <w:rsid w:val="00754E47"/>
    <w:rsid w:val="00755D0D"/>
    <w:rsid w:val="0075716F"/>
    <w:rsid w:val="007577DD"/>
    <w:rsid w:val="007609EE"/>
    <w:rsid w:val="00761590"/>
    <w:rsid w:val="0076277B"/>
    <w:rsid w:val="0076325C"/>
    <w:rsid w:val="00763AAB"/>
    <w:rsid w:val="00764E3D"/>
    <w:rsid w:val="00765459"/>
    <w:rsid w:val="007655E6"/>
    <w:rsid w:val="00765A97"/>
    <w:rsid w:val="00765C85"/>
    <w:rsid w:val="007664EB"/>
    <w:rsid w:val="00767B7C"/>
    <w:rsid w:val="007717D4"/>
    <w:rsid w:val="00771B6C"/>
    <w:rsid w:val="0077201E"/>
    <w:rsid w:val="007731B7"/>
    <w:rsid w:val="007733F7"/>
    <w:rsid w:val="007746C0"/>
    <w:rsid w:val="00776336"/>
    <w:rsid w:val="00776B51"/>
    <w:rsid w:val="0077786D"/>
    <w:rsid w:val="00777A2E"/>
    <w:rsid w:val="00781C41"/>
    <w:rsid w:val="0078213F"/>
    <w:rsid w:val="0078248F"/>
    <w:rsid w:val="00784015"/>
    <w:rsid w:val="007842BB"/>
    <w:rsid w:val="00784D1D"/>
    <w:rsid w:val="00785CD3"/>
    <w:rsid w:val="007863AB"/>
    <w:rsid w:val="0078681F"/>
    <w:rsid w:val="00787CDE"/>
    <w:rsid w:val="00787D7F"/>
    <w:rsid w:val="007901FA"/>
    <w:rsid w:val="00790BC5"/>
    <w:rsid w:val="00790DC4"/>
    <w:rsid w:val="00790E8C"/>
    <w:rsid w:val="00791279"/>
    <w:rsid w:val="00791659"/>
    <w:rsid w:val="00792702"/>
    <w:rsid w:val="00792CDD"/>
    <w:rsid w:val="00794F25"/>
    <w:rsid w:val="00795440"/>
    <w:rsid w:val="007956C1"/>
    <w:rsid w:val="0079588F"/>
    <w:rsid w:val="00795AC6"/>
    <w:rsid w:val="00797BC1"/>
    <w:rsid w:val="00797FF6"/>
    <w:rsid w:val="007A103E"/>
    <w:rsid w:val="007A2115"/>
    <w:rsid w:val="007A34ED"/>
    <w:rsid w:val="007A3EB3"/>
    <w:rsid w:val="007A45F3"/>
    <w:rsid w:val="007A4CCD"/>
    <w:rsid w:val="007A5F70"/>
    <w:rsid w:val="007A66BA"/>
    <w:rsid w:val="007B0931"/>
    <w:rsid w:val="007B0D50"/>
    <w:rsid w:val="007B11C0"/>
    <w:rsid w:val="007B24C8"/>
    <w:rsid w:val="007B254E"/>
    <w:rsid w:val="007B2F77"/>
    <w:rsid w:val="007B3572"/>
    <w:rsid w:val="007B77BA"/>
    <w:rsid w:val="007B7EA7"/>
    <w:rsid w:val="007C01BB"/>
    <w:rsid w:val="007C05E4"/>
    <w:rsid w:val="007C08B0"/>
    <w:rsid w:val="007C16E5"/>
    <w:rsid w:val="007C1787"/>
    <w:rsid w:val="007C199E"/>
    <w:rsid w:val="007C19ED"/>
    <w:rsid w:val="007C362A"/>
    <w:rsid w:val="007C3FF4"/>
    <w:rsid w:val="007C43C1"/>
    <w:rsid w:val="007C4513"/>
    <w:rsid w:val="007C4C06"/>
    <w:rsid w:val="007C5D32"/>
    <w:rsid w:val="007C60EE"/>
    <w:rsid w:val="007C649A"/>
    <w:rsid w:val="007C6969"/>
    <w:rsid w:val="007C7C3C"/>
    <w:rsid w:val="007D0AD0"/>
    <w:rsid w:val="007D124A"/>
    <w:rsid w:val="007D1E66"/>
    <w:rsid w:val="007D1F27"/>
    <w:rsid w:val="007D37B0"/>
    <w:rsid w:val="007D3E5F"/>
    <w:rsid w:val="007D4046"/>
    <w:rsid w:val="007D424A"/>
    <w:rsid w:val="007D5F42"/>
    <w:rsid w:val="007D6374"/>
    <w:rsid w:val="007D7537"/>
    <w:rsid w:val="007D75A8"/>
    <w:rsid w:val="007D7C2F"/>
    <w:rsid w:val="007E15D4"/>
    <w:rsid w:val="007E27AF"/>
    <w:rsid w:val="007E34FC"/>
    <w:rsid w:val="007E4112"/>
    <w:rsid w:val="007E4843"/>
    <w:rsid w:val="007E4CFD"/>
    <w:rsid w:val="007E6315"/>
    <w:rsid w:val="007E63F8"/>
    <w:rsid w:val="007E7298"/>
    <w:rsid w:val="007E7886"/>
    <w:rsid w:val="007E7CB8"/>
    <w:rsid w:val="007F079A"/>
    <w:rsid w:val="007F0C24"/>
    <w:rsid w:val="007F0CCF"/>
    <w:rsid w:val="007F1126"/>
    <w:rsid w:val="007F14A6"/>
    <w:rsid w:val="007F369C"/>
    <w:rsid w:val="007F4022"/>
    <w:rsid w:val="007F5025"/>
    <w:rsid w:val="007F5FB0"/>
    <w:rsid w:val="007F6ABA"/>
    <w:rsid w:val="007F7437"/>
    <w:rsid w:val="007F7D58"/>
    <w:rsid w:val="00800339"/>
    <w:rsid w:val="008016CB"/>
    <w:rsid w:val="00801818"/>
    <w:rsid w:val="00802039"/>
    <w:rsid w:val="00802E52"/>
    <w:rsid w:val="0080349B"/>
    <w:rsid w:val="00804128"/>
    <w:rsid w:val="008050F1"/>
    <w:rsid w:val="0080557D"/>
    <w:rsid w:val="00805B69"/>
    <w:rsid w:val="00806355"/>
    <w:rsid w:val="00807A96"/>
    <w:rsid w:val="00807F6B"/>
    <w:rsid w:val="00810763"/>
    <w:rsid w:val="00810A9A"/>
    <w:rsid w:val="00810F8E"/>
    <w:rsid w:val="0081201B"/>
    <w:rsid w:val="008120D4"/>
    <w:rsid w:val="008129F0"/>
    <w:rsid w:val="0081345B"/>
    <w:rsid w:val="00813C4F"/>
    <w:rsid w:val="00813DDE"/>
    <w:rsid w:val="00813E0E"/>
    <w:rsid w:val="008140D8"/>
    <w:rsid w:val="0081460C"/>
    <w:rsid w:val="008153F6"/>
    <w:rsid w:val="00815468"/>
    <w:rsid w:val="008168D9"/>
    <w:rsid w:val="0082002F"/>
    <w:rsid w:val="00820CE6"/>
    <w:rsid w:val="00821C97"/>
    <w:rsid w:val="00822E62"/>
    <w:rsid w:val="008231B6"/>
    <w:rsid w:val="00823C27"/>
    <w:rsid w:val="00823D0D"/>
    <w:rsid w:val="008245D7"/>
    <w:rsid w:val="008245DC"/>
    <w:rsid w:val="008253EC"/>
    <w:rsid w:val="0082553E"/>
    <w:rsid w:val="0082652B"/>
    <w:rsid w:val="0082659C"/>
    <w:rsid w:val="00826730"/>
    <w:rsid w:val="00826C6D"/>
    <w:rsid w:val="00827CFE"/>
    <w:rsid w:val="008312CD"/>
    <w:rsid w:val="00831C05"/>
    <w:rsid w:val="008320DB"/>
    <w:rsid w:val="00833DC1"/>
    <w:rsid w:val="00834F84"/>
    <w:rsid w:val="00834FBC"/>
    <w:rsid w:val="00835046"/>
    <w:rsid w:val="008351D6"/>
    <w:rsid w:val="0083561B"/>
    <w:rsid w:val="008358EC"/>
    <w:rsid w:val="008377AD"/>
    <w:rsid w:val="00837978"/>
    <w:rsid w:val="00840115"/>
    <w:rsid w:val="008404B8"/>
    <w:rsid w:val="0084098E"/>
    <w:rsid w:val="00841CDC"/>
    <w:rsid w:val="00842775"/>
    <w:rsid w:val="00844FA2"/>
    <w:rsid w:val="00845077"/>
    <w:rsid w:val="008450CE"/>
    <w:rsid w:val="00845371"/>
    <w:rsid w:val="0084554C"/>
    <w:rsid w:val="008457AC"/>
    <w:rsid w:val="00847475"/>
    <w:rsid w:val="008478BA"/>
    <w:rsid w:val="00847C67"/>
    <w:rsid w:val="008507B3"/>
    <w:rsid w:val="008526F5"/>
    <w:rsid w:val="00853395"/>
    <w:rsid w:val="00853BBC"/>
    <w:rsid w:val="00853E3F"/>
    <w:rsid w:val="0085453E"/>
    <w:rsid w:val="00855BF8"/>
    <w:rsid w:val="00855ED8"/>
    <w:rsid w:val="008567DE"/>
    <w:rsid w:val="00856992"/>
    <w:rsid w:val="00856B98"/>
    <w:rsid w:val="00857492"/>
    <w:rsid w:val="00857620"/>
    <w:rsid w:val="00857E41"/>
    <w:rsid w:val="00857FB4"/>
    <w:rsid w:val="00857FCC"/>
    <w:rsid w:val="008601F9"/>
    <w:rsid w:val="0086021E"/>
    <w:rsid w:val="00860456"/>
    <w:rsid w:val="00860F6A"/>
    <w:rsid w:val="00863273"/>
    <w:rsid w:val="008646FD"/>
    <w:rsid w:val="00865583"/>
    <w:rsid w:val="0086594F"/>
    <w:rsid w:val="00865FEF"/>
    <w:rsid w:val="00867C45"/>
    <w:rsid w:val="008700F4"/>
    <w:rsid w:val="008703C2"/>
    <w:rsid w:val="0087060D"/>
    <w:rsid w:val="00870F96"/>
    <w:rsid w:val="008712F8"/>
    <w:rsid w:val="00873CB0"/>
    <w:rsid w:val="008753D3"/>
    <w:rsid w:val="00875740"/>
    <w:rsid w:val="0087615D"/>
    <w:rsid w:val="00876309"/>
    <w:rsid w:val="0087695F"/>
    <w:rsid w:val="00877054"/>
    <w:rsid w:val="00880004"/>
    <w:rsid w:val="008808E7"/>
    <w:rsid w:val="00881464"/>
    <w:rsid w:val="00883041"/>
    <w:rsid w:val="008836D5"/>
    <w:rsid w:val="00883EA4"/>
    <w:rsid w:val="008840BA"/>
    <w:rsid w:val="0088411A"/>
    <w:rsid w:val="00885DF6"/>
    <w:rsid w:val="00885EC3"/>
    <w:rsid w:val="008860E4"/>
    <w:rsid w:val="0088688E"/>
    <w:rsid w:val="008911B1"/>
    <w:rsid w:val="00891238"/>
    <w:rsid w:val="00892420"/>
    <w:rsid w:val="008928EF"/>
    <w:rsid w:val="008937A9"/>
    <w:rsid w:val="00893DBF"/>
    <w:rsid w:val="00894136"/>
    <w:rsid w:val="00896DE0"/>
    <w:rsid w:val="008A0F26"/>
    <w:rsid w:val="008A260A"/>
    <w:rsid w:val="008A293D"/>
    <w:rsid w:val="008A3093"/>
    <w:rsid w:val="008A5FCD"/>
    <w:rsid w:val="008A5FEB"/>
    <w:rsid w:val="008A692E"/>
    <w:rsid w:val="008A7E44"/>
    <w:rsid w:val="008B05E5"/>
    <w:rsid w:val="008B0ADF"/>
    <w:rsid w:val="008B1D3C"/>
    <w:rsid w:val="008B1E12"/>
    <w:rsid w:val="008B2837"/>
    <w:rsid w:val="008B432B"/>
    <w:rsid w:val="008B4C94"/>
    <w:rsid w:val="008B5100"/>
    <w:rsid w:val="008B6390"/>
    <w:rsid w:val="008B7226"/>
    <w:rsid w:val="008B7A2A"/>
    <w:rsid w:val="008C014E"/>
    <w:rsid w:val="008C036B"/>
    <w:rsid w:val="008C044E"/>
    <w:rsid w:val="008C1E57"/>
    <w:rsid w:val="008C2130"/>
    <w:rsid w:val="008C31C3"/>
    <w:rsid w:val="008C38EE"/>
    <w:rsid w:val="008C3FBF"/>
    <w:rsid w:val="008C4234"/>
    <w:rsid w:val="008C47FF"/>
    <w:rsid w:val="008C53B4"/>
    <w:rsid w:val="008C5A1D"/>
    <w:rsid w:val="008C5D9F"/>
    <w:rsid w:val="008C6E1A"/>
    <w:rsid w:val="008C726C"/>
    <w:rsid w:val="008C76CC"/>
    <w:rsid w:val="008C771E"/>
    <w:rsid w:val="008D0386"/>
    <w:rsid w:val="008D16B2"/>
    <w:rsid w:val="008D2029"/>
    <w:rsid w:val="008D2B64"/>
    <w:rsid w:val="008D2DD2"/>
    <w:rsid w:val="008D311B"/>
    <w:rsid w:val="008D4040"/>
    <w:rsid w:val="008D4562"/>
    <w:rsid w:val="008D491C"/>
    <w:rsid w:val="008D5306"/>
    <w:rsid w:val="008D5B6F"/>
    <w:rsid w:val="008D704B"/>
    <w:rsid w:val="008D7EC7"/>
    <w:rsid w:val="008E0C9C"/>
    <w:rsid w:val="008E0D2D"/>
    <w:rsid w:val="008E1D11"/>
    <w:rsid w:val="008E205E"/>
    <w:rsid w:val="008E2244"/>
    <w:rsid w:val="008E29E9"/>
    <w:rsid w:val="008E2DE9"/>
    <w:rsid w:val="008E3625"/>
    <w:rsid w:val="008E4EDE"/>
    <w:rsid w:val="008E5C4F"/>
    <w:rsid w:val="008E5E1F"/>
    <w:rsid w:val="008E5FB1"/>
    <w:rsid w:val="008E64F8"/>
    <w:rsid w:val="008E68BF"/>
    <w:rsid w:val="008F0082"/>
    <w:rsid w:val="008F20AC"/>
    <w:rsid w:val="008F22D5"/>
    <w:rsid w:val="008F2F9D"/>
    <w:rsid w:val="008F47E0"/>
    <w:rsid w:val="008F509C"/>
    <w:rsid w:val="008F5724"/>
    <w:rsid w:val="008F5993"/>
    <w:rsid w:val="008F5DD7"/>
    <w:rsid w:val="008F6B3C"/>
    <w:rsid w:val="008F6BD7"/>
    <w:rsid w:val="00900E4D"/>
    <w:rsid w:val="00900F9E"/>
    <w:rsid w:val="00901732"/>
    <w:rsid w:val="0090245C"/>
    <w:rsid w:val="00902B8A"/>
    <w:rsid w:val="00903A05"/>
    <w:rsid w:val="009045A8"/>
    <w:rsid w:val="00904AA1"/>
    <w:rsid w:val="00906ABD"/>
    <w:rsid w:val="00906EB3"/>
    <w:rsid w:val="00906ECD"/>
    <w:rsid w:val="009073DC"/>
    <w:rsid w:val="00910146"/>
    <w:rsid w:val="00910478"/>
    <w:rsid w:val="009112C9"/>
    <w:rsid w:val="00911935"/>
    <w:rsid w:val="00911C42"/>
    <w:rsid w:val="00912435"/>
    <w:rsid w:val="00912715"/>
    <w:rsid w:val="009130C5"/>
    <w:rsid w:val="00913652"/>
    <w:rsid w:val="0091384C"/>
    <w:rsid w:val="0091396F"/>
    <w:rsid w:val="00913A79"/>
    <w:rsid w:val="00914BAF"/>
    <w:rsid w:val="00915063"/>
    <w:rsid w:val="00915679"/>
    <w:rsid w:val="00917698"/>
    <w:rsid w:val="00920919"/>
    <w:rsid w:val="0092172D"/>
    <w:rsid w:val="00921F1D"/>
    <w:rsid w:val="00922328"/>
    <w:rsid w:val="009223ED"/>
    <w:rsid w:val="0092268E"/>
    <w:rsid w:val="00923C7B"/>
    <w:rsid w:val="0092488B"/>
    <w:rsid w:val="0092542C"/>
    <w:rsid w:val="00925828"/>
    <w:rsid w:val="0092619D"/>
    <w:rsid w:val="0093060B"/>
    <w:rsid w:val="00930B88"/>
    <w:rsid w:val="00930C03"/>
    <w:rsid w:val="00930CD6"/>
    <w:rsid w:val="00930E5C"/>
    <w:rsid w:val="00931612"/>
    <w:rsid w:val="00932110"/>
    <w:rsid w:val="009329C4"/>
    <w:rsid w:val="009335EC"/>
    <w:rsid w:val="00933DE0"/>
    <w:rsid w:val="009342CB"/>
    <w:rsid w:val="00934639"/>
    <w:rsid w:val="0093481A"/>
    <w:rsid w:val="00934C41"/>
    <w:rsid w:val="00934DF5"/>
    <w:rsid w:val="00935655"/>
    <w:rsid w:val="009364AC"/>
    <w:rsid w:val="009366D7"/>
    <w:rsid w:val="00936B3D"/>
    <w:rsid w:val="009371A9"/>
    <w:rsid w:val="009412C6"/>
    <w:rsid w:val="00942FEF"/>
    <w:rsid w:val="00943141"/>
    <w:rsid w:val="009435AB"/>
    <w:rsid w:val="0094465E"/>
    <w:rsid w:val="00946DC1"/>
    <w:rsid w:val="00947878"/>
    <w:rsid w:val="00947C1E"/>
    <w:rsid w:val="00950656"/>
    <w:rsid w:val="009513F0"/>
    <w:rsid w:val="00951F00"/>
    <w:rsid w:val="00952676"/>
    <w:rsid w:val="00952F1F"/>
    <w:rsid w:val="009534DF"/>
    <w:rsid w:val="00954F12"/>
    <w:rsid w:val="00956531"/>
    <w:rsid w:val="009565C6"/>
    <w:rsid w:val="009578E9"/>
    <w:rsid w:val="00960C54"/>
    <w:rsid w:val="00962BE8"/>
    <w:rsid w:val="00962C59"/>
    <w:rsid w:val="00962FFE"/>
    <w:rsid w:val="00963CD2"/>
    <w:rsid w:val="0096411D"/>
    <w:rsid w:val="009647D5"/>
    <w:rsid w:val="00964A4C"/>
    <w:rsid w:val="009654C5"/>
    <w:rsid w:val="00966B0B"/>
    <w:rsid w:val="00967379"/>
    <w:rsid w:val="00967FD5"/>
    <w:rsid w:val="00970014"/>
    <w:rsid w:val="009706CC"/>
    <w:rsid w:val="009718BC"/>
    <w:rsid w:val="00971A13"/>
    <w:rsid w:val="00973545"/>
    <w:rsid w:val="00973EC9"/>
    <w:rsid w:val="009755E3"/>
    <w:rsid w:val="0097642E"/>
    <w:rsid w:val="00976D03"/>
    <w:rsid w:val="00976EBC"/>
    <w:rsid w:val="009804C8"/>
    <w:rsid w:val="009810BD"/>
    <w:rsid w:val="0098129E"/>
    <w:rsid w:val="0098243D"/>
    <w:rsid w:val="00982A96"/>
    <w:rsid w:val="00982C9A"/>
    <w:rsid w:val="00982DF5"/>
    <w:rsid w:val="0098334E"/>
    <w:rsid w:val="009848AC"/>
    <w:rsid w:val="009869A5"/>
    <w:rsid w:val="009876D1"/>
    <w:rsid w:val="00987A2C"/>
    <w:rsid w:val="00987AC5"/>
    <w:rsid w:val="00993E41"/>
    <w:rsid w:val="00996E98"/>
    <w:rsid w:val="00997261"/>
    <w:rsid w:val="009A0EA0"/>
    <w:rsid w:val="009A1B9D"/>
    <w:rsid w:val="009A31CD"/>
    <w:rsid w:val="009A4A99"/>
    <w:rsid w:val="009A5014"/>
    <w:rsid w:val="009A58BB"/>
    <w:rsid w:val="009A5CF0"/>
    <w:rsid w:val="009A5F35"/>
    <w:rsid w:val="009A6A14"/>
    <w:rsid w:val="009A6A59"/>
    <w:rsid w:val="009A7C7A"/>
    <w:rsid w:val="009B00B5"/>
    <w:rsid w:val="009B1EBE"/>
    <w:rsid w:val="009B1FCE"/>
    <w:rsid w:val="009B25BE"/>
    <w:rsid w:val="009B2B41"/>
    <w:rsid w:val="009B2C65"/>
    <w:rsid w:val="009B3CF3"/>
    <w:rsid w:val="009B4FAE"/>
    <w:rsid w:val="009B58A2"/>
    <w:rsid w:val="009B6928"/>
    <w:rsid w:val="009B6CE0"/>
    <w:rsid w:val="009B70A2"/>
    <w:rsid w:val="009B7583"/>
    <w:rsid w:val="009C0398"/>
    <w:rsid w:val="009C0ABF"/>
    <w:rsid w:val="009C136C"/>
    <w:rsid w:val="009C179B"/>
    <w:rsid w:val="009C1E12"/>
    <w:rsid w:val="009C2712"/>
    <w:rsid w:val="009C35BA"/>
    <w:rsid w:val="009C3D1D"/>
    <w:rsid w:val="009C3F94"/>
    <w:rsid w:val="009C4378"/>
    <w:rsid w:val="009C4D57"/>
    <w:rsid w:val="009C5CEE"/>
    <w:rsid w:val="009C600E"/>
    <w:rsid w:val="009C689A"/>
    <w:rsid w:val="009C6AF4"/>
    <w:rsid w:val="009C7871"/>
    <w:rsid w:val="009D004B"/>
    <w:rsid w:val="009D0075"/>
    <w:rsid w:val="009D25DB"/>
    <w:rsid w:val="009D3AC6"/>
    <w:rsid w:val="009D46EF"/>
    <w:rsid w:val="009D4AA5"/>
    <w:rsid w:val="009D5F86"/>
    <w:rsid w:val="009D7241"/>
    <w:rsid w:val="009D76E5"/>
    <w:rsid w:val="009D7FC5"/>
    <w:rsid w:val="009E1C99"/>
    <w:rsid w:val="009E2564"/>
    <w:rsid w:val="009E2B45"/>
    <w:rsid w:val="009E3B2F"/>
    <w:rsid w:val="009E4351"/>
    <w:rsid w:val="009E4CE9"/>
    <w:rsid w:val="009E721D"/>
    <w:rsid w:val="009F0304"/>
    <w:rsid w:val="009F1231"/>
    <w:rsid w:val="009F1962"/>
    <w:rsid w:val="009F1C85"/>
    <w:rsid w:val="009F229D"/>
    <w:rsid w:val="009F280C"/>
    <w:rsid w:val="009F3054"/>
    <w:rsid w:val="009F34B9"/>
    <w:rsid w:val="009F3840"/>
    <w:rsid w:val="009F3A6B"/>
    <w:rsid w:val="009F45BE"/>
    <w:rsid w:val="009F4983"/>
    <w:rsid w:val="009F5E9F"/>
    <w:rsid w:val="009F7571"/>
    <w:rsid w:val="00A00923"/>
    <w:rsid w:val="00A00CFF"/>
    <w:rsid w:val="00A012E3"/>
    <w:rsid w:val="00A015E8"/>
    <w:rsid w:val="00A02C49"/>
    <w:rsid w:val="00A059F0"/>
    <w:rsid w:val="00A06B6A"/>
    <w:rsid w:val="00A07293"/>
    <w:rsid w:val="00A0759C"/>
    <w:rsid w:val="00A0787E"/>
    <w:rsid w:val="00A07C4B"/>
    <w:rsid w:val="00A120B7"/>
    <w:rsid w:val="00A12EBC"/>
    <w:rsid w:val="00A137CC"/>
    <w:rsid w:val="00A13D46"/>
    <w:rsid w:val="00A13E43"/>
    <w:rsid w:val="00A140B4"/>
    <w:rsid w:val="00A14E77"/>
    <w:rsid w:val="00A1617F"/>
    <w:rsid w:val="00A1637C"/>
    <w:rsid w:val="00A16718"/>
    <w:rsid w:val="00A1729E"/>
    <w:rsid w:val="00A177CF"/>
    <w:rsid w:val="00A201D9"/>
    <w:rsid w:val="00A210B6"/>
    <w:rsid w:val="00A21288"/>
    <w:rsid w:val="00A2192D"/>
    <w:rsid w:val="00A226F9"/>
    <w:rsid w:val="00A2278F"/>
    <w:rsid w:val="00A229FA"/>
    <w:rsid w:val="00A22A42"/>
    <w:rsid w:val="00A22AB4"/>
    <w:rsid w:val="00A22E88"/>
    <w:rsid w:val="00A23A39"/>
    <w:rsid w:val="00A24178"/>
    <w:rsid w:val="00A2466C"/>
    <w:rsid w:val="00A25047"/>
    <w:rsid w:val="00A25794"/>
    <w:rsid w:val="00A258B6"/>
    <w:rsid w:val="00A25C42"/>
    <w:rsid w:val="00A26F5F"/>
    <w:rsid w:val="00A27362"/>
    <w:rsid w:val="00A31850"/>
    <w:rsid w:val="00A3196F"/>
    <w:rsid w:val="00A3329C"/>
    <w:rsid w:val="00A333B0"/>
    <w:rsid w:val="00A342A2"/>
    <w:rsid w:val="00A34DC3"/>
    <w:rsid w:val="00A356C1"/>
    <w:rsid w:val="00A35D98"/>
    <w:rsid w:val="00A36378"/>
    <w:rsid w:val="00A37C7E"/>
    <w:rsid w:val="00A41AA1"/>
    <w:rsid w:val="00A41B56"/>
    <w:rsid w:val="00A42F7B"/>
    <w:rsid w:val="00A43DE9"/>
    <w:rsid w:val="00A448A0"/>
    <w:rsid w:val="00A44ACD"/>
    <w:rsid w:val="00A44DE8"/>
    <w:rsid w:val="00A455CD"/>
    <w:rsid w:val="00A45897"/>
    <w:rsid w:val="00A460EA"/>
    <w:rsid w:val="00A4639D"/>
    <w:rsid w:val="00A476E5"/>
    <w:rsid w:val="00A476F7"/>
    <w:rsid w:val="00A47AF9"/>
    <w:rsid w:val="00A510A0"/>
    <w:rsid w:val="00A51FCF"/>
    <w:rsid w:val="00A5209A"/>
    <w:rsid w:val="00A536BD"/>
    <w:rsid w:val="00A53B86"/>
    <w:rsid w:val="00A53E81"/>
    <w:rsid w:val="00A54055"/>
    <w:rsid w:val="00A5419A"/>
    <w:rsid w:val="00A54561"/>
    <w:rsid w:val="00A548ED"/>
    <w:rsid w:val="00A5559B"/>
    <w:rsid w:val="00A55DA5"/>
    <w:rsid w:val="00A568EB"/>
    <w:rsid w:val="00A579EA"/>
    <w:rsid w:val="00A57B0C"/>
    <w:rsid w:val="00A607FD"/>
    <w:rsid w:val="00A61256"/>
    <w:rsid w:val="00A619C2"/>
    <w:rsid w:val="00A61FBC"/>
    <w:rsid w:val="00A62889"/>
    <w:rsid w:val="00A65BBB"/>
    <w:rsid w:val="00A67498"/>
    <w:rsid w:val="00A70588"/>
    <w:rsid w:val="00A7072E"/>
    <w:rsid w:val="00A7076B"/>
    <w:rsid w:val="00A709B6"/>
    <w:rsid w:val="00A70AA4"/>
    <w:rsid w:val="00A71AE1"/>
    <w:rsid w:val="00A73847"/>
    <w:rsid w:val="00A75DDE"/>
    <w:rsid w:val="00A76659"/>
    <w:rsid w:val="00A8064D"/>
    <w:rsid w:val="00A81306"/>
    <w:rsid w:val="00A824E5"/>
    <w:rsid w:val="00A82836"/>
    <w:rsid w:val="00A82E50"/>
    <w:rsid w:val="00A831B2"/>
    <w:rsid w:val="00A8588F"/>
    <w:rsid w:val="00A85951"/>
    <w:rsid w:val="00A85CF7"/>
    <w:rsid w:val="00A86002"/>
    <w:rsid w:val="00A87E71"/>
    <w:rsid w:val="00A900AD"/>
    <w:rsid w:val="00A90418"/>
    <w:rsid w:val="00A91203"/>
    <w:rsid w:val="00A9131C"/>
    <w:rsid w:val="00A91442"/>
    <w:rsid w:val="00A91728"/>
    <w:rsid w:val="00A917B2"/>
    <w:rsid w:val="00A91C7D"/>
    <w:rsid w:val="00A92245"/>
    <w:rsid w:val="00A92D3C"/>
    <w:rsid w:val="00A9324B"/>
    <w:rsid w:val="00A9408E"/>
    <w:rsid w:val="00A95BA1"/>
    <w:rsid w:val="00A95F06"/>
    <w:rsid w:val="00A974FE"/>
    <w:rsid w:val="00AA05B1"/>
    <w:rsid w:val="00AA06A8"/>
    <w:rsid w:val="00AA0EAA"/>
    <w:rsid w:val="00AA1B5B"/>
    <w:rsid w:val="00AA2B8E"/>
    <w:rsid w:val="00AA383C"/>
    <w:rsid w:val="00AA3F5B"/>
    <w:rsid w:val="00AA6473"/>
    <w:rsid w:val="00AA7B14"/>
    <w:rsid w:val="00AB0094"/>
    <w:rsid w:val="00AB03DE"/>
    <w:rsid w:val="00AB3507"/>
    <w:rsid w:val="00AB47C2"/>
    <w:rsid w:val="00AB49F4"/>
    <w:rsid w:val="00AB51A8"/>
    <w:rsid w:val="00AB5D6A"/>
    <w:rsid w:val="00AB65E5"/>
    <w:rsid w:val="00AB6D7A"/>
    <w:rsid w:val="00AB717C"/>
    <w:rsid w:val="00AB79A5"/>
    <w:rsid w:val="00AB7B41"/>
    <w:rsid w:val="00AC0018"/>
    <w:rsid w:val="00AC0315"/>
    <w:rsid w:val="00AC1623"/>
    <w:rsid w:val="00AC1B47"/>
    <w:rsid w:val="00AC1F0F"/>
    <w:rsid w:val="00AC2035"/>
    <w:rsid w:val="00AC23C1"/>
    <w:rsid w:val="00AC279E"/>
    <w:rsid w:val="00AC2DA6"/>
    <w:rsid w:val="00AC2F26"/>
    <w:rsid w:val="00AC32E9"/>
    <w:rsid w:val="00AC4066"/>
    <w:rsid w:val="00AC5340"/>
    <w:rsid w:val="00AC68CC"/>
    <w:rsid w:val="00AC69F5"/>
    <w:rsid w:val="00AD00B1"/>
    <w:rsid w:val="00AD0132"/>
    <w:rsid w:val="00AD0579"/>
    <w:rsid w:val="00AD06AE"/>
    <w:rsid w:val="00AD0B43"/>
    <w:rsid w:val="00AD0ED1"/>
    <w:rsid w:val="00AD17FB"/>
    <w:rsid w:val="00AD18A4"/>
    <w:rsid w:val="00AD2A85"/>
    <w:rsid w:val="00AD3B97"/>
    <w:rsid w:val="00AD439B"/>
    <w:rsid w:val="00AD468C"/>
    <w:rsid w:val="00AD49C0"/>
    <w:rsid w:val="00AD5771"/>
    <w:rsid w:val="00AD5C44"/>
    <w:rsid w:val="00AD6E00"/>
    <w:rsid w:val="00AD732E"/>
    <w:rsid w:val="00AD74C7"/>
    <w:rsid w:val="00AE0851"/>
    <w:rsid w:val="00AE1E6A"/>
    <w:rsid w:val="00AE24AE"/>
    <w:rsid w:val="00AE3390"/>
    <w:rsid w:val="00AE37C1"/>
    <w:rsid w:val="00AE3B23"/>
    <w:rsid w:val="00AE54E1"/>
    <w:rsid w:val="00AE66B1"/>
    <w:rsid w:val="00AE751B"/>
    <w:rsid w:val="00AE77BE"/>
    <w:rsid w:val="00AE7975"/>
    <w:rsid w:val="00AF038F"/>
    <w:rsid w:val="00AF1167"/>
    <w:rsid w:val="00AF11F2"/>
    <w:rsid w:val="00AF1BFA"/>
    <w:rsid w:val="00AF1D8C"/>
    <w:rsid w:val="00AF4A12"/>
    <w:rsid w:val="00AF4D33"/>
    <w:rsid w:val="00AF514E"/>
    <w:rsid w:val="00AF727F"/>
    <w:rsid w:val="00B0098B"/>
    <w:rsid w:val="00B00E3B"/>
    <w:rsid w:val="00B01407"/>
    <w:rsid w:val="00B01F44"/>
    <w:rsid w:val="00B02A0B"/>
    <w:rsid w:val="00B0408F"/>
    <w:rsid w:val="00B041F5"/>
    <w:rsid w:val="00B058A6"/>
    <w:rsid w:val="00B06896"/>
    <w:rsid w:val="00B07F58"/>
    <w:rsid w:val="00B1121D"/>
    <w:rsid w:val="00B1128E"/>
    <w:rsid w:val="00B11F31"/>
    <w:rsid w:val="00B14DD2"/>
    <w:rsid w:val="00B160C0"/>
    <w:rsid w:val="00B16157"/>
    <w:rsid w:val="00B16D41"/>
    <w:rsid w:val="00B171E1"/>
    <w:rsid w:val="00B213E5"/>
    <w:rsid w:val="00B21AA9"/>
    <w:rsid w:val="00B22582"/>
    <w:rsid w:val="00B2317A"/>
    <w:rsid w:val="00B23CB3"/>
    <w:rsid w:val="00B2400F"/>
    <w:rsid w:val="00B241F2"/>
    <w:rsid w:val="00B250DD"/>
    <w:rsid w:val="00B25190"/>
    <w:rsid w:val="00B251CE"/>
    <w:rsid w:val="00B25395"/>
    <w:rsid w:val="00B259E0"/>
    <w:rsid w:val="00B26912"/>
    <w:rsid w:val="00B26A83"/>
    <w:rsid w:val="00B30C81"/>
    <w:rsid w:val="00B31314"/>
    <w:rsid w:val="00B31C9A"/>
    <w:rsid w:val="00B33153"/>
    <w:rsid w:val="00B337A4"/>
    <w:rsid w:val="00B337FC"/>
    <w:rsid w:val="00B33CA3"/>
    <w:rsid w:val="00B34800"/>
    <w:rsid w:val="00B34D19"/>
    <w:rsid w:val="00B366F7"/>
    <w:rsid w:val="00B367C2"/>
    <w:rsid w:val="00B3697A"/>
    <w:rsid w:val="00B402FF"/>
    <w:rsid w:val="00B41102"/>
    <w:rsid w:val="00B413BC"/>
    <w:rsid w:val="00B41FB4"/>
    <w:rsid w:val="00B4208A"/>
    <w:rsid w:val="00B437E6"/>
    <w:rsid w:val="00B449C8"/>
    <w:rsid w:val="00B4544C"/>
    <w:rsid w:val="00B45B56"/>
    <w:rsid w:val="00B46531"/>
    <w:rsid w:val="00B46809"/>
    <w:rsid w:val="00B46ABE"/>
    <w:rsid w:val="00B478DF"/>
    <w:rsid w:val="00B50899"/>
    <w:rsid w:val="00B50AA0"/>
    <w:rsid w:val="00B50D23"/>
    <w:rsid w:val="00B52B56"/>
    <w:rsid w:val="00B53710"/>
    <w:rsid w:val="00B53C66"/>
    <w:rsid w:val="00B53D5D"/>
    <w:rsid w:val="00B54617"/>
    <w:rsid w:val="00B54968"/>
    <w:rsid w:val="00B549DC"/>
    <w:rsid w:val="00B56F17"/>
    <w:rsid w:val="00B571CB"/>
    <w:rsid w:val="00B60356"/>
    <w:rsid w:val="00B605E2"/>
    <w:rsid w:val="00B609C9"/>
    <w:rsid w:val="00B6192A"/>
    <w:rsid w:val="00B619D3"/>
    <w:rsid w:val="00B61BE2"/>
    <w:rsid w:val="00B61FC2"/>
    <w:rsid w:val="00B62094"/>
    <w:rsid w:val="00B62FD0"/>
    <w:rsid w:val="00B63BBA"/>
    <w:rsid w:val="00B64F48"/>
    <w:rsid w:val="00B650F4"/>
    <w:rsid w:val="00B655C8"/>
    <w:rsid w:val="00B6563C"/>
    <w:rsid w:val="00B656ED"/>
    <w:rsid w:val="00B658D4"/>
    <w:rsid w:val="00B65A0F"/>
    <w:rsid w:val="00B66162"/>
    <w:rsid w:val="00B66241"/>
    <w:rsid w:val="00B6792C"/>
    <w:rsid w:val="00B70132"/>
    <w:rsid w:val="00B707BD"/>
    <w:rsid w:val="00B717AF"/>
    <w:rsid w:val="00B722E1"/>
    <w:rsid w:val="00B72E42"/>
    <w:rsid w:val="00B7357B"/>
    <w:rsid w:val="00B73EA5"/>
    <w:rsid w:val="00B750F5"/>
    <w:rsid w:val="00B75A7C"/>
    <w:rsid w:val="00B75A95"/>
    <w:rsid w:val="00B76586"/>
    <w:rsid w:val="00B76CFC"/>
    <w:rsid w:val="00B76EBE"/>
    <w:rsid w:val="00B7767D"/>
    <w:rsid w:val="00B80953"/>
    <w:rsid w:val="00B80DEE"/>
    <w:rsid w:val="00B80EA1"/>
    <w:rsid w:val="00B81352"/>
    <w:rsid w:val="00B825F8"/>
    <w:rsid w:val="00B82C54"/>
    <w:rsid w:val="00B830B5"/>
    <w:rsid w:val="00B83F90"/>
    <w:rsid w:val="00B85B6E"/>
    <w:rsid w:val="00B86982"/>
    <w:rsid w:val="00B86F6E"/>
    <w:rsid w:val="00B87893"/>
    <w:rsid w:val="00B90133"/>
    <w:rsid w:val="00B9111F"/>
    <w:rsid w:val="00B91AB3"/>
    <w:rsid w:val="00B91E1A"/>
    <w:rsid w:val="00B91F25"/>
    <w:rsid w:val="00B91F88"/>
    <w:rsid w:val="00B92FBF"/>
    <w:rsid w:val="00B93257"/>
    <w:rsid w:val="00B94FE0"/>
    <w:rsid w:val="00B97462"/>
    <w:rsid w:val="00BA0711"/>
    <w:rsid w:val="00BA095E"/>
    <w:rsid w:val="00BA0C02"/>
    <w:rsid w:val="00BA1B67"/>
    <w:rsid w:val="00BA280A"/>
    <w:rsid w:val="00BA2EB3"/>
    <w:rsid w:val="00BA3D5C"/>
    <w:rsid w:val="00BA49F7"/>
    <w:rsid w:val="00BA4A55"/>
    <w:rsid w:val="00BA50DE"/>
    <w:rsid w:val="00BA5B70"/>
    <w:rsid w:val="00BA6638"/>
    <w:rsid w:val="00BA679D"/>
    <w:rsid w:val="00BB00BB"/>
    <w:rsid w:val="00BB2BBC"/>
    <w:rsid w:val="00BB307D"/>
    <w:rsid w:val="00BB3ECE"/>
    <w:rsid w:val="00BB4559"/>
    <w:rsid w:val="00BB6B69"/>
    <w:rsid w:val="00BC0546"/>
    <w:rsid w:val="00BC10FD"/>
    <w:rsid w:val="00BC1432"/>
    <w:rsid w:val="00BC28F8"/>
    <w:rsid w:val="00BC2C97"/>
    <w:rsid w:val="00BC351B"/>
    <w:rsid w:val="00BC51F8"/>
    <w:rsid w:val="00BC5306"/>
    <w:rsid w:val="00BC59F4"/>
    <w:rsid w:val="00BC6ECC"/>
    <w:rsid w:val="00BC7BBF"/>
    <w:rsid w:val="00BD0F4A"/>
    <w:rsid w:val="00BD21F1"/>
    <w:rsid w:val="00BD3FBF"/>
    <w:rsid w:val="00BD40A9"/>
    <w:rsid w:val="00BD44F4"/>
    <w:rsid w:val="00BD51EE"/>
    <w:rsid w:val="00BD5370"/>
    <w:rsid w:val="00BD5898"/>
    <w:rsid w:val="00BD6133"/>
    <w:rsid w:val="00BD643E"/>
    <w:rsid w:val="00BD67C9"/>
    <w:rsid w:val="00BD71A0"/>
    <w:rsid w:val="00BD7DD8"/>
    <w:rsid w:val="00BE02E1"/>
    <w:rsid w:val="00BE13A9"/>
    <w:rsid w:val="00BE168E"/>
    <w:rsid w:val="00BE1892"/>
    <w:rsid w:val="00BE30DA"/>
    <w:rsid w:val="00BE36E5"/>
    <w:rsid w:val="00BE374F"/>
    <w:rsid w:val="00BE390E"/>
    <w:rsid w:val="00BE3E39"/>
    <w:rsid w:val="00BE4EED"/>
    <w:rsid w:val="00BE4F91"/>
    <w:rsid w:val="00BE541F"/>
    <w:rsid w:val="00BE6498"/>
    <w:rsid w:val="00BE7079"/>
    <w:rsid w:val="00BE797E"/>
    <w:rsid w:val="00BE7D1D"/>
    <w:rsid w:val="00BF0286"/>
    <w:rsid w:val="00BF0398"/>
    <w:rsid w:val="00BF0920"/>
    <w:rsid w:val="00BF0AB2"/>
    <w:rsid w:val="00BF0DD2"/>
    <w:rsid w:val="00BF131F"/>
    <w:rsid w:val="00BF142A"/>
    <w:rsid w:val="00BF1998"/>
    <w:rsid w:val="00BF3907"/>
    <w:rsid w:val="00BF51DE"/>
    <w:rsid w:val="00BF57FB"/>
    <w:rsid w:val="00BF5B3D"/>
    <w:rsid w:val="00BF67CE"/>
    <w:rsid w:val="00BF6A0F"/>
    <w:rsid w:val="00BF7EA0"/>
    <w:rsid w:val="00C00DE6"/>
    <w:rsid w:val="00C032A4"/>
    <w:rsid w:val="00C036B5"/>
    <w:rsid w:val="00C038A5"/>
    <w:rsid w:val="00C03BD9"/>
    <w:rsid w:val="00C04409"/>
    <w:rsid w:val="00C052C2"/>
    <w:rsid w:val="00C05E06"/>
    <w:rsid w:val="00C066B6"/>
    <w:rsid w:val="00C069DE"/>
    <w:rsid w:val="00C076A5"/>
    <w:rsid w:val="00C07793"/>
    <w:rsid w:val="00C07A10"/>
    <w:rsid w:val="00C07DD7"/>
    <w:rsid w:val="00C10A06"/>
    <w:rsid w:val="00C113FD"/>
    <w:rsid w:val="00C12DEC"/>
    <w:rsid w:val="00C133FF"/>
    <w:rsid w:val="00C13CCA"/>
    <w:rsid w:val="00C150FB"/>
    <w:rsid w:val="00C16A5B"/>
    <w:rsid w:val="00C16D03"/>
    <w:rsid w:val="00C16EC6"/>
    <w:rsid w:val="00C17A0A"/>
    <w:rsid w:val="00C200F5"/>
    <w:rsid w:val="00C206A6"/>
    <w:rsid w:val="00C21677"/>
    <w:rsid w:val="00C218BA"/>
    <w:rsid w:val="00C21AA5"/>
    <w:rsid w:val="00C21FE9"/>
    <w:rsid w:val="00C2324A"/>
    <w:rsid w:val="00C23590"/>
    <w:rsid w:val="00C248DD"/>
    <w:rsid w:val="00C25A16"/>
    <w:rsid w:val="00C25DA7"/>
    <w:rsid w:val="00C26B5B"/>
    <w:rsid w:val="00C2703B"/>
    <w:rsid w:val="00C271EE"/>
    <w:rsid w:val="00C27456"/>
    <w:rsid w:val="00C30F0D"/>
    <w:rsid w:val="00C316CB"/>
    <w:rsid w:val="00C325C0"/>
    <w:rsid w:val="00C33F07"/>
    <w:rsid w:val="00C345E4"/>
    <w:rsid w:val="00C35D14"/>
    <w:rsid w:val="00C35FA4"/>
    <w:rsid w:val="00C36120"/>
    <w:rsid w:val="00C3700C"/>
    <w:rsid w:val="00C3723D"/>
    <w:rsid w:val="00C37688"/>
    <w:rsid w:val="00C4012D"/>
    <w:rsid w:val="00C4037E"/>
    <w:rsid w:val="00C4371D"/>
    <w:rsid w:val="00C447F5"/>
    <w:rsid w:val="00C45EFD"/>
    <w:rsid w:val="00C46A36"/>
    <w:rsid w:val="00C47087"/>
    <w:rsid w:val="00C5083F"/>
    <w:rsid w:val="00C50C30"/>
    <w:rsid w:val="00C5109D"/>
    <w:rsid w:val="00C519AF"/>
    <w:rsid w:val="00C5247D"/>
    <w:rsid w:val="00C52C4F"/>
    <w:rsid w:val="00C53D3F"/>
    <w:rsid w:val="00C54C5E"/>
    <w:rsid w:val="00C54D28"/>
    <w:rsid w:val="00C54DCE"/>
    <w:rsid w:val="00C550D2"/>
    <w:rsid w:val="00C570AF"/>
    <w:rsid w:val="00C6021E"/>
    <w:rsid w:val="00C61D39"/>
    <w:rsid w:val="00C624D0"/>
    <w:rsid w:val="00C63C6D"/>
    <w:rsid w:val="00C63E5A"/>
    <w:rsid w:val="00C65373"/>
    <w:rsid w:val="00C657CB"/>
    <w:rsid w:val="00C65CC6"/>
    <w:rsid w:val="00C67227"/>
    <w:rsid w:val="00C67F76"/>
    <w:rsid w:val="00C71258"/>
    <w:rsid w:val="00C71D07"/>
    <w:rsid w:val="00C71D47"/>
    <w:rsid w:val="00C71F3D"/>
    <w:rsid w:val="00C72E26"/>
    <w:rsid w:val="00C73859"/>
    <w:rsid w:val="00C74225"/>
    <w:rsid w:val="00C74788"/>
    <w:rsid w:val="00C74CDC"/>
    <w:rsid w:val="00C7686B"/>
    <w:rsid w:val="00C7760C"/>
    <w:rsid w:val="00C80219"/>
    <w:rsid w:val="00C81EA8"/>
    <w:rsid w:val="00C82409"/>
    <w:rsid w:val="00C82B34"/>
    <w:rsid w:val="00C83500"/>
    <w:rsid w:val="00C8590C"/>
    <w:rsid w:val="00C867B5"/>
    <w:rsid w:val="00C87EC6"/>
    <w:rsid w:val="00C91286"/>
    <w:rsid w:val="00C91FC1"/>
    <w:rsid w:val="00C92AA9"/>
    <w:rsid w:val="00C92E35"/>
    <w:rsid w:val="00C953FC"/>
    <w:rsid w:val="00C95915"/>
    <w:rsid w:val="00C972E3"/>
    <w:rsid w:val="00C9741B"/>
    <w:rsid w:val="00C97C77"/>
    <w:rsid w:val="00CA0F2F"/>
    <w:rsid w:val="00CA12E3"/>
    <w:rsid w:val="00CA25A4"/>
    <w:rsid w:val="00CA351F"/>
    <w:rsid w:val="00CA3945"/>
    <w:rsid w:val="00CA4F86"/>
    <w:rsid w:val="00CA5011"/>
    <w:rsid w:val="00CA6BFA"/>
    <w:rsid w:val="00CB0CF5"/>
    <w:rsid w:val="00CB17B7"/>
    <w:rsid w:val="00CB36A4"/>
    <w:rsid w:val="00CB6456"/>
    <w:rsid w:val="00CB6C4B"/>
    <w:rsid w:val="00CB7062"/>
    <w:rsid w:val="00CB7141"/>
    <w:rsid w:val="00CB7EAB"/>
    <w:rsid w:val="00CC06D1"/>
    <w:rsid w:val="00CC0D31"/>
    <w:rsid w:val="00CC0E05"/>
    <w:rsid w:val="00CC15FF"/>
    <w:rsid w:val="00CC1A1F"/>
    <w:rsid w:val="00CC2A27"/>
    <w:rsid w:val="00CC30F0"/>
    <w:rsid w:val="00CC3F56"/>
    <w:rsid w:val="00CC3F83"/>
    <w:rsid w:val="00CC5B20"/>
    <w:rsid w:val="00CC5BA0"/>
    <w:rsid w:val="00CC630D"/>
    <w:rsid w:val="00CC7683"/>
    <w:rsid w:val="00CD0030"/>
    <w:rsid w:val="00CD1EF0"/>
    <w:rsid w:val="00CD37D7"/>
    <w:rsid w:val="00CD502A"/>
    <w:rsid w:val="00CD5457"/>
    <w:rsid w:val="00CD55DD"/>
    <w:rsid w:val="00CD605E"/>
    <w:rsid w:val="00CD67A8"/>
    <w:rsid w:val="00CD682C"/>
    <w:rsid w:val="00CD7252"/>
    <w:rsid w:val="00CD73B3"/>
    <w:rsid w:val="00CD7616"/>
    <w:rsid w:val="00CD7BED"/>
    <w:rsid w:val="00CE014A"/>
    <w:rsid w:val="00CE02E1"/>
    <w:rsid w:val="00CE1334"/>
    <w:rsid w:val="00CE432D"/>
    <w:rsid w:val="00CE4C52"/>
    <w:rsid w:val="00CE5930"/>
    <w:rsid w:val="00CE6746"/>
    <w:rsid w:val="00CE69CA"/>
    <w:rsid w:val="00CE70FE"/>
    <w:rsid w:val="00CE74AE"/>
    <w:rsid w:val="00CE7F56"/>
    <w:rsid w:val="00CF07A3"/>
    <w:rsid w:val="00CF0807"/>
    <w:rsid w:val="00CF0A12"/>
    <w:rsid w:val="00CF0A1D"/>
    <w:rsid w:val="00CF15D2"/>
    <w:rsid w:val="00CF2D4E"/>
    <w:rsid w:val="00CF3755"/>
    <w:rsid w:val="00CF44B1"/>
    <w:rsid w:val="00CF492C"/>
    <w:rsid w:val="00CF5211"/>
    <w:rsid w:val="00CF5383"/>
    <w:rsid w:val="00CF5774"/>
    <w:rsid w:val="00CF7DC5"/>
    <w:rsid w:val="00D00C8C"/>
    <w:rsid w:val="00D01496"/>
    <w:rsid w:val="00D01544"/>
    <w:rsid w:val="00D01FCB"/>
    <w:rsid w:val="00D0326D"/>
    <w:rsid w:val="00D0377C"/>
    <w:rsid w:val="00D03871"/>
    <w:rsid w:val="00D05BA1"/>
    <w:rsid w:val="00D06987"/>
    <w:rsid w:val="00D070FC"/>
    <w:rsid w:val="00D07E28"/>
    <w:rsid w:val="00D10330"/>
    <w:rsid w:val="00D1115A"/>
    <w:rsid w:val="00D112D7"/>
    <w:rsid w:val="00D11424"/>
    <w:rsid w:val="00D12F70"/>
    <w:rsid w:val="00D13237"/>
    <w:rsid w:val="00D13862"/>
    <w:rsid w:val="00D14240"/>
    <w:rsid w:val="00D16288"/>
    <w:rsid w:val="00D1733A"/>
    <w:rsid w:val="00D17531"/>
    <w:rsid w:val="00D20BB2"/>
    <w:rsid w:val="00D20C25"/>
    <w:rsid w:val="00D21856"/>
    <w:rsid w:val="00D22D20"/>
    <w:rsid w:val="00D231C2"/>
    <w:rsid w:val="00D24B35"/>
    <w:rsid w:val="00D25355"/>
    <w:rsid w:val="00D254E4"/>
    <w:rsid w:val="00D25CBD"/>
    <w:rsid w:val="00D25DF9"/>
    <w:rsid w:val="00D26054"/>
    <w:rsid w:val="00D2620C"/>
    <w:rsid w:val="00D26308"/>
    <w:rsid w:val="00D268DC"/>
    <w:rsid w:val="00D26BE2"/>
    <w:rsid w:val="00D27A9A"/>
    <w:rsid w:val="00D3004F"/>
    <w:rsid w:val="00D304A4"/>
    <w:rsid w:val="00D30A57"/>
    <w:rsid w:val="00D310B2"/>
    <w:rsid w:val="00D314A2"/>
    <w:rsid w:val="00D3157C"/>
    <w:rsid w:val="00D31ADD"/>
    <w:rsid w:val="00D31B28"/>
    <w:rsid w:val="00D32756"/>
    <w:rsid w:val="00D33365"/>
    <w:rsid w:val="00D353BD"/>
    <w:rsid w:val="00D362FE"/>
    <w:rsid w:val="00D36C8D"/>
    <w:rsid w:val="00D37B43"/>
    <w:rsid w:val="00D4029B"/>
    <w:rsid w:val="00D4169D"/>
    <w:rsid w:val="00D426AB"/>
    <w:rsid w:val="00D42844"/>
    <w:rsid w:val="00D43ED4"/>
    <w:rsid w:val="00D45852"/>
    <w:rsid w:val="00D45BB1"/>
    <w:rsid w:val="00D45C3B"/>
    <w:rsid w:val="00D465F0"/>
    <w:rsid w:val="00D46EF6"/>
    <w:rsid w:val="00D47070"/>
    <w:rsid w:val="00D47EAC"/>
    <w:rsid w:val="00D51630"/>
    <w:rsid w:val="00D518D9"/>
    <w:rsid w:val="00D5246D"/>
    <w:rsid w:val="00D52577"/>
    <w:rsid w:val="00D525BF"/>
    <w:rsid w:val="00D52E1E"/>
    <w:rsid w:val="00D52E84"/>
    <w:rsid w:val="00D53622"/>
    <w:rsid w:val="00D53703"/>
    <w:rsid w:val="00D53832"/>
    <w:rsid w:val="00D53E09"/>
    <w:rsid w:val="00D54DC4"/>
    <w:rsid w:val="00D5541B"/>
    <w:rsid w:val="00D563D7"/>
    <w:rsid w:val="00D6096A"/>
    <w:rsid w:val="00D6208E"/>
    <w:rsid w:val="00D62AC5"/>
    <w:rsid w:val="00D63157"/>
    <w:rsid w:val="00D6339D"/>
    <w:rsid w:val="00D63942"/>
    <w:rsid w:val="00D6414D"/>
    <w:rsid w:val="00D64885"/>
    <w:rsid w:val="00D657FD"/>
    <w:rsid w:val="00D65ECA"/>
    <w:rsid w:val="00D66168"/>
    <w:rsid w:val="00D66FDD"/>
    <w:rsid w:val="00D671B3"/>
    <w:rsid w:val="00D70C63"/>
    <w:rsid w:val="00D7277A"/>
    <w:rsid w:val="00D735FC"/>
    <w:rsid w:val="00D743B6"/>
    <w:rsid w:val="00D757B4"/>
    <w:rsid w:val="00D77746"/>
    <w:rsid w:val="00D7792A"/>
    <w:rsid w:val="00D779A4"/>
    <w:rsid w:val="00D81091"/>
    <w:rsid w:val="00D81560"/>
    <w:rsid w:val="00D8236F"/>
    <w:rsid w:val="00D82456"/>
    <w:rsid w:val="00D829E6"/>
    <w:rsid w:val="00D82CE9"/>
    <w:rsid w:val="00D83143"/>
    <w:rsid w:val="00D83D1E"/>
    <w:rsid w:val="00D83F56"/>
    <w:rsid w:val="00D84713"/>
    <w:rsid w:val="00D84B5A"/>
    <w:rsid w:val="00D84CB8"/>
    <w:rsid w:val="00D85552"/>
    <w:rsid w:val="00D860D4"/>
    <w:rsid w:val="00D873D6"/>
    <w:rsid w:val="00D8760D"/>
    <w:rsid w:val="00D90F3E"/>
    <w:rsid w:val="00D914C9"/>
    <w:rsid w:val="00D93043"/>
    <w:rsid w:val="00D93C15"/>
    <w:rsid w:val="00D9438C"/>
    <w:rsid w:val="00D9513E"/>
    <w:rsid w:val="00D95535"/>
    <w:rsid w:val="00D9570C"/>
    <w:rsid w:val="00D95F3C"/>
    <w:rsid w:val="00D96083"/>
    <w:rsid w:val="00D964DE"/>
    <w:rsid w:val="00D965B6"/>
    <w:rsid w:val="00D96618"/>
    <w:rsid w:val="00D97064"/>
    <w:rsid w:val="00DA2F9E"/>
    <w:rsid w:val="00DA315D"/>
    <w:rsid w:val="00DA3A9C"/>
    <w:rsid w:val="00DA4654"/>
    <w:rsid w:val="00DA5C5D"/>
    <w:rsid w:val="00DA74C8"/>
    <w:rsid w:val="00DB190A"/>
    <w:rsid w:val="00DB20CE"/>
    <w:rsid w:val="00DB278C"/>
    <w:rsid w:val="00DB33B3"/>
    <w:rsid w:val="00DB349D"/>
    <w:rsid w:val="00DB4774"/>
    <w:rsid w:val="00DB5DAD"/>
    <w:rsid w:val="00DB5E57"/>
    <w:rsid w:val="00DB616E"/>
    <w:rsid w:val="00DB6384"/>
    <w:rsid w:val="00DB6CEC"/>
    <w:rsid w:val="00DC0751"/>
    <w:rsid w:val="00DC2031"/>
    <w:rsid w:val="00DC24CF"/>
    <w:rsid w:val="00DC29F6"/>
    <w:rsid w:val="00DC2AEE"/>
    <w:rsid w:val="00DC3E89"/>
    <w:rsid w:val="00DC49EF"/>
    <w:rsid w:val="00DC6626"/>
    <w:rsid w:val="00DC6F0C"/>
    <w:rsid w:val="00DC7352"/>
    <w:rsid w:val="00DC7A9B"/>
    <w:rsid w:val="00DD4154"/>
    <w:rsid w:val="00DD43DE"/>
    <w:rsid w:val="00DD511B"/>
    <w:rsid w:val="00DD5F0A"/>
    <w:rsid w:val="00DD621C"/>
    <w:rsid w:val="00DD7295"/>
    <w:rsid w:val="00DD7364"/>
    <w:rsid w:val="00DE02D6"/>
    <w:rsid w:val="00DE03BF"/>
    <w:rsid w:val="00DE0F9B"/>
    <w:rsid w:val="00DE1A31"/>
    <w:rsid w:val="00DE24EA"/>
    <w:rsid w:val="00DE33FD"/>
    <w:rsid w:val="00DE3827"/>
    <w:rsid w:val="00DE41A0"/>
    <w:rsid w:val="00DE45D8"/>
    <w:rsid w:val="00DE4F2E"/>
    <w:rsid w:val="00DE4F42"/>
    <w:rsid w:val="00DE54A7"/>
    <w:rsid w:val="00DE5500"/>
    <w:rsid w:val="00DE56CB"/>
    <w:rsid w:val="00DE6B3D"/>
    <w:rsid w:val="00DE71AF"/>
    <w:rsid w:val="00DE7939"/>
    <w:rsid w:val="00DF059F"/>
    <w:rsid w:val="00DF0A5D"/>
    <w:rsid w:val="00DF1C31"/>
    <w:rsid w:val="00DF1EAF"/>
    <w:rsid w:val="00DF2262"/>
    <w:rsid w:val="00DF23A1"/>
    <w:rsid w:val="00DF2AB4"/>
    <w:rsid w:val="00DF35AC"/>
    <w:rsid w:val="00DF3B41"/>
    <w:rsid w:val="00DF3C28"/>
    <w:rsid w:val="00DF3D11"/>
    <w:rsid w:val="00DF422F"/>
    <w:rsid w:val="00DF485B"/>
    <w:rsid w:val="00DF4DF0"/>
    <w:rsid w:val="00DF5071"/>
    <w:rsid w:val="00DF5479"/>
    <w:rsid w:val="00DF6167"/>
    <w:rsid w:val="00DF74D7"/>
    <w:rsid w:val="00E00501"/>
    <w:rsid w:val="00E00B0B"/>
    <w:rsid w:val="00E00E48"/>
    <w:rsid w:val="00E02128"/>
    <w:rsid w:val="00E02227"/>
    <w:rsid w:val="00E03D30"/>
    <w:rsid w:val="00E04562"/>
    <w:rsid w:val="00E046C0"/>
    <w:rsid w:val="00E05FE9"/>
    <w:rsid w:val="00E063E0"/>
    <w:rsid w:val="00E068F9"/>
    <w:rsid w:val="00E06A12"/>
    <w:rsid w:val="00E07090"/>
    <w:rsid w:val="00E070F8"/>
    <w:rsid w:val="00E073D3"/>
    <w:rsid w:val="00E10294"/>
    <w:rsid w:val="00E1121C"/>
    <w:rsid w:val="00E11383"/>
    <w:rsid w:val="00E113B2"/>
    <w:rsid w:val="00E120FF"/>
    <w:rsid w:val="00E12474"/>
    <w:rsid w:val="00E12581"/>
    <w:rsid w:val="00E127F8"/>
    <w:rsid w:val="00E12D6B"/>
    <w:rsid w:val="00E131C6"/>
    <w:rsid w:val="00E13663"/>
    <w:rsid w:val="00E13689"/>
    <w:rsid w:val="00E13D7B"/>
    <w:rsid w:val="00E14E88"/>
    <w:rsid w:val="00E15EDC"/>
    <w:rsid w:val="00E16335"/>
    <w:rsid w:val="00E16A9B"/>
    <w:rsid w:val="00E1733B"/>
    <w:rsid w:val="00E1785F"/>
    <w:rsid w:val="00E2045A"/>
    <w:rsid w:val="00E20756"/>
    <w:rsid w:val="00E20ED8"/>
    <w:rsid w:val="00E2175B"/>
    <w:rsid w:val="00E21C28"/>
    <w:rsid w:val="00E223D9"/>
    <w:rsid w:val="00E2264C"/>
    <w:rsid w:val="00E234EC"/>
    <w:rsid w:val="00E2390D"/>
    <w:rsid w:val="00E23DFD"/>
    <w:rsid w:val="00E2441E"/>
    <w:rsid w:val="00E27CBD"/>
    <w:rsid w:val="00E3036B"/>
    <w:rsid w:val="00E316AB"/>
    <w:rsid w:val="00E31D95"/>
    <w:rsid w:val="00E32E9A"/>
    <w:rsid w:val="00E33B43"/>
    <w:rsid w:val="00E34772"/>
    <w:rsid w:val="00E364F2"/>
    <w:rsid w:val="00E36C52"/>
    <w:rsid w:val="00E37698"/>
    <w:rsid w:val="00E378EB"/>
    <w:rsid w:val="00E37A04"/>
    <w:rsid w:val="00E40B4D"/>
    <w:rsid w:val="00E40E7A"/>
    <w:rsid w:val="00E412B4"/>
    <w:rsid w:val="00E42750"/>
    <w:rsid w:val="00E42D10"/>
    <w:rsid w:val="00E43116"/>
    <w:rsid w:val="00E43244"/>
    <w:rsid w:val="00E44841"/>
    <w:rsid w:val="00E44CE9"/>
    <w:rsid w:val="00E457B7"/>
    <w:rsid w:val="00E45801"/>
    <w:rsid w:val="00E45968"/>
    <w:rsid w:val="00E459E3"/>
    <w:rsid w:val="00E4742F"/>
    <w:rsid w:val="00E516D1"/>
    <w:rsid w:val="00E522FE"/>
    <w:rsid w:val="00E5362A"/>
    <w:rsid w:val="00E543C0"/>
    <w:rsid w:val="00E54758"/>
    <w:rsid w:val="00E54902"/>
    <w:rsid w:val="00E54A32"/>
    <w:rsid w:val="00E54C87"/>
    <w:rsid w:val="00E55B29"/>
    <w:rsid w:val="00E55FC1"/>
    <w:rsid w:val="00E5635D"/>
    <w:rsid w:val="00E56F3B"/>
    <w:rsid w:val="00E571F5"/>
    <w:rsid w:val="00E57C93"/>
    <w:rsid w:val="00E617DA"/>
    <w:rsid w:val="00E6241B"/>
    <w:rsid w:val="00E62984"/>
    <w:rsid w:val="00E63214"/>
    <w:rsid w:val="00E63BF9"/>
    <w:rsid w:val="00E648DE"/>
    <w:rsid w:val="00E66D1E"/>
    <w:rsid w:val="00E6725F"/>
    <w:rsid w:val="00E67DE6"/>
    <w:rsid w:val="00E67F51"/>
    <w:rsid w:val="00E7059A"/>
    <w:rsid w:val="00E70B70"/>
    <w:rsid w:val="00E719BB"/>
    <w:rsid w:val="00E73FBD"/>
    <w:rsid w:val="00E75AE5"/>
    <w:rsid w:val="00E760C0"/>
    <w:rsid w:val="00E76958"/>
    <w:rsid w:val="00E77065"/>
    <w:rsid w:val="00E80A5D"/>
    <w:rsid w:val="00E81067"/>
    <w:rsid w:val="00E811A7"/>
    <w:rsid w:val="00E82651"/>
    <w:rsid w:val="00E82694"/>
    <w:rsid w:val="00E82BA0"/>
    <w:rsid w:val="00E82C35"/>
    <w:rsid w:val="00E83121"/>
    <w:rsid w:val="00E839F7"/>
    <w:rsid w:val="00E83F01"/>
    <w:rsid w:val="00E8519D"/>
    <w:rsid w:val="00E85881"/>
    <w:rsid w:val="00E87150"/>
    <w:rsid w:val="00E87494"/>
    <w:rsid w:val="00E87AC6"/>
    <w:rsid w:val="00E90AD3"/>
    <w:rsid w:val="00E90B78"/>
    <w:rsid w:val="00E90C59"/>
    <w:rsid w:val="00E913A6"/>
    <w:rsid w:val="00E92795"/>
    <w:rsid w:val="00E92E1C"/>
    <w:rsid w:val="00E93181"/>
    <w:rsid w:val="00E95438"/>
    <w:rsid w:val="00E95836"/>
    <w:rsid w:val="00E9668F"/>
    <w:rsid w:val="00E97B75"/>
    <w:rsid w:val="00E97F6B"/>
    <w:rsid w:val="00EA012C"/>
    <w:rsid w:val="00EA01D5"/>
    <w:rsid w:val="00EA05CA"/>
    <w:rsid w:val="00EA0A2D"/>
    <w:rsid w:val="00EA16DD"/>
    <w:rsid w:val="00EA20A9"/>
    <w:rsid w:val="00EA25BC"/>
    <w:rsid w:val="00EA31B4"/>
    <w:rsid w:val="00EA4014"/>
    <w:rsid w:val="00EA4D4A"/>
    <w:rsid w:val="00EA60F3"/>
    <w:rsid w:val="00EA612D"/>
    <w:rsid w:val="00EA6A33"/>
    <w:rsid w:val="00EB1400"/>
    <w:rsid w:val="00EB373D"/>
    <w:rsid w:val="00EB3858"/>
    <w:rsid w:val="00EB391C"/>
    <w:rsid w:val="00EB399F"/>
    <w:rsid w:val="00EB4B97"/>
    <w:rsid w:val="00EB5577"/>
    <w:rsid w:val="00EB7382"/>
    <w:rsid w:val="00EB78ED"/>
    <w:rsid w:val="00EC1778"/>
    <w:rsid w:val="00EC18B3"/>
    <w:rsid w:val="00EC18B7"/>
    <w:rsid w:val="00EC1F3E"/>
    <w:rsid w:val="00EC2182"/>
    <w:rsid w:val="00EC245D"/>
    <w:rsid w:val="00EC2B8F"/>
    <w:rsid w:val="00EC3AA1"/>
    <w:rsid w:val="00EC4124"/>
    <w:rsid w:val="00EC4C22"/>
    <w:rsid w:val="00EC5116"/>
    <w:rsid w:val="00EC5C02"/>
    <w:rsid w:val="00EC74A1"/>
    <w:rsid w:val="00EC7F8C"/>
    <w:rsid w:val="00ED1877"/>
    <w:rsid w:val="00ED1AD6"/>
    <w:rsid w:val="00ED264D"/>
    <w:rsid w:val="00ED342E"/>
    <w:rsid w:val="00ED35A2"/>
    <w:rsid w:val="00ED35CD"/>
    <w:rsid w:val="00ED3FC9"/>
    <w:rsid w:val="00ED41AB"/>
    <w:rsid w:val="00ED567D"/>
    <w:rsid w:val="00ED67AA"/>
    <w:rsid w:val="00ED7C0E"/>
    <w:rsid w:val="00ED7DB3"/>
    <w:rsid w:val="00EE01C3"/>
    <w:rsid w:val="00EE01DB"/>
    <w:rsid w:val="00EE0BF4"/>
    <w:rsid w:val="00EE0FFC"/>
    <w:rsid w:val="00EE1B67"/>
    <w:rsid w:val="00EE1BCA"/>
    <w:rsid w:val="00EE20C1"/>
    <w:rsid w:val="00EE45BF"/>
    <w:rsid w:val="00EE4BA6"/>
    <w:rsid w:val="00EE5680"/>
    <w:rsid w:val="00EE6AC4"/>
    <w:rsid w:val="00EE6EA1"/>
    <w:rsid w:val="00EF0497"/>
    <w:rsid w:val="00EF07E4"/>
    <w:rsid w:val="00EF0884"/>
    <w:rsid w:val="00EF128D"/>
    <w:rsid w:val="00EF12FE"/>
    <w:rsid w:val="00EF1630"/>
    <w:rsid w:val="00EF1A91"/>
    <w:rsid w:val="00EF2196"/>
    <w:rsid w:val="00EF31C3"/>
    <w:rsid w:val="00EF37EB"/>
    <w:rsid w:val="00EF3A53"/>
    <w:rsid w:val="00EF3C6C"/>
    <w:rsid w:val="00EF5178"/>
    <w:rsid w:val="00EF634C"/>
    <w:rsid w:val="00EF745C"/>
    <w:rsid w:val="00F00DB4"/>
    <w:rsid w:val="00F0107A"/>
    <w:rsid w:val="00F03F99"/>
    <w:rsid w:val="00F04BE5"/>
    <w:rsid w:val="00F054A2"/>
    <w:rsid w:val="00F0613A"/>
    <w:rsid w:val="00F063CB"/>
    <w:rsid w:val="00F06A94"/>
    <w:rsid w:val="00F06D41"/>
    <w:rsid w:val="00F06FAD"/>
    <w:rsid w:val="00F07280"/>
    <w:rsid w:val="00F07C4C"/>
    <w:rsid w:val="00F07FFC"/>
    <w:rsid w:val="00F1092B"/>
    <w:rsid w:val="00F1205E"/>
    <w:rsid w:val="00F12495"/>
    <w:rsid w:val="00F12F34"/>
    <w:rsid w:val="00F13482"/>
    <w:rsid w:val="00F1388E"/>
    <w:rsid w:val="00F1590E"/>
    <w:rsid w:val="00F15EB3"/>
    <w:rsid w:val="00F15EEA"/>
    <w:rsid w:val="00F15F51"/>
    <w:rsid w:val="00F17EB5"/>
    <w:rsid w:val="00F201C3"/>
    <w:rsid w:val="00F2098B"/>
    <w:rsid w:val="00F230E4"/>
    <w:rsid w:val="00F233E6"/>
    <w:rsid w:val="00F236DC"/>
    <w:rsid w:val="00F23A17"/>
    <w:rsid w:val="00F24450"/>
    <w:rsid w:val="00F25807"/>
    <w:rsid w:val="00F260CD"/>
    <w:rsid w:val="00F26A6E"/>
    <w:rsid w:val="00F26FA3"/>
    <w:rsid w:val="00F271C5"/>
    <w:rsid w:val="00F27342"/>
    <w:rsid w:val="00F278C0"/>
    <w:rsid w:val="00F30261"/>
    <w:rsid w:val="00F3041D"/>
    <w:rsid w:val="00F30545"/>
    <w:rsid w:val="00F308D7"/>
    <w:rsid w:val="00F30CFC"/>
    <w:rsid w:val="00F31876"/>
    <w:rsid w:val="00F31FE0"/>
    <w:rsid w:val="00F32738"/>
    <w:rsid w:val="00F32B08"/>
    <w:rsid w:val="00F34347"/>
    <w:rsid w:val="00F34E14"/>
    <w:rsid w:val="00F355F4"/>
    <w:rsid w:val="00F36A30"/>
    <w:rsid w:val="00F36DEA"/>
    <w:rsid w:val="00F371AC"/>
    <w:rsid w:val="00F40265"/>
    <w:rsid w:val="00F4085B"/>
    <w:rsid w:val="00F40DF9"/>
    <w:rsid w:val="00F4111E"/>
    <w:rsid w:val="00F41564"/>
    <w:rsid w:val="00F4193B"/>
    <w:rsid w:val="00F41E71"/>
    <w:rsid w:val="00F4217A"/>
    <w:rsid w:val="00F4228E"/>
    <w:rsid w:val="00F42CEF"/>
    <w:rsid w:val="00F433F7"/>
    <w:rsid w:val="00F43892"/>
    <w:rsid w:val="00F45D34"/>
    <w:rsid w:val="00F47506"/>
    <w:rsid w:val="00F4760C"/>
    <w:rsid w:val="00F478C7"/>
    <w:rsid w:val="00F47D07"/>
    <w:rsid w:val="00F514DF"/>
    <w:rsid w:val="00F5165C"/>
    <w:rsid w:val="00F51782"/>
    <w:rsid w:val="00F52265"/>
    <w:rsid w:val="00F52B39"/>
    <w:rsid w:val="00F52CA1"/>
    <w:rsid w:val="00F52F4D"/>
    <w:rsid w:val="00F536B7"/>
    <w:rsid w:val="00F5474E"/>
    <w:rsid w:val="00F55210"/>
    <w:rsid w:val="00F55648"/>
    <w:rsid w:val="00F55833"/>
    <w:rsid w:val="00F570E1"/>
    <w:rsid w:val="00F57195"/>
    <w:rsid w:val="00F57713"/>
    <w:rsid w:val="00F57B56"/>
    <w:rsid w:val="00F57C14"/>
    <w:rsid w:val="00F601E6"/>
    <w:rsid w:val="00F6110B"/>
    <w:rsid w:val="00F620C6"/>
    <w:rsid w:val="00F638FC"/>
    <w:rsid w:val="00F63DD1"/>
    <w:rsid w:val="00F655C9"/>
    <w:rsid w:val="00F673EB"/>
    <w:rsid w:val="00F70487"/>
    <w:rsid w:val="00F70FCE"/>
    <w:rsid w:val="00F71FF2"/>
    <w:rsid w:val="00F7357D"/>
    <w:rsid w:val="00F73D28"/>
    <w:rsid w:val="00F74231"/>
    <w:rsid w:val="00F74A75"/>
    <w:rsid w:val="00F74CD2"/>
    <w:rsid w:val="00F75C68"/>
    <w:rsid w:val="00F774B9"/>
    <w:rsid w:val="00F80E3F"/>
    <w:rsid w:val="00F825D4"/>
    <w:rsid w:val="00F82CF4"/>
    <w:rsid w:val="00F82F75"/>
    <w:rsid w:val="00F83C8C"/>
    <w:rsid w:val="00F84DA7"/>
    <w:rsid w:val="00F85032"/>
    <w:rsid w:val="00F85865"/>
    <w:rsid w:val="00F860DA"/>
    <w:rsid w:val="00F86159"/>
    <w:rsid w:val="00F86F76"/>
    <w:rsid w:val="00F87E04"/>
    <w:rsid w:val="00F9178B"/>
    <w:rsid w:val="00F91861"/>
    <w:rsid w:val="00F91AAE"/>
    <w:rsid w:val="00F91DE7"/>
    <w:rsid w:val="00F923D2"/>
    <w:rsid w:val="00F92DCA"/>
    <w:rsid w:val="00F930AA"/>
    <w:rsid w:val="00F93477"/>
    <w:rsid w:val="00F944DD"/>
    <w:rsid w:val="00F94CE0"/>
    <w:rsid w:val="00F950C3"/>
    <w:rsid w:val="00F95D31"/>
    <w:rsid w:val="00F9737B"/>
    <w:rsid w:val="00F9779E"/>
    <w:rsid w:val="00F97989"/>
    <w:rsid w:val="00FA03F2"/>
    <w:rsid w:val="00FA059C"/>
    <w:rsid w:val="00FA05AB"/>
    <w:rsid w:val="00FA09C6"/>
    <w:rsid w:val="00FA1515"/>
    <w:rsid w:val="00FA1F1D"/>
    <w:rsid w:val="00FA3015"/>
    <w:rsid w:val="00FA3E41"/>
    <w:rsid w:val="00FA4FA2"/>
    <w:rsid w:val="00FA6A85"/>
    <w:rsid w:val="00FA7761"/>
    <w:rsid w:val="00FA7C8C"/>
    <w:rsid w:val="00FB0D04"/>
    <w:rsid w:val="00FB22F4"/>
    <w:rsid w:val="00FB385B"/>
    <w:rsid w:val="00FB3992"/>
    <w:rsid w:val="00FB6CB3"/>
    <w:rsid w:val="00FB73B5"/>
    <w:rsid w:val="00FB77AF"/>
    <w:rsid w:val="00FB7FB8"/>
    <w:rsid w:val="00FB7FC2"/>
    <w:rsid w:val="00FC0C9B"/>
    <w:rsid w:val="00FC2082"/>
    <w:rsid w:val="00FC320D"/>
    <w:rsid w:val="00FC34B2"/>
    <w:rsid w:val="00FC3A07"/>
    <w:rsid w:val="00FC3E2A"/>
    <w:rsid w:val="00FC4795"/>
    <w:rsid w:val="00FC482A"/>
    <w:rsid w:val="00FC4A11"/>
    <w:rsid w:val="00FC5ACD"/>
    <w:rsid w:val="00FC6212"/>
    <w:rsid w:val="00FC6374"/>
    <w:rsid w:val="00FC7849"/>
    <w:rsid w:val="00FC7CF9"/>
    <w:rsid w:val="00FC7E33"/>
    <w:rsid w:val="00FD06A5"/>
    <w:rsid w:val="00FD08D9"/>
    <w:rsid w:val="00FD2836"/>
    <w:rsid w:val="00FD294F"/>
    <w:rsid w:val="00FD2CCD"/>
    <w:rsid w:val="00FD4394"/>
    <w:rsid w:val="00FD4520"/>
    <w:rsid w:val="00FD4B76"/>
    <w:rsid w:val="00FD4C1A"/>
    <w:rsid w:val="00FD502F"/>
    <w:rsid w:val="00FD6D9C"/>
    <w:rsid w:val="00FD7BD2"/>
    <w:rsid w:val="00FE0C2C"/>
    <w:rsid w:val="00FE2219"/>
    <w:rsid w:val="00FE2B52"/>
    <w:rsid w:val="00FE2CA6"/>
    <w:rsid w:val="00FE2E5B"/>
    <w:rsid w:val="00FE42D2"/>
    <w:rsid w:val="00FE4691"/>
    <w:rsid w:val="00FE58AE"/>
    <w:rsid w:val="00FE6649"/>
    <w:rsid w:val="00FE6AAF"/>
    <w:rsid w:val="00FF39C1"/>
    <w:rsid w:val="00FF48DC"/>
    <w:rsid w:val="00FF5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36C"/>
    <w:pPr>
      <w:spacing w:after="200" w:line="276" w:lineRule="auto"/>
    </w:pPr>
  </w:style>
  <w:style w:type="paragraph" w:styleId="Heading1">
    <w:name w:val="heading 1"/>
    <w:basedOn w:val="ListParagraph"/>
    <w:next w:val="Normal"/>
    <w:link w:val="Heading1Char"/>
    <w:uiPriority w:val="9"/>
    <w:qFormat/>
    <w:rsid w:val="004D3A2E"/>
    <w:pPr>
      <w:keepNext/>
      <w:spacing w:before="480" w:after="240" w:line="240" w:lineRule="auto"/>
      <w:ind w:left="1080" w:hanging="360"/>
      <w:outlineLvl w:val="0"/>
    </w:pPr>
    <w:rPr>
      <w:rFonts w:ascii="Times New Roman Bold" w:hAnsi="Times New Roman Bold" w:cs="Times New Roman"/>
      <w:b/>
      <w:smallCap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A2E"/>
    <w:rPr>
      <w:rFonts w:ascii="Times New Roman Bold" w:hAnsi="Times New Roman Bold" w:cs="Times New Roman"/>
      <w:b/>
      <w:smallCaps/>
      <w:sz w:val="24"/>
      <w:szCs w:val="24"/>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Task Body,N,L"/>
    <w:basedOn w:val="Normal"/>
    <w:link w:val="ListParagraphChar"/>
    <w:uiPriority w:val="34"/>
    <w:qFormat/>
    <w:rsid w:val="004D3A2E"/>
    <w:pPr>
      <w:ind w:left="720"/>
      <w:contextualSpacing/>
    </w:p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rsid w:val="004D3A2E"/>
  </w:style>
  <w:style w:type="character" w:styleId="CommentReference">
    <w:name w:val="annotation reference"/>
    <w:basedOn w:val="DefaultParagraphFont"/>
    <w:semiHidden/>
    <w:unhideWhenUsed/>
    <w:rsid w:val="004D3A2E"/>
    <w:rPr>
      <w:sz w:val="16"/>
      <w:szCs w:val="16"/>
    </w:rPr>
  </w:style>
  <w:style w:type="character" w:styleId="Hyperlink">
    <w:name w:val="Hyperlink"/>
    <w:uiPriority w:val="99"/>
    <w:rsid w:val="004D3A2E"/>
    <w:rPr>
      <w:rFonts w:cs="Times New Roman"/>
      <w:color w:val="0000FF"/>
      <w:u w:val="single"/>
    </w:rPr>
  </w:style>
  <w:style w:type="character" w:customStyle="1" w:styleId="s3">
    <w:name w:val="s3"/>
    <w:basedOn w:val="DefaultParagraphFont"/>
    <w:rsid w:val="004D3A2E"/>
  </w:style>
  <w:style w:type="paragraph" w:styleId="CommentText">
    <w:name w:val="annotation text"/>
    <w:basedOn w:val="Normal"/>
    <w:link w:val="CommentTextChar"/>
    <w:uiPriority w:val="99"/>
    <w:unhideWhenUsed/>
    <w:rsid w:val="004D3A2E"/>
    <w:pPr>
      <w:spacing w:line="240" w:lineRule="auto"/>
    </w:pPr>
    <w:rPr>
      <w:sz w:val="20"/>
      <w:szCs w:val="20"/>
    </w:rPr>
  </w:style>
  <w:style w:type="character" w:customStyle="1" w:styleId="CommentTextChar">
    <w:name w:val="Comment Text Char"/>
    <w:basedOn w:val="DefaultParagraphFont"/>
    <w:link w:val="CommentText"/>
    <w:uiPriority w:val="99"/>
    <w:rsid w:val="004D3A2E"/>
    <w:rPr>
      <w:sz w:val="20"/>
      <w:szCs w:val="20"/>
    </w:rPr>
  </w:style>
  <w:style w:type="paragraph" w:styleId="BalloonText">
    <w:name w:val="Balloon Text"/>
    <w:basedOn w:val="Normal"/>
    <w:link w:val="BalloonTextChar"/>
    <w:uiPriority w:val="99"/>
    <w:semiHidden/>
    <w:unhideWhenUsed/>
    <w:rsid w:val="004D3A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A2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D3A2E"/>
    <w:rPr>
      <w:b/>
      <w:bCs/>
    </w:rPr>
  </w:style>
  <w:style w:type="character" w:customStyle="1" w:styleId="CommentSubjectChar">
    <w:name w:val="Comment Subject Char"/>
    <w:basedOn w:val="CommentTextChar"/>
    <w:link w:val="CommentSubject"/>
    <w:uiPriority w:val="99"/>
    <w:semiHidden/>
    <w:rsid w:val="004D3A2E"/>
    <w:rPr>
      <w:b/>
      <w:bCs/>
      <w:sz w:val="20"/>
      <w:szCs w:val="20"/>
    </w:rPr>
  </w:style>
  <w:style w:type="paragraph" w:styleId="Header">
    <w:name w:val="header"/>
    <w:basedOn w:val="Normal"/>
    <w:link w:val="HeaderChar"/>
    <w:uiPriority w:val="99"/>
    <w:unhideWhenUsed/>
    <w:rsid w:val="004D3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A2E"/>
  </w:style>
  <w:style w:type="paragraph" w:styleId="Footer">
    <w:name w:val="footer"/>
    <w:basedOn w:val="Normal"/>
    <w:link w:val="FooterChar"/>
    <w:uiPriority w:val="99"/>
    <w:unhideWhenUsed/>
    <w:rsid w:val="004D3A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A2E"/>
  </w:style>
  <w:style w:type="character" w:customStyle="1" w:styleId="Marker">
    <w:name w:val="Marker"/>
    <w:basedOn w:val="DefaultParagraphFont"/>
    <w:rsid w:val="004D3A2E"/>
    <w:rPr>
      <w:color w:val="0000FF"/>
      <w:shd w:val="clear" w:color="auto" w:fill="auto"/>
    </w:rPr>
  </w:style>
  <w:style w:type="paragraph" w:customStyle="1" w:styleId="Pagedecouverture">
    <w:name w:val="Page de couverture"/>
    <w:basedOn w:val="Normal"/>
    <w:next w:val="Normal"/>
    <w:rsid w:val="004D3A2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D3A2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D3A2E"/>
    <w:rPr>
      <w:rFonts w:ascii="Times New Roman" w:hAnsi="Times New Roman" w:cs="Times New Roman"/>
      <w:sz w:val="24"/>
    </w:rPr>
  </w:style>
  <w:style w:type="paragraph" w:customStyle="1" w:styleId="FooterSensitivity">
    <w:name w:val="Footer Sensitivity"/>
    <w:basedOn w:val="Normal"/>
    <w:link w:val="FooterSensitivityChar"/>
    <w:rsid w:val="004D3A2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D3A2E"/>
    <w:rPr>
      <w:rFonts w:ascii="Times New Roman" w:hAnsi="Times New Roman" w:cs="Times New Roman"/>
      <w:b/>
      <w:sz w:val="32"/>
    </w:rPr>
  </w:style>
  <w:style w:type="paragraph" w:customStyle="1" w:styleId="HeaderCoverPage">
    <w:name w:val="Header Cover Page"/>
    <w:basedOn w:val="Normal"/>
    <w:link w:val="HeaderCoverPageChar"/>
    <w:rsid w:val="004D3A2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D3A2E"/>
    <w:rPr>
      <w:rFonts w:ascii="Times New Roman" w:hAnsi="Times New Roman" w:cs="Times New Roman"/>
      <w:sz w:val="24"/>
    </w:rPr>
  </w:style>
  <w:style w:type="paragraph" w:customStyle="1" w:styleId="HeaderSensitivity">
    <w:name w:val="Header Sensitivity"/>
    <w:basedOn w:val="Normal"/>
    <w:link w:val="HeaderSensitivityChar"/>
    <w:rsid w:val="004D3A2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D3A2E"/>
    <w:rPr>
      <w:rFonts w:ascii="Times New Roman" w:hAnsi="Times New Roman" w:cs="Times New Roman"/>
      <w:b/>
      <w:sz w:val="32"/>
    </w:rPr>
  </w:style>
  <w:style w:type="paragraph" w:customStyle="1" w:styleId="HeaderSensitivityRight">
    <w:name w:val="Header Sensitivity Right"/>
    <w:basedOn w:val="Normal"/>
    <w:link w:val="HeaderSensitivityRightChar"/>
    <w:rsid w:val="006D2FD9"/>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D3A2E"/>
    <w:rPr>
      <w:rFonts w:ascii="Times New Roman" w:hAnsi="Times New Roman" w:cs="Times New Roman"/>
      <w:sz w:val="28"/>
    </w:rPr>
  </w:style>
  <w:style w:type="paragraph" w:styleId="FootnoteText">
    <w:name w:val="footnote text"/>
    <w:aliases w:val="fn,footnote text,Char Char,Footnote Text2,Footnote Text11,ALTS FOOTNOTE11,Footnote Text Char111,Footnote Text Char Char Char11,Footnote Text Char1 Char Char Char Char11,Footnote Text Char1 Char Char Char11,ALTS FOOTNOTE2,Footnote Text1,ft"/>
    <w:basedOn w:val="Normal"/>
    <w:link w:val="FootnoteTextChar"/>
    <w:uiPriority w:val="99"/>
    <w:unhideWhenUsed/>
    <w:qFormat/>
    <w:rsid w:val="004D3A2E"/>
    <w:pPr>
      <w:spacing w:after="0" w:line="240" w:lineRule="auto"/>
    </w:pPr>
    <w:rPr>
      <w:sz w:val="20"/>
      <w:szCs w:val="20"/>
    </w:rPr>
  </w:style>
  <w:style w:type="character" w:customStyle="1" w:styleId="FootnoteTextChar">
    <w:name w:val="Footnote Text Char"/>
    <w:aliases w:val="fn Char,footnote text Char,Char Char Char,Footnote Text2 Char,Footnote Text11 Char,ALTS FOOTNOTE11 Char,Footnote Text Char111 Char,Footnote Text Char Char Char11 Char,Footnote Text Char1 Char Char Char Char11 Char,ALTS FOOTNOTE2 Char"/>
    <w:basedOn w:val="DefaultParagraphFont"/>
    <w:link w:val="FootnoteText"/>
    <w:uiPriority w:val="99"/>
    <w:qFormat/>
    <w:rsid w:val="004D3A2E"/>
    <w:rPr>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arCarCarCarCarCarCarCar"/>
    <w:uiPriority w:val="99"/>
    <w:unhideWhenUsed/>
    <w:qFormat/>
    <w:rsid w:val="004D3A2E"/>
    <w:rPr>
      <w:vertAlign w:val="superscript"/>
    </w:rPr>
  </w:style>
  <w:style w:type="paragraph" w:customStyle="1" w:styleId="Typedudocument">
    <w:name w:val="Type du document"/>
    <w:basedOn w:val="Normal"/>
    <w:next w:val="Normal"/>
    <w:rsid w:val="004D3A2E"/>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4D3A2E"/>
    <w:pPr>
      <w:spacing w:before="360" w:after="360" w:line="240" w:lineRule="auto"/>
      <w:jc w:val="center"/>
    </w:pPr>
    <w:rPr>
      <w:rFonts w:ascii="Times New Roman" w:hAnsi="Times New Roman" w:cs="Times New Roman"/>
      <w:b/>
      <w:sz w:val="24"/>
    </w:rPr>
  </w:style>
  <w:style w:type="character" w:styleId="FollowedHyperlink">
    <w:name w:val="FollowedHyperlink"/>
    <w:basedOn w:val="DefaultParagraphFont"/>
    <w:uiPriority w:val="99"/>
    <w:semiHidden/>
    <w:unhideWhenUsed/>
    <w:rsid w:val="004D3A2E"/>
    <w:rPr>
      <w:color w:val="954F72" w:themeColor="followedHyperlink"/>
      <w:u w:val="single"/>
    </w:rPr>
  </w:style>
  <w:style w:type="paragraph" w:styleId="NormalWeb">
    <w:name w:val="Normal (Web)"/>
    <w:basedOn w:val="Normal"/>
    <w:uiPriority w:val="99"/>
    <w:semiHidden/>
    <w:unhideWhenUsed/>
    <w:rsid w:val="004D3A2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Revision">
    <w:name w:val="Revision"/>
    <w:hidden/>
    <w:uiPriority w:val="99"/>
    <w:semiHidden/>
    <w:rsid w:val="004D3A2E"/>
    <w:pPr>
      <w:spacing w:after="0" w:line="240" w:lineRule="auto"/>
    </w:pPr>
  </w:style>
  <w:style w:type="paragraph" w:styleId="EndnoteText">
    <w:name w:val="endnote text"/>
    <w:basedOn w:val="Normal"/>
    <w:link w:val="EndnoteTextChar"/>
    <w:uiPriority w:val="99"/>
    <w:semiHidden/>
    <w:unhideWhenUsed/>
    <w:rsid w:val="004D3A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3A2E"/>
    <w:rPr>
      <w:sz w:val="20"/>
      <w:szCs w:val="20"/>
    </w:rPr>
  </w:style>
  <w:style w:type="character" w:styleId="EndnoteReference">
    <w:name w:val="endnote reference"/>
    <w:basedOn w:val="DefaultParagraphFont"/>
    <w:uiPriority w:val="99"/>
    <w:semiHidden/>
    <w:unhideWhenUsed/>
    <w:rsid w:val="004D3A2E"/>
    <w:rPr>
      <w:vertAlign w:val="superscript"/>
    </w:rPr>
  </w:style>
  <w:style w:type="table" w:styleId="TableGrid">
    <w:name w:val="Table Grid"/>
    <w:basedOn w:val="TableNormal"/>
    <w:uiPriority w:val="59"/>
    <w:rsid w:val="004D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rsid w:val="004D3A2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isclaimer">
    <w:name w:val="Disclaimer"/>
    <w:basedOn w:val="Normal"/>
    <w:rsid w:val="004D3A2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6D2FD9"/>
    <w:pPr>
      <w:spacing w:after="0"/>
      <w:ind w:left="5103"/>
    </w:pPr>
    <w:rPr>
      <w:rFonts w:ascii="Times New Roman" w:hAnsi="Times New Roman" w:cs="Times New Roman"/>
      <w:sz w:val="28"/>
    </w:rPr>
  </w:style>
  <w:style w:type="paragraph" w:customStyle="1" w:styleId="DateMarking">
    <w:name w:val="DateMarking"/>
    <w:basedOn w:val="Normal"/>
    <w:rsid w:val="006D2FD9"/>
    <w:pPr>
      <w:spacing w:after="0"/>
      <w:ind w:left="5103"/>
    </w:pPr>
    <w:rPr>
      <w:rFonts w:ascii="Times New Roman" w:hAnsi="Times New Roman" w:cs="Times New Roman"/>
      <w:i/>
      <w:sz w:val="28"/>
    </w:rPr>
  </w:style>
  <w:style w:type="paragraph" w:customStyle="1" w:styleId="ReleasableTo">
    <w:name w:val="ReleasableTo"/>
    <w:basedOn w:val="Normal"/>
    <w:rsid w:val="006D2FD9"/>
    <w:pPr>
      <w:spacing w:after="0"/>
      <w:ind w:left="5103"/>
    </w:pPr>
    <w:rPr>
      <w:rFonts w:ascii="Times New Roman" w:hAnsi="Times New Roman" w:cs="Times New Roman"/>
      <w:i/>
      <w:sz w:val="28"/>
    </w:rPr>
  </w:style>
  <w:style w:type="paragraph" w:styleId="Caption">
    <w:name w:val="caption"/>
    <w:basedOn w:val="Normal"/>
    <w:next w:val="Normal"/>
    <w:uiPriority w:val="20"/>
    <w:qFormat/>
    <w:rsid w:val="00CE70FE"/>
    <w:pPr>
      <w:keepNext/>
      <w:keepLines/>
      <w:tabs>
        <w:tab w:val="left" w:pos="737"/>
        <w:tab w:val="left" w:pos="964"/>
        <w:tab w:val="left" w:pos="1191"/>
        <w:tab w:val="left" w:pos="1418"/>
      </w:tabs>
      <w:spacing w:before="120" w:after="120" w:line="240" w:lineRule="atLeast"/>
      <w:jc w:val="both"/>
    </w:pPr>
    <w:rPr>
      <w:rFonts w:eastAsiaTheme="minorEastAsia"/>
      <w:b/>
      <w:bCs/>
      <w:color w:val="000000" w:themeColor="text1"/>
      <w:sz w:val="18"/>
      <w:szCs w:val="18"/>
    </w:rPr>
  </w:style>
  <w:style w:type="paragraph" w:customStyle="1" w:styleId="CarCarCarCarCarCarCarCar">
    <w:name w:val="Car Car Car Car Car Car Car Car"/>
    <w:aliases w:val=" Car Car Car Car1 Car, Car Car Car Car1 Car Car Car Car, Car Car Car Car Car Car Car Car,Car Car Car Car1 Car,Car Car Car Car1 Car Car Car Car"/>
    <w:basedOn w:val="Normal"/>
    <w:link w:val="FootnoteReference"/>
    <w:uiPriority w:val="99"/>
    <w:rsid w:val="00CE70FE"/>
    <w:pPr>
      <w:spacing w:after="160" w:line="240" w:lineRule="exact"/>
    </w:pPr>
    <w:rPr>
      <w:vertAlign w:val="superscript"/>
    </w:rPr>
  </w:style>
  <w:style w:type="character" w:styleId="Strong">
    <w:name w:val="Strong"/>
    <w:basedOn w:val="DefaultParagraphFont"/>
    <w:uiPriority w:val="22"/>
    <w:qFormat/>
    <w:rsid w:val="00C038A5"/>
    <w:rPr>
      <w:b/>
      <w:bCs/>
    </w:rPr>
  </w:style>
  <w:style w:type="paragraph" w:styleId="ListNumber">
    <w:name w:val="List Number"/>
    <w:basedOn w:val="Normal"/>
    <w:uiPriority w:val="99"/>
    <w:rsid w:val="00725374"/>
    <w:pPr>
      <w:tabs>
        <w:tab w:val="num" w:pos="709"/>
      </w:tabs>
      <w:spacing w:after="240" w:line="240" w:lineRule="auto"/>
      <w:ind w:left="709" w:hanging="709"/>
      <w:jc w:val="both"/>
    </w:pPr>
    <w:rPr>
      <w:rFonts w:ascii="Times New Roman" w:eastAsia="Times New Roman" w:hAnsi="Times New Roman" w:cs="Times New Roman"/>
      <w:sz w:val="24"/>
      <w:szCs w:val="20"/>
      <w:lang w:eastAsia="fr-BE"/>
    </w:rPr>
  </w:style>
  <w:style w:type="paragraph" w:customStyle="1" w:styleId="BVIfnrCharCar1CarChar">
    <w:name w:val="BVI fnr Char Car1 Car Char"/>
    <w:basedOn w:val="Normal"/>
    <w:next w:val="Normal"/>
    <w:uiPriority w:val="99"/>
    <w:rsid w:val="00C066B6"/>
    <w:pPr>
      <w:spacing w:after="0" w:line="240" w:lineRule="auto"/>
      <w:jc w:val="both"/>
    </w:pPr>
    <w:rPr>
      <w:rFonts w:ascii="Times New Roman" w:hAnsi="Times New Roman"/>
      <w:sz w:val="24"/>
      <w:vertAlign w:val="superscript"/>
    </w:rPr>
  </w:style>
  <w:style w:type="table" w:styleId="GridTable5Dark-Accent1">
    <w:name w:val="Grid Table 5 Dark Accent 1"/>
    <w:basedOn w:val="TableNormal"/>
    <w:uiPriority w:val="50"/>
    <w:rsid w:val="00150C37"/>
    <w:pPr>
      <w:spacing w:after="0" w:line="240" w:lineRule="auto"/>
    </w:p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45673">
      <w:bodyDiv w:val="1"/>
      <w:marLeft w:val="0"/>
      <w:marRight w:val="0"/>
      <w:marTop w:val="0"/>
      <w:marBottom w:val="0"/>
      <w:divBdr>
        <w:top w:val="none" w:sz="0" w:space="0" w:color="auto"/>
        <w:left w:val="none" w:sz="0" w:space="0" w:color="auto"/>
        <w:bottom w:val="none" w:sz="0" w:space="0" w:color="auto"/>
        <w:right w:val="none" w:sz="0" w:space="0" w:color="auto"/>
      </w:divBdr>
    </w:div>
    <w:div w:id="208492643">
      <w:bodyDiv w:val="1"/>
      <w:marLeft w:val="0"/>
      <w:marRight w:val="0"/>
      <w:marTop w:val="0"/>
      <w:marBottom w:val="0"/>
      <w:divBdr>
        <w:top w:val="none" w:sz="0" w:space="0" w:color="auto"/>
        <w:left w:val="none" w:sz="0" w:space="0" w:color="auto"/>
        <w:bottom w:val="none" w:sz="0" w:space="0" w:color="auto"/>
        <w:right w:val="none" w:sz="0" w:space="0" w:color="auto"/>
      </w:divBdr>
    </w:div>
    <w:div w:id="330448809">
      <w:bodyDiv w:val="1"/>
      <w:marLeft w:val="0"/>
      <w:marRight w:val="0"/>
      <w:marTop w:val="0"/>
      <w:marBottom w:val="0"/>
      <w:divBdr>
        <w:top w:val="none" w:sz="0" w:space="0" w:color="auto"/>
        <w:left w:val="none" w:sz="0" w:space="0" w:color="auto"/>
        <w:bottom w:val="none" w:sz="0" w:space="0" w:color="auto"/>
        <w:right w:val="none" w:sz="0" w:space="0" w:color="auto"/>
      </w:divBdr>
    </w:div>
    <w:div w:id="470245360">
      <w:bodyDiv w:val="1"/>
      <w:marLeft w:val="0"/>
      <w:marRight w:val="0"/>
      <w:marTop w:val="0"/>
      <w:marBottom w:val="0"/>
      <w:divBdr>
        <w:top w:val="none" w:sz="0" w:space="0" w:color="auto"/>
        <w:left w:val="none" w:sz="0" w:space="0" w:color="auto"/>
        <w:bottom w:val="none" w:sz="0" w:space="0" w:color="auto"/>
        <w:right w:val="none" w:sz="0" w:space="0" w:color="auto"/>
      </w:divBdr>
    </w:div>
    <w:div w:id="551116057">
      <w:bodyDiv w:val="1"/>
      <w:marLeft w:val="0"/>
      <w:marRight w:val="0"/>
      <w:marTop w:val="0"/>
      <w:marBottom w:val="0"/>
      <w:divBdr>
        <w:top w:val="none" w:sz="0" w:space="0" w:color="auto"/>
        <w:left w:val="none" w:sz="0" w:space="0" w:color="auto"/>
        <w:bottom w:val="none" w:sz="0" w:space="0" w:color="auto"/>
        <w:right w:val="none" w:sz="0" w:space="0" w:color="auto"/>
      </w:divBdr>
    </w:div>
    <w:div w:id="689262327">
      <w:bodyDiv w:val="1"/>
      <w:marLeft w:val="0"/>
      <w:marRight w:val="0"/>
      <w:marTop w:val="0"/>
      <w:marBottom w:val="0"/>
      <w:divBdr>
        <w:top w:val="none" w:sz="0" w:space="0" w:color="auto"/>
        <w:left w:val="none" w:sz="0" w:space="0" w:color="auto"/>
        <w:bottom w:val="none" w:sz="0" w:space="0" w:color="auto"/>
        <w:right w:val="none" w:sz="0" w:space="0" w:color="auto"/>
      </w:divBdr>
    </w:div>
    <w:div w:id="749078896">
      <w:bodyDiv w:val="1"/>
      <w:marLeft w:val="0"/>
      <w:marRight w:val="0"/>
      <w:marTop w:val="0"/>
      <w:marBottom w:val="0"/>
      <w:divBdr>
        <w:top w:val="none" w:sz="0" w:space="0" w:color="auto"/>
        <w:left w:val="none" w:sz="0" w:space="0" w:color="auto"/>
        <w:bottom w:val="none" w:sz="0" w:space="0" w:color="auto"/>
        <w:right w:val="none" w:sz="0" w:space="0" w:color="auto"/>
      </w:divBdr>
    </w:div>
    <w:div w:id="850408836">
      <w:bodyDiv w:val="1"/>
      <w:marLeft w:val="0"/>
      <w:marRight w:val="0"/>
      <w:marTop w:val="0"/>
      <w:marBottom w:val="0"/>
      <w:divBdr>
        <w:top w:val="none" w:sz="0" w:space="0" w:color="auto"/>
        <w:left w:val="none" w:sz="0" w:space="0" w:color="auto"/>
        <w:bottom w:val="none" w:sz="0" w:space="0" w:color="auto"/>
        <w:right w:val="none" w:sz="0" w:space="0" w:color="auto"/>
      </w:divBdr>
    </w:div>
    <w:div w:id="920407770">
      <w:bodyDiv w:val="1"/>
      <w:marLeft w:val="0"/>
      <w:marRight w:val="0"/>
      <w:marTop w:val="0"/>
      <w:marBottom w:val="0"/>
      <w:divBdr>
        <w:top w:val="none" w:sz="0" w:space="0" w:color="auto"/>
        <w:left w:val="none" w:sz="0" w:space="0" w:color="auto"/>
        <w:bottom w:val="none" w:sz="0" w:space="0" w:color="auto"/>
        <w:right w:val="none" w:sz="0" w:space="0" w:color="auto"/>
      </w:divBdr>
    </w:div>
    <w:div w:id="930772412">
      <w:bodyDiv w:val="1"/>
      <w:marLeft w:val="0"/>
      <w:marRight w:val="0"/>
      <w:marTop w:val="0"/>
      <w:marBottom w:val="0"/>
      <w:divBdr>
        <w:top w:val="none" w:sz="0" w:space="0" w:color="auto"/>
        <w:left w:val="none" w:sz="0" w:space="0" w:color="auto"/>
        <w:bottom w:val="none" w:sz="0" w:space="0" w:color="auto"/>
        <w:right w:val="none" w:sz="0" w:space="0" w:color="auto"/>
      </w:divBdr>
      <w:divsChild>
        <w:div w:id="2123916356">
          <w:marLeft w:val="547"/>
          <w:marRight w:val="0"/>
          <w:marTop w:val="0"/>
          <w:marBottom w:val="0"/>
          <w:divBdr>
            <w:top w:val="none" w:sz="0" w:space="0" w:color="auto"/>
            <w:left w:val="none" w:sz="0" w:space="0" w:color="auto"/>
            <w:bottom w:val="none" w:sz="0" w:space="0" w:color="auto"/>
            <w:right w:val="none" w:sz="0" w:space="0" w:color="auto"/>
          </w:divBdr>
        </w:div>
      </w:divsChild>
    </w:div>
    <w:div w:id="949511106">
      <w:bodyDiv w:val="1"/>
      <w:marLeft w:val="0"/>
      <w:marRight w:val="0"/>
      <w:marTop w:val="0"/>
      <w:marBottom w:val="0"/>
      <w:divBdr>
        <w:top w:val="none" w:sz="0" w:space="0" w:color="auto"/>
        <w:left w:val="none" w:sz="0" w:space="0" w:color="auto"/>
        <w:bottom w:val="none" w:sz="0" w:space="0" w:color="auto"/>
        <w:right w:val="none" w:sz="0" w:space="0" w:color="auto"/>
      </w:divBdr>
    </w:div>
    <w:div w:id="1052509542">
      <w:bodyDiv w:val="1"/>
      <w:marLeft w:val="0"/>
      <w:marRight w:val="0"/>
      <w:marTop w:val="0"/>
      <w:marBottom w:val="0"/>
      <w:divBdr>
        <w:top w:val="none" w:sz="0" w:space="0" w:color="auto"/>
        <w:left w:val="none" w:sz="0" w:space="0" w:color="auto"/>
        <w:bottom w:val="none" w:sz="0" w:space="0" w:color="auto"/>
        <w:right w:val="none" w:sz="0" w:space="0" w:color="auto"/>
      </w:divBdr>
    </w:div>
    <w:div w:id="1131634477">
      <w:bodyDiv w:val="1"/>
      <w:marLeft w:val="0"/>
      <w:marRight w:val="0"/>
      <w:marTop w:val="0"/>
      <w:marBottom w:val="0"/>
      <w:divBdr>
        <w:top w:val="none" w:sz="0" w:space="0" w:color="auto"/>
        <w:left w:val="none" w:sz="0" w:space="0" w:color="auto"/>
        <w:bottom w:val="none" w:sz="0" w:space="0" w:color="auto"/>
        <w:right w:val="none" w:sz="0" w:space="0" w:color="auto"/>
      </w:divBdr>
    </w:div>
    <w:div w:id="1176729578">
      <w:bodyDiv w:val="1"/>
      <w:marLeft w:val="0"/>
      <w:marRight w:val="0"/>
      <w:marTop w:val="0"/>
      <w:marBottom w:val="0"/>
      <w:divBdr>
        <w:top w:val="none" w:sz="0" w:space="0" w:color="auto"/>
        <w:left w:val="none" w:sz="0" w:space="0" w:color="auto"/>
        <w:bottom w:val="none" w:sz="0" w:space="0" w:color="auto"/>
        <w:right w:val="none" w:sz="0" w:space="0" w:color="auto"/>
      </w:divBdr>
    </w:div>
    <w:div w:id="1194920135">
      <w:bodyDiv w:val="1"/>
      <w:marLeft w:val="0"/>
      <w:marRight w:val="0"/>
      <w:marTop w:val="0"/>
      <w:marBottom w:val="0"/>
      <w:divBdr>
        <w:top w:val="none" w:sz="0" w:space="0" w:color="auto"/>
        <w:left w:val="none" w:sz="0" w:space="0" w:color="auto"/>
        <w:bottom w:val="none" w:sz="0" w:space="0" w:color="auto"/>
        <w:right w:val="none" w:sz="0" w:space="0" w:color="auto"/>
      </w:divBdr>
      <w:divsChild>
        <w:div w:id="119492098">
          <w:marLeft w:val="806"/>
          <w:marRight w:val="0"/>
          <w:marTop w:val="0"/>
          <w:marBottom w:val="120"/>
          <w:divBdr>
            <w:top w:val="none" w:sz="0" w:space="0" w:color="auto"/>
            <w:left w:val="none" w:sz="0" w:space="0" w:color="auto"/>
            <w:bottom w:val="none" w:sz="0" w:space="0" w:color="auto"/>
            <w:right w:val="none" w:sz="0" w:space="0" w:color="auto"/>
          </w:divBdr>
        </w:div>
      </w:divsChild>
    </w:div>
    <w:div w:id="1235093783">
      <w:bodyDiv w:val="1"/>
      <w:marLeft w:val="0"/>
      <w:marRight w:val="0"/>
      <w:marTop w:val="0"/>
      <w:marBottom w:val="0"/>
      <w:divBdr>
        <w:top w:val="none" w:sz="0" w:space="0" w:color="auto"/>
        <w:left w:val="none" w:sz="0" w:space="0" w:color="auto"/>
        <w:bottom w:val="none" w:sz="0" w:space="0" w:color="auto"/>
        <w:right w:val="none" w:sz="0" w:space="0" w:color="auto"/>
      </w:divBdr>
    </w:div>
    <w:div w:id="1343361897">
      <w:bodyDiv w:val="1"/>
      <w:marLeft w:val="0"/>
      <w:marRight w:val="0"/>
      <w:marTop w:val="0"/>
      <w:marBottom w:val="0"/>
      <w:divBdr>
        <w:top w:val="none" w:sz="0" w:space="0" w:color="auto"/>
        <w:left w:val="none" w:sz="0" w:space="0" w:color="auto"/>
        <w:bottom w:val="none" w:sz="0" w:space="0" w:color="auto"/>
        <w:right w:val="none" w:sz="0" w:space="0" w:color="auto"/>
      </w:divBdr>
    </w:div>
    <w:div w:id="1346438502">
      <w:bodyDiv w:val="1"/>
      <w:marLeft w:val="0"/>
      <w:marRight w:val="0"/>
      <w:marTop w:val="0"/>
      <w:marBottom w:val="0"/>
      <w:divBdr>
        <w:top w:val="none" w:sz="0" w:space="0" w:color="auto"/>
        <w:left w:val="none" w:sz="0" w:space="0" w:color="auto"/>
        <w:bottom w:val="none" w:sz="0" w:space="0" w:color="auto"/>
        <w:right w:val="none" w:sz="0" w:space="0" w:color="auto"/>
      </w:divBdr>
    </w:div>
    <w:div w:id="1527794332">
      <w:bodyDiv w:val="1"/>
      <w:marLeft w:val="0"/>
      <w:marRight w:val="0"/>
      <w:marTop w:val="0"/>
      <w:marBottom w:val="0"/>
      <w:divBdr>
        <w:top w:val="none" w:sz="0" w:space="0" w:color="auto"/>
        <w:left w:val="none" w:sz="0" w:space="0" w:color="auto"/>
        <w:bottom w:val="none" w:sz="0" w:space="0" w:color="auto"/>
        <w:right w:val="none" w:sz="0" w:space="0" w:color="auto"/>
      </w:divBdr>
    </w:div>
    <w:div w:id="1612054840">
      <w:bodyDiv w:val="1"/>
      <w:marLeft w:val="0"/>
      <w:marRight w:val="0"/>
      <w:marTop w:val="0"/>
      <w:marBottom w:val="0"/>
      <w:divBdr>
        <w:top w:val="none" w:sz="0" w:space="0" w:color="auto"/>
        <w:left w:val="none" w:sz="0" w:space="0" w:color="auto"/>
        <w:bottom w:val="none" w:sz="0" w:space="0" w:color="auto"/>
        <w:right w:val="none" w:sz="0" w:space="0" w:color="auto"/>
      </w:divBdr>
    </w:div>
    <w:div w:id="1746682605">
      <w:bodyDiv w:val="1"/>
      <w:marLeft w:val="0"/>
      <w:marRight w:val="0"/>
      <w:marTop w:val="0"/>
      <w:marBottom w:val="0"/>
      <w:divBdr>
        <w:top w:val="none" w:sz="0" w:space="0" w:color="auto"/>
        <w:left w:val="none" w:sz="0" w:space="0" w:color="auto"/>
        <w:bottom w:val="none" w:sz="0" w:space="0" w:color="auto"/>
        <w:right w:val="none" w:sz="0" w:space="0" w:color="auto"/>
      </w:divBdr>
    </w:div>
    <w:div w:id="1757558114">
      <w:bodyDiv w:val="1"/>
      <w:marLeft w:val="0"/>
      <w:marRight w:val="0"/>
      <w:marTop w:val="0"/>
      <w:marBottom w:val="0"/>
      <w:divBdr>
        <w:top w:val="none" w:sz="0" w:space="0" w:color="auto"/>
        <w:left w:val="none" w:sz="0" w:space="0" w:color="auto"/>
        <w:bottom w:val="none" w:sz="0" w:space="0" w:color="auto"/>
        <w:right w:val="none" w:sz="0" w:space="0" w:color="auto"/>
      </w:divBdr>
    </w:div>
    <w:div w:id="1780639224">
      <w:bodyDiv w:val="1"/>
      <w:marLeft w:val="0"/>
      <w:marRight w:val="0"/>
      <w:marTop w:val="0"/>
      <w:marBottom w:val="0"/>
      <w:divBdr>
        <w:top w:val="none" w:sz="0" w:space="0" w:color="auto"/>
        <w:left w:val="none" w:sz="0" w:space="0" w:color="auto"/>
        <w:bottom w:val="none" w:sz="0" w:space="0" w:color="auto"/>
        <w:right w:val="none" w:sz="0" w:space="0" w:color="auto"/>
      </w:divBdr>
    </w:div>
    <w:div w:id="1845969594">
      <w:bodyDiv w:val="1"/>
      <w:marLeft w:val="0"/>
      <w:marRight w:val="0"/>
      <w:marTop w:val="0"/>
      <w:marBottom w:val="0"/>
      <w:divBdr>
        <w:top w:val="none" w:sz="0" w:space="0" w:color="auto"/>
        <w:left w:val="none" w:sz="0" w:space="0" w:color="auto"/>
        <w:bottom w:val="none" w:sz="0" w:space="0" w:color="auto"/>
        <w:right w:val="none" w:sz="0" w:space="0" w:color="auto"/>
      </w:divBdr>
    </w:div>
    <w:div w:id="1892035843">
      <w:bodyDiv w:val="1"/>
      <w:marLeft w:val="0"/>
      <w:marRight w:val="0"/>
      <w:marTop w:val="0"/>
      <w:marBottom w:val="0"/>
      <w:divBdr>
        <w:top w:val="none" w:sz="0" w:space="0" w:color="auto"/>
        <w:left w:val="none" w:sz="0" w:space="0" w:color="auto"/>
        <w:bottom w:val="none" w:sz="0" w:space="0" w:color="auto"/>
        <w:right w:val="none" w:sz="0" w:space="0" w:color="auto"/>
      </w:divBdr>
    </w:div>
    <w:div w:id="1895386738">
      <w:bodyDiv w:val="1"/>
      <w:marLeft w:val="0"/>
      <w:marRight w:val="0"/>
      <w:marTop w:val="0"/>
      <w:marBottom w:val="0"/>
      <w:divBdr>
        <w:top w:val="none" w:sz="0" w:space="0" w:color="auto"/>
        <w:left w:val="none" w:sz="0" w:space="0" w:color="auto"/>
        <w:bottom w:val="none" w:sz="0" w:space="0" w:color="auto"/>
        <w:right w:val="none" w:sz="0" w:space="0" w:color="auto"/>
      </w:divBdr>
    </w:div>
    <w:div w:id="207850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3154-Zeleznicna-doprava-revizia-usmerneni-o-statnej-pomoci_sk" TargetMode="External"/><Relationship Id="rId3" Type="http://schemas.openxmlformats.org/officeDocument/2006/relationships/hyperlink" Target="https://www.consilium.europa.eu/media/50361/carbis-bay-g7-summit-communique.pdf" TargetMode="External"/><Relationship Id="rId7" Type="http://schemas.openxmlformats.org/officeDocument/2006/relationships/hyperlink" Target="https://ec.europa.eu/competition-policy/document/download/69020dc0-b852-4952-9319-542637228f91_en" TargetMode="External"/><Relationship Id="rId2" Type="http://schemas.openxmlformats.org/officeDocument/2006/relationships/hyperlink" Target="https://www.gov.uk/government/publications/g7-digital-and-technology-ministerial-declaration" TargetMode="External"/><Relationship Id="rId1" Type="http://schemas.openxmlformats.org/officeDocument/2006/relationships/hyperlink" Target="https://blogs.imf.org/2021/03/15/rising-market-power-a-threat-to-the-recovery/" TargetMode="External"/><Relationship Id="rId6" Type="http://schemas.openxmlformats.org/officeDocument/2006/relationships/hyperlink" Target="https://ec.europa.eu/competition-policy/green-gazette/conference-2021_en" TargetMode="External"/><Relationship Id="rId5" Type="http://schemas.openxmlformats.org/officeDocument/2006/relationships/hyperlink" Target="https://www.competitionbureau.gc.ca/eic/site/cb-bc.nsf/eng/h_00018.html" TargetMode="External"/><Relationship Id="rId4" Type="http://schemas.openxmlformats.org/officeDocument/2006/relationships/hyperlink" Target="https://www.whitehouse.gov/briefing-room/presidential-actions/2021/07/09/executive-order-on-promoting-competition-in-the-american-economy/" TargetMode="External"/><Relationship Id="rId9" Type="http://schemas.openxmlformats.org/officeDocument/2006/relationships/hyperlink" Target="https://ec.europa.eu/commission/presscorner/detail/en/IP_20_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9F1BD2D9621104F92E22D48AAFC4E8E" ma:contentTypeVersion="0" ma:contentTypeDescription="Create a new document in this library." ma:contentTypeScope="" ma:versionID="76bd861ca947095182a2074a69de8818">
  <xsd:schema xmlns:xsd="http://www.w3.org/2001/XMLSchema" xmlns:xs="http://www.w3.org/2001/XMLSchema" xmlns:p="http://schemas.microsoft.com/office/2006/metadata/properties" xmlns:ns2="http://schemas.microsoft.com/sharepoint/v3/fields" xmlns:ns3="d5eb3fd5-40ef-444f-9a8c-26a582d0e87f" targetNamespace="http://schemas.microsoft.com/office/2006/metadata/properties" ma:root="true" ma:fieldsID="f24bce1c02a55c4137bdb9aba801b02a" ns2:_="" ns3:_="">
    <xsd:import namespace="http://schemas.microsoft.com/sharepoint/v3/fields"/>
    <xsd:import namespace="d5eb3fd5-40ef-444f-9a8c-26a582d0e87f"/>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5eb3fd5-40ef-444f-9a8c-26a582d0e87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d5eb3fd5-40ef-444f-9a8c-26a582d0e87f">EN</EC_Collab_DocumentLanguage>
    <EC_Collab_Status xmlns="d5eb3fd5-40ef-444f-9a8c-26a582d0e87f">Not Started</EC_Collab_Status>
    <EC_Collab_Reference xmlns="d5eb3fd5-40ef-444f-9a8c-26a582d0e8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49F1BD2D9621104F92E22D48AAFC4E8E" ma:contentTypeVersion="0" ma:contentTypeDescription="Create a new document in this library." ma:contentTypeScope="" ma:versionID="76bd861ca947095182a2074a69de8818">
  <xsd:schema xmlns:xsd="http://www.w3.org/2001/XMLSchema" xmlns:xs="http://www.w3.org/2001/XMLSchema" xmlns:p="http://schemas.microsoft.com/office/2006/metadata/properties" xmlns:ns2="http://schemas.microsoft.com/sharepoint/v3/fields" xmlns:ns3="d5eb3fd5-40ef-444f-9a8c-26a582d0e87f" targetNamespace="http://schemas.microsoft.com/office/2006/metadata/properties" ma:root="true" ma:fieldsID="f24bce1c02a55c4137bdb9aba801b02a" ns2:_="" ns3:_="">
    <xsd:import namespace="http://schemas.microsoft.com/sharepoint/v3/fields"/>
    <xsd:import namespace="d5eb3fd5-40ef-444f-9a8c-26a582d0e87f"/>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5eb3fd5-40ef-444f-9a8c-26a582d0e87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d5eb3fd5-40ef-444f-9a8c-26a582d0e87f">EN</EC_Collab_DocumentLanguage>
    <EC_Collab_Status xmlns="d5eb3fd5-40ef-444f-9a8c-26a582d0e87f">Not Started</EC_Collab_Status>
    <EC_Collab_Reference xmlns="d5eb3fd5-40ef-444f-9a8c-26a582d0e87f"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B120-AEFF-463A-9658-57FF02F12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5eb3fd5-40ef-444f-9a8c-26a582d0e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D065C3-BCD4-4630-8FE5-53F0FE8A1897}">
  <ds:schemaRefs>
    <ds:schemaRef ds:uri="http://schemas.microsoft.com/office/2006/metadata/properties"/>
    <ds:schemaRef ds:uri="http://schemas.microsoft.com/office/infopath/2007/PartnerControls"/>
    <ds:schemaRef ds:uri="http://schemas.microsoft.com/sharepoint/v3/fields"/>
    <ds:schemaRef ds:uri="d5eb3fd5-40ef-444f-9a8c-26a582d0e87f"/>
  </ds:schemaRefs>
</ds:datastoreItem>
</file>

<file path=customXml/itemProps3.xml><?xml version="1.0" encoding="utf-8"?>
<ds:datastoreItem xmlns:ds="http://schemas.openxmlformats.org/officeDocument/2006/customXml" ds:itemID="{19CD6584-4C46-443A-A54F-34BBBF309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d5eb3fd5-40ef-444f-9a8c-26a582d0e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74D36-45DC-49E7-881B-BE0B513BFDB6}">
  <ds:schemaRefs>
    <ds:schemaRef ds:uri="http://schemas.microsoft.com/sharepoint/v3/contenttype/forms"/>
  </ds:schemaRefs>
</ds:datastoreItem>
</file>

<file path=customXml/itemProps5.xml><?xml version="1.0" encoding="utf-8"?>
<ds:datastoreItem xmlns:ds="http://schemas.openxmlformats.org/officeDocument/2006/customXml" ds:itemID="{3DDFB992-82FC-4740-8D08-32B3EC905AB0}">
  <ds:schemaRefs>
    <ds:schemaRef ds:uri="http://schemas.microsoft.com/office/2006/metadata/properties"/>
    <ds:schemaRef ds:uri="http://schemas.microsoft.com/office/infopath/2007/PartnerControls"/>
    <ds:schemaRef ds:uri="http://schemas.microsoft.com/sharepoint/v3/fields"/>
    <ds:schemaRef ds:uri="d5eb3fd5-40ef-444f-9a8c-26a582d0e87f"/>
  </ds:schemaRefs>
</ds:datastoreItem>
</file>

<file path=customXml/itemProps6.xml><?xml version="1.0" encoding="utf-8"?>
<ds:datastoreItem xmlns:ds="http://schemas.openxmlformats.org/officeDocument/2006/customXml" ds:itemID="{B6CABC33-A823-45BC-8E0F-BD205DFEC3D0}">
  <ds:schemaRefs>
    <ds:schemaRef ds:uri="http://schemas.microsoft.com/sharepoint/v3/contenttype/forms"/>
  </ds:schemaRefs>
</ds:datastoreItem>
</file>

<file path=customXml/itemProps7.xml><?xml version="1.0" encoding="utf-8"?>
<ds:datastoreItem xmlns:ds="http://schemas.openxmlformats.org/officeDocument/2006/customXml" ds:itemID="{64B40A95-DFA6-4E11-995A-876656938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8202</Words>
  <Characters>53069</Characters>
  <Application>Microsoft Office Word</Application>
  <DocSecurity>0</DocSecurity>
  <Lines>758</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2021-11-16T10:53:00Z</dcterms:created>
  <dcterms:modified xsi:type="dcterms:W3CDTF">2021-12-06T16:08:00Z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20200226</vt:lpwstr>
  </property>
  <property fmtid="{D5CDD505-2E9C-101B-9397-08002B2CF9AE}" pid="4" name="DocStatus">
    <vt:lpwstr>Green</vt:lpwstr>
  </property>
  <property fmtid="{D5CDD505-2E9C-101B-9397-08002B2CF9AE}" pid="5" name="documentCaseTags">
    <vt:lpwstr/>
  </property>
  <property fmtid="{D5CDD505-2E9C-101B-9397-08002B2CF9AE}" pid="6" name="documentGeneralTags">
    <vt:lpwstr/>
  </property>
  <property fmtid="{D5CDD505-2E9C-101B-9397-08002B2CF9AE}" pid="7" name="Part">
    <vt:lpwstr>1</vt:lpwstr>
  </property>
  <property fmtid="{D5CDD505-2E9C-101B-9397-08002B2CF9AE}" pid="8" name="Total parts">
    <vt:lpwstr>1</vt:lpwstr>
  </property>
  <property fmtid="{D5CDD505-2E9C-101B-9397-08002B2CF9AE}" pid="9" name="CPTemplateID">
    <vt:lpwstr>CP-014</vt:lpwstr>
  </property>
  <property fmtid="{D5CDD505-2E9C-101B-9397-08002B2CF9AE}" pid="10" name="Created using">
    <vt:lpwstr>LW 7.0.1, Build 20200226</vt:lpwstr>
  </property>
  <property fmtid="{D5CDD505-2E9C-101B-9397-08002B2CF9AE}" pid="11" name="h9928867b7ab4be3bef24b1ecb47748a">
    <vt:lpwstr/>
  </property>
  <property fmtid="{D5CDD505-2E9C-101B-9397-08002B2CF9AE}" pid="12" name="k5fb9151da7542348d7f3515bc1e7c89">
    <vt:lpwstr/>
  </property>
  <property fmtid="{D5CDD505-2E9C-101B-9397-08002B2CF9AE}" pid="13" name="TaxCatchAll">
    <vt:lpwstr/>
  </property>
  <property fmtid="{D5CDD505-2E9C-101B-9397-08002B2CF9AE}" pid="14" name="_dlc_DocIdItemGuid">
    <vt:lpwstr>f9527988-4776-420f-b0ee-fe1e7b65564b</vt:lpwstr>
  </property>
  <property fmtid="{D5CDD505-2E9C-101B-9397-08002B2CF9AE}" pid="15" name="_dlc_DocId">
    <vt:lpwstr>COMPCOLLAB-1641038280-227</vt:lpwstr>
  </property>
  <property fmtid="{D5CDD505-2E9C-101B-9397-08002B2CF9AE}" pid="16" name="_dlc_DocIdUrl">
    <vt:lpwstr>https://compcollab.ec.europa.eu/cases/HT.5881/_layouts/15/DocIdRedir.aspx?ID=COMPCOLLAB-1641038280-227, COMPCOLLAB-1641038280-227</vt:lpwstr>
  </property>
  <property fmtid="{D5CDD505-2E9C-101B-9397-08002B2CF9AE}" pid="17" name="_LW_INVALIDATED_ContentTypeId">
    <vt:lpwstr>0x010100258AA79CEB83498886A3A086811232500049F1BD2D9621104F92E22D48AAFC4E8E</vt:lpwstr>
  </property>
  <property fmtid="{D5CDD505-2E9C-101B-9397-08002B2CF9AE}" pid="18" name="_LW_INVALIDATED__LW_INVALIDATED__LW_INVALIDATED__LW_INVALIDATED__LW_INVALIDATED__LW_INVALIDATED__LW_INVALIDATED_ContentTypeId">
    <vt:lpwstr>0x010100CA1FB32B1ED641B8838797B8C7DE10DF00D908E6E37094934D80DE2E1165998916</vt:lpwstr>
  </property>
  <property fmtid="{D5CDD505-2E9C-101B-9397-08002B2CF9AE}" pid="19" name="_LW_INVALIDATED__LW_INVALIDATED__LW_INVALIDATED_ContentTypeId">
    <vt:lpwstr>0x010100258AA79CEB83498886A3A086811232500049F1BD2D9621104F92E22D48AAFC4E8E</vt:lpwstr>
  </property>
  <property fmtid="{D5CDD505-2E9C-101B-9397-08002B2CF9AE}" pid="20" name="ContentTypeId">
    <vt:lpwstr>0x010100258AA79CEB83498886A3A086811232500049F1BD2D9621104F92E22D48AAFC4E8E</vt:lpwstr>
  </property>
  <property fmtid="{D5CDD505-2E9C-101B-9397-08002B2CF9AE}" pid="21" name="_LW_INVALIDATED__LW_INVALIDATED__LW_INVALIDATED__LW_INVALIDATED__LW_INVALIDATED__LW_INVALIDATED_ContentTypeId">
    <vt:lpwstr>0x010100CA1FB32B1ED641B8838797B8C7DE10DF00D908E6E37094934D80DE2E1165998916</vt:lpwstr>
  </property>
  <property fmtid="{D5CDD505-2E9C-101B-9397-08002B2CF9AE}" pid="22" name="_LW_INVALIDATED__LW_INVALIDATED_ContentTypeId">
    <vt:lpwstr>0x010100258AA79CEB83498886A3A086811232500049F1BD2D9621104F92E22D48AAFC4E8E</vt:lpwstr>
  </property>
</Properties>
</file>