
<file path=[Content_Types].xml><?xml version="1.0" encoding="utf-8"?>
<Types xmlns="http://schemas.openxmlformats.org/package/2006/content-types">
  <Default Extension="emf" ContentType="image/x-emf"/>
  <Default Extension="004C0B7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0EB04" w14:textId="37813093" w:rsidR="00B83E6E" w:rsidRPr="00C60340" w:rsidRDefault="00B74AEE" w:rsidP="00B74AEE">
      <w:pPr>
        <w:pStyle w:val="Pagedecouverture"/>
        <w:rPr>
          <w:noProof/>
        </w:rPr>
      </w:pPr>
      <w:bookmarkStart w:id="0" w:name="LW_BM_COVERPAGE"/>
      <w:r>
        <w:rPr>
          <w:noProof/>
        </w:rPr>
        <w:pict w14:anchorId="00412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1C20BB5-CB53-488B-B2E4-D43B50F58AF9" style="width:455.25pt;height:324pt">
            <v:imagedata r:id="rId8" o:title=""/>
          </v:shape>
        </w:pict>
      </w:r>
    </w:p>
    <w:bookmarkEnd w:id="0"/>
    <w:p w14:paraId="55D4F2BC" w14:textId="77777777" w:rsidR="00B83E6E" w:rsidRPr="00C60340" w:rsidRDefault="00B83E6E" w:rsidP="001378BC">
      <w:pPr>
        <w:spacing w:after="120" w:line="240" w:lineRule="auto"/>
        <w:rPr>
          <w:rFonts w:ascii="Times New Roman" w:hAnsi="Times New Roman" w:cs="Times New Roman"/>
          <w:noProof/>
          <w:sz w:val="24"/>
          <w:szCs w:val="24"/>
        </w:rPr>
        <w:sectPr w:rsidR="00B83E6E" w:rsidRPr="00C60340" w:rsidSect="00B74AEE">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57100EB" w14:textId="77777777" w:rsidR="00190AF2" w:rsidRPr="00C60340" w:rsidRDefault="00190AF2" w:rsidP="001378BC">
      <w:pPr>
        <w:spacing w:after="120" w:line="240" w:lineRule="auto"/>
        <w:rPr>
          <w:rFonts w:ascii="Times New Roman" w:hAnsi="Times New Roman" w:cs="Times New Roman"/>
          <w:b/>
          <w:noProof/>
          <w:sz w:val="24"/>
          <w:szCs w:val="24"/>
        </w:rPr>
      </w:pPr>
      <w:bookmarkStart w:id="1" w:name="_GoBack"/>
      <w:bookmarkEnd w:id="1"/>
    </w:p>
    <w:p w14:paraId="3B3D236B" w14:textId="3F8458F5" w:rsidR="000A252C" w:rsidRPr="00C60340" w:rsidRDefault="00025950" w:rsidP="001378BC">
      <w:pPr>
        <w:spacing w:after="120" w:line="240" w:lineRule="auto"/>
        <w:jc w:val="center"/>
        <w:rPr>
          <w:rFonts w:ascii="Times New Roman" w:hAnsi="Times New Roman" w:cs="Times New Roman"/>
          <w:b/>
          <w:noProof/>
          <w:sz w:val="24"/>
          <w:szCs w:val="24"/>
        </w:rPr>
      </w:pPr>
      <w:r w:rsidRPr="00C60340">
        <w:rPr>
          <w:rFonts w:ascii="Times New Roman" w:hAnsi="Times New Roman"/>
          <w:b/>
          <w:noProof/>
          <w:sz w:val="24"/>
          <w:szCs w:val="24"/>
        </w:rPr>
        <w:t>SPOLOČNÉ RIEŠENIE DNEŠNÝC</w:t>
      </w:r>
      <w:r w:rsidR="00896DC2" w:rsidRPr="00C60340">
        <w:rPr>
          <w:rFonts w:ascii="Times New Roman" w:hAnsi="Times New Roman"/>
          <w:b/>
          <w:noProof/>
          <w:sz w:val="24"/>
          <w:szCs w:val="24"/>
        </w:rPr>
        <w:t>H A BUDÚCICH VÝZIEV SPOJENÝCH</w:t>
      </w:r>
      <w:r w:rsidR="00C60340">
        <w:rPr>
          <w:rFonts w:ascii="Times New Roman" w:hAnsi="Times New Roman"/>
          <w:b/>
          <w:noProof/>
          <w:sz w:val="24"/>
          <w:szCs w:val="24"/>
        </w:rPr>
        <w:t xml:space="preserve"> S </w:t>
      </w:r>
      <w:r w:rsidRPr="00C60340">
        <w:rPr>
          <w:rFonts w:ascii="Times New Roman" w:hAnsi="Times New Roman"/>
          <w:b/>
          <w:noProof/>
          <w:sz w:val="24"/>
          <w:szCs w:val="24"/>
        </w:rPr>
        <w:t>OCHORENÍM COVID-19</w:t>
      </w:r>
    </w:p>
    <w:p w14:paraId="338496DD" w14:textId="27BE425A" w:rsidR="00190AF2" w:rsidRPr="00C60340" w:rsidRDefault="00190AF2" w:rsidP="001378BC">
      <w:pPr>
        <w:spacing w:after="120" w:line="240" w:lineRule="auto"/>
        <w:jc w:val="both"/>
        <w:rPr>
          <w:rFonts w:ascii="Times New Roman" w:hAnsi="Times New Roman" w:cs="Times New Roman"/>
          <w:noProof/>
          <w:sz w:val="24"/>
          <w:szCs w:val="24"/>
        </w:rPr>
      </w:pPr>
    </w:p>
    <w:p w14:paraId="009C71B5" w14:textId="77777777" w:rsidR="00454039" w:rsidRPr="00C60340" w:rsidRDefault="001E524D" w:rsidP="001378BC">
      <w:pPr>
        <w:spacing w:after="120" w:line="240" w:lineRule="auto"/>
        <w:jc w:val="both"/>
        <w:rPr>
          <w:rFonts w:ascii="Times New Roman" w:hAnsi="Times New Roman" w:cs="Times New Roman"/>
          <w:noProof/>
          <w:sz w:val="24"/>
          <w:szCs w:val="24"/>
        </w:rPr>
      </w:pPr>
      <w:r w:rsidRPr="00C60340">
        <w:rPr>
          <w:rFonts w:ascii="Times New Roman" w:hAnsi="Times New Roman"/>
          <w:b/>
          <w:noProof/>
          <w:sz w:val="24"/>
          <w:szCs w:val="24"/>
        </w:rPr>
        <w:t>I</w:t>
      </w:r>
      <w:r w:rsidRPr="00C60340">
        <w:rPr>
          <w:rFonts w:ascii="Times New Roman" w:hAnsi="Times New Roman"/>
          <w:noProof/>
        </w:rPr>
        <w:tab/>
      </w:r>
      <w:r w:rsidRPr="00C60340">
        <w:rPr>
          <w:rFonts w:ascii="Times New Roman" w:hAnsi="Times New Roman"/>
          <w:b/>
          <w:noProof/>
          <w:sz w:val="24"/>
          <w:szCs w:val="24"/>
        </w:rPr>
        <w:t>ÚVOD</w:t>
      </w:r>
    </w:p>
    <w:p w14:paraId="0CC2E2EE" w14:textId="48BA8FA9" w:rsidR="000737CC" w:rsidRPr="00C60340" w:rsidRDefault="001E524D"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Na jeseň tohto roku došlo</w:t>
      </w:r>
      <w:r w:rsidR="00C60340">
        <w:rPr>
          <w:rFonts w:ascii="Times New Roman" w:hAnsi="Times New Roman"/>
          <w:noProof/>
          <w:sz w:val="24"/>
          <w:szCs w:val="24"/>
        </w:rPr>
        <w:t xml:space="preserve"> v </w:t>
      </w:r>
      <w:r w:rsidRPr="00C60340">
        <w:rPr>
          <w:rFonts w:ascii="Times New Roman" w:hAnsi="Times New Roman"/>
          <w:noProof/>
          <w:sz w:val="24"/>
          <w:szCs w:val="24"/>
        </w:rPr>
        <w:t>mnohých členských štátoch</w:t>
      </w:r>
      <w:r w:rsidR="00C60340">
        <w:rPr>
          <w:rFonts w:ascii="Times New Roman" w:hAnsi="Times New Roman"/>
          <w:noProof/>
          <w:sz w:val="24"/>
          <w:szCs w:val="24"/>
        </w:rPr>
        <w:t xml:space="preserve"> k </w:t>
      </w:r>
      <w:r w:rsidRPr="00C60340">
        <w:rPr>
          <w:rFonts w:ascii="Times New Roman" w:hAnsi="Times New Roman"/>
          <w:noProof/>
          <w:sz w:val="24"/>
          <w:szCs w:val="24"/>
        </w:rPr>
        <w:t>opätovnému výskytu ochorenia COVID-19</w:t>
      </w:r>
      <w:r w:rsidR="00C60340">
        <w:rPr>
          <w:rFonts w:ascii="Times New Roman" w:hAnsi="Times New Roman"/>
          <w:noProof/>
          <w:sz w:val="24"/>
          <w:szCs w:val="24"/>
        </w:rPr>
        <w:t xml:space="preserve"> s </w:t>
      </w:r>
      <w:r w:rsidRPr="00C60340">
        <w:rPr>
          <w:rFonts w:ascii="Times New Roman" w:hAnsi="Times New Roman"/>
          <w:noProof/>
          <w:sz w:val="24"/>
          <w:szCs w:val="24"/>
        </w:rPr>
        <w:t>rýchlo rastúcim počtom prípadov</w:t>
      </w:r>
      <w:r w:rsidR="00C60340">
        <w:rPr>
          <w:rFonts w:ascii="Times New Roman" w:hAnsi="Times New Roman"/>
          <w:noProof/>
          <w:sz w:val="24"/>
          <w:szCs w:val="24"/>
        </w:rPr>
        <w:t xml:space="preserve"> a </w:t>
      </w:r>
      <w:r w:rsidRPr="00C60340">
        <w:rPr>
          <w:rFonts w:ascii="Times New Roman" w:hAnsi="Times New Roman"/>
          <w:noProof/>
          <w:sz w:val="24"/>
          <w:szCs w:val="24"/>
        </w:rPr>
        <w:t>obnoveným tlakom na nemocnice</w:t>
      </w:r>
      <w:r w:rsidR="00C60340">
        <w:rPr>
          <w:rFonts w:ascii="Times New Roman" w:hAnsi="Times New Roman"/>
          <w:noProof/>
          <w:sz w:val="24"/>
          <w:szCs w:val="24"/>
        </w:rPr>
        <w:t xml:space="preserve"> a </w:t>
      </w:r>
      <w:r w:rsidRPr="00C60340">
        <w:rPr>
          <w:rFonts w:ascii="Times New Roman" w:hAnsi="Times New Roman"/>
          <w:noProof/>
          <w:sz w:val="24"/>
          <w:szCs w:val="24"/>
        </w:rPr>
        <w:t>zdravotnícky personál. Vlády opäť hľadajú rovnováhu medzi potrebou zavádzať obmedzenia na zastavenie šírenia vírusu</w:t>
      </w:r>
      <w:r w:rsidR="00C60340">
        <w:rPr>
          <w:rFonts w:ascii="Times New Roman" w:hAnsi="Times New Roman"/>
          <w:noProof/>
          <w:sz w:val="24"/>
          <w:szCs w:val="24"/>
        </w:rPr>
        <w:t xml:space="preserve"> a </w:t>
      </w:r>
      <w:r w:rsidRPr="00C60340">
        <w:rPr>
          <w:rFonts w:ascii="Times New Roman" w:hAnsi="Times New Roman"/>
          <w:noProof/>
          <w:sz w:val="24"/>
          <w:szCs w:val="24"/>
        </w:rPr>
        <w:t>cenou, ktorú za to zaplatí spoločenský</w:t>
      </w:r>
      <w:r w:rsidR="00C60340">
        <w:rPr>
          <w:rFonts w:ascii="Times New Roman" w:hAnsi="Times New Roman"/>
          <w:noProof/>
          <w:sz w:val="24"/>
          <w:szCs w:val="24"/>
        </w:rPr>
        <w:t xml:space="preserve"> a </w:t>
      </w:r>
      <w:r w:rsidRPr="00C60340">
        <w:rPr>
          <w:rFonts w:ascii="Times New Roman" w:hAnsi="Times New Roman"/>
          <w:noProof/>
          <w:sz w:val="24"/>
          <w:szCs w:val="24"/>
        </w:rPr>
        <w:t>hospodársky život. Po dočasnej úľave je situácia opäť kritická, čo</w:t>
      </w:r>
      <w:r w:rsidR="00C60340">
        <w:rPr>
          <w:rFonts w:ascii="Times New Roman" w:hAnsi="Times New Roman"/>
          <w:noProof/>
          <w:sz w:val="24"/>
          <w:szCs w:val="24"/>
        </w:rPr>
        <w:t xml:space="preserve"> u </w:t>
      </w:r>
      <w:r w:rsidRPr="00C60340">
        <w:rPr>
          <w:rFonts w:ascii="Times New Roman" w:hAnsi="Times New Roman"/>
          <w:noProof/>
          <w:sz w:val="24"/>
          <w:szCs w:val="24"/>
        </w:rPr>
        <w:t>mnohých občanov vyvoláva frustráciu</w:t>
      </w:r>
      <w:r w:rsidR="00C60340">
        <w:rPr>
          <w:rFonts w:ascii="Times New Roman" w:hAnsi="Times New Roman"/>
          <w:noProof/>
          <w:sz w:val="24"/>
          <w:szCs w:val="24"/>
        </w:rPr>
        <w:t xml:space="preserve"> a </w:t>
      </w:r>
      <w:r w:rsidRPr="00C60340">
        <w:rPr>
          <w:rFonts w:ascii="Times New Roman" w:hAnsi="Times New Roman"/>
          <w:noProof/>
          <w:sz w:val="24"/>
          <w:szCs w:val="24"/>
        </w:rPr>
        <w:t>únavu. Nová hrozba, ktorú predstavuje variant omikron, ešte viac prehĺbila obavy.</w:t>
      </w:r>
    </w:p>
    <w:p w14:paraId="2F17256D" w14:textId="27A2F3C0" w:rsidR="00C60340" w:rsidRDefault="00714F5F"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Treba preto bezodkladne</w:t>
      </w:r>
      <w:r w:rsidR="00C60340">
        <w:rPr>
          <w:rFonts w:ascii="Times New Roman" w:hAnsi="Times New Roman"/>
          <w:noProof/>
          <w:sz w:val="24"/>
          <w:szCs w:val="24"/>
        </w:rPr>
        <w:t xml:space="preserve"> a </w:t>
      </w:r>
      <w:r w:rsidRPr="00C60340">
        <w:rPr>
          <w:rFonts w:ascii="Times New Roman" w:hAnsi="Times New Roman"/>
          <w:noProof/>
          <w:sz w:val="24"/>
          <w:szCs w:val="24"/>
        </w:rPr>
        <w:t>rozhodne konať. Vďaka spoločnému úsiliu EÚ, členských štátov</w:t>
      </w:r>
      <w:r w:rsidR="00C60340">
        <w:rPr>
          <w:rFonts w:ascii="Times New Roman" w:hAnsi="Times New Roman"/>
          <w:noProof/>
          <w:sz w:val="24"/>
          <w:szCs w:val="24"/>
        </w:rPr>
        <w:t xml:space="preserve"> a </w:t>
      </w:r>
      <w:r w:rsidRPr="00C60340">
        <w:rPr>
          <w:rFonts w:ascii="Times New Roman" w:hAnsi="Times New Roman"/>
          <w:noProof/>
          <w:sz w:val="24"/>
          <w:szCs w:val="24"/>
        </w:rPr>
        <w:t>občanov sme teraz oveľa lepšie vybavení na prijímanie opatrení než na začiatku pandémie. Omnoho viac vieme</w:t>
      </w:r>
      <w:r w:rsidR="00C60340">
        <w:rPr>
          <w:rFonts w:ascii="Times New Roman" w:hAnsi="Times New Roman"/>
          <w:noProof/>
          <w:sz w:val="24"/>
          <w:szCs w:val="24"/>
        </w:rPr>
        <w:t xml:space="preserve"> o </w:t>
      </w:r>
      <w:r w:rsidRPr="00C60340">
        <w:rPr>
          <w:rFonts w:ascii="Times New Roman" w:hAnsi="Times New Roman"/>
          <w:noProof/>
          <w:sz w:val="24"/>
          <w:szCs w:val="24"/>
        </w:rPr>
        <w:t>tom, ako obmedziť prenos ochorenia COVID-19 hygienickými opatreniami</w:t>
      </w:r>
      <w:r w:rsidR="00C60340">
        <w:rPr>
          <w:rFonts w:ascii="Times New Roman" w:hAnsi="Times New Roman"/>
          <w:noProof/>
          <w:sz w:val="24"/>
          <w:szCs w:val="24"/>
        </w:rPr>
        <w:t xml:space="preserve"> a </w:t>
      </w:r>
      <w:r w:rsidRPr="00C60340">
        <w:rPr>
          <w:rFonts w:ascii="Times New Roman" w:hAnsi="Times New Roman"/>
          <w:noProof/>
          <w:sz w:val="24"/>
          <w:szCs w:val="24"/>
        </w:rPr>
        <w:t>cielenými obmedzeniami. Terapeutiká, ktoré umožňujú liečiť ochorenie COVID-19, sú čoraz dostupnejšie. A predovšetkým očkovanie výrazne znižuje riziká pre väčšinu Európanov. Očkovanie umožnilo opäť naštartovať veľkú časť každodenného života, začať obnovu hospodárstiev</w:t>
      </w:r>
      <w:r w:rsidR="00C60340">
        <w:rPr>
          <w:rFonts w:ascii="Times New Roman" w:hAnsi="Times New Roman"/>
          <w:noProof/>
          <w:sz w:val="24"/>
          <w:szCs w:val="24"/>
        </w:rPr>
        <w:t xml:space="preserve"> a </w:t>
      </w:r>
      <w:r w:rsidRPr="00C60340">
        <w:rPr>
          <w:rFonts w:ascii="Times New Roman" w:hAnsi="Times New Roman"/>
          <w:noProof/>
          <w:sz w:val="24"/>
          <w:szCs w:val="24"/>
        </w:rPr>
        <w:t>pripravilo pôdu pre iniciatívy na obnovenie slobôd, ako je digitálny COVID preukaz EÚ. Vďaka spoločnému úsiliu EÚ zameranému na zvyšovanie výroby</w:t>
      </w:r>
      <w:r w:rsidR="00C60340">
        <w:rPr>
          <w:rFonts w:ascii="Times New Roman" w:hAnsi="Times New Roman"/>
          <w:noProof/>
          <w:sz w:val="24"/>
          <w:szCs w:val="24"/>
        </w:rPr>
        <w:t xml:space="preserve"> a </w:t>
      </w:r>
      <w:r w:rsidRPr="00C60340">
        <w:rPr>
          <w:rFonts w:ascii="Times New Roman" w:hAnsi="Times New Roman"/>
          <w:noProof/>
          <w:sz w:val="24"/>
          <w:szCs w:val="24"/>
        </w:rPr>
        <w:t>dodávok vakcín sa výrazne zlepšil prístup</w:t>
      </w:r>
      <w:r w:rsidR="00C60340">
        <w:rPr>
          <w:rFonts w:ascii="Times New Roman" w:hAnsi="Times New Roman"/>
          <w:noProof/>
          <w:sz w:val="24"/>
          <w:szCs w:val="24"/>
        </w:rPr>
        <w:t xml:space="preserve"> k </w:t>
      </w:r>
      <w:r w:rsidRPr="00C60340">
        <w:rPr>
          <w:rFonts w:ascii="Times New Roman" w:hAnsi="Times New Roman"/>
          <w:noProof/>
          <w:sz w:val="24"/>
          <w:szCs w:val="24"/>
        </w:rPr>
        <w:t>očkovaniu</w:t>
      </w:r>
      <w:r w:rsidR="00C60340">
        <w:rPr>
          <w:rFonts w:ascii="Times New Roman" w:hAnsi="Times New Roman"/>
          <w:noProof/>
          <w:sz w:val="24"/>
          <w:szCs w:val="24"/>
        </w:rPr>
        <w:t xml:space="preserve"> a </w:t>
      </w:r>
      <w:r w:rsidRPr="00C60340">
        <w:rPr>
          <w:rFonts w:ascii="Times New Roman" w:hAnsi="Times New Roman"/>
          <w:noProof/>
          <w:sz w:val="24"/>
          <w:szCs w:val="24"/>
        </w:rPr>
        <w:t>dnes už dostupnosť vakcín nie je témou. Je to jasný príklad pridanej hodnoty prístupu na úrovni EÚ. Očkovanie znamená, že opatrenia proti pandémii možno lepšie prispôsobiť konkrétnej situácii jednotlivca</w:t>
      </w:r>
      <w:r w:rsidR="00C60340">
        <w:rPr>
          <w:rFonts w:ascii="Times New Roman" w:hAnsi="Times New Roman"/>
          <w:noProof/>
          <w:sz w:val="24"/>
          <w:szCs w:val="24"/>
        </w:rPr>
        <w:t>.</w:t>
      </w:r>
    </w:p>
    <w:p w14:paraId="2F4E19C4" w14:textId="4414A454" w:rsidR="00A7276A" w:rsidRPr="00C60340" w:rsidRDefault="00605BFD"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Obnovené riziko nových variantov nám však pripomína, že musíme aj naďalej rázne konať</w:t>
      </w:r>
      <w:r w:rsidR="00C60340">
        <w:rPr>
          <w:rFonts w:ascii="Times New Roman" w:hAnsi="Times New Roman"/>
          <w:noProof/>
          <w:sz w:val="24"/>
          <w:szCs w:val="24"/>
        </w:rPr>
        <w:t xml:space="preserve"> a </w:t>
      </w:r>
      <w:r w:rsidRPr="00C60340">
        <w:rPr>
          <w:rFonts w:ascii="Times New Roman" w:hAnsi="Times New Roman"/>
          <w:noProof/>
          <w:sz w:val="24"/>
          <w:szCs w:val="24"/>
        </w:rPr>
        <w:t>rýchlo reagovať. Dnes máme oveľa širšiu škálu nástrojov</w:t>
      </w:r>
      <w:r w:rsidR="00C60340">
        <w:rPr>
          <w:rFonts w:ascii="Times New Roman" w:hAnsi="Times New Roman"/>
          <w:noProof/>
          <w:sz w:val="24"/>
          <w:szCs w:val="24"/>
        </w:rPr>
        <w:t xml:space="preserve"> a </w:t>
      </w:r>
      <w:r w:rsidRPr="00C60340">
        <w:rPr>
          <w:rFonts w:ascii="Times New Roman" w:hAnsi="Times New Roman"/>
          <w:noProof/>
          <w:sz w:val="24"/>
          <w:szCs w:val="24"/>
        </w:rPr>
        <w:t>skúsenosti</w:t>
      </w:r>
      <w:r w:rsidR="00C60340">
        <w:rPr>
          <w:rFonts w:ascii="Times New Roman" w:hAnsi="Times New Roman"/>
          <w:noProof/>
          <w:sz w:val="24"/>
          <w:szCs w:val="24"/>
        </w:rPr>
        <w:t xml:space="preserve"> s </w:t>
      </w:r>
      <w:r w:rsidRPr="00C60340">
        <w:rPr>
          <w:rFonts w:ascii="Times New Roman" w:hAnsi="Times New Roman"/>
          <w:noProof/>
          <w:sz w:val="24"/>
          <w:szCs w:val="24"/>
        </w:rPr>
        <w:t>tým, ako ich čo najúčinnejšie nasadiť. Úspech očkovania však takisto znamenal, že nové opatrenia, ktoré by</w:t>
      </w:r>
      <w:r w:rsidR="00C60340">
        <w:rPr>
          <w:rFonts w:ascii="Times New Roman" w:hAnsi="Times New Roman"/>
          <w:noProof/>
          <w:sz w:val="24"/>
          <w:szCs w:val="24"/>
        </w:rPr>
        <w:t xml:space="preserve"> v </w:t>
      </w:r>
      <w:r w:rsidRPr="00C60340">
        <w:rPr>
          <w:rFonts w:ascii="Times New Roman" w:hAnsi="Times New Roman"/>
          <w:noProof/>
          <w:sz w:val="24"/>
          <w:szCs w:val="24"/>
        </w:rPr>
        <w:t>predstihu riešili súčasnú fázu pandémie, neboli vždy prijaté včas. Opäť sa učíme, že čím viac používanie týchto nástrojov odďaľujeme, tým drastickejšie opatrenia budú potrebné.</w:t>
      </w:r>
    </w:p>
    <w:p w14:paraId="623F3833" w14:textId="57B6A6F1" w:rsidR="00F72123" w:rsidRPr="00C60340" w:rsidRDefault="00F72123"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Rovnako naliehavé je aj prijatie globálnych opatrení. Jedine</w:t>
      </w:r>
      <w:r w:rsidR="00C60340">
        <w:rPr>
          <w:rFonts w:ascii="Times New Roman" w:hAnsi="Times New Roman"/>
          <w:noProof/>
          <w:sz w:val="24"/>
          <w:szCs w:val="24"/>
        </w:rPr>
        <w:t xml:space="preserve"> v </w:t>
      </w:r>
      <w:r w:rsidRPr="00C60340">
        <w:rPr>
          <w:rFonts w:ascii="Times New Roman" w:hAnsi="Times New Roman"/>
          <w:noProof/>
          <w:sz w:val="24"/>
          <w:szCs w:val="24"/>
        </w:rPr>
        <w:t>spolupráci môžeme účinne zvládať pandémiu</w:t>
      </w:r>
      <w:r w:rsidR="00C60340">
        <w:rPr>
          <w:rFonts w:ascii="Times New Roman" w:hAnsi="Times New Roman"/>
          <w:noProof/>
          <w:sz w:val="24"/>
          <w:szCs w:val="24"/>
        </w:rPr>
        <w:t xml:space="preserve"> a </w:t>
      </w:r>
      <w:r w:rsidRPr="00C60340">
        <w:rPr>
          <w:rFonts w:ascii="Times New Roman" w:hAnsi="Times New Roman"/>
          <w:noProof/>
          <w:sz w:val="24"/>
          <w:szCs w:val="24"/>
        </w:rPr>
        <w:t>posunúť sa vpred smerom</w:t>
      </w:r>
      <w:r w:rsidR="00C60340">
        <w:rPr>
          <w:rFonts w:ascii="Times New Roman" w:hAnsi="Times New Roman"/>
          <w:noProof/>
          <w:sz w:val="24"/>
          <w:szCs w:val="24"/>
        </w:rPr>
        <w:t xml:space="preserve"> k </w:t>
      </w:r>
      <w:r w:rsidRPr="00C60340">
        <w:rPr>
          <w:rFonts w:ascii="Times New Roman" w:hAnsi="Times New Roman"/>
          <w:noProof/>
          <w:sz w:val="24"/>
          <w:szCs w:val="24"/>
        </w:rPr>
        <w:t>dlhodobej bezpečnosti verejného zdravia. Variant omikron nám opäť ukazuje dôležitosť transparentnosti</w:t>
      </w:r>
      <w:r w:rsidR="00C60340">
        <w:rPr>
          <w:rFonts w:ascii="Times New Roman" w:hAnsi="Times New Roman"/>
          <w:noProof/>
          <w:sz w:val="24"/>
          <w:szCs w:val="24"/>
        </w:rPr>
        <w:t xml:space="preserve"> v </w:t>
      </w:r>
      <w:r w:rsidRPr="00C60340">
        <w:rPr>
          <w:rFonts w:ascii="Times New Roman" w:hAnsi="Times New Roman"/>
          <w:noProof/>
          <w:sz w:val="24"/>
          <w:szCs w:val="24"/>
        </w:rPr>
        <w:t>reálnom čase</w:t>
      </w:r>
      <w:r w:rsidR="00C60340">
        <w:rPr>
          <w:rFonts w:ascii="Times New Roman" w:hAnsi="Times New Roman"/>
          <w:noProof/>
          <w:sz w:val="24"/>
          <w:szCs w:val="24"/>
        </w:rPr>
        <w:t xml:space="preserve"> a </w:t>
      </w:r>
      <w:r w:rsidRPr="00C60340">
        <w:rPr>
          <w:rFonts w:ascii="Times New Roman" w:hAnsi="Times New Roman"/>
          <w:noProof/>
          <w:sz w:val="24"/>
          <w:szCs w:val="24"/>
        </w:rPr>
        <w:t>koordinácie na globálnej úrovni, ako aj spoločného využívania nástrojov na boj proti pandémii. Zvýraznil tiež to, že medzinárodné úsilie zamerané na podporu všetkých krajín</w:t>
      </w:r>
      <w:r w:rsidR="00C60340">
        <w:rPr>
          <w:rFonts w:ascii="Times New Roman" w:hAnsi="Times New Roman"/>
          <w:noProof/>
          <w:sz w:val="24"/>
          <w:szCs w:val="24"/>
        </w:rPr>
        <w:t xml:space="preserve"> v </w:t>
      </w:r>
      <w:r w:rsidRPr="00C60340">
        <w:rPr>
          <w:rFonts w:ascii="Times New Roman" w:hAnsi="Times New Roman"/>
          <w:noProof/>
          <w:sz w:val="24"/>
          <w:szCs w:val="24"/>
        </w:rPr>
        <w:t>boji proti pandémii nezašlo dostatočne ďaleko. Urýchlenie tohto úsilia musí byť hlavnou prioritou.</w:t>
      </w:r>
    </w:p>
    <w:p w14:paraId="72574F91" w14:textId="131F89AB" w:rsidR="00C60340" w:rsidRDefault="00FE0A5B"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Skúsenosti posledných 18 mesiacov ukazujú, že koordinovaná reakcia EÚ je najúčinnejším</w:t>
      </w:r>
      <w:r w:rsidR="00C60340">
        <w:rPr>
          <w:rFonts w:ascii="Times New Roman" w:hAnsi="Times New Roman"/>
          <w:noProof/>
          <w:sz w:val="24"/>
          <w:szCs w:val="24"/>
        </w:rPr>
        <w:t xml:space="preserve"> a </w:t>
      </w:r>
      <w:r w:rsidRPr="00C60340">
        <w:rPr>
          <w:rFonts w:ascii="Times New Roman" w:hAnsi="Times New Roman"/>
          <w:noProof/>
          <w:sz w:val="24"/>
          <w:szCs w:val="24"/>
        </w:rPr>
        <w:t>najpresvedčivejším prístupom</w:t>
      </w:r>
      <w:r w:rsidR="00C60340">
        <w:rPr>
          <w:rFonts w:ascii="Times New Roman" w:hAnsi="Times New Roman"/>
          <w:noProof/>
          <w:sz w:val="24"/>
          <w:szCs w:val="24"/>
        </w:rPr>
        <w:t xml:space="preserve"> k </w:t>
      </w:r>
      <w:r w:rsidRPr="00C60340">
        <w:rPr>
          <w:rFonts w:ascii="Times New Roman" w:hAnsi="Times New Roman"/>
          <w:noProof/>
          <w:sz w:val="24"/>
          <w:szCs w:val="24"/>
        </w:rPr>
        <w:t>pandémii. Takáto reakcia maximalizuje rozsah</w:t>
      </w:r>
      <w:r w:rsidR="00C60340">
        <w:rPr>
          <w:rFonts w:ascii="Times New Roman" w:hAnsi="Times New Roman"/>
          <w:noProof/>
          <w:sz w:val="24"/>
          <w:szCs w:val="24"/>
        </w:rPr>
        <w:t xml:space="preserve"> a </w:t>
      </w:r>
      <w:r w:rsidRPr="00C60340">
        <w:rPr>
          <w:rFonts w:ascii="Times New Roman" w:hAnsi="Times New Roman"/>
          <w:noProof/>
          <w:sz w:val="24"/>
          <w:szCs w:val="24"/>
        </w:rPr>
        <w:t>účinok našich opatrení, zabezpečuje predvídateľnosť pre občanov</w:t>
      </w:r>
      <w:r w:rsidR="00C60340">
        <w:rPr>
          <w:rFonts w:ascii="Times New Roman" w:hAnsi="Times New Roman"/>
          <w:noProof/>
          <w:sz w:val="24"/>
          <w:szCs w:val="24"/>
        </w:rPr>
        <w:t xml:space="preserve"> a </w:t>
      </w:r>
      <w:r w:rsidRPr="00C60340">
        <w:rPr>
          <w:rFonts w:ascii="Times New Roman" w:hAnsi="Times New Roman"/>
          <w:noProof/>
          <w:sz w:val="24"/>
          <w:szCs w:val="24"/>
        </w:rPr>
        <w:t>poskytuje rámec,</w:t>
      </w:r>
      <w:r w:rsidR="00C60340">
        <w:rPr>
          <w:rFonts w:ascii="Times New Roman" w:hAnsi="Times New Roman"/>
          <w:noProof/>
          <w:sz w:val="24"/>
          <w:szCs w:val="24"/>
        </w:rPr>
        <w:t xml:space="preserve"> v </w:t>
      </w:r>
      <w:r w:rsidRPr="00C60340">
        <w:rPr>
          <w:rFonts w:ascii="Times New Roman" w:hAnsi="Times New Roman"/>
          <w:noProof/>
          <w:sz w:val="24"/>
          <w:szCs w:val="24"/>
        </w:rPr>
        <w:t>ktorom môžu členské štáty individuálne prispôsobovať svoje riešenia. Ukazujeme ňou našim občanom, že politika je aj naďalej založená na silnom vedeckom konsenze. Teraz je naliehavo potrebné, aby sme tento prístup využili opäť. EÚ musí ukázať svoje vytrvalé odhodlanie</w:t>
      </w:r>
      <w:r w:rsidR="00C60340">
        <w:rPr>
          <w:rFonts w:ascii="Times New Roman" w:hAnsi="Times New Roman"/>
          <w:noProof/>
          <w:sz w:val="24"/>
          <w:szCs w:val="24"/>
        </w:rPr>
        <w:t xml:space="preserve"> a </w:t>
      </w:r>
      <w:r w:rsidRPr="00C60340">
        <w:rPr>
          <w:rFonts w:ascii="Times New Roman" w:hAnsi="Times New Roman"/>
          <w:noProof/>
          <w:sz w:val="24"/>
          <w:szCs w:val="24"/>
        </w:rPr>
        <w:t>prijať rýchle, jasné</w:t>
      </w:r>
      <w:r w:rsidR="00C60340">
        <w:rPr>
          <w:rFonts w:ascii="Times New Roman" w:hAnsi="Times New Roman"/>
          <w:noProof/>
          <w:sz w:val="24"/>
          <w:szCs w:val="24"/>
        </w:rPr>
        <w:t xml:space="preserve"> a </w:t>
      </w:r>
      <w:r w:rsidRPr="00C60340">
        <w:rPr>
          <w:rFonts w:ascii="Times New Roman" w:hAnsi="Times New Roman"/>
          <w:noProof/>
          <w:sz w:val="24"/>
          <w:szCs w:val="24"/>
        </w:rPr>
        <w:t>koordinované kroky na zvládnutie opätovného šírenia vírusu</w:t>
      </w:r>
      <w:r w:rsidR="00C60340">
        <w:rPr>
          <w:rFonts w:ascii="Times New Roman" w:hAnsi="Times New Roman"/>
          <w:noProof/>
          <w:sz w:val="24"/>
          <w:szCs w:val="24"/>
        </w:rPr>
        <w:t>.</w:t>
      </w:r>
    </w:p>
    <w:p w14:paraId="162E5F6C" w14:textId="26039426" w:rsidR="000737CC" w:rsidRPr="00C60340" w:rsidRDefault="000737CC" w:rsidP="001378BC">
      <w:pPr>
        <w:spacing w:after="120" w:line="240" w:lineRule="auto"/>
        <w:jc w:val="both"/>
        <w:rPr>
          <w:rFonts w:ascii="Times New Roman" w:hAnsi="Times New Roman" w:cs="Times New Roman"/>
          <w:noProof/>
          <w:sz w:val="24"/>
          <w:szCs w:val="24"/>
        </w:rPr>
      </w:pPr>
    </w:p>
    <w:p w14:paraId="1E411E84" w14:textId="77777777" w:rsidR="00C60340" w:rsidRDefault="00A7276A" w:rsidP="00C60340">
      <w:pPr>
        <w:keepNext/>
        <w:keepLines/>
        <w:spacing w:after="120" w:line="240" w:lineRule="auto"/>
        <w:jc w:val="both"/>
        <w:rPr>
          <w:rFonts w:ascii="Times New Roman" w:hAnsi="Times New Roman"/>
          <w:noProof/>
          <w:sz w:val="24"/>
          <w:szCs w:val="24"/>
        </w:rPr>
      </w:pPr>
      <w:r w:rsidRPr="00C60340">
        <w:rPr>
          <w:rFonts w:ascii="Times New Roman" w:hAnsi="Times New Roman"/>
          <w:b/>
          <w:noProof/>
          <w:sz w:val="24"/>
          <w:szCs w:val="24"/>
        </w:rPr>
        <w:t>II</w:t>
      </w:r>
      <w:r w:rsidRPr="00C60340">
        <w:rPr>
          <w:rFonts w:ascii="Times New Roman" w:hAnsi="Times New Roman"/>
          <w:noProof/>
        </w:rPr>
        <w:tab/>
      </w:r>
      <w:r w:rsidRPr="00C60340">
        <w:rPr>
          <w:rFonts w:ascii="Times New Roman" w:hAnsi="Times New Roman"/>
          <w:b/>
          <w:noProof/>
          <w:sz w:val="24"/>
          <w:szCs w:val="24"/>
        </w:rPr>
        <w:t>NOVÁ VLNA PRÍPADOV OCHORENIA COVID-19</w:t>
      </w:r>
    </w:p>
    <w:p w14:paraId="48476B90" w14:textId="3B96AB94" w:rsidR="00FC10ED" w:rsidRPr="00C60340" w:rsidRDefault="00FC10ED" w:rsidP="00C60340">
      <w:pPr>
        <w:keepNext/>
        <w:keepLines/>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EÚ dnes stojí pred dvojitou výzvou. Členské štáty sa už teraz nachádzajú uprostred situácie rýchlo rastúcich prípadov, ktorá je taká vážna, že opäť raz vystavuje systémy zdravotnej starostlivosti najťažším skúškam.</w:t>
      </w:r>
      <w:r w:rsidR="00C60340">
        <w:rPr>
          <w:rFonts w:ascii="Times New Roman" w:hAnsi="Times New Roman"/>
          <w:noProof/>
          <w:sz w:val="24"/>
          <w:szCs w:val="24"/>
        </w:rPr>
        <w:t xml:space="preserve"> K </w:t>
      </w:r>
      <w:r w:rsidRPr="00C60340">
        <w:rPr>
          <w:rFonts w:ascii="Times New Roman" w:hAnsi="Times New Roman"/>
          <w:noProof/>
          <w:sz w:val="24"/>
          <w:szCs w:val="24"/>
        </w:rPr>
        <w:t>tomu sa teraz pridáva hrozba variantu omikron: hoci sa presný účinok tohto variantu stále vyhodnocuje, rýchlosť jeho šírenia</w:t>
      </w:r>
      <w:r w:rsidR="00C60340">
        <w:rPr>
          <w:rFonts w:ascii="Times New Roman" w:hAnsi="Times New Roman"/>
          <w:noProof/>
          <w:sz w:val="24"/>
          <w:szCs w:val="24"/>
        </w:rPr>
        <w:t xml:space="preserve"> a </w:t>
      </w:r>
      <w:r w:rsidRPr="00C60340">
        <w:rPr>
          <w:rFonts w:ascii="Times New Roman" w:hAnsi="Times New Roman"/>
          <w:noProof/>
          <w:sz w:val="24"/>
          <w:szCs w:val="24"/>
        </w:rPr>
        <w:t>rozsah mutácie</w:t>
      </w:r>
      <w:r w:rsidR="00C60340">
        <w:rPr>
          <w:rFonts w:ascii="Times New Roman" w:hAnsi="Times New Roman"/>
          <w:noProof/>
          <w:sz w:val="24"/>
          <w:szCs w:val="24"/>
        </w:rPr>
        <w:t xml:space="preserve"> z </w:t>
      </w:r>
      <w:r w:rsidRPr="00C60340">
        <w:rPr>
          <w:rFonts w:ascii="Times New Roman" w:hAnsi="Times New Roman"/>
          <w:noProof/>
          <w:sz w:val="24"/>
          <w:szCs w:val="24"/>
        </w:rPr>
        <w:t>neho jednoznačne robia variant, ktorý vzbudzuje obavy. Prichádza</w:t>
      </w:r>
      <w:r w:rsidR="00C60340">
        <w:rPr>
          <w:rFonts w:ascii="Times New Roman" w:hAnsi="Times New Roman"/>
          <w:noProof/>
          <w:sz w:val="24"/>
          <w:szCs w:val="24"/>
        </w:rPr>
        <w:t xml:space="preserve"> v </w:t>
      </w:r>
      <w:r w:rsidRPr="00C60340">
        <w:rPr>
          <w:rFonts w:ascii="Times New Roman" w:hAnsi="Times New Roman"/>
          <w:noProof/>
          <w:sz w:val="24"/>
          <w:szCs w:val="24"/>
        </w:rPr>
        <w:t>čase, keď zaočkovanosť stále nedosahuje požadované úrovne, posilňovacie dávky sa ešte len nasadzujú</w:t>
      </w:r>
      <w:r w:rsidR="00C60340">
        <w:rPr>
          <w:rFonts w:ascii="Times New Roman" w:hAnsi="Times New Roman"/>
          <w:noProof/>
          <w:sz w:val="24"/>
          <w:szCs w:val="24"/>
        </w:rPr>
        <w:t xml:space="preserve"> a </w:t>
      </w:r>
      <w:r w:rsidRPr="00C60340">
        <w:rPr>
          <w:rFonts w:ascii="Times New Roman" w:hAnsi="Times New Roman"/>
          <w:noProof/>
          <w:sz w:val="24"/>
          <w:szCs w:val="24"/>
        </w:rPr>
        <w:t>zdravotnícke služby sú už takmer dva roky pod intenzívnym tlakom. Situácia si preto vyžaduje neodkladné opatrenia.</w:t>
      </w:r>
    </w:p>
    <w:p w14:paraId="76F6420F" w14:textId="3DADBD69" w:rsidR="00714F5F" w:rsidRPr="00C60340" w:rsidRDefault="00714F5F" w:rsidP="001378BC">
      <w:pPr>
        <w:spacing w:after="120" w:line="240" w:lineRule="auto"/>
        <w:jc w:val="both"/>
        <w:rPr>
          <w:rFonts w:ascii="Times New Roman" w:hAnsi="Times New Roman" w:cs="Times New Roman"/>
          <w:b/>
          <w:bCs/>
          <w:i/>
          <w:iCs/>
          <w:noProof/>
          <w:sz w:val="24"/>
          <w:szCs w:val="24"/>
        </w:rPr>
      </w:pPr>
      <w:r w:rsidRPr="00C60340">
        <w:rPr>
          <w:rFonts w:ascii="Times New Roman" w:hAnsi="Times New Roman"/>
          <w:b/>
          <w:bCs/>
          <w:i/>
          <w:iCs/>
          <w:noProof/>
          <w:sz w:val="24"/>
          <w:szCs w:val="24"/>
        </w:rPr>
        <w:t>Šírenie vírusu</w:t>
      </w:r>
      <w:r w:rsidR="00C60340">
        <w:rPr>
          <w:rFonts w:ascii="Times New Roman" w:hAnsi="Times New Roman"/>
          <w:b/>
          <w:bCs/>
          <w:i/>
          <w:iCs/>
          <w:noProof/>
          <w:sz w:val="24"/>
          <w:szCs w:val="24"/>
        </w:rPr>
        <w:t xml:space="preserve"> v </w:t>
      </w:r>
      <w:r w:rsidRPr="00C60340">
        <w:rPr>
          <w:rFonts w:ascii="Times New Roman" w:hAnsi="Times New Roman"/>
          <w:b/>
          <w:bCs/>
          <w:i/>
          <w:iCs/>
          <w:noProof/>
          <w:sz w:val="24"/>
          <w:szCs w:val="24"/>
        </w:rPr>
        <w:t>poslednom období</w:t>
      </w:r>
    </w:p>
    <w:p w14:paraId="605135FA" w14:textId="6A9A17B9" w:rsidR="00D5344D" w:rsidRPr="00C60340" w:rsidRDefault="0053611F"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Počet prípadov ochorenia COVID-19 sa od októbra prudko zvyšuje</w:t>
      </w:r>
      <w:r w:rsidRPr="00C60340">
        <w:rPr>
          <w:rStyle w:val="FootnoteReference"/>
          <w:rFonts w:ascii="Times New Roman" w:hAnsi="Times New Roman" w:cs="Times New Roman"/>
          <w:noProof/>
          <w:sz w:val="24"/>
          <w:szCs w:val="24"/>
        </w:rPr>
        <w:footnoteReference w:id="1"/>
      </w:r>
      <w:r w:rsidRPr="00C60340">
        <w:rPr>
          <w:rFonts w:ascii="Times New Roman" w:hAnsi="Times New Roman"/>
          <w:noProof/>
          <w:sz w:val="24"/>
          <w:szCs w:val="24"/>
        </w:rPr>
        <w:t>. To vedie každý týždeň</w:t>
      </w:r>
      <w:r w:rsidR="00C60340">
        <w:rPr>
          <w:rFonts w:ascii="Times New Roman" w:hAnsi="Times New Roman"/>
          <w:noProof/>
          <w:sz w:val="24"/>
          <w:szCs w:val="24"/>
        </w:rPr>
        <w:t xml:space="preserve"> k </w:t>
      </w:r>
      <w:r w:rsidRPr="00C60340">
        <w:rPr>
          <w:rFonts w:ascii="Times New Roman" w:hAnsi="Times New Roman"/>
          <w:noProof/>
          <w:sz w:val="24"/>
          <w:szCs w:val="24"/>
        </w:rPr>
        <w:t>nárastom prípadov</w:t>
      </w:r>
      <w:r w:rsidR="00C60340">
        <w:rPr>
          <w:rFonts w:ascii="Times New Roman" w:hAnsi="Times New Roman"/>
          <w:noProof/>
          <w:sz w:val="24"/>
          <w:szCs w:val="24"/>
        </w:rPr>
        <w:t xml:space="preserve"> s </w:t>
      </w:r>
      <w:r w:rsidRPr="00C60340">
        <w:rPr>
          <w:rFonts w:ascii="Times New Roman" w:hAnsi="Times New Roman"/>
          <w:noProof/>
          <w:sz w:val="24"/>
          <w:szCs w:val="24"/>
        </w:rPr>
        <w:t>vážnym priebehom, hospitalizácií</w:t>
      </w:r>
      <w:r w:rsidR="00C60340">
        <w:rPr>
          <w:rFonts w:ascii="Times New Roman" w:hAnsi="Times New Roman"/>
          <w:noProof/>
          <w:sz w:val="24"/>
          <w:szCs w:val="24"/>
        </w:rPr>
        <w:t xml:space="preserve"> a </w:t>
      </w:r>
      <w:r w:rsidRPr="00C60340">
        <w:rPr>
          <w:rFonts w:ascii="Times New Roman" w:hAnsi="Times New Roman"/>
          <w:noProof/>
          <w:sz w:val="24"/>
          <w:szCs w:val="24"/>
        </w:rPr>
        <w:t>úmrtí,</w:t>
      </w:r>
      <w:r w:rsidR="00C60340">
        <w:rPr>
          <w:rFonts w:ascii="Times New Roman" w:hAnsi="Times New Roman"/>
          <w:noProof/>
          <w:sz w:val="24"/>
          <w:szCs w:val="24"/>
        </w:rPr>
        <w:t xml:space="preserve"> a </w:t>
      </w:r>
      <w:r w:rsidRPr="00C60340">
        <w:rPr>
          <w:rFonts w:ascii="Times New Roman" w:hAnsi="Times New Roman"/>
          <w:noProof/>
          <w:sz w:val="24"/>
          <w:szCs w:val="24"/>
        </w:rPr>
        <w:t>to najmä</w:t>
      </w:r>
      <w:r w:rsidR="00C60340">
        <w:rPr>
          <w:rFonts w:ascii="Times New Roman" w:hAnsi="Times New Roman"/>
          <w:noProof/>
          <w:sz w:val="24"/>
          <w:szCs w:val="24"/>
        </w:rPr>
        <w:t xml:space="preserve"> v </w:t>
      </w:r>
      <w:r w:rsidRPr="00C60340">
        <w:rPr>
          <w:rFonts w:ascii="Times New Roman" w:hAnsi="Times New Roman"/>
          <w:noProof/>
          <w:sz w:val="24"/>
          <w:szCs w:val="24"/>
        </w:rPr>
        <w:t>členských štátoch</w:t>
      </w:r>
      <w:r w:rsidR="00C60340">
        <w:rPr>
          <w:rFonts w:ascii="Times New Roman" w:hAnsi="Times New Roman"/>
          <w:noProof/>
          <w:sz w:val="24"/>
          <w:szCs w:val="24"/>
        </w:rPr>
        <w:t xml:space="preserve"> s </w:t>
      </w:r>
      <w:r w:rsidRPr="00C60340">
        <w:rPr>
          <w:rFonts w:ascii="Times New Roman" w:hAnsi="Times New Roman"/>
          <w:noProof/>
          <w:sz w:val="24"/>
          <w:szCs w:val="24"/>
        </w:rPr>
        <w:t>nízkou mierou zaočkovanosti. Nasadenie vakcín však takisto znamená, že podiel ľudí, ktorí vážne ochorejú alebo umrú, je výrazne nižší ako</w:t>
      </w:r>
      <w:r w:rsidR="00C60340">
        <w:rPr>
          <w:rFonts w:ascii="Times New Roman" w:hAnsi="Times New Roman"/>
          <w:noProof/>
          <w:sz w:val="24"/>
          <w:szCs w:val="24"/>
        </w:rPr>
        <w:t xml:space="preserve"> v </w:t>
      </w:r>
      <w:r w:rsidRPr="00C60340">
        <w:rPr>
          <w:rFonts w:ascii="Times New Roman" w:hAnsi="Times New Roman"/>
          <w:noProof/>
          <w:sz w:val="24"/>
          <w:szCs w:val="24"/>
        </w:rPr>
        <w:t>počiatočných vlnách.</w:t>
      </w:r>
    </w:p>
    <w:p w14:paraId="49037C9C" w14:textId="6F7176DE" w:rsidR="00C60340" w:rsidRDefault="00D5344D"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Jedným</w:t>
      </w:r>
      <w:r w:rsidR="00C60340">
        <w:rPr>
          <w:rFonts w:ascii="Times New Roman" w:hAnsi="Times New Roman"/>
          <w:noProof/>
          <w:sz w:val="24"/>
          <w:szCs w:val="24"/>
        </w:rPr>
        <w:t xml:space="preserve"> z </w:t>
      </w:r>
      <w:r w:rsidRPr="00C60340">
        <w:rPr>
          <w:rFonts w:ascii="Times New Roman" w:hAnsi="Times New Roman"/>
          <w:noProof/>
          <w:sz w:val="24"/>
          <w:szCs w:val="24"/>
        </w:rPr>
        <w:t>dôvodov tohto opätovného nárastu prípadov je dominantné postavenie variantu delta, ktorý je dvakrát taký prenosný ako pôvodný vírus, hoci vakcíny sú stále účinné aj proti ochoreniu, ktoré variant spôsobuje. Navyše začala slabnúť imunita osôb, ktoré boli zaočkované ako prvé (vo všeobecnosti najzraniteľnejšie osoby</w:t>
      </w:r>
      <w:r w:rsidR="00C60340">
        <w:rPr>
          <w:rFonts w:ascii="Times New Roman" w:hAnsi="Times New Roman"/>
          <w:noProof/>
          <w:sz w:val="24"/>
          <w:szCs w:val="24"/>
        </w:rPr>
        <w:t xml:space="preserve"> a </w:t>
      </w:r>
      <w:r w:rsidRPr="00C60340">
        <w:rPr>
          <w:rFonts w:ascii="Times New Roman" w:hAnsi="Times New Roman"/>
          <w:noProof/>
          <w:sz w:val="24"/>
          <w:szCs w:val="24"/>
        </w:rPr>
        <w:t>staršie vekové skupiny). Zmena ročného obdobia spôsobila, že veľká časť spoločenského</w:t>
      </w:r>
      <w:r w:rsidR="00C60340">
        <w:rPr>
          <w:rFonts w:ascii="Times New Roman" w:hAnsi="Times New Roman"/>
          <w:noProof/>
          <w:sz w:val="24"/>
          <w:szCs w:val="24"/>
        </w:rPr>
        <w:t xml:space="preserve"> a </w:t>
      </w:r>
      <w:r w:rsidRPr="00C60340">
        <w:rPr>
          <w:rFonts w:ascii="Times New Roman" w:hAnsi="Times New Roman"/>
          <w:noProof/>
          <w:sz w:val="24"/>
          <w:szCs w:val="24"/>
        </w:rPr>
        <w:t>hospodárskeho života sa presunula do interiérov, kde sa vírus ľahšie prenáša. A tempo, akým vlády uvoľňujú alebo naopak zavádzajú obmedzenia</w:t>
      </w:r>
      <w:r w:rsidR="00C60340">
        <w:rPr>
          <w:rFonts w:ascii="Times New Roman" w:hAnsi="Times New Roman"/>
          <w:noProof/>
          <w:sz w:val="24"/>
          <w:szCs w:val="24"/>
        </w:rPr>
        <w:t xml:space="preserve"> a </w:t>
      </w:r>
      <w:r w:rsidRPr="00C60340">
        <w:rPr>
          <w:rFonts w:ascii="Times New Roman" w:hAnsi="Times New Roman"/>
          <w:noProof/>
          <w:sz w:val="24"/>
          <w:szCs w:val="24"/>
        </w:rPr>
        <w:t>preventívne opatrenia, má takisto jasný vplyv na schopnosť vírusu šíriť sa</w:t>
      </w:r>
      <w:r w:rsidR="00C60340">
        <w:rPr>
          <w:rFonts w:ascii="Times New Roman" w:hAnsi="Times New Roman"/>
          <w:noProof/>
          <w:sz w:val="24"/>
          <w:szCs w:val="24"/>
        </w:rPr>
        <w:t>.</w:t>
      </w:r>
    </w:p>
    <w:p w14:paraId="416D49ED" w14:textId="55004D69" w:rsidR="00C60340" w:rsidRDefault="00E70CA3"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Pre súčasnú situáciu má však zásadný význam skutočnosť, že podstatná časť Európanov je stále nezaočkovaná.</w:t>
      </w:r>
      <w:r w:rsidR="00C60340">
        <w:rPr>
          <w:rFonts w:ascii="Times New Roman" w:hAnsi="Times New Roman"/>
          <w:noProof/>
          <w:sz w:val="24"/>
          <w:szCs w:val="24"/>
        </w:rPr>
        <w:t xml:space="preserve"> V </w:t>
      </w:r>
      <w:r w:rsidRPr="00C60340">
        <w:rPr>
          <w:rFonts w:ascii="Times New Roman" w:hAnsi="Times New Roman"/>
          <w:noProof/>
          <w:sz w:val="24"/>
          <w:szCs w:val="24"/>
        </w:rPr>
        <w:t>EÚ celkovo ešte nie je plne zaočkovaných 23,5</w:t>
      </w:r>
      <w:r w:rsidR="00C60340">
        <w:rPr>
          <w:rFonts w:ascii="Times New Roman" w:hAnsi="Times New Roman"/>
          <w:noProof/>
          <w:sz w:val="24"/>
          <w:szCs w:val="24"/>
        </w:rPr>
        <w:t> %</w:t>
      </w:r>
      <w:r w:rsidRPr="00C60340">
        <w:rPr>
          <w:rFonts w:ascii="Times New Roman" w:hAnsi="Times New Roman"/>
          <w:noProof/>
          <w:sz w:val="24"/>
          <w:szCs w:val="24"/>
        </w:rPr>
        <w:t xml:space="preserve"> dospelých,</w:t>
      </w:r>
      <w:r w:rsidRPr="00C60340">
        <w:rPr>
          <w:rStyle w:val="FootnoteReference"/>
          <w:rFonts w:ascii="Times New Roman" w:hAnsi="Times New Roman" w:cs="Times New Roman"/>
          <w:noProof/>
          <w:sz w:val="24"/>
          <w:szCs w:val="24"/>
        </w:rPr>
        <w:footnoteReference w:id="2"/>
      </w:r>
      <w:r w:rsidRPr="00C60340">
        <w:rPr>
          <w:rFonts w:ascii="Times New Roman" w:hAnsi="Times New Roman"/>
          <w:noProof/>
          <w:sz w:val="24"/>
          <w:szCs w:val="24"/>
        </w:rPr>
        <w:t xml:space="preserve"> pričom</w:t>
      </w:r>
      <w:r w:rsidR="00C60340">
        <w:rPr>
          <w:rFonts w:ascii="Times New Roman" w:hAnsi="Times New Roman"/>
          <w:noProof/>
          <w:sz w:val="24"/>
          <w:szCs w:val="24"/>
        </w:rPr>
        <w:t xml:space="preserve"> v </w:t>
      </w:r>
      <w:r w:rsidRPr="00C60340">
        <w:rPr>
          <w:rFonts w:ascii="Times New Roman" w:hAnsi="Times New Roman"/>
          <w:noProof/>
          <w:sz w:val="24"/>
          <w:szCs w:val="24"/>
        </w:rPr>
        <w:t>niektorých členských štátoch je to až 70,8</w:t>
      </w:r>
      <w:r w:rsidR="00C60340">
        <w:rPr>
          <w:rFonts w:ascii="Times New Roman" w:hAnsi="Times New Roman"/>
          <w:noProof/>
          <w:sz w:val="24"/>
          <w:szCs w:val="24"/>
        </w:rPr>
        <w:t> %</w:t>
      </w:r>
      <w:r w:rsidRPr="00C60340">
        <w:rPr>
          <w:rFonts w:ascii="Times New Roman" w:hAnsi="Times New Roman"/>
          <w:noProof/>
          <w:sz w:val="24"/>
          <w:szCs w:val="24"/>
        </w:rPr>
        <w:t xml:space="preserve"> dospelej populácie. Azda ešte viac znepokojuje fakt, že</w:t>
      </w:r>
      <w:r w:rsidR="00C60340">
        <w:rPr>
          <w:rFonts w:ascii="Times New Roman" w:hAnsi="Times New Roman"/>
          <w:noProof/>
          <w:sz w:val="24"/>
          <w:szCs w:val="24"/>
        </w:rPr>
        <w:t xml:space="preserve"> v </w:t>
      </w:r>
      <w:r w:rsidRPr="00C60340">
        <w:rPr>
          <w:rFonts w:ascii="Times New Roman" w:hAnsi="Times New Roman"/>
          <w:noProof/>
          <w:sz w:val="24"/>
          <w:szCs w:val="24"/>
        </w:rPr>
        <w:t>niektorých členských štátoch stále nie je plne zaočkovaných až 65</w:t>
      </w:r>
      <w:r w:rsidR="00C60340">
        <w:rPr>
          <w:rFonts w:ascii="Times New Roman" w:hAnsi="Times New Roman"/>
          <w:noProof/>
          <w:sz w:val="24"/>
          <w:szCs w:val="24"/>
        </w:rPr>
        <w:t> %</w:t>
      </w:r>
      <w:r w:rsidRPr="00C60340">
        <w:rPr>
          <w:rFonts w:ascii="Times New Roman" w:hAnsi="Times New Roman"/>
          <w:noProof/>
          <w:sz w:val="24"/>
          <w:szCs w:val="24"/>
        </w:rPr>
        <w:t xml:space="preserve"> osôb starších ako 65 rokov</w:t>
      </w:r>
      <w:r w:rsidR="00C60340">
        <w:rPr>
          <w:rFonts w:ascii="Times New Roman" w:hAnsi="Times New Roman"/>
          <w:noProof/>
          <w:sz w:val="24"/>
          <w:szCs w:val="24"/>
        </w:rPr>
        <w:t>.</w:t>
      </w:r>
    </w:p>
    <w:p w14:paraId="40644DB5" w14:textId="3DAF7660" w:rsidR="00A573CE" w:rsidRPr="00C60340" w:rsidRDefault="0057364A" w:rsidP="001378BC">
      <w:pPr>
        <w:spacing w:after="120" w:line="240" w:lineRule="auto"/>
        <w:jc w:val="both"/>
        <w:rPr>
          <w:rFonts w:ascii="Times New Roman" w:hAnsi="Times New Roman" w:cs="Times New Roman"/>
          <w:iCs/>
          <w:noProof/>
          <w:sz w:val="24"/>
          <w:szCs w:val="24"/>
        </w:rPr>
      </w:pPr>
      <w:r w:rsidRPr="00C60340">
        <w:rPr>
          <w:rFonts w:ascii="Times New Roman" w:hAnsi="Times New Roman"/>
          <w:noProof/>
          <w:sz w:val="24"/>
          <w:szCs w:val="24"/>
        </w:rPr>
        <w:t>Je jasné, že očkovanie znižuje pravdepodobnosť nákazy</w:t>
      </w:r>
      <w:r w:rsidR="00C60340">
        <w:rPr>
          <w:rFonts w:ascii="Times New Roman" w:hAnsi="Times New Roman"/>
          <w:noProof/>
          <w:sz w:val="24"/>
          <w:szCs w:val="24"/>
        </w:rPr>
        <w:t xml:space="preserve"> a </w:t>
      </w:r>
      <w:r w:rsidRPr="00C60340">
        <w:rPr>
          <w:rFonts w:ascii="Times New Roman" w:hAnsi="Times New Roman"/>
          <w:noProof/>
          <w:sz w:val="24"/>
          <w:szCs w:val="24"/>
        </w:rPr>
        <w:t>veľmi účinne znižuje pravdepodobnosť vážneho priebehu ochorenia</w:t>
      </w:r>
      <w:r w:rsidR="00C60340">
        <w:rPr>
          <w:rFonts w:ascii="Times New Roman" w:hAnsi="Times New Roman"/>
          <w:noProof/>
          <w:sz w:val="24"/>
          <w:szCs w:val="24"/>
        </w:rPr>
        <w:t xml:space="preserve"> a </w:t>
      </w:r>
      <w:r w:rsidRPr="00C60340">
        <w:rPr>
          <w:rFonts w:ascii="Times New Roman" w:hAnsi="Times New Roman"/>
          <w:noProof/>
          <w:sz w:val="24"/>
          <w:szCs w:val="24"/>
        </w:rPr>
        <w:t>úmrtia. Očkovanie neposkytuje úplnú ochranu pred nákazou. Ak sa zaočkované osoby nakazia, môžu chorobu prenášať. Je však omnoho pravdepodobnejšie, že nákaza sa</w:t>
      </w:r>
      <w:r w:rsidR="00C60340">
        <w:rPr>
          <w:rFonts w:ascii="Times New Roman" w:hAnsi="Times New Roman"/>
          <w:noProof/>
          <w:sz w:val="24"/>
          <w:szCs w:val="24"/>
        </w:rPr>
        <w:t xml:space="preserve"> u </w:t>
      </w:r>
      <w:r w:rsidRPr="00C60340">
        <w:rPr>
          <w:rFonts w:ascii="Times New Roman" w:hAnsi="Times New Roman"/>
          <w:noProof/>
          <w:sz w:val="24"/>
          <w:szCs w:val="24"/>
        </w:rPr>
        <w:t>zaočkovaných osôb prejaví relatívne miernym priebehom ochorenia COVID-19. Prvá analýza údajov</w:t>
      </w:r>
      <w:r w:rsidR="00C60340">
        <w:rPr>
          <w:rFonts w:ascii="Times New Roman" w:hAnsi="Times New Roman"/>
          <w:noProof/>
          <w:sz w:val="24"/>
          <w:szCs w:val="24"/>
        </w:rPr>
        <w:t xml:space="preserve"> z </w:t>
      </w:r>
      <w:r w:rsidRPr="00C60340">
        <w:rPr>
          <w:rFonts w:ascii="Times New Roman" w:hAnsi="Times New Roman"/>
          <w:noProof/>
          <w:sz w:val="24"/>
          <w:szCs w:val="24"/>
        </w:rPr>
        <w:t>troch členských štátov potvrdzuje, že miera hospitalizácií je podstatne vyššia pri nezaočkovaných osobách</w:t>
      </w:r>
      <w:r w:rsidR="00C60340">
        <w:rPr>
          <w:rFonts w:ascii="Times New Roman" w:hAnsi="Times New Roman"/>
          <w:noProof/>
          <w:sz w:val="24"/>
          <w:szCs w:val="24"/>
        </w:rPr>
        <w:t xml:space="preserve"> v </w:t>
      </w:r>
      <w:r w:rsidRPr="00C60340">
        <w:rPr>
          <w:rFonts w:ascii="Times New Roman" w:hAnsi="Times New Roman"/>
          <w:noProof/>
          <w:sz w:val="24"/>
          <w:szCs w:val="24"/>
        </w:rPr>
        <w:t>porovnaní so zaočkovanými.</w:t>
      </w:r>
      <w:r w:rsidRPr="00C60340">
        <w:rPr>
          <w:rFonts w:ascii="Times New Roman" w:hAnsi="Times New Roman"/>
          <w:iCs/>
          <w:noProof/>
          <w:sz w:val="24"/>
          <w:szCs w:val="24"/>
        </w:rPr>
        <w:t xml:space="preserve"> Inými slovami, očkovanie veľmi výrazne znižuje pravdepodobnosť, že človek bude mať vážny priebeh ochorenia COVID-19.</w:t>
      </w:r>
    </w:p>
    <w:p w14:paraId="6305F85C" w14:textId="66B0FE5D" w:rsidR="00A573CE" w:rsidRPr="00C60340" w:rsidRDefault="00A573CE" w:rsidP="001378BC">
      <w:pPr>
        <w:keepNext/>
        <w:keepLines/>
        <w:spacing w:after="120" w:line="240" w:lineRule="auto"/>
        <w:jc w:val="both"/>
        <w:rPr>
          <w:rFonts w:ascii="Times New Roman" w:hAnsi="Times New Roman" w:cs="Times New Roman"/>
          <w:noProof/>
          <w:sz w:val="20"/>
          <w:szCs w:val="20"/>
        </w:rPr>
      </w:pPr>
      <w:r w:rsidRPr="00C60340">
        <w:rPr>
          <w:rFonts w:ascii="Times New Roman" w:hAnsi="Times New Roman"/>
          <w:noProof/>
          <w:sz w:val="20"/>
          <w:szCs w:val="20"/>
        </w:rPr>
        <w:t>Graf: miera hospitalizácií pri ochorení COVID-19 podľa očkovacieho statusu</w:t>
      </w:r>
      <w:r w:rsidR="00C60340">
        <w:rPr>
          <w:rFonts w:ascii="Times New Roman" w:hAnsi="Times New Roman"/>
          <w:noProof/>
          <w:sz w:val="20"/>
          <w:szCs w:val="20"/>
        </w:rPr>
        <w:t xml:space="preserve"> v </w:t>
      </w:r>
      <w:r w:rsidRPr="00C60340">
        <w:rPr>
          <w:rFonts w:ascii="Times New Roman" w:hAnsi="Times New Roman"/>
          <w:noProof/>
          <w:sz w:val="20"/>
          <w:szCs w:val="20"/>
        </w:rPr>
        <w:t>troch členských štátoch</w:t>
      </w:r>
    </w:p>
    <w:p w14:paraId="7715D8EE" w14:textId="77777777" w:rsidR="00A573CE" w:rsidRPr="00C60340" w:rsidRDefault="00A573CE"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rPr>
        <w:t xml:space="preserve"> </w:t>
      </w:r>
      <w:r w:rsidRPr="00C60340">
        <w:rPr>
          <w:rFonts w:ascii="Times New Roman" w:hAnsi="Times New Roman"/>
          <w:noProof/>
          <w:lang w:val="en-GB" w:eastAsia="en-GB"/>
        </w:rPr>
        <w:drawing>
          <wp:inline distT="0" distB="0" distL="0" distR="0" wp14:anchorId="35FA8C80" wp14:editId="67ECEDD1">
            <wp:extent cx="5731510" cy="2523490"/>
            <wp:effectExtent l="0" t="0" r="2540" b="0"/>
            <wp:docPr id="6" name="Picture 6"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23490"/>
                    </a:xfrm>
                    <a:prstGeom prst="rect">
                      <a:avLst/>
                    </a:prstGeom>
                    <a:noFill/>
                    <a:ln>
                      <a:noFill/>
                    </a:ln>
                  </pic:spPr>
                </pic:pic>
              </a:graphicData>
            </a:graphic>
          </wp:inline>
        </w:drawing>
      </w:r>
    </w:p>
    <w:p w14:paraId="2F54F693" w14:textId="146E8867" w:rsidR="00C60340" w:rsidRPr="00C60340" w:rsidRDefault="009E5DB8" w:rsidP="001378BC">
      <w:pPr>
        <w:spacing w:after="120" w:line="240" w:lineRule="auto"/>
        <w:jc w:val="both"/>
        <w:rPr>
          <w:rFonts w:ascii="Times New Roman" w:hAnsi="Times New Roman"/>
          <w:noProof/>
          <w:spacing w:val="-4"/>
          <w:sz w:val="24"/>
          <w:szCs w:val="24"/>
        </w:rPr>
      </w:pPr>
      <w:r w:rsidRPr="00C60340">
        <w:rPr>
          <w:rFonts w:ascii="Times New Roman" w:hAnsi="Times New Roman"/>
          <w:noProof/>
          <w:spacing w:val="-4"/>
          <w:sz w:val="24"/>
          <w:szCs w:val="24"/>
        </w:rPr>
        <w:t>Hoci vakcíny stále poskytujú spoľahlivú ochranu, ich účinnosť sa časom prirodzene znižuje. Európske centrum pre prevenciu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kontrolu chorôb (ECDC) vydalo 24</w:t>
      </w:r>
      <w:r w:rsidR="00C60340" w:rsidRPr="00C60340">
        <w:rPr>
          <w:rFonts w:ascii="Times New Roman" w:hAnsi="Times New Roman"/>
          <w:noProof/>
          <w:spacing w:val="-4"/>
          <w:sz w:val="24"/>
          <w:szCs w:val="24"/>
        </w:rPr>
        <w:t>. novembra</w:t>
      </w:r>
      <w:r w:rsidRPr="00C60340">
        <w:rPr>
          <w:rFonts w:ascii="Times New Roman" w:hAnsi="Times New Roman"/>
          <w:noProof/>
          <w:spacing w:val="-4"/>
          <w:sz w:val="24"/>
          <w:szCs w:val="24"/>
        </w:rPr>
        <w:t xml:space="preserve"> rýchle posúdenie rizika,</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ktorom uviedlo, že je potrebné urýchlene zvážiť podanie posilňovacej dávky osobám vo veku 40 rokov</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viac,</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prednostným zameraním sa na najzraniteľnejšie osoby</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starších ľudí. ECDC takisto uviedlo, že krajiny by mohli zvážiť podávanie posilňovacej dávky všetkým dospelým osobám po uplynutí šiestich mesiacov od dokončenia ich základnej očkovacej schémy. Tým by sa zvýšila ochrana pred nákazou</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kontexte slabnúcej imunity</w:t>
      </w:r>
      <w:r w:rsidRPr="00C60340">
        <w:rPr>
          <w:rStyle w:val="FootnoteReference"/>
          <w:rFonts w:ascii="Times New Roman" w:hAnsi="Times New Roman" w:cs="Times New Roman"/>
          <w:noProof/>
          <w:spacing w:val="-4"/>
          <w:sz w:val="24"/>
          <w:szCs w:val="24"/>
        </w:rPr>
        <w:footnoteReference w:id="3"/>
      </w:r>
      <w:r w:rsidRPr="00C60340">
        <w:rPr>
          <w:rFonts w:ascii="Times New Roman" w:hAnsi="Times New Roman"/>
          <w:noProof/>
          <w:spacing w:val="-4"/>
          <w:sz w:val="24"/>
          <w:szCs w:val="24"/>
        </w:rPr>
        <w:t>. Všetky členské štáty už začali podávať posilňovacie dávky najrizikovejším skupinám</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viaceré členské štáty ich už ponúkajú</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očkovacích kampaniach zameraných na celú populáciu</w:t>
      </w:r>
      <w:r w:rsidR="00C60340" w:rsidRPr="00C60340">
        <w:rPr>
          <w:rFonts w:ascii="Times New Roman" w:hAnsi="Times New Roman"/>
          <w:noProof/>
          <w:spacing w:val="-4"/>
          <w:sz w:val="24"/>
          <w:szCs w:val="24"/>
        </w:rPr>
        <w:t>.</w:t>
      </w:r>
    </w:p>
    <w:p w14:paraId="103BED8E" w14:textId="17E45980" w:rsidR="00C60340" w:rsidRDefault="000C3B22"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Schválenie dvoch vakcín na použitie vo vekovej skupine 12 rokov</w:t>
      </w:r>
      <w:r w:rsidR="00C60340">
        <w:rPr>
          <w:rFonts w:ascii="Times New Roman" w:hAnsi="Times New Roman"/>
          <w:noProof/>
          <w:sz w:val="24"/>
          <w:szCs w:val="24"/>
        </w:rPr>
        <w:t xml:space="preserve"> a </w:t>
      </w:r>
      <w:r w:rsidRPr="00C60340">
        <w:rPr>
          <w:rFonts w:ascii="Times New Roman" w:hAnsi="Times New Roman"/>
          <w:noProof/>
          <w:sz w:val="24"/>
          <w:szCs w:val="24"/>
        </w:rPr>
        <w:t>viac umožnilo členským štátom rozšíriť očkovanie aj mimo skupinu dospelej populácie. Jedna</w:t>
      </w:r>
      <w:r w:rsidR="00C60340">
        <w:rPr>
          <w:rFonts w:ascii="Times New Roman" w:hAnsi="Times New Roman"/>
          <w:noProof/>
          <w:sz w:val="24"/>
          <w:szCs w:val="24"/>
        </w:rPr>
        <w:t xml:space="preserve"> z </w:t>
      </w:r>
      <w:r w:rsidRPr="00C60340">
        <w:rPr>
          <w:rFonts w:ascii="Times New Roman" w:hAnsi="Times New Roman"/>
          <w:noProof/>
          <w:sz w:val="24"/>
          <w:szCs w:val="24"/>
        </w:rPr>
        <w:t>vakcín bola navyše teraz schválená aj na použitie vo vekovej skupine od 5 do 11 rokov</w:t>
      </w:r>
      <w:r w:rsidR="00C60340">
        <w:rPr>
          <w:rFonts w:ascii="Times New Roman" w:hAnsi="Times New Roman"/>
          <w:noProof/>
          <w:sz w:val="24"/>
          <w:szCs w:val="24"/>
        </w:rPr>
        <w:t>.</w:t>
      </w:r>
    </w:p>
    <w:p w14:paraId="3A310BF2" w14:textId="72650CE2" w:rsidR="0073386E" w:rsidRPr="00C60340" w:rsidRDefault="0041000E"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Účinnosť očkovania umožnila</w:t>
      </w:r>
      <w:r w:rsidR="00C60340">
        <w:rPr>
          <w:rFonts w:ascii="Times New Roman" w:hAnsi="Times New Roman"/>
          <w:noProof/>
          <w:sz w:val="24"/>
          <w:szCs w:val="24"/>
        </w:rPr>
        <w:t xml:space="preserve"> v </w:t>
      </w:r>
      <w:r w:rsidRPr="00C60340">
        <w:rPr>
          <w:rFonts w:ascii="Times New Roman" w:hAnsi="Times New Roman"/>
          <w:noProof/>
          <w:sz w:val="24"/>
          <w:szCs w:val="24"/>
        </w:rPr>
        <w:t>lete do veľkej miery obnoviť spoločenský</w:t>
      </w:r>
      <w:r w:rsidR="00C60340">
        <w:rPr>
          <w:rFonts w:ascii="Times New Roman" w:hAnsi="Times New Roman"/>
          <w:noProof/>
          <w:sz w:val="24"/>
          <w:szCs w:val="24"/>
        </w:rPr>
        <w:t xml:space="preserve"> a </w:t>
      </w:r>
      <w:r w:rsidRPr="00C60340">
        <w:rPr>
          <w:rFonts w:ascii="Times New Roman" w:hAnsi="Times New Roman"/>
          <w:noProof/>
          <w:sz w:val="24"/>
          <w:szCs w:val="24"/>
        </w:rPr>
        <w:t>hospodársky život. Uvoľnenie obmedzení však prispelo</w:t>
      </w:r>
      <w:r w:rsidR="00C60340">
        <w:rPr>
          <w:rFonts w:ascii="Times New Roman" w:hAnsi="Times New Roman"/>
          <w:noProof/>
          <w:sz w:val="24"/>
          <w:szCs w:val="24"/>
        </w:rPr>
        <w:t xml:space="preserve"> k </w:t>
      </w:r>
      <w:r w:rsidRPr="00C60340">
        <w:rPr>
          <w:rFonts w:ascii="Times New Roman" w:hAnsi="Times New Roman"/>
          <w:noProof/>
          <w:sz w:val="24"/>
          <w:szCs w:val="24"/>
        </w:rPr>
        <w:t>opätovnému šíreniu vírusu, pričom základné hygienické opatrenia, ako je nosenie rúšok, už nestačili. Orgány tak stáli pred výzvou, keď museli identifikovať tie najúčinnejšie cielené opatrenia</w:t>
      </w:r>
      <w:r w:rsidR="00C60340">
        <w:rPr>
          <w:rFonts w:ascii="Times New Roman" w:hAnsi="Times New Roman"/>
          <w:noProof/>
          <w:sz w:val="24"/>
          <w:szCs w:val="24"/>
        </w:rPr>
        <w:t xml:space="preserve"> v </w:t>
      </w:r>
      <w:r w:rsidRPr="00C60340">
        <w:rPr>
          <w:rFonts w:ascii="Times New Roman" w:hAnsi="Times New Roman"/>
          <w:noProof/>
          <w:sz w:val="24"/>
          <w:szCs w:val="24"/>
        </w:rPr>
        <w:t>situácii narastajúceho počtu prípadov.</w:t>
      </w:r>
    </w:p>
    <w:p w14:paraId="06A41F74" w14:textId="28BE6C0F" w:rsidR="00D70AEF" w:rsidRPr="00C60340" w:rsidRDefault="0073386E" w:rsidP="001378BC">
      <w:pPr>
        <w:spacing w:after="120" w:line="240" w:lineRule="auto"/>
        <w:jc w:val="both"/>
        <w:rPr>
          <w:rFonts w:ascii="Times New Roman" w:hAnsi="Times New Roman" w:cs="Times New Roman"/>
          <w:noProof/>
          <w:spacing w:val="-10"/>
          <w:sz w:val="24"/>
          <w:szCs w:val="24"/>
        </w:rPr>
      </w:pPr>
      <w:r w:rsidRPr="00C60340">
        <w:rPr>
          <w:rFonts w:ascii="Times New Roman" w:hAnsi="Times New Roman"/>
          <w:noProof/>
          <w:spacing w:val="-10"/>
          <w:sz w:val="24"/>
          <w:szCs w:val="24"/>
        </w:rPr>
        <w:t>Náhly nárast počtu prípadov</w:t>
      </w:r>
      <w:r w:rsidR="00C60340" w:rsidRPr="00C60340">
        <w:rPr>
          <w:rFonts w:ascii="Times New Roman" w:hAnsi="Times New Roman"/>
          <w:noProof/>
          <w:spacing w:val="-10"/>
          <w:sz w:val="24"/>
          <w:szCs w:val="24"/>
        </w:rPr>
        <w:t xml:space="preserve"> s </w:t>
      </w:r>
      <w:r w:rsidRPr="00C60340">
        <w:rPr>
          <w:rFonts w:ascii="Times New Roman" w:hAnsi="Times New Roman"/>
          <w:noProof/>
          <w:spacing w:val="-10"/>
          <w:sz w:val="24"/>
          <w:szCs w:val="24"/>
        </w:rPr>
        <w:t>ťažkým priebehom ochorenia, najmä</w:t>
      </w:r>
      <w:r w:rsidR="00C60340" w:rsidRPr="00C60340">
        <w:rPr>
          <w:rFonts w:ascii="Times New Roman" w:hAnsi="Times New Roman"/>
          <w:noProof/>
          <w:spacing w:val="-10"/>
          <w:sz w:val="24"/>
          <w:szCs w:val="24"/>
        </w:rPr>
        <w:t xml:space="preserve"> u </w:t>
      </w:r>
      <w:r w:rsidRPr="00C60340">
        <w:rPr>
          <w:rFonts w:ascii="Times New Roman" w:hAnsi="Times New Roman"/>
          <w:noProof/>
          <w:spacing w:val="-10"/>
          <w:sz w:val="24"/>
          <w:szCs w:val="24"/>
        </w:rPr>
        <w:t>nezaočkovaných, viedol</w:t>
      </w:r>
      <w:r w:rsidR="00C60340" w:rsidRPr="00C60340">
        <w:rPr>
          <w:rFonts w:ascii="Times New Roman" w:hAnsi="Times New Roman"/>
          <w:noProof/>
          <w:spacing w:val="-10"/>
          <w:sz w:val="24"/>
          <w:szCs w:val="24"/>
        </w:rPr>
        <w:t xml:space="preserve"> k </w:t>
      </w:r>
      <w:r w:rsidRPr="00C60340">
        <w:rPr>
          <w:rFonts w:ascii="Times New Roman" w:hAnsi="Times New Roman"/>
          <w:noProof/>
          <w:spacing w:val="-10"/>
          <w:sz w:val="24"/>
          <w:szCs w:val="24"/>
        </w:rPr>
        <w:t>obrovskému tlaku na nemocnice</w:t>
      </w:r>
      <w:r w:rsidR="00C60340" w:rsidRPr="00C60340">
        <w:rPr>
          <w:rFonts w:ascii="Times New Roman" w:hAnsi="Times New Roman"/>
          <w:noProof/>
          <w:spacing w:val="-10"/>
          <w:sz w:val="24"/>
          <w:szCs w:val="24"/>
        </w:rPr>
        <w:t xml:space="preserve"> a </w:t>
      </w:r>
      <w:r w:rsidRPr="00C60340">
        <w:rPr>
          <w:rFonts w:ascii="Times New Roman" w:hAnsi="Times New Roman"/>
          <w:noProof/>
          <w:spacing w:val="-10"/>
          <w:sz w:val="24"/>
          <w:szCs w:val="24"/>
        </w:rPr>
        <w:t>zdravotnícky personál, už beztak preťažený</w:t>
      </w:r>
      <w:r w:rsidR="00C60340" w:rsidRPr="00C60340">
        <w:rPr>
          <w:rFonts w:ascii="Times New Roman" w:hAnsi="Times New Roman"/>
          <w:noProof/>
          <w:spacing w:val="-10"/>
          <w:sz w:val="24"/>
          <w:szCs w:val="24"/>
        </w:rPr>
        <w:t xml:space="preserve"> v </w:t>
      </w:r>
      <w:r w:rsidRPr="00C60340">
        <w:rPr>
          <w:rFonts w:ascii="Times New Roman" w:hAnsi="Times New Roman"/>
          <w:noProof/>
          <w:spacing w:val="-10"/>
          <w:sz w:val="24"/>
          <w:szCs w:val="24"/>
        </w:rPr>
        <w:t>dôsledku udalostí posledných 18 mesiacov. Toto preťaženie zdravotníckych systémov má aj priamy vplyv na zdravie pacientov bez ochorenia COVID-19, keďže sme opäť</w:t>
      </w:r>
      <w:r w:rsidR="00C60340" w:rsidRPr="00C60340">
        <w:rPr>
          <w:rFonts w:ascii="Times New Roman" w:hAnsi="Times New Roman"/>
          <w:noProof/>
          <w:spacing w:val="-10"/>
          <w:sz w:val="24"/>
          <w:szCs w:val="24"/>
        </w:rPr>
        <w:t xml:space="preserve"> v </w:t>
      </w:r>
      <w:r w:rsidRPr="00C60340">
        <w:rPr>
          <w:rFonts w:ascii="Times New Roman" w:hAnsi="Times New Roman"/>
          <w:noProof/>
          <w:spacing w:val="-10"/>
          <w:sz w:val="24"/>
          <w:szCs w:val="24"/>
        </w:rPr>
        <w:t>situácii, keď potreba liečiť pacientov</w:t>
      </w:r>
      <w:r w:rsidR="00C60340" w:rsidRPr="00C60340">
        <w:rPr>
          <w:rFonts w:ascii="Times New Roman" w:hAnsi="Times New Roman"/>
          <w:noProof/>
          <w:spacing w:val="-10"/>
          <w:sz w:val="24"/>
          <w:szCs w:val="24"/>
        </w:rPr>
        <w:t xml:space="preserve"> s </w:t>
      </w:r>
      <w:r w:rsidRPr="00C60340">
        <w:rPr>
          <w:rFonts w:ascii="Times New Roman" w:hAnsi="Times New Roman"/>
          <w:noProof/>
          <w:spacing w:val="-10"/>
          <w:sz w:val="24"/>
          <w:szCs w:val="24"/>
        </w:rPr>
        <w:t>ochorením COVID-19 ohrozuje prístup</w:t>
      </w:r>
      <w:r w:rsidR="00C60340" w:rsidRPr="00C60340">
        <w:rPr>
          <w:rFonts w:ascii="Times New Roman" w:hAnsi="Times New Roman"/>
          <w:noProof/>
          <w:spacing w:val="-10"/>
          <w:sz w:val="24"/>
          <w:szCs w:val="24"/>
        </w:rPr>
        <w:t xml:space="preserve"> k </w:t>
      </w:r>
      <w:r w:rsidRPr="00C60340">
        <w:rPr>
          <w:rFonts w:ascii="Times New Roman" w:hAnsi="Times New Roman"/>
          <w:noProof/>
          <w:spacing w:val="-10"/>
          <w:sz w:val="24"/>
          <w:szCs w:val="24"/>
        </w:rPr>
        <w:t>zdravotnej starostlivosti pre ľudí</w:t>
      </w:r>
      <w:r w:rsidR="00C60340" w:rsidRPr="00C60340">
        <w:rPr>
          <w:rFonts w:ascii="Times New Roman" w:hAnsi="Times New Roman"/>
          <w:noProof/>
          <w:spacing w:val="-10"/>
          <w:sz w:val="24"/>
          <w:szCs w:val="24"/>
        </w:rPr>
        <w:t xml:space="preserve"> s </w:t>
      </w:r>
      <w:r w:rsidRPr="00C60340">
        <w:rPr>
          <w:rFonts w:ascii="Times New Roman" w:hAnsi="Times New Roman"/>
          <w:noProof/>
          <w:spacing w:val="-10"/>
          <w:sz w:val="24"/>
          <w:szCs w:val="24"/>
        </w:rPr>
        <w:t>inými ochoreniami. Záťaž systémov zdravotnej starostlivosti je tak porovnateľná alebo vyššia ako počas minulej zimy. Zavedenie nových opatrení je preto nevyhnutné</w:t>
      </w:r>
      <w:r w:rsidR="00C60340" w:rsidRPr="00C60340">
        <w:rPr>
          <w:rFonts w:ascii="Times New Roman" w:hAnsi="Times New Roman"/>
          <w:noProof/>
          <w:spacing w:val="-10"/>
          <w:sz w:val="24"/>
          <w:szCs w:val="24"/>
        </w:rPr>
        <w:t xml:space="preserve"> a </w:t>
      </w:r>
      <w:r w:rsidRPr="00C60340">
        <w:rPr>
          <w:rFonts w:ascii="Times New Roman" w:hAnsi="Times New Roman"/>
          <w:noProof/>
          <w:spacing w:val="-10"/>
          <w:sz w:val="24"/>
          <w:szCs w:val="24"/>
        </w:rPr>
        <w:t>vlády musia robiť ťažké rozhodnutia, kedy</w:t>
      </w:r>
      <w:r w:rsidR="00C60340" w:rsidRPr="00C60340">
        <w:rPr>
          <w:rFonts w:ascii="Times New Roman" w:hAnsi="Times New Roman"/>
          <w:noProof/>
          <w:spacing w:val="-10"/>
          <w:sz w:val="24"/>
          <w:szCs w:val="24"/>
        </w:rPr>
        <w:t xml:space="preserve"> a </w:t>
      </w:r>
      <w:r w:rsidRPr="00C60340">
        <w:rPr>
          <w:rFonts w:ascii="Times New Roman" w:hAnsi="Times New Roman"/>
          <w:noProof/>
          <w:spacing w:val="-10"/>
          <w:sz w:val="24"/>
          <w:szCs w:val="24"/>
        </w:rPr>
        <w:t>aké opatrenia prijať.</w:t>
      </w:r>
    </w:p>
    <w:p w14:paraId="61576521" w14:textId="77777777" w:rsidR="00DD7E49" w:rsidRPr="00C60340" w:rsidRDefault="00DD7E49" w:rsidP="001378BC">
      <w:pPr>
        <w:spacing w:after="120" w:line="240" w:lineRule="auto"/>
        <w:jc w:val="both"/>
        <w:rPr>
          <w:rFonts w:ascii="Times New Roman" w:hAnsi="Times New Roman" w:cs="Times New Roman"/>
          <w:b/>
          <w:bCs/>
          <w:i/>
          <w:iCs/>
          <w:noProof/>
          <w:sz w:val="24"/>
          <w:szCs w:val="24"/>
        </w:rPr>
      </w:pPr>
      <w:r w:rsidRPr="00C60340">
        <w:rPr>
          <w:rFonts w:ascii="Times New Roman" w:hAnsi="Times New Roman"/>
          <w:b/>
          <w:bCs/>
          <w:i/>
          <w:iCs/>
          <w:noProof/>
          <w:sz w:val="24"/>
          <w:szCs w:val="24"/>
        </w:rPr>
        <w:t>Opatrenia na zvládnutie variantu omikron</w:t>
      </w:r>
    </w:p>
    <w:p w14:paraId="70CF8178" w14:textId="0C1DFD0A" w:rsidR="00B0431A" w:rsidRPr="00C60340" w:rsidRDefault="00B0431A" w:rsidP="001378BC">
      <w:pPr>
        <w:spacing w:line="240" w:lineRule="auto"/>
        <w:jc w:val="both"/>
        <w:rPr>
          <w:rStyle w:val="rphighlightallclass"/>
          <w:rFonts w:ascii="Times New Roman" w:hAnsi="Times New Roman" w:cs="Times New Roman"/>
          <w:noProof/>
          <w:sz w:val="24"/>
          <w:szCs w:val="24"/>
        </w:rPr>
      </w:pPr>
      <w:r w:rsidRPr="00C60340">
        <w:rPr>
          <w:rFonts w:ascii="Times New Roman" w:hAnsi="Times New Roman"/>
          <w:noProof/>
          <w:sz w:val="24"/>
          <w:szCs w:val="24"/>
        </w:rPr>
        <w:t xml:space="preserve">Identifikovanie </w:t>
      </w:r>
      <w:r w:rsidRPr="00C60340">
        <w:rPr>
          <w:rStyle w:val="rphighlightallclass"/>
          <w:rFonts w:ascii="Times New Roman" w:hAnsi="Times New Roman"/>
          <w:noProof/>
          <w:sz w:val="24"/>
          <w:szCs w:val="24"/>
        </w:rPr>
        <w:t>variantu omikron (B.1.1.529) Južnou Afrikou ukazuje, aké dôležité je konať rýchlo</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rozhodne, aby sa znížil</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spomalil prenos vírusu</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bolo možné riadiť riziko potenciálnych ďalších mutácií. Práca, ktorú Južná Afrika odviedla pri vykonávaní analýz,</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transparentné poskytnutie jej výsledkov boli nevyhnutným predpokladom pre rýchlu globálnu reakciu</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sú vzorom, ako by mala medzinárodná spolupráca fungovať.</w:t>
      </w:r>
    </w:p>
    <w:p w14:paraId="63A6DAAB" w14:textId="3F33FE66" w:rsidR="00B0431A" w:rsidRPr="00C60340" w:rsidRDefault="00B0431A" w:rsidP="001378BC">
      <w:pPr>
        <w:spacing w:line="240" w:lineRule="auto"/>
        <w:jc w:val="both"/>
        <w:rPr>
          <w:rStyle w:val="rphighlightallclass"/>
          <w:rFonts w:ascii="Times New Roman" w:hAnsi="Times New Roman" w:cs="Times New Roman"/>
          <w:noProof/>
          <w:sz w:val="24"/>
          <w:szCs w:val="24"/>
        </w:rPr>
      </w:pPr>
      <w:r w:rsidRPr="00C60340">
        <w:rPr>
          <w:rStyle w:val="rphighlightallclass"/>
          <w:rFonts w:ascii="Times New Roman" w:hAnsi="Times New Roman"/>
          <w:noProof/>
          <w:sz w:val="24"/>
          <w:szCs w:val="24"/>
        </w:rPr>
        <w:t>Ako 26</w:t>
      </w:r>
      <w:r w:rsidR="00C60340">
        <w:rPr>
          <w:rStyle w:val="rphighlightallclass"/>
          <w:rFonts w:ascii="Times New Roman" w:hAnsi="Times New Roman"/>
          <w:noProof/>
          <w:sz w:val="24"/>
          <w:szCs w:val="24"/>
        </w:rPr>
        <w:t>. novembra</w:t>
      </w:r>
      <w:r w:rsidRPr="00C60340">
        <w:rPr>
          <w:rStyle w:val="rphighlightallclass"/>
          <w:rFonts w:ascii="Times New Roman" w:hAnsi="Times New Roman"/>
          <w:noProof/>
          <w:sz w:val="24"/>
          <w:szCs w:val="24"/>
        </w:rPr>
        <w:t xml:space="preserve"> 2021 konštatovala Svetová zdravotnícka organizácia</w:t>
      </w:r>
      <w:r w:rsidRPr="00C60340">
        <w:rPr>
          <w:rStyle w:val="FootnoteReference"/>
          <w:rFonts w:ascii="Times New Roman" w:hAnsi="Times New Roman" w:cs="Times New Roman"/>
          <w:noProof/>
          <w:sz w:val="24"/>
          <w:szCs w:val="24"/>
        </w:rPr>
        <w:footnoteReference w:id="4"/>
      </w:r>
      <w:r w:rsidRPr="00C60340">
        <w:rPr>
          <w:rStyle w:val="rphighlightallclass"/>
          <w:rFonts w:ascii="Times New Roman" w:hAnsi="Times New Roman"/>
          <w:noProof/>
          <w:sz w:val="24"/>
          <w:szCs w:val="24"/>
        </w:rPr>
        <w:t>, na zaistenie identifikácie</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sledovania variantov je potrebné globálne úsilie. Znamená to:</w:t>
      </w:r>
    </w:p>
    <w:p w14:paraId="131FB88D" w14:textId="01864109" w:rsidR="00D30A58" w:rsidRPr="00C60340" w:rsidRDefault="00D30A58" w:rsidP="001378BC">
      <w:pPr>
        <w:pStyle w:val="ListParagraph"/>
        <w:numPr>
          <w:ilvl w:val="0"/>
          <w:numId w:val="7"/>
        </w:numPr>
        <w:spacing w:after="100" w:afterAutospacing="1" w:line="240" w:lineRule="auto"/>
        <w:jc w:val="both"/>
        <w:rPr>
          <w:rStyle w:val="rphighlightallclass"/>
          <w:rFonts w:ascii="Times New Roman" w:hAnsi="Times New Roman" w:cs="Times New Roman"/>
          <w:noProof/>
          <w:sz w:val="24"/>
          <w:szCs w:val="24"/>
        </w:rPr>
      </w:pPr>
      <w:r w:rsidRPr="00C60340">
        <w:rPr>
          <w:rStyle w:val="rphighlightallclass"/>
          <w:rFonts w:ascii="Times New Roman" w:hAnsi="Times New Roman"/>
          <w:noProof/>
          <w:sz w:val="24"/>
          <w:szCs w:val="24"/>
        </w:rPr>
        <w:t>posilniť dohľad</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rýchlo rozšíriť globálne úsilie</w:t>
      </w:r>
      <w:r w:rsidR="00C60340">
        <w:rPr>
          <w:rStyle w:val="rphighlightallclass"/>
          <w:rFonts w:ascii="Times New Roman" w:hAnsi="Times New Roman"/>
          <w:noProof/>
          <w:sz w:val="24"/>
          <w:szCs w:val="24"/>
        </w:rPr>
        <w:t xml:space="preserve"> o </w:t>
      </w:r>
      <w:r w:rsidRPr="00C60340">
        <w:rPr>
          <w:rStyle w:val="rphighlightallclass"/>
          <w:rFonts w:ascii="Times New Roman" w:hAnsi="Times New Roman"/>
          <w:noProof/>
          <w:sz w:val="24"/>
          <w:szCs w:val="24"/>
        </w:rPr>
        <w:t>sekvenovanie genómov,</w:t>
      </w:r>
    </w:p>
    <w:p w14:paraId="7F6C9F61" w14:textId="77777777" w:rsidR="00C60340" w:rsidRDefault="00D30A58" w:rsidP="001378BC">
      <w:pPr>
        <w:pStyle w:val="ListParagraph"/>
        <w:numPr>
          <w:ilvl w:val="0"/>
          <w:numId w:val="7"/>
        </w:numPr>
        <w:spacing w:after="100" w:afterAutospacing="1" w:line="240" w:lineRule="auto"/>
        <w:jc w:val="both"/>
        <w:rPr>
          <w:rStyle w:val="rphighlightallclass"/>
          <w:rFonts w:ascii="Times New Roman" w:hAnsi="Times New Roman"/>
          <w:noProof/>
          <w:sz w:val="24"/>
          <w:szCs w:val="24"/>
        </w:rPr>
      </w:pPr>
      <w:r w:rsidRPr="00C60340">
        <w:rPr>
          <w:rStyle w:val="rphighlightallclass"/>
          <w:rFonts w:ascii="Times New Roman" w:hAnsi="Times New Roman"/>
          <w:noProof/>
          <w:sz w:val="24"/>
          <w:szCs w:val="24"/>
        </w:rPr>
        <w:t>odosielať úplné genómové sekvencie do verejne dostupnej databázy,</w:t>
      </w:r>
    </w:p>
    <w:p w14:paraId="3466ACA8" w14:textId="433C67F3" w:rsidR="00D30A58" w:rsidRPr="00C60340" w:rsidRDefault="00D30A58" w:rsidP="001378BC">
      <w:pPr>
        <w:pStyle w:val="ListParagraph"/>
        <w:numPr>
          <w:ilvl w:val="0"/>
          <w:numId w:val="7"/>
        </w:numPr>
        <w:spacing w:after="100" w:afterAutospacing="1" w:line="240" w:lineRule="auto"/>
        <w:jc w:val="both"/>
        <w:rPr>
          <w:rStyle w:val="rphighlightallclass"/>
          <w:rFonts w:ascii="Times New Roman" w:hAnsi="Times New Roman" w:cs="Times New Roman"/>
          <w:noProof/>
          <w:sz w:val="24"/>
          <w:szCs w:val="24"/>
        </w:rPr>
      </w:pPr>
      <w:r w:rsidRPr="00C60340">
        <w:rPr>
          <w:rStyle w:val="rphighlightallclass"/>
          <w:rFonts w:ascii="Times New Roman" w:hAnsi="Times New Roman"/>
          <w:noProof/>
          <w:sz w:val="24"/>
          <w:szCs w:val="24"/>
        </w:rPr>
        <w:t>oznamovať Svetovej zdravotníckej organizácii</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ECDC počiatočné prípady</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klastre spájané</w:t>
      </w:r>
      <w:r w:rsidR="00C60340">
        <w:rPr>
          <w:rStyle w:val="rphighlightallclass"/>
          <w:rFonts w:ascii="Times New Roman" w:hAnsi="Times New Roman"/>
          <w:noProof/>
          <w:sz w:val="24"/>
          <w:szCs w:val="24"/>
        </w:rPr>
        <w:t xml:space="preserve"> s </w:t>
      </w:r>
      <w:r w:rsidRPr="00C60340">
        <w:rPr>
          <w:rStyle w:val="rphighlightallclass"/>
          <w:rFonts w:ascii="Times New Roman" w:hAnsi="Times New Roman"/>
          <w:noProof/>
          <w:sz w:val="24"/>
          <w:szCs w:val="24"/>
        </w:rPr>
        <w:t>variantmi vzbudzujúcimi obavy,</w:t>
      </w:r>
    </w:p>
    <w:p w14:paraId="61FA6978" w14:textId="6C874F3F" w:rsidR="00D30A58" w:rsidRPr="00C60340" w:rsidRDefault="00D30A58" w:rsidP="001378BC">
      <w:pPr>
        <w:pStyle w:val="ListParagraph"/>
        <w:numPr>
          <w:ilvl w:val="0"/>
          <w:numId w:val="7"/>
        </w:numPr>
        <w:spacing w:after="100" w:afterAutospacing="1" w:line="240" w:lineRule="auto"/>
        <w:jc w:val="both"/>
        <w:rPr>
          <w:rStyle w:val="rphighlightallclass"/>
          <w:rFonts w:ascii="Times New Roman" w:hAnsi="Times New Roman" w:cs="Times New Roman"/>
          <w:noProof/>
          <w:sz w:val="24"/>
          <w:szCs w:val="24"/>
        </w:rPr>
      </w:pPr>
      <w:r w:rsidRPr="00C60340">
        <w:rPr>
          <w:rStyle w:val="rphighlightallclass"/>
          <w:rFonts w:ascii="Times New Roman" w:hAnsi="Times New Roman"/>
          <w:noProof/>
          <w:sz w:val="24"/>
          <w:szCs w:val="24"/>
        </w:rPr>
        <w:t>vykonávať prieskumy</w:t>
      </w:r>
      <w:r w:rsidR="00C60340">
        <w:rPr>
          <w:rStyle w:val="rphighlightallclass"/>
          <w:rFonts w:ascii="Times New Roman" w:hAnsi="Times New Roman"/>
          <w:noProof/>
          <w:sz w:val="24"/>
          <w:szCs w:val="24"/>
        </w:rPr>
        <w:t xml:space="preserve"> v </w:t>
      </w:r>
      <w:r w:rsidRPr="00C60340">
        <w:rPr>
          <w:rStyle w:val="rphighlightallclass"/>
          <w:rFonts w:ascii="Times New Roman" w:hAnsi="Times New Roman"/>
          <w:noProof/>
          <w:sz w:val="24"/>
          <w:szCs w:val="24"/>
        </w:rPr>
        <w:t>teréne</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laboratórne posúdenia</w:t>
      </w:r>
      <w:r w:rsidR="00C60340">
        <w:rPr>
          <w:rStyle w:val="rphighlightallclass"/>
          <w:rFonts w:ascii="Times New Roman" w:hAnsi="Times New Roman"/>
          <w:noProof/>
          <w:sz w:val="24"/>
          <w:szCs w:val="24"/>
        </w:rPr>
        <w:t xml:space="preserve"> s </w:t>
      </w:r>
      <w:r w:rsidRPr="00C60340">
        <w:rPr>
          <w:rStyle w:val="rphighlightallclass"/>
          <w:rFonts w:ascii="Times New Roman" w:hAnsi="Times New Roman"/>
          <w:noProof/>
          <w:sz w:val="24"/>
          <w:szCs w:val="24"/>
        </w:rPr>
        <w:t>cieľom lepšie porozumieť potenciálnym vplyvom variantov vzbudzujúcich obavy.</w:t>
      </w:r>
    </w:p>
    <w:p w14:paraId="5EAD0286" w14:textId="0A00A057" w:rsidR="00B0431A" w:rsidRPr="00C60340" w:rsidRDefault="005F2BEC" w:rsidP="001378BC">
      <w:pPr>
        <w:spacing w:after="120" w:line="240" w:lineRule="auto"/>
        <w:jc w:val="both"/>
        <w:rPr>
          <w:rFonts w:ascii="Times New Roman" w:eastAsia="Times New Roman" w:hAnsi="Times New Roman" w:cs="Times New Roman"/>
          <w:noProof/>
          <w:sz w:val="24"/>
          <w:szCs w:val="24"/>
        </w:rPr>
      </w:pPr>
      <w:r w:rsidRPr="00C60340">
        <w:rPr>
          <w:rFonts w:ascii="Times New Roman" w:hAnsi="Times New Roman"/>
          <w:noProof/>
          <w:sz w:val="24"/>
          <w:szCs w:val="24"/>
        </w:rPr>
        <w:t>Rovnako, ako je neodkladné toto globálne úsilie, aj EÚ</w:t>
      </w:r>
      <w:r w:rsidR="00C60340">
        <w:rPr>
          <w:rFonts w:ascii="Times New Roman" w:hAnsi="Times New Roman"/>
          <w:noProof/>
          <w:sz w:val="24"/>
          <w:szCs w:val="24"/>
        </w:rPr>
        <w:t xml:space="preserve"> a </w:t>
      </w:r>
      <w:r w:rsidRPr="00C60340">
        <w:rPr>
          <w:rFonts w:ascii="Times New Roman" w:hAnsi="Times New Roman"/>
          <w:noProof/>
          <w:sz w:val="24"/>
          <w:szCs w:val="24"/>
        </w:rPr>
        <w:t>jej členské štáty musia konať okamžite. Zatiaľ čo sa podnikajú urýchlené kroky na získanie kľúčových údajov</w:t>
      </w:r>
      <w:r w:rsidR="00C60340">
        <w:rPr>
          <w:rFonts w:ascii="Times New Roman" w:hAnsi="Times New Roman"/>
          <w:noProof/>
          <w:sz w:val="24"/>
          <w:szCs w:val="24"/>
        </w:rPr>
        <w:t xml:space="preserve"> o </w:t>
      </w:r>
      <w:r w:rsidRPr="00C60340">
        <w:rPr>
          <w:rFonts w:ascii="Times New Roman" w:hAnsi="Times New Roman"/>
          <w:noProof/>
          <w:sz w:val="24"/>
          <w:szCs w:val="24"/>
        </w:rPr>
        <w:t>variante omikron, zásadný význam majú preventívne opatrenia. Hneď ako sa vyskytnú prípady, členské štáty musia spustiť svoje pohotovostné plány. Zintenzívnenie očkovania vrátane rýchleho spustenia kampaní podávania posilňovacích dávok spolu</w:t>
      </w:r>
      <w:r w:rsidR="00C60340">
        <w:rPr>
          <w:rFonts w:ascii="Times New Roman" w:hAnsi="Times New Roman"/>
          <w:noProof/>
          <w:sz w:val="24"/>
          <w:szCs w:val="24"/>
        </w:rPr>
        <w:t xml:space="preserve"> s </w:t>
      </w:r>
      <w:r w:rsidRPr="00C60340">
        <w:rPr>
          <w:rFonts w:ascii="Times New Roman" w:hAnsi="Times New Roman"/>
          <w:noProof/>
          <w:sz w:val="24"/>
          <w:szCs w:val="24"/>
        </w:rPr>
        <w:t>urýchleným zavedením preventívnych opatrení</w:t>
      </w:r>
      <w:r w:rsidR="00C60340">
        <w:rPr>
          <w:rFonts w:ascii="Times New Roman" w:hAnsi="Times New Roman"/>
          <w:noProof/>
          <w:sz w:val="24"/>
          <w:szCs w:val="24"/>
        </w:rPr>
        <w:t xml:space="preserve"> a </w:t>
      </w:r>
      <w:r w:rsidRPr="00C60340">
        <w:rPr>
          <w:rFonts w:ascii="Times New Roman" w:hAnsi="Times New Roman"/>
          <w:noProof/>
          <w:sz w:val="24"/>
          <w:szCs w:val="24"/>
        </w:rPr>
        <w:t>obmedzení na zníženie sociálnych kontaktov by mali spomaliť prenos variantu omikron</w:t>
      </w:r>
      <w:r w:rsidR="00C60340">
        <w:rPr>
          <w:rFonts w:ascii="Times New Roman" w:hAnsi="Times New Roman"/>
          <w:noProof/>
          <w:sz w:val="24"/>
          <w:szCs w:val="24"/>
        </w:rPr>
        <w:t xml:space="preserve"> a </w:t>
      </w:r>
      <w:r w:rsidRPr="00C60340">
        <w:rPr>
          <w:rFonts w:ascii="Times New Roman" w:hAnsi="Times New Roman"/>
          <w:noProof/>
          <w:sz w:val="24"/>
          <w:szCs w:val="24"/>
        </w:rPr>
        <w:t>aj akéhokoľvek iného variantu. Členské štáty musia prijímať rýchle</w:t>
      </w:r>
      <w:r w:rsidR="00C60340">
        <w:rPr>
          <w:rFonts w:ascii="Times New Roman" w:hAnsi="Times New Roman"/>
          <w:noProof/>
          <w:sz w:val="24"/>
          <w:szCs w:val="24"/>
        </w:rPr>
        <w:t xml:space="preserve"> a </w:t>
      </w:r>
      <w:r w:rsidRPr="00C60340">
        <w:rPr>
          <w:rFonts w:ascii="Times New Roman" w:hAnsi="Times New Roman"/>
          <w:noProof/>
          <w:sz w:val="24"/>
          <w:szCs w:val="24"/>
        </w:rPr>
        <w:t>rozhodné opatrenia vždy, keď sa zistí klaster prípadov.</w:t>
      </w:r>
    </w:p>
    <w:p w14:paraId="2E46B808" w14:textId="73D5AAF2" w:rsidR="00B0431A" w:rsidRPr="00C60340" w:rsidRDefault="00B0431A" w:rsidP="001378BC">
      <w:pPr>
        <w:spacing w:after="120" w:line="240" w:lineRule="auto"/>
        <w:jc w:val="both"/>
        <w:rPr>
          <w:rFonts w:ascii="Times New Roman" w:hAnsi="Times New Roman" w:cs="Times New Roman"/>
          <w:noProof/>
          <w:spacing w:val="-4"/>
          <w:sz w:val="24"/>
          <w:szCs w:val="24"/>
        </w:rPr>
      </w:pPr>
      <w:r w:rsidRPr="00C60340">
        <w:rPr>
          <w:rFonts w:ascii="Times New Roman" w:hAnsi="Times New Roman"/>
          <w:noProof/>
          <w:spacing w:val="-4"/>
          <w:sz w:val="24"/>
          <w:szCs w:val="24"/>
        </w:rPr>
        <w:t>V tomto smere môže EÚ využiť kľúčové iniciatívy zavedené</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priebehu minulého roku. Po prvé, vďaka tzv. Inkubátoru HERA, ktorý bol spustený vo februári 2021, sa Komisia pripravila na odhaľovanie variantov</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na vývoj, regulačné schvaľovanie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výrobu upravených vakcín. EÚ vyvinula veľké úsilie na posilnenie svojej schopnosti rýchlo odhaľovať</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charakterizovať varianty vzbudzujúce obavy. Vo februári 2021 bolo členským štátom poskytnutých 200 miliónov EUR na posilnenie ich kapacít sekvenovania. Zákazka na poskytovanie služieb sekvenovania celého genómu pomohla 11 členským štátom</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trom krajinám západného Balkánu zanalyzovať viac ako 100 000 vzoriek.</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rámci nového programu</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rozpočtom 77 miliónov EUR sa buduje dlhodobá infraštruktúra na sekvenovanie genómu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testovanie</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24 krajinách EÚ/EHP, pričom sa navrhuje rozšírenie programu</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roku 2022. Znamená to nielen lepšiu reakciu na súčasnú pandémiu, ale aj trvalé zvýšenie kapacity. EÚ tiež rozvíjala svoju kapacitu na testovanie odpadových vôd</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cieľom identifikovať miesta výskytu nových prípadov.</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dôsledku toho je teraz lepšie pripravená na varianty: investície zamerané na zvýšené kapacity genetického sekvenovania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účinnú výmenu údajov umožnia identifikáciu prípadných ďalších mutantných kmeňov</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reálnom čase, aby mohla nastúpiť okamžitá reakcia. Prípadná potreba prispôsobiť vakcíny novým kmeňom je už dnes zahrnutá</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zmluvách</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výrobcami vakcín.</w:t>
      </w:r>
    </w:p>
    <w:p w14:paraId="6A0ECD37" w14:textId="7B4AE82B" w:rsidR="00B0431A" w:rsidRPr="00C60340" w:rsidRDefault="00B0431A" w:rsidP="001378BC">
      <w:pPr>
        <w:spacing w:after="120" w:line="240" w:lineRule="auto"/>
        <w:jc w:val="both"/>
        <w:rPr>
          <w:rFonts w:ascii="Times New Roman" w:hAnsi="Times New Roman" w:cs="Times New Roman"/>
          <w:noProof/>
          <w:spacing w:val="-4"/>
          <w:sz w:val="24"/>
          <w:szCs w:val="24"/>
        </w:rPr>
      </w:pPr>
      <w:r w:rsidRPr="00C60340">
        <w:rPr>
          <w:rFonts w:ascii="Times New Roman" w:hAnsi="Times New Roman"/>
          <w:noProof/>
          <w:spacing w:val="-4"/>
          <w:sz w:val="24"/>
          <w:szCs w:val="24"/>
        </w:rPr>
        <w:t>Po druhé, zriadením Úradu EÚ pre pripravenosť</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reakcie na núdzové zdravotné situácie (HERA)</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septembri 2021 Komisia združila</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rade tohto úradu strategické riadenie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expertízu na vnútroštátnej aj na úniovej úrovni</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zabezpečuje tak spoločný postup. Úrad už zavádza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prepája spôsobilosti na modelovanie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predvídanie, aby bolo možné rýchlo identifikovať vhodné reakcie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uviesť ich do praxe. Intenzívne zapojenie príslušného odvetvia</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štruktúrach úradu umožňuje profitovať</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partnerstiev</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odvetvím</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rozširovať jeho kapacity na výrobu vakcín</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terapeutík.</w:t>
      </w:r>
    </w:p>
    <w:p w14:paraId="512E214E" w14:textId="23988437" w:rsidR="00C60340" w:rsidRDefault="00B0431A" w:rsidP="001378BC">
      <w:pPr>
        <w:spacing w:after="120" w:line="240" w:lineRule="auto"/>
        <w:jc w:val="both"/>
        <w:rPr>
          <w:rStyle w:val="rphighlightallclass"/>
          <w:rFonts w:ascii="Times New Roman" w:hAnsi="Times New Roman"/>
          <w:noProof/>
          <w:sz w:val="24"/>
          <w:szCs w:val="24"/>
        </w:rPr>
      </w:pPr>
      <w:r w:rsidRPr="00C60340">
        <w:rPr>
          <w:rFonts w:ascii="Times New Roman" w:hAnsi="Times New Roman"/>
          <w:noProof/>
          <w:sz w:val="24"/>
          <w:szCs w:val="24"/>
        </w:rPr>
        <w:t>Po tretie, obmedzenia týkajúce sa cestovania môžu spomaliť ďalšie vstupovanie tohto variantu</w:t>
      </w:r>
      <w:r w:rsidR="00C60340">
        <w:rPr>
          <w:rFonts w:ascii="Times New Roman" w:hAnsi="Times New Roman"/>
          <w:noProof/>
          <w:sz w:val="24"/>
          <w:szCs w:val="24"/>
        </w:rPr>
        <w:t xml:space="preserve"> z </w:t>
      </w:r>
      <w:r w:rsidRPr="00C60340">
        <w:rPr>
          <w:rFonts w:ascii="Times New Roman" w:hAnsi="Times New Roman"/>
          <w:noProof/>
          <w:sz w:val="24"/>
          <w:szCs w:val="24"/>
        </w:rPr>
        <w:t>krajín mimo EÚ. Spoločný rámec zavedený</w:t>
      </w:r>
      <w:r w:rsidR="00C60340">
        <w:rPr>
          <w:rFonts w:ascii="Times New Roman" w:hAnsi="Times New Roman"/>
          <w:noProof/>
          <w:sz w:val="24"/>
          <w:szCs w:val="24"/>
        </w:rPr>
        <w:t xml:space="preserve"> s </w:t>
      </w:r>
      <w:r w:rsidRPr="00C60340">
        <w:rPr>
          <w:rFonts w:ascii="Times New Roman" w:hAnsi="Times New Roman"/>
          <w:noProof/>
          <w:sz w:val="24"/>
          <w:szCs w:val="24"/>
        </w:rPr>
        <w:t>cieľom koordinovať opatrenia na obmedzenie cestovania do EÚ (pozri ďalej) umožnil aktivovať „núdzovú brzdu“,</w:t>
      </w:r>
      <w:r w:rsidR="00C60340">
        <w:rPr>
          <w:rFonts w:ascii="Times New Roman" w:hAnsi="Times New Roman"/>
          <w:noProof/>
          <w:sz w:val="24"/>
          <w:szCs w:val="24"/>
        </w:rPr>
        <w:t xml:space="preserve"> k </w:t>
      </w:r>
      <w:r w:rsidRPr="00C60340">
        <w:rPr>
          <w:rFonts w:ascii="Times New Roman" w:hAnsi="Times New Roman"/>
          <w:noProof/>
          <w:sz w:val="24"/>
          <w:szCs w:val="24"/>
        </w:rPr>
        <w:t>čomu došlo</w:t>
      </w:r>
      <w:r w:rsidR="00C60340">
        <w:rPr>
          <w:rFonts w:ascii="Times New Roman" w:hAnsi="Times New Roman"/>
          <w:noProof/>
          <w:sz w:val="24"/>
          <w:szCs w:val="24"/>
        </w:rPr>
        <w:t xml:space="preserve"> v </w:t>
      </w:r>
      <w:r w:rsidRPr="00C60340">
        <w:rPr>
          <w:rFonts w:ascii="Times New Roman" w:hAnsi="Times New Roman"/>
          <w:noProof/>
          <w:sz w:val="24"/>
          <w:szCs w:val="24"/>
        </w:rPr>
        <w:t>priebehu niekoľkých hodín po tom, ako Svetová zdravotnícka organizácia potvrdila variant omikron. Výsledkom bola dohoda</w:t>
      </w:r>
      <w:r w:rsidR="00C60340">
        <w:rPr>
          <w:rFonts w:ascii="Times New Roman" w:hAnsi="Times New Roman"/>
          <w:noProof/>
          <w:sz w:val="24"/>
          <w:szCs w:val="24"/>
        </w:rPr>
        <w:t xml:space="preserve"> z </w:t>
      </w:r>
      <w:r w:rsidRPr="00C60340">
        <w:rPr>
          <w:rFonts w:ascii="Times New Roman" w:hAnsi="Times New Roman"/>
          <w:noProof/>
          <w:sz w:val="24"/>
          <w:szCs w:val="24"/>
        </w:rPr>
        <w:t>26</w:t>
      </w:r>
      <w:r w:rsidR="00C60340">
        <w:rPr>
          <w:rFonts w:ascii="Times New Roman" w:hAnsi="Times New Roman"/>
          <w:noProof/>
          <w:sz w:val="24"/>
          <w:szCs w:val="24"/>
        </w:rPr>
        <w:t>. novembra o </w:t>
      </w:r>
      <w:r w:rsidRPr="00C60340">
        <w:rPr>
          <w:rFonts w:ascii="Times New Roman" w:hAnsi="Times New Roman"/>
          <w:noProof/>
          <w:sz w:val="24"/>
          <w:szCs w:val="24"/>
        </w:rPr>
        <w:t>uplatňovaní cielených cestovných opatrení</w:t>
      </w:r>
      <w:r w:rsidR="00C60340">
        <w:rPr>
          <w:rFonts w:ascii="Times New Roman" w:hAnsi="Times New Roman"/>
          <w:noProof/>
          <w:sz w:val="24"/>
          <w:szCs w:val="24"/>
        </w:rPr>
        <w:t xml:space="preserve"> v </w:t>
      </w:r>
      <w:r w:rsidRPr="00C60340">
        <w:rPr>
          <w:rFonts w:ascii="Times New Roman" w:hAnsi="Times New Roman"/>
          <w:noProof/>
          <w:sz w:val="24"/>
          <w:szCs w:val="24"/>
        </w:rPr>
        <w:t xml:space="preserve">prípade tých krajín, ktoré boli </w:t>
      </w:r>
      <w:r w:rsidRPr="00C60340">
        <w:rPr>
          <w:rStyle w:val="rphighlightallclass"/>
          <w:rFonts w:ascii="Times New Roman" w:hAnsi="Times New Roman"/>
          <w:noProof/>
          <w:sz w:val="24"/>
          <w:szCs w:val="24"/>
        </w:rPr>
        <w:t>variantom omikron</w:t>
      </w:r>
      <w:r w:rsidRPr="00C60340">
        <w:rPr>
          <w:rFonts w:ascii="Times New Roman" w:hAnsi="Times New Roman"/>
          <w:noProof/>
          <w:sz w:val="24"/>
          <w:szCs w:val="24"/>
        </w:rPr>
        <w:t xml:space="preserve"> najviac postihnuté.</w:t>
      </w:r>
      <w:r w:rsidRPr="00C60340">
        <w:rPr>
          <w:rStyle w:val="rphighlightallclass"/>
          <w:rFonts w:ascii="Times New Roman" w:hAnsi="Times New Roman"/>
          <w:noProof/>
          <w:sz w:val="24"/>
          <w:szCs w:val="24"/>
        </w:rPr>
        <w:t xml:space="preserve"> Tieto opatrenia zároveň umožňujú situáciu neustále monitorovať</w:t>
      </w:r>
      <w:r w:rsidR="00C60340">
        <w:rPr>
          <w:rStyle w:val="rphighlightallclass"/>
          <w:rFonts w:ascii="Times New Roman" w:hAnsi="Times New Roman"/>
          <w:noProof/>
          <w:sz w:val="24"/>
          <w:szCs w:val="24"/>
        </w:rPr>
        <w:t xml:space="preserve"> s </w:t>
      </w:r>
      <w:r w:rsidRPr="00C60340">
        <w:rPr>
          <w:rStyle w:val="rphighlightallclass"/>
          <w:rFonts w:ascii="Times New Roman" w:hAnsi="Times New Roman"/>
          <w:noProof/>
          <w:sz w:val="24"/>
          <w:szCs w:val="24"/>
        </w:rPr>
        <w:t>cieľom buď rozšíriť zoznam dotknutých tretích krajín, alebo zaviesť možné opatrenia</w:t>
      </w:r>
      <w:r w:rsidR="00C60340">
        <w:rPr>
          <w:rStyle w:val="rphighlightallclass"/>
          <w:rFonts w:ascii="Times New Roman" w:hAnsi="Times New Roman"/>
          <w:noProof/>
          <w:sz w:val="24"/>
          <w:szCs w:val="24"/>
        </w:rPr>
        <w:t xml:space="preserve"> v </w:t>
      </w:r>
      <w:r w:rsidRPr="00C60340">
        <w:rPr>
          <w:rStyle w:val="rphighlightallclass"/>
          <w:rFonts w:ascii="Times New Roman" w:hAnsi="Times New Roman"/>
          <w:noProof/>
          <w:sz w:val="24"/>
          <w:szCs w:val="24"/>
        </w:rPr>
        <w:t>rámci EÚ alebo preventívne opatrenia zrušiť, keď budú</w:t>
      </w:r>
      <w:r w:rsidR="00C60340">
        <w:rPr>
          <w:rStyle w:val="rphighlightallclass"/>
          <w:rFonts w:ascii="Times New Roman" w:hAnsi="Times New Roman"/>
          <w:noProof/>
          <w:sz w:val="24"/>
          <w:szCs w:val="24"/>
        </w:rPr>
        <w:t xml:space="preserve"> k </w:t>
      </w:r>
      <w:r w:rsidRPr="00C60340">
        <w:rPr>
          <w:rStyle w:val="rphighlightallclass"/>
          <w:rFonts w:ascii="Times New Roman" w:hAnsi="Times New Roman"/>
          <w:noProof/>
          <w:sz w:val="24"/>
          <w:szCs w:val="24"/>
        </w:rPr>
        <w:t>dispozícii ďalšie vedecké poznatky</w:t>
      </w:r>
      <w:r w:rsidR="00C60340">
        <w:rPr>
          <w:rStyle w:val="rphighlightallclass"/>
          <w:rFonts w:ascii="Times New Roman" w:hAnsi="Times New Roman"/>
          <w:noProof/>
          <w:sz w:val="24"/>
          <w:szCs w:val="24"/>
        </w:rPr>
        <w:t>.</w:t>
      </w:r>
    </w:p>
    <w:p w14:paraId="3D8A482C" w14:textId="065FCDE2" w:rsidR="00B0431A" w:rsidRPr="00C60340" w:rsidRDefault="004229AC" w:rsidP="001378BC">
      <w:pPr>
        <w:spacing w:after="120" w:line="240" w:lineRule="auto"/>
        <w:jc w:val="both"/>
        <w:rPr>
          <w:rFonts w:ascii="Times New Roman" w:eastAsia="Times New Roman" w:hAnsi="Times New Roman" w:cs="Times New Roman"/>
          <w:noProof/>
          <w:sz w:val="24"/>
          <w:szCs w:val="24"/>
        </w:rPr>
      </w:pPr>
      <w:r w:rsidRPr="00C60340">
        <w:rPr>
          <w:rFonts w:ascii="Times New Roman" w:hAnsi="Times New Roman"/>
          <w:noProof/>
          <w:sz w:val="24"/>
          <w:szCs w:val="24"/>
        </w:rPr>
        <w:t>EÚ</w:t>
      </w:r>
      <w:r w:rsidR="00C60340">
        <w:rPr>
          <w:rFonts w:ascii="Times New Roman" w:hAnsi="Times New Roman"/>
          <w:noProof/>
          <w:sz w:val="24"/>
          <w:szCs w:val="24"/>
        </w:rPr>
        <w:t xml:space="preserve"> a </w:t>
      </w:r>
      <w:r w:rsidRPr="00C60340">
        <w:rPr>
          <w:rFonts w:ascii="Times New Roman" w:hAnsi="Times New Roman"/>
          <w:noProof/>
          <w:sz w:val="24"/>
          <w:szCs w:val="24"/>
        </w:rPr>
        <w:t>členské štáty musia okamžite konať:</w:t>
      </w:r>
    </w:p>
    <w:p w14:paraId="7CFF8BA9" w14:textId="15102B53" w:rsidR="00B047AA" w:rsidRPr="00C60340" w:rsidRDefault="00B047AA" w:rsidP="001378BC">
      <w:pPr>
        <w:pStyle w:val="ListParagraph"/>
        <w:numPr>
          <w:ilvl w:val="0"/>
          <w:numId w:val="7"/>
        </w:numPr>
        <w:spacing w:after="100" w:afterAutospacing="1" w:line="240" w:lineRule="auto"/>
        <w:ind w:left="714" w:hanging="357"/>
        <w:jc w:val="both"/>
        <w:rPr>
          <w:rStyle w:val="rphighlightallclass"/>
          <w:rFonts w:ascii="Times New Roman" w:hAnsi="Times New Roman" w:cs="Times New Roman"/>
          <w:noProof/>
          <w:sz w:val="24"/>
          <w:szCs w:val="24"/>
        </w:rPr>
      </w:pPr>
      <w:r w:rsidRPr="00C60340">
        <w:rPr>
          <w:rStyle w:val="rphighlightallclass"/>
          <w:rFonts w:ascii="Times New Roman" w:hAnsi="Times New Roman"/>
          <w:noProof/>
          <w:sz w:val="24"/>
          <w:szCs w:val="24"/>
        </w:rPr>
        <w:t>Členské štáty musia mať zavedené pohotovostné plány, aby mohli rýchlo</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rozhodne kontrolovať ohniská nákazy týmto variantom všade, kde sa zistia.</w:t>
      </w:r>
    </w:p>
    <w:p w14:paraId="729DBDC4" w14:textId="6353F817" w:rsidR="00231019" w:rsidRPr="00C60340" w:rsidRDefault="00795563" w:rsidP="001378BC">
      <w:pPr>
        <w:pStyle w:val="ListParagraph"/>
        <w:numPr>
          <w:ilvl w:val="0"/>
          <w:numId w:val="7"/>
        </w:numPr>
        <w:spacing w:after="0" w:line="240" w:lineRule="auto"/>
        <w:ind w:left="714" w:hanging="357"/>
        <w:contextualSpacing w:val="0"/>
        <w:jc w:val="both"/>
        <w:rPr>
          <w:rFonts w:ascii="Times New Roman" w:eastAsia="Times New Roman" w:hAnsi="Times New Roman" w:cs="Times New Roman"/>
          <w:noProof/>
          <w:sz w:val="24"/>
          <w:szCs w:val="24"/>
        </w:rPr>
      </w:pPr>
      <w:r w:rsidRPr="00C60340">
        <w:rPr>
          <w:rFonts w:ascii="Times New Roman" w:hAnsi="Times New Roman"/>
          <w:noProof/>
          <w:sz w:val="24"/>
          <w:szCs w:val="24"/>
        </w:rPr>
        <w:t>Členské štáty musia mať rozbehnuté kampane podávania posilňovacích dávok ako nevyhnutný krok</w:t>
      </w:r>
      <w:r w:rsidR="00C60340">
        <w:rPr>
          <w:rFonts w:ascii="Times New Roman" w:hAnsi="Times New Roman"/>
          <w:noProof/>
          <w:sz w:val="24"/>
          <w:szCs w:val="24"/>
        </w:rPr>
        <w:t xml:space="preserve"> k </w:t>
      </w:r>
      <w:r w:rsidRPr="00C60340">
        <w:rPr>
          <w:rFonts w:ascii="Times New Roman" w:hAnsi="Times New Roman"/>
          <w:noProof/>
          <w:sz w:val="24"/>
          <w:szCs w:val="24"/>
        </w:rPr>
        <w:t>zvýšenej ochrane pred variantmi.</w:t>
      </w:r>
    </w:p>
    <w:p w14:paraId="2885ED48" w14:textId="283F761F" w:rsidR="00620998" w:rsidRPr="00C60340" w:rsidRDefault="00795563" w:rsidP="00F13F5D">
      <w:pPr>
        <w:pStyle w:val="ListParagraph"/>
        <w:numPr>
          <w:ilvl w:val="0"/>
          <w:numId w:val="7"/>
        </w:numPr>
        <w:spacing w:after="0" w:line="240" w:lineRule="auto"/>
        <w:ind w:left="714" w:hanging="357"/>
        <w:contextualSpacing w:val="0"/>
        <w:jc w:val="both"/>
        <w:rPr>
          <w:rFonts w:ascii="Times New Roman" w:hAnsi="Times New Roman"/>
          <w:noProof/>
          <w:spacing w:val="-6"/>
        </w:rPr>
      </w:pPr>
      <w:r w:rsidRPr="00C60340">
        <w:rPr>
          <w:rFonts w:ascii="Times New Roman" w:hAnsi="Times New Roman"/>
          <w:noProof/>
          <w:spacing w:val="-6"/>
          <w:sz w:val="24"/>
          <w:szCs w:val="24"/>
        </w:rPr>
        <w:t>Členské štáty by sa mali</w:t>
      </w:r>
      <w:r w:rsidR="00C60340" w:rsidRPr="00C60340">
        <w:rPr>
          <w:rFonts w:ascii="Times New Roman" w:hAnsi="Times New Roman"/>
          <w:noProof/>
          <w:spacing w:val="-6"/>
          <w:sz w:val="24"/>
          <w:szCs w:val="24"/>
        </w:rPr>
        <w:t xml:space="preserve"> s </w:t>
      </w:r>
      <w:r w:rsidRPr="00C60340">
        <w:rPr>
          <w:rFonts w:ascii="Times New Roman" w:hAnsi="Times New Roman"/>
          <w:noProof/>
          <w:spacing w:val="-6"/>
          <w:sz w:val="24"/>
          <w:szCs w:val="24"/>
        </w:rPr>
        <w:t>podporou Komisie úzko koordinovať, aby</w:t>
      </w:r>
      <w:r w:rsidR="00C60340" w:rsidRPr="00C60340">
        <w:rPr>
          <w:rFonts w:ascii="Times New Roman" w:hAnsi="Times New Roman"/>
          <w:noProof/>
          <w:spacing w:val="-6"/>
          <w:sz w:val="24"/>
          <w:szCs w:val="24"/>
        </w:rPr>
        <w:t xml:space="preserve"> v </w:t>
      </w:r>
      <w:r w:rsidRPr="00C60340">
        <w:rPr>
          <w:rFonts w:ascii="Times New Roman" w:hAnsi="Times New Roman"/>
          <w:noProof/>
          <w:spacing w:val="-6"/>
          <w:sz w:val="24"/>
          <w:szCs w:val="24"/>
        </w:rPr>
        <w:t>reálnom čase zavádzali zmeny</w:t>
      </w:r>
      <w:r w:rsidR="00C60340" w:rsidRPr="00C60340">
        <w:rPr>
          <w:rFonts w:ascii="Times New Roman" w:hAnsi="Times New Roman"/>
          <w:noProof/>
          <w:spacing w:val="-6"/>
          <w:sz w:val="24"/>
          <w:szCs w:val="24"/>
        </w:rPr>
        <w:t xml:space="preserve"> v </w:t>
      </w:r>
      <w:r w:rsidRPr="00C60340">
        <w:rPr>
          <w:rFonts w:ascii="Times New Roman" w:hAnsi="Times New Roman"/>
          <w:noProof/>
          <w:spacing w:val="-6"/>
          <w:sz w:val="24"/>
          <w:szCs w:val="24"/>
        </w:rPr>
        <w:t>opatreniach týkajúcich sa hraníc</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cestovania</w:t>
      </w:r>
      <w:r w:rsidR="00C60340" w:rsidRPr="00C60340">
        <w:rPr>
          <w:rFonts w:ascii="Times New Roman" w:hAnsi="Times New Roman"/>
          <w:noProof/>
          <w:spacing w:val="-6"/>
          <w:sz w:val="24"/>
          <w:szCs w:val="24"/>
        </w:rPr>
        <w:t xml:space="preserve"> v </w:t>
      </w:r>
      <w:r w:rsidRPr="00C60340">
        <w:rPr>
          <w:rFonts w:ascii="Times New Roman" w:hAnsi="Times New Roman"/>
          <w:noProof/>
          <w:spacing w:val="-6"/>
          <w:sz w:val="24"/>
          <w:szCs w:val="24"/>
        </w:rPr>
        <w:t>súlade</w:t>
      </w:r>
      <w:r w:rsidR="00C60340" w:rsidRPr="00C60340">
        <w:rPr>
          <w:rFonts w:ascii="Times New Roman" w:hAnsi="Times New Roman"/>
          <w:noProof/>
          <w:spacing w:val="-6"/>
          <w:sz w:val="24"/>
          <w:szCs w:val="24"/>
        </w:rPr>
        <w:t xml:space="preserve"> s </w:t>
      </w:r>
      <w:r w:rsidRPr="00C60340">
        <w:rPr>
          <w:rFonts w:ascii="Times New Roman" w:hAnsi="Times New Roman"/>
          <w:noProof/>
          <w:spacing w:val="-6"/>
          <w:sz w:val="24"/>
          <w:szCs w:val="24"/>
        </w:rPr>
        <w:t>odporúčaniami Rady</w:t>
      </w:r>
      <w:r w:rsidR="00C60340" w:rsidRPr="00C60340">
        <w:rPr>
          <w:rFonts w:ascii="Times New Roman" w:hAnsi="Times New Roman"/>
          <w:noProof/>
          <w:spacing w:val="-6"/>
          <w:sz w:val="24"/>
          <w:szCs w:val="24"/>
        </w:rPr>
        <w:t xml:space="preserve"> o </w:t>
      </w:r>
      <w:r w:rsidRPr="00C60340">
        <w:rPr>
          <w:rFonts w:ascii="Times New Roman" w:hAnsi="Times New Roman"/>
          <w:noProof/>
          <w:spacing w:val="-6"/>
          <w:sz w:val="24"/>
          <w:szCs w:val="24"/>
        </w:rPr>
        <w:t>cestovaní do EÚ</w:t>
      </w:r>
      <w:r w:rsidR="00C60340" w:rsidRPr="00C60340">
        <w:rPr>
          <w:rFonts w:ascii="Times New Roman" w:hAnsi="Times New Roman"/>
          <w:noProof/>
          <w:spacing w:val="-6"/>
          <w:sz w:val="24"/>
          <w:szCs w:val="24"/>
        </w:rPr>
        <w:t xml:space="preserve"> a o </w:t>
      </w:r>
      <w:r w:rsidRPr="00C60340">
        <w:rPr>
          <w:rFonts w:ascii="Times New Roman" w:hAnsi="Times New Roman"/>
          <w:noProof/>
          <w:spacing w:val="-6"/>
          <w:sz w:val="24"/>
          <w:szCs w:val="24"/>
        </w:rPr>
        <w:t>voľnom pohybe</w:t>
      </w:r>
      <w:r w:rsidR="00C60340" w:rsidRPr="00C60340">
        <w:rPr>
          <w:rFonts w:ascii="Times New Roman" w:hAnsi="Times New Roman"/>
          <w:noProof/>
          <w:spacing w:val="-6"/>
          <w:sz w:val="24"/>
          <w:szCs w:val="24"/>
        </w:rPr>
        <w:t xml:space="preserve"> v </w:t>
      </w:r>
      <w:r w:rsidRPr="00C60340">
        <w:rPr>
          <w:rFonts w:ascii="Times New Roman" w:hAnsi="Times New Roman"/>
          <w:noProof/>
          <w:spacing w:val="-6"/>
          <w:sz w:val="24"/>
          <w:szCs w:val="24"/>
        </w:rPr>
        <w:t>rámci EÚ vrátane testovacích</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karanténnych opatrení. Na základe najnovších dostupných vedeckých poznatkov</w:t>
      </w:r>
      <w:r w:rsidR="00C60340" w:rsidRPr="00C60340">
        <w:rPr>
          <w:rFonts w:ascii="Times New Roman" w:hAnsi="Times New Roman"/>
          <w:noProof/>
          <w:spacing w:val="-6"/>
          <w:sz w:val="24"/>
          <w:szCs w:val="24"/>
        </w:rPr>
        <w:t xml:space="preserve"> a v </w:t>
      </w:r>
      <w:r w:rsidRPr="00C60340">
        <w:rPr>
          <w:rFonts w:ascii="Times New Roman" w:hAnsi="Times New Roman"/>
          <w:noProof/>
          <w:spacing w:val="-6"/>
          <w:sz w:val="24"/>
          <w:szCs w:val="24"/>
        </w:rPr>
        <w:t>súlade so zásadou predbežnej opatrnosti môže byť,</w:t>
      </w:r>
      <w:r w:rsidR="00C60340" w:rsidRPr="00C60340">
        <w:rPr>
          <w:rFonts w:ascii="Times New Roman" w:hAnsi="Times New Roman"/>
          <w:noProof/>
          <w:spacing w:val="-6"/>
          <w:sz w:val="24"/>
          <w:szCs w:val="24"/>
        </w:rPr>
        <w:t xml:space="preserve"> v </w:t>
      </w:r>
      <w:r w:rsidRPr="00C60340">
        <w:rPr>
          <w:rFonts w:ascii="Times New Roman" w:hAnsi="Times New Roman"/>
          <w:noProof/>
          <w:spacing w:val="-6"/>
          <w:sz w:val="24"/>
          <w:szCs w:val="24"/>
        </w:rPr>
        <w:t>reakcii na súčasné riziko spojené</w:t>
      </w:r>
      <w:r w:rsidR="00C60340" w:rsidRPr="00C60340">
        <w:rPr>
          <w:rFonts w:ascii="Times New Roman" w:hAnsi="Times New Roman"/>
          <w:noProof/>
          <w:spacing w:val="-6"/>
          <w:sz w:val="24"/>
          <w:szCs w:val="24"/>
        </w:rPr>
        <w:t xml:space="preserve"> s </w:t>
      </w:r>
      <w:r w:rsidRPr="00C60340">
        <w:rPr>
          <w:rFonts w:ascii="Times New Roman" w:hAnsi="Times New Roman"/>
          <w:noProof/>
          <w:spacing w:val="-6"/>
          <w:sz w:val="24"/>
          <w:szCs w:val="24"/>
        </w:rPr>
        <w:t>variantom omikron, požiadavka vykonania testu PCR pred príchodom vhodným prostriedkom, ktorý môžu členské štáty zvážiť,</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to najmä pri cestovaní do EÚ, ako aj cestovaní</w:t>
      </w:r>
      <w:r w:rsidR="00C60340" w:rsidRPr="00C60340">
        <w:rPr>
          <w:rFonts w:ascii="Times New Roman" w:hAnsi="Times New Roman"/>
          <w:noProof/>
          <w:spacing w:val="-6"/>
          <w:sz w:val="24"/>
          <w:szCs w:val="24"/>
        </w:rPr>
        <w:t xml:space="preserve"> v </w:t>
      </w:r>
      <w:r w:rsidRPr="00C60340">
        <w:rPr>
          <w:rFonts w:ascii="Times New Roman" w:hAnsi="Times New Roman"/>
          <w:noProof/>
          <w:spacing w:val="-6"/>
          <w:sz w:val="24"/>
          <w:szCs w:val="24"/>
        </w:rPr>
        <w:t>rámci EÚ, ako súčasť núdzovej brzdy. Takéto kroky by sa mali zaviesť na najkratší potrebný čas, mali by byť primerané, nediskriminačné</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podliehať neustálemu preskúmavaniu.</w:t>
      </w:r>
    </w:p>
    <w:p w14:paraId="010906CB" w14:textId="05D3BC2A" w:rsidR="00C60340" w:rsidRPr="00C60340" w:rsidRDefault="00795563" w:rsidP="00F13F5D">
      <w:pPr>
        <w:pStyle w:val="ListParagraph"/>
        <w:numPr>
          <w:ilvl w:val="0"/>
          <w:numId w:val="7"/>
        </w:numPr>
        <w:spacing w:after="0" w:line="240" w:lineRule="auto"/>
        <w:contextualSpacing w:val="0"/>
        <w:jc w:val="both"/>
        <w:rPr>
          <w:rFonts w:ascii="Times New Roman" w:hAnsi="Times New Roman"/>
          <w:noProof/>
          <w:spacing w:val="-6"/>
          <w:sz w:val="24"/>
          <w:szCs w:val="24"/>
        </w:rPr>
      </w:pPr>
      <w:r w:rsidRPr="00C60340">
        <w:rPr>
          <w:rFonts w:ascii="Times New Roman" w:hAnsi="Times New Roman"/>
          <w:noProof/>
          <w:spacing w:val="-6"/>
          <w:sz w:val="24"/>
          <w:szCs w:val="24"/>
        </w:rPr>
        <w:t>Členské štáty by mali zvýšiť kapacitu sekvenovania genómov</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posilniť sledovanie variantu omikron</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prípadných ďalších variantov vzbudzujúcich obavy,</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to aj rozsiahlym testovaním odpadových vôd. Komisia pomôže zabezpečiť rýchlu výmenu vzoriek</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výsledkov</w:t>
      </w:r>
      <w:r w:rsidR="00C60340" w:rsidRPr="00C60340">
        <w:rPr>
          <w:rFonts w:ascii="Times New Roman" w:hAnsi="Times New Roman"/>
          <w:noProof/>
          <w:spacing w:val="-6"/>
          <w:sz w:val="24"/>
          <w:szCs w:val="24"/>
        </w:rPr>
        <w:t>.</w:t>
      </w:r>
    </w:p>
    <w:p w14:paraId="794F11FA" w14:textId="123CA184" w:rsidR="00B0431A" w:rsidRPr="00C60340" w:rsidRDefault="00795563" w:rsidP="001378BC">
      <w:pPr>
        <w:pStyle w:val="ListParagraph"/>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rPr>
      </w:pPr>
      <w:r w:rsidRPr="00C60340">
        <w:rPr>
          <w:rFonts w:ascii="Times New Roman" w:hAnsi="Times New Roman"/>
          <w:noProof/>
          <w:sz w:val="24"/>
          <w:szCs w:val="24"/>
        </w:rPr>
        <w:t>Komisia podporí odber vzoriek</w:t>
      </w:r>
      <w:r w:rsidR="00C60340">
        <w:rPr>
          <w:rFonts w:ascii="Times New Roman" w:hAnsi="Times New Roman"/>
          <w:noProof/>
          <w:sz w:val="24"/>
          <w:szCs w:val="24"/>
        </w:rPr>
        <w:t xml:space="preserve"> v </w:t>
      </w:r>
      <w:r w:rsidRPr="00C60340">
        <w:rPr>
          <w:rFonts w:ascii="Times New Roman" w:hAnsi="Times New Roman"/>
          <w:noProof/>
          <w:sz w:val="24"/>
          <w:szCs w:val="24"/>
        </w:rPr>
        <w:t>krajinách</w:t>
      </w:r>
      <w:r w:rsidR="00C60340">
        <w:rPr>
          <w:rFonts w:ascii="Times New Roman" w:hAnsi="Times New Roman"/>
          <w:noProof/>
          <w:sz w:val="24"/>
          <w:szCs w:val="24"/>
        </w:rPr>
        <w:t xml:space="preserve"> s </w:t>
      </w:r>
      <w:r w:rsidRPr="00C60340">
        <w:rPr>
          <w:rFonts w:ascii="Times New Roman" w:hAnsi="Times New Roman"/>
          <w:noProof/>
          <w:sz w:val="24"/>
          <w:szCs w:val="24"/>
        </w:rPr>
        <w:t>nízkym objemom údajov</w:t>
      </w:r>
      <w:r w:rsidR="00C60340">
        <w:rPr>
          <w:rFonts w:ascii="Times New Roman" w:hAnsi="Times New Roman"/>
          <w:noProof/>
          <w:sz w:val="24"/>
          <w:szCs w:val="24"/>
        </w:rPr>
        <w:t xml:space="preserve"> o </w:t>
      </w:r>
      <w:r w:rsidRPr="00C60340">
        <w:rPr>
          <w:rFonts w:ascii="Times New Roman" w:hAnsi="Times New Roman"/>
          <w:noProof/>
          <w:sz w:val="24"/>
          <w:szCs w:val="24"/>
        </w:rPr>
        <w:t>sekvenovaní, ako aj nasadzovanie antigénových testov.</w:t>
      </w:r>
    </w:p>
    <w:p w14:paraId="528464E6" w14:textId="296D1576" w:rsidR="00C60340" w:rsidRPr="00C60340" w:rsidRDefault="00B0431A" w:rsidP="001378BC">
      <w:pPr>
        <w:pStyle w:val="ListParagraph"/>
        <w:numPr>
          <w:ilvl w:val="0"/>
          <w:numId w:val="7"/>
        </w:numPr>
        <w:spacing w:before="100" w:beforeAutospacing="1" w:after="100" w:afterAutospacing="1" w:line="240" w:lineRule="auto"/>
        <w:jc w:val="both"/>
        <w:rPr>
          <w:rFonts w:ascii="Times New Roman" w:hAnsi="Times New Roman"/>
          <w:noProof/>
          <w:spacing w:val="-4"/>
          <w:sz w:val="24"/>
          <w:szCs w:val="24"/>
        </w:rPr>
      </w:pPr>
      <w:r w:rsidRPr="00C60340">
        <w:rPr>
          <w:rFonts w:ascii="Times New Roman" w:hAnsi="Times New Roman"/>
          <w:noProof/>
          <w:spacing w:val="-4"/>
          <w:sz w:val="24"/>
          <w:szCs w:val="24"/>
        </w:rPr>
        <w:t>Z úrovne EÚ aj úrovne členských štátov by sa mala poskytovať podpora krajinám</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južnej Afrike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ktorýmkoľvek ďalším príslušným krajinám pri zhromažďovaní</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skúmaní klinických údajov súvisiacich</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infekciami, ktoré spôsobil tento nový variant</w:t>
      </w:r>
      <w:r w:rsidR="00C60340" w:rsidRPr="00C60340">
        <w:rPr>
          <w:rFonts w:ascii="Times New Roman" w:hAnsi="Times New Roman"/>
          <w:noProof/>
          <w:spacing w:val="-4"/>
          <w:sz w:val="24"/>
          <w:szCs w:val="24"/>
        </w:rPr>
        <w:t>.</w:t>
      </w:r>
    </w:p>
    <w:p w14:paraId="47FEC84E" w14:textId="5256443B" w:rsidR="00C0028B" w:rsidRPr="00C60340" w:rsidRDefault="00C0028B" w:rsidP="001378BC">
      <w:pPr>
        <w:pStyle w:val="ListParagraph"/>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rPr>
      </w:pPr>
      <w:r w:rsidRPr="00C60340">
        <w:rPr>
          <w:rFonts w:ascii="Times New Roman" w:hAnsi="Times New Roman"/>
          <w:noProof/>
          <w:sz w:val="24"/>
          <w:szCs w:val="24"/>
        </w:rPr>
        <w:t>HERA bude naďalej plne využívať svoj potenciál riešiť variant omikron:</w:t>
      </w:r>
    </w:p>
    <w:p w14:paraId="14573866" w14:textId="77777777" w:rsidR="00B0431A" w:rsidRPr="00C60340" w:rsidRDefault="00795563" w:rsidP="001378BC">
      <w:pPr>
        <w:pStyle w:val="ListParagraph"/>
        <w:numPr>
          <w:ilvl w:val="0"/>
          <w:numId w:val="7"/>
        </w:numPr>
        <w:spacing w:before="100" w:beforeAutospacing="1" w:after="100" w:afterAutospacing="1" w:line="240" w:lineRule="auto"/>
        <w:ind w:left="1134"/>
        <w:jc w:val="both"/>
        <w:rPr>
          <w:rFonts w:ascii="Times New Roman" w:eastAsia="Times New Roman" w:hAnsi="Times New Roman" w:cs="Times New Roman"/>
          <w:noProof/>
          <w:sz w:val="24"/>
          <w:szCs w:val="24"/>
        </w:rPr>
      </w:pPr>
      <w:r w:rsidRPr="00C60340">
        <w:rPr>
          <w:rFonts w:ascii="Times New Roman" w:hAnsi="Times New Roman"/>
          <w:noProof/>
          <w:sz w:val="24"/>
          <w:szCs w:val="24"/>
        </w:rPr>
        <w:t>expertná skupina úradu HERA pre varianty pôsobí ako kontaktné miesto pre analýzu situácie,</w:t>
      </w:r>
    </w:p>
    <w:p w14:paraId="711B4F48" w14:textId="34349D5B" w:rsidR="00B0431A" w:rsidRPr="00C60340" w:rsidRDefault="00795563" w:rsidP="001378BC">
      <w:pPr>
        <w:pStyle w:val="ListParagraph"/>
        <w:numPr>
          <w:ilvl w:val="0"/>
          <w:numId w:val="7"/>
        </w:numPr>
        <w:spacing w:before="100" w:beforeAutospacing="1" w:after="100" w:afterAutospacing="1" w:line="240" w:lineRule="auto"/>
        <w:ind w:left="1134"/>
        <w:jc w:val="both"/>
        <w:rPr>
          <w:rStyle w:val="rphighlightallclass"/>
          <w:rFonts w:ascii="Times New Roman" w:eastAsia="Times New Roman" w:hAnsi="Times New Roman" w:cs="Times New Roman"/>
          <w:noProof/>
          <w:sz w:val="24"/>
          <w:szCs w:val="24"/>
        </w:rPr>
      </w:pPr>
      <w:r w:rsidRPr="00C60340">
        <w:rPr>
          <w:rStyle w:val="rphighlightallclass"/>
          <w:rFonts w:ascii="Times New Roman" w:hAnsi="Times New Roman"/>
          <w:noProof/>
          <w:sz w:val="24"/>
          <w:szCs w:val="24"/>
        </w:rPr>
        <w:t>HERA spolupracuje</w:t>
      </w:r>
      <w:r w:rsidR="00C60340">
        <w:rPr>
          <w:rStyle w:val="rphighlightallclass"/>
          <w:rFonts w:ascii="Times New Roman" w:hAnsi="Times New Roman"/>
          <w:noProof/>
          <w:sz w:val="24"/>
          <w:szCs w:val="24"/>
        </w:rPr>
        <w:t xml:space="preserve"> s </w:t>
      </w:r>
      <w:r w:rsidRPr="00C60340">
        <w:rPr>
          <w:rStyle w:val="rphighlightallclass"/>
          <w:rFonts w:ascii="Times New Roman" w:hAnsi="Times New Roman"/>
          <w:noProof/>
          <w:sz w:val="24"/>
          <w:szCs w:val="24"/>
        </w:rPr>
        <w:t>výrobcami vakcín</w:t>
      </w:r>
      <w:r w:rsidR="00C60340">
        <w:rPr>
          <w:rStyle w:val="rphighlightallclass"/>
          <w:rFonts w:ascii="Times New Roman" w:hAnsi="Times New Roman"/>
          <w:noProof/>
          <w:sz w:val="24"/>
          <w:szCs w:val="24"/>
        </w:rPr>
        <w:t xml:space="preserve"> s </w:t>
      </w:r>
      <w:r w:rsidRPr="00C60340">
        <w:rPr>
          <w:rStyle w:val="rphighlightallclass"/>
          <w:rFonts w:ascii="Times New Roman" w:hAnsi="Times New Roman"/>
          <w:noProof/>
          <w:sz w:val="24"/>
          <w:szCs w:val="24"/>
        </w:rPr>
        <w:t>cieľom zabezpečiť rýchle prispôsobenie vakcín novému variantu, ak to bude potrebné,</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zaručiť dostatočnú kapacitu na výrobu vakcín,</w:t>
      </w:r>
    </w:p>
    <w:p w14:paraId="3FBD8022" w14:textId="5689271A" w:rsidR="0057364A" w:rsidRPr="00C60340" w:rsidRDefault="00795563" w:rsidP="001378BC">
      <w:pPr>
        <w:pStyle w:val="ListParagraph"/>
        <w:numPr>
          <w:ilvl w:val="0"/>
          <w:numId w:val="7"/>
        </w:numPr>
        <w:spacing w:before="100" w:beforeAutospacing="1" w:after="120" w:afterAutospacing="1" w:line="240" w:lineRule="auto"/>
        <w:ind w:left="1134"/>
        <w:jc w:val="both"/>
        <w:rPr>
          <w:rStyle w:val="rphighlightallclass"/>
          <w:rFonts w:ascii="Times New Roman" w:hAnsi="Times New Roman" w:cs="Times New Roman"/>
          <w:noProof/>
          <w:sz w:val="24"/>
          <w:szCs w:val="24"/>
        </w:rPr>
      </w:pPr>
      <w:r w:rsidRPr="00C60340">
        <w:rPr>
          <w:rStyle w:val="rphighlightallclass"/>
          <w:rFonts w:ascii="Times New Roman" w:hAnsi="Times New Roman"/>
          <w:noProof/>
          <w:sz w:val="24"/>
          <w:szCs w:val="24"/>
        </w:rPr>
        <w:t>Rada úradu HERA aj</w:t>
      </w:r>
      <w:r w:rsidR="00C60340">
        <w:rPr>
          <w:rStyle w:val="rphighlightallclass"/>
          <w:rFonts w:ascii="Times New Roman" w:hAnsi="Times New Roman"/>
          <w:noProof/>
          <w:sz w:val="24"/>
          <w:szCs w:val="24"/>
        </w:rPr>
        <w:t xml:space="preserve"> v </w:t>
      </w:r>
      <w:r w:rsidRPr="00C60340">
        <w:rPr>
          <w:rStyle w:val="rphighlightallclass"/>
          <w:rFonts w:ascii="Times New Roman" w:hAnsi="Times New Roman"/>
          <w:noProof/>
          <w:sz w:val="24"/>
          <w:szCs w:val="24"/>
        </w:rPr>
        <w:t>koordinácii so Svetovou zdravotníckou organizáciou združuje strategické riadenie opatrení na úrovni EÚ</w:t>
      </w:r>
      <w:r w:rsidR="00C60340">
        <w:rPr>
          <w:rStyle w:val="rphighlightallclass"/>
          <w:rFonts w:ascii="Times New Roman" w:hAnsi="Times New Roman"/>
          <w:noProof/>
          <w:sz w:val="24"/>
          <w:szCs w:val="24"/>
        </w:rPr>
        <w:t xml:space="preserve"> a </w:t>
      </w:r>
      <w:r w:rsidRPr="00C60340">
        <w:rPr>
          <w:rStyle w:val="rphighlightallclass"/>
          <w:rFonts w:ascii="Times New Roman" w:hAnsi="Times New Roman"/>
          <w:noProof/>
          <w:sz w:val="24"/>
          <w:szCs w:val="24"/>
        </w:rPr>
        <w:t>členských štátov.</w:t>
      </w:r>
    </w:p>
    <w:p w14:paraId="63E95F4F" w14:textId="77777777" w:rsidR="00B0431A" w:rsidRPr="00C60340" w:rsidRDefault="00B0431A" w:rsidP="001378BC">
      <w:pPr>
        <w:pStyle w:val="ListParagraph"/>
        <w:spacing w:before="100" w:beforeAutospacing="1" w:after="120" w:afterAutospacing="1" w:line="240" w:lineRule="auto"/>
        <w:jc w:val="both"/>
        <w:rPr>
          <w:rFonts w:ascii="Times New Roman" w:hAnsi="Times New Roman" w:cs="Times New Roman"/>
          <w:noProof/>
          <w:sz w:val="24"/>
          <w:szCs w:val="24"/>
        </w:rPr>
      </w:pPr>
    </w:p>
    <w:p w14:paraId="0AFA3411" w14:textId="0ECD8427" w:rsidR="008F0C29" w:rsidRPr="00C60340" w:rsidRDefault="0057364A" w:rsidP="001378BC">
      <w:pPr>
        <w:spacing w:after="120" w:line="240" w:lineRule="auto"/>
        <w:ind w:left="720" w:hanging="720"/>
        <w:jc w:val="both"/>
        <w:rPr>
          <w:rFonts w:ascii="Times New Roman" w:hAnsi="Times New Roman" w:cs="Times New Roman"/>
          <w:b/>
          <w:noProof/>
          <w:sz w:val="24"/>
          <w:szCs w:val="24"/>
        </w:rPr>
      </w:pPr>
      <w:r w:rsidRPr="00C60340">
        <w:rPr>
          <w:rFonts w:ascii="Times New Roman" w:hAnsi="Times New Roman"/>
          <w:b/>
          <w:noProof/>
          <w:sz w:val="24"/>
          <w:szCs w:val="24"/>
        </w:rPr>
        <w:t xml:space="preserve">III </w:t>
      </w:r>
      <w:r w:rsidRPr="00C60340">
        <w:rPr>
          <w:rFonts w:ascii="Times New Roman" w:hAnsi="Times New Roman"/>
          <w:noProof/>
        </w:rPr>
        <w:tab/>
      </w:r>
      <w:r w:rsidRPr="00C60340">
        <w:rPr>
          <w:rFonts w:ascii="Times New Roman" w:hAnsi="Times New Roman"/>
          <w:b/>
          <w:noProof/>
          <w:sz w:val="24"/>
          <w:szCs w:val="24"/>
        </w:rPr>
        <w:t>POKRAČUJME</w:t>
      </w:r>
      <w:r w:rsidR="00C60340">
        <w:rPr>
          <w:rFonts w:ascii="Times New Roman" w:hAnsi="Times New Roman"/>
          <w:b/>
          <w:noProof/>
          <w:sz w:val="24"/>
          <w:szCs w:val="24"/>
        </w:rPr>
        <w:t xml:space="preserve"> V </w:t>
      </w:r>
      <w:r w:rsidRPr="00C60340">
        <w:rPr>
          <w:rFonts w:ascii="Times New Roman" w:hAnsi="Times New Roman"/>
          <w:b/>
          <w:noProof/>
          <w:sz w:val="24"/>
          <w:szCs w:val="24"/>
        </w:rPr>
        <w:t>NASTAVENOM KURZE: KOORDINOVANÉ OPATRENIA NA BOJ PROTI OCHORENIU COVID-19</w:t>
      </w:r>
    </w:p>
    <w:p w14:paraId="261E7999" w14:textId="4C1FAD0B" w:rsidR="00C60340" w:rsidRPr="00C60340" w:rsidRDefault="00650124" w:rsidP="001378BC">
      <w:pPr>
        <w:spacing w:after="120" w:line="240" w:lineRule="auto"/>
        <w:jc w:val="both"/>
        <w:rPr>
          <w:rFonts w:ascii="Times New Roman" w:hAnsi="Times New Roman"/>
          <w:noProof/>
          <w:spacing w:val="-8"/>
          <w:sz w:val="24"/>
          <w:szCs w:val="24"/>
        </w:rPr>
      </w:pPr>
      <w:r w:rsidRPr="00C60340">
        <w:rPr>
          <w:rFonts w:ascii="Times New Roman" w:hAnsi="Times New Roman"/>
          <w:noProof/>
          <w:spacing w:val="-8"/>
          <w:sz w:val="24"/>
          <w:szCs w:val="24"/>
        </w:rPr>
        <w:t>Vírus sa preukázal ako odolný aj prispôsobivý, pričom</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EÚ je</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súčasnosti dominantným kmeňom variant delta,</w:t>
      </w:r>
      <w:r w:rsidR="00C60340" w:rsidRPr="00C60340">
        <w:rPr>
          <w:rFonts w:ascii="Times New Roman" w:hAnsi="Times New Roman"/>
          <w:noProof/>
          <w:spacing w:val="-8"/>
          <w:sz w:val="24"/>
          <w:szCs w:val="24"/>
        </w:rPr>
        <w:t xml:space="preserve"> k </w:t>
      </w:r>
      <w:r w:rsidRPr="00C60340">
        <w:rPr>
          <w:rFonts w:ascii="Times New Roman" w:hAnsi="Times New Roman"/>
          <w:noProof/>
          <w:spacing w:val="-8"/>
          <w:sz w:val="24"/>
          <w:szCs w:val="24"/>
        </w:rPr>
        <w:t>čomu sa pridáva nová hrozba variantu omikron. Len trvalé</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rozhodné opatrenia umožnia, aby sa pandémia dostala pod kontrolu</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nevymkla sa spod nej. Je preto mimoriadne dôležité, aby sa opatrenia prijímali nielen</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reakcii na prudký nárast infekcie</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príchod nových variantov, ale aj vtedy, keď je miera infekcií nízka. Toto je hlavnou zásadou, ktorými sa riadia opatrenia EÚ proti pandémii: zaistiť dostupnosť, dodávky</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podávanie vakcín; zlepšiť liečbu nakazených osôb</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konať svorne, aby sa zaistila účinnosť opatrení, ale aj ich primeranosť</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spravodlivosť</w:t>
      </w:r>
      <w:r w:rsidR="00C60340" w:rsidRPr="00C60340">
        <w:rPr>
          <w:rFonts w:ascii="Times New Roman" w:hAnsi="Times New Roman"/>
          <w:noProof/>
          <w:spacing w:val="-8"/>
          <w:sz w:val="24"/>
          <w:szCs w:val="24"/>
        </w:rPr>
        <w:t>.</w:t>
      </w:r>
    </w:p>
    <w:p w14:paraId="5636CB76" w14:textId="4CD4F35B" w:rsidR="00BA1456" w:rsidRPr="00C60340" w:rsidRDefault="00BA1456" w:rsidP="001378BC">
      <w:pPr>
        <w:spacing w:after="120" w:line="240" w:lineRule="auto"/>
        <w:jc w:val="both"/>
        <w:rPr>
          <w:rFonts w:ascii="Times New Roman" w:hAnsi="Times New Roman" w:cs="Times New Roman"/>
          <w:noProof/>
          <w:spacing w:val="-8"/>
          <w:sz w:val="24"/>
          <w:szCs w:val="24"/>
        </w:rPr>
      </w:pPr>
      <w:r w:rsidRPr="00C60340">
        <w:rPr>
          <w:rFonts w:ascii="Times New Roman" w:hAnsi="Times New Roman"/>
          <w:noProof/>
          <w:spacing w:val="-8"/>
          <w:sz w:val="24"/>
          <w:szCs w:val="24"/>
        </w:rPr>
        <w:t>Jedným</w:t>
      </w:r>
      <w:r w:rsidR="00C60340" w:rsidRPr="00C60340">
        <w:rPr>
          <w:rFonts w:ascii="Times New Roman" w:hAnsi="Times New Roman"/>
          <w:noProof/>
          <w:spacing w:val="-8"/>
          <w:sz w:val="24"/>
          <w:szCs w:val="24"/>
        </w:rPr>
        <w:t xml:space="preserve"> z </w:t>
      </w:r>
      <w:r w:rsidRPr="00C60340">
        <w:rPr>
          <w:rFonts w:ascii="Times New Roman" w:hAnsi="Times New Roman"/>
          <w:noProof/>
          <w:spacing w:val="-8"/>
          <w:sz w:val="24"/>
          <w:szCs w:val="24"/>
        </w:rPr>
        <w:t>hlavných ponaučení</w:t>
      </w:r>
      <w:r w:rsidR="00C60340" w:rsidRPr="00C60340">
        <w:rPr>
          <w:rFonts w:ascii="Times New Roman" w:hAnsi="Times New Roman"/>
          <w:noProof/>
          <w:spacing w:val="-8"/>
          <w:sz w:val="24"/>
          <w:szCs w:val="24"/>
        </w:rPr>
        <w:t xml:space="preserve"> z </w:t>
      </w:r>
      <w:r w:rsidRPr="00C60340">
        <w:rPr>
          <w:rFonts w:ascii="Times New Roman" w:hAnsi="Times New Roman"/>
          <w:noProof/>
          <w:spacing w:val="-8"/>
          <w:sz w:val="24"/>
          <w:szCs w:val="24"/>
        </w:rPr>
        <w:t>posledných osemnástich mesiacov je význam dohody</w:t>
      </w:r>
      <w:r w:rsidR="00C60340" w:rsidRPr="00C60340">
        <w:rPr>
          <w:rFonts w:ascii="Times New Roman" w:hAnsi="Times New Roman"/>
          <w:noProof/>
          <w:spacing w:val="-8"/>
          <w:sz w:val="24"/>
          <w:szCs w:val="24"/>
        </w:rPr>
        <w:t xml:space="preserve"> o </w:t>
      </w:r>
      <w:r w:rsidRPr="00C60340">
        <w:rPr>
          <w:rFonts w:ascii="Times New Roman" w:hAnsi="Times New Roman"/>
          <w:noProof/>
          <w:spacing w:val="-8"/>
          <w:sz w:val="24"/>
          <w:szCs w:val="24"/>
        </w:rPr>
        <w:t>spoločnom</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koordinovanom postupe EÚ</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čo najjasnejšieho informovania</w:t>
      </w:r>
      <w:r w:rsidR="00C60340" w:rsidRPr="00C60340">
        <w:rPr>
          <w:rFonts w:ascii="Times New Roman" w:hAnsi="Times New Roman"/>
          <w:noProof/>
          <w:spacing w:val="-8"/>
          <w:sz w:val="24"/>
          <w:szCs w:val="24"/>
        </w:rPr>
        <w:t xml:space="preserve"> o </w:t>
      </w:r>
      <w:r w:rsidRPr="00C60340">
        <w:rPr>
          <w:rFonts w:ascii="Times New Roman" w:hAnsi="Times New Roman"/>
          <w:noProof/>
          <w:spacing w:val="-8"/>
          <w:sz w:val="24"/>
          <w:szCs w:val="24"/>
        </w:rPr>
        <w:t>tomto postupe. Rozdiely medzi vnútroštátnymi očkovacími stratégiami, ktoré nie sú jasne vysvetlené, oslabili úsilie</w:t>
      </w:r>
      <w:r w:rsidR="00C60340" w:rsidRPr="00C60340">
        <w:rPr>
          <w:rFonts w:ascii="Times New Roman" w:hAnsi="Times New Roman"/>
          <w:noProof/>
          <w:spacing w:val="-8"/>
          <w:sz w:val="24"/>
          <w:szCs w:val="24"/>
        </w:rPr>
        <w:t xml:space="preserve"> o </w:t>
      </w:r>
      <w:r w:rsidRPr="00C60340">
        <w:rPr>
          <w:rFonts w:ascii="Times New Roman" w:hAnsi="Times New Roman"/>
          <w:noProof/>
          <w:spacing w:val="-8"/>
          <w:sz w:val="24"/>
          <w:szCs w:val="24"/>
        </w:rPr>
        <w:t>prekonanie váhavosti</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očkovaní. Veľké rozdiely</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opatreniach zavedených</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oblasti verejného zdravia, ktoré nebolo možné vysvetliť rovnako veľkými rozdielmi</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epidemiologických situáciách, oslabili dôveru verejnosti.</w:t>
      </w:r>
    </w:p>
    <w:p w14:paraId="0F283EB8" w14:textId="25FFE413" w:rsidR="00AA0A9A" w:rsidRPr="00C60340" w:rsidRDefault="00AA0A9A" w:rsidP="001378BC">
      <w:pPr>
        <w:spacing w:after="120" w:line="240" w:lineRule="auto"/>
        <w:jc w:val="both"/>
        <w:rPr>
          <w:rFonts w:ascii="Times New Roman" w:hAnsi="Times New Roman" w:cs="Times New Roman"/>
          <w:b/>
          <w:i/>
          <w:noProof/>
          <w:sz w:val="24"/>
          <w:szCs w:val="24"/>
        </w:rPr>
      </w:pPr>
      <w:r w:rsidRPr="00C60340">
        <w:rPr>
          <w:rFonts w:ascii="Times New Roman" w:hAnsi="Times New Roman"/>
          <w:b/>
          <w:i/>
          <w:noProof/>
          <w:sz w:val="24"/>
          <w:szCs w:val="24"/>
        </w:rPr>
        <w:t>Pokračujme</w:t>
      </w:r>
      <w:r w:rsidR="00C60340">
        <w:rPr>
          <w:rFonts w:ascii="Times New Roman" w:hAnsi="Times New Roman"/>
          <w:b/>
          <w:i/>
          <w:noProof/>
          <w:sz w:val="24"/>
          <w:szCs w:val="24"/>
        </w:rPr>
        <w:t xml:space="preserve"> v </w:t>
      </w:r>
      <w:r w:rsidRPr="00C60340">
        <w:rPr>
          <w:rFonts w:ascii="Times New Roman" w:hAnsi="Times New Roman"/>
          <w:b/>
          <w:i/>
          <w:noProof/>
          <w:sz w:val="24"/>
          <w:szCs w:val="24"/>
        </w:rPr>
        <w:t>účinnom očkovaní</w:t>
      </w:r>
    </w:p>
    <w:p w14:paraId="7661E106" w14:textId="09A82962" w:rsidR="00C60340" w:rsidRPr="00C60340" w:rsidRDefault="00AA0A9A" w:rsidP="001378BC">
      <w:pPr>
        <w:spacing w:after="120" w:line="240" w:lineRule="auto"/>
        <w:jc w:val="both"/>
        <w:rPr>
          <w:rFonts w:ascii="Times New Roman" w:hAnsi="Times New Roman"/>
          <w:noProof/>
          <w:spacing w:val="-4"/>
          <w:sz w:val="24"/>
          <w:szCs w:val="24"/>
        </w:rPr>
      </w:pPr>
      <w:r w:rsidRPr="00C60340">
        <w:rPr>
          <w:rFonts w:ascii="Times New Roman" w:hAnsi="Times New Roman"/>
          <w:noProof/>
          <w:spacing w:val="-4"/>
          <w:sz w:val="24"/>
          <w:szCs w:val="24"/>
        </w:rPr>
        <w:t>Musíme pokračovať</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 xml:space="preserve">očkovacom úsilí. </w:t>
      </w:r>
      <w:r w:rsidRPr="00C60340">
        <w:rPr>
          <w:rFonts w:ascii="Times New Roman" w:hAnsi="Times New Roman"/>
          <w:b/>
          <w:i/>
          <w:noProof/>
          <w:spacing w:val="-4"/>
          <w:sz w:val="24"/>
          <w:szCs w:val="24"/>
        </w:rPr>
        <w:t>Dodávky</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výrobná kapacita sú teraz zabezpečené prostredníctvom stratégie EÚ</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oblasti vakcín. Do konca tohto roka bude mať EÚ inštalovanú kapacitu na výrobu viac než 300 miliónov dávok mesačne. Zmluvy uzavreté</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rámci stratégie EÚ</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oblasti vakcín poskytujú členským štátom prístup</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toľkým dávkam vakcín (vrátane upravených vakcín, ak sa ukáže, že sú potrebné), koľko budú</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rokoch 2022</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2023 potrebovať. EÚ bude musieť naďalej investovať do vývoja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výroby lepších, pokročilejších vakcín proti ochoreniu COVID-19</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jeho variantom. HERA umožní rozvoj silnej strategickej kapacity na plnenie presne tejto funkcie</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cieľom bojovať proti súčasným aj budúcim hrozbám vylepšením vývoja, výroby, obstarávania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distribúcie vakcín. Bude to zahŕňať identifikáciu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odstraňovanie slabých miest</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kritických dodávkach</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materiáloch na výrobu vakcín, pričom sa bude vychádzať</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 xml:space="preserve">práce pracovnej skupiny Komisie pre priemyselný rozvoj. </w:t>
      </w:r>
      <w:r w:rsidRPr="00C60340">
        <w:rPr>
          <w:rFonts w:ascii="Times New Roman" w:hAnsi="Times New Roman"/>
          <w:noProof/>
          <w:spacing w:val="-4"/>
          <w:sz w:val="24"/>
          <w:szCs w:val="24"/>
          <w:u w:val="single"/>
        </w:rPr>
        <w:t xml:space="preserve">Členské štáty by na riešenie možného nedostatku injekčných striekačiek mali využiť existujúce spoločné obstarávanie striekačiek. </w:t>
      </w:r>
      <w:r w:rsidRPr="00C60340">
        <w:rPr>
          <w:rFonts w:ascii="Times New Roman" w:hAnsi="Times New Roman"/>
          <w:noProof/>
          <w:spacing w:val="-4"/>
          <w:sz w:val="24"/>
          <w:szCs w:val="24"/>
        </w:rPr>
        <w:t>Takisto je zásadné zlepšiť prístup</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vakcínam tak, aby zdravotnícke služby mohli vakcíny podávať</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miestnych spoločenstvách</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aby</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nim mali občania jednoduchý prístup</w:t>
      </w:r>
      <w:r w:rsidR="00C60340" w:rsidRPr="00C60340">
        <w:rPr>
          <w:rFonts w:ascii="Times New Roman" w:hAnsi="Times New Roman"/>
          <w:noProof/>
          <w:spacing w:val="-4"/>
          <w:sz w:val="24"/>
          <w:szCs w:val="24"/>
        </w:rPr>
        <w:t>.</w:t>
      </w:r>
    </w:p>
    <w:p w14:paraId="516ED81B" w14:textId="031F8AFD" w:rsidR="00F05542" w:rsidRPr="00C60340" w:rsidRDefault="0039399F" w:rsidP="001378BC">
      <w:pPr>
        <w:spacing w:after="120" w:line="240" w:lineRule="auto"/>
        <w:jc w:val="both"/>
        <w:rPr>
          <w:rFonts w:ascii="Times New Roman" w:hAnsi="Times New Roman" w:cs="Times New Roman"/>
          <w:noProof/>
          <w:spacing w:val="-8"/>
          <w:sz w:val="24"/>
          <w:szCs w:val="24"/>
        </w:rPr>
      </w:pPr>
      <w:r w:rsidRPr="00C60340">
        <w:rPr>
          <w:rFonts w:ascii="Times New Roman" w:hAnsi="Times New Roman"/>
          <w:noProof/>
          <w:spacing w:val="-8"/>
          <w:sz w:val="24"/>
          <w:szCs w:val="24"/>
        </w:rPr>
        <w:t>Hlavnou výzvou</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súčasnosti je presvedčiť tých, ktorí ešte nie sú zaočkovaní, aby sa dali zaočkovať. Členské štáty začínajú zavádzať širšiu škálu opatrení, ktorými reagujú na skutočnosť, že nezaočkovaní predstavujú väčšiu hrozbu pre zdravie spoločnosti vo všeobecnosti</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 xml:space="preserve">pre udržateľnosť systémov zdravotnej starostlivosti ako zaočkovaní. </w:t>
      </w:r>
      <w:r w:rsidRPr="00C60340">
        <w:rPr>
          <w:rFonts w:ascii="Times New Roman" w:hAnsi="Times New Roman"/>
          <w:b/>
          <w:i/>
          <w:noProof/>
          <w:spacing w:val="-8"/>
          <w:sz w:val="24"/>
          <w:szCs w:val="24"/>
        </w:rPr>
        <w:t>Váhavosť</w:t>
      </w:r>
      <w:r w:rsidR="00C60340" w:rsidRPr="00C60340">
        <w:rPr>
          <w:rFonts w:ascii="Times New Roman" w:hAnsi="Times New Roman"/>
          <w:b/>
          <w:i/>
          <w:noProof/>
          <w:spacing w:val="-8"/>
          <w:sz w:val="24"/>
          <w:szCs w:val="24"/>
        </w:rPr>
        <w:t xml:space="preserve"> v </w:t>
      </w:r>
      <w:r w:rsidRPr="00C60340">
        <w:rPr>
          <w:rFonts w:ascii="Times New Roman" w:hAnsi="Times New Roman"/>
          <w:b/>
          <w:i/>
          <w:noProof/>
          <w:spacing w:val="-8"/>
          <w:sz w:val="24"/>
          <w:szCs w:val="24"/>
        </w:rPr>
        <w:t>očkovaní</w:t>
      </w:r>
      <w:r w:rsidRPr="00C60340">
        <w:rPr>
          <w:rFonts w:ascii="Times New Roman" w:hAnsi="Times New Roman"/>
          <w:noProof/>
          <w:spacing w:val="-8"/>
          <w:sz w:val="24"/>
          <w:szCs w:val="24"/>
        </w:rPr>
        <w:t xml:space="preserve"> má rôzne príčiny. Často si vyžadujú individualizované miestne riešenia, kde má dôvera</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miestnych zdravotníckych pracovníkov zásadný význam. Existujú však určité spoločné prvky, ktorými by sa EÚ</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jej členské štáty, ako aj globálni partneri, ako je NATO, mohli naďalej zaoberať spoločne.</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neposlednom rade ide</w:t>
      </w:r>
      <w:r w:rsidR="00C60340" w:rsidRPr="00C60340">
        <w:rPr>
          <w:rFonts w:ascii="Times New Roman" w:hAnsi="Times New Roman"/>
          <w:noProof/>
          <w:spacing w:val="-8"/>
          <w:sz w:val="24"/>
          <w:szCs w:val="24"/>
        </w:rPr>
        <w:t xml:space="preserve"> o </w:t>
      </w:r>
      <w:r w:rsidRPr="00C60340">
        <w:rPr>
          <w:rFonts w:ascii="Times New Roman" w:hAnsi="Times New Roman"/>
          <w:noProof/>
          <w:spacing w:val="-8"/>
          <w:sz w:val="24"/>
          <w:szCs w:val="24"/>
        </w:rPr>
        <w:t>veľké množstvo nepravdivých informácií</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dezinformácií</w:t>
      </w:r>
      <w:r w:rsidR="00C60340" w:rsidRPr="00C60340">
        <w:rPr>
          <w:rFonts w:ascii="Times New Roman" w:hAnsi="Times New Roman"/>
          <w:noProof/>
          <w:spacing w:val="-8"/>
          <w:sz w:val="24"/>
          <w:szCs w:val="24"/>
        </w:rPr>
        <w:t xml:space="preserve"> o </w:t>
      </w:r>
      <w:r w:rsidRPr="00C60340">
        <w:rPr>
          <w:rFonts w:ascii="Times New Roman" w:hAnsi="Times New Roman"/>
          <w:noProof/>
          <w:spacing w:val="-8"/>
          <w:sz w:val="24"/>
          <w:szCs w:val="24"/>
        </w:rPr>
        <w:t>vakcínach, ktoré boli vypustené do verejnej sféry. Komisia zaviedla osobitný postup na uľahčenie rýchlej reakcie na dezinformácie. Systém rýchleho varovania umožňuje účinnú spoluprácu</w:t>
      </w:r>
      <w:r w:rsidR="00C60340" w:rsidRPr="00C60340">
        <w:rPr>
          <w:rFonts w:ascii="Times New Roman" w:hAnsi="Times New Roman"/>
          <w:noProof/>
          <w:spacing w:val="-8"/>
          <w:sz w:val="24"/>
          <w:szCs w:val="24"/>
        </w:rPr>
        <w:t xml:space="preserve"> s </w:t>
      </w:r>
      <w:r w:rsidRPr="00C60340">
        <w:rPr>
          <w:rFonts w:ascii="Times New Roman" w:hAnsi="Times New Roman"/>
          <w:noProof/>
          <w:spacing w:val="-8"/>
          <w:sz w:val="24"/>
          <w:szCs w:val="24"/>
        </w:rPr>
        <w:t>členskými štátmi, keďže ponúka vyhradený priestor na spoluprácu týkajúcu sa COVID-19,</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ktorom sa analýza dezinformácií súvisiacich</w:t>
      </w:r>
      <w:r w:rsidR="00C60340" w:rsidRPr="00C60340">
        <w:rPr>
          <w:rFonts w:ascii="Times New Roman" w:hAnsi="Times New Roman"/>
          <w:noProof/>
          <w:spacing w:val="-8"/>
          <w:sz w:val="24"/>
          <w:szCs w:val="24"/>
        </w:rPr>
        <w:t xml:space="preserve"> s </w:t>
      </w:r>
      <w:r w:rsidRPr="00C60340">
        <w:rPr>
          <w:rFonts w:ascii="Times New Roman" w:hAnsi="Times New Roman"/>
          <w:noProof/>
          <w:spacing w:val="-8"/>
          <w:sz w:val="24"/>
          <w:szCs w:val="24"/>
        </w:rPr>
        <w:t>pandémiou spája</w:t>
      </w:r>
      <w:r w:rsidR="00C60340" w:rsidRPr="00C60340">
        <w:rPr>
          <w:rFonts w:ascii="Times New Roman" w:hAnsi="Times New Roman"/>
          <w:noProof/>
          <w:spacing w:val="-8"/>
          <w:sz w:val="24"/>
          <w:szCs w:val="24"/>
        </w:rPr>
        <w:t xml:space="preserve"> s </w:t>
      </w:r>
      <w:r w:rsidRPr="00C60340">
        <w:rPr>
          <w:rFonts w:ascii="Times New Roman" w:hAnsi="Times New Roman"/>
          <w:noProof/>
          <w:spacing w:val="-8"/>
          <w:sz w:val="24"/>
          <w:szCs w:val="24"/>
        </w:rPr>
        <w:t>reakciou na ne. Komisia takisto ponúkla priamu dvojstrannú podporu tým členským štátom,</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ktorých je zaočkovanosť najnižšia, pričom oslovila aj zdravotníckych pracovníkov</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týchto krajinách</w:t>
      </w:r>
      <w:r w:rsidRPr="00C60340">
        <w:rPr>
          <w:rStyle w:val="FootnoteReference"/>
          <w:rFonts w:ascii="Times New Roman" w:hAnsi="Times New Roman" w:cs="Times New Roman"/>
          <w:noProof/>
          <w:spacing w:val="-8"/>
          <w:sz w:val="24"/>
          <w:szCs w:val="24"/>
        </w:rPr>
        <w:footnoteReference w:id="5"/>
      </w:r>
      <w:r w:rsidRPr="00C60340">
        <w:rPr>
          <w:rFonts w:ascii="Times New Roman" w:hAnsi="Times New Roman"/>
          <w:noProof/>
          <w:spacing w:val="-8"/>
          <w:sz w:val="24"/>
          <w:szCs w:val="24"/>
        </w:rPr>
        <w:t>. Teraz by sa to mohlo rozšíriť na mobilizáciu lídrov ďalších spoločenstiev (ako sú podnikoví, odboroví, náboženskí</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športoví lídri). Komisia spolupracuje aj</w:t>
      </w:r>
      <w:r w:rsidR="00C60340" w:rsidRPr="00C60340">
        <w:rPr>
          <w:rFonts w:ascii="Times New Roman" w:hAnsi="Times New Roman"/>
          <w:noProof/>
          <w:spacing w:val="-8"/>
          <w:sz w:val="24"/>
          <w:szCs w:val="24"/>
        </w:rPr>
        <w:t xml:space="preserve"> s </w:t>
      </w:r>
      <w:r w:rsidRPr="00C60340">
        <w:rPr>
          <w:rFonts w:ascii="Times New Roman" w:hAnsi="Times New Roman"/>
          <w:noProof/>
          <w:spacing w:val="-8"/>
          <w:sz w:val="24"/>
          <w:szCs w:val="24"/>
        </w:rPr>
        <w:t>online platformami</w:t>
      </w:r>
      <w:r w:rsidR="00C60340" w:rsidRPr="00C60340">
        <w:rPr>
          <w:rFonts w:ascii="Times New Roman" w:hAnsi="Times New Roman"/>
          <w:noProof/>
          <w:spacing w:val="-8"/>
          <w:sz w:val="24"/>
          <w:szCs w:val="24"/>
        </w:rPr>
        <w:t xml:space="preserve"> s </w:t>
      </w:r>
      <w:r w:rsidRPr="00C60340">
        <w:rPr>
          <w:rFonts w:ascii="Times New Roman" w:hAnsi="Times New Roman"/>
          <w:noProof/>
          <w:spacing w:val="-8"/>
          <w:sz w:val="24"/>
          <w:szCs w:val="24"/>
        </w:rPr>
        <w:t>cieľom motivovať ich, aby ponúkali priestor na komunikačné kampane</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propagáciu odborných názorov,</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tiež aby monitorovali dezinformácie</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vymieňali si údaje.</w:t>
      </w:r>
    </w:p>
    <w:p w14:paraId="246571CE" w14:textId="0F581FC7" w:rsidR="000325C6" w:rsidRPr="00C60340" w:rsidRDefault="00393538" w:rsidP="001378BC">
      <w:pPr>
        <w:spacing w:after="120" w:line="240" w:lineRule="auto"/>
        <w:jc w:val="both"/>
        <w:rPr>
          <w:rFonts w:ascii="Times New Roman" w:hAnsi="Times New Roman" w:cs="Times New Roman"/>
          <w:noProof/>
          <w:spacing w:val="-4"/>
          <w:sz w:val="24"/>
          <w:szCs w:val="24"/>
        </w:rPr>
      </w:pPr>
      <w:r w:rsidRPr="00C60340">
        <w:rPr>
          <w:rFonts w:ascii="Times New Roman" w:hAnsi="Times New Roman"/>
          <w:noProof/>
          <w:spacing w:val="-4"/>
          <w:sz w:val="24"/>
          <w:szCs w:val="24"/>
        </w:rPr>
        <w:t>V súčasnosti sa objavuje viac údajov</w:t>
      </w:r>
      <w:r w:rsidR="00C60340" w:rsidRPr="00C60340">
        <w:rPr>
          <w:rFonts w:ascii="Times New Roman" w:hAnsi="Times New Roman"/>
          <w:noProof/>
          <w:spacing w:val="-4"/>
          <w:sz w:val="24"/>
          <w:szCs w:val="24"/>
        </w:rPr>
        <w:t xml:space="preserve"> o </w:t>
      </w:r>
      <w:r w:rsidRPr="00C60340">
        <w:rPr>
          <w:rFonts w:ascii="Times New Roman" w:hAnsi="Times New Roman"/>
          <w:noProof/>
          <w:spacing w:val="-4"/>
          <w:sz w:val="24"/>
          <w:szCs w:val="24"/>
        </w:rPr>
        <w:t xml:space="preserve">rýchlosti, akou imunita slabne. </w:t>
      </w:r>
      <w:r w:rsidRPr="00C60340">
        <w:rPr>
          <w:rFonts w:ascii="Times New Roman" w:hAnsi="Times New Roman"/>
          <w:b/>
          <w:i/>
          <w:noProof/>
          <w:spacing w:val="-4"/>
          <w:sz w:val="24"/>
          <w:szCs w:val="24"/>
        </w:rPr>
        <w:t>Posilňovacie dávky</w:t>
      </w:r>
      <w:r w:rsidRPr="00C60340">
        <w:rPr>
          <w:rFonts w:ascii="Times New Roman" w:hAnsi="Times New Roman"/>
          <w:noProof/>
          <w:spacing w:val="-4"/>
          <w:sz w:val="24"/>
          <w:szCs w:val="24"/>
        </w:rPr>
        <w:t xml:space="preserve"> predstavujú kľúčovú odpoveď na toto oslabenie. Sú tiež základnými nástrojmi na ochranu proti variantom. Dnes už všetky členské štáty EÚ ponúkajú posilňovacie alebo dodatočné dávky najrizikovejším skupinám, ako sú staršie osoby, osoby</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oslabenou imunitou či imunosupresiou, obyvatelia zariadení dlhodobej starostlivosti</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zdravotnícki pracovníci. Vzhľadom na uvedené usmernenia ECDC musia všetky členské štáty zabezpečiť, aby</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prvom rade najzraniteľnejšie osoby dostali posilňovaciu dávku,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musia nasadiť správne vybavenie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zdroje na masové kampane podávania posilňovacích dávok. Príchod variantu omikron zvyšuje naliehavosť potreby spustiť masové kampane podávania posilňovacích dávok vo všetkých členských štátoch.</w:t>
      </w:r>
    </w:p>
    <w:p w14:paraId="62CBB830" w14:textId="14E44835" w:rsidR="002C55B9" w:rsidRPr="00C60340" w:rsidRDefault="00FC147D" w:rsidP="001378BC">
      <w:pPr>
        <w:spacing w:after="120" w:line="240" w:lineRule="auto"/>
        <w:jc w:val="both"/>
        <w:rPr>
          <w:rFonts w:ascii="Times New Roman" w:hAnsi="Times New Roman" w:cs="Times New Roman"/>
          <w:b/>
          <w:i/>
          <w:noProof/>
          <w:sz w:val="24"/>
          <w:szCs w:val="24"/>
        </w:rPr>
      </w:pPr>
      <w:r w:rsidRPr="00C60340">
        <w:rPr>
          <w:rFonts w:ascii="Times New Roman" w:hAnsi="Times New Roman"/>
          <w:b/>
          <w:i/>
          <w:noProof/>
          <w:sz w:val="24"/>
          <w:szCs w:val="24"/>
        </w:rPr>
        <w:t>Liečba ľudí</w:t>
      </w:r>
      <w:r w:rsidR="00C60340">
        <w:rPr>
          <w:rFonts w:ascii="Times New Roman" w:hAnsi="Times New Roman"/>
          <w:b/>
          <w:i/>
          <w:noProof/>
          <w:sz w:val="24"/>
          <w:szCs w:val="24"/>
        </w:rPr>
        <w:t xml:space="preserve"> s </w:t>
      </w:r>
      <w:r w:rsidRPr="00C60340">
        <w:rPr>
          <w:rFonts w:ascii="Times New Roman" w:hAnsi="Times New Roman"/>
          <w:b/>
          <w:i/>
          <w:noProof/>
          <w:sz w:val="24"/>
          <w:szCs w:val="24"/>
        </w:rPr>
        <w:t>ochorením COVID-19</w:t>
      </w:r>
    </w:p>
    <w:p w14:paraId="3C65E6CC" w14:textId="14176BD9" w:rsidR="00CE4A22" w:rsidRPr="00C60340" w:rsidRDefault="00434775"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Zásadným krokom</w:t>
      </w:r>
      <w:r w:rsidR="00C60340">
        <w:rPr>
          <w:rFonts w:ascii="Times New Roman" w:hAnsi="Times New Roman"/>
          <w:noProof/>
          <w:sz w:val="24"/>
          <w:szCs w:val="24"/>
        </w:rPr>
        <w:t xml:space="preserve"> v </w:t>
      </w:r>
      <w:r w:rsidRPr="00C60340">
        <w:rPr>
          <w:rFonts w:ascii="Times New Roman" w:hAnsi="Times New Roman"/>
          <w:noProof/>
          <w:sz w:val="24"/>
          <w:szCs w:val="24"/>
        </w:rPr>
        <w:t>boji proti vírusu je aj lepšia liečba tých, ktorí sa nakazili ochorením COVID-19. Je to jeden</w:t>
      </w:r>
      <w:r w:rsidR="00C60340">
        <w:rPr>
          <w:rFonts w:ascii="Times New Roman" w:hAnsi="Times New Roman"/>
          <w:noProof/>
          <w:sz w:val="24"/>
          <w:szCs w:val="24"/>
        </w:rPr>
        <w:t xml:space="preserve"> z </w:t>
      </w:r>
      <w:r w:rsidRPr="00C60340">
        <w:rPr>
          <w:rFonts w:ascii="Times New Roman" w:hAnsi="Times New Roman"/>
          <w:noProof/>
          <w:sz w:val="24"/>
          <w:szCs w:val="24"/>
        </w:rPr>
        <w:t>výsledkov lepšej diagnostiky na pochopenie prevalencie vírusu</w:t>
      </w:r>
      <w:r w:rsidR="00C60340">
        <w:rPr>
          <w:rFonts w:ascii="Times New Roman" w:hAnsi="Times New Roman"/>
          <w:noProof/>
          <w:sz w:val="24"/>
          <w:szCs w:val="24"/>
        </w:rPr>
        <w:t xml:space="preserve"> a </w:t>
      </w:r>
      <w:r w:rsidRPr="00C60340">
        <w:rPr>
          <w:rFonts w:ascii="Times New Roman" w:hAnsi="Times New Roman"/>
          <w:noProof/>
          <w:sz w:val="24"/>
          <w:szCs w:val="24"/>
        </w:rPr>
        <w:t>spôsobu, ako sa</w:t>
      </w:r>
      <w:r w:rsidR="00C60340">
        <w:rPr>
          <w:rFonts w:ascii="Times New Roman" w:hAnsi="Times New Roman"/>
          <w:noProof/>
          <w:sz w:val="24"/>
          <w:szCs w:val="24"/>
        </w:rPr>
        <w:t xml:space="preserve"> s </w:t>
      </w:r>
      <w:r w:rsidRPr="00C60340">
        <w:rPr>
          <w:rFonts w:ascii="Times New Roman" w:hAnsi="Times New Roman"/>
          <w:noProof/>
          <w:sz w:val="24"/>
          <w:szCs w:val="24"/>
        </w:rPr>
        <w:t>ním vysporiadať.</w:t>
      </w:r>
      <w:r w:rsidR="00C60340">
        <w:rPr>
          <w:rFonts w:ascii="Times New Roman" w:hAnsi="Times New Roman"/>
          <w:noProof/>
          <w:sz w:val="24"/>
          <w:szCs w:val="24"/>
        </w:rPr>
        <w:t xml:space="preserve"> V </w:t>
      </w:r>
      <w:r w:rsidRPr="00C60340">
        <w:rPr>
          <w:rFonts w:ascii="Times New Roman" w:hAnsi="Times New Roman"/>
          <w:noProof/>
          <w:sz w:val="24"/>
          <w:szCs w:val="24"/>
        </w:rPr>
        <w:t>boji proti ochoreniu COVID-19 budú môcť členské štáty</w:t>
      </w:r>
      <w:r w:rsidR="00C60340">
        <w:rPr>
          <w:rFonts w:ascii="Times New Roman" w:hAnsi="Times New Roman"/>
          <w:noProof/>
          <w:sz w:val="24"/>
          <w:szCs w:val="24"/>
        </w:rPr>
        <w:t xml:space="preserve"> v </w:t>
      </w:r>
      <w:r w:rsidRPr="00C60340">
        <w:rPr>
          <w:rFonts w:ascii="Times New Roman" w:hAnsi="Times New Roman"/>
          <w:noProof/>
          <w:sz w:val="24"/>
          <w:szCs w:val="24"/>
        </w:rPr>
        <w:t xml:space="preserve">čoraz väčšej miere využívať </w:t>
      </w:r>
      <w:r w:rsidRPr="00C60340">
        <w:rPr>
          <w:rFonts w:ascii="Times New Roman" w:hAnsi="Times New Roman"/>
          <w:b/>
          <w:i/>
          <w:noProof/>
          <w:sz w:val="24"/>
          <w:szCs w:val="24"/>
        </w:rPr>
        <w:t>terapeutiká</w:t>
      </w:r>
      <w:r w:rsidRPr="00C60340">
        <w:rPr>
          <w:rFonts w:ascii="Times New Roman" w:hAnsi="Times New Roman"/>
          <w:noProof/>
          <w:sz w:val="24"/>
          <w:szCs w:val="24"/>
        </w:rPr>
        <w:t>. Stratégia EÚ</w:t>
      </w:r>
      <w:r w:rsidR="00C60340">
        <w:rPr>
          <w:rFonts w:ascii="Times New Roman" w:hAnsi="Times New Roman"/>
          <w:noProof/>
          <w:sz w:val="24"/>
          <w:szCs w:val="24"/>
        </w:rPr>
        <w:t xml:space="preserve"> v </w:t>
      </w:r>
      <w:r w:rsidRPr="00C60340">
        <w:rPr>
          <w:rFonts w:ascii="Times New Roman" w:hAnsi="Times New Roman"/>
          <w:noProof/>
          <w:sz w:val="24"/>
          <w:szCs w:val="24"/>
        </w:rPr>
        <w:t>oblasti liečby COVID-19 už je zavedená</w:t>
      </w:r>
      <w:r w:rsidR="00C60340">
        <w:rPr>
          <w:rFonts w:ascii="Times New Roman" w:hAnsi="Times New Roman"/>
          <w:noProof/>
          <w:sz w:val="24"/>
          <w:szCs w:val="24"/>
        </w:rPr>
        <w:t xml:space="preserve"> a v </w:t>
      </w:r>
      <w:r w:rsidRPr="00C60340">
        <w:rPr>
          <w:rFonts w:ascii="Times New Roman" w:hAnsi="Times New Roman"/>
          <w:noProof/>
          <w:sz w:val="24"/>
          <w:szCs w:val="24"/>
        </w:rPr>
        <w:t>súčasnosti sa realizuje</w:t>
      </w:r>
      <w:r w:rsidR="00C60340">
        <w:rPr>
          <w:rFonts w:ascii="Times New Roman" w:hAnsi="Times New Roman"/>
          <w:noProof/>
          <w:sz w:val="24"/>
          <w:szCs w:val="24"/>
        </w:rPr>
        <w:t xml:space="preserve"> s </w:t>
      </w:r>
      <w:r w:rsidRPr="00C60340">
        <w:rPr>
          <w:rFonts w:ascii="Times New Roman" w:hAnsi="Times New Roman"/>
          <w:noProof/>
          <w:sz w:val="24"/>
          <w:szCs w:val="24"/>
        </w:rPr>
        <w:t>portfóliom desiatich najsľubnejších kandidátskych terapeutík, pričom viacero spoločných obstarávaní</w:t>
      </w:r>
      <w:r w:rsidR="00C60340">
        <w:rPr>
          <w:rFonts w:ascii="Times New Roman" w:hAnsi="Times New Roman"/>
          <w:noProof/>
          <w:sz w:val="24"/>
          <w:szCs w:val="24"/>
        </w:rPr>
        <w:t xml:space="preserve"> s </w:t>
      </w:r>
      <w:r w:rsidRPr="00C60340">
        <w:rPr>
          <w:rFonts w:ascii="Times New Roman" w:hAnsi="Times New Roman"/>
          <w:noProof/>
          <w:sz w:val="24"/>
          <w:szCs w:val="24"/>
        </w:rPr>
        <w:t>členskými štátmi sa už uzavrelo</w:t>
      </w:r>
      <w:r w:rsidR="00C60340">
        <w:rPr>
          <w:rFonts w:ascii="Times New Roman" w:hAnsi="Times New Roman"/>
          <w:noProof/>
          <w:sz w:val="24"/>
          <w:szCs w:val="24"/>
        </w:rPr>
        <w:t xml:space="preserve"> s </w:t>
      </w:r>
      <w:r w:rsidRPr="00C60340">
        <w:rPr>
          <w:rFonts w:ascii="Times New Roman" w:hAnsi="Times New Roman"/>
          <w:noProof/>
          <w:sz w:val="24"/>
          <w:szCs w:val="24"/>
        </w:rPr>
        <w:t>cieľom zabezpečiť spravodlivý prístup</w:t>
      </w:r>
      <w:r w:rsidR="00C60340">
        <w:rPr>
          <w:rFonts w:ascii="Times New Roman" w:hAnsi="Times New Roman"/>
          <w:noProof/>
          <w:sz w:val="24"/>
          <w:szCs w:val="24"/>
        </w:rPr>
        <w:t xml:space="preserve"> k </w:t>
      </w:r>
      <w:r w:rsidRPr="00C60340">
        <w:rPr>
          <w:rFonts w:ascii="Times New Roman" w:hAnsi="Times New Roman"/>
          <w:noProof/>
          <w:sz w:val="24"/>
          <w:szCs w:val="24"/>
        </w:rPr>
        <w:t>takýmto terapeutikám.</w:t>
      </w:r>
      <w:r w:rsidR="00C60340">
        <w:rPr>
          <w:rFonts w:ascii="Times New Roman" w:hAnsi="Times New Roman"/>
          <w:noProof/>
          <w:sz w:val="24"/>
          <w:szCs w:val="24"/>
        </w:rPr>
        <w:t xml:space="preserve"> V </w:t>
      </w:r>
      <w:r w:rsidRPr="00C60340">
        <w:rPr>
          <w:rFonts w:ascii="Times New Roman" w:hAnsi="Times New Roman"/>
          <w:noProof/>
          <w:sz w:val="24"/>
          <w:szCs w:val="24"/>
        </w:rPr>
        <w:t>súčasnosti sú povolené tri liečby. Bude to zohrávať mimoriadne dôležitú úlohu pri obmedzovaní rizík spojených</w:t>
      </w:r>
      <w:r w:rsidR="00C60340">
        <w:rPr>
          <w:rFonts w:ascii="Times New Roman" w:hAnsi="Times New Roman"/>
          <w:noProof/>
          <w:sz w:val="24"/>
          <w:szCs w:val="24"/>
        </w:rPr>
        <w:t xml:space="preserve"> s </w:t>
      </w:r>
      <w:r w:rsidRPr="00C60340">
        <w:rPr>
          <w:rFonts w:ascii="Times New Roman" w:hAnsi="Times New Roman"/>
          <w:noProof/>
          <w:sz w:val="24"/>
          <w:szCs w:val="24"/>
        </w:rPr>
        <w:t>ochorením COVID-19 pre najzraniteľnejšie osoby</w:t>
      </w:r>
      <w:r w:rsidR="00C60340">
        <w:rPr>
          <w:rFonts w:ascii="Times New Roman" w:hAnsi="Times New Roman"/>
          <w:noProof/>
          <w:sz w:val="24"/>
          <w:szCs w:val="24"/>
        </w:rPr>
        <w:t xml:space="preserve"> a </w:t>
      </w:r>
      <w:r w:rsidRPr="00C60340">
        <w:rPr>
          <w:rFonts w:ascii="Times New Roman" w:hAnsi="Times New Roman"/>
          <w:noProof/>
          <w:sz w:val="24"/>
          <w:szCs w:val="24"/>
        </w:rPr>
        <w:t>mohlo by to pomôcť riešiť problémy, ktoré uzdraveným pacientom spôsobujú komplikácie po ochorení COVID-19. Najdôležitejšou bude komunikácia na vysvetlenie prínosov schválenej liečby</w:t>
      </w:r>
      <w:r w:rsidR="00C60340">
        <w:rPr>
          <w:rFonts w:ascii="Times New Roman" w:hAnsi="Times New Roman"/>
          <w:noProof/>
          <w:sz w:val="24"/>
          <w:szCs w:val="24"/>
        </w:rPr>
        <w:t xml:space="preserve"> a </w:t>
      </w:r>
      <w:r w:rsidRPr="00C60340">
        <w:rPr>
          <w:rFonts w:ascii="Times New Roman" w:hAnsi="Times New Roman"/>
          <w:noProof/>
          <w:sz w:val="24"/>
          <w:szCs w:val="24"/>
        </w:rPr>
        <w:t>rizík nepravdivých informácií. Tieto terapeutiká ľuďom pomôžu rýchlejšie sa zotaviť</w:t>
      </w:r>
      <w:r w:rsidR="00C60340">
        <w:rPr>
          <w:rFonts w:ascii="Times New Roman" w:hAnsi="Times New Roman"/>
          <w:noProof/>
          <w:sz w:val="24"/>
          <w:szCs w:val="24"/>
        </w:rPr>
        <w:t xml:space="preserve"> a </w:t>
      </w:r>
      <w:r w:rsidRPr="00C60340">
        <w:rPr>
          <w:rFonts w:ascii="Times New Roman" w:hAnsi="Times New Roman"/>
          <w:noProof/>
          <w:sz w:val="24"/>
          <w:szCs w:val="24"/>
        </w:rPr>
        <w:t>zmierniť vplyv vírusu na jednotlivcov</w:t>
      </w:r>
      <w:r w:rsidR="00C60340">
        <w:rPr>
          <w:rFonts w:ascii="Times New Roman" w:hAnsi="Times New Roman"/>
          <w:noProof/>
          <w:sz w:val="24"/>
          <w:szCs w:val="24"/>
        </w:rPr>
        <w:t xml:space="preserve"> a </w:t>
      </w:r>
      <w:r w:rsidRPr="00C60340">
        <w:rPr>
          <w:rFonts w:ascii="Times New Roman" w:hAnsi="Times New Roman"/>
          <w:noProof/>
          <w:sz w:val="24"/>
          <w:szCs w:val="24"/>
        </w:rPr>
        <w:t>na systémy zdravotnej starostlivosti: sú však doplnkom</w:t>
      </w:r>
      <w:r w:rsidR="00C60340">
        <w:rPr>
          <w:rFonts w:ascii="Times New Roman" w:hAnsi="Times New Roman"/>
          <w:noProof/>
          <w:sz w:val="24"/>
          <w:szCs w:val="24"/>
        </w:rPr>
        <w:t xml:space="preserve"> k </w:t>
      </w:r>
      <w:r w:rsidRPr="00C60340">
        <w:rPr>
          <w:rFonts w:ascii="Times New Roman" w:hAnsi="Times New Roman"/>
          <w:noProof/>
          <w:sz w:val="24"/>
          <w:szCs w:val="24"/>
        </w:rPr>
        <w:t>očkovaniu, nie jeho náhradou. Aj táto oblasť bude tvoriť dôležitú časť práce úradu HERA</w:t>
      </w:r>
      <w:r w:rsidR="00C60340">
        <w:rPr>
          <w:rFonts w:ascii="Times New Roman" w:hAnsi="Times New Roman"/>
          <w:noProof/>
          <w:sz w:val="24"/>
          <w:szCs w:val="24"/>
        </w:rPr>
        <w:t xml:space="preserve"> v </w:t>
      </w:r>
      <w:r w:rsidRPr="00C60340">
        <w:rPr>
          <w:rFonts w:ascii="Times New Roman" w:hAnsi="Times New Roman"/>
          <w:noProof/>
          <w:sz w:val="24"/>
          <w:szCs w:val="24"/>
        </w:rPr>
        <w:t>strednodobom</w:t>
      </w:r>
      <w:r w:rsidR="00C60340">
        <w:rPr>
          <w:rFonts w:ascii="Times New Roman" w:hAnsi="Times New Roman"/>
          <w:noProof/>
          <w:sz w:val="24"/>
          <w:szCs w:val="24"/>
        </w:rPr>
        <w:t xml:space="preserve"> a </w:t>
      </w:r>
      <w:r w:rsidRPr="00C60340">
        <w:rPr>
          <w:rFonts w:ascii="Times New Roman" w:hAnsi="Times New Roman"/>
          <w:noProof/>
          <w:sz w:val="24"/>
          <w:szCs w:val="24"/>
        </w:rPr>
        <w:t>dlhodobom horizonte.</w:t>
      </w:r>
    </w:p>
    <w:p w14:paraId="2C540663" w14:textId="1876E982" w:rsidR="008A6489" w:rsidRPr="00C60340" w:rsidRDefault="008A6489"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Zároveň hrozí, že nárast počtu prípadov</w:t>
      </w:r>
      <w:r w:rsidR="00C60340">
        <w:rPr>
          <w:rFonts w:ascii="Times New Roman" w:hAnsi="Times New Roman"/>
          <w:noProof/>
          <w:sz w:val="24"/>
          <w:szCs w:val="24"/>
        </w:rPr>
        <w:t xml:space="preserve"> v </w:t>
      </w:r>
      <w:r w:rsidRPr="00C60340">
        <w:rPr>
          <w:rFonts w:ascii="Times New Roman" w:hAnsi="Times New Roman"/>
          <w:noProof/>
          <w:sz w:val="24"/>
          <w:szCs w:val="24"/>
        </w:rPr>
        <w:t xml:space="preserve">niektorých členských štátoch vráti ich systémy zdravotnej starostlivosti späť do krízového režimu. </w:t>
      </w:r>
      <w:r w:rsidRPr="00C60340">
        <w:rPr>
          <w:rFonts w:ascii="Times New Roman" w:hAnsi="Times New Roman"/>
          <w:b/>
          <w:i/>
          <w:noProof/>
          <w:sz w:val="24"/>
          <w:szCs w:val="24"/>
        </w:rPr>
        <w:t>Mechanizmus Únie</w:t>
      </w:r>
      <w:r w:rsidR="00C60340">
        <w:rPr>
          <w:rFonts w:ascii="Times New Roman" w:hAnsi="Times New Roman"/>
          <w:b/>
          <w:i/>
          <w:noProof/>
          <w:sz w:val="24"/>
          <w:szCs w:val="24"/>
        </w:rPr>
        <w:t xml:space="preserve"> v </w:t>
      </w:r>
      <w:r w:rsidRPr="00C60340">
        <w:rPr>
          <w:rFonts w:ascii="Times New Roman" w:hAnsi="Times New Roman"/>
          <w:b/>
          <w:i/>
          <w:noProof/>
          <w:sz w:val="24"/>
          <w:szCs w:val="24"/>
        </w:rPr>
        <w:t>oblasti civilnej ochrany</w:t>
      </w:r>
      <w:r w:rsidRPr="00C60340">
        <w:rPr>
          <w:rFonts w:ascii="Times New Roman" w:hAnsi="Times New Roman"/>
          <w:noProof/>
          <w:sz w:val="24"/>
          <w:szCs w:val="24"/>
        </w:rPr>
        <w:t xml:space="preserve"> je naďalej</w:t>
      </w:r>
      <w:r w:rsidR="00C60340">
        <w:rPr>
          <w:rFonts w:ascii="Times New Roman" w:hAnsi="Times New Roman"/>
          <w:noProof/>
          <w:sz w:val="24"/>
          <w:szCs w:val="24"/>
        </w:rPr>
        <w:t xml:space="preserve"> k </w:t>
      </w:r>
      <w:r w:rsidRPr="00C60340">
        <w:rPr>
          <w:rFonts w:ascii="Times New Roman" w:hAnsi="Times New Roman"/>
          <w:noProof/>
          <w:sz w:val="24"/>
          <w:szCs w:val="24"/>
        </w:rPr>
        <w:t>dispozícii, aby menej postihnuté členské štáty povzbudil</w:t>
      </w:r>
      <w:r w:rsidR="00C60340">
        <w:rPr>
          <w:rFonts w:ascii="Times New Roman" w:hAnsi="Times New Roman"/>
          <w:noProof/>
          <w:sz w:val="24"/>
          <w:szCs w:val="24"/>
        </w:rPr>
        <w:t xml:space="preserve"> k </w:t>
      </w:r>
      <w:r w:rsidRPr="00C60340">
        <w:rPr>
          <w:rFonts w:ascii="Times New Roman" w:hAnsi="Times New Roman"/>
          <w:noProof/>
          <w:sz w:val="24"/>
          <w:szCs w:val="24"/>
        </w:rPr>
        <w:t>podpore tých, ktoré sú vystavené najväčšiemu tlaku. Od začiatku októbra Koordinačné centrum pre reakcie na núdzové situácie uľahčuje poskytovanie okamžitej pomoci na záchranu života</w:t>
      </w:r>
      <w:r w:rsidR="00C60340">
        <w:rPr>
          <w:rFonts w:ascii="Times New Roman" w:hAnsi="Times New Roman"/>
          <w:noProof/>
          <w:sz w:val="24"/>
          <w:szCs w:val="24"/>
        </w:rPr>
        <w:t xml:space="preserve"> z </w:t>
      </w:r>
      <w:r w:rsidRPr="00C60340">
        <w:rPr>
          <w:rFonts w:ascii="Times New Roman" w:hAnsi="Times New Roman"/>
          <w:noProof/>
          <w:sz w:val="24"/>
          <w:szCs w:val="24"/>
        </w:rPr>
        <w:t>viacerých členských štátov</w:t>
      </w:r>
      <w:r w:rsidRPr="00C60340">
        <w:rPr>
          <w:rStyle w:val="FootnoteReference"/>
          <w:rFonts w:ascii="Times New Roman" w:hAnsi="Times New Roman" w:cs="Times New Roman"/>
          <w:noProof/>
          <w:sz w:val="24"/>
          <w:szCs w:val="24"/>
        </w:rPr>
        <w:footnoteReference w:id="6"/>
      </w:r>
      <w:r w:rsidRPr="00C60340">
        <w:rPr>
          <w:rFonts w:ascii="Times New Roman" w:hAnsi="Times New Roman"/>
          <w:noProof/>
          <w:sz w:val="24"/>
          <w:szCs w:val="24"/>
        </w:rPr>
        <w:t xml:space="preserve"> do Rumunska</w:t>
      </w:r>
      <w:r w:rsidR="00C60340">
        <w:rPr>
          <w:rFonts w:ascii="Times New Roman" w:hAnsi="Times New Roman"/>
          <w:noProof/>
          <w:sz w:val="24"/>
          <w:szCs w:val="24"/>
        </w:rPr>
        <w:t xml:space="preserve"> a </w:t>
      </w:r>
      <w:r w:rsidRPr="00C60340">
        <w:rPr>
          <w:rFonts w:ascii="Times New Roman" w:hAnsi="Times New Roman"/>
          <w:noProof/>
          <w:sz w:val="24"/>
          <w:szCs w:val="24"/>
        </w:rPr>
        <w:t>Lotyšska.</w:t>
      </w:r>
    </w:p>
    <w:p w14:paraId="2E85DB7C" w14:textId="77777777" w:rsidR="00FC147D" w:rsidRPr="00C60340" w:rsidRDefault="00FC147D" w:rsidP="001378BC">
      <w:pPr>
        <w:spacing w:after="120" w:line="240" w:lineRule="auto"/>
        <w:jc w:val="both"/>
        <w:rPr>
          <w:rFonts w:ascii="Times New Roman" w:hAnsi="Times New Roman" w:cs="Times New Roman"/>
          <w:b/>
          <w:i/>
          <w:noProof/>
          <w:sz w:val="24"/>
          <w:szCs w:val="24"/>
        </w:rPr>
      </w:pPr>
      <w:r w:rsidRPr="00C60340">
        <w:rPr>
          <w:rFonts w:ascii="Times New Roman" w:hAnsi="Times New Roman"/>
          <w:b/>
          <w:i/>
          <w:noProof/>
          <w:sz w:val="24"/>
          <w:szCs w:val="24"/>
        </w:rPr>
        <w:t>Preventívne opatrenia</w:t>
      </w:r>
    </w:p>
    <w:p w14:paraId="1020E7F2" w14:textId="13C79083" w:rsidR="00C60340" w:rsidRPr="00C60340" w:rsidRDefault="00356D2C" w:rsidP="001378BC">
      <w:pPr>
        <w:spacing w:after="120" w:line="240" w:lineRule="auto"/>
        <w:jc w:val="both"/>
        <w:rPr>
          <w:rFonts w:ascii="Times New Roman" w:hAnsi="Times New Roman"/>
          <w:noProof/>
          <w:spacing w:val="-4"/>
          <w:sz w:val="24"/>
          <w:szCs w:val="24"/>
        </w:rPr>
      </w:pPr>
      <w:r w:rsidRPr="00C60340">
        <w:rPr>
          <w:rFonts w:ascii="Times New Roman" w:hAnsi="Times New Roman"/>
          <w:noProof/>
          <w:spacing w:val="-4"/>
          <w:sz w:val="24"/>
          <w:szCs w:val="24"/>
        </w:rPr>
        <w:t>Každodenné správanie je podstatným prvkom boja proti vírusu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malo by zostať normou. Patrí sem samozrejme používanie ochranných rúšok</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uzavretých</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rizikových priestoroch, vyhýbanie sa vysokorizikovým zhromaždeniam, fyzický odstup</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riadne vetranie uzavretých priestorov</w:t>
      </w:r>
      <w:r w:rsidR="00C60340" w:rsidRPr="00C60340">
        <w:rPr>
          <w:rFonts w:ascii="Times New Roman" w:hAnsi="Times New Roman"/>
          <w:noProof/>
          <w:spacing w:val="-4"/>
          <w:sz w:val="24"/>
          <w:szCs w:val="24"/>
        </w:rPr>
        <w:t>.</w:t>
      </w:r>
    </w:p>
    <w:p w14:paraId="59DBF701" w14:textId="3B3F4E46" w:rsidR="0007266B" w:rsidRPr="00C60340" w:rsidRDefault="00142A78" w:rsidP="001378BC">
      <w:pPr>
        <w:spacing w:after="120" w:line="240" w:lineRule="auto"/>
        <w:jc w:val="both"/>
        <w:rPr>
          <w:rFonts w:ascii="Times New Roman" w:hAnsi="Times New Roman" w:cs="Times New Roman"/>
          <w:noProof/>
          <w:spacing w:val="-4"/>
          <w:sz w:val="24"/>
          <w:szCs w:val="24"/>
        </w:rPr>
      </w:pPr>
      <w:r w:rsidRPr="00C60340">
        <w:rPr>
          <w:rFonts w:ascii="Times New Roman" w:hAnsi="Times New Roman"/>
          <w:noProof/>
          <w:spacing w:val="-4"/>
          <w:sz w:val="24"/>
          <w:szCs w:val="24"/>
        </w:rPr>
        <w:t>Skutočnosť je totiž taká, že pri väčšom šírení vírusu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riziku, že sa</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 xml:space="preserve">variantom omikron bude šíriť ešte viac, budú potrebné aj ďalšie </w:t>
      </w:r>
      <w:r w:rsidRPr="00C60340">
        <w:rPr>
          <w:rFonts w:ascii="Times New Roman" w:hAnsi="Times New Roman"/>
          <w:b/>
          <w:i/>
          <w:noProof/>
          <w:spacing w:val="-4"/>
          <w:sz w:val="24"/>
          <w:szCs w:val="24"/>
        </w:rPr>
        <w:t>preventívne opatrenia</w:t>
      </w:r>
      <w:r w:rsidRPr="00C60340">
        <w:rPr>
          <w:rFonts w:ascii="Times New Roman" w:hAnsi="Times New Roman"/>
          <w:noProof/>
          <w:spacing w:val="-4"/>
          <w:sz w:val="24"/>
          <w:szCs w:val="24"/>
        </w:rPr>
        <w:t xml:space="preserve"> na obmedzenie rizík kontaktu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nákazy. Očkovanie samotné na potlačenie vírusu nestačí. Skúsenosti získané od začiatku pandémie ukazujú, že takéto opatrenia sú nevyhnutnou súčasťou boja proti šíreniu vírusu. Medzi faktory úspechu patrí rázne rozhodovanie, dobrá komunikácia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komunitná angažovanosť. Rovnako ako počas pandémie budú musieť orgány nájsť správnu rovnováhu, aby boli takéto obmedzenia včasné, účinné, ale aj primerané: slobody jednotlivcov by sa nemali obmedzovať, ak to významne neprispieva</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zníženiu vplyvu vírusu. Takisto treba</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predchádzajúcich skúseností</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uplatňovaním týchto obmedzení vyvodiť ponaučenia – napríklad obrovský vplyv zatvorenia škôl, univerzít</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vysokých škôl na duševné zdravie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študijné výsledky detí</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mladých ľudí. Čakať</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uplatnením zásadných krokov príliš dlho ale rovnako znamená, že potom budú nutné radikálnejšie opatrenia. Opatrenia, ako je zlepšiť hygienu alebo ostať doma, ak sa prejavia symptómy, sa môžu pre spoločnosť stať dlhodobo normou.</w:t>
      </w:r>
    </w:p>
    <w:p w14:paraId="669FCA56" w14:textId="5D16951E" w:rsidR="006F1645" w:rsidRPr="00C60340" w:rsidRDefault="00637446"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Ako rastie podiel obyvateľstva, ktoré je zaočkované</w:t>
      </w:r>
      <w:r w:rsidR="00C60340">
        <w:rPr>
          <w:rFonts w:ascii="Times New Roman" w:hAnsi="Times New Roman"/>
          <w:noProof/>
          <w:sz w:val="24"/>
          <w:szCs w:val="24"/>
        </w:rPr>
        <w:t xml:space="preserve"> a v </w:t>
      </w:r>
      <w:r w:rsidRPr="00C60340">
        <w:rPr>
          <w:rFonts w:ascii="Times New Roman" w:hAnsi="Times New Roman"/>
          <w:noProof/>
          <w:sz w:val="24"/>
          <w:szCs w:val="24"/>
        </w:rPr>
        <w:t>súčasnosti dostáva posilňovaciu dávku, obmedzenia sa čoraz viac posúvajú</w:t>
      </w:r>
      <w:r w:rsidR="00C60340">
        <w:rPr>
          <w:rFonts w:ascii="Times New Roman" w:hAnsi="Times New Roman"/>
          <w:noProof/>
          <w:sz w:val="24"/>
          <w:szCs w:val="24"/>
        </w:rPr>
        <w:t xml:space="preserve"> z </w:t>
      </w:r>
      <w:r w:rsidRPr="00C60340">
        <w:rPr>
          <w:rFonts w:ascii="Times New Roman" w:hAnsi="Times New Roman"/>
          <w:noProof/>
          <w:sz w:val="24"/>
          <w:szCs w:val="24"/>
        </w:rPr>
        <w:t>opatrení pre celé obyvateľstvo na opatrenia, ktoré zohľadňujú tak individuálne okolnosti, ako aj riziko, že by daný jednotlivec mohol situáciu zhoršiť. Opatrenia, ako napríklad požiadavka, aby sa osoby pracujúce</w:t>
      </w:r>
      <w:r w:rsidR="00C60340">
        <w:rPr>
          <w:rFonts w:ascii="Times New Roman" w:hAnsi="Times New Roman"/>
          <w:noProof/>
          <w:sz w:val="24"/>
          <w:szCs w:val="24"/>
        </w:rPr>
        <w:t xml:space="preserve"> v </w:t>
      </w:r>
      <w:r w:rsidRPr="00C60340">
        <w:rPr>
          <w:rFonts w:ascii="Times New Roman" w:hAnsi="Times New Roman"/>
          <w:noProof/>
          <w:sz w:val="24"/>
          <w:szCs w:val="24"/>
        </w:rPr>
        <w:t>prostredí so zraniteľnými ľuďmi zaočkovali, sú logickou reakciou na súčasnú realitu.</w:t>
      </w:r>
    </w:p>
    <w:p w14:paraId="1B223171" w14:textId="7589480E" w:rsidR="001D5919" w:rsidRPr="00C60340" w:rsidRDefault="001D5919" w:rsidP="001378BC">
      <w:pPr>
        <w:spacing w:after="120" w:line="240" w:lineRule="auto"/>
        <w:jc w:val="both"/>
        <w:rPr>
          <w:rFonts w:ascii="Times New Roman" w:hAnsi="Times New Roman" w:cs="Times New Roman"/>
          <w:b/>
          <w:i/>
          <w:noProof/>
          <w:sz w:val="24"/>
          <w:szCs w:val="24"/>
        </w:rPr>
      </w:pPr>
      <w:r w:rsidRPr="00C60340">
        <w:rPr>
          <w:rFonts w:ascii="Times New Roman" w:hAnsi="Times New Roman"/>
          <w:b/>
          <w:i/>
          <w:noProof/>
          <w:sz w:val="24"/>
          <w:szCs w:val="24"/>
        </w:rPr>
        <w:t>Súbor nástrojov na monitorovanie</w:t>
      </w:r>
      <w:r w:rsidR="00C60340">
        <w:rPr>
          <w:rFonts w:ascii="Times New Roman" w:hAnsi="Times New Roman"/>
          <w:b/>
          <w:i/>
          <w:noProof/>
          <w:sz w:val="24"/>
          <w:szCs w:val="24"/>
        </w:rPr>
        <w:t xml:space="preserve"> a </w:t>
      </w:r>
      <w:r w:rsidRPr="00C60340">
        <w:rPr>
          <w:rFonts w:ascii="Times New Roman" w:hAnsi="Times New Roman"/>
          <w:b/>
          <w:i/>
          <w:noProof/>
          <w:sz w:val="24"/>
          <w:szCs w:val="24"/>
        </w:rPr>
        <w:t>riadenie situácie</w:t>
      </w:r>
    </w:p>
    <w:p w14:paraId="0C381BCA" w14:textId="337A0459" w:rsidR="00C60340" w:rsidRDefault="00414B20"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Zároveň</w:t>
      </w:r>
      <w:r w:rsidR="00C60340">
        <w:rPr>
          <w:rFonts w:ascii="Times New Roman" w:hAnsi="Times New Roman"/>
          <w:noProof/>
          <w:sz w:val="24"/>
          <w:szCs w:val="24"/>
        </w:rPr>
        <w:t xml:space="preserve"> s </w:t>
      </w:r>
      <w:r w:rsidRPr="00C60340">
        <w:rPr>
          <w:rFonts w:ascii="Times New Roman" w:hAnsi="Times New Roman"/>
          <w:noProof/>
          <w:sz w:val="24"/>
          <w:szCs w:val="24"/>
        </w:rPr>
        <w:t>týmto požiadavkami by členské štáty mali naďalej využívať nástroje na uľahčenie každodenného života, ktoré majú</w:t>
      </w:r>
      <w:r w:rsidR="00C60340">
        <w:rPr>
          <w:rFonts w:ascii="Times New Roman" w:hAnsi="Times New Roman"/>
          <w:noProof/>
          <w:sz w:val="24"/>
          <w:szCs w:val="24"/>
        </w:rPr>
        <w:t xml:space="preserve"> k </w:t>
      </w:r>
      <w:r w:rsidRPr="00C60340">
        <w:rPr>
          <w:rFonts w:ascii="Times New Roman" w:hAnsi="Times New Roman"/>
          <w:noProof/>
          <w:sz w:val="24"/>
          <w:szCs w:val="24"/>
        </w:rPr>
        <w:t>dispozícii. Dostupné</w:t>
      </w:r>
      <w:r w:rsidR="00C60340">
        <w:rPr>
          <w:rFonts w:ascii="Times New Roman" w:hAnsi="Times New Roman"/>
          <w:noProof/>
          <w:sz w:val="24"/>
          <w:szCs w:val="24"/>
        </w:rPr>
        <w:t xml:space="preserve"> a </w:t>
      </w:r>
      <w:r w:rsidRPr="00C60340">
        <w:rPr>
          <w:rFonts w:ascii="Times New Roman" w:hAnsi="Times New Roman"/>
          <w:noProof/>
          <w:sz w:val="24"/>
          <w:szCs w:val="24"/>
        </w:rPr>
        <w:t xml:space="preserve">prístupné </w:t>
      </w:r>
      <w:r w:rsidRPr="00C60340">
        <w:rPr>
          <w:rFonts w:ascii="Times New Roman" w:hAnsi="Times New Roman"/>
          <w:b/>
          <w:i/>
          <w:noProof/>
          <w:sz w:val="24"/>
          <w:szCs w:val="24"/>
        </w:rPr>
        <w:t>testovanie</w:t>
      </w:r>
      <w:r w:rsidRPr="00C60340">
        <w:rPr>
          <w:rFonts w:ascii="Times New Roman" w:hAnsi="Times New Roman"/>
          <w:noProof/>
          <w:sz w:val="24"/>
          <w:szCs w:val="24"/>
        </w:rPr>
        <w:t xml:space="preserve"> zostane nenahraditeľným nástrojom na riadenie</w:t>
      </w:r>
      <w:r w:rsidR="00C60340">
        <w:rPr>
          <w:rFonts w:ascii="Times New Roman" w:hAnsi="Times New Roman"/>
          <w:noProof/>
          <w:sz w:val="24"/>
          <w:szCs w:val="24"/>
        </w:rPr>
        <w:t xml:space="preserve"> a </w:t>
      </w:r>
      <w:r w:rsidRPr="00C60340">
        <w:rPr>
          <w:rFonts w:ascii="Times New Roman" w:hAnsi="Times New Roman"/>
          <w:noProof/>
          <w:sz w:val="24"/>
          <w:szCs w:val="24"/>
        </w:rPr>
        <w:t>kontrolu pandémie</w:t>
      </w:r>
      <w:r w:rsidR="00C60340">
        <w:rPr>
          <w:rFonts w:ascii="Times New Roman" w:hAnsi="Times New Roman"/>
          <w:noProof/>
          <w:sz w:val="24"/>
          <w:szCs w:val="24"/>
        </w:rPr>
        <w:t xml:space="preserve"> a </w:t>
      </w:r>
      <w:r w:rsidRPr="00C60340">
        <w:rPr>
          <w:rFonts w:ascii="Times New Roman" w:hAnsi="Times New Roman"/>
          <w:noProof/>
          <w:sz w:val="24"/>
          <w:szCs w:val="24"/>
        </w:rPr>
        <w:t>rýchlu reakciu na šírenie ochorenia. Členské štáty musia predvídať vývoj</w:t>
      </w:r>
      <w:r w:rsidR="00C60340">
        <w:rPr>
          <w:rFonts w:ascii="Times New Roman" w:hAnsi="Times New Roman"/>
          <w:noProof/>
          <w:sz w:val="24"/>
          <w:szCs w:val="24"/>
        </w:rPr>
        <w:t xml:space="preserve"> a </w:t>
      </w:r>
      <w:r w:rsidRPr="00C60340">
        <w:rPr>
          <w:rFonts w:ascii="Times New Roman" w:hAnsi="Times New Roman"/>
          <w:noProof/>
          <w:sz w:val="24"/>
          <w:szCs w:val="24"/>
        </w:rPr>
        <w:t>zabezpečiť, že bude dostupné dostatočné testovanie na to, aby bolo možné zvládnuť náhly nárast šírenia vírusu. Stratégie testovania by mali byť cielené, mali by sa napríklad zameriavať na prostredia</w:t>
      </w:r>
      <w:r w:rsidR="00C60340">
        <w:rPr>
          <w:rFonts w:ascii="Times New Roman" w:hAnsi="Times New Roman"/>
          <w:noProof/>
          <w:sz w:val="24"/>
          <w:szCs w:val="24"/>
        </w:rPr>
        <w:t xml:space="preserve"> s </w:t>
      </w:r>
      <w:r w:rsidRPr="00C60340">
        <w:rPr>
          <w:rFonts w:ascii="Times New Roman" w:hAnsi="Times New Roman"/>
          <w:noProof/>
          <w:sz w:val="24"/>
          <w:szCs w:val="24"/>
        </w:rPr>
        <w:t>vysokorizikovými skupinami, ako sú zariadenia dlhodobej starostlivosti</w:t>
      </w:r>
      <w:r w:rsidR="00C60340">
        <w:rPr>
          <w:rFonts w:ascii="Times New Roman" w:hAnsi="Times New Roman"/>
          <w:noProof/>
          <w:sz w:val="24"/>
          <w:szCs w:val="24"/>
        </w:rPr>
        <w:t xml:space="preserve"> a </w:t>
      </w:r>
      <w:r w:rsidRPr="00C60340">
        <w:rPr>
          <w:rFonts w:ascii="Times New Roman" w:hAnsi="Times New Roman"/>
          <w:noProof/>
          <w:sz w:val="24"/>
          <w:szCs w:val="24"/>
        </w:rPr>
        <w:t>zdravotnícke zariadenia, ako aj na oblasti vysokého prenosu, ako sú školy. Mohlo by sa to kombinovať aj</w:t>
      </w:r>
      <w:r w:rsidR="00C60340">
        <w:rPr>
          <w:rFonts w:ascii="Times New Roman" w:hAnsi="Times New Roman"/>
          <w:noProof/>
          <w:sz w:val="24"/>
          <w:szCs w:val="24"/>
        </w:rPr>
        <w:t xml:space="preserve"> s </w:t>
      </w:r>
      <w:r w:rsidRPr="00C60340">
        <w:rPr>
          <w:rFonts w:ascii="Times New Roman" w:hAnsi="Times New Roman"/>
          <w:noProof/>
          <w:sz w:val="24"/>
          <w:szCs w:val="24"/>
        </w:rPr>
        <w:t>testovaním na iné cirkulujúce vírusy, napríklad chrípku. Takisto by sa malo pokračovať</w:t>
      </w:r>
      <w:r w:rsidR="00C60340">
        <w:rPr>
          <w:rFonts w:ascii="Times New Roman" w:hAnsi="Times New Roman"/>
          <w:noProof/>
          <w:sz w:val="24"/>
          <w:szCs w:val="24"/>
        </w:rPr>
        <w:t xml:space="preserve"> v </w:t>
      </w:r>
      <w:r w:rsidRPr="00C60340">
        <w:rPr>
          <w:rFonts w:ascii="Times New Roman" w:hAnsi="Times New Roman"/>
          <w:noProof/>
          <w:sz w:val="24"/>
          <w:szCs w:val="24"/>
        </w:rPr>
        <w:t>úsilí</w:t>
      </w:r>
      <w:r w:rsidR="00C60340">
        <w:rPr>
          <w:rFonts w:ascii="Times New Roman" w:hAnsi="Times New Roman"/>
          <w:noProof/>
          <w:sz w:val="24"/>
          <w:szCs w:val="24"/>
        </w:rPr>
        <w:t xml:space="preserve"> o </w:t>
      </w:r>
      <w:r w:rsidRPr="00C60340">
        <w:rPr>
          <w:rFonts w:ascii="Times New Roman" w:hAnsi="Times New Roman"/>
          <w:noProof/>
          <w:sz w:val="24"/>
          <w:szCs w:val="24"/>
        </w:rPr>
        <w:t>zaistenie presnosti testovania, napríklad či je účinnosť testov ovplyvnená očkovaním</w:t>
      </w:r>
      <w:r w:rsidR="00C60340">
        <w:rPr>
          <w:rFonts w:ascii="Times New Roman" w:hAnsi="Times New Roman"/>
          <w:noProof/>
          <w:sz w:val="24"/>
          <w:szCs w:val="24"/>
        </w:rPr>
        <w:t>.</w:t>
      </w:r>
    </w:p>
    <w:p w14:paraId="0605D889" w14:textId="2019735A" w:rsidR="00C60340" w:rsidRDefault="00A55A95" w:rsidP="001378BC">
      <w:pPr>
        <w:spacing w:after="120" w:line="240" w:lineRule="auto"/>
        <w:jc w:val="both"/>
        <w:rPr>
          <w:rFonts w:ascii="Times New Roman" w:hAnsi="Times New Roman"/>
          <w:noProof/>
          <w:sz w:val="24"/>
          <w:szCs w:val="24"/>
        </w:rPr>
      </w:pPr>
      <w:r w:rsidRPr="00C60340">
        <w:rPr>
          <w:rFonts w:ascii="Times New Roman" w:hAnsi="Times New Roman"/>
          <w:b/>
          <w:i/>
          <w:noProof/>
          <w:sz w:val="24"/>
          <w:szCs w:val="24"/>
        </w:rPr>
        <w:t>Vyhľadávanie kontaktov</w:t>
      </w:r>
      <w:r w:rsidRPr="00C60340">
        <w:rPr>
          <w:rFonts w:ascii="Times New Roman" w:hAnsi="Times New Roman"/>
          <w:noProof/>
          <w:sz w:val="24"/>
          <w:szCs w:val="24"/>
        </w:rPr>
        <w:t xml:space="preserve"> zostáva súčasťou súboru nástrojov na obmedzenie opätovného výskytu ochorenia COVID-19</w:t>
      </w:r>
      <w:r w:rsidR="00C60340">
        <w:rPr>
          <w:rFonts w:ascii="Times New Roman" w:hAnsi="Times New Roman"/>
          <w:noProof/>
          <w:sz w:val="24"/>
          <w:szCs w:val="24"/>
        </w:rPr>
        <w:t xml:space="preserve"> a </w:t>
      </w:r>
      <w:r w:rsidRPr="00C60340">
        <w:rPr>
          <w:rFonts w:ascii="Times New Roman" w:hAnsi="Times New Roman"/>
          <w:noProof/>
          <w:sz w:val="24"/>
          <w:szCs w:val="24"/>
        </w:rPr>
        <w:t>členské štáty by si mali</w:t>
      </w:r>
      <w:r w:rsidR="00C60340">
        <w:rPr>
          <w:rFonts w:ascii="Times New Roman" w:hAnsi="Times New Roman"/>
          <w:noProof/>
          <w:sz w:val="24"/>
          <w:szCs w:val="24"/>
        </w:rPr>
        <w:t xml:space="preserve"> v </w:t>
      </w:r>
      <w:r w:rsidRPr="00C60340">
        <w:rPr>
          <w:rFonts w:ascii="Times New Roman" w:hAnsi="Times New Roman"/>
          <w:noProof/>
          <w:sz w:val="24"/>
          <w:szCs w:val="24"/>
        </w:rPr>
        <w:t>tejto oblasti zachovať dostatočnú kapacitu. Aplikácie na sledovanie kontaktov</w:t>
      </w:r>
      <w:r w:rsidR="00C60340">
        <w:rPr>
          <w:rFonts w:ascii="Times New Roman" w:hAnsi="Times New Roman"/>
          <w:noProof/>
          <w:sz w:val="24"/>
          <w:szCs w:val="24"/>
        </w:rPr>
        <w:t xml:space="preserve"> a </w:t>
      </w:r>
      <w:r w:rsidRPr="00C60340">
        <w:rPr>
          <w:rFonts w:ascii="Times New Roman" w:hAnsi="Times New Roman"/>
          <w:noProof/>
          <w:sz w:val="24"/>
          <w:szCs w:val="24"/>
        </w:rPr>
        <w:t>zasielanie výstrah, ako doplnok</w:t>
      </w:r>
      <w:r w:rsidR="00C60340">
        <w:rPr>
          <w:rFonts w:ascii="Times New Roman" w:hAnsi="Times New Roman"/>
          <w:noProof/>
          <w:sz w:val="24"/>
          <w:szCs w:val="24"/>
        </w:rPr>
        <w:t xml:space="preserve"> k </w:t>
      </w:r>
      <w:r w:rsidRPr="00C60340">
        <w:rPr>
          <w:rFonts w:ascii="Times New Roman" w:hAnsi="Times New Roman"/>
          <w:noProof/>
          <w:sz w:val="24"/>
          <w:szCs w:val="24"/>
        </w:rPr>
        <w:t>existujúcemu manuálnemu vyhľadávaniu kontaktov, môžu takisto naďalej zohrávať významnú úlohu pri prerušení infekčnej reťaze,</w:t>
      </w:r>
      <w:r w:rsidR="00C60340">
        <w:rPr>
          <w:rFonts w:ascii="Times New Roman" w:hAnsi="Times New Roman"/>
          <w:noProof/>
          <w:sz w:val="24"/>
          <w:szCs w:val="24"/>
        </w:rPr>
        <w:t xml:space="preserve"> a </w:t>
      </w:r>
      <w:r w:rsidRPr="00C60340">
        <w:rPr>
          <w:rFonts w:ascii="Times New Roman" w:hAnsi="Times New Roman"/>
          <w:noProof/>
          <w:sz w:val="24"/>
          <w:szCs w:val="24"/>
        </w:rPr>
        <w:t>to na vnútroštátnej aj cezhraničnej úrovni,</w:t>
      </w:r>
      <w:r w:rsidR="00C60340">
        <w:rPr>
          <w:rFonts w:ascii="Times New Roman" w:hAnsi="Times New Roman"/>
          <w:noProof/>
          <w:sz w:val="24"/>
          <w:szCs w:val="24"/>
        </w:rPr>
        <w:t xml:space="preserve"> a </w:t>
      </w:r>
      <w:r w:rsidRPr="00C60340">
        <w:rPr>
          <w:rFonts w:ascii="Times New Roman" w:hAnsi="Times New Roman"/>
          <w:noProof/>
          <w:sz w:val="24"/>
          <w:szCs w:val="24"/>
        </w:rPr>
        <w:t>prispievať tak</w:t>
      </w:r>
      <w:r w:rsidR="00C60340">
        <w:rPr>
          <w:rFonts w:ascii="Times New Roman" w:hAnsi="Times New Roman"/>
          <w:noProof/>
          <w:sz w:val="24"/>
          <w:szCs w:val="24"/>
        </w:rPr>
        <w:t xml:space="preserve"> k </w:t>
      </w:r>
      <w:r w:rsidRPr="00C60340">
        <w:rPr>
          <w:rFonts w:ascii="Times New Roman" w:hAnsi="Times New Roman"/>
          <w:noProof/>
          <w:sz w:val="24"/>
          <w:szCs w:val="24"/>
        </w:rPr>
        <w:t>záchrane životov.</w:t>
      </w:r>
      <w:r w:rsidR="00C60340">
        <w:rPr>
          <w:rFonts w:ascii="Times New Roman" w:hAnsi="Times New Roman"/>
          <w:noProof/>
          <w:sz w:val="24"/>
          <w:szCs w:val="24"/>
        </w:rPr>
        <w:t xml:space="preserve"> K </w:t>
      </w:r>
      <w:r w:rsidRPr="00C60340">
        <w:rPr>
          <w:rFonts w:ascii="Times New Roman" w:hAnsi="Times New Roman"/>
          <w:noProof/>
          <w:sz w:val="24"/>
          <w:szCs w:val="24"/>
        </w:rPr>
        <w:t>dnešnému dňu má aplikáciu na sledovanie kontaktov</w:t>
      </w:r>
      <w:r w:rsidR="00C60340">
        <w:rPr>
          <w:rFonts w:ascii="Times New Roman" w:hAnsi="Times New Roman"/>
          <w:noProof/>
          <w:sz w:val="24"/>
          <w:szCs w:val="24"/>
        </w:rPr>
        <w:t xml:space="preserve"> a </w:t>
      </w:r>
      <w:r w:rsidRPr="00C60340">
        <w:rPr>
          <w:rFonts w:ascii="Times New Roman" w:hAnsi="Times New Roman"/>
          <w:noProof/>
          <w:sz w:val="24"/>
          <w:szCs w:val="24"/>
        </w:rPr>
        <w:t>zasielanie výstrah 21 krajín EÚ/EHP, pričom 18</w:t>
      </w:r>
      <w:r w:rsidR="00C60340">
        <w:rPr>
          <w:rFonts w:ascii="Times New Roman" w:hAnsi="Times New Roman"/>
          <w:noProof/>
          <w:sz w:val="24"/>
          <w:szCs w:val="24"/>
        </w:rPr>
        <w:t xml:space="preserve"> z </w:t>
      </w:r>
      <w:r w:rsidRPr="00C60340">
        <w:rPr>
          <w:rFonts w:ascii="Times New Roman" w:hAnsi="Times New Roman"/>
          <w:noProof/>
          <w:sz w:val="24"/>
          <w:szCs w:val="24"/>
        </w:rPr>
        <w:t>nich je pripojených prostredníctvom Európskej federačnej brány, čo ľuďom umožňuje používať ich aplikáciu aj po prekročení hraníc. Všetkým členským štátom sa odporúča, aby sa zapojili</w:t>
      </w:r>
      <w:r w:rsidR="00C60340">
        <w:rPr>
          <w:rFonts w:ascii="Times New Roman" w:hAnsi="Times New Roman"/>
          <w:noProof/>
          <w:sz w:val="24"/>
          <w:szCs w:val="24"/>
        </w:rPr>
        <w:t>.</w:t>
      </w:r>
    </w:p>
    <w:p w14:paraId="67125463" w14:textId="77777777" w:rsidR="00C60340" w:rsidRPr="00C60340" w:rsidRDefault="00A126F2" w:rsidP="001378BC">
      <w:pPr>
        <w:spacing w:after="120" w:line="240" w:lineRule="auto"/>
        <w:jc w:val="both"/>
        <w:rPr>
          <w:rFonts w:ascii="Times New Roman" w:hAnsi="Times New Roman"/>
          <w:noProof/>
          <w:spacing w:val="-4"/>
          <w:sz w:val="24"/>
          <w:szCs w:val="24"/>
        </w:rPr>
      </w:pPr>
      <w:r w:rsidRPr="00C60340">
        <w:rPr>
          <w:rFonts w:ascii="Times New Roman" w:hAnsi="Times New Roman"/>
          <w:b/>
          <w:i/>
          <w:noProof/>
          <w:spacing w:val="-4"/>
          <w:sz w:val="24"/>
          <w:szCs w:val="24"/>
        </w:rPr>
        <w:t>Digitálny COVID preukaz EÚ</w:t>
      </w:r>
      <w:r w:rsidRPr="00C60340">
        <w:rPr>
          <w:rFonts w:ascii="Times New Roman" w:hAnsi="Times New Roman"/>
          <w:noProof/>
          <w:spacing w:val="-4"/>
          <w:sz w:val="24"/>
          <w:szCs w:val="24"/>
        </w:rPr>
        <w:t>, ktorý bol navrhnutý, schválený</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implementovaný bezprecedentnou rýchlosťou, je kľúčovým faktorom umožňujúcim obnovu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pre členské štáty</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občanov sa osvedčil ako neoceniteľný nástroj, ktorý umožňuje cezhraničný pohyb občanov EÚ</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prispieva</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tomu, aby sociálna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hospodárska činnosť pokračovali</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minimálnom narušením. Členské štáty EÚ doteraz vydali vyše 650 miliónov digitálnych COVID preukazov EÚ.</w:t>
      </w:r>
      <w:r w:rsidRPr="00C60340">
        <w:rPr>
          <w:rFonts w:ascii="Times New Roman" w:hAnsi="Times New Roman" w:cs="Times New Roman"/>
          <w:noProof/>
          <w:spacing w:val="-4"/>
          <w:sz w:val="24"/>
          <w:szCs w:val="24"/>
          <w:vertAlign w:val="superscript"/>
        </w:rPr>
        <w:footnoteReference w:id="7"/>
      </w:r>
    </w:p>
    <w:p w14:paraId="3EBF3F52" w14:textId="052B3EBC" w:rsidR="00873797" w:rsidRPr="00C60340" w:rsidRDefault="00873797"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Úspešná</w:t>
      </w:r>
      <w:r w:rsidR="00C60340">
        <w:rPr>
          <w:rFonts w:ascii="Times New Roman" w:hAnsi="Times New Roman"/>
          <w:noProof/>
          <w:sz w:val="24"/>
          <w:szCs w:val="24"/>
        </w:rPr>
        <w:t xml:space="preserve"> a </w:t>
      </w:r>
      <w:r w:rsidRPr="00C60340">
        <w:rPr>
          <w:rFonts w:ascii="Times New Roman" w:hAnsi="Times New Roman"/>
          <w:noProof/>
          <w:sz w:val="24"/>
          <w:szCs w:val="24"/>
        </w:rPr>
        <w:t>rozsiahla implementácia digitálneho COVID preukazu EÚ takisto umožňuje revidovaný prístup</w:t>
      </w:r>
      <w:r w:rsidR="00C60340">
        <w:rPr>
          <w:rFonts w:ascii="Times New Roman" w:hAnsi="Times New Roman"/>
          <w:noProof/>
          <w:sz w:val="24"/>
          <w:szCs w:val="24"/>
        </w:rPr>
        <w:t xml:space="preserve"> k </w:t>
      </w:r>
      <w:r w:rsidRPr="00C60340">
        <w:rPr>
          <w:rFonts w:ascii="Times New Roman" w:hAnsi="Times New Roman"/>
          <w:b/>
          <w:i/>
          <w:noProof/>
          <w:sz w:val="24"/>
          <w:szCs w:val="24"/>
        </w:rPr>
        <w:t>voľnému pohybu</w:t>
      </w:r>
      <w:r w:rsidR="00C60340">
        <w:rPr>
          <w:rFonts w:ascii="Times New Roman" w:hAnsi="Times New Roman"/>
          <w:b/>
          <w:i/>
          <w:noProof/>
          <w:sz w:val="24"/>
          <w:szCs w:val="24"/>
        </w:rPr>
        <w:t xml:space="preserve"> v </w:t>
      </w:r>
      <w:r w:rsidRPr="00C60340">
        <w:rPr>
          <w:rFonts w:ascii="Times New Roman" w:hAnsi="Times New Roman"/>
          <w:b/>
          <w:i/>
          <w:noProof/>
          <w:sz w:val="24"/>
          <w:szCs w:val="24"/>
        </w:rPr>
        <w:t>rámci EÚ</w:t>
      </w:r>
      <w:r w:rsidRPr="00C60340">
        <w:rPr>
          <w:rFonts w:ascii="Times New Roman" w:hAnsi="Times New Roman"/>
          <w:noProof/>
          <w:sz w:val="24"/>
          <w:szCs w:val="24"/>
        </w:rPr>
        <w:t>. Komisia preto predložila návrh nového odporúčania Rady</w:t>
      </w:r>
      <w:r w:rsidR="00C60340">
        <w:rPr>
          <w:rFonts w:ascii="Times New Roman" w:hAnsi="Times New Roman"/>
          <w:noProof/>
          <w:sz w:val="24"/>
          <w:szCs w:val="24"/>
        </w:rPr>
        <w:t xml:space="preserve"> o </w:t>
      </w:r>
      <w:r w:rsidRPr="00C60340">
        <w:rPr>
          <w:rFonts w:ascii="Times New Roman" w:hAnsi="Times New Roman"/>
          <w:noProof/>
          <w:sz w:val="24"/>
          <w:szCs w:val="24"/>
        </w:rPr>
        <w:t>koordinovanom prístupe na uľahčenie bezpečného voľného pohybu počas pandémie COVID-19</w:t>
      </w:r>
      <w:r w:rsidRPr="00C60340">
        <w:rPr>
          <w:rStyle w:val="FootnoteReference"/>
          <w:rFonts w:ascii="Times New Roman" w:hAnsi="Times New Roman" w:cs="Times New Roman"/>
          <w:noProof/>
          <w:sz w:val="24"/>
          <w:szCs w:val="24"/>
        </w:rPr>
        <w:footnoteReference w:id="8"/>
      </w:r>
      <w:r w:rsidRPr="00C60340">
        <w:rPr>
          <w:rFonts w:ascii="Times New Roman" w:hAnsi="Times New Roman"/>
          <w:noProof/>
        </w:rPr>
        <w:t>.</w:t>
      </w:r>
      <w:r w:rsidRPr="00C60340">
        <w:rPr>
          <w:rFonts w:ascii="Times New Roman" w:hAnsi="Times New Roman"/>
          <w:noProof/>
          <w:sz w:val="24"/>
          <w:szCs w:val="24"/>
        </w:rPr>
        <w:t xml:space="preserve"> Vytyčuje sa</w:t>
      </w:r>
      <w:r w:rsidR="00C60340">
        <w:rPr>
          <w:rFonts w:ascii="Times New Roman" w:hAnsi="Times New Roman"/>
          <w:noProof/>
          <w:sz w:val="24"/>
          <w:szCs w:val="24"/>
        </w:rPr>
        <w:t xml:space="preserve"> v </w:t>
      </w:r>
      <w:r w:rsidRPr="00C60340">
        <w:rPr>
          <w:rFonts w:ascii="Times New Roman" w:hAnsi="Times New Roman"/>
          <w:noProof/>
          <w:sz w:val="24"/>
          <w:szCs w:val="24"/>
        </w:rPr>
        <w:t>ňom nový prístup založený na osvedčení, aby cestujúci</w:t>
      </w:r>
      <w:r w:rsidR="00C60340">
        <w:rPr>
          <w:rFonts w:ascii="Times New Roman" w:hAnsi="Times New Roman"/>
          <w:noProof/>
          <w:sz w:val="24"/>
          <w:szCs w:val="24"/>
        </w:rPr>
        <w:t xml:space="preserve"> s </w:t>
      </w:r>
      <w:r w:rsidRPr="00C60340">
        <w:rPr>
          <w:rFonts w:ascii="Times New Roman" w:hAnsi="Times New Roman"/>
          <w:noProof/>
          <w:sz w:val="24"/>
          <w:szCs w:val="24"/>
        </w:rPr>
        <w:t>platným digitálnym COVID preukazom EÚ</w:t>
      </w:r>
      <w:r w:rsidR="00C60340">
        <w:rPr>
          <w:rFonts w:ascii="Times New Roman" w:hAnsi="Times New Roman"/>
          <w:noProof/>
          <w:sz w:val="24"/>
          <w:szCs w:val="24"/>
        </w:rPr>
        <w:t xml:space="preserve"> v </w:t>
      </w:r>
      <w:r w:rsidRPr="00C60340">
        <w:rPr>
          <w:rFonts w:ascii="Times New Roman" w:hAnsi="Times New Roman"/>
          <w:noProof/>
          <w:sz w:val="24"/>
          <w:szCs w:val="24"/>
        </w:rPr>
        <w:t>zásade nepodliehali dodatočným obmedzeniam voľného pohybu, ako sú karanténa alebo testy. Zohľadňuje sa</w:t>
      </w:r>
      <w:r w:rsidR="00C60340">
        <w:rPr>
          <w:rFonts w:ascii="Times New Roman" w:hAnsi="Times New Roman"/>
          <w:noProof/>
          <w:sz w:val="24"/>
          <w:szCs w:val="24"/>
        </w:rPr>
        <w:t xml:space="preserve"> v </w:t>
      </w:r>
      <w:r w:rsidRPr="00C60340">
        <w:rPr>
          <w:rFonts w:ascii="Times New Roman" w:hAnsi="Times New Roman"/>
          <w:noProof/>
          <w:sz w:val="24"/>
          <w:szCs w:val="24"/>
        </w:rPr>
        <w:t>ňom aj situácia, keď vírus</w:t>
      </w:r>
      <w:r w:rsidR="00C60340">
        <w:rPr>
          <w:rFonts w:ascii="Times New Roman" w:hAnsi="Times New Roman"/>
          <w:noProof/>
          <w:sz w:val="24"/>
          <w:szCs w:val="24"/>
        </w:rPr>
        <w:t xml:space="preserve"> v </w:t>
      </w:r>
      <w:r w:rsidRPr="00C60340">
        <w:rPr>
          <w:rFonts w:ascii="Times New Roman" w:hAnsi="Times New Roman"/>
          <w:noProof/>
          <w:sz w:val="24"/>
          <w:szCs w:val="24"/>
        </w:rPr>
        <w:t>niektorých oblastiach EÚ cirkuluje na veľmi vysokej úrovni</w:t>
      </w:r>
      <w:r w:rsidR="00C60340">
        <w:rPr>
          <w:rFonts w:ascii="Times New Roman" w:hAnsi="Times New Roman"/>
          <w:noProof/>
          <w:sz w:val="24"/>
          <w:szCs w:val="24"/>
        </w:rPr>
        <w:t xml:space="preserve"> a </w:t>
      </w:r>
      <w:r w:rsidRPr="00C60340">
        <w:rPr>
          <w:rFonts w:ascii="Times New Roman" w:hAnsi="Times New Roman"/>
          <w:noProof/>
          <w:sz w:val="24"/>
          <w:szCs w:val="24"/>
        </w:rPr>
        <w:t>keď by členské štáty mali odporúčať, aby sa do týchto oblastí</w:t>
      </w:r>
      <w:r w:rsidR="00C60340">
        <w:rPr>
          <w:rFonts w:ascii="Times New Roman" w:hAnsi="Times New Roman"/>
          <w:noProof/>
          <w:sz w:val="24"/>
          <w:szCs w:val="24"/>
        </w:rPr>
        <w:t xml:space="preserve"> a z </w:t>
      </w:r>
      <w:r w:rsidRPr="00C60340">
        <w:rPr>
          <w:rFonts w:ascii="Times New Roman" w:hAnsi="Times New Roman"/>
          <w:noProof/>
          <w:sz w:val="24"/>
          <w:szCs w:val="24"/>
        </w:rPr>
        <w:t>nich nevykonávali žiadne cesty, ktoré nie sú nevyhnutné. Cestujúci bez potvrdenia</w:t>
      </w:r>
      <w:r w:rsidR="00C60340">
        <w:rPr>
          <w:rFonts w:ascii="Times New Roman" w:hAnsi="Times New Roman"/>
          <w:noProof/>
          <w:sz w:val="24"/>
          <w:szCs w:val="24"/>
        </w:rPr>
        <w:t xml:space="preserve"> o </w:t>
      </w:r>
      <w:r w:rsidRPr="00C60340">
        <w:rPr>
          <w:rFonts w:ascii="Times New Roman" w:hAnsi="Times New Roman"/>
          <w:noProof/>
          <w:sz w:val="24"/>
          <w:szCs w:val="24"/>
        </w:rPr>
        <w:t>očkovaní alebo prekonaní ochorenia, ktorí prichádzajú</w:t>
      </w:r>
      <w:r w:rsidR="00C60340">
        <w:rPr>
          <w:rFonts w:ascii="Times New Roman" w:hAnsi="Times New Roman"/>
          <w:noProof/>
          <w:sz w:val="24"/>
          <w:szCs w:val="24"/>
        </w:rPr>
        <w:t xml:space="preserve"> z </w:t>
      </w:r>
      <w:r w:rsidRPr="00C60340">
        <w:rPr>
          <w:rFonts w:ascii="Times New Roman" w:hAnsi="Times New Roman"/>
          <w:noProof/>
          <w:sz w:val="24"/>
          <w:szCs w:val="24"/>
        </w:rPr>
        <w:t>takýchto vysokorizikových oblastí, by sa mali pred odchodom otestovať</w:t>
      </w:r>
      <w:r w:rsidR="00C60340">
        <w:rPr>
          <w:rFonts w:ascii="Times New Roman" w:hAnsi="Times New Roman"/>
          <w:noProof/>
          <w:sz w:val="24"/>
          <w:szCs w:val="24"/>
        </w:rPr>
        <w:t xml:space="preserve"> a </w:t>
      </w:r>
      <w:r w:rsidRPr="00C60340">
        <w:rPr>
          <w:rFonts w:ascii="Times New Roman" w:hAnsi="Times New Roman"/>
          <w:noProof/>
          <w:sz w:val="24"/>
          <w:szCs w:val="24"/>
        </w:rPr>
        <w:t>po príchode ísť do karantény/domácej izolácie. Napokon,</w:t>
      </w:r>
      <w:r w:rsidR="00C60340">
        <w:rPr>
          <w:rFonts w:ascii="Times New Roman" w:hAnsi="Times New Roman"/>
          <w:noProof/>
          <w:sz w:val="24"/>
          <w:szCs w:val="24"/>
        </w:rPr>
        <w:t xml:space="preserve"> v </w:t>
      </w:r>
      <w:r w:rsidRPr="00C60340">
        <w:rPr>
          <w:rFonts w:ascii="Times New Roman" w:hAnsi="Times New Roman"/>
          <w:noProof/>
          <w:sz w:val="24"/>
          <w:szCs w:val="24"/>
        </w:rPr>
        <w:t>návrhu sa tiež upravuje metodika</w:t>
      </w:r>
      <w:r w:rsidR="00C60340">
        <w:rPr>
          <w:rFonts w:ascii="Times New Roman" w:hAnsi="Times New Roman"/>
          <w:noProof/>
          <w:sz w:val="24"/>
          <w:szCs w:val="24"/>
        </w:rPr>
        <w:t xml:space="preserve"> a </w:t>
      </w:r>
      <w:r w:rsidRPr="00C60340">
        <w:rPr>
          <w:rFonts w:ascii="Times New Roman" w:hAnsi="Times New Roman"/>
          <w:noProof/>
          <w:sz w:val="24"/>
          <w:szCs w:val="24"/>
        </w:rPr>
        <w:t>faktory zaočkovania</w:t>
      </w:r>
      <w:r w:rsidR="00C60340">
        <w:rPr>
          <w:rFonts w:ascii="Times New Roman" w:hAnsi="Times New Roman"/>
          <w:noProof/>
          <w:sz w:val="24"/>
          <w:szCs w:val="24"/>
        </w:rPr>
        <w:t xml:space="preserve"> v </w:t>
      </w:r>
      <w:r w:rsidRPr="00C60340">
        <w:rPr>
          <w:rFonts w:ascii="Times New Roman" w:hAnsi="Times New Roman"/>
          <w:noProof/>
          <w:sz w:val="24"/>
          <w:szCs w:val="24"/>
        </w:rPr>
        <w:t>regionálnej mape, ktorú vypracovalo ECDC.</w:t>
      </w:r>
    </w:p>
    <w:p w14:paraId="49ED0F65" w14:textId="62DE31A0" w:rsidR="002737A3" w:rsidRPr="00C60340" w:rsidRDefault="002737A3" w:rsidP="001378BC">
      <w:pPr>
        <w:spacing w:after="120" w:line="240" w:lineRule="auto"/>
        <w:jc w:val="both"/>
        <w:rPr>
          <w:rFonts w:ascii="Times New Roman" w:hAnsi="Times New Roman" w:cs="Times New Roman"/>
          <w:noProof/>
          <w:spacing w:val="-4"/>
          <w:sz w:val="24"/>
          <w:szCs w:val="24"/>
        </w:rPr>
      </w:pPr>
      <w:r w:rsidRPr="00C60340">
        <w:rPr>
          <w:rFonts w:ascii="Times New Roman" w:hAnsi="Times New Roman"/>
          <w:noProof/>
          <w:spacing w:val="-4"/>
          <w:sz w:val="24"/>
          <w:szCs w:val="24"/>
        </w:rPr>
        <w:t>Vzhľadom na vysokú prevalenciu znepokojujúceho variantu, ako je omikron, sú</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odporúčaní Rady</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rámci postupu núdzovej brzdy stanovené požiadavky na kontrolu vírusu, ako je testovanie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karanténa</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EÚ. Kým prebiehajú prvé analýzu variantu omikron, členské štáty by mali</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rámci preventívnych krokov zvážiť uplatnenie opatrení na obmedzenie rizika šírenia vírusu. Takéto kroky by mali byť primerané, nediskriminačné, transparentné</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úplne koordinované.</w:t>
      </w:r>
    </w:p>
    <w:p w14:paraId="161EFEE6" w14:textId="082C45B7" w:rsidR="00C60340" w:rsidRDefault="00A94F73"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 xml:space="preserve">Zásadnou otázkou je nastavenie vhodnej dĺžky </w:t>
      </w:r>
      <w:r w:rsidRPr="00C60340">
        <w:rPr>
          <w:rFonts w:ascii="Times New Roman" w:hAnsi="Times New Roman"/>
          <w:b/>
          <w:noProof/>
          <w:sz w:val="24"/>
          <w:szCs w:val="24"/>
        </w:rPr>
        <w:t>platnosti očkovacích preukazov</w:t>
      </w:r>
      <w:r w:rsidR="00C60340">
        <w:rPr>
          <w:rFonts w:ascii="Times New Roman" w:hAnsi="Times New Roman"/>
          <w:noProof/>
          <w:sz w:val="24"/>
          <w:szCs w:val="24"/>
        </w:rPr>
        <w:t xml:space="preserve"> v </w:t>
      </w:r>
      <w:r w:rsidRPr="00C60340">
        <w:rPr>
          <w:rFonts w:ascii="Times New Roman" w:hAnsi="Times New Roman"/>
          <w:noProof/>
          <w:sz w:val="24"/>
          <w:szCs w:val="24"/>
        </w:rPr>
        <w:t>rámci digitálneho COVID preukazu EÚ, aby sa zohľadnilo, že záruka, ktorú preukazy poskytujú, aj účinnosť vakcín postupom času slabnú. Dĺžka platnosti preukazov preto musí byť kompatibilná</w:t>
      </w:r>
      <w:r w:rsidR="00C60340">
        <w:rPr>
          <w:rFonts w:ascii="Times New Roman" w:hAnsi="Times New Roman"/>
          <w:noProof/>
          <w:sz w:val="24"/>
          <w:szCs w:val="24"/>
        </w:rPr>
        <w:t xml:space="preserve"> s </w:t>
      </w:r>
      <w:r w:rsidRPr="00C60340">
        <w:rPr>
          <w:rFonts w:ascii="Times New Roman" w:hAnsi="Times New Roman"/>
          <w:noProof/>
          <w:sz w:val="24"/>
          <w:szCs w:val="24"/>
        </w:rPr>
        <w:t>týmto slabnúcim účinkom, ako aj</w:t>
      </w:r>
      <w:r w:rsidR="00C60340">
        <w:rPr>
          <w:rFonts w:ascii="Times New Roman" w:hAnsi="Times New Roman"/>
          <w:noProof/>
          <w:sz w:val="24"/>
          <w:szCs w:val="24"/>
        </w:rPr>
        <w:t xml:space="preserve"> s </w:t>
      </w:r>
      <w:r w:rsidRPr="00C60340">
        <w:rPr>
          <w:rFonts w:ascii="Times New Roman" w:hAnsi="Times New Roman"/>
          <w:noProof/>
          <w:sz w:val="24"/>
          <w:szCs w:val="24"/>
        </w:rPr>
        <w:t>potrebou ponechať primeraný čas na realizáciu kampaní podávania posilňovacích dávok, aby tak obmedzenie voľného pohybu vyplývajúce zo skončenia platnosti preukazov bolo plne primerané. Komisia zastáva názor, že</w:t>
      </w:r>
      <w:r w:rsidR="00C60340">
        <w:rPr>
          <w:rFonts w:ascii="Times New Roman" w:hAnsi="Times New Roman"/>
          <w:noProof/>
          <w:sz w:val="24"/>
          <w:szCs w:val="24"/>
        </w:rPr>
        <w:t xml:space="preserve"> s </w:t>
      </w:r>
      <w:r w:rsidRPr="00C60340">
        <w:rPr>
          <w:rFonts w:ascii="Times New Roman" w:hAnsi="Times New Roman"/>
          <w:noProof/>
          <w:sz w:val="24"/>
          <w:szCs w:val="24"/>
        </w:rPr>
        <w:t>účinnosťou od 10</w:t>
      </w:r>
      <w:r w:rsidR="00C60340">
        <w:rPr>
          <w:rFonts w:ascii="Times New Roman" w:hAnsi="Times New Roman"/>
          <w:noProof/>
          <w:sz w:val="24"/>
          <w:szCs w:val="24"/>
        </w:rPr>
        <w:t>. januára</w:t>
      </w:r>
      <w:r w:rsidRPr="00C60340">
        <w:rPr>
          <w:rFonts w:ascii="Times New Roman" w:hAnsi="Times New Roman"/>
          <w:noProof/>
          <w:sz w:val="24"/>
          <w:szCs w:val="24"/>
        </w:rPr>
        <w:t xml:space="preserve"> 2022 by členské štáty už nemali uznávať preukazy,</w:t>
      </w:r>
      <w:r w:rsidR="00C60340">
        <w:rPr>
          <w:rFonts w:ascii="Times New Roman" w:hAnsi="Times New Roman"/>
          <w:noProof/>
          <w:sz w:val="24"/>
          <w:szCs w:val="24"/>
        </w:rPr>
        <w:t xml:space="preserve"> v </w:t>
      </w:r>
      <w:r w:rsidRPr="00C60340">
        <w:rPr>
          <w:rFonts w:ascii="Times New Roman" w:hAnsi="Times New Roman"/>
          <w:noProof/>
          <w:sz w:val="24"/>
          <w:szCs w:val="24"/>
        </w:rPr>
        <w:t>prípade ktorých uplynulo viac ako deväť mesiacov od základnej vakcinačnej schémy. Odráža sa to</w:t>
      </w:r>
      <w:r w:rsidR="00C60340">
        <w:rPr>
          <w:rFonts w:ascii="Times New Roman" w:hAnsi="Times New Roman"/>
          <w:noProof/>
          <w:sz w:val="24"/>
          <w:szCs w:val="24"/>
        </w:rPr>
        <w:t xml:space="preserve"> v </w:t>
      </w:r>
      <w:r w:rsidRPr="00C60340">
        <w:rPr>
          <w:rFonts w:ascii="Times New Roman" w:hAnsi="Times New Roman"/>
          <w:noProof/>
          <w:sz w:val="24"/>
          <w:szCs w:val="24"/>
        </w:rPr>
        <w:t>návrhu Komisie, ktorý zohľadňuje usmernenia ECDC</w:t>
      </w:r>
      <w:r w:rsidR="00C60340">
        <w:rPr>
          <w:rFonts w:ascii="Times New Roman" w:hAnsi="Times New Roman"/>
          <w:noProof/>
          <w:sz w:val="24"/>
          <w:szCs w:val="24"/>
        </w:rPr>
        <w:t xml:space="preserve"> k </w:t>
      </w:r>
      <w:r w:rsidRPr="00C60340">
        <w:rPr>
          <w:rFonts w:ascii="Times New Roman" w:hAnsi="Times New Roman"/>
          <w:noProof/>
          <w:sz w:val="24"/>
          <w:szCs w:val="24"/>
        </w:rPr>
        <w:t>podávaniu posilňovacích dávok od uplynutia šiestich mesiacov, pričom poskytuje obdobie dodatočných troch mesiacov</w:t>
      </w:r>
      <w:r w:rsidR="00C60340">
        <w:rPr>
          <w:rFonts w:ascii="Times New Roman" w:hAnsi="Times New Roman"/>
          <w:noProof/>
          <w:sz w:val="24"/>
          <w:szCs w:val="24"/>
        </w:rPr>
        <w:t xml:space="preserve"> s </w:t>
      </w:r>
      <w:r w:rsidRPr="00C60340">
        <w:rPr>
          <w:rFonts w:ascii="Times New Roman" w:hAnsi="Times New Roman"/>
          <w:noProof/>
          <w:sz w:val="24"/>
          <w:szCs w:val="24"/>
        </w:rPr>
        <w:t>cieľom umožniť, aby sa národné očkovacie kampane prispôsobili</w:t>
      </w:r>
      <w:r w:rsidR="00C60340">
        <w:rPr>
          <w:rFonts w:ascii="Times New Roman" w:hAnsi="Times New Roman"/>
          <w:noProof/>
          <w:sz w:val="24"/>
          <w:szCs w:val="24"/>
        </w:rPr>
        <w:t xml:space="preserve"> a </w:t>
      </w:r>
      <w:r w:rsidRPr="00C60340">
        <w:rPr>
          <w:rFonts w:ascii="Times New Roman" w:hAnsi="Times New Roman"/>
          <w:noProof/>
          <w:sz w:val="24"/>
          <w:szCs w:val="24"/>
        </w:rPr>
        <w:t>občania mali</w:t>
      </w:r>
      <w:r w:rsidR="00C60340">
        <w:rPr>
          <w:rFonts w:ascii="Times New Roman" w:hAnsi="Times New Roman"/>
          <w:noProof/>
          <w:sz w:val="24"/>
          <w:szCs w:val="24"/>
        </w:rPr>
        <w:t xml:space="preserve"> k </w:t>
      </w:r>
      <w:r w:rsidRPr="00C60340">
        <w:rPr>
          <w:rFonts w:ascii="Times New Roman" w:hAnsi="Times New Roman"/>
          <w:noProof/>
          <w:sz w:val="24"/>
          <w:szCs w:val="24"/>
        </w:rPr>
        <w:t>posilňovacím dávkam prístup. Komisia navyše zvažuje aj to, či by sa takáto platnosť mala stanoviť záväzným spôsobom</w:t>
      </w:r>
      <w:r w:rsidRPr="00C60340">
        <w:rPr>
          <w:rStyle w:val="FootnoteReference"/>
          <w:rFonts w:ascii="Times New Roman" w:hAnsi="Times New Roman" w:cs="Times New Roman"/>
          <w:noProof/>
          <w:sz w:val="24"/>
          <w:szCs w:val="24"/>
        </w:rPr>
        <w:footnoteReference w:id="9"/>
      </w:r>
      <w:r w:rsidRPr="00C60340">
        <w:rPr>
          <w:rFonts w:ascii="Times New Roman" w:hAnsi="Times New Roman"/>
          <w:noProof/>
        </w:rPr>
        <w:t>.</w:t>
      </w:r>
      <w:r w:rsidRPr="00C60340">
        <w:rPr>
          <w:rFonts w:ascii="Times New Roman" w:hAnsi="Times New Roman"/>
          <w:noProof/>
          <w:sz w:val="24"/>
          <w:szCs w:val="24"/>
        </w:rPr>
        <w:t xml:space="preserve"> Predmetné nariadenie sa</w:t>
      </w:r>
      <w:r w:rsidR="00C60340">
        <w:rPr>
          <w:rFonts w:ascii="Times New Roman" w:hAnsi="Times New Roman"/>
          <w:noProof/>
          <w:sz w:val="24"/>
          <w:szCs w:val="24"/>
        </w:rPr>
        <w:t xml:space="preserve"> v </w:t>
      </w:r>
      <w:r w:rsidRPr="00C60340">
        <w:rPr>
          <w:rFonts w:ascii="Times New Roman" w:hAnsi="Times New Roman"/>
          <w:noProof/>
          <w:sz w:val="24"/>
          <w:szCs w:val="24"/>
        </w:rPr>
        <w:t>súčasnosti uplatňuje do 30</w:t>
      </w:r>
      <w:r w:rsidR="00C60340">
        <w:rPr>
          <w:rFonts w:ascii="Times New Roman" w:hAnsi="Times New Roman"/>
          <w:noProof/>
          <w:sz w:val="24"/>
          <w:szCs w:val="24"/>
        </w:rPr>
        <w:t>. júna</w:t>
      </w:r>
      <w:r w:rsidRPr="00C60340">
        <w:rPr>
          <w:rFonts w:ascii="Times New Roman" w:hAnsi="Times New Roman"/>
          <w:noProof/>
          <w:sz w:val="24"/>
          <w:szCs w:val="24"/>
        </w:rPr>
        <w:t xml:space="preserve"> 2022. Keďže sa zdá nepravdepodobné, že pandémia sa dovtedy skončí, Komisia pripravuje legislatívny návrh na dočasné predĺženie jeho uplatňovania</w:t>
      </w:r>
      <w:r w:rsidR="00C60340">
        <w:rPr>
          <w:rFonts w:ascii="Times New Roman" w:hAnsi="Times New Roman"/>
          <w:noProof/>
          <w:sz w:val="24"/>
          <w:szCs w:val="24"/>
        </w:rPr>
        <w:t>.</w:t>
      </w:r>
    </w:p>
    <w:p w14:paraId="5C21037D" w14:textId="413C6DC2" w:rsidR="001C74AE" w:rsidRPr="00C60340" w:rsidRDefault="001C74AE"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Digitálny COVID preukaz EÚ je jediný zavedený veľký systém potvrdení COVID-19. Pomáha riešiť dosah ochorenia COVID-19 na náš každodenný život</w:t>
      </w:r>
      <w:r w:rsidR="00C60340">
        <w:rPr>
          <w:rFonts w:ascii="Times New Roman" w:hAnsi="Times New Roman"/>
          <w:noProof/>
          <w:sz w:val="24"/>
          <w:szCs w:val="24"/>
        </w:rPr>
        <w:t xml:space="preserve"> a </w:t>
      </w:r>
      <w:r w:rsidRPr="00C60340">
        <w:rPr>
          <w:rFonts w:ascii="Times New Roman" w:hAnsi="Times New Roman"/>
          <w:noProof/>
          <w:sz w:val="24"/>
          <w:szCs w:val="24"/>
        </w:rPr>
        <w:t>zároveň uľahčuje cestovanie osôb</w:t>
      </w:r>
      <w:r w:rsidR="00C60340">
        <w:rPr>
          <w:rFonts w:ascii="Times New Roman" w:hAnsi="Times New Roman"/>
          <w:noProof/>
          <w:sz w:val="24"/>
          <w:szCs w:val="24"/>
        </w:rPr>
        <w:t xml:space="preserve"> s </w:t>
      </w:r>
      <w:r w:rsidRPr="00C60340">
        <w:rPr>
          <w:rFonts w:ascii="Times New Roman" w:hAnsi="Times New Roman"/>
          <w:noProof/>
          <w:sz w:val="24"/>
          <w:szCs w:val="24"/>
        </w:rPr>
        <w:t>pobytom</w:t>
      </w:r>
      <w:r w:rsidR="00C60340">
        <w:rPr>
          <w:rFonts w:ascii="Times New Roman" w:hAnsi="Times New Roman"/>
          <w:noProof/>
          <w:sz w:val="24"/>
          <w:szCs w:val="24"/>
        </w:rPr>
        <w:t xml:space="preserve"> v </w:t>
      </w:r>
      <w:r w:rsidRPr="00C60340">
        <w:rPr>
          <w:rFonts w:ascii="Times New Roman" w:hAnsi="Times New Roman"/>
          <w:noProof/>
          <w:sz w:val="24"/>
          <w:szCs w:val="24"/>
        </w:rPr>
        <w:t>tretích krajinách do</w:t>
      </w:r>
      <w:r w:rsidR="00C60340">
        <w:rPr>
          <w:rFonts w:ascii="Times New Roman" w:hAnsi="Times New Roman"/>
          <w:noProof/>
          <w:sz w:val="24"/>
          <w:szCs w:val="24"/>
        </w:rPr>
        <w:t xml:space="preserve"> a z </w:t>
      </w:r>
      <w:r w:rsidRPr="00C60340">
        <w:rPr>
          <w:rFonts w:ascii="Times New Roman" w:hAnsi="Times New Roman"/>
          <w:noProof/>
          <w:sz w:val="24"/>
          <w:szCs w:val="24"/>
        </w:rPr>
        <w:t>EÚ. Prepojenie preukazu so systémami tretích krajín už viedlo</w:t>
      </w:r>
      <w:r w:rsidR="00C60340">
        <w:rPr>
          <w:rFonts w:ascii="Times New Roman" w:hAnsi="Times New Roman"/>
          <w:noProof/>
          <w:sz w:val="24"/>
          <w:szCs w:val="24"/>
        </w:rPr>
        <w:t xml:space="preserve"> k </w:t>
      </w:r>
      <w:r w:rsidRPr="00C60340">
        <w:rPr>
          <w:rFonts w:ascii="Times New Roman" w:hAnsi="Times New Roman"/>
          <w:noProof/>
          <w:sz w:val="24"/>
          <w:szCs w:val="24"/>
        </w:rPr>
        <w:t>spojeniam</w:t>
      </w:r>
      <w:r w:rsidR="00C60340">
        <w:rPr>
          <w:rFonts w:ascii="Times New Roman" w:hAnsi="Times New Roman"/>
          <w:noProof/>
          <w:sz w:val="24"/>
          <w:szCs w:val="24"/>
        </w:rPr>
        <w:t xml:space="preserve"> s </w:t>
      </w:r>
      <w:r w:rsidRPr="00C60340">
        <w:rPr>
          <w:rFonts w:ascii="Times New Roman" w:hAnsi="Times New Roman"/>
          <w:noProof/>
          <w:sz w:val="24"/>
          <w:szCs w:val="24"/>
        </w:rPr>
        <w:t>51 krajinami</w:t>
      </w:r>
      <w:r w:rsidR="00C60340">
        <w:rPr>
          <w:rFonts w:ascii="Times New Roman" w:hAnsi="Times New Roman"/>
          <w:noProof/>
          <w:sz w:val="24"/>
          <w:szCs w:val="24"/>
        </w:rPr>
        <w:t xml:space="preserve"> a </w:t>
      </w:r>
      <w:r w:rsidRPr="00C60340">
        <w:rPr>
          <w:rFonts w:ascii="Times New Roman" w:hAnsi="Times New Roman"/>
          <w:noProof/>
          <w:sz w:val="24"/>
          <w:szCs w:val="24"/>
        </w:rPr>
        <w:t>bude sa ďalej rozširovať,</w:t>
      </w:r>
      <w:r w:rsidR="00C60340">
        <w:rPr>
          <w:rFonts w:ascii="Times New Roman" w:hAnsi="Times New Roman"/>
          <w:noProof/>
          <w:sz w:val="24"/>
          <w:szCs w:val="24"/>
        </w:rPr>
        <w:t xml:space="preserve"> a </w:t>
      </w:r>
      <w:r w:rsidRPr="00C60340">
        <w:rPr>
          <w:rFonts w:ascii="Times New Roman" w:hAnsi="Times New Roman"/>
          <w:noProof/>
          <w:sz w:val="24"/>
          <w:szCs w:val="24"/>
        </w:rPr>
        <w:t>to aj na Afriku.</w:t>
      </w:r>
    </w:p>
    <w:p w14:paraId="41874260" w14:textId="0E2194DB" w:rsidR="00C60340" w:rsidRPr="00C60340" w:rsidRDefault="006C1967" w:rsidP="001378BC">
      <w:pPr>
        <w:spacing w:after="120" w:line="240" w:lineRule="auto"/>
        <w:jc w:val="both"/>
        <w:rPr>
          <w:rFonts w:ascii="Times New Roman" w:hAnsi="Times New Roman"/>
          <w:noProof/>
          <w:spacing w:val="-4"/>
          <w:sz w:val="24"/>
          <w:szCs w:val="24"/>
        </w:rPr>
      </w:pPr>
      <w:r w:rsidRPr="00C60340">
        <w:rPr>
          <w:rFonts w:ascii="Times New Roman" w:hAnsi="Times New Roman"/>
          <w:noProof/>
          <w:spacing w:val="-4"/>
          <w:sz w:val="24"/>
          <w:szCs w:val="24"/>
        </w:rPr>
        <w:t xml:space="preserve">Komisia takisto navrhla zmeniť </w:t>
      </w:r>
      <w:r w:rsidRPr="00C60340">
        <w:rPr>
          <w:rFonts w:ascii="Times New Roman" w:hAnsi="Times New Roman"/>
          <w:b/>
          <w:i/>
          <w:noProof/>
          <w:spacing w:val="-4"/>
          <w:sz w:val="24"/>
          <w:szCs w:val="24"/>
        </w:rPr>
        <w:t>pravidlá cestovania do EÚ</w:t>
      </w:r>
      <w:r w:rsidRPr="00C60340">
        <w:rPr>
          <w:rFonts w:ascii="Times New Roman" w:hAnsi="Times New Roman"/>
          <w:noProof/>
          <w:spacing w:val="-4"/>
          <w:sz w:val="24"/>
          <w:szCs w:val="24"/>
        </w:rPr>
        <w:t>,</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to vytvorením prepojenia medzi digitálnym COVID preukazom EÚ</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preukazmi tretích krajín, ktoré sa považujú za ekvivalentné. Táto revízia by umožnila od 10</w:t>
      </w:r>
      <w:r w:rsidR="00C60340" w:rsidRPr="00C60340">
        <w:rPr>
          <w:rFonts w:ascii="Times New Roman" w:hAnsi="Times New Roman"/>
          <w:noProof/>
          <w:spacing w:val="-4"/>
          <w:sz w:val="24"/>
          <w:szCs w:val="24"/>
        </w:rPr>
        <w:t>. januára</w:t>
      </w:r>
      <w:r w:rsidRPr="00C60340">
        <w:rPr>
          <w:rFonts w:ascii="Times New Roman" w:hAnsi="Times New Roman"/>
          <w:noProof/>
          <w:spacing w:val="-4"/>
          <w:sz w:val="24"/>
          <w:szCs w:val="24"/>
        </w:rPr>
        <w:t xml:space="preserve"> do marca 2022 uplatňovať nanovo prehodnotený zoznam oprávnených tretích krajín,</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ktorých môžu prichádzať osoby cestujúce</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iných ako nevyhnutných dôvodov, na základe epidemiologickej situácie.</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prípade väčšiny ostatných krajín by sa cestovanie obmedzilo na nevyhnutné cesty, zaočkované osoby</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osoby, ktoré ochorenie prekonali</w:t>
      </w:r>
      <w:r w:rsidRPr="00C60340">
        <w:rPr>
          <w:rStyle w:val="FootnoteReference"/>
          <w:rFonts w:ascii="Times New Roman" w:hAnsi="Times New Roman" w:cs="Times New Roman"/>
          <w:noProof/>
          <w:spacing w:val="-4"/>
          <w:sz w:val="24"/>
          <w:szCs w:val="24"/>
        </w:rPr>
        <w:footnoteReference w:id="10"/>
      </w:r>
      <w:r w:rsidRPr="00C60340">
        <w:rPr>
          <w:rFonts w:ascii="Times New Roman" w:hAnsi="Times New Roman"/>
          <w:noProof/>
          <w:spacing w:val="-4"/>
          <w:sz w:val="24"/>
          <w:szCs w:val="24"/>
        </w:rPr>
        <w:t>, pričom členské štáty by zároveň mohli uplatňovať karanténu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dodatočné testovanie.</w:t>
      </w:r>
      <w:r w:rsidRPr="00C60340">
        <w:rPr>
          <w:rFonts w:ascii="Times New Roman" w:hAnsi="Times New Roman"/>
          <w:noProof/>
          <w:color w:val="1F497D"/>
          <w:spacing w:val="-4"/>
          <w:sz w:val="24"/>
          <w:szCs w:val="24"/>
        </w:rPr>
        <w:t xml:space="preserve"> </w:t>
      </w:r>
      <w:r w:rsidRPr="00C60340">
        <w:rPr>
          <w:rFonts w:ascii="Times New Roman" w:hAnsi="Times New Roman"/>
          <w:noProof/>
          <w:spacing w:val="-4"/>
          <w:sz w:val="24"/>
          <w:szCs w:val="24"/>
        </w:rPr>
        <w:t>Členské štáty by akceptovali nielen vakcíny proti ochoreniu COVID-19 schválené</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EÚ, ale aj tie, ktoré prešli procesom WHO na zaradenie do zoznamu na núdzové použitie, ak majú cestujúci aj platný dôkaz</w:t>
      </w:r>
      <w:r w:rsidR="00C60340" w:rsidRPr="00C60340">
        <w:rPr>
          <w:rFonts w:ascii="Times New Roman" w:hAnsi="Times New Roman"/>
          <w:noProof/>
          <w:spacing w:val="-4"/>
          <w:sz w:val="24"/>
          <w:szCs w:val="24"/>
        </w:rPr>
        <w:t xml:space="preserve"> o </w:t>
      </w:r>
      <w:r w:rsidRPr="00C60340">
        <w:rPr>
          <w:rFonts w:ascii="Times New Roman" w:hAnsi="Times New Roman"/>
          <w:noProof/>
          <w:spacing w:val="-4"/>
          <w:sz w:val="24"/>
          <w:szCs w:val="24"/>
        </w:rPr>
        <w:t>negatívnom výsledku testu PCR vykonaného pred odchodom. Počnúc marcom 2022 Komisia navrhuje posunúť sa od súčasného hybridného prístupu založeného na krajine/osobe</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prístupu založenému čisto na osobe, ktorý by uprednostňoval zaočkovaných cestujúcich</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cestujúcich, ktorí ochorenie prekonali. Naďalej bude nevyhnutné koordinovať prístup</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cestovným obmedzeniam</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mimoriadne vysokorizikových oblastí, aby sa tak spomalil príchod nových variantov do EÚ</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ich prenos</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nej</w:t>
      </w:r>
      <w:r w:rsidR="00C60340" w:rsidRPr="00C60340">
        <w:rPr>
          <w:rFonts w:ascii="Times New Roman" w:hAnsi="Times New Roman"/>
          <w:noProof/>
          <w:spacing w:val="-4"/>
          <w:sz w:val="24"/>
          <w:szCs w:val="24"/>
        </w:rPr>
        <w:t>.</w:t>
      </w:r>
    </w:p>
    <w:p w14:paraId="1CA3ED50" w14:textId="4A722149" w:rsidR="001C74AE" w:rsidRPr="00C60340" w:rsidRDefault="007D2B9D"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Členské štáty</w:t>
      </w:r>
      <w:r w:rsidR="00C60340">
        <w:rPr>
          <w:rFonts w:ascii="Times New Roman" w:hAnsi="Times New Roman"/>
          <w:noProof/>
          <w:sz w:val="24"/>
          <w:szCs w:val="24"/>
        </w:rPr>
        <w:t xml:space="preserve"> a </w:t>
      </w:r>
      <w:r w:rsidRPr="00C60340">
        <w:rPr>
          <w:rFonts w:ascii="Times New Roman" w:hAnsi="Times New Roman"/>
          <w:noProof/>
          <w:sz w:val="24"/>
          <w:szCs w:val="24"/>
        </w:rPr>
        <w:t>krajiny pridružené</w:t>
      </w:r>
      <w:r w:rsidR="00C60340">
        <w:rPr>
          <w:rFonts w:ascii="Times New Roman" w:hAnsi="Times New Roman"/>
          <w:noProof/>
          <w:sz w:val="24"/>
          <w:szCs w:val="24"/>
        </w:rPr>
        <w:t xml:space="preserve"> k </w:t>
      </w:r>
      <w:r w:rsidRPr="00C60340">
        <w:rPr>
          <w:rFonts w:ascii="Times New Roman" w:hAnsi="Times New Roman"/>
          <w:noProof/>
          <w:sz w:val="24"/>
          <w:szCs w:val="24"/>
        </w:rPr>
        <w:t>schengenskému priestoru sa musia riadiť týmto odporúčaním</w:t>
      </w:r>
      <w:r w:rsidR="00C60340">
        <w:rPr>
          <w:rFonts w:ascii="Times New Roman" w:hAnsi="Times New Roman"/>
          <w:noProof/>
          <w:sz w:val="24"/>
          <w:szCs w:val="24"/>
        </w:rPr>
        <w:t xml:space="preserve"> a </w:t>
      </w:r>
      <w:r w:rsidRPr="00C60340">
        <w:rPr>
          <w:rFonts w:ascii="Times New Roman" w:hAnsi="Times New Roman"/>
          <w:noProof/>
          <w:sz w:val="24"/>
          <w:szCs w:val="24"/>
        </w:rPr>
        <w:t>koordinovať obmedzenia pre všetky typy cestovania do EÚ+. Ako už bolo uvedené, naliehavá potreba účinného koordinovaného prístupu sa teraz preukazuje</w:t>
      </w:r>
      <w:r w:rsidR="00C60340">
        <w:rPr>
          <w:rFonts w:ascii="Times New Roman" w:hAnsi="Times New Roman"/>
          <w:noProof/>
          <w:sz w:val="24"/>
          <w:szCs w:val="24"/>
        </w:rPr>
        <w:t xml:space="preserve"> v </w:t>
      </w:r>
      <w:r w:rsidRPr="00C60340">
        <w:rPr>
          <w:rFonts w:ascii="Times New Roman" w:hAnsi="Times New Roman"/>
          <w:noProof/>
          <w:sz w:val="24"/>
          <w:szCs w:val="24"/>
        </w:rPr>
        <w:t xml:space="preserve">prípade variantu omikron. Rýchle uplatnenie pravidiel </w:t>
      </w:r>
      <w:r w:rsidRPr="00C60340">
        <w:rPr>
          <w:rFonts w:ascii="Times New Roman" w:hAnsi="Times New Roman"/>
          <w:b/>
          <w:i/>
          <w:noProof/>
          <w:sz w:val="24"/>
          <w:szCs w:val="24"/>
        </w:rPr>
        <w:t>postupu „núdzovej brzdy“</w:t>
      </w:r>
      <w:r w:rsidRPr="00C60340">
        <w:rPr>
          <w:rFonts w:ascii="Times New Roman" w:hAnsi="Times New Roman"/>
          <w:noProof/>
          <w:sz w:val="24"/>
          <w:szCs w:val="24"/>
        </w:rPr>
        <w:t xml:space="preserve"> ukázalo, že rámec EÚ pre koordinovaný prístup funguje</w:t>
      </w:r>
      <w:r w:rsidR="00C60340">
        <w:rPr>
          <w:rFonts w:ascii="Times New Roman" w:hAnsi="Times New Roman"/>
          <w:noProof/>
          <w:sz w:val="24"/>
          <w:szCs w:val="24"/>
        </w:rPr>
        <w:t xml:space="preserve"> a </w:t>
      </w:r>
      <w:r w:rsidRPr="00C60340">
        <w:rPr>
          <w:rFonts w:ascii="Times New Roman" w:hAnsi="Times New Roman"/>
          <w:noProof/>
          <w:sz w:val="24"/>
          <w:szCs w:val="24"/>
        </w:rPr>
        <w:t>pomôže obmedziť šírenie nového variantu. Potrebné je každodenné vyhodnocovanie situácie</w:t>
      </w:r>
      <w:r w:rsidR="00C60340">
        <w:rPr>
          <w:rFonts w:ascii="Times New Roman" w:hAnsi="Times New Roman"/>
          <w:noProof/>
          <w:sz w:val="24"/>
          <w:szCs w:val="24"/>
        </w:rPr>
        <w:t xml:space="preserve"> s </w:t>
      </w:r>
      <w:r w:rsidRPr="00C60340">
        <w:rPr>
          <w:rFonts w:ascii="Times New Roman" w:hAnsi="Times New Roman"/>
          <w:noProof/>
          <w:sz w:val="24"/>
          <w:szCs w:val="24"/>
        </w:rPr>
        <w:t>cieľom posúdiť, či treba do opatrení doplniť ďalšie krajiny, ako aj povahu testovania</w:t>
      </w:r>
      <w:r w:rsidR="00C60340">
        <w:rPr>
          <w:rFonts w:ascii="Times New Roman" w:hAnsi="Times New Roman"/>
          <w:noProof/>
          <w:sz w:val="24"/>
          <w:szCs w:val="24"/>
        </w:rPr>
        <w:t xml:space="preserve"> a </w:t>
      </w:r>
      <w:r w:rsidRPr="00C60340">
        <w:rPr>
          <w:rFonts w:ascii="Times New Roman" w:hAnsi="Times New Roman"/>
          <w:noProof/>
          <w:sz w:val="24"/>
          <w:szCs w:val="24"/>
        </w:rPr>
        <w:t>karantény pre osoby cestujúce</w:t>
      </w:r>
      <w:r w:rsidR="00C60340">
        <w:rPr>
          <w:rFonts w:ascii="Times New Roman" w:hAnsi="Times New Roman"/>
          <w:noProof/>
          <w:sz w:val="24"/>
          <w:szCs w:val="24"/>
        </w:rPr>
        <w:t xml:space="preserve"> z </w:t>
      </w:r>
      <w:r w:rsidRPr="00C60340">
        <w:rPr>
          <w:rFonts w:ascii="Times New Roman" w:hAnsi="Times New Roman"/>
          <w:noProof/>
          <w:sz w:val="24"/>
          <w:szCs w:val="24"/>
        </w:rPr>
        <w:t>nevyhnutných dôvodov, ktoré môžu stále prichádzať do EÚ. Realita je však taká, že variant sa už rozšíril</w:t>
      </w:r>
      <w:r w:rsidR="00C60340">
        <w:rPr>
          <w:rFonts w:ascii="Times New Roman" w:hAnsi="Times New Roman"/>
          <w:noProof/>
          <w:sz w:val="24"/>
          <w:szCs w:val="24"/>
        </w:rPr>
        <w:t xml:space="preserve"> a </w:t>
      </w:r>
      <w:r w:rsidRPr="00C60340">
        <w:rPr>
          <w:rFonts w:ascii="Times New Roman" w:hAnsi="Times New Roman"/>
          <w:noProof/>
          <w:sz w:val="24"/>
          <w:szCs w:val="24"/>
        </w:rPr>
        <w:t>cestujúci sa ním mohli nakaziť skôr ako na konečnom mieste ich odchodu do EÚ. Je preto nevyhnutné, aby sme mali</w:t>
      </w:r>
      <w:r w:rsidR="00C60340">
        <w:rPr>
          <w:rFonts w:ascii="Times New Roman" w:hAnsi="Times New Roman"/>
          <w:noProof/>
          <w:sz w:val="24"/>
          <w:szCs w:val="24"/>
        </w:rPr>
        <w:t xml:space="preserve"> k </w:t>
      </w:r>
      <w:r w:rsidRPr="00C60340">
        <w:rPr>
          <w:rFonts w:ascii="Times New Roman" w:hAnsi="Times New Roman"/>
          <w:noProof/>
          <w:sz w:val="24"/>
          <w:szCs w:val="24"/>
        </w:rPr>
        <w:t>dispozícii 14-dňové záznamy</w:t>
      </w:r>
      <w:r w:rsidR="00C60340">
        <w:rPr>
          <w:rFonts w:ascii="Times New Roman" w:hAnsi="Times New Roman"/>
          <w:noProof/>
          <w:sz w:val="24"/>
          <w:szCs w:val="24"/>
        </w:rPr>
        <w:t xml:space="preserve"> o </w:t>
      </w:r>
      <w:r w:rsidRPr="00C60340">
        <w:rPr>
          <w:rFonts w:ascii="Times New Roman" w:hAnsi="Times New Roman"/>
          <w:noProof/>
          <w:sz w:val="24"/>
          <w:szCs w:val="24"/>
        </w:rPr>
        <w:t>minulých cestách všetkých osôb prichádzajúcich do EÚ, ako aj schopnosť identifikovať osoby, ktoré boli počas cesty</w:t>
      </w:r>
      <w:r w:rsidR="00C60340">
        <w:rPr>
          <w:rFonts w:ascii="Times New Roman" w:hAnsi="Times New Roman"/>
          <w:noProof/>
          <w:sz w:val="24"/>
          <w:szCs w:val="24"/>
        </w:rPr>
        <w:t xml:space="preserve"> v </w:t>
      </w:r>
      <w:r w:rsidRPr="00C60340">
        <w:rPr>
          <w:rFonts w:ascii="Times New Roman" w:hAnsi="Times New Roman"/>
          <w:noProof/>
          <w:sz w:val="24"/>
          <w:szCs w:val="24"/>
        </w:rPr>
        <w:t>úzkom kontakte</w:t>
      </w:r>
      <w:r w:rsidR="00C60340">
        <w:rPr>
          <w:rFonts w:ascii="Times New Roman" w:hAnsi="Times New Roman"/>
          <w:noProof/>
          <w:sz w:val="24"/>
          <w:szCs w:val="24"/>
        </w:rPr>
        <w:t xml:space="preserve"> s </w:t>
      </w:r>
      <w:r w:rsidRPr="00C60340">
        <w:rPr>
          <w:rFonts w:ascii="Times New Roman" w:hAnsi="Times New Roman"/>
          <w:noProof/>
          <w:sz w:val="24"/>
          <w:szCs w:val="24"/>
        </w:rPr>
        <w:t>infikovaným cestujúcim, aby ich bolo možné účinne vyhľadať,</w:t>
      </w:r>
      <w:r w:rsidR="00C60340">
        <w:rPr>
          <w:rFonts w:ascii="Times New Roman" w:hAnsi="Times New Roman"/>
          <w:noProof/>
          <w:sz w:val="24"/>
          <w:szCs w:val="24"/>
        </w:rPr>
        <w:t xml:space="preserve"> a </w:t>
      </w:r>
      <w:r w:rsidRPr="00C60340">
        <w:rPr>
          <w:rFonts w:ascii="Times New Roman" w:hAnsi="Times New Roman"/>
          <w:noProof/>
          <w:sz w:val="24"/>
          <w:szCs w:val="24"/>
        </w:rPr>
        <w:t>to aj cez hranice.</w:t>
      </w:r>
      <w:r w:rsidR="00C60340">
        <w:rPr>
          <w:rFonts w:ascii="Times New Roman" w:hAnsi="Times New Roman"/>
          <w:noProof/>
          <w:sz w:val="24"/>
          <w:szCs w:val="24"/>
        </w:rPr>
        <w:t xml:space="preserve"> Z </w:t>
      </w:r>
      <w:r w:rsidRPr="00C60340">
        <w:rPr>
          <w:rFonts w:ascii="Times New Roman" w:hAnsi="Times New Roman"/>
          <w:noProof/>
          <w:sz w:val="24"/>
          <w:szCs w:val="24"/>
        </w:rPr>
        <w:t xml:space="preserve">uvedeného je zrejmé, že všetky členské štáty by mali zaviesť účinné </w:t>
      </w:r>
      <w:r w:rsidRPr="00C60340">
        <w:rPr>
          <w:rFonts w:ascii="Times New Roman" w:hAnsi="Times New Roman"/>
          <w:b/>
          <w:i/>
          <w:noProof/>
          <w:sz w:val="24"/>
          <w:szCs w:val="24"/>
        </w:rPr>
        <w:t>formuláre na vyhľadávanie cestujúceho</w:t>
      </w:r>
      <w:r w:rsidRPr="00C60340">
        <w:rPr>
          <w:rFonts w:ascii="Times New Roman" w:hAnsi="Times New Roman"/>
          <w:noProof/>
          <w:sz w:val="24"/>
          <w:szCs w:val="24"/>
        </w:rPr>
        <w:t>. Ak nebudú</w:t>
      </w:r>
      <w:r w:rsidR="00C60340">
        <w:rPr>
          <w:rFonts w:ascii="Times New Roman" w:hAnsi="Times New Roman"/>
          <w:noProof/>
          <w:sz w:val="24"/>
          <w:szCs w:val="24"/>
        </w:rPr>
        <w:t xml:space="preserve"> k </w:t>
      </w:r>
      <w:r w:rsidRPr="00C60340">
        <w:rPr>
          <w:rFonts w:ascii="Times New Roman" w:hAnsi="Times New Roman"/>
          <w:noProof/>
          <w:sz w:val="24"/>
          <w:szCs w:val="24"/>
        </w:rPr>
        <w:t>dispozícii jasné informácie</w:t>
      </w:r>
      <w:r w:rsidR="00C60340">
        <w:rPr>
          <w:rFonts w:ascii="Times New Roman" w:hAnsi="Times New Roman"/>
          <w:noProof/>
          <w:sz w:val="24"/>
          <w:szCs w:val="24"/>
        </w:rPr>
        <w:t xml:space="preserve"> o </w:t>
      </w:r>
      <w:r w:rsidRPr="00C60340">
        <w:rPr>
          <w:rFonts w:ascii="Times New Roman" w:hAnsi="Times New Roman"/>
          <w:noProof/>
          <w:sz w:val="24"/>
          <w:szCs w:val="24"/>
        </w:rPr>
        <w:t>krajinách, ktoré všetci cestujúci navštívili počas 14 dní pred príchodom do EÚ, je pravdepodobnejšie, že zhoršujúca sa situácia si vyžiada úplný zákaz cestovania</w:t>
      </w:r>
      <w:r w:rsidR="00C60340">
        <w:rPr>
          <w:rFonts w:ascii="Times New Roman" w:hAnsi="Times New Roman"/>
          <w:noProof/>
          <w:sz w:val="24"/>
          <w:szCs w:val="24"/>
        </w:rPr>
        <w:t xml:space="preserve"> z </w:t>
      </w:r>
      <w:r w:rsidRPr="00C60340">
        <w:rPr>
          <w:rFonts w:ascii="Times New Roman" w:hAnsi="Times New Roman"/>
          <w:noProof/>
          <w:sz w:val="24"/>
          <w:szCs w:val="24"/>
        </w:rPr>
        <w:t>krajín mimo EÚ pre osoby, ktoré cestujú</w:t>
      </w:r>
      <w:r w:rsidR="00C60340">
        <w:rPr>
          <w:rFonts w:ascii="Times New Roman" w:hAnsi="Times New Roman"/>
          <w:noProof/>
          <w:sz w:val="24"/>
          <w:szCs w:val="24"/>
        </w:rPr>
        <w:t xml:space="preserve"> z </w:t>
      </w:r>
      <w:r w:rsidRPr="00C60340">
        <w:rPr>
          <w:rFonts w:ascii="Times New Roman" w:hAnsi="Times New Roman"/>
          <w:noProof/>
          <w:sz w:val="24"/>
          <w:szCs w:val="24"/>
        </w:rPr>
        <w:t>iných ako nevyhnutných dôvodov,</w:t>
      </w:r>
      <w:r w:rsidR="00C60340">
        <w:rPr>
          <w:rFonts w:ascii="Times New Roman" w:hAnsi="Times New Roman"/>
          <w:noProof/>
          <w:sz w:val="24"/>
          <w:szCs w:val="24"/>
        </w:rPr>
        <w:t xml:space="preserve"> a </w:t>
      </w:r>
      <w:r w:rsidRPr="00C60340">
        <w:rPr>
          <w:rFonts w:ascii="Times New Roman" w:hAnsi="Times New Roman"/>
          <w:noProof/>
          <w:sz w:val="24"/>
          <w:szCs w:val="24"/>
        </w:rPr>
        <w:t>prísnejšie karanténne požiadavky pre osoby cestujúce</w:t>
      </w:r>
      <w:r w:rsidR="00C60340">
        <w:rPr>
          <w:rFonts w:ascii="Times New Roman" w:hAnsi="Times New Roman"/>
          <w:noProof/>
          <w:sz w:val="24"/>
          <w:szCs w:val="24"/>
        </w:rPr>
        <w:t xml:space="preserve"> z </w:t>
      </w:r>
      <w:r w:rsidRPr="00C60340">
        <w:rPr>
          <w:rFonts w:ascii="Times New Roman" w:hAnsi="Times New Roman"/>
          <w:noProof/>
          <w:sz w:val="24"/>
          <w:szCs w:val="24"/>
        </w:rPr>
        <w:t>nevyhnutných dôvodov. Komisia navrhne právny rámec EÚ pre koordinovaný prístup</w:t>
      </w:r>
      <w:r w:rsidR="00C60340">
        <w:rPr>
          <w:rFonts w:ascii="Times New Roman" w:hAnsi="Times New Roman"/>
          <w:noProof/>
          <w:sz w:val="24"/>
          <w:szCs w:val="24"/>
        </w:rPr>
        <w:t xml:space="preserve"> k </w:t>
      </w:r>
      <w:r w:rsidRPr="00C60340">
        <w:rPr>
          <w:rFonts w:ascii="Times New Roman" w:hAnsi="Times New Roman"/>
          <w:noProof/>
          <w:sz w:val="24"/>
          <w:szCs w:val="24"/>
        </w:rPr>
        <w:t>formulárom na vyhľadávanie cestujúceho</w:t>
      </w:r>
      <w:r w:rsidR="00C60340">
        <w:rPr>
          <w:rFonts w:ascii="Times New Roman" w:hAnsi="Times New Roman"/>
          <w:noProof/>
          <w:sz w:val="24"/>
          <w:szCs w:val="24"/>
        </w:rPr>
        <w:t xml:space="preserve"> v </w:t>
      </w:r>
      <w:r w:rsidRPr="00C60340">
        <w:rPr>
          <w:rFonts w:ascii="Times New Roman" w:hAnsi="Times New Roman"/>
          <w:noProof/>
          <w:sz w:val="24"/>
          <w:szCs w:val="24"/>
        </w:rPr>
        <w:t>rozsahu, ktorý je potrebný na zastavenie šírenia ochorenia COVID-19</w:t>
      </w:r>
      <w:r w:rsidRPr="00C60340">
        <w:rPr>
          <w:rStyle w:val="FootnoteReference"/>
          <w:rFonts w:ascii="Times New Roman" w:hAnsi="Times New Roman" w:cs="Times New Roman"/>
          <w:noProof/>
          <w:sz w:val="24"/>
          <w:szCs w:val="24"/>
        </w:rPr>
        <w:footnoteReference w:id="11"/>
      </w:r>
      <w:r w:rsidRPr="00C60340">
        <w:rPr>
          <w:rFonts w:ascii="Times New Roman" w:hAnsi="Times New Roman"/>
          <w:noProof/>
        </w:rPr>
        <w:t>.</w:t>
      </w:r>
      <w:r w:rsidRPr="00C60340">
        <w:rPr>
          <w:rFonts w:ascii="Times New Roman" w:hAnsi="Times New Roman"/>
          <w:noProof/>
          <w:sz w:val="24"/>
          <w:szCs w:val="24"/>
        </w:rPr>
        <w:t xml:space="preserve"> Dopravcovia môžu takisto zohrávať významnú úlohu pri zabezpečovaní dostupnosti týchto zásadných informácií.</w:t>
      </w:r>
    </w:p>
    <w:p w14:paraId="57D3E81C" w14:textId="4E9FF282" w:rsidR="008A6489" w:rsidRPr="00C60340" w:rsidRDefault="00205AA4" w:rsidP="001378BC">
      <w:pPr>
        <w:spacing w:after="120" w:line="240" w:lineRule="auto"/>
        <w:jc w:val="both"/>
        <w:rPr>
          <w:rFonts w:ascii="Times New Roman" w:hAnsi="Times New Roman" w:cs="Times New Roman"/>
          <w:b/>
          <w:i/>
          <w:noProof/>
          <w:sz w:val="24"/>
          <w:szCs w:val="24"/>
        </w:rPr>
      </w:pPr>
      <w:r w:rsidRPr="00C60340">
        <w:rPr>
          <w:rFonts w:ascii="Times New Roman" w:hAnsi="Times New Roman"/>
          <w:b/>
          <w:i/>
          <w:noProof/>
          <w:sz w:val="24"/>
          <w:szCs w:val="24"/>
        </w:rPr>
        <w:t>Štrukturálna odolnosť</w:t>
      </w:r>
      <w:r w:rsidR="00C60340">
        <w:rPr>
          <w:rFonts w:ascii="Times New Roman" w:hAnsi="Times New Roman"/>
          <w:b/>
          <w:i/>
          <w:noProof/>
          <w:sz w:val="24"/>
          <w:szCs w:val="24"/>
        </w:rPr>
        <w:t xml:space="preserve"> a </w:t>
      </w:r>
      <w:r w:rsidRPr="00C60340">
        <w:rPr>
          <w:rFonts w:ascii="Times New Roman" w:hAnsi="Times New Roman"/>
          <w:b/>
          <w:i/>
          <w:noProof/>
          <w:sz w:val="24"/>
          <w:szCs w:val="24"/>
        </w:rPr>
        <w:t>koordinácia</w:t>
      </w:r>
    </w:p>
    <w:p w14:paraId="0A9D0AC5" w14:textId="45141356" w:rsidR="00C60340" w:rsidRDefault="008A6489"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Úzka koordinácia medzi členskými štátmi bude kľúčovou, aby EÚ maximalizovala schopnosť využívať svoje nástroje na riešenie súčasného opätovného nárastu šírenia vírusu. Predpokladá to vysokú úroveň toku informácií</w:t>
      </w:r>
      <w:r w:rsidR="00C60340">
        <w:rPr>
          <w:rFonts w:ascii="Times New Roman" w:hAnsi="Times New Roman"/>
          <w:noProof/>
          <w:sz w:val="24"/>
          <w:szCs w:val="24"/>
        </w:rPr>
        <w:t xml:space="preserve"> o </w:t>
      </w:r>
      <w:r w:rsidRPr="00C60340">
        <w:rPr>
          <w:rFonts w:ascii="Times New Roman" w:hAnsi="Times New Roman"/>
          <w:noProof/>
          <w:sz w:val="24"/>
          <w:szCs w:val="24"/>
        </w:rPr>
        <w:t>plánovaných vnútroštátnych opatreniach, neustále monitorovanie</w:t>
      </w:r>
      <w:r w:rsidR="00C60340">
        <w:rPr>
          <w:rFonts w:ascii="Times New Roman" w:hAnsi="Times New Roman"/>
          <w:noProof/>
          <w:sz w:val="24"/>
          <w:szCs w:val="24"/>
        </w:rPr>
        <w:t xml:space="preserve"> a </w:t>
      </w:r>
      <w:r w:rsidRPr="00C60340">
        <w:rPr>
          <w:rFonts w:ascii="Times New Roman" w:hAnsi="Times New Roman"/>
          <w:noProof/>
          <w:sz w:val="24"/>
          <w:szCs w:val="24"/>
        </w:rPr>
        <w:t>konzistentné využívanie usmernení agentúr ECDC</w:t>
      </w:r>
      <w:r w:rsidR="00C60340">
        <w:rPr>
          <w:rFonts w:ascii="Times New Roman" w:hAnsi="Times New Roman"/>
          <w:noProof/>
          <w:sz w:val="24"/>
          <w:szCs w:val="24"/>
        </w:rPr>
        <w:t xml:space="preserve"> a </w:t>
      </w:r>
      <w:r w:rsidRPr="00C60340">
        <w:rPr>
          <w:rFonts w:ascii="Times New Roman" w:hAnsi="Times New Roman"/>
          <w:noProof/>
          <w:sz w:val="24"/>
          <w:szCs w:val="24"/>
        </w:rPr>
        <w:t>EMA.</w:t>
      </w:r>
      <w:r w:rsidR="00C60340">
        <w:rPr>
          <w:rFonts w:ascii="Times New Roman" w:hAnsi="Times New Roman"/>
          <w:noProof/>
          <w:sz w:val="24"/>
          <w:szCs w:val="24"/>
        </w:rPr>
        <w:t xml:space="preserve"> V </w:t>
      </w:r>
      <w:r w:rsidRPr="00C60340">
        <w:rPr>
          <w:rFonts w:ascii="Times New Roman" w:hAnsi="Times New Roman"/>
          <w:noProof/>
          <w:sz w:val="24"/>
          <w:szCs w:val="24"/>
        </w:rPr>
        <w:t>plnej miere sa musia využívať relevantné fóra, ako je Výbor pre zdravotnú bezpečnosť</w:t>
      </w:r>
      <w:r w:rsidR="00C60340">
        <w:rPr>
          <w:rFonts w:ascii="Times New Roman" w:hAnsi="Times New Roman"/>
          <w:noProof/>
          <w:sz w:val="24"/>
          <w:szCs w:val="24"/>
        </w:rPr>
        <w:t xml:space="preserve"> a </w:t>
      </w:r>
      <w:r w:rsidRPr="00C60340">
        <w:rPr>
          <w:rFonts w:ascii="Times New Roman" w:hAnsi="Times New Roman"/>
          <w:noProof/>
          <w:sz w:val="24"/>
          <w:szCs w:val="24"/>
        </w:rPr>
        <w:t>integrované dojednania</w:t>
      </w:r>
      <w:r w:rsidR="00C60340">
        <w:rPr>
          <w:rFonts w:ascii="Times New Roman" w:hAnsi="Times New Roman"/>
          <w:noProof/>
          <w:sz w:val="24"/>
          <w:szCs w:val="24"/>
        </w:rPr>
        <w:t xml:space="preserve"> o </w:t>
      </w:r>
      <w:r w:rsidRPr="00C60340">
        <w:rPr>
          <w:rFonts w:ascii="Times New Roman" w:hAnsi="Times New Roman"/>
          <w:noProof/>
          <w:sz w:val="24"/>
          <w:szCs w:val="24"/>
        </w:rPr>
        <w:t>politickej reakcii na krízu (IPCR)</w:t>
      </w:r>
      <w:r w:rsidRPr="00C60340">
        <w:rPr>
          <w:rStyle w:val="FootnoteReference"/>
          <w:rFonts w:ascii="Times New Roman" w:hAnsi="Times New Roman" w:cs="Times New Roman"/>
          <w:noProof/>
          <w:sz w:val="24"/>
          <w:szCs w:val="24"/>
        </w:rPr>
        <w:footnoteReference w:id="12"/>
      </w:r>
      <w:r w:rsidR="00C60340">
        <w:rPr>
          <w:rFonts w:ascii="Times New Roman" w:hAnsi="Times New Roman"/>
          <w:noProof/>
          <w:sz w:val="24"/>
          <w:szCs w:val="24"/>
        </w:rPr>
        <w:t>.</w:t>
      </w:r>
    </w:p>
    <w:p w14:paraId="77176F9D" w14:textId="1345F890" w:rsidR="008A6489" w:rsidRPr="00C60340" w:rsidRDefault="008A6489"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Na riešenie výziev spojených</w:t>
      </w:r>
      <w:r w:rsidR="00C60340">
        <w:rPr>
          <w:rFonts w:ascii="Times New Roman" w:hAnsi="Times New Roman"/>
          <w:noProof/>
          <w:sz w:val="24"/>
          <w:szCs w:val="24"/>
        </w:rPr>
        <w:t xml:space="preserve"> s </w:t>
      </w:r>
      <w:r w:rsidRPr="00C60340">
        <w:rPr>
          <w:rFonts w:ascii="Times New Roman" w:hAnsi="Times New Roman"/>
          <w:noProof/>
          <w:sz w:val="24"/>
          <w:szCs w:val="24"/>
        </w:rPr>
        <w:t>pandémiou</w:t>
      </w:r>
      <w:r w:rsidR="00C60340">
        <w:rPr>
          <w:rFonts w:ascii="Times New Roman" w:hAnsi="Times New Roman"/>
          <w:noProof/>
          <w:sz w:val="24"/>
          <w:szCs w:val="24"/>
        </w:rPr>
        <w:t xml:space="preserve"> v </w:t>
      </w:r>
      <w:r w:rsidRPr="00C60340">
        <w:rPr>
          <w:rFonts w:ascii="Times New Roman" w:hAnsi="Times New Roman"/>
          <w:noProof/>
          <w:sz w:val="24"/>
          <w:szCs w:val="24"/>
        </w:rPr>
        <w:t>roku 2022 je nevyhnutné, aby sa urýchlene prijal kompletný balík návrhov</w:t>
      </w:r>
      <w:r w:rsidR="00C60340">
        <w:rPr>
          <w:rFonts w:ascii="Times New Roman" w:hAnsi="Times New Roman"/>
          <w:noProof/>
          <w:sz w:val="24"/>
          <w:szCs w:val="24"/>
        </w:rPr>
        <w:t xml:space="preserve"> o </w:t>
      </w:r>
      <w:r w:rsidRPr="00C60340">
        <w:rPr>
          <w:rFonts w:ascii="Times New Roman" w:hAnsi="Times New Roman"/>
          <w:noProof/>
          <w:sz w:val="24"/>
          <w:szCs w:val="24"/>
        </w:rPr>
        <w:t>európskej zdravotnej únii</w:t>
      </w:r>
      <w:r w:rsidR="00C60340">
        <w:rPr>
          <w:rFonts w:ascii="Times New Roman" w:hAnsi="Times New Roman"/>
          <w:noProof/>
          <w:sz w:val="24"/>
          <w:szCs w:val="24"/>
        </w:rPr>
        <w:t xml:space="preserve"> a </w:t>
      </w:r>
      <w:r w:rsidRPr="00C60340">
        <w:rPr>
          <w:rFonts w:ascii="Times New Roman" w:hAnsi="Times New Roman"/>
          <w:noProof/>
          <w:sz w:val="24"/>
          <w:szCs w:val="24"/>
        </w:rPr>
        <w:t>núdzový rámec, ktorý Únii</w:t>
      </w:r>
      <w:r w:rsidR="00C60340">
        <w:rPr>
          <w:rFonts w:ascii="Times New Roman" w:hAnsi="Times New Roman"/>
          <w:noProof/>
          <w:sz w:val="24"/>
          <w:szCs w:val="24"/>
        </w:rPr>
        <w:t xml:space="preserve"> a </w:t>
      </w:r>
      <w:r w:rsidRPr="00C60340">
        <w:rPr>
          <w:rFonts w:ascii="Times New Roman" w:hAnsi="Times New Roman"/>
          <w:noProof/>
          <w:sz w:val="24"/>
          <w:szCs w:val="24"/>
        </w:rPr>
        <w:t>jej členským štátom umožní využiť nové možnosti, ktoré ponúka úrad HERA,</w:t>
      </w:r>
      <w:r w:rsidR="00C60340">
        <w:rPr>
          <w:rFonts w:ascii="Times New Roman" w:hAnsi="Times New Roman"/>
          <w:noProof/>
          <w:sz w:val="24"/>
          <w:szCs w:val="24"/>
        </w:rPr>
        <w:t xml:space="preserve"> s </w:t>
      </w:r>
      <w:r w:rsidRPr="00C60340">
        <w:rPr>
          <w:rFonts w:ascii="Times New Roman" w:hAnsi="Times New Roman"/>
          <w:noProof/>
          <w:sz w:val="24"/>
          <w:szCs w:val="24"/>
        </w:rPr>
        <w:t>cieľom</w:t>
      </w:r>
      <w:r w:rsidR="00C60340">
        <w:rPr>
          <w:rFonts w:ascii="Times New Roman" w:hAnsi="Times New Roman"/>
          <w:noProof/>
          <w:sz w:val="24"/>
          <w:szCs w:val="24"/>
        </w:rPr>
        <w:t xml:space="preserve"> v </w:t>
      </w:r>
      <w:r w:rsidRPr="00C60340">
        <w:rPr>
          <w:rFonts w:ascii="Times New Roman" w:hAnsi="Times New Roman"/>
          <w:noProof/>
          <w:sz w:val="24"/>
          <w:szCs w:val="24"/>
        </w:rPr>
        <w:t>prípade budúcich závažných cezhraničných ohrození zdravia rozhodne konať. Úrad HERA by mal zároveň splniť svoj cieľ,</w:t>
      </w:r>
      <w:r w:rsidR="00C60340">
        <w:rPr>
          <w:rFonts w:ascii="Times New Roman" w:hAnsi="Times New Roman"/>
          <w:noProof/>
          <w:sz w:val="24"/>
          <w:szCs w:val="24"/>
        </w:rPr>
        <w:t xml:space="preserve"> a </w:t>
      </w:r>
      <w:r w:rsidRPr="00C60340">
        <w:rPr>
          <w:rFonts w:ascii="Times New Roman" w:hAnsi="Times New Roman"/>
          <w:noProof/>
          <w:sz w:val="24"/>
          <w:szCs w:val="24"/>
        </w:rPr>
        <w:t>to umožniť všetkým kľúčovým zainteresovaným stranám prispieť</w:t>
      </w:r>
      <w:r w:rsidR="00C60340">
        <w:rPr>
          <w:rFonts w:ascii="Times New Roman" w:hAnsi="Times New Roman"/>
          <w:noProof/>
          <w:sz w:val="24"/>
          <w:szCs w:val="24"/>
        </w:rPr>
        <w:t xml:space="preserve"> k </w:t>
      </w:r>
      <w:r w:rsidRPr="00C60340">
        <w:rPr>
          <w:rFonts w:ascii="Times New Roman" w:hAnsi="Times New Roman"/>
          <w:noProof/>
          <w:sz w:val="24"/>
          <w:szCs w:val="24"/>
        </w:rPr>
        <w:t>zadefinovaniu operačného prístupu EÚ.</w:t>
      </w:r>
    </w:p>
    <w:p w14:paraId="5921CE19" w14:textId="77777777" w:rsidR="00CA1111" w:rsidRPr="00C60340" w:rsidRDefault="00CA1111" w:rsidP="001378BC">
      <w:pPr>
        <w:spacing w:after="120" w:line="240" w:lineRule="auto"/>
        <w:jc w:val="both"/>
        <w:rPr>
          <w:rFonts w:ascii="Times New Roman" w:hAnsi="Times New Roman" w:cs="Times New Roman"/>
          <w:noProof/>
          <w:sz w:val="24"/>
          <w:szCs w:val="24"/>
        </w:rPr>
      </w:pPr>
    </w:p>
    <w:p w14:paraId="00EC7CDD" w14:textId="77777777" w:rsidR="00602115" w:rsidRPr="00C60340" w:rsidRDefault="00EA1386" w:rsidP="001378BC">
      <w:pPr>
        <w:keepNext/>
        <w:keepLines/>
        <w:spacing w:after="120" w:line="240" w:lineRule="auto"/>
        <w:jc w:val="both"/>
        <w:rPr>
          <w:rFonts w:ascii="Times New Roman" w:hAnsi="Times New Roman" w:cs="Times New Roman"/>
          <w:b/>
          <w:noProof/>
          <w:sz w:val="24"/>
          <w:szCs w:val="24"/>
        </w:rPr>
      </w:pPr>
      <w:r w:rsidRPr="00C60340">
        <w:rPr>
          <w:rFonts w:ascii="Times New Roman" w:hAnsi="Times New Roman"/>
          <w:b/>
          <w:noProof/>
          <w:sz w:val="24"/>
          <w:szCs w:val="24"/>
        </w:rPr>
        <w:t>IV</w:t>
      </w:r>
      <w:r w:rsidRPr="00C60340">
        <w:rPr>
          <w:rFonts w:ascii="Times New Roman" w:hAnsi="Times New Roman"/>
          <w:noProof/>
        </w:rPr>
        <w:tab/>
      </w:r>
      <w:r w:rsidRPr="00C60340">
        <w:rPr>
          <w:rFonts w:ascii="Times New Roman" w:hAnsi="Times New Roman"/>
          <w:b/>
          <w:noProof/>
          <w:sz w:val="24"/>
          <w:szCs w:val="24"/>
        </w:rPr>
        <w:t>NEVYHNUTNOSŤ GLOBÁLNYCH OPATRENÍ</w:t>
      </w:r>
    </w:p>
    <w:p w14:paraId="7A47BE21" w14:textId="15F820B3" w:rsidR="00C60340" w:rsidRDefault="003D6BF4" w:rsidP="001378BC">
      <w:pPr>
        <w:keepNext/>
        <w:spacing w:after="120" w:line="240" w:lineRule="auto"/>
        <w:jc w:val="both"/>
        <w:rPr>
          <w:rFonts w:ascii="Times New Roman" w:hAnsi="Times New Roman"/>
          <w:noProof/>
          <w:sz w:val="24"/>
          <w:szCs w:val="24"/>
        </w:rPr>
      </w:pPr>
      <w:r w:rsidRPr="00C60340">
        <w:rPr>
          <w:rFonts w:ascii="Times New Roman" w:hAnsi="Times New Roman"/>
          <w:noProof/>
          <w:sz w:val="24"/>
          <w:szCs w:val="24"/>
        </w:rPr>
        <w:t>EÚ by mala naďalej stáť na čele úsilia, ktoré má zabezpečiť, aby bol celý svet chránený pred ochorením COVID-19. Nikto nie je</w:t>
      </w:r>
      <w:r w:rsidR="00C60340">
        <w:rPr>
          <w:rFonts w:ascii="Times New Roman" w:hAnsi="Times New Roman"/>
          <w:noProof/>
          <w:sz w:val="24"/>
          <w:szCs w:val="24"/>
        </w:rPr>
        <w:t xml:space="preserve"> v </w:t>
      </w:r>
      <w:r w:rsidRPr="00C60340">
        <w:rPr>
          <w:rFonts w:ascii="Times New Roman" w:hAnsi="Times New Roman"/>
          <w:noProof/>
          <w:sz w:val="24"/>
          <w:szCs w:val="24"/>
        </w:rPr>
        <w:t>bezpečí, kým nebudú</w:t>
      </w:r>
      <w:r w:rsidR="00C60340">
        <w:rPr>
          <w:rFonts w:ascii="Times New Roman" w:hAnsi="Times New Roman"/>
          <w:noProof/>
          <w:sz w:val="24"/>
          <w:szCs w:val="24"/>
        </w:rPr>
        <w:t xml:space="preserve"> v </w:t>
      </w:r>
      <w:r w:rsidRPr="00C60340">
        <w:rPr>
          <w:rFonts w:ascii="Times New Roman" w:hAnsi="Times New Roman"/>
          <w:noProof/>
          <w:sz w:val="24"/>
          <w:szCs w:val="24"/>
        </w:rPr>
        <w:t>bezpečí všetci</w:t>
      </w:r>
      <w:r w:rsidR="00C60340">
        <w:rPr>
          <w:rFonts w:ascii="Times New Roman" w:hAnsi="Times New Roman"/>
          <w:noProof/>
          <w:sz w:val="24"/>
          <w:szCs w:val="24"/>
        </w:rPr>
        <w:t>.</w:t>
      </w:r>
    </w:p>
    <w:p w14:paraId="1A98CFD6" w14:textId="5B732A1D" w:rsidR="00BB50A9" w:rsidRPr="00C60340" w:rsidRDefault="003D6BF4"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EÚ je od samého začiatku lídrom globálnej reakcie na pandémiu, keď podporuje susedské</w:t>
      </w:r>
      <w:r w:rsidR="00C60340">
        <w:rPr>
          <w:rFonts w:ascii="Times New Roman" w:hAnsi="Times New Roman"/>
          <w:noProof/>
          <w:sz w:val="24"/>
          <w:szCs w:val="24"/>
        </w:rPr>
        <w:t xml:space="preserve"> a </w:t>
      </w:r>
      <w:r w:rsidRPr="00C60340">
        <w:rPr>
          <w:rFonts w:ascii="Times New Roman" w:hAnsi="Times New Roman"/>
          <w:noProof/>
          <w:sz w:val="24"/>
          <w:szCs w:val="24"/>
        </w:rPr>
        <w:t>partnerské krajiny pri riešení jej zdravotných</w:t>
      </w:r>
      <w:r w:rsidR="00C60340">
        <w:rPr>
          <w:rFonts w:ascii="Times New Roman" w:hAnsi="Times New Roman"/>
          <w:noProof/>
          <w:sz w:val="24"/>
          <w:szCs w:val="24"/>
        </w:rPr>
        <w:t xml:space="preserve"> a </w:t>
      </w:r>
      <w:r w:rsidRPr="00C60340">
        <w:rPr>
          <w:rFonts w:ascii="Times New Roman" w:hAnsi="Times New Roman"/>
          <w:noProof/>
          <w:sz w:val="24"/>
          <w:szCs w:val="24"/>
        </w:rPr>
        <w:t>sociálno-ekonomických dôsledkov. EÚ je takisto hybnou silou pri výskume vakcín, je najväčším svetovým vývozcom vakcín</w:t>
      </w:r>
      <w:r w:rsidR="00C60340">
        <w:rPr>
          <w:rFonts w:ascii="Times New Roman" w:hAnsi="Times New Roman"/>
          <w:noProof/>
          <w:sz w:val="24"/>
          <w:szCs w:val="24"/>
        </w:rPr>
        <w:t xml:space="preserve"> a </w:t>
      </w:r>
      <w:r w:rsidRPr="00C60340">
        <w:rPr>
          <w:rFonts w:ascii="Times New Roman" w:hAnsi="Times New Roman"/>
          <w:noProof/>
          <w:sz w:val="24"/>
          <w:szCs w:val="24"/>
        </w:rPr>
        <w:t>stojí na čele spoločného využívania zásob vakcín.</w:t>
      </w:r>
      <w:r w:rsidR="00C60340" w:rsidRPr="00C60340">
        <w:rPr>
          <w:rFonts w:ascii="Times New Roman" w:hAnsi="Times New Roman"/>
          <w:noProof/>
          <w:sz w:val="24"/>
          <w:szCs w:val="24"/>
        </w:rPr>
        <w:t xml:space="preserve"> </w:t>
      </w:r>
      <w:r w:rsidRPr="00C60340">
        <w:rPr>
          <w:rFonts w:ascii="Times New Roman" w:hAnsi="Times New Roman"/>
          <w:noProof/>
          <w:sz w:val="24"/>
          <w:szCs w:val="24"/>
        </w:rPr>
        <w:t>Zároveň hrá vedúcu úlohu pri podpore krajín, ktoré čelia kombinácii vážnych zdravotných dôsledkov</w:t>
      </w:r>
      <w:r w:rsidR="00C60340">
        <w:rPr>
          <w:rFonts w:ascii="Times New Roman" w:hAnsi="Times New Roman"/>
          <w:noProof/>
          <w:sz w:val="24"/>
          <w:szCs w:val="24"/>
        </w:rPr>
        <w:t xml:space="preserve"> a </w:t>
      </w:r>
      <w:r w:rsidRPr="00C60340">
        <w:rPr>
          <w:rFonts w:ascii="Times New Roman" w:hAnsi="Times New Roman"/>
          <w:noProof/>
          <w:sz w:val="24"/>
          <w:szCs w:val="24"/>
        </w:rPr>
        <w:t>hospodárskeho prepadu. Túto prácu je teraz potrebné zintenzívniť.</w:t>
      </w:r>
    </w:p>
    <w:p w14:paraId="736A176C" w14:textId="069F7A50" w:rsidR="00C85726" w:rsidRPr="00C60340" w:rsidRDefault="00CA1111"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Otvorenosť</w:t>
      </w:r>
      <w:r w:rsidR="00C60340">
        <w:rPr>
          <w:rFonts w:ascii="Times New Roman" w:hAnsi="Times New Roman"/>
          <w:noProof/>
          <w:sz w:val="24"/>
          <w:szCs w:val="24"/>
        </w:rPr>
        <w:t xml:space="preserve"> a </w:t>
      </w:r>
      <w:r w:rsidRPr="00C60340">
        <w:rPr>
          <w:rFonts w:ascii="Times New Roman" w:hAnsi="Times New Roman"/>
          <w:noProof/>
          <w:sz w:val="24"/>
          <w:szCs w:val="24"/>
        </w:rPr>
        <w:t xml:space="preserve">spravodlivosť sú značkou Európy. Viac ako 1 miliarda </w:t>
      </w:r>
      <w:r w:rsidRPr="00C60340">
        <w:rPr>
          <w:rFonts w:ascii="Times New Roman" w:hAnsi="Times New Roman"/>
          <w:b/>
          <w:i/>
          <w:noProof/>
          <w:sz w:val="24"/>
          <w:szCs w:val="24"/>
        </w:rPr>
        <w:t>vakcín vyrobených</w:t>
      </w:r>
      <w:r w:rsidR="00C60340">
        <w:rPr>
          <w:rFonts w:ascii="Times New Roman" w:hAnsi="Times New Roman"/>
          <w:b/>
          <w:i/>
          <w:noProof/>
          <w:sz w:val="24"/>
          <w:szCs w:val="24"/>
        </w:rPr>
        <w:t xml:space="preserve"> v </w:t>
      </w:r>
      <w:r w:rsidRPr="00C60340">
        <w:rPr>
          <w:rFonts w:ascii="Times New Roman" w:hAnsi="Times New Roman"/>
          <w:b/>
          <w:i/>
          <w:noProof/>
          <w:sz w:val="24"/>
          <w:szCs w:val="24"/>
        </w:rPr>
        <w:t>EÚ bola vyvezená do vyše 150 krajín</w:t>
      </w:r>
      <w:r w:rsidRPr="00C60340">
        <w:rPr>
          <w:rFonts w:ascii="Times New Roman" w:hAnsi="Times New Roman"/>
          <w:noProof/>
          <w:sz w:val="24"/>
          <w:szCs w:val="24"/>
        </w:rPr>
        <w:t xml:space="preserve"> na všetkých kontinentoch. EÚ vyviezla rovnaké množstvo vakcín, aké podala svojim občanom. Európa vyviezla</w:t>
      </w:r>
      <w:r w:rsidR="00C60340">
        <w:rPr>
          <w:rFonts w:ascii="Times New Roman" w:hAnsi="Times New Roman"/>
          <w:noProof/>
          <w:sz w:val="24"/>
          <w:szCs w:val="24"/>
        </w:rPr>
        <w:t xml:space="preserve"> a </w:t>
      </w:r>
      <w:r w:rsidRPr="00C60340">
        <w:rPr>
          <w:rFonts w:ascii="Times New Roman" w:hAnsi="Times New Roman"/>
          <w:noProof/>
          <w:sz w:val="24"/>
          <w:szCs w:val="24"/>
        </w:rPr>
        <w:t>vyváža prinajmenšom každú druhú vakcínu, ktorú vyrobí. Navrhovaným novým mechanizmom pre transparentnosť vývozu sa zabezpečí, aby EÚ mohla naďalej sledovať vývoz vakcín</w:t>
      </w:r>
      <w:r w:rsidR="00C60340">
        <w:rPr>
          <w:rFonts w:ascii="Times New Roman" w:hAnsi="Times New Roman"/>
          <w:noProof/>
          <w:sz w:val="24"/>
          <w:szCs w:val="24"/>
        </w:rPr>
        <w:t xml:space="preserve"> a </w:t>
      </w:r>
      <w:r w:rsidRPr="00C60340">
        <w:rPr>
          <w:rFonts w:ascii="Times New Roman" w:hAnsi="Times New Roman"/>
          <w:noProof/>
          <w:sz w:val="24"/>
          <w:szCs w:val="24"/>
        </w:rPr>
        <w:t>účinných látok.</w:t>
      </w:r>
    </w:p>
    <w:p w14:paraId="5589C846" w14:textId="78BB420A" w:rsidR="00C60340" w:rsidRDefault="00C85726"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 xml:space="preserve">Zabezpečiť </w:t>
      </w:r>
      <w:r w:rsidRPr="00C60340">
        <w:rPr>
          <w:rFonts w:ascii="Times New Roman" w:hAnsi="Times New Roman"/>
          <w:b/>
          <w:noProof/>
          <w:sz w:val="24"/>
          <w:szCs w:val="24"/>
        </w:rPr>
        <w:t>prístup</w:t>
      </w:r>
      <w:r w:rsidR="00C60340">
        <w:rPr>
          <w:rFonts w:ascii="Times New Roman" w:hAnsi="Times New Roman"/>
          <w:b/>
          <w:noProof/>
          <w:sz w:val="24"/>
          <w:szCs w:val="24"/>
        </w:rPr>
        <w:t xml:space="preserve"> k </w:t>
      </w:r>
      <w:r w:rsidRPr="00C60340">
        <w:rPr>
          <w:rFonts w:ascii="Times New Roman" w:hAnsi="Times New Roman"/>
          <w:b/>
          <w:noProof/>
          <w:sz w:val="24"/>
          <w:szCs w:val="24"/>
        </w:rPr>
        <w:t>bezpečným</w:t>
      </w:r>
      <w:r w:rsidR="00C60340">
        <w:rPr>
          <w:rFonts w:ascii="Times New Roman" w:hAnsi="Times New Roman"/>
          <w:b/>
          <w:noProof/>
          <w:sz w:val="24"/>
          <w:szCs w:val="24"/>
        </w:rPr>
        <w:t xml:space="preserve"> a </w:t>
      </w:r>
      <w:r w:rsidRPr="00C60340">
        <w:rPr>
          <w:rFonts w:ascii="Times New Roman" w:hAnsi="Times New Roman"/>
          <w:b/>
          <w:noProof/>
          <w:sz w:val="24"/>
          <w:szCs w:val="24"/>
        </w:rPr>
        <w:t>cenovo dostupným vakcínam proti ochoreniu COVID-19</w:t>
      </w:r>
      <w:r w:rsidRPr="00C60340">
        <w:rPr>
          <w:rFonts w:ascii="Times New Roman" w:hAnsi="Times New Roman"/>
          <w:noProof/>
          <w:sz w:val="24"/>
          <w:szCs w:val="24"/>
        </w:rPr>
        <w:t xml:space="preserve"> na celom svete,</w:t>
      </w:r>
      <w:r w:rsidR="00C60340">
        <w:rPr>
          <w:rFonts w:ascii="Times New Roman" w:hAnsi="Times New Roman"/>
          <w:noProof/>
          <w:sz w:val="24"/>
          <w:szCs w:val="24"/>
        </w:rPr>
        <w:t xml:space="preserve"> a </w:t>
      </w:r>
      <w:r w:rsidRPr="00C60340">
        <w:rPr>
          <w:rFonts w:ascii="Times New Roman" w:hAnsi="Times New Roman"/>
          <w:noProof/>
          <w:sz w:val="24"/>
          <w:szCs w:val="24"/>
        </w:rPr>
        <w:t>najmä</w:t>
      </w:r>
      <w:r w:rsidR="00C60340">
        <w:rPr>
          <w:rFonts w:ascii="Times New Roman" w:hAnsi="Times New Roman"/>
          <w:noProof/>
          <w:sz w:val="24"/>
          <w:szCs w:val="24"/>
        </w:rPr>
        <w:t xml:space="preserve"> v </w:t>
      </w:r>
      <w:r w:rsidRPr="00C60340">
        <w:rPr>
          <w:rFonts w:ascii="Times New Roman" w:hAnsi="Times New Roman"/>
          <w:noProof/>
          <w:sz w:val="24"/>
          <w:szCs w:val="24"/>
        </w:rPr>
        <w:t>krajinách</w:t>
      </w:r>
      <w:r w:rsidR="00C60340">
        <w:rPr>
          <w:rFonts w:ascii="Times New Roman" w:hAnsi="Times New Roman"/>
          <w:noProof/>
          <w:sz w:val="24"/>
          <w:szCs w:val="24"/>
        </w:rPr>
        <w:t xml:space="preserve"> s </w:t>
      </w:r>
      <w:r w:rsidRPr="00C60340">
        <w:rPr>
          <w:rFonts w:ascii="Times New Roman" w:hAnsi="Times New Roman"/>
          <w:noProof/>
          <w:sz w:val="24"/>
          <w:szCs w:val="24"/>
        </w:rPr>
        <w:t>nízkym</w:t>
      </w:r>
      <w:r w:rsidR="00C60340">
        <w:rPr>
          <w:rFonts w:ascii="Times New Roman" w:hAnsi="Times New Roman"/>
          <w:noProof/>
          <w:sz w:val="24"/>
          <w:szCs w:val="24"/>
        </w:rPr>
        <w:t xml:space="preserve"> a </w:t>
      </w:r>
      <w:r w:rsidRPr="00C60340">
        <w:rPr>
          <w:rFonts w:ascii="Times New Roman" w:hAnsi="Times New Roman"/>
          <w:noProof/>
          <w:sz w:val="24"/>
          <w:szCs w:val="24"/>
        </w:rPr>
        <w:t>stredným príjmom, je pre EÚ prioritou. Ak chceme pandémiu účinne riešiť,</w:t>
      </w:r>
      <w:r w:rsidR="00C60340">
        <w:rPr>
          <w:rFonts w:ascii="Times New Roman" w:hAnsi="Times New Roman"/>
          <w:noProof/>
          <w:sz w:val="24"/>
          <w:szCs w:val="24"/>
        </w:rPr>
        <w:t xml:space="preserve"> v </w:t>
      </w:r>
      <w:r w:rsidRPr="00C60340">
        <w:rPr>
          <w:rFonts w:ascii="Times New Roman" w:hAnsi="Times New Roman"/>
          <w:noProof/>
          <w:sz w:val="24"/>
          <w:szCs w:val="24"/>
        </w:rPr>
        <w:t>situácii, keď sú</w:t>
      </w:r>
      <w:r w:rsidR="00C60340">
        <w:rPr>
          <w:rFonts w:ascii="Times New Roman" w:hAnsi="Times New Roman"/>
          <w:noProof/>
          <w:sz w:val="24"/>
          <w:szCs w:val="24"/>
        </w:rPr>
        <w:t xml:space="preserve"> v </w:t>
      </w:r>
      <w:r w:rsidRPr="00C60340">
        <w:rPr>
          <w:rFonts w:ascii="Times New Roman" w:hAnsi="Times New Roman"/>
          <w:noProof/>
          <w:sz w:val="24"/>
          <w:szCs w:val="24"/>
        </w:rPr>
        <w:t>krajinách</w:t>
      </w:r>
      <w:r w:rsidR="00C60340">
        <w:rPr>
          <w:rFonts w:ascii="Times New Roman" w:hAnsi="Times New Roman"/>
          <w:noProof/>
          <w:sz w:val="24"/>
          <w:szCs w:val="24"/>
        </w:rPr>
        <w:t xml:space="preserve"> s </w:t>
      </w:r>
      <w:r w:rsidRPr="00C60340">
        <w:rPr>
          <w:rFonts w:ascii="Times New Roman" w:hAnsi="Times New Roman"/>
          <w:noProof/>
          <w:sz w:val="24"/>
          <w:szCs w:val="24"/>
        </w:rPr>
        <w:t>nízkym príjmom zaočkované len 2</w:t>
      </w:r>
      <w:r w:rsidR="00C60340">
        <w:rPr>
          <w:rFonts w:ascii="Times New Roman" w:hAnsi="Times New Roman"/>
          <w:noProof/>
          <w:sz w:val="24"/>
          <w:szCs w:val="24"/>
        </w:rPr>
        <w:t> %</w:t>
      </w:r>
      <w:r w:rsidRPr="00C60340">
        <w:rPr>
          <w:rFonts w:ascii="Times New Roman" w:hAnsi="Times New Roman"/>
          <w:noProof/>
          <w:sz w:val="24"/>
          <w:szCs w:val="24"/>
        </w:rPr>
        <w:t xml:space="preserve"> obyvateľstva</w:t>
      </w:r>
      <w:r w:rsidR="00C60340">
        <w:rPr>
          <w:rFonts w:ascii="Times New Roman" w:hAnsi="Times New Roman"/>
          <w:noProof/>
          <w:sz w:val="24"/>
          <w:szCs w:val="24"/>
        </w:rPr>
        <w:t xml:space="preserve"> a v </w:t>
      </w:r>
      <w:r w:rsidRPr="00C60340">
        <w:rPr>
          <w:rFonts w:ascii="Times New Roman" w:hAnsi="Times New Roman"/>
          <w:noProof/>
          <w:sz w:val="24"/>
          <w:szCs w:val="24"/>
        </w:rPr>
        <w:t>krajinách</w:t>
      </w:r>
      <w:r w:rsidR="00C60340">
        <w:rPr>
          <w:rFonts w:ascii="Times New Roman" w:hAnsi="Times New Roman"/>
          <w:noProof/>
          <w:sz w:val="24"/>
          <w:szCs w:val="24"/>
        </w:rPr>
        <w:t xml:space="preserve"> s </w:t>
      </w:r>
      <w:r w:rsidRPr="00C60340">
        <w:rPr>
          <w:rFonts w:ascii="Times New Roman" w:hAnsi="Times New Roman"/>
          <w:noProof/>
          <w:sz w:val="24"/>
          <w:szCs w:val="24"/>
        </w:rPr>
        <w:t>nižším stredným príjmom len 19</w:t>
      </w:r>
      <w:r w:rsidR="00C60340">
        <w:rPr>
          <w:rFonts w:ascii="Times New Roman" w:hAnsi="Times New Roman"/>
          <w:noProof/>
          <w:sz w:val="24"/>
          <w:szCs w:val="24"/>
        </w:rPr>
        <w:t> %</w:t>
      </w:r>
      <w:r w:rsidRPr="00C60340">
        <w:rPr>
          <w:rFonts w:ascii="Times New Roman" w:hAnsi="Times New Roman"/>
          <w:noProof/>
          <w:sz w:val="24"/>
          <w:szCs w:val="24"/>
        </w:rPr>
        <w:t xml:space="preserve"> obyvateľstva, musí byť prioritou urýchlenie globálneho očkovania. Osobitný dôraz sa kladie na </w:t>
      </w:r>
      <w:r w:rsidRPr="00C60340">
        <w:rPr>
          <w:rFonts w:ascii="Times New Roman" w:hAnsi="Times New Roman"/>
          <w:b/>
          <w:noProof/>
          <w:sz w:val="24"/>
          <w:szCs w:val="24"/>
        </w:rPr>
        <w:t>Afriku</w:t>
      </w:r>
      <w:r w:rsidRPr="00C60340">
        <w:rPr>
          <w:rStyle w:val="FootnoteReference"/>
          <w:rFonts w:ascii="Times New Roman" w:hAnsi="Times New Roman" w:cs="Times New Roman"/>
          <w:noProof/>
          <w:sz w:val="24"/>
          <w:szCs w:val="24"/>
        </w:rPr>
        <w:footnoteReference w:id="13"/>
      </w:r>
      <w:r w:rsidRPr="00C60340">
        <w:rPr>
          <w:rFonts w:ascii="Times New Roman" w:hAnsi="Times New Roman"/>
          <w:noProof/>
          <w:sz w:val="24"/>
          <w:szCs w:val="24"/>
        </w:rPr>
        <w:t>, pričom pred samitom EÚ – Afrika vo februári 2022 sa pripraví balík podporných opatrení</w:t>
      </w:r>
      <w:r w:rsidR="00C60340">
        <w:rPr>
          <w:rFonts w:ascii="Times New Roman" w:hAnsi="Times New Roman"/>
          <w:noProof/>
          <w:sz w:val="24"/>
          <w:szCs w:val="24"/>
        </w:rPr>
        <w:t>.</w:t>
      </w:r>
    </w:p>
    <w:p w14:paraId="63A1106A" w14:textId="145DCCB8" w:rsidR="00CE0199" w:rsidRPr="00C60340" w:rsidRDefault="00CE0199"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Komisia neustále spolupracuje</w:t>
      </w:r>
      <w:r w:rsidR="00C60340">
        <w:rPr>
          <w:rFonts w:ascii="Times New Roman" w:hAnsi="Times New Roman"/>
          <w:noProof/>
          <w:sz w:val="24"/>
          <w:szCs w:val="24"/>
        </w:rPr>
        <w:t xml:space="preserve"> s </w:t>
      </w:r>
      <w:r w:rsidRPr="00C60340">
        <w:rPr>
          <w:rFonts w:ascii="Times New Roman" w:hAnsi="Times New Roman"/>
          <w:noProof/>
          <w:sz w:val="24"/>
          <w:szCs w:val="24"/>
        </w:rPr>
        <w:t>výrobcami</w:t>
      </w:r>
      <w:r w:rsidR="00C60340">
        <w:rPr>
          <w:rFonts w:ascii="Times New Roman" w:hAnsi="Times New Roman"/>
          <w:noProof/>
          <w:sz w:val="24"/>
          <w:szCs w:val="24"/>
        </w:rPr>
        <w:t xml:space="preserve"> s </w:t>
      </w:r>
      <w:r w:rsidRPr="00C60340">
        <w:rPr>
          <w:rFonts w:ascii="Times New Roman" w:hAnsi="Times New Roman"/>
          <w:noProof/>
          <w:sz w:val="24"/>
          <w:szCs w:val="24"/>
        </w:rPr>
        <w:t>cieľom zabezpečiť nepretržité, pravidelné</w:t>
      </w:r>
      <w:r w:rsidR="00C60340">
        <w:rPr>
          <w:rFonts w:ascii="Times New Roman" w:hAnsi="Times New Roman"/>
          <w:noProof/>
          <w:sz w:val="24"/>
          <w:szCs w:val="24"/>
        </w:rPr>
        <w:t xml:space="preserve"> a </w:t>
      </w:r>
      <w:r w:rsidRPr="00C60340">
        <w:rPr>
          <w:rFonts w:ascii="Times New Roman" w:hAnsi="Times New Roman"/>
          <w:noProof/>
          <w:sz w:val="24"/>
          <w:szCs w:val="24"/>
        </w:rPr>
        <w:t>predvídateľné dodávky vakcín. Členské štáty môžu mať istotu, že budú mať</w:t>
      </w:r>
      <w:r w:rsidR="00C60340">
        <w:rPr>
          <w:rFonts w:ascii="Times New Roman" w:hAnsi="Times New Roman"/>
          <w:noProof/>
          <w:sz w:val="24"/>
          <w:szCs w:val="24"/>
        </w:rPr>
        <w:t xml:space="preserve"> k </w:t>
      </w:r>
      <w:r w:rsidRPr="00C60340">
        <w:rPr>
          <w:rFonts w:ascii="Times New Roman" w:hAnsi="Times New Roman"/>
          <w:noProof/>
          <w:sz w:val="24"/>
          <w:szCs w:val="24"/>
        </w:rPr>
        <w:t>dispozícii očkovacie dávky na pokrytie svojich potrieb,</w:t>
      </w:r>
      <w:r w:rsidR="00C60340">
        <w:rPr>
          <w:rFonts w:ascii="Times New Roman" w:hAnsi="Times New Roman"/>
          <w:noProof/>
          <w:sz w:val="24"/>
          <w:szCs w:val="24"/>
        </w:rPr>
        <w:t xml:space="preserve"> a </w:t>
      </w:r>
      <w:r w:rsidRPr="00C60340">
        <w:rPr>
          <w:rFonts w:ascii="Times New Roman" w:hAnsi="Times New Roman"/>
          <w:noProof/>
          <w:sz w:val="24"/>
          <w:szCs w:val="24"/>
        </w:rPr>
        <w:t>to aj</w:t>
      </w:r>
      <w:r w:rsidR="00C60340">
        <w:rPr>
          <w:rFonts w:ascii="Times New Roman" w:hAnsi="Times New Roman"/>
          <w:noProof/>
          <w:sz w:val="24"/>
          <w:szCs w:val="24"/>
        </w:rPr>
        <w:t xml:space="preserve"> v </w:t>
      </w:r>
      <w:r w:rsidRPr="00C60340">
        <w:rPr>
          <w:rFonts w:ascii="Times New Roman" w:hAnsi="Times New Roman"/>
          <w:noProof/>
          <w:sz w:val="24"/>
          <w:szCs w:val="24"/>
        </w:rPr>
        <w:t>prípade posilňovacích dávok alebo upravených vakcín. Členské štáty by preto mali takisto bez obáv pokračovať</w:t>
      </w:r>
      <w:r w:rsidR="00C60340">
        <w:rPr>
          <w:rFonts w:ascii="Times New Roman" w:hAnsi="Times New Roman"/>
          <w:noProof/>
          <w:sz w:val="24"/>
          <w:szCs w:val="24"/>
        </w:rPr>
        <w:t xml:space="preserve"> v </w:t>
      </w:r>
      <w:r w:rsidRPr="00C60340">
        <w:rPr>
          <w:rFonts w:ascii="Times New Roman" w:hAnsi="Times New Roman"/>
          <w:noProof/>
          <w:sz w:val="24"/>
          <w:szCs w:val="24"/>
        </w:rPr>
        <w:t>presmerúvaní značných objemov plánovaných dodávok vakcín do krajín</w:t>
      </w:r>
      <w:r w:rsidR="00C60340">
        <w:rPr>
          <w:rFonts w:ascii="Times New Roman" w:hAnsi="Times New Roman"/>
          <w:noProof/>
          <w:sz w:val="24"/>
          <w:szCs w:val="24"/>
        </w:rPr>
        <w:t xml:space="preserve"> s </w:t>
      </w:r>
      <w:r w:rsidRPr="00C60340">
        <w:rPr>
          <w:rFonts w:ascii="Times New Roman" w:hAnsi="Times New Roman"/>
          <w:noProof/>
          <w:sz w:val="24"/>
          <w:szCs w:val="24"/>
        </w:rPr>
        <w:t>nízkym</w:t>
      </w:r>
      <w:r w:rsidR="00C60340">
        <w:rPr>
          <w:rFonts w:ascii="Times New Roman" w:hAnsi="Times New Roman"/>
          <w:noProof/>
          <w:sz w:val="24"/>
          <w:szCs w:val="24"/>
        </w:rPr>
        <w:t xml:space="preserve"> a </w:t>
      </w:r>
      <w:r w:rsidRPr="00C60340">
        <w:rPr>
          <w:rFonts w:ascii="Times New Roman" w:hAnsi="Times New Roman"/>
          <w:noProof/>
          <w:sz w:val="24"/>
          <w:szCs w:val="24"/>
        </w:rPr>
        <w:t>stredným príjmom.</w:t>
      </w:r>
    </w:p>
    <w:p w14:paraId="34FFA0F4" w14:textId="3C37D945" w:rsidR="00EC4D24" w:rsidRPr="00C60340" w:rsidRDefault="00CA1111" w:rsidP="001378BC">
      <w:pPr>
        <w:pStyle w:val="NormalWeb"/>
        <w:spacing w:before="0" w:beforeAutospacing="0" w:after="120" w:afterAutospacing="0"/>
        <w:jc w:val="both"/>
        <w:rPr>
          <w:iCs/>
          <w:noProof/>
        </w:rPr>
      </w:pPr>
      <w:r w:rsidRPr="00C60340">
        <w:rPr>
          <w:noProof/>
        </w:rPr>
        <w:t xml:space="preserve">Popri vývozoch vakcín si EÚ plní aj záväzky týkajúce sa </w:t>
      </w:r>
      <w:r w:rsidRPr="00C60340">
        <w:rPr>
          <w:b/>
          <w:i/>
          <w:noProof/>
        </w:rPr>
        <w:t>spoločného využívania zásob očkovacích látok</w:t>
      </w:r>
      <w:r w:rsidRPr="00C60340">
        <w:rPr>
          <w:noProof/>
        </w:rPr>
        <w:t>. Tím Európa do konca roka 2021 poskytne 250 miliónov dávok</w:t>
      </w:r>
      <w:r w:rsidR="00C60340">
        <w:rPr>
          <w:noProof/>
        </w:rPr>
        <w:t xml:space="preserve"> a </w:t>
      </w:r>
      <w:r w:rsidRPr="00C60340">
        <w:rPr>
          <w:noProof/>
        </w:rPr>
        <w:t>do polovice roka 2022 celkovo 700 miliónov dávok,</w:t>
      </w:r>
      <w:r w:rsidR="00C60340">
        <w:rPr>
          <w:noProof/>
        </w:rPr>
        <w:t xml:space="preserve"> z </w:t>
      </w:r>
      <w:r w:rsidRPr="00C60340">
        <w:rPr>
          <w:noProof/>
        </w:rPr>
        <w:t>ktorých 200 miliónov bude financovaných priamo</w:t>
      </w:r>
      <w:r w:rsidR="00C60340">
        <w:rPr>
          <w:noProof/>
        </w:rPr>
        <w:t xml:space="preserve"> z </w:t>
      </w:r>
      <w:r w:rsidRPr="00C60340">
        <w:rPr>
          <w:noProof/>
        </w:rPr>
        <w:t>rozpočtu EÚ. Členské štáty už pomocou mechanizmu EÚ na spoločné využívanie zásob vakcín</w:t>
      </w:r>
      <w:r w:rsidR="00C60340">
        <w:rPr>
          <w:noProof/>
        </w:rPr>
        <w:t xml:space="preserve"> a s </w:t>
      </w:r>
      <w:r w:rsidRPr="00C60340">
        <w:rPr>
          <w:noProof/>
        </w:rPr>
        <w:t>podporou osobitnej skupiny zriadenej Komisiou dodali viac ako 100 miliónov dávok vakcín po celom svete –</w:t>
      </w:r>
      <w:r w:rsidR="00C60340">
        <w:rPr>
          <w:noProof/>
        </w:rPr>
        <w:t xml:space="preserve"> a </w:t>
      </w:r>
      <w:r w:rsidRPr="00C60340">
        <w:rPr>
          <w:noProof/>
        </w:rPr>
        <w:t>toto darovanie</w:t>
      </w:r>
      <w:r w:rsidR="00C60340">
        <w:rPr>
          <w:noProof/>
        </w:rPr>
        <w:t xml:space="preserve"> a </w:t>
      </w:r>
      <w:r w:rsidRPr="00C60340">
        <w:rPr>
          <w:noProof/>
        </w:rPr>
        <w:t>dodávky vakcín sa môžu</w:t>
      </w:r>
      <w:r w:rsidR="00C60340">
        <w:rPr>
          <w:noProof/>
        </w:rPr>
        <w:t xml:space="preserve"> a </w:t>
      </w:r>
      <w:r w:rsidRPr="00C60340">
        <w:rPr>
          <w:noProof/>
        </w:rPr>
        <w:t>teraz aj musia urýchliť.</w:t>
      </w:r>
      <w:r w:rsidR="00C60340">
        <w:rPr>
          <w:noProof/>
        </w:rPr>
        <w:t xml:space="preserve"> V </w:t>
      </w:r>
      <w:r w:rsidRPr="00C60340">
        <w:rPr>
          <w:noProof/>
        </w:rPr>
        <w:t>tejto práci bude nutné</w:t>
      </w:r>
      <w:r w:rsidR="00C60340">
        <w:rPr>
          <w:noProof/>
        </w:rPr>
        <w:t xml:space="preserve"> v </w:t>
      </w:r>
      <w:r w:rsidRPr="00C60340">
        <w:rPr>
          <w:noProof/>
        </w:rPr>
        <w:t>dohľadnej budúcnosti pokračovať</w:t>
      </w:r>
      <w:r w:rsidR="00C60340">
        <w:rPr>
          <w:noProof/>
        </w:rPr>
        <w:t xml:space="preserve"> a </w:t>
      </w:r>
      <w:r w:rsidRPr="00C60340">
        <w:rPr>
          <w:noProof/>
        </w:rPr>
        <w:t>jej účinok bude tým väčší, čím rýchlejšie sa bude realizovať.</w:t>
      </w:r>
    </w:p>
    <w:p w14:paraId="4DCE8070" w14:textId="06BD3605" w:rsidR="0063498E" w:rsidRPr="00C60340" w:rsidRDefault="0063498E" w:rsidP="001378BC">
      <w:pPr>
        <w:spacing w:after="120" w:line="240" w:lineRule="auto"/>
        <w:jc w:val="both"/>
        <w:rPr>
          <w:rFonts w:ascii="Times New Roman" w:hAnsi="Times New Roman" w:cs="Times New Roman"/>
          <w:noProof/>
          <w:spacing w:val="-4"/>
        </w:rPr>
      </w:pPr>
      <w:r w:rsidRPr="00C60340">
        <w:rPr>
          <w:rFonts w:ascii="Times New Roman" w:hAnsi="Times New Roman"/>
          <w:iCs/>
          <w:noProof/>
          <w:spacing w:val="-4"/>
          <w:sz w:val="24"/>
          <w:szCs w:val="24"/>
        </w:rPr>
        <w:t>Ide</w:t>
      </w:r>
      <w:r w:rsidR="00C60340" w:rsidRPr="00C60340">
        <w:rPr>
          <w:rFonts w:ascii="Times New Roman" w:hAnsi="Times New Roman"/>
          <w:iCs/>
          <w:noProof/>
          <w:spacing w:val="-4"/>
          <w:sz w:val="24"/>
          <w:szCs w:val="24"/>
        </w:rPr>
        <w:t xml:space="preserve"> o </w:t>
      </w:r>
      <w:r w:rsidRPr="00C60340">
        <w:rPr>
          <w:rFonts w:ascii="Times New Roman" w:hAnsi="Times New Roman"/>
          <w:iCs/>
          <w:noProof/>
          <w:spacing w:val="-4"/>
          <w:sz w:val="24"/>
          <w:szCs w:val="24"/>
        </w:rPr>
        <w:t>záväzky nad rámec existujúcej podpory, ktorú Tím Európa ako najväčší podporovateľ poskytuje Akcelerátoru ACT</w:t>
      </w:r>
      <w:r w:rsidR="00C60340" w:rsidRPr="00C60340">
        <w:rPr>
          <w:rFonts w:ascii="Times New Roman" w:hAnsi="Times New Roman"/>
          <w:iCs/>
          <w:noProof/>
          <w:spacing w:val="-4"/>
          <w:sz w:val="24"/>
          <w:szCs w:val="24"/>
        </w:rPr>
        <w:t xml:space="preserve"> a </w:t>
      </w:r>
      <w:r w:rsidRPr="00C60340">
        <w:rPr>
          <w:rFonts w:ascii="Times New Roman" w:hAnsi="Times New Roman"/>
          <w:iCs/>
          <w:noProof/>
          <w:spacing w:val="-4"/>
          <w:sz w:val="24"/>
          <w:szCs w:val="24"/>
        </w:rPr>
        <w:t>jeho vakcinačnému pilieru COVAX vrátane dodávok</w:t>
      </w:r>
      <w:r w:rsidR="00C60340" w:rsidRPr="00C60340">
        <w:rPr>
          <w:rFonts w:ascii="Times New Roman" w:hAnsi="Times New Roman"/>
          <w:iCs/>
          <w:noProof/>
          <w:spacing w:val="-4"/>
          <w:sz w:val="24"/>
          <w:szCs w:val="24"/>
        </w:rPr>
        <w:t xml:space="preserve"> v </w:t>
      </w:r>
      <w:r w:rsidRPr="00C60340">
        <w:rPr>
          <w:rFonts w:ascii="Times New Roman" w:hAnsi="Times New Roman"/>
          <w:iCs/>
          <w:noProof/>
          <w:spacing w:val="-4"/>
          <w:sz w:val="24"/>
          <w:szCs w:val="24"/>
        </w:rPr>
        <w:t xml:space="preserve">humanitárnych situáciách prostredníctvom humanitárnej rezervy nástroja. </w:t>
      </w:r>
      <w:r w:rsidRPr="00C60340">
        <w:rPr>
          <w:rFonts w:ascii="Times New Roman" w:hAnsi="Times New Roman"/>
          <w:noProof/>
          <w:spacing w:val="-4"/>
          <w:sz w:val="24"/>
          <w:szCs w:val="24"/>
        </w:rPr>
        <w:t>Komisia bude konať</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nadväznosti na záväzok, ktorý prijali partneri</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 xml:space="preserve">odvetvia na </w:t>
      </w:r>
      <w:r w:rsidRPr="00C60340">
        <w:rPr>
          <w:rFonts w:ascii="Times New Roman" w:hAnsi="Times New Roman"/>
          <w:b/>
          <w:noProof/>
          <w:spacing w:val="-4"/>
          <w:sz w:val="24"/>
          <w:szCs w:val="24"/>
        </w:rPr>
        <w:t>celosvetovom samite</w:t>
      </w:r>
      <w:r w:rsidR="00C60340" w:rsidRPr="00C60340">
        <w:rPr>
          <w:rFonts w:ascii="Times New Roman" w:hAnsi="Times New Roman"/>
          <w:b/>
          <w:noProof/>
          <w:spacing w:val="-4"/>
          <w:sz w:val="24"/>
          <w:szCs w:val="24"/>
        </w:rPr>
        <w:t xml:space="preserve"> o </w:t>
      </w:r>
      <w:r w:rsidRPr="00C60340">
        <w:rPr>
          <w:rFonts w:ascii="Times New Roman" w:hAnsi="Times New Roman"/>
          <w:b/>
          <w:noProof/>
          <w:spacing w:val="-4"/>
          <w:sz w:val="24"/>
          <w:szCs w:val="24"/>
        </w:rPr>
        <w:t>zdraví</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Ríme,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to sprístupniť 1,5 miliardy dávok vakcín krajinám</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nízkym príjmom bez zisku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krajinám so stredným príjmom za nižšie ceny. Zásadný význam má aj podnecovanie výroby na celom svete: Tím Európa investuje aj 1 miliardu EUR do zvýšenia výrobnej kapacity mRNA vakcín</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Afrike.</w:t>
      </w:r>
    </w:p>
    <w:p w14:paraId="01EA7BE8" w14:textId="160D4381" w:rsidR="00C60340" w:rsidRPr="00C60340" w:rsidRDefault="00EC4D24" w:rsidP="001378BC">
      <w:pPr>
        <w:spacing w:after="120" w:line="240" w:lineRule="auto"/>
        <w:jc w:val="both"/>
        <w:rPr>
          <w:rFonts w:ascii="Times New Roman" w:hAnsi="Times New Roman"/>
          <w:noProof/>
          <w:spacing w:val="-4"/>
          <w:sz w:val="24"/>
          <w:szCs w:val="24"/>
        </w:rPr>
      </w:pPr>
      <w:r w:rsidRPr="00C60340">
        <w:rPr>
          <w:rFonts w:ascii="Times New Roman" w:hAnsi="Times New Roman"/>
          <w:noProof/>
          <w:spacing w:val="-4"/>
          <w:sz w:val="24"/>
          <w:szCs w:val="24"/>
        </w:rPr>
        <w:t>Len samotné dodanie dávok však nestačí. Členské štáty, výrobcovia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nástroj COVAX musia spolupracovať</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cieľom zabezpečiť, aby sa vakcíny distribuovali predvídateľnejšie tam, kde ich najviac treba,</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aby bola zavedená logistika</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cieľom minimalizovať riziko plytvania. Dostupnosť vybavenia, ako sú injekčné liekovky</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injekčné striekačky, ako aj jasné</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účinné logistické plánovanie sú nevyhnutným predpokladom na to, aby darcovské krajiny mohli vakcíny efektívne dodávať</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prijímajúce krajiny ich mohli čerpať. Rovnako zásadné je aj poskytovanie podpory službám zdravotnej starostlivosti, ako sú osobné ochranné prostriedky, testy, liečebné prostriedky</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kľúčové zásoby, ako je kyslík. EÚ bude spolupracovať</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partnerskými krajinami</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nástrojom COVAX</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cieľom zabezpečiť, aby všetko toto fungovalo</w:t>
      </w:r>
      <w:r w:rsidR="00C60340" w:rsidRPr="00C60340">
        <w:rPr>
          <w:rFonts w:ascii="Times New Roman" w:hAnsi="Times New Roman"/>
          <w:noProof/>
          <w:spacing w:val="-4"/>
          <w:sz w:val="24"/>
          <w:szCs w:val="24"/>
        </w:rPr>
        <w:t>.</w:t>
      </w:r>
    </w:p>
    <w:p w14:paraId="6C5FF69A" w14:textId="381841CB" w:rsidR="00C60340" w:rsidRDefault="006D3493"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Prebiehajú aj programy Tímu Európa</w:t>
      </w:r>
      <w:r w:rsidR="00C60340">
        <w:rPr>
          <w:rFonts w:ascii="Times New Roman" w:hAnsi="Times New Roman"/>
          <w:noProof/>
          <w:sz w:val="24"/>
          <w:szCs w:val="24"/>
        </w:rPr>
        <w:t xml:space="preserve"> s </w:t>
      </w:r>
      <w:r w:rsidRPr="00C60340">
        <w:rPr>
          <w:rFonts w:ascii="Times New Roman" w:hAnsi="Times New Roman"/>
          <w:noProof/>
          <w:sz w:val="24"/>
          <w:szCs w:val="24"/>
        </w:rPr>
        <w:t>cieľom pomôcť vybudovať kapacity na výrobu vakcín</w:t>
      </w:r>
      <w:r w:rsidR="00C60340">
        <w:rPr>
          <w:rFonts w:ascii="Times New Roman" w:hAnsi="Times New Roman"/>
          <w:noProof/>
          <w:sz w:val="24"/>
          <w:szCs w:val="24"/>
        </w:rPr>
        <w:t xml:space="preserve"> a </w:t>
      </w:r>
      <w:r w:rsidRPr="00C60340">
        <w:rPr>
          <w:rFonts w:ascii="Times New Roman" w:hAnsi="Times New Roman"/>
          <w:noProof/>
          <w:sz w:val="24"/>
          <w:szCs w:val="24"/>
        </w:rPr>
        <w:t>vytvoriť priaznivé regulačné rámce</w:t>
      </w:r>
      <w:r w:rsidR="00C60340">
        <w:rPr>
          <w:rFonts w:ascii="Times New Roman" w:hAnsi="Times New Roman"/>
          <w:noProof/>
          <w:sz w:val="24"/>
          <w:szCs w:val="24"/>
        </w:rPr>
        <w:t xml:space="preserve"> v </w:t>
      </w:r>
      <w:r w:rsidRPr="00C60340">
        <w:rPr>
          <w:rFonts w:ascii="Times New Roman" w:hAnsi="Times New Roman"/>
          <w:noProof/>
          <w:sz w:val="24"/>
          <w:szCs w:val="24"/>
        </w:rPr>
        <w:t>partnerských krajinách, ako je Južná Afrika, Senegal</w:t>
      </w:r>
      <w:r w:rsidR="00C60340">
        <w:rPr>
          <w:rFonts w:ascii="Times New Roman" w:hAnsi="Times New Roman"/>
          <w:noProof/>
          <w:sz w:val="24"/>
          <w:szCs w:val="24"/>
        </w:rPr>
        <w:t xml:space="preserve"> a </w:t>
      </w:r>
      <w:r w:rsidRPr="00C60340">
        <w:rPr>
          <w:rFonts w:ascii="Times New Roman" w:hAnsi="Times New Roman"/>
          <w:noProof/>
          <w:sz w:val="24"/>
          <w:szCs w:val="24"/>
        </w:rPr>
        <w:t>Rwanda, ktoré budú môcť fungovať ako regionálne centrá pre výrobu vakcín. Úrad HERA takisto obohatí činnosť EÚ</w:t>
      </w:r>
      <w:r w:rsidR="00C60340">
        <w:rPr>
          <w:rFonts w:ascii="Times New Roman" w:hAnsi="Times New Roman"/>
          <w:noProof/>
          <w:sz w:val="24"/>
          <w:szCs w:val="24"/>
        </w:rPr>
        <w:t xml:space="preserve"> o </w:t>
      </w:r>
      <w:r w:rsidRPr="00C60340">
        <w:rPr>
          <w:rFonts w:ascii="Times New Roman" w:hAnsi="Times New Roman"/>
          <w:noProof/>
          <w:sz w:val="24"/>
          <w:szCs w:val="24"/>
        </w:rPr>
        <w:t>dôležitý nový rozmer</w:t>
      </w:r>
      <w:r w:rsidR="00C60340">
        <w:rPr>
          <w:rFonts w:ascii="Times New Roman" w:hAnsi="Times New Roman"/>
          <w:noProof/>
          <w:sz w:val="24"/>
          <w:szCs w:val="24"/>
        </w:rPr>
        <w:t>.</w:t>
      </w:r>
    </w:p>
    <w:p w14:paraId="64D50CD4" w14:textId="160F87B7" w:rsidR="00D21DFC" w:rsidRPr="00C60340" w:rsidRDefault="00D21DFC" w:rsidP="001378BC">
      <w:pPr>
        <w:pStyle w:val="NormalWeb"/>
        <w:spacing w:before="0" w:beforeAutospacing="0" w:after="120" w:afterAutospacing="0"/>
        <w:jc w:val="both"/>
        <w:rPr>
          <w:iCs/>
          <w:noProof/>
        </w:rPr>
      </w:pPr>
      <w:r w:rsidRPr="00C60340">
        <w:rPr>
          <w:noProof/>
        </w:rPr>
        <w:t>Do novembra 2021 požiadalo 44 tretích krajín priamo EÚ</w:t>
      </w:r>
      <w:r w:rsidR="00C60340">
        <w:rPr>
          <w:noProof/>
        </w:rPr>
        <w:t xml:space="preserve"> o </w:t>
      </w:r>
      <w:r w:rsidRPr="00C60340">
        <w:rPr>
          <w:noProof/>
        </w:rPr>
        <w:t>vakcíny</w:t>
      </w:r>
      <w:r w:rsidR="00C60340">
        <w:rPr>
          <w:noProof/>
        </w:rPr>
        <w:t xml:space="preserve"> a </w:t>
      </w:r>
      <w:r w:rsidRPr="00C60340">
        <w:rPr>
          <w:noProof/>
        </w:rPr>
        <w:t xml:space="preserve">pomocný materiál prostredníctvom </w:t>
      </w:r>
      <w:r w:rsidRPr="00C60340">
        <w:rPr>
          <w:b/>
          <w:i/>
          <w:noProof/>
        </w:rPr>
        <w:t>mechanizmu Únie</w:t>
      </w:r>
      <w:r w:rsidR="00C60340">
        <w:rPr>
          <w:b/>
          <w:i/>
          <w:noProof/>
        </w:rPr>
        <w:t xml:space="preserve"> v </w:t>
      </w:r>
      <w:r w:rsidRPr="00C60340">
        <w:rPr>
          <w:b/>
          <w:i/>
          <w:noProof/>
        </w:rPr>
        <w:t>oblasti civilnej ochrany</w:t>
      </w:r>
      <w:r w:rsidRPr="00C60340">
        <w:rPr>
          <w:noProof/>
        </w:rPr>
        <w:t>. EÚ následne podporila</w:t>
      </w:r>
      <w:r w:rsidR="00C60340">
        <w:rPr>
          <w:noProof/>
        </w:rPr>
        <w:t xml:space="preserve"> a </w:t>
      </w:r>
      <w:r w:rsidRPr="00C60340">
        <w:rPr>
          <w:noProof/>
        </w:rPr>
        <w:t>spolufinacovala dodanie takmer 24 miliónov dávok do 37 krajín, čím</w:t>
      </w:r>
      <w:r w:rsidR="00C60340">
        <w:rPr>
          <w:noProof/>
        </w:rPr>
        <w:t xml:space="preserve"> v </w:t>
      </w:r>
      <w:r w:rsidRPr="00C60340">
        <w:rPr>
          <w:noProof/>
        </w:rPr>
        <w:t>plnej miere vybavila 22 žiadostí.</w:t>
      </w:r>
      <w:r w:rsidR="00C60340">
        <w:rPr>
          <w:noProof/>
        </w:rPr>
        <w:t xml:space="preserve"> V </w:t>
      </w:r>
      <w:r w:rsidRPr="00C60340">
        <w:rPr>
          <w:noProof/>
        </w:rPr>
        <w:t>poslednom čase sa spolu</w:t>
      </w:r>
      <w:r w:rsidR="00C60340">
        <w:rPr>
          <w:noProof/>
        </w:rPr>
        <w:t xml:space="preserve"> s </w:t>
      </w:r>
      <w:r w:rsidRPr="00C60340">
        <w:rPr>
          <w:noProof/>
        </w:rPr>
        <w:t>darovanými vakcínami poskytujú aj injekčné striekačky potrebné na ich podávanie. Komisia bude pokračovať</w:t>
      </w:r>
      <w:r w:rsidR="00C60340">
        <w:rPr>
          <w:noProof/>
        </w:rPr>
        <w:t xml:space="preserve"> v </w:t>
      </w:r>
      <w:r w:rsidRPr="00C60340">
        <w:rPr>
          <w:noProof/>
        </w:rPr>
        <w:t>operatívnej</w:t>
      </w:r>
      <w:r w:rsidR="00C60340">
        <w:rPr>
          <w:noProof/>
        </w:rPr>
        <w:t xml:space="preserve"> a </w:t>
      </w:r>
      <w:r w:rsidRPr="00C60340">
        <w:rPr>
          <w:noProof/>
        </w:rPr>
        <w:t>finančnej podpore ďalších potrieb aj</w:t>
      </w:r>
      <w:r w:rsidR="00C60340">
        <w:rPr>
          <w:noProof/>
        </w:rPr>
        <w:t xml:space="preserve"> v </w:t>
      </w:r>
      <w:r w:rsidRPr="00C60340">
        <w:rPr>
          <w:noProof/>
        </w:rPr>
        <w:t>budúcnosti.</w:t>
      </w:r>
    </w:p>
    <w:p w14:paraId="5C5A1EAB" w14:textId="17BA27EB" w:rsidR="00D15BB4" w:rsidRPr="00C60340" w:rsidRDefault="00D15BB4" w:rsidP="001378BC">
      <w:pPr>
        <w:spacing w:after="120" w:line="240" w:lineRule="auto"/>
        <w:jc w:val="both"/>
        <w:rPr>
          <w:rFonts w:ascii="Times New Roman" w:hAnsi="Times New Roman" w:cs="Times New Roman"/>
          <w:noProof/>
          <w:spacing w:val="-8"/>
          <w:sz w:val="24"/>
          <w:szCs w:val="24"/>
        </w:rPr>
      </w:pPr>
      <w:r w:rsidRPr="00C60340">
        <w:rPr>
          <w:rFonts w:ascii="Times New Roman" w:hAnsi="Times New Roman"/>
          <w:noProof/>
          <w:spacing w:val="-8"/>
          <w:sz w:val="24"/>
          <w:szCs w:val="24"/>
        </w:rPr>
        <w:t>EÚ sa zároveň aktívne zasadzuje</w:t>
      </w:r>
      <w:r w:rsidR="00C60340" w:rsidRPr="00C60340">
        <w:rPr>
          <w:rFonts w:ascii="Times New Roman" w:hAnsi="Times New Roman"/>
          <w:noProof/>
          <w:spacing w:val="-8"/>
          <w:sz w:val="24"/>
          <w:szCs w:val="24"/>
        </w:rPr>
        <w:t xml:space="preserve"> o </w:t>
      </w:r>
      <w:r w:rsidRPr="00C60340">
        <w:rPr>
          <w:rFonts w:ascii="Times New Roman" w:hAnsi="Times New Roman"/>
          <w:noProof/>
          <w:spacing w:val="-8"/>
          <w:sz w:val="24"/>
          <w:szCs w:val="24"/>
        </w:rPr>
        <w:t>dosiahnutie dohôd</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rámci Svetovej obchodnej organizácie, ktorými sa zabezpečí nepretržitá dostupnosť potrebných materiálov vďaka otvoreným dodávateľským reťazcom</w:t>
      </w:r>
      <w:r w:rsidR="00C60340" w:rsidRPr="00C60340">
        <w:rPr>
          <w:rFonts w:ascii="Times New Roman" w:hAnsi="Times New Roman"/>
          <w:noProof/>
          <w:spacing w:val="-8"/>
          <w:sz w:val="24"/>
          <w:szCs w:val="24"/>
        </w:rPr>
        <w:t xml:space="preserve"> a </w:t>
      </w:r>
      <w:r w:rsidRPr="00C60340">
        <w:rPr>
          <w:rFonts w:ascii="Times New Roman" w:hAnsi="Times New Roman"/>
          <w:noProof/>
          <w:spacing w:val="-8"/>
          <w:sz w:val="24"/>
          <w:szCs w:val="24"/>
        </w:rPr>
        <w:t>obchodu,</w:t>
      </w:r>
      <w:r w:rsidR="00C60340" w:rsidRPr="00C60340">
        <w:rPr>
          <w:rFonts w:ascii="Times New Roman" w:hAnsi="Times New Roman"/>
          <w:noProof/>
          <w:spacing w:val="-8"/>
          <w:sz w:val="24"/>
          <w:szCs w:val="24"/>
        </w:rPr>
        <w:t xml:space="preserve"> a o </w:t>
      </w:r>
      <w:r w:rsidRPr="00C60340">
        <w:rPr>
          <w:rFonts w:ascii="Times New Roman" w:hAnsi="Times New Roman"/>
          <w:noProof/>
          <w:spacing w:val="-8"/>
          <w:sz w:val="24"/>
          <w:szCs w:val="24"/>
        </w:rPr>
        <w:t>využitie existujúcej flexibility</w:t>
      </w:r>
      <w:r w:rsidR="00C60340" w:rsidRPr="00C60340">
        <w:rPr>
          <w:rFonts w:ascii="Times New Roman" w:hAnsi="Times New Roman"/>
          <w:noProof/>
          <w:spacing w:val="-8"/>
          <w:sz w:val="24"/>
          <w:szCs w:val="24"/>
        </w:rPr>
        <w:t xml:space="preserve"> v </w:t>
      </w:r>
      <w:r w:rsidRPr="00C60340">
        <w:rPr>
          <w:rFonts w:ascii="Times New Roman" w:hAnsi="Times New Roman"/>
          <w:noProof/>
          <w:spacing w:val="-8"/>
          <w:sz w:val="24"/>
          <w:szCs w:val="24"/>
        </w:rPr>
        <w:t>systéme duševného vlastníctva.</w:t>
      </w:r>
    </w:p>
    <w:p w14:paraId="4A6CC0F3" w14:textId="5E7EFEE6" w:rsidR="00C60340" w:rsidRDefault="00A36649"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Spolupráca</w:t>
      </w:r>
      <w:r w:rsidR="00C60340">
        <w:rPr>
          <w:rFonts w:ascii="Times New Roman" w:hAnsi="Times New Roman"/>
          <w:noProof/>
          <w:sz w:val="24"/>
          <w:szCs w:val="24"/>
        </w:rPr>
        <w:t xml:space="preserve"> s </w:t>
      </w:r>
      <w:r w:rsidRPr="00C60340">
        <w:rPr>
          <w:rFonts w:ascii="Times New Roman" w:hAnsi="Times New Roman"/>
          <w:noProof/>
          <w:sz w:val="24"/>
          <w:szCs w:val="24"/>
        </w:rPr>
        <w:t>USA bude hybnou silou globálnej solidarity</w:t>
      </w:r>
      <w:r w:rsidR="00C60340">
        <w:rPr>
          <w:rFonts w:ascii="Times New Roman" w:hAnsi="Times New Roman"/>
          <w:noProof/>
          <w:sz w:val="24"/>
          <w:szCs w:val="24"/>
        </w:rPr>
        <w:t xml:space="preserve"> a </w:t>
      </w:r>
      <w:r w:rsidRPr="00C60340">
        <w:rPr>
          <w:rFonts w:ascii="Times New Roman" w:hAnsi="Times New Roman"/>
          <w:noProof/>
          <w:sz w:val="24"/>
          <w:szCs w:val="24"/>
        </w:rPr>
        <w:t xml:space="preserve">zdravotnej bezpečnosti. Do </w:t>
      </w:r>
      <w:r w:rsidRPr="00C60340">
        <w:rPr>
          <w:rFonts w:ascii="Times New Roman" w:hAnsi="Times New Roman"/>
          <w:b/>
          <w:i/>
          <w:noProof/>
          <w:sz w:val="24"/>
          <w:szCs w:val="24"/>
        </w:rPr>
        <w:t>Agendy EÚ – USA pre boj proti celosvetovej pandémii</w:t>
      </w:r>
      <w:r w:rsidRPr="00C60340">
        <w:rPr>
          <w:rFonts w:ascii="Times New Roman" w:hAnsi="Times New Roman"/>
          <w:noProof/>
          <w:sz w:val="24"/>
          <w:szCs w:val="24"/>
        </w:rPr>
        <w:t xml:space="preserve"> sa</w:t>
      </w:r>
      <w:r w:rsidR="00C60340">
        <w:rPr>
          <w:rFonts w:ascii="Times New Roman" w:hAnsi="Times New Roman"/>
          <w:noProof/>
          <w:sz w:val="24"/>
          <w:szCs w:val="24"/>
        </w:rPr>
        <w:t xml:space="preserve"> v </w:t>
      </w:r>
      <w:r w:rsidRPr="00C60340">
        <w:rPr>
          <w:rFonts w:ascii="Times New Roman" w:hAnsi="Times New Roman"/>
          <w:noProof/>
          <w:sz w:val="24"/>
          <w:szCs w:val="24"/>
        </w:rPr>
        <w:t>septembri začlenil cieľ do polovice roka 2022 zaočkovať 70</w:t>
      </w:r>
      <w:r w:rsidR="00C60340">
        <w:rPr>
          <w:rFonts w:ascii="Times New Roman" w:hAnsi="Times New Roman"/>
          <w:noProof/>
          <w:sz w:val="24"/>
          <w:szCs w:val="24"/>
        </w:rPr>
        <w:t> %</w:t>
      </w:r>
      <w:r w:rsidRPr="00C60340">
        <w:rPr>
          <w:rFonts w:ascii="Times New Roman" w:hAnsi="Times New Roman"/>
          <w:noProof/>
          <w:sz w:val="24"/>
          <w:szCs w:val="24"/>
        </w:rPr>
        <w:t xml:space="preserve"> svetovej populácie</w:t>
      </w:r>
      <w:r w:rsidR="00C60340">
        <w:rPr>
          <w:rFonts w:ascii="Times New Roman" w:hAnsi="Times New Roman"/>
          <w:noProof/>
          <w:sz w:val="24"/>
          <w:szCs w:val="24"/>
        </w:rPr>
        <w:t xml:space="preserve"> a </w:t>
      </w:r>
      <w:r w:rsidRPr="00C60340">
        <w:rPr>
          <w:rFonts w:ascii="Times New Roman" w:hAnsi="Times New Roman"/>
          <w:noProof/>
          <w:sz w:val="24"/>
          <w:szCs w:val="24"/>
        </w:rPr>
        <w:t>vytvorenie spoločnej pracovnej skupiny EÚ</w:t>
      </w:r>
      <w:r w:rsidR="00C60340">
        <w:rPr>
          <w:rFonts w:ascii="Times New Roman" w:hAnsi="Times New Roman"/>
          <w:noProof/>
          <w:sz w:val="24"/>
          <w:szCs w:val="24"/>
        </w:rPr>
        <w:t xml:space="preserve"> a </w:t>
      </w:r>
      <w:r w:rsidRPr="00C60340">
        <w:rPr>
          <w:rFonts w:ascii="Times New Roman" w:hAnsi="Times New Roman"/>
          <w:noProof/>
          <w:sz w:val="24"/>
          <w:szCs w:val="24"/>
        </w:rPr>
        <w:t>USA pre výrobu</w:t>
      </w:r>
      <w:r w:rsidR="00C60340">
        <w:rPr>
          <w:rFonts w:ascii="Times New Roman" w:hAnsi="Times New Roman"/>
          <w:noProof/>
          <w:sz w:val="24"/>
          <w:szCs w:val="24"/>
        </w:rPr>
        <w:t xml:space="preserve"> a </w:t>
      </w:r>
      <w:r w:rsidRPr="00C60340">
        <w:rPr>
          <w:rFonts w:ascii="Times New Roman" w:hAnsi="Times New Roman"/>
          <w:noProof/>
          <w:sz w:val="24"/>
          <w:szCs w:val="24"/>
        </w:rPr>
        <w:t>dodávateľský reťazec proti ochoreniu COVID-19</w:t>
      </w:r>
      <w:r w:rsidRPr="00C60340">
        <w:rPr>
          <w:rStyle w:val="FootnoteReference"/>
          <w:rFonts w:ascii="Times New Roman" w:hAnsi="Times New Roman" w:cs="Times New Roman"/>
          <w:noProof/>
          <w:sz w:val="24"/>
          <w:szCs w:val="24"/>
        </w:rPr>
        <w:footnoteReference w:id="14"/>
      </w:r>
      <w:r w:rsidRPr="00C60340">
        <w:rPr>
          <w:rFonts w:ascii="Times New Roman" w:hAnsi="Times New Roman"/>
          <w:noProof/>
        </w:rPr>
        <w:t>.</w:t>
      </w:r>
      <w:r w:rsidRPr="00C60340">
        <w:rPr>
          <w:rFonts w:ascii="Times New Roman" w:hAnsi="Times New Roman"/>
          <w:noProof/>
          <w:sz w:val="24"/>
          <w:szCs w:val="24"/>
        </w:rPr>
        <w:t xml:space="preserve"> Partneri EÚ</w:t>
      </w:r>
      <w:r w:rsidR="00C60340">
        <w:rPr>
          <w:rFonts w:ascii="Times New Roman" w:hAnsi="Times New Roman"/>
          <w:noProof/>
          <w:sz w:val="24"/>
          <w:szCs w:val="24"/>
        </w:rPr>
        <w:t xml:space="preserve"> a </w:t>
      </w:r>
      <w:r w:rsidRPr="00C60340">
        <w:rPr>
          <w:rFonts w:ascii="Times New Roman" w:hAnsi="Times New Roman"/>
          <w:noProof/>
          <w:sz w:val="24"/>
          <w:szCs w:val="24"/>
        </w:rPr>
        <w:t>USA spoločne podporujú úsilie</w:t>
      </w:r>
      <w:r w:rsidR="00C60340">
        <w:rPr>
          <w:rFonts w:ascii="Times New Roman" w:hAnsi="Times New Roman"/>
          <w:noProof/>
          <w:sz w:val="24"/>
          <w:szCs w:val="24"/>
        </w:rPr>
        <w:t xml:space="preserve"> v </w:t>
      </w:r>
      <w:r w:rsidRPr="00C60340">
        <w:rPr>
          <w:rFonts w:ascii="Times New Roman" w:hAnsi="Times New Roman"/>
          <w:noProof/>
          <w:sz w:val="24"/>
          <w:szCs w:val="24"/>
        </w:rPr>
        <w:t>rámci Svetovej zdravotníckej organizácie zamerané na zlepšenie globálnej zdravotnej architektúry</w:t>
      </w:r>
      <w:r w:rsidR="00C60340">
        <w:rPr>
          <w:rFonts w:ascii="Times New Roman" w:hAnsi="Times New Roman"/>
          <w:noProof/>
          <w:sz w:val="24"/>
          <w:szCs w:val="24"/>
        </w:rPr>
        <w:t xml:space="preserve"> a </w:t>
      </w:r>
      <w:r w:rsidRPr="00C60340">
        <w:rPr>
          <w:rFonts w:ascii="Times New Roman" w:hAnsi="Times New Roman"/>
          <w:noProof/>
          <w:sz w:val="24"/>
          <w:szCs w:val="24"/>
        </w:rPr>
        <w:t>nástrojov</w:t>
      </w:r>
      <w:r w:rsidR="00C60340">
        <w:rPr>
          <w:rFonts w:ascii="Times New Roman" w:hAnsi="Times New Roman"/>
          <w:noProof/>
          <w:sz w:val="24"/>
          <w:szCs w:val="24"/>
        </w:rPr>
        <w:t xml:space="preserve"> s </w:t>
      </w:r>
      <w:r w:rsidRPr="00C60340">
        <w:rPr>
          <w:rFonts w:ascii="Times New Roman" w:hAnsi="Times New Roman"/>
          <w:noProof/>
          <w:sz w:val="24"/>
          <w:szCs w:val="24"/>
        </w:rPr>
        <w:t>cieľom zlepšiť pripravenosť na budúce pandémie</w:t>
      </w:r>
      <w:r w:rsidR="00C60340">
        <w:rPr>
          <w:rFonts w:ascii="Times New Roman" w:hAnsi="Times New Roman"/>
          <w:noProof/>
          <w:sz w:val="24"/>
          <w:szCs w:val="24"/>
        </w:rPr>
        <w:t xml:space="preserve"> a </w:t>
      </w:r>
      <w:r w:rsidRPr="00C60340">
        <w:rPr>
          <w:rFonts w:ascii="Times New Roman" w:hAnsi="Times New Roman"/>
          <w:noProof/>
          <w:sz w:val="24"/>
          <w:szCs w:val="24"/>
        </w:rPr>
        <w:t>reakciu na ne</w:t>
      </w:r>
      <w:r w:rsidR="00C60340">
        <w:rPr>
          <w:rFonts w:ascii="Times New Roman" w:hAnsi="Times New Roman"/>
          <w:noProof/>
          <w:sz w:val="24"/>
          <w:szCs w:val="24"/>
        </w:rPr>
        <w:t xml:space="preserve"> a </w:t>
      </w:r>
      <w:r w:rsidRPr="00C60340">
        <w:rPr>
          <w:rFonts w:ascii="Times New Roman" w:hAnsi="Times New Roman"/>
          <w:noProof/>
          <w:sz w:val="24"/>
          <w:szCs w:val="24"/>
        </w:rPr>
        <w:t>posilniť medzinárodné zdravotné predpisy</w:t>
      </w:r>
      <w:r w:rsidR="00C60340">
        <w:rPr>
          <w:rFonts w:ascii="Times New Roman" w:hAnsi="Times New Roman"/>
          <w:noProof/>
          <w:sz w:val="24"/>
          <w:szCs w:val="24"/>
        </w:rPr>
        <w:t>.</w:t>
      </w:r>
    </w:p>
    <w:p w14:paraId="46D291D1" w14:textId="50805A53" w:rsidR="00C60340" w:rsidRDefault="00862AB5" w:rsidP="001378BC">
      <w:pPr>
        <w:spacing w:after="120" w:line="240" w:lineRule="auto"/>
        <w:jc w:val="both"/>
        <w:rPr>
          <w:rFonts w:ascii="Times New Roman" w:hAnsi="Times New Roman"/>
          <w:noProof/>
          <w:sz w:val="24"/>
          <w:szCs w:val="24"/>
        </w:rPr>
      </w:pPr>
      <w:r w:rsidRPr="00C60340">
        <w:rPr>
          <w:rFonts w:ascii="Times New Roman" w:hAnsi="Times New Roman"/>
          <w:noProof/>
          <w:sz w:val="24"/>
          <w:szCs w:val="24"/>
        </w:rPr>
        <w:t>Zlepšenie globálnej pripravenosti</w:t>
      </w:r>
      <w:r w:rsidR="00C60340">
        <w:rPr>
          <w:rFonts w:ascii="Times New Roman" w:hAnsi="Times New Roman"/>
          <w:noProof/>
          <w:sz w:val="24"/>
          <w:szCs w:val="24"/>
        </w:rPr>
        <w:t xml:space="preserve"> a </w:t>
      </w:r>
      <w:r w:rsidRPr="00C60340">
        <w:rPr>
          <w:rFonts w:ascii="Times New Roman" w:hAnsi="Times New Roman"/>
          <w:noProof/>
          <w:sz w:val="24"/>
          <w:szCs w:val="24"/>
        </w:rPr>
        <w:t>reakcie na pandémiu</w:t>
      </w:r>
      <w:r w:rsidR="00C60340">
        <w:rPr>
          <w:rFonts w:ascii="Times New Roman" w:hAnsi="Times New Roman"/>
          <w:noProof/>
          <w:sz w:val="24"/>
          <w:szCs w:val="24"/>
        </w:rPr>
        <w:t xml:space="preserve"> a </w:t>
      </w:r>
      <w:r w:rsidRPr="00C60340">
        <w:rPr>
          <w:rFonts w:ascii="Times New Roman" w:hAnsi="Times New Roman"/>
          <w:noProof/>
          <w:sz w:val="24"/>
          <w:szCs w:val="24"/>
        </w:rPr>
        <w:t xml:space="preserve">posilnenie </w:t>
      </w:r>
      <w:r w:rsidRPr="00C60340">
        <w:rPr>
          <w:rFonts w:ascii="Times New Roman" w:hAnsi="Times New Roman"/>
          <w:b/>
          <w:i/>
          <w:noProof/>
          <w:sz w:val="24"/>
          <w:szCs w:val="24"/>
        </w:rPr>
        <w:t>medzinárodného rámca pre globálne zdravie</w:t>
      </w:r>
      <w:r w:rsidRPr="00C60340">
        <w:rPr>
          <w:rFonts w:ascii="Times New Roman" w:hAnsi="Times New Roman"/>
          <w:noProof/>
          <w:sz w:val="24"/>
          <w:szCs w:val="24"/>
        </w:rPr>
        <w:t xml:space="preserve"> je teraz naliehavejšie ako kedykoľvek predtým. Vyhlásenie skupiny G20 prijaté na celosvetovom samite</w:t>
      </w:r>
      <w:r w:rsidR="00C60340">
        <w:rPr>
          <w:rFonts w:ascii="Times New Roman" w:hAnsi="Times New Roman"/>
          <w:noProof/>
          <w:sz w:val="24"/>
          <w:szCs w:val="24"/>
        </w:rPr>
        <w:t xml:space="preserve"> o </w:t>
      </w:r>
      <w:r w:rsidRPr="00C60340">
        <w:rPr>
          <w:rFonts w:ascii="Times New Roman" w:hAnsi="Times New Roman"/>
          <w:noProof/>
          <w:sz w:val="24"/>
          <w:szCs w:val="24"/>
        </w:rPr>
        <w:t>zdraví</w:t>
      </w:r>
      <w:r w:rsidR="00C60340">
        <w:rPr>
          <w:rFonts w:ascii="Times New Roman" w:hAnsi="Times New Roman"/>
          <w:noProof/>
          <w:sz w:val="24"/>
          <w:szCs w:val="24"/>
        </w:rPr>
        <w:t xml:space="preserve"> v </w:t>
      </w:r>
      <w:r w:rsidRPr="00C60340">
        <w:rPr>
          <w:rFonts w:ascii="Times New Roman" w:hAnsi="Times New Roman"/>
          <w:noProof/>
          <w:sz w:val="24"/>
          <w:szCs w:val="24"/>
        </w:rPr>
        <w:t>Ríme je dobrým kompasom pre rozvíjanie mnohostrannej spolupráce. Obsahuje zásady,</w:t>
      </w:r>
      <w:r w:rsidR="00C60340">
        <w:rPr>
          <w:rFonts w:ascii="Times New Roman" w:hAnsi="Times New Roman"/>
          <w:noProof/>
          <w:sz w:val="24"/>
          <w:szCs w:val="24"/>
        </w:rPr>
        <w:t xml:space="preserve"> v </w:t>
      </w:r>
      <w:r w:rsidRPr="00C60340">
        <w:rPr>
          <w:rFonts w:ascii="Times New Roman" w:hAnsi="Times New Roman"/>
          <w:noProof/>
          <w:sz w:val="24"/>
          <w:szCs w:val="24"/>
        </w:rPr>
        <w:t>ktorých sa zdôrazňuje politický záväzok konať, využívať prístup „jedno zdravie“</w:t>
      </w:r>
      <w:r w:rsidR="00C60340">
        <w:rPr>
          <w:rFonts w:ascii="Times New Roman" w:hAnsi="Times New Roman"/>
          <w:noProof/>
          <w:sz w:val="24"/>
          <w:szCs w:val="24"/>
        </w:rPr>
        <w:t xml:space="preserve"> a </w:t>
      </w:r>
      <w:r w:rsidRPr="00C60340">
        <w:rPr>
          <w:rFonts w:ascii="Times New Roman" w:hAnsi="Times New Roman"/>
          <w:noProof/>
          <w:sz w:val="24"/>
          <w:szCs w:val="24"/>
        </w:rPr>
        <w:t>klásť dôraz na potrebu udržateľného financovania. EÚ by mala naďalej zohrávať vedúcu úlohu pri uvádzaní týchto zásad do praxe, identifikácii nedostatkov</w:t>
      </w:r>
      <w:r w:rsidR="00C60340">
        <w:rPr>
          <w:rFonts w:ascii="Times New Roman" w:hAnsi="Times New Roman"/>
          <w:noProof/>
          <w:sz w:val="24"/>
          <w:szCs w:val="24"/>
        </w:rPr>
        <w:t xml:space="preserve"> a </w:t>
      </w:r>
      <w:r w:rsidRPr="00C60340">
        <w:rPr>
          <w:rFonts w:ascii="Times New Roman" w:hAnsi="Times New Roman"/>
          <w:noProof/>
          <w:sz w:val="24"/>
          <w:szCs w:val="24"/>
        </w:rPr>
        <w:t>hľadaní riešení,</w:t>
      </w:r>
      <w:r w:rsidR="00C60340">
        <w:rPr>
          <w:rFonts w:ascii="Times New Roman" w:hAnsi="Times New Roman"/>
          <w:noProof/>
          <w:sz w:val="24"/>
          <w:szCs w:val="24"/>
        </w:rPr>
        <w:t xml:space="preserve"> a </w:t>
      </w:r>
      <w:r w:rsidRPr="00C60340">
        <w:rPr>
          <w:rFonts w:ascii="Times New Roman" w:hAnsi="Times New Roman"/>
          <w:noProof/>
          <w:sz w:val="24"/>
          <w:szCs w:val="24"/>
        </w:rPr>
        <w:t>to najmä prostredníctvom skupiny G7</w:t>
      </w:r>
      <w:r w:rsidR="00C60340">
        <w:rPr>
          <w:rFonts w:ascii="Times New Roman" w:hAnsi="Times New Roman"/>
          <w:noProof/>
          <w:sz w:val="24"/>
          <w:szCs w:val="24"/>
        </w:rPr>
        <w:t xml:space="preserve"> a </w:t>
      </w:r>
      <w:r w:rsidRPr="00C60340">
        <w:rPr>
          <w:rFonts w:ascii="Times New Roman" w:hAnsi="Times New Roman"/>
          <w:noProof/>
          <w:sz w:val="24"/>
          <w:szCs w:val="24"/>
        </w:rPr>
        <w:t>G20.</w:t>
      </w:r>
      <w:r w:rsidR="00C60340">
        <w:rPr>
          <w:rFonts w:ascii="Times New Roman" w:hAnsi="Times New Roman"/>
          <w:noProof/>
          <w:sz w:val="24"/>
          <w:szCs w:val="24"/>
        </w:rPr>
        <w:t xml:space="preserve"> V </w:t>
      </w:r>
      <w:r w:rsidRPr="00C60340">
        <w:rPr>
          <w:rFonts w:ascii="Times New Roman" w:hAnsi="Times New Roman"/>
          <w:noProof/>
          <w:sz w:val="24"/>
          <w:szCs w:val="24"/>
        </w:rPr>
        <w:t>rámci spoločnej pracovnej skupiny G20 pre financie</w:t>
      </w:r>
      <w:r w:rsidR="00C60340">
        <w:rPr>
          <w:rFonts w:ascii="Times New Roman" w:hAnsi="Times New Roman"/>
          <w:noProof/>
          <w:sz w:val="24"/>
          <w:szCs w:val="24"/>
        </w:rPr>
        <w:t xml:space="preserve"> a </w:t>
      </w:r>
      <w:r w:rsidRPr="00C60340">
        <w:rPr>
          <w:rFonts w:ascii="Times New Roman" w:hAnsi="Times New Roman"/>
          <w:noProof/>
          <w:sz w:val="24"/>
          <w:szCs w:val="24"/>
        </w:rPr>
        <w:t>zdravotníctvo sa bude podieľať na vytvorení koordinačných mechanizmov medzi ministerstvami financií</w:t>
      </w:r>
      <w:r w:rsidR="00C60340">
        <w:rPr>
          <w:rFonts w:ascii="Times New Roman" w:hAnsi="Times New Roman"/>
          <w:noProof/>
          <w:sz w:val="24"/>
          <w:szCs w:val="24"/>
        </w:rPr>
        <w:t xml:space="preserve"> a </w:t>
      </w:r>
      <w:r w:rsidRPr="00C60340">
        <w:rPr>
          <w:rFonts w:ascii="Times New Roman" w:hAnsi="Times New Roman"/>
          <w:noProof/>
          <w:sz w:val="24"/>
          <w:szCs w:val="24"/>
        </w:rPr>
        <w:t>zdravotníctva,</w:t>
      </w:r>
      <w:r w:rsidR="00C60340">
        <w:rPr>
          <w:rFonts w:ascii="Times New Roman" w:hAnsi="Times New Roman"/>
          <w:noProof/>
          <w:sz w:val="24"/>
          <w:szCs w:val="24"/>
        </w:rPr>
        <w:t xml:space="preserve"> a </w:t>
      </w:r>
      <w:r w:rsidRPr="00C60340">
        <w:rPr>
          <w:rFonts w:ascii="Times New Roman" w:hAnsi="Times New Roman"/>
          <w:noProof/>
          <w:sz w:val="24"/>
          <w:szCs w:val="24"/>
        </w:rPr>
        <w:t>tým podporovať kolektívnu činnosť</w:t>
      </w:r>
      <w:r w:rsidR="00C60340">
        <w:rPr>
          <w:rFonts w:ascii="Times New Roman" w:hAnsi="Times New Roman"/>
          <w:noProof/>
          <w:sz w:val="24"/>
          <w:szCs w:val="24"/>
        </w:rPr>
        <w:t xml:space="preserve"> a </w:t>
      </w:r>
      <w:r w:rsidRPr="00C60340">
        <w:rPr>
          <w:rFonts w:ascii="Times New Roman" w:hAnsi="Times New Roman"/>
          <w:noProof/>
          <w:sz w:val="24"/>
          <w:szCs w:val="24"/>
        </w:rPr>
        <w:t>účinné spravovanie zdrojov potrebných pre pripravenosť</w:t>
      </w:r>
      <w:r w:rsidR="00C60340">
        <w:rPr>
          <w:rFonts w:ascii="Times New Roman" w:hAnsi="Times New Roman"/>
          <w:noProof/>
          <w:sz w:val="24"/>
          <w:szCs w:val="24"/>
        </w:rPr>
        <w:t xml:space="preserve"> a </w:t>
      </w:r>
      <w:r w:rsidRPr="00C60340">
        <w:rPr>
          <w:rFonts w:ascii="Times New Roman" w:hAnsi="Times New Roman"/>
          <w:noProof/>
          <w:sz w:val="24"/>
          <w:szCs w:val="24"/>
        </w:rPr>
        <w:t>reakciu na pandémiu. Nadviaže pritom na odporúčania nezávislých komisií zriadiť globálny zdravotný</w:t>
      </w:r>
      <w:r w:rsidR="00C60340">
        <w:rPr>
          <w:rFonts w:ascii="Times New Roman" w:hAnsi="Times New Roman"/>
          <w:noProof/>
          <w:sz w:val="24"/>
          <w:szCs w:val="24"/>
        </w:rPr>
        <w:t xml:space="preserve"> a </w:t>
      </w:r>
      <w:r w:rsidRPr="00C60340">
        <w:rPr>
          <w:rFonts w:ascii="Times New Roman" w:hAnsi="Times New Roman"/>
          <w:noProof/>
          <w:sz w:val="24"/>
          <w:szCs w:val="24"/>
        </w:rPr>
        <w:t>finančný orgán</w:t>
      </w:r>
      <w:r w:rsidR="00C60340">
        <w:rPr>
          <w:rFonts w:ascii="Times New Roman" w:hAnsi="Times New Roman"/>
          <w:noProof/>
          <w:sz w:val="24"/>
          <w:szCs w:val="24"/>
        </w:rPr>
        <w:t xml:space="preserve"> a </w:t>
      </w:r>
      <w:r w:rsidRPr="00C60340">
        <w:rPr>
          <w:rFonts w:ascii="Times New Roman" w:hAnsi="Times New Roman"/>
          <w:noProof/>
          <w:sz w:val="24"/>
          <w:szCs w:val="24"/>
        </w:rPr>
        <w:t>finančný sprostredkovateľský fond</w:t>
      </w:r>
      <w:r w:rsidR="00C60340">
        <w:rPr>
          <w:rFonts w:ascii="Times New Roman" w:hAnsi="Times New Roman"/>
          <w:noProof/>
          <w:sz w:val="24"/>
          <w:szCs w:val="24"/>
        </w:rPr>
        <w:t>.</w:t>
      </w:r>
    </w:p>
    <w:p w14:paraId="1EE8FACD" w14:textId="58956134" w:rsidR="002508C5" w:rsidRPr="00C60340" w:rsidRDefault="000E2C7C"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Na 74. Svetovom zdravotníckom zhromaždení</w:t>
      </w:r>
      <w:r w:rsidR="00C60340">
        <w:rPr>
          <w:rFonts w:ascii="Times New Roman" w:hAnsi="Times New Roman"/>
          <w:noProof/>
          <w:sz w:val="24"/>
          <w:szCs w:val="24"/>
        </w:rPr>
        <w:t xml:space="preserve"> v </w:t>
      </w:r>
      <w:r w:rsidRPr="00C60340">
        <w:rPr>
          <w:rFonts w:ascii="Times New Roman" w:hAnsi="Times New Roman"/>
          <w:noProof/>
          <w:sz w:val="24"/>
          <w:szCs w:val="24"/>
        </w:rPr>
        <w:t>máji 2021</w:t>
      </w:r>
      <w:r w:rsidRPr="00C60340">
        <w:rPr>
          <w:rFonts w:ascii="Times New Roman" w:hAnsi="Times New Roman" w:cs="Times New Roman"/>
          <w:noProof/>
          <w:sz w:val="24"/>
          <w:szCs w:val="24"/>
          <w:vertAlign w:val="superscript"/>
        </w:rPr>
        <w:footnoteRef/>
      </w:r>
      <w:r w:rsidRPr="00C60340">
        <w:rPr>
          <w:rFonts w:ascii="Times New Roman" w:hAnsi="Times New Roman"/>
          <w:noProof/>
          <w:sz w:val="24"/>
          <w:szCs w:val="24"/>
        </w:rPr>
        <w:t xml:space="preserve"> sa EÚ zasadzovala</w:t>
      </w:r>
      <w:r w:rsidR="00C60340">
        <w:rPr>
          <w:rFonts w:ascii="Times New Roman" w:hAnsi="Times New Roman"/>
          <w:noProof/>
          <w:sz w:val="24"/>
          <w:szCs w:val="24"/>
        </w:rPr>
        <w:t xml:space="preserve"> o </w:t>
      </w:r>
      <w:r w:rsidRPr="00C60340">
        <w:rPr>
          <w:rFonts w:ascii="Times New Roman" w:hAnsi="Times New Roman"/>
          <w:noProof/>
          <w:sz w:val="24"/>
          <w:szCs w:val="24"/>
        </w:rPr>
        <w:t>to, aby sa začal proces</w:t>
      </w:r>
      <w:r w:rsidR="00C60340">
        <w:rPr>
          <w:rFonts w:ascii="Times New Roman" w:hAnsi="Times New Roman"/>
          <w:noProof/>
          <w:sz w:val="24"/>
          <w:szCs w:val="24"/>
        </w:rPr>
        <w:t xml:space="preserve"> v </w:t>
      </w:r>
      <w:r w:rsidRPr="00C60340">
        <w:rPr>
          <w:rFonts w:ascii="Times New Roman" w:hAnsi="Times New Roman"/>
          <w:noProof/>
          <w:sz w:val="24"/>
          <w:szCs w:val="24"/>
        </w:rPr>
        <w:t>rámci WHO smerujúci</w:t>
      </w:r>
      <w:r w:rsidR="00C60340">
        <w:rPr>
          <w:rFonts w:ascii="Times New Roman" w:hAnsi="Times New Roman"/>
          <w:noProof/>
          <w:sz w:val="24"/>
          <w:szCs w:val="24"/>
        </w:rPr>
        <w:t xml:space="preserve"> k </w:t>
      </w:r>
      <w:r w:rsidRPr="00C60340">
        <w:rPr>
          <w:rFonts w:ascii="Times New Roman" w:hAnsi="Times New Roman"/>
          <w:noProof/>
          <w:sz w:val="24"/>
          <w:szCs w:val="24"/>
        </w:rPr>
        <w:t>novému Rámcovému dohovoru</w:t>
      </w:r>
      <w:r w:rsidR="00C60340">
        <w:rPr>
          <w:rFonts w:ascii="Times New Roman" w:hAnsi="Times New Roman"/>
          <w:noProof/>
          <w:sz w:val="24"/>
          <w:szCs w:val="24"/>
        </w:rPr>
        <w:t xml:space="preserve"> o </w:t>
      </w:r>
      <w:r w:rsidRPr="00C60340">
        <w:rPr>
          <w:rFonts w:ascii="Times New Roman" w:hAnsi="Times New Roman"/>
          <w:noProof/>
          <w:sz w:val="24"/>
          <w:szCs w:val="24"/>
        </w:rPr>
        <w:t>pripravenosti</w:t>
      </w:r>
      <w:r w:rsidR="00C60340">
        <w:rPr>
          <w:rFonts w:ascii="Times New Roman" w:hAnsi="Times New Roman"/>
          <w:noProof/>
          <w:sz w:val="24"/>
          <w:szCs w:val="24"/>
        </w:rPr>
        <w:t xml:space="preserve"> a </w:t>
      </w:r>
      <w:r w:rsidRPr="00C60340">
        <w:rPr>
          <w:rFonts w:ascii="Times New Roman" w:hAnsi="Times New Roman"/>
          <w:noProof/>
          <w:sz w:val="24"/>
          <w:szCs w:val="24"/>
        </w:rPr>
        <w:t>reakcii na pandémie</w:t>
      </w:r>
      <w:r w:rsidRPr="00C60340">
        <w:rPr>
          <w:rStyle w:val="FootnoteReference"/>
          <w:rFonts w:ascii="Times New Roman" w:hAnsi="Times New Roman" w:cs="Times New Roman"/>
          <w:noProof/>
          <w:sz w:val="24"/>
          <w:szCs w:val="24"/>
        </w:rPr>
        <w:footnoteReference w:id="15"/>
      </w:r>
      <w:r w:rsidRPr="00C60340">
        <w:rPr>
          <w:rFonts w:ascii="Times New Roman" w:hAnsi="Times New Roman"/>
          <w:noProof/>
        </w:rPr>
        <w:t>.</w:t>
      </w:r>
      <w:r w:rsidR="00C60340">
        <w:rPr>
          <w:rFonts w:ascii="Times New Roman" w:hAnsi="Times New Roman"/>
          <w:noProof/>
          <w:sz w:val="24"/>
          <w:szCs w:val="24"/>
        </w:rPr>
        <w:t xml:space="preserve"> O </w:t>
      </w:r>
      <w:r w:rsidRPr="00C60340">
        <w:rPr>
          <w:rFonts w:ascii="Times New Roman" w:hAnsi="Times New Roman"/>
          <w:noProof/>
          <w:sz w:val="24"/>
          <w:szCs w:val="24"/>
        </w:rPr>
        <w:t>niekoľko mesiacov neskôr sa členovia WHO na mimoriadnom zasadnutí Svetového zdravotníckeho zhromaždenia, ktoré sa konalo</w:t>
      </w:r>
      <w:r w:rsidR="00C60340">
        <w:rPr>
          <w:rFonts w:ascii="Times New Roman" w:hAnsi="Times New Roman"/>
          <w:noProof/>
          <w:sz w:val="24"/>
          <w:szCs w:val="24"/>
        </w:rPr>
        <w:t xml:space="preserve"> v </w:t>
      </w:r>
      <w:r w:rsidRPr="00C60340">
        <w:rPr>
          <w:rFonts w:ascii="Times New Roman" w:hAnsi="Times New Roman"/>
          <w:noProof/>
          <w:sz w:val="24"/>
          <w:szCs w:val="24"/>
        </w:rPr>
        <w:t>dňoch 29</w:t>
      </w:r>
      <w:r w:rsidR="00C60340">
        <w:rPr>
          <w:rFonts w:ascii="Times New Roman" w:hAnsi="Times New Roman"/>
          <w:noProof/>
          <w:sz w:val="24"/>
          <w:szCs w:val="24"/>
        </w:rPr>
        <w:t>. novembra</w:t>
      </w:r>
      <w:r w:rsidRPr="00C60340">
        <w:rPr>
          <w:rFonts w:ascii="Times New Roman" w:hAnsi="Times New Roman"/>
          <w:noProof/>
          <w:sz w:val="24"/>
          <w:szCs w:val="24"/>
        </w:rPr>
        <w:t xml:space="preserve"> až 1</w:t>
      </w:r>
      <w:r w:rsidR="00C60340">
        <w:rPr>
          <w:rFonts w:ascii="Times New Roman" w:hAnsi="Times New Roman"/>
          <w:noProof/>
          <w:sz w:val="24"/>
          <w:szCs w:val="24"/>
        </w:rPr>
        <w:t>. decembra</w:t>
      </w:r>
      <w:r w:rsidRPr="00C60340">
        <w:rPr>
          <w:rFonts w:ascii="Times New Roman" w:hAnsi="Times New Roman"/>
          <w:noProof/>
          <w:sz w:val="24"/>
          <w:szCs w:val="24"/>
        </w:rPr>
        <w:t xml:space="preserve"> 2021, konsenzuálne dohodli, že</w:t>
      </w:r>
      <w:r w:rsidR="00C60340">
        <w:rPr>
          <w:rFonts w:ascii="Times New Roman" w:hAnsi="Times New Roman"/>
          <w:noProof/>
          <w:sz w:val="24"/>
          <w:szCs w:val="24"/>
        </w:rPr>
        <w:t xml:space="preserve"> v </w:t>
      </w:r>
      <w:r w:rsidRPr="00C60340">
        <w:rPr>
          <w:rFonts w:ascii="Times New Roman" w:hAnsi="Times New Roman"/>
          <w:noProof/>
          <w:sz w:val="24"/>
          <w:szCs w:val="24"/>
        </w:rPr>
        <w:t>roku 2022 začnú rokovania</w:t>
      </w:r>
      <w:r w:rsidR="00C60340">
        <w:rPr>
          <w:rFonts w:ascii="Times New Roman" w:hAnsi="Times New Roman"/>
          <w:noProof/>
          <w:sz w:val="24"/>
          <w:szCs w:val="24"/>
        </w:rPr>
        <w:t xml:space="preserve"> o </w:t>
      </w:r>
      <w:r w:rsidRPr="00C60340">
        <w:rPr>
          <w:rFonts w:ascii="Times New Roman" w:hAnsi="Times New Roman"/>
          <w:noProof/>
          <w:sz w:val="24"/>
          <w:szCs w:val="24"/>
        </w:rPr>
        <w:t>medzinárodnej dohode alebo inom medzinárodnom nástroji týkajúcom sa prevencie pandémií, pripravenosti</w:t>
      </w:r>
      <w:r w:rsidR="00C60340">
        <w:rPr>
          <w:rFonts w:ascii="Times New Roman" w:hAnsi="Times New Roman"/>
          <w:noProof/>
          <w:sz w:val="24"/>
          <w:szCs w:val="24"/>
        </w:rPr>
        <w:t xml:space="preserve"> a </w:t>
      </w:r>
      <w:r w:rsidRPr="00C60340">
        <w:rPr>
          <w:rFonts w:ascii="Times New Roman" w:hAnsi="Times New Roman"/>
          <w:noProof/>
          <w:sz w:val="24"/>
          <w:szCs w:val="24"/>
        </w:rPr>
        <w:t>reakcie na ne.</w:t>
      </w:r>
      <w:r w:rsidRPr="00C60340">
        <w:rPr>
          <w:rFonts w:ascii="Times New Roman" w:hAnsi="Times New Roman"/>
          <w:i/>
          <w:iCs/>
          <w:noProof/>
          <w:color w:val="000000"/>
        </w:rPr>
        <w:t xml:space="preserve"> </w:t>
      </w:r>
      <w:r w:rsidRPr="00C60340">
        <w:rPr>
          <w:rFonts w:ascii="Times New Roman" w:hAnsi="Times New Roman"/>
          <w:noProof/>
          <w:sz w:val="24"/>
          <w:szCs w:val="24"/>
        </w:rPr>
        <w:t>Má to nesmierny význam pre to, aby sme po prekonaní súčasnej krízy mali silnejšiu globálnu zdravotnú architektúru, ktorá bude schopná predchádzať účinkom ďalšej pandémie, riadiť ich</w:t>
      </w:r>
      <w:r w:rsidR="00C60340">
        <w:rPr>
          <w:rFonts w:ascii="Times New Roman" w:hAnsi="Times New Roman"/>
          <w:noProof/>
          <w:sz w:val="24"/>
          <w:szCs w:val="24"/>
        </w:rPr>
        <w:t xml:space="preserve"> a </w:t>
      </w:r>
      <w:r w:rsidRPr="00C60340">
        <w:rPr>
          <w:rFonts w:ascii="Times New Roman" w:hAnsi="Times New Roman"/>
          <w:noProof/>
          <w:sz w:val="24"/>
          <w:szCs w:val="24"/>
        </w:rPr>
        <w:t>výrazne ich limitovať. Účasť EÚ</w:t>
      </w:r>
      <w:r w:rsidR="00C60340">
        <w:rPr>
          <w:rFonts w:ascii="Times New Roman" w:hAnsi="Times New Roman"/>
          <w:noProof/>
          <w:sz w:val="24"/>
          <w:szCs w:val="24"/>
        </w:rPr>
        <w:t xml:space="preserve"> v </w:t>
      </w:r>
      <w:r w:rsidRPr="00C60340">
        <w:rPr>
          <w:rFonts w:ascii="Times New Roman" w:hAnsi="Times New Roman"/>
          <w:noProof/>
          <w:sz w:val="24"/>
          <w:szCs w:val="24"/>
        </w:rPr>
        <w:t>tomto rokovacom procese má zásadný význam. Kľúčovým prvkom práce</w:t>
      </w:r>
      <w:r w:rsidR="00C60340">
        <w:rPr>
          <w:rFonts w:ascii="Times New Roman" w:hAnsi="Times New Roman"/>
          <w:noProof/>
          <w:sz w:val="24"/>
          <w:szCs w:val="24"/>
        </w:rPr>
        <w:t xml:space="preserve"> v </w:t>
      </w:r>
      <w:r w:rsidRPr="00C60340">
        <w:rPr>
          <w:rFonts w:ascii="Times New Roman" w:hAnsi="Times New Roman"/>
          <w:noProof/>
          <w:sz w:val="24"/>
          <w:szCs w:val="24"/>
        </w:rPr>
        <w:t>rámci tohto globálneho medzivládneho procesu musí byť posilnenie transparentnosti.</w:t>
      </w:r>
    </w:p>
    <w:p w14:paraId="6AEA5ADE" w14:textId="77777777" w:rsidR="003065ED" w:rsidRPr="00C60340" w:rsidRDefault="003065ED" w:rsidP="001378BC">
      <w:pPr>
        <w:spacing w:after="120" w:line="240" w:lineRule="auto"/>
        <w:jc w:val="both"/>
        <w:rPr>
          <w:rFonts w:ascii="Times New Roman" w:hAnsi="Times New Roman" w:cs="Times New Roman"/>
          <w:noProof/>
          <w:sz w:val="24"/>
          <w:szCs w:val="24"/>
        </w:rPr>
      </w:pPr>
    </w:p>
    <w:p w14:paraId="3BACF308" w14:textId="77777777" w:rsidR="00C0243F" w:rsidRPr="00C60340" w:rsidRDefault="00C2521C" w:rsidP="001378BC">
      <w:pPr>
        <w:spacing w:after="120" w:line="240" w:lineRule="auto"/>
        <w:jc w:val="both"/>
        <w:rPr>
          <w:rFonts w:ascii="Times New Roman" w:hAnsi="Times New Roman" w:cs="Times New Roman"/>
          <w:b/>
          <w:noProof/>
          <w:sz w:val="24"/>
          <w:szCs w:val="24"/>
        </w:rPr>
      </w:pPr>
      <w:r w:rsidRPr="00C60340">
        <w:rPr>
          <w:rFonts w:ascii="Times New Roman" w:hAnsi="Times New Roman"/>
          <w:b/>
          <w:noProof/>
          <w:sz w:val="24"/>
          <w:szCs w:val="24"/>
        </w:rPr>
        <w:t>V</w:t>
      </w:r>
      <w:r w:rsidRPr="00C60340">
        <w:rPr>
          <w:rFonts w:ascii="Times New Roman" w:hAnsi="Times New Roman"/>
          <w:noProof/>
        </w:rPr>
        <w:tab/>
      </w:r>
      <w:r w:rsidRPr="00C60340">
        <w:rPr>
          <w:rFonts w:ascii="Times New Roman" w:hAnsi="Times New Roman"/>
          <w:b/>
          <w:noProof/>
          <w:sz w:val="24"/>
          <w:szCs w:val="24"/>
        </w:rPr>
        <w:t>ZÁVER</w:t>
      </w:r>
    </w:p>
    <w:p w14:paraId="4A572D96" w14:textId="52709C55" w:rsidR="00C60340" w:rsidRPr="00C60340" w:rsidRDefault="00C2521C" w:rsidP="001378BC">
      <w:pPr>
        <w:spacing w:after="120" w:line="240" w:lineRule="auto"/>
        <w:jc w:val="both"/>
        <w:rPr>
          <w:rFonts w:ascii="Times New Roman" w:hAnsi="Times New Roman"/>
          <w:noProof/>
          <w:spacing w:val="-4"/>
          <w:sz w:val="24"/>
          <w:szCs w:val="24"/>
        </w:rPr>
      </w:pPr>
      <w:r w:rsidRPr="00C60340">
        <w:rPr>
          <w:rFonts w:ascii="Times New Roman" w:hAnsi="Times New Roman"/>
          <w:noProof/>
          <w:spacing w:val="-4"/>
          <w:sz w:val="24"/>
          <w:szCs w:val="24"/>
        </w:rPr>
        <w:t>EÚ opäť čelí vážnej hrozbe spôsobenej ochorením COVID-19, za ktorou stojí nárast počtu prípadov</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kombinácii</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variantom omikron. Znovu ide</w:t>
      </w:r>
      <w:r w:rsidR="00C60340" w:rsidRPr="00C60340">
        <w:rPr>
          <w:rFonts w:ascii="Times New Roman" w:hAnsi="Times New Roman"/>
          <w:noProof/>
          <w:spacing w:val="-4"/>
          <w:sz w:val="24"/>
          <w:szCs w:val="24"/>
        </w:rPr>
        <w:t xml:space="preserve"> o </w:t>
      </w:r>
      <w:r w:rsidRPr="00C60340">
        <w:rPr>
          <w:rFonts w:ascii="Times New Roman" w:hAnsi="Times New Roman"/>
          <w:noProof/>
          <w:spacing w:val="-4"/>
          <w:sz w:val="24"/>
          <w:szCs w:val="24"/>
        </w:rPr>
        <w:t>globálnu hrozbu, ktorá si vyžaduje globálne opatrenia. Ponaučenie</w:t>
      </w:r>
      <w:r w:rsidR="00C60340" w:rsidRPr="00C60340">
        <w:rPr>
          <w:rFonts w:ascii="Times New Roman" w:hAnsi="Times New Roman"/>
          <w:noProof/>
          <w:spacing w:val="-4"/>
          <w:sz w:val="24"/>
          <w:szCs w:val="24"/>
        </w:rPr>
        <w:t xml:space="preserve"> z </w:t>
      </w:r>
      <w:r w:rsidRPr="00C60340">
        <w:rPr>
          <w:rFonts w:ascii="Times New Roman" w:hAnsi="Times New Roman"/>
          <w:noProof/>
          <w:spacing w:val="-4"/>
          <w:sz w:val="24"/>
          <w:szCs w:val="24"/>
        </w:rPr>
        <w:t>posledných dvoch rokov je aj pri riešení tejto hrozby jasné: bez ohľadu na oblasť politiky platí, že koordinovaný prístup EÚ</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jej členských štátov fungoval lepšie ako nekoordinovaný prístup;</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neskoro prijaté opatrenia sa spájajú</w:t>
      </w:r>
      <w:r w:rsidR="00C60340" w:rsidRPr="00C60340">
        <w:rPr>
          <w:rFonts w:ascii="Times New Roman" w:hAnsi="Times New Roman"/>
          <w:noProof/>
          <w:spacing w:val="-4"/>
          <w:sz w:val="24"/>
          <w:szCs w:val="24"/>
        </w:rPr>
        <w:t xml:space="preserve"> s </w:t>
      </w:r>
      <w:r w:rsidRPr="00C60340">
        <w:rPr>
          <w:rFonts w:ascii="Times New Roman" w:hAnsi="Times New Roman"/>
          <w:noProof/>
          <w:spacing w:val="-4"/>
          <w:sz w:val="24"/>
          <w:szCs w:val="24"/>
        </w:rPr>
        <w:t>vyšším rizikom. Kolektívny prístup</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výrobe, vývoju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obstarávaniu vakcín viedol</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dodaniu bezpečných</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účinných vakcín hneď, ako to bolo možné,</w:t>
      </w:r>
      <w:r w:rsidR="00C60340" w:rsidRPr="00C60340">
        <w:rPr>
          <w:rFonts w:ascii="Times New Roman" w:hAnsi="Times New Roman"/>
          <w:noProof/>
          <w:spacing w:val="-4"/>
          <w:sz w:val="24"/>
          <w:szCs w:val="24"/>
        </w:rPr>
        <w:t xml:space="preserve"> a v </w:t>
      </w:r>
      <w:r w:rsidRPr="00C60340">
        <w:rPr>
          <w:rFonts w:ascii="Times New Roman" w:hAnsi="Times New Roman"/>
          <w:noProof/>
          <w:spacing w:val="-4"/>
          <w:sz w:val="24"/>
          <w:szCs w:val="24"/>
        </w:rPr>
        <w:t>potrebných objemoch. Dnes preto nič nebráni rýchlemu nasadeniu posilňovacích dávok. Kolektívny prístup sa teraz uplatňuje na zabezpečenie včasného</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spravodlivého prístupu</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terapeutikám. Prijatím kompletného balíka týkajúceho sa zdravotnej únie</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úplným zavedením úradu HERA sa tento prístup ďalej upevní, čím sa posilní pripravenosť</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štrukturálna odolnosť. Vďaka koordinovanému prístupu</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digitálnemu COVID preukazu EÚ máme kľúčový nástroj, ktorý Európe pomohol pri jej opätovnom otváraní</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sústavne sa používa po celej EÚ. Tím Európa hrá naďalej vedúcu úlohu</w:t>
      </w:r>
      <w:r w:rsidR="00C60340" w:rsidRPr="00C60340">
        <w:rPr>
          <w:rFonts w:ascii="Times New Roman" w:hAnsi="Times New Roman"/>
          <w:noProof/>
          <w:spacing w:val="-4"/>
          <w:sz w:val="24"/>
          <w:szCs w:val="24"/>
        </w:rPr>
        <w:t xml:space="preserve"> v </w:t>
      </w:r>
      <w:r w:rsidRPr="00C60340">
        <w:rPr>
          <w:rFonts w:ascii="Times New Roman" w:hAnsi="Times New Roman"/>
          <w:noProof/>
          <w:spacing w:val="-4"/>
          <w:sz w:val="24"/>
          <w:szCs w:val="24"/>
        </w:rPr>
        <w:t>celosvetovom boji proti pandémii, ako aj pri úsilí zlepšiť globálnu bezpečnosť do budúcnosti. Všetky tieto kroky viedli</w:t>
      </w:r>
      <w:r w:rsidR="00C60340" w:rsidRPr="00C60340">
        <w:rPr>
          <w:rFonts w:ascii="Times New Roman" w:hAnsi="Times New Roman"/>
          <w:noProof/>
          <w:spacing w:val="-4"/>
          <w:sz w:val="24"/>
          <w:szCs w:val="24"/>
        </w:rPr>
        <w:t xml:space="preserve"> k </w:t>
      </w:r>
      <w:r w:rsidRPr="00C60340">
        <w:rPr>
          <w:rFonts w:ascii="Times New Roman" w:hAnsi="Times New Roman"/>
          <w:noProof/>
          <w:spacing w:val="-4"/>
          <w:sz w:val="24"/>
          <w:szCs w:val="24"/>
        </w:rPr>
        <w:t>tomu, že EÚ je čoraz lepšie schopná riešiť pandémiu</w:t>
      </w:r>
      <w:r w:rsidR="00C60340" w:rsidRPr="00C60340">
        <w:rPr>
          <w:rFonts w:ascii="Times New Roman" w:hAnsi="Times New Roman"/>
          <w:noProof/>
          <w:spacing w:val="-4"/>
          <w:sz w:val="24"/>
          <w:szCs w:val="24"/>
        </w:rPr>
        <w:t xml:space="preserve"> a </w:t>
      </w:r>
      <w:r w:rsidRPr="00C60340">
        <w:rPr>
          <w:rFonts w:ascii="Times New Roman" w:hAnsi="Times New Roman"/>
          <w:noProof/>
          <w:spacing w:val="-4"/>
          <w:sz w:val="24"/>
          <w:szCs w:val="24"/>
        </w:rPr>
        <w:t>pomôcť pri obnove, pričom opatrenia EÚ pomáhajú národným zdravotníckym systémom zvládať obrovské tlaky, ktorým čelia</w:t>
      </w:r>
      <w:r w:rsidR="00C60340" w:rsidRPr="00C60340">
        <w:rPr>
          <w:rFonts w:ascii="Times New Roman" w:hAnsi="Times New Roman"/>
          <w:noProof/>
          <w:spacing w:val="-4"/>
          <w:sz w:val="24"/>
          <w:szCs w:val="24"/>
        </w:rPr>
        <w:t>.</w:t>
      </w:r>
    </w:p>
    <w:p w14:paraId="5980379D" w14:textId="1C5F6FC0" w:rsidR="001E539E" w:rsidRPr="00C60340" w:rsidRDefault="00EA5153" w:rsidP="001378BC">
      <w:pPr>
        <w:spacing w:after="120" w:line="240" w:lineRule="auto"/>
        <w:jc w:val="both"/>
        <w:rPr>
          <w:rFonts w:ascii="Times New Roman" w:hAnsi="Times New Roman" w:cs="Times New Roman"/>
          <w:noProof/>
          <w:sz w:val="24"/>
          <w:szCs w:val="24"/>
        </w:rPr>
      </w:pPr>
      <w:r w:rsidRPr="00C60340">
        <w:rPr>
          <w:rFonts w:ascii="Times New Roman" w:hAnsi="Times New Roman"/>
          <w:noProof/>
          <w:sz w:val="24"/>
          <w:szCs w:val="24"/>
        </w:rPr>
        <w:t>Teraz by sme sa mali týchto zásad pevne pridŕžať, keď EÚ čelí dvojitej výzve, ktorou sú rýchlo rastúce prípady</w:t>
      </w:r>
      <w:r w:rsidR="00C60340">
        <w:rPr>
          <w:rFonts w:ascii="Times New Roman" w:hAnsi="Times New Roman"/>
          <w:noProof/>
          <w:sz w:val="24"/>
          <w:szCs w:val="24"/>
        </w:rPr>
        <w:t xml:space="preserve"> a </w:t>
      </w:r>
      <w:r w:rsidRPr="00C60340">
        <w:rPr>
          <w:rFonts w:ascii="Times New Roman" w:hAnsi="Times New Roman"/>
          <w:noProof/>
          <w:sz w:val="24"/>
          <w:szCs w:val="24"/>
        </w:rPr>
        <w:t>riziko spojené</w:t>
      </w:r>
      <w:r w:rsidR="00C60340">
        <w:rPr>
          <w:rFonts w:ascii="Times New Roman" w:hAnsi="Times New Roman"/>
          <w:noProof/>
          <w:sz w:val="24"/>
          <w:szCs w:val="24"/>
        </w:rPr>
        <w:t xml:space="preserve"> s </w:t>
      </w:r>
      <w:r w:rsidRPr="00C60340">
        <w:rPr>
          <w:rFonts w:ascii="Times New Roman" w:hAnsi="Times New Roman"/>
          <w:noProof/>
          <w:sz w:val="24"/>
          <w:szCs w:val="24"/>
        </w:rPr>
        <w:t>variantom omikron. EÚ</w:t>
      </w:r>
      <w:r w:rsidR="00C60340">
        <w:rPr>
          <w:rFonts w:ascii="Times New Roman" w:hAnsi="Times New Roman"/>
          <w:noProof/>
          <w:sz w:val="24"/>
          <w:szCs w:val="24"/>
        </w:rPr>
        <w:t xml:space="preserve"> a </w:t>
      </w:r>
      <w:r w:rsidRPr="00C60340">
        <w:rPr>
          <w:rFonts w:ascii="Times New Roman" w:hAnsi="Times New Roman"/>
          <w:noProof/>
          <w:sz w:val="24"/>
          <w:szCs w:val="24"/>
        </w:rPr>
        <w:t>členské štáty musia preukázať, že sú pripravené rýchlo zareagovať, musia zaviesť opatrenia na zvládnutie náhleho nárastu šírenia vírusu</w:t>
      </w:r>
      <w:r w:rsidR="00C60340">
        <w:rPr>
          <w:rFonts w:ascii="Times New Roman" w:hAnsi="Times New Roman"/>
          <w:noProof/>
          <w:sz w:val="24"/>
          <w:szCs w:val="24"/>
        </w:rPr>
        <w:t xml:space="preserve"> a </w:t>
      </w:r>
      <w:r w:rsidRPr="00C60340">
        <w:rPr>
          <w:rFonts w:ascii="Times New Roman" w:hAnsi="Times New Roman"/>
          <w:noProof/>
          <w:sz w:val="24"/>
          <w:szCs w:val="24"/>
        </w:rPr>
        <w:t>nesmú poľaviť</w:t>
      </w:r>
      <w:r w:rsidR="00C60340">
        <w:rPr>
          <w:rFonts w:ascii="Times New Roman" w:hAnsi="Times New Roman"/>
          <w:noProof/>
          <w:sz w:val="24"/>
          <w:szCs w:val="24"/>
        </w:rPr>
        <w:t xml:space="preserve"> v </w:t>
      </w:r>
      <w:r w:rsidRPr="00C60340">
        <w:rPr>
          <w:rFonts w:ascii="Times New Roman" w:hAnsi="Times New Roman"/>
          <w:noProof/>
          <w:sz w:val="24"/>
          <w:szCs w:val="24"/>
        </w:rPr>
        <w:t>úsilí nájsť silnú</w:t>
      </w:r>
      <w:r w:rsidR="00C60340">
        <w:rPr>
          <w:rFonts w:ascii="Times New Roman" w:hAnsi="Times New Roman"/>
          <w:noProof/>
          <w:sz w:val="24"/>
          <w:szCs w:val="24"/>
        </w:rPr>
        <w:t xml:space="preserve"> a </w:t>
      </w:r>
      <w:r w:rsidRPr="00C60340">
        <w:rPr>
          <w:rFonts w:ascii="Times New Roman" w:hAnsi="Times New Roman"/>
          <w:noProof/>
          <w:sz w:val="24"/>
          <w:szCs w:val="24"/>
        </w:rPr>
        <w:t>udržateľnú dlhodobú reakciu na túto hrozbu. Vyžaduje si to odhodlanú</w:t>
      </w:r>
      <w:r w:rsidR="00C60340">
        <w:rPr>
          <w:rFonts w:ascii="Times New Roman" w:hAnsi="Times New Roman"/>
          <w:noProof/>
          <w:sz w:val="24"/>
          <w:szCs w:val="24"/>
        </w:rPr>
        <w:t xml:space="preserve"> a </w:t>
      </w:r>
      <w:r w:rsidRPr="00C60340">
        <w:rPr>
          <w:rFonts w:ascii="Times New Roman" w:hAnsi="Times New Roman"/>
          <w:noProof/>
          <w:sz w:val="24"/>
          <w:szCs w:val="24"/>
        </w:rPr>
        <w:t>bezodkladnú reakciu:</w:t>
      </w:r>
    </w:p>
    <w:p w14:paraId="26E263AB" w14:textId="22C284BC" w:rsidR="007F0A3F" w:rsidRPr="00C60340" w:rsidRDefault="003A0A71"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EÚ</w:t>
      </w:r>
      <w:r w:rsidR="00C60340">
        <w:rPr>
          <w:rFonts w:ascii="Times New Roman" w:hAnsi="Times New Roman"/>
          <w:noProof/>
          <w:sz w:val="24"/>
          <w:szCs w:val="24"/>
        </w:rPr>
        <w:t xml:space="preserve"> a </w:t>
      </w:r>
      <w:r w:rsidRPr="00C60340">
        <w:rPr>
          <w:rFonts w:ascii="Times New Roman" w:hAnsi="Times New Roman"/>
          <w:noProof/>
          <w:sz w:val="24"/>
          <w:szCs w:val="24"/>
        </w:rPr>
        <w:t>členské štáty by sa mali zaviazať</w:t>
      </w:r>
      <w:r w:rsidR="00C60340">
        <w:rPr>
          <w:rFonts w:ascii="Times New Roman" w:hAnsi="Times New Roman"/>
          <w:noProof/>
          <w:sz w:val="24"/>
          <w:szCs w:val="24"/>
        </w:rPr>
        <w:t xml:space="preserve"> k </w:t>
      </w:r>
      <w:r w:rsidRPr="00C60340">
        <w:rPr>
          <w:rFonts w:ascii="Times New Roman" w:hAnsi="Times New Roman"/>
          <w:noProof/>
          <w:sz w:val="24"/>
          <w:szCs w:val="24"/>
        </w:rPr>
        <w:t>vykonávaniu spoločnej stratégie na obmedzenie šírenia variantu omikron, ktorej súčasťou bude každodenné preskúmavanie nevyhnutných cestovných obmedzení</w:t>
      </w:r>
      <w:r w:rsidR="00C60340">
        <w:rPr>
          <w:rFonts w:ascii="Times New Roman" w:hAnsi="Times New Roman"/>
          <w:noProof/>
          <w:sz w:val="24"/>
          <w:szCs w:val="24"/>
        </w:rPr>
        <w:t xml:space="preserve"> a </w:t>
      </w:r>
      <w:r w:rsidRPr="00C60340">
        <w:rPr>
          <w:rFonts w:ascii="Times New Roman" w:hAnsi="Times New Roman"/>
          <w:noProof/>
          <w:sz w:val="24"/>
          <w:szCs w:val="24"/>
        </w:rPr>
        <w:t>pripravenosť zaviesť všetky potrebné kontroly.</w:t>
      </w:r>
    </w:p>
    <w:p w14:paraId="56166499" w14:textId="6704F351" w:rsidR="00FC147D" w:rsidRPr="00C60340" w:rsidRDefault="003A0A71"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Členské štáty by mali viesť obnovenú kampaň zameranú na nezaočkovaných vo všetkých oprávnených vekových skupinách,</w:t>
      </w:r>
      <w:r w:rsidR="00C60340">
        <w:rPr>
          <w:rFonts w:ascii="Times New Roman" w:hAnsi="Times New Roman"/>
          <w:noProof/>
          <w:sz w:val="24"/>
          <w:szCs w:val="24"/>
        </w:rPr>
        <w:t xml:space="preserve"> s </w:t>
      </w:r>
      <w:r w:rsidRPr="00C60340">
        <w:rPr>
          <w:rFonts w:ascii="Times New Roman" w:hAnsi="Times New Roman"/>
          <w:noProof/>
          <w:sz w:val="24"/>
          <w:szCs w:val="24"/>
        </w:rPr>
        <w:t>cielenými národnými stratégiami zameranými na tých, ktorí</w:t>
      </w:r>
      <w:r w:rsidR="00C60340">
        <w:rPr>
          <w:rFonts w:ascii="Times New Roman" w:hAnsi="Times New Roman"/>
          <w:noProof/>
          <w:sz w:val="24"/>
          <w:szCs w:val="24"/>
        </w:rPr>
        <w:t xml:space="preserve"> s </w:t>
      </w:r>
      <w:r w:rsidRPr="00C60340">
        <w:rPr>
          <w:rFonts w:ascii="Times New Roman" w:hAnsi="Times New Roman"/>
          <w:noProof/>
          <w:sz w:val="24"/>
          <w:szCs w:val="24"/>
        </w:rPr>
        <w:t>očkovaním váhajú.</w:t>
      </w:r>
    </w:p>
    <w:p w14:paraId="341E1461" w14:textId="70673544" w:rsidR="001E539E" w:rsidRPr="00C60340" w:rsidRDefault="003A0A71"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Členské štáty by mali urýchlene podávať posilňovacie dávky, aby sa zachovala vysoká úroveň ochrany pred vírusom</w:t>
      </w:r>
      <w:r w:rsidR="00C60340">
        <w:rPr>
          <w:rFonts w:ascii="Times New Roman" w:hAnsi="Times New Roman"/>
          <w:noProof/>
          <w:sz w:val="24"/>
          <w:szCs w:val="24"/>
        </w:rPr>
        <w:t xml:space="preserve"> a </w:t>
      </w:r>
      <w:r w:rsidRPr="00C60340">
        <w:rPr>
          <w:rFonts w:ascii="Times New Roman" w:hAnsi="Times New Roman"/>
          <w:noProof/>
          <w:sz w:val="24"/>
          <w:szCs w:val="24"/>
        </w:rPr>
        <w:t>variantom omikron, pričom prednosť by mali mať zraniteľnejšie osoby.</w:t>
      </w:r>
    </w:p>
    <w:p w14:paraId="01009C11" w14:textId="77777777" w:rsidR="003A0A71" w:rsidRPr="00C60340" w:rsidRDefault="003A0A71"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Agentúry EÚ by mali zabezpečiť rýchlu dostupnosť potrebných vedeckých usmernení.</w:t>
      </w:r>
    </w:p>
    <w:p w14:paraId="0F6FEEF4" w14:textId="6002B8C1" w:rsidR="00957ABE" w:rsidRPr="00C60340" w:rsidRDefault="003A0A71"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Komisia zintenzívni svoje úsilie, pokiaľ ide</w:t>
      </w:r>
      <w:r w:rsidR="00C60340">
        <w:rPr>
          <w:rFonts w:ascii="Times New Roman" w:hAnsi="Times New Roman"/>
          <w:noProof/>
          <w:sz w:val="24"/>
          <w:szCs w:val="24"/>
        </w:rPr>
        <w:t xml:space="preserve"> o </w:t>
      </w:r>
      <w:r w:rsidRPr="00C60340">
        <w:rPr>
          <w:rFonts w:ascii="Times New Roman" w:hAnsi="Times New Roman"/>
          <w:noProof/>
          <w:sz w:val="24"/>
          <w:szCs w:val="24"/>
        </w:rPr>
        <w:t>výrobu, povoľovanie</w:t>
      </w:r>
      <w:r w:rsidR="00C60340">
        <w:rPr>
          <w:rFonts w:ascii="Times New Roman" w:hAnsi="Times New Roman"/>
          <w:noProof/>
          <w:sz w:val="24"/>
          <w:szCs w:val="24"/>
        </w:rPr>
        <w:t xml:space="preserve"> a </w:t>
      </w:r>
      <w:r w:rsidRPr="00C60340">
        <w:rPr>
          <w:rFonts w:ascii="Times New Roman" w:hAnsi="Times New Roman"/>
          <w:noProof/>
          <w:sz w:val="24"/>
          <w:szCs w:val="24"/>
        </w:rPr>
        <w:t>spoločné obstarávanie terapeutík proti ochoreniu COVID-19.</w:t>
      </w:r>
    </w:p>
    <w:p w14:paraId="542EB1A6" w14:textId="0117B7E1" w:rsidR="00EA5153" w:rsidRPr="00C60340" w:rsidRDefault="003A0A71"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Európsky parlament</w:t>
      </w:r>
      <w:r w:rsidR="00C60340">
        <w:rPr>
          <w:rFonts w:ascii="Times New Roman" w:hAnsi="Times New Roman"/>
          <w:noProof/>
          <w:sz w:val="24"/>
          <w:szCs w:val="24"/>
        </w:rPr>
        <w:t xml:space="preserve"> a </w:t>
      </w:r>
      <w:r w:rsidRPr="00C60340">
        <w:rPr>
          <w:rFonts w:ascii="Times New Roman" w:hAnsi="Times New Roman"/>
          <w:noProof/>
          <w:sz w:val="24"/>
          <w:szCs w:val="24"/>
        </w:rPr>
        <w:t>Rada by mali urýchlene prijať kompletný balík predpisov</w:t>
      </w:r>
      <w:r w:rsidR="00C60340">
        <w:rPr>
          <w:rFonts w:ascii="Times New Roman" w:hAnsi="Times New Roman"/>
          <w:noProof/>
          <w:sz w:val="24"/>
          <w:szCs w:val="24"/>
        </w:rPr>
        <w:t xml:space="preserve"> o </w:t>
      </w:r>
      <w:r w:rsidRPr="00C60340">
        <w:rPr>
          <w:rFonts w:ascii="Times New Roman" w:hAnsi="Times New Roman"/>
          <w:noProof/>
          <w:sz w:val="24"/>
          <w:szCs w:val="24"/>
        </w:rPr>
        <w:t>európskej zdravotnej únii</w:t>
      </w:r>
      <w:r w:rsidR="00C60340">
        <w:rPr>
          <w:rFonts w:ascii="Times New Roman" w:hAnsi="Times New Roman"/>
          <w:noProof/>
          <w:sz w:val="24"/>
          <w:szCs w:val="24"/>
        </w:rPr>
        <w:t xml:space="preserve"> a </w:t>
      </w:r>
      <w:r w:rsidRPr="00C60340">
        <w:rPr>
          <w:rFonts w:ascii="Times New Roman" w:hAnsi="Times New Roman"/>
          <w:noProof/>
          <w:sz w:val="24"/>
          <w:szCs w:val="24"/>
        </w:rPr>
        <w:t>Rada by mala čo najrýchlejšie prijať krízové nariadenie týkajúce sa úradu HERA.</w:t>
      </w:r>
    </w:p>
    <w:p w14:paraId="1E621CB0" w14:textId="65203004" w:rsidR="001E539E" w:rsidRPr="00C60340" w:rsidRDefault="0096520C" w:rsidP="001378BC">
      <w:pPr>
        <w:pStyle w:val="ListParagraph"/>
        <w:numPr>
          <w:ilvl w:val="0"/>
          <w:numId w:val="5"/>
        </w:numPr>
        <w:spacing w:after="120" w:line="240" w:lineRule="auto"/>
        <w:contextualSpacing w:val="0"/>
        <w:jc w:val="both"/>
        <w:rPr>
          <w:rFonts w:ascii="Times New Roman" w:hAnsi="Times New Roman" w:cs="Times New Roman"/>
          <w:noProof/>
          <w:spacing w:val="-6"/>
          <w:sz w:val="24"/>
          <w:szCs w:val="24"/>
        </w:rPr>
      </w:pPr>
      <w:r w:rsidRPr="00C60340">
        <w:rPr>
          <w:rFonts w:ascii="Times New Roman" w:hAnsi="Times New Roman"/>
          <w:noProof/>
          <w:spacing w:val="-6"/>
          <w:sz w:val="24"/>
          <w:szCs w:val="24"/>
        </w:rPr>
        <w:t>Členské štáty by mali zaviesť cielené</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primerané preventívne opatrenia</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obmedzenia</w:t>
      </w:r>
      <w:r w:rsidR="00C60340" w:rsidRPr="00C60340">
        <w:rPr>
          <w:rFonts w:ascii="Times New Roman" w:hAnsi="Times New Roman"/>
          <w:noProof/>
          <w:spacing w:val="-6"/>
          <w:sz w:val="24"/>
          <w:szCs w:val="24"/>
        </w:rPr>
        <w:t xml:space="preserve"> s </w:t>
      </w:r>
      <w:r w:rsidRPr="00C60340">
        <w:rPr>
          <w:rFonts w:ascii="Times New Roman" w:hAnsi="Times New Roman"/>
          <w:noProof/>
          <w:spacing w:val="-6"/>
          <w:sz w:val="24"/>
          <w:szCs w:val="24"/>
        </w:rPr>
        <w:t>cieľom obmedziť šírenie vírusu, zachraňovať životy</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znižovať tlak na systémy zdravotnej starostlivosti. Mala by sa zabezpečiť úzka koordinácia na úrovni EÚ. Nástup variantu omikron znamená, že zvýšená pozornosť by sa mala venovať uplatňovaniu</w:t>
      </w:r>
      <w:r w:rsidR="00C60340" w:rsidRPr="00C60340">
        <w:rPr>
          <w:rFonts w:ascii="Times New Roman" w:hAnsi="Times New Roman"/>
          <w:noProof/>
          <w:spacing w:val="-6"/>
          <w:sz w:val="24"/>
          <w:szCs w:val="24"/>
        </w:rPr>
        <w:t xml:space="preserve"> a </w:t>
      </w:r>
      <w:r w:rsidRPr="00C60340">
        <w:rPr>
          <w:rFonts w:ascii="Times New Roman" w:hAnsi="Times New Roman"/>
          <w:noProof/>
          <w:spacing w:val="-6"/>
          <w:sz w:val="24"/>
          <w:szCs w:val="24"/>
        </w:rPr>
        <w:t>komunikovaniu osobitných opatrení týkajúcich sa kontaktov počas koncoročného obdobia.</w:t>
      </w:r>
    </w:p>
    <w:p w14:paraId="34F352F8" w14:textId="68523F73" w:rsidR="001E539E" w:rsidRPr="00C60340" w:rsidRDefault="0096520C"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Členské štáty by sa mali dohodnúť</w:t>
      </w:r>
      <w:r w:rsidR="00C60340">
        <w:rPr>
          <w:rFonts w:ascii="Times New Roman" w:hAnsi="Times New Roman"/>
          <w:noProof/>
          <w:sz w:val="24"/>
          <w:szCs w:val="24"/>
        </w:rPr>
        <w:t xml:space="preserve"> a </w:t>
      </w:r>
      <w:r w:rsidRPr="00C60340">
        <w:rPr>
          <w:rFonts w:ascii="Times New Roman" w:hAnsi="Times New Roman"/>
          <w:noProof/>
          <w:sz w:val="24"/>
          <w:szCs w:val="24"/>
        </w:rPr>
        <w:t>implementovať revidovaný prístup</w:t>
      </w:r>
      <w:r w:rsidR="00C60340">
        <w:rPr>
          <w:rFonts w:ascii="Times New Roman" w:hAnsi="Times New Roman"/>
          <w:noProof/>
          <w:sz w:val="24"/>
          <w:szCs w:val="24"/>
        </w:rPr>
        <w:t xml:space="preserve"> k </w:t>
      </w:r>
      <w:r w:rsidRPr="00C60340">
        <w:rPr>
          <w:rFonts w:ascii="Times New Roman" w:hAnsi="Times New Roman"/>
          <w:noProof/>
          <w:sz w:val="24"/>
          <w:szCs w:val="24"/>
        </w:rPr>
        <w:t>voľnému pohybu na základe digitálneho COVID preukazu EÚ, ktorý by mal štandardné obdobie platnosti očkovania 9 mesiacov.</w:t>
      </w:r>
    </w:p>
    <w:p w14:paraId="75C2D56C" w14:textId="7A17469F" w:rsidR="00BF1BAA" w:rsidRPr="00C60340" w:rsidRDefault="0096520C"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EÚ</w:t>
      </w:r>
      <w:r w:rsidR="00C60340">
        <w:rPr>
          <w:rFonts w:ascii="Times New Roman" w:hAnsi="Times New Roman"/>
          <w:noProof/>
          <w:sz w:val="24"/>
          <w:szCs w:val="24"/>
        </w:rPr>
        <w:t xml:space="preserve"> a </w:t>
      </w:r>
      <w:r w:rsidRPr="00C60340">
        <w:rPr>
          <w:rFonts w:ascii="Times New Roman" w:hAnsi="Times New Roman"/>
          <w:noProof/>
          <w:sz w:val="24"/>
          <w:szCs w:val="24"/>
        </w:rPr>
        <w:t>členské štáty by mali urýchliť úsilie Tímu Európa, pokiaľ ide</w:t>
      </w:r>
      <w:r w:rsidR="00C60340">
        <w:rPr>
          <w:rFonts w:ascii="Times New Roman" w:hAnsi="Times New Roman"/>
          <w:noProof/>
          <w:sz w:val="24"/>
          <w:szCs w:val="24"/>
        </w:rPr>
        <w:t xml:space="preserve"> o </w:t>
      </w:r>
      <w:r w:rsidRPr="00C60340">
        <w:rPr>
          <w:rFonts w:ascii="Times New Roman" w:hAnsi="Times New Roman"/>
          <w:noProof/>
          <w:sz w:val="24"/>
          <w:szCs w:val="24"/>
        </w:rPr>
        <w:t>spoločné využívanie vakcín, aby sa</w:t>
      </w:r>
      <w:r w:rsidR="00C60340">
        <w:rPr>
          <w:rFonts w:ascii="Times New Roman" w:hAnsi="Times New Roman"/>
          <w:noProof/>
          <w:sz w:val="24"/>
          <w:szCs w:val="24"/>
        </w:rPr>
        <w:t xml:space="preserve"> v </w:t>
      </w:r>
      <w:r w:rsidRPr="00C60340">
        <w:rPr>
          <w:rFonts w:ascii="Times New Roman" w:hAnsi="Times New Roman"/>
          <w:noProof/>
          <w:sz w:val="24"/>
          <w:szCs w:val="24"/>
        </w:rPr>
        <w:t>roku 2022 dosiahol cieľ globálnej zaočkovanosti 70</w:t>
      </w:r>
      <w:r w:rsidR="00C60340">
        <w:rPr>
          <w:rFonts w:ascii="Times New Roman" w:hAnsi="Times New Roman"/>
          <w:noProof/>
          <w:sz w:val="24"/>
          <w:szCs w:val="24"/>
        </w:rPr>
        <w:t> %</w:t>
      </w:r>
      <w:r w:rsidRPr="00C60340">
        <w:rPr>
          <w:rFonts w:ascii="Times New Roman" w:hAnsi="Times New Roman"/>
          <w:noProof/>
          <w:sz w:val="24"/>
          <w:szCs w:val="24"/>
        </w:rPr>
        <w:t xml:space="preserve"> odsúhlasený na samite G20</w:t>
      </w:r>
      <w:r w:rsidR="00C60340">
        <w:rPr>
          <w:rFonts w:ascii="Times New Roman" w:hAnsi="Times New Roman"/>
          <w:noProof/>
          <w:sz w:val="24"/>
          <w:szCs w:val="24"/>
        </w:rPr>
        <w:t xml:space="preserve"> v </w:t>
      </w:r>
      <w:r w:rsidRPr="00C60340">
        <w:rPr>
          <w:rFonts w:ascii="Times New Roman" w:hAnsi="Times New Roman"/>
          <w:noProof/>
          <w:sz w:val="24"/>
          <w:szCs w:val="24"/>
        </w:rPr>
        <w:t>októbri 2021. Zároveň treba podporovať budovanie kapacít</w:t>
      </w:r>
      <w:r w:rsidR="00C60340">
        <w:rPr>
          <w:rFonts w:ascii="Times New Roman" w:hAnsi="Times New Roman"/>
          <w:noProof/>
          <w:sz w:val="24"/>
          <w:szCs w:val="24"/>
        </w:rPr>
        <w:t xml:space="preserve"> v </w:t>
      </w:r>
      <w:r w:rsidRPr="00C60340">
        <w:rPr>
          <w:rFonts w:ascii="Times New Roman" w:hAnsi="Times New Roman"/>
          <w:noProof/>
          <w:sz w:val="24"/>
          <w:szCs w:val="24"/>
        </w:rPr>
        <w:t>oblasti sekvenovania, testovania, liečby</w:t>
      </w:r>
      <w:r w:rsidR="00C60340">
        <w:rPr>
          <w:rFonts w:ascii="Times New Roman" w:hAnsi="Times New Roman"/>
          <w:noProof/>
          <w:sz w:val="24"/>
          <w:szCs w:val="24"/>
        </w:rPr>
        <w:t xml:space="preserve"> a </w:t>
      </w:r>
      <w:r w:rsidRPr="00C60340">
        <w:rPr>
          <w:rFonts w:ascii="Times New Roman" w:hAnsi="Times New Roman"/>
          <w:noProof/>
          <w:sz w:val="24"/>
          <w:szCs w:val="24"/>
        </w:rPr>
        <w:t>logistiky očkovania.</w:t>
      </w:r>
    </w:p>
    <w:p w14:paraId="4E828E90" w14:textId="084EC825" w:rsidR="001E539E" w:rsidRPr="00C60340" w:rsidRDefault="0096520C" w:rsidP="001378BC">
      <w:pPr>
        <w:pStyle w:val="ListParagraph"/>
        <w:numPr>
          <w:ilvl w:val="0"/>
          <w:numId w:val="5"/>
        </w:numPr>
        <w:spacing w:after="120" w:line="240" w:lineRule="auto"/>
        <w:contextualSpacing w:val="0"/>
        <w:jc w:val="both"/>
        <w:rPr>
          <w:rFonts w:ascii="Times New Roman" w:hAnsi="Times New Roman" w:cs="Times New Roman"/>
          <w:noProof/>
          <w:sz w:val="24"/>
          <w:szCs w:val="24"/>
        </w:rPr>
      </w:pPr>
      <w:r w:rsidRPr="00C60340">
        <w:rPr>
          <w:rFonts w:ascii="Times New Roman" w:hAnsi="Times New Roman"/>
          <w:noProof/>
          <w:sz w:val="24"/>
          <w:szCs w:val="24"/>
        </w:rPr>
        <w:t>EÚ musí byť hnacím motorom pri vytváraní obnovenej globálnej zdravotnej architektúry, ktorá zmobilizuje zdroje potrebné na posilnenú, spravodlivejšiu</w:t>
      </w:r>
      <w:r w:rsidR="00C60340">
        <w:rPr>
          <w:rFonts w:ascii="Times New Roman" w:hAnsi="Times New Roman"/>
          <w:noProof/>
          <w:sz w:val="24"/>
          <w:szCs w:val="24"/>
        </w:rPr>
        <w:t xml:space="preserve"> a </w:t>
      </w:r>
      <w:r w:rsidRPr="00C60340">
        <w:rPr>
          <w:rFonts w:ascii="Times New Roman" w:hAnsi="Times New Roman"/>
          <w:noProof/>
          <w:sz w:val="24"/>
          <w:szCs w:val="24"/>
        </w:rPr>
        <w:t>transparentnejšiu spoluprácu</w:t>
      </w:r>
      <w:r w:rsidR="00C60340">
        <w:rPr>
          <w:rFonts w:ascii="Times New Roman" w:hAnsi="Times New Roman"/>
          <w:noProof/>
          <w:sz w:val="24"/>
          <w:szCs w:val="24"/>
        </w:rPr>
        <w:t xml:space="preserve"> a </w:t>
      </w:r>
      <w:r w:rsidRPr="00C60340">
        <w:rPr>
          <w:rFonts w:ascii="Times New Roman" w:hAnsi="Times New Roman"/>
          <w:noProof/>
          <w:sz w:val="24"/>
          <w:szCs w:val="24"/>
        </w:rPr>
        <w:t>solidaritu.</w:t>
      </w:r>
    </w:p>
    <w:p w14:paraId="01A40DBF" w14:textId="77777777" w:rsidR="00553964" w:rsidRPr="00C60340" w:rsidRDefault="00553964" w:rsidP="001378BC">
      <w:pPr>
        <w:pStyle w:val="ListParagraph"/>
        <w:spacing w:after="120" w:line="240" w:lineRule="auto"/>
        <w:contextualSpacing w:val="0"/>
        <w:jc w:val="both"/>
        <w:rPr>
          <w:rFonts w:ascii="Times New Roman" w:hAnsi="Times New Roman" w:cs="Times New Roman"/>
          <w:noProof/>
          <w:sz w:val="24"/>
          <w:szCs w:val="24"/>
        </w:rPr>
      </w:pPr>
    </w:p>
    <w:sectPr w:rsidR="00553964" w:rsidRPr="00C60340" w:rsidSect="0075236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45C64" w14:textId="77777777" w:rsidR="001510EB" w:rsidRDefault="001510EB" w:rsidP="00CE4A22">
      <w:pPr>
        <w:spacing w:after="0" w:line="240" w:lineRule="auto"/>
      </w:pPr>
      <w:r>
        <w:separator/>
      </w:r>
    </w:p>
  </w:endnote>
  <w:endnote w:type="continuationSeparator" w:id="0">
    <w:p w14:paraId="77A2901D" w14:textId="77777777" w:rsidR="001510EB" w:rsidRDefault="001510EB" w:rsidP="00CE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DC84" w14:textId="77777777" w:rsidR="00B74AEE" w:rsidRPr="00B74AEE" w:rsidRDefault="00B74AEE" w:rsidP="00B7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4BA7A" w14:textId="5261C610" w:rsidR="00C60340" w:rsidRPr="00B74AEE" w:rsidRDefault="00B74AEE" w:rsidP="00B74AEE">
    <w:pPr>
      <w:pStyle w:val="FooterCoverPage"/>
      <w:rPr>
        <w:rFonts w:ascii="Arial" w:hAnsi="Arial" w:cs="Arial"/>
        <w:b/>
        <w:sz w:val="48"/>
      </w:rPr>
    </w:pPr>
    <w:r w:rsidRPr="00B74AEE">
      <w:rPr>
        <w:rFonts w:ascii="Arial" w:hAnsi="Arial" w:cs="Arial"/>
        <w:b/>
        <w:sz w:val="48"/>
      </w:rPr>
      <w:t>SK</w:t>
    </w:r>
    <w:r w:rsidRPr="00B74AEE">
      <w:rPr>
        <w:rFonts w:ascii="Arial" w:hAnsi="Arial" w:cs="Arial"/>
        <w:b/>
        <w:sz w:val="48"/>
      </w:rPr>
      <w:tab/>
    </w:r>
    <w:r w:rsidRPr="00B74AEE">
      <w:rPr>
        <w:rFonts w:ascii="Arial" w:hAnsi="Arial" w:cs="Arial"/>
        <w:b/>
        <w:sz w:val="48"/>
      </w:rPr>
      <w:tab/>
    </w:r>
    <w:r w:rsidRPr="00B74AEE">
      <w:tab/>
    </w:r>
    <w:r w:rsidRPr="00B74AEE">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6738" w14:textId="77777777" w:rsidR="00B74AEE" w:rsidRPr="00B74AEE" w:rsidRDefault="00B74AEE" w:rsidP="00B74AE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0D58" w14:textId="77777777" w:rsidR="00B83E6E" w:rsidRDefault="00B83E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9744"/>
      <w:docPartObj>
        <w:docPartGallery w:val="Page Numbers (Bottom of Page)"/>
        <w:docPartUnique/>
      </w:docPartObj>
    </w:sdtPr>
    <w:sdtEndPr>
      <w:rPr>
        <w:rFonts w:ascii="Times New Roman" w:hAnsi="Times New Roman" w:cs="Times New Roman"/>
        <w:noProof/>
      </w:rPr>
    </w:sdtEndPr>
    <w:sdtContent>
      <w:p w14:paraId="43DBF8C3" w14:textId="35CF585D" w:rsidR="00CE0199" w:rsidRPr="0077428C" w:rsidRDefault="00CE019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74AEE">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6180" w14:textId="77777777" w:rsidR="00B83E6E" w:rsidRDefault="00B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2602" w14:textId="77777777" w:rsidR="001510EB" w:rsidRDefault="001510EB" w:rsidP="00CE4A22">
      <w:pPr>
        <w:spacing w:after="0" w:line="240" w:lineRule="auto"/>
      </w:pPr>
      <w:r>
        <w:separator/>
      </w:r>
    </w:p>
  </w:footnote>
  <w:footnote w:type="continuationSeparator" w:id="0">
    <w:p w14:paraId="6E575088" w14:textId="77777777" w:rsidR="001510EB" w:rsidRDefault="001510EB" w:rsidP="00CE4A22">
      <w:pPr>
        <w:spacing w:after="0" w:line="240" w:lineRule="auto"/>
      </w:pPr>
      <w:r>
        <w:continuationSeparator/>
      </w:r>
    </w:p>
  </w:footnote>
  <w:footnote w:id="1">
    <w:p w14:paraId="5BA1CF58" w14:textId="239BA74D" w:rsidR="00BB0A1E" w:rsidRPr="00C60340" w:rsidRDefault="00BB0A1E"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t>Celková miera oznámených prípadov ochorenia COVID-19</w:t>
      </w:r>
      <w:r w:rsidR="00C60340">
        <w:rPr>
          <w:rFonts w:ascii="Times New Roman" w:hAnsi="Times New Roman"/>
        </w:rPr>
        <w:t xml:space="preserve"> v </w:t>
      </w:r>
      <w:r w:rsidRPr="00C60340">
        <w:rPr>
          <w:rFonts w:ascii="Times New Roman" w:hAnsi="Times New Roman"/>
        </w:rPr>
        <w:t>EÚ/EHP bola</w:t>
      </w:r>
      <w:r w:rsidR="00C60340">
        <w:rPr>
          <w:rFonts w:ascii="Times New Roman" w:hAnsi="Times New Roman"/>
        </w:rPr>
        <w:t xml:space="preserve"> v </w:t>
      </w:r>
      <w:r w:rsidRPr="00C60340">
        <w:rPr>
          <w:rFonts w:ascii="Times New Roman" w:hAnsi="Times New Roman"/>
        </w:rPr>
        <w:t>45. týždni (8. – 14</w:t>
      </w:r>
      <w:r w:rsidR="00C60340">
        <w:rPr>
          <w:rFonts w:ascii="Times New Roman" w:hAnsi="Times New Roman"/>
        </w:rPr>
        <w:t>. novembra</w:t>
      </w:r>
      <w:r w:rsidRPr="00C60340">
        <w:rPr>
          <w:rFonts w:ascii="Times New Roman" w:hAnsi="Times New Roman"/>
        </w:rPr>
        <w:t xml:space="preserve"> 2021) 485,5 na 100 000 obyvateľov</w:t>
      </w:r>
      <w:r w:rsidR="00C60340">
        <w:rPr>
          <w:rFonts w:ascii="Times New Roman" w:hAnsi="Times New Roman"/>
        </w:rPr>
        <w:t xml:space="preserve"> a v </w:t>
      </w:r>
      <w:r w:rsidRPr="00C60340">
        <w:rPr>
          <w:rFonts w:ascii="Times New Roman" w:hAnsi="Times New Roman"/>
        </w:rPr>
        <w:t>období od 15. do 21</w:t>
      </w:r>
      <w:r w:rsidR="00C60340">
        <w:rPr>
          <w:rFonts w:ascii="Times New Roman" w:hAnsi="Times New Roman"/>
        </w:rPr>
        <w:t>. novembra</w:t>
      </w:r>
      <w:r w:rsidRPr="00C60340">
        <w:rPr>
          <w:rFonts w:ascii="Times New Roman" w:hAnsi="Times New Roman"/>
        </w:rPr>
        <w:t xml:space="preserve"> 612,2 na 100 000 obyvateľov (17. aktualizácia rýchleho posúdenia rizika ECDC).</w:t>
      </w:r>
    </w:p>
  </w:footnote>
  <w:footnote w:id="2">
    <w:p w14:paraId="699C517C" w14:textId="354953E5" w:rsidR="005D699F" w:rsidRPr="00C60340" w:rsidRDefault="005D699F"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t>Nezaočkovaní predstavujú 34,3</w:t>
      </w:r>
      <w:r w:rsidR="00C60340">
        <w:rPr>
          <w:rFonts w:ascii="Times New Roman" w:hAnsi="Times New Roman"/>
        </w:rPr>
        <w:t> %</w:t>
      </w:r>
      <w:r w:rsidRPr="00C60340">
        <w:rPr>
          <w:rFonts w:ascii="Times New Roman" w:hAnsi="Times New Roman"/>
        </w:rPr>
        <w:t xml:space="preserve"> celkovej populácie.</w:t>
      </w:r>
    </w:p>
  </w:footnote>
  <w:footnote w:id="3">
    <w:p w14:paraId="2CEEFF2E" w14:textId="77777777" w:rsidR="002C55B9" w:rsidRPr="00C60340" w:rsidRDefault="002C55B9" w:rsidP="00C60340">
      <w:pPr>
        <w:pStyle w:val="FootnoteText"/>
        <w:ind w:left="720" w:hanging="720"/>
        <w:jc w:val="both"/>
        <w:rPr>
          <w:rFonts w:ascii="Times New Roman" w:hAnsi="Times New Roman" w:cs="Times New Roman"/>
          <w:spacing w:val="-4"/>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r>
      <w:r w:rsidRPr="00C60340">
        <w:rPr>
          <w:rFonts w:ascii="Times New Roman" w:hAnsi="Times New Roman"/>
          <w:spacing w:val="-4"/>
        </w:rPr>
        <w:t>https://www.ecdc.europa.eu/en/publications-data/rapid-risk-assessment-sars-cov-2-situation-november-2021</w:t>
      </w:r>
    </w:p>
  </w:footnote>
  <w:footnote w:id="4">
    <w:p w14:paraId="67C04839" w14:textId="77777777" w:rsidR="00B0431A" w:rsidRPr="00C60340" w:rsidRDefault="00B0431A"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ab/>
      </w:r>
      <w:r w:rsidRPr="00C60340">
        <w:rPr>
          <w:rStyle w:val="FootnoteReference"/>
          <w:rFonts w:ascii="Times New Roman" w:hAnsi="Times New Roman"/>
          <w:vertAlign w:val="baseline"/>
        </w:rPr>
        <w:t>https://www.who.int/news/item/26-11-2021-classification-of-omicron-(b.1.1.529)-sars-cov-2-variant-of-concern</w:t>
      </w:r>
    </w:p>
  </w:footnote>
  <w:footnote w:id="5">
    <w:p w14:paraId="569F9B9B" w14:textId="0FF492E0" w:rsidR="00962BA0" w:rsidRPr="00C60340" w:rsidRDefault="00962BA0" w:rsidP="00C60340">
      <w:pPr>
        <w:pStyle w:val="FootnoteText"/>
        <w:ind w:left="720" w:hanging="720"/>
        <w:jc w:val="both"/>
        <w:rPr>
          <w:rFonts w:ascii="Times New Roman" w:hAnsi="Times New Roman" w:cs="Times New Roman"/>
          <w:spacing w:val="-4"/>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r>
      <w:r w:rsidRPr="00C60340">
        <w:rPr>
          <w:rFonts w:ascii="Times New Roman" w:hAnsi="Times New Roman"/>
          <w:spacing w:val="-4"/>
        </w:rPr>
        <w:t>Koalícia EÚ za očkovanie spája európske združenia zdravotníckych pracovníkov</w:t>
      </w:r>
      <w:r w:rsidR="00C60340" w:rsidRPr="00C60340">
        <w:rPr>
          <w:rFonts w:ascii="Times New Roman" w:hAnsi="Times New Roman"/>
          <w:spacing w:val="-4"/>
        </w:rPr>
        <w:t xml:space="preserve"> a </w:t>
      </w:r>
      <w:r w:rsidRPr="00C60340">
        <w:rPr>
          <w:rFonts w:ascii="Times New Roman" w:hAnsi="Times New Roman"/>
          <w:spacing w:val="-4"/>
        </w:rPr>
        <w:t>študentov, aby sa zasadzovali za očkovanie vo svojej každodennej práci</w:t>
      </w:r>
      <w:r w:rsidR="00C60340" w:rsidRPr="00C60340">
        <w:rPr>
          <w:rFonts w:ascii="Times New Roman" w:hAnsi="Times New Roman"/>
          <w:spacing w:val="-4"/>
        </w:rPr>
        <w:t xml:space="preserve"> s </w:t>
      </w:r>
      <w:r w:rsidRPr="00C60340">
        <w:rPr>
          <w:rFonts w:ascii="Times New Roman" w:hAnsi="Times New Roman"/>
          <w:spacing w:val="-4"/>
        </w:rPr>
        <w:t>pacientmi</w:t>
      </w:r>
      <w:r w:rsidR="00C60340" w:rsidRPr="00C60340">
        <w:rPr>
          <w:rFonts w:ascii="Times New Roman" w:hAnsi="Times New Roman"/>
          <w:spacing w:val="-4"/>
        </w:rPr>
        <w:t xml:space="preserve"> a </w:t>
      </w:r>
      <w:r w:rsidRPr="00C60340">
        <w:rPr>
          <w:rFonts w:ascii="Times New Roman" w:hAnsi="Times New Roman"/>
          <w:spacing w:val="-4"/>
        </w:rPr>
        <w:t>ostatnými zdravotníckymi pracovníkmi.</w:t>
      </w:r>
    </w:p>
  </w:footnote>
  <w:footnote w:id="6">
    <w:p w14:paraId="44216E89" w14:textId="5C29D8D3" w:rsidR="00D15BB4" w:rsidRPr="00C60340" w:rsidRDefault="00D15BB4" w:rsidP="00C60340">
      <w:pPr>
        <w:pStyle w:val="FootnoteText"/>
        <w:ind w:left="720" w:hanging="720"/>
        <w:jc w:val="both"/>
        <w:rPr>
          <w:rFonts w:ascii="Times New Roman" w:hAnsi="Times New Roman" w:cs="Times New Roman"/>
          <w:spacing w:val="-4"/>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r>
      <w:r w:rsidRPr="00C60340">
        <w:rPr>
          <w:rFonts w:ascii="Times New Roman" w:hAnsi="Times New Roman"/>
          <w:spacing w:val="-4"/>
        </w:rPr>
        <w:t>Jedenásť členských štátov (Česká republika, Dánsko, Fínsko, Francúzsko, Litva, Nemecko, Poľsko, Rakúsko, Slovensko, Švédsko</w:t>
      </w:r>
      <w:r w:rsidR="00C60340" w:rsidRPr="00C60340">
        <w:rPr>
          <w:rFonts w:ascii="Times New Roman" w:hAnsi="Times New Roman"/>
          <w:spacing w:val="-4"/>
        </w:rPr>
        <w:t xml:space="preserve"> a </w:t>
      </w:r>
      <w:r w:rsidRPr="00C60340">
        <w:rPr>
          <w:rFonts w:ascii="Times New Roman" w:hAnsi="Times New Roman"/>
          <w:spacing w:val="-4"/>
        </w:rPr>
        <w:t>Taliansko), ako aj Srbsko poskytlo lieky, zdravotnícke vybavenie, osobné ochranné prostriedky</w:t>
      </w:r>
      <w:r w:rsidR="00C60340" w:rsidRPr="00C60340">
        <w:rPr>
          <w:rFonts w:ascii="Times New Roman" w:hAnsi="Times New Roman"/>
          <w:spacing w:val="-4"/>
        </w:rPr>
        <w:t xml:space="preserve"> a </w:t>
      </w:r>
      <w:r w:rsidRPr="00C60340">
        <w:rPr>
          <w:rFonts w:ascii="Times New Roman" w:hAnsi="Times New Roman"/>
          <w:spacing w:val="-4"/>
        </w:rPr>
        <w:t>vakcíny. Poľsko</w:t>
      </w:r>
      <w:r w:rsidR="00C60340" w:rsidRPr="00C60340">
        <w:rPr>
          <w:rFonts w:ascii="Times New Roman" w:hAnsi="Times New Roman"/>
          <w:spacing w:val="-4"/>
        </w:rPr>
        <w:t xml:space="preserve"> a </w:t>
      </w:r>
      <w:r w:rsidRPr="00C60340">
        <w:rPr>
          <w:rFonts w:ascii="Times New Roman" w:hAnsi="Times New Roman"/>
          <w:spacing w:val="-4"/>
        </w:rPr>
        <w:t>Dánsko vyslali do Rumunska lekárske tímy. Podpora sa poskytla zo strategickej rezervy rescEU financovanej</w:t>
      </w:r>
      <w:r w:rsidR="00C60340" w:rsidRPr="00C60340">
        <w:rPr>
          <w:rFonts w:ascii="Times New Roman" w:hAnsi="Times New Roman"/>
          <w:spacing w:val="-4"/>
        </w:rPr>
        <w:t xml:space="preserve"> z </w:t>
      </w:r>
      <w:r w:rsidRPr="00C60340">
        <w:rPr>
          <w:rFonts w:ascii="Times New Roman" w:hAnsi="Times New Roman"/>
          <w:spacing w:val="-4"/>
        </w:rPr>
        <w:t>prostriedkov EÚ, ktorú spravuje Maďarsko, Holandsko</w:t>
      </w:r>
      <w:r w:rsidR="00C60340" w:rsidRPr="00C60340">
        <w:rPr>
          <w:rFonts w:ascii="Times New Roman" w:hAnsi="Times New Roman"/>
          <w:spacing w:val="-4"/>
        </w:rPr>
        <w:t xml:space="preserve"> a </w:t>
      </w:r>
      <w:r w:rsidRPr="00C60340">
        <w:rPr>
          <w:rFonts w:ascii="Times New Roman" w:hAnsi="Times New Roman"/>
          <w:spacing w:val="-4"/>
        </w:rPr>
        <w:t>Švédsko.</w:t>
      </w:r>
    </w:p>
  </w:footnote>
  <w:footnote w:id="7">
    <w:p w14:paraId="519A66D1" w14:textId="3715AA57" w:rsidR="00BA51C9" w:rsidRPr="00C60340" w:rsidRDefault="00BA51C9"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ab/>
        <w:t>Pozri správu Komisie</w:t>
      </w:r>
      <w:r w:rsidR="00C60340">
        <w:rPr>
          <w:rFonts w:ascii="Times New Roman" w:hAnsi="Times New Roman"/>
        </w:rPr>
        <w:t xml:space="preserve"> o </w:t>
      </w:r>
      <w:r w:rsidRPr="00C60340">
        <w:rPr>
          <w:rFonts w:ascii="Times New Roman" w:hAnsi="Times New Roman"/>
        </w:rPr>
        <w:t>vydávaní, overovaní</w:t>
      </w:r>
      <w:r w:rsidR="00C60340">
        <w:rPr>
          <w:rFonts w:ascii="Times New Roman" w:hAnsi="Times New Roman"/>
        </w:rPr>
        <w:t xml:space="preserve"> a </w:t>
      </w:r>
      <w:r w:rsidRPr="00C60340">
        <w:rPr>
          <w:rFonts w:ascii="Times New Roman" w:hAnsi="Times New Roman"/>
        </w:rPr>
        <w:t>uznávaní interoperabilných potvrdení</w:t>
      </w:r>
      <w:r w:rsidR="00C60340">
        <w:rPr>
          <w:rFonts w:ascii="Times New Roman" w:hAnsi="Times New Roman"/>
        </w:rPr>
        <w:t xml:space="preserve"> o </w:t>
      </w:r>
      <w:r w:rsidRPr="00C60340">
        <w:rPr>
          <w:rFonts w:ascii="Times New Roman" w:hAnsi="Times New Roman"/>
        </w:rPr>
        <w:t>očkovaní proti ochoreniu COVID-19,</w:t>
      </w:r>
      <w:r w:rsidR="00C60340">
        <w:rPr>
          <w:rFonts w:ascii="Times New Roman" w:hAnsi="Times New Roman"/>
        </w:rPr>
        <w:t xml:space="preserve"> o </w:t>
      </w:r>
      <w:r w:rsidRPr="00C60340">
        <w:rPr>
          <w:rFonts w:ascii="Times New Roman" w:hAnsi="Times New Roman"/>
        </w:rPr>
        <w:t>vykonaní testu</w:t>
      </w:r>
      <w:r w:rsidR="00C60340">
        <w:rPr>
          <w:rFonts w:ascii="Times New Roman" w:hAnsi="Times New Roman"/>
        </w:rPr>
        <w:t xml:space="preserve"> a </w:t>
      </w:r>
      <w:r w:rsidRPr="00C60340">
        <w:rPr>
          <w:rFonts w:ascii="Times New Roman" w:hAnsi="Times New Roman"/>
        </w:rPr>
        <w:t>prekonaní tohto ochorenia</w:t>
      </w:r>
      <w:r w:rsidR="00C60340">
        <w:rPr>
          <w:rFonts w:ascii="Times New Roman" w:hAnsi="Times New Roman"/>
        </w:rPr>
        <w:t xml:space="preserve"> s </w:t>
      </w:r>
      <w:r w:rsidRPr="00C60340">
        <w:rPr>
          <w:rFonts w:ascii="Times New Roman" w:hAnsi="Times New Roman"/>
        </w:rPr>
        <w:t>cieľom uľahčiť voľný pohyb počas pandémie ochorenia COVID-19 [COM(2021) 649 final].</w:t>
      </w:r>
    </w:p>
  </w:footnote>
  <w:footnote w:id="8">
    <w:p w14:paraId="2B675318" w14:textId="5E998525" w:rsidR="00A126F2" w:rsidRPr="00C60340" w:rsidRDefault="00A126F2" w:rsidP="00C60340">
      <w:pPr>
        <w:spacing w:after="0" w:line="240" w:lineRule="auto"/>
        <w:ind w:left="720" w:hanging="720"/>
        <w:jc w:val="both"/>
        <w:rPr>
          <w:rFonts w:ascii="Times New Roman" w:hAnsi="Times New Roman" w:cs="Times New Roman"/>
        </w:rPr>
      </w:pPr>
      <w:r w:rsidRPr="00C60340">
        <w:rPr>
          <w:rStyle w:val="FootnoteReference"/>
          <w:rFonts w:ascii="Times New Roman" w:hAnsi="Times New Roman" w:cs="Times New Roman"/>
          <w:sz w:val="20"/>
          <w:szCs w:val="20"/>
        </w:rPr>
        <w:footnoteRef/>
      </w:r>
      <w:r w:rsidRPr="00C60340">
        <w:rPr>
          <w:rFonts w:ascii="Times New Roman" w:hAnsi="Times New Roman"/>
          <w:sz w:val="20"/>
          <w:szCs w:val="20"/>
        </w:rPr>
        <w:t xml:space="preserve"> </w:t>
      </w:r>
      <w:r w:rsidRPr="00C60340">
        <w:rPr>
          <w:rFonts w:ascii="Times New Roman" w:hAnsi="Times New Roman"/>
        </w:rPr>
        <w:tab/>
      </w:r>
      <w:r w:rsidRPr="00C60340">
        <w:rPr>
          <w:rFonts w:ascii="Times New Roman" w:hAnsi="Times New Roman"/>
          <w:sz w:val="20"/>
          <w:szCs w:val="20"/>
        </w:rPr>
        <w:t>Návrh odporúčaní Rady</w:t>
      </w:r>
      <w:r w:rsidR="00C60340">
        <w:rPr>
          <w:rFonts w:ascii="Times New Roman" w:hAnsi="Times New Roman"/>
          <w:sz w:val="20"/>
          <w:szCs w:val="20"/>
        </w:rPr>
        <w:t xml:space="preserve"> o </w:t>
      </w:r>
      <w:r w:rsidRPr="00C60340">
        <w:rPr>
          <w:rFonts w:ascii="Times New Roman" w:hAnsi="Times New Roman"/>
          <w:sz w:val="20"/>
          <w:szCs w:val="20"/>
        </w:rPr>
        <w:t>koordinovanom prístupe na uľahčenie bezpečného voľného pohybu počas pandémie COVID-19, ktorým sa nahrádza odporúčanie (EÚ) 2020/1475 [COM(2021) 749]</w:t>
      </w:r>
      <w:r w:rsidR="00C60340">
        <w:rPr>
          <w:rFonts w:ascii="Times New Roman" w:hAnsi="Times New Roman"/>
          <w:sz w:val="20"/>
          <w:szCs w:val="20"/>
        </w:rPr>
        <w:t xml:space="preserve"> a o </w:t>
      </w:r>
      <w:r w:rsidRPr="00C60340">
        <w:rPr>
          <w:rFonts w:ascii="Times New Roman" w:hAnsi="Times New Roman"/>
          <w:sz w:val="20"/>
          <w:szCs w:val="20"/>
        </w:rPr>
        <w:t>koordinovanom prístupe na uľahčenie bezpečného cestovania počas pandémie COVID-19</w:t>
      </w:r>
      <w:r w:rsidR="00C60340">
        <w:rPr>
          <w:rFonts w:ascii="Times New Roman" w:hAnsi="Times New Roman"/>
          <w:sz w:val="20"/>
          <w:szCs w:val="20"/>
        </w:rPr>
        <w:t xml:space="preserve"> v </w:t>
      </w:r>
      <w:r w:rsidRPr="00C60340">
        <w:rPr>
          <w:rFonts w:ascii="Times New Roman" w:hAnsi="Times New Roman"/>
          <w:sz w:val="20"/>
          <w:szCs w:val="20"/>
        </w:rPr>
        <w:t>schengenskom priestore, ktorým sa mení odporúčanie 2020/1632 [COM(2021) 755].</w:t>
      </w:r>
    </w:p>
  </w:footnote>
  <w:footnote w:id="9">
    <w:p w14:paraId="35EB7A2A" w14:textId="54CCBCBF" w:rsidR="00A94F73" w:rsidRPr="00C60340" w:rsidRDefault="00A94F73"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t>Formou delegovaného aktu na základe nariadenia</w:t>
      </w:r>
      <w:r w:rsidR="00C60340">
        <w:rPr>
          <w:rFonts w:ascii="Times New Roman" w:hAnsi="Times New Roman"/>
        </w:rPr>
        <w:t xml:space="preserve"> o </w:t>
      </w:r>
      <w:r w:rsidRPr="00C60340">
        <w:rPr>
          <w:rFonts w:ascii="Times New Roman" w:hAnsi="Times New Roman"/>
        </w:rPr>
        <w:t>digitálnom COVID preukaze.</w:t>
      </w:r>
    </w:p>
  </w:footnote>
  <w:footnote w:id="10">
    <w:p w14:paraId="25BA6ACF" w14:textId="643E2EED" w:rsidR="00A54C14" w:rsidRPr="00C60340" w:rsidRDefault="00A54C14"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Style w:val="FootnoteReference"/>
          <w:rFonts w:ascii="Times New Roman" w:hAnsi="Times New Roman"/>
        </w:rPr>
        <w:t xml:space="preserve"> </w:t>
      </w:r>
      <w:r w:rsidRPr="00C60340">
        <w:rPr>
          <w:rFonts w:ascii="Times New Roman" w:hAnsi="Times New Roman"/>
        </w:rPr>
        <w:tab/>
      </w:r>
      <w:r w:rsidRPr="00C60340">
        <w:rPr>
          <w:rStyle w:val="FootnoteReference"/>
          <w:rFonts w:ascii="Times New Roman" w:hAnsi="Times New Roman"/>
          <w:vertAlign w:val="baseline"/>
        </w:rPr>
        <w:t>Osoby, ktoré prekonali ochorenie COVID za posledných 180 dní pred cestou,</w:t>
      </w:r>
      <w:r w:rsidR="00C60340">
        <w:rPr>
          <w:rStyle w:val="FootnoteReference"/>
          <w:rFonts w:ascii="Times New Roman" w:hAnsi="Times New Roman"/>
          <w:vertAlign w:val="baseline"/>
        </w:rPr>
        <w:t xml:space="preserve"> s </w:t>
      </w:r>
      <w:r w:rsidRPr="00C60340">
        <w:rPr>
          <w:rStyle w:val="FootnoteReference"/>
          <w:rFonts w:ascii="Times New Roman" w:hAnsi="Times New Roman"/>
          <w:vertAlign w:val="baseline"/>
        </w:rPr>
        <w:t>negatívnym výsledkom testu PCR vykonaného pred cestou.</w:t>
      </w:r>
    </w:p>
  </w:footnote>
  <w:footnote w:id="11">
    <w:p w14:paraId="7BA060F6" w14:textId="5C5E47EB" w:rsidR="005F2BEC" w:rsidRPr="00C60340" w:rsidRDefault="005F2BEC" w:rsidP="00C60340">
      <w:pPr>
        <w:pStyle w:val="FootnoteText"/>
        <w:ind w:left="720" w:hanging="720"/>
        <w:jc w:val="both"/>
        <w:rPr>
          <w:rFonts w:ascii="Times New Roman" w:hAnsi="Times New Roman"/>
        </w:rPr>
      </w:pPr>
      <w:r w:rsidRPr="00C60340">
        <w:rPr>
          <w:rStyle w:val="FootnoteReference"/>
          <w:rFonts w:ascii="Times New Roman" w:hAnsi="Times New Roman"/>
        </w:rPr>
        <w:footnoteRef/>
      </w:r>
      <w:r w:rsidRPr="00C60340">
        <w:rPr>
          <w:rFonts w:ascii="Times New Roman" w:hAnsi="Times New Roman"/>
        </w:rPr>
        <w:t xml:space="preserve"> </w:t>
      </w:r>
      <w:r w:rsidRPr="00C60340">
        <w:rPr>
          <w:rFonts w:ascii="Times New Roman" w:hAnsi="Times New Roman"/>
        </w:rPr>
        <w:tab/>
      </w:r>
      <w:r w:rsidRPr="00C60340">
        <w:rPr>
          <w:rStyle w:val="FootnoteReference"/>
          <w:rFonts w:ascii="Times New Roman" w:hAnsi="Times New Roman"/>
          <w:vertAlign w:val="baseline"/>
        </w:rPr>
        <w:t>Existujúce platformy spájajúce jednotlivé národné systémy poskytujú</w:t>
      </w:r>
      <w:r w:rsidR="00C60340">
        <w:rPr>
          <w:rStyle w:val="FootnoteReference"/>
          <w:rFonts w:ascii="Times New Roman" w:hAnsi="Times New Roman"/>
          <w:vertAlign w:val="baseline"/>
        </w:rPr>
        <w:t xml:space="preserve"> v </w:t>
      </w:r>
      <w:r w:rsidRPr="00C60340">
        <w:rPr>
          <w:rStyle w:val="FootnoteReference"/>
          <w:rFonts w:ascii="Times New Roman" w:hAnsi="Times New Roman"/>
          <w:vertAlign w:val="baseline"/>
        </w:rPr>
        <w:t>tomto smere cenné skúsenosti.</w:t>
      </w:r>
    </w:p>
  </w:footnote>
  <w:footnote w:id="12">
    <w:p w14:paraId="52B4AE6F" w14:textId="2750F442" w:rsidR="001C0575" w:rsidRPr="00C60340" w:rsidRDefault="001C0575"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t>Vykonávacie rozhodnutie Rady (EÚ) 2018/1993</w:t>
      </w:r>
      <w:r w:rsidR="00C60340">
        <w:rPr>
          <w:rFonts w:ascii="Times New Roman" w:hAnsi="Times New Roman"/>
        </w:rPr>
        <w:t xml:space="preserve"> z </w:t>
      </w:r>
      <w:r w:rsidRPr="00C60340">
        <w:rPr>
          <w:rFonts w:ascii="Times New Roman" w:hAnsi="Times New Roman"/>
        </w:rPr>
        <w:t>11</w:t>
      </w:r>
      <w:r w:rsidR="00C60340">
        <w:rPr>
          <w:rFonts w:ascii="Times New Roman" w:hAnsi="Times New Roman"/>
        </w:rPr>
        <w:t>. decembra</w:t>
      </w:r>
      <w:r w:rsidRPr="00C60340">
        <w:rPr>
          <w:rFonts w:ascii="Times New Roman" w:hAnsi="Times New Roman"/>
        </w:rPr>
        <w:t xml:space="preserve"> 2018</w:t>
      </w:r>
      <w:r w:rsidR="00C60340">
        <w:rPr>
          <w:rFonts w:ascii="Times New Roman" w:hAnsi="Times New Roman"/>
        </w:rPr>
        <w:t xml:space="preserve"> o </w:t>
      </w:r>
      <w:r w:rsidRPr="00C60340">
        <w:rPr>
          <w:rFonts w:ascii="Times New Roman" w:hAnsi="Times New Roman"/>
        </w:rPr>
        <w:t>dojednaniach EÚ</w:t>
      </w:r>
      <w:r w:rsidR="00C60340">
        <w:rPr>
          <w:rFonts w:ascii="Times New Roman" w:hAnsi="Times New Roman"/>
        </w:rPr>
        <w:t xml:space="preserve"> o </w:t>
      </w:r>
      <w:r w:rsidRPr="00C60340">
        <w:rPr>
          <w:rFonts w:ascii="Times New Roman" w:hAnsi="Times New Roman"/>
        </w:rPr>
        <w:t>integrovanej politickej reakcii na krízu.</w:t>
      </w:r>
    </w:p>
  </w:footnote>
  <w:footnote w:id="13">
    <w:p w14:paraId="7894B5E8" w14:textId="094FE25A" w:rsidR="008F4689" w:rsidRPr="00C60340" w:rsidRDefault="008F4689" w:rsidP="00C60340">
      <w:pPr>
        <w:pStyle w:val="FootnoteText"/>
        <w:ind w:left="720" w:hanging="720"/>
        <w:jc w:val="both"/>
        <w:rPr>
          <w:rStyle w:val="FootnoteReference"/>
          <w:rFonts w:ascii="Times New Roman" w:hAnsi="Times New Roman" w:cs="Times New Roman"/>
          <w:vertAlign w:val="baseline"/>
        </w:rPr>
      </w:pPr>
      <w:r w:rsidRPr="00C60340">
        <w:rPr>
          <w:rStyle w:val="FootnoteReference"/>
          <w:rFonts w:ascii="Times New Roman" w:hAnsi="Times New Roman" w:cs="Times New Roman"/>
        </w:rPr>
        <w:footnoteRef/>
      </w:r>
      <w:r w:rsidRPr="00C60340">
        <w:rPr>
          <w:rStyle w:val="FootnoteReference"/>
          <w:rFonts w:ascii="Times New Roman" w:hAnsi="Times New Roman"/>
        </w:rPr>
        <w:t xml:space="preserve"> </w:t>
      </w:r>
      <w:r w:rsidRPr="00C60340">
        <w:rPr>
          <w:rFonts w:ascii="Times New Roman" w:hAnsi="Times New Roman"/>
        </w:rPr>
        <w:tab/>
      </w:r>
      <w:r w:rsidRPr="00C60340">
        <w:rPr>
          <w:rStyle w:val="FootnoteReference"/>
          <w:rFonts w:ascii="Times New Roman" w:hAnsi="Times New Roman"/>
          <w:vertAlign w:val="baseline"/>
        </w:rPr>
        <w:t>EÚ napríklad</w:t>
      </w:r>
      <w:r w:rsidR="00C60340" w:rsidRPr="00C60340">
        <w:rPr>
          <w:rStyle w:val="FootnoteReference"/>
          <w:rFonts w:ascii="Times New Roman" w:hAnsi="Times New Roman"/>
          <w:vertAlign w:val="baseline"/>
        </w:rPr>
        <w:t xml:space="preserve"> v </w:t>
      </w:r>
      <w:r w:rsidRPr="00C60340">
        <w:rPr>
          <w:rStyle w:val="FootnoteReference"/>
          <w:rFonts w:ascii="Times New Roman" w:hAnsi="Times New Roman"/>
          <w:vertAlign w:val="baseline"/>
        </w:rPr>
        <w:t>súčasnosti podporuje očkovanie</w:t>
      </w:r>
      <w:r w:rsidR="00C60340" w:rsidRPr="00C60340">
        <w:rPr>
          <w:rStyle w:val="FootnoteReference"/>
          <w:rFonts w:ascii="Times New Roman" w:hAnsi="Times New Roman"/>
          <w:vertAlign w:val="baseline"/>
        </w:rPr>
        <w:t xml:space="preserve"> v </w:t>
      </w:r>
      <w:r w:rsidRPr="00C60340">
        <w:rPr>
          <w:rStyle w:val="FootnoteReference"/>
          <w:rFonts w:ascii="Times New Roman" w:hAnsi="Times New Roman"/>
          <w:vertAlign w:val="baseline"/>
        </w:rPr>
        <w:t>siedmich juhoafrických krajinách sumou až 13 miliónov EUR na podporu národných systémov zdravotnej starostlivosti</w:t>
      </w:r>
      <w:r w:rsidR="00C60340" w:rsidRPr="00C60340">
        <w:rPr>
          <w:rStyle w:val="FootnoteReference"/>
          <w:rFonts w:ascii="Times New Roman" w:hAnsi="Times New Roman"/>
          <w:vertAlign w:val="baseline"/>
        </w:rPr>
        <w:t xml:space="preserve"> a </w:t>
      </w:r>
      <w:r w:rsidRPr="00C60340">
        <w:rPr>
          <w:rStyle w:val="FootnoteReference"/>
          <w:rFonts w:ascii="Times New Roman" w:hAnsi="Times New Roman"/>
          <w:vertAlign w:val="baseline"/>
        </w:rPr>
        <w:t>očkovacích kampaní.</w:t>
      </w:r>
    </w:p>
  </w:footnote>
  <w:footnote w:id="14">
    <w:p w14:paraId="7C138076" w14:textId="190A55E7" w:rsidR="00A36649" w:rsidRPr="00C60340" w:rsidRDefault="00A36649"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t>Vyhlásenie</w:t>
      </w:r>
      <w:r w:rsidR="00C60340">
        <w:rPr>
          <w:rFonts w:ascii="Times New Roman" w:hAnsi="Times New Roman"/>
        </w:rPr>
        <w:t xml:space="preserve"> z </w:t>
      </w:r>
      <w:r w:rsidRPr="00C60340">
        <w:rPr>
          <w:rFonts w:ascii="Times New Roman" w:hAnsi="Times New Roman"/>
        </w:rPr>
        <w:t>22</w:t>
      </w:r>
      <w:r w:rsidR="00C60340">
        <w:rPr>
          <w:rFonts w:ascii="Times New Roman" w:hAnsi="Times New Roman"/>
        </w:rPr>
        <w:t>. septembra</w:t>
      </w:r>
      <w:r w:rsidRPr="00C60340">
        <w:rPr>
          <w:rFonts w:ascii="Times New Roman" w:hAnsi="Times New Roman"/>
        </w:rPr>
        <w:t xml:space="preserve"> 2021.</w:t>
      </w:r>
    </w:p>
  </w:footnote>
  <w:footnote w:id="15">
    <w:p w14:paraId="13342063" w14:textId="4DEED49F" w:rsidR="000E2C7C" w:rsidRPr="00C60340" w:rsidRDefault="000E2C7C" w:rsidP="00C60340">
      <w:pPr>
        <w:pStyle w:val="FootnoteText"/>
        <w:ind w:left="720" w:hanging="720"/>
        <w:jc w:val="both"/>
        <w:rPr>
          <w:rFonts w:ascii="Times New Roman" w:hAnsi="Times New Roman" w:cs="Times New Roman"/>
        </w:rPr>
      </w:pPr>
      <w:r w:rsidRPr="00C60340">
        <w:rPr>
          <w:rStyle w:val="FootnoteReference"/>
          <w:rFonts w:ascii="Times New Roman" w:hAnsi="Times New Roman" w:cs="Times New Roman"/>
        </w:rPr>
        <w:footnoteRef/>
      </w:r>
      <w:r w:rsidRPr="00C60340">
        <w:rPr>
          <w:rFonts w:ascii="Times New Roman" w:hAnsi="Times New Roman"/>
        </w:rPr>
        <w:t xml:space="preserve"> </w:t>
      </w:r>
      <w:r w:rsidRPr="00C60340">
        <w:rPr>
          <w:rFonts w:ascii="Times New Roman" w:hAnsi="Times New Roman"/>
        </w:rPr>
        <w:tab/>
        <w:t>Rada prijala pozíciu, ktorá sa</w:t>
      </w:r>
      <w:r w:rsidR="00C60340">
        <w:rPr>
          <w:rFonts w:ascii="Times New Roman" w:hAnsi="Times New Roman"/>
        </w:rPr>
        <w:t xml:space="preserve"> v </w:t>
      </w:r>
      <w:r w:rsidRPr="00C60340">
        <w:rPr>
          <w:rFonts w:ascii="Times New Roman" w:hAnsi="Times New Roman"/>
        </w:rPr>
        <w:t>mene Únie má zaujať na Svetovom zdravotníckom zhromaždení, 20</w:t>
      </w:r>
      <w:r w:rsidR="00C60340">
        <w:rPr>
          <w:rFonts w:ascii="Times New Roman" w:hAnsi="Times New Roman"/>
        </w:rPr>
        <w:t>. mája</w:t>
      </w:r>
      <w:r w:rsidRPr="00C60340">
        <w:rPr>
          <w:rFonts w:ascii="Times New Roman" w:hAnsi="Times New Roman"/>
        </w:rPr>
        <w:t xml:space="preserve"> 2021 (Ú. v. EÚ L 238, 6.7.2021, s. 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5874" w14:textId="77777777" w:rsidR="00B74AEE" w:rsidRPr="00B74AEE" w:rsidRDefault="00B74AEE" w:rsidP="00B74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49E2" w14:textId="77777777" w:rsidR="00B74AEE" w:rsidRPr="00B74AEE" w:rsidRDefault="00B74AEE" w:rsidP="00B74AE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AE75" w14:textId="77777777" w:rsidR="00B74AEE" w:rsidRPr="00B74AEE" w:rsidRDefault="00B74AEE" w:rsidP="00B74AE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803F" w14:textId="77777777" w:rsidR="00B83E6E" w:rsidRDefault="00B83E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D4A23" w14:textId="77777777" w:rsidR="00B83E6E" w:rsidRDefault="00B83E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A546" w14:textId="77777777" w:rsidR="00B83E6E" w:rsidRDefault="00B83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B7576"/>
    <w:multiLevelType w:val="multilevel"/>
    <w:tmpl w:val="0544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2355C"/>
    <w:multiLevelType w:val="hybridMultilevel"/>
    <w:tmpl w:val="82BCF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13514"/>
    <w:multiLevelType w:val="hybridMultilevel"/>
    <w:tmpl w:val="921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CB51EF"/>
    <w:multiLevelType w:val="multilevel"/>
    <w:tmpl w:val="0CD8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73D1D"/>
    <w:multiLevelType w:val="hybridMultilevel"/>
    <w:tmpl w:val="A39E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E0F56"/>
    <w:multiLevelType w:val="hybridMultilevel"/>
    <w:tmpl w:val="0418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C40A8"/>
    <w:multiLevelType w:val="hybridMultilevel"/>
    <w:tmpl w:val="835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E3168"/>
    <w:multiLevelType w:val="hybridMultilevel"/>
    <w:tmpl w:val="4902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D1C20BB5-CB53-488B-B2E4-D43B50F58AF9"/>
    <w:docVar w:name="LW_COVERPAGE_TYPE" w:val="1"/>
    <w:docVar w:name="LW_CROSSREFERENCE" w:val="&lt;UNUSED&gt;"/>
    <w:docVar w:name="LW_DocType" w:val="NORMAL"/>
    <w:docVar w:name="LW_EMISSION" w:val="1. 12. 2021"/>
    <w:docVar w:name="LW_EMISSION_ISODATE" w:val="2021-12-01"/>
    <w:docVar w:name="LW_EMISSION_LOCATION" w:val="BRX"/>
    <w:docVar w:name="LW_EMISSION_PREFIX" w:val="V Bruseli"/>
    <w:docVar w:name="LW_EMISSION_SUFFIX" w:val=" "/>
    <w:docVar w:name="LW_ID_DOCTYPE_NONLW" w:val="CP-009"/>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1)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poločné riešenie dnešných a budúcich výziev spojených s ochorením COVID-19_x000d__x000d__x000d__x000b_"/>
    <w:docVar w:name="LW_TYPE.DOC.CP" w:val="OZNÁMENIE KOMISIE"/>
    <w:docVar w:name="LW_TYPE.DOC.CP.USERTEXT" w:val="EURÓPSKEMU PARLAMENTU, RADE, EURÓPSKEMU HOSPODÁRSKEMU A SOCIÁLNEMU VÝBORU A VÝBORU REGIÓNOV"/>
    <w:docVar w:name="LwApiVersions" w:val="LW4CoDe 1.23.2.0; LW 8.0, Build 20211117"/>
  </w:docVars>
  <w:rsids>
    <w:rsidRoot w:val="00602115"/>
    <w:rsid w:val="00000749"/>
    <w:rsid w:val="000077BD"/>
    <w:rsid w:val="00015CDC"/>
    <w:rsid w:val="00024F0B"/>
    <w:rsid w:val="00025950"/>
    <w:rsid w:val="000325C6"/>
    <w:rsid w:val="00037F99"/>
    <w:rsid w:val="00042675"/>
    <w:rsid w:val="00044089"/>
    <w:rsid w:val="000453AC"/>
    <w:rsid w:val="00046189"/>
    <w:rsid w:val="00055192"/>
    <w:rsid w:val="00057A20"/>
    <w:rsid w:val="000623EE"/>
    <w:rsid w:val="0007266B"/>
    <w:rsid w:val="000737CC"/>
    <w:rsid w:val="000816D6"/>
    <w:rsid w:val="000959BA"/>
    <w:rsid w:val="000A0823"/>
    <w:rsid w:val="000A0CC0"/>
    <w:rsid w:val="000A252C"/>
    <w:rsid w:val="000B3F83"/>
    <w:rsid w:val="000B50EC"/>
    <w:rsid w:val="000C3B22"/>
    <w:rsid w:val="000C5618"/>
    <w:rsid w:val="000C7443"/>
    <w:rsid w:val="000D134E"/>
    <w:rsid w:val="000E2C7C"/>
    <w:rsid w:val="000F6A42"/>
    <w:rsid w:val="00125A95"/>
    <w:rsid w:val="00125D57"/>
    <w:rsid w:val="00127CFD"/>
    <w:rsid w:val="0013228A"/>
    <w:rsid w:val="001378BC"/>
    <w:rsid w:val="00142A78"/>
    <w:rsid w:val="001473AB"/>
    <w:rsid w:val="001510EB"/>
    <w:rsid w:val="00152249"/>
    <w:rsid w:val="00163F9F"/>
    <w:rsid w:val="001714DB"/>
    <w:rsid w:val="00177EE4"/>
    <w:rsid w:val="00182BF8"/>
    <w:rsid w:val="00190AF2"/>
    <w:rsid w:val="001A5AE7"/>
    <w:rsid w:val="001B2C92"/>
    <w:rsid w:val="001C0163"/>
    <w:rsid w:val="001C0575"/>
    <w:rsid w:val="001C09AC"/>
    <w:rsid w:val="001C11A3"/>
    <w:rsid w:val="001C1ABE"/>
    <w:rsid w:val="001C74AE"/>
    <w:rsid w:val="001D5919"/>
    <w:rsid w:val="001D7E61"/>
    <w:rsid w:val="001E524D"/>
    <w:rsid w:val="001E539E"/>
    <w:rsid w:val="001F3DDF"/>
    <w:rsid w:val="002043F7"/>
    <w:rsid w:val="00205AA4"/>
    <w:rsid w:val="00215778"/>
    <w:rsid w:val="00215BA8"/>
    <w:rsid w:val="0022362A"/>
    <w:rsid w:val="0022479F"/>
    <w:rsid w:val="00231019"/>
    <w:rsid w:val="0024248C"/>
    <w:rsid w:val="0024402E"/>
    <w:rsid w:val="002508C5"/>
    <w:rsid w:val="002737A3"/>
    <w:rsid w:val="002A4526"/>
    <w:rsid w:val="002C55B9"/>
    <w:rsid w:val="002D37E0"/>
    <w:rsid w:val="002F477D"/>
    <w:rsid w:val="003065ED"/>
    <w:rsid w:val="00330DE3"/>
    <w:rsid w:val="00330FBC"/>
    <w:rsid w:val="0033354A"/>
    <w:rsid w:val="0034104C"/>
    <w:rsid w:val="00344C3A"/>
    <w:rsid w:val="00352E75"/>
    <w:rsid w:val="003564D6"/>
    <w:rsid w:val="00356D2C"/>
    <w:rsid w:val="00365114"/>
    <w:rsid w:val="00366BB6"/>
    <w:rsid w:val="003872EA"/>
    <w:rsid w:val="00390115"/>
    <w:rsid w:val="00393538"/>
    <w:rsid w:val="0039399F"/>
    <w:rsid w:val="00393C51"/>
    <w:rsid w:val="003A0A71"/>
    <w:rsid w:val="003B6249"/>
    <w:rsid w:val="003C0B83"/>
    <w:rsid w:val="003C3449"/>
    <w:rsid w:val="003C640B"/>
    <w:rsid w:val="003D654B"/>
    <w:rsid w:val="003D6BF4"/>
    <w:rsid w:val="003E4CA7"/>
    <w:rsid w:val="004018FE"/>
    <w:rsid w:val="0041000E"/>
    <w:rsid w:val="00414B20"/>
    <w:rsid w:val="00414CE9"/>
    <w:rsid w:val="004229AC"/>
    <w:rsid w:val="00424E75"/>
    <w:rsid w:val="00434775"/>
    <w:rsid w:val="00441C3D"/>
    <w:rsid w:val="00454039"/>
    <w:rsid w:val="0046626C"/>
    <w:rsid w:val="00487A8B"/>
    <w:rsid w:val="004A4FC8"/>
    <w:rsid w:val="004A7DC4"/>
    <w:rsid w:val="004B02C6"/>
    <w:rsid w:val="004B2672"/>
    <w:rsid w:val="004C3132"/>
    <w:rsid w:val="004C51AD"/>
    <w:rsid w:val="004C5B86"/>
    <w:rsid w:val="004E1C20"/>
    <w:rsid w:val="004E420A"/>
    <w:rsid w:val="004E4816"/>
    <w:rsid w:val="004E50FC"/>
    <w:rsid w:val="0050035F"/>
    <w:rsid w:val="00500F06"/>
    <w:rsid w:val="00503099"/>
    <w:rsid w:val="005047AF"/>
    <w:rsid w:val="00505AE5"/>
    <w:rsid w:val="00510873"/>
    <w:rsid w:val="00532D1F"/>
    <w:rsid w:val="0053611F"/>
    <w:rsid w:val="00552386"/>
    <w:rsid w:val="00553964"/>
    <w:rsid w:val="005609E6"/>
    <w:rsid w:val="0057364A"/>
    <w:rsid w:val="00591E5E"/>
    <w:rsid w:val="00591F8E"/>
    <w:rsid w:val="00592F85"/>
    <w:rsid w:val="005974EC"/>
    <w:rsid w:val="005A57D5"/>
    <w:rsid w:val="005A7B7E"/>
    <w:rsid w:val="005C6321"/>
    <w:rsid w:val="005C6FE8"/>
    <w:rsid w:val="005D48D8"/>
    <w:rsid w:val="005D540E"/>
    <w:rsid w:val="005D699F"/>
    <w:rsid w:val="005E047F"/>
    <w:rsid w:val="005E1B3F"/>
    <w:rsid w:val="005E4C7E"/>
    <w:rsid w:val="005E5563"/>
    <w:rsid w:val="005E57FE"/>
    <w:rsid w:val="005F1F01"/>
    <w:rsid w:val="005F2552"/>
    <w:rsid w:val="005F2BEC"/>
    <w:rsid w:val="005F7F45"/>
    <w:rsid w:val="00602115"/>
    <w:rsid w:val="00605BFD"/>
    <w:rsid w:val="00620998"/>
    <w:rsid w:val="00622F3D"/>
    <w:rsid w:val="0063498E"/>
    <w:rsid w:val="00637446"/>
    <w:rsid w:val="0064559C"/>
    <w:rsid w:val="00647D1D"/>
    <w:rsid w:val="00650124"/>
    <w:rsid w:val="00667F41"/>
    <w:rsid w:val="00673AA1"/>
    <w:rsid w:val="00675E25"/>
    <w:rsid w:val="00682FC4"/>
    <w:rsid w:val="006A1A31"/>
    <w:rsid w:val="006A4BD6"/>
    <w:rsid w:val="006C1967"/>
    <w:rsid w:val="006C6730"/>
    <w:rsid w:val="006D0A30"/>
    <w:rsid w:val="006D25C3"/>
    <w:rsid w:val="006D3493"/>
    <w:rsid w:val="006F1645"/>
    <w:rsid w:val="0070045F"/>
    <w:rsid w:val="00701CCF"/>
    <w:rsid w:val="007123B9"/>
    <w:rsid w:val="00713562"/>
    <w:rsid w:val="00714F5F"/>
    <w:rsid w:val="00730F37"/>
    <w:rsid w:val="0073386E"/>
    <w:rsid w:val="0074499B"/>
    <w:rsid w:val="00745AC3"/>
    <w:rsid w:val="00752369"/>
    <w:rsid w:val="0075777D"/>
    <w:rsid w:val="00766CB9"/>
    <w:rsid w:val="00770047"/>
    <w:rsid w:val="0077428C"/>
    <w:rsid w:val="007757E7"/>
    <w:rsid w:val="00782FB3"/>
    <w:rsid w:val="00795563"/>
    <w:rsid w:val="007A4D72"/>
    <w:rsid w:val="007B524A"/>
    <w:rsid w:val="007C21E3"/>
    <w:rsid w:val="007C21F7"/>
    <w:rsid w:val="007C5DD2"/>
    <w:rsid w:val="007C6243"/>
    <w:rsid w:val="007C626F"/>
    <w:rsid w:val="007D2434"/>
    <w:rsid w:val="007D2B9D"/>
    <w:rsid w:val="007D4C7D"/>
    <w:rsid w:val="007E5876"/>
    <w:rsid w:val="007E6FA6"/>
    <w:rsid w:val="007F0A3F"/>
    <w:rsid w:val="007F201E"/>
    <w:rsid w:val="007F380D"/>
    <w:rsid w:val="00802479"/>
    <w:rsid w:val="00804216"/>
    <w:rsid w:val="0083003B"/>
    <w:rsid w:val="00862AB5"/>
    <w:rsid w:val="008638F9"/>
    <w:rsid w:val="00873797"/>
    <w:rsid w:val="008835C7"/>
    <w:rsid w:val="0089090B"/>
    <w:rsid w:val="00891907"/>
    <w:rsid w:val="00891D1C"/>
    <w:rsid w:val="00892B73"/>
    <w:rsid w:val="00896DC2"/>
    <w:rsid w:val="008A2C7F"/>
    <w:rsid w:val="008A6489"/>
    <w:rsid w:val="008B0178"/>
    <w:rsid w:val="008B47CB"/>
    <w:rsid w:val="008E0F46"/>
    <w:rsid w:val="008F0C29"/>
    <w:rsid w:val="008F4689"/>
    <w:rsid w:val="008F653A"/>
    <w:rsid w:val="00903A29"/>
    <w:rsid w:val="00915F9B"/>
    <w:rsid w:val="00920CC5"/>
    <w:rsid w:val="00923F8E"/>
    <w:rsid w:val="009459DB"/>
    <w:rsid w:val="0095012B"/>
    <w:rsid w:val="00955D1B"/>
    <w:rsid w:val="00957ABE"/>
    <w:rsid w:val="00960D1C"/>
    <w:rsid w:val="00962BA0"/>
    <w:rsid w:val="0096520C"/>
    <w:rsid w:val="009670D7"/>
    <w:rsid w:val="00985711"/>
    <w:rsid w:val="009943B5"/>
    <w:rsid w:val="009A3806"/>
    <w:rsid w:val="009A6101"/>
    <w:rsid w:val="009B096E"/>
    <w:rsid w:val="009D2A64"/>
    <w:rsid w:val="009E5DB8"/>
    <w:rsid w:val="009E6E4A"/>
    <w:rsid w:val="009F6B9A"/>
    <w:rsid w:val="00A00C13"/>
    <w:rsid w:val="00A078D8"/>
    <w:rsid w:val="00A10FCD"/>
    <w:rsid w:val="00A126F2"/>
    <w:rsid w:val="00A33CC2"/>
    <w:rsid w:val="00A34E12"/>
    <w:rsid w:val="00A36649"/>
    <w:rsid w:val="00A40E1F"/>
    <w:rsid w:val="00A54C14"/>
    <w:rsid w:val="00A55181"/>
    <w:rsid w:val="00A55A95"/>
    <w:rsid w:val="00A573CE"/>
    <w:rsid w:val="00A61CBA"/>
    <w:rsid w:val="00A7276A"/>
    <w:rsid w:val="00A7662B"/>
    <w:rsid w:val="00A86D35"/>
    <w:rsid w:val="00A94F73"/>
    <w:rsid w:val="00A95E98"/>
    <w:rsid w:val="00AA0A9A"/>
    <w:rsid w:val="00AB446C"/>
    <w:rsid w:val="00AD4AB8"/>
    <w:rsid w:val="00AD4FB3"/>
    <w:rsid w:val="00AE3E2B"/>
    <w:rsid w:val="00AE712F"/>
    <w:rsid w:val="00AF254C"/>
    <w:rsid w:val="00AF7F66"/>
    <w:rsid w:val="00B026F1"/>
    <w:rsid w:val="00B03EBC"/>
    <w:rsid w:val="00B0431A"/>
    <w:rsid w:val="00B047AA"/>
    <w:rsid w:val="00B06506"/>
    <w:rsid w:val="00B06C90"/>
    <w:rsid w:val="00B171E3"/>
    <w:rsid w:val="00B274A8"/>
    <w:rsid w:val="00B63E53"/>
    <w:rsid w:val="00B65433"/>
    <w:rsid w:val="00B744FF"/>
    <w:rsid w:val="00B74810"/>
    <w:rsid w:val="00B74AEE"/>
    <w:rsid w:val="00B83681"/>
    <w:rsid w:val="00B83E6E"/>
    <w:rsid w:val="00BA1456"/>
    <w:rsid w:val="00BA51C9"/>
    <w:rsid w:val="00BB0A1E"/>
    <w:rsid w:val="00BB50A9"/>
    <w:rsid w:val="00BD26AD"/>
    <w:rsid w:val="00BD6CA8"/>
    <w:rsid w:val="00BE3D94"/>
    <w:rsid w:val="00BE77B3"/>
    <w:rsid w:val="00BF1BAA"/>
    <w:rsid w:val="00BF437E"/>
    <w:rsid w:val="00BF5597"/>
    <w:rsid w:val="00BF6074"/>
    <w:rsid w:val="00C0028B"/>
    <w:rsid w:val="00C0243F"/>
    <w:rsid w:val="00C0765A"/>
    <w:rsid w:val="00C146A4"/>
    <w:rsid w:val="00C21F58"/>
    <w:rsid w:val="00C2521C"/>
    <w:rsid w:val="00C403C8"/>
    <w:rsid w:val="00C45AFC"/>
    <w:rsid w:val="00C5298E"/>
    <w:rsid w:val="00C5797D"/>
    <w:rsid w:val="00C60340"/>
    <w:rsid w:val="00C74FC7"/>
    <w:rsid w:val="00C7501A"/>
    <w:rsid w:val="00C85726"/>
    <w:rsid w:val="00C9171A"/>
    <w:rsid w:val="00C94293"/>
    <w:rsid w:val="00C97470"/>
    <w:rsid w:val="00CA1111"/>
    <w:rsid w:val="00CB4D52"/>
    <w:rsid w:val="00CB5F41"/>
    <w:rsid w:val="00CB61CF"/>
    <w:rsid w:val="00CC116C"/>
    <w:rsid w:val="00CC28F3"/>
    <w:rsid w:val="00CD0BFB"/>
    <w:rsid w:val="00CD2850"/>
    <w:rsid w:val="00CE0199"/>
    <w:rsid w:val="00CE1108"/>
    <w:rsid w:val="00CE4A22"/>
    <w:rsid w:val="00D115E7"/>
    <w:rsid w:val="00D15BB4"/>
    <w:rsid w:val="00D21D80"/>
    <w:rsid w:val="00D21DFC"/>
    <w:rsid w:val="00D233AE"/>
    <w:rsid w:val="00D23C24"/>
    <w:rsid w:val="00D30A58"/>
    <w:rsid w:val="00D437CA"/>
    <w:rsid w:val="00D5344D"/>
    <w:rsid w:val="00D6004A"/>
    <w:rsid w:val="00D60BF8"/>
    <w:rsid w:val="00D65028"/>
    <w:rsid w:val="00D70AEF"/>
    <w:rsid w:val="00D74F4F"/>
    <w:rsid w:val="00D9470A"/>
    <w:rsid w:val="00D95648"/>
    <w:rsid w:val="00DA2A43"/>
    <w:rsid w:val="00DB65EB"/>
    <w:rsid w:val="00DD7E49"/>
    <w:rsid w:val="00DE6092"/>
    <w:rsid w:val="00E1554C"/>
    <w:rsid w:val="00E1777A"/>
    <w:rsid w:val="00E24E7A"/>
    <w:rsid w:val="00E250D8"/>
    <w:rsid w:val="00E369F2"/>
    <w:rsid w:val="00E64ACA"/>
    <w:rsid w:val="00E705A2"/>
    <w:rsid w:val="00E70CA3"/>
    <w:rsid w:val="00E840F8"/>
    <w:rsid w:val="00E842D4"/>
    <w:rsid w:val="00E8586C"/>
    <w:rsid w:val="00EA1386"/>
    <w:rsid w:val="00EA5153"/>
    <w:rsid w:val="00EC4D24"/>
    <w:rsid w:val="00EE7D7B"/>
    <w:rsid w:val="00EF6C51"/>
    <w:rsid w:val="00EF6F97"/>
    <w:rsid w:val="00F03376"/>
    <w:rsid w:val="00F03913"/>
    <w:rsid w:val="00F05542"/>
    <w:rsid w:val="00F058FE"/>
    <w:rsid w:val="00F13F5D"/>
    <w:rsid w:val="00F22097"/>
    <w:rsid w:val="00F41B2D"/>
    <w:rsid w:val="00F422A5"/>
    <w:rsid w:val="00F50754"/>
    <w:rsid w:val="00F56994"/>
    <w:rsid w:val="00F61D0D"/>
    <w:rsid w:val="00F632BD"/>
    <w:rsid w:val="00F65AB0"/>
    <w:rsid w:val="00F70826"/>
    <w:rsid w:val="00F72078"/>
    <w:rsid w:val="00F72123"/>
    <w:rsid w:val="00F73C11"/>
    <w:rsid w:val="00F75E6B"/>
    <w:rsid w:val="00F77096"/>
    <w:rsid w:val="00F86870"/>
    <w:rsid w:val="00F946A5"/>
    <w:rsid w:val="00FB23AE"/>
    <w:rsid w:val="00FB32C3"/>
    <w:rsid w:val="00FC10ED"/>
    <w:rsid w:val="00FC147D"/>
    <w:rsid w:val="00FC5944"/>
    <w:rsid w:val="00FE0A5B"/>
    <w:rsid w:val="00FE2860"/>
    <w:rsid w:val="00FF00BB"/>
    <w:rsid w:val="00FF4A3C"/>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18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C29"/>
    <w:pPr>
      <w:ind w:left="720"/>
      <w:contextualSpacing/>
    </w:pPr>
  </w:style>
  <w:style w:type="paragraph" w:styleId="FootnoteText">
    <w:name w:val="footnote text"/>
    <w:basedOn w:val="Normal"/>
    <w:link w:val="FootnoteTextChar"/>
    <w:uiPriority w:val="99"/>
    <w:semiHidden/>
    <w:unhideWhenUsed/>
    <w:rsid w:val="00CE4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A22"/>
    <w:rPr>
      <w:sz w:val="20"/>
      <w:szCs w:val="20"/>
    </w:rPr>
  </w:style>
  <w:style w:type="character" w:styleId="FootnoteReference">
    <w:name w:val="footnote reference"/>
    <w:basedOn w:val="DefaultParagraphFont"/>
    <w:uiPriority w:val="99"/>
    <w:semiHidden/>
    <w:unhideWhenUsed/>
    <w:rsid w:val="00CE4A22"/>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BE77B3"/>
    <w:rPr>
      <w:sz w:val="20"/>
      <w:szCs w:val="20"/>
    </w:rPr>
  </w:style>
  <w:style w:type="paragraph" w:styleId="CommentSubject">
    <w:name w:val="annotation subject"/>
    <w:basedOn w:val="CommentText"/>
    <w:next w:val="CommentText"/>
    <w:link w:val="CommentSubjectChar"/>
    <w:uiPriority w:val="99"/>
    <w:semiHidden/>
    <w:unhideWhenUsed/>
    <w:rsid w:val="00BE77B3"/>
    <w:rPr>
      <w:b/>
      <w:bCs/>
    </w:rPr>
  </w:style>
  <w:style w:type="character" w:customStyle="1" w:styleId="CommentSubjectChar">
    <w:name w:val="Comment Subject Char"/>
    <w:basedOn w:val="CommentTextChar"/>
    <w:link w:val="CommentSubject"/>
    <w:uiPriority w:val="99"/>
    <w:semiHidden/>
    <w:rsid w:val="00BE77B3"/>
    <w:rPr>
      <w:b/>
      <w:bCs/>
      <w:sz w:val="20"/>
      <w:szCs w:val="20"/>
    </w:rPr>
  </w:style>
  <w:style w:type="paragraph" w:styleId="BalloonText">
    <w:name w:val="Balloon Text"/>
    <w:basedOn w:val="Normal"/>
    <w:link w:val="BalloonTextChar"/>
    <w:uiPriority w:val="99"/>
    <w:semiHidden/>
    <w:unhideWhenUsed/>
    <w:rsid w:val="00BE7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7B3"/>
    <w:rPr>
      <w:rFonts w:ascii="Segoe UI" w:hAnsi="Segoe UI" w:cs="Segoe UI"/>
      <w:sz w:val="18"/>
      <w:szCs w:val="18"/>
    </w:rPr>
  </w:style>
  <w:style w:type="paragraph" w:styleId="Revision">
    <w:name w:val="Revision"/>
    <w:hidden/>
    <w:uiPriority w:val="99"/>
    <w:semiHidden/>
    <w:rsid w:val="00F50754"/>
    <w:pPr>
      <w:spacing w:after="0" w:line="240" w:lineRule="auto"/>
    </w:pPr>
  </w:style>
  <w:style w:type="character" w:customStyle="1" w:styleId="Marker">
    <w:name w:val="Marker"/>
    <w:basedOn w:val="DefaultParagraphFont"/>
    <w:rsid w:val="00B83E6E"/>
    <w:rPr>
      <w:color w:val="0000FF"/>
      <w:shd w:val="clear" w:color="auto" w:fill="auto"/>
    </w:rPr>
  </w:style>
  <w:style w:type="paragraph" w:customStyle="1" w:styleId="Pagedecouverture">
    <w:name w:val="Page de couverture"/>
    <w:basedOn w:val="Normal"/>
    <w:next w:val="Normal"/>
    <w:rsid w:val="00B83E6E"/>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83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E6E"/>
  </w:style>
  <w:style w:type="paragraph" w:styleId="Footer">
    <w:name w:val="footer"/>
    <w:basedOn w:val="Normal"/>
    <w:link w:val="FooterChar"/>
    <w:uiPriority w:val="99"/>
    <w:unhideWhenUsed/>
    <w:rsid w:val="00B83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E6E"/>
  </w:style>
  <w:style w:type="paragraph" w:customStyle="1" w:styleId="FooterCoverPage">
    <w:name w:val="Footer Cover Page"/>
    <w:basedOn w:val="Normal"/>
    <w:link w:val="FooterCoverPageChar"/>
    <w:rsid w:val="00B83E6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83E6E"/>
    <w:rPr>
      <w:rFonts w:ascii="Times New Roman" w:hAnsi="Times New Roman" w:cs="Times New Roman"/>
      <w:sz w:val="24"/>
    </w:rPr>
  </w:style>
  <w:style w:type="paragraph" w:customStyle="1" w:styleId="FooterSensitivity">
    <w:name w:val="Footer Sensitivity"/>
    <w:basedOn w:val="Normal"/>
    <w:link w:val="FooterSensitivityChar"/>
    <w:rsid w:val="00B83E6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B83E6E"/>
    <w:rPr>
      <w:rFonts w:ascii="Times New Roman" w:hAnsi="Times New Roman" w:cs="Times New Roman"/>
      <w:b/>
      <w:sz w:val="32"/>
    </w:rPr>
  </w:style>
  <w:style w:type="paragraph" w:customStyle="1" w:styleId="HeaderCoverPage">
    <w:name w:val="Header Cover Page"/>
    <w:basedOn w:val="Normal"/>
    <w:link w:val="HeaderCoverPageChar"/>
    <w:rsid w:val="00B83E6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83E6E"/>
    <w:rPr>
      <w:rFonts w:ascii="Times New Roman" w:hAnsi="Times New Roman" w:cs="Times New Roman"/>
      <w:sz w:val="24"/>
    </w:rPr>
  </w:style>
  <w:style w:type="paragraph" w:customStyle="1" w:styleId="HeaderSensitivity">
    <w:name w:val="Header Sensitivity"/>
    <w:basedOn w:val="Normal"/>
    <w:link w:val="HeaderSensitivityChar"/>
    <w:rsid w:val="00B83E6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B83E6E"/>
    <w:rPr>
      <w:rFonts w:ascii="Times New Roman" w:hAnsi="Times New Roman" w:cs="Times New Roman"/>
      <w:b/>
      <w:sz w:val="32"/>
    </w:rPr>
  </w:style>
  <w:style w:type="paragraph" w:customStyle="1" w:styleId="HeaderSensitivityRight">
    <w:name w:val="Header Sensitivity Right"/>
    <w:basedOn w:val="Normal"/>
    <w:link w:val="HeaderSensitivityRightChar"/>
    <w:rsid w:val="00B83E6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B83E6E"/>
    <w:rPr>
      <w:rFonts w:ascii="Times New Roman" w:hAnsi="Times New Roman" w:cs="Times New Roman"/>
      <w:sz w:val="28"/>
    </w:rPr>
  </w:style>
  <w:style w:type="paragraph" w:styleId="NormalWeb">
    <w:name w:val="Normal (Web)"/>
    <w:basedOn w:val="Normal"/>
    <w:uiPriority w:val="99"/>
    <w:unhideWhenUsed/>
    <w:rsid w:val="00057A2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B0A1E"/>
    <w:rPr>
      <w:color w:val="0563C1" w:themeColor="hyperlink"/>
      <w:u w:val="single"/>
    </w:rPr>
  </w:style>
  <w:style w:type="character" w:customStyle="1" w:styleId="rphighlightallclass">
    <w:name w:val="rphighlightallclass"/>
    <w:basedOn w:val="DefaultParagraphFont"/>
    <w:rsid w:val="007C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5647">
      <w:bodyDiv w:val="1"/>
      <w:marLeft w:val="0"/>
      <w:marRight w:val="0"/>
      <w:marTop w:val="0"/>
      <w:marBottom w:val="0"/>
      <w:divBdr>
        <w:top w:val="none" w:sz="0" w:space="0" w:color="auto"/>
        <w:left w:val="none" w:sz="0" w:space="0" w:color="auto"/>
        <w:bottom w:val="none" w:sz="0" w:space="0" w:color="auto"/>
        <w:right w:val="none" w:sz="0" w:space="0" w:color="auto"/>
      </w:divBdr>
    </w:div>
    <w:div w:id="336659727">
      <w:bodyDiv w:val="1"/>
      <w:marLeft w:val="0"/>
      <w:marRight w:val="0"/>
      <w:marTop w:val="0"/>
      <w:marBottom w:val="0"/>
      <w:divBdr>
        <w:top w:val="none" w:sz="0" w:space="0" w:color="auto"/>
        <w:left w:val="none" w:sz="0" w:space="0" w:color="auto"/>
        <w:bottom w:val="none" w:sz="0" w:space="0" w:color="auto"/>
        <w:right w:val="none" w:sz="0" w:space="0" w:color="auto"/>
      </w:divBdr>
    </w:div>
    <w:div w:id="875121845">
      <w:bodyDiv w:val="1"/>
      <w:marLeft w:val="0"/>
      <w:marRight w:val="0"/>
      <w:marTop w:val="0"/>
      <w:marBottom w:val="0"/>
      <w:divBdr>
        <w:top w:val="none" w:sz="0" w:space="0" w:color="auto"/>
        <w:left w:val="none" w:sz="0" w:space="0" w:color="auto"/>
        <w:bottom w:val="none" w:sz="0" w:space="0" w:color="auto"/>
        <w:right w:val="none" w:sz="0" w:space="0" w:color="auto"/>
      </w:divBdr>
    </w:div>
    <w:div w:id="1040545248">
      <w:bodyDiv w:val="1"/>
      <w:marLeft w:val="0"/>
      <w:marRight w:val="0"/>
      <w:marTop w:val="0"/>
      <w:marBottom w:val="0"/>
      <w:divBdr>
        <w:top w:val="none" w:sz="0" w:space="0" w:color="auto"/>
        <w:left w:val="none" w:sz="0" w:space="0" w:color="auto"/>
        <w:bottom w:val="none" w:sz="0" w:space="0" w:color="auto"/>
        <w:right w:val="none" w:sz="0" w:space="0" w:color="auto"/>
      </w:divBdr>
    </w:div>
    <w:div w:id="1247422552">
      <w:bodyDiv w:val="1"/>
      <w:marLeft w:val="0"/>
      <w:marRight w:val="0"/>
      <w:marTop w:val="0"/>
      <w:marBottom w:val="0"/>
      <w:divBdr>
        <w:top w:val="none" w:sz="0" w:space="0" w:color="auto"/>
        <w:left w:val="none" w:sz="0" w:space="0" w:color="auto"/>
        <w:bottom w:val="none" w:sz="0" w:space="0" w:color="auto"/>
        <w:right w:val="none" w:sz="0" w:space="0" w:color="auto"/>
      </w:divBdr>
    </w:div>
    <w:div w:id="1431587241">
      <w:bodyDiv w:val="1"/>
      <w:marLeft w:val="0"/>
      <w:marRight w:val="0"/>
      <w:marTop w:val="0"/>
      <w:marBottom w:val="0"/>
      <w:divBdr>
        <w:top w:val="none" w:sz="0" w:space="0" w:color="auto"/>
        <w:left w:val="none" w:sz="0" w:space="0" w:color="auto"/>
        <w:bottom w:val="none" w:sz="0" w:space="0" w:color="auto"/>
        <w:right w:val="none" w:sz="0" w:space="0" w:color="auto"/>
      </w:divBdr>
    </w:div>
    <w:div w:id="1759866321">
      <w:bodyDiv w:val="1"/>
      <w:marLeft w:val="0"/>
      <w:marRight w:val="0"/>
      <w:marTop w:val="0"/>
      <w:marBottom w:val="0"/>
      <w:divBdr>
        <w:top w:val="none" w:sz="0" w:space="0" w:color="auto"/>
        <w:left w:val="none" w:sz="0" w:space="0" w:color="auto"/>
        <w:bottom w:val="none" w:sz="0" w:space="0" w:color="auto"/>
        <w:right w:val="none" w:sz="0" w:space="0" w:color="auto"/>
      </w:divBdr>
    </w:div>
    <w:div w:id="18639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004C0B70"/><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CBE88-17D7-4459-915C-55EDBC95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6291</Words>
  <Characters>37941</Characters>
  <Application>Microsoft Office Word</Application>
  <DocSecurity>0</DocSecurity>
  <Lines>549</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2021-12-01T09:39:00Z</dcterms:created>
  <dcterms:modified xsi:type="dcterms:W3CDTF">2021-12-03T14:29:00Z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7.0.1, Build 20200226</vt:lpwstr>
  </property>
  <property fmtid="{D5CDD505-2E9C-101B-9397-08002B2CF9AE}" pid="8" name="Created using">
    <vt:lpwstr>LW 7.0.1, Build 20200226</vt:lpwstr>
  </property>
</Properties>
</file>