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8BF06" w14:textId="2FBEE26C" w:rsidR="00593F6B" w:rsidRDefault="00BB441B" w:rsidP="00BB441B">
      <w:pPr>
        <w:pStyle w:val="Pagedecouverture"/>
        <w:rPr>
          <w:noProof/>
        </w:rPr>
      </w:pPr>
      <w:bookmarkStart w:id="0" w:name="LW_BM_COVERPAGE"/>
      <w:r>
        <w:rPr>
          <w:noProof/>
        </w:rPr>
        <w:pict w14:anchorId="31030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CDB9468-DBE2-4DC3-BBD8-CD91B1F087D2" style="width:455.25pt;height:324pt">
            <v:imagedata r:id="rId8" o:title=""/>
          </v:shape>
        </w:pict>
      </w:r>
    </w:p>
    <w:bookmarkEnd w:id="0"/>
    <w:p w14:paraId="38D515C2" w14:textId="77777777" w:rsidR="00AA655D" w:rsidRDefault="00AA655D" w:rsidP="00AA655D">
      <w:pPr>
        <w:rPr>
          <w:noProof/>
        </w:rPr>
        <w:sectPr w:rsidR="00AA655D" w:rsidSect="00BB441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43CA6E6B" w14:textId="008DB6FF" w:rsidR="00A55E7C" w:rsidRPr="00A55E7C" w:rsidRDefault="00A55E7C" w:rsidP="00A55E7C">
      <w:pPr>
        <w:pStyle w:val="Typedudocument"/>
        <w:rPr>
          <w:noProof/>
        </w:rPr>
      </w:pPr>
      <w:bookmarkStart w:id="1" w:name="_GoBack"/>
      <w:bookmarkEnd w:id="1"/>
      <w:r w:rsidRPr="00A55E7C">
        <w:rPr>
          <w:noProof/>
        </w:rPr>
        <w:lastRenderedPageBreak/>
        <w:t>REPORT FROM THE COMMISSION TO THE EUROPEAN PARLIAMENT AND THE COUNCIL</w:t>
      </w:r>
    </w:p>
    <w:p w14:paraId="04D6EFA9" w14:textId="732D2713" w:rsidR="00A55E7C" w:rsidRPr="00A55E7C" w:rsidRDefault="00A55E7C" w:rsidP="00A55E7C">
      <w:pPr>
        <w:pStyle w:val="Titreobjet"/>
        <w:rPr>
          <w:noProof/>
        </w:rPr>
      </w:pPr>
      <w:r w:rsidRPr="00A55E7C">
        <w:rPr>
          <w:noProof/>
        </w:rPr>
        <w:t>on the implementation of Regulation (EU) 2021/821 setting up a Union regime for the control of exports, brokering, technical assistance, transit and transfer of dual-use items</w:t>
      </w:r>
    </w:p>
    <w:p w14:paraId="470E5ECF" w14:textId="289F5D9C" w:rsidR="00AA655D" w:rsidRDefault="00AA655D" w:rsidP="00AA655D">
      <w:pPr>
        <w:keepNext/>
        <w:tabs>
          <w:tab w:val="left" w:pos="850"/>
        </w:tabs>
        <w:spacing w:after="120"/>
        <w:ind w:left="850" w:hanging="850"/>
        <w:jc w:val="both"/>
        <w:outlineLvl w:val="0"/>
        <w:rPr>
          <w:rFonts w:eastAsia="Times New Roman"/>
          <w:b/>
          <w:smallCaps/>
          <w:noProof/>
          <w:lang w:eastAsia="en-GB"/>
        </w:rPr>
      </w:pPr>
      <w:r>
        <w:rPr>
          <w:rFonts w:eastAsia="Times New Roman"/>
          <w:b/>
          <w:smallCaps/>
          <w:noProof/>
          <w:lang w:eastAsia="en-GB"/>
        </w:rPr>
        <w:t>1.</w:t>
      </w:r>
      <w:r>
        <w:rPr>
          <w:rFonts w:eastAsia="Times New Roman"/>
          <w:b/>
          <w:smallCaps/>
          <w:noProof/>
          <w:lang w:eastAsia="en-GB"/>
        </w:rPr>
        <w:tab/>
        <w:t>Introduction</w:t>
      </w:r>
    </w:p>
    <w:p w14:paraId="0D580079" w14:textId="1959E082" w:rsidR="00AA655D" w:rsidRPr="00F25B65" w:rsidRDefault="008F2F5D" w:rsidP="00AA655D">
      <w:pPr>
        <w:autoSpaceDE w:val="0"/>
        <w:autoSpaceDN w:val="0"/>
        <w:adjustRightInd w:val="0"/>
        <w:spacing w:before="200" w:after="200"/>
        <w:jc w:val="both"/>
        <w:rPr>
          <w:noProof/>
        </w:rPr>
      </w:pPr>
      <w:r>
        <w:rPr>
          <w:rFonts w:eastAsia="Times New Roman"/>
          <w:noProof/>
          <w:lang w:eastAsia="en-GB"/>
        </w:rPr>
        <w:t>In 2013 t</w:t>
      </w:r>
      <w:r w:rsidR="00AA655D">
        <w:rPr>
          <w:rFonts w:eastAsia="Times New Roman"/>
          <w:noProof/>
          <w:lang w:eastAsia="en-GB"/>
        </w:rPr>
        <w:t>he Commission started publishing annual export control reports</w:t>
      </w:r>
      <w:r w:rsidR="00672FC3">
        <w:rPr>
          <w:rFonts w:eastAsia="Times New Roman"/>
          <w:noProof/>
          <w:lang w:eastAsia="en-GB"/>
        </w:rPr>
        <w:t xml:space="preserve"> </w:t>
      </w:r>
      <w:r w:rsidR="00672FC3" w:rsidRPr="00672FC3">
        <w:rPr>
          <w:rFonts w:eastAsia="Times New Roman"/>
          <w:noProof/>
          <w:lang w:eastAsia="en-GB"/>
        </w:rPr>
        <w:t>as provided for by Regulation (EC) No 428/2009</w:t>
      </w:r>
      <w:r>
        <w:rPr>
          <w:rFonts w:eastAsia="Times New Roman"/>
          <w:noProof/>
          <w:lang w:eastAsia="en-GB"/>
        </w:rPr>
        <w:t xml:space="preserve"> (“the Regulation”).</w:t>
      </w:r>
      <w:r w:rsidR="00100B7A">
        <w:rPr>
          <w:rFonts w:eastAsia="Times New Roman"/>
          <w:noProof/>
          <w:lang w:eastAsia="en-GB"/>
        </w:rPr>
        <w:t xml:space="preserve"> The Regul</w:t>
      </w:r>
      <w:r>
        <w:rPr>
          <w:rFonts w:eastAsia="Times New Roman"/>
          <w:noProof/>
          <w:lang w:eastAsia="en-GB"/>
        </w:rPr>
        <w:t>a</w:t>
      </w:r>
      <w:r w:rsidR="00100B7A">
        <w:rPr>
          <w:rFonts w:eastAsia="Times New Roman"/>
          <w:noProof/>
          <w:lang w:eastAsia="en-GB"/>
        </w:rPr>
        <w:t>tion was repealed by Regulation (EU) 2021/821</w:t>
      </w:r>
      <w:r w:rsidR="008C2769">
        <w:rPr>
          <w:rStyle w:val="FootnoteReference"/>
          <w:rFonts w:eastAsia="Times New Roman"/>
          <w:noProof/>
          <w:lang w:eastAsia="en-GB"/>
        </w:rPr>
        <w:footnoteReference w:id="1"/>
      </w:r>
      <w:r>
        <w:rPr>
          <w:rFonts w:eastAsia="Times New Roman"/>
          <w:noProof/>
          <w:lang w:eastAsia="en-GB"/>
        </w:rPr>
        <w:t xml:space="preserve"> (“the new Regulation”)</w:t>
      </w:r>
      <w:r w:rsidR="00100B7A">
        <w:rPr>
          <w:rFonts w:eastAsia="Times New Roman"/>
          <w:noProof/>
          <w:lang w:eastAsia="en-GB"/>
        </w:rPr>
        <w:t xml:space="preserve"> on 9 September 2021</w:t>
      </w:r>
      <w:r>
        <w:rPr>
          <w:rFonts w:eastAsia="Times New Roman"/>
          <w:noProof/>
          <w:lang w:eastAsia="en-GB"/>
        </w:rPr>
        <w:t>.</w:t>
      </w:r>
      <w:r w:rsidR="00100B7A">
        <w:rPr>
          <w:rFonts w:eastAsia="Times New Roman"/>
          <w:noProof/>
          <w:lang w:eastAsia="en-GB"/>
        </w:rPr>
        <w:t xml:space="preserve"> </w:t>
      </w:r>
    </w:p>
    <w:p w14:paraId="0416CA33" w14:textId="28068EB4" w:rsidR="00566F87" w:rsidRDefault="00AA655D" w:rsidP="00AA655D">
      <w:pPr>
        <w:spacing w:before="100" w:beforeAutospacing="1" w:after="100" w:afterAutospacing="1"/>
        <w:jc w:val="both"/>
        <w:rPr>
          <w:rFonts w:eastAsia="Times New Roman"/>
          <w:noProof/>
          <w:lang w:eastAsia="en-GB"/>
        </w:rPr>
      </w:pPr>
      <w:r>
        <w:rPr>
          <w:rFonts w:eastAsia="Times New Roman"/>
          <w:noProof/>
          <w:lang w:eastAsia="en-GB"/>
        </w:rPr>
        <w:t>This report,</w:t>
      </w:r>
      <w:r w:rsidR="00C514AA">
        <w:rPr>
          <w:rFonts w:eastAsia="Times New Roman"/>
          <w:noProof/>
          <w:lang w:eastAsia="en-GB"/>
        </w:rPr>
        <w:t xml:space="preserve"> </w:t>
      </w:r>
      <w:r>
        <w:rPr>
          <w:rFonts w:eastAsia="Times New Roman"/>
          <w:noProof/>
          <w:lang w:eastAsia="en-GB"/>
        </w:rPr>
        <w:t>prepared by the Commission with input from Member States</w:t>
      </w:r>
      <w:r>
        <w:rPr>
          <w:rFonts w:eastAsia="Times New Roman"/>
          <w:noProof/>
          <w:vertAlign w:val="superscript"/>
          <w:lang w:eastAsia="en-GB"/>
        </w:rPr>
        <w:footnoteReference w:id="2"/>
      </w:r>
      <w:r>
        <w:rPr>
          <w:rFonts w:eastAsia="Times New Roman"/>
          <w:noProof/>
          <w:lang w:eastAsia="en-GB"/>
        </w:rPr>
        <w:t xml:space="preserve"> in the D</w:t>
      </w:r>
      <w:r w:rsidR="003C2B4A">
        <w:rPr>
          <w:rFonts w:eastAsia="Times New Roman"/>
          <w:noProof/>
          <w:lang w:eastAsia="en-GB"/>
        </w:rPr>
        <w:t xml:space="preserve">ual </w:t>
      </w:r>
      <w:r>
        <w:rPr>
          <w:rFonts w:eastAsia="Times New Roman"/>
          <w:noProof/>
          <w:lang w:eastAsia="en-GB"/>
        </w:rPr>
        <w:t>U</w:t>
      </w:r>
      <w:r w:rsidR="003C2B4A">
        <w:rPr>
          <w:rFonts w:eastAsia="Times New Roman"/>
          <w:noProof/>
          <w:lang w:eastAsia="en-GB"/>
        </w:rPr>
        <w:t xml:space="preserve">se </w:t>
      </w:r>
      <w:r>
        <w:rPr>
          <w:rFonts w:eastAsia="Times New Roman"/>
          <w:noProof/>
          <w:lang w:eastAsia="en-GB"/>
        </w:rPr>
        <w:t>C</w:t>
      </w:r>
      <w:r w:rsidR="00F517AC">
        <w:rPr>
          <w:rFonts w:eastAsia="Times New Roman"/>
          <w:noProof/>
          <w:lang w:eastAsia="en-GB"/>
        </w:rPr>
        <w:t>o</w:t>
      </w:r>
      <w:r w:rsidR="00AF0EAE">
        <w:rPr>
          <w:rFonts w:eastAsia="Times New Roman"/>
          <w:noProof/>
          <w:lang w:eastAsia="en-GB"/>
        </w:rPr>
        <w:t>ordination</w:t>
      </w:r>
      <w:r w:rsidR="003C2B4A">
        <w:rPr>
          <w:rFonts w:eastAsia="Times New Roman"/>
          <w:noProof/>
          <w:lang w:eastAsia="en-GB"/>
        </w:rPr>
        <w:t xml:space="preserve"> </w:t>
      </w:r>
      <w:r>
        <w:rPr>
          <w:rFonts w:eastAsia="Times New Roman"/>
          <w:noProof/>
          <w:lang w:eastAsia="en-GB"/>
        </w:rPr>
        <w:t>G</w:t>
      </w:r>
      <w:r w:rsidR="003C2B4A">
        <w:rPr>
          <w:rFonts w:eastAsia="Times New Roman"/>
          <w:noProof/>
          <w:lang w:eastAsia="en-GB"/>
        </w:rPr>
        <w:t>roup</w:t>
      </w:r>
      <w:r>
        <w:rPr>
          <w:rFonts w:eastAsia="Times New Roman"/>
          <w:noProof/>
          <w:lang w:eastAsia="en-GB"/>
        </w:rPr>
        <w:t xml:space="preserve">, provides information on the implementation of </w:t>
      </w:r>
      <w:r w:rsidR="00100B7A">
        <w:rPr>
          <w:rFonts w:eastAsia="Times New Roman"/>
          <w:noProof/>
          <w:lang w:eastAsia="en-GB"/>
        </w:rPr>
        <w:t xml:space="preserve">EU law concerning export control of dual-use items </w:t>
      </w:r>
      <w:r>
        <w:rPr>
          <w:rFonts w:eastAsia="Times New Roman"/>
          <w:noProof/>
          <w:lang w:eastAsia="en-GB"/>
        </w:rPr>
        <w:t>in 20</w:t>
      </w:r>
      <w:r w:rsidR="00B1619D">
        <w:rPr>
          <w:rFonts w:eastAsia="Times New Roman"/>
          <w:noProof/>
          <w:lang w:eastAsia="en-GB"/>
        </w:rPr>
        <w:t>20</w:t>
      </w:r>
      <w:r>
        <w:rPr>
          <w:rFonts w:eastAsia="Times New Roman"/>
          <w:noProof/>
          <w:lang w:eastAsia="en-GB"/>
        </w:rPr>
        <w:t>, and includes aggregated export control data for 201</w:t>
      </w:r>
      <w:r w:rsidR="00B1619D">
        <w:rPr>
          <w:rFonts w:eastAsia="Times New Roman"/>
          <w:noProof/>
          <w:lang w:eastAsia="en-GB"/>
        </w:rPr>
        <w:t>9</w:t>
      </w:r>
      <w:r>
        <w:rPr>
          <w:rFonts w:eastAsia="Times New Roman"/>
          <w:noProof/>
          <w:lang w:eastAsia="en-GB"/>
        </w:rPr>
        <w:t>.</w:t>
      </w:r>
      <w:r w:rsidR="008F2F5D">
        <w:rPr>
          <w:rStyle w:val="FootnoteReference"/>
          <w:rFonts w:eastAsia="Times New Roman"/>
          <w:noProof/>
          <w:lang w:eastAsia="en-GB"/>
        </w:rPr>
        <w:footnoteReference w:id="3"/>
      </w:r>
      <w:r w:rsidR="00957162">
        <w:rPr>
          <w:rFonts w:eastAsia="Times New Roman"/>
          <w:noProof/>
          <w:lang w:eastAsia="en-GB"/>
        </w:rPr>
        <w:t xml:space="preserve"> </w:t>
      </w:r>
    </w:p>
    <w:p w14:paraId="7957A864" w14:textId="7BED37D2" w:rsidR="00672FC3" w:rsidRPr="00971BC1" w:rsidRDefault="00100B7A" w:rsidP="00AA655D">
      <w:pPr>
        <w:spacing w:before="100" w:beforeAutospacing="1" w:after="100" w:afterAutospacing="1"/>
        <w:jc w:val="both"/>
        <w:rPr>
          <w:rFonts w:eastAsia="Times New Roman"/>
          <w:noProof/>
          <w:lang w:eastAsia="en-GB"/>
        </w:rPr>
      </w:pPr>
      <w:r>
        <w:rPr>
          <w:rFonts w:eastAsia="Times New Roman"/>
          <w:noProof/>
          <w:lang w:eastAsia="en-GB"/>
        </w:rPr>
        <w:t xml:space="preserve">In order to contribute to a more thorough implementation of EU </w:t>
      </w:r>
      <w:r w:rsidR="008F2F5D">
        <w:rPr>
          <w:rFonts w:eastAsia="Times New Roman"/>
          <w:noProof/>
          <w:lang w:eastAsia="en-GB"/>
        </w:rPr>
        <w:t>t</w:t>
      </w:r>
      <w:r>
        <w:rPr>
          <w:rFonts w:eastAsia="Times New Roman"/>
          <w:noProof/>
          <w:lang w:eastAsia="en-GB"/>
        </w:rPr>
        <w:t>rade law, including EU law concerning export control of dual-use items, t</w:t>
      </w:r>
      <w:r w:rsidR="00C33278">
        <w:rPr>
          <w:rFonts w:eastAsia="Times New Roman"/>
          <w:noProof/>
          <w:lang w:eastAsia="en-GB"/>
        </w:rPr>
        <w:t>he Commissiom created</w:t>
      </w:r>
      <w:r w:rsidR="00E90570">
        <w:rPr>
          <w:rFonts w:eastAsia="Times New Roman"/>
          <w:noProof/>
          <w:lang w:eastAsia="en-GB"/>
        </w:rPr>
        <w:t xml:space="preserve"> a</w:t>
      </w:r>
      <w:r w:rsidR="00E90570" w:rsidRPr="00E90570">
        <w:rPr>
          <w:rFonts w:eastAsia="Times New Roman"/>
          <w:noProof/>
          <w:lang w:eastAsia="en-GB"/>
        </w:rPr>
        <w:t xml:space="preserve"> new post of Chief Trade Enforcement Officer (CTEO)</w:t>
      </w:r>
      <w:r w:rsidR="00E90570">
        <w:rPr>
          <w:rFonts w:eastAsia="Times New Roman"/>
          <w:noProof/>
          <w:lang w:eastAsia="en-GB"/>
        </w:rPr>
        <w:t xml:space="preserve"> in 2019. </w:t>
      </w:r>
      <w:r w:rsidR="00E90570" w:rsidRPr="00E90570">
        <w:rPr>
          <w:rFonts w:eastAsia="Times New Roman"/>
          <w:noProof/>
          <w:lang w:eastAsia="en-GB"/>
        </w:rPr>
        <w:t>In order to support the CTEO in carrying out its enforcement tasks, the Commission has restructu</w:t>
      </w:r>
      <w:r w:rsidR="00DD2E18">
        <w:rPr>
          <w:rFonts w:eastAsia="Times New Roman"/>
          <w:noProof/>
          <w:lang w:eastAsia="en-GB"/>
        </w:rPr>
        <w:t>red the organization of DG TRADE</w:t>
      </w:r>
      <w:r w:rsidR="00E90570" w:rsidRPr="00E90570">
        <w:rPr>
          <w:rFonts w:eastAsia="Times New Roman"/>
          <w:noProof/>
          <w:lang w:eastAsia="en-GB"/>
        </w:rPr>
        <w:t xml:space="preserve">. Among other changes, export control and </w:t>
      </w:r>
      <w:r w:rsidR="008F2F5D">
        <w:rPr>
          <w:rFonts w:eastAsia="Times New Roman"/>
          <w:noProof/>
          <w:lang w:eastAsia="en-GB"/>
        </w:rPr>
        <w:t>f</w:t>
      </w:r>
      <w:r w:rsidR="00AB4120">
        <w:rPr>
          <w:rFonts w:eastAsia="Times New Roman"/>
          <w:noProof/>
          <w:lang w:eastAsia="en-GB"/>
        </w:rPr>
        <w:t xml:space="preserve">oreign </w:t>
      </w:r>
      <w:r w:rsidR="008F2F5D">
        <w:rPr>
          <w:rFonts w:eastAsia="Times New Roman"/>
          <w:noProof/>
          <w:lang w:eastAsia="en-GB"/>
        </w:rPr>
        <w:t>d</w:t>
      </w:r>
      <w:r w:rsidR="00AB4120">
        <w:rPr>
          <w:rFonts w:eastAsia="Times New Roman"/>
          <w:noProof/>
          <w:lang w:eastAsia="en-GB"/>
        </w:rPr>
        <w:t xml:space="preserve">irect </w:t>
      </w:r>
      <w:r w:rsidR="008F2F5D">
        <w:rPr>
          <w:rFonts w:eastAsia="Times New Roman"/>
          <w:noProof/>
          <w:lang w:eastAsia="en-GB"/>
        </w:rPr>
        <w:t>i</w:t>
      </w:r>
      <w:r w:rsidR="00AB4120">
        <w:rPr>
          <w:rFonts w:eastAsia="Times New Roman"/>
          <w:noProof/>
          <w:lang w:eastAsia="en-GB"/>
        </w:rPr>
        <w:t>nvestment (FDI)</w:t>
      </w:r>
      <w:r w:rsidR="00E90570" w:rsidRPr="00E90570">
        <w:rPr>
          <w:rFonts w:eastAsia="Times New Roman"/>
          <w:noProof/>
          <w:lang w:eastAsia="en-GB"/>
        </w:rPr>
        <w:t xml:space="preserve"> screening have been merged under one unit in </w:t>
      </w:r>
      <w:r w:rsidR="00B2491D">
        <w:rPr>
          <w:rFonts w:eastAsia="Times New Roman"/>
          <w:noProof/>
          <w:lang w:eastAsia="en-GB"/>
        </w:rPr>
        <w:t xml:space="preserve">DG TRADE </w:t>
      </w:r>
      <w:r w:rsidR="00E90570" w:rsidRPr="00E90570">
        <w:rPr>
          <w:rFonts w:eastAsia="Times New Roman"/>
          <w:noProof/>
          <w:lang w:eastAsia="en-GB"/>
        </w:rPr>
        <w:t>under the supervision of the CTEO.</w:t>
      </w:r>
      <w:r w:rsidR="00A17440">
        <w:rPr>
          <w:rFonts w:eastAsia="Times New Roman"/>
          <w:noProof/>
          <w:lang w:eastAsia="en-GB"/>
        </w:rPr>
        <w:t xml:space="preserve"> As a consequence and because export control and FDI screening are both </w:t>
      </w:r>
      <w:r w:rsidR="00A17440" w:rsidRPr="00A17440">
        <w:rPr>
          <w:rFonts w:eastAsia="Times New Roman"/>
          <w:noProof/>
          <w:lang w:eastAsia="en-GB"/>
        </w:rPr>
        <w:t>tools for strategic trade and investment controls to ensure security in the European Union</w:t>
      </w:r>
      <w:r w:rsidR="00A17440">
        <w:rPr>
          <w:rFonts w:eastAsia="Times New Roman"/>
          <w:noProof/>
          <w:lang w:eastAsia="en-GB"/>
        </w:rPr>
        <w:t>,</w:t>
      </w:r>
      <w:r w:rsidR="00A17440" w:rsidRPr="00A17440">
        <w:rPr>
          <w:rFonts w:eastAsia="Times New Roman"/>
          <w:noProof/>
          <w:lang w:eastAsia="en-GB"/>
        </w:rPr>
        <w:t xml:space="preserve"> </w:t>
      </w:r>
      <w:r w:rsidR="00A17440">
        <w:rPr>
          <w:rFonts w:eastAsia="Times New Roman"/>
          <w:noProof/>
          <w:lang w:eastAsia="en-GB"/>
        </w:rPr>
        <w:t>this report</w:t>
      </w:r>
      <w:r w:rsidR="005A7045" w:rsidRPr="005A7045">
        <w:rPr>
          <w:rFonts w:eastAsia="Times New Roman"/>
          <w:noProof/>
          <w:lang w:eastAsia="en-GB"/>
        </w:rPr>
        <w:t xml:space="preserve"> is adopted simultaneously with the</w:t>
      </w:r>
      <w:r w:rsidR="00566F87">
        <w:rPr>
          <w:rFonts w:eastAsia="Times New Roman"/>
          <w:noProof/>
          <w:lang w:eastAsia="en-GB"/>
        </w:rPr>
        <w:t xml:space="preserve"> first</w:t>
      </w:r>
      <w:r w:rsidR="005A7045" w:rsidRPr="005A7045">
        <w:rPr>
          <w:rFonts w:eastAsia="Times New Roman"/>
          <w:noProof/>
          <w:lang w:eastAsia="en-GB"/>
        </w:rPr>
        <w:t xml:space="preserve"> </w:t>
      </w:r>
      <w:r w:rsidR="008F2F5D">
        <w:rPr>
          <w:rFonts w:eastAsia="Times New Roman"/>
          <w:noProof/>
          <w:lang w:eastAsia="en-GB"/>
        </w:rPr>
        <w:t>a</w:t>
      </w:r>
      <w:r w:rsidR="005A7045" w:rsidRPr="005A7045">
        <w:rPr>
          <w:rFonts w:eastAsia="Times New Roman"/>
          <w:noProof/>
          <w:lang w:eastAsia="en-GB"/>
        </w:rPr>
        <w:t xml:space="preserve">nnual </w:t>
      </w:r>
      <w:r w:rsidR="008F2F5D">
        <w:rPr>
          <w:rFonts w:eastAsia="Times New Roman"/>
          <w:noProof/>
          <w:lang w:eastAsia="en-GB"/>
        </w:rPr>
        <w:t>r</w:t>
      </w:r>
      <w:r w:rsidR="005A7045" w:rsidRPr="005A7045">
        <w:rPr>
          <w:rFonts w:eastAsia="Times New Roman"/>
          <w:noProof/>
          <w:lang w:eastAsia="en-GB"/>
        </w:rPr>
        <w:t>eport on FDI Screening</w:t>
      </w:r>
      <w:r w:rsidR="00A17440">
        <w:rPr>
          <w:rFonts w:eastAsia="Times New Roman"/>
          <w:noProof/>
          <w:lang w:eastAsia="en-GB"/>
        </w:rPr>
        <w:t>.</w:t>
      </w:r>
      <w:r w:rsidR="005A7045" w:rsidRPr="005A7045">
        <w:rPr>
          <w:rFonts w:eastAsia="Times New Roman"/>
          <w:noProof/>
          <w:lang w:eastAsia="en-GB"/>
        </w:rPr>
        <w:t xml:space="preserve"> </w:t>
      </w:r>
    </w:p>
    <w:p w14:paraId="32E4086E" w14:textId="77777777" w:rsidR="00AA655D" w:rsidRDefault="00AA655D" w:rsidP="00AA655D">
      <w:pPr>
        <w:keepNext/>
        <w:tabs>
          <w:tab w:val="left" w:pos="850"/>
        </w:tabs>
        <w:spacing w:after="120"/>
        <w:ind w:left="850" w:hanging="850"/>
        <w:jc w:val="both"/>
        <w:outlineLvl w:val="0"/>
        <w:rPr>
          <w:rFonts w:eastAsia="Times New Roman"/>
          <w:b/>
          <w:smallCaps/>
          <w:noProof/>
          <w:lang w:eastAsia="en-GB"/>
        </w:rPr>
      </w:pPr>
      <w:bookmarkStart w:id="2" w:name="_Toc368065771"/>
      <w:r>
        <w:rPr>
          <w:rFonts w:eastAsia="Times New Roman"/>
          <w:b/>
          <w:smallCaps/>
          <w:noProof/>
          <w:lang w:eastAsia="en-GB"/>
        </w:rPr>
        <w:t>2.</w:t>
      </w:r>
      <w:r>
        <w:rPr>
          <w:rFonts w:eastAsia="Times New Roman"/>
          <w:b/>
          <w:smallCaps/>
          <w:noProof/>
          <w:lang w:eastAsia="en-GB"/>
        </w:rPr>
        <w:tab/>
        <w:t>Evolution of the policy &amp; regulatory framework</w:t>
      </w:r>
      <w:bookmarkEnd w:id="2"/>
    </w:p>
    <w:p w14:paraId="7124206D" w14:textId="77777777" w:rsidR="00AA655D" w:rsidRDefault="00AA655D" w:rsidP="00AA655D">
      <w:pPr>
        <w:keepNext/>
        <w:tabs>
          <w:tab w:val="left" w:pos="850"/>
        </w:tabs>
        <w:spacing w:after="120"/>
        <w:ind w:left="850" w:hanging="850"/>
        <w:jc w:val="both"/>
        <w:outlineLvl w:val="1"/>
        <w:rPr>
          <w:rFonts w:eastAsia="Times New Roman"/>
          <w:b/>
          <w:noProof/>
          <w:lang w:eastAsia="en-GB"/>
        </w:rPr>
      </w:pPr>
      <w:bookmarkStart w:id="3" w:name="_Toc368065772"/>
      <w:r>
        <w:rPr>
          <w:rFonts w:eastAsia="Times New Roman"/>
          <w:b/>
          <w:noProof/>
          <w:lang w:eastAsia="en-GB"/>
        </w:rPr>
        <w:t>2.1</w:t>
      </w:r>
      <w:r w:rsidR="00617132">
        <w:rPr>
          <w:rFonts w:eastAsia="Times New Roman"/>
          <w:b/>
          <w:noProof/>
          <w:lang w:eastAsia="en-GB"/>
        </w:rPr>
        <w:t>.</w:t>
      </w:r>
      <w:r>
        <w:rPr>
          <w:rFonts w:eastAsia="Times New Roman"/>
          <w:b/>
          <w:noProof/>
          <w:lang w:eastAsia="en-GB"/>
        </w:rPr>
        <w:tab/>
        <w:t>Export control policy review</w:t>
      </w:r>
    </w:p>
    <w:p w14:paraId="11FCE5D8" w14:textId="77777777" w:rsidR="00FC2A23" w:rsidRDefault="00FC2A23" w:rsidP="00ED213C">
      <w:pPr>
        <w:pStyle w:val="Briefingtext"/>
        <w:rPr>
          <w:rFonts w:ascii="Times New Roman" w:hAnsi="Times New Roman" w:cs="Times New Roman"/>
          <w:noProof/>
          <w:sz w:val="24"/>
          <w:lang w:eastAsia="en-GB"/>
        </w:rPr>
      </w:pPr>
      <w:r>
        <w:rPr>
          <w:rFonts w:ascii="Times New Roman" w:hAnsi="Times New Roman" w:cs="Times New Roman"/>
          <w:noProof/>
          <w:sz w:val="24"/>
          <w:lang w:eastAsia="en-GB"/>
        </w:rPr>
        <w:t>2.1.1.</w:t>
      </w:r>
      <w:r>
        <w:rPr>
          <w:rFonts w:ascii="Times New Roman" w:hAnsi="Times New Roman" w:cs="Times New Roman"/>
          <w:noProof/>
          <w:sz w:val="24"/>
          <w:lang w:eastAsia="en-GB"/>
        </w:rPr>
        <w:tab/>
        <w:t>Legislative modernisation</w:t>
      </w:r>
    </w:p>
    <w:p w14:paraId="2E0A46D8" w14:textId="568379C9" w:rsidR="00ED213C" w:rsidRPr="00ED213C" w:rsidRDefault="00FC2A23" w:rsidP="00ED213C">
      <w:pPr>
        <w:pStyle w:val="Briefingtext"/>
        <w:rPr>
          <w:rFonts w:ascii="Times New Roman" w:eastAsiaTheme="minorHAnsi" w:hAnsi="Times New Roman" w:cs="Times New Roman"/>
          <w:noProof/>
          <w:sz w:val="24"/>
        </w:rPr>
      </w:pPr>
      <w:r>
        <w:rPr>
          <w:rFonts w:ascii="Times New Roman" w:hAnsi="Times New Roman" w:cs="Times New Roman"/>
          <w:noProof/>
          <w:sz w:val="24"/>
          <w:lang w:eastAsia="en-GB"/>
        </w:rPr>
        <w:t xml:space="preserve">2020 was a crucial year for the </w:t>
      </w:r>
      <w:r w:rsidR="00AA655D" w:rsidRPr="00ED213C">
        <w:rPr>
          <w:rFonts w:ascii="Times New Roman" w:hAnsi="Times New Roman" w:cs="Times New Roman"/>
          <w:noProof/>
          <w:sz w:val="24"/>
          <w:lang w:eastAsia="en-GB"/>
        </w:rPr>
        <w:t xml:space="preserve">modernisation of EU export controls, </w:t>
      </w:r>
      <w:r>
        <w:rPr>
          <w:rFonts w:ascii="Times New Roman" w:hAnsi="Times New Roman" w:cs="Times New Roman"/>
          <w:noProof/>
          <w:sz w:val="24"/>
          <w:lang w:eastAsia="en-GB"/>
        </w:rPr>
        <w:t>w</w:t>
      </w:r>
      <w:r w:rsidR="003C2B4A">
        <w:rPr>
          <w:rFonts w:ascii="Times New Roman" w:hAnsi="Times New Roman" w:cs="Times New Roman"/>
          <w:noProof/>
          <w:sz w:val="24"/>
          <w:lang w:eastAsia="en-GB"/>
        </w:rPr>
        <w:t xml:space="preserve">ith </w:t>
      </w:r>
      <w:r w:rsidR="00B1619D" w:rsidRPr="00ED213C">
        <w:rPr>
          <w:rFonts w:ascii="Times New Roman" w:hAnsi="Times New Roman" w:cs="Times New Roman"/>
          <w:noProof/>
          <w:sz w:val="24"/>
          <w:lang w:eastAsia="en-GB"/>
        </w:rPr>
        <w:t xml:space="preserve">the Council and the European Parliament </w:t>
      </w:r>
      <w:r w:rsidR="00ED213C" w:rsidRPr="00ED213C">
        <w:rPr>
          <w:rFonts w:ascii="Times New Roman" w:hAnsi="Times New Roman" w:cs="Times New Roman"/>
          <w:noProof/>
          <w:sz w:val="24"/>
          <w:lang w:eastAsia="en-GB"/>
        </w:rPr>
        <w:t>reaching political agreement</w:t>
      </w:r>
      <w:r w:rsidR="00B1619D" w:rsidRPr="00ED213C">
        <w:rPr>
          <w:rFonts w:ascii="Times New Roman" w:hAnsi="Times New Roman" w:cs="Times New Roman"/>
          <w:noProof/>
          <w:sz w:val="24"/>
          <w:lang w:eastAsia="en-GB"/>
        </w:rPr>
        <w:t xml:space="preserve"> on </w:t>
      </w:r>
      <w:r w:rsidR="00ED213C" w:rsidRPr="00ED213C">
        <w:rPr>
          <w:rFonts w:ascii="Times New Roman" w:hAnsi="Times New Roman" w:cs="Times New Roman"/>
          <w:noProof/>
          <w:sz w:val="24"/>
          <w:lang w:eastAsia="en-GB"/>
        </w:rPr>
        <w:t xml:space="preserve">a new export control Regulation in November </w:t>
      </w:r>
      <w:r w:rsidR="00942219">
        <w:rPr>
          <w:rFonts w:ascii="Times New Roman" w:hAnsi="Times New Roman" w:cs="Times New Roman"/>
          <w:noProof/>
          <w:sz w:val="24"/>
          <w:lang w:eastAsia="en-GB"/>
        </w:rPr>
        <w:t>2020</w:t>
      </w:r>
      <w:r w:rsidR="00B1619D" w:rsidRPr="00ED213C">
        <w:rPr>
          <w:rFonts w:ascii="Times New Roman" w:hAnsi="Times New Roman" w:cs="Times New Roman"/>
          <w:noProof/>
          <w:sz w:val="24"/>
          <w:lang w:eastAsia="en-GB"/>
        </w:rPr>
        <w:t xml:space="preserve">. </w:t>
      </w:r>
      <w:r w:rsidR="00ED213C" w:rsidRPr="00ED213C">
        <w:rPr>
          <w:rFonts w:ascii="Times New Roman" w:hAnsi="Times New Roman" w:cs="Times New Roman"/>
          <w:noProof/>
          <w:sz w:val="24"/>
          <w:lang w:eastAsia="en-GB"/>
        </w:rPr>
        <w:t>The</w:t>
      </w:r>
      <w:r>
        <w:rPr>
          <w:rFonts w:ascii="Times New Roman" w:hAnsi="Times New Roman" w:cs="Times New Roman"/>
          <w:noProof/>
          <w:sz w:val="24"/>
          <w:lang w:eastAsia="en-GB"/>
        </w:rPr>
        <w:t xml:space="preserve">y agreed on </w:t>
      </w:r>
      <w:r w:rsidR="00ED213C" w:rsidRPr="00ED213C">
        <w:rPr>
          <w:rFonts w:ascii="Times New Roman" w:hAnsi="Times New Roman" w:cs="Times New Roman"/>
          <w:noProof/>
          <w:sz w:val="24"/>
          <w:lang w:eastAsia="en-GB"/>
        </w:rPr>
        <w:t>a comprehensive</w:t>
      </w:r>
      <w:r w:rsidR="00ED213C" w:rsidRPr="00ED213C">
        <w:rPr>
          <w:rFonts w:ascii="Times New Roman" w:eastAsiaTheme="minorHAnsi" w:hAnsi="Times New Roman" w:cs="Times New Roman"/>
          <w:noProof/>
          <w:sz w:val="24"/>
        </w:rPr>
        <w:t xml:space="preserve"> “system upgrade”, that will make the EU </w:t>
      </w:r>
      <w:r w:rsidR="008F2F5D">
        <w:rPr>
          <w:rFonts w:ascii="Times New Roman" w:eastAsiaTheme="minorHAnsi" w:hAnsi="Times New Roman" w:cs="Times New Roman"/>
          <w:noProof/>
          <w:sz w:val="24"/>
        </w:rPr>
        <w:t>e</w:t>
      </w:r>
      <w:r w:rsidR="00ED213C" w:rsidRPr="00ED213C">
        <w:rPr>
          <w:rFonts w:ascii="Times New Roman" w:eastAsiaTheme="minorHAnsi" w:hAnsi="Times New Roman" w:cs="Times New Roman"/>
          <w:noProof/>
          <w:sz w:val="24"/>
        </w:rPr>
        <w:t>xport control system more effective by:</w:t>
      </w:r>
    </w:p>
    <w:p w14:paraId="5B4C88DC" w14:textId="77777777" w:rsidR="00ED213C" w:rsidRPr="00ED213C" w:rsidRDefault="00ED213C" w:rsidP="00ED213C">
      <w:pPr>
        <w:pStyle w:val="Briefingtext"/>
        <w:numPr>
          <w:ilvl w:val="0"/>
          <w:numId w:val="3"/>
        </w:numPr>
        <w:ind w:left="714" w:hanging="357"/>
        <w:rPr>
          <w:rFonts w:ascii="Times New Roman" w:eastAsiaTheme="minorHAnsi" w:hAnsi="Times New Roman" w:cs="Times New Roman"/>
          <w:noProof/>
          <w:sz w:val="24"/>
        </w:rPr>
      </w:pPr>
      <w:r w:rsidRPr="00ED213C">
        <w:rPr>
          <w:rFonts w:ascii="Times New Roman" w:eastAsiaTheme="minorHAnsi" w:hAnsi="Times New Roman" w:cs="Times New Roman"/>
          <w:noProof/>
          <w:sz w:val="24"/>
        </w:rPr>
        <w:t>introducing a novel ‘human security’ dimension so the EU can respond to the challenges posed by emerging dual-use technologies – especially cyber-surveillance technologies – that pose a risk to national and international security, including human rights;</w:t>
      </w:r>
    </w:p>
    <w:p w14:paraId="222B4933" w14:textId="1F6DDF7E" w:rsidR="00ED213C" w:rsidRPr="00ED213C" w:rsidRDefault="00ED213C" w:rsidP="00ED213C">
      <w:pPr>
        <w:pStyle w:val="Briefingtext"/>
        <w:numPr>
          <w:ilvl w:val="0"/>
          <w:numId w:val="3"/>
        </w:numPr>
        <w:ind w:left="714" w:hanging="357"/>
        <w:rPr>
          <w:rFonts w:ascii="Times New Roman" w:eastAsiaTheme="minorHAnsi" w:hAnsi="Times New Roman" w:cs="Times New Roman"/>
          <w:noProof/>
          <w:sz w:val="24"/>
        </w:rPr>
      </w:pPr>
      <w:r w:rsidRPr="00ED213C">
        <w:rPr>
          <w:rFonts w:ascii="Times New Roman" w:eastAsiaTheme="minorHAnsi" w:hAnsi="Times New Roman" w:cs="Times New Roman"/>
          <w:noProof/>
          <w:sz w:val="24"/>
        </w:rPr>
        <w:t xml:space="preserve">updating key notions and definitions </w:t>
      </w:r>
      <w:r w:rsidR="003C2B4A">
        <w:rPr>
          <w:rFonts w:ascii="Times New Roman" w:eastAsiaTheme="minorHAnsi" w:hAnsi="Times New Roman" w:cs="Times New Roman"/>
          <w:noProof/>
          <w:sz w:val="24"/>
        </w:rPr>
        <w:t xml:space="preserve">in the Regulation </w:t>
      </w:r>
      <w:r w:rsidRPr="00ED213C">
        <w:rPr>
          <w:rFonts w:ascii="Times New Roman" w:eastAsiaTheme="minorHAnsi" w:hAnsi="Times New Roman" w:cs="Times New Roman"/>
          <w:noProof/>
          <w:sz w:val="24"/>
        </w:rPr>
        <w:t xml:space="preserve">(e.g. definition of “exporter” </w:t>
      </w:r>
      <w:r w:rsidR="00AD0409">
        <w:rPr>
          <w:rFonts w:ascii="Times New Roman" w:eastAsiaTheme="minorHAnsi" w:hAnsi="Times New Roman" w:cs="Times New Roman"/>
          <w:noProof/>
          <w:sz w:val="24"/>
        </w:rPr>
        <w:t xml:space="preserve">covering </w:t>
      </w:r>
      <w:r w:rsidRPr="00ED213C">
        <w:rPr>
          <w:rFonts w:ascii="Times New Roman" w:eastAsiaTheme="minorHAnsi" w:hAnsi="Times New Roman" w:cs="Times New Roman"/>
          <w:noProof/>
          <w:sz w:val="24"/>
        </w:rPr>
        <w:t xml:space="preserve"> natural persons and researchers involved in dual-use technology transfers);</w:t>
      </w:r>
    </w:p>
    <w:p w14:paraId="71A3E4DE" w14:textId="77777777" w:rsidR="00ED213C" w:rsidRPr="00ED213C" w:rsidRDefault="00ED213C" w:rsidP="00ED213C">
      <w:pPr>
        <w:pStyle w:val="ListParagraph"/>
        <w:numPr>
          <w:ilvl w:val="0"/>
          <w:numId w:val="3"/>
        </w:numPr>
        <w:spacing w:after="240" w:line="276" w:lineRule="auto"/>
        <w:ind w:left="714" w:hanging="357"/>
        <w:contextualSpacing/>
        <w:jc w:val="both"/>
        <w:rPr>
          <w:rFonts w:ascii="Times New Roman" w:eastAsiaTheme="minorHAnsi" w:hAnsi="Times New Roman" w:cs="Times New Roman"/>
          <w:noProof/>
          <w:sz w:val="24"/>
          <w:szCs w:val="24"/>
          <w:lang w:eastAsia="en-US"/>
        </w:rPr>
      </w:pPr>
      <w:r w:rsidRPr="00ED213C">
        <w:rPr>
          <w:rFonts w:ascii="Times New Roman" w:eastAsiaTheme="minorHAnsi" w:hAnsi="Times New Roman" w:cs="Times New Roman"/>
          <w:noProof/>
          <w:sz w:val="24"/>
          <w:szCs w:val="24"/>
          <w:lang w:eastAsia="en-US"/>
        </w:rPr>
        <w:t xml:space="preserve">simplifying and harmonising licensing procedures and allowing the Commission to amend – by </w:t>
      </w:r>
      <w:r w:rsidR="003C2B4A">
        <w:rPr>
          <w:rFonts w:ascii="Times New Roman" w:eastAsiaTheme="minorHAnsi" w:hAnsi="Times New Roman" w:cs="Times New Roman"/>
          <w:noProof/>
          <w:sz w:val="24"/>
          <w:szCs w:val="24"/>
          <w:lang w:eastAsia="en-US"/>
        </w:rPr>
        <w:t xml:space="preserve">a </w:t>
      </w:r>
      <w:r w:rsidRPr="00ED213C">
        <w:rPr>
          <w:rFonts w:ascii="Times New Roman" w:eastAsiaTheme="minorHAnsi" w:hAnsi="Times New Roman" w:cs="Times New Roman"/>
          <w:noProof/>
          <w:sz w:val="24"/>
          <w:szCs w:val="24"/>
          <w:lang w:eastAsia="en-US"/>
        </w:rPr>
        <w:t xml:space="preserve">‘simplified’ procedure, </w:t>
      </w:r>
      <w:r w:rsidR="003C2B4A">
        <w:rPr>
          <w:rFonts w:ascii="Times New Roman" w:eastAsiaTheme="minorHAnsi" w:hAnsi="Times New Roman" w:cs="Times New Roman"/>
          <w:noProof/>
          <w:sz w:val="24"/>
          <w:szCs w:val="24"/>
          <w:lang w:eastAsia="en-US"/>
        </w:rPr>
        <w:t xml:space="preserve">using </w:t>
      </w:r>
      <w:r w:rsidRPr="00ED213C">
        <w:rPr>
          <w:rFonts w:ascii="Times New Roman" w:eastAsiaTheme="minorHAnsi" w:hAnsi="Times New Roman" w:cs="Times New Roman"/>
          <w:noProof/>
          <w:sz w:val="24"/>
          <w:szCs w:val="24"/>
          <w:lang w:eastAsia="en-US"/>
        </w:rPr>
        <w:t>delegated act</w:t>
      </w:r>
      <w:r w:rsidR="003C2B4A">
        <w:rPr>
          <w:rFonts w:ascii="Times New Roman" w:eastAsiaTheme="minorHAnsi" w:hAnsi="Times New Roman" w:cs="Times New Roman"/>
          <w:noProof/>
          <w:sz w:val="24"/>
          <w:szCs w:val="24"/>
          <w:lang w:eastAsia="en-US"/>
        </w:rPr>
        <w:t>s</w:t>
      </w:r>
      <w:r w:rsidRPr="00ED213C">
        <w:rPr>
          <w:rFonts w:ascii="Times New Roman" w:eastAsiaTheme="minorHAnsi" w:hAnsi="Times New Roman" w:cs="Times New Roman"/>
          <w:noProof/>
          <w:sz w:val="24"/>
          <w:szCs w:val="24"/>
          <w:lang w:eastAsia="en-US"/>
        </w:rPr>
        <w:t xml:space="preserve"> – the list of items or destinations subject to specific forms of control, thereby making the export control system more agile and able to evolve and adjust to circumstances;</w:t>
      </w:r>
    </w:p>
    <w:p w14:paraId="37901375" w14:textId="77777777" w:rsidR="00ED213C" w:rsidRPr="00ED213C" w:rsidRDefault="00ED213C" w:rsidP="00ED213C">
      <w:pPr>
        <w:pStyle w:val="Briefingtext"/>
        <w:numPr>
          <w:ilvl w:val="0"/>
          <w:numId w:val="3"/>
        </w:numPr>
        <w:spacing w:line="276" w:lineRule="auto"/>
        <w:ind w:left="714" w:hanging="357"/>
        <w:rPr>
          <w:rFonts w:ascii="Times New Roman" w:eastAsiaTheme="minorHAnsi" w:hAnsi="Times New Roman" w:cs="Times New Roman"/>
          <w:noProof/>
          <w:sz w:val="24"/>
        </w:rPr>
      </w:pPr>
      <w:r w:rsidRPr="00ED213C">
        <w:rPr>
          <w:rFonts w:ascii="Times New Roman" w:eastAsiaTheme="minorHAnsi" w:hAnsi="Times New Roman" w:cs="Times New Roman"/>
          <w:noProof/>
          <w:sz w:val="24"/>
        </w:rPr>
        <w:t>enhancing information-exchange between licensing authorities and the Commission with a view to increasing transparency of licensing decisions;</w:t>
      </w:r>
    </w:p>
    <w:p w14:paraId="2D473E41" w14:textId="77777777" w:rsidR="003F1C04" w:rsidRPr="00ED213C" w:rsidRDefault="00ED213C" w:rsidP="00ED213C">
      <w:pPr>
        <w:pStyle w:val="ListParagraph"/>
        <w:numPr>
          <w:ilvl w:val="0"/>
          <w:numId w:val="3"/>
        </w:numPr>
        <w:spacing w:after="240" w:line="276" w:lineRule="auto"/>
        <w:ind w:left="714" w:hanging="357"/>
        <w:contextualSpacing/>
        <w:jc w:val="both"/>
        <w:rPr>
          <w:rFonts w:ascii="Times New Roman" w:eastAsiaTheme="minorHAnsi" w:hAnsi="Times New Roman" w:cs="Times New Roman"/>
          <w:noProof/>
          <w:sz w:val="24"/>
          <w:szCs w:val="24"/>
          <w:lang w:eastAsia="en-US"/>
        </w:rPr>
      </w:pPr>
      <w:r w:rsidRPr="00ED213C">
        <w:rPr>
          <w:rFonts w:ascii="Times New Roman" w:eastAsiaTheme="minorHAnsi" w:hAnsi="Times New Roman" w:cs="Times New Roman"/>
          <w:noProof/>
          <w:sz w:val="24"/>
          <w:szCs w:val="24"/>
          <w:lang w:eastAsia="en-US"/>
        </w:rPr>
        <w:t>coordinatin</w:t>
      </w:r>
      <w:r w:rsidR="00AB4120">
        <w:rPr>
          <w:rFonts w:ascii="Times New Roman" w:eastAsiaTheme="minorHAnsi" w:hAnsi="Times New Roman" w:cs="Times New Roman"/>
          <w:noProof/>
          <w:sz w:val="24"/>
          <w:szCs w:val="24"/>
          <w:lang w:eastAsia="en-US"/>
        </w:rPr>
        <w:t>g</w:t>
      </w:r>
      <w:r w:rsidRPr="00ED213C">
        <w:rPr>
          <w:rFonts w:ascii="Times New Roman" w:eastAsiaTheme="minorHAnsi" w:hAnsi="Times New Roman" w:cs="Times New Roman"/>
          <w:noProof/>
          <w:sz w:val="24"/>
          <w:szCs w:val="24"/>
          <w:lang w:eastAsia="en-US"/>
        </w:rPr>
        <w:t xml:space="preserve"> and support</w:t>
      </w:r>
      <w:r w:rsidR="00AB4120">
        <w:rPr>
          <w:rFonts w:ascii="Times New Roman" w:eastAsiaTheme="minorHAnsi" w:hAnsi="Times New Roman" w:cs="Times New Roman"/>
          <w:noProof/>
          <w:sz w:val="24"/>
          <w:szCs w:val="24"/>
          <w:lang w:eastAsia="en-US"/>
        </w:rPr>
        <w:t>ing</w:t>
      </w:r>
      <w:r w:rsidRPr="00ED213C">
        <w:rPr>
          <w:rFonts w:ascii="Times New Roman" w:eastAsiaTheme="minorHAnsi" w:hAnsi="Times New Roman" w:cs="Times New Roman"/>
          <w:noProof/>
          <w:sz w:val="24"/>
          <w:szCs w:val="24"/>
          <w:lang w:eastAsia="en-US"/>
        </w:rPr>
        <w:t xml:space="preserve"> robust enforcement of controls, including enhancing secure electronic information-exchange between licensing and enforcement agencies;</w:t>
      </w:r>
    </w:p>
    <w:p w14:paraId="212C19C8" w14:textId="77777777" w:rsidR="00ED213C" w:rsidRPr="003F1C04" w:rsidRDefault="00ED213C" w:rsidP="003F1C04">
      <w:pPr>
        <w:pStyle w:val="Briefingtext"/>
        <w:numPr>
          <w:ilvl w:val="0"/>
          <w:numId w:val="3"/>
        </w:numPr>
        <w:spacing w:line="276" w:lineRule="auto"/>
        <w:ind w:left="714" w:hanging="357"/>
        <w:rPr>
          <w:rFonts w:ascii="Times New Roman" w:eastAsiaTheme="minorHAnsi" w:hAnsi="Times New Roman" w:cs="Times New Roman"/>
          <w:noProof/>
          <w:sz w:val="24"/>
        </w:rPr>
      </w:pPr>
      <w:r w:rsidRPr="003F1C04">
        <w:rPr>
          <w:rFonts w:ascii="Times New Roman" w:eastAsiaTheme="minorHAnsi" w:hAnsi="Times New Roman" w:cs="Times New Roman"/>
          <w:noProof/>
          <w:sz w:val="24"/>
        </w:rPr>
        <w:t xml:space="preserve">developing an EU capacity-building and training programme for Member States’ licensing and enforcement authorities; </w:t>
      </w:r>
    </w:p>
    <w:p w14:paraId="33E5E327" w14:textId="77777777" w:rsidR="00ED213C" w:rsidRPr="00ED213C" w:rsidRDefault="003C2B4A" w:rsidP="003F1C04">
      <w:pPr>
        <w:pStyle w:val="Briefingtext"/>
        <w:numPr>
          <w:ilvl w:val="0"/>
          <w:numId w:val="3"/>
        </w:numPr>
        <w:spacing w:line="276" w:lineRule="auto"/>
        <w:ind w:left="714" w:hanging="357"/>
        <w:rPr>
          <w:rFonts w:ascii="Times New Roman" w:eastAsiaTheme="minorHAnsi" w:hAnsi="Times New Roman" w:cs="Times New Roman"/>
          <w:noProof/>
          <w:sz w:val="24"/>
        </w:rPr>
      </w:pPr>
      <w:r>
        <w:rPr>
          <w:rFonts w:ascii="Times New Roman" w:eastAsiaTheme="minorHAnsi" w:hAnsi="Times New Roman" w:cs="Times New Roman"/>
          <w:noProof/>
          <w:sz w:val="24"/>
        </w:rPr>
        <w:t xml:space="preserve">strengthening </w:t>
      </w:r>
      <w:r w:rsidR="00ED213C" w:rsidRPr="00ED213C">
        <w:rPr>
          <w:rFonts w:ascii="Times New Roman" w:eastAsiaTheme="minorHAnsi" w:hAnsi="Times New Roman" w:cs="Times New Roman"/>
          <w:noProof/>
          <w:sz w:val="24"/>
        </w:rPr>
        <w:t>outreach to industry and transparency with stakeholders, developing a structured relationship with the private sector through specific consultations of stakeholders by the relevant Commission group of Member States experts;</w:t>
      </w:r>
    </w:p>
    <w:p w14:paraId="15480C50" w14:textId="77777777" w:rsidR="00ED213C" w:rsidRPr="00ED213C" w:rsidRDefault="00ED213C" w:rsidP="00ED213C">
      <w:pPr>
        <w:pStyle w:val="Briefingtext"/>
        <w:numPr>
          <w:ilvl w:val="0"/>
          <w:numId w:val="3"/>
        </w:numPr>
        <w:ind w:left="714" w:hanging="357"/>
        <w:rPr>
          <w:rFonts w:ascii="Times New Roman" w:eastAsiaTheme="minorHAnsi" w:hAnsi="Times New Roman" w:cs="Times New Roman"/>
          <w:noProof/>
          <w:sz w:val="24"/>
        </w:rPr>
      </w:pPr>
      <w:r w:rsidRPr="00ED213C">
        <w:rPr>
          <w:rFonts w:ascii="Times New Roman" w:eastAsiaTheme="minorHAnsi" w:hAnsi="Times New Roman" w:cs="Times New Roman"/>
          <w:noProof/>
          <w:sz w:val="24"/>
        </w:rPr>
        <w:t>setting up dialogue</w:t>
      </w:r>
      <w:r w:rsidR="003C2B4A">
        <w:rPr>
          <w:rFonts w:ascii="Times New Roman" w:eastAsiaTheme="minorHAnsi" w:hAnsi="Times New Roman" w:cs="Times New Roman"/>
          <w:noProof/>
          <w:sz w:val="24"/>
        </w:rPr>
        <w:t>s</w:t>
      </w:r>
      <w:r w:rsidRPr="00ED213C">
        <w:rPr>
          <w:rFonts w:ascii="Times New Roman" w:eastAsiaTheme="minorHAnsi" w:hAnsi="Times New Roman" w:cs="Times New Roman"/>
          <w:noProof/>
          <w:sz w:val="24"/>
        </w:rPr>
        <w:t xml:space="preserve"> with third countries </w:t>
      </w:r>
      <w:r w:rsidR="00AD0409">
        <w:rPr>
          <w:rFonts w:ascii="Times New Roman" w:eastAsiaTheme="minorHAnsi" w:hAnsi="Times New Roman" w:cs="Times New Roman"/>
          <w:noProof/>
          <w:sz w:val="24"/>
        </w:rPr>
        <w:t xml:space="preserve">so as to enhance global security and promoting a </w:t>
      </w:r>
      <w:r w:rsidRPr="00ED213C">
        <w:rPr>
          <w:rFonts w:ascii="Times New Roman" w:eastAsiaTheme="minorHAnsi" w:hAnsi="Times New Roman" w:cs="Times New Roman"/>
          <w:noProof/>
          <w:sz w:val="24"/>
        </w:rPr>
        <w:t>level playing field at global level</w:t>
      </w:r>
      <w:r w:rsidR="00EF2500">
        <w:rPr>
          <w:rFonts w:ascii="Times New Roman" w:eastAsiaTheme="minorHAnsi" w:hAnsi="Times New Roman" w:cs="Times New Roman"/>
          <w:noProof/>
          <w:sz w:val="24"/>
        </w:rPr>
        <w:t>.</w:t>
      </w:r>
    </w:p>
    <w:p w14:paraId="080D14EF" w14:textId="4EBB1D61" w:rsidR="00AA655D" w:rsidRPr="00ED213C" w:rsidRDefault="003C2B4A" w:rsidP="00D13298">
      <w:pPr>
        <w:adjustRightInd w:val="0"/>
        <w:jc w:val="both"/>
        <w:rPr>
          <w:noProof/>
        </w:rPr>
      </w:pPr>
      <w:r>
        <w:rPr>
          <w:noProof/>
        </w:rPr>
        <w:t>T</w:t>
      </w:r>
      <w:r w:rsidR="00B1619D" w:rsidRPr="00ED213C">
        <w:rPr>
          <w:noProof/>
        </w:rPr>
        <w:t xml:space="preserve">he new </w:t>
      </w:r>
      <w:r w:rsidR="003F1C04">
        <w:rPr>
          <w:noProof/>
        </w:rPr>
        <w:t>r</w:t>
      </w:r>
      <w:r w:rsidR="00B1619D" w:rsidRPr="00ED213C">
        <w:rPr>
          <w:noProof/>
        </w:rPr>
        <w:t xml:space="preserve">egulation </w:t>
      </w:r>
      <w:r w:rsidR="00FC2A23">
        <w:rPr>
          <w:noProof/>
        </w:rPr>
        <w:t>has been</w:t>
      </w:r>
      <w:r w:rsidR="00D020A2">
        <w:rPr>
          <w:noProof/>
        </w:rPr>
        <w:t xml:space="preserve"> published on 11 June 2021</w:t>
      </w:r>
      <w:r w:rsidR="00100B7A">
        <w:rPr>
          <w:noProof/>
        </w:rPr>
        <w:t>and entered into force</w:t>
      </w:r>
      <w:r w:rsidR="00FC2A23">
        <w:rPr>
          <w:noProof/>
        </w:rPr>
        <w:t xml:space="preserve"> on 9 </w:t>
      </w:r>
      <w:r w:rsidR="00A14C82">
        <w:rPr>
          <w:noProof/>
        </w:rPr>
        <w:t>September</w:t>
      </w:r>
      <w:r w:rsidR="00ED213C">
        <w:rPr>
          <w:noProof/>
        </w:rPr>
        <w:t xml:space="preserve"> </w:t>
      </w:r>
      <w:r w:rsidR="00B1619D" w:rsidRPr="00ED213C">
        <w:rPr>
          <w:noProof/>
        </w:rPr>
        <w:t xml:space="preserve">2021. </w:t>
      </w:r>
    </w:p>
    <w:p w14:paraId="78E8CD51" w14:textId="77777777" w:rsidR="00AA655D" w:rsidRDefault="00AA655D" w:rsidP="00AA655D">
      <w:pPr>
        <w:adjustRightInd w:val="0"/>
        <w:jc w:val="both"/>
        <w:rPr>
          <w:rFonts w:eastAsia="Calibri"/>
          <w:noProof/>
        </w:rPr>
      </w:pPr>
    </w:p>
    <w:p w14:paraId="16199AFC" w14:textId="77777777" w:rsidR="00FC2A23" w:rsidRDefault="00FC2A23" w:rsidP="00AA655D">
      <w:pPr>
        <w:adjustRightInd w:val="0"/>
        <w:jc w:val="both"/>
        <w:rPr>
          <w:rFonts w:eastAsia="Calibri"/>
          <w:noProof/>
        </w:rPr>
      </w:pPr>
      <w:r>
        <w:rPr>
          <w:rFonts w:eastAsia="Calibri"/>
          <w:noProof/>
        </w:rPr>
        <w:t>2.1.2</w:t>
      </w:r>
      <w:r>
        <w:rPr>
          <w:rFonts w:eastAsia="Calibri"/>
          <w:noProof/>
        </w:rPr>
        <w:tab/>
        <w:t>Consultations and outreach</w:t>
      </w:r>
    </w:p>
    <w:p w14:paraId="6F5B6114" w14:textId="77777777" w:rsidR="00FC2A23" w:rsidRDefault="00FC2A23" w:rsidP="00AA655D">
      <w:pPr>
        <w:adjustRightInd w:val="0"/>
        <w:jc w:val="both"/>
        <w:rPr>
          <w:rFonts w:eastAsia="Calibri"/>
          <w:noProof/>
        </w:rPr>
      </w:pPr>
    </w:p>
    <w:p w14:paraId="1FA82A90" w14:textId="77777777" w:rsidR="00AA655D" w:rsidRDefault="00A14C82" w:rsidP="00AA655D">
      <w:pPr>
        <w:adjustRightInd w:val="0"/>
        <w:jc w:val="both"/>
        <w:rPr>
          <w:rFonts w:eastAsia="Calibri"/>
          <w:noProof/>
        </w:rPr>
      </w:pPr>
      <w:r>
        <w:rPr>
          <w:rFonts w:eastAsia="Calibri"/>
          <w:noProof/>
        </w:rPr>
        <w:t xml:space="preserve">As part of a continuous </w:t>
      </w:r>
      <w:r w:rsidR="00FC2A23">
        <w:rPr>
          <w:rFonts w:eastAsia="Calibri"/>
          <w:noProof/>
        </w:rPr>
        <w:t xml:space="preserve">outreach </w:t>
      </w:r>
      <w:r>
        <w:rPr>
          <w:rFonts w:eastAsia="Calibri"/>
          <w:noProof/>
        </w:rPr>
        <w:t>effort, t</w:t>
      </w:r>
      <w:r w:rsidR="00AA655D">
        <w:rPr>
          <w:rFonts w:eastAsia="Calibri"/>
          <w:noProof/>
        </w:rPr>
        <w:t>he Commission conducted a series of targeted consultations to key industry and civil society stakeholders in the course of 20</w:t>
      </w:r>
      <w:r w:rsidR="00B87F67">
        <w:rPr>
          <w:rFonts w:eastAsia="Calibri"/>
          <w:noProof/>
        </w:rPr>
        <w:t>20</w:t>
      </w:r>
      <w:r w:rsidR="00AA655D">
        <w:rPr>
          <w:rFonts w:eastAsia="Calibri"/>
          <w:noProof/>
        </w:rPr>
        <w:t>.</w:t>
      </w:r>
      <w:r w:rsidR="00FC2A23">
        <w:rPr>
          <w:rStyle w:val="FootnoteReference"/>
          <w:rFonts w:eastAsia="Calibri"/>
          <w:noProof/>
        </w:rPr>
        <w:footnoteReference w:id="4"/>
      </w:r>
      <w:r w:rsidR="00AA655D">
        <w:rPr>
          <w:rFonts w:eastAsia="Calibri"/>
          <w:noProof/>
        </w:rPr>
        <w:t xml:space="preserve"> </w:t>
      </w:r>
      <w:r w:rsidR="002150CE" w:rsidRPr="002150CE">
        <w:rPr>
          <w:rFonts w:eastAsia="Calibri"/>
          <w:noProof/>
        </w:rPr>
        <w:t>In particular, an Export Control Forum was organised in a virtual format on 11 December 2020 as described further below.</w:t>
      </w:r>
    </w:p>
    <w:p w14:paraId="1175982D" w14:textId="77777777" w:rsidR="002150CE" w:rsidRDefault="002150CE" w:rsidP="00AA655D">
      <w:pPr>
        <w:adjustRightInd w:val="0"/>
        <w:jc w:val="both"/>
        <w:rPr>
          <w:rFonts w:eastAsia="Times New Roman"/>
          <w:noProof/>
          <w:lang w:eastAsia="en-GB"/>
        </w:rPr>
      </w:pPr>
    </w:p>
    <w:p w14:paraId="675BC339" w14:textId="77777777" w:rsidR="00AA655D" w:rsidRDefault="00AA655D" w:rsidP="007B799A">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2.2</w:t>
      </w:r>
      <w:r w:rsidR="00617132">
        <w:rPr>
          <w:rFonts w:eastAsia="Times New Roman"/>
          <w:b/>
          <w:noProof/>
          <w:lang w:eastAsia="en-GB"/>
        </w:rPr>
        <w:t>.</w:t>
      </w:r>
      <w:r>
        <w:rPr>
          <w:rFonts w:eastAsia="Times New Roman"/>
          <w:b/>
          <w:noProof/>
          <w:lang w:eastAsia="en-GB"/>
        </w:rPr>
        <w:tab/>
        <w:t>Amendments to Regulation (EC) No 428/2009</w:t>
      </w:r>
      <w:bookmarkEnd w:id="3"/>
    </w:p>
    <w:p w14:paraId="465D497C" w14:textId="77777777" w:rsidR="00AA655D" w:rsidRPr="00D02DF3" w:rsidRDefault="00FC2A23" w:rsidP="007B799A">
      <w:pPr>
        <w:keepNext/>
        <w:contextualSpacing/>
        <w:jc w:val="both"/>
        <w:rPr>
          <w:rFonts w:eastAsia="Times New Roman"/>
          <w:noProof/>
          <w:u w:val="single"/>
        </w:rPr>
      </w:pPr>
      <w:bookmarkStart w:id="4" w:name="DQCNUMB_1"/>
      <w:bookmarkEnd w:id="4"/>
      <w:r>
        <w:rPr>
          <w:rFonts w:eastAsia="Times New Roman"/>
          <w:noProof/>
          <w:u w:val="single"/>
        </w:rPr>
        <w:t xml:space="preserve">2.2.1.  </w:t>
      </w:r>
      <w:r w:rsidR="00AA655D" w:rsidRPr="00D02DF3">
        <w:rPr>
          <w:rFonts w:eastAsia="Times New Roman"/>
          <w:noProof/>
          <w:u w:val="single"/>
        </w:rPr>
        <w:t>Update to the EU control list</w:t>
      </w:r>
    </w:p>
    <w:p w14:paraId="03D8E37B" w14:textId="77777777" w:rsidR="00AA655D" w:rsidRDefault="00AA655D" w:rsidP="00E4160C">
      <w:pPr>
        <w:keepNext/>
        <w:contextualSpacing/>
        <w:jc w:val="both"/>
        <w:rPr>
          <w:rFonts w:eastAsia="Times New Roman"/>
          <w:noProof/>
        </w:rPr>
      </w:pPr>
    </w:p>
    <w:p w14:paraId="329B9976" w14:textId="77777777" w:rsidR="00AA655D" w:rsidRDefault="00A3660F" w:rsidP="00AA655D">
      <w:pPr>
        <w:contextualSpacing/>
        <w:jc w:val="both"/>
        <w:rPr>
          <w:rFonts w:eastAsia="Times New Roman"/>
          <w:noProof/>
        </w:rPr>
      </w:pPr>
      <w:r>
        <w:rPr>
          <w:rFonts w:eastAsia="Times New Roman"/>
          <w:noProof/>
        </w:rPr>
        <w:t xml:space="preserve">The EU Control List in </w:t>
      </w:r>
      <w:r w:rsidR="00AA655D">
        <w:rPr>
          <w:rFonts w:eastAsia="Times New Roman"/>
          <w:noProof/>
        </w:rPr>
        <w:t xml:space="preserve">Annex I to the Regulation </w:t>
      </w:r>
      <w:r w:rsidR="003C2B4A">
        <w:rPr>
          <w:rFonts w:eastAsia="Times New Roman"/>
          <w:noProof/>
        </w:rPr>
        <w:t xml:space="preserve">provides a list of </w:t>
      </w:r>
      <w:r w:rsidR="00EA7A26">
        <w:rPr>
          <w:rFonts w:eastAsia="Times New Roman"/>
          <w:noProof/>
        </w:rPr>
        <w:t>d</w:t>
      </w:r>
      <w:r w:rsidR="00EA7A26" w:rsidRPr="00EA7A26">
        <w:rPr>
          <w:rFonts w:eastAsia="Times New Roman"/>
          <w:noProof/>
        </w:rPr>
        <w:t>ual-use items</w:t>
      </w:r>
      <w:r w:rsidR="00EA7A26">
        <w:rPr>
          <w:rFonts w:eastAsia="Times New Roman"/>
          <w:noProof/>
        </w:rPr>
        <w:t>,</w:t>
      </w:r>
      <w:r w:rsidR="00EA7A26" w:rsidRPr="00EA7A26">
        <w:rPr>
          <w:rFonts w:eastAsia="Times New Roman"/>
          <w:noProof/>
        </w:rPr>
        <w:t xml:space="preserve"> including software and technology, which can be used for both civil and military purposes, and </w:t>
      </w:r>
      <w:r w:rsidR="00EA7A26">
        <w:rPr>
          <w:rFonts w:eastAsia="Times New Roman"/>
          <w:noProof/>
        </w:rPr>
        <w:t xml:space="preserve">it also </w:t>
      </w:r>
      <w:r w:rsidR="00EA7A26" w:rsidRPr="00EA7A26">
        <w:rPr>
          <w:rFonts w:eastAsia="Times New Roman"/>
          <w:noProof/>
        </w:rPr>
        <w:t>include</w:t>
      </w:r>
      <w:r w:rsidR="00EA7A26">
        <w:rPr>
          <w:rFonts w:eastAsia="Times New Roman"/>
          <w:noProof/>
        </w:rPr>
        <w:t>s</w:t>
      </w:r>
      <w:r w:rsidR="00EA7A26" w:rsidRPr="00EA7A26">
        <w:rPr>
          <w:rFonts w:eastAsia="Times New Roman"/>
          <w:noProof/>
        </w:rPr>
        <w:t xml:space="preserve"> all goods which can be used for both non-explosive uses and assisting in any way in the manufacture of nuclear weapons or other nuclear explosive device</w:t>
      </w:r>
      <w:r w:rsidR="003C2B4A">
        <w:rPr>
          <w:rFonts w:eastAsia="Times New Roman"/>
          <w:noProof/>
        </w:rPr>
        <w:t xml:space="preserve">. It </w:t>
      </w:r>
      <w:r w:rsidR="00AA655D" w:rsidRPr="003C2B4A">
        <w:rPr>
          <w:rFonts w:eastAsia="Times New Roman"/>
          <w:noProof/>
        </w:rPr>
        <w:t>was</w:t>
      </w:r>
      <w:r w:rsidR="00AA655D">
        <w:rPr>
          <w:rFonts w:eastAsia="Times New Roman"/>
          <w:noProof/>
        </w:rPr>
        <w:t xml:space="preserve"> amended once </w:t>
      </w:r>
      <w:r w:rsidR="00FC2A23">
        <w:rPr>
          <w:rFonts w:eastAsia="Times New Roman"/>
          <w:noProof/>
        </w:rPr>
        <w:t>in 2020</w:t>
      </w:r>
      <w:r w:rsidR="003F1C04">
        <w:rPr>
          <w:rFonts w:eastAsia="Times New Roman"/>
          <w:noProof/>
          <w:vertAlign w:val="superscript"/>
          <w:lang w:eastAsia="en-GB"/>
        </w:rPr>
        <w:footnoteReference w:id="5"/>
      </w:r>
      <w:r w:rsidR="00AA655D">
        <w:rPr>
          <w:rFonts w:eastAsia="Times New Roman"/>
          <w:noProof/>
        </w:rPr>
        <w:t>.</w:t>
      </w:r>
      <w:bookmarkStart w:id="5" w:name="DQCNUMB_2"/>
      <w:bookmarkEnd w:id="5"/>
      <w:r w:rsidR="00AA655D">
        <w:rPr>
          <w:rFonts w:eastAsia="Times New Roman"/>
          <w:noProof/>
        </w:rPr>
        <w:t xml:space="preserve"> </w:t>
      </w:r>
      <w:r>
        <w:rPr>
          <w:rFonts w:eastAsia="Times New Roman"/>
          <w:noProof/>
        </w:rPr>
        <w:t>This amendment</w:t>
      </w:r>
      <w:r w:rsidR="00A14C82">
        <w:rPr>
          <w:rFonts w:eastAsia="Times New Roman"/>
          <w:noProof/>
        </w:rPr>
        <w:t xml:space="preserve"> </w:t>
      </w:r>
      <w:r w:rsidR="00AA655D">
        <w:rPr>
          <w:rFonts w:eastAsia="Times New Roman"/>
          <w:noProof/>
        </w:rPr>
        <w:t xml:space="preserve">incorporated </w:t>
      </w:r>
      <w:r w:rsidR="00555E88">
        <w:rPr>
          <w:rFonts w:eastAsia="Times New Roman"/>
          <w:noProof/>
        </w:rPr>
        <w:t xml:space="preserve">the </w:t>
      </w:r>
      <w:r w:rsidR="00A14C82">
        <w:rPr>
          <w:rFonts w:eastAsia="Times New Roman"/>
          <w:noProof/>
        </w:rPr>
        <w:t>decisions</w:t>
      </w:r>
      <w:r w:rsidR="00AA655D">
        <w:rPr>
          <w:rFonts w:eastAsia="Times New Roman"/>
          <w:noProof/>
        </w:rPr>
        <w:t xml:space="preserve"> agreed </w:t>
      </w:r>
      <w:r w:rsidR="00FC2A23">
        <w:rPr>
          <w:rFonts w:eastAsia="Times New Roman"/>
          <w:noProof/>
        </w:rPr>
        <w:t>in 2019</w:t>
      </w:r>
      <w:r w:rsidR="009570DA">
        <w:rPr>
          <w:rFonts w:eastAsia="Times New Roman"/>
          <w:noProof/>
        </w:rPr>
        <w:t xml:space="preserve"> and until the end of February 2020</w:t>
      </w:r>
      <w:r w:rsidR="002112CF">
        <w:rPr>
          <w:rFonts w:eastAsia="Times New Roman"/>
          <w:noProof/>
        </w:rPr>
        <w:t xml:space="preserve"> </w:t>
      </w:r>
      <w:r w:rsidR="00555E88">
        <w:rPr>
          <w:rFonts w:eastAsia="Times New Roman"/>
          <w:noProof/>
        </w:rPr>
        <w:t xml:space="preserve">in the context of </w:t>
      </w:r>
      <w:r w:rsidR="00AA655D">
        <w:rPr>
          <w:rFonts w:eastAsia="Times New Roman"/>
          <w:noProof/>
        </w:rPr>
        <w:t>the multilateral export control regimes</w:t>
      </w:r>
      <w:r w:rsidR="003C2B4A">
        <w:rPr>
          <w:rFonts w:eastAsia="Times New Roman"/>
          <w:noProof/>
        </w:rPr>
        <w:t xml:space="preserve"> </w:t>
      </w:r>
      <w:r w:rsidR="00FC2A23">
        <w:rPr>
          <w:rFonts w:eastAsia="Times New Roman"/>
          <w:noProof/>
        </w:rPr>
        <w:t>(in particular</w:t>
      </w:r>
      <w:r w:rsidR="002112CF">
        <w:rPr>
          <w:rFonts w:eastAsia="Times New Roman"/>
          <w:noProof/>
        </w:rPr>
        <w:t xml:space="preserve"> at the </w:t>
      </w:r>
      <w:r w:rsidR="002112CF" w:rsidRPr="002112CF">
        <w:rPr>
          <w:rFonts w:eastAsia="Times New Roman"/>
          <w:noProof/>
        </w:rPr>
        <w:t>Wassenaar Agreement</w:t>
      </w:r>
      <w:r w:rsidR="002112CF">
        <w:rPr>
          <w:rFonts w:eastAsia="Times New Roman"/>
          <w:noProof/>
        </w:rPr>
        <w:t xml:space="preserve"> and</w:t>
      </w:r>
      <w:r w:rsidR="002112CF" w:rsidRPr="002112CF">
        <w:rPr>
          <w:noProof/>
        </w:rPr>
        <w:t xml:space="preserve"> </w:t>
      </w:r>
      <w:r w:rsidR="002112CF" w:rsidRPr="002112CF">
        <w:rPr>
          <w:rFonts w:eastAsia="Times New Roman"/>
          <w:noProof/>
        </w:rPr>
        <w:t>the Australia Group</w:t>
      </w:r>
      <w:r w:rsidR="00FC2A23">
        <w:rPr>
          <w:rFonts w:eastAsia="Times New Roman"/>
          <w:noProof/>
        </w:rPr>
        <w:t>)</w:t>
      </w:r>
      <w:r w:rsidR="00AA655D">
        <w:rPr>
          <w:rFonts w:eastAsia="Times New Roman"/>
          <w:noProof/>
        </w:rPr>
        <w:t>.</w:t>
      </w:r>
      <w:r w:rsidR="00AA655D">
        <w:rPr>
          <w:rFonts w:eastAsia="Times New Roman"/>
          <w:noProof/>
          <w:lang w:eastAsia="en-GB"/>
        </w:rPr>
        <w:t xml:space="preserve"> Annexes II and IV of the Regulation were also updated in line with the amendments to Annex</w:t>
      </w:r>
      <w:r w:rsidR="00FC2A23">
        <w:rPr>
          <w:rFonts w:eastAsia="Times New Roman"/>
          <w:noProof/>
          <w:lang w:eastAsia="en-GB"/>
        </w:rPr>
        <w:t> </w:t>
      </w:r>
      <w:r w:rsidR="00AA655D">
        <w:rPr>
          <w:rFonts w:eastAsia="Times New Roman"/>
          <w:noProof/>
          <w:lang w:eastAsia="en-GB"/>
        </w:rPr>
        <w:t>I.</w:t>
      </w:r>
    </w:p>
    <w:p w14:paraId="165B0B0D" w14:textId="77777777" w:rsidR="00AA655D" w:rsidRDefault="00AA655D" w:rsidP="00AA655D">
      <w:pPr>
        <w:contextualSpacing/>
        <w:jc w:val="both"/>
        <w:rPr>
          <w:rFonts w:eastAsia="Times New Roman"/>
          <w:noProof/>
        </w:rPr>
      </w:pPr>
    </w:p>
    <w:p w14:paraId="3DC3BAA1" w14:textId="77777777" w:rsidR="00F517AC" w:rsidRPr="00E35074" w:rsidRDefault="00555E88" w:rsidP="00E35074">
      <w:pPr>
        <w:pBdr>
          <w:top w:val="single" w:sz="4" w:space="1" w:color="auto"/>
          <w:left w:val="single" w:sz="4" w:space="4" w:color="auto"/>
          <w:bottom w:val="single" w:sz="4" w:space="1" w:color="auto"/>
          <w:right w:val="single" w:sz="4" w:space="4" w:color="auto"/>
        </w:pBdr>
        <w:jc w:val="both"/>
        <w:rPr>
          <w:rFonts w:eastAsia="Times New Roman"/>
          <w:b/>
          <w:noProof/>
          <w:sz w:val="22"/>
        </w:rPr>
      </w:pPr>
      <w:r>
        <w:rPr>
          <w:rFonts w:eastAsia="Times New Roman"/>
          <w:b/>
          <w:noProof/>
          <w:sz w:val="22"/>
        </w:rPr>
        <w:t>Amendments to the EU control list</w:t>
      </w:r>
      <w:r w:rsidR="00F517AC" w:rsidRPr="00E35074">
        <w:rPr>
          <w:rFonts w:eastAsia="Times New Roman"/>
          <w:b/>
          <w:noProof/>
          <w:sz w:val="22"/>
        </w:rPr>
        <w:t xml:space="preserve"> in 2020</w:t>
      </w:r>
    </w:p>
    <w:p w14:paraId="18DB8237" w14:textId="77777777" w:rsidR="00F517AC" w:rsidRDefault="00F517AC"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p>
    <w:p w14:paraId="381F35A6" w14:textId="4723CBE2" w:rsidR="00EA7A26" w:rsidRDefault="00AA655D"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r w:rsidRPr="00E35074">
        <w:rPr>
          <w:rFonts w:eastAsia="Times New Roman"/>
          <w:noProof/>
          <w:sz w:val="22"/>
        </w:rPr>
        <w:t xml:space="preserve">The </w:t>
      </w:r>
      <w:r w:rsidR="00555E88">
        <w:rPr>
          <w:rFonts w:eastAsia="Times New Roman"/>
          <w:noProof/>
          <w:sz w:val="22"/>
        </w:rPr>
        <w:t xml:space="preserve">amendments </w:t>
      </w:r>
      <w:r w:rsidRPr="00E35074">
        <w:rPr>
          <w:rFonts w:eastAsia="Times New Roman"/>
          <w:noProof/>
          <w:sz w:val="22"/>
        </w:rPr>
        <w:t xml:space="preserve">introduced </w:t>
      </w:r>
      <w:r w:rsidR="000937B1" w:rsidRPr="00E35074">
        <w:rPr>
          <w:rFonts w:eastAsia="Times New Roman"/>
          <w:noProof/>
          <w:sz w:val="22"/>
        </w:rPr>
        <w:t xml:space="preserve">certain </w:t>
      </w:r>
      <w:r w:rsidR="003F1C04" w:rsidRPr="00E35074">
        <w:rPr>
          <w:rFonts w:eastAsia="Times New Roman"/>
          <w:noProof/>
          <w:sz w:val="22"/>
        </w:rPr>
        <w:t>cyber-surveillance technologies</w:t>
      </w:r>
      <w:r w:rsidR="00DF60EB" w:rsidRPr="00E35074">
        <w:rPr>
          <w:rFonts w:eastAsia="Times New Roman"/>
          <w:noProof/>
          <w:sz w:val="22"/>
        </w:rPr>
        <w:t>,</w:t>
      </w:r>
      <w:r w:rsidR="003F1C04" w:rsidRPr="00E35074">
        <w:rPr>
          <w:rFonts w:eastAsia="Times New Roman"/>
          <w:noProof/>
          <w:sz w:val="22"/>
        </w:rPr>
        <w:t xml:space="preserve"> e.g. </w:t>
      </w:r>
      <w:r w:rsidR="000937B1" w:rsidRPr="00E35074">
        <w:rPr>
          <w:rFonts w:eastAsia="Times New Roman"/>
          <w:noProof/>
          <w:sz w:val="22"/>
        </w:rPr>
        <w:t xml:space="preserve">law enforcement </w:t>
      </w:r>
      <w:r w:rsidR="003F1C04" w:rsidRPr="00E35074">
        <w:rPr>
          <w:rFonts w:eastAsia="Times New Roman"/>
          <w:noProof/>
          <w:sz w:val="22"/>
        </w:rPr>
        <w:t xml:space="preserve">monitoring "software" </w:t>
      </w:r>
      <w:r w:rsidR="000937B1" w:rsidRPr="00E35074">
        <w:rPr>
          <w:rFonts w:eastAsia="Times New Roman"/>
          <w:noProof/>
          <w:sz w:val="22"/>
        </w:rPr>
        <w:t>(5D001.e.1</w:t>
      </w:r>
      <w:r w:rsidR="00A14C82" w:rsidRPr="00E35074">
        <w:rPr>
          <w:rFonts w:eastAsia="Times New Roman"/>
          <w:noProof/>
          <w:sz w:val="22"/>
        </w:rPr>
        <w:t xml:space="preserve"> and </w:t>
      </w:r>
      <w:r w:rsidR="000937B1" w:rsidRPr="00E35074">
        <w:rPr>
          <w:rFonts w:eastAsia="Times New Roman"/>
          <w:noProof/>
          <w:sz w:val="22"/>
        </w:rPr>
        <w:t xml:space="preserve">2.) </w:t>
      </w:r>
      <w:r w:rsidR="003F1C04" w:rsidRPr="00E35074">
        <w:rPr>
          <w:rFonts w:eastAsia="Times New Roman"/>
          <w:noProof/>
          <w:sz w:val="22"/>
        </w:rPr>
        <w:t xml:space="preserve">and "digital forensics" </w:t>
      </w:r>
      <w:r w:rsidR="000937B1" w:rsidRPr="00E35074">
        <w:rPr>
          <w:rFonts w:eastAsia="Times New Roman"/>
          <w:noProof/>
          <w:sz w:val="22"/>
        </w:rPr>
        <w:t>systems, equipment and components (5A004.b.1</w:t>
      </w:r>
      <w:r w:rsidR="00A14C82" w:rsidRPr="00E35074">
        <w:rPr>
          <w:rFonts w:eastAsia="Times New Roman"/>
          <w:noProof/>
          <w:sz w:val="22"/>
        </w:rPr>
        <w:t xml:space="preserve"> and</w:t>
      </w:r>
      <w:r w:rsidR="000937B1" w:rsidRPr="00E35074">
        <w:rPr>
          <w:rFonts w:eastAsia="Times New Roman"/>
          <w:noProof/>
          <w:sz w:val="22"/>
        </w:rPr>
        <w:t xml:space="preserve"> 2.)</w:t>
      </w:r>
      <w:r w:rsidR="00555E88">
        <w:rPr>
          <w:rFonts w:eastAsia="Times New Roman"/>
          <w:noProof/>
          <w:sz w:val="22"/>
        </w:rPr>
        <w:t xml:space="preserve"> in the list of items subject to </w:t>
      </w:r>
      <w:r w:rsidR="00B827B2">
        <w:rPr>
          <w:rFonts w:eastAsia="Times New Roman"/>
          <w:noProof/>
          <w:sz w:val="22"/>
        </w:rPr>
        <w:t xml:space="preserve">export </w:t>
      </w:r>
      <w:r w:rsidR="00555E88">
        <w:rPr>
          <w:rFonts w:eastAsia="Times New Roman"/>
          <w:noProof/>
          <w:sz w:val="22"/>
        </w:rPr>
        <w:t>control</w:t>
      </w:r>
      <w:r w:rsidR="003F1C04" w:rsidRPr="00E35074">
        <w:rPr>
          <w:rFonts w:eastAsia="Times New Roman"/>
          <w:noProof/>
          <w:sz w:val="22"/>
        </w:rPr>
        <w:t xml:space="preserve">. </w:t>
      </w:r>
    </w:p>
    <w:p w14:paraId="1C9F3C14" w14:textId="77777777" w:rsidR="002B79F2" w:rsidRDefault="002B79F2"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p>
    <w:p w14:paraId="2059E797" w14:textId="433C7AD6" w:rsidR="00EA7A26" w:rsidRDefault="003F1C04"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r w:rsidRPr="00E35074">
        <w:rPr>
          <w:rFonts w:eastAsia="Times New Roman"/>
          <w:noProof/>
          <w:sz w:val="22"/>
        </w:rPr>
        <w:t>The 2020 EU control list also introduces controls on</w:t>
      </w:r>
      <w:r w:rsidR="000937B1" w:rsidRPr="00E35074">
        <w:rPr>
          <w:rFonts w:eastAsia="Times New Roman"/>
          <w:noProof/>
          <w:sz w:val="22"/>
        </w:rPr>
        <w:t xml:space="preserve"> "sub-orbital craft" (9A004.h.), </w:t>
      </w:r>
      <w:r w:rsidRPr="00E35074">
        <w:rPr>
          <w:rFonts w:eastAsia="Times New Roman"/>
          <w:noProof/>
          <w:sz w:val="22"/>
        </w:rPr>
        <w:t>as well as</w:t>
      </w:r>
      <w:r w:rsidR="00DE7299" w:rsidRPr="00E35074">
        <w:rPr>
          <w:rFonts w:eastAsia="Times New Roman"/>
          <w:noProof/>
          <w:sz w:val="22"/>
        </w:rPr>
        <w:t xml:space="preserve"> </w:t>
      </w:r>
      <w:r w:rsidR="00AA655D" w:rsidRPr="00E35074">
        <w:rPr>
          <w:rFonts w:eastAsia="Times New Roman"/>
          <w:noProof/>
          <w:sz w:val="22"/>
        </w:rPr>
        <w:t>new decontrol notes</w:t>
      </w:r>
      <w:r w:rsidR="00AA655D" w:rsidRPr="00E35074" w:rsidDel="00C36164">
        <w:rPr>
          <w:rFonts w:eastAsia="Times New Roman"/>
          <w:noProof/>
          <w:sz w:val="22"/>
        </w:rPr>
        <w:t xml:space="preserve"> </w:t>
      </w:r>
      <w:r w:rsidR="00AA655D" w:rsidRPr="00E35074">
        <w:rPr>
          <w:rFonts w:eastAsia="Times New Roman"/>
          <w:noProof/>
          <w:sz w:val="22"/>
        </w:rPr>
        <w:t>for</w:t>
      </w:r>
      <w:r w:rsidR="00D57C53" w:rsidRPr="00E35074">
        <w:rPr>
          <w:rFonts w:eastAsia="Times New Roman"/>
          <w:noProof/>
          <w:sz w:val="22"/>
        </w:rPr>
        <w:t xml:space="preserve"> certain carbon "fibrous or filamentary materials" (1A002 – Note 5) and "technology" for information security system (5E002.a.–Note)</w:t>
      </w:r>
      <w:r w:rsidR="00491EB6">
        <w:rPr>
          <w:rFonts w:eastAsia="Times New Roman"/>
          <w:noProof/>
          <w:sz w:val="22"/>
        </w:rPr>
        <w:t>.</w:t>
      </w:r>
      <w:r w:rsidR="00D57C53" w:rsidRPr="00E35074">
        <w:rPr>
          <w:rFonts w:eastAsia="Times New Roman"/>
          <w:noProof/>
          <w:sz w:val="22"/>
        </w:rPr>
        <w:t xml:space="preserve"> </w:t>
      </w:r>
    </w:p>
    <w:p w14:paraId="59250724" w14:textId="77777777" w:rsidR="002B79F2" w:rsidRDefault="002B79F2"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p>
    <w:p w14:paraId="6428A562" w14:textId="77777777" w:rsidR="002B79F2" w:rsidRDefault="003F1C04"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r w:rsidRPr="00E35074">
        <w:rPr>
          <w:rFonts w:eastAsia="Times New Roman"/>
          <w:noProof/>
          <w:sz w:val="22"/>
        </w:rPr>
        <w:t>Furthermore, it</w:t>
      </w:r>
      <w:r w:rsidR="00D57C53" w:rsidRPr="00E35074">
        <w:rPr>
          <w:rFonts w:eastAsia="Times New Roman"/>
          <w:noProof/>
          <w:sz w:val="22"/>
        </w:rPr>
        <w:t xml:space="preserve"> </w:t>
      </w:r>
      <w:r w:rsidR="00AA655D" w:rsidRPr="00E35074">
        <w:rPr>
          <w:rFonts w:eastAsia="Times New Roman"/>
          <w:noProof/>
          <w:sz w:val="22"/>
        </w:rPr>
        <w:t>incorporates changes to the controls</w:t>
      </w:r>
      <w:r w:rsidR="00DE7299" w:rsidRPr="00E35074">
        <w:rPr>
          <w:rFonts w:eastAsia="Times New Roman"/>
          <w:noProof/>
          <w:sz w:val="22"/>
        </w:rPr>
        <w:t xml:space="preserve"> on</w:t>
      </w:r>
      <w:r w:rsidR="002B79F2">
        <w:rPr>
          <w:rFonts w:eastAsia="Times New Roman"/>
          <w:noProof/>
          <w:sz w:val="22"/>
        </w:rPr>
        <w:t>:</w:t>
      </w:r>
    </w:p>
    <w:p w14:paraId="34218476" w14:textId="43516928" w:rsidR="002B79F2" w:rsidRDefault="002B79F2"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r>
        <w:rPr>
          <w:rFonts w:eastAsia="Times New Roman"/>
          <w:noProof/>
          <w:sz w:val="22"/>
        </w:rPr>
        <w:t xml:space="preserve">- </w:t>
      </w:r>
      <w:r w:rsidR="00DE7299" w:rsidRPr="00E35074">
        <w:rPr>
          <w:rFonts w:eastAsia="Times New Roman"/>
          <w:noProof/>
          <w:sz w:val="22"/>
        </w:rPr>
        <w:t xml:space="preserve">planar absorbers made of sintered ferrite (1C001.a – Note 1.d.2.), </w:t>
      </w:r>
    </w:p>
    <w:p w14:paraId="112649E1" w14:textId="77777777" w:rsidR="002B79F2" w:rsidRDefault="002B79F2"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r>
        <w:rPr>
          <w:rFonts w:eastAsia="Times New Roman"/>
          <w:noProof/>
          <w:sz w:val="22"/>
        </w:rPr>
        <w:t xml:space="preserve">- </w:t>
      </w:r>
      <w:r w:rsidR="00DE7299" w:rsidRPr="00E35074">
        <w:rPr>
          <w:rFonts w:eastAsia="Times New Roman"/>
          <w:noProof/>
          <w:sz w:val="22"/>
        </w:rPr>
        <w:t xml:space="preserve">metal alloys (1C002 – Technical Note 3), </w:t>
      </w:r>
    </w:p>
    <w:p w14:paraId="272D982A" w14:textId="77777777" w:rsidR="002B79F2" w:rsidRDefault="002B79F2" w:rsidP="00E35074">
      <w:pPr>
        <w:pBdr>
          <w:top w:val="single" w:sz="4" w:space="1" w:color="auto"/>
          <w:left w:val="single" w:sz="4" w:space="4" w:color="auto"/>
          <w:bottom w:val="single" w:sz="4" w:space="1" w:color="auto"/>
          <w:right w:val="single" w:sz="4" w:space="4" w:color="auto"/>
        </w:pBdr>
        <w:jc w:val="both"/>
        <w:rPr>
          <w:noProof/>
          <w:sz w:val="22"/>
        </w:rPr>
      </w:pPr>
      <w:r>
        <w:rPr>
          <w:rFonts w:eastAsia="Times New Roman"/>
          <w:noProof/>
          <w:sz w:val="22"/>
        </w:rPr>
        <w:t xml:space="preserve">- </w:t>
      </w:r>
      <w:r w:rsidR="00DE7299" w:rsidRPr="00E35074">
        <w:rPr>
          <w:rFonts w:eastAsia="Times New Roman"/>
          <w:noProof/>
          <w:sz w:val="22"/>
        </w:rPr>
        <w:t>fluids and lubricating materials (1C006.d.),</w:t>
      </w:r>
      <w:r w:rsidR="00DE7299" w:rsidRPr="00E35074">
        <w:rPr>
          <w:noProof/>
          <w:sz w:val="22"/>
        </w:rPr>
        <w:t xml:space="preserve"> </w:t>
      </w:r>
    </w:p>
    <w:p w14:paraId="6649CA95" w14:textId="77777777" w:rsidR="002B79F2" w:rsidRDefault="002B79F2"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r>
        <w:rPr>
          <w:noProof/>
          <w:sz w:val="22"/>
        </w:rPr>
        <w:t xml:space="preserve">- </w:t>
      </w:r>
      <w:r w:rsidR="00DE7299" w:rsidRPr="00E35074">
        <w:rPr>
          <w:rFonts w:eastAsia="Times New Roman"/>
          <w:noProof/>
          <w:sz w:val="22"/>
        </w:rPr>
        <w:t xml:space="preserve">anti-friction bearings and bearing systems (2A001), </w:t>
      </w:r>
    </w:p>
    <w:p w14:paraId="7C6E65BF" w14:textId="77777777" w:rsidR="002B79F2" w:rsidRDefault="002B79F2"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r>
        <w:rPr>
          <w:rFonts w:eastAsia="Times New Roman"/>
          <w:noProof/>
          <w:sz w:val="22"/>
        </w:rPr>
        <w:t xml:space="preserve">- </w:t>
      </w:r>
      <w:r w:rsidR="00DE7299" w:rsidRPr="00E35074">
        <w:rPr>
          <w:rFonts w:eastAsia="Times New Roman"/>
          <w:noProof/>
          <w:sz w:val="22"/>
        </w:rPr>
        <w:t xml:space="preserve">simulation software (3D003),  </w:t>
      </w:r>
    </w:p>
    <w:p w14:paraId="202BE5E7" w14:textId="77777777" w:rsidR="002B79F2" w:rsidRDefault="002B79F2"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r>
        <w:rPr>
          <w:rFonts w:eastAsia="Times New Roman"/>
          <w:noProof/>
          <w:sz w:val="22"/>
        </w:rPr>
        <w:t xml:space="preserve">- </w:t>
      </w:r>
      <w:r w:rsidR="00DE7299" w:rsidRPr="00E35074">
        <w:rPr>
          <w:rFonts w:eastAsia="Times New Roman"/>
          <w:noProof/>
          <w:sz w:val="22"/>
        </w:rPr>
        <w:t xml:space="preserve">information security system to refer to secure "cryptographic activation" (5A002.a.), </w:t>
      </w:r>
    </w:p>
    <w:p w14:paraId="287A66E9" w14:textId="77777777" w:rsidR="002B79F2" w:rsidRDefault="002B79F2"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r>
        <w:rPr>
          <w:rFonts w:eastAsia="Times New Roman"/>
          <w:noProof/>
          <w:sz w:val="22"/>
        </w:rPr>
        <w:t xml:space="preserve">- </w:t>
      </w:r>
      <w:r w:rsidR="00DE7299" w:rsidRPr="00E35074">
        <w:rPr>
          <w:rFonts w:eastAsia="Times New Roman"/>
          <w:noProof/>
          <w:sz w:val="22"/>
        </w:rPr>
        <w:t xml:space="preserve">space qualified components for optical system (6A004.c.4), </w:t>
      </w:r>
    </w:p>
    <w:p w14:paraId="642E7B26" w14:textId="3B3BDD07" w:rsidR="002B79F2" w:rsidRDefault="002B79F2"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r>
        <w:rPr>
          <w:rFonts w:eastAsia="Times New Roman"/>
          <w:noProof/>
          <w:sz w:val="22"/>
        </w:rPr>
        <w:t xml:space="preserve">- </w:t>
      </w:r>
      <w:r w:rsidR="00DE7299" w:rsidRPr="00E35074">
        <w:rPr>
          <w:rFonts w:eastAsia="Times New Roman"/>
          <w:noProof/>
          <w:sz w:val="22"/>
        </w:rPr>
        <w:t>some lasers (6A005.</w:t>
      </w:r>
      <w:r w:rsidR="009912AB">
        <w:rPr>
          <w:rFonts w:eastAsia="Times New Roman"/>
          <w:noProof/>
          <w:sz w:val="22"/>
        </w:rPr>
        <w:t>a.6.</w:t>
      </w:r>
      <w:r w:rsidR="00DE7299" w:rsidRPr="00E35074">
        <w:rPr>
          <w:rFonts w:eastAsia="Times New Roman"/>
          <w:noProof/>
          <w:sz w:val="22"/>
        </w:rPr>
        <w:t xml:space="preserve">a.1. - .2.a.) and </w:t>
      </w:r>
    </w:p>
    <w:p w14:paraId="34164DDE" w14:textId="6A0D4DBE" w:rsidR="00EA7A26" w:rsidRDefault="002B79F2"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r>
        <w:rPr>
          <w:rFonts w:eastAsia="Times New Roman"/>
          <w:noProof/>
          <w:sz w:val="22"/>
        </w:rPr>
        <w:t xml:space="preserve">- </w:t>
      </w:r>
      <w:r w:rsidR="00485B92" w:rsidRPr="00E35074">
        <w:rPr>
          <w:rFonts w:eastAsia="Times New Roman"/>
          <w:noProof/>
          <w:sz w:val="22"/>
        </w:rPr>
        <w:t>'fan blades'</w:t>
      </w:r>
      <w:r w:rsidR="00DE7299" w:rsidRPr="00E35074">
        <w:rPr>
          <w:rFonts w:eastAsia="Times New Roman"/>
          <w:noProof/>
          <w:sz w:val="22"/>
        </w:rPr>
        <w:t>.</w:t>
      </w:r>
      <w:r w:rsidR="00AA655D" w:rsidRPr="00E35074">
        <w:rPr>
          <w:rFonts w:eastAsia="Times New Roman"/>
          <w:noProof/>
          <w:sz w:val="22"/>
        </w:rPr>
        <w:t xml:space="preserve"> </w:t>
      </w:r>
    </w:p>
    <w:p w14:paraId="1B6C7440" w14:textId="77777777" w:rsidR="002B79F2" w:rsidRDefault="002B79F2" w:rsidP="00E35074">
      <w:pPr>
        <w:pBdr>
          <w:top w:val="single" w:sz="4" w:space="1" w:color="auto"/>
          <w:left w:val="single" w:sz="4" w:space="4" w:color="auto"/>
          <w:bottom w:val="single" w:sz="4" w:space="1" w:color="auto"/>
          <w:right w:val="single" w:sz="4" w:space="4" w:color="auto"/>
        </w:pBdr>
        <w:jc w:val="both"/>
        <w:rPr>
          <w:rFonts w:eastAsia="Times New Roman"/>
          <w:noProof/>
          <w:sz w:val="22"/>
        </w:rPr>
      </w:pPr>
    </w:p>
    <w:p w14:paraId="56B61876" w14:textId="07F5A863" w:rsidR="00AA655D" w:rsidRPr="00E35074" w:rsidRDefault="00DE7299" w:rsidP="00132DF5">
      <w:pPr>
        <w:pBdr>
          <w:top w:val="single" w:sz="4" w:space="1" w:color="auto"/>
          <w:left w:val="single" w:sz="4" w:space="4" w:color="auto"/>
          <w:bottom w:val="single" w:sz="4" w:space="1" w:color="auto"/>
          <w:right w:val="single" w:sz="4" w:space="4" w:color="auto"/>
        </w:pBdr>
        <w:jc w:val="both"/>
        <w:rPr>
          <w:rFonts w:eastAsia="Times New Roman"/>
          <w:noProof/>
          <w:sz w:val="22"/>
        </w:rPr>
      </w:pPr>
      <w:r w:rsidRPr="00E35074">
        <w:rPr>
          <w:rFonts w:eastAsia="Times New Roman"/>
          <w:noProof/>
          <w:sz w:val="22"/>
        </w:rPr>
        <w:t>As a</w:t>
      </w:r>
      <w:r w:rsidRPr="00E35074">
        <w:rPr>
          <w:noProof/>
          <w:sz w:val="22"/>
        </w:rPr>
        <w:t xml:space="preserve"> </w:t>
      </w:r>
      <w:r w:rsidRPr="00E35074">
        <w:rPr>
          <w:rFonts w:eastAsia="Times New Roman"/>
          <w:noProof/>
          <w:sz w:val="22"/>
        </w:rPr>
        <w:t xml:space="preserve">result from </w:t>
      </w:r>
      <w:r w:rsidR="003F1C04" w:rsidRPr="00E35074">
        <w:rPr>
          <w:rFonts w:eastAsia="Times New Roman"/>
          <w:noProof/>
          <w:sz w:val="22"/>
        </w:rPr>
        <w:t>decisions</w:t>
      </w:r>
      <w:r w:rsidRPr="00E35074">
        <w:rPr>
          <w:rFonts w:eastAsia="Times New Roman"/>
          <w:noProof/>
          <w:sz w:val="22"/>
        </w:rPr>
        <w:t xml:space="preserve"> at the Australia Group</w:t>
      </w:r>
      <w:r w:rsidR="003F1C04" w:rsidRPr="00E35074">
        <w:rPr>
          <w:rFonts w:eastAsia="Times New Roman"/>
          <w:noProof/>
          <w:sz w:val="22"/>
        </w:rPr>
        <w:t>,</w:t>
      </w:r>
      <w:r w:rsidRPr="00E35074">
        <w:rPr>
          <w:rFonts w:eastAsia="Times New Roman"/>
          <w:noProof/>
          <w:sz w:val="22"/>
        </w:rPr>
        <w:t xml:space="preserve"> new controls on Middle East Respiratory Syndrome-related coronavirus (MERS-related coronavirus – 1C351.a.59)</w:t>
      </w:r>
      <w:r w:rsidR="00FF7F39">
        <w:rPr>
          <w:rFonts w:eastAsia="Times New Roman"/>
          <w:noProof/>
          <w:sz w:val="22"/>
        </w:rPr>
        <w:t>,</w:t>
      </w:r>
      <w:r w:rsidR="00132DF5">
        <w:rPr>
          <w:rFonts w:eastAsia="Times New Roman"/>
          <w:noProof/>
          <w:sz w:val="22"/>
        </w:rPr>
        <w:t xml:space="preserve"> </w:t>
      </w:r>
      <w:r w:rsidR="002B79F2">
        <w:rPr>
          <w:rFonts w:eastAsia="Times New Roman"/>
          <w:noProof/>
          <w:sz w:val="22"/>
        </w:rPr>
        <w:t>on</w:t>
      </w:r>
      <w:r w:rsidR="00132DF5" w:rsidRPr="00132DF5">
        <w:rPr>
          <w:rFonts w:eastAsia="Times New Roman"/>
          <w:noProof/>
          <w:sz w:val="22"/>
        </w:rPr>
        <w:t xml:space="preserve"> 24 chemicals, including Novichok nerve agent precursors</w:t>
      </w:r>
      <w:r w:rsidR="00132DF5">
        <w:rPr>
          <w:rFonts w:eastAsia="Times New Roman"/>
          <w:noProof/>
          <w:sz w:val="22"/>
        </w:rPr>
        <w:t xml:space="preserve"> (1C350.66. to </w:t>
      </w:r>
      <w:r w:rsidR="00132DF5" w:rsidRPr="00132DF5">
        <w:rPr>
          <w:rFonts w:eastAsia="Times New Roman"/>
          <w:noProof/>
          <w:sz w:val="22"/>
        </w:rPr>
        <w:t>1C350.89)</w:t>
      </w:r>
      <w:r w:rsidRPr="00E35074">
        <w:rPr>
          <w:rFonts w:eastAsia="Times New Roman"/>
          <w:noProof/>
          <w:sz w:val="22"/>
        </w:rPr>
        <w:t xml:space="preserve"> </w:t>
      </w:r>
      <w:r w:rsidR="00132DF5">
        <w:rPr>
          <w:rFonts w:eastAsia="Times New Roman"/>
          <w:noProof/>
          <w:sz w:val="22"/>
        </w:rPr>
        <w:t>as well as</w:t>
      </w:r>
      <w:r w:rsidRPr="00E35074">
        <w:rPr>
          <w:rFonts w:eastAsia="Times New Roman"/>
          <w:noProof/>
          <w:sz w:val="22"/>
        </w:rPr>
        <w:t xml:space="preserve"> changes to the control on valves and components (2B350.g.1.a. - .2.a.) were introduced. </w:t>
      </w:r>
    </w:p>
    <w:p w14:paraId="22D54667" w14:textId="77777777" w:rsidR="00AA655D" w:rsidRDefault="00AA655D" w:rsidP="00AA655D">
      <w:pPr>
        <w:jc w:val="both"/>
        <w:rPr>
          <w:rFonts w:eastAsia="Times New Roman"/>
          <w:noProof/>
        </w:rPr>
      </w:pPr>
    </w:p>
    <w:p w14:paraId="6AFAA798" w14:textId="76499C01" w:rsidR="00AA655D" w:rsidRPr="0065536F" w:rsidRDefault="00AA655D" w:rsidP="00AA655D">
      <w:pPr>
        <w:jc w:val="both"/>
        <w:rPr>
          <w:rFonts w:eastAsia="Times New Roman"/>
          <w:noProof/>
          <w:lang w:eastAsia="en-GB"/>
        </w:rPr>
      </w:pPr>
      <w:r>
        <w:rPr>
          <w:rFonts w:eastAsia="Times New Roman"/>
          <w:noProof/>
          <w:lang w:eastAsia="en-GB"/>
        </w:rPr>
        <w:t xml:space="preserve">The updated and consolidated EU Control List </w:t>
      </w:r>
      <w:r w:rsidR="00A14C82">
        <w:rPr>
          <w:rFonts w:eastAsia="Times New Roman"/>
          <w:noProof/>
          <w:lang w:eastAsia="en-GB"/>
        </w:rPr>
        <w:t xml:space="preserve">entered into force </w:t>
      </w:r>
      <w:r>
        <w:rPr>
          <w:rFonts w:eastAsia="Times New Roman"/>
          <w:noProof/>
          <w:lang w:eastAsia="en-GB"/>
        </w:rPr>
        <w:t xml:space="preserve">on </w:t>
      </w:r>
      <w:r w:rsidR="00230B9A">
        <w:rPr>
          <w:rFonts w:eastAsia="Times New Roman"/>
          <w:noProof/>
          <w:lang w:eastAsia="en-GB"/>
        </w:rPr>
        <w:t>15</w:t>
      </w:r>
      <w:r>
        <w:rPr>
          <w:rFonts w:eastAsia="Times New Roman"/>
          <w:noProof/>
          <w:lang w:eastAsia="en-GB"/>
        </w:rPr>
        <w:t xml:space="preserve"> December 20</w:t>
      </w:r>
      <w:r w:rsidR="00230B9A">
        <w:rPr>
          <w:rFonts w:eastAsia="Times New Roman"/>
          <w:noProof/>
          <w:lang w:eastAsia="en-GB"/>
        </w:rPr>
        <w:t>20</w:t>
      </w:r>
      <w:r>
        <w:rPr>
          <w:rFonts w:eastAsia="Times New Roman"/>
          <w:noProof/>
          <w:lang w:eastAsia="en-GB"/>
        </w:rPr>
        <w:t xml:space="preserve">, thereby allowing the EU to </w:t>
      </w:r>
      <w:r w:rsidR="008F5CD7">
        <w:rPr>
          <w:rFonts w:eastAsia="Times New Roman"/>
          <w:noProof/>
          <w:lang w:eastAsia="en-GB"/>
        </w:rPr>
        <w:t>comply with</w:t>
      </w:r>
      <w:r>
        <w:rPr>
          <w:rFonts w:eastAsia="Times New Roman"/>
          <w:noProof/>
          <w:lang w:eastAsia="en-GB"/>
        </w:rPr>
        <w:t xml:space="preserve"> its international commitments</w:t>
      </w:r>
      <w:r w:rsidR="00F517AC">
        <w:rPr>
          <w:rFonts w:eastAsia="Times New Roman"/>
          <w:noProof/>
          <w:lang w:eastAsia="en-GB"/>
        </w:rPr>
        <w:t>.</w:t>
      </w:r>
      <w:r w:rsidR="00B07E84" w:rsidRPr="00B07E84">
        <w:rPr>
          <w:noProof/>
        </w:rPr>
        <w:t xml:space="preserve"> </w:t>
      </w:r>
      <w:r w:rsidR="00B07E84" w:rsidRPr="00B07E84">
        <w:rPr>
          <w:rFonts w:eastAsia="Times New Roman"/>
          <w:noProof/>
          <w:lang w:eastAsia="en-GB"/>
        </w:rPr>
        <w:t>It also supports EU exporters through timely adjustments of control parameters to technological developments</w:t>
      </w:r>
      <w:r w:rsidR="00B07E84">
        <w:rPr>
          <w:rFonts w:eastAsia="Times New Roman"/>
          <w:noProof/>
          <w:lang w:eastAsia="en-GB"/>
        </w:rPr>
        <w:t>.</w:t>
      </w:r>
      <w:r w:rsidR="00B07E84" w:rsidRPr="00B07E84">
        <w:rPr>
          <w:rFonts w:eastAsia="Times New Roman"/>
          <w:noProof/>
          <w:lang w:eastAsia="en-GB"/>
        </w:rPr>
        <w:t xml:space="preserve"> </w:t>
      </w:r>
      <w:r w:rsidR="00CA4709" w:rsidRPr="00CA4709">
        <w:rPr>
          <w:rFonts w:eastAsia="Times New Roman"/>
          <w:noProof/>
          <w:lang w:eastAsia="en-GB"/>
        </w:rPr>
        <w:t xml:space="preserve"> </w:t>
      </w:r>
      <w:r w:rsidR="00CA4709" w:rsidRPr="0065536F">
        <w:rPr>
          <w:rFonts w:eastAsia="Times New Roman"/>
          <w:noProof/>
          <w:lang w:eastAsia="en-GB"/>
        </w:rPr>
        <w:t>A "</w:t>
      </w:r>
      <w:r w:rsidR="00CA4709">
        <w:rPr>
          <w:rFonts w:eastAsia="Times New Roman"/>
          <w:noProof/>
          <w:lang w:eastAsia="en-GB"/>
        </w:rPr>
        <w:t>Comprehensive Change Note"</w:t>
      </w:r>
      <w:r w:rsidR="00CA4709" w:rsidRPr="0065536F">
        <w:rPr>
          <w:rFonts w:eastAsia="Times New Roman"/>
          <w:noProof/>
          <w:lang w:eastAsia="en-GB"/>
        </w:rPr>
        <w:t xml:space="preserve"> was published as guidance providing an overview of all changes to the 20</w:t>
      </w:r>
      <w:r w:rsidR="00CA4709">
        <w:rPr>
          <w:rFonts w:eastAsia="Times New Roman"/>
          <w:noProof/>
          <w:lang w:eastAsia="en-GB"/>
        </w:rPr>
        <w:t>20</w:t>
      </w:r>
      <w:r w:rsidR="00CA4709" w:rsidRPr="0065536F">
        <w:rPr>
          <w:rFonts w:eastAsia="Times New Roman"/>
          <w:noProof/>
          <w:lang w:eastAsia="en-GB"/>
        </w:rPr>
        <w:t xml:space="preserve"> EU Dual-Use Control List</w:t>
      </w:r>
      <w:r w:rsidR="00CA4709" w:rsidRPr="006A67E3">
        <w:rPr>
          <w:rFonts w:eastAsia="Times New Roman"/>
          <w:noProof/>
          <w:vertAlign w:val="superscript"/>
          <w:lang w:eastAsia="en-GB"/>
        </w:rPr>
        <w:footnoteReference w:id="6"/>
      </w:r>
      <w:r w:rsidR="00CA4709" w:rsidRPr="0065536F">
        <w:rPr>
          <w:rFonts w:eastAsia="Times New Roman"/>
          <w:noProof/>
          <w:lang w:eastAsia="en-GB"/>
        </w:rPr>
        <w:t>.</w:t>
      </w:r>
    </w:p>
    <w:p w14:paraId="2CFC6BAE" w14:textId="77777777" w:rsidR="00AA655D" w:rsidRPr="0065536F" w:rsidRDefault="00AA655D" w:rsidP="00AA655D">
      <w:pPr>
        <w:jc w:val="both"/>
        <w:rPr>
          <w:rFonts w:eastAsia="Times New Roman"/>
          <w:noProof/>
          <w:lang w:eastAsia="en-GB"/>
        </w:rPr>
      </w:pPr>
    </w:p>
    <w:p w14:paraId="6ABBB69E" w14:textId="77777777" w:rsidR="00AA655D" w:rsidRPr="0065536F" w:rsidRDefault="00DF60EB" w:rsidP="00AA655D">
      <w:pPr>
        <w:jc w:val="both"/>
        <w:rPr>
          <w:rFonts w:eastAsia="Times New Roman"/>
          <w:noProof/>
          <w:u w:val="single"/>
          <w:lang w:eastAsia="en-GB"/>
        </w:rPr>
      </w:pPr>
      <w:r>
        <w:rPr>
          <w:rFonts w:eastAsia="Times New Roman"/>
          <w:noProof/>
          <w:u w:val="single"/>
          <w:lang w:eastAsia="en-GB"/>
        </w:rPr>
        <w:t xml:space="preserve">2.2.2. </w:t>
      </w:r>
      <w:r w:rsidR="00AA655D" w:rsidRPr="0065536F">
        <w:rPr>
          <w:rFonts w:eastAsia="Times New Roman"/>
          <w:noProof/>
          <w:u w:val="single"/>
          <w:lang w:eastAsia="en-GB"/>
        </w:rPr>
        <w:t xml:space="preserve">Brexit </w:t>
      </w:r>
    </w:p>
    <w:p w14:paraId="3E59C562" w14:textId="77777777" w:rsidR="00AA655D" w:rsidRDefault="00AA655D" w:rsidP="00AA655D">
      <w:pPr>
        <w:jc w:val="both"/>
        <w:rPr>
          <w:rFonts w:eastAsia="Times New Roman"/>
          <w:noProof/>
          <w:lang w:eastAsia="en-GB"/>
        </w:rPr>
      </w:pPr>
    </w:p>
    <w:p w14:paraId="14F60F5B" w14:textId="77777777" w:rsidR="007F3BFA" w:rsidRDefault="007F3BFA" w:rsidP="00B00ED0">
      <w:pPr>
        <w:jc w:val="both"/>
        <w:rPr>
          <w:noProof/>
        </w:rPr>
      </w:pPr>
      <w:r>
        <w:rPr>
          <w:noProof/>
        </w:rPr>
        <w:t>In the course of 2020, the Commission took a series of actions in view of the end of the transition period on 1</w:t>
      </w:r>
      <w:r w:rsidRPr="00911D23">
        <w:rPr>
          <w:noProof/>
          <w:vertAlign w:val="superscript"/>
        </w:rPr>
        <w:t xml:space="preserve">st </w:t>
      </w:r>
      <w:r>
        <w:rPr>
          <w:noProof/>
        </w:rPr>
        <w:t xml:space="preserve">January 2021, when exports of dual-use items from the EU to the UK become subject to control under </w:t>
      </w:r>
      <w:r w:rsidRPr="00387039">
        <w:rPr>
          <w:noProof/>
        </w:rPr>
        <w:t>the Regulation</w:t>
      </w:r>
      <w:r>
        <w:rPr>
          <w:noProof/>
        </w:rPr>
        <w:t>, like exports to any other third country.</w:t>
      </w:r>
    </w:p>
    <w:p w14:paraId="3EB7C5DD" w14:textId="77777777" w:rsidR="007F3BFA" w:rsidRDefault="007F3BFA" w:rsidP="00B00ED0">
      <w:pPr>
        <w:jc w:val="both"/>
        <w:rPr>
          <w:noProof/>
        </w:rPr>
      </w:pPr>
    </w:p>
    <w:p w14:paraId="2B2E84C8" w14:textId="77777777" w:rsidR="003F1C04" w:rsidRDefault="005D26B3" w:rsidP="00B00ED0">
      <w:pPr>
        <w:jc w:val="both"/>
        <w:rPr>
          <w:rFonts w:eastAsia="Times New Roman"/>
          <w:noProof/>
          <w:lang w:eastAsia="en-GB"/>
        </w:rPr>
      </w:pPr>
      <w:r>
        <w:rPr>
          <w:rFonts w:eastAsia="Times New Roman"/>
          <w:noProof/>
          <w:lang w:eastAsia="en-GB"/>
        </w:rPr>
        <w:t>In September 2020, t</w:t>
      </w:r>
      <w:r w:rsidR="003F1C04">
        <w:rPr>
          <w:rFonts w:eastAsia="Times New Roman"/>
          <w:noProof/>
          <w:lang w:eastAsia="en-GB"/>
        </w:rPr>
        <w:t>he Commission published a</w:t>
      </w:r>
      <w:r w:rsidR="008E1728">
        <w:rPr>
          <w:rFonts w:eastAsia="Times New Roman"/>
          <w:noProof/>
          <w:lang w:eastAsia="en-GB"/>
        </w:rPr>
        <w:t xml:space="preserve"> Notice to Stakeholders</w:t>
      </w:r>
      <w:r>
        <w:rPr>
          <w:rStyle w:val="FootnoteReference"/>
          <w:rFonts w:eastAsia="Times New Roman"/>
          <w:noProof/>
          <w:lang w:eastAsia="en-GB"/>
        </w:rPr>
        <w:footnoteReference w:id="7"/>
      </w:r>
      <w:r w:rsidRPr="008E1728">
        <w:rPr>
          <w:rFonts w:eastAsia="Times New Roman"/>
          <w:noProof/>
          <w:lang w:eastAsia="en-GB"/>
        </w:rPr>
        <w:t xml:space="preserve"> </w:t>
      </w:r>
      <w:r>
        <w:rPr>
          <w:rFonts w:eastAsia="Times New Roman"/>
          <w:noProof/>
          <w:lang w:eastAsia="en-GB"/>
        </w:rPr>
        <w:t xml:space="preserve">to inform </w:t>
      </w:r>
      <w:r w:rsidR="00215A7E">
        <w:rPr>
          <w:rFonts w:eastAsia="Times New Roman"/>
          <w:noProof/>
          <w:lang w:eastAsia="en-GB"/>
        </w:rPr>
        <w:t>exporters</w:t>
      </w:r>
      <w:r>
        <w:rPr>
          <w:rFonts w:eastAsia="Times New Roman"/>
          <w:noProof/>
          <w:lang w:eastAsia="en-GB"/>
        </w:rPr>
        <w:t xml:space="preserve"> </w:t>
      </w:r>
      <w:r w:rsidR="008E1728">
        <w:rPr>
          <w:rFonts w:eastAsia="Times New Roman"/>
          <w:noProof/>
          <w:lang w:eastAsia="en-GB"/>
        </w:rPr>
        <w:t>o</w:t>
      </w:r>
      <w:r>
        <w:rPr>
          <w:rFonts w:eastAsia="Times New Roman"/>
          <w:noProof/>
          <w:lang w:eastAsia="en-GB"/>
        </w:rPr>
        <w:t>f applicable r</w:t>
      </w:r>
      <w:r w:rsidR="008E1728">
        <w:rPr>
          <w:rFonts w:eastAsia="Times New Roman"/>
          <w:noProof/>
          <w:lang w:eastAsia="en-GB"/>
        </w:rPr>
        <w:t xml:space="preserve">ules in </w:t>
      </w:r>
      <w:r w:rsidR="00215A7E">
        <w:rPr>
          <w:rFonts w:eastAsia="Times New Roman"/>
          <w:noProof/>
          <w:lang w:eastAsia="en-GB"/>
        </w:rPr>
        <w:t>view of</w:t>
      </w:r>
      <w:r w:rsidR="008E1728" w:rsidRPr="008E1728">
        <w:rPr>
          <w:rFonts w:eastAsia="Times New Roman"/>
          <w:noProof/>
          <w:lang w:eastAsia="en-GB"/>
        </w:rPr>
        <w:t xml:space="preserve"> the end</w:t>
      </w:r>
      <w:r w:rsidR="008E1728">
        <w:rPr>
          <w:rFonts w:eastAsia="Times New Roman"/>
          <w:noProof/>
          <w:lang w:eastAsia="en-GB"/>
        </w:rPr>
        <w:t xml:space="preserve"> of the transition period</w:t>
      </w:r>
      <w:r>
        <w:rPr>
          <w:rFonts w:eastAsia="Times New Roman"/>
          <w:noProof/>
          <w:lang w:eastAsia="en-GB"/>
        </w:rPr>
        <w:t xml:space="preserve"> </w:t>
      </w:r>
      <w:r w:rsidR="00215A7E">
        <w:rPr>
          <w:rFonts w:eastAsia="Times New Roman"/>
          <w:noProof/>
          <w:lang w:eastAsia="en-GB"/>
        </w:rPr>
        <w:t>and of the</w:t>
      </w:r>
      <w:r>
        <w:rPr>
          <w:rFonts w:eastAsia="Times New Roman"/>
          <w:noProof/>
          <w:lang w:eastAsia="en-GB"/>
        </w:rPr>
        <w:t xml:space="preserve"> withdrawal of the United Kingdom </w:t>
      </w:r>
      <w:r w:rsidR="00215A7E">
        <w:rPr>
          <w:rFonts w:eastAsia="Times New Roman"/>
          <w:noProof/>
          <w:lang w:eastAsia="en-GB"/>
        </w:rPr>
        <w:t>from the EU</w:t>
      </w:r>
      <w:r w:rsidR="008E1728" w:rsidRPr="008E1728">
        <w:rPr>
          <w:rFonts w:eastAsia="Times New Roman"/>
          <w:noProof/>
          <w:lang w:eastAsia="en-GB"/>
        </w:rPr>
        <w:t xml:space="preserve">. </w:t>
      </w:r>
    </w:p>
    <w:p w14:paraId="32A8A9CD" w14:textId="77777777" w:rsidR="003F1C04" w:rsidRDefault="003F1C04" w:rsidP="00B00ED0">
      <w:pPr>
        <w:jc w:val="both"/>
        <w:rPr>
          <w:rFonts w:eastAsia="Times New Roman"/>
          <w:noProof/>
          <w:lang w:eastAsia="en-GB"/>
        </w:rPr>
      </w:pPr>
    </w:p>
    <w:p w14:paraId="0B86D958" w14:textId="7B0F7E40" w:rsidR="007F3BFA" w:rsidRDefault="007F3BFA" w:rsidP="00B00ED0">
      <w:pPr>
        <w:jc w:val="both"/>
        <w:rPr>
          <w:rFonts w:eastAsia="Times New Roman"/>
          <w:noProof/>
          <w:lang w:eastAsia="en-GB"/>
        </w:rPr>
      </w:pPr>
      <w:r>
        <w:rPr>
          <w:rFonts w:eastAsia="Times New Roman"/>
          <w:noProof/>
          <w:lang w:eastAsia="en-GB"/>
        </w:rPr>
        <w:t xml:space="preserve">In order to </w:t>
      </w:r>
      <w:r w:rsidRPr="00B00ED0">
        <w:rPr>
          <w:rFonts w:eastAsia="Times New Roman"/>
          <w:noProof/>
          <w:lang w:eastAsia="en-GB"/>
        </w:rPr>
        <w:t>ensure the uniform application of controls throughout the</w:t>
      </w:r>
      <w:r>
        <w:rPr>
          <w:rFonts w:eastAsia="Times New Roman"/>
          <w:noProof/>
          <w:lang w:eastAsia="en-GB"/>
        </w:rPr>
        <w:t xml:space="preserve"> </w:t>
      </w:r>
      <w:r w:rsidRPr="00B00ED0">
        <w:rPr>
          <w:rFonts w:eastAsia="Times New Roman"/>
          <w:noProof/>
          <w:lang w:eastAsia="en-GB"/>
        </w:rPr>
        <w:t>Union</w:t>
      </w:r>
      <w:r>
        <w:rPr>
          <w:rFonts w:eastAsia="Times New Roman"/>
          <w:noProof/>
          <w:lang w:eastAsia="en-GB"/>
        </w:rPr>
        <w:t>, and to avoid</w:t>
      </w:r>
      <w:r w:rsidRPr="00B00ED0">
        <w:rPr>
          <w:rFonts w:eastAsia="Times New Roman"/>
          <w:noProof/>
          <w:lang w:eastAsia="en-GB"/>
        </w:rPr>
        <w:t xml:space="preserve"> </w:t>
      </w:r>
      <w:r>
        <w:rPr>
          <w:rFonts w:eastAsia="Times New Roman"/>
          <w:noProof/>
          <w:lang w:eastAsia="en-GB"/>
        </w:rPr>
        <w:t>undue</w:t>
      </w:r>
      <w:r w:rsidRPr="00B00ED0">
        <w:rPr>
          <w:rFonts w:eastAsia="Times New Roman"/>
          <w:noProof/>
          <w:lang w:eastAsia="en-GB"/>
        </w:rPr>
        <w:t xml:space="preserve"> administrative burden</w:t>
      </w:r>
      <w:r>
        <w:rPr>
          <w:rFonts w:eastAsia="Times New Roman"/>
          <w:noProof/>
          <w:lang w:eastAsia="en-GB"/>
        </w:rPr>
        <w:t xml:space="preserve"> while </w:t>
      </w:r>
      <w:r w:rsidRPr="00B00ED0">
        <w:rPr>
          <w:rFonts w:eastAsia="Times New Roman"/>
          <w:noProof/>
          <w:lang w:eastAsia="en-GB"/>
        </w:rPr>
        <w:t>protecting</w:t>
      </w:r>
      <w:r>
        <w:rPr>
          <w:rFonts w:eastAsia="Times New Roman"/>
          <w:noProof/>
          <w:lang w:eastAsia="en-GB"/>
        </w:rPr>
        <w:t xml:space="preserve"> the</w:t>
      </w:r>
      <w:r w:rsidRPr="00B00ED0">
        <w:rPr>
          <w:rFonts w:eastAsia="Times New Roman"/>
          <w:noProof/>
          <w:lang w:eastAsia="en-GB"/>
        </w:rPr>
        <w:t xml:space="preserve"> Union and international security</w:t>
      </w:r>
      <w:r>
        <w:rPr>
          <w:rFonts w:eastAsia="Times New Roman"/>
          <w:noProof/>
          <w:lang w:eastAsia="en-GB"/>
        </w:rPr>
        <w:t xml:space="preserve">, </w:t>
      </w:r>
      <w:r w:rsidR="00215A7E">
        <w:rPr>
          <w:rFonts w:eastAsia="Times New Roman"/>
          <w:noProof/>
          <w:lang w:eastAsia="en-GB"/>
        </w:rPr>
        <w:t xml:space="preserve">the EU adopted </w:t>
      </w:r>
      <w:r w:rsidR="008E1728">
        <w:rPr>
          <w:rFonts w:eastAsia="Times New Roman"/>
          <w:noProof/>
          <w:lang w:eastAsia="en-GB"/>
        </w:rPr>
        <w:t>Regulation</w:t>
      </w:r>
      <w:r w:rsidR="008E1728" w:rsidRPr="008E1728">
        <w:rPr>
          <w:rFonts w:eastAsia="Times New Roman"/>
          <w:noProof/>
          <w:lang w:eastAsia="en-GB"/>
        </w:rPr>
        <w:t xml:space="preserve"> (EU) 2020/2171 of 16 December 2020</w:t>
      </w:r>
      <w:r w:rsidR="008E1728">
        <w:rPr>
          <w:rFonts w:eastAsia="Times New Roman"/>
          <w:noProof/>
          <w:lang w:eastAsia="en-GB"/>
        </w:rPr>
        <w:t xml:space="preserve"> </w:t>
      </w:r>
      <w:r w:rsidR="008E1728" w:rsidRPr="008E1728">
        <w:rPr>
          <w:rFonts w:eastAsia="Times New Roman"/>
          <w:noProof/>
          <w:lang w:eastAsia="en-GB"/>
        </w:rPr>
        <w:t xml:space="preserve">amending Annex IIa to </w:t>
      </w:r>
      <w:r w:rsidR="002B79F2">
        <w:rPr>
          <w:rFonts w:eastAsia="Times New Roman"/>
          <w:noProof/>
          <w:lang w:eastAsia="en-GB"/>
        </w:rPr>
        <w:t>the</w:t>
      </w:r>
      <w:r w:rsidR="00491EB6">
        <w:rPr>
          <w:rFonts w:eastAsia="Times New Roman"/>
          <w:noProof/>
          <w:lang w:eastAsia="en-GB"/>
        </w:rPr>
        <w:t xml:space="preserve"> </w:t>
      </w:r>
      <w:r w:rsidR="008E1728" w:rsidRPr="008E1728">
        <w:rPr>
          <w:rFonts w:eastAsia="Times New Roman"/>
          <w:noProof/>
          <w:lang w:eastAsia="en-GB"/>
        </w:rPr>
        <w:t>Regulation</w:t>
      </w:r>
      <w:r w:rsidR="00BD3B3A">
        <w:rPr>
          <w:rFonts w:eastAsia="Times New Roman"/>
          <w:noProof/>
          <w:lang w:eastAsia="en-GB"/>
        </w:rPr>
        <w:t>.</w:t>
      </w:r>
      <w:r w:rsidR="00215A7E">
        <w:rPr>
          <w:rFonts w:eastAsia="Times New Roman"/>
          <w:noProof/>
          <w:lang w:eastAsia="en-GB"/>
        </w:rPr>
        <w:t xml:space="preserve"> </w:t>
      </w:r>
      <w:r w:rsidR="00BD3B3A">
        <w:rPr>
          <w:rFonts w:eastAsia="Times New Roman"/>
          <w:noProof/>
          <w:lang w:eastAsia="en-GB"/>
        </w:rPr>
        <w:t>B</w:t>
      </w:r>
      <w:r w:rsidR="00BD3B3A" w:rsidRPr="00BD3B3A">
        <w:rPr>
          <w:rFonts w:eastAsia="Times New Roman"/>
          <w:noProof/>
          <w:lang w:eastAsia="en-GB"/>
        </w:rPr>
        <w:t>y adding the UK to the list of destinations covered by the Union General Export Authorisation No EU001</w:t>
      </w:r>
      <w:r w:rsidR="00BD3B3A">
        <w:rPr>
          <w:rStyle w:val="FootnoteReference"/>
          <w:rFonts w:eastAsia="Times New Roman"/>
          <w:noProof/>
          <w:lang w:eastAsia="en-GB"/>
        </w:rPr>
        <w:footnoteReference w:id="8"/>
      </w:r>
      <w:r w:rsidR="00BD3B3A">
        <w:rPr>
          <w:rFonts w:eastAsia="Times New Roman"/>
          <w:noProof/>
          <w:lang w:eastAsia="en-GB"/>
        </w:rPr>
        <w:t xml:space="preserve"> Regulation </w:t>
      </w:r>
      <w:r w:rsidR="00055673" w:rsidRPr="008E1728">
        <w:rPr>
          <w:rFonts w:eastAsia="Times New Roman"/>
          <w:noProof/>
          <w:lang w:eastAsia="en-GB"/>
        </w:rPr>
        <w:t xml:space="preserve">(EU) 2020/2171 </w:t>
      </w:r>
      <w:r>
        <w:rPr>
          <w:rFonts w:eastAsia="Times New Roman"/>
          <w:noProof/>
          <w:lang w:eastAsia="en-GB"/>
        </w:rPr>
        <w:t>provides for a simplification of controls on exports of most dual-items to the United Kingdom</w:t>
      </w:r>
      <w:r w:rsidR="00BD3B3A">
        <w:rPr>
          <w:rFonts w:eastAsia="Times New Roman"/>
          <w:noProof/>
          <w:lang w:eastAsia="en-GB"/>
        </w:rPr>
        <w:t>.</w:t>
      </w:r>
      <w:r w:rsidRPr="007F3BFA">
        <w:rPr>
          <w:rFonts w:eastAsia="Times New Roman"/>
          <w:noProof/>
          <w:lang w:eastAsia="en-GB"/>
        </w:rPr>
        <w:t xml:space="preserve"> </w:t>
      </w:r>
    </w:p>
    <w:p w14:paraId="4F4CBD77" w14:textId="77777777" w:rsidR="005C0D4A" w:rsidRDefault="005C0D4A" w:rsidP="00B00ED0">
      <w:pPr>
        <w:jc w:val="both"/>
        <w:rPr>
          <w:rFonts w:eastAsia="Times New Roman"/>
          <w:noProof/>
          <w:lang w:eastAsia="en-GB"/>
        </w:rPr>
      </w:pPr>
    </w:p>
    <w:p w14:paraId="4E0D566C" w14:textId="5F659768" w:rsidR="007F3BFA" w:rsidRDefault="007F3BFA" w:rsidP="005C0D4A">
      <w:pPr>
        <w:jc w:val="both"/>
        <w:rPr>
          <w:rFonts w:eastAsia="Times New Roman"/>
          <w:noProof/>
          <w:lang w:eastAsia="en-GB"/>
        </w:rPr>
      </w:pPr>
      <w:r>
        <w:rPr>
          <w:noProof/>
        </w:rPr>
        <w:t>Specific arrangements apply under the Northern Ireland (NI) Protocol</w:t>
      </w:r>
      <w:r>
        <w:rPr>
          <w:rStyle w:val="FootnoteReference"/>
          <w:noProof/>
        </w:rPr>
        <w:footnoteReference w:id="9"/>
      </w:r>
      <w:r>
        <w:rPr>
          <w:noProof/>
        </w:rPr>
        <w:t>, which</w:t>
      </w:r>
      <w:r w:rsidRPr="001A7122">
        <w:rPr>
          <w:noProof/>
        </w:rPr>
        <w:t xml:space="preserve"> provides that </w:t>
      </w:r>
      <w:r>
        <w:rPr>
          <w:noProof/>
        </w:rPr>
        <w:t xml:space="preserve">the Regulation </w:t>
      </w:r>
      <w:r w:rsidRPr="001A7122">
        <w:rPr>
          <w:noProof/>
        </w:rPr>
        <w:t>applies to</w:t>
      </w:r>
      <w:r>
        <w:rPr>
          <w:noProof/>
        </w:rPr>
        <w:t>,</w:t>
      </w:r>
      <w:r w:rsidRPr="001A7122">
        <w:rPr>
          <w:noProof/>
        </w:rPr>
        <w:t xml:space="preserve"> and in the United Kingdom in respect of Northern Ireland.</w:t>
      </w:r>
      <w:r w:rsidRPr="00873489">
        <w:rPr>
          <w:rStyle w:val="FootnoteReference"/>
          <w:noProof/>
        </w:rPr>
        <w:footnoteReference w:id="10"/>
      </w:r>
      <w:r>
        <w:rPr>
          <w:noProof/>
        </w:rPr>
        <w:t>, with the UK acting as a competent authority under the Regulation.</w:t>
      </w:r>
      <w:r w:rsidRPr="007F3BFA">
        <w:rPr>
          <w:rFonts w:eastAsia="Times New Roman"/>
          <w:noProof/>
          <w:lang w:eastAsia="en-GB"/>
        </w:rPr>
        <w:t xml:space="preserve"> </w:t>
      </w:r>
      <w:r>
        <w:rPr>
          <w:rFonts w:eastAsia="Times New Roman"/>
          <w:noProof/>
          <w:lang w:eastAsia="en-GB"/>
        </w:rPr>
        <w:t>The Commission developed a dedicated secure electronic tool to support the exchange of information with the UK competent authority in charge of applying the Regulation in and from Northern Ireland.</w:t>
      </w:r>
      <w:r w:rsidR="00DF60EB">
        <w:rPr>
          <w:rFonts w:eastAsia="Times New Roman"/>
          <w:noProof/>
          <w:lang w:eastAsia="en-GB"/>
        </w:rPr>
        <w:t xml:space="preserve"> This enables</w:t>
      </w:r>
      <w:r w:rsidR="000E188C">
        <w:rPr>
          <w:rFonts w:eastAsia="Times New Roman"/>
          <w:noProof/>
          <w:lang w:eastAsia="en-GB"/>
        </w:rPr>
        <w:t xml:space="preserve"> </w:t>
      </w:r>
      <w:r w:rsidR="000E188C" w:rsidRPr="000E188C">
        <w:rPr>
          <w:rFonts w:eastAsia="Times New Roman"/>
          <w:noProof/>
          <w:lang w:eastAsia="en-GB"/>
        </w:rPr>
        <w:t>the UK competent authority to access information which supports the effective implementation and enforcement of controls on exports of dual</w:t>
      </w:r>
      <w:r w:rsidR="00EF2500">
        <w:rPr>
          <w:rFonts w:eastAsia="Times New Roman"/>
          <w:noProof/>
          <w:lang w:eastAsia="en-GB"/>
        </w:rPr>
        <w:t>-</w:t>
      </w:r>
      <w:r w:rsidR="000E188C" w:rsidRPr="000E188C">
        <w:rPr>
          <w:rFonts w:eastAsia="Times New Roman"/>
          <w:noProof/>
          <w:lang w:eastAsia="en-GB"/>
        </w:rPr>
        <w:t>use items from Northern Ireland in line with the provisions of the Regulation.</w:t>
      </w:r>
      <w:r w:rsidR="00387039">
        <w:rPr>
          <w:rFonts w:eastAsia="Times New Roman"/>
          <w:noProof/>
          <w:lang w:eastAsia="en-GB"/>
        </w:rPr>
        <w:t xml:space="preserve"> Therefore </w:t>
      </w:r>
      <w:r w:rsidR="00387039" w:rsidRPr="00387039">
        <w:rPr>
          <w:rFonts w:eastAsia="Times New Roman"/>
          <w:noProof/>
          <w:lang w:eastAsia="en-GB"/>
        </w:rPr>
        <w:t>U</w:t>
      </w:r>
      <w:r w:rsidR="00233A69" w:rsidRPr="00387039">
        <w:rPr>
          <w:rFonts w:eastAsia="Times New Roman"/>
          <w:noProof/>
          <w:lang w:eastAsia="en-GB"/>
        </w:rPr>
        <w:t>K</w:t>
      </w:r>
      <w:r w:rsidR="00387039" w:rsidRPr="00387039">
        <w:rPr>
          <w:rFonts w:eastAsia="Times New Roman"/>
          <w:noProof/>
          <w:lang w:eastAsia="en-GB"/>
        </w:rPr>
        <w:t xml:space="preserve"> </w:t>
      </w:r>
      <w:r w:rsidR="00233A69" w:rsidRPr="00387039">
        <w:rPr>
          <w:rFonts w:eastAsia="Times New Roman"/>
          <w:noProof/>
          <w:lang w:eastAsia="en-GB"/>
        </w:rPr>
        <w:t>competent authorities</w:t>
      </w:r>
      <w:r w:rsidR="00387039" w:rsidRPr="00387039">
        <w:rPr>
          <w:rFonts w:eastAsia="Times New Roman"/>
          <w:noProof/>
          <w:lang w:eastAsia="en-GB"/>
        </w:rPr>
        <w:t xml:space="preserve"> are able</w:t>
      </w:r>
      <w:r w:rsidR="00233A69" w:rsidRPr="00387039">
        <w:rPr>
          <w:rFonts w:eastAsia="Times New Roman"/>
          <w:noProof/>
          <w:lang w:eastAsia="en-GB"/>
        </w:rPr>
        <w:t xml:space="preserve"> to enter information on relevant denials into the </w:t>
      </w:r>
      <w:r w:rsidR="001B6D6A" w:rsidRPr="001B6D6A">
        <w:rPr>
          <w:rFonts w:eastAsia="Times New Roman"/>
          <w:noProof/>
          <w:lang w:eastAsia="en-GB"/>
        </w:rPr>
        <w:t xml:space="preserve">Dual-use e-System </w:t>
      </w:r>
      <w:r w:rsidR="001B6D6A">
        <w:rPr>
          <w:rFonts w:eastAsia="Times New Roman"/>
          <w:noProof/>
          <w:lang w:eastAsia="en-GB"/>
        </w:rPr>
        <w:t>(</w:t>
      </w:r>
      <w:r w:rsidR="00233A69" w:rsidRPr="00387039">
        <w:rPr>
          <w:rFonts w:eastAsia="Times New Roman"/>
          <w:noProof/>
          <w:lang w:eastAsia="en-GB"/>
        </w:rPr>
        <w:t>DUeS</w:t>
      </w:r>
      <w:r w:rsidR="001B6D6A">
        <w:rPr>
          <w:rFonts w:eastAsia="Times New Roman"/>
          <w:noProof/>
          <w:lang w:eastAsia="en-GB"/>
        </w:rPr>
        <w:t>)</w:t>
      </w:r>
      <w:r w:rsidR="002B79F2">
        <w:rPr>
          <w:rStyle w:val="FootnoteReference"/>
          <w:rFonts w:eastAsia="Times New Roman"/>
          <w:noProof/>
          <w:lang w:eastAsia="en-GB"/>
        </w:rPr>
        <w:footnoteReference w:id="11"/>
      </w:r>
      <w:r w:rsidR="00233A69" w:rsidRPr="00387039">
        <w:rPr>
          <w:rFonts w:eastAsia="Times New Roman"/>
          <w:noProof/>
          <w:lang w:eastAsia="en-GB"/>
        </w:rPr>
        <w:t>, to consult, manage and browse UK denials already stored in DUeS</w:t>
      </w:r>
      <w:r w:rsidR="00387039" w:rsidRPr="00387039">
        <w:rPr>
          <w:rFonts w:eastAsia="Times New Roman"/>
          <w:noProof/>
          <w:lang w:eastAsia="en-GB"/>
        </w:rPr>
        <w:t xml:space="preserve"> as well as </w:t>
      </w:r>
      <w:r w:rsidR="00233A69" w:rsidRPr="00387039">
        <w:rPr>
          <w:rFonts w:eastAsia="Times New Roman"/>
          <w:noProof/>
          <w:lang w:eastAsia="en-GB"/>
        </w:rPr>
        <w:t xml:space="preserve">to </w:t>
      </w:r>
      <w:r w:rsidR="009570DA" w:rsidRPr="00387039">
        <w:rPr>
          <w:rFonts w:eastAsia="Times New Roman"/>
          <w:noProof/>
          <w:lang w:eastAsia="en-GB"/>
        </w:rPr>
        <w:t xml:space="preserve">receive </w:t>
      </w:r>
      <w:r w:rsidR="00233A69" w:rsidRPr="00387039">
        <w:rPr>
          <w:rFonts w:eastAsia="Times New Roman"/>
          <w:noProof/>
          <w:lang w:eastAsia="en-GB"/>
        </w:rPr>
        <w:t>the denial information that is relevant to a specific application for export of dual-use items from Northern Ireland</w:t>
      </w:r>
      <w:r w:rsidR="00387039" w:rsidRPr="00387039">
        <w:rPr>
          <w:rFonts w:eastAsia="Times New Roman"/>
          <w:noProof/>
          <w:lang w:eastAsia="en-GB"/>
        </w:rPr>
        <w:t>.</w:t>
      </w:r>
      <w:r w:rsidR="00387039">
        <w:rPr>
          <w:rFonts w:eastAsia="Times New Roman"/>
          <w:noProof/>
          <w:highlight w:val="yellow"/>
          <w:lang w:eastAsia="en-GB"/>
        </w:rPr>
        <w:t xml:space="preserve"> </w:t>
      </w:r>
    </w:p>
    <w:p w14:paraId="70B93F0E" w14:textId="77777777" w:rsidR="00AA655D" w:rsidRDefault="00AA655D" w:rsidP="00AA655D">
      <w:pPr>
        <w:jc w:val="both"/>
        <w:rPr>
          <w:rFonts w:eastAsia="Times New Roman"/>
          <w:noProof/>
          <w:lang w:eastAsia="en-GB"/>
        </w:rPr>
      </w:pPr>
    </w:p>
    <w:p w14:paraId="0DB4E36A" w14:textId="77777777" w:rsidR="00AA655D" w:rsidRDefault="00AA655D" w:rsidP="007B799A">
      <w:pPr>
        <w:keepNext/>
        <w:tabs>
          <w:tab w:val="left" w:pos="850"/>
        </w:tabs>
        <w:spacing w:after="120"/>
        <w:ind w:left="850" w:hanging="850"/>
        <w:jc w:val="both"/>
        <w:outlineLvl w:val="1"/>
        <w:rPr>
          <w:rFonts w:eastAsia="Times New Roman"/>
          <w:b/>
          <w:noProof/>
          <w:lang w:eastAsia="en-GB"/>
        </w:rPr>
      </w:pPr>
      <w:bookmarkStart w:id="6" w:name="_Toc368065773"/>
      <w:r>
        <w:rPr>
          <w:rFonts w:eastAsia="Times New Roman"/>
          <w:b/>
          <w:noProof/>
          <w:lang w:eastAsia="en-GB"/>
        </w:rPr>
        <w:t>2.3</w:t>
      </w:r>
      <w:r w:rsidR="00617132">
        <w:rPr>
          <w:rFonts w:eastAsia="Times New Roman"/>
          <w:b/>
          <w:noProof/>
          <w:lang w:eastAsia="en-GB"/>
        </w:rPr>
        <w:t>.</w:t>
      </w:r>
      <w:r>
        <w:rPr>
          <w:rFonts w:eastAsia="Times New Roman"/>
          <w:b/>
          <w:noProof/>
          <w:lang w:eastAsia="en-GB"/>
        </w:rPr>
        <w:tab/>
        <w:t>National implemention and enforcement measures</w:t>
      </w:r>
      <w:bookmarkEnd w:id="6"/>
    </w:p>
    <w:p w14:paraId="6F851F90" w14:textId="77777777" w:rsidR="00AA655D" w:rsidRPr="00971BC1" w:rsidRDefault="00DF60EB" w:rsidP="007B799A">
      <w:pPr>
        <w:keepNext/>
        <w:spacing w:before="100" w:beforeAutospacing="1" w:after="100" w:afterAutospacing="1"/>
        <w:jc w:val="both"/>
        <w:rPr>
          <w:rFonts w:eastAsia="Times New Roman"/>
          <w:noProof/>
          <w:u w:val="single"/>
          <w:lang w:eastAsia="en-GB"/>
        </w:rPr>
      </w:pPr>
      <w:r>
        <w:rPr>
          <w:rFonts w:eastAsia="Times New Roman"/>
          <w:noProof/>
          <w:u w:val="single"/>
          <w:lang w:eastAsia="en-GB"/>
        </w:rPr>
        <w:t>2</w:t>
      </w:r>
      <w:r w:rsidRPr="00971BC1">
        <w:rPr>
          <w:rFonts w:eastAsia="Times New Roman"/>
          <w:noProof/>
          <w:u w:val="single"/>
          <w:lang w:eastAsia="en-GB"/>
        </w:rPr>
        <w:t xml:space="preserve">.3.1. </w:t>
      </w:r>
      <w:r w:rsidR="00AA655D" w:rsidRPr="00971BC1">
        <w:rPr>
          <w:rFonts w:eastAsia="Times New Roman"/>
          <w:noProof/>
          <w:u w:val="single"/>
          <w:lang w:eastAsia="en-GB"/>
        </w:rPr>
        <w:t xml:space="preserve">Implementation measures </w:t>
      </w:r>
    </w:p>
    <w:p w14:paraId="6118D125" w14:textId="01A782EA" w:rsidR="00A3660F" w:rsidRPr="00971BC1" w:rsidRDefault="00AA655D" w:rsidP="00AA655D">
      <w:pPr>
        <w:spacing w:before="100" w:beforeAutospacing="1" w:after="100" w:afterAutospacing="1"/>
        <w:jc w:val="both"/>
        <w:rPr>
          <w:rFonts w:eastAsia="Times New Roman"/>
          <w:noProof/>
          <w:lang w:eastAsia="en-GB"/>
        </w:rPr>
      </w:pPr>
      <w:r w:rsidRPr="00A45200">
        <w:rPr>
          <w:rFonts w:eastAsia="Times New Roman"/>
          <w:noProof/>
          <w:lang w:eastAsia="en-GB"/>
        </w:rPr>
        <w:t>The Regulation is binding in its entirety and directly applicable in all Member States</w:t>
      </w:r>
      <w:r w:rsidR="00DF60EB" w:rsidRPr="005D3140">
        <w:rPr>
          <w:rFonts w:eastAsia="Times New Roman"/>
          <w:noProof/>
          <w:lang w:eastAsia="en-GB"/>
        </w:rPr>
        <w:t>. However</w:t>
      </w:r>
      <w:r w:rsidRPr="00971BC1">
        <w:rPr>
          <w:rFonts w:eastAsia="Times New Roman"/>
          <w:noProof/>
          <w:lang w:eastAsia="en-GB"/>
        </w:rPr>
        <w:t xml:space="preserve">, </w:t>
      </w:r>
      <w:r w:rsidR="00DF60EB" w:rsidRPr="00971BC1">
        <w:rPr>
          <w:rFonts w:eastAsia="Times New Roman"/>
          <w:noProof/>
          <w:lang w:eastAsia="en-GB"/>
        </w:rPr>
        <w:t xml:space="preserve">it </w:t>
      </w:r>
      <w:r w:rsidRPr="00971BC1">
        <w:rPr>
          <w:rFonts w:eastAsia="Times New Roman"/>
          <w:noProof/>
          <w:lang w:eastAsia="en-GB"/>
        </w:rPr>
        <w:t xml:space="preserve">provides that Member States take certain measures for the implementation of specific provisions, and that information on those </w:t>
      </w:r>
      <w:r w:rsidR="000E188C">
        <w:rPr>
          <w:rFonts w:eastAsia="Times New Roman"/>
          <w:noProof/>
          <w:lang w:eastAsia="en-GB"/>
        </w:rPr>
        <w:t xml:space="preserve">national </w:t>
      </w:r>
      <w:r w:rsidRPr="00971BC1">
        <w:rPr>
          <w:rFonts w:eastAsia="Times New Roman"/>
          <w:noProof/>
          <w:lang w:eastAsia="en-GB"/>
        </w:rPr>
        <w:t>measures should be published in the Official Journal of the European Union</w:t>
      </w:r>
      <w:r w:rsidR="000E188C">
        <w:rPr>
          <w:rFonts w:eastAsia="Times New Roman"/>
          <w:noProof/>
          <w:lang w:eastAsia="en-GB"/>
        </w:rPr>
        <w:t xml:space="preserve">. </w:t>
      </w:r>
      <w:r w:rsidR="007C0123" w:rsidRPr="00387039">
        <w:rPr>
          <w:rFonts w:eastAsia="Times New Roman"/>
          <w:noProof/>
          <w:lang w:eastAsia="en-GB"/>
        </w:rPr>
        <w:t>Accordingly</w:t>
      </w:r>
      <w:r w:rsidR="000E188C">
        <w:rPr>
          <w:rFonts w:eastAsia="Times New Roman"/>
          <w:noProof/>
          <w:lang w:eastAsia="en-GB"/>
        </w:rPr>
        <w:t>,</w:t>
      </w:r>
      <w:r w:rsidR="00FF7F39">
        <w:rPr>
          <w:rFonts w:eastAsia="Times New Roman"/>
          <w:noProof/>
          <w:lang w:eastAsia="en-GB"/>
        </w:rPr>
        <w:t xml:space="preserve"> the Commission published an</w:t>
      </w:r>
      <w:r w:rsidRPr="00971BC1">
        <w:rPr>
          <w:rFonts w:eastAsia="Times New Roman"/>
          <w:noProof/>
          <w:lang w:eastAsia="en-GB"/>
        </w:rPr>
        <w:t xml:space="preserve"> Information Note</w:t>
      </w:r>
      <w:r w:rsidR="003606C3" w:rsidRPr="00387039">
        <w:rPr>
          <w:rFonts w:eastAsia="Times New Roman"/>
          <w:noProof/>
          <w:lang w:eastAsia="en-GB"/>
        </w:rPr>
        <w:t xml:space="preserve"> on 17 January </w:t>
      </w:r>
      <w:r w:rsidRPr="00971BC1">
        <w:rPr>
          <w:rFonts w:eastAsia="Times New Roman"/>
          <w:noProof/>
          <w:lang w:eastAsia="en-GB"/>
        </w:rPr>
        <w:t>20</w:t>
      </w:r>
      <w:r w:rsidR="00266BEE" w:rsidRPr="00971BC1">
        <w:rPr>
          <w:rFonts w:eastAsia="Times New Roman"/>
          <w:noProof/>
          <w:lang w:eastAsia="en-GB"/>
        </w:rPr>
        <w:t>20</w:t>
      </w:r>
      <w:r w:rsidRPr="00971BC1">
        <w:rPr>
          <w:rFonts w:eastAsia="Times New Roman"/>
          <w:noProof/>
          <w:vertAlign w:val="superscript"/>
          <w:lang w:eastAsia="en-GB"/>
        </w:rPr>
        <w:footnoteReference w:id="12"/>
      </w:r>
      <w:r w:rsidR="007C0123" w:rsidRPr="00387039">
        <w:rPr>
          <w:rFonts w:eastAsia="Times New Roman"/>
          <w:noProof/>
          <w:lang w:eastAsia="en-GB"/>
        </w:rPr>
        <w:t xml:space="preserve"> which</w:t>
      </w:r>
      <w:r w:rsidRPr="00971BC1">
        <w:rPr>
          <w:rFonts w:eastAsia="Times New Roman"/>
          <w:noProof/>
          <w:lang w:eastAsia="en-GB"/>
        </w:rPr>
        <w:t xml:space="preserve"> provides an</w:t>
      </w:r>
      <w:r w:rsidR="00F72887" w:rsidRPr="00971BC1">
        <w:rPr>
          <w:rFonts w:eastAsia="Times New Roman"/>
          <w:noProof/>
          <w:lang w:eastAsia="en-GB"/>
        </w:rPr>
        <w:t xml:space="preserve"> updated</w:t>
      </w:r>
      <w:r w:rsidRPr="00971BC1">
        <w:rPr>
          <w:rFonts w:eastAsia="Times New Roman"/>
          <w:noProof/>
          <w:lang w:eastAsia="en-GB"/>
        </w:rPr>
        <w:t xml:space="preserve"> overview of measures taken by Member States including, inter alia, the extension of brokering and transit controls, the extension of controls to non-listed items for reasons of public security and human rights considerations, the introduction of national general export authorisations, the application of intra-EU transfer controls for non-listed items, as well as information relating to competent authorities. </w:t>
      </w:r>
      <w:r w:rsidR="007C0123" w:rsidRPr="00A45200">
        <w:rPr>
          <w:rFonts w:eastAsia="Times New Roman"/>
          <w:noProof/>
          <w:lang w:eastAsia="en-GB"/>
        </w:rPr>
        <w:t xml:space="preserve">This ensures </w:t>
      </w:r>
      <w:r w:rsidR="007C0123" w:rsidRPr="00971BC1">
        <w:rPr>
          <w:rFonts w:eastAsia="Times New Roman"/>
          <w:noProof/>
          <w:lang w:eastAsia="en-GB"/>
        </w:rPr>
        <w:t>that exporters have access to comprehensive information on the applicable legal provisions, and supports the consistent and effective implementation of controls throughout the EU.</w:t>
      </w:r>
    </w:p>
    <w:p w14:paraId="101C5FC5" w14:textId="77777777" w:rsidR="00AA655D" w:rsidRPr="00A45200" w:rsidRDefault="00DF60EB" w:rsidP="00AA655D">
      <w:pPr>
        <w:spacing w:before="100" w:beforeAutospacing="1" w:after="100" w:afterAutospacing="1"/>
        <w:jc w:val="both"/>
        <w:rPr>
          <w:rFonts w:eastAsia="Times New Roman"/>
          <w:noProof/>
          <w:u w:val="single"/>
          <w:lang w:eastAsia="en-GB"/>
        </w:rPr>
      </w:pPr>
      <w:r w:rsidRPr="00A45200">
        <w:rPr>
          <w:rFonts w:eastAsia="Times New Roman"/>
          <w:noProof/>
          <w:u w:val="single"/>
          <w:lang w:eastAsia="en-GB"/>
        </w:rPr>
        <w:t xml:space="preserve">2.3.2. </w:t>
      </w:r>
      <w:r w:rsidR="00AA655D" w:rsidRPr="00A45200">
        <w:rPr>
          <w:rFonts w:eastAsia="Times New Roman"/>
          <w:noProof/>
          <w:u w:val="single"/>
          <w:lang w:eastAsia="en-GB"/>
        </w:rPr>
        <w:t xml:space="preserve">Enforcement measures </w:t>
      </w:r>
    </w:p>
    <w:p w14:paraId="2B92CE8D" w14:textId="075074F8" w:rsidR="00AA655D" w:rsidRDefault="00183A77" w:rsidP="00AA655D">
      <w:pPr>
        <w:spacing w:before="100" w:beforeAutospacing="1" w:after="100" w:afterAutospacing="1"/>
        <w:jc w:val="both"/>
        <w:rPr>
          <w:rFonts w:eastAsia="Times New Roman"/>
          <w:noProof/>
          <w:lang w:eastAsia="en-GB"/>
        </w:rPr>
      </w:pPr>
      <w:r>
        <w:rPr>
          <w:rFonts w:eastAsia="Times New Roman"/>
          <w:noProof/>
          <w:lang w:eastAsia="en-GB"/>
        </w:rPr>
        <w:t>According to information made available to the Commission, there have been no new developments in 2020. The</w:t>
      </w:r>
      <w:r w:rsidR="00AA655D" w:rsidRPr="00A45200">
        <w:rPr>
          <w:rFonts w:eastAsia="Times New Roman"/>
          <w:noProof/>
          <w:lang w:eastAsia="en-GB"/>
        </w:rPr>
        <w:t xml:space="preserve"> list of national enforcement measures published together with the 2019 </w:t>
      </w:r>
      <w:r w:rsidR="002B79F2">
        <w:rPr>
          <w:rFonts w:eastAsia="Times New Roman"/>
          <w:noProof/>
          <w:lang w:eastAsia="en-GB"/>
        </w:rPr>
        <w:t>a</w:t>
      </w:r>
      <w:r w:rsidR="00AA655D" w:rsidRPr="00A45200">
        <w:rPr>
          <w:rFonts w:eastAsia="Times New Roman"/>
          <w:noProof/>
          <w:lang w:eastAsia="en-GB"/>
        </w:rPr>
        <w:t xml:space="preserve">nnual </w:t>
      </w:r>
      <w:r w:rsidR="002B79F2">
        <w:rPr>
          <w:rFonts w:eastAsia="Times New Roman"/>
          <w:noProof/>
          <w:lang w:eastAsia="en-GB"/>
        </w:rPr>
        <w:t>e</w:t>
      </w:r>
      <w:r w:rsidR="00AA655D" w:rsidRPr="00A45200">
        <w:rPr>
          <w:rFonts w:eastAsia="Times New Roman"/>
          <w:noProof/>
          <w:lang w:eastAsia="en-GB"/>
        </w:rPr>
        <w:t xml:space="preserve">xport </w:t>
      </w:r>
      <w:r w:rsidR="002B79F2">
        <w:rPr>
          <w:rFonts w:eastAsia="Times New Roman"/>
          <w:noProof/>
          <w:lang w:eastAsia="en-GB"/>
        </w:rPr>
        <w:t>c</w:t>
      </w:r>
      <w:r w:rsidR="00AA655D" w:rsidRPr="00A45200">
        <w:rPr>
          <w:rFonts w:eastAsia="Times New Roman"/>
          <w:noProof/>
          <w:lang w:eastAsia="en-GB"/>
        </w:rPr>
        <w:t xml:space="preserve">ontrol </w:t>
      </w:r>
      <w:r w:rsidR="002B79F2">
        <w:rPr>
          <w:rFonts w:eastAsia="Times New Roman"/>
          <w:noProof/>
          <w:lang w:eastAsia="en-GB"/>
        </w:rPr>
        <w:t>r</w:t>
      </w:r>
      <w:r w:rsidR="00AA655D" w:rsidRPr="00A45200">
        <w:rPr>
          <w:rFonts w:eastAsia="Times New Roman"/>
          <w:noProof/>
          <w:lang w:eastAsia="en-GB"/>
        </w:rPr>
        <w:t>eport</w:t>
      </w:r>
      <w:r w:rsidR="00326187" w:rsidRPr="00A45200">
        <w:rPr>
          <w:rStyle w:val="FootnoteReference"/>
          <w:rFonts w:eastAsia="Times New Roman"/>
          <w:noProof/>
          <w:lang w:eastAsia="en-GB"/>
        </w:rPr>
        <w:footnoteReference w:id="13"/>
      </w:r>
      <w:r w:rsidR="00AA655D" w:rsidRPr="00A45200">
        <w:rPr>
          <w:rFonts w:eastAsia="Times New Roman"/>
          <w:noProof/>
          <w:lang w:eastAsia="en-GB"/>
        </w:rPr>
        <w:t xml:space="preserve"> </w:t>
      </w:r>
      <w:r>
        <w:rPr>
          <w:rFonts w:eastAsia="Times New Roman"/>
          <w:noProof/>
          <w:lang w:eastAsia="en-GB"/>
        </w:rPr>
        <w:t>theref</w:t>
      </w:r>
      <w:r w:rsidR="003033E7">
        <w:rPr>
          <w:rFonts w:eastAsia="Times New Roman"/>
          <w:noProof/>
          <w:lang w:eastAsia="en-GB"/>
        </w:rPr>
        <w:t>ore</w:t>
      </w:r>
      <w:r w:rsidR="00AA655D" w:rsidRPr="00A45200">
        <w:rPr>
          <w:rFonts w:eastAsia="Times New Roman"/>
          <w:noProof/>
          <w:lang w:eastAsia="en-GB"/>
        </w:rPr>
        <w:t xml:space="preserve"> remains valid</w:t>
      </w:r>
      <w:r w:rsidR="00AA655D" w:rsidRPr="00CD305E">
        <w:rPr>
          <w:rFonts w:eastAsia="Times New Roman"/>
          <w:noProof/>
          <w:lang w:eastAsia="en-GB"/>
        </w:rPr>
        <w:t>.</w:t>
      </w:r>
    </w:p>
    <w:p w14:paraId="3A0AC3BA" w14:textId="77777777" w:rsidR="00F72887" w:rsidRDefault="00F72887" w:rsidP="00AA655D">
      <w:pPr>
        <w:spacing w:before="100" w:beforeAutospacing="1" w:after="100" w:afterAutospacing="1"/>
        <w:jc w:val="both"/>
        <w:rPr>
          <w:rFonts w:eastAsia="Times New Roman"/>
          <w:noProof/>
          <w:lang w:eastAsia="en-GB"/>
        </w:rPr>
      </w:pPr>
    </w:p>
    <w:p w14:paraId="4A037B81" w14:textId="77777777" w:rsidR="00AA655D" w:rsidRDefault="00AA655D" w:rsidP="00AA655D">
      <w:pPr>
        <w:keepNext/>
        <w:tabs>
          <w:tab w:val="left" w:pos="850"/>
        </w:tabs>
        <w:spacing w:after="120"/>
        <w:ind w:left="850" w:hanging="850"/>
        <w:jc w:val="both"/>
        <w:outlineLvl w:val="0"/>
        <w:rPr>
          <w:rFonts w:eastAsia="Times New Roman"/>
          <w:b/>
          <w:smallCaps/>
          <w:noProof/>
          <w:lang w:eastAsia="en-GB"/>
        </w:rPr>
      </w:pPr>
      <w:bookmarkStart w:id="7" w:name="_Toc368065775"/>
      <w:r>
        <w:rPr>
          <w:rFonts w:eastAsia="Times New Roman"/>
          <w:b/>
          <w:smallCaps/>
          <w:noProof/>
          <w:lang w:eastAsia="en-GB"/>
        </w:rPr>
        <w:t>3.</w:t>
      </w:r>
      <w:r>
        <w:rPr>
          <w:rFonts w:eastAsia="Times New Roman"/>
          <w:b/>
          <w:smallCaps/>
          <w:noProof/>
          <w:lang w:eastAsia="en-GB"/>
        </w:rPr>
        <w:tab/>
        <w:t>Activities of the Dual-Use Coordination Group</w:t>
      </w:r>
      <w:bookmarkEnd w:id="7"/>
    </w:p>
    <w:p w14:paraId="02A5E1E7" w14:textId="77777777" w:rsidR="00AA655D" w:rsidRDefault="00C6061E" w:rsidP="00AA655D">
      <w:pPr>
        <w:spacing w:before="100" w:beforeAutospacing="1" w:after="100" w:afterAutospacing="1"/>
        <w:jc w:val="both"/>
        <w:rPr>
          <w:rFonts w:eastAsia="Times New Roman"/>
          <w:noProof/>
          <w:lang w:eastAsia="en-GB"/>
        </w:rPr>
      </w:pPr>
      <w:r w:rsidRPr="00C6061E">
        <w:rPr>
          <w:rFonts w:eastAsia="Times New Roman"/>
          <w:noProof/>
          <w:lang w:eastAsia="en-GB"/>
        </w:rPr>
        <w:t xml:space="preserve">The Dual-Use Coordination Group (DUCG) brings together experts from the Commission and Member States to examine any issue concerning the application of export controls with a view to practically improving their consistency and effectiveness throughout the EU. </w:t>
      </w:r>
      <w:r>
        <w:rPr>
          <w:rFonts w:eastAsia="Times New Roman"/>
          <w:noProof/>
          <w:lang w:eastAsia="en-GB"/>
        </w:rPr>
        <w:t>T</w:t>
      </w:r>
      <w:r w:rsidR="00AA655D">
        <w:rPr>
          <w:rFonts w:eastAsia="Times New Roman"/>
          <w:noProof/>
          <w:lang w:eastAsia="en-GB"/>
        </w:rPr>
        <w:t>he Regulation requires the</w:t>
      </w:r>
      <w:r w:rsidR="001B6D6A">
        <w:rPr>
          <w:rFonts w:eastAsia="Times New Roman"/>
          <w:noProof/>
          <w:lang w:eastAsia="en-GB"/>
        </w:rPr>
        <w:t xml:space="preserve"> </w:t>
      </w:r>
      <w:r w:rsidR="00AA655D">
        <w:rPr>
          <w:rFonts w:eastAsia="Times New Roman"/>
          <w:noProof/>
          <w:lang w:eastAsia="en-GB"/>
        </w:rPr>
        <w:t xml:space="preserve">Commission </w:t>
      </w:r>
      <w:r>
        <w:rPr>
          <w:rFonts w:eastAsia="Times New Roman"/>
          <w:noProof/>
          <w:lang w:eastAsia="en-GB"/>
        </w:rPr>
        <w:t>to</w:t>
      </w:r>
      <w:r w:rsidR="00AA655D">
        <w:rPr>
          <w:rFonts w:eastAsia="Times New Roman"/>
          <w:noProof/>
          <w:lang w:eastAsia="en-GB"/>
        </w:rPr>
        <w:t xml:space="preserve"> submit an annual report to the European Parliament on the activities, examinations and consultations of the</w:t>
      </w:r>
      <w:r w:rsidR="001B6D6A">
        <w:rPr>
          <w:rFonts w:eastAsia="Times New Roman"/>
          <w:noProof/>
          <w:lang w:eastAsia="en-GB"/>
        </w:rPr>
        <w:t xml:space="preserve"> </w:t>
      </w:r>
      <w:r w:rsidR="00AA655D">
        <w:rPr>
          <w:rFonts w:eastAsia="Times New Roman"/>
          <w:noProof/>
          <w:lang w:eastAsia="en-GB"/>
        </w:rPr>
        <w:t>DUCG</w:t>
      </w:r>
      <w:r>
        <w:rPr>
          <w:rFonts w:eastAsia="Times New Roman"/>
          <w:noProof/>
          <w:lang w:eastAsia="en-GB"/>
        </w:rPr>
        <w:t>.</w:t>
      </w:r>
      <w:r w:rsidR="00AA655D">
        <w:rPr>
          <w:rFonts w:eastAsia="Times New Roman"/>
          <w:noProof/>
          <w:lang w:eastAsia="en-GB"/>
        </w:rPr>
        <w:t xml:space="preserve"> </w:t>
      </w:r>
    </w:p>
    <w:p w14:paraId="30D80CD2" w14:textId="77777777" w:rsidR="00AA655D" w:rsidRDefault="00AA655D" w:rsidP="00AA655D">
      <w:pPr>
        <w:spacing w:before="100" w:beforeAutospacing="1" w:after="100" w:afterAutospacing="1"/>
        <w:jc w:val="both"/>
        <w:rPr>
          <w:rFonts w:eastAsia="Times New Roman"/>
          <w:noProof/>
          <w:lang w:eastAsia="en-GB"/>
        </w:rPr>
      </w:pPr>
      <w:r w:rsidRPr="00DC059D">
        <w:rPr>
          <w:rFonts w:eastAsia="Times New Roman"/>
          <w:noProof/>
          <w:lang w:eastAsia="en-GB"/>
        </w:rPr>
        <w:t xml:space="preserve">The DUCG held seven </w:t>
      </w:r>
      <w:r w:rsidR="009A6A37">
        <w:rPr>
          <w:rFonts w:eastAsia="Times New Roman"/>
          <w:noProof/>
          <w:lang w:eastAsia="en-GB"/>
        </w:rPr>
        <w:t xml:space="preserve">– mostly virtual - </w:t>
      </w:r>
      <w:r w:rsidRPr="00DC059D">
        <w:rPr>
          <w:rFonts w:eastAsia="Times New Roman"/>
          <w:noProof/>
          <w:lang w:eastAsia="en-GB"/>
        </w:rPr>
        <w:t>meetings</w:t>
      </w:r>
      <w:r w:rsidR="00F72887">
        <w:rPr>
          <w:rFonts w:eastAsia="Times New Roman"/>
          <w:noProof/>
          <w:lang w:eastAsia="en-GB"/>
        </w:rPr>
        <w:t xml:space="preserve"> </w:t>
      </w:r>
      <w:r w:rsidR="00DF60EB">
        <w:rPr>
          <w:rFonts w:eastAsia="Times New Roman"/>
          <w:noProof/>
          <w:lang w:eastAsia="en-GB"/>
        </w:rPr>
        <w:t>in 2020</w:t>
      </w:r>
      <w:r w:rsidRPr="00DC059D">
        <w:rPr>
          <w:rFonts w:eastAsia="Times New Roman"/>
          <w:noProof/>
          <w:lang w:eastAsia="en-GB"/>
        </w:rPr>
        <w:t xml:space="preserve">, </w:t>
      </w:r>
      <w:r w:rsidR="00326187">
        <w:rPr>
          <w:rFonts w:eastAsia="Times New Roman"/>
          <w:noProof/>
          <w:lang w:eastAsia="en-GB"/>
        </w:rPr>
        <w:t xml:space="preserve">confirming its function as </w:t>
      </w:r>
      <w:r w:rsidRPr="00DC059D">
        <w:rPr>
          <w:rFonts w:eastAsia="Times New Roman"/>
          <w:noProof/>
          <w:lang w:eastAsia="en-GB"/>
        </w:rPr>
        <w:t xml:space="preserve">a forum for consultations on a number of topical issues </w:t>
      </w:r>
      <w:r w:rsidR="00326187">
        <w:rPr>
          <w:rFonts w:eastAsia="Times New Roman"/>
          <w:noProof/>
          <w:lang w:eastAsia="en-GB"/>
        </w:rPr>
        <w:t xml:space="preserve">described here. </w:t>
      </w:r>
    </w:p>
    <w:p w14:paraId="6B70AD14" w14:textId="77777777" w:rsidR="00AA655D" w:rsidRDefault="00AA655D" w:rsidP="00AA655D">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3.1</w:t>
      </w:r>
      <w:r w:rsidR="00617132">
        <w:rPr>
          <w:rFonts w:eastAsia="Times New Roman"/>
          <w:b/>
          <w:noProof/>
          <w:lang w:eastAsia="en-GB"/>
        </w:rPr>
        <w:t>.</w:t>
      </w:r>
      <w:r>
        <w:rPr>
          <w:rFonts w:eastAsia="Times New Roman"/>
          <w:b/>
          <w:noProof/>
          <w:lang w:eastAsia="en-GB"/>
        </w:rPr>
        <w:tab/>
        <w:t xml:space="preserve">Consultations on implementation issues - </w:t>
      </w:r>
      <w:r>
        <w:rPr>
          <w:rFonts w:eastAsia="Calibri"/>
          <w:b/>
          <w:noProof/>
        </w:rPr>
        <w:t>general information exchange</w:t>
      </w:r>
    </w:p>
    <w:p w14:paraId="5CACD279" w14:textId="77777777" w:rsidR="00AA655D" w:rsidRDefault="00AA655D" w:rsidP="00AA655D">
      <w:pPr>
        <w:autoSpaceDE w:val="0"/>
        <w:autoSpaceDN w:val="0"/>
        <w:adjustRightInd w:val="0"/>
        <w:jc w:val="both"/>
        <w:rPr>
          <w:rFonts w:eastAsia="Calibri"/>
          <w:noProof/>
          <w:lang w:eastAsia="en-GB"/>
        </w:rPr>
      </w:pPr>
    </w:p>
    <w:p w14:paraId="6D134FAF" w14:textId="77777777" w:rsidR="00AA655D" w:rsidRDefault="00AA655D" w:rsidP="00AA655D">
      <w:pPr>
        <w:jc w:val="both"/>
        <w:rPr>
          <w:rFonts w:eastAsia="Calibri"/>
          <w:noProof/>
          <w:lang w:eastAsia="en-GB"/>
        </w:rPr>
      </w:pPr>
      <w:r>
        <w:rPr>
          <w:rFonts w:eastAsia="Calibri"/>
          <w:noProof/>
          <w:lang w:eastAsia="en-GB"/>
        </w:rPr>
        <w:t xml:space="preserve">The DUCG conducted </w:t>
      </w:r>
      <w:r>
        <w:rPr>
          <w:rFonts w:eastAsia="Calibri"/>
          <w:b/>
          <w:i/>
          <w:noProof/>
          <w:lang w:eastAsia="en-GB"/>
        </w:rPr>
        <w:t>general information exchanges on export control issues</w:t>
      </w:r>
      <w:r>
        <w:rPr>
          <w:rFonts w:eastAsia="Calibri"/>
          <w:noProof/>
          <w:lang w:eastAsia="en-GB"/>
        </w:rPr>
        <w:t xml:space="preserve">, including in support of the </w:t>
      </w:r>
      <w:r w:rsidR="00DF60EB">
        <w:rPr>
          <w:rFonts w:eastAsia="Calibri"/>
          <w:noProof/>
          <w:lang w:eastAsia="en-GB"/>
        </w:rPr>
        <w:t xml:space="preserve">legislative </w:t>
      </w:r>
      <w:r>
        <w:rPr>
          <w:rFonts w:eastAsia="Calibri"/>
          <w:noProof/>
          <w:lang w:eastAsia="en-GB"/>
        </w:rPr>
        <w:t>modernisation of EU export controls</w:t>
      </w:r>
      <w:r w:rsidR="00DF60EB">
        <w:rPr>
          <w:rFonts w:eastAsia="Calibri"/>
          <w:noProof/>
          <w:lang w:eastAsia="en-GB"/>
        </w:rPr>
        <w:t xml:space="preserve"> explained above</w:t>
      </w:r>
      <w:r>
        <w:rPr>
          <w:rFonts w:eastAsia="Calibri"/>
          <w:noProof/>
          <w:lang w:eastAsia="en-GB"/>
        </w:rPr>
        <w:t xml:space="preserve">. </w:t>
      </w:r>
    </w:p>
    <w:p w14:paraId="18E4E3B7" w14:textId="77777777" w:rsidR="00AA655D" w:rsidRDefault="00AA655D" w:rsidP="00AA655D">
      <w:pPr>
        <w:jc w:val="both"/>
        <w:rPr>
          <w:rFonts w:eastAsia="Calibri"/>
          <w:noProof/>
          <w:lang w:eastAsia="en-GB"/>
        </w:rPr>
      </w:pPr>
    </w:p>
    <w:p w14:paraId="20008FC4" w14:textId="77777777" w:rsidR="00AA655D" w:rsidRDefault="001B5C4A" w:rsidP="00AA655D">
      <w:pPr>
        <w:pStyle w:val="Default"/>
        <w:jc w:val="both"/>
        <w:rPr>
          <w:rFonts w:ascii="Times New Roman" w:eastAsia="Calibri" w:hAnsi="Times New Roman" w:cs="Times New Roman"/>
          <w:noProof/>
          <w:color w:val="auto"/>
          <w:lang w:eastAsia="en-GB"/>
        </w:rPr>
      </w:pPr>
      <w:r w:rsidRPr="001B5C4A">
        <w:rPr>
          <w:rFonts w:ascii="Times New Roman" w:eastAsia="Calibri" w:hAnsi="Times New Roman" w:cs="Times New Roman"/>
          <w:noProof/>
          <w:color w:val="auto"/>
          <w:lang w:eastAsia="en-GB"/>
        </w:rPr>
        <w:t xml:space="preserve">The DUCG exchanged information regarding </w:t>
      </w:r>
      <w:r w:rsidRPr="00F72887">
        <w:rPr>
          <w:rFonts w:ascii="Times New Roman" w:eastAsia="Calibri" w:hAnsi="Times New Roman" w:cs="Times New Roman"/>
          <w:b/>
          <w:i/>
          <w:noProof/>
          <w:color w:val="auto"/>
          <w:lang w:eastAsia="en-GB"/>
        </w:rPr>
        <w:t>national implementing measures</w:t>
      </w:r>
      <w:r w:rsidRPr="001B5C4A">
        <w:rPr>
          <w:rFonts w:ascii="Times New Roman" w:eastAsia="Calibri" w:hAnsi="Times New Roman" w:cs="Times New Roman"/>
          <w:noProof/>
          <w:color w:val="auto"/>
          <w:lang w:eastAsia="en-GB"/>
        </w:rPr>
        <w:t xml:space="preserve"> and prepared </w:t>
      </w:r>
      <w:r w:rsidR="00473192">
        <w:rPr>
          <w:rFonts w:ascii="Times New Roman" w:eastAsia="Calibri" w:hAnsi="Times New Roman" w:cs="Times New Roman"/>
          <w:noProof/>
          <w:color w:val="auto"/>
          <w:lang w:eastAsia="en-GB"/>
        </w:rPr>
        <w:t xml:space="preserve">the </w:t>
      </w:r>
      <w:r w:rsidRPr="001B5C4A">
        <w:rPr>
          <w:rFonts w:ascii="Times New Roman" w:eastAsia="Calibri" w:hAnsi="Times New Roman" w:cs="Times New Roman"/>
          <w:noProof/>
          <w:color w:val="auto"/>
          <w:lang w:eastAsia="en-GB"/>
        </w:rPr>
        <w:t>update of the official information notice on national measures.</w:t>
      </w:r>
      <w:r w:rsidRPr="001B5C4A">
        <w:rPr>
          <w:rFonts w:ascii="Times New Roman" w:eastAsia="Calibri" w:hAnsi="Times New Roman" w:cs="Times New Roman"/>
          <w:noProof/>
          <w:color w:val="auto"/>
          <w:vertAlign w:val="superscript"/>
          <w:lang w:eastAsia="en-GB"/>
        </w:rPr>
        <w:footnoteReference w:id="14"/>
      </w:r>
    </w:p>
    <w:p w14:paraId="50981317" w14:textId="77777777" w:rsidR="001B5C4A" w:rsidRDefault="001B5C4A" w:rsidP="00AA655D">
      <w:pPr>
        <w:pStyle w:val="Default"/>
        <w:jc w:val="both"/>
        <w:rPr>
          <w:rFonts w:ascii="Times New Roman" w:eastAsia="Calibri" w:hAnsi="Times New Roman" w:cs="Times New Roman"/>
          <w:noProof/>
          <w:color w:val="auto"/>
          <w:lang w:eastAsia="en-GB"/>
        </w:rPr>
      </w:pPr>
    </w:p>
    <w:p w14:paraId="75213EBB" w14:textId="77777777" w:rsidR="001B5C4A" w:rsidRDefault="00D90CD1" w:rsidP="00AA655D">
      <w:pPr>
        <w:pStyle w:val="Default"/>
        <w:jc w:val="both"/>
        <w:rPr>
          <w:rFonts w:ascii="Times New Roman" w:eastAsia="Calibri" w:hAnsi="Times New Roman" w:cs="Times New Roman"/>
          <w:noProof/>
          <w:color w:val="auto"/>
          <w:lang w:eastAsia="en-GB"/>
        </w:rPr>
      </w:pPr>
      <w:r>
        <w:rPr>
          <w:rFonts w:ascii="Times New Roman" w:eastAsia="Calibri" w:hAnsi="Times New Roman" w:cs="Times New Roman"/>
          <w:noProof/>
          <w:color w:val="auto"/>
          <w:lang w:eastAsia="en-GB"/>
        </w:rPr>
        <w:t xml:space="preserve">With regard to </w:t>
      </w:r>
      <w:r w:rsidRPr="00A45200">
        <w:rPr>
          <w:rFonts w:ascii="Times New Roman" w:eastAsia="Calibri" w:hAnsi="Times New Roman" w:cs="Times New Roman"/>
          <w:b/>
          <w:i/>
          <w:noProof/>
          <w:color w:val="auto"/>
          <w:lang w:eastAsia="en-GB"/>
        </w:rPr>
        <w:t>Brexit</w:t>
      </w:r>
      <w:r>
        <w:rPr>
          <w:rFonts w:ascii="Times New Roman" w:eastAsia="Calibri" w:hAnsi="Times New Roman" w:cs="Times New Roman"/>
          <w:b/>
          <w:i/>
          <w:noProof/>
          <w:color w:val="auto"/>
          <w:lang w:eastAsia="en-GB"/>
        </w:rPr>
        <w:t xml:space="preserve"> </w:t>
      </w:r>
      <w:r>
        <w:rPr>
          <w:rFonts w:ascii="Times New Roman" w:eastAsia="Calibri" w:hAnsi="Times New Roman" w:cs="Times New Roman"/>
          <w:noProof/>
          <w:color w:val="auto"/>
          <w:lang w:eastAsia="en-GB"/>
        </w:rPr>
        <w:t>t</w:t>
      </w:r>
      <w:r w:rsidR="001B5C4A" w:rsidRPr="001B5C4A">
        <w:rPr>
          <w:rFonts w:ascii="Times New Roman" w:eastAsia="Calibri" w:hAnsi="Times New Roman" w:cs="Times New Roman"/>
          <w:noProof/>
          <w:color w:val="auto"/>
          <w:lang w:eastAsia="en-GB"/>
        </w:rPr>
        <w:t>he DUCG</w:t>
      </w:r>
      <w:r w:rsidRPr="00D90CD1">
        <w:rPr>
          <w:noProof/>
        </w:rPr>
        <w:t xml:space="preserve"> </w:t>
      </w:r>
      <w:r w:rsidRPr="00D90CD1">
        <w:rPr>
          <w:rFonts w:ascii="Times New Roman" w:eastAsia="Calibri" w:hAnsi="Times New Roman" w:cs="Times New Roman"/>
          <w:noProof/>
          <w:color w:val="auto"/>
          <w:lang w:eastAsia="en-GB"/>
        </w:rPr>
        <w:t>not only contributed to the development of the IT tool supporting information-exchange for the application of controls under the Northern-Ireland Protocol but also reviewed changes to licensing requirements and contributed to the preparation of an updated</w:t>
      </w:r>
      <w:r>
        <w:rPr>
          <w:rFonts w:ascii="Times New Roman" w:eastAsia="Calibri" w:hAnsi="Times New Roman" w:cs="Times New Roman"/>
          <w:noProof/>
          <w:color w:val="auto"/>
          <w:lang w:eastAsia="en-GB"/>
        </w:rPr>
        <w:t xml:space="preserve"> </w:t>
      </w:r>
      <w:r w:rsidR="001B5C4A" w:rsidRPr="00F72887">
        <w:rPr>
          <w:rFonts w:ascii="Times New Roman" w:eastAsia="Calibri" w:hAnsi="Times New Roman" w:cs="Times New Roman"/>
          <w:b/>
          <w:i/>
          <w:noProof/>
          <w:color w:val="auto"/>
          <w:lang w:eastAsia="en-GB"/>
        </w:rPr>
        <w:t>"readiness notice"</w:t>
      </w:r>
      <w:r w:rsidR="001B5C4A">
        <w:rPr>
          <w:rStyle w:val="FootnoteReference"/>
          <w:rFonts w:ascii="Times New Roman" w:eastAsia="Calibri" w:hAnsi="Times New Roman" w:cs="Times New Roman"/>
          <w:b/>
          <w:i/>
          <w:noProof/>
          <w:color w:val="auto"/>
          <w:lang w:eastAsia="en-GB"/>
        </w:rPr>
        <w:footnoteReference w:id="15"/>
      </w:r>
      <w:r w:rsidR="001B5C4A" w:rsidRPr="001B5C4A">
        <w:rPr>
          <w:rFonts w:ascii="Times New Roman" w:eastAsia="Calibri" w:hAnsi="Times New Roman" w:cs="Times New Roman"/>
          <w:noProof/>
          <w:color w:val="auto"/>
          <w:lang w:eastAsia="en-GB"/>
        </w:rPr>
        <w:t xml:space="preserve"> on dual use </w:t>
      </w:r>
      <w:r w:rsidR="001B5C4A">
        <w:rPr>
          <w:rFonts w:ascii="Times New Roman" w:eastAsia="Calibri" w:hAnsi="Times New Roman" w:cs="Times New Roman"/>
          <w:noProof/>
          <w:color w:val="auto"/>
          <w:lang w:eastAsia="en-GB"/>
        </w:rPr>
        <w:t>for the attention of exporters</w:t>
      </w:r>
      <w:r w:rsidR="001B5C4A" w:rsidRPr="001B5C4A">
        <w:rPr>
          <w:rFonts w:ascii="Times New Roman" w:eastAsia="Calibri" w:hAnsi="Times New Roman" w:cs="Times New Roman"/>
          <w:noProof/>
          <w:color w:val="auto"/>
          <w:lang w:eastAsia="en-GB"/>
        </w:rPr>
        <w:t xml:space="preserve">. </w:t>
      </w:r>
    </w:p>
    <w:p w14:paraId="177082EC" w14:textId="77777777" w:rsidR="00AA655D" w:rsidRDefault="00AA655D" w:rsidP="00AA655D">
      <w:pPr>
        <w:spacing w:before="100" w:beforeAutospacing="1" w:after="100" w:afterAutospacing="1"/>
        <w:jc w:val="both"/>
        <w:rPr>
          <w:rFonts w:eastAsia="Calibri"/>
          <w:noProof/>
          <w:lang w:eastAsia="en-GB"/>
        </w:rPr>
      </w:pPr>
      <w:r>
        <w:rPr>
          <w:rFonts w:eastAsia="Calibri"/>
          <w:noProof/>
        </w:rPr>
        <w:t>T</w:t>
      </w:r>
      <w:r>
        <w:rPr>
          <w:rFonts w:eastAsia="Calibri"/>
          <w:noProof/>
          <w:lang w:eastAsia="en-GB"/>
        </w:rPr>
        <w:t xml:space="preserve">he DUCG conducted a </w:t>
      </w:r>
      <w:r>
        <w:rPr>
          <w:rFonts w:eastAsia="Calibri"/>
          <w:b/>
          <w:i/>
          <w:noProof/>
          <w:lang w:eastAsia="en-GB"/>
        </w:rPr>
        <w:t>licensing data collection exercise</w:t>
      </w:r>
      <w:r>
        <w:rPr>
          <w:rFonts w:eastAsia="Calibri"/>
          <w:noProof/>
          <w:lang w:eastAsia="en-GB"/>
        </w:rPr>
        <w:t xml:space="preserve"> on 201</w:t>
      </w:r>
      <w:r w:rsidR="007326DB">
        <w:rPr>
          <w:rFonts w:eastAsia="Calibri"/>
          <w:noProof/>
          <w:lang w:eastAsia="en-GB"/>
        </w:rPr>
        <w:t>9</w:t>
      </w:r>
      <w:r>
        <w:rPr>
          <w:rFonts w:eastAsia="Calibri"/>
          <w:noProof/>
          <w:lang w:eastAsia="en-GB"/>
        </w:rPr>
        <w:t xml:space="preserve"> data in order to enhance information exchange between Member States - especially regarding the collection of data under global and general export authoritisations - and to increase public transparency on EU dual-use export controls (</w:t>
      </w:r>
      <w:r>
        <w:rPr>
          <w:rFonts w:eastAsia="Calibri"/>
          <w:noProof/>
        </w:rPr>
        <w:t>EU 201</w:t>
      </w:r>
      <w:r w:rsidR="007326DB">
        <w:rPr>
          <w:rFonts w:eastAsia="Calibri"/>
          <w:noProof/>
        </w:rPr>
        <w:t>9</w:t>
      </w:r>
      <w:r>
        <w:rPr>
          <w:rFonts w:eastAsia="Calibri"/>
          <w:noProof/>
        </w:rPr>
        <w:t xml:space="preserve"> aggregated  data was used in the preparation of this annual report).</w:t>
      </w:r>
      <w:r w:rsidR="008C7685" w:rsidRPr="008C7685">
        <w:rPr>
          <w:noProof/>
        </w:rPr>
        <w:t xml:space="preserve"> </w:t>
      </w:r>
    </w:p>
    <w:p w14:paraId="525B5C4B" w14:textId="77777777" w:rsidR="00D90CD1" w:rsidRDefault="00161E18" w:rsidP="00AA655D">
      <w:pPr>
        <w:jc w:val="both"/>
        <w:rPr>
          <w:rFonts w:eastAsia="Calibri"/>
          <w:noProof/>
        </w:rPr>
      </w:pPr>
      <w:r w:rsidRPr="00A45200">
        <w:rPr>
          <w:rFonts w:eastAsia="Calibri"/>
          <w:noProof/>
        </w:rPr>
        <w:t xml:space="preserve">The DUCG conducted a </w:t>
      </w:r>
      <w:r w:rsidRPr="00A45200">
        <w:rPr>
          <w:rFonts w:eastAsia="Calibri"/>
          <w:b/>
          <w:i/>
          <w:noProof/>
        </w:rPr>
        <w:t>technical exchange of information on the application of controls on cyber-surveillance technologies</w:t>
      </w:r>
      <w:r w:rsidR="0058303A" w:rsidRPr="00A45200">
        <w:rPr>
          <w:rFonts w:eastAsia="Calibri"/>
          <w:noProof/>
        </w:rPr>
        <w:t xml:space="preserve"> in 2019</w:t>
      </w:r>
      <w:r w:rsidRPr="00A45200">
        <w:rPr>
          <w:rFonts w:eastAsia="Calibri"/>
          <w:noProof/>
        </w:rPr>
        <w:t>.</w:t>
      </w:r>
      <w:r w:rsidR="00277A08" w:rsidRPr="00A45200">
        <w:rPr>
          <w:rFonts w:eastAsia="Calibri"/>
          <w:noProof/>
        </w:rPr>
        <w:t xml:space="preserve"> </w:t>
      </w:r>
    </w:p>
    <w:p w14:paraId="15F08ACE" w14:textId="77777777" w:rsidR="001B6D6A" w:rsidRPr="005D3140" w:rsidRDefault="001B6D6A" w:rsidP="00AA655D">
      <w:pPr>
        <w:jc w:val="both"/>
        <w:rPr>
          <w:rFonts w:eastAsia="Calibri"/>
          <w:noProof/>
        </w:rPr>
      </w:pPr>
    </w:p>
    <w:p w14:paraId="4809C758" w14:textId="34A3FC67" w:rsidR="00AA655D" w:rsidRPr="00F72887" w:rsidRDefault="00AA655D" w:rsidP="00AA655D">
      <w:pPr>
        <w:jc w:val="both"/>
        <w:rPr>
          <w:rFonts w:eastAsia="Calibri"/>
          <w:noProof/>
        </w:rPr>
      </w:pPr>
      <w:r w:rsidRPr="005D3140">
        <w:rPr>
          <w:rFonts w:eastAsia="Calibri"/>
          <w:noProof/>
        </w:rPr>
        <w:t>The data collected from Member States shows a decrease in the number of licences</w:t>
      </w:r>
      <w:r w:rsidR="00277A08" w:rsidRPr="005D3140">
        <w:rPr>
          <w:rFonts w:eastAsia="Calibri"/>
          <w:noProof/>
        </w:rPr>
        <w:t xml:space="preserve"> (</w:t>
      </w:r>
      <w:r w:rsidR="002B79F2">
        <w:rPr>
          <w:rFonts w:eastAsia="Calibri"/>
          <w:noProof/>
        </w:rPr>
        <w:t>s</w:t>
      </w:r>
      <w:r w:rsidR="00277A08" w:rsidRPr="005D3140">
        <w:rPr>
          <w:rFonts w:eastAsia="Calibri"/>
          <w:noProof/>
        </w:rPr>
        <w:t>ee T</w:t>
      </w:r>
      <w:r w:rsidR="00326187" w:rsidRPr="005D3140">
        <w:rPr>
          <w:rFonts w:eastAsia="Calibri"/>
          <w:noProof/>
        </w:rPr>
        <w:t xml:space="preserve">able </w:t>
      </w:r>
      <w:r w:rsidR="00277A08" w:rsidRPr="005D3140">
        <w:rPr>
          <w:rFonts w:eastAsia="Calibri"/>
          <w:noProof/>
        </w:rPr>
        <w:t>1</w:t>
      </w:r>
      <w:r w:rsidRPr="005D3140">
        <w:rPr>
          <w:rFonts w:eastAsia="Calibri"/>
          <w:noProof/>
        </w:rPr>
        <w:t>)</w:t>
      </w:r>
      <w:r w:rsidR="00277A08" w:rsidRPr="005D3140">
        <w:rPr>
          <w:rFonts w:eastAsia="Calibri"/>
          <w:noProof/>
        </w:rPr>
        <w:t>, with a total of 44 licenses for listed cyber-surveillance items</w:t>
      </w:r>
      <w:r w:rsidR="00277A08" w:rsidRPr="00A45200">
        <w:rPr>
          <w:rStyle w:val="FootnoteReference"/>
          <w:rFonts w:eastAsia="Calibri"/>
          <w:noProof/>
        </w:rPr>
        <w:footnoteReference w:id="16"/>
      </w:r>
      <w:r w:rsidR="00277A08" w:rsidRPr="00A45200">
        <w:rPr>
          <w:rFonts w:eastAsia="Calibri"/>
          <w:noProof/>
        </w:rPr>
        <w:t xml:space="preserve"> issued in 2019</w:t>
      </w:r>
      <w:r w:rsidRPr="00A45200">
        <w:rPr>
          <w:rFonts w:eastAsia="Calibri"/>
          <w:noProof/>
        </w:rPr>
        <w:t xml:space="preserve">. In the same period, </w:t>
      </w:r>
      <w:r w:rsidR="0066768E" w:rsidRPr="00A45200">
        <w:rPr>
          <w:rFonts w:eastAsia="Calibri"/>
          <w:noProof/>
        </w:rPr>
        <w:t>81</w:t>
      </w:r>
      <w:r w:rsidRPr="00A45200">
        <w:rPr>
          <w:rFonts w:eastAsia="Calibri"/>
          <w:noProof/>
        </w:rPr>
        <w:t xml:space="preserve"> denials were issued for cyber-surveillance items. </w:t>
      </w:r>
    </w:p>
    <w:p w14:paraId="3A3151E3" w14:textId="77777777" w:rsidR="00AA655D" w:rsidRPr="00F72887" w:rsidRDefault="00F72887" w:rsidP="00AA655D">
      <w:pPr>
        <w:jc w:val="both"/>
        <w:rPr>
          <w:rFonts w:eastAsia="Calibri"/>
          <w:noProof/>
          <w:lang w:eastAsia="en-GB"/>
        </w:rPr>
      </w:pPr>
      <w:r w:rsidRPr="00277A08">
        <w:rPr>
          <w:noProof/>
          <w:lang w:val="en-IE" w:eastAsia="fr-BE"/>
        </w:rPr>
        <w:t xml:space="preserve"> </w:t>
      </w:r>
      <w:r w:rsidRPr="00F72887">
        <w:rPr>
          <w:rFonts w:eastAsia="Calibri"/>
          <w:noProof/>
          <w:lang w:eastAsia="en-GB"/>
        </w:rPr>
        <w:drawing>
          <wp:inline distT="0" distB="0" distL="0" distR="0" wp14:anchorId="1969473C" wp14:editId="76DE93CC">
            <wp:extent cx="5760720" cy="2809875"/>
            <wp:effectExtent l="0" t="0" r="11430" b="9525"/>
            <wp:docPr id="2" name="Chart 2">
              <a:extLst xmlns:a="http://schemas.openxmlformats.org/drawingml/2006/main">
                <a:ext uri="{FF2B5EF4-FFF2-40B4-BE49-F238E27FC236}">
                  <a16:creationId xmlns:a16="http://schemas.microsoft.com/office/drawing/2014/main" id="{FC0DCEA6-9C1B-0C47-B988-B29D258C4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1F3FEB" w14:textId="77777777" w:rsidR="00F72887" w:rsidRPr="00277A08" w:rsidRDefault="00277A08" w:rsidP="00AA655D">
      <w:pPr>
        <w:jc w:val="both"/>
        <w:rPr>
          <w:rFonts w:eastAsia="Times New Roman"/>
          <w:noProof/>
        </w:rPr>
      </w:pPr>
      <w:r>
        <w:rPr>
          <w:rFonts w:eastAsia="Times New Roman"/>
          <w:noProof/>
        </w:rPr>
        <w:t>Table 1: Number of individual licences for listed cyber-surveillance items.</w:t>
      </w:r>
    </w:p>
    <w:p w14:paraId="1D6263BD" w14:textId="53B9A7F9" w:rsidR="00277A08" w:rsidRDefault="00277A08" w:rsidP="00AA655D">
      <w:pPr>
        <w:jc w:val="both"/>
        <w:rPr>
          <w:rFonts w:eastAsia="Times New Roman"/>
          <w:noProof/>
        </w:rPr>
      </w:pPr>
    </w:p>
    <w:p w14:paraId="62990560" w14:textId="77777777" w:rsidR="00AA655D" w:rsidRDefault="00277A08" w:rsidP="00AA655D">
      <w:pPr>
        <w:jc w:val="both"/>
        <w:rPr>
          <w:rFonts w:eastAsia="Calibri"/>
          <w:noProof/>
        </w:rPr>
      </w:pPr>
      <w:r w:rsidRPr="00F72887">
        <w:rPr>
          <w:rFonts w:eastAsia="Calibri"/>
          <w:noProof/>
        </w:rPr>
        <w:t xml:space="preserve">The DUCG </w:t>
      </w:r>
      <w:r>
        <w:rPr>
          <w:rFonts w:eastAsia="Calibri"/>
          <w:noProof/>
        </w:rPr>
        <w:t xml:space="preserve">decided to continue efforts to monitor the implementation of controls, and </w:t>
      </w:r>
      <w:r w:rsidRPr="00F72887">
        <w:rPr>
          <w:rFonts w:eastAsia="Calibri"/>
          <w:noProof/>
        </w:rPr>
        <w:t>initiated the exchange of information on the application of controls in 2019</w:t>
      </w:r>
      <w:r>
        <w:rPr>
          <w:rFonts w:eastAsia="Calibri"/>
          <w:noProof/>
        </w:rPr>
        <w:t xml:space="preserve">. </w:t>
      </w:r>
      <w:r w:rsidR="00F72887" w:rsidRPr="00277A08">
        <w:rPr>
          <w:rFonts w:eastAsia="Times New Roman"/>
          <w:noProof/>
        </w:rPr>
        <w:t>The "Surveillance Technology Expert Group" (STEG) continued to</w:t>
      </w:r>
      <w:r w:rsidR="00C764E0">
        <w:rPr>
          <w:rFonts w:eastAsia="Times New Roman"/>
          <w:noProof/>
        </w:rPr>
        <w:t xml:space="preserve"> exchange</w:t>
      </w:r>
      <w:r w:rsidR="00F72887" w:rsidRPr="00277A08">
        <w:rPr>
          <w:rFonts w:eastAsia="Times New Roman"/>
          <w:noProof/>
        </w:rPr>
        <w:t xml:space="preserve"> </w:t>
      </w:r>
      <w:r w:rsidR="00F72887" w:rsidRPr="00277A08">
        <w:rPr>
          <w:i/>
          <w:noProof/>
        </w:rPr>
        <w:t>ad hoc</w:t>
      </w:r>
      <w:r w:rsidR="00F72887" w:rsidRPr="00277A08">
        <w:rPr>
          <w:noProof/>
        </w:rPr>
        <w:t xml:space="preserve"> information</w:t>
      </w:r>
      <w:r w:rsidR="00F72887" w:rsidRPr="00277A08">
        <w:rPr>
          <w:rFonts w:eastAsia="Calibri"/>
          <w:noProof/>
        </w:rPr>
        <w:t>.</w:t>
      </w:r>
    </w:p>
    <w:p w14:paraId="23702B2A" w14:textId="77777777" w:rsidR="00F72887" w:rsidRDefault="00F72887" w:rsidP="00AA655D">
      <w:pPr>
        <w:jc w:val="both"/>
        <w:rPr>
          <w:rFonts w:eastAsia="Calibri"/>
          <w:noProof/>
          <w:lang w:eastAsia="en-GB"/>
        </w:rPr>
      </w:pPr>
    </w:p>
    <w:p w14:paraId="2134A454" w14:textId="77777777" w:rsidR="00AA655D" w:rsidRDefault="00AA655D" w:rsidP="007B799A">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3.2</w:t>
      </w:r>
      <w:r w:rsidR="00617132">
        <w:rPr>
          <w:rFonts w:eastAsia="Times New Roman"/>
          <w:b/>
          <w:noProof/>
          <w:lang w:eastAsia="en-GB"/>
        </w:rPr>
        <w:t>.</w:t>
      </w:r>
      <w:r>
        <w:rPr>
          <w:rFonts w:eastAsia="Times New Roman"/>
          <w:b/>
          <w:noProof/>
          <w:lang w:eastAsia="en-GB"/>
        </w:rPr>
        <w:tab/>
        <w:t xml:space="preserve">Technical </w:t>
      </w:r>
      <w:r>
        <w:rPr>
          <w:rFonts w:eastAsia="Calibri"/>
          <w:b/>
          <w:noProof/>
        </w:rPr>
        <w:t xml:space="preserve">exchange of information </w:t>
      </w:r>
      <w:r w:rsidR="00326187">
        <w:rPr>
          <w:rFonts w:eastAsia="Calibri"/>
          <w:b/>
          <w:noProof/>
        </w:rPr>
        <w:t>–</w:t>
      </w:r>
      <w:r>
        <w:rPr>
          <w:rFonts w:eastAsia="Calibri"/>
          <w:b/>
          <w:noProof/>
        </w:rPr>
        <w:t xml:space="preserve"> implementation issues</w:t>
      </w:r>
      <w:r>
        <w:rPr>
          <w:rFonts w:eastAsia="Times New Roman"/>
          <w:b/>
          <w:noProof/>
          <w:lang w:eastAsia="en-GB"/>
        </w:rPr>
        <w:t xml:space="preserve"> </w:t>
      </w:r>
    </w:p>
    <w:p w14:paraId="7B90FB96" w14:textId="77777777" w:rsidR="00AA655D" w:rsidRDefault="00AA655D" w:rsidP="007B799A">
      <w:pPr>
        <w:keepNext/>
        <w:jc w:val="both"/>
        <w:rPr>
          <w:rFonts w:eastAsia="Calibri"/>
          <w:noProof/>
          <w:lang w:eastAsia="en-GB"/>
        </w:rPr>
      </w:pPr>
    </w:p>
    <w:p w14:paraId="0B9EC232" w14:textId="58D46138" w:rsidR="008B1E49" w:rsidRPr="0004129B" w:rsidRDefault="005973A5" w:rsidP="00AA655D">
      <w:pPr>
        <w:pStyle w:val="ListParagraph"/>
        <w:ind w:left="0"/>
        <w:jc w:val="both"/>
        <w:rPr>
          <w:rFonts w:ascii="Times New Roman" w:hAnsi="Times New Roman" w:cs="Times New Roman"/>
          <w:noProof/>
          <w:sz w:val="24"/>
          <w:szCs w:val="24"/>
        </w:rPr>
      </w:pPr>
      <w:bookmarkStart w:id="8" w:name="_Toc368065777"/>
      <w:r w:rsidRPr="005973A5">
        <w:rPr>
          <w:rFonts w:ascii="Times New Roman" w:hAnsi="Times New Roman" w:cs="Times New Roman"/>
          <w:noProof/>
          <w:sz w:val="24"/>
          <w:szCs w:val="24"/>
        </w:rPr>
        <w:t>The DUCG provided support to the preparation of updates to the EU control list and engaged in discussions on a number of specific implementation issues such as to enhance information exchange under EU General Export Authorisations (EUGEAs), information exchange under global licences or the development of a consultation mechanism between competent authorities concerning information on exporters using global licences</w:t>
      </w:r>
      <w:r w:rsidR="007111EB">
        <w:rPr>
          <w:rFonts w:ascii="Times New Roman" w:hAnsi="Times New Roman" w:cs="Times New Roman"/>
          <w:noProof/>
          <w:sz w:val="24"/>
          <w:szCs w:val="24"/>
        </w:rPr>
        <w:t>.</w:t>
      </w:r>
    </w:p>
    <w:p w14:paraId="648CA186" w14:textId="77777777" w:rsidR="00AA655D" w:rsidRDefault="00AA655D" w:rsidP="00AA655D">
      <w:pPr>
        <w:jc w:val="both"/>
        <w:rPr>
          <w:rFonts w:eastAsia="Calibri"/>
          <w:noProof/>
          <w:lang w:eastAsia="en-GB"/>
        </w:rPr>
      </w:pPr>
    </w:p>
    <w:p w14:paraId="021D75B7" w14:textId="77777777" w:rsidR="00AA655D" w:rsidRDefault="00AA655D" w:rsidP="00AA655D">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3.3</w:t>
      </w:r>
      <w:r w:rsidR="00617132">
        <w:rPr>
          <w:rFonts w:eastAsia="Times New Roman"/>
          <w:b/>
          <w:noProof/>
          <w:lang w:eastAsia="en-GB"/>
        </w:rPr>
        <w:t>.</w:t>
      </w:r>
      <w:r>
        <w:rPr>
          <w:rFonts w:eastAsia="Times New Roman"/>
          <w:b/>
          <w:noProof/>
          <w:lang w:eastAsia="en-GB"/>
        </w:rPr>
        <w:tab/>
      </w:r>
      <w:r w:rsidRPr="00387039">
        <w:rPr>
          <w:rFonts w:eastAsia="Times New Roman"/>
          <w:b/>
          <w:noProof/>
          <w:lang w:eastAsia="en-GB"/>
        </w:rPr>
        <w:t>EU Guidelines on Dual-Use Export Controls</w:t>
      </w:r>
      <w:bookmarkEnd w:id="8"/>
    </w:p>
    <w:p w14:paraId="3F398D66" w14:textId="77777777" w:rsidR="00AA655D" w:rsidRDefault="00AA655D" w:rsidP="00AA655D">
      <w:pPr>
        <w:spacing w:before="100" w:beforeAutospacing="1" w:after="100" w:afterAutospacing="1"/>
        <w:jc w:val="both"/>
        <w:rPr>
          <w:rFonts w:eastAsia="Calibri"/>
          <w:noProof/>
        </w:rPr>
      </w:pPr>
      <w:r>
        <w:rPr>
          <w:rFonts w:eastAsia="Calibri"/>
          <w:noProof/>
        </w:rPr>
        <w:t>The DUCG</w:t>
      </w:r>
      <w:r w:rsidR="00D63B17">
        <w:rPr>
          <w:rFonts w:eastAsia="Calibri"/>
          <w:noProof/>
        </w:rPr>
        <w:t xml:space="preserve"> </w:t>
      </w:r>
      <w:r w:rsidR="005C0947">
        <w:rPr>
          <w:rFonts w:eastAsia="Calibri"/>
          <w:noProof/>
        </w:rPr>
        <w:t xml:space="preserve">worked on the preparation of </w:t>
      </w:r>
      <w:r w:rsidR="00D63B17">
        <w:rPr>
          <w:rFonts w:eastAsia="Calibri"/>
          <w:noProof/>
        </w:rPr>
        <w:t xml:space="preserve">a revised version of the 2016 “EU Guidelines on dual-use export controls” which reflects improvements to the DUeS, in particular </w:t>
      </w:r>
      <w:r w:rsidR="00E73C9B">
        <w:rPr>
          <w:rFonts w:eastAsia="Calibri"/>
          <w:noProof/>
        </w:rPr>
        <w:t>insofar as it supports i</w:t>
      </w:r>
      <w:r w:rsidR="00D63B17">
        <w:rPr>
          <w:rFonts w:eastAsia="Calibri"/>
          <w:noProof/>
        </w:rPr>
        <w:t xml:space="preserve">nformation </w:t>
      </w:r>
      <w:r w:rsidR="00E73C9B">
        <w:rPr>
          <w:rFonts w:eastAsia="Calibri"/>
          <w:noProof/>
        </w:rPr>
        <w:t>e</w:t>
      </w:r>
      <w:r w:rsidR="00D63B17">
        <w:rPr>
          <w:rFonts w:eastAsia="Calibri"/>
          <w:noProof/>
        </w:rPr>
        <w:t xml:space="preserve">xchange and </w:t>
      </w:r>
      <w:r w:rsidR="00E73C9B">
        <w:rPr>
          <w:rFonts w:eastAsia="Calibri"/>
          <w:noProof/>
        </w:rPr>
        <w:t>c</w:t>
      </w:r>
      <w:r w:rsidR="00D63B17">
        <w:rPr>
          <w:rFonts w:eastAsia="Calibri"/>
          <w:noProof/>
        </w:rPr>
        <w:t>onsultation</w:t>
      </w:r>
      <w:r w:rsidR="00E73C9B">
        <w:rPr>
          <w:rFonts w:eastAsia="Calibri"/>
          <w:noProof/>
        </w:rPr>
        <w:t>s between competent authorities</w:t>
      </w:r>
      <w:r w:rsidR="00D63B17">
        <w:rPr>
          <w:rFonts w:eastAsia="Calibri"/>
          <w:noProof/>
        </w:rPr>
        <w:t xml:space="preserve">. </w:t>
      </w:r>
    </w:p>
    <w:p w14:paraId="1DF26A6F" w14:textId="1216B8A3" w:rsidR="00AA655D" w:rsidRDefault="00E73C9B" w:rsidP="00E73C9B">
      <w:pPr>
        <w:autoSpaceDE w:val="0"/>
        <w:autoSpaceDN w:val="0"/>
        <w:adjustRightInd w:val="0"/>
        <w:jc w:val="both"/>
        <w:rPr>
          <w:noProof/>
        </w:rPr>
      </w:pPr>
      <w:r>
        <w:rPr>
          <w:noProof/>
        </w:rPr>
        <w:t xml:space="preserve">The </w:t>
      </w:r>
      <w:r w:rsidRPr="008B1E49">
        <w:rPr>
          <w:noProof/>
        </w:rPr>
        <w:t xml:space="preserve">Technical Expert Group on the development of guidelines </w:t>
      </w:r>
      <w:r>
        <w:rPr>
          <w:noProof/>
        </w:rPr>
        <w:t>for dual use research (TEG-DUR)</w:t>
      </w:r>
      <w:r w:rsidRPr="008B1E49">
        <w:rPr>
          <w:noProof/>
        </w:rPr>
        <w:t xml:space="preserve"> </w:t>
      </w:r>
      <w:r>
        <w:rPr>
          <w:noProof/>
        </w:rPr>
        <w:t>held six</w:t>
      </w:r>
      <w:r w:rsidRPr="008B1E49">
        <w:rPr>
          <w:noProof/>
        </w:rPr>
        <w:t xml:space="preserve"> meetings </w:t>
      </w:r>
      <w:r>
        <w:rPr>
          <w:noProof/>
        </w:rPr>
        <w:t>in</w:t>
      </w:r>
      <w:r w:rsidRPr="008B1E49">
        <w:rPr>
          <w:noProof/>
        </w:rPr>
        <w:t xml:space="preserve"> 2020 and prepared</w:t>
      </w:r>
      <w:r w:rsidR="008A50EB">
        <w:rPr>
          <w:noProof/>
        </w:rPr>
        <w:t xml:space="preserve"> a draft guidance on research involving dual-use items</w:t>
      </w:r>
      <w:r w:rsidRPr="008B1E49">
        <w:rPr>
          <w:noProof/>
        </w:rPr>
        <w:t>. A public consultation</w:t>
      </w:r>
      <w:r w:rsidR="00320077">
        <w:rPr>
          <w:rStyle w:val="FootnoteReference"/>
          <w:noProof/>
        </w:rPr>
        <w:footnoteReference w:id="17"/>
      </w:r>
      <w:r w:rsidRPr="008B1E49">
        <w:rPr>
          <w:noProof/>
        </w:rPr>
        <w:t xml:space="preserve"> was held in </w:t>
      </w:r>
      <w:r w:rsidR="00C87AAC">
        <w:rPr>
          <w:noProof/>
        </w:rPr>
        <w:t>October-</w:t>
      </w:r>
      <w:r w:rsidRPr="008B1E49">
        <w:rPr>
          <w:noProof/>
        </w:rPr>
        <w:t>November 2020</w:t>
      </w:r>
      <w:r w:rsidR="00DE5A4F">
        <w:rPr>
          <w:noProof/>
        </w:rPr>
        <w:t xml:space="preserve">, attracting </w:t>
      </w:r>
      <w:r w:rsidR="00320077">
        <w:rPr>
          <w:noProof/>
        </w:rPr>
        <w:t>54</w:t>
      </w:r>
      <w:r w:rsidR="00DE5A4F">
        <w:rPr>
          <w:noProof/>
        </w:rPr>
        <w:t xml:space="preserve"> responses</w:t>
      </w:r>
      <w:r w:rsidRPr="008B1E49">
        <w:rPr>
          <w:noProof/>
        </w:rPr>
        <w:t>. The TEG DUR submit</w:t>
      </w:r>
      <w:r w:rsidR="008A50EB">
        <w:rPr>
          <w:noProof/>
        </w:rPr>
        <w:t>ted the</w:t>
      </w:r>
      <w:r w:rsidRPr="008B1E49">
        <w:rPr>
          <w:noProof/>
        </w:rPr>
        <w:t xml:space="preserve"> draft final </w:t>
      </w:r>
      <w:r w:rsidR="008A50EB">
        <w:rPr>
          <w:noProof/>
        </w:rPr>
        <w:t>guidance</w:t>
      </w:r>
      <w:r w:rsidR="008A50EB" w:rsidRPr="008B1E49">
        <w:rPr>
          <w:noProof/>
        </w:rPr>
        <w:t xml:space="preserve"> </w:t>
      </w:r>
      <w:r w:rsidRPr="008B1E49">
        <w:rPr>
          <w:noProof/>
        </w:rPr>
        <w:t>to the DUCG for consideration early 2021.</w:t>
      </w:r>
      <w:r w:rsidR="008A50EB">
        <w:rPr>
          <w:noProof/>
        </w:rPr>
        <w:t xml:space="preserve"> The guidance </w:t>
      </w:r>
      <w:r w:rsidR="002B79F2">
        <w:rPr>
          <w:noProof/>
        </w:rPr>
        <w:t xml:space="preserve">was </w:t>
      </w:r>
      <w:r w:rsidR="008A50EB">
        <w:rPr>
          <w:noProof/>
        </w:rPr>
        <w:t>adopted as a Commission Recommendation in September 2021</w:t>
      </w:r>
      <w:r w:rsidR="009B14C2">
        <w:rPr>
          <w:rStyle w:val="FootnoteReference"/>
          <w:noProof/>
        </w:rPr>
        <w:footnoteReference w:id="18"/>
      </w:r>
      <w:r w:rsidR="008A50EB">
        <w:rPr>
          <w:noProof/>
        </w:rPr>
        <w:t>.</w:t>
      </w:r>
    </w:p>
    <w:p w14:paraId="77E9EFC6" w14:textId="77777777" w:rsidR="00E73C9B" w:rsidRDefault="00E73C9B" w:rsidP="00E73C9B">
      <w:pPr>
        <w:autoSpaceDE w:val="0"/>
        <w:autoSpaceDN w:val="0"/>
        <w:adjustRightInd w:val="0"/>
        <w:jc w:val="both"/>
        <w:rPr>
          <w:rFonts w:eastAsia="Times New Roman"/>
          <w:noProof/>
          <w:lang w:eastAsia="en-GB"/>
        </w:rPr>
      </w:pPr>
    </w:p>
    <w:p w14:paraId="7BB8B2FD" w14:textId="1A8674DB" w:rsidR="00F46B8C" w:rsidRPr="00FF7F39" w:rsidRDefault="00AA655D" w:rsidP="00FF7F39">
      <w:pPr>
        <w:keepNext/>
        <w:tabs>
          <w:tab w:val="left" w:pos="850"/>
        </w:tabs>
        <w:spacing w:after="120"/>
        <w:ind w:left="850" w:hanging="850"/>
        <w:jc w:val="both"/>
        <w:outlineLvl w:val="1"/>
        <w:rPr>
          <w:noProof/>
          <w:color w:val="000000"/>
        </w:rPr>
      </w:pPr>
      <w:bookmarkStart w:id="9" w:name="_Toc368065779"/>
      <w:r>
        <w:rPr>
          <w:rFonts w:eastAsia="Times New Roman"/>
          <w:b/>
          <w:noProof/>
          <w:lang w:eastAsia="en-GB"/>
        </w:rPr>
        <w:t>3.4</w:t>
      </w:r>
      <w:r w:rsidR="00617132">
        <w:rPr>
          <w:rFonts w:eastAsia="Times New Roman"/>
          <w:b/>
          <w:noProof/>
          <w:lang w:eastAsia="en-GB"/>
        </w:rPr>
        <w:t>.</w:t>
      </w:r>
      <w:r>
        <w:rPr>
          <w:rFonts w:eastAsia="Times New Roman"/>
          <w:b/>
          <w:noProof/>
          <w:lang w:eastAsia="en-GB"/>
        </w:rPr>
        <w:tab/>
        <w:t xml:space="preserve">Electronic exchange of information </w:t>
      </w:r>
      <w:bookmarkEnd w:id="9"/>
      <w:r>
        <w:rPr>
          <w:rFonts w:eastAsia="Times New Roman"/>
          <w:b/>
          <w:noProof/>
          <w:lang w:eastAsia="en-GB"/>
        </w:rPr>
        <w:t>between competent authorities</w:t>
      </w:r>
    </w:p>
    <w:p w14:paraId="77B79B3A" w14:textId="3E5FB576" w:rsidR="00F46B8C" w:rsidRPr="00F46B8C" w:rsidRDefault="00F46B8C" w:rsidP="00F46B8C">
      <w:pPr>
        <w:jc w:val="both"/>
        <w:rPr>
          <w:rFonts w:ascii="-webkit-standard" w:hAnsi="-webkit-standard"/>
          <w:noProof/>
          <w:color w:val="000000"/>
        </w:rPr>
      </w:pPr>
      <w:r w:rsidRPr="00F46B8C">
        <w:rPr>
          <w:rFonts w:ascii="-webkit-standard" w:hAnsi="-webkit-standard"/>
          <w:noProof/>
          <w:color w:val="000000"/>
        </w:rPr>
        <w:t>The Commission, supported by the DUCG, continued to develop the Dual-use e-System</w:t>
      </w:r>
      <w:r w:rsidR="002B79F2">
        <w:rPr>
          <w:rFonts w:ascii="-webkit-standard" w:hAnsi="-webkit-standard"/>
          <w:noProof/>
          <w:color w:val="000000"/>
        </w:rPr>
        <w:t>.</w:t>
      </w:r>
      <w:r w:rsidRPr="00F46B8C">
        <w:rPr>
          <w:rFonts w:ascii="-webkit-standard" w:hAnsi="-webkit-standard"/>
          <w:noProof/>
          <w:color w:val="000000"/>
        </w:rPr>
        <w:t xml:space="preserve"> In the course of 2020, the DUCG agreed on specific improvements to the DUeS:</w:t>
      </w:r>
    </w:p>
    <w:p w14:paraId="59CB0212" w14:textId="77777777" w:rsidR="00F46B8C" w:rsidRPr="00F46B8C" w:rsidRDefault="00F46B8C" w:rsidP="00F46B8C">
      <w:pPr>
        <w:jc w:val="both"/>
        <w:rPr>
          <w:rFonts w:ascii="-webkit-standard" w:hAnsi="-webkit-standard"/>
          <w:noProof/>
          <w:color w:val="000000"/>
        </w:rPr>
      </w:pPr>
      <w:r w:rsidRPr="00F46B8C">
        <w:rPr>
          <w:rFonts w:ascii="-webkit-standard" w:hAnsi="-webkit-standard"/>
          <w:noProof/>
          <w:color w:val="000000"/>
        </w:rPr>
        <w:t>•</w:t>
      </w:r>
      <w:r w:rsidRPr="00F46B8C">
        <w:rPr>
          <w:rFonts w:ascii="-webkit-standard" w:hAnsi="-webkit-standard"/>
          <w:noProof/>
          <w:color w:val="000000"/>
        </w:rPr>
        <w:tab/>
        <w:t xml:space="preserve">functionalities supporting denials notifications under Article 13(5) of the Regulation </w:t>
      </w:r>
    </w:p>
    <w:p w14:paraId="5C1B4C12" w14:textId="78C1486E" w:rsidR="00F46B8C" w:rsidRPr="00F46B8C" w:rsidRDefault="00F46B8C" w:rsidP="00A45200">
      <w:pPr>
        <w:ind w:left="720" w:hanging="720"/>
        <w:jc w:val="both"/>
        <w:rPr>
          <w:rFonts w:ascii="-webkit-standard" w:hAnsi="-webkit-standard"/>
          <w:noProof/>
          <w:color w:val="000000"/>
        </w:rPr>
      </w:pPr>
      <w:r w:rsidRPr="00F46B8C">
        <w:rPr>
          <w:rFonts w:ascii="-webkit-standard" w:hAnsi="-webkit-standard"/>
          <w:noProof/>
          <w:color w:val="000000"/>
        </w:rPr>
        <w:t>•</w:t>
      </w:r>
      <w:r w:rsidRPr="00F46B8C">
        <w:rPr>
          <w:rFonts w:ascii="-webkit-standard" w:hAnsi="-webkit-standard"/>
          <w:noProof/>
          <w:color w:val="000000"/>
        </w:rPr>
        <w:tab/>
        <w:t>functionalities supporting bilateral consultations between competent authorities under Article 11 and Article 13(5) of the Regulation</w:t>
      </w:r>
      <w:r w:rsidR="002B79F2">
        <w:rPr>
          <w:rFonts w:ascii="-webkit-standard" w:hAnsi="-webkit-standard"/>
          <w:noProof/>
          <w:color w:val="000000"/>
        </w:rPr>
        <w:t>;</w:t>
      </w:r>
    </w:p>
    <w:p w14:paraId="1E423F15" w14:textId="1BB1F25E" w:rsidR="00F46B8C" w:rsidRPr="00F46B8C" w:rsidRDefault="00F46B8C" w:rsidP="00A45200">
      <w:pPr>
        <w:ind w:left="720" w:hanging="720"/>
        <w:jc w:val="both"/>
        <w:rPr>
          <w:rFonts w:ascii="-webkit-standard" w:hAnsi="-webkit-standard"/>
          <w:noProof/>
          <w:color w:val="000000"/>
        </w:rPr>
      </w:pPr>
      <w:r w:rsidRPr="00F46B8C">
        <w:rPr>
          <w:rFonts w:ascii="-webkit-standard" w:hAnsi="-webkit-standard"/>
          <w:noProof/>
          <w:color w:val="000000"/>
        </w:rPr>
        <w:t>•</w:t>
      </w:r>
      <w:r w:rsidRPr="00F46B8C">
        <w:rPr>
          <w:rFonts w:ascii="-webkit-standard" w:hAnsi="-webkit-standard"/>
          <w:noProof/>
          <w:color w:val="000000"/>
        </w:rPr>
        <w:tab/>
        <w:t>preparations for a new functionality to support information-exchange on denials concerning intra-EU transfers</w:t>
      </w:r>
      <w:r w:rsidR="002B79F2">
        <w:rPr>
          <w:rFonts w:ascii="-webkit-standard" w:hAnsi="-webkit-standard"/>
          <w:noProof/>
          <w:color w:val="000000"/>
        </w:rPr>
        <w:t>;</w:t>
      </w:r>
    </w:p>
    <w:p w14:paraId="6E7ADBB9" w14:textId="2C22F4CB" w:rsidR="00F46B8C" w:rsidRPr="00F46B8C" w:rsidRDefault="00F46B8C" w:rsidP="00F46B8C">
      <w:pPr>
        <w:jc w:val="both"/>
        <w:rPr>
          <w:rFonts w:ascii="-webkit-standard" w:hAnsi="-webkit-standard"/>
          <w:noProof/>
          <w:color w:val="000000"/>
        </w:rPr>
      </w:pPr>
      <w:r w:rsidRPr="00F46B8C">
        <w:rPr>
          <w:rFonts w:ascii="-webkit-standard" w:hAnsi="-webkit-standard"/>
          <w:noProof/>
          <w:color w:val="000000"/>
        </w:rPr>
        <w:t>•</w:t>
      </w:r>
      <w:r w:rsidRPr="00F46B8C">
        <w:rPr>
          <w:rFonts w:ascii="-webkit-standard" w:hAnsi="-webkit-standard"/>
          <w:noProof/>
          <w:color w:val="000000"/>
        </w:rPr>
        <w:tab/>
        <w:t>preparations for a functionality to support consultations under global licences</w:t>
      </w:r>
      <w:r w:rsidR="002B79F2">
        <w:rPr>
          <w:rFonts w:ascii="-webkit-standard" w:hAnsi="-webkit-standard"/>
          <w:noProof/>
          <w:color w:val="000000"/>
        </w:rPr>
        <w:t>;</w:t>
      </w:r>
    </w:p>
    <w:p w14:paraId="7A4C32E7" w14:textId="706DCEAC" w:rsidR="00F46B8C" w:rsidRPr="00F46B8C" w:rsidRDefault="00F46B8C" w:rsidP="00A45200">
      <w:pPr>
        <w:ind w:left="720" w:hanging="720"/>
        <w:jc w:val="both"/>
        <w:rPr>
          <w:rFonts w:ascii="-webkit-standard" w:hAnsi="-webkit-standard"/>
          <w:noProof/>
          <w:color w:val="000000"/>
        </w:rPr>
      </w:pPr>
      <w:r w:rsidRPr="00F46B8C">
        <w:rPr>
          <w:rFonts w:ascii="-webkit-standard" w:hAnsi="-webkit-standard"/>
          <w:noProof/>
          <w:color w:val="000000"/>
        </w:rPr>
        <w:t>•</w:t>
      </w:r>
      <w:r w:rsidRPr="00F46B8C">
        <w:rPr>
          <w:rFonts w:ascii="-webkit-standard" w:hAnsi="-webkit-standard"/>
          <w:noProof/>
          <w:color w:val="000000"/>
        </w:rPr>
        <w:tab/>
        <w:t>the list of items in the DUeS was updated to reflect the 2020 update of the EU control list</w:t>
      </w:r>
      <w:r w:rsidR="002B79F2">
        <w:rPr>
          <w:rFonts w:ascii="-webkit-standard" w:hAnsi="-webkit-standard"/>
          <w:noProof/>
          <w:color w:val="000000"/>
        </w:rPr>
        <w:t>;</w:t>
      </w:r>
    </w:p>
    <w:p w14:paraId="5849BAEF" w14:textId="0D6004ED" w:rsidR="00F46B8C" w:rsidRDefault="00F46B8C" w:rsidP="00A45200">
      <w:pPr>
        <w:ind w:left="720" w:hanging="720"/>
        <w:jc w:val="both"/>
        <w:rPr>
          <w:rFonts w:ascii="-webkit-standard" w:hAnsi="-webkit-standard"/>
          <w:noProof/>
          <w:color w:val="000000"/>
        </w:rPr>
      </w:pPr>
      <w:r w:rsidRPr="00F46B8C">
        <w:rPr>
          <w:rFonts w:ascii="-webkit-standard" w:hAnsi="-webkit-standard"/>
          <w:noProof/>
          <w:color w:val="000000"/>
        </w:rPr>
        <w:t>•</w:t>
      </w:r>
      <w:r w:rsidRPr="00F46B8C">
        <w:rPr>
          <w:rFonts w:ascii="-webkit-standard" w:hAnsi="-webkit-standard"/>
          <w:noProof/>
          <w:color w:val="000000"/>
        </w:rPr>
        <w:tab/>
        <w:t xml:space="preserve">a new functionality to support information exchange with the UK </w:t>
      </w:r>
      <w:r w:rsidR="002B79F2">
        <w:rPr>
          <w:rFonts w:ascii="-webkit-standard" w:hAnsi="-webkit-standard"/>
          <w:noProof/>
          <w:color w:val="000000"/>
        </w:rPr>
        <w:t>c</w:t>
      </w:r>
      <w:r w:rsidRPr="00F46B8C">
        <w:rPr>
          <w:rFonts w:ascii="-webkit-standard" w:hAnsi="-webkit-standard"/>
          <w:noProof/>
          <w:color w:val="000000"/>
        </w:rPr>
        <w:t xml:space="preserve">ompetent </w:t>
      </w:r>
      <w:r w:rsidR="002B79F2">
        <w:rPr>
          <w:rFonts w:ascii="-webkit-standard" w:hAnsi="-webkit-standard"/>
          <w:noProof/>
          <w:color w:val="000000"/>
        </w:rPr>
        <w:t>a</w:t>
      </w:r>
      <w:r w:rsidRPr="00F46B8C">
        <w:rPr>
          <w:rFonts w:ascii="-webkit-standard" w:hAnsi="-webkit-standard"/>
          <w:noProof/>
          <w:color w:val="000000"/>
        </w:rPr>
        <w:t xml:space="preserve">uthority under the Northern Ireland Protocol at the end of the transition period.  </w:t>
      </w:r>
    </w:p>
    <w:p w14:paraId="1F9535C6" w14:textId="77777777" w:rsidR="00473192" w:rsidRDefault="00473192" w:rsidP="00AA655D">
      <w:pPr>
        <w:jc w:val="both"/>
        <w:rPr>
          <w:rFonts w:eastAsia="Calibri"/>
          <w:noProof/>
        </w:rPr>
      </w:pPr>
    </w:p>
    <w:p w14:paraId="3A3CA354" w14:textId="77777777" w:rsidR="00E73C9B" w:rsidRDefault="00AA655D" w:rsidP="00AA655D">
      <w:pPr>
        <w:jc w:val="both"/>
        <w:rPr>
          <w:rFonts w:ascii="-webkit-standard" w:eastAsia="SimSun" w:hAnsi="-webkit-standard" w:hint="eastAsia"/>
          <w:noProof/>
          <w:color w:val="000000"/>
          <w:lang w:eastAsia="zh-CN"/>
        </w:rPr>
      </w:pPr>
      <w:r>
        <w:rPr>
          <w:rFonts w:eastAsia="Calibri"/>
          <w:noProof/>
        </w:rPr>
        <w:t>The DUCG continued to support</w:t>
      </w:r>
      <w:r w:rsidR="00326187">
        <w:rPr>
          <w:rFonts w:eastAsia="Calibri"/>
          <w:noProof/>
        </w:rPr>
        <w:t>,</w:t>
      </w:r>
      <w:r>
        <w:rPr>
          <w:rFonts w:eastAsia="Calibri"/>
          <w:noProof/>
        </w:rPr>
        <w:t xml:space="preserve"> through a dedicated Technical Expert Group</w:t>
      </w:r>
      <w:r w:rsidR="00326187">
        <w:rPr>
          <w:rFonts w:eastAsia="Calibri"/>
          <w:noProof/>
        </w:rPr>
        <w:t>,</w:t>
      </w:r>
      <w:r>
        <w:rPr>
          <w:rFonts w:eastAsia="Calibri"/>
          <w:noProof/>
        </w:rPr>
        <w:t xml:space="preserve"> the development of an "electronic licensing platform"</w:t>
      </w:r>
      <w:r w:rsidR="00473192">
        <w:rPr>
          <w:rFonts w:eastAsia="Calibri"/>
          <w:noProof/>
        </w:rPr>
        <w:t>, which</w:t>
      </w:r>
      <w:r>
        <w:rPr>
          <w:rFonts w:eastAsia="Calibri"/>
          <w:noProof/>
        </w:rPr>
        <w:t xml:space="preserve"> </w:t>
      </w:r>
      <w:r w:rsidR="00473192">
        <w:rPr>
          <w:rFonts w:eastAsia="Calibri"/>
          <w:noProof/>
        </w:rPr>
        <w:t xml:space="preserve">can </w:t>
      </w:r>
      <w:r>
        <w:rPr>
          <w:rFonts w:eastAsia="Calibri"/>
          <w:noProof/>
        </w:rPr>
        <w:t>be used by competent authorities. T</w:t>
      </w:r>
      <w:r>
        <w:rPr>
          <w:rFonts w:ascii="-webkit-standard" w:eastAsia="SimSun" w:hAnsi="-webkit-standard"/>
          <w:noProof/>
          <w:color w:val="000000"/>
          <w:lang w:eastAsia="zh-CN"/>
        </w:rPr>
        <w:t xml:space="preserve">he TEG on e-licensing </w:t>
      </w:r>
      <w:r w:rsidR="00E73C9B">
        <w:rPr>
          <w:rFonts w:ascii="-webkit-standard" w:eastAsia="SimSun" w:hAnsi="-webkit-standard"/>
          <w:noProof/>
          <w:color w:val="000000"/>
          <w:lang w:eastAsia="zh-CN"/>
        </w:rPr>
        <w:t xml:space="preserve">continuously </w:t>
      </w:r>
      <w:r w:rsidR="00652395">
        <w:rPr>
          <w:rFonts w:ascii="-webkit-standard" w:eastAsia="SimSun" w:hAnsi="-webkit-standard"/>
          <w:noProof/>
          <w:color w:val="000000"/>
          <w:lang w:eastAsia="zh-CN"/>
        </w:rPr>
        <w:t>liaised</w:t>
      </w:r>
      <w:r w:rsidR="00652395" w:rsidRPr="00502A5C">
        <w:rPr>
          <w:rFonts w:ascii="-webkit-standard" w:eastAsia="SimSun" w:hAnsi="-webkit-standard"/>
          <w:noProof/>
          <w:color w:val="000000"/>
          <w:lang w:eastAsia="zh-CN"/>
        </w:rPr>
        <w:t xml:space="preserve"> </w:t>
      </w:r>
      <w:r w:rsidR="00502A5C" w:rsidRPr="00502A5C">
        <w:rPr>
          <w:rFonts w:ascii="-webkit-standard" w:eastAsia="SimSun" w:hAnsi="-webkit-standard"/>
          <w:noProof/>
          <w:color w:val="000000"/>
          <w:lang w:eastAsia="zh-CN"/>
        </w:rPr>
        <w:t>with</w:t>
      </w:r>
      <w:r w:rsidR="00E73C9B">
        <w:rPr>
          <w:rFonts w:ascii="-webkit-standard" w:eastAsia="SimSun" w:hAnsi="-webkit-standard"/>
          <w:noProof/>
          <w:color w:val="000000"/>
          <w:lang w:eastAsia="zh-CN"/>
        </w:rPr>
        <w:t xml:space="preserve"> experts from</w:t>
      </w:r>
      <w:r w:rsidR="00502A5C" w:rsidRPr="00502A5C">
        <w:rPr>
          <w:rFonts w:ascii="-webkit-standard" w:eastAsia="SimSun" w:hAnsi="-webkit-standard"/>
          <w:noProof/>
          <w:color w:val="000000"/>
          <w:lang w:eastAsia="zh-CN"/>
        </w:rPr>
        <w:t xml:space="preserve"> </w:t>
      </w:r>
      <w:r w:rsidR="00DE5A4F">
        <w:rPr>
          <w:rFonts w:ascii="-webkit-standard" w:eastAsia="SimSun" w:hAnsi="-webkit-standard"/>
          <w:noProof/>
          <w:color w:val="000000"/>
          <w:lang w:eastAsia="zh-CN"/>
        </w:rPr>
        <w:t xml:space="preserve">the </w:t>
      </w:r>
      <w:r w:rsidR="00502A5C" w:rsidRPr="00502A5C">
        <w:rPr>
          <w:rFonts w:ascii="-webkit-standard" w:eastAsia="SimSun" w:hAnsi="-webkit-standard"/>
          <w:noProof/>
          <w:color w:val="000000"/>
          <w:lang w:eastAsia="zh-CN"/>
        </w:rPr>
        <w:t>M</w:t>
      </w:r>
      <w:r w:rsidR="00DE5A4F">
        <w:rPr>
          <w:rFonts w:ascii="-webkit-standard" w:eastAsia="SimSun" w:hAnsi="-webkit-standard"/>
          <w:noProof/>
          <w:color w:val="000000"/>
          <w:lang w:eastAsia="zh-CN"/>
        </w:rPr>
        <w:t xml:space="preserve">ember </w:t>
      </w:r>
      <w:r w:rsidR="00502A5C" w:rsidRPr="00502A5C">
        <w:rPr>
          <w:rFonts w:ascii="-webkit-standard" w:eastAsia="SimSun" w:hAnsi="-webkit-standard"/>
          <w:noProof/>
          <w:color w:val="000000"/>
          <w:lang w:eastAsia="zh-CN"/>
        </w:rPr>
        <w:t>S</w:t>
      </w:r>
      <w:r w:rsidR="00DE5A4F">
        <w:rPr>
          <w:rFonts w:ascii="-webkit-standard" w:eastAsia="SimSun" w:hAnsi="-webkit-standard"/>
          <w:noProof/>
          <w:color w:val="000000"/>
          <w:lang w:eastAsia="zh-CN"/>
        </w:rPr>
        <w:t>tates</w:t>
      </w:r>
      <w:r w:rsidR="00502A5C" w:rsidRPr="00502A5C">
        <w:rPr>
          <w:rFonts w:ascii="-webkit-standard" w:eastAsia="SimSun" w:hAnsi="-webkit-standard"/>
          <w:noProof/>
          <w:color w:val="000000"/>
          <w:lang w:eastAsia="zh-CN"/>
        </w:rPr>
        <w:t xml:space="preserve"> and </w:t>
      </w:r>
      <w:r>
        <w:rPr>
          <w:rFonts w:ascii="-webkit-standard" w:eastAsia="SimSun" w:hAnsi="-webkit-standard"/>
          <w:noProof/>
          <w:color w:val="000000"/>
          <w:lang w:eastAsia="zh-CN"/>
        </w:rPr>
        <w:t>support</w:t>
      </w:r>
      <w:r w:rsidR="00E73C9B">
        <w:rPr>
          <w:rFonts w:ascii="-webkit-standard" w:eastAsia="SimSun" w:hAnsi="-webkit-standard"/>
          <w:noProof/>
          <w:color w:val="000000"/>
          <w:lang w:eastAsia="zh-CN"/>
        </w:rPr>
        <w:t>ed</w:t>
      </w:r>
      <w:r>
        <w:rPr>
          <w:rFonts w:ascii="-webkit-standard" w:eastAsia="SimSun" w:hAnsi="-webkit-standard"/>
          <w:noProof/>
          <w:color w:val="000000"/>
          <w:lang w:eastAsia="zh-CN"/>
        </w:rPr>
        <w:t xml:space="preserve"> the "eLicensing pilot project"</w:t>
      </w:r>
      <w:r w:rsidR="00E73C9B">
        <w:rPr>
          <w:rFonts w:ascii="-webkit-standard" w:eastAsia="SimSun" w:hAnsi="-webkit-standard"/>
          <w:noProof/>
          <w:color w:val="000000"/>
          <w:lang w:eastAsia="zh-CN"/>
        </w:rPr>
        <w:t>, which p</w:t>
      </w:r>
      <w:r w:rsidR="00502A5C" w:rsidRPr="00502A5C">
        <w:rPr>
          <w:rFonts w:ascii="-webkit-standard" w:eastAsia="SimSun" w:hAnsi="-webkit-standard"/>
          <w:noProof/>
          <w:color w:val="000000"/>
          <w:lang w:eastAsia="zh-CN"/>
        </w:rPr>
        <w:t>lan</w:t>
      </w:r>
      <w:r w:rsidR="00E73C9B">
        <w:rPr>
          <w:rFonts w:ascii="-webkit-standard" w:eastAsia="SimSun" w:hAnsi="-webkit-standard"/>
          <w:noProof/>
          <w:color w:val="000000"/>
          <w:lang w:eastAsia="zh-CN"/>
        </w:rPr>
        <w:t>s</w:t>
      </w:r>
      <w:r w:rsidR="00502A5C" w:rsidRPr="00502A5C">
        <w:rPr>
          <w:rFonts w:ascii="-webkit-standard" w:eastAsia="SimSun" w:hAnsi="-webkit-standard"/>
          <w:noProof/>
          <w:color w:val="000000"/>
          <w:lang w:eastAsia="zh-CN"/>
        </w:rPr>
        <w:t xml:space="preserve"> to deploy the eLicensing tool in</w:t>
      </w:r>
      <w:r w:rsidR="00502A5C">
        <w:rPr>
          <w:rFonts w:ascii="-webkit-standard" w:eastAsia="SimSun" w:hAnsi="-webkit-standard"/>
          <w:noProof/>
          <w:color w:val="000000"/>
          <w:lang w:eastAsia="zh-CN"/>
        </w:rPr>
        <w:t xml:space="preserve"> Latvia</w:t>
      </w:r>
      <w:r w:rsidR="00E73C9B">
        <w:rPr>
          <w:rFonts w:ascii="-webkit-standard" w:eastAsia="SimSun" w:hAnsi="-webkit-standard"/>
          <w:noProof/>
          <w:color w:val="000000"/>
          <w:lang w:eastAsia="zh-CN"/>
        </w:rPr>
        <w:t>,</w:t>
      </w:r>
      <w:r w:rsidR="00502A5C">
        <w:rPr>
          <w:rFonts w:ascii="-webkit-standard" w:eastAsia="SimSun" w:hAnsi="-webkit-standard"/>
          <w:noProof/>
          <w:color w:val="000000"/>
          <w:lang w:eastAsia="zh-CN"/>
        </w:rPr>
        <w:t xml:space="preserve"> Romani</w:t>
      </w:r>
      <w:r w:rsidR="00E73C9B">
        <w:rPr>
          <w:rFonts w:ascii="-webkit-standard" w:eastAsia="SimSun" w:hAnsi="-webkit-standard"/>
          <w:noProof/>
          <w:color w:val="000000"/>
          <w:lang w:eastAsia="zh-CN"/>
        </w:rPr>
        <w:t xml:space="preserve">a, </w:t>
      </w:r>
      <w:r w:rsidR="00502A5C" w:rsidRPr="00502A5C">
        <w:rPr>
          <w:rFonts w:ascii="-webkit-standard" w:eastAsia="SimSun" w:hAnsi="-webkit-standard"/>
          <w:noProof/>
          <w:color w:val="000000"/>
          <w:lang w:eastAsia="zh-CN"/>
        </w:rPr>
        <w:t>Italy, G</w:t>
      </w:r>
      <w:r w:rsidR="00C87AAC">
        <w:rPr>
          <w:rFonts w:ascii="-webkit-standard" w:eastAsia="SimSun" w:hAnsi="-webkit-standard"/>
          <w:noProof/>
          <w:color w:val="000000"/>
          <w:lang w:eastAsia="zh-CN"/>
        </w:rPr>
        <w:t>r</w:t>
      </w:r>
      <w:r w:rsidR="00502A5C" w:rsidRPr="00502A5C">
        <w:rPr>
          <w:rFonts w:ascii="-webkit-standard" w:eastAsia="SimSun" w:hAnsi="-webkit-standard"/>
          <w:noProof/>
          <w:color w:val="000000"/>
          <w:lang w:eastAsia="zh-CN"/>
        </w:rPr>
        <w:t xml:space="preserve">eece and </w:t>
      </w:r>
      <w:r w:rsidR="00DE5A4F">
        <w:rPr>
          <w:rFonts w:ascii="-webkit-standard" w:eastAsia="SimSun" w:hAnsi="-webkit-standard"/>
          <w:noProof/>
          <w:color w:val="000000"/>
          <w:lang w:eastAsia="zh-CN"/>
        </w:rPr>
        <w:t xml:space="preserve">the </w:t>
      </w:r>
      <w:r w:rsidR="00502A5C" w:rsidRPr="00502A5C">
        <w:rPr>
          <w:rFonts w:ascii="-webkit-standard" w:eastAsia="SimSun" w:hAnsi="-webkit-standard"/>
          <w:noProof/>
          <w:color w:val="000000"/>
          <w:lang w:eastAsia="zh-CN"/>
        </w:rPr>
        <w:t>Wallonia</w:t>
      </w:r>
      <w:r w:rsidR="00DE5A4F">
        <w:rPr>
          <w:rFonts w:ascii="-webkit-standard" w:eastAsia="SimSun" w:hAnsi="-webkit-standard"/>
          <w:noProof/>
          <w:color w:val="000000"/>
          <w:lang w:eastAsia="zh-CN"/>
        </w:rPr>
        <w:t xml:space="preserve"> Region of Belgium</w:t>
      </w:r>
      <w:r w:rsidR="00E73C9B">
        <w:rPr>
          <w:rFonts w:ascii="-webkit-standard" w:eastAsia="SimSun" w:hAnsi="-webkit-standard"/>
          <w:noProof/>
          <w:color w:val="000000"/>
          <w:lang w:eastAsia="zh-CN"/>
        </w:rPr>
        <w:t xml:space="preserve"> in the course of 2021</w:t>
      </w:r>
      <w:r>
        <w:rPr>
          <w:rFonts w:ascii="-webkit-standard" w:eastAsia="SimSun" w:hAnsi="-webkit-standard"/>
          <w:noProof/>
          <w:color w:val="000000"/>
          <w:lang w:eastAsia="zh-CN"/>
        </w:rPr>
        <w:t>.</w:t>
      </w:r>
      <w:r w:rsidR="008A50EB">
        <w:rPr>
          <w:rFonts w:ascii="-webkit-standard" w:eastAsia="SimSun" w:hAnsi="-webkit-standard"/>
          <w:noProof/>
          <w:color w:val="000000"/>
          <w:lang w:eastAsia="zh-CN"/>
        </w:rPr>
        <w:t xml:space="preserve"> The deployment of this electronic system will allow national competent authorities to manage the whole authorisati</w:t>
      </w:r>
      <w:r w:rsidR="00DE5A4F">
        <w:rPr>
          <w:rFonts w:ascii="-webkit-standard" w:eastAsia="SimSun" w:hAnsi="-webkit-standard"/>
          <w:noProof/>
          <w:color w:val="000000"/>
          <w:lang w:eastAsia="zh-CN"/>
        </w:rPr>
        <w:t>on</w:t>
      </w:r>
      <w:r w:rsidR="008A50EB">
        <w:rPr>
          <w:rFonts w:ascii="-webkit-standard" w:eastAsia="SimSun" w:hAnsi="-webkit-standard"/>
          <w:noProof/>
          <w:color w:val="000000"/>
          <w:lang w:eastAsia="zh-CN"/>
        </w:rPr>
        <w:t xml:space="preserve"> process in a complete</w:t>
      </w:r>
      <w:r w:rsidR="00DE5A4F">
        <w:rPr>
          <w:rFonts w:ascii="-webkit-standard" w:eastAsia="SimSun" w:hAnsi="-webkit-standard"/>
          <w:noProof/>
          <w:color w:val="000000"/>
          <w:lang w:eastAsia="zh-CN"/>
        </w:rPr>
        <w:t>ly</w:t>
      </w:r>
      <w:r w:rsidR="008A50EB">
        <w:rPr>
          <w:rFonts w:ascii="-webkit-standard" w:eastAsia="SimSun" w:hAnsi="-webkit-standard"/>
          <w:noProof/>
          <w:color w:val="000000"/>
          <w:lang w:eastAsia="zh-CN"/>
        </w:rPr>
        <w:t xml:space="preserve"> paperless format and with the effectiveness and efficiency which is typical of modern eletronic systems. This will also allow </w:t>
      </w:r>
      <w:r w:rsidR="00DE5A4F">
        <w:rPr>
          <w:rFonts w:ascii="-webkit-standard" w:eastAsia="SimSun" w:hAnsi="-webkit-standard"/>
          <w:noProof/>
          <w:color w:val="000000"/>
          <w:lang w:eastAsia="zh-CN"/>
        </w:rPr>
        <w:t>e</w:t>
      </w:r>
      <w:r w:rsidR="008A50EB">
        <w:rPr>
          <w:rFonts w:ascii="-webkit-standard" w:eastAsia="SimSun" w:hAnsi="-webkit-standard"/>
          <w:noProof/>
          <w:color w:val="000000"/>
          <w:lang w:eastAsia="zh-CN"/>
        </w:rPr>
        <w:t xml:space="preserve">conomic </w:t>
      </w:r>
      <w:r w:rsidR="00DE5A4F">
        <w:rPr>
          <w:rFonts w:ascii="-webkit-standard" w:eastAsia="SimSun" w:hAnsi="-webkit-standard"/>
          <w:noProof/>
          <w:color w:val="000000"/>
          <w:lang w:eastAsia="zh-CN"/>
        </w:rPr>
        <w:t>o</w:t>
      </w:r>
      <w:r w:rsidR="008A50EB">
        <w:rPr>
          <w:rFonts w:ascii="-webkit-standard" w:eastAsia="SimSun" w:hAnsi="-webkit-standard"/>
          <w:noProof/>
          <w:color w:val="000000"/>
          <w:lang w:eastAsia="zh-CN"/>
        </w:rPr>
        <w:t>perators and competent authorities to minim</w:t>
      </w:r>
      <w:r w:rsidR="00DE5A4F">
        <w:rPr>
          <w:rFonts w:ascii="-webkit-standard" w:eastAsia="SimSun" w:hAnsi="-webkit-standard"/>
          <w:noProof/>
          <w:color w:val="000000"/>
          <w:lang w:eastAsia="zh-CN"/>
        </w:rPr>
        <w:t>ise</w:t>
      </w:r>
      <w:r w:rsidR="008A50EB">
        <w:rPr>
          <w:rFonts w:ascii="-webkit-standard" w:eastAsia="SimSun" w:hAnsi="-webkit-standard"/>
          <w:noProof/>
          <w:color w:val="000000"/>
          <w:lang w:eastAsia="zh-CN"/>
        </w:rPr>
        <w:t xml:space="preserve"> the administrative burden related to the</w:t>
      </w:r>
      <w:r w:rsidR="001E4A83">
        <w:rPr>
          <w:rFonts w:ascii="-webkit-standard" w:eastAsia="SimSun" w:hAnsi="-webkit-standard"/>
          <w:noProof/>
          <w:color w:val="000000"/>
          <w:lang w:eastAsia="zh-CN"/>
        </w:rPr>
        <w:t xml:space="preserve"> authorisation of dual-use items.</w:t>
      </w:r>
      <w:r w:rsidR="008A50EB">
        <w:rPr>
          <w:rFonts w:ascii="-webkit-standard" w:eastAsia="SimSun" w:hAnsi="-webkit-standard"/>
          <w:noProof/>
          <w:color w:val="000000"/>
          <w:lang w:eastAsia="zh-CN"/>
        </w:rPr>
        <w:t xml:space="preserve"> </w:t>
      </w:r>
      <w:r>
        <w:rPr>
          <w:rFonts w:ascii="-webkit-standard" w:eastAsia="SimSun" w:hAnsi="-webkit-standard"/>
          <w:noProof/>
          <w:color w:val="000000"/>
          <w:lang w:eastAsia="zh-CN"/>
        </w:rPr>
        <w:t xml:space="preserve"> </w:t>
      </w:r>
    </w:p>
    <w:p w14:paraId="4352A269" w14:textId="77777777" w:rsidR="00AA655D" w:rsidRDefault="00AA655D" w:rsidP="00AA655D">
      <w:pPr>
        <w:jc w:val="both"/>
        <w:rPr>
          <w:rFonts w:ascii="-webkit-standard" w:eastAsia="SimSun" w:hAnsi="-webkit-standard" w:hint="eastAsia"/>
          <w:noProof/>
          <w:color w:val="000000"/>
          <w:lang w:eastAsia="zh-CN"/>
        </w:rPr>
      </w:pPr>
    </w:p>
    <w:p w14:paraId="542D6844" w14:textId="77777777" w:rsidR="00E73C9B" w:rsidRDefault="00E73C9B" w:rsidP="00AA655D">
      <w:pPr>
        <w:jc w:val="both"/>
        <w:rPr>
          <w:rFonts w:ascii="-webkit-standard" w:hAnsi="-webkit-standard"/>
          <w:noProof/>
          <w:color w:val="000000"/>
        </w:rPr>
      </w:pPr>
      <w:r>
        <w:rPr>
          <w:rFonts w:ascii="-webkit-standard" w:hAnsi="-webkit-standard"/>
          <w:noProof/>
          <w:color w:val="000000"/>
        </w:rPr>
        <w:t>The DUCG also initiated d</w:t>
      </w:r>
      <w:r w:rsidR="001207A5" w:rsidRPr="001207A5">
        <w:rPr>
          <w:rFonts w:ascii="-webkit-standard" w:hAnsi="-webkit-standard"/>
          <w:noProof/>
          <w:color w:val="000000"/>
        </w:rPr>
        <w:t xml:space="preserve">iscussions regarding the integration of dual-use eLicensing systems with the </w:t>
      </w:r>
      <w:r w:rsidR="00DE5A4F">
        <w:rPr>
          <w:rFonts w:ascii="-webkit-standard" w:hAnsi="-webkit-standard"/>
          <w:noProof/>
          <w:color w:val="000000"/>
        </w:rPr>
        <w:t xml:space="preserve">Commission’s </w:t>
      </w:r>
      <w:r w:rsidR="001207A5" w:rsidRPr="001207A5">
        <w:rPr>
          <w:rFonts w:ascii="-webkit-standard" w:hAnsi="-webkit-standard"/>
          <w:noProof/>
          <w:color w:val="000000"/>
        </w:rPr>
        <w:t xml:space="preserve">customs’ Single Window initiative </w:t>
      </w:r>
      <w:r w:rsidRPr="001207A5">
        <w:rPr>
          <w:rFonts w:ascii="-webkit-standard" w:hAnsi="-webkit-standard"/>
          <w:noProof/>
          <w:color w:val="000000"/>
        </w:rPr>
        <w:t>under the “CERTEX” project</w:t>
      </w:r>
      <w:r w:rsidR="001207A5" w:rsidRPr="001207A5">
        <w:rPr>
          <w:rFonts w:ascii="-webkit-standard" w:hAnsi="-webkit-standard"/>
          <w:noProof/>
          <w:color w:val="000000"/>
        </w:rPr>
        <w:t>.</w:t>
      </w:r>
      <w:r w:rsidR="001E4A83">
        <w:rPr>
          <w:rFonts w:ascii="-webkit-standard" w:hAnsi="-webkit-standard"/>
          <w:noProof/>
          <w:color w:val="000000"/>
        </w:rPr>
        <w:t xml:space="preserve"> This integration will allow an automated check of the authorisation for the export of dual-use items once an exporter indicates that the dual-use goods being exported are covered by an export authorisation issued by an EU competent authorit</w:t>
      </w:r>
      <w:r w:rsidR="00D60988">
        <w:rPr>
          <w:rFonts w:ascii="-webkit-standard" w:hAnsi="-webkit-standard"/>
          <w:noProof/>
          <w:color w:val="000000"/>
        </w:rPr>
        <w:t>y</w:t>
      </w:r>
      <w:r w:rsidR="001E4A83">
        <w:rPr>
          <w:rFonts w:ascii="-webkit-standard" w:hAnsi="-webkit-standard"/>
          <w:noProof/>
          <w:color w:val="000000"/>
        </w:rPr>
        <w:t>.</w:t>
      </w:r>
      <w:r w:rsidR="001207A5" w:rsidRPr="001207A5">
        <w:rPr>
          <w:rFonts w:ascii="-webkit-standard" w:hAnsi="-webkit-standard"/>
          <w:noProof/>
          <w:color w:val="000000"/>
        </w:rPr>
        <w:t xml:space="preserve"> </w:t>
      </w:r>
    </w:p>
    <w:p w14:paraId="438D06C9" w14:textId="149BFB53" w:rsidR="00D13298" w:rsidRDefault="00D13298" w:rsidP="00AA655D">
      <w:pPr>
        <w:jc w:val="both"/>
        <w:rPr>
          <w:rFonts w:ascii="-webkit-standard" w:hAnsi="-webkit-standard"/>
          <w:noProof/>
          <w:color w:val="000000"/>
        </w:rPr>
      </w:pPr>
    </w:p>
    <w:p w14:paraId="144A382C" w14:textId="77777777" w:rsidR="00AA655D" w:rsidRDefault="00AA655D" w:rsidP="00014570">
      <w:pPr>
        <w:keepNext/>
        <w:spacing w:before="100" w:beforeAutospacing="1" w:after="100" w:afterAutospacing="1"/>
        <w:jc w:val="both"/>
        <w:rPr>
          <w:rFonts w:eastAsia="Times New Roman"/>
          <w:b/>
          <w:noProof/>
          <w:lang w:eastAsia="en-GB"/>
        </w:rPr>
      </w:pPr>
      <w:bookmarkStart w:id="10" w:name="_Toc368065781"/>
      <w:r>
        <w:rPr>
          <w:rFonts w:eastAsia="Times New Roman"/>
          <w:b/>
          <w:noProof/>
          <w:lang w:eastAsia="en-GB"/>
        </w:rPr>
        <w:t>3.5</w:t>
      </w:r>
      <w:r w:rsidR="00617132">
        <w:rPr>
          <w:rFonts w:eastAsia="Times New Roman"/>
          <w:b/>
          <w:noProof/>
          <w:lang w:eastAsia="en-GB"/>
        </w:rPr>
        <w:t>.</w:t>
      </w:r>
      <w:r>
        <w:rPr>
          <w:rFonts w:eastAsia="Times New Roman"/>
          <w:b/>
          <w:noProof/>
          <w:lang w:eastAsia="en-GB"/>
        </w:rPr>
        <w:tab/>
        <w:t>EU Dual-use Pool of Experts</w:t>
      </w:r>
    </w:p>
    <w:p w14:paraId="7E5999B7" w14:textId="77777777" w:rsidR="00AA655D" w:rsidRPr="00CB7673" w:rsidRDefault="00AA655D" w:rsidP="00AA655D">
      <w:pPr>
        <w:spacing w:before="100" w:beforeAutospacing="1" w:after="100" w:afterAutospacing="1"/>
        <w:jc w:val="both"/>
        <w:rPr>
          <w:rFonts w:eastAsia="Times New Roman"/>
          <w:noProof/>
          <w:lang w:eastAsia="en-GB"/>
        </w:rPr>
      </w:pPr>
      <w:r w:rsidRPr="00CB7673">
        <w:rPr>
          <w:rFonts w:eastAsia="Times New Roman"/>
          <w:noProof/>
          <w:lang w:eastAsia="en-GB"/>
        </w:rPr>
        <w:t>In 20</w:t>
      </w:r>
      <w:r w:rsidR="007A18D6" w:rsidRPr="00CB7673">
        <w:rPr>
          <w:rFonts w:eastAsia="Times New Roman"/>
          <w:noProof/>
          <w:lang w:eastAsia="en-GB"/>
        </w:rPr>
        <w:t>20</w:t>
      </w:r>
      <w:r w:rsidRPr="00CB7673">
        <w:rPr>
          <w:rFonts w:eastAsia="Times New Roman"/>
          <w:noProof/>
          <w:lang w:eastAsia="en-GB"/>
        </w:rPr>
        <w:t xml:space="preserve">, the EU Dual-use Pool of Experts operated by Commission’s Joint Research Centre (JRC) and experts made available by Member States continued to provide support to competent authorities requesting </w:t>
      </w:r>
      <w:r w:rsidR="00B54570" w:rsidRPr="00CB7673">
        <w:rPr>
          <w:rFonts w:eastAsia="Times New Roman"/>
          <w:noProof/>
          <w:lang w:eastAsia="en-GB"/>
        </w:rPr>
        <w:t xml:space="preserve">technical </w:t>
      </w:r>
      <w:r w:rsidRPr="00CB7673">
        <w:rPr>
          <w:rFonts w:eastAsia="Times New Roman"/>
          <w:noProof/>
          <w:lang w:eastAsia="en-GB"/>
        </w:rPr>
        <w:t>advice to support the assessment of specific licensing cases. In total, technical advice on commodity classification w</w:t>
      </w:r>
      <w:r w:rsidR="00DE5A4F">
        <w:rPr>
          <w:rFonts w:eastAsia="Times New Roman"/>
          <w:noProof/>
          <w:lang w:eastAsia="en-GB"/>
        </w:rPr>
        <w:t xml:space="preserve">as </w:t>
      </w:r>
      <w:r w:rsidRPr="00CB7673">
        <w:rPr>
          <w:rFonts w:eastAsia="Times New Roman"/>
          <w:noProof/>
          <w:lang w:eastAsia="en-GB"/>
        </w:rPr>
        <w:t xml:space="preserve">provided </w:t>
      </w:r>
      <w:r w:rsidR="00DE5A4F">
        <w:rPr>
          <w:rFonts w:eastAsia="Times New Roman"/>
          <w:noProof/>
          <w:lang w:eastAsia="en-GB"/>
        </w:rPr>
        <w:t xml:space="preserve">on nine occasions </w:t>
      </w:r>
      <w:r w:rsidRPr="00CB7673">
        <w:rPr>
          <w:rFonts w:eastAsia="Times New Roman"/>
          <w:noProof/>
          <w:lang w:eastAsia="en-GB"/>
        </w:rPr>
        <w:t xml:space="preserve">to </w:t>
      </w:r>
      <w:r w:rsidR="00DE5A4F">
        <w:rPr>
          <w:rFonts w:eastAsia="Times New Roman"/>
          <w:noProof/>
          <w:lang w:eastAsia="en-GB"/>
        </w:rPr>
        <w:t xml:space="preserve">six </w:t>
      </w:r>
      <w:r w:rsidRPr="00CB7673">
        <w:rPr>
          <w:rFonts w:eastAsia="Times New Roman"/>
          <w:noProof/>
          <w:lang w:eastAsia="en-GB"/>
        </w:rPr>
        <w:t>competent authorities over the reporting period.</w:t>
      </w:r>
      <w:r w:rsidRPr="00CB7673">
        <w:rPr>
          <w:rFonts w:eastAsia="Calibri"/>
          <w:noProof/>
        </w:rPr>
        <w:t xml:space="preserve"> </w:t>
      </w:r>
    </w:p>
    <w:p w14:paraId="4E6B085A" w14:textId="77777777" w:rsidR="00AA655D" w:rsidRPr="00CB7673" w:rsidRDefault="00AA655D" w:rsidP="00AA655D">
      <w:pPr>
        <w:keepNext/>
        <w:tabs>
          <w:tab w:val="left" w:pos="850"/>
        </w:tabs>
        <w:spacing w:after="120"/>
        <w:ind w:left="850" w:hanging="850"/>
        <w:jc w:val="both"/>
        <w:outlineLvl w:val="1"/>
        <w:rPr>
          <w:rFonts w:eastAsia="Times New Roman"/>
          <w:b/>
          <w:noProof/>
          <w:lang w:eastAsia="en-GB"/>
        </w:rPr>
      </w:pPr>
      <w:r w:rsidRPr="00CB7673">
        <w:rPr>
          <w:rFonts w:eastAsia="Times New Roman"/>
          <w:b/>
          <w:noProof/>
          <w:lang w:eastAsia="en-GB"/>
        </w:rPr>
        <w:t>3.6</w:t>
      </w:r>
      <w:r w:rsidR="00617132">
        <w:rPr>
          <w:rFonts w:eastAsia="Times New Roman"/>
          <w:b/>
          <w:noProof/>
          <w:lang w:eastAsia="en-GB"/>
        </w:rPr>
        <w:t>.</w:t>
      </w:r>
      <w:r w:rsidRPr="00CB7673">
        <w:rPr>
          <w:rFonts w:eastAsia="Times New Roman"/>
          <w:b/>
          <w:noProof/>
          <w:lang w:eastAsia="en-GB"/>
        </w:rPr>
        <w:tab/>
        <w:t>Implementation and enforcement</w:t>
      </w:r>
      <w:bookmarkEnd w:id="10"/>
    </w:p>
    <w:p w14:paraId="7B2C3CBC" w14:textId="77777777" w:rsidR="00AA655D" w:rsidRPr="00CB7673" w:rsidRDefault="00AA655D" w:rsidP="00AA655D">
      <w:pPr>
        <w:spacing w:before="100" w:beforeAutospacing="1" w:after="100" w:afterAutospacing="1"/>
        <w:jc w:val="both"/>
        <w:rPr>
          <w:rFonts w:eastAsia="Calibri"/>
          <w:noProof/>
          <w:lang w:eastAsia="en-GB"/>
        </w:rPr>
      </w:pPr>
      <w:r w:rsidRPr="002570D5">
        <w:rPr>
          <w:rFonts w:eastAsia="Calibri"/>
          <w:noProof/>
          <w:lang w:eastAsia="en-GB"/>
        </w:rPr>
        <w:t xml:space="preserve">The DUCG exchanged information on the implementation and enforcement of controls. According to available data, the EU export control network – comprising staff in Member States’ licensing competent authorities and the Commission </w:t>
      </w:r>
      <w:r w:rsidR="00652395" w:rsidRPr="002570D5">
        <w:rPr>
          <w:rFonts w:eastAsia="Calibri"/>
          <w:noProof/>
          <w:lang w:eastAsia="en-GB"/>
        </w:rPr>
        <w:t>–</w:t>
      </w:r>
      <w:r w:rsidRPr="002570D5">
        <w:rPr>
          <w:rFonts w:eastAsia="Calibri"/>
          <w:noProof/>
          <w:lang w:eastAsia="en-GB"/>
        </w:rPr>
        <w:t xml:space="preserve"> consisted of over </w:t>
      </w:r>
      <w:r w:rsidR="00CB7673" w:rsidRPr="002570D5">
        <w:rPr>
          <w:rFonts w:eastAsia="Calibri"/>
          <w:noProof/>
          <w:lang w:eastAsia="en-GB"/>
        </w:rPr>
        <w:t xml:space="preserve">360 </w:t>
      </w:r>
      <w:r w:rsidRPr="002570D5">
        <w:rPr>
          <w:rFonts w:eastAsia="Calibri"/>
          <w:noProof/>
          <w:lang w:eastAsia="en-GB"/>
        </w:rPr>
        <w:t xml:space="preserve">staff. With respect to enforcement, </w:t>
      </w:r>
      <w:r w:rsidR="00CB7673" w:rsidRPr="002570D5">
        <w:rPr>
          <w:rFonts w:eastAsia="Calibri"/>
          <w:noProof/>
          <w:lang w:eastAsia="en-GB"/>
        </w:rPr>
        <w:t xml:space="preserve">144 </w:t>
      </w:r>
      <w:r w:rsidRPr="002570D5">
        <w:rPr>
          <w:rFonts w:eastAsia="Calibri"/>
          <w:noProof/>
          <w:lang w:eastAsia="en-GB"/>
        </w:rPr>
        <w:t>breaches of export control regulations were recorded in 201</w:t>
      </w:r>
      <w:r w:rsidR="002570D5" w:rsidRPr="002570D5">
        <w:rPr>
          <w:rFonts w:eastAsia="Calibri"/>
          <w:noProof/>
          <w:lang w:eastAsia="en-GB"/>
        </w:rPr>
        <w:t>9</w:t>
      </w:r>
      <w:r w:rsidRPr="002570D5">
        <w:rPr>
          <w:rFonts w:eastAsia="Calibri"/>
          <w:noProof/>
          <w:lang w:eastAsia="en-GB"/>
        </w:rPr>
        <w:t xml:space="preserve"> while </w:t>
      </w:r>
      <w:r w:rsidR="00DE5A4F">
        <w:rPr>
          <w:rFonts w:eastAsia="Calibri"/>
          <w:noProof/>
          <w:lang w:eastAsia="en-GB"/>
        </w:rPr>
        <w:t xml:space="preserve">eight </w:t>
      </w:r>
      <w:r w:rsidRPr="002570D5">
        <w:rPr>
          <w:rFonts w:eastAsia="Calibri"/>
          <w:noProof/>
          <w:lang w:eastAsia="en-GB"/>
        </w:rPr>
        <w:t>administrative penalties and 1</w:t>
      </w:r>
      <w:r w:rsidR="00CB7673" w:rsidRPr="002570D5">
        <w:rPr>
          <w:rFonts w:eastAsia="Calibri"/>
          <w:noProof/>
          <w:lang w:eastAsia="en-GB"/>
        </w:rPr>
        <w:t>6</w:t>
      </w:r>
      <w:r w:rsidRPr="002570D5">
        <w:rPr>
          <w:rFonts w:eastAsia="Calibri"/>
          <w:noProof/>
          <w:lang w:eastAsia="en-GB"/>
        </w:rPr>
        <w:t xml:space="preserve"> criminal penalties were applied by national law enforcement authorities.</w:t>
      </w:r>
    </w:p>
    <w:p w14:paraId="6B22E28B" w14:textId="77777777" w:rsidR="00AA655D" w:rsidRDefault="00AA655D" w:rsidP="00AA655D">
      <w:pPr>
        <w:spacing w:before="100" w:beforeAutospacing="1" w:after="100" w:afterAutospacing="1"/>
        <w:jc w:val="both"/>
        <w:rPr>
          <w:rFonts w:eastAsia="Times New Roman"/>
          <w:b/>
          <w:noProof/>
          <w:lang w:eastAsia="en-GB"/>
        </w:rPr>
      </w:pPr>
      <w:r>
        <w:rPr>
          <w:rFonts w:eastAsia="Times New Roman"/>
          <w:b/>
          <w:noProof/>
          <w:lang w:eastAsia="en-GB"/>
        </w:rPr>
        <w:t>3.7</w:t>
      </w:r>
      <w:r w:rsidR="00617132">
        <w:rPr>
          <w:rFonts w:eastAsia="Times New Roman"/>
          <w:b/>
          <w:noProof/>
          <w:lang w:eastAsia="en-GB"/>
        </w:rPr>
        <w:t>.</w:t>
      </w:r>
      <w:r>
        <w:rPr>
          <w:rFonts w:eastAsia="Times New Roman"/>
          <w:b/>
          <w:noProof/>
          <w:lang w:eastAsia="en-GB"/>
        </w:rPr>
        <w:tab/>
        <w:t>Capacity building</w:t>
      </w:r>
    </w:p>
    <w:p w14:paraId="3459DE37" w14:textId="77777777" w:rsidR="00AA655D" w:rsidRDefault="00AA655D" w:rsidP="00AA655D">
      <w:pPr>
        <w:spacing w:before="100" w:beforeAutospacing="1" w:after="100" w:afterAutospacing="1"/>
        <w:jc w:val="both"/>
        <w:rPr>
          <w:noProof/>
        </w:rPr>
      </w:pPr>
      <w:r>
        <w:rPr>
          <w:noProof/>
        </w:rPr>
        <w:t>In 20</w:t>
      </w:r>
      <w:r w:rsidR="00DD3E8C">
        <w:rPr>
          <w:noProof/>
        </w:rPr>
        <w:t>20</w:t>
      </w:r>
      <w:r>
        <w:rPr>
          <w:noProof/>
        </w:rPr>
        <w:t xml:space="preserve">, the DUCG supported the organisation by the Commission's JRC </w:t>
      </w:r>
      <w:r w:rsidRPr="008A7088">
        <w:rPr>
          <w:rFonts w:eastAsia="Times New Roman"/>
          <w:noProof/>
          <w:lang w:eastAsia="en-GB"/>
        </w:rPr>
        <w:t>in collaboration with the US Department of Energy</w:t>
      </w:r>
      <w:r w:rsidRPr="008A7088">
        <w:rPr>
          <w:noProof/>
        </w:rPr>
        <w:t xml:space="preserve"> </w:t>
      </w:r>
      <w:r>
        <w:rPr>
          <w:noProof/>
        </w:rPr>
        <w:t xml:space="preserve">of </w:t>
      </w:r>
      <w:r w:rsidR="00252607">
        <w:rPr>
          <w:noProof/>
        </w:rPr>
        <w:t>the</w:t>
      </w:r>
      <w:r w:rsidR="00652395">
        <w:rPr>
          <w:noProof/>
        </w:rPr>
        <w:t xml:space="preserve"> </w:t>
      </w:r>
      <w:r w:rsidR="00252607" w:rsidRPr="00252607">
        <w:rPr>
          <w:noProof/>
        </w:rPr>
        <w:t>13</w:t>
      </w:r>
      <w:r w:rsidR="00252607" w:rsidRPr="00CA4709">
        <w:rPr>
          <w:noProof/>
          <w:vertAlign w:val="superscript"/>
        </w:rPr>
        <w:t xml:space="preserve">th </w:t>
      </w:r>
      <w:r w:rsidR="00252607" w:rsidRPr="00252607">
        <w:rPr>
          <w:noProof/>
        </w:rPr>
        <w:t>JRC-</w:t>
      </w:r>
      <w:r w:rsidR="00E830C2">
        <w:rPr>
          <w:noProof/>
        </w:rPr>
        <w:t>National Nuclear Security Agency (</w:t>
      </w:r>
      <w:r w:rsidR="00252607" w:rsidRPr="00252607">
        <w:rPr>
          <w:noProof/>
        </w:rPr>
        <w:t>NNSA</w:t>
      </w:r>
      <w:r w:rsidR="00E830C2">
        <w:rPr>
          <w:noProof/>
        </w:rPr>
        <w:t>)</w:t>
      </w:r>
      <w:r w:rsidR="002570D5">
        <w:rPr>
          <w:noProof/>
        </w:rPr>
        <w:t xml:space="preserve"> </w:t>
      </w:r>
      <w:r w:rsidR="002570D5" w:rsidRPr="00387039">
        <w:rPr>
          <w:noProof/>
        </w:rPr>
        <w:t>virtu</w:t>
      </w:r>
      <w:r w:rsidR="00C00E2A">
        <w:rPr>
          <w:noProof/>
        </w:rPr>
        <w:t>a</w:t>
      </w:r>
      <w:r w:rsidR="002570D5" w:rsidRPr="00387039">
        <w:rPr>
          <w:noProof/>
        </w:rPr>
        <w:t>l</w:t>
      </w:r>
      <w:r w:rsidR="00252607" w:rsidRPr="00252607">
        <w:rPr>
          <w:noProof/>
        </w:rPr>
        <w:t xml:space="preserve"> technical seminar</w:t>
      </w:r>
      <w:r>
        <w:rPr>
          <w:noProof/>
        </w:rPr>
        <w:t xml:space="preserve"> on 1</w:t>
      </w:r>
      <w:r w:rsidR="00DD3E8C">
        <w:rPr>
          <w:noProof/>
        </w:rPr>
        <w:t>5</w:t>
      </w:r>
      <w:r>
        <w:rPr>
          <w:noProof/>
        </w:rPr>
        <w:t xml:space="preserve"> September </w:t>
      </w:r>
      <w:r w:rsidR="00DD3E8C">
        <w:rPr>
          <w:noProof/>
        </w:rPr>
        <w:t xml:space="preserve">and 5 October </w:t>
      </w:r>
      <w:r>
        <w:rPr>
          <w:noProof/>
        </w:rPr>
        <w:t>20</w:t>
      </w:r>
      <w:r w:rsidR="00DD3E8C">
        <w:rPr>
          <w:noProof/>
        </w:rPr>
        <w:t>20</w:t>
      </w:r>
      <w:r w:rsidR="00252607">
        <w:rPr>
          <w:noProof/>
        </w:rPr>
        <w:t>.</w:t>
      </w:r>
      <w:r>
        <w:rPr>
          <w:noProof/>
        </w:rPr>
        <w:t xml:space="preserve"> </w:t>
      </w:r>
    </w:p>
    <w:p w14:paraId="76AEB739" w14:textId="77777777" w:rsidR="00AA655D" w:rsidRDefault="00AA655D" w:rsidP="00AA655D">
      <w:pPr>
        <w:spacing w:before="100" w:beforeAutospacing="1" w:after="100" w:afterAutospacing="1"/>
        <w:jc w:val="both"/>
        <w:rPr>
          <w:rFonts w:eastAsia="Times New Roman"/>
          <w:b/>
          <w:noProof/>
          <w:lang w:eastAsia="en-GB"/>
        </w:rPr>
      </w:pPr>
      <w:r>
        <w:rPr>
          <w:rFonts w:eastAsia="Times New Roman"/>
          <w:b/>
          <w:noProof/>
          <w:lang w:eastAsia="en-GB"/>
        </w:rPr>
        <w:t>3.8</w:t>
      </w:r>
      <w:r w:rsidR="00617132">
        <w:rPr>
          <w:rFonts w:eastAsia="Times New Roman"/>
          <w:b/>
          <w:noProof/>
          <w:lang w:eastAsia="en-GB"/>
        </w:rPr>
        <w:t>.</w:t>
      </w:r>
      <w:r>
        <w:rPr>
          <w:rFonts w:eastAsia="Times New Roman"/>
          <w:b/>
          <w:noProof/>
          <w:lang w:eastAsia="en-GB"/>
        </w:rPr>
        <w:tab/>
        <w:t xml:space="preserve">Transparency and dialogue with industry and academia </w:t>
      </w:r>
    </w:p>
    <w:p w14:paraId="27B7FE58" w14:textId="77777777" w:rsidR="002150CE" w:rsidRDefault="002150CE" w:rsidP="00AA655D">
      <w:pPr>
        <w:spacing w:before="100" w:beforeAutospacing="1" w:after="100" w:afterAutospacing="1"/>
        <w:jc w:val="both"/>
        <w:rPr>
          <w:rFonts w:eastAsia="Times New Roman"/>
          <w:noProof/>
          <w:lang w:eastAsia="en-GB"/>
        </w:rPr>
      </w:pPr>
      <w:r w:rsidRPr="002150CE">
        <w:rPr>
          <w:rFonts w:eastAsia="Times New Roman"/>
          <w:noProof/>
          <w:lang w:eastAsia="en-GB"/>
        </w:rPr>
        <w:t>With support of the DUCG an Export Control Forum was organised in a virtual format on 11 December 2020, jointly with the German Presidency of the Council of the EU</w:t>
      </w:r>
      <w:r w:rsidR="00274314">
        <w:rPr>
          <w:rFonts w:eastAsia="Times New Roman"/>
          <w:noProof/>
          <w:lang w:eastAsia="en-GB"/>
        </w:rPr>
        <w:t>. This provided an opportunity</w:t>
      </w:r>
      <w:r w:rsidRPr="002150CE">
        <w:rPr>
          <w:rFonts w:eastAsia="Times New Roman"/>
          <w:noProof/>
          <w:lang w:eastAsia="en-GB"/>
        </w:rPr>
        <w:t xml:space="preserve"> to exchange views on the implementation of EU export controls and the legislative process for a modernisation of EU export</w:t>
      </w:r>
      <w:r>
        <w:rPr>
          <w:rFonts w:eastAsia="Times New Roman"/>
          <w:noProof/>
          <w:lang w:eastAsia="en-GB"/>
        </w:rPr>
        <w:t xml:space="preserve"> controls with more than 800 </w:t>
      </w:r>
      <w:r w:rsidRPr="002150CE">
        <w:rPr>
          <w:rFonts w:eastAsia="Times New Roman"/>
          <w:noProof/>
          <w:lang w:eastAsia="en-GB"/>
        </w:rPr>
        <w:t xml:space="preserve">industry </w:t>
      </w:r>
      <w:r>
        <w:rPr>
          <w:rFonts w:eastAsia="Times New Roman"/>
          <w:noProof/>
          <w:lang w:eastAsia="en-GB"/>
        </w:rPr>
        <w:t>and civil society stakeholders</w:t>
      </w:r>
      <w:r>
        <w:rPr>
          <w:rStyle w:val="FootnoteReference"/>
          <w:rFonts w:eastAsia="Times New Roman"/>
          <w:noProof/>
          <w:lang w:eastAsia="en-GB"/>
        </w:rPr>
        <w:footnoteReference w:id="19"/>
      </w:r>
      <w:r>
        <w:rPr>
          <w:rFonts w:eastAsia="Times New Roman"/>
          <w:noProof/>
          <w:lang w:eastAsia="en-GB"/>
        </w:rPr>
        <w:t xml:space="preserve"> </w:t>
      </w:r>
      <w:r w:rsidRPr="002150CE">
        <w:rPr>
          <w:rFonts w:eastAsia="Times New Roman"/>
          <w:noProof/>
          <w:lang w:eastAsia="en-GB"/>
        </w:rPr>
        <w:t>from industry associations, dual-use companies, academia and civil society organisations in light of the co-legislator's agreement on a new regulation.</w:t>
      </w:r>
      <w:r w:rsidR="00274314">
        <w:rPr>
          <w:rFonts w:eastAsia="Times New Roman"/>
          <w:noProof/>
          <w:lang w:eastAsia="en-GB"/>
        </w:rPr>
        <w:t xml:space="preserve"> The virtual format allowed a far wider participation than has been possible in the past in a physical setting. </w:t>
      </w:r>
    </w:p>
    <w:p w14:paraId="58A53A87" w14:textId="0B65E6EF" w:rsidR="00AA655D" w:rsidRPr="009119FA" w:rsidRDefault="00C14004" w:rsidP="00E36FC3">
      <w:pPr>
        <w:spacing w:before="100" w:beforeAutospacing="1" w:after="100" w:afterAutospacing="1"/>
        <w:jc w:val="both"/>
        <w:rPr>
          <w:rFonts w:eastAsia="Times New Roman"/>
          <w:noProof/>
          <w:lang w:eastAsia="en-GB"/>
        </w:rPr>
      </w:pPr>
      <w:r w:rsidRPr="00C14004">
        <w:rPr>
          <w:rFonts w:eastAsia="Times New Roman"/>
          <w:noProof/>
          <w:lang w:eastAsia="en-GB"/>
        </w:rPr>
        <w:t>Apart from the support of outreach activities of the Commission</w:t>
      </w:r>
      <w:r w:rsidR="00C00E2A">
        <w:rPr>
          <w:rFonts w:eastAsia="Times New Roman"/>
          <w:noProof/>
          <w:lang w:eastAsia="en-GB"/>
        </w:rPr>
        <w:t>,</w:t>
      </w:r>
      <w:r w:rsidRPr="00C14004">
        <w:rPr>
          <w:rFonts w:eastAsia="Times New Roman"/>
          <w:noProof/>
          <w:lang w:eastAsia="en-GB"/>
        </w:rPr>
        <w:t xml:space="preserve"> </w:t>
      </w:r>
      <w:r>
        <w:rPr>
          <w:rFonts w:eastAsia="Times New Roman"/>
          <w:noProof/>
          <w:lang w:eastAsia="en-GB"/>
        </w:rPr>
        <w:t>t</w:t>
      </w:r>
      <w:r w:rsidR="00AA655D">
        <w:rPr>
          <w:rFonts w:eastAsia="Times New Roman"/>
          <w:noProof/>
          <w:lang w:eastAsia="en-GB"/>
        </w:rPr>
        <w:t>he DUCG also prepared documentation to support exporters' implementation of the regulations. In particular, a "Comprehensive Change Note Summary 20</w:t>
      </w:r>
      <w:r w:rsidR="00465EC1">
        <w:rPr>
          <w:rFonts w:eastAsia="Times New Roman"/>
          <w:noProof/>
          <w:lang w:eastAsia="en-GB"/>
        </w:rPr>
        <w:t>20</w:t>
      </w:r>
      <w:r w:rsidR="00AA655D">
        <w:rPr>
          <w:rFonts w:eastAsia="Times New Roman"/>
          <w:noProof/>
          <w:lang w:eastAsia="en-GB"/>
        </w:rPr>
        <w:t>"</w:t>
      </w:r>
      <w:r w:rsidR="00465EC1">
        <w:rPr>
          <w:rStyle w:val="FootnoteReference"/>
          <w:rFonts w:eastAsia="Times New Roman"/>
          <w:noProof/>
          <w:lang w:eastAsia="en-GB"/>
        </w:rPr>
        <w:footnoteReference w:id="20"/>
      </w:r>
      <w:r w:rsidR="00AA655D">
        <w:rPr>
          <w:rFonts w:eastAsia="Times New Roman"/>
          <w:noProof/>
          <w:lang w:eastAsia="en-GB"/>
        </w:rPr>
        <w:t xml:space="preserve"> summarises</w:t>
      </w:r>
      <w:r w:rsidR="00E36FC3">
        <w:rPr>
          <w:rFonts w:eastAsia="Times New Roman"/>
          <w:noProof/>
          <w:lang w:eastAsia="en-GB"/>
        </w:rPr>
        <w:t xml:space="preserve"> </w:t>
      </w:r>
      <w:r w:rsidR="00E36FC3" w:rsidRPr="00E36FC3">
        <w:rPr>
          <w:rFonts w:eastAsia="Times New Roman"/>
          <w:noProof/>
          <w:lang w:eastAsia="en-GB"/>
        </w:rPr>
        <w:t xml:space="preserve">the amendments to Annex I of </w:t>
      </w:r>
      <w:r w:rsidR="002B79F2">
        <w:rPr>
          <w:rFonts w:eastAsia="Times New Roman"/>
          <w:noProof/>
          <w:lang w:eastAsia="en-GB"/>
        </w:rPr>
        <w:t>the</w:t>
      </w:r>
      <w:r w:rsidR="00491EB6">
        <w:rPr>
          <w:rFonts w:eastAsia="Times New Roman"/>
          <w:noProof/>
          <w:lang w:eastAsia="en-GB"/>
        </w:rPr>
        <w:t xml:space="preserve"> </w:t>
      </w:r>
      <w:r w:rsidR="00E36FC3" w:rsidRPr="00E36FC3">
        <w:rPr>
          <w:rFonts w:eastAsia="Times New Roman"/>
          <w:noProof/>
          <w:lang w:eastAsia="en-GB"/>
        </w:rPr>
        <w:t>Regulation to implement the changes in</w:t>
      </w:r>
      <w:r w:rsidR="00E36FC3">
        <w:rPr>
          <w:rFonts w:eastAsia="Times New Roman"/>
          <w:noProof/>
          <w:lang w:eastAsia="en-GB"/>
        </w:rPr>
        <w:t xml:space="preserve"> </w:t>
      </w:r>
      <w:r w:rsidR="00E36FC3" w:rsidRPr="00E36FC3">
        <w:rPr>
          <w:rFonts w:eastAsia="Times New Roman"/>
          <w:noProof/>
          <w:lang w:eastAsia="en-GB"/>
        </w:rPr>
        <w:t>the control lists of the various international fora on non-proliferation regimes.</w:t>
      </w:r>
    </w:p>
    <w:p w14:paraId="55C32E99" w14:textId="77777777" w:rsidR="00CA4709" w:rsidRDefault="00CA4709" w:rsidP="00AA655D">
      <w:pPr>
        <w:spacing w:before="100" w:beforeAutospacing="1" w:after="100" w:afterAutospacing="1"/>
        <w:jc w:val="both"/>
        <w:rPr>
          <w:rFonts w:eastAsia="Calibri"/>
          <w:noProof/>
        </w:rPr>
      </w:pPr>
    </w:p>
    <w:p w14:paraId="3BDF9074" w14:textId="77777777" w:rsidR="00C9774D" w:rsidRDefault="00C9774D" w:rsidP="00C9774D">
      <w:pPr>
        <w:keepNext/>
        <w:tabs>
          <w:tab w:val="left" w:pos="850"/>
        </w:tabs>
        <w:spacing w:after="120"/>
        <w:jc w:val="both"/>
        <w:outlineLvl w:val="0"/>
        <w:rPr>
          <w:rFonts w:eastAsia="Times New Roman"/>
          <w:b/>
          <w:smallCaps/>
          <w:noProof/>
          <w:lang w:eastAsia="en-GB"/>
        </w:rPr>
      </w:pPr>
      <w:bookmarkStart w:id="11" w:name="DQCNUMB_3"/>
      <w:bookmarkEnd w:id="11"/>
      <w:r>
        <w:rPr>
          <w:rFonts w:eastAsia="Times New Roman"/>
          <w:b/>
          <w:smallCaps/>
          <w:noProof/>
          <w:lang w:eastAsia="en-GB"/>
        </w:rPr>
        <w:t>4</w:t>
      </w:r>
      <w:r w:rsidR="00617132">
        <w:rPr>
          <w:rFonts w:eastAsia="Times New Roman"/>
          <w:b/>
          <w:smallCaps/>
          <w:noProof/>
          <w:lang w:eastAsia="en-GB"/>
        </w:rPr>
        <w:t>.</w:t>
      </w:r>
      <w:r>
        <w:rPr>
          <w:rFonts w:eastAsia="Times New Roman"/>
          <w:b/>
          <w:smallCaps/>
          <w:noProof/>
          <w:lang w:eastAsia="en-GB"/>
        </w:rPr>
        <w:tab/>
        <w:t xml:space="preserve">EU export controls – Key Data </w:t>
      </w:r>
    </w:p>
    <w:p w14:paraId="0AB58910" w14:textId="77777777" w:rsidR="00C9774D" w:rsidRPr="00897C8D" w:rsidRDefault="00C9774D" w:rsidP="00C9774D">
      <w:pPr>
        <w:spacing w:before="100" w:beforeAutospacing="1" w:after="100" w:afterAutospacing="1"/>
        <w:jc w:val="both"/>
        <w:rPr>
          <w:rFonts w:eastAsia="Times New Roman"/>
          <w:noProof/>
          <w:lang w:eastAsia="en-GB"/>
        </w:rPr>
      </w:pPr>
      <w:r>
        <w:rPr>
          <w:rFonts w:eastAsia="Times New Roman"/>
          <w:noProof/>
          <w:lang w:eastAsia="en-GB"/>
        </w:rPr>
        <w:t xml:space="preserve">It is difficult to obtain reliable information on overall dual-use exports (including non-listed dual-use items) as there is no corresponding defined economic sector. However, the Commission and Member States collect data that allow for approximate estimates of exports of dual-use goods based, on the one hand, on specific licensing data collected by competent authorities and, on the other hand, on statistics for customs commodities which include dual-use goods. </w:t>
      </w:r>
      <w:r w:rsidRPr="00897C8D">
        <w:rPr>
          <w:rFonts w:eastAsia="Times New Roman"/>
          <w:noProof/>
          <w:lang w:eastAsia="en-GB"/>
        </w:rPr>
        <w:t xml:space="preserve">2019 export data estimates are presented below. It should be noted that the estimates presented do not include services </w:t>
      </w:r>
      <w:r w:rsidR="00274314">
        <w:rPr>
          <w:rFonts w:eastAsia="Times New Roman"/>
          <w:noProof/>
          <w:lang w:eastAsia="en-GB"/>
        </w:rPr>
        <w:t>nor</w:t>
      </w:r>
      <w:r w:rsidRPr="00897C8D">
        <w:rPr>
          <w:rFonts w:eastAsia="Times New Roman"/>
          <w:noProof/>
          <w:lang w:eastAsia="en-GB"/>
        </w:rPr>
        <w:t xml:space="preserve"> intangible technology transfers associated with the trade in dual-use goods. </w:t>
      </w:r>
    </w:p>
    <w:p w14:paraId="7157D2E5" w14:textId="77777777" w:rsidR="00C9774D" w:rsidRPr="00897C8D" w:rsidRDefault="00C9774D" w:rsidP="00C9774D">
      <w:pPr>
        <w:keepNext/>
        <w:tabs>
          <w:tab w:val="left" w:pos="850"/>
        </w:tabs>
        <w:spacing w:after="120"/>
        <w:ind w:left="850" w:hanging="850"/>
        <w:jc w:val="both"/>
        <w:outlineLvl w:val="1"/>
        <w:rPr>
          <w:rFonts w:eastAsia="Times New Roman"/>
          <w:b/>
          <w:noProof/>
          <w:lang w:eastAsia="en-GB"/>
        </w:rPr>
      </w:pPr>
      <w:r w:rsidRPr="00897C8D">
        <w:rPr>
          <w:rFonts w:eastAsia="Times New Roman"/>
          <w:b/>
          <w:noProof/>
          <w:lang w:eastAsia="en-GB"/>
        </w:rPr>
        <w:t>4.1</w:t>
      </w:r>
      <w:r w:rsidR="00617132">
        <w:rPr>
          <w:rFonts w:eastAsia="Times New Roman"/>
          <w:b/>
          <w:noProof/>
          <w:lang w:eastAsia="en-GB"/>
        </w:rPr>
        <w:t>.</w:t>
      </w:r>
      <w:r w:rsidRPr="00897C8D">
        <w:rPr>
          <w:rFonts w:eastAsia="Times New Roman"/>
          <w:b/>
          <w:noProof/>
          <w:lang w:eastAsia="en-GB"/>
        </w:rPr>
        <w:tab/>
        <w:t xml:space="preserve">EU dual-use trade: items and destinations </w:t>
      </w:r>
    </w:p>
    <w:p w14:paraId="5142A236" w14:textId="77777777" w:rsidR="00C9774D" w:rsidRDefault="00C9774D" w:rsidP="00C9774D">
      <w:pPr>
        <w:spacing w:before="100" w:beforeAutospacing="1" w:after="100" w:afterAutospacing="1"/>
        <w:jc w:val="both"/>
        <w:rPr>
          <w:rFonts w:eastAsia="Times New Roman"/>
          <w:noProof/>
          <w:lang w:eastAsia="en-GB"/>
        </w:rPr>
      </w:pPr>
      <w:r w:rsidRPr="00897C8D">
        <w:rPr>
          <w:rFonts w:eastAsia="Times New Roman"/>
          <w:noProof/>
          <w:lang w:eastAsia="en-GB"/>
        </w:rPr>
        <w:t>In 2020, the Regulation primarily applied to the export of about 1884</w:t>
      </w:r>
      <w:r>
        <w:rPr>
          <w:rFonts w:eastAsia="Times New Roman"/>
          <w:noProof/>
          <w:lang w:eastAsia="en-GB"/>
        </w:rPr>
        <w:t xml:space="preserve"> dual-use items listed in Annex I (the "EU Control List") and classified in 10 categories (Figure 1). These dual-use items relate to circa 1000 customs commodities, including chemicals, metals and non-metallic mineral products, computers, electronic and optical products, electrical equipment, machinery, vehicles and transport equipment</w:t>
      </w:r>
      <w:r w:rsidR="00274314">
        <w:rPr>
          <w:rFonts w:eastAsia="Times New Roman"/>
          <w:noProof/>
          <w:lang w:eastAsia="en-GB"/>
        </w:rPr>
        <w:t>,</w:t>
      </w:r>
      <w:r>
        <w:rPr>
          <w:rFonts w:eastAsia="Times New Roman"/>
          <w:noProof/>
          <w:lang w:eastAsia="en-GB"/>
        </w:rPr>
        <w:t xml:space="preserve"> etc. and typically fall at the high–tech end of this large, mixed commodity area. </w:t>
      </w:r>
    </w:p>
    <w:p w14:paraId="0455D7C0" w14:textId="77777777" w:rsidR="00C9774D" w:rsidRPr="002214D4" w:rsidRDefault="00C9774D" w:rsidP="00C9774D">
      <w:pPr>
        <w:spacing w:after="120"/>
        <w:jc w:val="both"/>
        <w:rPr>
          <w:rFonts w:eastAsia="Times New Roman"/>
          <w:noProof/>
          <w:lang w:val="en-US" w:eastAsia="en-GB"/>
        </w:rPr>
      </w:pPr>
      <w:r>
        <w:rPr>
          <w:rFonts w:eastAsia="Times New Roman"/>
          <w:noProof/>
          <w:lang w:eastAsia="en-GB"/>
        </w:rPr>
        <w:drawing>
          <wp:inline distT="0" distB="0" distL="0" distR="0" wp14:anchorId="53D8F27E" wp14:editId="44DBAF81">
            <wp:extent cx="5760720" cy="2665095"/>
            <wp:effectExtent l="0" t="0" r="0" b="1905"/>
            <wp:docPr id="1274"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EC REG.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2665095"/>
                    </a:xfrm>
                    <a:prstGeom prst="rect">
                      <a:avLst/>
                    </a:prstGeom>
                  </pic:spPr>
                </pic:pic>
              </a:graphicData>
            </a:graphic>
          </wp:inline>
        </w:drawing>
      </w:r>
    </w:p>
    <w:p w14:paraId="6C4283F7" w14:textId="77777777" w:rsidR="00C9774D" w:rsidRPr="00897C8D" w:rsidRDefault="00C9774D" w:rsidP="00C9774D">
      <w:pPr>
        <w:spacing w:after="100" w:afterAutospacing="1"/>
        <w:jc w:val="both"/>
        <w:rPr>
          <w:rFonts w:eastAsia="Times New Roman"/>
          <w:i/>
          <w:noProof/>
          <w:sz w:val="20"/>
          <w:szCs w:val="20"/>
          <w:lang w:eastAsia="en-GB"/>
        </w:rPr>
      </w:pPr>
      <w:r>
        <w:rPr>
          <w:rFonts w:eastAsia="Times New Roman"/>
          <w:i/>
          <w:noProof/>
          <w:sz w:val="20"/>
          <w:szCs w:val="20"/>
          <w:lang w:eastAsia="en-GB"/>
        </w:rPr>
        <w:br/>
        <w:t xml:space="preserve">Figure 1: Number of dual-use entries listed in the </w:t>
      </w:r>
      <w:r w:rsidR="00274314">
        <w:rPr>
          <w:rFonts w:eastAsia="Times New Roman"/>
          <w:i/>
          <w:noProof/>
          <w:sz w:val="20"/>
          <w:szCs w:val="20"/>
          <w:lang w:eastAsia="en-GB"/>
        </w:rPr>
        <w:t>ten</w:t>
      </w:r>
      <w:r>
        <w:rPr>
          <w:rFonts w:eastAsia="Times New Roman"/>
          <w:i/>
          <w:noProof/>
          <w:sz w:val="20"/>
          <w:szCs w:val="20"/>
          <w:lang w:eastAsia="en-GB"/>
        </w:rPr>
        <w:t xml:space="preserve"> Categories of Annex I further to the adoption of Regulation (EU) </w:t>
      </w:r>
      <w:r w:rsidRPr="00897C8D">
        <w:rPr>
          <w:rFonts w:eastAsia="Times New Roman"/>
          <w:i/>
          <w:noProof/>
          <w:sz w:val="20"/>
          <w:szCs w:val="20"/>
          <w:lang w:eastAsia="en-GB"/>
        </w:rPr>
        <w:t>2020/1749.</w:t>
      </w:r>
    </w:p>
    <w:p w14:paraId="4ECD82CE" w14:textId="77777777" w:rsidR="00C9774D" w:rsidRDefault="00C9774D" w:rsidP="00C9774D">
      <w:pPr>
        <w:spacing w:after="100" w:afterAutospacing="1"/>
        <w:jc w:val="both"/>
        <w:rPr>
          <w:rFonts w:eastAsia="Times New Roman"/>
          <w:noProof/>
          <w:lang w:eastAsia="en-GB"/>
        </w:rPr>
      </w:pPr>
      <w:r w:rsidRPr="00897C8D">
        <w:rPr>
          <w:rFonts w:eastAsia="Times New Roman"/>
          <w:noProof/>
          <w:lang w:eastAsia="en-GB"/>
        </w:rPr>
        <w:t>Statistical estimates of the relative importance of dual-use trade indicate that dual-use exports represent</w:t>
      </w:r>
      <w:r w:rsidR="00794CC6">
        <w:rPr>
          <w:rFonts w:eastAsia="Times New Roman"/>
          <w:noProof/>
          <w:lang w:eastAsia="en-GB"/>
        </w:rPr>
        <w:t xml:space="preserve"> </w:t>
      </w:r>
      <w:r w:rsidRPr="00897C8D">
        <w:rPr>
          <w:rFonts w:eastAsia="Times New Roman"/>
          <w:noProof/>
          <w:lang w:eastAsia="en-GB"/>
        </w:rPr>
        <w:t>about 2.3% of EU27</w:t>
      </w:r>
      <w:r>
        <w:rPr>
          <w:rFonts w:eastAsia="Times New Roman"/>
          <w:noProof/>
          <w:lang w:eastAsia="en-GB"/>
        </w:rPr>
        <w:t xml:space="preserve"> total exports (intra and extra-EU), within a broad ‘dual-use export domain’</w:t>
      </w:r>
      <w:r>
        <w:rPr>
          <w:rFonts w:eastAsia="Times New Roman"/>
          <w:noProof/>
          <w:vertAlign w:val="superscript"/>
          <w:lang w:eastAsia="en-GB"/>
        </w:rPr>
        <w:footnoteReference w:id="21"/>
      </w:r>
      <w:r>
        <w:rPr>
          <w:rFonts w:eastAsia="Times New Roman"/>
          <w:noProof/>
          <w:lang w:eastAsia="en-GB"/>
        </w:rPr>
        <w:t xml:space="preserve"> of customs commodities that may include, to varying degrees, certain dual-use items (Figure 2).</w:t>
      </w:r>
      <w:r w:rsidR="000A3DC8">
        <w:rPr>
          <w:rFonts w:eastAsia="Times New Roman"/>
          <w:noProof/>
          <w:lang w:eastAsia="en-GB"/>
        </w:rPr>
        <w:t xml:space="preserve"> </w:t>
      </w:r>
      <w:r w:rsidR="00202FCE" w:rsidRPr="00202FCE">
        <w:rPr>
          <w:rFonts w:eastAsia="Times New Roman"/>
          <w:noProof/>
          <w:lang w:eastAsia="en-GB"/>
        </w:rPr>
        <w:t>This would put the</w:t>
      </w:r>
      <w:r w:rsidR="00202FCE">
        <w:rPr>
          <w:rFonts w:eastAsia="Times New Roman"/>
          <w:noProof/>
          <w:lang w:eastAsia="en-GB"/>
        </w:rPr>
        <w:t xml:space="preserve"> value of dual-use trade at € 119 billion in 2019. </w:t>
      </w:r>
    </w:p>
    <w:p w14:paraId="3D1FFE37" w14:textId="77777777" w:rsidR="00C9774D" w:rsidRDefault="00C9774D" w:rsidP="00C9774D">
      <w:pPr>
        <w:spacing w:after="100" w:afterAutospacing="1"/>
        <w:jc w:val="center"/>
        <w:rPr>
          <w:rFonts w:eastAsia="Times New Roman"/>
          <w:noProof/>
          <w:lang w:eastAsia="en-GB"/>
        </w:rPr>
      </w:pPr>
      <w:r>
        <w:rPr>
          <w:rFonts w:eastAsia="Times New Roman"/>
          <w:noProof/>
          <w:lang w:eastAsia="en-GB"/>
        </w:rPr>
        <w:drawing>
          <wp:inline distT="0" distB="0" distL="0" distR="0" wp14:anchorId="3AE8B8A3" wp14:editId="0D0017B7">
            <wp:extent cx="3518105" cy="20255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ED.png"/>
                    <pic:cNvPicPr/>
                  </pic:nvPicPr>
                  <pic:blipFill>
                    <a:blip r:embed="rId17">
                      <a:extLst>
                        <a:ext uri="{28A0092B-C50C-407E-A947-70E740481C1C}">
                          <a14:useLocalDpi xmlns:a14="http://schemas.microsoft.com/office/drawing/2010/main" val="0"/>
                        </a:ext>
                      </a:extLst>
                    </a:blip>
                    <a:stretch>
                      <a:fillRect/>
                    </a:stretch>
                  </pic:blipFill>
                  <pic:spPr>
                    <a:xfrm>
                      <a:off x="0" y="0"/>
                      <a:ext cx="3553032" cy="2045685"/>
                    </a:xfrm>
                    <a:prstGeom prst="rect">
                      <a:avLst/>
                    </a:prstGeom>
                  </pic:spPr>
                </pic:pic>
              </a:graphicData>
            </a:graphic>
          </wp:inline>
        </w:drawing>
      </w:r>
    </w:p>
    <w:p w14:paraId="0F68549B" w14:textId="77777777" w:rsidR="00C9774D" w:rsidRDefault="00C9774D" w:rsidP="00C9774D">
      <w:pPr>
        <w:spacing w:after="100" w:afterAutospacing="1"/>
        <w:jc w:val="center"/>
        <w:rPr>
          <w:rFonts w:eastAsia="Times New Roman"/>
          <w:i/>
          <w:noProof/>
          <w:sz w:val="20"/>
          <w:szCs w:val="20"/>
          <w:lang w:eastAsia="en-GB"/>
        </w:rPr>
      </w:pPr>
      <w:r w:rsidRPr="00897C8D">
        <w:rPr>
          <w:rFonts w:eastAsia="Times New Roman"/>
          <w:i/>
          <w:noProof/>
          <w:sz w:val="20"/>
          <w:szCs w:val="20"/>
          <w:lang w:eastAsia="en-GB"/>
        </w:rPr>
        <w:t>Figure 2: Statistical estimates of dual-use intra and extra-EU exports.</w:t>
      </w:r>
    </w:p>
    <w:p w14:paraId="308282DF" w14:textId="77777777" w:rsidR="00C9774D" w:rsidRDefault="00C9774D" w:rsidP="00C9774D">
      <w:pPr>
        <w:spacing w:before="100" w:beforeAutospacing="1" w:after="100" w:afterAutospacing="1"/>
        <w:jc w:val="both"/>
        <w:rPr>
          <w:rFonts w:eastAsia="Times New Roman"/>
          <w:noProof/>
          <w:lang w:eastAsia="en-GB"/>
        </w:rPr>
      </w:pPr>
      <w:r>
        <w:rPr>
          <w:rFonts w:eastAsia="Times New Roman"/>
          <w:noProof/>
          <w:lang w:eastAsia="en-GB"/>
        </w:rPr>
        <w:t>Statistical estimates also show the main export destinations and indicate that a large part of the dual-use exports are directed towards countries listed on Union General Export Authorisations (EUGEAs). The destination countries reflect the EU export market structure in the relevant commodities as well as trade facilitation under EUGEAs (Figure 3 and 4)</w:t>
      </w:r>
      <w:r>
        <w:rPr>
          <w:rFonts w:eastAsia="Times New Roman"/>
          <w:noProof/>
          <w:vertAlign w:val="superscript"/>
          <w:lang w:eastAsia="en-GB"/>
        </w:rPr>
        <w:footnoteReference w:id="22"/>
      </w:r>
      <w:r>
        <w:rPr>
          <w:rFonts w:eastAsia="Times New Roman"/>
          <w:noProof/>
          <w:lang w:eastAsia="en-GB"/>
        </w:rPr>
        <w:t xml:space="preserve">. </w:t>
      </w:r>
    </w:p>
    <w:p w14:paraId="19E36035" w14:textId="77777777" w:rsidR="00C9774D" w:rsidRDefault="00C9774D" w:rsidP="00C9774D">
      <w:pPr>
        <w:spacing w:before="100" w:beforeAutospacing="1" w:after="100" w:afterAutospacing="1"/>
        <w:jc w:val="both"/>
        <w:rPr>
          <w:rFonts w:eastAsia="Times New Roman"/>
          <w:noProof/>
          <w:lang w:eastAsia="en-GB"/>
        </w:rPr>
      </w:pPr>
      <w:r>
        <w:rPr>
          <w:rFonts w:eastAsia="Times New Roman"/>
          <w:noProof/>
          <w:lang w:eastAsia="en-GB"/>
        </w:rPr>
        <w:drawing>
          <wp:inline distT="0" distB="0" distL="0" distR="0" wp14:anchorId="579A7A6E" wp14:editId="5C57BB94">
            <wp:extent cx="5760720" cy="4131310"/>
            <wp:effectExtent l="0" t="0" r="0" b="6350"/>
            <wp:docPr id="1275" name="Picture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 name="DUED partners.png"/>
                    <pic:cNvPicPr/>
                  </pic:nvPicPr>
                  <pic:blipFill>
                    <a:blip r:embed="rId18">
                      <a:extLst>
                        <a:ext uri="{28A0092B-C50C-407E-A947-70E740481C1C}">
                          <a14:useLocalDpi xmlns:a14="http://schemas.microsoft.com/office/drawing/2010/main" val="0"/>
                        </a:ext>
                      </a:extLst>
                    </a:blip>
                    <a:stretch>
                      <a:fillRect/>
                    </a:stretch>
                  </pic:blipFill>
                  <pic:spPr>
                    <a:xfrm>
                      <a:off x="0" y="0"/>
                      <a:ext cx="5760720" cy="4131310"/>
                    </a:xfrm>
                    <a:prstGeom prst="rect">
                      <a:avLst/>
                    </a:prstGeom>
                  </pic:spPr>
                </pic:pic>
              </a:graphicData>
            </a:graphic>
          </wp:inline>
        </w:drawing>
      </w:r>
    </w:p>
    <w:p w14:paraId="42EE97C3" w14:textId="77777777" w:rsidR="00C9774D" w:rsidRDefault="00C9774D" w:rsidP="00C9774D">
      <w:pPr>
        <w:spacing w:after="100" w:afterAutospacing="1"/>
        <w:jc w:val="center"/>
        <w:rPr>
          <w:rFonts w:eastAsia="Times New Roman"/>
          <w:i/>
          <w:noProof/>
          <w:sz w:val="20"/>
          <w:szCs w:val="20"/>
          <w:lang w:eastAsia="en-GB"/>
        </w:rPr>
      </w:pPr>
      <w:r>
        <w:rPr>
          <w:rFonts w:eastAsia="Times New Roman"/>
          <w:i/>
          <w:noProof/>
          <w:sz w:val="20"/>
          <w:szCs w:val="20"/>
          <w:lang w:eastAsia="en-GB"/>
        </w:rPr>
        <w:t xml:space="preserve">Figure 3: EU dual-use export estimates: top 25 export destination countries and their sub-regions in </w:t>
      </w:r>
      <w:r w:rsidRPr="00897C8D">
        <w:rPr>
          <w:rFonts w:eastAsia="Times New Roman"/>
          <w:i/>
          <w:noProof/>
          <w:sz w:val="20"/>
          <w:szCs w:val="20"/>
          <w:lang w:eastAsia="en-GB"/>
        </w:rPr>
        <w:t>2019.</w:t>
      </w:r>
    </w:p>
    <w:p w14:paraId="5640EAC1" w14:textId="77777777" w:rsidR="00C9774D" w:rsidRDefault="00C9774D" w:rsidP="00C9774D">
      <w:pPr>
        <w:spacing w:after="100" w:afterAutospacing="1"/>
        <w:jc w:val="center"/>
        <w:rPr>
          <w:rFonts w:eastAsia="Times New Roman"/>
          <w:i/>
          <w:noProof/>
          <w:sz w:val="20"/>
          <w:szCs w:val="20"/>
          <w:lang w:eastAsia="en-GB"/>
        </w:rPr>
      </w:pPr>
    </w:p>
    <w:p w14:paraId="137AE2EE" w14:textId="77777777" w:rsidR="00C9774D" w:rsidRDefault="00C9774D" w:rsidP="00C9774D">
      <w:pPr>
        <w:spacing w:before="120" w:after="100" w:afterAutospacing="1"/>
        <w:rPr>
          <w:rFonts w:eastAsia="Times New Roman"/>
          <w:noProof/>
          <w:szCs w:val="22"/>
          <w:lang w:eastAsia="en-GB"/>
        </w:rPr>
      </w:pPr>
      <w:r>
        <w:rPr>
          <w:rFonts w:eastAsia="Times New Roman"/>
          <w:noProof/>
          <w:szCs w:val="22"/>
          <w:lang w:eastAsia="en-GB"/>
        </w:rPr>
        <w:drawing>
          <wp:inline distT="0" distB="0" distL="0" distR="0" wp14:anchorId="2CC41301" wp14:editId="7919D8F6">
            <wp:extent cx="5760720" cy="3039110"/>
            <wp:effectExtent l="0" t="0" r="0" b="8890"/>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DUED region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3039110"/>
                    </a:xfrm>
                    <a:prstGeom prst="rect">
                      <a:avLst/>
                    </a:prstGeom>
                  </pic:spPr>
                </pic:pic>
              </a:graphicData>
            </a:graphic>
          </wp:inline>
        </w:drawing>
      </w:r>
    </w:p>
    <w:p w14:paraId="6C607EC1" w14:textId="77777777" w:rsidR="00C9774D" w:rsidRDefault="00C9774D" w:rsidP="00C9774D">
      <w:pPr>
        <w:spacing w:before="120" w:after="100" w:afterAutospacing="1"/>
        <w:jc w:val="center"/>
        <w:rPr>
          <w:rFonts w:eastAsia="Times New Roman"/>
          <w:i/>
          <w:noProof/>
          <w:sz w:val="20"/>
          <w:szCs w:val="20"/>
          <w:lang w:eastAsia="en-GB"/>
        </w:rPr>
      </w:pPr>
      <w:r>
        <w:rPr>
          <w:rFonts w:eastAsia="Times New Roman"/>
          <w:i/>
          <w:noProof/>
          <w:sz w:val="20"/>
          <w:szCs w:val="20"/>
          <w:lang w:eastAsia="en-GB"/>
        </w:rPr>
        <w:t xml:space="preserve">Figure 4: EU dual-use export estimates: destination countries by regions and sub-regions </w:t>
      </w:r>
      <w:r w:rsidRPr="00897C8D">
        <w:rPr>
          <w:rFonts w:eastAsia="Times New Roman"/>
          <w:i/>
          <w:noProof/>
          <w:sz w:val="20"/>
          <w:szCs w:val="20"/>
          <w:lang w:eastAsia="en-GB"/>
        </w:rPr>
        <w:t>in 2019.</w:t>
      </w:r>
    </w:p>
    <w:p w14:paraId="4CEB9817" w14:textId="77777777" w:rsidR="00C9774D" w:rsidRDefault="00C9774D" w:rsidP="00C9774D">
      <w:pPr>
        <w:spacing w:before="120" w:after="100" w:afterAutospacing="1"/>
        <w:jc w:val="center"/>
        <w:rPr>
          <w:rFonts w:eastAsia="Times New Roman"/>
          <w:i/>
          <w:noProof/>
          <w:sz w:val="20"/>
          <w:szCs w:val="20"/>
          <w:lang w:eastAsia="en-GB"/>
        </w:rPr>
      </w:pPr>
    </w:p>
    <w:p w14:paraId="05368C71" w14:textId="77777777" w:rsidR="00C9774D" w:rsidRDefault="00C9774D" w:rsidP="00C9774D">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4.2.</w:t>
      </w:r>
      <w:r>
        <w:rPr>
          <w:rFonts w:eastAsia="Times New Roman"/>
          <w:b/>
          <w:noProof/>
          <w:lang w:eastAsia="en-GB"/>
        </w:rPr>
        <w:tab/>
        <w:t xml:space="preserve">EU dual-use </w:t>
      </w:r>
      <w:r w:rsidR="00C33278">
        <w:rPr>
          <w:rFonts w:eastAsia="Times New Roman"/>
          <w:b/>
          <w:noProof/>
          <w:lang w:eastAsia="en-GB"/>
        </w:rPr>
        <w:t>licenses</w:t>
      </w:r>
      <w:r w:rsidR="00B12216">
        <w:rPr>
          <w:rFonts w:eastAsia="Times New Roman"/>
          <w:b/>
          <w:noProof/>
          <w:lang w:eastAsia="en-GB"/>
        </w:rPr>
        <w:t>:</w:t>
      </w:r>
      <w:r w:rsidR="00C33278">
        <w:rPr>
          <w:rFonts w:eastAsia="Times New Roman"/>
          <w:b/>
          <w:noProof/>
          <w:lang w:eastAsia="en-GB"/>
        </w:rPr>
        <w:t xml:space="preserve"> </w:t>
      </w:r>
      <w:r w:rsidR="00B12216">
        <w:rPr>
          <w:rFonts w:eastAsia="Times New Roman"/>
          <w:b/>
          <w:noProof/>
          <w:lang w:eastAsia="en-GB"/>
        </w:rPr>
        <w:t>a</w:t>
      </w:r>
      <w:r>
        <w:rPr>
          <w:rFonts w:eastAsia="Times New Roman"/>
          <w:b/>
          <w:noProof/>
          <w:lang w:eastAsia="en-GB"/>
        </w:rPr>
        <w:t xml:space="preserve">pplications, </w:t>
      </w:r>
      <w:r w:rsidR="00C33278">
        <w:rPr>
          <w:rFonts w:eastAsia="Times New Roman"/>
          <w:b/>
          <w:noProof/>
          <w:lang w:eastAsia="en-GB"/>
        </w:rPr>
        <w:t>authorisations</w:t>
      </w:r>
      <w:r>
        <w:rPr>
          <w:rFonts w:eastAsia="Times New Roman"/>
          <w:b/>
          <w:noProof/>
          <w:lang w:eastAsia="en-GB"/>
        </w:rPr>
        <w:t xml:space="preserve">, denials </w:t>
      </w:r>
    </w:p>
    <w:p w14:paraId="18B6759D" w14:textId="77777777" w:rsidR="00C9774D" w:rsidRDefault="00C9774D" w:rsidP="00C9774D">
      <w:pPr>
        <w:spacing w:before="100" w:beforeAutospacing="1" w:after="100" w:afterAutospacing="1"/>
        <w:jc w:val="both"/>
        <w:rPr>
          <w:rFonts w:eastAsia="Times New Roman"/>
          <w:noProof/>
          <w:lang w:eastAsia="en-GB"/>
        </w:rPr>
      </w:pPr>
      <w:r>
        <w:rPr>
          <w:rFonts w:eastAsia="Times New Roman"/>
          <w:noProof/>
          <w:lang w:eastAsia="en-GB"/>
        </w:rPr>
        <w:t>In light of Article 19(2) of the Regulation, which stipulates that "</w:t>
      </w:r>
      <w:r w:rsidRPr="00E35074">
        <w:rPr>
          <w:rFonts w:eastAsia="Times New Roman"/>
          <w:i/>
          <w:noProof/>
          <w:lang w:eastAsia="en-GB"/>
        </w:rPr>
        <w:t>Member States shall take all appropriate measures to establish direct cooperation and exchange of information between competent authorities with a view to enhance the efficiency of the Community export control regime</w:t>
      </w:r>
      <w:r>
        <w:rPr>
          <w:rFonts w:eastAsia="Times New Roman"/>
          <w:noProof/>
          <w:lang w:eastAsia="en-GB"/>
        </w:rPr>
        <w:t>", the DUCG has exchanged licensing data and information in order to improve the understanding of export controls and their economic effect. Some data collected for the reporting period is reported below; it should be noted</w:t>
      </w:r>
      <w:r w:rsidR="000A3DC8">
        <w:rPr>
          <w:rFonts w:eastAsia="Times New Roman"/>
          <w:noProof/>
          <w:lang w:eastAsia="en-GB"/>
        </w:rPr>
        <w:t>,</w:t>
      </w:r>
      <w:r>
        <w:rPr>
          <w:rFonts w:eastAsia="Times New Roman"/>
          <w:noProof/>
          <w:lang w:eastAsia="en-GB"/>
        </w:rPr>
        <w:t xml:space="preserve"> however</w:t>
      </w:r>
      <w:r w:rsidR="000A3DC8">
        <w:rPr>
          <w:rFonts w:eastAsia="Times New Roman"/>
          <w:noProof/>
          <w:lang w:eastAsia="en-GB"/>
        </w:rPr>
        <w:t>,</w:t>
      </w:r>
      <w:r>
        <w:rPr>
          <w:rFonts w:eastAsia="Times New Roman"/>
          <w:noProof/>
          <w:lang w:eastAsia="en-GB"/>
        </w:rPr>
        <w:t xml:space="preserve"> that not all Member States collect all data. The information provided below thus represents approximate estimates of aggregate quantities and values within the limits of the data made available by Member States.</w:t>
      </w:r>
    </w:p>
    <w:p w14:paraId="2ACAC21B" w14:textId="77777777" w:rsidR="00C9774D" w:rsidRDefault="00C9774D" w:rsidP="00C9774D">
      <w:pPr>
        <w:spacing w:after="120"/>
        <w:jc w:val="both"/>
        <w:rPr>
          <w:rFonts w:eastAsia="Times New Roman"/>
          <w:noProof/>
          <w:lang w:eastAsia="en-GB"/>
        </w:rPr>
      </w:pPr>
      <w:r w:rsidRPr="00897C8D">
        <w:rPr>
          <w:rFonts w:eastAsia="Times New Roman"/>
          <w:noProof/>
          <w:lang w:eastAsia="en-GB"/>
        </w:rPr>
        <w:t>The total value</w:t>
      </w:r>
      <w:r w:rsidRPr="00897C8D">
        <w:rPr>
          <w:rFonts w:eastAsia="Times New Roman"/>
          <w:noProof/>
          <w:vertAlign w:val="superscript"/>
          <w:lang w:eastAsia="en-GB"/>
        </w:rPr>
        <w:footnoteReference w:id="23"/>
      </w:r>
      <w:r w:rsidRPr="00897C8D">
        <w:rPr>
          <w:rFonts w:eastAsia="Times New Roman"/>
          <w:noProof/>
          <w:lang w:eastAsia="en-GB"/>
        </w:rPr>
        <w:t xml:space="preserve"> of applications reached EUR 40 billion and controlled dual-use exports thus represented 2.2% of total extra-EU27 exports. Authorised dual-use trade amounted to EUR 31.5 billion,</w:t>
      </w:r>
      <w:r w:rsidRPr="00897C8D">
        <w:rPr>
          <w:rFonts w:eastAsia="Calibri"/>
          <w:noProof/>
        </w:rPr>
        <w:t xml:space="preserve"> representing 1.7</w:t>
      </w:r>
      <w:r w:rsidRPr="00897C8D">
        <w:rPr>
          <w:rFonts w:eastAsia="Calibri"/>
          <w:bCs/>
          <w:noProof/>
        </w:rPr>
        <w:t xml:space="preserve">% </w:t>
      </w:r>
      <w:r w:rsidRPr="00897C8D">
        <w:rPr>
          <w:rFonts w:eastAsia="Calibri"/>
          <w:noProof/>
        </w:rPr>
        <w:t>of total extra-EU27 exports,</w:t>
      </w:r>
      <w:r w:rsidRPr="00897C8D">
        <w:rPr>
          <w:rFonts w:eastAsia="Times New Roman"/>
          <w:noProof/>
          <w:lang w:eastAsia="en-GB"/>
        </w:rPr>
        <w:t xml:space="preserve"> with a majority of transactions authorised under individual licenses</w:t>
      </w:r>
      <w:r w:rsidR="00057FE8">
        <w:rPr>
          <w:rStyle w:val="FootnoteReference"/>
          <w:rFonts w:eastAsia="Times New Roman"/>
          <w:noProof/>
          <w:lang w:eastAsia="en-GB"/>
        </w:rPr>
        <w:footnoteReference w:id="24"/>
      </w:r>
      <w:r w:rsidRPr="00897C8D">
        <w:rPr>
          <w:rFonts w:eastAsia="Times New Roman"/>
          <w:noProof/>
          <w:lang w:eastAsia="en-GB"/>
        </w:rPr>
        <w:t xml:space="preserve"> (</w:t>
      </w:r>
      <w:r w:rsidR="000A3DC8">
        <w:rPr>
          <w:rFonts w:eastAsia="Times New Roman"/>
          <w:noProof/>
          <w:lang w:eastAsia="en-GB"/>
        </w:rPr>
        <w:t>around</w:t>
      </w:r>
      <w:r w:rsidRPr="00897C8D">
        <w:rPr>
          <w:rFonts w:eastAsia="Times New Roman"/>
          <w:noProof/>
          <w:lang w:eastAsia="en-GB"/>
        </w:rPr>
        <w:t xml:space="preserve"> 20</w:t>
      </w:r>
      <w:r w:rsidR="000A3DC8">
        <w:rPr>
          <w:rFonts w:eastAsia="Times New Roman"/>
          <w:noProof/>
          <w:lang w:eastAsia="en-GB"/>
        </w:rPr>
        <w:t>,</w:t>
      </w:r>
      <w:r w:rsidRPr="00897C8D">
        <w:rPr>
          <w:rFonts w:eastAsia="Times New Roman"/>
          <w:noProof/>
          <w:lang w:eastAsia="en-GB"/>
        </w:rPr>
        <w:t>3</w:t>
      </w:r>
      <w:r w:rsidR="000A3DC8">
        <w:rPr>
          <w:rFonts w:eastAsia="Times New Roman"/>
          <w:noProof/>
          <w:lang w:eastAsia="en-GB"/>
        </w:rPr>
        <w:t>00</w:t>
      </w:r>
      <w:r w:rsidRPr="00897C8D">
        <w:rPr>
          <w:rFonts w:eastAsia="Times New Roman"/>
          <w:noProof/>
          <w:lang w:eastAsia="en-GB"/>
        </w:rPr>
        <w:t xml:space="preserve"> single licenses issued in 2019) and global licenses</w:t>
      </w:r>
      <w:r w:rsidR="00AD0407">
        <w:rPr>
          <w:rStyle w:val="FootnoteReference"/>
          <w:rFonts w:eastAsia="Times New Roman"/>
          <w:noProof/>
          <w:lang w:eastAsia="en-GB"/>
        </w:rPr>
        <w:footnoteReference w:id="25"/>
      </w:r>
      <w:r w:rsidRPr="00897C8D">
        <w:rPr>
          <w:rFonts w:eastAsia="Times New Roman"/>
          <w:noProof/>
          <w:lang w:eastAsia="en-GB"/>
        </w:rPr>
        <w:t xml:space="preserve"> (by their value). Only a small portion of exports were actually denied: 603 denials were issued in 2019, representing about 0.89% of the value of controlled dual-use exports in that year, and 0.02% of total extra-EU27 exports.</w:t>
      </w:r>
      <w:r>
        <w:rPr>
          <w:rFonts w:eastAsia="Times New Roman"/>
          <w:noProof/>
          <w:lang w:eastAsia="en-GB"/>
        </w:rPr>
        <w:t xml:space="preserve"> </w:t>
      </w:r>
    </w:p>
    <w:p w14:paraId="3F8556E2" w14:textId="77777777" w:rsidR="00C9774D" w:rsidRDefault="00C9774D" w:rsidP="00C9774D">
      <w:pPr>
        <w:spacing w:before="100" w:beforeAutospacing="1" w:after="100" w:afterAutospacing="1"/>
        <w:jc w:val="both"/>
        <w:rPr>
          <w:rFonts w:eastAsia="Times New Roman"/>
          <w:noProof/>
          <w:lang w:eastAsia="en-GB"/>
        </w:rPr>
      </w:pPr>
    </w:p>
    <w:p w14:paraId="7962E41B" w14:textId="77777777" w:rsidR="00C9774D" w:rsidRDefault="00C9774D" w:rsidP="00C9774D">
      <w:pPr>
        <w:spacing w:before="100" w:beforeAutospacing="1" w:after="100" w:afterAutospacing="1"/>
        <w:jc w:val="center"/>
        <w:rPr>
          <w:rFonts w:eastAsia="Times New Roman"/>
          <w:noProof/>
          <w:lang w:eastAsia="en-GB"/>
        </w:rPr>
      </w:pPr>
      <w:r>
        <w:rPr>
          <w:rFonts w:eastAsia="Times New Roman"/>
          <w:noProof/>
          <w:lang w:eastAsia="en-GB"/>
        </w:rPr>
        <w:drawing>
          <wp:inline distT="0" distB="0" distL="0" distR="0" wp14:anchorId="6FA56022" wp14:editId="3665E17A">
            <wp:extent cx="3942000" cy="217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rolled Export Volume.png"/>
                    <pic:cNvPicPr/>
                  </pic:nvPicPr>
                  <pic:blipFill>
                    <a:blip r:embed="rId20">
                      <a:extLst>
                        <a:ext uri="{28A0092B-C50C-407E-A947-70E740481C1C}">
                          <a14:useLocalDpi xmlns:a14="http://schemas.microsoft.com/office/drawing/2010/main" val="0"/>
                        </a:ext>
                      </a:extLst>
                    </a:blip>
                    <a:stretch>
                      <a:fillRect/>
                    </a:stretch>
                  </pic:blipFill>
                  <pic:spPr>
                    <a:xfrm>
                      <a:off x="0" y="0"/>
                      <a:ext cx="3942000" cy="2170800"/>
                    </a:xfrm>
                    <a:prstGeom prst="rect">
                      <a:avLst/>
                    </a:prstGeom>
                  </pic:spPr>
                </pic:pic>
              </a:graphicData>
            </a:graphic>
          </wp:inline>
        </w:drawing>
      </w:r>
    </w:p>
    <w:p w14:paraId="61D5CF00" w14:textId="77777777" w:rsidR="00C9774D" w:rsidRDefault="00C9774D" w:rsidP="00C9774D">
      <w:pPr>
        <w:spacing w:after="240"/>
        <w:jc w:val="center"/>
        <w:rPr>
          <w:rFonts w:eastAsia="Times New Roman"/>
          <w:i/>
          <w:noProof/>
          <w:sz w:val="20"/>
          <w:szCs w:val="20"/>
          <w:lang w:eastAsia="en-GB"/>
        </w:rPr>
      </w:pPr>
      <w:r>
        <w:rPr>
          <w:rFonts w:eastAsia="Times New Roman"/>
          <w:noProof/>
          <w:lang w:eastAsia="en-GB"/>
        </w:rPr>
        <w:t xml:space="preserve"> </w:t>
      </w:r>
      <w:r w:rsidRPr="00897C8D">
        <w:rPr>
          <w:rFonts w:eastAsia="Times New Roman"/>
          <w:i/>
          <w:noProof/>
          <w:sz w:val="20"/>
          <w:szCs w:val="20"/>
          <w:lang w:eastAsia="en-GB"/>
        </w:rPr>
        <w:t>Figure 5: Volume (number) of authorisations and denials in 2014-2019</w:t>
      </w:r>
      <w:r w:rsidRPr="00897C8D">
        <w:rPr>
          <w:rFonts w:eastAsia="Times New Roman"/>
          <w:i/>
          <w:noProof/>
          <w:sz w:val="20"/>
          <w:szCs w:val="20"/>
          <w:vertAlign w:val="superscript"/>
          <w:lang w:eastAsia="en-GB"/>
        </w:rPr>
        <w:footnoteReference w:id="26"/>
      </w:r>
      <w:r w:rsidRPr="00897C8D">
        <w:rPr>
          <w:rFonts w:eastAsia="Times New Roman"/>
          <w:i/>
          <w:noProof/>
          <w:sz w:val="20"/>
          <w:szCs w:val="20"/>
          <w:lang w:eastAsia="en-GB"/>
        </w:rPr>
        <w:t>.</w:t>
      </w:r>
    </w:p>
    <w:p w14:paraId="6273221E" w14:textId="77777777" w:rsidR="00C9774D" w:rsidRDefault="00C9774D" w:rsidP="00C9774D">
      <w:pPr>
        <w:spacing w:after="120"/>
        <w:jc w:val="center"/>
        <w:rPr>
          <w:rFonts w:eastAsia="Calibri"/>
          <w:noProof/>
        </w:rPr>
      </w:pPr>
      <w:r>
        <w:rPr>
          <w:rFonts w:eastAsia="Calibri"/>
          <w:noProof/>
          <w:lang w:eastAsia="en-GB"/>
        </w:rPr>
        <w:drawing>
          <wp:inline distT="0" distB="0" distL="0" distR="0" wp14:anchorId="7D87D929" wp14:editId="5FA303E9">
            <wp:extent cx="3952800" cy="2170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rolled Export Value.png"/>
                    <pic:cNvPicPr/>
                  </pic:nvPicPr>
                  <pic:blipFill>
                    <a:blip r:embed="rId21">
                      <a:extLst>
                        <a:ext uri="{28A0092B-C50C-407E-A947-70E740481C1C}">
                          <a14:useLocalDpi xmlns:a14="http://schemas.microsoft.com/office/drawing/2010/main" val="0"/>
                        </a:ext>
                      </a:extLst>
                    </a:blip>
                    <a:stretch>
                      <a:fillRect/>
                    </a:stretch>
                  </pic:blipFill>
                  <pic:spPr>
                    <a:xfrm>
                      <a:off x="0" y="0"/>
                      <a:ext cx="3952800" cy="2170800"/>
                    </a:xfrm>
                    <a:prstGeom prst="rect">
                      <a:avLst/>
                    </a:prstGeom>
                  </pic:spPr>
                </pic:pic>
              </a:graphicData>
            </a:graphic>
          </wp:inline>
        </w:drawing>
      </w:r>
    </w:p>
    <w:p w14:paraId="75F0C10C" w14:textId="77777777" w:rsidR="00C9774D" w:rsidRDefault="00C9774D" w:rsidP="00C9774D">
      <w:pPr>
        <w:spacing w:after="120"/>
        <w:jc w:val="center"/>
        <w:rPr>
          <w:rFonts w:eastAsia="Times New Roman"/>
          <w:i/>
          <w:noProof/>
          <w:sz w:val="20"/>
          <w:szCs w:val="20"/>
          <w:vertAlign w:val="superscript"/>
          <w:lang w:eastAsia="en-GB"/>
        </w:rPr>
      </w:pPr>
      <w:r w:rsidRPr="00897C8D">
        <w:rPr>
          <w:rFonts w:eastAsia="Times New Roman"/>
          <w:i/>
          <w:noProof/>
          <w:sz w:val="20"/>
          <w:szCs w:val="20"/>
          <w:lang w:eastAsia="en-GB"/>
        </w:rPr>
        <w:t>Figure 6: Value (mln EUR) of authorisations and denials in 2014-2019.</w:t>
      </w:r>
      <w:r>
        <w:rPr>
          <w:rFonts w:eastAsia="Times New Roman"/>
          <w:i/>
          <w:noProof/>
          <w:sz w:val="20"/>
          <w:szCs w:val="20"/>
          <w:vertAlign w:val="superscript"/>
          <w:lang w:eastAsia="en-GB"/>
        </w:rPr>
        <w:t xml:space="preserve"> </w:t>
      </w:r>
    </w:p>
    <w:p w14:paraId="76526D75" w14:textId="5966231E" w:rsidR="00C9774D" w:rsidRPr="00B31C58" w:rsidRDefault="00EA22A3" w:rsidP="00C9774D">
      <w:pPr>
        <w:spacing w:after="120"/>
        <w:jc w:val="center"/>
        <w:rPr>
          <w:rFonts w:eastAsia="Times New Roman"/>
          <w:i/>
          <w:noProof/>
          <w:vertAlign w:val="superscript"/>
          <w:lang w:eastAsia="en-GB"/>
        </w:rPr>
      </w:pPr>
      <w:r>
        <w:rPr>
          <w:noProof/>
          <w:lang w:eastAsia="en-GB"/>
        </w:rPr>
        <w:drawing>
          <wp:inline distT="0" distB="0" distL="0" distR="0" wp14:anchorId="3E5E2CA9" wp14:editId="28C45D8F">
            <wp:extent cx="5425440" cy="3497157"/>
            <wp:effectExtent l="0" t="0" r="381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10D0BC" w14:textId="77777777" w:rsidR="00EA22A3" w:rsidRDefault="00EA22A3" w:rsidP="00C9774D">
      <w:pPr>
        <w:spacing w:after="120"/>
        <w:jc w:val="center"/>
        <w:rPr>
          <w:rFonts w:eastAsia="Times New Roman"/>
          <w:i/>
          <w:noProof/>
          <w:sz w:val="20"/>
          <w:szCs w:val="20"/>
          <w:lang w:eastAsia="en-GB"/>
        </w:rPr>
      </w:pPr>
    </w:p>
    <w:p w14:paraId="533E17E4" w14:textId="6C40002E" w:rsidR="00C9774D" w:rsidRDefault="00C9774D" w:rsidP="00C9774D">
      <w:pPr>
        <w:spacing w:after="120"/>
        <w:jc w:val="center"/>
        <w:rPr>
          <w:rFonts w:eastAsia="Times New Roman"/>
          <w:i/>
          <w:noProof/>
          <w:sz w:val="20"/>
          <w:szCs w:val="20"/>
          <w:lang w:eastAsia="en-GB"/>
        </w:rPr>
      </w:pPr>
      <w:r w:rsidRPr="00897C8D">
        <w:rPr>
          <w:rFonts w:eastAsia="Times New Roman"/>
          <w:i/>
          <w:noProof/>
          <w:sz w:val="20"/>
          <w:szCs w:val="20"/>
          <w:lang w:eastAsia="en-GB"/>
        </w:rPr>
        <w:t>Figure 7: Volume (number) of authorisations per type of licence in 2019.</w:t>
      </w:r>
    </w:p>
    <w:p w14:paraId="6E53E0F1" w14:textId="77777777" w:rsidR="00EA22A3" w:rsidRDefault="00EA22A3" w:rsidP="00C9774D">
      <w:pPr>
        <w:spacing w:after="120"/>
        <w:jc w:val="center"/>
        <w:rPr>
          <w:rFonts w:eastAsia="Times New Roman"/>
          <w:i/>
          <w:noProof/>
          <w:sz w:val="20"/>
          <w:szCs w:val="20"/>
          <w:lang w:eastAsia="en-GB"/>
        </w:rPr>
      </w:pPr>
    </w:p>
    <w:p w14:paraId="10275F5F" w14:textId="25D5CBE0" w:rsidR="00C9774D" w:rsidRDefault="00EA22A3" w:rsidP="00C9774D">
      <w:pPr>
        <w:spacing w:after="120"/>
        <w:jc w:val="center"/>
        <w:rPr>
          <w:rFonts w:eastAsia="Times New Roman"/>
          <w:i/>
          <w:noProof/>
          <w:sz w:val="20"/>
          <w:szCs w:val="20"/>
          <w:lang w:eastAsia="en-GB"/>
        </w:rPr>
      </w:pPr>
      <w:r>
        <w:rPr>
          <w:noProof/>
          <w:lang w:eastAsia="en-GB"/>
        </w:rPr>
        <w:drawing>
          <wp:inline distT="0" distB="0" distL="0" distR="0" wp14:anchorId="15FB105E" wp14:editId="35894C38">
            <wp:extent cx="5419725" cy="3497157"/>
            <wp:effectExtent l="0" t="0" r="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31B65E" w14:textId="77777777" w:rsidR="00EA22A3" w:rsidRDefault="00EA22A3" w:rsidP="00C9774D">
      <w:pPr>
        <w:spacing w:after="100" w:afterAutospacing="1"/>
        <w:jc w:val="center"/>
        <w:rPr>
          <w:rFonts w:eastAsia="Times New Roman"/>
          <w:i/>
          <w:noProof/>
          <w:sz w:val="20"/>
          <w:szCs w:val="20"/>
          <w:lang w:eastAsia="en-GB"/>
        </w:rPr>
      </w:pPr>
    </w:p>
    <w:p w14:paraId="14DB4193" w14:textId="7416D68C" w:rsidR="00C9774D" w:rsidRPr="002C0B4B" w:rsidRDefault="00C9774D" w:rsidP="00C9774D">
      <w:pPr>
        <w:spacing w:after="100" w:afterAutospacing="1"/>
        <w:jc w:val="center"/>
        <w:rPr>
          <w:rFonts w:eastAsia="Times New Roman"/>
          <w:i/>
          <w:noProof/>
          <w:sz w:val="20"/>
          <w:szCs w:val="20"/>
          <w:lang w:eastAsia="en-GB"/>
        </w:rPr>
      </w:pPr>
      <w:r w:rsidRPr="00387039">
        <w:rPr>
          <w:rFonts w:eastAsia="Times New Roman"/>
          <w:i/>
          <w:noProof/>
          <w:sz w:val="20"/>
          <w:szCs w:val="20"/>
          <w:lang w:eastAsia="en-GB"/>
        </w:rPr>
        <w:t>Figure 8: Value (mln EUR) of authorisations per type in 2019.</w:t>
      </w:r>
    </w:p>
    <w:p w14:paraId="3A6F7121" w14:textId="77777777" w:rsidR="00AA655D" w:rsidRDefault="00AA655D" w:rsidP="00AA655D">
      <w:pPr>
        <w:pStyle w:val="ListParagraph"/>
        <w:spacing w:before="60" w:after="60"/>
        <w:ind w:left="0"/>
        <w:contextualSpacing/>
        <w:jc w:val="both"/>
        <w:rPr>
          <w:rFonts w:ascii="Times New Roman" w:eastAsiaTheme="minorHAnsi" w:hAnsi="Times New Roman" w:cs="Times New Roman"/>
          <w:noProof/>
          <w:sz w:val="24"/>
          <w:szCs w:val="24"/>
          <w:lang w:eastAsia="en-US"/>
        </w:rPr>
      </w:pPr>
    </w:p>
    <w:p w14:paraId="6053D8D3" w14:textId="312F6457" w:rsidR="00AA655D" w:rsidRDefault="00AA655D" w:rsidP="00AA655D">
      <w:pPr>
        <w:keepNext/>
        <w:tabs>
          <w:tab w:val="left" w:pos="850"/>
        </w:tabs>
        <w:spacing w:after="120"/>
        <w:ind w:left="850" w:hanging="850"/>
        <w:jc w:val="both"/>
        <w:outlineLvl w:val="0"/>
        <w:rPr>
          <w:rFonts w:eastAsia="Times New Roman"/>
          <w:b/>
          <w:smallCaps/>
          <w:noProof/>
          <w:lang w:eastAsia="en-GB"/>
        </w:rPr>
      </w:pPr>
      <w:r>
        <w:rPr>
          <w:rFonts w:eastAsia="Times New Roman"/>
          <w:b/>
          <w:smallCaps/>
          <w:noProof/>
          <w:lang w:eastAsia="en-GB"/>
        </w:rPr>
        <w:t>5.</w:t>
      </w:r>
      <w:r>
        <w:rPr>
          <w:rFonts w:eastAsia="Times New Roman"/>
          <w:b/>
          <w:smallCaps/>
          <w:noProof/>
          <w:lang w:eastAsia="en-GB"/>
        </w:rPr>
        <w:tab/>
      </w:r>
      <w:r w:rsidR="00AB3E28">
        <w:rPr>
          <w:rFonts w:eastAsia="Times New Roman"/>
          <w:b/>
          <w:smallCaps/>
          <w:noProof/>
          <w:lang w:eastAsia="en-GB"/>
        </w:rPr>
        <w:t xml:space="preserve"> Way Forward</w:t>
      </w:r>
    </w:p>
    <w:p w14:paraId="0BB20EB1" w14:textId="77777777" w:rsidR="006D1871" w:rsidRDefault="006D1871" w:rsidP="00AA655D">
      <w:pPr>
        <w:jc w:val="both"/>
        <w:rPr>
          <w:noProof/>
        </w:rPr>
      </w:pPr>
    </w:p>
    <w:p w14:paraId="48EA4F54" w14:textId="04677734" w:rsidR="005F0DB0" w:rsidRDefault="00AB3E28" w:rsidP="00AA655D">
      <w:pPr>
        <w:jc w:val="both"/>
        <w:rPr>
          <w:noProof/>
        </w:rPr>
      </w:pPr>
      <w:r>
        <w:rPr>
          <w:noProof/>
        </w:rPr>
        <w:t>T</w:t>
      </w:r>
      <w:r w:rsidR="00C00E2A">
        <w:rPr>
          <w:noProof/>
        </w:rPr>
        <w:t>he</w:t>
      </w:r>
      <w:r w:rsidR="002B79F2">
        <w:rPr>
          <w:noProof/>
        </w:rPr>
        <w:t xml:space="preserve"> new </w:t>
      </w:r>
      <w:r w:rsidR="007F373F" w:rsidRPr="007F373F">
        <w:rPr>
          <w:noProof/>
        </w:rPr>
        <w:t xml:space="preserve">Regulation and the </w:t>
      </w:r>
      <w:r w:rsidR="005F0DB0">
        <w:rPr>
          <w:noProof/>
        </w:rPr>
        <w:t xml:space="preserve">resulting </w:t>
      </w:r>
      <w:r w:rsidR="007F373F" w:rsidRPr="007F373F">
        <w:rPr>
          <w:noProof/>
        </w:rPr>
        <w:t xml:space="preserve">system-upgrade brings about substantive changes to </w:t>
      </w:r>
      <w:r w:rsidR="00491EB6">
        <w:rPr>
          <w:noProof/>
        </w:rPr>
        <w:t>e</w:t>
      </w:r>
      <w:r w:rsidR="007F373F" w:rsidRPr="007F373F">
        <w:rPr>
          <w:noProof/>
        </w:rPr>
        <w:t xml:space="preserve">xport </w:t>
      </w:r>
      <w:r w:rsidR="00491EB6">
        <w:rPr>
          <w:noProof/>
        </w:rPr>
        <w:t>c</w:t>
      </w:r>
      <w:r w:rsidR="007F373F" w:rsidRPr="007F373F">
        <w:rPr>
          <w:noProof/>
        </w:rPr>
        <w:t xml:space="preserve">ontrol in the EU which </w:t>
      </w:r>
      <w:r w:rsidR="005F0DB0">
        <w:rPr>
          <w:noProof/>
        </w:rPr>
        <w:t xml:space="preserve">is generating considerable </w:t>
      </w:r>
      <w:r w:rsidR="007F373F" w:rsidRPr="007F373F">
        <w:rPr>
          <w:noProof/>
        </w:rPr>
        <w:t>preparat</w:t>
      </w:r>
      <w:r w:rsidR="005F0DB0">
        <w:rPr>
          <w:noProof/>
        </w:rPr>
        <w:t xml:space="preserve">ory </w:t>
      </w:r>
      <w:r w:rsidR="007F373F" w:rsidRPr="007F373F">
        <w:rPr>
          <w:noProof/>
        </w:rPr>
        <w:t>work and actions to be taken by the Commi</w:t>
      </w:r>
      <w:r w:rsidR="00C00E2A">
        <w:rPr>
          <w:noProof/>
        </w:rPr>
        <w:t>ssion and Member States</w:t>
      </w:r>
      <w:r w:rsidR="005F0DB0">
        <w:rPr>
          <w:noProof/>
        </w:rPr>
        <w:t xml:space="preserve"> to make the most of the full </w:t>
      </w:r>
      <w:r w:rsidR="00D60988">
        <w:rPr>
          <w:noProof/>
        </w:rPr>
        <w:t xml:space="preserve">potential </w:t>
      </w:r>
      <w:r w:rsidR="005F0DB0">
        <w:rPr>
          <w:noProof/>
        </w:rPr>
        <w:t>that the new Regulation offers</w:t>
      </w:r>
      <w:r w:rsidR="00C00E2A">
        <w:rPr>
          <w:noProof/>
        </w:rPr>
        <w:t xml:space="preserve">. </w:t>
      </w:r>
      <w:r w:rsidR="005F0DB0">
        <w:rPr>
          <w:noProof/>
        </w:rPr>
        <w:t xml:space="preserve">These include: </w:t>
      </w:r>
    </w:p>
    <w:p w14:paraId="5FF217BD" w14:textId="77777777" w:rsidR="005F0DB0" w:rsidRDefault="005F0DB0" w:rsidP="00AA655D">
      <w:pPr>
        <w:jc w:val="both"/>
        <w:rPr>
          <w:noProof/>
        </w:rPr>
      </w:pPr>
    </w:p>
    <w:p w14:paraId="65859FC6" w14:textId="132F7235" w:rsidR="00913097" w:rsidRPr="00EA7A26" w:rsidRDefault="001B5CEA" w:rsidP="001E39EF">
      <w:pPr>
        <w:pStyle w:val="ListParagraph"/>
        <w:numPr>
          <w:ilvl w:val="0"/>
          <w:numId w:val="4"/>
        </w:numPr>
        <w:spacing w:after="240"/>
        <w:jc w:val="both"/>
        <w:rPr>
          <w:noProof/>
        </w:rPr>
      </w:pPr>
      <w:r>
        <w:rPr>
          <w:rFonts w:ascii="Times New Roman" w:hAnsi="Times New Roman" w:cs="Times New Roman"/>
          <w:noProof/>
          <w:sz w:val="24"/>
        </w:rPr>
        <w:t>t</w:t>
      </w:r>
      <w:r w:rsidR="00C00E2A" w:rsidRPr="00E35074">
        <w:rPr>
          <w:rFonts w:ascii="Times New Roman" w:hAnsi="Times New Roman" w:cs="Times New Roman"/>
          <w:noProof/>
          <w:sz w:val="24"/>
        </w:rPr>
        <w:t xml:space="preserve">he </w:t>
      </w:r>
      <w:r>
        <w:rPr>
          <w:rFonts w:ascii="Times New Roman" w:hAnsi="Times New Roman" w:cs="Times New Roman"/>
          <w:noProof/>
          <w:sz w:val="24"/>
        </w:rPr>
        <w:t xml:space="preserve">new </w:t>
      </w:r>
      <w:r w:rsidR="007F373F" w:rsidRPr="00E35074">
        <w:rPr>
          <w:rFonts w:ascii="Times New Roman" w:hAnsi="Times New Roman" w:cs="Times New Roman"/>
          <w:noProof/>
          <w:sz w:val="24"/>
        </w:rPr>
        <w:t>Regulation</w:t>
      </w:r>
      <w:r>
        <w:rPr>
          <w:rFonts w:ascii="Times New Roman" w:hAnsi="Times New Roman" w:cs="Times New Roman"/>
          <w:noProof/>
          <w:sz w:val="24"/>
        </w:rPr>
        <w:t xml:space="preserve"> </w:t>
      </w:r>
      <w:r w:rsidR="007F373F" w:rsidRPr="00E35074">
        <w:rPr>
          <w:rFonts w:ascii="Times New Roman" w:hAnsi="Times New Roman" w:cs="Times New Roman"/>
          <w:noProof/>
          <w:sz w:val="24"/>
        </w:rPr>
        <w:t xml:space="preserve">provides that </w:t>
      </w:r>
      <w:r w:rsidR="007F373F" w:rsidRPr="0028246A">
        <w:rPr>
          <w:rFonts w:ascii="Times New Roman" w:hAnsi="Times New Roman" w:cs="Times New Roman"/>
          <w:i/>
          <w:noProof/>
          <w:sz w:val="24"/>
        </w:rPr>
        <w:t>"the Commission, in close consultations with the Member States and stakeholders, should develop guidelines to support practical applications of controls",</w:t>
      </w:r>
      <w:r w:rsidR="007F373F" w:rsidRPr="00E35074">
        <w:rPr>
          <w:rFonts w:ascii="Times New Roman" w:hAnsi="Times New Roman" w:cs="Times New Roman"/>
          <w:noProof/>
          <w:sz w:val="24"/>
        </w:rPr>
        <w:t xml:space="preserve"> and specifically calls for guidelines on transparency of licensing decisions and on </w:t>
      </w:r>
      <w:r w:rsidR="00A110A6">
        <w:rPr>
          <w:rFonts w:ascii="Times New Roman" w:hAnsi="Times New Roman" w:cs="Times New Roman"/>
          <w:noProof/>
          <w:sz w:val="24"/>
        </w:rPr>
        <w:t xml:space="preserve">exports of </w:t>
      </w:r>
      <w:r w:rsidR="007F373F" w:rsidRPr="00E35074">
        <w:rPr>
          <w:rFonts w:ascii="Times New Roman" w:hAnsi="Times New Roman" w:cs="Times New Roman"/>
          <w:noProof/>
          <w:sz w:val="24"/>
        </w:rPr>
        <w:t>cyber-surveillance</w:t>
      </w:r>
      <w:r w:rsidR="00A110A6">
        <w:rPr>
          <w:rFonts w:ascii="Times New Roman" w:hAnsi="Times New Roman" w:cs="Times New Roman"/>
          <w:noProof/>
          <w:sz w:val="24"/>
        </w:rPr>
        <w:t xml:space="preserve"> items</w:t>
      </w:r>
      <w:r>
        <w:rPr>
          <w:rFonts w:ascii="Times New Roman" w:hAnsi="Times New Roman" w:cs="Times New Roman"/>
          <w:noProof/>
          <w:sz w:val="24"/>
        </w:rPr>
        <w:t>;</w:t>
      </w:r>
      <w:r w:rsidR="00913097" w:rsidRPr="00E35074">
        <w:rPr>
          <w:rFonts w:ascii="Times New Roman" w:hAnsi="Times New Roman" w:cs="Times New Roman"/>
          <w:noProof/>
          <w:sz w:val="24"/>
        </w:rPr>
        <w:t xml:space="preserve"> </w:t>
      </w:r>
    </w:p>
    <w:p w14:paraId="524F6145" w14:textId="28FD5B80" w:rsidR="00913097" w:rsidRPr="00EA7A26" w:rsidRDefault="001B5CEA" w:rsidP="00E35074">
      <w:pPr>
        <w:pStyle w:val="ListParagraph"/>
        <w:numPr>
          <w:ilvl w:val="0"/>
          <w:numId w:val="4"/>
        </w:numPr>
        <w:spacing w:after="240"/>
        <w:ind w:left="714" w:hanging="357"/>
        <w:jc w:val="both"/>
        <w:rPr>
          <w:noProof/>
        </w:rPr>
      </w:pPr>
      <w:r>
        <w:rPr>
          <w:rFonts w:ascii="Times New Roman" w:hAnsi="Times New Roman" w:cs="Times New Roman"/>
          <w:noProof/>
          <w:sz w:val="24"/>
        </w:rPr>
        <w:t>c</w:t>
      </w:r>
      <w:r w:rsidR="007F373F" w:rsidRPr="00E35074">
        <w:rPr>
          <w:rFonts w:ascii="Times New Roman" w:hAnsi="Times New Roman" w:cs="Times New Roman"/>
          <w:noProof/>
          <w:sz w:val="24"/>
        </w:rPr>
        <w:t>alls from industry regarding guidelines on e.g. technology transfers and cloud computing will also have to be addressed</w:t>
      </w:r>
      <w:r>
        <w:rPr>
          <w:rFonts w:ascii="Times New Roman" w:hAnsi="Times New Roman" w:cs="Times New Roman"/>
          <w:noProof/>
          <w:sz w:val="24"/>
        </w:rPr>
        <w:t>;</w:t>
      </w:r>
      <w:r w:rsidR="007F373F" w:rsidRPr="00E35074">
        <w:rPr>
          <w:rFonts w:ascii="Times New Roman" w:hAnsi="Times New Roman" w:cs="Times New Roman"/>
          <w:noProof/>
          <w:sz w:val="24"/>
        </w:rPr>
        <w:t xml:space="preserve"> </w:t>
      </w:r>
    </w:p>
    <w:p w14:paraId="4A5374F3" w14:textId="56BD79A4" w:rsidR="00913097" w:rsidRPr="00EA7A26" w:rsidRDefault="001B5CEA" w:rsidP="00E35074">
      <w:pPr>
        <w:pStyle w:val="ListParagraph"/>
        <w:numPr>
          <w:ilvl w:val="0"/>
          <w:numId w:val="4"/>
        </w:numPr>
        <w:spacing w:after="240"/>
        <w:ind w:left="714" w:hanging="357"/>
        <w:jc w:val="both"/>
        <w:rPr>
          <w:noProof/>
        </w:rPr>
      </w:pPr>
      <w:r>
        <w:rPr>
          <w:rFonts w:ascii="Times New Roman" w:hAnsi="Times New Roman" w:cs="Times New Roman"/>
          <w:noProof/>
          <w:sz w:val="24"/>
        </w:rPr>
        <w:t>i</w:t>
      </w:r>
      <w:r w:rsidR="007F373F" w:rsidRPr="00E35074">
        <w:rPr>
          <w:rFonts w:ascii="Times New Roman" w:hAnsi="Times New Roman" w:cs="Times New Roman"/>
          <w:noProof/>
          <w:sz w:val="24"/>
        </w:rPr>
        <w:t>n order to implement new information-sharing and transparency provisions that call for the development of information exchange between the Member States and the Commission, and for high-levels of transparency, including through the publication of an annual report including detailed information on licensing decisions, the Commission is, in particular, mandated to adopt guidelines for annual reporting</w:t>
      </w:r>
      <w:r w:rsidR="005F0DB0" w:rsidRPr="00E35074">
        <w:rPr>
          <w:rFonts w:ascii="Times New Roman" w:hAnsi="Times New Roman" w:cs="Times New Roman"/>
          <w:noProof/>
          <w:sz w:val="24"/>
        </w:rPr>
        <w:t xml:space="preserve">. It is also developing </w:t>
      </w:r>
      <w:r w:rsidR="007F373F" w:rsidRPr="00E35074">
        <w:rPr>
          <w:rFonts w:ascii="Times New Roman" w:hAnsi="Times New Roman" w:cs="Times New Roman"/>
          <w:noProof/>
          <w:sz w:val="24"/>
        </w:rPr>
        <w:t>IT tools to support th</w:t>
      </w:r>
      <w:r w:rsidR="00387039" w:rsidRPr="00E35074">
        <w:rPr>
          <w:rFonts w:ascii="Times New Roman" w:hAnsi="Times New Roman" w:cs="Times New Roman"/>
          <w:noProof/>
          <w:sz w:val="24"/>
        </w:rPr>
        <w:t>e related data exchange</w:t>
      </w:r>
      <w:r>
        <w:rPr>
          <w:rFonts w:ascii="Times New Roman" w:hAnsi="Times New Roman" w:cs="Times New Roman"/>
          <w:noProof/>
          <w:sz w:val="24"/>
        </w:rPr>
        <w:t>;</w:t>
      </w:r>
      <w:r w:rsidR="00387039" w:rsidRPr="00E35074">
        <w:rPr>
          <w:rFonts w:ascii="Times New Roman" w:hAnsi="Times New Roman" w:cs="Times New Roman"/>
          <w:noProof/>
          <w:sz w:val="24"/>
        </w:rPr>
        <w:t xml:space="preserve"> </w:t>
      </w:r>
    </w:p>
    <w:p w14:paraId="7EBA62CB" w14:textId="1EAB9DCC" w:rsidR="00913097" w:rsidRPr="00EA7A26" w:rsidRDefault="001B5CEA" w:rsidP="001E39EF">
      <w:pPr>
        <w:pStyle w:val="ListParagraph"/>
        <w:numPr>
          <w:ilvl w:val="0"/>
          <w:numId w:val="4"/>
        </w:numPr>
        <w:spacing w:after="240"/>
        <w:jc w:val="both"/>
        <w:rPr>
          <w:noProof/>
        </w:rPr>
      </w:pPr>
      <w:r>
        <w:rPr>
          <w:rFonts w:ascii="Times New Roman" w:hAnsi="Times New Roman" w:cs="Times New Roman"/>
          <w:noProof/>
          <w:sz w:val="24"/>
        </w:rPr>
        <w:t>t</w:t>
      </w:r>
      <w:r w:rsidR="00387039" w:rsidRPr="00E35074">
        <w:rPr>
          <w:rFonts w:ascii="Times New Roman" w:hAnsi="Times New Roman" w:cs="Times New Roman"/>
          <w:noProof/>
          <w:sz w:val="24"/>
        </w:rPr>
        <w:t>he</w:t>
      </w:r>
      <w:r>
        <w:rPr>
          <w:rFonts w:ascii="Times New Roman" w:hAnsi="Times New Roman" w:cs="Times New Roman"/>
          <w:noProof/>
          <w:sz w:val="24"/>
        </w:rPr>
        <w:t xml:space="preserve"> new</w:t>
      </w:r>
      <w:r w:rsidR="00387039" w:rsidRPr="00E35074">
        <w:rPr>
          <w:rFonts w:ascii="Times New Roman" w:hAnsi="Times New Roman" w:cs="Times New Roman"/>
          <w:noProof/>
          <w:sz w:val="24"/>
        </w:rPr>
        <w:t xml:space="preserve"> Regulation</w:t>
      </w:r>
      <w:r>
        <w:rPr>
          <w:rFonts w:ascii="Times New Roman" w:hAnsi="Times New Roman" w:cs="Times New Roman"/>
          <w:noProof/>
          <w:sz w:val="24"/>
        </w:rPr>
        <w:t xml:space="preserve"> </w:t>
      </w:r>
      <w:r w:rsidR="00387039" w:rsidRPr="00E35074">
        <w:rPr>
          <w:rFonts w:ascii="Times New Roman" w:hAnsi="Times New Roman" w:cs="Times New Roman"/>
          <w:noProof/>
          <w:sz w:val="24"/>
        </w:rPr>
        <w:t>recognises</w:t>
      </w:r>
      <w:r w:rsidR="007F373F" w:rsidRPr="00E35074">
        <w:rPr>
          <w:rFonts w:ascii="Times New Roman" w:hAnsi="Times New Roman" w:cs="Times New Roman"/>
          <w:noProof/>
          <w:sz w:val="24"/>
        </w:rPr>
        <w:t xml:space="preserve"> enforcement as a key dimension of effective export control policies and calls in particular for the creation of an </w:t>
      </w:r>
      <w:r>
        <w:rPr>
          <w:rFonts w:ascii="Times New Roman" w:hAnsi="Times New Roman" w:cs="Times New Roman"/>
          <w:noProof/>
          <w:sz w:val="24"/>
        </w:rPr>
        <w:t>e</w:t>
      </w:r>
      <w:r w:rsidR="007F373F" w:rsidRPr="00E35074">
        <w:rPr>
          <w:rFonts w:ascii="Times New Roman" w:hAnsi="Times New Roman" w:cs="Times New Roman"/>
          <w:noProof/>
          <w:sz w:val="24"/>
        </w:rPr>
        <w:t xml:space="preserve">nforcement </w:t>
      </w:r>
      <w:r>
        <w:rPr>
          <w:rFonts w:ascii="Times New Roman" w:hAnsi="Times New Roman" w:cs="Times New Roman"/>
          <w:noProof/>
          <w:sz w:val="24"/>
        </w:rPr>
        <w:t>c</w:t>
      </w:r>
      <w:r w:rsidR="007F373F" w:rsidRPr="00E35074">
        <w:rPr>
          <w:rFonts w:ascii="Times New Roman" w:hAnsi="Times New Roman" w:cs="Times New Roman"/>
          <w:noProof/>
          <w:sz w:val="24"/>
        </w:rPr>
        <w:t xml:space="preserve">oordination </w:t>
      </w:r>
      <w:r>
        <w:rPr>
          <w:rFonts w:ascii="Times New Roman" w:hAnsi="Times New Roman" w:cs="Times New Roman"/>
          <w:noProof/>
          <w:sz w:val="24"/>
        </w:rPr>
        <w:t>m</w:t>
      </w:r>
      <w:r w:rsidR="007F373F" w:rsidRPr="00E35074">
        <w:rPr>
          <w:rFonts w:ascii="Times New Roman" w:hAnsi="Times New Roman" w:cs="Times New Roman"/>
          <w:noProof/>
          <w:sz w:val="24"/>
        </w:rPr>
        <w:t>echanism</w:t>
      </w:r>
      <w:r>
        <w:rPr>
          <w:rFonts w:ascii="Times New Roman" w:hAnsi="Times New Roman" w:cs="Times New Roman"/>
          <w:noProof/>
          <w:sz w:val="24"/>
        </w:rPr>
        <w:t>;</w:t>
      </w:r>
      <w:r w:rsidR="007F373F" w:rsidRPr="00E35074">
        <w:rPr>
          <w:rFonts w:ascii="Times New Roman" w:hAnsi="Times New Roman" w:cs="Times New Roman"/>
          <w:noProof/>
          <w:sz w:val="24"/>
        </w:rPr>
        <w:t xml:space="preserve"> </w:t>
      </w:r>
    </w:p>
    <w:p w14:paraId="4F6D01C0" w14:textId="38D1685C" w:rsidR="00C00E2A" w:rsidRPr="00EA7A26" w:rsidRDefault="001B5CEA" w:rsidP="00E35074">
      <w:pPr>
        <w:pStyle w:val="ListParagraph"/>
        <w:numPr>
          <w:ilvl w:val="0"/>
          <w:numId w:val="4"/>
        </w:numPr>
        <w:spacing w:after="240"/>
        <w:ind w:left="714" w:hanging="357"/>
        <w:jc w:val="both"/>
        <w:rPr>
          <w:noProof/>
        </w:rPr>
      </w:pPr>
      <w:r>
        <w:rPr>
          <w:rFonts w:ascii="Times New Roman" w:hAnsi="Times New Roman" w:cs="Times New Roman"/>
          <w:noProof/>
          <w:sz w:val="24"/>
        </w:rPr>
        <w:t>f</w:t>
      </w:r>
      <w:r w:rsidR="007F373F" w:rsidRPr="00E35074">
        <w:rPr>
          <w:rFonts w:ascii="Times New Roman" w:hAnsi="Times New Roman" w:cs="Times New Roman"/>
          <w:noProof/>
          <w:sz w:val="24"/>
        </w:rPr>
        <w:t>inally the Commission with the support of Member States will work on developing an EU capacity-building and training programme for Member States licensing and enforcement authorities and deepen dialogues with third countries to promote the global convergence of controls.</w:t>
      </w:r>
    </w:p>
    <w:p w14:paraId="23E91445" w14:textId="77777777" w:rsidR="006D1871" w:rsidRDefault="007F373F" w:rsidP="00AA655D">
      <w:pPr>
        <w:jc w:val="both"/>
        <w:rPr>
          <w:noProof/>
        </w:rPr>
      </w:pPr>
      <w:r w:rsidRPr="007F373F">
        <w:rPr>
          <w:noProof/>
        </w:rPr>
        <w:t xml:space="preserve"> </w:t>
      </w:r>
    </w:p>
    <w:p w14:paraId="3FBB55A9" w14:textId="549D75AD" w:rsidR="00AA655D" w:rsidRDefault="00AA655D" w:rsidP="00AA655D">
      <w:pPr>
        <w:jc w:val="both"/>
        <w:rPr>
          <w:noProof/>
        </w:rPr>
      </w:pPr>
      <w:r>
        <w:rPr>
          <w:noProof/>
        </w:rPr>
        <w:t>The Commission invites the European Parliament and the Council to take note of this report</w:t>
      </w:r>
      <w:r w:rsidR="001B5CEA">
        <w:rPr>
          <w:noProof/>
        </w:rPr>
        <w:t>.</w:t>
      </w:r>
    </w:p>
    <w:p w14:paraId="65B8229F" w14:textId="60FD41F6" w:rsidR="00AA655D" w:rsidRPr="00FF7F39" w:rsidRDefault="00AA655D">
      <w:pPr>
        <w:rPr>
          <w:b/>
          <w:noProof/>
        </w:rPr>
      </w:pPr>
      <w:r>
        <w:rPr>
          <w:b/>
          <w:noProof/>
        </w:rPr>
        <w:t xml:space="preserve"> </w:t>
      </w:r>
    </w:p>
    <w:sectPr w:rsidR="00AA655D" w:rsidRPr="00FF7F39">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81406" w14:textId="77777777" w:rsidR="00465F00" w:rsidRDefault="00465F00" w:rsidP="00AA655D">
      <w:r>
        <w:separator/>
      </w:r>
    </w:p>
  </w:endnote>
  <w:endnote w:type="continuationSeparator" w:id="0">
    <w:p w14:paraId="7FB4AF63" w14:textId="77777777" w:rsidR="00465F00" w:rsidRDefault="00465F00" w:rsidP="00AA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BF88" w14:textId="77777777" w:rsidR="00BB441B" w:rsidRPr="00BB441B" w:rsidRDefault="00BB441B" w:rsidP="00BB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F831" w14:textId="707EF4E5" w:rsidR="00A55E7C" w:rsidRPr="00BB441B" w:rsidRDefault="00BB441B" w:rsidP="00BB441B">
    <w:pPr>
      <w:pStyle w:val="FooterCoverPage"/>
      <w:rPr>
        <w:rFonts w:ascii="Arial" w:hAnsi="Arial" w:cs="Arial"/>
        <w:b/>
        <w:sz w:val="48"/>
      </w:rPr>
    </w:pPr>
    <w:r w:rsidRPr="00BB441B">
      <w:rPr>
        <w:rFonts w:ascii="Arial" w:hAnsi="Arial" w:cs="Arial"/>
        <w:b/>
        <w:sz w:val="48"/>
      </w:rPr>
      <w:t>EN</w:t>
    </w:r>
    <w:r w:rsidRPr="00BB441B">
      <w:rPr>
        <w:rFonts w:ascii="Arial" w:hAnsi="Arial" w:cs="Arial"/>
        <w:b/>
        <w:sz w:val="48"/>
      </w:rPr>
      <w:tab/>
    </w:r>
    <w:r w:rsidRPr="00BB441B">
      <w:rPr>
        <w:rFonts w:ascii="Arial" w:hAnsi="Arial" w:cs="Arial"/>
        <w:b/>
        <w:sz w:val="48"/>
      </w:rPr>
      <w:tab/>
    </w:r>
    <w:r w:rsidRPr="00BB441B">
      <w:tab/>
    </w:r>
    <w:r w:rsidRPr="00BB441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8EB7" w14:textId="77777777" w:rsidR="00BB441B" w:rsidRPr="00BB441B" w:rsidRDefault="00BB441B" w:rsidP="00BB441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C6964" w14:textId="77777777" w:rsidR="0058303A" w:rsidRDefault="005830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301958"/>
      <w:docPartObj>
        <w:docPartGallery w:val="Page Numbers (Bottom of Page)"/>
        <w:docPartUnique/>
      </w:docPartObj>
    </w:sdtPr>
    <w:sdtEndPr>
      <w:rPr>
        <w:noProof/>
      </w:rPr>
    </w:sdtEndPr>
    <w:sdtContent>
      <w:p w14:paraId="496B82BC" w14:textId="69E03BE8" w:rsidR="0058303A" w:rsidRDefault="0058303A">
        <w:pPr>
          <w:pStyle w:val="Footer"/>
          <w:jc w:val="center"/>
        </w:pPr>
        <w:r>
          <w:fldChar w:fldCharType="begin"/>
        </w:r>
        <w:r>
          <w:instrText xml:space="preserve"> PAGE   \* MERGEFORMAT </w:instrText>
        </w:r>
        <w:r>
          <w:fldChar w:fldCharType="separate"/>
        </w:r>
        <w:r w:rsidR="00BB441B">
          <w:rPr>
            <w:noProof/>
          </w:rPr>
          <w:t>1</w:t>
        </w:r>
        <w:r>
          <w:rPr>
            <w:noProof/>
          </w:rPr>
          <w:fldChar w:fldCharType="end"/>
        </w:r>
      </w:p>
    </w:sdtContent>
  </w:sdt>
  <w:p w14:paraId="3C8338A5" w14:textId="77777777" w:rsidR="0058303A" w:rsidRDefault="005830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9F60" w14:textId="77777777" w:rsidR="0058303A" w:rsidRDefault="00583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AA157" w14:textId="77777777" w:rsidR="00465F00" w:rsidRDefault="00465F00" w:rsidP="00AA655D">
      <w:r>
        <w:separator/>
      </w:r>
    </w:p>
  </w:footnote>
  <w:footnote w:type="continuationSeparator" w:id="0">
    <w:p w14:paraId="0EC585E9" w14:textId="77777777" w:rsidR="00465F00" w:rsidRDefault="00465F00" w:rsidP="00AA655D">
      <w:r>
        <w:continuationSeparator/>
      </w:r>
    </w:p>
  </w:footnote>
  <w:footnote w:id="1">
    <w:p w14:paraId="41A35A41" w14:textId="37B84909" w:rsidR="008C2769" w:rsidRPr="008C2769" w:rsidRDefault="008C2769">
      <w:pPr>
        <w:pStyle w:val="FootnoteText"/>
      </w:pPr>
      <w:r>
        <w:rPr>
          <w:rStyle w:val="FootnoteReference"/>
        </w:rPr>
        <w:footnoteRef/>
      </w:r>
      <w:r>
        <w:t xml:space="preserve"> </w:t>
      </w:r>
      <w:r w:rsidRPr="008C2769">
        <w:t xml:space="preserve">Regulation (EU) 2021/821 of the European Parliament and of the Council of 20 May 2021 setting up a Union regime for the control of exports, brokering, technical assistance, transit and transfer of dual-use items (recast) – (OJ L 206, 11.6.2021, p. 1) - </w:t>
      </w:r>
      <w:hyperlink r:id="rId1" w:history="1">
        <w:r w:rsidRPr="0056437E">
          <w:rPr>
            <w:rStyle w:val="Hyperlink"/>
          </w:rPr>
          <w:t>https://eur-lex.europa.eu/eli/reg/2021/821/oj</w:t>
        </w:r>
      </w:hyperlink>
      <w:r w:rsidR="008F2F5D">
        <w:t>.</w:t>
      </w:r>
    </w:p>
  </w:footnote>
  <w:footnote w:id="2">
    <w:p w14:paraId="3F97BE86" w14:textId="77777777" w:rsidR="0058303A" w:rsidRDefault="0058303A" w:rsidP="00AA655D">
      <w:pPr>
        <w:jc w:val="both"/>
        <w:rPr>
          <w:sz w:val="20"/>
          <w:szCs w:val="20"/>
        </w:rPr>
      </w:pPr>
      <w:r>
        <w:rPr>
          <w:rStyle w:val="FootnoteReference"/>
        </w:rPr>
        <w:footnoteRef/>
      </w:r>
      <w:r>
        <w:t xml:space="preserve"> </w:t>
      </w:r>
      <w:r>
        <w:rPr>
          <w:noProof/>
          <w:sz w:val="20"/>
          <w:szCs w:val="20"/>
        </w:rPr>
        <w:t>Some Member States’ competent authorities also publicly report on trade in dual-use items.</w:t>
      </w:r>
    </w:p>
  </w:footnote>
  <w:footnote w:id="3">
    <w:p w14:paraId="6EB72D3A" w14:textId="0F420073" w:rsidR="008F2F5D" w:rsidRPr="008F2F5D" w:rsidRDefault="008F2F5D">
      <w:pPr>
        <w:pStyle w:val="FootnoteText"/>
      </w:pPr>
      <w:r>
        <w:rPr>
          <w:rStyle w:val="FootnoteReference"/>
        </w:rPr>
        <w:footnoteRef/>
      </w:r>
      <w:r>
        <w:t xml:space="preserve"> </w:t>
      </w:r>
      <w:r w:rsidRPr="008F2F5D">
        <w:t>While the present report is published under the new Regulation, given it is covering 2020 the information collected refers to the situation under the previous Regulation.</w:t>
      </w:r>
    </w:p>
  </w:footnote>
  <w:footnote w:id="4">
    <w:p w14:paraId="115F5DC9" w14:textId="77777777" w:rsidR="00FC2A23" w:rsidRPr="00FC2A23" w:rsidRDefault="00FC2A23">
      <w:pPr>
        <w:pStyle w:val="FootnoteText"/>
      </w:pPr>
      <w:r>
        <w:rPr>
          <w:rStyle w:val="FootnoteReference"/>
        </w:rPr>
        <w:footnoteRef/>
      </w:r>
      <w:r>
        <w:t xml:space="preserve"> This is also part of our </w:t>
      </w:r>
      <w:r>
        <w:rPr>
          <w:noProof/>
        </w:rPr>
        <w:t xml:space="preserve">"partnership with the private sector", which will be a key element of the </w:t>
      </w:r>
      <w:r w:rsidRPr="00ED213C">
        <w:rPr>
          <w:noProof/>
          <w:lang w:eastAsia="en-GB"/>
        </w:rPr>
        <w:t>modernisation of EU export controls</w:t>
      </w:r>
      <w:r>
        <w:rPr>
          <w:noProof/>
          <w:lang w:eastAsia="en-GB"/>
        </w:rPr>
        <w:t>.</w:t>
      </w:r>
    </w:p>
  </w:footnote>
  <w:footnote w:id="5">
    <w:p w14:paraId="129D950E" w14:textId="2BAB2426" w:rsidR="0058303A" w:rsidRDefault="0058303A" w:rsidP="003F1C04">
      <w:pPr>
        <w:pStyle w:val="FootnoteText"/>
        <w:jc w:val="both"/>
      </w:pPr>
      <w:r>
        <w:rPr>
          <w:rStyle w:val="FootnoteReference"/>
        </w:rPr>
        <w:footnoteRef/>
      </w:r>
      <w:r>
        <w:t xml:space="preserve"> </w:t>
      </w:r>
      <w:r>
        <w:rPr>
          <w:rFonts w:eastAsia="Times New Roman"/>
          <w:noProof/>
        </w:rPr>
        <w:t xml:space="preserve">Commission Delegated Regulation (EU) 2020/1749 of 7 October 2020 </w:t>
      </w:r>
      <w:r w:rsidR="0034585F">
        <w:rPr>
          <w:rFonts w:eastAsia="Times New Roman"/>
          <w:noProof/>
        </w:rPr>
        <w:t>(</w:t>
      </w:r>
      <w:r>
        <w:t>OJ L 421, 14.12.2020, p. 1</w:t>
      </w:r>
      <w:r w:rsidR="0034585F">
        <w:t>)</w:t>
      </w:r>
      <w:r>
        <w:t>.</w:t>
      </w:r>
    </w:p>
  </w:footnote>
  <w:footnote w:id="6">
    <w:p w14:paraId="426BF3EE" w14:textId="33D6BA48" w:rsidR="0058303A" w:rsidRDefault="0058303A" w:rsidP="00CA4709">
      <w:pPr>
        <w:pStyle w:val="FootnoteText"/>
        <w:jc w:val="both"/>
      </w:pPr>
      <w:r>
        <w:rPr>
          <w:rStyle w:val="FootnoteReference"/>
        </w:rPr>
        <w:footnoteRef/>
      </w:r>
      <w:r w:rsidR="009B14C2">
        <w:t xml:space="preserve"> </w:t>
      </w:r>
      <w:r>
        <w:t xml:space="preserve">The Summary Note is available at: </w:t>
      </w:r>
      <w:r w:rsidRPr="006835BD">
        <w:t xml:space="preserve"> https://trade.ec.europa.eu/doclib/docs/2020/october/tradoc_158973.pdf</w:t>
      </w:r>
      <w:r w:rsidR="002B79F2">
        <w:t>.</w:t>
      </w:r>
    </w:p>
  </w:footnote>
  <w:footnote w:id="7">
    <w:p w14:paraId="4279D3FE" w14:textId="77777777" w:rsidR="0058303A" w:rsidRPr="008E1728" w:rsidRDefault="0058303A" w:rsidP="005D26B3">
      <w:pPr>
        <w:pStyle w:val="FootnoteText"/>
      </w:pPr>
      <w:r>
        <w:rPr>
          <w:rStyle w:val="FootnoteReference"/>
        </w:rPr>
        <w:footnoteRef/>
      </w:r>
      <w:r>
        <w:t xml:space="preserve"> </w:t>
      </w:r>
      <w:r w:rsidRPr="008E1728">
        <w:t>https://ec.europa.eu/info/sites/default/files/file_import/dual-use-export-controls_en_0.pdf</w:t>
      </w:r>
    </w:p>
  </w:footnote>
  <w:footnote w:id="8">
    <w:p w14:paraId="56C68BA4" w14:textId="77777777" w:rsidR="00BD3B3A" w:rsidRPr="00BD3B3A" w:rsidRDefault="00BD3B3A">
      <w:pPr>
        <w:pStyle w:val="FootnoteText"/>
      </w:pPr>
      <w:r>
        <w:rPr>
          <w:rStyle w:val="FootnoteReference"/>
        </w:rPr>
        <w:footnoteRef/>
      </w:r>
      <w:r>
        <w:t xml:space="preserve"> </w:t>
      </w:r>
      <w:r w:rsidRPr="00BD3B3A">
        <w:t>https://trade.ec.europa.eu/doclib/docs/2021/january/tradoc_159247.pdf</w:t>
      </w:r>
    </w:p>
  </w:footnote>
  <w:footnote w:id="9">
    <w:p w14:paraId="19E800A7" w14:textId="77777777" w:rsidR="0058303A" w:rsidRPr="00E35074" w:rsidRDefault="0058303A" w:rsidP="007F3BFA">
      <w:pPr>
        <w:pStyle w:val="Default"/>
        <w:rPr>
          <w:rFonts w:ascii="Times New Roman" w:eastAsia="Calibri" w:hAnsi="Times New Roman" w:cs="Times New Roman"/>
          <w:color w:val="auto"/>
          <w:sz w:val="20"/>
          <w:szCs w:val="20"/>
        </w:rPr>
      </w:pPr>
      <w:r w:rsidRPr="00E35074">
        <w:rPr>
          <w:rStyle w:val="FootnoteReference"/>
          <w:rFonts w:eastAsia="Calibri"/>
          <w:sz w:val="22"/>
        </w:rPr>
        <w:footnoteRef/>
      </w:r>
      <w:r w:rsidRPr="00911D23">
        <w:rPr>
          <w:rFonts w:ascii="Times New Roman" w:eastAsia="Times New Roman" w:hAnsi="Times New Roman" w:cs="Times New Roman"/>
          <w:color w:val="auto"/>
          <w:sz w:val="20"/>
          <w:szCs w:val="20"/>
          <w:lang w:val="en-IE" w:eastAsia="fr-BE"/>
        </w:rPr>
        <w:t xml:space="preserve"> </w:t>
      </w:r>
      <w:r w:rsidRPr="00E35074">
        <w:rPr>
          <w:rFonts w:ascii="Times New Roman" w:eastAsia="Calibri" w:hAnsi="Times New Roman" w:cs="Times New Roman"/>
          <w:color w:val="auto"/>
          <w:sz w:val="20"/>
          <w:szCs w:val="20"/>
        </w:rPr>
        <w:t xml:space="preserve">OJ L 29, 31.1.2020, p. 7 (“Withdrawal Agreement”).  </w:t>
      </w:r>
    </w:p>
  </w:footnote>
  <w:footnote w:id="10">
    <w:p w14:paraId="746DB39F" w14:textId="77777777" w:rsidR="0058303A" w:rsidRPr="001503B0" w:rsidRDefault="0058303A" w:rsidP="007F3BFA">
      <w:pPr>
        <w:pStyle w:val="FootnoteText"/>
      </w:pPr>
      <w:r>
        <w:rPr>
          <w:rStyle w:val="FootnoteReference"/>
        </w:rPr>
        <w:footnoteRef/>
      </w:r>
      <w:r w:rsidR="00F517AC">
        <w:t xml:space="preserve"> </w:t>
      </w:r>
      <w:r w:rsidRPr="00B55E7B">
        <w:t>Article 5(4)</w:t>
      </w:r>
      <w:r>
        <w:t xml:space="preserve"> of the </w:t>
      </w:r>
      <w:r w:rsidRPr="00867879">
        <w:t>NI Protocol and section</w:t>
      </w:r>
      <w:r>
        <w:t xml:space="preserve"> 47</w:t>
      </w:r>
      <w:r w:rsidRPr="00867879">
        <w:t xml:space="preserve"> of annex 2 to that Protocol</w:t>
      </w:r>
      <w:r>
        <w:t>.</w:t>
      </w:r>
    </w:p>
  </w:footnote>
  <w:footnote w:id="11">
    <w:p w14:paraId="76057D10" w14:textId="29E87933" w:rsidR="002B79F2" w:rsidRPr="0028246A" w:rsidRDefault="002B79F2">
      <w:pPr>
        <w:pStyle w:val="FootnoteText"/>
        <w:rPr>
          <w:lang w:val="en-US"/>
        </w:rPr>
      </w:pPr>
      <w:r>
        <w:rPr>
          <w:rStyle w:val="FootnoteReference"/>
        </w:rPr>
        <w:footnoteRef/>
      </w:r>
      <w:r>
        <w:t xml:space="preserve"> </w:t>
      </w:r>
      <w:r w:rsidRPr="002B79F2">
        <w:t>DUeS is a secure and encrypted electronic system hosted by the Commission, to support the enhanced exchange of information between competent authorities and the Commission as provided for by Article 19 of the Regulation.</w:t>
      </w:r>
    </w:p>
  </w:footnote>
  <w:footnote w:id="12">
    <w:p w14:paraId="2F90DA5E" w14:textId="7635C5AF" w:rsidR="0058303A" w:rsidRPr="00277A08" w:rsidRDefault="0058303A" w:rsidP="00AA655D">
      <w:pPr>
        <w:pStyle w:val="FootnoteText"/>
        <w:rPr>
          <w:rStyle w:val="Hyperlink"/>
        </w:rPr>
      </w:pPr>
      <w:r>
        <w:rPr>
          <w:rStyle w:val="FootnoteReference"/>
        </w:rPr>
        <w:footnoteRef/>
      </w:r>
      <w:hyperlink r:id="rId2" w:history="1">
        <w:r w:rsidRPr="00FC2A23">
          <w:rPr>
            <w:rStyle w:val="Hyperlink"/>
          </w:rPr>
          <w:t>https://trade.ec.europa.eu/doclib/docs/2020/january/tradoc_158576.pdf</w:t>
        </w:r>
      </w:hyperlink>
      <w:r>
        <w:rPr>
          <w:rStyle w:val="Hyperlink"/>
        </w:rPr>
        <w:t xml:space="preserve"> </w:t>
      </w:r>
    </w:p>
  </w:footnote>
  <w:footnote w:id="13">
    <w:p w14:paraId="63160883" w14:textId="486C4755" w:rsidR="0058303A" w:rsidRPr="00F72887" w:rsidRDefault="0058303A">
      <w:pPr>
        <w:pStyle w:val="FootnoteText"/>
        <w:rPr>
          <w:rStyle w:val="Hyperlink"/>
        </w:rPr>
      </w:pPr>
      <w:r>
        <w:rPr>
          <w:rStyle w:val="FootnoteReference"/>
        </w:rPr>
        <w:footnoteRef/>
      </w:r>
      <w:r w:rsidR="004552C6" w:rsidRPr="004552C6">
        <w:rPr>
          <w:rStyle w:val="Hyperlink"/>
        </w:rPr>
        <w:t xml:space="preserve">https://trade.ec.europa.eu/doclib/docs/2020/october/tradoc_158962.pdf </w:t>
      </w:r>
    </w:p>
  </w:footnote>
  <w:footnote w:id="14">
    <w:p w14:paraId="5F51648D" w14:textId="77777777" w:rsidR="0058303A" w:rsidRPr="001B5C4A" w:rsidRDefault="0058303A" w:rsidP="001B5C4A">
      <w:pPr>
        <w:pStyle w:val="FootnoteText"/>
      </w:pPr>
      <w:r>
        <w:rPr>
          <w:rStyle w:val="FootnoteReference"/>
        </w:rPr>
        <w:footnoteRef/>
      </w:r>
      <w:r>
        <w:t xml:space="preserve"> </w:t>
      </w:r>
      <w:r w:rsidR="00473192" w:rsidRPr="001B5C4A">
        <w:rPr>
          <w:noProof/>
          <w:lang w:eastAsia="en-GB"/>
        </w:rPr>
        <w:t>The updated information notice was published on 17 January 2020</w:t>
      </w:r>
      <w:r w:rsidR="00473192">
        <w:rPr>
          <w:noProof/>
          <w:lang w:eastAsia="en-GB"/>
        </w:rPr>
        <w:t>,</w:t>
      </w:r>
      <w:r w:rsidR="00473192" w:rsidRPr="001B5C4A">
        <w:rPr>
          <w:noProof/>
          <w:lang w:eastAsia="en-GB"/>
        </w:rPr>
        <w:t xml:space="preserve"> </w:t>
      </w:r>
      <w:r w:rsidRPr="001B5C4A">
        <w:t>OJ Notice 2020/C16/4</w:t>
      </w:r>
      <w:r w:rsidR="00473192">
        <w:t>.</w:t>
      </w:r>
    </w:p>
  </w:footnote>
  <w:footnote w:id="15">
    <w:p w14:paraId="508B62B1" w14:textId="77777777" w:rsidR="0058303A" w:rsidRPr="00277A08" w:rsidRDefault="0058303A">
      <w:pPr>
        <w:pStyle w:val="FootnoteText"/>
        <w:rPr>
          <w:color w:val="0000FF"/>
          <w:u w:val="single"/>
        </w:rPr>
      </w:pPr>
      <w:r>
        <w:rPr>
          <w:rStyle w:val="FootnoteReference"/>
        </w:rPr>
        <w:footnoteRef/>
      </w:r>
      <w:r>
        <w:t xml:space="preserve"> </w:t>
      </w:r>
      <w:r w:rsidRPr="00FC2A23">
        <w:rPr>
          <w:rStyle w:val="Hyperlink"/>
        </w:rPr>
        <w:t xml:space="preserve">https://ec.europa.eu/info/publications/dual-use-export-control </w:t>
      </w:r>
    </w:p>
  </w:footnote>
  <w:footnote w:id="16">
    <w:p w14:paraId="0E56089B" w14:textId="77777777" w:rsidR="0058303A" w:rsidRPr="00277A08" w:rsidRDefault="0058303A">
      <w:pPr>
        <w:pStyle w:val="FootnoteText"/>
      </w:pPr>
      <w:r>
        <w:rPr>
          <w:rStyle w:val="FootnoteReference"/>
        </w:rPr>
        <w:footnoteRef/>
      </w:r>
      <w:r>
        <w:t xml:space="preserve"> Mobile telecommunications equipment, internet surveillance systems, intrusion software.</w:t>
      </w:r>
    </w:p>
  </w:footnote>
  <w:footnote w:id="17">
    <w:p w14:paraId="1594CFCB" w14:textId="77777777" w:rsidR="00320077" w:rsidRDefault="00320077">
      <w:pPr>
        <w:pStyle w:val="FootnoteText"/>
      </w:pPr>
      <w:r>
        <w:rPr>
          <w:rStyle w:val="FootnoteReference"/>
        </w:rPr>
        <w:footnoteRef/>
      </w:r>
      <w:r>
        <w:t xml:space="preserve"> </w:t>
      </w:r>
      <w:hyperlink r:id="rId3" w:history="1">
        <w:r w:rsidRPr="009E5234">
          <w:rPr>
            <w:rStyle w:val="Hyperlink"/>
          </w:rPr>
          <w:t>https://trade.ec.europa.eu/consultations/index.cfm?consul_id=292</w:t>
        </w:r>
      </w:hyperlink>
      <w:r>
        <w:t xml:space="preserve"> </w:t>
      </w:r>
    </w:p>
  </w:footnote>
  <w:footnote w:id="18">
    <w:p w14:paraId="5DEEDA83" w14:textId="007F21D6" w:rsidR="009B14C2" w:rsidRPr="009B14C2" w:rsidRDefault="009B14C2">
      <w:pPr>
        <w:pStyle w:val="FootnoteText"/>
      </w:pPr>
      <w:r>
        <w:rPr>
          <w:rStyle w:val="FootnoteReference"/>
        </w:rPr>
        <w:footnoteRef/>
      </w:r>
      <w:r>
        <w:t xml:space="preserve"> </w:t>
      </w:r>
      <w:hyperlink r:id="rId4" w:history="1">
        <w:r w:rsidRPr="00047622">
          <w:rPr>
            <w:rStyle w:val="Hyperlink"/>
          </w:rPr>
          <w:t>https://eur-lex.europa.eu/legal-content/EN/TXT/PDF/?uri=OJ:L:2021:338:FULL&amp;from=EN</w:t>
        </w:r>
      </w:hyperlink>
      <w:r>
        <w:t xml:space="preserve"> </w:t>
      </w:r>
    </w:p>
  </w:footnote>
  <w:footnote w:id="19">
    <w:p w14:paraId="08F45C0B" w14:textId="77777777" w:rsidR="002150CE" w:rsidRPr="002150CE" w:rsidRDefault="002150CE">
      <w:pPr>
        <w:pStyle w:val="FootnoteText"/>
      </w:pPr>
      <w:r>
        <w:rPr>
          <w:rStyle w:val="FootnoteReference"/>
        </w:rPr>
        <w:footnoteRef/>
      </w:r>
      <w:r>
        <w:t xml:space="preserve"> </w:t>
      </w:r>
      <w:hyperlink r:id="rId5" w:history="1">
        <w:r w:rsidRPr="00052B1B">
          <w:rPr>
            <w:rStyle w:val="Hyperlink"/>
          </w:rPr>
          <w:t>https://trade.ec.europa.eu/doclib/docs/2020/december/tradoc_159148.pdf</w:t>
        </w:r>
      </w:hyperlink>
      <w:r>
        <w:t xml:space="preserve"> </w:t>
      </w:r>
    </w:p>
  </w:footnote>
  <w:footnote w:id="20">
    <w:p w14:paraId="217BB570" w14:textId="77777777" w:rsidR="00274314" w:rsidRDefault="0058303A">
      <w:pPr>
        <w:pStyle w:val="FootnoteText"/>
      </w:pPr>
      <w:r>
        <w:rPr>
          <w:rStyle w:val="FootnoteReference"/>
        </w:rPr>
        <w:footnoteRef/>
      </w:r>
      <w:r>
        <w:t xml:space="preserve"> </w:t>
      </w:r>
      <w:hyperlink r:id="rId6" w:history="1">
        <w:r w:rsidR="00274314" w:rsidRPr="00C36D84">
          <w:rPr>
            <w:rStyle w:val="Hyperlink"/>
          </w:rPr>
          <w:t>https://trade.ec.europa.eu/doclib/docs/2020/october/tradoc_158972.pdf</w:t>
        </w:r>
      </w:hyperlink>
    </w:p>
    <w:p w14:paraId="21EC604F" w14:textId="77777777" w:rsidR="00274314" w:rsidRPr="00465EC1" w:rsidRDefault="00274314">
      <w:pPr>
        <w:pStyle w:val="FootnoteText"/>
      </w:pPr>
    </w:p>
  </w:footnote>
  <w:footnote w:id="21">
    <w:p w14:paraId="04376948" w14:textId="77777777" w:rsidR="00C9774D" w:rsidRDefault="00C9774D" w:rsidP="00C9774D">
      <w:pPr>
        <w:pStyle w:val="FootnoteText"/>
        <w:jc w:val="both"/>
      </w:pPr>
      <w:r>
        <w:rPr>
          <w:rStyle w:val="FootnoteReference"/>
        </w:rPr>
        <w:footnoteRef/>
      </w:r>
      <w:r>
        <w:t xml:space="preserve"> The statistical methodology developed by the Commission's Joint Research Centre makes </w:t>
      </w:r>
      <w:r>
        <w:rPr>
          <w:rFonts w:eastAsia="Times New Roman"/>
          <w:noProof/>
          <w:lang w:eastAsia="en-GB"/>
        </w:rPr>
        <w:t xml:space="preserve">use of a correlation table, developed by DG TAXUD, between dual-use classification numbers and customs codes and of </w:t>
      </w:r>
      <w:r>
        <w:t xml:space="preserve">Eurostat’s </w:t>
      </w:r>
      <w:r>
        <w:rPr>
          <w:rFonts w:eastAsia="Times New Roman"/>
          <w:noProof/>
          <w:lang w:eastAsia="en-GB"/>
        </w:rPr>
        <w:t xml:space="preserve">COMEXT data, as well as of licensing data provided by </w:t>
      </w:r>
      <w:r w:rsidRPr="00897C8D">
        <w:rPr>
          <w:rFonts w:eastAsia="Times New Roman"/>
          <w:noProof/>
          <w:lang w:eastAsia="en-GB"/>
        </w:rPr>
        <w:t>EU27 Member States.</w:t>
      </w:r>
      <w:r>
        <w:t xml:space="preserve"> The notion of </w:t>
      </w:r>
      <w:r>
        <w:rPr>
          <w:i/>
        </w:rPr>
        <w:t>dual-use export domain</w:t>
      </w:r>
      <w:r>
        <w:t xml:space="preserve"> refers to a large mixed commodity area, which includes dual-use items. Trade in dual-use items takes place </w:t>
      </w:r>
      <w:r>
        <w:rPr>
          <w:i/>
        </w:rPr>
        <w:t>within</w:t>
      </w:r>
      <w:r>
        <w:t xml:space="preserve"> this commodity area, but is not identical to it, since by far, not all of the commodities within the </w:t>
      </w:r>
      <w:r>
        <w:rPr>
          <w:i/>
        </w:rPr>
        <w:t>dual-use export domain</w:t>
      </w:r>
      <w:r>
        <w:t xml:space="preserve"> are really dual-use. </w:t>
      </w:r>
    </w:p>
    <w:p w14:paraId="5CCE9392" w14:textId="77777777" w:rsidR="00C9774D" w:rsidRDefault="00C9774D" w:rsidP="00C9774D">
      <w:pPr>
        <w:pStyle w:val="FootnoteText"/>
      </w:pPr>
    </w:p>
  </w:footnote>
  <w:footnote w:id="22">
    <w:p w14:paraId="7C002C84" w14:textId="5F968D49" w:rsidR="00C9774D" w:rsidRDefault="00C9774D" w:rsidP="00C9774D">
      <w:pPr>
        <w:pStyle w:val="FootnoteText"/>
        <w:jc w:val="both"/>
      </w:pPr>
      <w:r>
        <w:rPr>
          <w:rStyle w:val="FootnoteReference"/>
        </w:rPr>
        <w:footnoteRef/>
      </w:r>
      <w:r>
        <w:t xml:space="preserve"> "Stores and provisions extra" are defined as delivery of ships' and aircrafts</w:t>
      </w:r>
      <w:r w:rsidR="00D60988">
        <w:t>'</w:t>
      </w:r>
      <w:r>
        <w:t xml:space="preserve"> stores. ”Miscellaneous –countries not specified extra” includes countries and territories not specified within the framework of trade with third countries (i.e., these codes are usually used for goods delivered for offshore installations).</w:t>
      </w:r>
    </w:p>
  </w:footnote>
  <w:footnote w:id="23">
    <w:p w14:paraId="2DB8B40C" w14:textId="77777777" w:rsidR="00C9774D" w:rsidRDefault="00C9774D" w:rsidP="00617132">
      <w:pPr>
        <w:pStyle w:val="FootnoteText"/>
        <w:jc w:val="both"/>
      </w:pPr>
      <w:r>
        <w:rPr>
          <w:rStyle w:val="FootnoteReference"/>
        </w:rPr>
        <w:footnoteRef/>
      </w:r>
      <w:r>
        <w:t xml:space="preserve"> This figure includes value for licence applications and notifications under General Export Authorisations.</w:t>
      </w:r>
    </w:p>
  </w:footnote>
  <w:footnote w:id="24">
    <w:p w14:paraId="21E00003" w14:textId="7CF96B15" w:rsidR="00057FE8" w:rsidRPr="00057FE8" w:rsidRDefault="00057FE8" w:rsidP="00617132">
      <w:pPr>
        <w:pStyle w:val="FootnoteText"/>
        <w:jc w:val="both"/>
      </w:pPr>
      <w:r>
        <w:rPr>
          <w:rStyle w:val="FootnoteReference"/>
        </w:rPr>
        <w:footnoteRef/>
      </w:r>
      <w:r>
        <w:t xml:space="preserve"> </w:t>
      </w:r>
      <w:r w:rsidR="002B79F2">
        <w:t>I</w:t>
      </w:r>
      <w:r w:rsidRPr="00057FE8">
        <w:t xml:space="preserve">ndividual </w:t>
      </w:r>
      <w:r w:rsidR="00AD0407">
        <w:t>licenses are licenses</w:t>
      </w:r>
      <w:r w:rsidRPr="00057FE8">
        <w:t xml:space="preserve"> granted to one specific exporter for one end-user or consignee in a third country and covering one or more dual-use items</w:t>
      </w:r>
      <w:r w:rsidR="002B79F2">
        <w:t>.</w:t>
      </w:r>
    </w:p>
  </w:footnote>
  <w:footnote w:id="25">
    <w:p w14:paraId="296D29CA" w14:textId="6B70D2C0" w:rsidR="00AD0407" w:rsidRPr="00AD0407" w:rsidRDefault="00AD0407" w:rsidP="00617132">
      <w:pPr>
        <w:pStyle w:val="FootnoteText"/>
        <w:jc w:val="both"/>
      </w:pPr>
      <w:r>
        <w:rPr>
          <w:rStyle w:val="FootnoteReference"/>
        </w:rPr>
        <w:footnoteRef/>
      </w:r>
      <w:r>
        <w:t xml:space="preserve"> </w:t>
      </w:r>
      <w:r w:rsidR="002B79F2">
        <w:t>G</w:t>
      </w:r>
      <w:r w:rsidRPr="00AD0407">
        <w:t xml:space="preserve">lobal </w:t>
      </w:r>
      <w:r>
        <w:t>licenses are licenses</w:t>
      </w:r>
      <w:r w:rsidRPr="00AD0407">
        <w:t xml:space="preserve"> granted to one specific exporter in respect of a type or category of dual-use items which may be valid for exports to one or more specified end-users and/or in one or more specified third countries</w:t>
      </w:r>
      <w:r w:rsidR="002B79F2">
        <w:t>.</w:t>
      </w:r>
    </w:p>
  </w:footnote>
  <w:footnote w:id="26">
    <w:p w14:paraId="5BE8F4C9" w14:textId="2DB70E4D" w:rsidR="00C9774D" w:rsidRDefault="00C9774D" w:rsidP="00C9774D">
      <w:pPr>
        <w:pStyle w:val="FootnoteText"/>
        <w:jc w:val="both"/>
      </w:pPr>
      <w:r>
        <w:rPr>
          <w:rStyle w:val="FootnoteReference"/>
          <w:color w:val="808080"/>
        </w:rPr>
        <w:footnoteRef/>
      </w:r>
      <w:r>
        <w:rPr>
          <w:color w:val="808080"/>
        </w:rPr>
        <w:t xml:space="preserve"> </w:t>
      </w:r>
      <w:r>
        <w:t>In Figures 5 and 6, "Applications" data include all applications for licenses, including notifications under general authorisations, thus providing an indication of "controlled exports", i.e. the value of extra-EU exports subject to an authorisation process. In cases where no application data is available, the charts make use of authorisation data as estimate for application data. "Authorisations" data refers to dual-use exports authorised under individual and global licences. It should be noted that applications do not necessarily correspond to the sum of authorisations and denials, as a number of applications may be cancelled and some applications may not be finalised within the same year. "Denial" refers to the volume and value of denied exports.</w:t>
      </w:r>
      <w:r w:rsidR="00591848" w:rsidRPr="00591848">
        <w:t xml:space="preserve"> Differences</w:t>
      </w:r>
      <w:r w:rsidR="00591848">
        <w:t xml:space="preserve"> in data that indicate a </w:t>
      </w:r>
      <w:r w:rsidR="00591848" w:rsidRPr="00591848">
        <w:t xml:space="preserve">decline in comparison to the previous years are due to Brexit and the fact that UK did not provide data for </w:t>
      </w:r>
      <w:r w:rsidR="007E7C46">
        <w:t>2019</w:t>
      </w:r>
      <w:r w:rsidR="00591848" w:rsidRPr="0059184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38AF5" w14:textId="77777777" w:rsidR="00BB441B" w:rsidRPr="00BB441B" w:rsidRDefault="00BB441B" w:rsidP="00BB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E8216" w14:textId="77777777" w:rsidR="00BB441B" w:rsidRPr="00BB441B" w:rsidRDefault="00BB441B" w:rsidP="00BB441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C3A5" w14:textId="77777777" w:rsidR="00BB441B" w:rsidRPr="00BB441B" w:rsidRDefault="00BB441B" w:rsidP="00BB441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AD29" w14:textId="77777777" w:rsidR="0058303A" w:rsidRDefault="005830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DDBB3" w14:textId="77777777" w:rsidR="0058303A" w:rsidRDefault="005830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624A" w14:textId="77777777" w:rsidR="0058303A" w:rsidRDefault="00583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0590"/>
    <w:multiLevelType w:val="hybridMultilevel"/>
    <w:tmpl w:val="FE2209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15102DD"/>
    <w:multiLevelType w:val="hybridMultilevel"/>
    <w:tmpl w:val="FA94B36E"/>
    <w:lvl w:ilvl="0" w:tplc="DBE68FB4">
      <w:start w:val="1"/>
      <w:numFmt w:val="decimal"/>
      <w:lvlText w:val="%1."/>
      <w:lvlJc w:val="left"/>
      <w:pPr>
        <w:ind w:left="720" w:hanging="360"/>
      </w:pPr>
      <w:rPr>
        <w:rFonts w:hint="default"/>
        <w:b w:val="0"/>
      </w:rPr>
    </w:lvl>
    <w:lvl w:ilvl="1" w:tplc="C4D2513E">
      <w:start w:val="1"/>
      <w:numFmt w:val="lowerRoman"/>
      <w:lvlText w:val="(%2)"/>
      <w:lvlJc w:val="left"/>
      <w:pPr>
        <w:ind w:left="1800" w:hanging="720"/>
      </w:pPr>
      <w:rPr>
        <w:rFonts w:hint="default"/>
      </w:rPr>
    </w:lvl>
    <w:lvl w:ilvl="2" w:tplc="E0082A70">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86CAE"/>
    <w:multiLevelType w:val="hybridMultilevel"/>
    <w:tmpl w:val="25BE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0282A"/>
    <w:multiLevelType w:val="hybridMultilevel"/>
    <w:tmpl w:val="00CE3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nl-NL" w:vendorID="64" w:dllVersion="131078" w:nlCheck="1" w:checkStyle="0"/>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CDB9468-DBE2-4DC3-BBD8-CD91B1F087D2"/>
    <w:docVar w:name="LW_COVERPAGE_TYPE" w:val="1"/>
    <w:docVar w:name="LW_CROSSREFERENCE" w:val="&lt;UNUSED&gt;"/>
    <w:docVar w:name="LW_DocType" w:val="NORMAL"/>
    <w:docVar w:name="LW_EMISSION" w:val="23.11.2021"/>
    <w:docVar w:name="LW_EMISSION_ISODATE" w:val="2021-11-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7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Regulation (EU) 2021/821 setting up a Union regime for the control of exports, brokering, technical assistance, transit and transfer of dual-use items"/>
    <w:docVar w:name="LW_TYPE.DOC.CP" w:val="REPORT FROM THE COMMISSION TO THE EUROPEAN PARLIAMENT AND THE COUNCIL"/>
    <w:docVar w:name="LwApiVersions" w:val="LW4CoDe 1.23.1.0; LW 8.0, Build 20210728"/>
  </w:docVars>
  <w:rsids>
    <w:rsidRoot w:val="00AA655D"/>
    <w:rsid w:val="00000409"/>
    <w:rsid w:val="0000201D"/>
    <w:rsid w:val="000034FA"/>
    <w:rsid w:val="00004457"/>
    <w:rsid w:val="00005F6B"/>
    <w:rsid w:val="00006472"/>
    <w:rsid w:val="000071E0"/>
    <w:rsid w:val="00007241"/>
    <w:rsid w:val="000076EC"/>
    <w:rsid w:val="00007861"/>
    <w:rsid w:val="00010CA8"/>
    <w:rsid w:val="00010D89"/>
    <w:rsid w:val="00011C4B"/>
    <w:rsid w:val="00011D3D"/>
    <w:rsid w:val="000121E4"/>
    <w:rsid w:val="00012299"/>
    <w:rsid w:val="00012F0F"/>
    <w:rsid w:val="00013121"/>
    <w:rsid w:val="00013313"/>
    <w:rsid w:val="00013BDE"/>
    <w:rsid w:val="00014570"/>
    <w:rsid w:val="00014664"/>
    <w:rsid w:val="000156A3"/>
    <w:rsid w:val="00015884"/>
    <w:rsid w:val="000167C6"/>
    <w:rsid w:val="0001708D"/>
    <w:rsid w:val="000176B5"/>
    <w:rsid w:val="000178EB"/>
    <w:rsid w:val="00017CBC"/>
    <w:rsid w:val="00017D01"/>
    <w:rsid w:val="00022DA0"/>
    <w:rsid w:val="00022F0B"/>
    <w:rsid w:val="00023304"/>
    <w:rsid w:val="0002384C"/>
    <w:rsid w:val="00026108"/>
    <w:rsid w:val="00026608"/>
    <w:rsid w:val="00027B94"/>
    <w:rsid w:val="00030733"/>
    <w:rsid w:val="00030750"/>
    <w:rsid w:val="0003080F"/>
    <w:rsid w:val="000314C5"/>
    <w:rsid w:val="0003349F"/>
    <w:rsid w:val="0003382D"/>
    <w:rsid w:val="00033EB3"/>
    <w:rsid w:val="000346C4"/>
    <w:rsid w:val="00034951"/>
    <w:rsid w:val="0003547C"/>
    <w:rsid w:val="00035E2B"/>
    <w:rsid w:val="00035EDD"/>
    <w:rsid w:val="00040526"/>
    <w:rsid w:val="000407F7"/>
    <w:rsid w:val="000415B7"/>
    <w:rsid w:val="00042D5B"/>
    <w:rsid w:val="00043C54"/>
    <w:rsid w:val="00047334"/>
    <w:rsid w:val="00047D49"/>
    <w:rsid w:val="000513F2"/>
    <w:rsid w:val="00051C52"/>
    <w:rsid w:val="00052A74"/>
    <w:rsid w:val="000530A4"/>
    <w:rsid w:val="00054288"/>
    <w:rsid w:val="00054321"/>
    <w:rsid w:val="000544D4"/>
    <w:rsid w:val="000547AF"/>
    <w:rsid w:val="00054AD2"/>
    <w:rsid w:val="00054F12"/>
    <w:rsid w:val="000550A2"/>
    <w:rsid w:val="0005532D"/>
    <w:rsid w:val="00055673"/>
    <w:rsid w:val="00057FE8"/>
    <w:rsid w:val="00060DF7"/>
    <w:rsid w:val="00064AF4"/>
    <w:rsid w:val="00065581"/>
    <w:rsid w:val="0006615F"/>
    <w:rsid w:val="00067952"/>
    <w:rsid w:val="000718E3"/>
    <w:rsid w:val="00073A06"/>
    <w:rsid w:val="00074391"/>
    <w:rsid w:val="00076330"/>
    <w:rsid w:val="0007661B"/>
    <w:rsid w:val="00076F8C"/>
    <w:rsid w:val="0007787D"/>
    <w:rsid w:val="0008080B"/>
    <w:rsid w:val="00080DF6"/>
    <w:rsid w:val="0008167E"/>
    <w:rsid w:val="0008168C"/>
    <w:rsid w:val="00083492"/>
    <w:rsid w:val="00083694"/>
    <w:rsid w:val="00083743"/>
    <w:rsid w:val="00083D4B"/>
    <w:rsid w:val="00083EB9"/>
    <w:rsid w:val="00086411"/>
    <w:rsid w:val="00087025"/>
    <w:rsid w:val="0008757B"/>
    <w:rsid w:val="0009048E"/>
    <w:rsid w:val="00090E7F"/>
    <w:rsid w:val="00091234"/>
    <w:rsid w:val="00091458"/>
    <w:rsid w:val="000929DB"/>
    <w:rsid w:val="00092E32"/>
    <w:rsid w:val="00093430"/>
    <w:rsid w:val="000937B1"/>
    <w:rsid w:val="00094DDE"/>
    <w:rsid w:val="0009560B"/>
    <w:rsid w:val="00095A62"/>
    <w:rsid w:val="00095D06"/>
    <w:rsid w:val="0009631C"/>
    <w:rsid w:val="00096EE9"/>
    <w:rsid w:val="00096FE0"/>
    <w:rsid w:val="00097967"/>
    <w:rsid w:val="00097D47"/>
    <w:rsid w:val="00097E67"/>
    <w:rsid w:val="00097F64"/>
    <w:rsid w:val="000A0B8C"/>
    <w:rsid w:val="000A0C50"/>
    <w:rsid w:val="000A18C0"/>
    <w:rsid w:val="000A2811"/>
    <w:rsid w:val="000A3719"/>
    <w:rsid w:val="000A3ACE"/>
    <w:rsid w:val="000A3DC8"/>
    <w:rsid w:val="000A5022"/>
    <w:rsid w:val="000A50FE"/>
    <w:rsid w:val="000A55A5"/>
    <w:rsid w:val="000A6B90"/>
    <w:rsid w:val="000A7C12"/>
    <w:rsid w:val="000B069F"/>
    <w:rsid w:val="000B0953"/>
    <w:rsid w:val="000B0A06"/>
    <w:rsid w:val="000B0EFB"/>
    <w:rsid w:val="000B1502"/>
    <w:rsid w:val="000B1568"/>
    <w:rsid w:val="000B2195"/>
    <w:rsid w:val="000B27C7"/>
    <w:rsid w:val="000B2FF2"/>
    <w:rsid w:val="000B3895"/>
    <w:rsid w:val="000B4C05"/>
    <w:rsid w:val="000B51D5"/>
    <w:rsid w:val="000B6116"/>
    <w:rsid w:val="000B76AC"/>
    <w:rsid w:val="000B7BC7"/>
    <w:rsid w:val="000C04F3"/>
    <w:rsid w:val="000C0796"/>
    <w:rsid w:val="000C147E"/>
    <w:rsid w:val="000C263D"/>
    <w:rsid w:val="000C3481"/>
    <w:rsid w:val="000C400B"/>
    <w:rsid w:val="000C54B6"/>
    <w:rsid w:val="000C6D97"/>
    <w:rsid w:val="000C7038"/>
    <w:rsid w:val="000C710B"/>
    <w:rsid w:val="000C734C"/>
    <w:rsid w:val="000C75D8"/>
    <w:rsid w:val="000D02BB"/>
    <w:rsid w:val="000D0C8B"/>
    <w:rsid w:val="000D0D04"/>
    <w:rsid w:val="000D1495"/>
    <w:rsid w:val="000D232B"/>
    <w:rsid w:val="000D279C"/>
    <w:rsid w:val="000D2852"/>
    <w:rsid w:val="000D2B1C"/>
    <w:rsid w:val="000D3FF7"/>
    <w:rsid w:val="000D4593"/>
    <w:rsid w:val="000D489D"/>
    <w:rsid w:val="000D4A4F"/>
    <w:rsid w:val="000D4B29"/>
    <w:rsid w:val="000D52BC"/>
    <w:rsid w:val="000D5350"/>
    <w:rsid w:val="000D5AF9"/>
    <w:rsid w:val="000D6A32"/>
    <w:rsid w:val="000D707F"/>
    <w:rsid w:val="000D77E3"/>
    <w:rsid w:val="000D7BCA"/>
    <w:rsid w:val="000E03EC"/>
    <w:rsid w:val="000E188C"/>
    <w:rsid w:val="000E29A7"/>
    <w:rsid w:val="000E3007"/>
    <w:rsid w:val="000E3270"/>
    <w:rsid w:val="000E3288"/>
    <w:rsid w:val="000E37FC"/>
    <w:rsid w:val="000E3B93"/>
    <w:rsid w:val="000E56DD"/>
    <w:rsid w:val="000E58EB"/>
    <w:rsid w:val="000E6330"/>
    <w:rsid w:val="000E7200"/>
    <w:rsid w:val="000E76E5"/>
    <w:rsid w:val="000F0211"/>
    <w:rsid w:val="000F2637"/>
    <w:rsid w:val="000F492F"/>
    <w:rsid w:val="000F6B7A"/>
    <w:rsid w:val="000F6E3F"/>
    <w:rsid w:val="000F7039"/>
    <w:rsid w:val="00100A21"/>
    <w:rsid w:val="00100B7A"/>
    <w:rsid w:val="00101530"/>
    <w:rsid w:val="001026B1"/>
    <w:rsid w:val="001033A4"/>
    <w:rsid w:val="00103991"/>
    <w:rsid w:val="001048B8"/>
    <w:rsid w:val="001051B9"/>
    <w:rsid w:val="001058B1"/>
    <w:rsid w:val="00107059"/>
    <w:rsid w:val="00107237"/>
    <w:rsid w:val="00107481"/>
    <w:rsid w:val="00107865"/>
    <w:rsid w:val="001117F9"/>
    <w:rsid w:val="00111BB3"/>
    <w:rsid w:val="00112073"/>
    <w:rsid w:val="00112A5B"/>
    <w:rsid w:val="00113143"/>
    <w:rsid w:val="00113855"/>
    <w:rsid w:val="0011475D"/>
    <w:rsid w:val="00115F25"/>
    <w:rsid w:val="0011694C"/>
    <w:rsid w:val="00116EA1"/>
    <w:rsid w:val="00117510"/>
    <w:rsid w:val="00117B58"/>
    <w:rsid w:val="001207A5"/>
    <w:rsid w:val="00120AD0"/>
    <w:rsid w:val="001212A0"/>
    <w:rsid w:val="001217C4"/>
    <w:rsid w:val="00122114"/>
    <w:rsid w:val="00122271"/>
    <w:rsid w:val="0012309F"/>
    <w:rsid w:val="0012414D"/>
    <w:rsid w:val="00124CCA"/>
    <w:rsid w:val="00125F96"/>
    <w:rsid w:val="00127795"/>
    <w:rsid w:val="00127D4A"/>
    <w:rsid w:val="00127D75"/>
    <w:rsid w:val="00130E64"/>
    <w:rsid w:val="0013140C"/>
    <w:rsid w:val="00131AAB"/>
    <w:rsid w:val="00131F95"/>
    <w:rsid w:val="00132DF5"/>
    <w:rsid w:val="00132E0D"/>
    <w:rsid w:val="001339D4"/>
    <w:rsid w:val="0013537D"/>
    <w:rsid w:val="0013543E"/>
    <w:rsid w:val="001359F8"/>
    <w:rsid w:val="00136479"/>
    <w:rsid w:val="001372A7"/>
    <w:rsid w:val="00137CE3"/>
    <w:rsid w:val="00140982"/>
    <w:rsid w:val="00140A51"/>
    <w:rsid w:val="00140DFC"/>
    <w:rsid w:val="001415F3"/>
    <w:rsid w:val="001419AE"/>
    <w:rsid w:val="00141AAF"/>
    <w:rsid w:val="00141B65"/>
    <w:rsid w:val="00142F06"/>
    <w:rsid w:val="0014319A"/>
    <w:rsid w:val="00143435"/>
    <w:rsid w:val="0014379D"/>
    <w:rsid w:val="001444FB"/>
    <w:rsid w:val="00144FB7"/>
    <w:rsid w:val="001453E7"/>
    <w:rsid w:val="0014584E"/>
    <w:rsid w:val="00145C69"/>
    <w:rsid w:val="00146949"/>
    <w:rsid w:val="0014741F"/>
    <w:rsid w:val="00147C7F"/>
    <w:rsid w:val="0015019A"/>
    <w:rsid w:val="00150BC1"/>
    <w:rsid w:val="00152469"/>
    <w:rsid w:val="0015257D"/>
    <w:rsid w:val="00152B30"/>
    <w:rsid w:val="00153DE8"/>
    <w:rsid w:val="001545E6"/>
    <w:rsid w:val="00154E13"/>
    <w:rsid w:val="001550C7"/>
    <w:rsid w:val="001552ED"/>
    <w:rsid w:val="001554F6"/>
    <w:rsid w:val="00155A4A"/>
    <w:rsid w:val="00155CC4"/>
    <w:rsid w:val="00156187"/>
    <w:rsid w:val="0015663F"/>
    <w:rsid w:val="00157B7C"/>
    <w:rsid w:val="001606B0"/>
    <w:rsid w:val="00160E21"/>
    <w:rsid w:val="00161E18"/>
    <w:rsid w:val="00164B21"/>
    <w:rsid w:val="00167413"/>
    <w:rsid w:val="00167AB9"/>
    <w:rsid w:val="0017006B"/>
    <w:rsid w:val="00170308"/>
    <w:rsid w:val="00170671"/>
    <w:rsid w:val="00171266"/>
    <w:rsid w:val="00173126"/>
    <w:rsid w:val="001731FB"/>
    <w:rsid w:val="00173578"/>
    <w:rsid w:val="00174055"/>
    <w:rsid w:val="00174218"/>
    <w:rsid w:val="0017474D"/>
    <w:rsid w:val="00175F93"/>
    <w:rsid w:val="001762AB"/>
    <w:rsid w:val="00176477"/>
    <w:rsid w:val="00177003"/>
    <w:rsid w:val="001774C3"/>
    <w:rsid w:val="00177857"/>
    <w:rsid w:val="00177D30"/>
    <w:rsid w:val="001800A3"/>
    <w:rsid w:val="0018017C"/>
    <w:rsid w:val="001817D4"/>
    <w:rsid w:val="00181B99"/>
    <w:rsid w:val="00182872"/>
    <w:rsid w:val="001829DA"/>
    <w:rsid w:val="00182A49"/>
    <w:rsid w:val="00183266"/>
    <w:rsid w:val="0018336B"/>
    <w:rsid w:val="00183A77"/>
    <w:rsid w:val="0018436D"/>
    <w:rsid w:val="0018453B"/>
    <w:rsid w:val="001860B5"/>
    <w:rsid w:val="00186635"/>
    <w:rsid w:val="00186FAE"/>
    <w:rsid w:val="0019025D"/>
    <w:rsid w:val="0019049D"/>
    <w:rsid w:val="001904D4"/>
    <w:rsid w:val="00190C6F"/>
    <w:rsid w:val="00191C6C"/>
    <w:rsid w:val="00191ED0"/>
    <w:rsid w:val="001923C1"/>
    <w:rsid w:val="00192872"/>
    <w:rsid w:val="00193BF5"/>
    <w:rsid w:val="00195829"/>
    <w:rsid w:val="001959CD"/>
    <w:rsid w:val="00196490"/>
    <w:rsid w:val="00196F27"/>
    <w:rsid w:val="001972E4"/>
    <w:rsid w:val="001975ED"/>
    <w:rsid w:val="00197B41"/>
    <w:rsid w:val="001A1083"/>
    <w:rsid w:val="001A1366"/>
    <w:rsid w:val="001A180C"/>
    <w:rsid w:val="001A3D86"/>
    <w:rsid w:val="001A3ED0"/>
    <w:rsid w:val="001A480A"/>
    <w:rsid w:val="001A4E8D"/>
    <w:rsid w:val="001A4FC3"/>
    <w:rsid w:val="001A5631"/>
    <w:rsid w:val="001A5B2F"/>
    <w:rsid w:val="001A69FE"/>
    <w:rsid w:val="001A6A88"/>
    <w:rsid w:val="001A6B2B"/>
    <w:rsid w:val="001A6EE6"/>
    <w:rsid w:val="001B17A6"/>
    <w:rsid w:val="001B210C"/>
    <w:rsid w:val="001B4909"/>
    <w:rsid w:val="001B5C4A"/>
    <w:rsid w:val="001B5CEA"/>
    <w:rsid w:val="001B6A48"/>
    <w:rsid w:val="001B6D6A"/>
    <w:rsid w:val="001B6E18"/>
    <w:rsid w:val="001C06E1"/>
    <w:rsid w:val="001C0982"/>
    <w:rsid w:val="001C0D1A"/>
    <w:rsid w:val="001C0ED6"/>
    <w:rsid w:val="001C1EB7"/>
    <w:rsid w:val="001C2371"/>
    <w:rsid w:val="001C2E89"/>
    <w:rsid w:val="001C5FC1"/>
    <w:rsid w:val="001C6EDA"/>
    <w:rsid w:val="001C7627"/>
    <w:rsid w:val="001C7966"/>
    <w:rsid w:val="001C7EC7"/>
    <w:rsid w:val="001D0C62"/>
    <w:rsid w:val="001D0F73"/>
    <w:rsid w:val="001D1741"/>
    <w:rsid w:val="001D1803"/>
    <w:rsid w:val="001D2259"/>
    <w:rsid w:val="001D236A"/>
    <w:rsid w:val="001D36C3"/>
    <w:rsid w:val="001D4122"/>
    <w:rsid w:val="001D434A"/>
    <w:rsid w:val="001D572A"/>
    <w:rsid w:val="001D60DB"/>
    <w:rsid w:val="001D6A13"/>
    <w:rsid w:val="001D6C4E"/>
    <w:rsid w:val="001D6D14"/>
    <w:rsid w:val="001D7322"/>
    <w:rsid w:val="001D7BB5"/>
    <w:rsid w:val="001E0148"/>
    <w:rsid w:val="001E0B06"/>
    <w:rsid w:val="001E1F44"/>
    <w:rsid w:val="001E230D"/>
    <w:rsid w:val="001E2B2D"/>
    <w:rsid w:val="001E39EF"/>
    <w:rsid w:val="001E490C"/>
    <w:rsid w:val="001E4A83"/>
    <w:rsid w:val="001E4EF3"/>
    <w:rsid w:val="001E4F89"/>
    <w:rsid w:val="001E5167"/>
    <w:rsid w:val="001E6478"/>
    <w:rsid w:val="001E68DB"/>
    <w:rsid w:val="001E7E52"/>
    <w:rsid w:val="001F169C"/>
    <w:rsid w:val="001F1F0C"/>
    <w:rsid w:val="001F1F17"/>
    <w:rsid w:val="001F2CD7"/>
    <w:rsid w:val="001F3373"/>
    <w:rsid w:val="001F33E3"/>
    <w:rsid w:val="001F362A"/>
    <w:rsid w:val="001F4483"/>
    <w:rsid w:val="001F48F2"/>
    <w:rsid w:val="001F5B2B"/>
    <w:rsid w:val="001F60B4"/>
    <w:rsid w:val="001F6214"/>
    <w:rsid w:val="001F6C99"/>
    <w:rsid w:val="001F7303"/>
    <w:rsid w:val="001F7A22"/>
    <w:rsid w:val="0020055A"/>
    <w:rsid w:val="00200A52"/>
    <w:rsid w:val="0020139A"/>
    <w:rsid w:val="00201F7D"/>
    <w:rsid w:val="00202FCE"/>
    <w:rsid w:val="00203600"/>
    <w:rsid w:val="002042E4"/>
    <w:rsid w:val="00204755"/>
    <w:rsid w:val="002053A7"/>
    <w:rsid w:val="00205675"/>
    <w:rsid w:val="00205E48"/>
    <w:rsid w:val="002060D5"/>
    <w:rsid w:val="00206BD8"/>
    <w:rsid w:val="002112CF"/>
    <w:rsid w:val="00212A2D"/>
    <w:rsid w:val="0021395F"/>
    <w:rsid w:val="00213EE7"/>
    <w:rsid w:val="00214406"/>
    <w:rsid w:val="00214D80"/>
    <w:rsid w:val="002150CE"/>
    <w:rsid w:val="00215684"/>
    <w:rsid w:val="00215A7E"/>
    <w:rsid w:val="00215E28"/>
    <w:rsid w:val="00220345"/>
    <w:rsid w:val="002208F3"/>
    <w:rsid w:val="002214E6"/>
    <w:rsid w:val="00221BEE"/>
    <w:rsid w:val="002221F6"/>
    <w:rsid w:val="002229C3"/>
    <w:rsid w:val="00222D5F"/>
    <w:rsid w:val="00224540"/>
    <w:rsid w:val="002248D4"/>
    <w:rsid w:val="00225257"/>
    <w:rsid w:val="00225873"/>
    <w:rsid w:val="00225A71"/>
    <w:rsid w:val="002266DF"/>
    <w:rsid w:val="00226CAB"/>
    <w:rsid w:val="002274A1"/>
    <w:rsid w:val="002276B1"/>
    <w:rsid w:val="002279C3"/>
    <w:rsid w:val="00230B9A"/>
    <w:rsid w:val="00230C53"/>
    <w:rsid w:val="00231A1E"/>
    <w:rsid w:val="00231CD9"/>
    <w:rsid w:val="00231F8D"/>
    <w:rsid w:val="002323E5"/>
    <w:rsid w:val="00232D36"/>
    <w:rsid w:val="00233A69"/>
    <w:rsid w:val="00234AE6"/>
    <w:rsid w:val="002361AB"/>
    <w:rsid w:val="002363C9"/>
    <w:rsid w:val="00236787"/>
    <w:rsid w:val="00237049"/>
    <w:rsid w:val="002373A0"/>
    <w:rsid w:val="002379FC"/>
    <w:rsid w:val="0024081F"/>
    <w:rsid w:val="002408A4"/>
    <w:rsid w:val="00240B01"/>
    <w:rsid w:val="002422D8"/>
    <w:rsid w:val="0024272C"/>
    <w:rsid w:val="0024291D"/>
    <w:rsid w:val="00242C3E"/>
    <w:rsid w:val="00243E82"/>
    <w:rsid w:val="002445E4"/>
    <w:rsid w:val="00244C26"/>
    <w:rsid w:val="002451BC"/>
    <w:rsid w:val="00246A4D"/>
    <w:rsid w:val="002500DF"/>
    <w:rsid w:val="00250EFE"/>
    <w:rsid w:val="00251068"/>
    <w:rsid w:val="00251D16"/>
    <w:rsid w:val="00252160"/>
    <w:rsid w:val="0025223C"/>
    <w:rsid w:val="00252607"/>
    <w:rsid w:val="002541AC"/>
    <w:rsid w:val="0025465A"/>
    <w:rsid w:val="00254CD2"/>
    <w:rsid w:val="0025503C"/>
    <w:rsid w:val="002569B4"/>
    <w:rsid w:val="002569EF"/>
    <w:rsid w:val="00256AC0"/>
    <w:rsid w:val="002570D5"/>
    <w:rsid w:val="00260497"/>
    <w:rsid w:val="00260A62"/>
    <w:rsid w:val="002617B2"/>
    <w:rsid w:val="00261B3D"/>
    <w:rsid w:val="00261D67"/>
    <w:rsid w:val="00261DE1"/>
    <w:rsid w:val="00262744"/>
    <w:rsid w:val="00263A11"/>
    <w:rsid w:val="00263C9B"/>
    <w:rsid w:val="00263E9A"/>
    <w:rsid w:val="00264107"/>
    <w:rsid w:val="00264613"/>
    <w:rsid w:val="00264A38"/>
    <w:rsid w:val="00264D1E"/>
    <w:rsid w:val="00265548"/>
    <w:rsid w:val="00265AAC"/>
    <w:rsid w:val="00265C96"/>
    <w:rsid w:val="00265ECA"/>
    <w:rsid w:val="002666FC"/>
    <w:rsid w:val="00266BEE"/>
    <w:rsid w:val="00266F2B"/>
    <w:rsid w:val="002671EF"/>
    <w:rsid w:val="00270706"/>
    <w:rsid w:val="00271200"/>
    <w:rsid w:val="0027166B"/>
    <w:rsid w:val="002719B8"/>
    <w:rsid w:val="00271E06"/>
    <w:rsid w:val="00272415"/>
    <w:rsid w:val="002727D3"/>
    <w:rsid w:val="00272AC1"/>
    <w:rsid w:val="00273296"/>
    <w:rsid w:val="00274314"/>
    <w:rsid w:val="0027453B"/>
    <w:rsid w:val="00276E96"/>
    <w:rsid w:val="00277234"/>
    <w:rsid w:val="0027729A"/>
    <w:rsid w:val="00277A08"/>
    <w:rsid w:val="00280955"/>
    <w:rsid w:val="002810BB"/>
    <w:rsid w:val="0028113B"/>
    <w:rsid w:val="0028246A"/>
    <w:rsid w:val="00282567"/>
    <w:rsid w:val="00283548"/>
    <w:rsid w:val="00284547"/>
    <w:rsid w:val="00284D25"/>
    <w:rsid w:val="00284D35"/>
    <w:rsid w:val="00285D5E"/>
    <w:rsid w:val="00286217"/>
    <w:rsid w:val="00286757"/>
    <w:rsid w:val="00287405"/>
    <w:rsid w:val="00287572"/>
    <w:rsid w:val="00287C18"/>
    <w:rsid w:val="002902C7"/>
    <w:rsid w:val="0029060B"/>
    <w:rsid w:val="00290850"/>
    <w:rsid w:val="00290957"/>
    <w:rsid w:val="002909C9"/>
    <w:rsid w:val="00291076"/>
    <w:rsid w:val="002915E4"/>
    <w:rsid w:val="0029195F"/>
    <w:rsid w:val="00292C54"/>
    <w:rsid w:val="00292CF8"/>
    <w:rsid w:val="00293000"/>
    <w:rsid w:val="00293277"/>
    <w:rsid w:val="00293385"/>
    <w:rsid w:val="002935AB"/>
    <w:rsid w:val="0029395C"/>
    <w:rsid w:val="00293B19"/>
    <w:rsid w:val="002940B7"/>
    <w:rsid w:val="0029480B"/>
    <w:rsid w:val="00294D3E"/>
    <w:rsid w:val="00295EAD"/>
    <w:rsid w:val="002962F2"/>
    <w:rsid w:val="002965B9"/>
    <w:rsid w:val="00296C46"/>
    <w:rsid w:val="00296CF8"/>
    <w:rsid w:val="00297054"/>
    <w:rsid w:val="00297D57"/>
    <w:rsid w:val="002A014D"/>
    <w:rsid w:val="002A06B7"/>
    <w:rsid w:val="002A269D"/>
    <w:rsid w:val="002A2D8F"/>
    <w:rsid w:val="002A3114"/>
    <w:rsid w:val="002A3D6B"/>
    <w:rsid w:val="002A476A"/>
    <w:rsid w:val="002A4E9E"/>
    <w:rsid w:val="002A4EB8"/>
    <w:rsid w:val="002A517C"/>
    <w:rsid w:val="002A55FC"/>
    <w:rsid w:val="002A65A5"/>
    <w:rsid w:val="002A68F8"/>
    <w:rsid w:val="002A7361"/>
    <w:rsid w:val="002A74FA"/>
    <w:rsid w:val="002A75CB"/>
    <w:rsid w:val="002A7DA3"/>
    <w:rsid w:val="002A7F00"/>
    <w:rsid w:val="002B00D3"/>
    <w:rsid w:val="002B17E4"/>
    <w:rsid w:val="002B2B95"/>
    <w:rsid w:val="002B2D67"/>
    <w:rsid w:val="002B3BEC"/>
    <w:rsid w:val="002B7550"/>
    <w:rsid w:val="002B77DE"/>
    <w:rsid w:val="002B79F2"/>
    <w:rsid w:val="002C0F63"/>
    <w:rsid w:val="002C1EE2"/>
    <w:rsid w:val="002C26BF"/>
    <w:rsid w:val="002C362E"/>
    <w:rsid w:val="002C41B9"/>
    <w:rsid w:val="002C51D0"/>
    <w:rsid w:val="002C6022"/>
    <w:rsid w:val="002D01E5"/>
    <w:rsid w:val="002D0A45"/>
    <w:rsid w:val="002D1038"/>
    <w:rsid w:val="002D1395"/>
    <w:rsid w:val="002D17F0"/>
    <w:rsid w:val="002D30D1"/>
    <w:rsid w:val="002D3775"/>
    <w:rsid w:val="002D413F"/>
    <w:rsid w:val="002D51AB"/>
    <w:rsid w:val="002D5A0E"/>
    <w:rsid w:val="002D5BCC"/>
    <w:rsid w:val="002D6A2C"/>
    <w:rsid w:val="002D7AC4"/>
    <w:rsid w:val="002D7B5F"/>
    <w:rsid w:val="002E0141"/>
    <w:rsid w:val="002E0648"/>
    <w:rsid w:val="002E0803"/>
    <w:rsid w:val="002E2673"/>
    <w:rsid w:val="002E3CE4"/>
    <w:rsid w:val="002E4C52"/>
    <w:rsid w:val="002E6AAD"/>
    <w:rsid w:val="002E6DEB"/>
    <w:rsid w:val="002E752F"/>
    <w:rsid w:val="002F01D8"/>
    <w:rsid w:val="002F15BF"/>
    <w:rsid w:val="002F1C45"/>
    <w:rsid w:val="002F2B11"/>
    <w:rsid w:val="002F3E7F"/>
    <w:rsid w:val="002F3F32"/>
    <w:rsid w:val="002F4AC0"/>
    <w:rsid w:val="002F4F7D"/>
    <w:rsid w:val="002F5E15"/>
    <w:rsid w:val="002F6EE5"/>
    <w:rsid w:val="002F6F78"/>
    <w:rsid w:val="002F7DE6"/>
    <w:rsid w:val="002F7E52"/>
    <w:rsid w:val="002F7FBF"/>
    <w:rsid w:val="003003A5"/>
    <w:rsid w:val="003026BE"/>
    <w:rsid w:val="00303368"/>
    <w:rsid w:val="003033E7"/>
    <w:rsid w:val="0030355D"/>
    <w:rsid w:val="0030375D"/>
    <w:rsid w:val="003044FB"/>
    <w:rsid w:val="003049ED"/>
    <w:rsid w:val="00306372"/>
    <w:rsid w:val="00306FA6"/>
    <w:rsid w:val="003075C2"/>
    <w:rsid w:val="00307CAE"/>
    <w:rsid w:val="00310390"/>
    <w:rsid w:val="00310E0B"/>
    <w:rsid w:val="00311DA1"/>
    <w:rsid w:val="003120DB"/>
    <w:rsid w:val="003125B2"/>
    <w:rsid w:val="003126E4"/>
    <w:rsid w:val="00312BEE"/>
    <w:rsid w:val="00313B11"/>
    <w:rsid w:val="00313B3E"/>
    <w:rsid w:val="00314EC5"/>
    <w:rsid w:val="00316D9E"/>
    <w:rsid w:val="003174B6"/>
    <w:rsid w:val="00317A24"/>
    <w:rsid w:val="00317E8B"/>
    <w:rsid w:val="00320077"/>
    <w:rsid w:val="003204CD"/>
    <w:rsid w:val="0032223A"/>
    <w:rsid w:val="00322283"/>
    <w:rsid w:val="0032237D"/>
    <w:rsid w:val="00322781"/>
    <w:rsid w:val="003234AD"/>
    <w:rsid w:val="003235C7"/>
    <w:rsid w:val="003245B9"/>
    <w:rsid w:val="00324CCB"/>
    <w:rsid w:val="00324EFF"/>
    <w:rsid w:val="00325645"/>
    <w:rsid w:val="00326187"/>
    <w:rsid w:val="00326483"/>
    <w:rsid w:val="0032698B"/>
    <w:rsid w:val="00326E86"/>
    <w:rsid w:val="00326FEA"/>
    <w:rsid w:val="00327A23"/>
    <w:rsid w:val="00327B37"/>
    <w:rsid w:val="003309DA"/>
    <w:rsid w:val="00331BC3"/>
    <w:rsid w:val="00332484"/>
    <w:rsid w:val="00334471"/>
    <w:rsid w:val="00335043"/>
    <w:rsid w:val="003352D5"/>
    <w:rsid w:val="003375B6"/>
    <w:rsid w:val="00337BAB"/>
    <w:rsid w:val="00340523"/>
    <w:rsid w:val="00341FEE"/>
    <w:rsid w:val="003425A8"/>
    <w:rsid w:val="00343891"/>
    <w:rsid w:val="003444B0"/>
    <w:rsid w:val="00344D85"/>
    <w:rsid w:val="0034525E"/>
    <w:rsid w:val="00345495"/>
    <w:rsid w:val="0034585F"/>
    <w:rsid w:val="00345C7E"/>
    <w:rsid w:val="00345D29"/>
    <w:rsid w:val="003467C4"/>
    <w:rsid w:val="00346F3C"/>
    <w:rsid w:val="003472B6"/>
    <w:rsid w:val="003478B9"/>
    <w:rsid w:val="00350C83"/>
    <w:rsid w:val="003517C9"/>
    <w:rsid w:val="00351C17"/>
    <w:rsid w:val="003534B0"/>
    <w:rsid w:val="003538C4"/>
    <w:rsid w:val="00355959"/>
    <w:rsid w:val="0035624E"/>
    <w:rsid w:val="00357002"/>
    <w:rsid w:val="0035772F"/>
    <w:rsid w:val="00360232"/>
    <w:rsid w:val="003606C3"/>
    <w:rsid w:val="003613D1"/>
    <w:rsid w:val="003615F5"/>
    <w:rsid w:val="0036160B"/>
    <w:rsid w:val="003627FB"/>
    <w:rsid w:val="00362C65"/>
    <w:rsid w:val="0036359B"/>
    <w:rsid w:val="00364905"/>
    <w:rsid w:val="00364F78"/>
    <w:rsid w:val="00365C14"/>
    <w:rsid w:val="00367033"/>
    <w:rsid w:val="003673E7"/>
    <w:rsid w:val="003678CD"/>
    <w:rsid w:val="00370052"/>
    <w:rsid w:val="00371E26"/>
    <w:rsid w:val="00372116"/>
    <w:rsid w:val="0037408E"/>
    <w:rsid w:val="003755C8"/>
    <w:rsid w:val="003757CC"/>
    <w:rsid w:val="00375EAF"/>
    <w:rsid w:val="00376241"/>
    <w:rsid w:val="00380594"/>
    <w:rsid w:val="00380EE7"/>
    <w:rsid w:val="003814F7"/>
    <w:rsid w:val="00382027"/>
    <w:rsid w:val="00382665"/>
    <w:rsid w:val="00382A91"/>
    <w:rsid w:val="00382DB3"/>
    <w:rsid w:val="00382E78"/>
    <w:rsid w:val="00383C21"/>
    <w:rsid w:val="00384976"/>
    <w:rsid w:val="00385156"/>
    <w:rsid w:val="0038578F"/>
    <w:rsid w:val="0038590C"/>
    <w:rsid w:val="00385E4D"/>
    <w:rsid w:val="00386074"/>
    <w:rsid w:val="00386FA1"/>
    <w:rsid w:val="00387039"/>
    <w:rsid w:val="00387756"/>
    <w:rsid w:val="00390411"/>
    <w:rsid w:val="00390426"/>
    <w:rsid w:val="0039049F"/>
    <w:rsid w:val="00390AD5"/>
    <w:rsid w:val="0039115C"/>
    <w:rsid w:val="0039193A"/>
    <w:rsid w:val="00392B75"/>
    <w:rsid w:val="00393B4A"/>
    <w:rsid w:val="00394867"/>
    <w:rsid w:val="00394FAF"/>
    <w:rsid w:val="0039645B"/>
    <w:rsid w:val="00396C90"/>
    <w:rsid w:val="003A0061"/>
    <w:rsid w:val="003A01F7"/>
    <w:rsid w:val="003A09BC"/>
    <w:rsid w:val="003A1A3A"/>
    <w:rsid w:val="003A2EAE"/>
    <w:rsid w:val="003A465A"/>
    <w:rsid w:val="003A4994"/>
    <w:rsid w:val="003A4E40"/>
    <w:rsid w:val="003A575B"/>
    <w:rsid w:val="003A5D81"/>
    <w:rsid w:val="003A624C"/>
    <w:rsid w:val="003A6997"/>
    <w:rsid w:val="003A69F3"/>
    <w:rsid w:val="003A6B01"/>
    <w:rsid w:val="003A6BB5"/>
    <w:rsid w:val="003A6F36"/>
    <w:rsid w:val="003A70D8"/>
    <w:rsid w:val="003A7262"/>
    <w:rsid w:val="003A7ECE"/>
    <w:rsid w:val="003B01C0"/>
    <w:rsid w:val="003B04EE"/>
    <w:rsid w:val="003B1019"/>
    <w:rsid w:val="003B18C5"/>
    <w:rsid w:val="003B20BC"/>
    <w:rsid w:val="003B44FC"/>
    <w:rsid w:val="003B470A"/>
    <w:rsid w:val="003B4D77"/>
    <w:rsid w:val="003B5178"/>
    <w:rsid w:val="003B5749"/>
    <w:rsid w:val="003B6F78"/>
    <w:rsid w:val="003B7421"/>
    <w:rsid w:val="003B78F9"/>
    <w:rsid w:val="003C0857"/>
    <w:rsid w:val="003C1178"/>
    <w:rsid w:val="003C1AEB"/>
    <w:rsid w:val="003C2B4A"/>
    <w:rsid w:val="003C37FA"/>
    <w:rsid w:val="003C3C12"/>
    <w:rsid w:val="003C4999"/>
    <w:rsid w:val="003C4E0F"/>
    <w:rsid w:val="003C5F08"/>
    <w:rsid w:val="003C64BA"/>
    <w:rsid w:val="003C6707"/>
    <w:rsid w:val="003C77ED"/>
    <w:rsid w:val="003C7F15"/>
    <w:rsid w:val="003D02B7"/>
    <w:rsid w:val="003D06ED"/>
    <w:rsid w:val="003D297F"/>
    <w:rsid w:val="003D2DF2"/>
    <w:rsid w:val="003D4202"/>
    <w:rsid w:val="003D42E9"/>
    <w:rsid w:val="003D4ED5"/>
    <w:rsid w:val="003D5C42"/>
    <w:rsid w:val="003D5E08"/>
    <w:rsid w:val="003D70A7"/>
    <w:rsid w:val="003D779A"/>
    <w:rsid w:val="003E09E0"/>
    <w:rsid w:val="003E0C13"/>
    <w:rsid w:val="003E1808"/>
    <w:rsid w:val="003E1B61"/>
    <w:rsid w:val="003E23F8"/>
    <w:rsid w:val="003E26E2"/>
    <w:rsid w:val="003E3046"/>
    <w:rsid w:val="003E4353"/>
    <w:rsid w:val="003E54D4"/>
    <w:rsid w:val="003E5AAA"/>
    <w:rsid w:val="003E5D34"/>
    <w:rsid w:val="003E5E50"/>
    <w:rsid w:val="003E6FF0"/>
    <w:rsid w:val="003E78A7"/>
    <w:rsid w:val="003F078F"/>
    <w:rsid w:val="003F0809"/>
    <w:rsid w:val="003F0AEA"/>
    <w:rsid w:val="003F0E22"/>
    <w:rsid w:val="003F1737"/>
    <w:rsid w:val="003F1C04"/>
    <w:rsid w:val="003F21F7"/>
    <w:rsid w:val="003F2B51"/>
    <w:rsid w:val="003F3BCF"/>
    <w:rsid w:val="003F4973"/>
    <w:rsid w:val="003F566B"/>
    <w:rsid w:val="003F5B2C"/>
    <w:rsid w:val="003F634B"/>
    <w:rsid w:val="003F7578"/>
    <w:rsid w:val="003F7804"/>
    <w:rsid w:val="003F78DE"/>
    <w:rsid w:val="004006C6"/>
    <w:rsid w:val="00400E4B"/>
    <w:rsid w:val="004025DD"/>
    <w:rsid w:val="00403A4A"/>
    <w:rsid w:val="00405B66"/>
    <w:rsid w:val="00406FDC"/>
    <w:rsid w:val="004071E9"/>
    <w:rsid w:val="004072D3"/>
    <w:rsid w:val="0041057C"/>
    <w:rsid w:val="00410C73"/>
    <w:rsid w:val="00411187"/>
    <w:rsid w:val="004114A0"/>
    <w:rsid w:val="00411A0B"/>
    <w:rsid w:val="00411D5C"/>
    <w:rsid w:val="00412179"/>
    <w:rsid w:val="00413FC4"/>
    <w:rsid w:val="004141C2"/>
    <w:rsid w:val="004154F3"/>
    <w:rsid w:val="004156B9"/>
    <w:rsid w:val="00415775"/>
    <w:rsid w:val="0041621F"/>
    <w:rsid w:val="004170FB"/>
    <w:rsid w:val="004171E4"/>
    <w:rsid w:val="00417C25"/>
    <w:rsid w:val="004216C2"/>
    <w:rsid w:val="00422605"/>
    <w:rsid w:val="00422FE1"/>
    <w:rsid w:val="0042313F"/>
    <w:rsid w:val="00424575"/>
    <w:rsid w:val="004249C6"/>
    <w:rsid w:val="0042592A"/>
    <w:rsid w:val="00426E75"/>
    <w:rsid w:val="0042709F"/>
    <w:rsid w:val="004279FD"/>
    <w:rsid w:val="00430041"/>
    <w:rsid w:val="00430274"/>
    <w:rsid w:val="00430BC7"/>
    <w:rsid w:val="0043148C"/>
    <w:rsid w:val="00432263"/>
    <w:rsid w:val="004322D1"/>
    <w:rsid w:val="00433877"/>
    <w:rsid w:val="00435253"/>
    <w:rsid w:val="00435B93"/>
    <w:rsid w:val="00436E1B"/>
    <w:rsid w:val="00436F11"/>
    <w:rsid w:val="00437AE4"/>
    <w:rsid w:val="00437BD3"/>
    <w:rsid w:val="00440F08"/>
    <w:rsid w:val="00441273"/>
    <w:rsid w:val="00441589"/>
    <w:rsid w:val="00441C35"/>
    <w:rsid w:val="00442634"/>
    <w:rsid w:val="004427EC"/>
    <w:rsid w:val="004432C9"/>
    <w:rsid w:val="00443ACA"/>
    <w:rsid w:val="00444839"/>
    <w:rsid w:val="00444C4F"/>
    <w:rsid w:val="00444D3A"/>
    <w:rsid w:val="00446B19"/>
    <w:rsid w:val="00450C7A"/>
    <w:rsid w:val="004512DA"/>
    <w:rsid w:val="004514A2"/>
    <w:rsid w:val="004529D8"/>
    <w:rsid w:val="00452ADB"/>
    <w:rsid w:val="00453174"/>
    <w:rsid w:val="00453B03"/>
    <w:rsid w:val="00453C10"/>
    <w:rsid w:val="00454518"/>
    <w:rsid w:val="0045488A"/>
    <w:rsid w:val="004552C6"/>
    <w:rsid w:val="004558EE"/>
    <w:rsid w:val="004559FB"/>
    <w:rsid w:val="0045648E"/>
    <w:rsid w:val="004574BC"/>
    <w:rsid w:val="00457637"/>
    <w:rsid w:val="004579CD"/>
    <w:rsid w:val="004605E1"/>
    <w:rsid w:val="0046106D"/>
    <w:rsid w:val="004610FD"/>
    <w:rsid w:val="00461DEE"/>
    <w:rsid w:val="00461EF8"/>
    <w:rsid w:val="00462556"/>
    <w:rsid w:val="004655F4"/>
    <w:rsid w:val="00465EC1"/>
    <w:rsid w:val="00465F00"/>
    <w:rsid w:val="004661B1"/>
    <w:rsid w:val="00466C04"/>
    <w:rsid w:val="00467389"/>
    <w:rsid w:val="004712BE"/>
    <w:rsid w:val="00471E32"/>
    <w:rsid w:val="00472D5E"/>
    <w:rsid w:val="00473192"/>
    <w:rsid w:val="0047346D"/>
    <w:rsid w:val="00474229"/>
    <w:rsid w:val="0047521F"/>
    <w:rsid w:val="00476185"/>
    <w:rsid w:val="00476217"/>
    <w:rsid w:val="00476B88"/>
    <w:rsid w:val="00477550"/>
    <w:rsid w:val="004776E1"/>
    <w:rsid w:val="00477B8C"/>
    <w:rsid w:val="0048094F"/>
    <w:rsid w:val="004810C4"/>
    <w:rsid w:val="00481CC9"/>
    <w:rsid w:val="00481E3C"/>
    <w:rsid w:val="00481ECE"/>
    <w:rsid w:val="004834D6"/>
    <w:rsid w:val="00483569"/>
    <w:rsid w:val="00483D44"/>
    <w:rsid w:val="00483DD5"/>
    <w:rsid w:val="00483DFD"/>
    <w:rsid w:val="00483EFD"/>
    <w:rsid w:val="00484F5D"/>
    <w:rsid w:val="00485B92"/>
    <w:rsid w:val="004860D0"/>
    <w:rsid w:val="00486588"/>
    <w:rsid w:val="00486709"/>
    <w:rsid w:val="0048692A"/>
    <w:rsid w:val="00486CC2"/>
    <w:rsid w:val="00490175"/>
    <w:rsid w:val="00490E4B"/>
    <w:rsid w:val="004910F2"/>
    <w:rsid w:val="004911BD"/>
    <w:rsid w:val="00491C94"/>
    <w:rsid w:val="00491E84"/>
    <w:rsid w:val="00491EB6"/>
    <w:rsid w:val="00491EE1"/>
    <w:rsid w:val="00492D32"/>
    <w:rsid w:val="004935B6"/>
    <w:rsid w:val="0049403D"/>
    <w:rsid w:val="00494FC0"/>
    <w:rsid w:val="004950D7"/>
    <w:rsid w:val="0049558B"/>
    <w:rsid w:val="004964EF"/>
    <w:rsid w:val="004A0355"/>
    <w:rsid w:val="004A058B"/>
    <w:rsid w:val="004A06CE"/>
    <w:rsid w:val="004A1C42"/>
    <w:rsid w:val="004A227D"/>
    <w:rsid w:val="004A2355"/>
    <w:rsid w:val="004A25A1"/>
    <w:rsid w:val="004A387C"/>
    <w:rsid w:val="004A3C22"/>
    <w:rsid w:val="004A44A0"/>
    <w:rsid w:val="004A5EB8"/>
    <w:rsid w:val="004A6513"/>
    <w:rsid w:val="004A7548"/>
    <w:rsid w:val="004A7C74"/>
    <w:rsid w:val="004B050E"/>
    <w:rsid w:val="004B07BB"/>
    <w:rsid w:val="004B37C2"/>
    <w:rsid w:val="004B4062"/>
    <w:rsid w:val="004B40B1"/>
    <w:rsid w:val="004B43E2"/>
    <w:rsid w:val="004B54C8"/>
    <w:rsid w:val="004B5A90"/>
    <w:rsid w:val="004B5CAE"/>
    <w:rsid w:val="004B5F85"/>
    <w:rsid w:val="004B653D"/>
    <w:rsid w:val="004B6D28"/>
    <w:rsid w:val="004B70CA"/>
    <w:rsid w:val="004B739F"/>
    <w:rsid w:val="004B77FE"/>
    <w:rsid w:val="004B7E35"/>
    <w:rsid w:val="004C08CF"/>
    <w:rsid w:val="004C0F67"/>
    <w:rsid w:val="004C1641"/>
    <w:rsid w:val="004C1A34"/>
    <w:rsid w:val="004C3479"/>
    <w:rsid w:val="004C4132"/>
    <w:rsid w:val="004C4A4C"/>
    <w:rsid w:val="004C4EFC"/>
    <w:rsid w:val="004C582C"/>
    <w:rsid w:val="004C68E4"/>
    <w:rsid w:val="004C78B0"/>
    <w:rsid w:val="004D0BAB"/>
    <w:rsid w:val="004D2A1E"/>
    <w:rsid w:val="004D2DF0"/>
    <w:rsid w:val="004D2EDE"/>
    <w:rsid w:val="004D3114"/>
    <w:rsid w:val="004D3281"/>
    <w:rsid w:val="004D3362"/>
    <w:rsid w:val="004D3A52"/>
    <w:rsid w:val="004D3EF6"/>
    <w:rsid w:val="004D504E"/>
    <w:rsid w:val="004D57F8"/>
    <w:rsid w:val="004D644D"/>
    <w:rsid w:val="004D6948"/>
    <w:rsid w:val="004D69FC"/>
    <w:rsid w:val="004D780C"/>
    <w:rsid w:val="004E0982"/>
    <w:rsid w:val="004E1D23"/>
    <w:rsid w:val="004E28F4"/>
    <w:rsid w:val="004E363E"/>
    <w:rsid w:val="004E4560"/>
    <w:rsid w:val="004E6151"/>
    <w:rsid w:val="004E668A"/>
    <w:rsid w:val="004E7651"/>
    <w:rsid w:val="004F0104"/>
    <w:rsid w:val="004F06F8"/>
    <w:rsid w:val="004F1400"/>
    <w:rsid w:val="004F1B68"/>
    <w:rsid w:val="004F1FAF"/>
    <w:rsid w:val="004F2150"/>
    <w:rsid w:val="004F254D"/>
    <w:rsid w:val="004F2BE3"/>
    <w:rsid w:val="004F32CA"/>
    <w:rsid w:val="004F337F"/>
    <w:rsid w:val="004F3530"/>
    <w:rsid w:val="004F408C"/>
    <w:rsid w:val="004F418F"/>
    <w:rsid w:val="004F44A8"/>
    <w:rsid w:val="004F5766"/>
    <w:rsid w:val="004F578A"/>
    <w:rsid w:val="004F5863"/>
    <w:rsid w:val="004F5C51"/>
    <w:rsid w:val="004F5ECA"/>
    <w:rsid w:val="004F6510"/>
    <w:rsid w:val="004F6ABE"/>
    <w:rsid w:val="00501425"/>
    <w:rsid w:val="00501B01"/>
    <w:rsid w:val="0050274F"/>
    <w:rsid w:val="00502A5C"/>
    <w:rsid w:val="00502C92"/>
    <w:rsid w:val="00502E00"/>
    <w:rsid w:val="00502F18"/>
    <w:rsid w:val="005033AE"/>
    <w:rsid w:val="00503F7B"/>
    <w:rsid w:val="00504001"/>
    <w:rsid w:val="005055C8"/>
    <w:rsid w:val="005056B6"/>
    <w:rsid w:val="00505A89"/>
    <w:rsid w:val="00505DA1"/>
    <w:rsid w:val="00506215"/>
    <w:rsid w:val="005062A6"/>
    <w:rsid w:val="005067F4"/>
    <w:rsid w:val="00506A41"/>
    <w:rsid w:val="00506D4C"/>
    <w:rsid w:val="00507C70"/>
    <w:rsid w:val="00507DFC"/>
    <w:rsid w:val="00510455"/>
    <w:rsid w:val="0051099F"/>
    <w:rsid w:val="00510EB2"/>
    <w:rsid w:val="005114B7"/>
    <w:rsid w:val="00511559"/>
    <w:rsid w:val="00512086"/>
    <w:rsid w:val="005142A3"/>
    <w:rsid w:val="00515413"/>
    <w:rsid w:val="00515D6B"/>
    <w:rsid w:val="00515F0E"/>
    <w:rsid w:val="00516549"/>
    <w:rsid w:val="0051672A"/>
    <w:rsid w:val="00517BBB"/>
    <w:rsid w:val="005207C0"/>
    <w:rsid w:val="005222D0"/>
    <w:rsid w:val="0052327E"/>
    <w:rsid w:val="00523551"/>
    <w:rsid w:val="00524F75"/>
    <w:rsid w:val="005250E2"/>
    <w:rsid w:val="0052524C"/>
    <w:rsid w:val="00525D2D"/>
    <w:rsid w:val="00525D56"/>
    <w:rsid w:val="0052614C"/>
    <w:rsid w:val="0052689C"/>
    <w:rsid w:val="00527205"/>
    <w:rsid w:val="00527ED0"/>
    <w:rsid w:val="00531BDD"/>
    <w:rsid w:val="00531FC6"/>
    <w:rsid w:val="00532AED"/>
    <w:rsid w:val="00534307"/>
    <w:rsid w:val="00534671"/>
    <w:rsid w:val="00534E5F"/>
    <w:rsid w:val="0053527B"/>
    <w:rsid w:val="00535556"/>
    <w:rsid w:val="00535D76"/>
    <w:rsid w:val="0053605D"/>
    <w:rsid w:val="005361CD"/>
    <w:rsid w:val="00537065"/>
    <w:rsid w:val="005370B3"/>
    <w:rsid w:val="005373D2"/>
    <w:rsid w:val="005377D1"/>
    <w:rsid w:val="00537AC0"/>
    <w:rsid w:val="00540B72"/>
    <w:rsid w:val="00540E03"/>
    <w:rsid w:val="0054106F"/>
    <w:rsid w:val="00543100"/>
    <w:rsid w:val="00543FDF"/>
    <w:rsid w:val="00545554"/>
    <w:rsid w:val="005457EE"/>
    <w:rsid w:val="00546D81"/>
    <w:rsid w:val="00546F98"/>
    <w:rsid w:val="00547BA0"/>
    <w:rsid w:val="00552FF7"/>
    <w:rsid w:val="005549CE"/>
    <w:rsid w:val="00555219"/>
    <w:rsid w:val="00555E88"/>
    <w:rsid w:val="00557045"/>
    <w:rsid w:val="005574A0"/>
    <w:rsid w:val="005574FD"/>
    <w:rsid w:val="00557F15"/>
    <w:rsid w:val="0056189B"/>
    <w:rsid w:val="00561919"/>
    <w:rsid w:val="00561952"/>
    <w:rsid w:val="005634C2"/>
    <w:rsid w:val="00564560"/>
    <w:rsid w:val="00564A86"/>
    <w:rsid w:val="00565609"/>
    <w:rsid w:val="005661E7"/>
    <w:rsid w:val="00566F87"/>
    <w:rsid w:val="00570D39"/>
    <w:rsid w:val="005718E4"/>
    <w:rsid w:val="00571906"/>
    <w:rsid w:val="00571F66"/>
    <w:rsid w:val="005728C5"/>
    <w:rsid w:val="0057300D"/>
    <w:rsid w:val="00573392"/>
    <w:rsid w:val="0057339A"/>
    <w:rsid w:val="0057509A"/>
    <w:rsid w:val="00575262"/>
    <w:rsid w:val="005752E0"/>
    <w:rsid w:val="00575C38"/>
    <w:rsid w:val="005761A7"/>
    <w:rsid w:val="005762EF"/>
    <w:rsid w:val="00577A90"/>
    <w:rsid w:val="005802A9"/>
    <w:rsid w:val="00580305"/>
    <w:rsid w:val="00580DF1"/>
    <w:rsid w:val="0058124C"/>
    <w:rsid w:val="00581830"/>
    <w:rsid w:val="00581B57"/>
    <w:rsid w:val="00582B7C"/>
    <w:rsid w:val="0058303A"/>
    <w:rsid w:val="005835FF"/>
    <w:rsid w:val="00585E71"/>
    <w:rsid w:val="00586424"/>
    <w:rsid w:val="00586AE2"/>
    <w:rsid w:val="00586FD4"/>
    <w:rsid w:val="005871DA"/>
    <w:rsid w:val="005877C5"/>
    <w:rsid w:val="00587A6B"/>
    <w:rsid w:val="00587C99"/>
    <w:rsid w:val="00590719"/>
    <w:rsid w:val="00590EF5"/>
    <w:rsid w:val="00590FD4"/>
    <w:rsid w:val="00591848"/>
    <w:rsid w:val="00591C9A"/>
    <w:rsid w:val="0059294A"/>
    <w:rsid w:val="00593851"/>
    <w:rsid w:val="00593B24"/>
    <w:rsid w:val="00593F6B"/>
    <w:rsid w:val="0059435A"/>
    <w:rsid w:val="0059479F"/>
    <w:rsid w:val="00594B70"/>
    <w:rsid w:val="00594E86"/>
    <w:rsid w:val="00596F17"/>
    <w:rsid w:val="005970EA"/>
    <w:rsid w:val="005973A5"/>
    <w:rsid w:val="005A073A"/>
    <w:rsid w:val="005A0BC4"/>
    <w:rsid w:val="005A0D66"/>
    <w:rsid w:val="005A10F8"/>
    <w:rsid w:val="005A11DE"/>
    <w:rsid w:val="005A2311"/>
    <w:rsid w:val="005A2E0D"/>
    <w:rsid w:val="005A30E1"/>
    <w:rsid w:val="005A3721"/>
    <w:rsid w:val="005A456D"/>
    <w:rsid w:val="005A5FE1"/>
    <w:rsid w:val="005A64EA"/>
    <w:rsid w:val="005A676A"/>
    <w:rsid w:val="005A6CA1"/>
    <w:rsid w:val="005A7045"/>
    <w:rsid w:val="005B10AE"/>
    <w:rsid w:val="005B11DA"/>
    <w:rsid w:val="005B1637"/>
    <w:rsid w:val="005B2C19"/>
    <w:rsid w:val="005B338C"/>
    <w:rsid w:val="005B42A6"/>
    <w:rsid w:val="005B4C2F"/>
    <w:rsid w:val="005B5234"/>
    <w:rsid w:val="005B5500"/>
    <w:rsid w:val="005B58E7"/>
    <w:rsid w:val="005B6593"/>
    <w:rsid w:val="005B69BB"/>
    <w:rsid w:val="005B6EE0"/>
    <w:rsid w:val="005B7404"/>
    <w:rsid w:val="005B7A11"/>
    <w:rsid w:val="005C0947"/>
    <w:rsid w:val="005C0D4A"/>
    <w:rsid w:val="005C0E4F"/>
    <w:rsid w:val="005C1938"/>
    <w:rsid w:val="005C1943"/>
    <w:rsid w:val="005C1B42"/>
    <w:rsid w:val="005C24CF"/>
    <w:rsid w:val="005C3330"/>
    <w:rsid w:val="005C38AF"/>
    <w:rsid w:val="005C582C"/>
    <w:rsid w:val="005C5A19"/>
    <w:rsid w:val="005C5BAE"/>
    <w:rsid w:val="005C641A"/>
    <w:rsid w:val="005D0103"/>
    <w:rsid w:val="005D2087"/>
    <w:rsid w:val="005D26B3"/>
    <w:rsid w:val="005D2C36"/>
    <w:rsid w:val="005D2C9C"/>
    <w:rsid w:val="005D3140"/>
    <w:rsid w:val="005D317D"/>
    <w:rsid w:val="005D4B3E"/>
    <w:rsid w:val="005D50E2"/>
    <w:rsid w:val="005D5372"/>
    <w:rsid w:val="005D5758"/>
    <w:rsid w:val="005D5AC3"/>
    <w:rsid w:val="005D6F57"/>
    <w:rsid w:val="005D707B"/>
    <w:rsid w:val="005D72B1"/>
    <w:rsid w:val="005E0018"/>
    <w:rsid w:val="005E0364"/>
    <w:rsid w:val="005E0A68"/>
    <w:rsid w:val="005E174E"/>
    <w:rsid w:val="005E23C7"/>
    <w:rsid w:val="005E28F4"/>
    <w:rsid w:val="005E2B84"/>
    <w:rsid w:val="005E2CE9"/>
    <w:rsid w:val="005E3CFE"/>
    <w:rsid w:val="005E4078"/>
    <w:rsid w:val="005E4A8C"/>
    <w:rsid w:val="005E4DFC"/>
    <w:rsid w:val="005E5136"/>
    <w:rsid w:val="005E668A"/>
    <w:rsid w:val="005E733D"/>
    <w:rsid w:val="005E74D8"/>
    <w:rsid w:val="005E7C62"/>
    <w:rsid w:val="005E7DA2"/>
    <w:rsid w:val="005F029F"/>
    <w:rsid w:val="005F0DB0"/>
    <w:rsid w:val="005F139D"/>
    <w:rsid w:val="005F1712"/>
    <w:rsid w:val="005F24C3"/>
    <w:rsid w:val="005F2B13"/>
    <w:rsid w:val="005F2E77"/>
    <w:rsid w:val="005F310F"/>
    <w:rsid w:val="005F34E5"/>
    <w:rsid w:val="005F3536"/>
    <w:rsid w:val="005F43D6"/>
    <w:rsid w:val="005F4B8E"/>
    <w:rsid w:val="005F51B4"/>
    <w:rsid w:val="005F560A"/>
    <w:rsid w:val="005F5932"/>
    <w:rsid w:val="005F5E35"/>
    <w:rsid w:val="005F655E"/>
    <w:rsid w:val="005F6BD2"/>
    <w:rsid w:val="005F6D9A"/>
    <w:rsid w:val="005F725F"/>
    <w:rsid w:val="00600A38"/>
    <w:rsid w:val="00601DB7"/>
    <w:rsid w:val="00602C95"/>
    <w:rsid w:val="00603138"/>
    <w:rsid w:val="006031DD"/>
    <w:rsid w:val="00604064"/>
    <w:rsid w:val="00605118"/>
    <w:rsid w:val="00605341"/>
    <w:rsid w:val="00605775"/>
    <w:rsid w:val="00606C56"/>
    <w:rsid w:val="00606EF4"/>
    <w:rsid w:val="00607EE8"/>
    <w:rsid w:val="00607FA7"/>
    <w:rsid w:val="0061125B"/>
    <w:rsid w:val="006132CC"/>
    <w:rsid w:val="00613D2D"/>
    <w:rsid w:val="0061427F"/>
    <w:rsid w:val="00617132"/>
    <w:rsid w:val="00617345"/>
    <w:rsid w:val="006175B3"/>
    <w:rsid w:val="00617F3C"/>
    <w:rsid w:val="006204D6"/>
    <w:rsid w:val="00620AC3"/>
    <w:rsid w:val="00620BA8"/>
    <w:rsid w:val="006214AB"/>
    <w:rsid w:val="00621B5D"/>
    <w:rsid w:val="00621EC2"/>
    <w:rsid w:val="0062204C"/>
    <w:rsid w:val="006223E2"/>
    <w:rsid w:val="006230E4"/>
    <w:rsid w:val="006237EA"/>
    <w:rsid w:val="0062430F"/>
    <w:rsid w:val="006244F5"/>
    <w:rsid w:val="00624BCB"/>
    <w:rsid w:val="006272E0"/>
    <w:rsid w:val="00627386"/>
    <w:rsid w:val="00627FA1"/>
    <w:rsid w:val="00630082"/>
    <w:rsid w:val="0063008E"/>
    <w:rsid w:val="006301FC"/>
    <w:rsid w:val="00630267"/>
    <w:rsid w:val="0063063D"/>
    <w:rsid w:val="00631893"/>
    <w:rsid w:val="00631D2A"/>
    <w:rsid w:val="00632305"/>
    <w:rsid w:val="006323DC"/>
    <w:rsid w:val="00632A60"/>
    <w:rsid w:val="00633FDF"/>
    <w:rsid w:val="0063501E"/>
    <w:rsid w:val="00635F9D"/>
    <w:rsid w:val="00636F91"/>
    <w:rsid w:val="0063770B"/>
    <w:rsid w:val="00637812"/>
    <w:rsid w:val="00637B20"/>
    <w:rsid w:val="006410A3"/>
    <w:rsid w:val="00641D30"/>
    <w:rsid w:val="006421CD"/>
    <w:rsid w:val="00642A7F"/>
    <w:rsid w:val="00642DFD"/>
    <w:rsid w:val="00645577"/>
    <w:rsid w:val="0064577B"/>
    <w:rsid w:val="00646966"/>
    <w:rsid w:val="00646F64"/>
    <w:rsid w:val="00647277"/>
    <w:rsid w:val="00647562"/>
    <w:rsid w:val="00647A33"/>
    <w:rsid w:val="006513CA"/>
    <w:rsid w:val="00652395"/>
    <w:rsid w:val="0065240E"/>
    <w:rsid w:val="00652426"/>
    <w:rsid w:val="00653408"/>
    <w:rsid w:val="006547C0"/>
    <w:rsid w:val="00654C21"/>
    <w:rsid w:val="00657A08"/>
    <w:rsid w:val="00660475"/>
    <w:rsid w:val="006605E2"/>
    <w:rsid w:val="00660761"/>
    <w:rsid w:val="00660C26"/>
    <w:rsid w:val="006610C2"/>
    <w:rsid w:val="00661492"/>
    <w:rsid w:val="006618B9"/>
    <w:rsid w:val="00662527"/>
    <w:rsid w:val="006628C3"/>
    <w:rsid w:val="006638ED"/>
    <w:rsid w:val="00663E08"/>
    <w:rsid w:val="0066404E"/>
    <w:rsid w:val="00664A52"/>
    <w:rsid w:val="00664A6A"/>
    <w:rsid w:val="00664F1F"/>
    <w:rsid w:val="00666AAD"/>
    <w:rsid w:val="0066768E"/>
    <w:rsid w:val="00670206"/>
    <w:rsid w:val="006705D1"/>
    <w:rsid w:val="00671E4E"/>
    <w:rsid w:val="00671E9F"/>
    <w:rsid w:val="006725E8"/>
    <w:rsid w:val="00672FC3"/>
    <w:rsid w:val="00674768"/>
    <w:rsid w:val="00674B08"/>
    <w:rsid w:val="006756CF"/>
    <w:rsid w:val="006758A3"/>
    <w:rsid w:val="0067647A"/>
    <w:rsid w:val="0068118D"/>
    <w:rsid w:val="00681CA3"/>
    <w:rsid w:val="0068208F"/>
    <w:rsid w:val="00682A28"/>
    <w:rsid w:val="00682C9E"/>
    <w:rsid w:val="006835BD"/>
    <w:rsid w:val="006853C6"/>
    <w:rsid w:val="0068548C"/>
    <w:rsid w:val="00687631"/>
    <w:rsid w:val="00692217"/>
    <w:rsid w:val="0069406F"/>
    <w:rsid w:val="00694C5D"/>
    <w:rsid w:val="00695414"/>
    <w:rsid w:val="00695E91"/>
    <w:rsid w:val="00695F1F"/>
    <w:rsid w:val="00696235"/>
    <w:rsid w:val="00696BAF"/>
    <w:rsid w:val="00696CD9"/>
    <w:rsid w:val="00696D2B"/>
    <w:rsid w:val="006A1B19"/>
    <w:rsid w:val="006A1F38"/>
    <w:rsid w:val="006A32BD"/>
    <w:rsid w:val="006A3B6C"/>
    <w:rsid w:val="006A509C"/>
    <w:rsid w:val="006A66A3"/>
    <w:rsid w:val="006A67E3"/>
    <w:rsid w:val="006A69D3"/>
    <w:rsid w:val="006A6B95"/>
    <w:rsid w:val="006B053A"/>
    <w:rsid w:val="006B168E"/>
    <w:rsid w:val="006B1746"/>
    <w:rsid w:val="006B396E"/>
    <w:rsid w:val="006B435C"/>
    <w:rsid w:val="006B537F"/>
    <w:rsid w:val="006B5687"/>
    <w:rsid w:val="006B56CB"/>
    <w:rsid w:val="006B6375"/>
    <w:rsid w:val="006B6785"/>
    <w:rsid w:val="006B6B3F"/>
    <w:rsid w:val="006B7330"/>
    <w:rsid w:val="006B7754"/>
    <w:rsid w:val="006B7CB8"/>
    <w:rsid w:val="006C08D9"/>
    <w:rsid w:val="006C1AFA"/>
    <w:rsid w:val="006C2D33"/>
    <w:rsid w:val="006C3201"/>
    <w:rsid w:val="006C33D0"/>
    <w:rsid w:val="006C3B2C"/>
    <w:rsid w:val="006C431F"/>
    <w:rsid w:val="006C4C3A"/>
    <w:rsid w:val="006C4DEA"/>
    <w:rsid w:val="006D1871"/>
    <w:rsid w:val="006D2068"/>
    <w:rsid w:val="006D28B3"/>
    <w:rsid w:val="006D2AC7"/>
    <w:rsid w:val="006D2E20"/>
    <w:rsid w:val="006D4553"/>
    <w:rsid w:val="006D4E31"/>
    <w:rsid w:val="006D4E3F"/>
    <w:rsid w:val="006D4EB3"/>
    <w:rsid w:val="006D668E"/>
    <w:rsid w:val="006E1C54"/>
    <w:rsid w:val="006E2E24"/>
    <w:rsid w:val="006E35C5"/>
    <w:rsid w:val="006E572C"/>
    <w:rsid w:val="006E5DFF"/>
    <w:rsid w:val="006E7310"/>
    <w:rsid w:val="006E7514"/>
    <w:rsid w:val="006E7E48"/>
    <w:rsid w:val="006F2003"/>
    <w:rsid w:val="006F2F28"/>
    <w:rsid w:val="006F3058"/>
    <w:rsid w:val="006F551B"/>
    <w:rsid w:val="006F673A"/>
    <w:rsid w:val="006F70DB"/>
    <w:rsid w:val="006F74C2"/>
    <w:rsid w:val="0070097B"/>
    <w:rsid w:val="00700B3E"/>
    <w:rsid w:val="00702284"/>
    <w:rsid w:val="00702919"/>
    <w:rsid w:val="00702E56"/>
    <w:rsid w:val="00707453"/>
    <w:rsid w:val="007077A6"/>
    <w:rsid w:val="00707CB5"/>
    <w:rsid w:val="007103C4"/>
    <w:rsid w:val="00710F95"/>
    <w:rsid w:val="007111EB"/>
    <w:rsid w:val="0071157E"/>
    <w:rsid w:val="00711CCB"/>
    <w:rsid w:val="00713D60"/>
    <w:rsid w:val="0071433B"/>
    <w:rsid w:val="00714CD3"/>
    <w:rsid w:val="007152BC"/>
    <w:rsid w:val="00715609"/>
    <w:rsid w:val="00715627"/>
    <w:rsid w:val="00716C00"/>
    <w:rsid w:val="007203B6"/>
    <w:rsid w:val="00720569"/>
    <w:rsid w:val="0072101F"/>
    <w:rsid w:val="0072110F"/>
    <w:rsid w:val="007227CD"/>
    <w:rsid w:val="00723C49"/>
    <w:rsid w:val="00723C7D"/>
    <w:rsid w:val="00723D66"/>
    <w:rsid w:val="0072446A"/>
    <w:rsid w:val="0072622D"/>
    <w:rsid w:val="007262EE"/>
    <w:rsid w:val="007265B4"/>
    <w:rsid w:val="007266FB"/>
    <w:rsid w:val="0072680D"/>
    <w:rsid w:val="00727A03"/>
    <w:rsid w:val="00730D62"/>
    <w:rsid w:val="00731FA4"/>
    <w:rsid w:val="00732640"/>
    <w:rsid w:val="007326DB"/>
    <w:rsid w:val="00732B20"/>
    <w:rsid w:val="007330B0"/>
    <w:rsid w:val="0073314A"/>
    <w:rsid w:val="00733C71"/>
    <w:rsid w:val="00734025"/>
    <w:rsid w:val="00734648"/>
    <w:rsid w:val="007359C7"/>
    <w:rsid w:val="00735BA9"/>
    <w:rsid w:val="007365EC"/>
    <w:rsid w:val="00737409"/>
    <w:rsid w:val="0074022E"/>
    <w:rsid w:val="0074151D"/>
    <w:rsid w:val="00741F61"/>
    <w:rsid w:val="00741F8E"/>
    <w:rsid w:val="00742362"/>
    <w:rsid w:val="00744361"/>
    <w:rsid w:val="007443F0"/>
    <w:rsid w:val="007446FD"/>
    <w:rsid w:val="007447CF"/>
    <w:rsid w:val="00744F22"/>
    <w:rsid w:val="0074520B"/>
    <w:rsid w:val="0074562E"/>
    <w:rsid w:val="007456D8"/>
    <w:rsid w:val="007457A3"/>
    <w:rsid w:val="00745CC5"/>
    <w:rsid w:val="0074617C"/>
    <w:rsid w:val="00746FA5"/>
    <w:rsid w:val="007477F1"/>
    <w:rsid w:val="00747831"/>
    <w:rsid w:val="00750145"/>
    <w:rsid w:val="0075054C"/>
    <w:rsid w:val="007506C7"/>
    <w:rsid w:val="00750F9A"/>
    <w:rsid w:val="00750FD8"/>
    <w:rsid w:val="00751D2D"/>
    <w:rsid w:val="007530F1"/>
    <w:rsid w:val="00753744"/>
    <w:rsid w:val="00754612"/>
    <w:rsid w:val="007556BD"/>
    <w:rsid w:val="00755CE0"/>
    <w:rsid w:val="00755CF3"/>
    <w:rsid w:val="007568FD"/>
    <w:rsid w:val="00756D4F"/>
    <w:rsid w:val="0075760C"/>
    <w:rsid w:val="0076142B"/>
    <w:rsid w:val="00761531"/>
    <w:rsid w:val="007619AC"/>
    <w:rsid w:val="00762036"/>
    <w:rsid w:val="00762F95"/>
    <w:rsid w:val="007642FE"/>
    <w:rsid w:val="00764FA0"/>
    <w:rsid w:val="00764FEE"/>
    <w:rsid w:val="00765E60"/>
    <w:rsid w:val="00767505"/>
    <w:rsid w:val="0076785E"/>
    <w:rsid w:val="00767E0B"/>
    <w:rsid w:val="00767E39"/>
    <w:rsid w:val="007716D4"/>
    <w:rsid w:val="007718E2"/>
    <w:rsid w:val="0077200C"/>
    <w:rsid w:val="0077285B"/>
    <w:rsid w:val="007739CA"/>
    <w:rsid w:val="00773B86"/>
    <w:rsid w:val="00773D79"/>
    <w:rsid w:val="00774171"/>
    <w:rsid w:val="0077689F"/>
    <w:rsid w:val="00777323"/>
    <w:rsid w:val="007775AA"/>
    <w:rsid w:val="00780919"/>
    <w:rsid w:val="00780C76"/>
    <w:rsid w:val="00781FA2"/>
    <w:rsid w:val="007826A0"/>
    <w:rsid w:val="0078338E"/>
    <w:rsid w:val="007837F8"/>
    <w:rsid w:val="00783D3D"/>
    <w:rsid w:val="007845B2"/>
    <w:rsid w:val="00784734"/>
    <w:rsid w:val="00784AA5"/>
    <w:rsid w:val="00784D8C"/>
    <w:rsid w:val="00784F0B"/>
    <w:rsid w:val="007869A4"/>
    <w:rsid w:val="0078738D"/>
    <w:rsid w:val="007903E4"/>
    <w:rsid w:val="0079054C"/>
    <w:rsid w:val="00790589"/>
    <w:rsid w:val="007908CB"/>
    <w:rsid w:val="007912A1"/>
    <w:rsid w:val="00791ADE"/>
    <w:rsid w:val="00791FD7"/>
    <w:rsid w:val="00792497"/>
    <w:rsid w:val="0079250A"/>
    <w:rsid w:val="00793C4F"/>
    <w:rsid w:val="007947C5"/>
    <w:rsid w:val="00794CC6"/>
    <w:rsid w:val="00794F7F"/>
    <w:rsid w:val="00795245"/>
    <w:rsid w:val="00795432"/>
    <w:rsid w:val="007955D6"/>
    <w:rsid w:val="00795830"/>
    <w:rsid w:val="00795CCD"/>
    <w:rsid w:val="007960EF"/>
    <w:rsid w:val="0079695A"/>
    <w:rsid w:val="00796A9F"/>
    <w:rsid w:val="00797849"/>
    <w:rsid w:val="007A0770"/>
    <w:rsid w:val="007A0AB6"/>
    <w:rsid w:val="007A0B5E"/>
    <w:rsid w:val="007A0D1E"/>
    <w:rsid w:val="007A0DA4"/>
    <w:rsid w:val="007A0F78"/>
    <w:rsid w:val="007A18D6"/>
    <w:rsid w:val="007A1B14"/>
    <w:rsid w:val="007A20CB"/>
    <w:rsid w:val="007A238D"/>
    <w:rsid w:val="007A2806"/>
    <w:rsid w:val="007A2CEF"/>
    <w:rsid w:val="007A39B2"/>
    <w:rsid w:val="007A3DA8"/>
    <w:rsid w:val="007A4D8C"/>
    <w:rsid w:val="007A5719"/>
    <w:rsid w:val="007A5E2B"/>
    <w:rsid w:val="007A5E7E"/>
    <w:rsid w:val="007A7893"/>
    <w:rsid w:val="007A79B5"/>
    <w:rsid w:val="007A7DCE"/>
    <w:rsid w:val="007B058B"/>
    <w:rsid w:val="007B2379"/>
    <w:rsid w:val="007B27E1"/>
    <w:rsid w:val="007B3BE1"/>
    <w:rsid w:val="007B46F2"/>
    <w:rsid w:val="007B4F0A"/>
    <w:rsid w:val="007B56BE"/>
    <w:rsid w:val="007B618C"/>
    <w:rsid w:val="007B6371"/>
    <w:rsid w:val="007B65BF"/>
    <w:rsid w:val="007B6ABB"/>
    <w:rsid w:val="007B6AE5"/>
    <w:rsid w:val="007B799A"/>
    <w:rsid w:val="007B7CBA"/>
    <w:rsid w:val="007C0123"/>
    <w:rsid w:val="007C0E56"/>
    <w:rsid w:val="007C1154"/>
    <w:rsid w:val="007C118D"/>
    <w:rsid w:val="007C13A4"/>
    <w:rsid w:val="007C2184"/>
    <w:rsid w:val="007C23C3"/>
    <w:rsid w:val="007C311A"/>
    <w:rsid w:val="007C39B6"/>
    <w:rsid w:val="007C4098"/>
    <w:rsid w:val="007C43B1"/>
    <w:rsid w:val="007C56E3"/>
    <w:rsid w:val="007C5EDB"/>
    <w:rsid w:val="007C6AFC"/>
    <w:rsid w:val="007C76C8"/>
    <w:rsid w:val="007C796E"/>
    <w:rsid w:val="007C7C6C"/>
    <w:rsid w:val="007D064C"/>
    <w:rsid w:val="007D094B"/>
    <w:rsid w:val="007D0C8A"/>
    <w:rsid w:val="007D221A"/>
    <w:rsid w:val="007D36F5"/>
    <w:rsid w:val="007D4E67"/>
    <w:rsid w:val="007D63A4"/>
    <w:rsid w:val="007D645B"/>
    <w:rsid w:val="007D757F"/>
    <w:rsid w:val="007D77AB"/>
    <w:rsid w:val="007D791B"/>
    <w:rsid w:val="007E128E"/>
    <w:rsid w:val="007E2D17"/>
    <w:rsid w:val="007E3385"/>
    <w:rsid w:val="007E5012"/>
    <w:rsid w:val="007E60AD"/>
    <w:rsid w:val="007E733C"/>
    <w:rsid w:val="007E74AE"/>
    <w:rsid w:val="007E7C46"/>
    <w:rsid w:val="007F003E"/>
    <w:rsid w:val="007F07C4"/>
    <w:rsid w:val="007F1B77"/>
    <w:rsid w:val="007F298F"/>
    <w:rsid w:val="007F373F"/>
    <w:rsid w:val="007F3BFA"/>
    <w:rsid w:val="007F54B9"/>
    <w:rsid w:val="007F6A67"/>
    <w:rsid w:val="0080089F"/>
    <w:rsid w:val="0080176B"/>
    <w:rsid w:val="00801B5D"/>
    <w:rsid w:val="00803648"/>
    <w:rsid w:val="0080414A"/>
    <w:rsid w:val="00806F88"/>
    <w:rsid w:val="008077DC"/>
    <w:rsid w:val="00810723"/>
    <w:rsid w:val="0081093C"/>
    <w:rsid w:val="00812242"/>
    <w:rsid w:val="00812F3F"/>
    <w:rsid w:val="00813206"/>
    <w:rsid w:val="00813369"/>
    <w:rsid w:val="00813E07"/>
    <w:rsid w:val="008147F9"/>
    <w:rsid w:val="0081533B"/>
    <w:rsid w:val="0081691B"/>
    <w:rsid w:val="0081720E"/>
    <w:rsid w:val="00820145"/>
    <w:rsid w:val="00820736"/>
    <w:rsid w:val="00820C8D"/>
    <w:rsid w:val="00820E78"/>
    <w:rsid w:val="008210AF"/>
    <w:rsid w:val="008217AC"/>
    <w:rsid w:val="008220F3"/>
    <w:rsid w:val="00822398"/>
    <w:rsid w:val="00824061"/>
    <w:rsid w:val="00824826"/>
    <w:rsid w:val="00827051"/>
    <w:rsid w:val="008309A9"/>
    <w:rsid w:val="00830A58"/>
    <w:rsid w:val="008311FF"/>
    <w:rsid w:val="008316FE"/>
    <w:rsid w:val="00833C77"/>
    <w:rsid w:val="00833D95"/>
    <w:rsid w:val="00833FF4"/>
    <w:rsid w:val="00834064"/>
    <w:rsid w:val="0083543D"/>
    <w:rsid w:val="008356A9"/>
    <w:rsid w:val="00835D7D"/>
    <w:rsid w:val="0083699E"/>
    <w:rsid w:val="00840341"/>
    <w:rsid w:val="00841323"/>
    <w:rsid w:val="00841FCF"/>
    <w:rsid w:val="00842BD6"/>
    <w:rsid w:val="008432F1"/>
    <w:rsid w:val="00843AF9"/>
    <w:rsid w:val="00843B4A"/>
    <w:rsid w:val="008444D4"/>
    <w:rsid w:val="0084573A"/>
    <w:rsid w:val="00845CBA"/>
    <w:rsid w:val="00845E3C"/>
    <w:rsid w:val="00845F30"/>
    <w:rsid w:val="00845FAA"/>
    <w:rsid w:val="008460D6"/>
    <w:rsid w:val="00846D5A"/>
    <w:rsid w:val="00847458"/>
    <w:rsid w:val="0084752E"/>
    <w:rsid w:val="00847539"/>
    <w:rsid w:val="00850878"/>
    <w:rsid w:val="008510BF"/>
    <w:rsid w:val="008512D3"/>
    <w:rsid w:val="00851E24"/>
    <w:rsid w:val="008528D7"/>
    <w:rsid w:val="00852CAB"/>
    <w:rsid w:val="00855AC8"/>
    <w:rsid w:val="00856B55"/>
    <w:rsid w:val="00860519"/>
    <w:rsid w:val="00860A4A"/>
    <w:rsid w:val="00861149"/>
    <w:rsid w:val="00861407"/>
    <w:rsid w:val="008617EE"/>
    <w:rsid w:val="00861D64"/>
    <w:rsid w:val="00862070"/>
    <w:rsid w:val="00862635"/>
    <w:rsid w:val="00862784"/>
    <w:rsid w:val="00862AF5"/>
    <w:rsid w:val="00862FFE"/>
    <w:rsid w:val="00863383"/>
    <w:rsid w:val="008633DD"/>
    <w:rsid w:val="00863E58"/>
    <w:rsid w:val="0086668C"/>
    <w:rsid w:val="00866BAE"/>
    <w:rsid w:val="00866F19"/>
    <w:rsid w:val="008673E6"/>
    <w:rsid w:val="00867AC6"/>
    <w:rsid w:val="008702A7"/>
    <w:rsid w:val="008705CA"/>
    <w:rsid w:val="008707B4"/>
    <w:rsid w:val="00870E9C"/>
    <w:rsid w:val="0087143E"/>
    <w:rsid w:val="00871775"/>
    <w:rsid w:val="0087246F"/>
    <w:rsid w:val="0087270C"/>
    <w:rsid w:val="00873BD2"/>
    <w:rsid w:val="008743F5"/>
    <w:rsid w:val="008758B1"/>
    <w:rsid w:val="00875DEA"/>
    <w:rsid w:val="00875E0A"/>
    <w:rsid w:val="008760BE"/>
    <w:rsid w:val="008766DC"/>
    <w:rsid w:val="0087799C"/>
    <w:rsid w:val="00880064"/>
    <w:rsid w:val="008805F4"/>
    <w:rsid w:val="008808A4"/>
    <w:rsid w:val="0088153C"/>
    <w:rsid w:val="0088199A"/>
    <w:rsid w:val="00882035"/>
    <w:rsid w:val="00883538"/>
    <w:rsid w:val="0088406E"/>
    <w:rsid w:val="008853D3"/>
    <w:rsid w:val="00885AB3"/>
    <w:rsid w:val="00885B50"/>
    <w:rsid w:val="008871C4"/>
    <w:rsid w:val="00887E25"/>
    <w:rsid w:val="00887EAA"/>
    <w:rsid w:val="0089010A"/>
    <w:rsid w:val="00890471"/>
    <w:rsid w:val="00890B64"/>
    <w:rsid w:val="00891D75"/>
    <w:rsid w:val="00891FC3"/>
    <w:rsid w:val="00892D0E"/>
    <w:rsid w:val="0089316C"/>
    <w:rsid w:val="008931B9"/>
    <w:rsid w:val="0089382F"/>
    <w:rsid w:val="008945BF"/>
    <w:rsid w:val="008954DC"/>
    <w:rsid w:val="008957DB"/>
    <w:rsid w:val="00895FC1"/>
    <w:rsid w:val="00896179"/>
    <w:rsid w:val="008964E7"/>
    <w:rsid w:val="00897C8D"/>
    <w:rsid w:val="008A0094"/>
    <w:rsid w:val="008A0848"/>
    <w:rsid w:val="008A19A5"/>
    <w:rsid w:val="008A1FAE"/>
    <w:rsid w:val="008A3182"/>
    <w:rsid w:val="008A32CE"/>
    <w:rsid w:val="008A49FB"/>
    <w:rsid w:val="008A4FA3"/>
    <w:rsid w:val="008A50C2"/>
    <w:rsid w:val="008A50EB"/>
    <w:rsid w:val="008A54C9"/>
    <w:rsid w:val="008A56D7"/>
    <w:rsid w:val="008A576C"/>
    <w:rsid w:val="008A6010"/>
    <w:rsid w:val="008A61FA"/>
    <w:rsid w:val="008A661D"/>
    <w:rsid w:val="008A6C48"/>
    <w:rsid w:val="008A74FB"/>
    <w:rsid w:val="008A7678"/>
    <w:rsid w:val="008A7ADA"/>
    <w:rsid w:val="008B1E49"/>
    <w:rsid w:val="008B2E91"/>
    <w:rsid w:val="008B3434"/>
    <w:rsid w:val="008B3940"/>
    <w:rsid w:val="008B39F1"/>
    <w:rsid w:val="008B5694"/>
    <w:rsid w:val="008B5C01"/>
    <w:rsid w:val="008B6184"/>
    <w:rsid w:val="008B6AD3"/>
    <w:rsid w:val="008B6B74"/>
    <w:rsid w:val="008B6DFA"/>
    <w:rsid w:val="008B7750"/>
    <w:rsid w:val="008B79A4"/>
    <w:rsid w:val="008C0C2D"/>
    <w:rsid w:val="008C23C3"/>
    <w:rsid w:val="008C2769"/>
    <w:rsid w:val="008C2C29"/>
    <w:rsid w:val="008C3156"/>
    <w:rsid w:val="008C3C98"/>
    <w:rsid w:val="008C544A"/>
    <w:rsid w:val="008C620E"/>
    <w:rsid w:val="008C697D"/>
    <w:rsid w:val="008C6E34"/>
    <w:rsid w:val="008C7018"/>
    <w:rsid w:val="008C7189"/>
    <w:rsid w:val="008C7685"/>
    <w:rsid w:val="008C7A6F"/>
    <w:rsid w:val="008D0247"/>
    <w:rsid w:val="008D2995"/>
    <w:rsid w:val="008D2A34"/>
    <w:rsid w:val="008D3318"/>
    <w:rsid w:val="008D3F2B"/>
    <w:rsid w:val="008D4718"/>
    <w:rsid w:val="008D5228"/>
    <w:rsid w:val="008D54D0"/>
    <w:rsid w:val="008D5DF2"/>
    <w:rsid w:val="008D5EA3"/>
    <w:rsid w:val="008D7C04"/>
    <w:rsid w:val="008E127B"/>
    <w:rsid w:val="008E1728"/>
    <w:rsid w:val="008E1E1D"/>
    <w:rsid w:val="008E2871"/>
    <w:rsid w:val="008E30B0"/>
    <w:rsid w:val="008E3750"/>
    <w:rsid w:val="008E3F7D"/>
    <w:rsid w:val="008E3FCE"/>
    <w:rsid w:val="008E47DF"/>
    <w:rsid w:val="008E4AA6"/>
    <w:rsid w:val="008E51B1"/>
    <w:rsid w:val="008E61AA"/>
    <w:rsid w:val="008E622E"/>
    <w:rsid w:val="008E76BF"/>
    <w:rsid w:val="008E7836"/>
    <w:rsid w:val="008E7A79"/>
    <w:rsid w:val="008F0320"/>
    <w:rsid w:val="008F074A"/>
    <w:rsid w:val="008F0D13"/>
    <w:rsid w:val="008F1D5A"/>
    <w:rsid w:val="008F28E3"/>
    <w:rsid w:val="008F2977"/>
    <w:rsid w:val="008F2CAD"/>
    <w:rsid w:val="008F2F5D"/>
    <w:rsid w:val="008F3950"/>
    <w:rsid w:val="008F3D92"/>
    <w:rsid w:val="008F4070"/>
    <w:rsid w:val="008F5036"/>
    <w:rsid w:val="008F522F"/>
    <w:rsid w:val="008F54E2"/>
    <w:rsid w:val="008F5923"/>
    <w:rsid w:val="008F5CD7"/>
    <w:rsid w:val="008F712C"/>
    <w:rsid w:val="008F7E59"/>
    <w:rsid w:val="00900A95"/>
    <w:rsid w:val="00900C9B"/>
    <w:rsid w:val="0090203A"/>
    <w:rsid w:val="009020AC"/>
    <w:rsid w:val="0090275C"/>
    <w:rsid w:val="0090324C"/>
    <w:rsid w:val="00903541"/>
    <w:rsid w:val="00903F92"/>
    <w:rsid w:val="009047B2"/>
    <w:rsid w:val="00905116"/>
    <w:rsid w:val="00907403"/>
    <w:rsid w:val="0090795B"/>
    <w:rsid w:val="00907F56"/>
    <w:rsid w:val="00911231"/>
    <w:rsid w:val="009119FA"/>
    <w:rsid w:val="00913097"/>
    <w:rsid w:val="00913E8D"/>
    <w:rsid w:val="009164D3"/>
    <w:rsid w:val="00916B8A"/>
    <w:rsid w:val="009173DB"/>
    <w:rsid w:val="00920B72"/>
    <w:rsid w:val="009247F0"/>
    <w:rsid w:val="00924A54"/>
    <w:rsid w:val="00926760"/>
    <w:rsid w:val="00926BF1"/>
    <w:rsid w:val="009275EC"/>
    <w:rsid w:val="009278D6"/>
    <w:rsid w:val="00927F23"/>
    <w:rsid w:val="00927F50"/>
    <w:rsid w:val="00930380"/>
    <w:rsid w:val="009303A3"/>
    <w:rsid w:val="00930A3D"/>
    <w:rsid w:val="00930BE0"/>
    <w:rsid w:val="009325A8"/>
    <w:rsid w:val="009332DE"/>
    <w:rsid w:val="009355AF"/>
    <w:rsid w:val="009363AD"/>
    <w:rsid w:val="00936BE7"/>
    <w:rsid w:val="00937700"/>
    <w:rsid w:val="00937AD0"/>
    <w:rsid w:val="00937DDC"/>
    <w:rsid w:val="00941290"/>
    <w:rsid w:val="0094176F"/>
    <w:rsid w:val="00941975"/>
    <w:rsid w:val="00941A63"/>
    <w:rsid w:val="00942219"/>
    <w:rsid w:val="009429C6"/>
    <w:rsid w:val="00943A5A"/>
    <w:rsid w:val="00943D2B"/>
    <w:rsid w:val="009444E6"/>
    <w:rsid w:val="009449F7"/>
    <w:rsid w:val="0094592B"/>
    <w:rsid w:val="00945F75"/>
    <w:rsid w:val="009469E3"/>
    <w:rsid w:val="009500BB"/>
    <w:rsid w:val="0095047D"/>
    <w:rsid w:val="00950738"/>
    <w:rsid w:val="0095080D"/>
    <w:rsid w:val="00950B6C"/>
    <w:rsid w:val="00950BA8"/>
    <w:rsid w:val="0095101A"/>
    <w:rsid w:val="00951362"/>
    <w:rsid w:val="009514DE"/>
    <w:rsid w:val="009515E5"/>
    <w:rsid w:val="00951EC9"/>
    <w:rsid w:val="00953698"/>
    <w:rsid w:val="00953F52"/>
    <w:rsid w:val="00953FA4"/>
    <w:rsid w:val="00954E12"/>
    <w:rsid w:val="009555D0"/>
    <w:rsid w:val="009555E0"/>
    <w:rsid w:val="009569DB"/>
    <w:rsid w:val="009570DA"/>
    <w:rsid w:val="00957162"/>
    <w:rsid w:val="00960238"/>
    <w:rsid w:val="0096040F"/>
    <w:rsid w:val="00960537"/>
    <w:rsid w:val="0096075A"/>
    <w:rsid w:val="00960867"/>
    <w:rsid w:val="00961FB3"/>
    <w:rsid w:val="0096219A"/>
    <w:rsid w:val="0096247C"/>
    <w:rsid w:val="009631CC"/>
    <w:rsid w:val="0096455C"/>
    <w:rsid w:val="00964A35"/>
    <w:rsid w:val="00964AF4"/>
    <w:rsid w:val="0096610B"/>
    <w:rsid w:val="0096638A"/>
    <w:rsid w:val="00966437"/>
    <w:rsid w:val="00966D40"/>
    <w:rsid w:val="00967094"/>
    <w:rsid w:val="009678EF"/>
    <w:rsid w:val="009709A0"/>
    <w:rsid w:val="00970DB3"/>
    <w:rsid w:val="00971675"/>
    <w:rsid w:val="00971BC1"/>
    <w:rsid w:val="00971F41"/>
    <w:rsid w:val="0097357D"/>
    <w:rsid w:val="00973B57"/>
    <w:rsid w:val="00973DCB"/>
    <w:rsid w:val="00974F42"/>
    <w:rsid w:val="009758B6"/>
    <w:rsid w:val="00975FCA"/>
    <w:rsid w:val="00976250"/>
    <w:rsid w:val="0097640C"/>
    <w:rsid w:val="00976E5D"/>
    <w:rsid w:val="00977356"/>
    <w:rsid w:val="009774B8"/>
    <w:rsid w:val="00977C37"/>
    <w:rsid w:val="00980908"/>
    <w:rsid w:val="009809B2"/>
    <w:rsid w:val="0098140B"/>
    <w:rsid w:val="009822B8"/>
    <w:rsid w:val="00982B43"/>
    <w:rsid w:val="00982E42"/>
    <w:rsid w:val="00983BBC"/>
    <w:rsid w:val="00985ED0"/>
    <w:rsid w:val="00985F8A"/>
    <w:rsid w:val="00986DE7"/>
    <w:rsid w:val="0098734B"/>
    <w:rsid w:val="009912AB"/>
    <w:rsid w:val="00991A09"/>
    <w:rsid w:val="00991D08"/>
    <w:rsid w:val="0099208C"/>
    <w:rsid w:val="009932C5"/>
    <w:rsid w:val="009935F2"/>
    <w:rsid w:val="00994FBC"/>
    <w:rsid w:val="009958AC"/>
    <w:rsid w:val="0099622E"/>
    <w:rsid w:val="00996550"/>
    <w:rsid w:val="0099676F"/>
    <w:rsid w:val="00996D70"/>
    <w:rsid w:val="00997078"/>
    <w:rsid w:val="00997483"/>
    <w:rsid w:val="0099750A"/>
    <w:rsid w:val="00997EBA"/>
    <w:rsid w:val="009A0558"/>
    <w:rsid w:val="009A174B"/>
    <w:rsid w:val="009A20F7"/>
    <w:rsid w:val="009A2C74"/>
    <w:rsid w:val="009A30DE"/>
    <w:rsid w:val="009A31B2"/>
    <w:rsid w:val="009A325F"/>
    <w:rsid w:val="009A3341"/>
    <w:rsid w:val="009A3B61"/>
    <w:rsid w:val="009A45D2"/>
    <w:rsid w:val="009A4638"/>
    <w:rsid w:val="009A46F1"/>
    <w:rsid w:val="009A5191"/>
    <w:rsid w:val="009A540D"/>
    <w:rsid w:val="009A5786"/>
    <w:rsid w:val="009A5AF4"/>
    <w:rsid w:val="009A5C77"/>
    <w:rsid w:val="009A6212"/>
    <w:rsid w:val="009A6A37"/>
    <w:rsid w:val="009B14C2"/>
    <w:rsid w:val="009B17AF"/>
    <w:rsid w:val="009B1B57"/>
    <w:rsid w:val="009B2586"/>
    <w:rsid w:val="009B2818"/>
    <w:rsid w:val="009B2AB4"/>
    <w:rsid w:val="009B35AA"/>
    <w:rsid w:val="009B3CDA"/>
    <w:rsid w:val="009B3E05"/>
    <w:rsid w:val="009B4700"/>
    <w:rsid w:val="009B4B9E"/>
    <w:rsid w:val="009B6F49"/>
    <w:rsid w:val="009B7939"/>
    <w:rsid w:val="009C0C62"/>
    <w:rsid w:val="009C0FA8"/>
    <w:rsid w:val="009C164C"/>
    <w:rsid w:val="009C18A9"/>
    <w:rsid w:val="009C2387"/>
    <w:rsid w:val="009C2F3D"/>
    <w:rsid w:val="009C30B5"/>
    <w:rsid w:val="009C387E"/>
    <w:rsid w:val="009C3AC0"/>
    <w:rsid w:val="009C4C97"/>
    <w:rsid w:val="009C4E25"/>
    <w:rsid w:val="009C69CD"/>
    <w:rsid w:val="009C7084"/>
    <w:rsid w:val="009C757B"/>
    <w:rsid w:val="009C769C"/>
    <w:rsid w:val="009C7B7E"/>
    <w:rsid w:val="009D00BB"/>
    <w:rsid w:val="009D0770"/>
    <w:rsid w:val="009D1A57"/>
    <w:rsid w:val="009D3565"/>
    <w:rsid w:val="009D37A1"/>
    <w:rsid w:val="009D392B"/>
    <w:rsid w:val="009D456A"/>
    <w:rsid w:val="009D4571"/>
    <w:rsid w:val="009D4952"/>
    <w:rsid w:val="009D5EEC"/>
    <w:rsid w:val="009D612C"/>
    <w:rsid w:val="009D6372"/>
    <w:rsid w:val="009D784F"/>
    <w:rsid w:val="009E0AF5"/>
    <w:rsid w:val="009E0AF9"/>
    <w:rsid w:val="009E13CD"/>
    <w:rsid w:val="009E1447"/>
    <w:rsid w:val="009E1870"/>
    <w:rsid w:val="009E2EEF"/>
    <w:rsid w:val="009E3307"/>
    <w:rsid w:val="009E3AC4"/>
    <w:rsid w:val="009E60BE"/>
    <w:rsid w:val="009E7731"/>
    <w:rsid w:val="009F04C2"/>
    <w:rsid w:val="009F38F2"/>
    <w:rsid w:val="009F3F57"/>
    <w:rsid w:val="009F4B61"/>
    <w:rsid w:val="009F5DC4"/>
    <w:rsid w:val="009F5F0C"/>
    <w:rsid w:val="009F5F68"/>
    <w:rsid w:val="009F6DC9"/>
    <w:rsid w:val="009F7DB1"/>
    <w:rsid w:val="00A00960"/>
    <w:rsid w:val="00A011D8"/>
    <w:rsid w:val="00A01FC8"/>
    <w:rsid w:val="00A02C1E"/>
    <w:rsid w:val="00A02DC5"/>
    <w:rsid w:val="00A03A03"/>
    <w:rsid w:val="00A05CF6"/>
    <w:rsid w:val="00A10C29"/>
    <w:rsid w:val="00A110A6"/>
    <w:rsid w:val="00A11675"/>
    <w:rsid w:val="00A11CA3"/>
    <w:rsid w:val="00A12997"/>
    <w:rsid w:val="00A12C85"/>
    <w:rsid w:val="00A13438"/>
    <w:rsid w:val="00A13849"/>
    <w:rsid w:val="00A13CC3"/>
    <w:rsid w:val="00A14466"/>
    <w:rsid w:val="00A14C82"/>
    <w:rsid w:val="00A16410"/>
    <w:rsid w:val="00A169A5"/>
    <w:rsid w:val="00A17440"/>
    <w:rsid w:val="00A17D26"/>
    <w:rsid w:val="00A215CC"/>
    <w:rsid w:val="00A2384C"/>
    <w:rsid w:val="00A2466B"/>
    <w:rsid w:val="00A24D9A"/>
    <w:rsid w:val="00A25705"/>
    <w:rsid w:val="00A26D79"/>
    <w:rsid w:val="00A27EBF"/>
    <w:rsid w:val="00A300C2"/>
    <w:rsid w:val="00A30ABB"/>
    <w:rsid w:val="00A3114C"/>
    <w:rsid w:val="00A313CB"/>
    <w:rsid w:val="00A31E08"/>
    <w:rsid w:val="00A31FD8"/>
    <w:rsid w:val="00A332BC"/>
    <w:rsid w:val="00A33330"/>
    <w:rsid w:val="00A33A6C"/>
    <w:rsid w:val="00A33B37"/>
    <w:rsid w:val="00A34840"/>
    <w:rsid w:val="00A35FBA"/>
    <w:rsid w:val="00A3660F"/>
    <w:rsid w:val="00A36883"/>
    <w:rsid w:val="00A36AC5"/>
    <w:rsid w:val="00A3775B"/>
    <w:rsid w:val="00A40126"/>
    <w:rsid w:val="00A40A0F"/>
    <w:rsid w:val="00A41405"/>
    <w:rsid w:val="00A415F3"/>
    <w:rsid w:val="00A41A62"/>
    <w:rsid w:val="00A41B94"/>
    <w:rsid w:val="00A42464"/>
    <w:rsid w:val="00A42B62"/>
    <w:rsid w:val="00A44281"/>
    <w:rsid w:val="00A45200"/>
    <w:rsid w:val="00A45487"/>
    <w:rsid w:val="00A45785"/>
    <w:rsid w:val="00A45E11"/>
    <w:rsid w:val="00A46625"/>
    <w:rsid w:val="00A4670B"/>
    <w:rsid w:val="00A46CD9"/>
    <w:rsid w:val="00A47018"/>
    <w:rsid w:val="00A47585"/>
    <w:rsid w:val="00A506C4"/>
    <w:rsid w:val="00A50BC5"/>
    <w:rsid w:val="00A51AC9"/>
    <w:rsid w:val="00A521DE"/>
    <w:rsid w:val="00A52F8F"/>
    <w:rsid w:val="00A553B6"/>
    <w:rsid w:val="00A55E7C"/>
    <w:rsid w:val="00A56C2B"/>
    <w:rsid w:val="00A57308"/>
    <w:rsid w:val="00A57713"/>
    <w:rsid w:val="00A57762"/>
    <w:rsid w:val="00A60E5C"/>
    <w:rsid w:val="00A612C6"/>
    <w:rsid w:val="00A61C14"/>
    <w:rsid w:val="00A6318C"/>
    <w:rsid w:val="00A63D5B"/>
    <w:rsid w:val="00A646CD"/>
    <w:rsid w:val="00A64726"/>
    <w:rsid w:val="00A64820"/>
    <w:rsid w:val="00A65303"/>
    <w:rsid w:val="00A6616E"/>
    <w:rsid w:val="00A66A62"/>
    <w:rsid w:val="00A66C5C"/>
    <w:rsid w:val="00A701B8"/>
    <w:rsid w:val="00A704F2"/>
    <w:rsid w:val="00A70A05"/>
    <w:rsid w:val="00A7115F"/>
    <w:rsid w:val="00A73A08"/>
    <w:rsid w:val="00A74951"/>
    <w:rsid w:val="00A7565A"/>
    <w:rsid w:val="00A758F1"/>
    <w:rsid w:val="00A75EC7"/>
    <w:rsid w:val="00A76783"/>
    <w:rsid w:val="00A76C58"/>
    <w:rsid w:val="00A77259"/>
    <w:rsid w:val="00A77BC1"/>
    <w:rsid w:val="00A77EF0"/>
    <w:rsid w:val="00A802C3"/>
    <w:rsid w:val="00A8052A"/>
    <w:rsid w:val="00A80DAA"/>
    <w:rsid w:val="00A82E9F"/>
    <w:rsid w:val="00A8314E"/>
    <w:rsid w:val="00A837C7"/>
    <w:rsid w:val="00A83853"/>
    <w:rsid w:val="00A850B6"/>
    <w:rsid w:val="00A85809"/>
    <w:rsid w:val="00A859AD"/>
    <w:rsid w:val="00A86399"/>
    <w:rsid w:val="00A879CE"/>
    <w:rsid w:val="00A87A50"/>
    <w:rsid w:val="00A90A2B"/>
    <w:rsid w:val="00A9181E"/>
    <w:rsid w:val="00A92F95"/>
    <w:rsid w:val="00A930B2"/>
    <w:rsid w:val="00A94B26"/>
    <w:rsid w:val="00A962F7"/>
    <w:rsid w:val="00AA0D6C"/>
    <w:rsid w:val="00AA1234"/>
    <w:rsid w:val="00AA3E48"/>
    <w:rsid w:val="00AA44EE"/>
    <w:rsid w:val="00AA655D"/>
    <w:rsid w:val="00AA66BB"/>
    <w:rsid w:val="00AA6A50"/>
    <w:rsid w:val="00AB12DF"/>
    <w:rsid w:val="00AB15A9"/>
    <w:rsid w:val="00AB2070"/>
    <w:rsid w:val="00AB2398"/>
    <w:rsid w:val="00AB32E7"/>
    <w:rsid w:val="00AB3E28"/>
    <w:rsid w:val="00AB3E9C"/>
    <w:rsid w:val="00AB4120"/>
    <w:rsid w:val="00AB463B"/>
    <w:rsid w:val="00AB5007"/>
    <w:rsid w:val="00AB6F13"/>
    <w:rsid w:val="00AB7456"/>
    <w:rsid w:val="00AB784D"/>
    <w:rsid w:val="00AB7916"/>
    <w:rsid w:val="00AC1776"/>
    <w:rsid w:val="00AC1E0B"/>
    <w:rsid w:val="00AC4B33"/>
    <w:rsid w:val="00AC50D3"/>
    <w:rsid w:val="00AC5341"/>
    <w:rsid w:val="00AC63C1"/>
    <w:rsid w:val="00AC656E"/>
    <w:rsid w:val="00AD0063"/>
    <w:rsid w:val="00AD01AF"/>
    <w:rsid w:val="00AD0407"/>
    <w:rsid w:val="00AD0409"/>
    <w:rsid w:val="00AD09CE"/>
    <w:rsid w:val="00AD1067"/>
    <w:rsid w:val="00AD17D8"/>
    <w:rsid w:val="00AD1B98"/>
    <w:rsid w:val="00AD47B4"/>
    <w:rsid w:val="00AD5510"/>
    <w:rsid w:val="00AD5740"/>
    <w:rsid w:val="00AD67E2"/>
    <w:rsid w:val="00AD698F"/>
    <w:rsid w:val="00AD69ED"/>
    <w:rsid w:val="00AD6AC2"/>
    <w:rsid w:val="00AD7129"/>
    <w:rsid w:val="00AD7B4C"/>
    <w:rsid w:val="00AE1320"/>
    <w:rsid w:val="00AE1E12"/>
    <w:rsid w:val="00AE3996"/>
    <w:rsid w:val="00AE42D1"/>
    <w:rsid w:val="00AE46E8"/>
    <w:rsid w:val="00AE593E"/>
    <w:rsid w:val="00AE5A47"/>
    <w:rsid w:val="00AE5B65"/>
    <w:rsid w:val="00AE6B98"/>
    <w:rsid w:val="00AE74D3"/>
    <w:rsid w:val="00AE7B7E"/>
    <w:rsid w:val="00AF0496"/>
    <w:rsid w:val="00AF0EAE"/>
    <w:rsid w:val="00AF0F58"/>
    <w:rsid w:val="00AF1AAC"/>
    <w:rsid w:val="00AF1BDB"/>
    <w:rsid w:val="00AF1FB9"/>
    <w:rsid w:val="00AF22A8"/>
    <w:rsid w:val="00AF32B1"/>
    <w:rsid w:val="00AF3987"/>
    <w:rsid w:val="00AF3C12"/>
    <w:rsid w:val="00AF54A5"/>
    <w:rsid w:val="00AF5C88"/>
    <w:rsid w:val="00AF64FF"/>
    <w:rsid w:val="00AF6830"/>
    <w:rsid w:val="00AF726D"/>
    <w:rsid w:val="00AF7617"/>
    <w:rsid w:val="00B002A7"/>
    <w:rsid w:val="00B00B7E"/>
    <w:rsid w:val="00B00ED0"/>
    <w:rsid w:val="00B00FDD"/>
    <w:rsid w:val="00B01028"/>
    <w:rsid w:val="00B0143E"/>
    <w:rsid w:val="00B02458"/>
    <w:rsid w:val="00B02A45"/>
    <w:rsid w:val="00B03995"/>
    <w:rsid w:val="00B044A0"/>
    <w:rsid w:val="00B054D7"/>
    <w:rsid w:val="00B055FE"/>
    <w:rsid w:val="00B05784"/>
    <w:rsid w:val="00B0604D"/>
    <w:rsid w:val="00B061BB"/>
    <w:rsid w:val="00B06D01"/>
    <w:rsid w:val="00B0737E"/>
    <w:rsid w:val="00B079C9"/>
    <w:rsid w:val="00B07D0B"/>
    <w:rsid w:val="00B07E84"/>
    <w:rsid w:val="00B07EE8"/>
    <w:rsid w:val="00B111B0"/>
    <w:rsid w:val="00B1135D"/>
    <w:rsid w:val="00B1144B"/>
    <w:rsid w:val="00B12216"/>
    <w:rsid w:val="00B137AA"/>
    <w:rsid w:val="00B157D9"/>
    <w:rsid w:val="00B1581E"/>
    <w:rsid w:val="00B15EA8"/>
    <w:rsid w:val="00B1619D"/>
    <w:rsid w:val="00B162C8"/>
    <w:rsid w:val="00B16DB0"/>
    <w:rsid w:val="00B16E0F"/>
    <w:rsid w:val="00B16EEB"/>
    <w:rsid w:val="00B17F78"/>
    <w:rsid w:val="00B17FA3"/>
    <w:rsid w:val="00B21B47"/>
    <w:rsid w:val="00B2239F"/>
    <w:rsid w:val="00B22674"/>
    <w:rsid w:val="00B22820"/>
    <w:rsid w:val="00B22C3B"/>
    <w:rsid w:val="00B22CA0"/>
    <w:rsid w:val="00B2350C"/>
    <w:rsid w:val="00B23F93"/>
    <w:rsid w:val="00B2491D"/>
    <w:rsid w:val="00B25169"/>
    <w:rsid w:val="00B257DA"/>
    <w:rsid w:val="00B25984"/>
    <w:rsid w:val="00B25D22"/>
    <w:rsid w:val="00B3078E"/>
    <w:rsid w:val="00B315DE"/>
    <w:rsid w:val="00B32304"/>
    <w:rsid w:val="00B33320"/>
    <w:rsid w:val="00B345AD"/>
    <w:rsid w:val="00B348D0"/>
    <w:rsid w:val="00B35345"/>
    <w:rsid w:val="00B35A43"/>
    <w:rsid w:val="00B35D97"/>
    <w:rsid w:val="00B35E06"/>
    <w:rsid w:val="00B35E5C"/>
    <w:rsid w:val="00B36388"/>
    <w:rsid w:val="00B365E9"/>
    <w:rsid w:val="00B36BB7"/>
    <w:rsid w:val="00B40630"/>
    <w:rsid w:val="00B406E4"/>
    <w:rsid w:val="00B409A9"/>
    <w:rsid w:val="00B40B8A"/>
    <w:rsid w:val="00B41FBE"/>
    <w:rsid w:val="00B4255F"/>
    <w:rsid w:val="00B42806"/>
    <w:rsid w:val="00B429F6"/>
    <w:rsid w:val="00B43998"/>
    <w:rsid w:val="00B43DF3"/>
    <w:rsid w:val="00B4491C"/>
    <w:rsid w:val="00B44DB5"/>
    <w:rsid w:val="00B45098"/>
    <w:rsid w:val="00B455B9"/>
    <w:rsid w:val="00B45ED8"/>
    <w:rsid w:val="00B46449"/>
    <w:rsid w:val="00B47313"/>
    <w:rsid w:val="00B506FA"/>
    <w:rsid w:val="00B50ECA"/>
    <w:rsid w:val="00B51131"/>
    <w:rsid w:val="00B516ED"/>
    <w:rsid w:val="00B529F3"/>
    <w:rsid w:val="00B54570"/>
    <w:rsid w:val="00B563CA"/>
    <w:rsid w:val="00B569CF"/>
    <w:rsid w:val="00B577B9"/>
    <w:rsid w:val="00B57B33"/>
    <w:rsid w:val="00B57D69"/>
    <w:rsid w:val="00B60753"/>
    <w:rsid w:val="00B61101"/>
    <w:rsid w:val="00B62832"/>
    <w:rsid w:val="00B634F1"/>
    <w:rsid w:val="00B6406F"/>
    <w:rsid w:val="00B65185"/>
    <w:rsid w:val="00B65286"/>
    <w:rsid w:val="00B65DBC"/>
    <w:rsid w:val="00B70064"/>
    <w:rsid w:val="00B7102E"/>
    <w:rsid w:val="00B7151B"/>
    <w:rsid w:val="00B716CB"/>
    <w:rsid w:val="00B719E1"/>
    <w:rsid w:val="00B7287C"/>
    <w:rsid w:val="00B72C9A"/>
    <w:rsid w:val="00B73397"/>
    <w:rsid w:val="00B7365F"/>
    <w:rsid w:val="00B746BC"/>
    <w:rsid w:val="00B74BE1"/>
    <w:rsid w:val="00B76F8E"/>
    <w:rsid w:val="00B8167F"/>
    <w:rsid w:val="00B827B2"/>
    <w:rsid w:val="00B82FD2"/>
    <w:rsid w:val="00B84535"/>
    <w:rsid w:val="00B847D9"/>
    <w:rsid w:val="00B84D4B"/>
    <w:rsid w:val="00B85093"/>
    <w:rsid w:val="00B86353"/>
    <w:rsid w:val="00B87889"/>
    <w:rsid w:val="00B87F67"/>
    <w:rsid w:val="00B9262E"/>
    <w:rsid w:val="00B944B8"/>
    <w:rsid w:val="00B9602B"/>
    <w:rsid w:val="00B964F3"/>
    <w:rsid w:val="00B96B3E"/>
    <w:rsid w:val="00B9750A"/>
    <w:rsid w:val="00B97B11"/>
    <w:rsid w:val="00BA04FF"/>
    <w:rsid w:val="00BA0829"/>
    <w:rsid w:val="00BA0E4E"/>
    <w:rsid w:val="00BA1A48"/>
    <w:rsid w:val="00BA3415"/>
    <w:rsid w:val="00BA3A55"/>
    <w:rsid w:val="00BA3C73"/>
    <w:rsid w:val="00BA4E40"/>
    <w:rsid w:val="00BA5995"/>
    <w:rsid w:val="00BA60E5"/>
    <w:rsid w:val="00BA60FA"/>
    <w:rsid w:val="00BA6548"/>
    <w:rsid w:val="00BA7312"/>
    <w:rsid w:val="00BA774D"/>
    <w:rsid w:val="00BB05BA"/>
    <w:rsid w:val="00BB1001"/>
    <w:rsid w:val="00BB2244"/>
    <w:rsid w:val="00BB2858"/>
    <w:rsid w:val="00BB2886"/>
    <w:rsid w:val="00BB441B"/>
    <w:rsid w:val="00BB444B"/>
    <w:rsid w:val="00BB4E5D"/>
    <w:rsid w:val="00BB5294"/>
    <w:rsid w:val="00BB7137"/>
    <w:rsid w:val="00BC1B08"/>
    <w:rsid w:val="00BC2D38"/>
    <w:rsid w:val="00BC2D99"/>
    <w:rsid w:val="00BC3484"/>
    <w:rsid w:val="00BC3F24"/>
    <w:rsid w:val="00BC3F99"/>
    <w:rsid w:val="00BC5795"/>
    <w:rsid w:val="00BC5C41"/>
    <w:rsid w:val="00BC5EB2"/>
    <w:rsid w:val="00BC70BC"/>
    <w:rsid w:val="00BC7C14"/>
    <w:rsid w:val="00BD0C78"/>
    <w:rsid w:val="00BD1678"/>
    <w:rsid w:val="00BD1FBC"/>
    <w:rsid w:val="00BD276A"/>
    <w:rsid w:val="00BD3B3A"/>
    <w:rsid w:val="00BD4A17"/>
    <w:rsid w:val="00BD4E3D"/>
    <w:rsid w:val="00BD5D4C"/>
    <w:rsid w:val="00BD5FAA"/>
    <w:rsid w:val="00BD6323"/>
    <w:rsid w:val="00BD660B"/>
    <w:rsid w:val="00BE07CA"/>
    <w:rsid w:val="00BE1CDC"/>
    <w:rsid w:val="00BE2082"/>
    <w:rsid w:val="00BE2857"/>
    <w:rsid w:val="00BE2D51"/>
    <w:rsid w:val="00BE3731"/>
    <w:rsid w:val="00BE3873"/>
    <w:rsid w:val="00BE506F"/>
    <w:rsid w:val="00BE53CD"/>
    <w:rsid w:val="00BE6619"/>
    <w:rsid w:val="00BE73F7"/>
    <w:rsid w:val="00BE7770"/>
    <w:rsid w:val="00BF0940"/>
    <w:rsid w:val="00BF1334"/>
    <w:rsid w:val="00BF1E2C"/>
    <w:rsid w:val="00BF3255"/>
    <w:rsid w:val="00BF426D"/>
    <w:rsid w:val="00BF42E7"/>
    <w:rsid w:val="00BF4AFA"/>
    <w:rsid w:val="00BF5086"/>
    <w:rsid w:val="00BF5C9D"/>
    <w:rsid w:val="00BF6718"/>
    <w:rsid w:val="00BF6780"/>
    <w:rsid w:val="00BF6FCD"/>
    <w:rsid w:val="00BF7125"/>
    <w:rsid w:val="00BF7868"/>
    <w:rsid w:val="00C00528"/>
    <w:rsid w:val="00C00565"/>
    <w:rsid w:val="00C00A53"/>
    <w:rsid w:val="00C00B93"/>
    <w:rsid w:val="00C00D33"/>
    <w:rsid w:val="00C00E2A"/>
    <w:rsid w:val="00C01C5D"/>
    <w:rsid w:val="00C022CB"/>
    <w:rsid w:val="00C024D6"/>
    <w:rsid w:val="00C028AD"/>
    <w:rsid w:val="00C0396B"/>
    <w:rsid w:val="00C04C21"/>
    <w:rsid w:val="00C052B1"/>
    <w:rsid w:val="00C06AB3"/>
    <w:rsid w:val="00C07001"/>
    <w:rsid w:val="00C11555"/>
    <w:rsid w:val="00C1256A"/>
    <w:rsid w:val="00C14004"/>
    <w:rsid w:val="00C14FC5"/>
    <w:rsid w:val="00C154B1"/>
    <w:rsid w:val="00C15D64"/>
    <w:rsid w:val="00C1611E"/>
    <w:rsid w:val="00C17D22"/>
    <w:rsid w:val="00C20AE0"/>
    <w:rsid w:val="00C20D1D"/>
    <w:rsid w:val="00C21AC8"/>
    <w:rsid w:val="00C221F2"/>
    <w:rsid w:val="00C2288F"/>
    <w:rsid w:val="00C230C0"/>
    <w:rsid w:val="00C23265"/>
    <w:rsid w:val="00C23AB6"/>
    <w:rsid w:val="00C23F90"/>
    <w:rsid w:val="00C23FF2"/>
    <w:rsid w:val="00C243F8"/>
    <w:rsid w:val="00C256AD"/>
    <w:rsid w:val="00C2591E"/>
    <w:rsid w:val="00C25D42"/>
    <w:rsid w:val="00C25D68"/>
    <w:rsid w:val="00C26EF8"/>
    <w:rsid w:val="00C278F2"/>
    <w:rsid w:val="00C306BD"/>
    <w:rsid w:val="00C30BF7"/>
    <w:rsid w:val="00C30CA8"/>
    <w:rsid w:val="00C30EF5"/>
    <w:rsid w:val="00C31661"/>
    <w:rsid w:val="00C326A6"/>
    <w:rsid w:val="00C33278"/>
    <w:rsid w:val="00C339D3"/>
    <w:rsid w:val="00C34D4D"/>
    <w:rsid w:val="00C358E9"/>
    <w:rsid w:val="00C358F4"/>
    <w:rsid w:val="00C35C11"/>
    <w:rsid w:val="00C36525"/>
    <w:rsid w:val="00C365EA"/>
    <w:rsid w:val="00C3757D"/>
    <w:rsid w:val="00C40A54"/>
    <w:rsid w:val="00C40CE3"/>
    <w:rsid w:val="00C40E54"/>
    <w:rsid w:val="00C42D57"/>
    <w:rsid w:val="00C43A58"/>
    <w:rsid w:val="00C442D4"/>
    <w:rsid w:val="00C44673"/>
    <w:rsid w:val="00C446C1"/>
    <w:rsid w:val="00C453DA"/>
    <w:rsid w:val="00C45583"/>
    <w:rsid w:val="00C455DD"/>
    <w:rsid w:val="00C45F86"/>
    <w:rsid w:val="00C46C36"/>
    <w:rsid w:val="00C47067"/>
    <w:rsid w:val="00C474B5"/>
    <w:rsid w:val="00C50389"/>
    <w:rsid w:val="00C5059C"/>
    <w:rsid w:val="00C511D0"/>
    <w:rsid w:val="00C514AA"/>
    <w:rsid w:val="00C5151E"/>
    <w:rsid w:val="00C52186"/>
    <w:rsid w:val="00C539B0"/>
    <w:rsid w:val="00C547B8"/>
    <w:rsid w:val="00C56C0F"/>
    <w:rsid w:val="00C574F2"/>
    <w:rsid w:val="00C60490"/>
    <w:rsid w:val="00C6061E"/>
    <w:rsid w:val="00C60AA6"/>
    <w:rsid w:val="00C60C41"/>
    <w:rsid w:val="00C62B4E"/>
    <w:rsid w:val="00C6530B"/>
    <w:rsid w:val="00C65988"/>
    <w:rsid w:val="00C66A57"/>
    <w:rsid w:val="00C67A0E"/>
    <w:rsid w:val="00C706B1"/>
    <w:rsid w:val="00C71514"/>
    <w:rsid w:val="00C71890"/>
    <w:rsid w:val="00C72086"/>
    <w:rsid w:val="00C72A03"/>
    <w:rsid w:val="00C7335F"/>
    <w:rsid w:val="00C73F65"/>
    <w:rsid w:val="00C7428E"/>
    <w:rsid w:val="00C74910"/>
    <w:rsid w:val="00C75805"/>
    <w:rsid w:val="00C75A99"/>
    <w:rsid w:val="00C763D2"/>
    <w:rsid w:val="00C764E0"/>
    <w:rsid w:val="00C76AD2"/>
    <w:rsid w:val="00C76ED0"/>
    <w:rsid w:val="00C77682"/>
    <w:rsid w:val="00C77EE1"/>
    <w:rsid w:val="00C80D9F"/>
    <w:rsid w:val="00C80E79"/>
    <w:rsid w:val="00C81367"/>
    <w:rsid w:val="00C81B0A"/>
    <w:rsid w:val="00C8218A"/>
    <w:rsid w:val="00C821D0"/>
    <w:rsid w:val="00C832FF"/>
    <w:rsid w:val="00C83CC5"/>
    <w:rsid w:val="00C83DC3"/>
    <w:rsid w:val="00C84CEE"/>
    <w:rsid w:val="00C851AA"/>
    <w:rsid w:val="00C85BEB"/>
    <w:rsid w:val="00C87113"/>
    <w:rsid w:val="00C87AAC"/>
    <w:rsid w:val="00C907ED"/>
    <w:rsid w:val="00C90A3D"/>
    <w:rsid w:val="00C91955"/>
    <w:rsid w:val="00C935FC"/>
    <w:rsid w:val="00C93E0D"/>
    <w:rsid w:val="00C94A36"/>
    <w:rsid w:val="00C94FE4"/>
    <w:rsid w:val="00C96651"/>
    <w:rsid w:val="00C96CFC"/>
    <w:rsid w:val="00C96E79"/>
    <w:rsid w:val="00C9774D"/>
    <w:rsid w:val="00C97A04"/>
    <w:rsid w:val="00CA0655"/>
    <w:rsid w:val="00CA0CB5"/>
    <w:rsid w:val="00CA1CB9"/>
    <w:rsid w:val="00CA2325"/>
    <w:rsid w:val="00CA4709"/>
    <w:rsid w:val="00CA493A"/>
    <w:rsid w:val="00CA599B"/>
    <w:rsid w:val="00CA656E"/>
    <w:rsid w:val="00CA7B35"/>
    <w:rsid w:val="00CB0AFE"/>
    <w:rsid w:val="00CB1349"/>
    <w:rsid w:val="00CB16F7"/>
    <w:rsid w:val="00CB28E8"/>
    <w:rsid w:val="00CB413C"/>
    <w:rsid w:val="00CB4833"/>
    <w:rsid w:val="00CB5042"/>
    <w:rsid w:val="00CB5068"/>
    <w:rsid w:val="00CB61BA"/>
    <w:rsid w:val="00CB62E9"/>
    <w:rsid w:val="00CB654E"/>
    <w:rsid w:val="00CB67A8"/>
    <w:rsid w:val="00CB6AB6"/>
    <w:rsid w:val="00CB7583"/>
    <w:rsid w:val="00CB7673"/>
    <w:rsid w:val="00CC0311"/>
    <w:rsid w:val="00CC06D1"/>
    <w:rsid w:val="00CC0779"/>
    <w:rsid w:val="00CC0DF5"/>
    <w:rsid w:val="00CC1A6B"/>
    <w:rsid w:val="00CC1B8E"/>
    <w:rsid w:val="00CC1E5B"/>
    <w:rsid w:val="00CC25E6"/>
    <w:rsid w:val="00CC2FF4"/>
    <w:rsid w:val="00CC3077"/>
    <w:rsid w:val="00CC3C91"/>
    <w:rsid w:val="00CC3DCF"/>
    <w:rsid w:val="00CC42CE"/>
    <w:rsid w:val="00CC4BDB"/>
    <w:rsid w:val="00CC4D96"/>
    <w:rsid w:val="00CC517B"/>
    <w:rsid w:val="00CC557B"/>
    <w:rsid w:val="00CC564B"/>
    <w:rsid w:val="00CC5B65"/>
    <w:rsid w:val="00CC5DAC"/>
    <w:rsid w:val="00CC6556"/>
    <w:rsid w:val="00CC6587"/>
    <w:rsid w:val="00CC7737"/>
    <w:rsid w:val="00CC7B56"/>
    <w:rsid w:val="00CD0B7D"/>
    <w:rsid w:val="00CD12A3"/>
    <w:rsid w:val="00CD1FB6"/>
    <w:rsid w:val="00CD2040"/>
    <w:rsid w:val="00CD26FE"/>
    <w:rsid w:val="00CD271F"/>
    <w:rsid w:val="00CD28DC"/>
    <w:rsid w:val="00CD305E"/>
    <w:rsid w:val="00CD3176"/>
    <w:rsid w:val="00CD3800"/>
    <w:rsid w:val="00CD4436"/>
    <w:rsid w:val="00CD49C6"/>
    <w:rsid w:val="00CD518C"/>
    <w:rsid w:val="00CD6923"/>
    <w:rsid w:val="00CD712B"/>
    <w:rsid w:val="00CD7594"/>
    <w:rsid w:val="00CE04C7"/>
    <w:rsid w:val="00CE0ED9"/>
    <w:rsid w:val="00CE1B2D"/>
    <w:rsid w:val="00CE3F17"/>
    <w:rsid w:val="00CE4187"/>
    <w:rsid w:val="00CE4965"/>
    <w:rsid w:val="00CE555A"/>
    <w:rsid w:val="00CE6B9E"/>
    <w:rsid w:val="00CE7246"/>
    <w:rsid w:val="00CE7529"/>
    <w:rsid w:val="00CE79E6"/>
    <w:rsid w:val="00CF02A3"/>
    <w:rsid w:val="00CF26B9"/>
    <w:rsid w:val="00CF289E"/>
    <w:rsid w:val="00CF329B"/>
    <w:rsid w:val="00CF345B"/>
    <w:rsid w:val="00CF42DC"/>
    <w:rsid w:val="00CF48E7"/>
    <w:rsid w:val="00CF516A"/>
    <w:rsid w:val="00CF6BE8"/>
    <w:rsid w:val="00CF74CA"/>
    <w:rsid w:val="00CF7607"/>
    <w:rsid w:val="00CF77CE"/>
    <w:rsid w:val="00CF7B93"/>
    <w:rsid w:val="00CF7BD2"/>
    <w:rsid w:val="00CF7C02"/>
    <w:rsid w:val="00D00019"/>
    <w:rsid w:val="00D00164"/>
    <w:rsid w:val="00D0137E"/>
    <w:rsid w:val="00D020A2"/>
    <w:rsid w:val="00D02812"/>
    <w:rsid w:val="00D034A4"/>
    <w:rsid w:val="00D05EF1"/>
    <w:rsid w:val="00D05F95"/>
    <w:rsid w:val="00D06900"/>
    <w:rsid w:val="00D112F5"/>
    <w:rsid w:val="00D11491"/>
    <w:rsid w:val="00D11713"/>
    <w:rsid w:val="00D12C7A"/>
    <w:rsid w:val="00D13298"/>
    <w:rsid w:val="00D1350B"/>
    <w:rsid w:val="00D13636"/>
    <w:rsid w:val="00D136C0"/>
    <w:rsid w:val="00D141B5"/>
    <w:rsid w:val="00D147FC"/>
    <w:rsid w:val="00D14A84"/>
    <w:rsid w:val="00D1537B"/>
    <w:rsid w:val="00D16112"/>
    <w:rsid w:val="00D169C2"/>
    <w:rsid w:val="00D16CFE"/>
    <w:rsid w:val="00D16FAE"/>
    <w:rsid w:val="00D2028B"/>
    <w:rsid w:val="00D20680"/>
    <w:rsid w:val="00D20EFE"/>
    <w:rsid w:val="00D20F8A"/>
    <w:rsid w:val="00D213F2"/>
    <w:rsid w:val="00D2226F"/>
    <w:rsid w:val="00D22F2C"/>
    <w:rsid w:val="00D2311D"/>
    <w:rsid w:val="00D23F55"/>
    <w:rsid w:val="00D24606"/>
    <w:rsid w:val="00D24E6F"/>
    <w:rsid w:val="00D266DC"/>
    <w:rsid w:val="00D2714B"/>
    <w:rsid w:val="00D27B8E"/>
    <w:rsid w:val="00D27D64"/>
    <w:rsid w:val="00D30A95"/>
    <w:rsid w:val="00D30F47"/>
    <w:rsid w:val="00D31306"/>
    <w:rsid w:val="00D31CC6"/>
    <w:rsid w:val="00D327F0"/>
    <w:rsid w:val="00D34437"/>
    <w:rsid w:val="00D34AFC"/>
    <w:rsid w:val="00D35329"/>
    <w:rsid w:val="00D353A7"/>
    <w:rsid w:val="00D3614E"/>
    <w:rsid w:val="00D36DCE"/>
    <w:rsid w:val="00D37D8E"/>
    <w:rsid w:val="00D4058B"/>
    <w:rsid w:val="00D40768"/>
    <w:rsid w:val="00D40B03"/>
    <w:rsid w:val="00D40D9C"/>
    <w:rsid w:val="00D41B23"/>
    <w:rsid w:val="00D426AF"/>
    <w:rsid w:val="00D426C8"/>
    <w:rsid w:val="00D4350B"/>
    <w:rsid w:val="00D43826"/>
    <w:rsid w:val="00D441B7"/>
    <w:rsid w:val="00D4522B"/>
    <w:rsid w:val="00D452B8"/>
    <w:rsid w:val="00D45721"/>
    <w:rsid w:val="00D46A5A"/>
    <w:rsid w:val="00D46D52"/>
    <w:rsid w:val="00D47635"/>
    <w:rsid w:val="00D47AEC"/>
    <w:rsid w:val="00D5260D"/>
    <w:rsid w:val="00D53A39"/>
    <w:rsid w:val="00D53C6F"/>
    <w:rsid w:val="00D53E43"/>
    <w:rsid w:val="00D5532B"/>
    <w:rsid w:val="00D558DD"/>
    <w:rsid w:val="00D5641D"/>
    <w:rsid w:val="00D56C03"/>
    <w:rsid w:val="00D57019"/>
    <w:rsid w:val="00D57C53"/>
    <w:rsid w:val="00D60988"/>
    <w:rsid w:val="00D60AB8"/>
    <w:rsid w:val="00D60C96"/>
    <w:rsid w:val="00D60E8E"/>
    <w:rsid w:val="00D6103F"/>
    <w:rsid w:val="00D61350"/>
    <w:rsid w:val="00D614D4"/>
    <w:rsid w:val="00D616B5"/>
    <w:rsid w:val="00D6314F"/>
    <w:rsid w:val="00D636EB"/>
    <w:rsid w:val="00D63B17"/>
    <w:rsid w:val="00D63E60"/>
    <w:rsid w:val="00D6511D"/>
    <w:rsid w:val="00D657E2"/>
    <w:rsid w:val="00D67ADF"/>
    <w:rsid w:val="00D67B08"/>
    <w:rsid w:val="00D67C55"/>
    <w:rsid w:val="00D67F64"/>
    <w:rsid w:val="00D70291"/>
    <w:rsid w:val="00D7101B"/>
    <w:rsid w:val="00D72746"/>
    <w:rsid w:val="00D732BF"/>
    <w:rsid w:val="00D736C0"/>
    <w:rsid w:val="00D736E2"/>
    <w:rsid w:val="00D74046"/>
    <w:rsid w:val="00D74062"/>
    <w:rsid w:val="00D7462B"/>
    <w:rsid w:val="00D74719"/>
    <w:rsid w:val="00D749A2"/>
    <w:rsid w:val="00D74BD3"/>
    <w:rsid w:val="00D754C7"/>
    <w:rsid w:val="00D7559A"/>
    <w:rsid w:val="00D77DF5"/>
    <w:rsid w:val="00D77DF9"/>
    <w:rsid w:val="00D804BE"/>
    <w:rsid w:val="00D81842"/>
    <w:rsid w:val="00D82E20"/>
    <w:rsid w:val="00D83FFF"/>
    <w:rsid w:val="00D8562B"/>
    <w:rsid w:val="00D86A7C"/>
    <w:rsid w:val="00D86C63"/>
    <w:rsid w:val="00D871EE"/>
    <w:rsid w:val="00D874ED"/>
    <w:rsid w:val="00D8792C"/>
    <w:rsid w:val="00D87DD5"/>
    <w:rsid w:val="00D901D4"/>
    <w:rsid w:val="00D90CD0"/>
    <w:rsid w:val="00D90CD1"/>
    <w:rsid w:val="00D91CD8"/>
    <w:rsid w:val="00D92227"/>
    <w:rsid w:val="00D92B22"/>
    <w:rsid w:val="00D9400F"/>
    <w:rsid w:val="00D9595A"/>
    <w:rsid w:val="00D95BA5"/>
    <w:rsid w:val="00D9650F"/>
    <w:rsid w:val="00D972B2"/>
    <w:rsid w:val="00D97E15"/>
    <w:rsid w:val="00DA11ED"/>
    <w:rsid w:val="00DA12AC"/>
    <w:rsid w:val="00DA1EFB"/>
    <w:rsid w:val="00DA1F6F"/>
    <w:rsid w:val="00DA208B"/>
    <w:rsid w:val="00DA2A71"/>
    <w:rsid w:val="00DA3590"/>
    <w:rsid w:val="00DA35FF"/>
    <w:rsid w:val="00DA3A0B"/>
    <w:rsid w:val="00DA480B"/>
    <w:rsid w:val="00DA4F6F"/>
    <w:rsid w:val="00DA5253"/>
    <w:rsid w:val="00DA5AA9"/>
    <w:rsid w:val="00DA69FF"/>
    <w:rsid w:val="00DA6EC7"/>
    <w:rsid w:val="00DA7171"/>
    <w:rsid w:val="00DB0047"/>
    <w:rsid w:val="00DB03FF"/>
    <w:rsid w:val="00DB0C2D"/>
    <w:rsid w:val="00DB0FFD"/>
    <w:rsid w:val="00DB2198"/>
    <w:rsid w:val="00DB3F59"/>
    <w:rsid w:val="00DB4D0F"/>
    <w:rsid w:val="00DB5238"/>
    <w:rsid w:val="00DB5775"/>
    <w:rsid w:val="00DB5863"/>
    <w:rsid w:val="00DB69B4"/>
    <w:rsid w:val="00DC004A"/>
    <w:rsid w:val="00DC00FE"/>
    <w:rsid w:val="00DC0B86"/>
    <w:rsid w:val="00DC1AC9"/>
    <w:rsid w:val="00DC2346"/>
    <w:rsid w:val="00DC238D"/>
    <w:rsid w:val="00DC2C39"/>
    <w:rsid w:val="00DC323C"/>
    <w:rsid w:val="00DC74C1"/>
    <w:rsid w:val="00DC7D5D"/>
    <w:rsid w:val="00DD0131"/>
    <w:rsid w:val="00DD0616"/>
    <w:rsid w:val="00DD16B6"/>
    <w:rsid w:val="00DD17B7"/>
    <w:rsid w:val="00DD1E9A"/>
    <w:rsid w:val="00DD2E18"/>
    <w:rsid w:val="00DD3E8C"/>
    <w:rsid w:val="00DD4724"/>
    <w:rsid w:val="00DD482D"/>
    <w:rsid w:val="00DD52FD"/>
    <w:rsid w:val="00DD59FC"/>
    <w:rsid w:val="00DD7E7F"/>
    <w:rsid w:val="00DE00A3"/>
    <w:rsid w:val="00DE032D"/>
    <w:rsid w:val="00DE2211"/>
    <w:rsid w:val="00DE222F"/>
    <w:rsid w:val="00DE3C34"/>
    <w:rsid w:val="00DE3F50"/>
    <w:rsid w:val="00DE49BD"/>
    <w:rsid w:val="00DE4C68"/>
    <w:rsid w:val="00DE5206"/>
    <w:rsid w:val="00DE5A4F"/>
    <w:rsid w:val="00DE5CF2"/>
    <w:rsid w:val="00DE7299"/>
    <w:rsid w:val="00DF1493"/>
    <w:rsid w:val="00DF1DF6"/>
    <w:rsid w:val="00DF37B7"/>
    <w:rsid w:val="00DF3DC5"/>
    <w:rsid w:val="00DF4AFF"/>
    <w:rsid w:val="00DF4DB7"/>
    <w:rsid w:val="00DF5C19"/>
    <w:rsid w:val="00DF60EB"/>
    <w:rsid w:val="00DF6122"/>
    <w:rsid w:val="00DF66E8"/>
    <w:rsid w:val="00DF6CA5"/>
    <w:rsid w:val="00DF7739"/>
    <w:rsid w:val="00DF7E4E"/>
    <w:rsid w:val="00E0003C"/>
    <w:rsid w:val="00E0093C"/>
    <w:rsid w:val="00E00AEC"/>
    <w:rsid w:val="00E01B0C"/>
    <w:rsid w:val="00E01C70"/>
    <w:rsid w:val="00E02409"/>
    <w:rsid w:val="00E03379"/>
    <w:rsid w:val="00E03B96"/>
    <w:rsid w:val="00E04333"/>
    <w:rsid w:val="00E04E3E"/>
    <w:rsid w:val="00E05270"/>
    <w:rsid w:val="00E061EF"/>
    <w:rsid w:val="00E06E94"/>
    <w:rsid w:val="00E07140"/>
    <w:rsid w:val="00E07A0B"/>
    <w:rsid w:val="00E100DE"/>
    <w:rsid w:val="00E10DF8"/>
    <w:rsid w:val="00E11D00"/>
    <w:rsid w:val="00E11DAA"/>
    <w:rsid w:val="00E120C2"/>
    <w:rsid w:val="00E13154"/>
    <w:rsid w:val="00E1321B"/>
    <w:rsid w:val="00E13BED"/>
    <w:rsid w:val="00E13F96"/>
    <w:rsid w:val="00E152A2"/>
    <w:rsid w:val="00E15308"/>
    <w:rsid w:val="00E15342"/>
    <w:rsid w:val="00E16165"/>
    <w:rsid w:val="00E16D2D"/>
    <w:rsid w:val="00E179B5"/>
    <w:rsid w:val="00E17EBF"/>
    <w:rsid w:val="00E22554"/>
    <w:rsid w:val="00E23683"/>
    <w:rsid w:val="00E239CF"/>
    <w:rsid w:val="00E2479F"/>
    <w:rsid w:val="00E247EA"/>
    <w:rsid w:val="00E25D45"/>
    <w:rsid w:val="00E3038A"/>
    <w:rsid w:val="00E30F3B"/>
    <w:rsid w:val="00E34A44"/>
    <w:rsid w:val="00E35074"/>
    <w:rsid w:val="00E3535E"/>
    <w:rsid w:val="00E3634D"/>
    <w:rsid w:val="00E363DD"/>
    <w:rsid w:val="00E365F4"/>
    <w:rsid w:val="00E36C34"/>
    <w:rsid w:val="00E36FC3"/>
    <w:rsid w:val="00E376F4"/>
    <w:rsid w:val="00E37DB1"/>
    <w:rsid w:val="00E37DDB"/>
    <w:rsid w:val="00E4160C"/>
    <w:rsid w:val="00E41FB5"/>
    <w:rsid w:val="00E423E1"/>
    <w:rsid w:val="00E42F12"/>
    <w:rsid w:val="00E42F61"/>
    <w:rsid w:val="00E4395B"/>
    <w:rsid w:val="00E44360"/>
    <w:rsid w:val="00E4572C"/>
    <w:rsid w:val="00E45A89"/>
    <w:rsid w:val="00E468CB"/>
    <w:rsid w:val="00E46A18"/>
    <w:rsid w:val="00E46F1E"/>
    <w:rsid w:val="00E47EEB"/>
    <w:rsid w:val="00E5126D"/>
    <w:rsid w:val="00E51EC6"/>
    <w:rsid w:val="00E5200E"/>
    <w:rsid w:val="00E52041"/>
    <w:rsid w:val="00E53955"/>
    <w:rsid w:val="00E540BD"/>
    <w:rsid w:val="00E54F20"/>
    <w:rsid w:val="00E55143"/>
    <w:rsid w:val="00E55520"/>
    <w:rsid w:val="00E56137"/>
    <w:rsid w:val="00E56736"/>
    <w:rsid w:val="00E56CE1"/>
    <w:rsid w:val="00E570EC"/>
    <w:rsid w:val="00E57F40"/>
    <w:rsid w:val="00E613E8"/>
    <w:rsid w:val="00E62F70"/>
    <w:rsid w:val="00E64D9F"/>
    <w:rsid w:val="00E657AE"/>
    <w:rsid w:val="00E65A9C"/>
    <w:rsid w:val="00E66536"/>
    <w:rsid w:val="00E6707B"/>
    <w:rsid w:val="00E678E9"/>
    <w:rsid w:val="00E679D4"/>
    <w:rsid w:val="00E67D1C"/>
    <w:rsid w:val="00E70DF2"/>
    <w:rsid w:val="00E737D0"/>
    <w:rsid w:val="00E73C9B"/>
    <w:rsid w:val="00E74F72"/>
    <w:rsid w:val="00E76942"/>
    <w:rsid w:val="00E80473"/>
    <w:rsid w:val="00E82B40"/>
    <w:rsid w:val="00E82C8F"/>
    <w:rsid w:val="00E830C2"/>
    <w:rsid w:val="00E836E5"/>
    <w:rsid w:val="00E86223"/>
    <w:rsid w:val="00E86B01"/>
    <w:rsid w:val="00E86B6B"/>
    <w:rsid w:val="00E86CDF"/>
    <w:rsid w:val="00E86DF5"/>
    <w:rsid w:val="00E875B4"/>
    <w:rsid w:val="00E8760B"/>
    <w:rsid w:val="00E90570"/>
    <w:rsid w:val="00E90D53"/>
    <w:rsid w:val="00E90FE1"/>
    <w:rsid w:val="00E916C8"/>
    <w:rsid w:val="00E92AF1"/>
    <w:rsid w:val="00E93106"/>
    <w:rsid w:val="00E939BD"/>
    <w:rsid w:val="00E93AA0"/>
    <w:rsid w:val="00E93F20"/>
    <w:rsid w:val="00E946E9"/>
    <w:rsid w:val="00E94757"/>
    <w:rsid w:val="00E95A9C"/>
    <w:rsid w:val="00E962F8"/>
    <w:rsid w:val="00E9743E"/>
    <w:rsid w:val="00EA0C86"/>
    <w:rsid w:val="00EA10E7"/>
    <w:rsid w:val="00EA10EA"/>
    <w:rsid w:val="00EA1A08"/>
    <w:rsid w:val="00EA22A3"/>
    <w:rsid w:val="00EA2553"/>
    <w:rsid w:val="00EA2767"/>
    <w:rsid w:val="00EA34A6"/>
    <w:rsid w:val="00EA3AA8"/>
    <w:rsid w:val="00EA4B94"/>
    <w:rsid w:val="00EA4C1C"/>
    <w:rsid w:val="00EA5842"/>
    <w:rsid w:val="00EA5875"/>
    <w:rsid w:val="00EA5F83"/>
    <w:rsid w:val="00EA7156"/>
    <w:rsid w:val="00EA763E"/>
    <w:rsid w:val="00EA7A26"/>
    <w:rsid w:val="00EB0442"/>
    <w:rsid w:val="00EB0EEC"/>
    <w:rsid w:val="00EB1004"/>
    <w:rsid w:val="00EB25B9"/>
    <w:rsid w:val="00EB400D"/>
    <w:rsid w:val="00EB4255"/>
    <w:rsid w:val="00EB4DF5"/>
    <w:rsid w:val="00EB5714"/>
    <w:rsid w:val="00EB659A"/>
    <w:rsid w:val="00EB7328"/>
    <w:rsid w:val="00EB7A30"/>
    <w:rsid w:val="00EB7BCB"/>
    <w:rsid w:val="00EB7E2F"/>
    <w:rsid w:val="00EC04EF"/>
    <w:rsid w:val="00EC0907"/>
    <w:rsid w:val="00EC0E3C"/>
    <w:rsid w:val="00EC18B3"/>
    <w:rsid w:val="00EC2969"/>
    <w:rsid w:val="00EC2A09"/>
    <w:rsid w:val="00EC33C9"/>
    <w:rsid w:val="00EC4720"/>
    <w:rsid w:val="00EC4FF1"/>
    <w:rsid w:val="00EC512A"/>
    <w:rsid w:val="00EC654E"/>
    <w:rsid w:val="00EC68DB"/>
    <w:rsid w:val="00ED0A9E"/>
    <w:rsid w:val="00ED0EDE"/>
    <w:rsid w:val="00ED0F88"/>
    <w:rsid w:val="00ED1C79"/>
    <w:rsid w:val="00ED1F87"/>
    <w:rsid w:val="00ED213C"/>
    <w:rsid w:val="00ED30A6"/>
    <w:rsid w:val="00ED310B"/>
    <w:rsid w:val="00ED37B1"/>
    <w:rsid w:val="00ED4F54"/>
    <w:rsid w:val="00ED5056"/>
    <w:rsid w:val="00ED645D"/>
    <w:rsid w:val="00ED6B1F"/>
    <w:rsid w:val="00ED6E71"/>
    <w:rsid w:val="00ED6F78"/>
    <w:rsid w:val="00ED7512"/>
    <w:rsid w:val="00ED756D"/>
    <w:rsid w:val="00ED775B"/>
    <w:rsid w:val="00EE02C0"/>
    <w:rsid w:val="00EE03CE"/>
    <w:rsid w:val="00EE12C1"/>
    <w:rsid w:val="00EE19B3"/>
    <w:rsid w:val="00EE1E06"/>
    <w:rsid w:val="00EE1E0E"/>
    <w:rsid w:val="00EE2639"/>
    <w:rsid w:val="00EE29BF"/>
    <w:rsid w:val="00EE301E"/>
    <w:rsid w:val="00EE347E"/>
    <w:rsid w:val="00EE3A48"/>
    <w:rsid w:val="00EE3DB0"/>
    <w:rsid w:val="00EE42D4"/>
    <w:rsid w:val="00EE48A3"/>
    <w:rsid w:val="00EE50D5"/>
    <w:rsid w:val="00EE5990"/>
    <w:rsid w:val="00EE5D2A"/>
    <w:rsid w:val="00EE6570"/>
    <w:rsid w:val="00EE73A3"/>
    <w:rsid w:val="00EF005C"/>
    <w:rsid w:val="00EF0F68"/>
    <w:rsid w:val="00EF1C45"/>
    <w:rsid w:val="00EF21CA"/>
    <w:rsid w:val="00EF2500"/>
    <w:rsid w:val="00EF2902"/>
    <w:rsid w:val="00EF3657"/>
    <w:rsid w:val="00EF45C3"/>
    <w:rsid w:val="00EF5892"/>
    <w:rsid w:val="00EF5BE4"/>
    <w:rsid w:val="00EF65E9"/>
    <w:rsid w:val="00F0155F"/>
    <w:rsid w:val="00F018F3"/>
    <w:rsid w:val="00F02185"/>
    <w:rsid w:val="00F02714"/>
    <w:rsid w:val="00F032C8"/>
    <w:rsid w:val="00F0372E"/>
    <w:rsid w:val="00F07DC6"/>
    <w:rsid w:val="00F10CB3"/>
    <w:rsid w:val="00F11177"/>
    <w:rsid w:val="00F11FC7"/>
    <w:rsid w:val="00F13A7B"/>
    <w:rsid w:val="00F14092"/>
    <w:rsid w:val="00F144E3"/>
    <w:rsid w:val="00F14961"/>
    <w:rsid w:val="00F14DFB"/>
    <w:rsid w:val="00F154AE"/>
    <w:rsid w:val="00F1628F"/>
    <w:rsid w:val="00F167FC"/>
    <w:rsid w:val="00F16FA5"/>
    <w:rsid w:val="00F1703D"/>
    <w:rsid w:val="00F172F1"/>
    <w:rsid w:val="00F17AF9"/>
    <w:rsid w:val="00F20D4E"/>
    <w:rsid w:val="00F22DB3"/>
    <w:rsid w:val="00F235F3"/>
    <w:rsid w:val="00F24BAE"/>
    <w:rsid w:val="00F25B65"/>
    <w:rsid w:val="00F25D12"/>
    <w:rsid w:val="00F267DE"/>
    <w:rsid w:val="00F26E2B"/>
    <w:rsid w:val="00F26EDB"/>
    <w:rsid w:val="00F2723C"/>
    <w:rsid w:val="00F27B59"/>
    <w:rsid w:val="00F27E2F"/>
    <w:rsid w:val="00F30DAD"/>
    <w:rsid w:val="00F31668"/>
    <w:rsid w:val="00F32238"/>
    <w:rsid w:val="00F323A1"/>
    <w:rsid w:val="00F32F3A"/>
    <w:rsid w:val="00F330AB"/>
    <w:rsid w:val="00F336A1"/>
    <w:rsid w:val="00F336FF"/>
    <w:rsid w:val="00F340C1"/>
    <w:rsid w:val="00F343ED"/>
    <w:rsid w:val="00F3606A"/>
    <w:rsid w:val="00F360F3"/>
    <w:rsid w:val="00F366E3"/>
    <w:rsid w:val="00F36764"/>
    <w:rsid w:val="00F3680A"/>
    <w:rsid w:val="00F369BB"/>
    <w:rsid w:val="00F3738F"/>
    <w:rsid w:val="00F373D0"/>
    <w:rsid w:val="00F374A3"/>
    <w:rsid w:val="00F37DEC"/>
    <w:rsid w:val="00F40261"/>
    <w:rsid w:val="00F407CE"/>
    <w:rsid w:val="00F4167F"/>
    <w:rsid w:val="00F43B5F"/>
    <w:rsid w:val="00F44225"/>
    <w:rsid w:val="00F44AD5"/>
    <w:rsid w:val="00F44D21"/>
    <w:rsid w:val="00F44E37"/>
    <w:rsid w:val="00F45E5B"/>
    <w:rsid w:val="00F4699F"/>
    <w:rsid w:val="00F46B8C"/>
    <w:rsid w:val="00F47437"/>
    <w:rsid w:val="00F47571"/>
    <w:rsid w:val="00F50D99"/>
    <w:rsid w:val="00F516D5"/>
    <w:rsid w:val="00F51764"/>
    <w:rsid w:val="00F517AC"/>
    <w:rsid w:val="00F51881"/>
    <w:rsid w:val="00F52598"/>
    <w:rsid w:val="00F5403F"/>
    <w:rsid w:val="00F54E3B"/>
    <w:rsid w:val="00F55555"/>
    <w:rsid w:val="00F55D44"/>
    <w:rsid w:val="00F56011"/>
    <w:rsid w:val="00F562C4"/>
    <w:rsid w:val="00F60A80"/>
    <w:rsid w:val="00F61274"/>
    <w:rsid w:val="00F612F6"/>
    <w:rsid w:val="00F61B46"/>
    <w:rsid w:val="00F6345C"/>
    <w:rsid w:val="00F63951"/>
    <w:rsid w:val="00F64514"/>
    <w:rsid w:val="00F64DE9"/>
    <w:rsid w:val="00F64FCE"/>
    <w:rsid w:val="00F65789"/>
    <w:rsid w:val="00F66474"/>
    <w:rsid w:val="00F669DB"/>
    <w:rsid w:val="00F67A1E"/>
    <w:rsid w:val="00F67FE8"/>
    <w:rsid w:val="00F70F51"/>
    <w:rsid w:val="00F71151"/>
    <w:rsid w:val="00F71694"/>
    <w:rsid w:val="00F71E2F"/>
    <w:rsid w:val="00F725C0"/>
    <w:rsid w:val="00F72887"/>
    <w:rsid w:val="00F729D7"/>
    <w:rsid w:val="00F742DA"/>
    <w:rsid w:val="00F76CB0"/>
    <w:rsid w:val="00F77601"/>
    <w:rsid w:val="00F77B8D"/>
    <w:rsid w:val="00F800AA"/>
    <w:rsid w:val="00F800E0"/>
    <w:rsid w:val="00F80531"/>
    <w:rsid w:val="00F81396"/>
    <w:rsid w:val="00F8165E"/>
    <w:rsid w:val="00F81EE4"/>
    <w:rsid w:val="00F82894"/>
    <w:rsid w:val="00F82907"/>
    <w:rsid w:val="00F82A79"/>
    <w:rsid w:val="00F83890"/>
    <w:rsid w:val="00F838CC"/>
    <w:rsid w:val="00F839FF"/>
    <w:rsid w:val="00F84AFE"/>
    <w:rsid w:val="00F852EF"/>
    <w:rsid w:val="00F86213"/>
    <w:rsid w:val="00F908EE"/>
    <w:rsid w:val="00F91589"/>
    <w:rsid w:val="00F91847"/>
    <w:rsid w:val="00F921D7"/>
    <w:rsid w:val="00F9262E"/>
    <w:rsid w:val="00F92946"/>
    <w:rsid w:val="00F939B7"/>
    <w:rsid w:val="00F95078"/>
    <w:rsid w:val="00F95E69"/>
    <w:rsid w:val="00F975E6"/>
    <w:rsid w:val="00FA2A2E"/>
    <w:rsid w:val="00FA3681"/>
    <w:rsid w:val="00FA4566"/>
    <w:rsid w:val="00FA46FA"/>
    <w:rsid w:val="00FA48C1"/>
    <w:rsid w:val="00FA735F"/>
    <w:rsid w:val="00FA736D"/>
    <w:rsid w:val="00FB0BF5"/>
    <w:rsid w:val="00FB0D3C"/>
    <w:rsid w:val="00FB0E25"/>
    <w:rsid w:val="00FB14C6"/>
    <w:rsid w:val="00FB2B31"/>
    <w:rsid w:val="00FB2FC5"/>
    <w:rsid w:val="00FB3723"/>
    <w:rsid w:val="00FB4649"/>
    <w:rsid w:val="00FB574E"/>
    <w:rsid w:val="00FB57C3"/>
    <w:rsid w:val="00FB661B"/>
    <w:rsid w:val="00FB6944"/>
    <w:rsid w:val="00FB6E34"/>
    <w:rsid w:val="00FB7A57"/>
    <w:rsid w:val="00FB7B8C"/>
    <w:rsid w:val="00FC0348"/>
    <w:rsid w:val="00FC0738"/>
    <w:rsid w:val="00FC11E2"/>
    <w:rsid w:val="00FC1A1F"/>
    <w:rsid w:val="00FC2A23"/>
    <w:rsid w:val="00FC3A24"/>
    <w:rsid w:val="00FC4373"/>
    <w:rsid w:val="00FC64D6"/>
    <w:rsid w:val="00FC6B2D"/>
    <w:rsid w:val="00FC6C07"/>
    <w:rsid w:val="00FC7591"/>
    <w:rsid w:val="00FC7DA2"/>
    <w:rsid w:val="00FD13A1"/>
    <w:rsid w:val="00FD17A7"/>
    <w:rsid w:val="00FD1848"/>
    <w:rsid w:val="00FD1937"/>
    <w:rsid w:val="00FD19FA"/>
    <w:rsid w:val="00FD1D8A"/>
    <w:rsid w:val="00FD235A"/>
    <w:rsid w:val="00FD2C10"/>
    <w:rsid w:val="00FD2F8C"/>
    <w:rsid w:val="00FD548A"/>
    <w:rsid w:val="00FD5E2A"/>
    <w:rsid w:val="00FD619B"/>
    <w:rsid w:val="00FD6A8F"/>
    <w:rsid w:val="00FD7307"/>
    <w:rsid w:val="00FE01DA"/>
    <w:rsid w:val="00FE1A5C"/>
    <w:rsid w:val="00FE1D6B"/>
    <w:rsid w:val="00FE2F42"/>
    <w:rsid w:val="00FE2FCB"/>
    <w:rsid w:val="00FE3154"/>
    <w:rsid w:val="00FE37A7"/>
    <w:rsid w:val="00FE48F0"/>
    <w:rsid w:val="00FE6034"/>
    <w:rsid w:val="00FE663E"/>
    <w:rsid w:val="00FE7399"/>
    <w:rsid w:val="00FE7C9B"/>
    <w:rsid w:val="00FE7CCB"/>
    <w:rsid w:val="00FF1C40"/>
    <w:rsid w:val="00FF1CAD"/>
    <w:rsid w:val="00FF2689"/>
    <w:rsid w:val="00FF2FE3"/>
    <w:rsid w:val="00FF3DBE"/>
    <w:rsid w:val="00FF3EA3"/>
    <w:rsid w:val="00FF4245"/>
    <w:rsid w:val="00FF4301"/>
    <w:rsid w:val="00FF504E"/>
    <w:rsid w:val="00FF56AF"/>
    <w:rsid w:val="00FF5CBC"/>
    <w:rsid w:val="00FF5F7E"/>
    <w:rsid w:val="00FF6340"/>
    <w:rsid w:val="00FF7166"/>
    <w:rsid w:val="00FF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C994EF2"/>
  <w15:chartTrackingRefBased/>
  <w15:docId w15:val="{69364877-2999-4C19-878E-14BF1BC1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AA655D"/>
    <w:rPr>
      <w:color w:val="0000FF"/>
      <w:shd w:val="clear" w:color="auto" w:fill="auto"/>
    </w:rPr>
  </w:style>
  <w:style w:type="paragraph" w:customStyle="1" w:styleId="Pagedecouverture">
    <w:name w:val="Page de couverture"/>
    <w:basedOn w:val="Normal"/>
    <w:next w:val="Normal"/>
    <w:rsid w:val="00AA655D"/>
    <w:pPr>
      <w:jc w:val="both"/>
    </w:pPr>
    <w:rPr>
      <w:szCs w:val="22"/>
    </w:rPr>
  </w:style>
  <w:style w:type="paragraph" w:styleId="Header">
    <w:name w:val="header"/>
    <w:basedOn w:val="Normal"/>
    <w:link w:val="HeaderChar"/>
    <w:unhideWhenUsed/>
    <w:rsid w:val="00AA655D"/>
    <w:pPr>
      <w:tabs>
        <w:tab w:val="center" w:pos="4513"/>
        <w:tab w:val="right" w:pos="9026"/>
      </w:tabs>
    </w:pPr>
  </w:style>
  <w:style w:type="character" w:customStyle="1" w:styleId="HeaderChar">
    <w:name w:val="Header Char"/>
    <w:basedOn w:val="DefaultParagraphFont"/>
    <w:link w:val="Header"/>
    <w:rsid w:val="00AA655D"/>
    <w:rPr>
      <w:sz w:val="24"/>
      <w:szCs w:val="24"/>
      <w:lang w:val="en-GB"/>
    </w:rPr>
  </w:style>
  <w:style w:type="paragraph" w:styleId="Footer">
    <w:name w:val="footer"/>
    <w:basedOn w:val="Normal"/>
    <w:link w:val="FooterChar"/>
    <w:uiPriority w:val="99"/>
    <w:unhideWhenUsed/>
    <w:rsid w:val="00AA655D"/>
    <w:pPr>
      <w:tabs>
        <w:tab w:val="center" w:pos="4513"/>
        <w:tab w:val="right" w:pos="9026"/>
      </w:tabs>
    </w:pPr>
  </w:style>
  <w:style w:type="character" w:customStyle="1" w:styleId="FooterChar">
    <w:name w:val="Footer Char"/>
    <w:basedOn w:val="DefaultParagraphFont"/>
    <w:link w:val="Footer"/>
    <w:uiPriority w:val="99"/>
    <w:rsid w:val="00AA655D"/>
    <w:rPr>
      <w:sz w:val="24"/>
      <w:szCs w:val="24"/>
      <w:lang w:val="en-GB"/>
    </w:rPr>
  </w:style>
  <w:style w:type="paragraph" w:customStyle="1" w:styleId="FooterCoverPage">
    <w:name w:val="Footer Cover Page"/>
    <w:basedOn w:val="Normal"/>
    <w:link w:val="FooterCoverPageChar"/>
    <w:rsid w:val="00AA655D"/>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AA655D"/>
    <w:rPr>
      <w:sz w:val="24"/>
      <w:szCs w:val="24"/>
      <w:lang w:val="en-GB"/>
    </w:rPr>
  </w:style>
  <w:style w:type="paragraph" w:customStyle="1" w:styleId="FooterSensitivity">
    <w:name w:val="Footer Sensitivity"/>
    <w:basedOn w:val="Normal"/>
    <w:link w:val="FooterSensitivityChar"/>
    <w:rsid w:val="00AA655D"/>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sid w:val="00AA655D"/>
    <w:rPr>
      <w:b/>
      <w:sz w:val="32"/>
      <w:szCs w:val="24"/>
      <w:lang w:val="en-GB"/>
    </w:rPr>
  </w:style>
  <w:style w:type="paragraph" w:customStyle="1" w:styleId="HeaderCoverPage">
    <w:name w:val="Header Cover Page"/>
    <w:basedOn w:val="Normal"/>
    <w:link w:val="HeaderCoverPageChar"/>
    <w:rsid w:val="00AA655D"/>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AA655D"/>
    <w:rPr>
      <w:sz w:val="24"/>
      <w:szCs w:val="24"/>
      <w:lang w:val="en-GB"/>
    </w:rPr>
  </w:style>
  <w:style w:type="paragraph" w:customStyle="1" w:styleId="HeaderSensitivity">
    <w:name w:val="Header Sensitivity"/>
    <w:basedOn w:val="Normal"/>
    <w:link w:val="HeaderSensitivityChar"/>
    <w:rsid w:val="00AA655D"/>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AA655D"/>
    <w:rPr>
      <w:b/>
      <w:sz w:val="32"/>
      <w:szCs w:val="24"/>
      <w:lang w:val="en-GB"/>
    </w:rPr>
  </w:style>
  <w:style w:type="paragraph" w:customStyle="1" w:styleId="HeaderSensitivityRight">
    <w:name w:val="Header Sensitivity Right"/>
    <w:basedOn w:val="Normal"/>
    <w:link w:val="HeaderSensitivityRightChar"/>
    <w:rsid w:val="00AA655D"/>
    <w:pPr>
      <w:spacing w:after="120"/>
      <w:jc w:val="right"/>
    </w:pPr>
    <w:rPr>
      <w:sz w:val="28"/>
    </w:rPr>
  </w:style>
  <w:style w:type="character" w:customStyle="1" w:styleId="HeaderSensitivityRightChar">
    <w:name w:val="Header Sensitivity Right Char"/>
    <w:basedOn w:val="DefaultParagraphFont"/>
    <w:link w:val="HeaderSensitivityRight"/>
    <w:rsid w:val="00AA655D"/>
    <w:rPr>
      <w:sz w:val="28"/>
      <w:szCs w:val="24"/>
      <w:lang w:val="en-GB"/>
    </w:r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qFormat/>
    <w:rsid w:val="00AA655D"/>
    <w:rPr>
      <w:rFonts w:eastAsia="Calibri"/>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sid w:val="00AA655D"/>
    <w:rPr>
      <w:rFonts w:eastAsia="Calibri"/>
      <w:lang w:val="en-GB"/>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uiPriority w:val="99"/>
    <w:unhideWhenUsed/>
    <w:qFormat/>
    <w:rsid w:val="00AA655D"/>
    <w:rPr>
      <w:shd w:val="clear" w:color="auto" w:fill="auto"/>
      <w:vertAlign w:val="superscript"/>
    </w:rPr>
  </w:style>
  <w:style w:type="character" w:styleId="Hyperlink">
    <w:name w:val="Hyperlink"/>
    <w:rsid w:val="00AA655D"/>
    <w:rPr>
      <w:color w:val="0000FF"/>
      <w:u w:val="single"/>
    </w:rPr>
  </w:style>
  <w:style w:type="paragraph" w:customStyle="1" w:styleId="Default">
    <w:name w:val="Default"/>
    <w:rsid w:val="00AA655D"/>
    <w:pPr>
      <w:autoSpaceDE w:val="0"/>
      <w:autoSpaceDN w:val="0"/>
      <w:adjustRightInd w:val="0"/>
    </w:pPr>
    <w:rPr>
      <w:rFonts w:ascii="Calibri" w:hAnsi="Calibri" w:cs="Calibri"/>
      <w:color w:val="000000"/>
      <w:sz w:val="24"/>
      <w:szCs w:val="24"/>
      <w:lang w:val="en-GB"/>
    </w:rPr>
  </w:style>
  <w:style w:type="paragraph" w:styleId="ListParagraph">
    <w:name w:val="List Paragraph"/>
    <w:basedOn w:val="Normal"/>
    <w:uiPriority w:val="34"/>
    <w:qFormat/>
    <w:rsid w:val="00AA655D"/>
    <w:pPr>
      <w:ind w:left="720"/>
    </w:pPr>
    <w:rPr>
      <w:rFonts w:ascii="Calibri" w:eastAsia="Calibri" w:hAnsi="Calibri" w:cs="Calibri"/>
      <w:sz w:val="22"/>
      <w:szCs w:val="22"/>
      <w:lang w:eastAsia="en-GB"/>
    </w:rPr>
  </w:style>
  <w:style w:type="paragraph" w:styleId="BalloonText">
    <w:name w:val="Balloon Text"/>
    <w:basedOn w:val="Normal"/>
    <w:link w:val="BalloonTextChar"/>
    <w:semiHidden/>
    <w:unhideWhenUsed/>
    <w:rsid w:val="00BC3F24"/>
    <w:rPr>
      <w:rFonts w:ascii="Segoe UI" w:hAnsi="Segoe UI" w:cs="Segoe UI"/>
      <w:sz w:val="18"/>
      <w:szCs w:val="18"/>
    </w:rPr>
  </w:style>
  <w:style w:type="character" w:customStyle="1" w:styleId="BalloonTextChar">
    <w:name w:val="Balloon Text Char"/>
    <w:basedOn w:val="DefaultParagraphFont"/>
    <w:link w:val="BalloonText"/>
    <w:semiHidden/>
    <w:rsid w:val="00BC3F24"/>
    <w:rPr>
      <w:rFonts w:ascii="Segoe UI" w:hAnsi="Segoe UI" w:cs="Segoe UI"/>
      <w:sz w:val="18"/>
      <w:szCs w:val="18"/>
      <w:lang w:val="en-GB"/>
    </w:rPr>
  </w:style>
  <w:style w:type="character" w:styleId="Strong">
    <w:name w:val="Strong"/>
    <w:basedOn w:val="DefaultParagraphFont"/>
    <w:uiPriority w:val="22"/>
    <w:qFormat/>
    <w:rsid w:val="00261DE1"/>
    <w:rPr>
      <w:b/>
      <w:bCs/>
    </w:rPr>
  </w:style>
  <w:style w:type="character" w:styleId="CommentReference">
    <w:name w:val="annotation reference"/>
    <w:basedOn w:val="DefaultParagraphFont"/>
    <w:semiHidden/>
    <w:unhideWhenUsed/>
    <w:rsid w:val="00A3660F"/>
    <w:rPr>
      <w:sz w:val="16"/>
      <w:szCs w:val="16"/>
    </w:rPr>
  </w:style>
  <w:style w:type="paragraph" w:styleId="CommentText">
    <w:name w:val="annotation text"/>
    <w:basedOn w:val="Normal"/>
    <w:link w:val="CommentTextChar"/>
    <w:semiHidden/>
    <w:unhideWhenUsed/>
    <w:rsid w:val="00A3660F"/>
    <w:rPr>
      <w:sz w:val="20"/>
      <w:szCs w:val="20"/>
    </w:rPr>
  </w:style>
  <w:style w:type="character" w:customStyle="1" w:styleId="CommentTextChar">
    <w:name w:val="Comment Text Char"/>
    <w:basedOn w:val="DefaultParagraphFont"/>
    <w:link w:val="CommentText"/>
    <w:semiHidden/>
    <w:rsid w:val="00A3660F"/>
    <w:rPr>
      <w:lang w:val="en-GB"/>
    </w:rPr>
  </w:style>
  <w:style w:type="paragraph" w:styleId="CommentSubject">
    <w:name w:val="annotation subject"/>
    <w:basedOn w:val="CommentText"/>
    <w:next w:val="CommentText"/>
    <w:link w:val="CommentSubjectChar"/>
    <w:semiHidden/>
    <w:unhideWhenUsed/>
    <w:rsid w:val="00A3660F"/>
    <w:rPr>
      <w:b/>
      <w:bCs/>
    </w:rPr>
  </w:style>
  <w:style w:type="character" w:customStyle="1" w:styleId="CommentSubjectChar">
    <w:name w:val="Comment Subject Char"/>
    <w:basedOn w:val="CommentTextChar"/>
    <w:link w:val="CommentSubject"/>
    <w:semiHidden/>
    <w:rsid w:val="00A3660F"/>
    <w:rPr>
      <w:b/>
      <w:bCs/>
      <w:lang w:val="en-GB"/>
    </w:rPr>
  </w:style>
  <w:style w:type="paragraph" w:styleId="Revision">
    <w:name w:val="Revision"/>
    <w:hidden/>
    <w:uiPriority w:val="99"/>
    <w:semiHidden/>
    <w:rsid w:val="00A3660F"/>
    <w:rPr>
      <w:sz w:val="24"/>
      <w:szCs w:val="24"/>
      <w:lang w:val="en-GB"/>
    </w:rPr>
  </w:style>
  <w:style w:type="paragraph" w:styleId="EndnoteText">
    <w:name w:val="endnote text"/>
    <w:basedOn w:val="Normal"/>
    <w:link w:val="EndnoteTextChar"/>
    <w:semiHidden/>
    <w:unhideWhenUsed/>
    <w:rsid w:val="001B5C4A"/>
    <w:rPr>
      <w:sz w:val="20"/>
      <w:szCs w:val="20"/>
    </w:rPr>
  </w:style>
  <w:style w:type="character" w:customStyle="1" w:styleId="EndnoteTextChar">
    <w:name w:val="Endnote Text Char"/>
    <w:basedOn w:val="DefaultParagraphFont"/>
    <w:link w:val="EndnoteText"/>
    <w:semiHidden/>
    <w:rsid w:val="001B5C4A"/>
    <w:rPr>
      <w:lang w:val="en-GB"/>
    </w:rPr>
  </w:style>
  <w:style w:type="character" w:styleId="EndnoteReference">
    <w:name w:val="endnote reference"/>
    <w:basedOn w:val="DefaultParagraphFont"/>
    <w:semiHidden/>
    <w:unhideWhenUsed/>
    <w:rsid w:val="001B5C4A"/>
    <w:rPr>
      <w:vertAlign w:val="superscript"/>
    </w:rPr>
  </w:style>
  <w:style w:type="paragraph" w:customStyle="1" w:styleId="Briefingtext">
    <w:name w:val="Briefing text"/>
    <w:basedOn w:val="Normal"/>
    <w:link w:val="BriefingtextChar"/>
    <w:rsid w:val="00ED213C"/>
    <w:pPr>
      <w:spacing w:after="240"/>
      <w:jc w:val="both"/>
    </w:pPr>
    <w:rPr>
      <w:rFonts w:ascii="Arial" w:eastAsia="Times New Roman" w:hAnsi="Arial" w:cs="Arial"/>
      <w:sz w:val="22"/>
    </w:rPr>
  </w:style>
  <w:style w:type="character" w:customStyle="1" w:styleId="BriefingtextChar">
    <w:name w:val="Briefing text Char"/>
    <w:link w:val="Briefingtext"/>
    <w:rsid w:val="00ED213C"/>
    <w:rPr>
      <w:rFonts w:ascii="Arial" w:eastAsia="Times New Roman" w:hAnsi="Arial" w:cs="Arial"/>
      <w:sz w:val="22"/>
      <w:szCs w:val="24"/>
      <w:lang w:val="en-GB"/>
    </w:rPr>
  </w:style>
  <w:style w:type="paragraph" w:customStyle="1" w:styleId="Typedudocument">
    <w:name w:val="Type du document"/>
    <w:basedOn w:val="Normal"/>
    <w:next w:val="Normal"/>
    <w:rsid w:val="0028246A"/>
    <w:pPr>
      <w:spacing w:before="360"/>
      <w:jc w:val="center"/>
    </w:pPr>
    <w:rPr>
      <w:b/>
      <w:szCs w:val="22"/>
    </w:rPr>
  </w:style>
  <w:style w:type="paragraph" w:customStyle="1" w:styleId="Titreobjet">
    <w:name w:val="Titre objet"/>
    <w:basedOn w:val="Normal"/>
    <w:next w:val="Normal"/>
    <w:rsid w:val="0028246A"/>
    <w:pPr>
      <w:spacing w:before="360" w:after="360"/>
      <w:jc w:val="center"/>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3.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2.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rade.ec.europa.eu/consultations/index.cfm?consul_id=292" TargetMode="External"/><Relationship Id="rId2" Type="http://schemas.openxmlformats.org/officeDocument/2006/relationships/hyperlink" Target="https://trade.ec.europa.eu/doclib/docs/2020/january/tradoc_158576.pdf" TargetMode="External"/><Relationship Id="rId1" Type="http://schemas.openxmlformats.org/officeDocument/2006/relationships/hyperlink" Target="https://eur-lex.europa.eu/eli/reg/2021/821/oj" TargetMode="External"/><Relationship Id="rId6" Type="http://schemas.openxmlformats.org/officeDocument/2006/relationships/hyperlink" Target="https://trade.ec.europa.eu/doclib/docs/2020/october/tradoc_158972.pdf" TargetMode="External"/><Relationship Id="rId5" Type="http://schemas.openxmlformats.org/officeDocument/2006/relationships/hyperlink" Target="https://trade.ec.europa.eu/doclib/docs/2020/december/tradoc_159148.pdf" TargetMode="External"/><Relationship Id="rId4" Type="http://schemas.openxmlformats.org/officeDocument/2006/relationships/hyperlink" Target="https://eur-lex.europa.eu/legal-content/EN/TXT/PDF/?uri=OJ:L:2021:338:FULL&amp;from=E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TRADE\R\2\E-Greffe\1.%202021%20E-Greffe\F4\2021%20Dual-Use%20Art.%2026%20Report%20on%20DUCG%20activities%202019\4.%20DGT\211019%20-%20JRC%20to%20BM%20-%20Trade%20Data%20for%20Annual%20Report%20on%20Year%202019%20_%20Rev%201_for_translator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TRADE\R\2\E-Greffe\1.%202021%20E-Greffe\F4\2021%20Dual-Use%20Art.%2026%20Report%20on%20DUCG%20activities%202019\4.%20DGT\211019%20-%20JRC%20to%20BM%20-%20Trade%20Data%20for%20Annual%20Report%20on%20Year%202019%20_%20Rev%201_for_translato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Feuil1!$B$1</c:f>
              <c:strCache>
                <c:ptCount val="1"/>
                <c:pt idx="0">
                  <c:v>5A001.f</c:v>
                </c:pt>
              </c:strCache>
            </c:strRef>
          </c:tx>
          <c:spPr>
            <a:solidFill>
              <a:schemeClr val="accent1"/>
            </a:solidFill>
            <a:ln>
              <a:noFill/>
            </a:ln>
            <a:effectLst/>
            <a:sp3d/>
          </c:spPr>
          <c:invertIfNegative val="0"/>
          <c:cat>
            <c:numRef>
              <c:f>Feuil1!$A$2:$A$7</c:f>
              <c:numCache>
                <c:formatCode>General</c:formatCode>
                <c:ptCount val="6"/>
                <c:pt idx="0">
                  <c:v>2014</c:v>
                </c:pt>
                <c:pt idx="1">
                  <c:v>2015</c:v>
                </c:pt>
                <c:pt idx="2">
                  <c:v>2016</c:v>
                </c:pt>
                <c:pt idx="3">
                  <c:v>2017</c:v>
                </c:pt>
                <c:pt idx="4">
                  <c:v>2018</c:v>
                </c:pt>
                <c:pt idx="5">
                  <c:v>2019</c:v>
                </c:pt>
              </c:numCache>
            </c:numRef>
          </c:cat>
          <c:val>
            <c:numRef>
              <c:f>Feuil1!$B$2:$B$7</c:f>
              <c:numCache>
                <c:formatCode>General</c:formatCode>
                <c:ptCount val="6"/>
                <c:pt idx="0">
                  <c:v>47</c:v>
                </c:pt>
                <c:pt idx="1">
                  <c:v>98</c:v>
                </c:pt>
                <c:pt idx="2">
                  <c:v>111</c:v>
                </c:pt>
                <c:pt idx="3">
                  <c:v>168</c:v>
                </c:pt>
                <c:pt idx="4">
                  <c:v>127</c:v>
                </c:pt>
                <c:pt idx="5">
                  <c:v>31</c:v>
                </c:pt>
              </c:numCache>
            </c:numRef>
          </c:val>
          <c:extLst>
            <c:ext xmlns:c16="http://schemas.microsoft.com/office/drawing/2014/chart" uri="{C3380CC4-5D6E-409C-BE32-E72D297353CC}">
              <c16:uniqueId val="{00000000-9767-48E3-BFC4-71510C58C9A8}"/>
            </c:ext>
          </c:extLst>
        </c:ser>
        <c:ser>
          <c:idx val="1"/>
          <c:order val="1"/>
          <c:tx>
            <c:strRef>
              <c:f>Feuil1!$C$1</c:f>
              <c:strCache>
                <c:ptCount val="1"/>
                <c:pt idx="0">
                  <c:v>5A001.j</c:v>
                </c:pt>
              </c:strCache>
            </c:strRef>
          </c:tx>
          <c:spPr>
            <a:solidFill>
              <a:schemeClr val="accent2"/>
            </a:solidFill>
            <a:ln>
              <a:noFill/>
            </a:ln>
            <a:effectLst/>
            <a:sp3d/>
          </c:spPr>
          <c:invertIfNegative val="0"/>
          <c:cat>
            <c:numRef>
              <c:f>Feuil1!$A$2:$A$7</c:f>
              <c:numCache>
                <c:formatCode>General</c:formatCode>
                <c:ptCount val="6"/>
                <c:pt idx="0">
                  <c:v>2014</c:v>
                </c:pt>
                <c:pt idx="1">
                  <c:v>2015</c:v>
                </c:pt>
                <c:pt idx="2">
                  <c:v>2016</c:v>
                </c:pt>
                <c:pt idx="3">
                  <c:v>2017</c:v>
                </c:pt>
                <c:pt idx="4">
                  <c:v>2018</c:v>
                </c:pt>
                <c:pt idx="5">
                  <c:v>2019</c:v>
                </c:pt>
              </c:numCache>
            </c:numRef>
          </c:cat>
          <c:val>
            <c:numRef>
              <c:f>Feuil1!$C$2:$C$7</c:f>
              <c:numCache>
                <c:formatCode>General</c:formatCode>
                <c:ptCount val="6"/>
                <c:pt idx="0">
                  <c:v>47</c:v>
                </c:pt>
                <c:pt idx="1">
                  <c:v>10</c:v>
                </c:pt>
                <c:pt idx="2">
                  <c:v>3</c:v>
                </c:pt>
                <c:pt idx="3">
                  <c:v>8</c:v>
                </c:pt>
                <c:pt idx="4">
                  <c:v>20</c:v>
                </c:pt>
                <c:pt idx="5">
                  <c:v>5</c:v>
                </c:pt>
              </c:numCache>
            </c:numRef>
          </c:val>
          <c:extLst>
            <c:ext xmlns:c16="http://schemas.microsoft.com/office/drawing/2014/chart" uri="{C3380CC4-5D6E-409C-BE32-E72D297353CC}">
              <c16:uniqueId val="{00000001-9767-48E3-BFC4-71510C58C9A8}"/>
            </c:ext>
          </c:extLst>
        </c:ser>
        <c:ser>
          <c:idx val="2"/>
          <c:order val="2"/>
          <c:tx>
            <c:strRef>
              <c:f>Feuil1!$D$1</c:f>
              <c:strCache>
                <c:ptCount val="1"/>
                <c:pt idx="0">
                  <c:v>4A005, 4D004, 4E001 a/c</c:v>
                </c:pt>
              </c:strCache>
            </c:strRef>
          </c:tx>
          <c:spPr>
            <a:solidFill>
              <a:schemeClr val="accent1">
                <a:lumMod val="50000"/>
              </a:schemeClr>
            </a:solidFill>
            <a:ln>
              <a:noFill/>
            </a:ln>
            <a:effectLst/>
            <a:sp3d/>
          </c:spPr>
          <c:invertIfNegative val="0"/>
          <c:cat>
            <c:numRef>
              <c:f>Feuil1!$A$2:$A$7</c:f>
              <c:numCache>
                <c:formatCode>General</c:formatCode>
                <c:ptCount val="6"/>
                <c:pt idx="0">
                  <c:v>2014</c:v>
                </c:pt>
                <c:pt idx="1">
                  <c:v>2015</c:v>
                </c:pt>
                <c:pt idx="2">
                  <c:v>2016</c:v>
                </c:pt>
                <c:pt idx="3">
                  <c:v>2017</c:v>
                </c:pt>
                <c:pt idx="4">
                  <c:v>2018</c:v>
                </c:pt>
                <c:pt idx="5">
                  <c:v>2019</c:v>
                </c:pt>
              </c:numCache>
            </c:numRef>
          </c:cat>
          <c:val>
            <c:numRef>
              <c:f>Feuil1!$D$2:$D$7</c:f>
              <c:numCache>
                <c:formatCode>General</c:formatCode>
                <c:ptCount val="6"/>
                <c:pt idx="0">
                  <c:v>4</c:v>
                </c:pt>
                <c:pt idx="1">
                  <c:v>7</c:v>
                </c:pt>
                <c:pt idx="2">
                  <c:v>25</c:v>
                </c:pt>
                <c:pt idx="3">
                  <c:v>16</c:v>
                </c:pt>
                <c:pt idx="4">
                  <c:v>13</c:v>
                </c:pt>
                <c:pt idx="5">
                  <c:v>8</c:v>
                </c:pt>
              </c:numCache>
            </c:numRef>
          </c:val>
          <c:extLst>
            <c:ext xmlns:c16="http://schemas.microsoft.com/office/drawing/2014/chart" uri="{C3380CC4-5D6E-409C-BE32-E72D297353CC}">
              <c16:uniqueId val="{00000002-9767-48E3-BFC4-71510C58C9A8}"/>
            </c:ext>
          </c:extLst>
        </c:ser>
        <c:dLbls>
          <c:showLegendKey val="0"/>
          <c:showVal val="0"/>
          <c:showCatName val="0"/>
          <c:showSerName val="0"/>
          <c:showPercent val="0"/>
          <c:showBubbleSize val="0"/>
        </c:dLbls>
        <c:gapWidth val="150"/>
        <c:shape val="box"/>
        <c:axId val="1741612528"/>
        <c:axId val="1741614160"/>
        <c:axId val="0"/>
      </c:bar3DChart>
      <c:catAx>
        <c:axId val="1741612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741614160"/>
        <c:crosses val="autoZero"/>
        <c:auto val="1"/>
        <c:lblAlgn val="ctr"/>
        <c:lblOffset val="100"/>
        <c:noMultiLvlLbl val="0"/>
      </c:catAx>
      <c:valAx>
        <c:axId val="174161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74161252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Authorised</a:t>
            </a:r>
            <a:r>
              <a:rPr lang="en-US" sz="1400" baseline="0"/>
              <a:t> Export Volume by License Type in 2019</a:t>
            </a:r>
            <a:endParaRPr lang="en-US" sz="1400"/>
          </a:p>
        </c:rich>
      </c:tx>
      <c:overlay val="0"/>
    </c:title>
    <c:autoTitleDeleted val="0"/>
    <c:plotArea>
      <c:layout/>
      <c:barChart>
        <c:barDir val="bar"/>
        <c:grouping val="clustered"/>
        <c:varyColors val="0"/>
        <c:ser>
          <c:idx val="0"/>
          <c:order val="0"/>
          <c:invertIfNegative val="0"/>
          <c:dLbls>
            <c:dLbl>
              <c:idx val="0"/>
              <c:layout>
                <c:manualLayout>
                  <c:x val="0"/>
                  <c:y val="-4.7864639064322092E-3"/>
                </c:manualLayout>
              </c:layout>
              <c:tx>
                <c:rich>
                  <a:bodyPr/>
                  <a:lstStyle/>
                  <a:p>
                    <a:r>
                      <a:rPr lang="en-US" sz="1000" b="0" i="0" u="none" strike="noStrike" baseline="0">
                        <a:effectLst/>
                      </a:rPr>
                      <a:t>73%</a:t>
                    </a:r>
                    <a:r>
                      <a:rPr lang="en-US" sz="1000" b="0" i="0" u="none" strike="noStrike" baseline="0"/>
                      <a:t>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66-4D9B-A2BF-6B19902BE693}"/>
                </c:ext>
              </c:extLst>
            </c:dLbl>
            <c:dLbl>
              <c:idx val="1"/>
              <c:layout>
                <c:manualLayout>
                  <c:x val="7.8129659593094562E-17"/>
                  <c:y val="-5.2194752407853295E-3"/>
                </c:manualLayout>
              </c:layout>
              <c:tx>
                <c:rich>
                  <a:bodyPr/>
                  <a:lstStyle/>
                  <a:p>
                    <a:r>
                      <a:rPr lang="en-US" sz="1000" b="0" i="0" u="none" strike="noStrike" baseline="0">
                        <a:effectLst/>
                      </a:rPr>
                      <a:t>3%</a:t>
                    </a:r>
                    <a:r>
                      <a:rPr lang="en-US" sz="1000" b="0" i="0" u="none" strike="noStrike" baseline="0"/>
                      <a:t>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66-4D9B-A2BF-6B19902BE693}"/>
                </c:ext>
              </c:extLst>
            </c:dLbl>
            <c:dLbl>
              <c:idx val="2"/>
              <c:tx>
                <c:rich>
                  <a:bodyPr/>
                  <a:lstStyle/>
                  <a:p>
                    <a:r>
                      <a:rPr lang="en-US" sz="1000" b="0" i="0" u="none" strike="noStrike" baseline="0">
                        <a:effectLst/>
                      </a:rPr>
                      <a:t>1%</a:t>
                    </a:r>
                    <a:r>
                      <a:rPr lang="en-US" sz="1000" b="0" i="0" u="none" strike="noStrike" baseline="0"/>
                      <a:t>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66-4D9B-A2BF-6B19902BE693}"/>
                </c:ext>
              </c:extLst>
            </c:dLbl>
            <c:dLbl>
              <c:idx val="3"/>
              <c:tx>
                <c:rich>
                  <a:bodyPr/>
                  <a:lstStyle/>
                  <a:p>
                    <a:r>
                      <a:rPr lang="en-US" sz="1000" b="0" i="0" u="none" strike="noStrike" baseline="0">
                        <a:effectLst/>
                      </a:rPr>
                      <a:t>1%</a:t>
                    </a:r>
                    <a:r>
                      <a:rPr lang="en-US" sz="1000" b="0" i="0" u="none" strike="noStrike" baseline="0"/>
                      <a:t>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66-4D9B-A2BF-6B19902BE693}"/>
                </c:ext>
              </c:extLst>
            </c:dLbl>
            <c:dLbl>
              <c:idx val="4"/>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66-4D9B-A2BF-6B19902BE693}"/>
                </c:ext>
              </c:extLst>
            </c:dLbl>
            <c:dLbl>
              <c:idx val="5"/>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66-4D9B-A2BF-6B19902BE693}"/>
                </c:ext>
              </c:extLst>
            </c:dLbl>
            <c:dLbl>
              <c:idx val="6"/>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66-4D9B-A2BF-6B19902BE693}"/>
                </c:ext>
              </c:extLst>
            </c:dLbl>
            <c:dLbl>
              <c:idx val="7"/>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66-4D9B-A2BF-6B19902BE693}"/>
                </c:ext>
              </c:extLst>
            </c:dLbl>
            <c:dLbl>
              <c:idx val="8"/>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266-4D9B-A2BF-6B19902BE69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'Figures 7 and 8'!$A$2:$A$10</c:f>
              <c:strCache>
                <c:ptCount val="9"/>
                <c:pt idx="0">
                  <c:v>Individual license (Annex I)</c:v>
                </c:pt>
                <c:pt idx="1">
                  <c:v>Global license (Annex I)</c:v>
                </c:pt>
                <c:pt idx="2">
                  <c:v>Intra-EU transfer license</c:v>
                </c:pt>
                <c:pt idx="3">
                  <c:v>License for non-listed items</c:v>
                </c:pt>
                <c:pt idx="4">
                  <c:v>License under a national control measure</c:v>
                </c:pt>
                <c:pt idx="5">
                  <c:v>Transit authorisation</c:v>
                </c:pt>
                <c:pt idx="6">
                  <c:v>Brokering authorisation</c:v>
                </c:pt>
                <c:pt idx="7">
                  <c:v>National General Export Authorisation</c:v>
                </c:pt>
                <c:pt idx="8">
                  <c:v>EU General Export Authorisation</c:v>
                </c:pt>
              </c:strCache>
            </c:strRef>
          </c:cat>
          <c:val>
            <c:numRef>
              <c:f>'Figures 7 and 8'!$B$2:$B$10</c:f>
              <c:numCache>
                <c:formatCode>#,##0</c:formatCode>
                <c:ptCount val="9"/>
                <c:pt idx="0">
                  <c:v>20315</c:v>
                </c:pt>
                <c:pt idx="1">
                  <c:v>698</c:v>
                </c:pt>
                <c:pt idx="2">
                  <c:v>374</c:v>
                </c:pt>
                <c:pt idx="3">
                  <c:v>283</c:v>
                </c:pt>
                <c:pt idx="4">
                  <c:v>190</c:v>
                </c:pt>
                <c:pt idx="5">
                  <c:v>71</c:v>
                </c:pt>
                <c:pt idx="6">
                  <c:v>135</c:v>
                </c:pt>
                <c:pt idx="7">
                  <c:v>991</c:v>
                </c:pt>
                <c:pt idx="8">
                  <c:v>4719</c:v>
                </c:pt>
              </c:numCache>
            </c:numRef>
          </c:val>
          <c:extLst>
            <c:ext xmlns:c16="http://schemas.microsoft.com/office/drawing/2014/chart" uri="{C3380CC4-5D6E-409C-BE32-E72D297353CC}">
              <c16:uniqueId val="{00000009-0266-4D9B-A2BF-6B19902BE693}"/>
            </c:ext>
          </c:extLst>
        </c:ser>
        <c:dLbls>
          <c:showLegendKey val="0"/>
          <c:showVal val="1"/>
          <c:showCatName val="0"/>
          <c:showSerName val="0"/>
          <c:showPercent val="0"/>
          <c:showBubbleSize val="0"/>
        </c:dLbls>
        <c:gapWidth val="150"/>
        <c:axId val="601042432"/>
        <c:axId val="602252416"/>
      </c:barChart>
      <c:catAx>
        <c:axId val="601042432"/>
        <c:scaling>
          <c:orientation val="minMax"/>
        </c:scaling>
        <c:delete val="0"/>
        <c:axPos val="l"/>
        <c:numFmt formatCode="General" sourceLinked="0"/>
        <c:majorTickMark val="none"/>
        <c:minorTickMark val="none"/>
        <c:tickLblPos val="nextTo"/>
        <c:crossAx val="602252416"/>
        <c:crosses val="autoZero"/>
        <c:auto val="1"/>
        <c:lblAlgn val="ctr"/>
        <c:lblOffset val="100"/>
        <c:noMultiLvlLbl val="0"/>
      </c:catAx>
      <c:valAx>
        <c:axId val="602252416"/>
        <c:scaling>
          <c:orientation val="minMax"/>
          <c:max val="25000"/>
          <c:min val="0"/>
        </c:scaling>
        <c:delete val="0"/>
        <c:axPos val="b"/>
        <c:numFmt formatCode="#,##0" sourceLinked="0"/>
        <c:majorTickMark val="none"/>
        <c:minorTickMark val="none"/>
        <c:tickLblPos val="nextTo"/>
        <c:crossAx val="601042432"/>
        <c:crosses val="autoZero"/>
        <c:crossBetween val="between"/>
        <c:majorUnit val="5000"/>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Authorised</a:t>
            </a:r>
            <a:r>
              <a:rPr lang="en-US" sz="1400" baseline="0"/>
              <a:t> Export Value by License Type in 2019</a:t>
            </a:r>
            <a:endParaRPr lang="en-US" sz="1400"/>
          </a:p>
        </c:rich>
      </c:tx>
      <c:overlay val="0"/>
    </c:title>
    <c:autoTitleDeleted val="0"/>
    <c:plotArea>
      <c:layout/>
      <c:barChart>
        <c:barDir val="bar"/>
        <c:grouping val="clustered"/>
        <c:varyColors val="0"/>
        <c:ser>
          <c:idx val="0"/>
          <c:order val="0"/>
          <c:invertIfNegative val="0"/>
          <c:dLbls>
            <c:dLbl>
              <c:idx val="0"/>
              <c:layout>
                <c:manualLayout>
                  <c:x val="0"/>
                  <c:y val="-4.7864639064322092E-3"/>
                </c:manualLayout>
              </c:layout>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A3-4F53-AFA9-0F93A0B43964}"/>
                </c:ext>
              </c:extLst>
            </c:dLbl>
            <c:dLbl>
              <c:idx val="1"/>
              <c:layout>
                <c:manualLayout>
                  <c:x val="7.8129659593094562E-17"/>
                  <c:y val="-5.2194752407853295E-3"/>
                </c:manualLayout>
              </c:layout>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A3-4F53-AFA9-0F93A0B43964}"/>
                </c:ext>
              </c:extLst>
            </c:dLbl>
            <c:dLbl>
              <c:idx val="2"/>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A3-4F53-AFA9-0F93A0B43964}"/>
                </c:ext>
              </c:extLst>
            </c:dLbl>
            <c:dLbl>
              <c:idx val="3"/>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A3-4F53-AFA9-0F93A0B43964}"/>
                </c:ext>
              </c:extLst>
            </c:dLbl>
            <c:dLbl>
              <c:idx val="4"/>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A3-4F53-AFA9-0F93A0B43964}"/>
                </c:ext>
              </c:extLst>
            </c:dLbl>
            <c:dLbl>
              <c:idx val="5"/>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AA3-4F53-AFA9-0F93A0B43964}"/>
                </c:ext>
              </c:extLst>
            </c:dLbl>
            <c:dLbl>
              <c:idx val="6"/>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AA3-4F53-AFA9-0F93A0B43964}"/>
                </c:ext>
              </c:extLst>
            </c:dLbl>
            <c:dLbl>
              <c:idx val="7"/>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A3-4F53-AFA9-0F93A0B43964}"/>
                </c:ext>
              </c:extLst>
            </c:dLbl>
            <c:dLbl>
              <c:idx val="8"/>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AA3-4F53-AFA9-0F93A0B4396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'Figures 7 and 8'!$S$2:$S$10</c:f>
              <c:strCache>
                <c:ptCount val="9"/>
                <c:pt idx="0">
                  <c:v>Individual license (Annex I)</c:v>
                </c:pt>
                <c:pt idx="1">
                  <c:v>Global license (Annex I)</c:v>
                </c:pt>
                <c:pt idx="2">
                  <c:v>Intra-EU transfer license</c:v>
                </c:pt>
                <c:pt idx="3">
                  <c:v>License for non-listed items</c:v>
                </c:pt>
                <c:pt idx="4">
                  <c:v>License under a national control measure</c:v>
                </c:pt>
                <c:pt idx="5">
                  <c:v>Transit authorisation</c:v>
                </c:pt>
                <c:pt idx="6">
                  <c:v>Brokering authorisation</c:v>
                </c:pt>
                <c:pt idx="7">
                  <c:v>National General Export Authorisation</c:v>
                </c:pt>
                <c:pt idx="8">
                  <c:v>EU General Export Authorisation</c:v>
                </c:pt>
              </c:strCache>
            </c:strRef>
          </c:cat>
          <c:val>
            <c:numRef>
              <c:f>'Figures 7 and 8'!$T$2:$T$10</c:f>
              <c:numCache>
                <c:formatCode>#,##0.0;\-#,##0.0</c:formatCode>
                <c:ptCount val="9"/>
                <c:pt idx="0">
                  <c:v>15191.658984999998</c:v>
                </c:pt>
                <c:pt idx="1">
                  <c:v>12879.293904000002</c:v>
                </c:pt>
                <c:pt idx="2">
                  <c:v>1072.0338879999999</c:v>
                </c:pt>
                <c:pt idx="3">
                  <c:v>338.52799999999996</c:v>
                </c:pt>
                <c:pt idx="4">
                  <c:v>1972.8</c:v>
                </c:pt>
                <c:pt idx="5">
                  <c:v>3.8880000000000003</c:v>
                </c:pt>
                <c:pt idx="6">
                  <c:v>90.91</c:v>
                </c:pt>
                <c:pt idx="7">
                  <c:v>793.84318574999998</c:v>
                </c:pt>
                <c:pt idx="8">
                  <c:v>4919.3048234300004</c:v>
                </c:pt>
              </c:numCache>
            </c:numRef>
          </c:val>
          <c:extLst>
            <c:ext xmlns:c16="http://schemas.microsoft.com/office/drawing/2014/chart" uri="{C3380CC4-5D6E-409C-BE32-E72D297353CC}">
              <c16:uniqueId val="{00000009-5AA3-4F53-AFA9-0F93A0B43964}"/>
            </c:ext>
          </c:extLst>
        </c:ser>
        <c:dLbls>
          <c:showLegendKey val="0"/>
          <c:showVal val="1"/>
          <c:showCatName val="0"/>
          <c:showSerName val="0"/>
          <c:showPercent val="0"/>
          <c:showBubbleSize val="0"/>
        </c:dLbls>
        <c:gapWidth val="150"/>
        <c:axId val="601040896"/>
        <c:axId val="133709120"/>
      </c:barChart>
      <c:catAx>
        <c:axId val="601040896"/>
        <c:scaling>
          <c:orientation val="minMax"/>
        </c:scaling>
        <c:delete val="0"/>
        <c:axPos val="l"/>
        <c:numFmt formatCode="General" sourceLinked="0"/>
        <c:majorTickMark val="none"/>
        <c:minorTickMark val="none"/>
        <c:tickLblPos val="nextTo"/>
        <c:crossAx val="133709120"/>
        <c:crosses val="autoZero"/>
        <c:auto val="1"/>
        <c:lblAlgn val="ctr"/>
        <c:lblOffset val="100"/>
        <c:noMultiLvlLbl val="0"/>
      </c:catAx>
      <c:valAx>
        <c:axId val="133709120"/>
        <c:scaling>
          <c:orientation val="minMax"/>
          <c:max val="20000"/>
        </c:scaling>
        <c:delete val="0"/>
        <c:axPos val="b"/>
        <c:numFmt formatCode="#,##0" sourceLinked="0"/>
        <c:majorTickMark val="none"/>
        <c:minorTickMark val="none"/>
        <c:tickLblPos val="nextTo"/>
        <c:crossAx val="601040896"/>
        <c:crosses val="autoZero"/>
        <c:crossBetween val="between"/>
        <c:majorUnit val="5000"/>
      </c:valAx>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0D2448-D8D4-4935-AFEA-DEB35FAB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3545</Words>
  <Characters>20386</Characters>
  <Application>Microsoft Office Word</Application>
  <DocSecurity>0</DocSecurity>
  <Lines>377</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32</cp:revision>
  <dcterms:created xsi:type="dcterms:W3CDTF">2021-10-10T11:56:00Z</dcterms:created>
  <dcterms:modified xsi:type="dcterms:W3CDTF">2021-11-16T08:56:00Z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 Build 20190717</vt:lpwstr>
  </property>
</Properties>
</file>