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98FBE" w14:textId="4E199E73" w:rsidR="001C2816" w:rsidRDefault="00CC737E" w:rsidP="00CC737E">
      <w:pPr>
        <w:pStyle w:val="Pagedecouverture"/>
        <w:rPr>
          <w:noProof/>
        </w:rPr>
      </w:pPr>
      <w:r>
        <w:rPr>
          <w:noProof/>
        </w:rPr>
        <w:pict w14:anchorId="7468D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FC725A96-C1D0-430F-A912-694B687F6003" style="width:455.25pt;height:420.75pt">
            <v:imagedata r:id="rId8" o:title=""/>
          </v:shape>
        </w:pict>
      </w:r>
    </w:p>
    <w:p w14:paraId="23098FBF" w14:textId="77777777" w:rsidR="00C1242E" w:rsidRPr="00A179B5" w:rsidRDefault="00C1242E">
      <w:pPr>
        <w:rPr>
          <w:noProof/>
        </w:rPr>
        <w:sectPr w:rsidR="00C1242E" w:rsidRPr="00A179B5" w:rsidSect="00CC737E">
          <w:footerReference w:type="default" r:id="rId9"/>
          <w:pgSz w:w="11907" w:h="16839"/>
          <w:pgMar w:top="1134" w:right="1417" w:bottom="1134" w:left="1417" w:header="709" w:footer="709" w:gutter="0"/>
          <w:pgNumType w:start="0"/>
          <w:cols w:space="720"/>
          <w:docGrid w:linePitch="360"/>
        </w:sectPr>
      </w:pPr>
    </w:p>
    <w:p w14:paraId="7ECF340F" w14:textId="70130AF4" w:rsidR="001E5B86" w:rsidRDefault="000B4D80" w:rsidP="000B4D80">
      <w:pPr>
        <w:pStyle w:val="Rfrenceinterinstitutionnelle"/>
        <w:rPr>
          <w:noProof/>
        </w:rPr>
      </w:pPr>
      <w:bookmarkStart w:id="0" w:name="_GoBack"/>
      <w:bookmarkEnd w:id="0"/>
      <w:r w:rsidRPr="000B4D80">
        <w:rPr>
          <w:noProof/>
        </w:rPr>
        <w:lastRenderedPageBreak/>
        <w:t>2017/0114 (COD)</w:t>
      </w:r>
    </w:p>
    <w:p w14:paraId="23098FC0" w14:textId="7B943922" w:rsidR="00C1242E" w:rsidRPr="00A179B5" w:rsidRDefault="001E5B86" w:rsidP="001E5B86">
      <w:pPr>
        <w:pStyle w:val="Typedudocument"/>
        <w:rPr>
          <w:noProof/>
        </w:rPr>
      </w:pPr>
      <w:r w:rsidRPr="001E5B86">
        <w:rPr>
          <w:noProof/>
        </w:rPr>
        <w:t>COMMUNICATION FROM THE COMMISSION</w:t>
      </w:r>
      <w:r w:rsidRPr="001E5B86">
        <w:rPr>
          <w:noProof/>
        </w:rPr>
        <w:br/>
        <w:t>TO THE EUROPEAN PARLIAMENT</w:t>
      </w:r>
      <w:r w:rsidRPr="001E5B86">
        <w:rPr>
          <w:noProof/>
        </w:rPr>
        <w:br/>
      </w:r>
      <w:r w:rsidRPr="001E5B86">
        <w:rPr>
          <w:noProof/>
        </w:rPr>
        <w:br/>
        <w:t>pursuant to Article 294(6) of the Treaty on the Functioning of the European Union</w:t>
      </w:r>
      <w:r w:rsidRPr="001E5B86">
        <w:rPr>
          <w:noProof/>
        </w:rPr>
        <w:br/>
      </w:r>
      <w:r w:rsidRPr="001E5B86">
        <w:rPr>
          <w:noProof/>
        </w:rPr>
        <w:br/>
        <w:t>concerning the</w:t>
      </w:r>
    </w:p>
    <w:p w14:paraId="23098FC1" w14:textId="7290FFFA" w:rsidR="00C1242E" w:rsidRPr="00A179B5" w:rsidRDefault="001E5B86" w:rsidP="001E5B86">
      <w:pPr>
        <w:pStyle w:val="Titreobjet"/>
        <w:rPr>
          <w:noProof/>
        </w:rPr>
      </w:pPr>
      <w:r w:rsidRPr="001E5B86">
        <w:rPr>
          <w:noProof/>
        </w:rPr>
        <w:t>position of the Council on the adoption of a DIRECTIVE OF THE EUROPEAN PARLIAMENT AND OF THE COUNCIL amending Directives 1999/62/EC, 1999/37/EC and (EU) 2019/520, as regards the charging of vehicles for the use of certain infrastructures</w:t>
      </w:r>
    </w:p>
    <w:p w14:paraId="23098FC2" w14:textId="1B4E0F3A" w:rsidR="00C1242E" w:rsidRPr="00A179B5" w:rsidRDefault="00B97FB1" w:rsidP="00B97FB1">
      <w:pPr>
        <w:pStyle w:val="ManualHeading1"/>
        <w:rPr>
          <w:noProof/>
          <w:sz w:val="22"/>
        </w:rPr>
      </w:pPr>
      <w:r w:rsidRPr="00B97FB1">
        <w:rPr>
          <w:noProof/>
        </w:rPr>
        <w:t>1.</w:t>
      </w:r>
      <w:r w:rsidRPr="00B97FB1">
        <w:rPr>
          <w:noProof/>
        </w:rPr>
        <w:tab/>
      </w:r>
      <w:r w:rsidR="00C1242E" w:rsidRPr="00A179B5">
        <w:rPr>
          <w:noProof/>
        </w:rPr>
        <w:t>Background</w:t>
      </w:r>
    </w:p>
    <w:tbl>
      <w:tblPr>
        <w:tblW w:w="0" w:type="auto"/>
        <w:tblLayout w:type="fixed"/>
        <w:tblLook w:val="0000" w:firstRow="0" w:lastRow="0" w:firstColumn="0" w:lastColumn="0" w:noHBand="0" w:noVBand="0"/>
      </w:tblPr>
      <w:tblGrid>
        <w:gridCol w:w="6804"/>
        <w:gridCol w:w="2483"/>
      </w:tblGrid>
      <w:tr w:rsidR="00C1242E" w:rsidRPr="00A179B5" w14:paraId="23098FC5" w14:textId="77777777" w:rsidTr="00FC48CE">
        <w:tc>
          <w:tcPr>
            <w:tcW w:w="6804" w:type="dxa"/>
          </w:tcPr>
          <w:p w14:paraId="23098FC3" w14:textId="77777777" w:rsidR="00C1242E" w:rsidRPr="00EE5129" w:rsidRDefault="00C1242E" w:rsidP="00F8543B">
            <w:pPr>
              <w:jc w:val="left"/>
              <w:rPr>
                <w:noProof/>
              </w:rPr>
            </w:pPr>
            <w:r w:rsidRPr="00EE5129">
              <w:rPr>
                <w:noProof/>
              </w:rPr>
              <w:t>Date of transmission of the proposal to the European Parliament and to the Council</w:t>
            </w:r>
            <w:r w:rsidRPr="00EE5129">
              <w:rPr>
                <w:noProof/>
              </w:rPr>
              <w:br/>
              <w:t>(document COM(</w:t>
            </w:r>
            <w:r w:rsidR="00F8543B" w:rsidRPr="00EE5129">
              <w:rPr>
                <w:noProof/>
              </w:rPr>
              <w:t>2017</w:t>
            </w:r>
            <w:r w:rsidRPr="00EE5129">
              <w:rPr>
                <w:noProof/>
              </w:rPr>
              <w:t xml:space="preserve">) </w:t>
            </w:r>
            <w:r w:rsidR="00F8543B" w:rsidRPr="00EE5129">
              <w:rPr>
                <w:noProof/>
              </w:rPr>
              <w:t>275</w:t>
            </w:r>
            <w:r w:rsidRPr="00EE5129">
              <w:rPr>
                <w:noProof/>
              </w:rPr>
              <w:t xml:space="preserve"> final – </w:t>
            </w:r>
            <w:r w:rsidR="00F8543B" w:rsidRPr="00EE5129">
              <w:rPr>
                <w:noProof/>
              </w:rPr>
              <w:t>2017</w:t>
            </w:r>
            <w:r w:rsidRPr="00EE5129">
              <w:rPr>
                <w:noProof/>
              </w:rPr>
              <w:t>/</w:t>
            </w:r>
            <w:r w:rsidR="00F8543B" w:rsidRPr="00EE5129">
              <w:rPr>
                <w:noProof/>
              </w:rPr>
              <w:t>0114</w:t>
            </w:r>
            <w:r w:rsidRPr="005C7344">
              <w:rPr>
                <w:noProof/>
              </w:rPr>
              <w:t xml:space="preserve"> </w:t>
            </w:r>
            <w:r w:rsidRPr="00EE5129">
              <w:rPr>
                <w:noProof/>
              </w:rPr>
              <w:t>COD):</w:t>
            </w:r>
          </w:p>
        </w:tc>
        <w:tc>
          <w:tcPr>
            <w:tcW w:w="2483" w:type="dxa"/>
          </w:tcPr>
          <w:p w14:paraId="23098FC4" w14:textId="77777777" w:rsidR="00C1242E" w:rsidRPr="00EE5129" w:rsidRDefault="00F8543B" w:rsidP="00F8543B">
            <w:pPr>
              <w:jc w:val="left"/>
              <w:rPr>
                <w:noProof/>
              </w:rPr>
            </w:pPr>
            <w:r w:rsidRPr="005C7344">
              <w:rPr>
                <w:noProof/>
              </w:rPr>
              <w:t>1 June 2017</w:t>
            </w:r>
            <w:r w:rsidR="00C1242E" w:rsidRPr="00EE5129">
              <w:rPr>
                <w:noProof/>
              </w:rPr>
              <w:t>.</w:t>
            </w:r>
          </w:p>
        </w:tc>
      </w:tr>
      <w:tr w:rsidR="00C1242E" w:rsidRPr="00A179B5" w14:paraId="23098FC8" w14:textId="77777777" w:rsidTr="00FC48CE">
        <w:tc>
          <w:tcPr>
            <w:tcW w:w="6804" w:type="dxa"/>
          </w:tcPr>
          <w:p w14:paraId="23098FC6" w14:textId="77777777" w:rsidR="00C1242E" w:rsidRPr="00EE5129" w:rsidRDefault="00C1242E" w:rsidP="00FC48CE">
            <w:pPr>
              <w:rPr>
                <w:noProof/>
              </w:rPr>
            </w:pPr>
            <w:r w:rsidRPr="00EE5129">
              <w:rPr>
                <w:noProof/>
              </w:rPr>
              <w:t>Date of the opinion of the European Economic and Social Committee:</w:t>
            </w:r>
          </w:p>
        </w:tc>
        <w:tc>
          <w:tcPr>
            <w:tcW w:w="2483" w:type="dxa"/>
          </w:tcPr>
          <w:p w14:paraId="23098FC7" w14:textId="1BDA2F17" w:rsidR="00C1242E" w:rsidRPr="00EE5129" w:rsidRDefault="00C47C58" w:rsidP="0069665C">
            <w:pPr>
              <w:jc w:val="left"/>
              <w:rPr>
                <w:noProof/>
              </w:rPr>
            </w:pPr>
            <w:r w:rsidRPr="005C7344">
              <w:rPr>
                <w:noProof/>
              </w:rPr>
              <w:t>18 October 2017</w:t>
            </w:r>
            <w:r w:rsidR="00C1242E" w:rsidRPr="00EE5129">
              <w:rPr>
                <w:noProof/>
              </w:rPr>
              <w:t>.</w:t>
            </w:r>
          </w:p>
        </w:tc>
      </w:tr>
      <w:tr w:rsidR="00657A53" w:rsidRPr="00A179B5" w14:paraId="2D6F5F72" w14:textId="77777777" w:rsidTr="00FC48CE">
        <w:tc>
          <w:tcPr>
            <w:tcW w:w="6804" w:type="dxa"/>
          </w:tcPr>
          <w:p w14:paraId="4611F001" w14:textId="73D3161C" w:rsidR="00657A53" w:rsidRPr="00A179B5" w:rsidRDefault="00657A53" w:rsidP="00FC48CE">
            <w:pPr>
              <w:rPr>
                <w:noProof/>
              </w:rPr>
            </w:pPr>
            <w:r w:rsidRPr="00EE5129">
              <w:rPr>
                <w:noProof/>
              </w:rPr>
              <w:t>Date of the opinion of the European</w:t>
            </w:r>
            <w:r>
              <w:rPr>
                <w:noProof/>
              </w:rPr>
              <w:t xml:space="preserve"> </w:t>
            </w:r>
            <w:r w:rsidRPr="00657A53">
              <w:rPr>
                <w:noProof/>
              </w:rPr>
              <w:t>Committee of the Regions</w:t>
            </w:r>
            <w:r>
              <w:rPr>
                <w:noProof/>
              </w:rPr>
              <w:t>:</w:t>
            </w:r>
          </w:p>
        </w:tc>
        <w:tc>
          <w:tcPr>
            <w:tcW w:w="2483" w:type="dxa"/>
          </w:tcPr>
          <w:p w14:paraId="39312543" w14:textId="76C7F8F3" w:rsidR="00657A53" w:rsidRPr="001B21E1" w:rsidRDefault="00657A53" w:rsidP="00FC48CE">
            <w:pPr>
              <w:jc w:val="left"/>
              <w:rPr>
                <w:noProof/>
              </w:rPr>
            </w:pPr>
            <w:r>
              <w:rPr>
                <w:noProof/>
              </w:rPr>
              <w:t>1 February 2018.</w:t>
            </w:r>
          </w:p>
        </w:tc>
      </w:tr>
      <w:tr w:rsidR="00C1242E" w:rsidRPr="00A179B5" w14:paraId="23098FCB" w14:textId="77777777" w:rsidTr="00FC48CE">
        <w:tc>
          <w:tcPr>
            <w:tcW w:w="6804" w:type="dxa"/>
          </w:tcPr>
          <w:p w14:paraId="23098FC9" w14:textId="0949FB9E" w:rsidR="00C1242E" w:rsidRPr="00A179B5" w:rsidRDefault="00C1242E" w:rsidP="00FC48CE">
            <w:pPr>
              <w:rPr>
                <w:noProof/>
              </w:rPr>
            </w:pPr>
            <w:r w:rsidRPr="00A179B5">
              <w:rPr>
                <w:noProof/>
              </w:rPr>
              <w:t>Date of the p</w:t>
            </w:r>
            <w:r>
              <w:rPr>
                <w:noProof/>
              </w:rPr>
              <w:t>osit</w:t>
            </w:r>
            <w:r w:rsidRPr="00A179B5">
              <w:rPr>
                <w:noProof/>
              </w:rPr>
              <w:t>ion of the European Parliament, first reading:</w:t>
            </w:r>
          </w:p>
        </w:tc>
        <w:tc>
          <w:tcPr>
            <w:tcW w:w="2483" w:type="dxa"/>
          </w:tcPr>
          <w:p w14:paraId="23098FCA" w14:textId="07EC522F" w:rsidR="00C1242E" w:rsidRPr="00A179B5" w:rsidRDefault="00F8543B" w:rsidP="00FC48CE">
            <w:pPr>
              <w:jc w:val="left"/>
              <w:rPr>
                <w:noProof/>
              </w:rPr>
            </w:pPr>
            <w:r w:rsidRPr="001B21E1">
              <w:rPr>
                <w:noProof/>
              </w:rPr>
              <w:t>25 October 2018</w:t>
            </w:r>
            <w:r w:rsidR="00C1242E" w:rsidRPr="00A179B5">
              <w:rPr>
                <w:noProof/>
              </w:rPr>
              <w:t>.</w:t>
            </w:r>
          </w:p>
        </w:tc>
      </w:tr>
      <w:tr w:rsidR="00C1242E" w:rsidRPr="00A179B5" w14:paraId="23098FCE" w14:textId="77777777" w:rsidTr="00FC48CE">
        <w:tc>
          <w:tcPr>
            <w:tcW w:w="6804" w:type="dxa"/>
          </w:tcPr>
          <w:p w14:paraId="23098FCC" w14:textId="77777777" w:rsidR="00C1242E" w:rsidRPr="00A179B5" w:rsidRDefault="00C1242E" w:rsidP="00FC48CE">
            <w:pPr>
              <w:rPr>
                <w:noProof/>
              </w:rPr>
            </w:pPr>
            <w:r w:rsidRPr="00A179B5">
              <w:rPr>
                <w:noProof/>
              </w:rPr>
              <w:t>Date of transmission of the amended proposal:</w:t>
            </w:r>
          </w:p>
        </w:tc>
        <w:tc>
          <w:tcPr>
            <w:tcW w:w="2483" w:type="dxa"/>
          </w:tcPr>
          <w:p w14:paraId="23098FCD" w14:textId="77777777" w:rsidR="00C1242E" w:rsidRPr="00A179B5" w:rsidRDefault="00933F3E" w:rsidP="00605E54">
            <w:pPr>
              <w:jc w:val="left"/>
              <w:rPr>
                <w:noProof/>
              </w:rPr>
            </w:pPr>
            <w:r>
              <w:rPr>
                <w:noProof/>
              </w:rPr>
              <w:t>Non applicable</w:t>
            </w:r>
          </w:p>
        </w:tc>
      </w:tr>
      <w:tr w:rsidR="00C1242E" w:rsidRPr="00A179B5" w14:paraId="23098FD1" w14:textId="77777777" w:rsidTr="00FC48CE">
        <w:tc>
          <w:tcPr>
            <w:tcW w:w="6804" w:type="dxa"/>
          </w:tcPr>
          <w:p w14:paraId="23098FCF" w14:textId="77777777" w:rsidR="00C1242E" w:rsidRPr="00A179B5" w:rsidRDefault="00C1242E" w:rsidP="00FC48CE">
            <w:pPr>
              <w:rPr>
                <w:noProof/>
              </w:rPr>
            </w:pPr>
            <w:r w:rsidRPr="00A179B5">
              <w:rPr>
                <w:noProof/>
              </w:rPr>
              <w:t>Date of adoption of the position of the Council:</w:t>
            </w:r>
          </w:p>
        </w:tc>
        <w:tc>
          <w:tcPr>
            <w:tcW w:w="2483" w:type="dxa"/>
          </w:tcPr>
          <w:p w14:paraId="23098FD0" w14:textId="4BD291DE" w:rsidR="00C1242E" w:rsidRPr="00A179B5" w:rsidRDefault="00B825E2" w:rsidP="00657A53">
            <w:pPr>
              <w:jc w:val="left"/>
              <w:rPr>
                <w:noProof/>
              </w:rPr>
            </w:pPr>
            <w:r w:rsidRPr="00AB3B63">
              <w:rPr>
                <w:noProof/>
              </w:rPr>
              <w:t>9 November 2021</w:t>
            </w:r>
            <w:r w:rsidR="00C1242E" w:rsidRPr="00A179B5">
              <w:rPr>
                <w:noProof/>
              </w:rPr>
              <w:t>.</w:t>
            </w:r>
          </w:p>
        </w:tc>
      </w:tr>
    </w:tbl>
    <w:p w14:paraId="23098FD2" w14:textId="5F0D4648" w:rsidR="00C1242E" w:rsidRPr="00090C0A" w:rsidRDefault="00B97FB1" w:rsidP="00B97FB1">
      <w:pPr>
        <w:pStyle w:val="ManualHeading1"/>
        <w:rPr>
          <w:noProof/>
        </w:rPr>
      </w:pPr>
      <w:r w:rsidRPr="00B97FB1">
        <w:rPr>
          <w:noProof/>
        </w:rPr>
        <w:t>2.</w:t>
      </w:r>
      <w:r w:rsidRPr="00B97FB1">
        <w:rPr>
          <w:noProof/>
        </w:rPr>
        <w:tab/>
      </w:r>
      <w:r w:rsidR="00C1242E" w:rsidRPr="00090C0A">
        <w:rPr>
          <w:noProof/>
        </w:rPr>
        <w:t>Objective of the proposal from the Commission</w:t>
      </w:r>
    </w:p>
    <w:p w14:paraId="23098FD3" w14:textId="77777777" w:rsidR="00C1242E" w:rsidRPr="000D5249" w:rsidRDefault="00F8543B" w:rsidP="001704B9">
      <w:pPr>
        <w:rPr>
          <w:noProof/>
        </w:rPr>
      </w:pPr>
      <w:r w:rsidRPr="00BD1646">
        <w:rPr>
          <w:noProof/>
        </w:rPr>
        <w:t xml:space="preserve">The Commission proposed a revision of </w:t>
      </w:r>
      <w:r w:rsidRPr="00B825E2">
        <w:rPr>
          <w:noProof/>
        </w:rPr>
        <w:t>Directive 1999/62/EC</w:t>
      </w:r>
      <w:r w:rsidRPr="000D5249">
        <w:rPr>
          <w:noProof/>
        </w:rPr>
        <w:t xml:space="preserve"> </w:t>
      </w:r>
      <w:r w:rsidR="00312CA1" w:rsidRPr="000D5249">
        <w:rPr>
          <w:noProof/>
        </w:rPr>
        <w:t xml:space="preserve">(“Eurovignette”) </w:t>
      </w:r>
      <w:r w:rsidRPr="000D5249">
        <w:rPr>
          <w:noProof/>
        </w:rPr>
        <w:t>o</w:t>
      </w:r>
      <w:r w:rsidR="00147842" w:rsidRPr="000D5249">
        <w:rPr>
          <w:noProof/>
        </w:rPr>
        <w:t xml:space="preserve">n 31 May 2017, as part of the </w:t>
      </w:r>
      <w:r w:rsidR="00312CA1" w:rsidRPr="000D5249">
        <w:rPr>
          <w:noProof/>
        </w:rPr>
        <w:t xml:space="preserve">first </w:t>
      </w:r>
      <w:r w:rsidR="00147842" w:rsidRPr="000D5249">
        <w:rPr>
          <w:noProof/>
        </w:rPr>
        <w:t>Mobility Package (“Europe on the Move”). This amendment addresses the road charging aspects of th</w:t>
      </w:r>
      <w:r w:rsidR="00B825E2" w:rsidRPr="000D5249">
        <w:rPr>
          <w:noProof/>
        </w:rPr>
        <w:t>at</w:t>
      </w:r>
      <w:r w:rsidR="00147842" w:rsidRPr="000D5249">
        <w:rPr>
          <w:noProof/>
        </w:rPr>
        <w:t xml:space="preserve"> directive.</w:t>
      </w:r>
    </w:p>
    <w:p w14:paraId="23098FD4" w14:textId="77777777" w:rsidR="00AF20AE" w:rsidRDefault="00147842" w:rsidP="00147842">
      <w:pPr>
        <w:rPr>
          <w:noProof/>
        </w:rPr>
      </w:pPr>
      <w:r>
        <w:rPr>
          <w:noProof/>
        </w:rPr>
        <w:t>The objective of the initiative is to make progress in the application of the 'polluter pays' and 'user pays' principles, thereby promoting financially and environmentally sustainable and socially equitable road transport.</w:t>
      </w:r>
      <w:r w:rsidR="000D4BF8">
        <w:rPr>
          <w:noProof/>
        </w:rPr>
        <w:t xml:space="preserve"> This includes the aim to </w:t>
      </w:r>
    </w:p>
    <w:p w14:paraId="23098FD5" w14:textId="3A014CA1" w:rsidR="00AF20AE" w:rsidRDefault="000D4BF8" w:rsidP="008439CE">
      <w:pPr>
        <w:pStyle w:val="Bullet0"/>
        <w:numPr>
          <w:ilvl w:val="0"/>
          <w:numId w:val="12"/>
        </w:numPr>
        <w:rPr>
          <w:noProof/>
        </w:rPr>
      </w:pPr>
      <w:r>
        <w:rPr>
          <w:noProof/>
        </w:rPr>
        <w:t>c</w:t>
      </w:r>
      <w:r w:rsidRPr="000D4BF8">
        <w:rPr>
          <w:noProof/>
        </w:rPr>
        <w:t xml:space="preserve">ontribute to </w:t>
      </w:r>
      <w:r w:rsidR="00605E54">
        <w:rPr>
          <w:noProof/>
        </w:rPr>
        <w:t>the</w:t>
      </w:r>
      <w:r w:rsidR="00575458">
        <w:rPr>
          <w:noProof/>
        </w:rPr>
        <w:t xml:space="preserve"> implementation of</w:t>
      </w:r>
      <w:r w:rsidR="00605E54">
        <w:rPr>
          <w:noProof/>
        </w:rPr>
        <w:t xml:space="preserve"> </w:t>
      </w:r>
      <w:r w:rsidRPr="000D4BF8">
        <w:rPr>
          <w:noProof/>
        </w:rPr>
        <w:t xml:space="preserve">Paris Agreement and </w:t>
      </w:r>
      <w:r w:rsidR="00DC1AE9">
        <w:rPr>
          <w:noProof/>
        </w:rPr>
        <w:t xml:space="preserve">to </w:t>
      </w:r>
      <w:r w:rsidRPr="000D4BF8">
        <w:rPr>
          <w:noProof/>
        </w:rPr>
        <w:t xml:space="preserve">the </w:t>
      </w:r>
      <w:r w:rsidR="00575458">
        <w:rPr>
          <w:noProof/>
        </w:rPr>
        <w:t xml:space="preserve">achievement of </w:t>
      </w:r>
      <w:r>
        <w:rPr>
          <w:noProof/>
        </w:rPr>
        <w:t xml:space="preserve">EU’s </w:t>
      </w:r>
      <w:r w:rsidRPr="000D4BF8">
        <w:rPr>
          <w:noProof/>
        </w:rPr>
        <w:t xml:space="preserve"> </w:t>
      </w:r>
      <w:r>
        <w:rPr>
          <w:noProof/>
        </w:rPr>
        <w:t xml:space="preserve">climate </w:t>
      </w:r>
      <w:r w:rsidRPr="000D4BF8">
        <w:rPr>
          <w:noProof/>
        </w:rPr>
        <w:t>goals through a reduction of CO</w:t>
      </w:r>
      <w:r w:rsidRPr="00AF20AE">
        <w:rPr>
          <w:noProof/>
          <w:vertAlign w:val="subscript"/>
        </w:rPr>
        <w:t>2</w:t>
      </w:r>
      <w:r w:rsidRPr="000D4BF8">
        <w:rPr>
          <w:noProof/>
        </w:rPr>
        <w:t xml:space="preserve"> emissions from road transport</w:t>
      </w:r>
      <w:r w:rsidR="00AF20AE">
        <w:rPr>
          <w:noProof/>
        </w:rPr>
        <w:t>;</w:t>
      </w:r>
    </w:p>
    <w:p w14:paraId="23098FD6" w14:textId="77777777" w:rsidR="00AF20AE" w:rsidRDefault="000D4BF8" w:rsidP="00A47189">
      <w:pPr>
        <w:pStyle w:val="Bullet0"/>
        <w:rPr>
          <w:noProof/>
        </w:rPr>
      </w:pPr>
      <w:r>
        <w:rPr>
          <w:noProof/>
        </w:rPr>
        <w:t>reduce the risk of discrimination vis-à-vis occasional, mostly foreign users, in particular of passenger cars</w:t>
      </w:r>
      <w:r w:rsidR="00AF20AE">
        <w:rPr>
          <w:noProof/>
        </w:rPr>
        <w:t>; and to</w:t>
      </w:r>
    </w:p>
    <w:p w14:paraId="23098FD7" w14:textId="77777777" w:rsidR="00147842" w:rsidRDefault="00147842" w:rsidP="00A47189">
      <w:pPr>
        <w:pStyle w:val="Bullet0"/>
        <w:rPr>
          <w:noProof/>
        </w:rPr>
      </w:pPr>
      <w:r>
        <w:rPr>
          <w:noProof/>
        </w:rPr>
        <w:t xml:space="preserve">address </w:t>
      </w:r>
      <w:r w:rsidR="00AF20AE">
        <w:rPr>
          <w:noProof/>
        </w:rPr>
        <w:t>specific</w:t>
      </w:r>
      <w:r>
        <w:rPr>
          <w:noProof/>
        </w:rPr>
        <w:t xml:space="preserve"> shortcomings of </w:t>
      </w:r>
      <w:r w:rsidR="000D4BF8">
        <w:rPr>
          <w:noProof/>
        </w:rPr>
        <w:t xml:space="preserve">the </w:t>
      </w:r>
      <w:r>
        <w:rPr>
          <w:noProof/>
        </w:rPr>
        <w:t xml:space="preserve">existing legislation, i.e. a better fulfilment of </w:t>
      </w:r>
      <w:r w:rsidR="000D4BF8">
        <w:rPr>
          <w:noProof/>
        </w:rPr>
        <w:t>its</w:t>
      </w:r>
      <w:r>
        <w:rPr>
          <w:noProof/>
        </w:rPr>
        <w:t xml:space="preserve"> objecti</w:t>
      </w:r>
      <w:r w:rsidR="00AF20AE">
        <w:rPr>
          <w:noProof/>
        </w:rPr>
        <w:t>ves</w:t>
      </w:r>
      <w:r w:rsidR="00DC1AE9">
        <w:rPr>
          <w:noProof/>
        </w:rPr>
        <w:t xml:space="preserve">, notably </w:t>
      </w:r>
      <w:r w:rsidR="00AF20AE">
        <w:rPr>
          <w:noProof/>
        </w:rPr>
        <w:t>via simpler</w:t>
      </w:r>
      <w:r w:rsidR="00DC1AE9">
        <w:rPr>
          <w:noProof/>
        </w:rPr>
        <w:t xml:space="preserve"> application of external cost charging</w:t>
      </w:r>
      <w:r w:rsidR="00B825E2">
        <w:rPr>
          <w:noProof/>
        </w:rPr>
        <w:t xml:space="preserve"> that currently requires a cumbersome process of justification and notification</w:t>
      </w:r>
      <w:r w:rsidR="00DC1AE9">
        <w:rPr>
          <w:noProof/>
        </w:rPr>
        <w:t xml:space="preserve">, </w:t>
      </w:r>
      <w:r w:rsidR="00AF20AE">
        <w:rPr>
          <w:noProof/>
        </w:rPr>
        <w:t>and the</w:t>
      </w:r>
      <w:r w:rsidR="00DC1AE9">
        <w:rPr>
          <w:noProof/>
        </w:rPr>
        <w:t xml:space="preserve"> introduc</w:t>
      </w:r>
      <w:r w:rsidR="00AF20AE">
        <w:rPr>
          <w:noProof/>
        </w:rPr>
        <w:t>tion of</w:t>
      </w:r>
      <w:r w:rsidR="00DC1AE9">
        <w:rPr>
          <w:noProof/>
        </w:rPr>
        <w:t xml:space="preserve"> a new option of congestion charging.</w:t>
      </w:r>
    </w:p>
    <w:p w14:paraId="23098FD8" w14:textId="4822185B" w:rsidR="00C1242E" w:rsidRPr="00BD1646" w:rsidRDefault="00B97FB1" w:rsidP="00B97FB1">
      <w:pPr>
        <w:pStyle w:val="ManualHeading1"/>
        <w:rPr>
          <w:noProof/>
        </w:rPr>
      </w:pPr>
      <w:r w:rsidRPr="00B97FB1">
        <w:rPr>
          <w:noProof/>
        </w:rPr>
        <w:t>3.</w:t>
      </w:r>
      <w:r w:rsidRPr="00B97FB1">
        <w:rPr>
          <w:noProof/>
        </w:rPr>
        <w:tab/>
      </w:r>
      <w:r w:rsidR="00C1242E" w:rsidRPr="00090C0A">
        <w:rPr>
          <w:noProof/>
        </w:rPr>
        <w:t>Comments on the position of the Council</w:t>
      </w:r>
    </w:p>
    <w:p w14:paraId="23098FD9" w14:textId="6E04C5B8" w:rsidR="001921B8" w:rsidRPr="006C7BAE" w:rsidRDefault="00B97FB1" w:rsidP="00B97FB1">
      <w:pPr>
        <w:pStyle w:val="ManualHeading2"/>
        <w:rPr>
          <w:noProof/>
        </w:rPr>
      </w:pPr>
      <w:r w:rsidRPr="00B97FB1">
        <w:rPr>
          <w:noProof/>
        </w:rPr>
        <w:t>3.1.</w:t>
      </w:r>
      <w:r w:rsidRPr="00B97FB1">
        <w:rPr>
          <w:noProof/>
        </w:rPr>
        <w:tab/>
      </w:r>
      <w:r w:rsidR="006C7BAE" w:rsidRPr="006C7BAE">
        <w:rPr>
          <w:noProof/>
        </w:rPr>
        <w:t>Type of charging (t</w:t>
      </w:r>
      <w:r w:rsidR="001921B8" w:rsidRPr="006C7BAE">
        <w:rPr>
          <w:noProof/>
        </w:rPr>
        <w:t>olls and/or vignettes</w:t>
      </w:r>
      <w:r w:rsidR="006C7BAE" w:rsidRPr="006C7BAE">
        <w:rPr>
          <w:noProof/>
        </w:rPr>
        <w:t>)</w:t>
      </w:r>
    </w:p>
    <w:p w14:paraId="23098FDA" w14:textId="10D59D6B" w:rsidR="001921B8" w:rsidRPr="005A2012" w:rsidRDefault="00B97FB1" w:rsidP="00B97FB1">
      <w:pPr>
        <w:pStyle w:val="Point1"/>
        <w:rPr>
          <w:rStyle w:val="SubtleEmphasis"/>
          <w:noProof/>
        </w:rPr>
      </w:pPr>
      <w:r w:rsidRPr="00B97FB1">
        <w:rPr>
          <w:rStyle w:val="SubtleEmphasis"/>
          <w:noProof/>
        </w:rPr>
        <w:t>(a)</w:t>
      </w:r>
      <w:r w:rsidRPr="00B97FB1">
        <w:rPr>
          <w:rStyle w:val="SubtleEmphasis"/>
          <w:noProof/>
        </w:rPr>
        <w:tab/>
      </w:r>
      <w:r w:rsidR="001921B8" w:rsidRPr="005A2012">
        <w:rPr>
          <w:rStyle w:val="SubtleEmphasis"/>
          <w:noProof/>
        </w:rPr>
        <w:t>Heavy duty vehicles</w:t>
      </w:r>
      <w:r w:rsidR="006C7BAE" w:rsidRPr="005A2012">
        <w:rPr>
          <w:rStyle w:val="SubtleEmphasis"/>
          <w:noProof/>
        </w:rPr>
        <w:t xml:space="preserve"> (HDVs)</w:t>
      </w:r>
    </w:p>
    <w:p w14:paraId="23098FDB" w14:textId="77777777" w:rsidR="001921B8" w:rsidRPr="001B21E1" w:rsidRDefault="001921B8" w:rsidP="001921B8">
      <w:pPr>
        <w:pStyle w:val="Text1"/>
        <w:spacing w:after="100" w:afterAutospacing="1"/>
        <w:ind w:left="0"/>
        <w:rPr>
          <w:noProof/>
        </w:rPr>
      </w:pPr>
      <w:r>
        <w:rPr>
          <w:noProof/>
        </w:rPr>
        <w:t xml:space="preserve">While the Commission proposed to phase out time-based charging </w:t>
      </w:r>
      <w:r w:rsidR="005A2012">
        <w:rPr>
          <w:noProof/>
        </w:rPr>
        <w:t xml:space="preserve">(i.e. user charges commonly known as vignettes) </w:t>
      </w:r>
      <w:r>
        <w:rPr>
          <w:noProof/>
        </w:rPr>
        <w:t>after 6 years</w:t>
      </w:r>
      <w:r w:rsidRPr="001B21E1">
        <w:rPr>
          <w:noProof/>
        </w:rPr>
        <w:t xml:space="preserve">, </w:t>
      </w:r>
      <w:r w:rsidR="006C7BAE">
        <w:rPr>
          <w:noProof/>
        </w:rPr>
        <w:t>according to the Council position</w:t>
      </w:r>
    </w:p>
    <w:p w14:paraId="23098FDC" w14:textId="77777777" w:rsidR="001921B8" w:rsidRPr="001B21E1" w:rsidRDefault="001921B8" w:rsidP="003A271E">
      <w:pPr>
        <w:pStyle w:val="Bullet1"/>
        <w:numPr>
          <w:ilvl w:val="0"/>
          <w:numId w:val="14"/>
        </w:numPr>
        <w:rPr>
          <w:noProof/>
        </w:rPr>
      </w:pPr>
      <w:r w:rsidRPr="008A5CF0">
        <w:rPr>
          <w:noProof/>
        </w:rPr>
        <w:t xml:space="preserve">Vignettes for HDVs shall be phased out on the core </w:t>
      </w:r>
      <w:r w:rsidR="00E20491">
        <w:rPr>
          <w:noProof/>
        </w:rPr>
        <w:t xml:space="preserve">trans-European transport </w:t>
      </w:r>
      <w:r w:rsidRPr="008A5CF0">
        <w:rPr>
          <w:noProof/>
        </w:rPr>
        <w:t>network</w:t>
      </w:r>
      <w:r w:rsidRPr="001B21E1">
        <w:rPr>
          <w:noProof/>
        </w:rPr>
        <w:t xml:space="preserve"> </w:t>
      </w:r>
      <w:r w:rsidR="00E20491">
        <w:rPr>
          <w:noProof/>
        </w:rPr>
        <w:t xml:space="preserve">(TEN-T) </w:t>
      </w:r>
      <w:r w:rsidR="006C7BAE">
        <w:rPr>
          <w:noProof/>
        </w:rPr>
        <w:t>within</w:t>
      </w:r>
      <w:r w:rsidRPr="001B21E1">
        <w:rPr>
          <w:noProof/>
        </w:rPr>
        <w:t xml:space="preserve"> 8 years</w:t>
      </w:r>
    </w:p>
    <w:p w14:paraId="23098FDD" w14:textId="77777777" w:rsidR="001921B8" w:rsidRPr="001B21E1" w:rsidRDefault="006C7BAE" w:rsidP="00BD1646">
      <w:pPr>
        <w:pStyle w:val="Bullet1"/>
        <w:rPr>
          <w:noProof/>
        </w:rPr>
      </w:pPr>
      <w:r>
        <w:rPr>
          <w:noProof/>
        </w:rPr>
        <w:t>With up to two</w:t>
      </w:r>
      <w:r w:rsidR="001921B8" w:rsidRPr="001B21E1">
        <w:rPr>
          <w:noProof/>
        </w:rPr>
        <w:t xml:space="preserve"> additional years for common systems of user charges (</w:t>
      </w:r>
      <w:r>
        <w:rPr>
          <w:noProof/>
        </w:rPr>
        <w:t xml:space="preserve">i.e. </w:t>
      </w:r>
      <w:r w:rsidR="001921B8" w:rsidRPr="001B21E1">
        <w:rPr>
          <w:noProof/>
        </w:rPr>
        <w:t>the Eurovignette Treaty</w:t>
      </w:r>
      <w:r>
        <w:rPr>
          <w:rStyle w:val="FootnoteReference"/>
          <w:noProof/>
        </w:rPr>
        <w:footnoteReference w:id="1"/>
      </w:r>
      <w:r w:rsidR="001921B8" w:rsidRPr="001B21E1">
        <w:rPr>
          <w:noProof/>
        </w:rPr>
        <w:t>)</w:t>
      </w:r>
    </w:p>
    <w:p w14:paraId="23098FDE" w14:textId="77777777" w:rsidR="001921B8" w:rsidRPr="001B21E1" w:rsidRDefault="001921B8" w:rsidP="00BD1646">
      <w:pPr>
        <w:pStyle w:val="Bullet1"/>
        <w:rPr>
          <w:noProof/>
        </w:rPr>
      </w:pPr>
      <w:r w:rsidRPr="001B21E1">
        <w:rPr>
          <w:noProof/>
        </w:rPr>
        <w:t>Except in duly justified cases (related to costs/benefits linke</w:t>
      </w:r>
      <w:r w:rsidR="005A2012">
        <w:rPr>
          <w:noProof/>
        </w:rPr>
        <w:t>d to traffic/population density or</w:t>
      </w:r>
      <w:r w:rsidRPr="001B21E1">
        <w:rPr>
          <w:noProof/>
        </w:rPr>
        <w:t xml:space="preserve"> </w:t>
      </w:r>
      <w:r w:rsidR="005A2012">
        <w:rPr>
          <w:noProof/>
        </w:rPr>
        <w:t>the risk of traffic diversion</w:t>
      </w:r>
      <w:r w:rsidRPr="001B21E1">
        <w:rPr>
          <w:noProof/>
        </w:rPr>
        <w:t>).</w:t>
      </w:r>
    </w:p>
    <w:p w14:paraId="23098FDF" w14:textId="5CD94C41" w:rsidR="001921B8" w:rsidRPr="001B21E1" w:rsidRDefault="001921B8" w:rsidP="001921B8">
      <w:pPr>
        <w:pStyle w:val="Text1"/>
        <w:spacing w:after="100" w:afterAutospacing="1"/>
        <w:ind w:left="0"/>
        <w:rPr>
          <w:noProof/>
        </w:rPr>
      </w:pPr>
      <w:r w:rsidRPr="001B21E1">
        <w:rPr>
          <w:noProof/>
        </w:rPr>
        <w:t xml:space="preserve">In </w:t>
      </w:r>
      <w:r>
        <w:rPr>
          <w:noProof/>
        </w:rPr>
        <w:t>addition, the possibility to apply</w:t>
      </w:r>
      <w:r w:rsidRPr="001B21E1">
        <w:rPr>
          <w:noProof/>
        </w:rPr>
        <w:t xml:space="preserve"> a ‘combined charging system’ would allow Member States already having tolls in place to introduce vignettes</w:t>
      </w:r>
      <w:r w:rsidR="00B129B3">
        <w:rPr>
          <w:noProof/>
        </w:rPr>
        <w:t>,</w:t>
      </w:r>
      <w:r w:rsidR="009C0ED3">
        <w:rPr>
          <w:noProof/>
        </w:rPr>
        <w:t xml:space="preserve"> i.e.</w:t>
      </w:r>
      <w:r w:rsidRPr="001B21E1">
        <w:rPr>
          <w:noProof/>
        </w:rPr>
        <w:t xml:space="preserve"> </w:t>
      </w:r>
      <w:r w:rsidR="00C93450">
        <w:rPr>
          <w:noProof/>
        </w:rPr>
        <w:t xml:space="preserve">impose user charges </w:t>
      </w:r>
      <w:r w:rsidR="009C0ED3" w:rsidRPr="001B21E1">
        <w:rPr>
          <w:noProof/>
        </w:rPr>
        <w:t>on roads</w:t>
      </w:r>
      <w:r w:rsidR="009C0ED3">
        <w:rPr>
          <w:noProof/>
        </w:rPr>
        <w:t xml:space="preserve"> or </w:t>
      </w:r>
      <w:r w:rsidR="00C93450">
        <w:rPr>
          <w:noProof/>
        </w:rPr>
        <w:t xml:space="preserve">vehicles </w:t>
      </w:r>
      <w:r w:rsidR="009C0ED3">
        <w:rPr>
          <w:noProof/>
        </w:rPr>
        <w:t xml:space="preserve">categories </w:t>
      </w:r>
      <w:r w:rsidR="00C93450">
        <w:rPr>
          <w:noProof/>
        </w:rPr>
        <w:t>that are not currently tolled</w:t>
      </w:r>
      <w:r w:rsidR="009C0ED3">
        <w:rPr>
          <w:noProof/>
        </w:rPr>
        <w:t>, under certain conditions</w:t>
      </w:r>
      <w:r w:rsidRPr="001B21E1">
        <w:rPr>
          <w:noProof/>
        </w:rPr>
        <w:t>.</w:t>
      </w:r>
    </w:p>
    <w:p w14:paraId="23098FE0" w14:textId="5F3A026C" w:rsidR="001921B8" w:rsidRDefault="00C93450" w:rsidP="001921B8">
      <w:pPr>
        <w:pStyle w:val="Text1"/>
        <w:spacing w:after="100" w:afterAutospacing="1"/>
        <w:ind w:left="0"/>
        <w:rPr>
          <w:noProof/>
        </w:rPr>
      </w:pPr>
      <w:r w:rsidRPr="005A2012">
        <w:rPr>
          <w:noProof/>
        </w:rPr>
        <w:t xml:space="preserve">The Commission would have preferred to phase out vignettes on the entire TEN-T network for all HDVs. </w:t>
      </w:r>
      <w:r w:rsidR="00F426C0">
        <w:rPr>
          <w:noProof/>
        </w:rPr>
        <w:t xml:space="preserve">Also, the scope of application of the combined charging system could be reflected more precisely in the relevant legal provision. </w:t>
      </w:r>
      <w:r w:rsidRPr="005A2012">
        <w:rPr>
          <w:noProof/>
        </w:rPr>
        <w:t xml:space="preserve">At the same time, </w:t>
      </w:r>
      <w:r w:rsidR="003331E0">
        <w:rPr>
          <w:noProof/>
        </w:rPr>
        <w:t xml:space="preserve">such provision must be read in the context of the Directive and its recitals, and </w:t>
      </w:r>
      <w:r w:rsidR="00F426C0">
        <w:rPr>
          <w:noProof/>
        </w:rPr>
        <w:t xml:space="preserve">its application is limited </w:t>
      </w:r>
      <w:r w:rsidR="003331E0">
        <w:rPr>
          <w:noProof/>
        </w:rPr>
        <w:t>by the tolling systems already in place today. I</w:t>
      </w:r>
      <w:r w:rsidRPr="005A2012">
        <w:rPr>
          <w:noProof/>
        </w:rPr>
        <w:t xml:space="preserve">n view of the relatively limited impact </w:t>
      </w:r>
      <w:r w:rsidR="001921B8" w:rsidRPr="005A2012">
        <w:rPr>
          <w:noProof/>
        </w:rPr>
        <w:t xml:space="preserve">on infrastructure and external </w:t>
      </w:r>
      <w:r w:rsidR="00D45715" w:rsidRPr="005A2012">
        <w:rPr>
          <w:noProof/>
        </w:rPr>
        <w:t>costs</w:t>
      </w:r>
      <w:r w:rsidRPr="005A2012">
        <w:rPr>
          <w:noProof/>
        </w:rPr>
        <w:t xml:space="preserve"> </w:t>
      </w:r>
      <w:r w:rsidR="009C0ED3">
        <w:rPr>
          <w:noProof/>
        </w:rPr>
        <w:t xml:space="preserve">of smaller HDVs (that are not currently tolled in a few Member States), </w:t>
      </w:r>
      <w:r w:rsidRPr="005A2012">
        <w:rPr>
          <w:noProof/>
        </w:rPr>
        <w:t xml:space="preserve">and </w:t>
      </w:r>
      <w:r w:rsidR="009C0ED3">
        <w:rPr>
          <w:noProof/>
        </w:rPr>
        <w:t xml:space="preserve">in view </w:t>
      </w:r>
      <w:r w:rsidRPr="005A2012">
        <w:rPr>
          <w:noProof/>
        </w:rPr>
        <w:t xml:space="preserve">of the safeguards available (i.e. prior notification of the Commission) in case of </w:t>
      </w:r>
      <w:r w:rsidR="00D45715" w:rsidRPr="005A2012">
        <w:rPr>
          <w:noProof/>
        </w:rPr>
        <w:t>justified exceptions and the introduction of combined charging systems, the Commission can accept the compromise</w:t>
      </w:r>
      <w:r w:rsidR="001921B8" w:rsidRPr="005A2012">
        <w:rPr>
          <w:noProof/>
        </w:rPr>
        <w:t>.</w:t>
      </w:r>
    </w:p>
    <w:p w14:paraId="23098FE1" w14:textId="3FD95D1B" w:rsidR="001921B8" w:rsidRPr="00B825E2" w:rsidRDefault="00B97FB1" w:rsidP="00B97FB1">
      <w:pPr>
        <w:pStyle w:val="Point1"/>
        <w:rPr>
          <w:rStyle w:val="SubtleEmphasis"/>
          <w:noProof/>
        </w:rPr>
      </w:pPr>
      <w:r w:rsidRPr="00B97FB1">
        <w:rPr>
          <w:rStyle w:val="SubtleEmphasis"/>
          <w:noProof/>
        </w:rPr>
        <w:t>(b)</w:t>
      </w:r>
      <w:r w:rsidRPr="00B97FB1">
        <w:rPr>
          <w:rStyle w:val="SubtleEmphasis"/>
          <w:noProof/>
        </w:rPr>
        <w:tab/>
      </w:r>
      <w:r w:rsidR="001921B8" w:rsidRPr="00B825E2">
        <w:rPr>
          <w:rStyle w:val="SubtleEmphasis"/>
          <w:noProof/>
        </w:rPr>
        <w:t>Light vehicles</w:t>
      </w:r>
    </w:p>
    <w:p w14:paraId="23098FE2" w14:textId="77777777" w:rsidR="001921B8" w:rsidRPr="006C712F" w:rsidRDefault="001921B8" w:rsidP="001921B8">
      <w:pPr>
        <w:pStyle w:val="Text1"/>
        <w:spacing w:after="100" w:afterAutospacing="1"/>
        <w:ind w:left="0"/>
        <w:rPr>
          <w:noProof/>
        </w:rPr>
      </w:pPr>
      <w:r w:rsidRPr="006C712F">
        <w:rPr>
          <w:noProof/>
        </w:rPr>
        <w:t xml:space="preserve">The </w:t>
      </w:r>
      <w:r w:rsidR="007C4EEC" w:rsidRPr="006C712F">
        <w:rPr>
          <w:noProof/>
        </w:rPr>
        <w:t xml:space="preserve">Commission also proposed to phase out vignettes for light vehicles. However, the </w:t>
      </w:r>
      <w:r w:rsidRPr="006C712F">
        <w:rPr>
          <w:noProof/>
        </w:rPr>
        <w:t xml:space="preserve">co-legislators agree on the possibility for Member States to maintain and introduce vignettes for </w:t>
      </w:r>
      <w:r w:rsidR="007C4EEC" w:rsidRPr="006C712F">
        <w:rPr>
          <w:noProof/>
        </w:rPr>
        <w:t>those</w:t>
      </w:r>
      <w:r w:rsidRPr="006C712F">
        <w:rPr>
          <w:noProof/>
        </w:rPr>
        <w:t xml:space="preserve"> vehicles (private cars</w:t>
      </w:r>
      <w:r w:rsidR="00293CE0">
        <w:rPr>
          <w:noProof/>
        </w:rPr>
        <w:t>,</w:t>
      </w:r>
      <w:r w:rsidRPr="006C712F">
        <w:rPr>
          <w:noProof/>
        </w:rPr>
        <w:t xml:space="preserve"> light commercial vehicles and minibuses)</w:t>
      </w:r>
      <w:r w:rsidR="007C4EEC" w:rsidRPr="006C712F">
        <w:rPr>
          <w:noProof/>
        </w:rPr>
        <w:t>.</w:t>
      </w:r>
    </w:p>
    <w:p w14:paraId="23098FE3" w14:textId="77777777" w:rsidR="001921B8" w:rsidRPr="006C712F" w:rsidRDefault="007C4EEC" w:rsidP="007C4EEC">
      <w:pPr>
        <w:pStyle w:val="Text1"/>
        <w:spacing w:after="100" w:afterAutospacing="1"/>
        <w:ind w:left="0"/>
        <w:rPr>
          <w:noProof/>
        </w:rPr>
      </w:pPr>
      <w:r w:rsidRPr="006C712F">
        <w:rPr>
          <w:noProof/>
        </w:rPr>
        <w:t xml:space="preserve">As regards the proportionality of vignette prices, the Commission proposed somewhat lower limits for short-term vignettes than the ones provided for in the Council position. At the same time, the Council position now requires Member States to make available </w:t>
      </w:r>
      <w:r w:rsidRPr="007B253A">
        <w:rPr>
          <w:b/>
          <w:noProof/>
        </w:rPr>
        <w:t>daily vignettes</w:t>
      </w:r>
      <w:r w:rsidRPr="006C712F">
        <w:rPr>
          <w:noProof/>
        </w:rPr>
        <w:t xml:space="preserve"> that represent a significant step towards more proportionate pricing for light vehicles. In addition, </w:t>
      </w:r>
      <w:r w:rsidR="00C80716" w:rsidRPr="006C712F">
        <w:rPr>
          <w:noProof/>
        </w:rPr>
        <w:t>review clauses</w:t>
      </w:r>
      <w:r w:rsidR="001921B8" w:rsidRPr="006C712F">
        <w:rPr>
          <w:noProof/>
        </w:rPr>
        <w:t xml:space="preserve"> on the rules applicable to light vehicles at large and specifically on the treatment of </w:t>
      </w:r>
      <w:r w:rsidR="00C80716" w:rsidRPr="006C712F">
        <w:rPr>
          <w:noProof/>
        </w:rPr>
        <w:t>light commercial vehicle</w:t>
      </w:r>
      <w:r w:rsidR="001921B8" w:rsidRPr="006C712F">
        <w:rPr>
          <w:noProof/>
        </w:rPr>
        <w:t>s</w:t>
      </w:r>
      <w:r w:rsidR="00C80716" w:rsidRPr="006C712F">
        <w:rPr>
          <w:noProof/>
        </w:rPr>
        <w:t xml:space="preserve"> </w:t>
      </w:r>
      <w:r w:rsidR="00293CE0">
        <w:rPr>
          <w:noProof/>
        </w:rPr>
        <w:t xml:space="preserve">(LCVs) </w:t>
      </w:r>
      <w:r w:rsidR="00C80716" w:rsidRPr="006C712F">
        <w:rPr>
          <w:noProof/>
        </w:rPr>
        <w:t>are included, as requested by the European Parliament.</w:t>
      </w:r>
    </w:p>
    <w:p w14:paraId="23098FE4" w14:textId="77777777" w:rsidR="001921B8" w:rsidRPr="006C712F" w:rsidRDefault="001921B8" w:rsidP="001921B8">
      <w:pPr>
        <w:pStyle w:val="Text1"/>
        <w:spacing w:after="100" w:afterAutospacing="1"/>
        <w:ind w:left="0"/>
        <w:rPr>
          <w:noProof/>
        </w:rPr>
      </w:pPr>
      <w:r w:rsidRPr="006C712F">
        <w:rPr>
          <w:noProof/>
        </w:rPr>
        <w:t>More proportionate pricing is in line with the Commission proposal.</w:t>
      </w:r>
    </w:p>
    <w:p w14:paraId="220088E6" w14:textId="77777777" w:rsidR="00042992" w:rsidRDefault="00042992">
      <w:pPr>
        <w:spacing w:before="0" w:after="200" w:line="276" w:lineRule="auto"/>
        <w:jc w:val="left"/>
        <w:rPr>
          <w:rFonts w:eastAsiaTheme="majorEastAsia"/>
          <w:b/>
          <w:bCs/>
          <w:noProof/>
          <w:szCs w:val="26"/>
        </w:rPr>
      </w:pPr>
      <w:bookmarkStart w:id="1" w:name="_Ref84269545"/>
      <w:r>
        <w:rPr>
          <w:noProof/>
        </w:rPr>
        <w:br w:type="page"/>
      </w:r>
    </w:p>
    <w:p w14:paraId="23098FE5" w14:textId="6DD28230" w:rsidR="001921B8" w:rsidRPr="005A2012" w:rsidRDefault="00B97FB1" w:rsidP="00B97FB1">
      <w:pPr>
        <w:pStyle w:val="ManualHeading2"/>
        <w:rPr>
          <w:noProof/>
        </w:rPr>
      </w:pPr>
      <w:r w:rsidRPr="00B97FB1">
        <w:rPr>
          <w:noProof/>
        </w:rPr>
        <w:t>3.2.</w:t>
      </w:r>
      <w:r w:rsidRPr="00B97FB1">
        <w:rPr>
          <w:noProof/>
        </w:rPr>
        <w:tab/>
      </w:r>
      <w:r w:rsidR="001921B8" w:rsidRPr="005A2012">
        <w:rPr>
          <w:noProof/>
        </w:rPr>
        <w:t>Variation of charges based on environmental performance</w:t>
      </w:r>
      <w:bookmarkEnd w:id="1"/>
    </w:p>
    <w:p w14:paraId="23098FE6" w14:textId="51ACD0C9" w:rsidR="001921B8" w:rsidRPr="00A47189" w:rsidRDefault="00B97FB1" w:rsidP="00B97FB1">
      <w:pPr>
        <w:pStyle w:val="Point1"/>
        <w:rPr>
          <w:rStyle w:val="SubtleEmphasis"/>
          <w:noProof/>
        </w:rPr>
      </w:pPr>
      <w:bookmarkStart w:id="2" w:name="_Ref84269685"/>
      <w:r w:rsidRPr="00B97FB1">
        <w:rPr>
          <w:rStyle w:val="SubtleEmphasis"/>
          <w:noProof/>
        </w:rPr>
        <w:t>(a)</w:t>
      </w:r>
      <w:r w:rsidRPr="00B97FB1">
        <w:rPr>
          <w:rStyle w:val="SubtleEmphasis"/>
          <w:noProof/>
        </w:rPr>
        <w:tab/>
      </w:r>
      <w:r w:rsidR="001921B8" w:rsidRPr="00A47189">
        <w:rPr>
          <w:rStyle w:val="SubtleEmphasis"/>
          <w:noProof/>
        </w:rPr>
        <w:t>Heavy duty vehicles</w:t>
      </w:r>
      <w:bookmarkEnd w:id="2"/>
    </w:p>
    <w:p w14:paraId="23098FE7" w14:textId="75CA41B3" w:rsidR="001921B8" w:rsidRPr="002A6DAB" w:rsidRDefault="001921B8" w:rsidP="001921B8">
      <w:pPr>
        <w:pStyle w:val="Text1"/>
        <w:spacing w:after="100" w:afterAutospacing="1"/>
        <w:ind w:left="0"/>
        <w:rPr>
          <w:noProof/>
        </w:rPr>
      </w:pPr>
      <w:r w:rsidRPr="002A6DAB">
        <w:rPr>
          <w:noProof/>
        </w:rPr>
        <w:t>The Commission proposed to replace the variation based on E</w:t>
      </w:r>
      <w:r w:rsidR="006C712F" w:rsidRPr="002A6DAB">
        <w:rPr>
          <w:noProof/>
        </w:rPr>
        <w:t>uro</w:t>
      </w:r>
      <w:r w:rsidRPr="002A6DAB">
        <w:rPr>
          <w:noProof/>
        </w:rPr>
        <w:t xml:space="preserve"> emission class by a </w:t>
      </w:r>
      <w:r w:rsidR="006C712F" w:rsidRPr="002A6DAB">
        <w:rPr>
          <w:b/>
          <w:noProof/>
        </w:rPr>
        <w:t xml:space="preserve">mandatory </w:t>
      </w:r>
      <w:r w:rsidRPr="002A6DAB">
        <w:rPr>
          <w:b/>
          <w:noProof/>
        </w:rPr>
        <w:t>variation based on CO</w:t>
      </w:r>
      <w:r w:rsidRPr="002A6DAB">
        <w:rPr>
          <w:b/>
          <w:noProof/>
          <w:vertAlign w:val="subscript"/>
        </w:rPr>
        <w:t>2</w:t>
      </w:r>
      <w:r w:rsidRPr="002A6DAB">
        <w:rPr>
          <w:b/>
          <w:noProof/>
        </w:rPr>
        <w:t xml:space="preserve"> emissions </w:t>
      </w:r>
      <w:r w:rsidRPr="002A6DAB">
        <w:rPr>
          <w:noProof/>
        </w:rPr>
        <w:t>of HDVs (</w:t>
      </w:r>
      <w:r w:rsidR="006C712F" w:rsidRPr="002A6DAB">
        <w:rPr>
          <w:noProof/>
        </w:rPr>
        <w:t xml:space="preserve">with </w:t>
      </w:r>
      <w:r w:rsidRPr="002A6DAB">
        <w:rPr>
          <w:noProof/>
        </w:rPr>
        <w:t xml:space="preserve">air pollutants to be </w:t>
      </w:r>
      <w:r w:rsidR="006C712F" w:rsidRPr="002A6DAB">
        <w:rPr>
          <w:noProof/>
        </w:rPr>
        <w:t>addressed</w:t>
      </w:r>
      <w:r w:rsidRPr="002A6DAB">
        <w:rPr>
          <w:noProof/>
        </w:rPr>
        <w:t xml:space="preserve"> by external cost charging</w:t>
      </w:r>
      <w:r w:rsidR="006C712F" w:rsidRPr="002A6DAB">
        <w:rPr>
          <w:noProof/>
        </w:rPr>
        <w:t>, cf. section 3.3</w:t>
      </w:r>
      <w:r w:rsidRPr="002A6DAB">
        <w:rPr>
          <w:noProof/>
        </w:rPr>
        <w:t>). In the absence of a basel</w:t>
      </w:r>
      <w:r w:rsidR="006C712F" w:rsidRPr="002A6DAB">
        <w:rPr>
          <w:noProof/>
        </w:rPr>
        <w:t>ine at the time of the proposal</w:t>
      </w:r>
      <w:r w:rsidRPr="002A6DAB">
        <w:rPr>
          <w:noProof/>
        </w:rPr>
        <w:t>, the Commission proposed to develop the details in delegated acts.</w:t>
      </w:r>
    </w:p>
    <w:p w14:paraId="23098FE8" w14:textId="77777777" w:rsidR="001921B8" w:rsidRPr="002A6DAB" w:rsidRDefault="002A6DAB" w:rsidP="001921B8">
      <w:pPr>
        <w:pStyle w:val="Text1"/>
        <w:spacing w:after="100" w:afterAutospacing="1"/>
        <w:ind w:left="0"/>
        <w:rPr>
          <w:noProof/>
        </w:rPr>
      </w:pPr>
      <w:r>
        <w:rPr>
          <w:noProof/>
        </w:rPr>
        <w:t>In its first reading position, t</w:t>
      </w:r>
      <w:r w:rsidR="001921B8" w:rsidRPr="002A6DAB">
        <w:rPr>
          <w:noProof/>
        </w:rPr>
        <w:t xml:space="preserve">he </w:t>
      </w:r>
      <w:r>
        <w:rPr>
          <w:noProof/>
        </w:rPr>
        <w:t xml:space="preserve">European </w:t>
      </w:r>
      <w:r w:rsidR="001921B8" w:rsidRPr="002A6DAB">
        <w:rPr>
          <w:noProof/>
        </w:rPr>
        <w:t>Parliament largely followed the proposal and only made limited amendments</w:t>
      </w:r>
      <w:r w:rsidR="007B253A">
        <w:rPr>
          <w:noProof/>
        </w:rPr>
        <w:t xml:space="preserve"> related to the treatment of zero-emission operations</w:t>
      </w:r>
      <w:r w:rsidR="001921B8" w:rsidRPr="002A6DAB">
        <w:rPr>
          <w:noProof/>
        </w:rPr>
        <w:t>, which are in line with the Council position. Council developed the details of variation based on CO</w:t>
      </w:r>
      <w:r w:rsidR="001921B8" w:rsidRPr="002A6DAB">
        <w:rPr>
          <w:noProof/>
          <w:vertAlign w:val="subscript"/>
        </w:rPr>
        <w:t>2</w:t>
      </w:r>
      <w:r w:rsidR="001921B8" w:rsidRPr="002A6DAB">
        <w:rPr>
          <w:noProof/>
        </w:rPr>
        <w:t xml:space="preserve"> </w:t>
      </w:r>
      <w:r w:rsidR="006C712F" w:rsidRPr="002A6DAB">
        <w:rPr>
          <w:noProof/>
        </w:rPr>
        <w:t xml:space="preserve">emissions </w:t>
      </w:r>
      <w:r w:rsidR="001921B8" w:rsidRPr="002A6DAB">
        <w:rPr>
          <w:noProof/>
        </w:rPr>
        <w:t>for HDVs building on the CO</w:t>
      </w:r>
      <w:r w:rsidR="001921B8" w:rsidRPr="002A6DAB">
        <w:rPr>
          <w:noProof/>
          <w:vertAlign w:val="subscript"/>
        </w:rPr>
        <w:t>2</w:t>
      </w:r>
      <w:r w:rsidR="001921B8" w:rsidRPr="002A6DAB">
        <w:rPr>
          <w:noProof/>
        </w:rPr>
        <w:t xml:space="preserve"> standards adopted in 2019</w:t>
      </w:r>
      <w:r w:rsidR="006C712F" w:rsidRPr="002A6DAB">
        <w:rPr>
          <w:rStyle w:val="FootnoteReference"/>
          <w:noProof/>
        </w:rPr>
        <w:footnoteReference w:id="2"/>
      </w:r>
      <w:r w:rsidR="001921B8" w:rsidRPr="002A6DAB">
        <w:rPr>
          <w:noProof/>
        </w:rPr>
        <w:t xml:space="preserve">. </w:t>
      </w:r>
      <w:r w:rsidR="006C712F" w:rsidRPr="002A6DAB">
        <w:rPr>
          <w:noProof/>
        </w:rPr>
        <w:t>In parallel</w:t>
      </w:r>
      <w:r w:rsidR="001921B8" w:rsidRPr="002A6DAB">
        <w:rPr>
          <w:noProof/>
        </w:rPr>
        <w:t xml:space="preserve">, </w:t>
      </w:r>
      <w:r w:rsidR="006C712F" w:rsidRPr="002A6DAB">
        <w:rPr>
          <w:noProof/>
        </w:rPr>
        <w:t>Council</w:t>
      </w:r>
      <w:r w:rsidR="001921B8" w:rsidRPr="002A6DAB">
        <w:rPr>
          <w:noProof/>
        </w:rPr>
        <w:t xml:space="preserve"> extended the obligation to var</w:t>
      </w:r>
      <w:r w:rsidR="006C712F" w:rsidRPr="002A6DAB">
        <w:rPr>
          <w:noProof/>
        </w:rPr>
        <w:t>y</w:t>
      </w:r>
      <w:r w:rsidR="001921B8" w:rsidRPr="002A6DAB">
        <w:rPr>
          <w:noProof/>
        </w:rPr>
        <w:t xml:space="preserve"> </w:t>
      </w:r>
      <w:r w:rsidR="006C712F" w:rsidRPr="002A6DAB">
        <w:rPr>
          <w:noProof/>
        </w:rPr>
        <w:t>charges also</w:t>
      </w:r>
      <w:r w:rsidR="00C80716" w:rsidRPr="002A6DAB">
        <w:rPr>
          <w:noProof/>
        </w:rPr>
        <w:t xml:space="preserve"> </w:t>
      </w:r>
      <w:r w:rsidR="006C712F" w:rsidRPr="002A6DAB">
        <w:rPr>
          <w:noProof/>
        </w:rPr>
        <w:t xml:space="preserve">to </w:t>
      </w:r>
      <w:r w:rsidR="00C80716" w:rsidRPr="002A6DAB">
        <w:rPr>
          <w:noProof/>
        </w:rPr>
        <w:t>vignettes</w:t>
      </w:r>
      <w:r w:rsidR="006C712F" w:rsidRPr="002A6DAB">
        <w:rPr>
          <w:noProof/>
        </w:rPr>
        <w:t xml:space="preserve"> (user charges)</w:t>
      </w:r>
      <w:r w:rsidR="00C80716" w:rsidRPr="002A6DAB">
        <w:rPr>
          <w:noProof/>
        </w:rPr>
        <w:t>.</w:t>
      </w:r>
    </w:p>
    <w:p w14:paraId="23098FE9" w14:textId="77777777" w:rsidR="001921B8" w:rsidRPr="00AE2F61" w:rsidRDefault="00B9551F" w:rsidP="001921B8">
      <w:pPr>
        <w:pStyle w:val="Text1"/>
        <w:spacing w:after="100" w:afterAutospacing="1"/>
        <w:ind w:left="0"/>
        <w:rPr>
          <w:noProof/>
        </w:rPr>
      </w:pPr>
      <w:r w:rsidRPr="00AE2F61">
        <w:rPr>
          <w:noProof/>
        </w:rPr>
        <w:t>In view of the recent proposal on an emission trading system for road transport</w:t>
      </w:r>
      <w:r w:rsidRPr="00AE2F61">
        <w:rPr>
          <w:rStyle w:val="FootnoteReference"/>
          <w:noProof/>
        </w:rPr>
        <w:footnoteReference w:id="3"/>
      </w:r>
      <w:r w:rsidRPr="00AE2F61">
        <w:rPr>
          <w:noProof/>
        </w:rPr>
        <w:t>, t</w:t>
      </w:r>
      <w:r w:rsidR="006C712F" w:rsidRPr="00AE2F61">
        <w:rPr>
          <w:noProof/>
        </w:rPr>
        <w:t>he Council position includes a</w:t>
      </w:r>
      <w:r w:rsidR="001921B8" w:rsidRPr="00AE2F61">
        <w:rPr>
          <w:noProof/>
        </w:rPr>
        <w:t xml:space="preserve"> review/evaluation clause to address any real and perceived risk of duplication in carbon pricing.</w:t>
      </w:r>
    </w:p>
    <w:p w14:paraId="23098FEA" w14:textId="77777777" w:rsidR="001921B8" w:rsidRPr="00AE2F61" w:rsidRDefault="00C80716" w:rsidP="001921B8">
      <w:pPr>
        <w:pStyle w:val="Text1"/>
        <w:spacing w:after="100" w:afterAutospacing="1"/>
        <w:ind w:left="0"/>
        <w:rPr>
          <w:noProof/>
        </w:rPr>
      </w:pPr>
      <w:r w:rsidRPr="00AE2F61">
        <w:rPr>
          <w:noProof/>
        </w:rPr>
        <w:t>T</w:t>
      </w:r>
      <w:r w:rsidR="001921B8" w:rsidRPr="00AE2F61">
        <w:rPr>
          <w:noProof/>
        </w:rPr>
        <w:t>he Commission support</w:t>
      </w:r>
      <w:r w:rsidRPr="00AE2F61">
        <w:rPr>
          <w:noProof/>
        </w:rPr>
        <w:t>s</w:t>
      </w:r>
      <w:r w:rsidR="001921B8" w:rsidRPr="00AE2F61">
        <w:rPr>
          <w:noProof/>
        </w:rPr>
        <w:t xml:space="preserve"> the methodology for varying charges based on CO</w:t>
      </w:r>
      <w:r w:rsidR="001921B8" w:rsidRPr="00AE2F61">
        <w:rPr>
          <w:noProof/>
          <w:vertAlign w:val="subscript"/>
        </w:rPr>
        <w:t>2</w:t>
      </w:r>
      <w:r w:rsidR="001921B8" w:rsidRPr="00AE2F61">
        <w:rPr>
          <w:noProof/>
        </w:rPr>
        <w:t xml:space="preserve"> emissions developed in the Council text </w:t>
      </w:r>
      <w:r w:rsidRPr="00AE2F61">
        <w:rPr>
          <w:noProof/>
        </w:rPr>
        <w:t>together with a review clause.</w:t>
      </w:r>
    </w:p>
    <w:p w14:paraId="23098FEB" w14:textId="1F3F1246" w:rsidR="001921B8" w:rsidRPr="00AE2F61" w:rsidRDefault="00B97FB1" w:rsidP="00B97FB1">
      <w:pPr>
        <w:pStyle w:val="Point1"/>
        <w:rPr>
          <w:rStyle w:val="SubtleEmphasis"/>
          <w:noProof/>
        </w:rPr>
      </w:pPr>
      <w:r w:rsidRPr="00B97FB1">
        <w:rPr>
          <w:rStyle w:val="SubtleEmphasis"/>
          <w:noProof/>
        </w:rPr>
        <w:t>(b)</w:t>
      </w:r>
      <w:r w:rsidRPr="00B97FB1">
        <w:rPr>
          <w:rStyle w:val="SubtleEmphasis"/>
          <w:noProof/>
        </w:rPr>
        <w:tab/>
      </w:r>
      <w:r w:rsidR="001921B8" w:rsidRPr="00AE2F61">
        <w:rPr>
          <w:rStyle w:val="SubtleEmphasis"/>
          <w:noProof/>
        </w:rPr>
        <w:t>Light vehicles</w:t>
      </w:r>
    </w:p>
    <w:p w14:paraId="23098FEC" w14:textId="77777777" w:rsidR="001921B8" w:rsidRPr="00AE2F61" w:rsidRDefault="00293CE0" w:rsidP="001921B8">
      <w:pPr>
        <w:pStyle w:val="Text1"/>
        <w:spacing w:after="100" w:afterAutospacing="1"/>
        <w:ind w:left="0"/>
        <w:rPr>
          <w:noProof/>
        </w:rPr>
      </w:pPr>
      <w:r w:rsidRPr="00AE2F61">
        <w:rPr>
          <w:noProof/>
        </w:rPr>
        <w:t>The Commission proposed to vary road charges also for light vehicles based on their environmental performance, i.e. taking into account both CO</w:t>
      </w:r>
      <w:r w:rsidRPr="00AE2F61">
        <w:rPr>
          <w:noProof/>
          <w:vertAlign w:val="subscript"/>
        </w:rPr>
        <w:t>2</w:t>
      </w:r>
      <w:r w:rsidRPr="00AE2F61">
        <w:rPr>
          <w:noProof/>
        </w:rPr>
        <w:t xml:space="preserve"> and pollutant emissions. The</w:t>
      </w:r>
      <w:r w:rsidR="001921B8" w:rsidRPr="00AE2F61">
        <w:rPr>
          <w:noProof/>
        </w:rPr>
        <w:t xml:space="preserve"> co-legislators agree that the variation of charges for </w:t>
      </w:r>
      <w:r w:rsidRPr="00AE2F61">
        <w:rPr>
          <w:noProof/>
        </w:rPr>
        <w:t>passenger</w:t>
      </w:r>
      <w:r w:rsidR="001921B8" w:rsidRPr="00AE2F61">
        <w:rPr>
          <w:noProof/>
        </w:rPr>
        <w:t xml:space="preserve"> cars should be optional. </w:t>
      </w:r>
    </w:p>
    <w:p w14:paraId="23098FED" w14:textId="24AC76FE" w:rsidR="001921B8" w:rsidRPr="00AE2F61" w:rsidRDefault="001921B8" w:rsidP="001921B8">
      <w:pPr>
        <w:pStyle w:val="Text1"/>
        <w:spacing w:after="100" w:afterAutospacing="1"/>
        <w:ind w:left="0"/>
        <w:rPr>
          <w:noProof/>
        </w:rPr>
      </w:pPr>
      <w:r w:rsidRPr="00AE2F61">
        <w:rPr>
          <w:noProof/>
        </w:rPr>
        <w:t xml:space="preserve">According to the </w:t>
      </w:r>
      <w:r w:rsidR="002A6DAB" w:rsidRPr="00AE2F61">
        <w:rPr>
          <w:noProof/>
        </w:rPr>
        <w:t>Council position</w:t>
      </w:r>
      <w:r w:rsidRPr="00AE2F61">
        <w:rPr>
          <w:noProof/>
        </w:rPr>
        <w:t xml:space="preserve">, Member States </w:t>
      </w:r>
      <w:r w:rsidR="002A6DAB" w:rsidRPr="00AE2F61">
        <w:rPr>
          <w:noProof/>
        </w:rPr>
        <w:t>will</w:t>
      </w:r>
      <w:r w:rsidRPr="00AE2F61">
        <w:rPr>
          <w:noProof/>
        </w:rPr>
        <w:t xml:space="preserve"> be required, where technically practicable, to vary tolls and the annual user charge for vans </w:t>
      </w:r>
      <w:r w:rsidR="00293CE0" w:rsidRPr="00AE2F61">
        <w:rPr>
          <w:noProof/>
        </w:rPr>
        <w:t xml:space="preserve">(a subset of LCVs) </w:t>
      </w:r>
      <w:r w:rsidRPr="00AE2F61">
        <w:rPr>
          <w:noProof/>
        </w:rPr>
        <w:t>and minibuses according to the environmental performance of the vehicle, from 2026. The scheme provided in Article 7g</w:t>
      </w:r>
      <w:r w:rsidR="002A6DAB" w:rsidRPr="00AE2F61">
        <w:rPr>
          <w:noProof/>
        </w:rPr>
        <w:t>b</w:t>
      </w:r>
      <w:r w:rsidRPr="00AE2F61">
        <w:rPr>
          <w:noProof/>
        </w:rPr>
        <w:t xml:space="preserve"> and Annex VII</w:t>
      </w:r>
      <w:r w:rsidR="009A2406">
        <w:rPr>
          <w:noProof/>
        </w:rPr>
        <w:t>, based on the latest emission standards,</w:t>
      </w:r>
      <w:r w:rsidRPr="00AE2F61">
        <w:rPr>
          <w:noProof/>
        </w:rPr>
        <w:t xml:space="preserve"> </w:t>
      </w:r>
      <w:r w:rsidR="002A6DAB" w:rsidRPr="00AE2F61">
        <w:rPr>
          <w:noProof/>
        </w:rPr>
        <w:t>w</w:t>
      </w:r>
      <w:r w:rsidRPr="00AE2F61">
        <w:rPr>
          <w:noProof/>
        </w:rPr>
        <w:t>ould be indicative. Member States that choose to apply a different scheme (e.g. in terms of emission performance criteria, the extent of variation, or possibly including other criteria) would have to justify their choice and notify the Commission. However, Member States may choose to apply reductions to zero-emission vehicles only, without var</w:t>
      </w:r>
      <w:r w:rsidR="0055205A">
        <w:rPr>
          <w:noProof/>
        </w:rPr>
        <w:t>ying the charges for</w:t>
      </w:r>
      <w:r w:rsidRPr="00AE2F61">
        <w:rPr>
          <w:noProof/>
        </w:rPr>
        <w:t xml:space="preserve"> other vehicles and without notifying the Commission.</w:t>
      </w:r>
    </w:p>
    <w:p w14:paraId="23098FEE" w14:textId="67CE585F" w:rsidR="00293CE0" w:rsidRPr="00AE2F61" w:rsidRDefault="00484465" w:rsidP="001921B8">
      <w:pPr>
        <w:pStyle w:val="Text1"/>
        <w:spacing w:after="100" w:afterAutospacing="1"/>
        <w:ind w:left="0"/>
        <w:rPr>
          <w:noProof/>
        </w:rPr>
      </w:pPr>
      <w:r w:rsidRPr="00AE2F61">
        <w:rPr>
          <w:noProof/>
        </w:rPr>
        <w:t xml:space="preserve">Although the Commission would have preferred </w:t>
      </w:r>
      <w:r w:rsidR="00933F3E">
        <w:rPr>
          <w:noProof/>
        </w:rPr>
        <w:t>a similar rule for</w:t>
      </w:r>
      <w:r w:rsidR="001921B8" w:rsidRPr="00AE2F61">
        <w:rPr>
          <w:noProof/>
        </w:rPr>
        <w:t xml:space="preserve"> all LCVs</w:t>
      </w:r>
      <w:r w:rsidR="00710121" w:rsidRPr="00AE2F61">
        <w:rPr>
          <w:noProof/>
        </w:rPr>
        <w:t>,</w:t>
      </w:r>
      <w:r w:rsidR="001921B8" w:rsidRPr="00AE2F61">
        <w:rPr>
          <w:noProof/>
        </w:rPr>
        <w:t xml:space="preserve"> </w:t>
      </w:r>
      <w:r w:rsidRPr="00AE2F61">
        <w:rPr>
          <w:noProof/>
        </w:rPr>
        <w:t xml:space="preserve">it can </w:t>
      </w:r>
      <w:r w:rsidR="001921B8" w:rsidRPr="00AE2F61">
        <w:rPr>
          <w:noProof/>
        </w:rPr>
        <w:t xml:space="preserve">support </w:t>
      </w:r>
      <w:r w:rsidR="00933F3E">
        <w:rPr>
          <w:noProof/>
        </w:rPr>
        <w:t>the compromise</w:t>
      </w:r>
      <w:r w:rsidRPr="00AE2F61">
        <w:rPr>
          <w:noProof/>
        </w:rPr>
        <w:t xml:space="preserve"> as the principle of the variation of charges reflecting the cost of road use is </w:t>
      </w:r>
      <w:r w:rsidR="00293CE0" w:rsidRPr="00AE2F61">
        <w:rPr>
          <w:noProof/>
        </w:rPr>
        <w:t>in line with the Commission proposal.</w:t>
      </w:r>
    </w:p>
    <w:p w14:paraId="23098FEF" w14:textId="6FD37BBE" w:rsidR="001921B8" w:rsidRPr="00AE2F61" w:rsidRDefault="00B97FB1" w:rsidP="00B97FB1">
      <w:pPr>
        <w:pStyle w:val="ManualHeading2"/>
        <w:rPr>
          <w:noProof/>
        </w:rPr>
      </w:pPr>
      <w:bookmarkStart w:id="3" w:name="_Ref84266938"/>
      <w:r w:rsidRPr="00B97FB1">
        <w:rPr>
          <w:noProof/>
        </w:rPr>
        <w:t>3.3.</w:t>
      </w:r>
      <w:r w:rsidRPr="00B97FB1">
        <w:rPr>
          <w:noProof/>
        </w:rPr>
        <w:tab/>
      </w:r>
      <w:r w:rsidR="001921B8" w:rsidRPr="00AE2F61">
        <w:rPr>
          <w:noProof/>
        </w:rPr>
        <w:t>External cost charging</w:t>
      </w:r>
      <w:bookmarkEnd w:id="3"/>
    </w:p>
    <w:p w14:paraId="23098FF0" w14:textId="77777777" w:rsidR="001921B8" w:rsidRPr="00AE2F61" w:rsidRDefault="001921B8" w:rsidP="001921B8">
      <w:pPr>
        <w:pStyle w:val="Text1"/>
        <w:spacing w:after="100" w:afterAutospacing="1"/>
        <w:ind w:left="0"/>
        <w:rPr>
          <w:noProof/>
        </w:rPr>
      </w:pPr>
      <w:r w:rsidRPr="00AE2F61">
        <w:rPr>
          <w:noProof/>
        </w:rPr>
        <w:t>The Commission proposed to simplify external cost charging (with directly usable reference values) and to make it mandatory for HDVs, at least on those parts of the network where the external cost of air pollution and</w:t>
      </w:r>
      <w:r w:rsidR="00710121" w:rsidRPr="00AE2F61">
        <w:rPr>
          <w:noProof/>
        </w:rPr>
        <w:t>/or</w:t>
      </w:r>
      <w:r w:rsidRPr="00AE2F61">
        <w:rPr>
          <w:noProof/>
        </w:rPr>
        <w:t xml:space="preserve"> noise is higher than average. </w:t>
      </w:r>
      <w:r w:rsidR="006E40E0" w:rsidRPr="00AE2F61">
        <w:rPr>
          <w:noProof/>
        </w:rPr>
        <w:t>T</w:t>
      </w:r>
      <w:r w:rsidRPr="00AE2F61">
        <w:rPr>
          <w:noProof/>
        </w:rPr>
        <w:t xml:space="preserve">he </w:t>
      </w:r>
      <w:r w:rsidR="006E40E0" w:rsidRPr="00AE2F61">
        <w:rPr>
          <w:noProof/>
        </w:rPr>
        <w:t xml:space="preserve">final </w:t>
      </w:r>
      <w:r w:rsidRPr="00AE2F61">
        <w:rPr>
          <w:noProof/>
        </w:rPr>
        <w:t xml:space="preserve">Council </w:t>
      </w:r>
      <w:r w:rsidR="006E40E0" w:rsidRPr="00AE2F61">
        <w:rPr>
          <w:noProof/>
        </w:rPr>
        <w:t xml:space="preserve">position extended </w:t>
      </w:r>
      <w:r w:rsidR="00710121" w:rsidRPr="00AE2F61">
        <w:rPr>
          <w:noProof/>
        </w:rPr>
        <w:t>the</w:t>
      </w:r>
      <w:r w:rsidR="006E40E0" w:rsidRPr="00AE2F61">
        <w:rPr>
          <w:noProof/>
        </w:rPr>
        <w:t xml:space="preserve"> scope</w:t>
      </w:r>
      <w:r w:rsidR="00710121" w:rsidRPr="00AE2F61">
        <w:rPr>
          <w:noProof/>
        </w:rPr>
        <w:t xml:space="preserve"> of this obligation</w:t>
      </w:r>
      <w:r w:rsidR="006E40E0" w:rsidRPr="00AE2F61">
        <w:rPr>
          <w:noProof/>
        </w:rPr>
        <w:t xml:space="preserve"> by making it applicable on the entire tolled network at the latest four years after the entry into force of the amending directive</w:t>
      </w:r>
      <w:r w:rsidRPr="00AE2F61">
        <w:rPr>
          <w:noProof/>
        </w:rPr>
        <w:t>.</w:t>
      </w:r>
    </w:p>
    <w:p w14:paraId="23098FF1" w14:textId="77777777" w:rsidR="001921B8" w:rsidRPr="00AE2F61" w:rsidRDefault="00710121" w:rsidP="001921B8">
      <w:pPr>
        <w:pStyle w:val="Text1"/>
        <w:spacing w:after="100" w:afterAutospacing="1"/>
        <w:ind w:left="0"/>
        <w:rPr>
          <w:noProof/>
        </w:rPr>
      </w:pPr>
      <w:r w:rsidRPr="00AE2F61">
        <w:rPr>
          <w:noProof/>
        </w:rPr>
        <w:t>Member States will have to</w:t>
      </w:r>
      <w:r w:rsidR="006E40E0" w:rsidRPr="00AE2F61">
        <w:rPr>
          <w:noProof/>
        </w:rPr>
        <w:t xml:space="preserve"> apply</w:t>
      </w:r>
      <w:r w:rsidR="001921B8" w:rsidRPr="00AE2F61">
        <w:rPr>
          <w:noProof/>
        </w:rPr>
        <w:t xml:space="preserve"> </w:t>
      </w:r>
      <w:r w:rsidRPr="00AE2F61">
        <w:rPr>
          <w:noProof/>
        </w:rPr>
        <w:t xml:space="preserve">external cost charging for pollution </w:t>
      </w:r>
      <w:r w:rsidR="006E40E0" w:rsidRPr="00AE2F61">
        <w:rPr>
          <w:noProof/>
        </w:rPr>
        <w:t xml:space="preserve">as a rule </w:t>
      </w:r>
      <w:r w:rsidR="001921B8" w:rsidRPr="00AE2F61">
        <w:rPr>
          <w:noProof/>
        </w:rPr>
        <w:t xml:space="preserve">except in specific duly justified cases, which </w:t>
      </w:r>
      <w:r w:rsidR="006E40E0" w:rsidRPr="00AE2F61">
        <w:rPr>
          <w:noProof/>
        </w:rPr>
        <w:t>is</w:t>
      </w:r>
      <w:r w:rsidR="001921B8" w:rsidRPr="00AE2F61">
        <w:rPr>
          <w:noProof/>
        </w:rPr>
        <w:t xml:space="preserve"> a welcome increase in ambition compared to the Commission proposal.</w:t>
      </w:r>
    </w:p>
    <w:p w14:paraId="23098FF2" w14:textId="45AEEEB1" w:rsidR="001921B8" w:rsidRPr="00AE2F61" w:rsidRDefault="001921B8" w:rsidP="001921B8">
      <w:pPr>
        <w:pStyle w:val="Text1"/>
        <w:spacing w:after="100" w:afterAutospacing="1"/>
        <w:ind w:left="0"/>
        <w:rPr>
          <w:noProof/>
        </w:rPr>
      </w:pPr>
      <w:r w:rsidRPr="00AE2F61">
        <w:rPr>
          <w:noProof/>
        </w:rPr>
        <w:t>The Council added the option to charge also for the cost of CO</w:t>
      </w:r>
      <w:r w:rsidRPr="00AE2F61">
        <w:rPr>
          <w:noProof/>
          <w:vertAlign w:val="subscript"/>
        </w:rPr>
        <w:t>2</w:t>
      </w:r>
      <w:r w:rsidRPr="00AE2F61">
        <w:rPr>
          <w:noProof/>
        </w:rPr>
        <w:t xml:space="preserve"> emissions as an alternative to (or to be used in combination with) the variation of the infrastructure charge for HDVs based on CO</w:t>
      </w:r>
      <w:r w:rsidRPr="00AE2F61">
        <w:rPr>
          <w:noProof/>
          <w:vertAlign w:val="subscript"/>
        </w:rPr>
        <w:t>2</w:t>
      </w:r>
      <w:r w:rsidRPr="00AE2F61">
        <w:rPr>
          <w:noProof/>
        </w:rPr>
        <w:t xml:space="preserve"> emissions</w:t>
      </w:r>
      <w:r w:rsidR="006E40E0" w:rsidRPr="00AE2F61">
        <w:rPr>
          <w:noProof/>
        </w:rPr>
        <w:t xml:space="preserve"> (cf. section 3.2</w:t>
      </w:r>
      <w:r w:rsidR="006F163B" w:rsidRPr="00AE2F61">
        <w:rPr>
          <w:noProof/>
        </w:rPr>
        <w:t>)</w:t>
      </w:r>
      <w:r w:rsidRPr="00AE2F61">
        <w:rPr>
          <w:noProof/>
        </w:rPr>
        <w:t xml:space="preserve">. While this represents another clear increase in ambition, it </w:t>
      </w:r>
      <w:r w:rsidR="001060B1">
        <w:rPr>
          <w:noProof/>
        </w:rPr>
        <w:t xml:space="preserve">will </w:t>
      </w:r>
      <w:r w:rsidRPr="00AE2F61">
        <w:rPr>
          <w:noProof/>
        </w:rPr>
        <w:t xml:space="preserve">lead to duplication of </w:t>
      </w:r>
      <w:r w:rsidR="006F163B" w:rsidRPr="00AE2F61">
        <w:rPr>
          <w:noProof/>
        </w:rPr>
        <w:t>carbon pricing</w:t>
      </w:r>
      <w:r w:rsidRPr="00AE2F61">
        <w:rPr>
          <w:noProof/>
        </w:rPr>
        <w:t xml:space="preserve"> where the</w:t>
      </w:r>
      <w:r w:rsidR="001060B1">
        <w:rPr>
          <w:noProof/>
        </w:rPr>
        <w:t xml:space="preserve"> applicable national</w:t>
      </w:r>
      <w:r w:rsidRPr="00AE2F61">
        <w:rPr>
          <w:noProof/>
        </w:rPr>
        <w:t xml:space="preserve"> fuel tax </w:t>
      </w:r>
      <w:r w:rsidR="001060B1">
        <w:rPr>
          <w:noProof/>
        </w:rPr>
        <w:t xml:space="preserve">already </w:t>
      </w:r>
      <w:r w:rsidRPr="00AE2F61">
        <w:rPr>
          <w:noProof/>
        </w:rPr>
        <w:t>includes a CO</w:t>
      </w:r>
      <w:r w:rsidRPr="00AE2F61">
        <w:rPr>
          <w:noProof/>
          <w:vertAlign w:val="subscript"/>
        </w:rPr>
        <w:t>2</w:t>
      </w:r>
      <w:r w:rsidRPr="00AE2F61">
        <w:rPr>
          <w:noProof/>
        </w:rPr>
        <w:t xml:space="preserve"> component, and if road transport fuels are included in emission trading</w:t>
      </w:r>
      <w:r w:rsidR="006F163B" w:rsidRPr="00AE2F61">
        <w:rPr>
          <w:noProof/>
        </w:rPr>
        <w:t xml:space="preserve"> </w:t>
      </w:r>
      <w:r w:rsidR="001060B1">
        <w:rPr>
          <w:noProof/>
        </w:rPr>
        <w:t>as proposed by the Commission in July</w:t>
      </w:r>
      <w:r w:rsidRPr="00AE2F61">
        <w:rPr>
          <w:noProof/>
        </w:rPr>
        <w:t xml:space="preserve">. As mentioned </w:t>
      </w:r>
      <w:r w:rsidR="006F163B" w:rsidRPr="00AE2F61">
        <w:rPr>
          <w:noProof/>
        </w:rPr>
        <w:t>in section 3.2</w:t>
      </w:r>
      <w:r w:rsidRPr="00AE2F61">
        <w:rPr>
          <w:noProof/>
        </w:rPr>
        <w:t>, review clause</w:t>
      </w:r>
      <w:r w:rsidR="006F163B" w:rsidRPr="00AE2F61">
        <w:rPr>
          <w:noProof/>
        </w:rPr>
        <w:t>s</w:t>
      </w:r>
      <w:r w:rsidRPr="00AE2F61">
        <w:rPr>
          <w:noProof/>
        </w:rPr>
        <w:t xml:space="preserve"> </w:t>
      </w:r>
      <w:r w:rsidR="006F163B" w:rsidRPr="00AE2F61">
        <w:rPr>
          <w:noProof/>
        </w:rPr>
        <w:t>should provide safeguards to minimise such risk.</w:t>
      </w:r>
      <w:r w:rsidR="00710121" w:rsidRPr="00AE2F61">
        <w:rPr>
          <w:noProof/>
        </w:rPr>
        <w:t xml:space="preserve"> One such review clause </w:t>
      </w:r>
      <w:r w:rsidR="00F71AAC">
        <w:rPr>
          <w:noProof/>
        </w:rPr>
        <w:t>oblig</w:t>
      </w:r>
      <w:r w:rsidR="00710121" w:rsidRPr="00AE2F61">
        <w:rPr>
          <w:noProof/>
        </w:rPr>
        <w:t>es the Commission to ad</w:t>
      </w:r>
      <w:r w:rsidR="00826DA2" w:rsidRPr="00AE2F61">
        <w:rPr>
          <w:noProof/>
        </w:rPr>
        <w:t>just</w:t>
      </w:r>
      <w:r w:rsidR="00710121" w:rsidRPr="00AE2F61">
        <w:rPr>
          <w:noProof/>
        </w:rPr>
        <w:t xml:space="preserve"> the</w:t>
      </w:r>
      <w:r w:rsidR="00826DA2" w:rsidRPr="00AE2F61">
        <w:rPr>
          <w:noProof/>
        </w:rPr>
        <w:t xml:space="preserve"> amounts</w:t>
      </w:r>
      <w:r w:rsidR="00710121" w:rsidRPr="00AE2F61">
        <w:rPr>
          <w:noProof/>
        </w:rPr>
        <w:t xml:space="preserve"> chargeable for CO</w:t>
      </w:r>
      <w:r w:rsidR="00710121" w:rsidRPr="00C31528">
        <w:rPr>
          <w:noProof/>
          <w:vertAlign w:val="subscript"/>
        </w:rPr>
        <w:t>2</w:t>
      </w:r>
      <w:r w:rsidR="00710121" w:rsidRPr="00AE2F61">
        <w:rPr>
          <w:noProof/>
        </w:rPr>
        <w:t xml:space="preserve"> emissions</w:t>
      </w:r>
      <w:r w:rsidR="00826DA2" w:rsidRPr="00AE2F61">
        <w:rPr>
          <w:noProof/>
        </w:rPr>
        <w:t xml:space="preserve"> taking into account the effective carbon price applicable to road transport </w:t>
      </w:r>
      <w:r w:rsidR="006E2AB1" w:rsidRPr="00AE2F61">
        <w:rPr>
          <w:noProof/>
        </w:rPr>
        <w:t>fuels in the EU. The Commission considers that the safeguards are sufficient and supports the possibility to charge for the cost of CO</w:t>
      </w:r>
      <w:r w:rsidR="006E2AB1" w:rsidRPr="00C31528">
        <w:rPr>
          <w:noProof/>
          <w:vertAlign w:val="subscript"/>
        </w:rPr>
        <w:t>2</w:t>
      </w:r>
      <w:r w:rsidR="006E2AB1" w:rsidRPr="00AE2F61">
        <w:rPr>
          <w:noProof/>
        </w:rPr>
        <w:t xml:space="preserve"> emissions as long as that is not fully covered by a more suitable instrument, such as emission trading or fuel taxation.</w:t>
      </w:r>
    </w:p>
    <w:p w14:paraId="23098FF3" w14:textId="5AA10F44" w:rsidR="001921B8" w:rsidRPr="00AE2F61" w:rsidRDefault="00B97FB1" w:rsidP="00B97FB1">
      <w:pPr>
        <w:pStyle w:val="ManualHeading2"/>
        <w:rPr>
          <w:noProof/>
        </w:rPr>
      </w:pPr>
      <w:r w:rsidRPr="00B97FB1">
        <w:rPr>
          <w:noProof/>
        </w:rPr>
        <w:t>3.4.</w:t>
      </w:r>
      <w:r w:rsidRPr="00B97FB1">
        <w:rPr>
          <w:noProof/>
        </w:rPr>
        <w:tab/>
      </w:r>
      <w:r w:rsidR="001921B8" w:rsidRPr="00AE2F61">
        <w:rPr>
          <w:noProof/>
        </w:rPr>
        <w:t>Congestion charging</w:t>
      </w:r>
    </w:p>
    <w:p w14:paraId="23098FF4" w14:textId="77777777" w:rsidR="001921B8" w:rsidRPr="00AE2F61" w:rsidRDefault="001921B8" w:rsidP="001921B8">
      <w:pPr>
        <w:pStyle w:val="Text1"/>
        <w:spacing w:after="100" w:afterAutospacing="1"/>
        <w:ind w:left="0"/>
        <w:rPr>
          <w:noProof/>
        </w:rPr>
      </w:pPr>
      <w:r w:rsidRPr="00AE2F61">
        <w:rPr>
          <w:noProof/>
        </w:rPr>
        <w:t xml:space="preserve">The </w:t>
      </w:r>
      <w:r w:rsidR="006E2AB1" w:rsidRPr="00AE2F61">
        <w:rPr>
          <w:noProof/>
        </w:rPr>
        <w:t>Council position on the option of congestion charging</w:t>
      </w:r>
      <w:r w:rsidRPr="00AE2F61">
        <w:rPr>
          <w:noProof/>
        </w:rPr>
        <w:t xml:space="preserve"> </w:t>
      </w:r>
      <w:r w:rsidR="006E2AB1" w:rsidRPr="00AE2F61">
        <w:rPr>
          <w:noProof/>
        </w:rPr>
        <w:t xml:space="preserve">is </w:t>
      </w:r>
      <w:r w:rsidRPr="00AE2F61">
        <w:rPr>
          <w:noProof/>
        </w:rPr>
        <w:t>largely in li</w:t>
      </w:r>
      <w:r w:rsidR="006E2AB1" w:rsidRPr="00AE2F61">
        <w:rPr>
          <w:noProof/>
        </w:rPr>
        <w:t>ne with the Commission proposal</w:t>
      </w:r>
      <w:r w:rsidRPr="00AE2F61">
        <w:rPr>
          <w:noProof/>
        </w:rPr>
        <w:t>: Member States may introduce a congestion charge on any section of their road network</w:t>
      </w:r>
      <w:r w:rsidR="0092170E">
        <w:rPr>
          <w:noProof/>
        </w:rPr>
        <w:t xml:space="preserve"> that is subject to congestion, and the charge shall apply </w:t>
      </w:r>
      <w:r w:rsidRPr="00AE2F61">
        <w:rPr>
          <w:noProof/>
        </w:rPr>
        <w:t xml:space="preserve">in a non-discriminatory manner to all vehicle categories. </w:t>
      </w:r>
      <w:r w:rsidR="006E2AB1" w:rsidRPr="00AE2F61">
        <w:rPr>
          <w:noProof/>
        </w:rPr>
        <w:t xml:space="preserve">The Council replaced the maximum chargeable costs by reference values that may be exceeded under specific conditions, subject to notification to the Commission. It also added one exception in line with the position of the European </w:t>
      </w:r>
      <w:r w:rsidR="0092170E">
        <w:rPr>
          <w:noProof/>
        </w:rPr>
        <w:t>P</w:t>
      </w:r>
      <w:r w:rsidR="006E2AB1" w:rsidRPr="00AE2F61">
        <w:rPr>
          <w:noProof/>
        </w:rPr>
        <w:t xml:space="preserve">arliament, i.e. </w:t>
      </w:r>
      <w:r w:rsidRPr="00AE2F61">
        <w:rPr>
          <w:noProof/>
        </w:rPr>
        <w:t>Member States may exempt, partially or fully, minibuses, buses and coaches.</w:t>
      </w:r>
      <w:r w:rsidR="006E2AB1" w:rsidRPr="00AE2F61">
        <w:rPr>
          <w:noProof/>
        </w:rPr>
        <w:t xml:space="preserve"> The Commission </w:t>
      </w:r>
      <w:r w:rsidR="00AE2F61" w:rsidRPr="00AE2F61">
        <w:rPr>
          <w:noProof/>
        </w:rPr>
        <w:t>can support these changes.</w:t>
      </w:r>
    </w:p>
    <w:p w14:paraId="23098FF5" w14:textId="18644B14" w:rsidR="001921B8" w:rsidRPr="005A2012" w:rsidRDefault="00B97FB1" w:rsidP="00B97FB1">
      <w:pPr>
        <w:pStyle w:val="ManualHeading2"/>
        <w:rPr>
          <w:noProof/>
        </w:rPr>
      </w:pPr>
      <w:r w:rsidRPr="00B97FB1">
        <w:rPr>
          <w:noProof/>
        </w:rPr>
        <w:t>3.5.</w:t>
      </w:r>
      <w:r w:rsidRPr="00B97FB1">
        <w:rPr>
          <w:noProof/>
        </w:rPr>
        <w:tab/>
      </w:r>
      <w:r w:rsidR="001921B8" w:rsidRPr="005A2012">
        <w:rPr>
          <w:noProof/>
        </w:rPr>
        <w:t>Mark-up</w:t>
      </w:r>
    </w:p>
    <w:p w14:paraId="23098FF6" w14:textId="77777777" w:rsidR="001921B8" w:rsidRPr="00AE2F61" w:rsidRDefault="001921B8" w:rsidP="001921B8">
      <w:pPr>
        <w:pStyle w:val="Text1"/>
        <w:spacing w:after="100" w:afterAutospacing="1"/>
        <w:ind w:left="0"/>
        <w:rPr>
          <w:noProof/>
        </w:rPr>
      </w:pPr>
      <w:r w:rsidRPr="00AE2F61">
        <w:rPr>
          <w:noProof/>
        </w:rPr>
        <w:t xml:space="preserve">As proposed by the Commission, mark-ups could be applied in any sensitive area (not only in mountainous regions), and the revenue generated from the mark-up has to be invested in financing the development of transport services, or in the construction or maintenance of transport infrastructure of the core </w:t>
      </w:r>
      <w:r w:rsidR="00AB3C1A">
        <w:rPr>
          <w:noProof/>
        </w:rPr>
        <w:t xml:space="preserve">trans-European </w:t>
      </w:r>
      <w:r w:rsidRPr="00AE2F61">
        <w:rPr>
          <w:noProof/>
        </w:rPr>
        <w:t>network.</w:t>
      </w:r>
    </w:p>
    <w:p w14:paraId="23098FF7" w14:textId="77777777" w:rsidR="001921B8" w:rsidRPr="00AE2F61" w:rsidRDefault="00AE2F61" w:rsidP="001921B8">
      <w:pPr>
        <w:pStyle w:val="Text1"/>
        <w:spacing w:after="100" w:afterAutospacing="1"/>
        <w:ind w:left="0"/>
        <w:rPr>
          <w:noProof/>
        </w:rPr>
      </w:pPr>
      <w:r w:rsidRPr="00AE2F61">
        <w:rPr>
          <w:noProof/>
        </w:rPr>
        <w:t>According to</w:t>
      </w:r>
      <w:r w:rsidR="001921B8" w:rsidRPr="00AE2F61">
        <w:rPr>
          <w:noProof/>
        </w:rPr>
        <w:t xml:space="preserve"> the Council </w:t>
      </w:r>
      <w:r w:rsidR="00AB3C1A">
        <w:rPr>
          <w:noProof/>
        </w:rPr>
        <w:t>position</w:t>
      </w:r>
      <w:r w:rsidR="001921B8" w:rsidRPr="00AE2F61">
        <w:rPr>
          <w:noProof/>
        </w:rPr>
        <w:t>, a mark-up could exceed the current maximum of 25%, but only if all involved Member States agree, in which case it could be up to 50%. This is not in conflict with the Commission proposal either.</w:t>
      </w:r>
    </w:p>
    <w:p w14:paraId="23098FF8" w14:textId="02948FFB" w:rsidR="001921B8" w:rsidRPr="005A2012" w:rsidRDefault="00B97FB1" w:rsidP="00B97FB1">
      <w:pPr>
        <w:pStyle w:val="ManualHeading2"/>
        <w:rPr>
          <w:noProof/>
        </w:rPr>
      </w:pPr>
      <w:r w:rsidRPr="00B97FB1">
        <w:rPr>
          <w:noProof/>
        </w:rPr>
        <w:t>3.6.</w:t>
      </w:r>
      <w:r w:rsidRPr="00B97FB1">
        <w:rPr>
          <w:noProof/>
        </w:rPr>
        <w:tab/>
      </w:r>
      <w:r w:rsidR="001921B8" w:rsidRPr="005A2012">
        <w:rPr>
          <w:noProof/>
        </w:rPr>
        <w:t>Use of revenues and reporting</w:t>
      </w:r>
    </w:p>
    <w:p w14:paraId="23098FF9" w14:textId="77777777" w:rsidR="001921B8" w:rsidRPr="00C7213F" w:rsidRDefault="00AE2F61" w:rsidP="001921B8">
      <w:pPr>
        <w:pStyle w:val="Text1"/>
        <w:spacing w:after="100" w:afterAutospacing="1"/>
        <w:ind w:left="0"/>
        <w:rPr>
          <w:noProof/>
        </w:rPr>
      </w:pPr>
      <w:r w:rsidRPr="00C7213F">
        <w:rPr>
          <w:noProof/>
        </w:rPr>
        <w:t>As proposed by the Commission, the Council position requires that</w:t>
      </w:r>
      <w:r w:rsidR="006416D2" w:rsidRPr="00C7213F">
        <w:rPr>
          <w:noProof/>
        </w:rPr>
        <w:t>, in addition to earmarking of revenues from mark-ups,</w:t>
      </w:r>
      <w:r w:rsidR="001921B8" w:rsidRPr="00C7213F">
        <w:rPr>
          <w:noProof/>
        </w:rPr>
        <w:t xml:space="preserve"> </w:t>
      </w:r>
      <w:r w:rsidRPr="00C7213F">
        <w:rPr>
          <w:noProof/>
        </w:rPr>
        <w:t xml:space="preserve">Member States use </w:t>
      </w:r>
      <w:r w:rsidR="001921B8" w:rsidRPr="00C7213F">
        <w:rPr>
          <w:noProof/>
        </w:rPr>
        <w:t>at least the financial resources equivalent to the revenues from any optional congestion charg</w:t>
      </w:r>
      <w:r w:rsidR="006416D2" w:rsidRPr="00C7213F">
        <w:rPr>
          <w:noProof/>
        </w:rPr>
        <w:t>e</w:t>
      </w:r>
      <w:r w:rsidR="001921B8" w:rsidRPr="00C7213F">
        <w:rPr>
          <w:noProof/>
        </w:rPr>
        <w:t xml:space="preserve"> </w:t>
      </w:r>
      <w:r w:rsidRPr="00C7213F">
        <w:rPr>
          <w:noProof/>
        </w:rPr>
        <w:t>for</w:t>
      </w:r>
      <w:r w:rsidR="001921B8" w:rsidRPr="00C7213F">
        <w:rPr>
          <w:noProof/>
        </w:rPr>
        <w:t xml:space="preserve"> reducing the problem of congestion</w:t>
      </w:r>
      <w:r w:rsidRPr="00C7213F">
        <w:rPr>
          <w:noProof/>
        </w:rPr>
        <w:t xml:space="preserve"> or </w:t>
      </w:r>
      <w:r w:rsidR="006416D2" w:rsidRPr="00C7213F">
        <w:rPr>
          <w:noProof/>
        </w:rPr>
        <w:t xml:space="preserve">for </w:t>
      </w:r>
      <w:r w:rsidRPr="00C7213F">
        <w:rPr>
          <w:noProof/>
        </w:rPr>
        <w:t>the benefit of sustainable transport.</w:t>
      </w:r>
    </w:p>
    <w:p w14:paraId="23098FFA" w14:textId="77777777" w:rsidR="001921B8" w:rsidRPr="00C7213F" w:rsidRDefault="001921B8" w:rsidP="001921B8">
      <w:pPr>
        <w:pStyle w:val="Text1"/>
        <w:spacing w:after="100" w:afterAutospacing="1"/>
        <w:ind w:left="0"/>
        <w:rPr>
          <w:noProof/>
        </w:rPr>
      </w:pPr>
      <w:r w:rsidRPr="00C7213F">
        <w:rPr>
          <w:noProof/>
        </w:rPr>
        <w:t xml:space="preserve">On reporting, </w:t>
      </w:r>
      <w:r w:rsidR="006416D2" w:rsidRPr="00C7213F">
        <w:rPr>
          <w:noProof/>
        </w:rPr>
        <w:t xml:space="preserve">Council could not agree with </w:t>
      </w:r>
      <w:r w:rsidR="00C7213F" w:rsidRPr="00C7213F">
        <w:rPr>
          <w:noProof/>
        </w:rPr>
        <w:t xml:space="preserve">the requirement of an evaluation of the </w:t>
      </w:r>
      <w:r w:rsidR="00C7213F">
        <w:rPr>
          <w:noProof/>
        </w:rPr>
        <w:t>quality</w:t>
      </w:r>
      <w:r w:rsidR="00C7213F" w:rsidRPr="00C7213F">
        <w:rPr>
          <w:noProof/>
        </w:rPr>
        <w:t xml:space="preserve"> of the tolled road network proposed by the Commission. On other aspects, </w:t>
      </w:r>
      <w:r w:rsidRPr="00C7213F">
        <w:rPr>
          <w:noProof/>
        </w:rPr>
        <w:t xml:space="preserve">the positions </w:t>
      </w:r>
      <w:r w:rsidR="00C7213F" w:rsidRPr="00C7213F">
        <w:rPr>
          <w:noProof/>
        </w:rPr>
        <w:t xml:space="preserve">of Council and the European Parliament </w:t>
      </w:r>
      <w:r w:rsidRPr="00C7213F">
        <w:rPr>
          <w:noProof/>
        </w:rPr>
        <w:t xml:space="preserve">have been well-aligned, covering the various charges, variations per vehicle category, as well as the revenues collected, their use, </w:t>
      </w:r>
      <w:r w:rsidR="00C7213F" w:rsidRPr="00C7213F">
        <w:rPr>
          <w:noProof/>
        </w:rPr>
        <w:t>and</w:t>
      </w:r>
      <w:r w:rsidRPr="00C7213F">
        <w:rPr>
          <w:noProof/>
        </w:rPr>
        <w:t xml:space="preserve"> the evolution of the environmental performance of vehicles using toll roads.</w:t>
      </w:r>
    </w:p>
    <w:p w14:paraId="23098FFB" w14:textId="77777777" w:rsidR="001921B8" w:rsidRPr="00C7213F" w:rsidRDefault="001921B8" w:rsidP="001921B8">
      <w:pPr>
        <w:pStyle w:val="Text1"/>
        <w:spacing w:after="100" w:afterAutospacing="1"/>
        <w:ind w:left="0"/>
        <w:rPr>
          <w:noProof/>
        </w:rPr>
      </w:pPr>
      <w:r w:rsidRPr="00C7213F">
        <w:rPr>
          <w:noProof/>
        </w:rPr>
        <w:t>The Commission support</w:t>
      </w:r>
      <w:r w:rsidR="00AE2F61" w:rsidRPr="00C7213F">
        <w:rPr>
          <w:noProof/>
        </w:rPr>
        <w:t>s</w:t>
      </w:r>
      <w:r w:rsidRPr="00C7213F">
        <w:rPr>
          <w:noProof/>
        </w:rPr>
        <w:t xml:space="preserve"> the</w:t>
      </w:r>
      <w:r w:rsidR="00AE2F61" w:rsidRPr="00C7213F">
        <w:rPr>
          <w:noProof/>
        </w:rPr>
        <w:t>se improvements</w:t>
      </w:r>
      <w:r w:rsidRPr="00C7213F">
        <w:rPr>
          <w:noProof/>
        </w:rPr>
        <w:t>.</w:t>
      </w:r>
    </w:p>
    <w:p w14:paraId="23098FFC" w14:textId="3CF448AB" w:rsidR="001921B8" w:rsidRPr="005A2012" w:rsidRDefault="00B97FB1" w:rsidP="00B97FB1">
      <w:pPr>
        <w:pStyle w:val="ManualHeading2"/>
        <w:rPr>
          <w:noProof/>
        </w:rPr>
      </w:pPr>
      <w:r w:rsidRPr="00B97FB1">
        <w:rPr>
          <w:noProof/>
        </w:rPr>
        <w:t>3.7.</w:t>
      </w:r>
      <w:r w:rsidRPr="00B97FB1">
        <w:rPr>
          <w:noProof/>
        </w:rPr>
        <w:tab/>
      </w:r>
      <w:r w:rsidR="001921B8" w:rsidRPr="005A2012">
        <w:rPr>
          <w:noProof/>
        </w:rPr>
        <w:t>Exemptions</w:t>
      </w:r>
    </w:p>
    <w:p w14:paraId="23098FFD" w14:textId="77777777" w:rsidR="001921B8" w:rsidRPr="00C31528" w:rsidRDefault="001921B8" w:rsidP="001921B8">
      <w:pPr>
        <w:pStyle w:val="Text1"/>
        <w:spacing w:after="100" w:afterAutospacing="1"/>
        <w:ind w:left="0"/>
        <w:rPr>
          <w:noProof/>
        </w:rPr>
      </w:pPr>
      <w:r w:rsidRPr="00C31528">
        <w:rPr>
          <w:noProof/>
        </w:rPr>
        <w:t xml:space="preserve">Council wants to maintain a possibility to exempt existing concession contracts from the obligation to vary charges </w:t>
      </w:r>
      <w:r w:rsidR="00C7213F" w:rsidRPr="00C31528">
        <w:rPr>
          <w:noProof/>
        </w:rPr>
        <w:t>or apply external cost charging, which the Commission can accept.</w:t>
      </w:r>
      <w:r w:rsidR="00DD573F" w:rsidRPr="00C31528">
        <w:rPr>
          <w:noProof/>
        </w:rPr>
        <w:t xml:space="preserve"> </w:t>
      </w:r>
      <w:r w:rsidRPr="00C31528">
        <w:rPr>
          <w:noProof/>
        </w:rPr>
        <w:t>New, renewed or substantially amended concessions would not be exempted.</w:t>
      </w:r>
      <w:r w:rsidR="00DD573F" w:rsidRPr="00C31528">
        <w:rPr>
          <w:noProof/>
        </w:rPr>
        <w:t xml:space="preserve"> For this purpose, the definition of a substantially amended tolling arrangement was developed based on the Commission proposal.</w:t>
      </w:r>
    </w:p>
    <w:p w14:paraId="23098FFE" w14:textId="77777777" w:rsidR="001921B8" w:rsidRPr="00C31528" w:rsidRDefault="001921B8" w:rsidP="001921B8">
      <w:pPr>
        <w:pStyle w:val="Text1"/>
        <w:spacing w:after="100" w:afterAutospacing="1"/>
        <w:ind w:left="0"/>
        <w:rPr>
          <w:noProof/>
        </w:rPr>
      </w:pPr>
      <w:r w:rsidRPr="00C31528">
        <w:rPr>
          <w:noProof/>
        </w:rPr>
        <w:t>The possibility to exempt vehicles below 12</w:t>
      </w:r>
      <w:r w:rsidR="00F238D3">
        <w:rPr>
          <w:noProof/>
        </w:rPr>
        <w:t xml:space="preserve"> tonnes</w:t>
      </w:r>
      <w:r w:rsidRPr="00C31528">
        <w:rPr>
          <w:noProof/>
        </w:rPr>
        <w:t xml:space="preserve"> would be removed, as proposed by the Commission, at the latest after 5 years.</w:t>
      </w:r>
    </w:p>
    <w:p w14:paraId="23098FFF" w14:textId="77777777" w:rsidR="001921B8" w:rsidRPr="00C31528" w:rsidRDefault="00DD573F" w:rsidP="001921B8">
      <w:pPr>
        <w:pStyle w:val="Text1"/>
        <w:spacing w:after="100" w:afterAutospacing="1"/>
        <w:ind w:left="0"/>
        <w:rPr>
          <w:noProof/>
        </w:rPr>
      </w:pPr>
      <w:r w:rsidRPr="00C31528">
        <w:rPr>
          <w:noProof/>
        </w:rPr>
        <w:t>The Council position</w:t>
      </w:r>
      <w:r w:rsidR="001921B8" w:rsidRPr="00C31528">
        <w:rPr>
          <w:noProof/>
        </w:rPr>
        <w:t xml:space="preserve"> allow</w:t>
      </w:r>
      <w:r w:rsidRPr="00C31528">
        <w:rPr>
          <w:noProof/>
        </w:rPr>
        <w:t>s</w:t>
      </w:r>
      <w:r w:rsidR="001921B8" w:rsidRPr="00C31528">
        <w:rPr>
          <w:noProof/>
        </w:rPr>
        <w:t xml:space="preserve"> exemptin</w:t>
      </w:r>
      <w:r w:rsidRPr="00C31528">
        <w:rPr>
          <w:noProof/>
        </w:rPr>
        <w:t>g</w:t>
      </w:r>
    </w:p>
    <w:p w14:paraId="23099000" w14:textId="77777777" w:rsidR="001921B8" w:rsidRPr="00C31528" w:rsidRDefault="001921B8" w:rsidP="00BD1646">
      <w:pPr>
        <w:pStyle w:val="Bullet1"/>
        <w:rPr>
          <w:noProof/>
        </w:rPr>
      </w:pPr>
      <w:r w:rsidRPr="00C31528">
        <w:rPr>
          <w:noProof/>
        </w:rPr>
        <w:t>vehicles bel</w:t>
      </w:r>
      <w:r w:rsidR="00DD573F" w:rsidRPr="00C31528">
        <w:rPr>
          <w:noProof/>
        </w:rPr>
        <w:t>ow 7.5</w:t>
      </w:r>
      <w:r w:rsidR="00F238D3">
        <w:rPr>
          <w:noProof/>
        </w:rPr>
        <w:t xml:space="preserve"> tonnes</w:t>
      </w:r>
      <w:r w:rsidR="00DD573F" w:rsidRPr="00C31528">
        <w:rPr>
          <w:noProof/>
        </w:rPr>
        <w:t xml:space="preserve"> used for craft purposes</w:t>
      </w:r>
    </w:p>
    <w:p w14:paraId="23099001" w14:textId="77777777" w:rsidR="001921B8" w:rsidRPr="00C31528" w:rsidRDefault="001921B8" w:rsidP="00BD1646">
      <w:pPr>
        <w:pStyle w:val="Bullet1"/>
        <w:rPr>
          <w:noProof/>
        </w:rPr>
      </w:pPr>
      <w:r w:rsidRPr="00C31528">
        <w:rPr>
          <w:noProof/>
        </w:rPr>
        <w:t>vehicles us</w:t>
      </w:r>
      <w:r w:rsidR="00DD573F" w:rsidRPr="00C31528">
        <w:rPr>
          <w:noProof/>
        </w:rPr>
        <w:t>ed by disabled persons</w:t>
      </w:r>
    </w:p>
    <w:p w14:paraId="23099002" w14:textId="77777777" w:rsidR="001921B8" w:rsidRPr="00C31528" w:rsidRDefault="00DD573F" w:rsidP="00BD1646">
      <w:pPr>
        <w:pStyle w:val="Bullet1"/>
        <w:rPr>
          <w:noProof/>
        </w:rPr>
      </w:pPr>
      <w:r w:rsidRPr="00C31528">
        <w:rPr>
          <w:noProof/>
        </w:rPr>
        <w:t>historical vehicles</w:t>
      </w:r>
    </w:p>
    <w:p w14:paraId="23099003" w14:textId="77777777" w:rsidR="001921B8" w:rsidRDefault="001921B8" w:rsidP="001921B8">
      <w:pPr>
        <w:pStyle w:val="Text1"/>
        <w:spacing w:after="100" w:afterAutospacing="1"/>
        <w:ind w:left="0"/>
        <w:rPr>
          <w:noProof/>
        </w:rPr>
      </w:pPr>
      <w:r w:rsidRPr="00C31528">
        <w:rPr>
          <w:noProof/>
        </w:rPr>
        <w:t xml:space="preserve">While the Commission’s policy has been to limit the number of exemptions, the ones that are maintained </w:t>
      </w:r>
      <w:r w:rsidR="00794CD0">
        <w:rPr>
          <w:noProof/>
        </w:rPr>
        <w:t>are unlikely</w:t>
      </w:r>
      <w:r w:rsidRPr="00C31528">
        <w:rPr>
          <w:noProof/>
        </w:rPr>
        <w:t xml:space="preserve"> to cause any significant distortion and would not have a meaningful impact on the environmental objectives of the proposal</w:t>
      </w:r>
      <w:r w:rsidR="00F238D3">
        <w:rPr>
          <w:noProof/>
        </w:rPr>
        <w:t>.</w:t>
      </w:r>
      <w:r w:rsidRPr="00C31528">
        <w:rPr>
          <w:noProof/>
        </w:rPr>
        <w:t xml:space="preserve"> </w:t>
      </w:r>
      <w:r w:rsidR="00F238D3">
        <w:rPr>
          <w:noProof/>
        </w:rPr>
        <w:t>This is because</w:t>
      </w:r>
      <w:r w:rsidRPr="00C31528">
        <w:rPr>
          <w:noProof/>
        </w:rPr>
        <w:t xml:space="preserve"> they would only relate to a relatively small se</w:t>
      </w:r>
      <w:r w:rsidR="00F238D3">
        <w:rPr>
          <w:noProof/>
        </w:rPr>
        <w:t>gment of goods vehicles below 7.5 tonnes</w:t>
      </w:r>
      <w:r w:rsidRPr="00C31528">
        <w:rPr>
          <w:noProof/>
        </w:rPr>
        <w:t xml:space="preserve"> used for craft purposes, historical vehicles, and ve</w:t>
      </w:r>
      <w:r w:rsidR="00F238D3">
        <w:rPr>
          <w:noProof/>
        </w:rPr>
        <w:t>hicles used by disabled persons,</w:t>
      </w:r>
      <w:r w:rsidRPr="00C31528">
        <w:rPr>
          <w:noProof/>
        </w:rPr>
        <w:t xml:space="preserve"> </w:t>
      </w:r>
      <w:r w:rsidR="00F238D3">
        <w:rPr>
          <w:noProof/>
        </w:rPr>
        <w:t>a</w:t>
      </w:r>
      <w:r w:rsidRPr="00C31528">
        <w:rPr>
          <w:noProof/>
        </w:rPr>
        <w:t xml:space="preserve">ll of </w:t>
      </w:r>
      <w:r w:rsidR="00F238D3">
        <w:rPr>
          <w:noProof/>
        </w:rPr>
        <w:t>which</w:t>
      </w:r>
      <w:r w:rsidRPr="00C31528">
        <w:rPr>
          <w:noProof/>
        </w:rPr>
        <w:t xml:space="preserve"> run negligible distances compared to other vehicles, especially on toll roads.</w:t>
      </w:r>
      <w:r w:rsidR="00C31528" w:rsidRPr="00C31528">
        <w:rPr>
          <w:noProof/>
        </w:rPr>
        <w:t xml:space="preserve"> The Commission can therefore accept these exemptions.</w:t>
      </w:r>
    </w:p>
    <w:p w14:paraId="23099004" w14:textId="6307CA99" w:rsidR="00C1242E" w:rsidRPr="00090C0A" w:rsidRDefault="00B97FB1" w:rsidP="00B97FB1">
      <w:pPr>
        <w:pStyle w:val="ManualHeading1"/>
        <w:rPr>
          <w:noProof/>
        </w:rPr>
      </w:pPr>
      <w:r w:rsidRPr="00B97FB1">
        <w:rPr>
          <w:noProof/>
        </w:rPr>
        <w:t>4.</w:t>
      </w:r>
      <w:r w:rsidRPr="00B97FB1">
        <w:rPr>
          <w:noProof/>
        </w:rPr>
        <w:tab/>
      </w:r>
      <w:r w:rsidR="00C1242E" w:rsidRPr="00090C0A">
        <w:rPr>
          <w:noProof/>
        </w:rPr>
        <w:t>Conclusion</w:t>
      </w:r>
    </w:p>
    <w:p w14:paraId="23099005" w14:textId="77777777" w:rsidR="00C1242E" w:rsidRPr="00BD1646" w:rsidRDefault="00C31528" w:rsidP="001704B9">
      <w:pPr>
        <w:rPr>
          <w:noProof/>
        </w:rPr>
      </w:pPr>
      <w:r w:rsidRPr="00BD1646">
        <w:rPr>
          <w:noProof/>
        </w:rPr>
        <w:t>Despite somewhat decreasing the level of ambition on certain aspects (phasing out of time-based charges, variation of charges for light vehicles, exemptions), the Council position increases the ambition on a number of other equally</w:t>
      </w:r>
      <w:r w:rsidR="00DB68EF" w:rsidRPr="00BD1646">
        <w:rPr>
          <w:noProof/>
        </w:rPr>
        <w:t xml:space="preserve"> important points. These are:</w:t>
      </w:r>
    </w:p>
    <w:p w14:paraId="23099006" w14:textId="77777777" w:rsidR="005E535F" w:rsidRDefault="005E535F" w:rsidP="00BD1646">
      <w:pPr>
        <w:pStyle w:val="Bullet0"/>
        <w:rPr>
          <w:noProof/>
        </w:rPr>
      </w:pPr>
      <w:r>
        <w:rPr>
          <w:noProof/>
        </w:rPr>
        <w:t>Strengthening the provision on CO</w:t>
      </w:r>
      <w:r w:rsidRPr="00153F38">
        <w:rPr>
          <w:noProof/>
          <w:vertAlign w:val="subscript"/>
        </w:rPr>
        <w:t>2</w:t>
      </w:r>
      <w:r>
        <w:rPr>
          <w:noProof/>
        </w:rPr>
        <w:t>-based charging, notably by extending it to any remaining vignette systems</w:t>
      </w:r>
    </w:p>
    <w:p w14:paraId="23099007" w14:textId="77777777" w:rsidR="00DB68EF" w:rsidRDefault="00DB68EF" w:rsidP="00BD1646">
      <w:pPr>
        <w:pStyle w:val="Bullet0"/>
        <w:rPr>
          <w:noProof/>
        </w:rPr>
      </w:pPr>
      <w:r>
        <w:rPr>
          <w:noProof/>
        </w:rPr>
        <w:t>Mandatory external cost charging for pollution on the entire tolled network</w:t>
      </w:r>
    </w:p>
    <w:p w14:paraId="23099008" w14:textId="77777777" w:rsidR="00DB68EF" w:rsidRDefault="00DB68EF" w:rsidP="00BD1646">
      <w:pPr>
        <w:pStyle w:val="Bullet0"/>
        <w:rPr>
          <w:noProof/>
        </w:rPr>
      </w:pPr>
      <w:r>
        <w:rPr>
          <w:noProof/>
        </w:rPr>
        <w:t>An option to charge for the external cost of CO</w:t>
      </w:r>
      <w:r w:rsidRPr="00153F38">
        <w:rPr>
          <w:noProof/>
          <w:vertAlign w:val="subscript"/>
        </w:rPr>
        <w:t>2</w:t>
      </w:r>
      <w:r>
        <w:rPr>
          <w:noProof/>
        </w:rPr>
        <w:t xml:space="preserve"> emissions </w:t>
      </w:r>
    </w:p>
    <w:p w14:paraId="23099009" w14:textId="77777777" w:rsidR="00DB68EF" w:rsidRDefault="00DB68EF" w:rsidP="00BD1646">
      <w:pPr>
        <w:pStyle w:val="Bullet0"/>
        <w:rPr>
          <w:noProof/>
        </w:rPr>
      </w:pPr>
      <w:r>
        <w:rPr>
          <w:noProof/>
        </w:rPr>
        <w:t>More flexible application of congestion charging and mark-ups</w:t>
      </w:r>
    </w:p>
    <w:p w14:paraId="2309900A" w14:textId="77777777" w:rsidR="00DB68EF" w:rsidRDefault="00DB68EF" w:rsidP="00BD1646">
      <w:pPr>
        <w:pStyle w:val="Bullet0"/>
        <w:rPr>
          <w:noProof/>
        </w:rPr>
      </w:pPr>
      <w:r>
        <w:rPr>
          <w:noProof/>
        </w:rPr>
        <w:t>Daily vignettes for the occasional users of light vehicles.</w:t>
      </w:r>
    </w:p>
    <w:p w14:paraId="56885322" w14:textId="77777777" w:rsidR="00FE2521" w:rsidRDefault="005E535F" w:rsidP="005E535F">
      <w:pPr>
        <w:rPr>
          <w:noProof/>
        </w:rPr>
      </w:pPr>
      <w:r>
        <w:rPr>
          <w:noProof/>
        </w:rPr>
        <w:t>As such, the Council position represents significant progress in fairer and more efficient road pricing and thus in the implementation of the ‘polluter pays’ and ‘user pays’ principles</w:t>
      </w:r>
      <w:r w:rsidR="00FF13CF">
        <w:rPr>
          <w:noProof/>
        </w:rPr>
        <w:t>. This amendment of the Eurovignette Directive is a key element of the European Green Deal and the Commission supports it.</w:t>
      </w:r>
    </w:p>
    <w:p w14:paraId="2309900B" w14:textId="491C1CC3" w:rsidR="005E535F" w:rsidRPr="00A179B5" w:rsidRDefault="005E535F" w:rsidP="005E535F">
      <w:pPr>
        <w:rPr>
          <w:noProof/>
        </w:rPr>
      </w:pPr>
    </w:p>
    <w:sectPr w:rsidR="005E535F" w:rsidRPr="00A179B5" w:rsidSect="00CC737E">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9900F" w14:textId="77777777" w:rsidR="00C1242E" w:rsidRDefault="00C1242E" w:rsidP="00C1242E">
      <w:pPr>
        <w:spacing w:before="0" w:after="0"/>
      </w:pPr>
      <w:r>
        <w:separator/>
      </w:r>
    </w:p>
  </w:endnote>
  <w:endnote w:type="continuationSeparator" w:id="0">
    <w:p w14:paraId="23099010" w14:textId="77777777" w:rsidR="00C1242E" w:rsidRDefault="00C1242E" w:rsidP="00C124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FF354" w14:textId="7C3F0F5E" w:rsidR="001E5B86" w:rsidRPr="00CC737E" w:rsidRDefault="00CC737E" w:rsidP="00CC737E">
    <w:pPr>
      <w:pStyle w:val="Footer"/>
      <w:rPr>
        <w:rFonts w:ascii="Arial" w:hAnsi="Arial" w:cs="Arial"/>
        <w:b/>
        <w:sz w:val="48"/>
      </w:rPr>
    </w:pPr>
    <w:r w:rsidRPr="00CC737E">
      <w:rPr>
        <w:rFonts w:ascii="Arial" w:hAnsi="Arial" w:cs="Arial"/>
        <w:b/>
        <w:sz w:val="48"/>
      </w:rPr>
      <w:t>EN</w:t>
    </w:r>
    <w:r w:rsidRPr="00CC737E">
      <w:rPr>
        <w:rFonts w:ascii="Arial" w:hAnsi="Arial" w:cs="Arial"/>
        <w:b/>
        <w:sz w:val="48"/>
      </w:rPr>
      <w:tab/>
    </w:r>
    <w:r w:rsidRPr="00CC737E">
      <w:rPr>
        <w:rFonts w:ascii="Arial" w:hAnsi="Arial" w:cs="Arial"/>
        <w:b/>
        <w:sz w:val="48"/>
      </w:rPr>
      <w:tab/>
    </w:r>
    <w:r w:rsidRPr="00CC737E">
      <w:tab/>
    </w:r>
    <w:r w:rsidRPr="00CC737E">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E89AB" w14:textId="3A36D9E3" w:rsidR="00CC737E" w:rsidRPr="00CC737E" w:rsidRDefault="00CC737E" w:rsidP="00CC737E">
    <w:pPr>
      <w:pStyle w:val="Footer"/>
      <w:rPr>
        <w:rFonts w:ascii="Arial" w:hAnsi="Arial" w:cs="Arial"/>
        <w:b/>
        <w:sz w:val="48"/>
      </w:rPr>
    </w:pPr>
    <w:r w:rsidRPr="00CC737E">
      <w:rPr>
        <w:rFonts w:ascii="Arial" w:hAnsi="Arial" w:cs="Arial"/>
        <w:b/>
        <w:sz w:val="48"/>
      </w:rPr>
      <w:t>EN</w:t>
    </w:r>
    <w:r w:rsidRPr="00CC737E">
      <w:rPr>
        <w:rFonts w:ascii="Arial" w:hAnsi="Arial" w:cs="Arial"/>
        <w:b/>
        <w:sz w:val="48"/>
      </w:rPr>
      <w:tab/>
    </w:r>
    <w:r>
      <w:fldChar w:fldCharType="begin"/>
    </w:r>
    <w:r>
      <w:instrText xml:space="preserve"> PAGE  \* MERGEFORMAT </w:instrText>
    </w:r>
    <w:r>
      <w:fldChar w:fldCharType="separate"/>
    </w:r>
    <w:r w:rsidR="00FE2521">
      <w:rPr>
        <w:noProof/>
      </w:rPr>
      <w:t>5</w:t>
    </w:r>
    <w:r>
      <w:fldChar w:fldCharType="end"/>
    </w:r>
    <w:r>
      <w:tab/>
    </w:r>
    <w:r w:rsidRPr="00CC737E">
      <w:tab/>
    </w:r>
    <w:r w:rsidRPr="00CC737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343A5" w14:textId="77777777" w:rsidR="00CC737E" w:rsidRPr="00CC737E" w:rsidRDefault="00CC737E" w:rsidP="00CC7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9900D" w14:textId="77777777" w:rsidR="00C1242E" w:rsidRDefault="00C1242E" w:rsidP="00C1242E">
      <w:pPr>
        <w:spacing w:before="0" w:after="0"/>
      </w:pPr>
      <w:r>
        <w:separator/>
      </w:r>
    </w:p>
  </w:footnote>
  <w:footnote w:type="continuationSeparator" w:id="0">
    <w:p w14:paraId="2309900E" w14:textId="77777777" w:rsidR="00C1242E" w:rsidRDefault="00C1242E" w:rsidP="00C1242E">
      <w:pPr>
        <w:spacing w:before="0" w:after="0"/>
      </w:pPr>
      <w:r>
        <w:continuationSeparator/>
      </w:r>
    </w:p>
  </w:footnote>
  <w:footnote w:id="1">
    <w:p w14:paraId="23099014" w14:textId="77777777" w:rsidR="006C7BAE" w:rsidRPr="006C7BAE" w:rsidRDefault="006C7BAE">
      <w:pPr>
        <w:pStyle w:val="FootnoteText"/>
      </w:pPr>
      <w:r w:rsidRPr="00BD1646">
        <w:rPr>
          <w:rStyle w:val="FootnoteReference"/>
        </w:rPr>
        <w:footnoteRef/>
      </w:r>
      <w:r w:rsidR="00BD1646">
        <w:tab/>
      </w:r>
      <w:r w:rsidRPr="006C7BAE">
        <w:t xml:space="preserve">Denmark, Luxembourg, Sweden and The Netherlands </w:t>
      </w:r>
      <w:r w:rsidR="005A2012">
        <w:t xml:space="preserve">still </w:t>
      </w:r>
      <w:r w:rsidRPr="006C7BAE">
        <w:t xml:space="preserve">apply this common system of user charges for heavy goods vehicles: </w:t>
      </w:r>
      <w:hyperlink r:id="rId1" w:history="1">
        <w:r w:rsidR="00C93450" w:rsidRPr="00BD1524">
          <w:rPr>
            <w:rStyle w:val="Hyperlink"/>
          </w:rPr>
          <w:t>https://www.eurovignettes.eu/</w:t>
        </w:r>
      </w:hyperlink>
      <w:r w:rsidR="00C93450">
        <w:t xml:space="preserve">   </w:t>
      </w:r>
    </w:p>
  </w:footnote>
  <w:footnote w:id="2">
    <w:p w14:paraId="23099015" w14:textId="77777777" w:rsidR="006C712F" w:rsidRPr="006C712F" w:rsidRDefault="006C712F">
      <w:pPr>
        <w:pStyle w:val="FootnoteText"/>
      </w:pPr>
      <w:r w:rsidRPr="000D5249">
        <w:rPr>
          <w:rStyle w:val="FootnoteReference"/>
        </w:rPr>
        <w:footnoteRef/>
      </w:r>
      <w:r w:rsidR="000D5249">
        <w:tab/>
      </w:r>
      <w:r w:rsidRPr="006C712F">
        <w:t>Regulation (EU) 2019/1242 of the European Parliament and of the Council of 20 June 2019 setting CO</w:t>
      </w:r>
      <w:r w:rsidRPr="00153F38">
        <w:rPr>
          <w:vertAlign w:val="subscript"/>
        </w:rPr>
        <w:t>2</w:t>
      </w:r>
      <w:r w:rsidRPr="006C712F">
        <w:t xml:space="preserve"> emission performance standards for new heavy-duty vehicles and amending Regulations (EC) No 595/2009 and (EU) 2018/956 of the European Parliament and of the Council and Council Directive 96/53/EC</w:t>
      </w:r>
      <w:r>
        <w:t xml:space="preserve">, </w:t>
      </w:r>
      <w:r w:rsidRPr="006C712F">
        <w:t>OJ L 198, 25.7.2019, p. 202–240</w:t>
      </w:r>
    </w:p>
  </w:footnote>
  <w:footnote w:id="3">
    <w:p w14:paraId="23099016" w14:textId="77777777" w:rsidR="00B9551F" w:rsidRPr="00B9551F" w:rsidRDefault="00B9551F">
      <w:pPr>
        <w:pStyle w:val="FootnoteText"/>
      </w:pPr>
      <w:r w:rsidRPr="00BD1646">
        <w:rPr>
          <w:rStyle w:val="FootnoteReference"/>
        </w:rPr>
        <w:footnoteRef/>
      </w:r>
      <w:r w:rsidR="00BD1646">
        <w:tab/>
      </w:r>
      <w:r>
        <w:t>P</w:t>
      </w:r>
      <w:r w:rsidRPr="00B9551F">
        <w:t>roposal for a Directive of the European Parliament and of the Council amending Directive 2003/87/EC, Decision (EU) 2015/1814 and Regulation (EU) 2015/757 [COM(2021) 551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B28144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7E4C42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E7C457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DE0D00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970B37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D88CE1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41EAB2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562580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AF65F2F"/>
    <w:multiLevelType w:val="multilevel"/>
    <w:tmpl w:val="148C959C"/>
    <w:styleLink w:val="ImportedStyle1"/>
    <w:lvl w:ilvl="0">
      <w:start w:val="1"/>
      <w:numFmt w:val="decimal"/>
      <w:lvlText w:val="%1."/>
      <w:lvlJc w:val="left"/>
      <w:pPr>
        <w:tabs>
          <w:tab w:val="left" w:pos="709"/>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09"/>
        </w:tabs>
        <w:ind w:left="42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709"/>
        </w:tabs>
        <w:ind w:left="213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09"/>
        </w:tabs>
        <w:ind w:left="2422"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709"/>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709"/>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09"/>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709"/>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709"/>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num>
  <w:num w:numId="2">
    <w:abstractNumId w:val="7"/>
  </w:num>
  <w:num w:numId="3">
    <w:abstractNumId w:val="5"/>
  </w:num>
  <w:num w:numId="4">
    <w:abstractNumId w:val="4"/>
  </w:num>
  <w:num w:numId="5">
    <w:abstractNumId w:val="3"/>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num>
  <w:num w:numId="15">
    <w:abstractNumId w:val="20"/>
  </w:num>
  <w:num w:numId="16">
    <w:abstractNumId w:val="12"/>
  </w:num>
  <w:num w:numId="17">
    <w:abstractNumId w:val="22"/>
  </w:num>
  <w:num w:numId="18">
    <w:abstractNumId w:val="11"/>
  </w:num>
  <w:num w:numId="19">
    <w:abstractNumId w:val="13"/>
  </w:num>
  <w:num w:numId="20">
    <w:abstractNumId w:val="9"/>
  </w:num>
  <w:num w:numId="21">
    <w:abstractNumId w:val="21"/>
  </w:num>
  <w:num w:numId="22">
    <w:abstractNumId w:val="8"/>
  </w:num>
  <w:num w:numId="23">
    <w:abstractNumId w:val="15"/>
  </w:num>
  <w:num w:numId="24">
    <w:abstractNumId w:val="18"/>
  </w:num>
  <w:num w:numId="25">
    <w:abstractNumId w:val="19"/>
  </w:num>
  <w:num w:numId="26">
    <w:abstractNumId w:val="10"/>
  </w:num>
  <w:num w:numId="27">
    <w:abstractNumId w:val="16"/>
  </w:num>
  <w:num w:numId="28">
    <w:abstractNumId w:val="23"/>
  </w:num>
  <w:num w:numId="29">
    <w:abstractNumId w:val="20"/>
  </w:num>
  <w:num w:numId="30">
    <w:abstractNumId w:val="12"/>
  </w:num>
  <w:num w:numId="31">
    <w:abstractNumId w:val="22"/>
  </w:num>
  <w:num w:numId="32">
    <w:abstractNumId w:val="11"/>
  </w:num>
  <w:num w:numId="33">
    <w:abstractNumId w:val="13"/>
  </w:num>
  <w:num w:numId="34">
    <w:abstractNumId w:val="9"/>
  </w:num>
  <w:num w:numId="35">
    <w:abstractNumId w:val="21"/>
  </w:num>
  <w:num w:numId="36">
    <w:abstractNumId w:val="8"/>
  </w:num>
  <w:num w:numId="37">
    <w:abstractNumId w:val="15"/>
  </w:num>
  <w:num w:numId="38">
    <w:abstractNumId w:val="18"/>
  </w:num>
  <w:num w:numId="39">
    <w:abstractNumId w:val="19"/>
  </w:num>
  <w:num w:numId="40">
    <w:abstractNumId w:val="10"/>
  </w:num>
  <w:num w:numId="41">
    <w:abstractNumId w:val="16"/>
  </w:num>
  <w:num w:numId="42">
    <w:abstractNumId w:val="23"/>
  </w:num>
  <w:num w:numId="43">
    <w:abstractNumId w:val="21"/>
  </w:num>
  <w:num w:numId="44">
    <w:abstractNumId w:val="21"/>
  </w:num>
  <w:num w:numId="45">
    <w:abstractNumId w:val="21"/>
  </w:num>
  <w:num w:numId="46">
    <w:abstractNumId w:val="14"/>
  </w:num>
  <w:num w:numId="47">
    <w:abstractNumId w:val="9"/>
  </w:num>
  <w:num w:numId="48">
    <w:abstractNumId w:val="9"/>
  </w:num>
  <w:num w:numId="4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1-16 09:43: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C725A96-C1D0-430F-A912-694B687F6003"/>
    <w:docVar w:name="LW_COVERPAGE_TYPE" w:val="1"/>
    <w:docVar w:name="LW_CROSSREFERENCE" w:val="&lt;UNUSED&gt;"/>
    <w:docVar w:name="LW_DocType" w:val="COM"/>
    <w:docVar w:name="LW_EMISSION" w:val="16.11.2021"/>
    <w:docVar w:name="LW_EMISSION_ISODATE" w:val="2021-11-16"/>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14"/>
    <w:docVar w:name="LW_REF.II.NEW.CP_YEAR" w:val="2017"/>
    <w:docVar w:name="LW_REF.INST.NEW" w:val="COM"/>
    <w:docVar w:name="LW_REF.INST.NEW_ADOPTED" w:val="final"/>
    <w:docVar w:name="LW_REF.INST.NEW_TEXT" w:val="(2021) 6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of the Council on the adoption of a DIRECTIVE OF THE EUROPEAN PARLIAMENT AND OF THE COUNCIL amending Directives 1999/62/EC, 1999/37/EC and (EU) 2019/520, as regards the charging of vehicles for the use of certain infrastructures"/>
    <w:docVar w:name="LW_TYPE.DOC.CP" w:val="COMMUNICATION FROM THE COMMISSION_x000b_TO THE EUROPEAN PARLIAMENT_x000b__x000b_pursuant to Article 294(6) of the Treaty on the Functioning of the European Union_x000b__x000b_concerning the"/>
    <w:docVar w:name="LwApiVersions" w:val="LW4CoDe 1.23.1.0; LW 8.0, Build 20210728"/>
  </w:docVars>
  <w:rsids>
    <w:rsidRoot w:val="00C1242E"/>
    <w:rsid w:val="000370E8"/>
    <w:rsid w:val="00042992"/>
    <w:rsid w:val="000664F7"/>
    <w:rsid w:val="000A7517"/>
    <w:rsid w:val="000B4D80"/>
    <w:rsid w:val="000C4A89"/>
    <w:rsid w:val="000D4BF8"/>
    <w:rsid w:val="000D5249"/>
    <w:rsid w:val="000E198E"/>
    <w:rsid w:val="001060B1"/>
    <w:rsid w:val="00142EE7"/>
    <w:rsid w:val="00147842"/>
    <w:rsid w:val="00153F38"/>
    <w:rsid w:val="001813E7"/>
    <w:rsid w:val="0018756E"/>
    <w:rsid w:val="001921B8"/>
    <w:rsid w:val="001A0D66"/>
    <w:rsid w:val="001A6AE3"/>
    <w:rsid w:val="001C2816"/>
    <w:rsid w:val="001D06A4"/>
    <w:rsid w:val="001E5B86"/>
    <w:rsid w:val="0020614F"/>
    <w:rsid w:val="00232E98"/>
    <w:rsid w:val="00293CE0"/>
    <w:rsid w:val="002A6DAB"/>
    <w:rsid w:val="002D1141"/>
    <w:rsid w:val="002F7057"/>
    <w:rsid w:val="00312CA1"/>
    <w:rsid w:val="0031648F"/>
    <w:rsid w:val="003331E0"/>
    <w:rsid w:val="00366EB2"/>
    <w:rsid w:val="0038260F"/>
    <w:rsid w:val="00393E3A"/>
    <w:rsid w:val="003A271E"/>
    <w:rsid w:val="003B76BC"/>
    <w:rsid w:val="00484465"/>
    <w:rsid w:val="00485DF7"/>
    <w:rsid w:val="0049329D"/>
    <w:rsid w:val="004A4B08"/>
    <w:rsid w:val="004A54BF"/>
    <w:rsid w:val="004B719E"/>
    <w:rsid w:val="004D37CA"/>
    <w:rsid w:val="00524A00"/>
    <w:rsid w:val="0053102F"/>
    <w:rsid w:val="0055205A"/>
    <w:rsid w:val="00575458"/>
    <w:rsid w:val="00576345"/>
    <w:rsid w:val="005A2012"/>
    <w:rsid w:val="005C7344"/>
    <w:rsid w:val="005C78B8"/>
    <w:rsid w:val="005D21D6"/>
    <w:rsid w:val="005E535F"/>
    <w:rsid w:val="00605E54"/>
    <w:rsid w:val="0061492B"/>
    <w:rsid w:val="0063088D"/>
    <w:rsid w:val="006416D2"/>
    <w:rsid w:val="00646E97"/>
    <w:rsid w:val="00657A53"/>
    <w:rsid w:val="00666005"/>
    <w:rsid w:val="0069665C"/>
    <w:rsid w:val="006C39F7"/>
    <w:rsid w:val="006C712F"/>
    <w:rsid w:val="006C7BAE"/>
    <w:rsid w:val="006E2AB1"/>
    <w:rsid w:val="006E40E0"/>
    <w:rsid w:val="006F163B"/>
    <w:rsid w:val="0070128F"/>
    <w:rsid w:val="00710121"/>
    <w:rsid w:val="00747B8D"/>
    <w:rsid w:val="00794CD0"/>
    <w:rsid w:val="007B253A"/>
    <w:rsid w:val="007C06F6"/>
    <w:rsid w:val="007C4EEC"/>
    <w:rsid w:val="007E794F"/>
    <w:rsid w:val="00826DA2"/>
    <w:rsid w:val="008439CE"/>
    <w:rsid w:val="008517D1"/>
    <w:rsid w:val="00856E41"/>
    <w:rsid w:val="00887193"/>
    <w:rsid w:val="008C2936"/>
    <w:rsid w:val="00900DBA"/>
    <w:rsid w:val="0092170E"/>
    <w:rsid w:val="00933F3E"/>
    <w:rsid w:val="009472F4"/>
    <w:rsid w:val="009567D3"/>
    <w:rsid w:val="00960F19"/>
    <w:rsid w:val="00986B33"/>
    <w:rsid w:val="00987AD5"/>
    <w:rsid w:val="009A2406"/>
    <w:rsid w:val="009A3416"/>
    <w:rsid w:val="009B7138"/>
    <w:rsid w:val="009C0ED3"/>
    <w:rsid w:val="009E0C1C"/>
    <w:rsid w:val="009E1B69"/>
    <w:rsid w:val="009F3A06"/>
    <w:rsid w:val="00A3231D"/>
    <w:rsid w:val="00A47189"/>
    <w:rsid w:val="00A7421A"/>
    <w:rsid w:val="00A771FD"/>
    <w:rsid w:val="00AB111D"/>
    <w:rsid w:val="00AB3B63"/>
    <w:rsid w:val="00AB3C1A"/>
    <w:rsid w:val="00AE2F61"/>
    <w:rsid w:val="00AF20AE"/>
    <w:rsid w:val="00B01836"/>
    <w:rsid w:val="00B01837"/>
    <w:rsid w:val="00B1280D"/>
    <w:rsid w:val="00B129B3"/>
    <w:rsid w:val="00B315E1"/>
    <w:rsid w:val="00B714B5"/>
    <w:rsid w:val="00B825E2"/>
    <w:rsid w:val="00B9551F"/>
    <w:rsid w:val="00B97FB1"/>
    <w:rsid w:val="00BD1646"/>
    <w:rsid w:val="00BE246D"/>
    <w:rsid w:val="00BF17AA"/>
    <w:rsid w:val="00C1242E"/>
    <w:rsid w:val="00C24556"/>
    <w:rsid w:val="00C31528"/>
    <w:rsid w:val="00C47C58"/>
    <w:rsid w:val="00C7213F"/>
    <w:rsid w:val="00C80716"/>
    <w:rsid w:val="00C93450"/>
    <w:rsid w:val="00CC737E"/>
    <w:rsid w:val="00CF513E"/>
    <w:rsid w:val="00D20735"/>
    <w:rsid w:val="00D45715"/>
    <w:rsid w:val="00DB68EF"/>
    <w:rsid w:val="00DC1AE9"/>
    <w:rsid w:val="00DD573F"/>
    <w:rsid w:val="00DE4FB8"/>
    <w:rsid w:val="00E20491"/>
    <w:rsid w:val="00E55378"/>
    <w:rsid w:val="00E74488"/>
    <w:rsid w:val="00E81D4C"/>
    <w:rsid w:val="00EE5129"/>
    <w:rsid w:val="00F0247C"/>
    <w:rsid w:val="00F20062"/>
    <w:rsid w:val="00F238D3"/>
    <w:rsid w:val="00F426C0"/>
    <w:rsid w:val="00F46B67"/>
    <w:rsid w:val="00F473A7"/>
    <w:rsid w:val="00F66A9C"/>
    <w:rsid w:val="00F71AAC"/>
    <w:rsid w:val="00F8543B"/>
    <w:rsid w:val="00FA4787"/>
    <w:rsid w:val="00FE2521"/>
    <w:rsid w:val="00FE7B62"/>
    <w:rsid w:val="00FF13CF"/>
    <w:rsid w:val="00FF2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3098FBE"/>
  <w15:docId w15:val="{42E155D9-4FAC-4057-8179-618DE99F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5"/>
      </w:numPr>
      <w:outlineLvl w:val="3"/>
    </w:pPr>
    <w:rPr>
      <w:rFonts w:eastAsiaTheme="majorEastAsia"/>
      <w:bCs/>
      <w:iCs/>
    </w:rPr>
  </w:style>
  <w:style w:type="paragraph" w:styleId="Heading5">
    <w:name w:val="heading 5"/>
    <w:basedOn w:val="Normal"/>
    <w:next w:val="Text2"/>
    <w:link w:val="Heading5Char"/>
    <w:uiPriority w:val="9"/>
    <w:semiHidden/>
    <w:unhideWhenUsed/>
    <w:qFormat/>
    <w:rsid w:val="009567D3"/>
    <w:pPr>
      <w:keepNext/>
      <w:numPr>
        <w:ilvl w:val="4"/>
        <w:numId w:val="45"/>
      </w:numPr>
      <w:outlineLvl w:val="4"/>
    </w:pPr>
    <w:rPr>
      <w:rFonts w:eastAsiaTheme="majorEastAsia"/>
    </w:rPr>
  </w:style>
  <w:style w:type="paragraph" w:styleId="Heading6">
    <w:name w:val="heading 6"/>
    <w:basedOn w:val="Normal"/>
    <w:next w:val="Text2"/>
    <w:link w:val="Heading6Char"/>
    <w:uiPriority w:val="9"/>
    <w:semiHidden/>
    <w:unhideWhenUsed/>
    <w:qFormat/>
    <w:rsid w:val="009567D3"/>
    <w:pPr>
      <w:keepNext/>
      <w:numPr>
        <w:ilvl w:val="5"/>
        <w:numId w:val="45"/>
      </w:numPr>
      <w:outlineLvl w:val="5"/>
    </w:pPr>
    <w:rPr>
      <w:rFonts w:eastAsiaTheme="majorEastAsia"/>
      <w:iCs/>
    </w:rPr>
  </w:style>
  <w:style w:type="paragraph" w:styleId="Heading7">
    <w:name w:val="heading 7"/>
    <w:basedOn w:val="Normal"/>
    <w:next w:val="Text2"/>
    <w:link w:val="Heading7Char"/>
    <w:uiPriority w:val="9"/>
    <w:semiHidden/>
    <w:unhideWhenUsed/>
    <w:qFormat/>
    <w:rsid w:val="009567D3"/>
    <w:pPr>
      <w:keepNext/>
      <w:numPr>
        <w:ilvl w:val="6"/>
        <w:numId w:val="4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1921B8"/>
    <w:pPr>
      <w:numPr>
        <w:numId w:val="1"/>
      </w:numPr>
    </w:pPr>
  </w:style>
  <w:style w:type="character" w:customStyle="1" w:styleId="Text1Char">
    <w:name w:val="Text 1 Char"/>
    <w:rsid w:val="001921B8"/>
    <w:rPr>
      <w:rFonts w:ascii="Times New Roman" w:hAnsi="Times New Roman" w:cs="Times New Roman"/>
      <w:sz w:val="24"/>
      <w:lang w:val="en-GB"/>
    </w:rPr>
  </w:style>
  <w:style w:type="paragraph" w:styleId="ListBullet">
    <w:name w:val="List Bullet"/>
    <w:basedOn w:val="Normal"/>
    <w:uiPriority w:val="99"/>
    <w:semiHidden/>
    <w:unhideWhenUsed/>
    <w:rsid w:val="006C7BAE"/>
    <w:pPr>
      <w:numPr>
        <w:numId w:val="2"/>
      </w:numPr>
      <w:contextualSpacing/>
    </w:pPr>
  </w:style>
  <w:style w:type="paragraph" w:styleId="ListBullet2">
    <w:name w:val="List Bullet 2"/>
    <w:basedOn w:val="Normal"/>
    <w:uiPriority w:val="99"/>
    <w:semiHidden/>
    <w:unhideWhenUsed/>
    <w:rsid w:val="006C7BAE"/>
    <w:pPr>
      <w:numPr>
        <w:numId w:val="3"/>
      </w:numPr>
      <w:contextualSpacing/>
    </w:pPr>
  </w:style>
  <w:style w:type="paragraph" w:styleId="ListBullet3">
    <w:name w:val="List Bullet 3"/>
    <w:basedOn w:val="Normal"/>
    <w:uiPriority w:val="99"/>
    <w:semiHidden/>
    <w:unhideWhenUsed/>
    <w:rsid w:val="006C7BAE"/>
    <w:pPr>
      <w:numPr>
        <w:numId w:val="4"/>
      </w:numPr>
      <w:contextualSpacing/>
    </w:pPr>
  </w:style>
  <w:style w:type="paragraph" w:styleId="ListBullet4">
    <w:name w:val="List Bullet 4"/>
    <w:basedOn w:val="Normal"/>
    <w:uiPriority w:val="99"/>
    <w:semiHidden/>
    <w:unhideWhenUsed/>
    <w:rsid w:val="006C7BAE"/>
    <w:pPr>
      <w:numPr>
        <w:numId w:val="5"/>
      </w:numPr>
      <w:contextualSpacing/>
    </w:pPr>
  </w:style>
  <w:style w:type="paragraph" w:styleId="EndnoteText">
    <w:name w:val="endnote text"/>
    <w:basedOn w:val="Normal"/>
    <w:link w:val="EndnoteTextChar"/>
    <w:uiPriority w:val="99"/>
    <w:semiHidden/>
    <w:unhideWhenUsed/>
    <w:rsid w:val="006C7BAE"/>
    <w:pPr>
      <w:spacing w:before="0" w:after="0"/>
    </w:pPr>
    <w:rPr>
      <w:sz w:val="20"/>
      <w:szCs w:val="20"/>
    </w:rPr>
  </w:style>
  <w:style w:type="character" w:customStyle="1" w:styleId="EndnoteTextChar">
    <w:name w:val="Endnote Text Char"/>
    <w:basedOn w:val="DefaultParagraphFont"/>
    <w:link w:val="EndnoteText"/>
    <w:uiPriority w:val="99"/>
    <w:semiHidden/>
    <w:rsid w:val="006C7BA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6C7BAE"/>
    <w:rPr>
      <w:vertAlign w:val="superscript"/>
    </w:rPr>
  </w:style>
  <w:style w:type="character" w:styleId="Hyperlink">
    <w:name w:val="Hyperlink"/>
    <w:basedOn w:val="DefaultParagraphFont"/>
    <w:uiPriority w:val="99"/>
    <w:unhideWhenUsed/>
    <w:rsid w:val="00C93450"/>
    <w:rPr>
      <w:color w:val="0000FF" w:themeColor="hyperlink"/>
      <w:u w:val="single"/>
    </w:rPr>
  </w:style>
  <w:style w:type="character" w:styleId="SubtleEmphasis">
    <w:name w:val="Subtle Emphasis"/>
    <w:basedOn w:val="DefaultParagraphFont"/>
    <w:uiPriority w:val="19"/>
    <w:qFormat/>
    <w:rsid w:val="005A2012"/>
    <w:rPr>
      <w:i/>
      <w:iCs/>
      <w:color w:val="404040" w:themeColor="text1" w:themeTint="BF"/>
    </w:rPr>
  </w:style>
  <w:style w:type="paragraph" w:styleId="ListParagraph">
    <w:name w:val="List Paragraph"/>
    <w:basedOn w:val="Normal"/>
    <w:uiPriority w:val="34"/>
    <w:qFormat/>
    <w:rsid w:val="00AF20AE"/>
    <w:pPr>
      <w:ind w:left="720"/>
      <w:contextualSpacing/>
    </w:pPr>
  </w:style>
  <w:style w:type="paragraph" w:styleId="BalloonText">
    <w:name w:val="Balloon Text"/>
    <w:basedOn w:val="Normal"/>
    <w:link w:val="BalloonTextChar"/>
    <w:uiPriority w:val="99"/>
    <w:semiHidden/>
    <w:unhideWhenUsed/>
    <w:rsid w:val="00605E5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E54"/>
    <w:rPr>
      <w:rFonts w:ascii="Segoe UI" w:hAnsi="Segoe UI" w:cs="Segoe UI"/>
      <w:sz w:val="18"/>
      <w:szCs w:val="18"/>
      <w:lang w:val="en-GB"/>
    </w:rPr>
  </w:style>
  <w:style w:type="paragraph" w:styleId="Caption">
    <w:name w:val="caption"/>
    <w:basedOn w:val="Normal"/>
    <w:next w:val="Normal"/>
    <w:uiPriority w:val="35"/>
    <w:semiHidden/>
    <w:unhideWhenUsed/>
    <w:qFormat/>
    <w:rsid w:val="00FE7B62"/>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E7B62"/>
    <w:pPr>
      <w:spacing w:after="0"/>
    </w:pPr>
  </w:style>
  <w:style w:type="paragraph" w:styleId="ListNumber">
    <w:name w:val="List Number"/>
    <w:basedOn w:val="Normal"/>
    <w:uiPriority w:val="99"/>
    <w:semiHidden/>
    <w:unhideWhenUsed/>
    <w:rsid w:val="00FE7B62"/>
    <w:pPr>
      <w:numPr>
        <w:numId w:val="7"/>
      </w:numPr>
      <w:contextualSpacing/>
    </w:pPr>
  </w:style>
  <w:style w:type="paragraph" w:styleId="ListNumber2">
    <w:name w:val="List Number 2"/>
    <w:basedOn w:val="Normal"/>
    <w:uiPriority w:val="99"/>
    <w:semiHidden/>
    <w:unhideWhenUsed/>
    <w:rsid w:val="00FE7B62"/>
    <w:pPr>
      <w:numPr>
        <w:numId w:val="8"/>
      </w:numPr>
      <w:contextualSpacing/>
    </w:pPr>
  </w:style>
  <w:style w:type="paragraph" w:styleId="ListNumber3">
    <w:name w:val="List Number 3"/>
    <w:basedOn w:val="Normal"/>
    <w:uiPriority w:val="99"/>
    <w:semiHidden/>
    <w:unhideWhenUsed/>
    <w:rsid w:val="00FE7B62"/>
    <w:pPr>
      <w:numPr>
        <w:numId w:val="9"/>
      </w:numPr>
      <w:contextualSpacing/>
    </w:pPr>
  </w:style>
  <w:style w:type="paragraph" w:styleId="ListNumber4">
    <w:name w:val="List Number 4"/>
    <w:basedOn w:val="Normal"/>
    <w:uiPriority w:val="99"/>
    <w:semiHidden/>
    <w:unhideWhenUsed/>
    <w:rsid w:val="00FE7B62"/>
    <w:pPr>
      <w:numPr>
        <w:numId w:val="10"/>
      </w:numPr>
      <w:contextualSpacing/>
    </w:pPr>
  </w:style>
  <w:style w:type="character" w:styleId="CommentReference">
    <w:name w:val="annotation reference"/>
    <w:basedOn w:val="DefaultParagraphFont"/>
    <w:uiPriority w:val="99"/>
    <w:semiHidden/>
    <w:unhideWhenUsed/>
    <w:rsid w:val="00A47189"/>
    <w:rPr>
      <w:sz w:val="16"/>
      <w:szCs w:val="16"/>
    </w:rPr>
  </w:style>
  <w:style w:type="paragraph" w:styleId="CommentText">
    <w:name w:val="annotation text"/>
    <w:basedOn w:val="Normal"/>
    <w:link w:val="CommentTextChar"/>
    <w:uiPriority w:val="99"/>
    <w:semiHidden/>
    <w:unhideWhenUsed/>
    <w:rsid w:val="00A47189"/>
    <w:rPr>
      <w:sz w:val="20"/>
      <w:szCs w:val="20"/>
    </w:rPr>
  </w:style>
  <w:style w:type="character" w:customStyle="1" w:styleId="CommentTextChar">
    <w:name w:val="Comment Text Char"/>
    <w:basedOn w:val="DefaultParagraphFont"/>
    <w:link w:val="CommentText"/>
    <w:uiPriority w:val="99"/>
    <w:semiHidden/>
    <w:rsid w:val="00A4718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47189"/>
    <w:rPr>
      <w:b/>
      <w:bCs/>
    </w:rPr>
  </w:style>
  <w:style w:type="character" w:customStyle="1" w:styleId="CommentSubjectChar">
    <w:name w:val="Comment Subject Char"/>
    <w:basedOn w:val="CommentTextChar"/>
    <w:link w:val="CommentSubject"/>
    <w:uiPriority w:val="99"/>
    <w:semiHidden/>
    <w:rsid w:val="00A47189"/>
    <w:rPr>
      <w:rFonts w:ascii="Times New Roman" w:hAnsi="Times New Roman" w:cs="Times New Roman"/>
      <w:b/>
      <w:bCs/>
      <w:sz w:val="20"/>
      <w:szCs w:val="20"/>
      <w:lang w:val="en-GB"/>
    </w:rPr>
  </w:style>
  <w:style w:type="paragraph" w:styleId="Header">
    <w:name w:val="header"/>
    <w:basedOn w:val="Normal"/>
    <w:link w:val="HeaderChar"/>
    <w:uiPriority w:val="99"/>
    <w:unhideWhenUsed/>
    <w:rsid w:val="00CC737E"/>
    <w:pPr>
      <w:tabs>
        <w:tab w:val="center" w:pos="4535"/>
        <w:tab w:val="right" w:pos="9071"/>
      </w:tabs>
      <w:spacing w:before="0"/>
    </w:pPr>
  </w:style>
  <w:style w:type="character" w:customStyle="1" w:styleId="HeaderChar">
    <w:name w:val="Header Char"/>
    <w:basedOn w:val="DefaultParagraphFont"/>
    <w:link w:val="Header"/>
    <w:uiPriority w:val="99"/>
    <w:rsid w:val="00CC737E"/>
    <w:rPr>
      <w:rFonts w:ascii="Times New Roman" w:hAnsi="Times New Roman" w:cs="Times New Roman"/>
      <w:sz w:val="24"/>
      <w:lang w:val="en-GB"/>
    </w:rPr>
  </w:style>
  <w:style w:type="paragraph" w:styleId="Footer">
    <w:name w:val="footer"/>
    <w:basedOn w:val="Normal"/>
    <w:link w:val="FooterChar"/>
    <w:uiPriority w:val="99"/>
    <w:unhideWhenUsed/>
    <w:rsid w:val="00CC737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C737E"/>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CC737E"/>
    <w:pPr>
      <w:tabs>
        <w:tab w:val="center" w:pos="7285"/>
        <w:tab w:val="right" w:pos="14003"/>
      </w:tabs>
      <w:spacing w:before="0"/>
    </w:pPr>
  </w:style>
  <w:style w:type="paragraph" w:customStyle="1" w:styleId="FooterLandscape">
    <w:name w:val="FooterLandscape"/>
    <w:basedOn w:val="Normal"/>
    <w:rsid w:val="00CC737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CC737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C737E"/>
    <w:pPr>
      <w:spacing w:before="0"/>
      <w:jc w:val="right"/>
    </w:pPr>
    <w:rPr>
      <w:sz w:val="28"/>
    </w:rPr>
  </w:style>
  <w:style w:type="paragraph" w:customStyle="1" w:styleId="FooterSensitivity">
    <w:name w:val="Footer Sensitivity"/>
    <w:basedOn w:val="Normal"/>
    <w:rsid w:val="00CC737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9"/>
      </w:numPr>
    </w:pPr>
  </w:style>
  <w:style w:type="paragraph" w:customStyle="1" w:styleId="Tiret1">
    <w:name w:val="Tiret 1"/>
    <w:basedOn w:val="Point1"/>
    <w:rsid w:val="009B7138"/>
    <w:pPr>
      <w:numPr>
        <w:numId w:val="30"/>
      </w:numPr>
    </w:pPr>
  </w:style>
  <w:style w:type="paragraph" w:customStyle="1" w:styleId="Tiret2">
    <w:name w:val="Tiret 2"/>
    <w:basedOn w:val="Point2"/>
    <w:rsid w:val="009B7138"/>
    <w:pPr>
      <w:numPr>
        <w:numId w:val="31"/>
      </w:numPr>
    </w:pPr>
  </w:style>
  <w:style w:type="paragraph" w:customStyle="1" w:styleId="Tiret3">
    <w:name w:val="Tiret 3"/>
    <w:basedOn w:val="Point3"/>
    <w:rsid w:val="009B7138"/>
    <w:pPr>
      <w:numPr>
        <w:numId w:val="32"/>
      </w:numPr>
    </w:pPr>
  </w:style>
  <w:style w:type="paragraph" w:customStyle="1" w:styleId="Tiret4">
    <w:name w:val="Tiret 4"/>
    <w:basedOn w:val="Point4"/>
    <w:rsid w:val="009B7138"/>
    <w:pPr>
      <w:numPr>
        <w:numId w:val="33"/>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9"/>
      </w:numPr>
    </w:pPr>
  </w:style>
  <w:style w:type="paragraph" w:customStyle="1" w:styleId="NumPar2">
    <w:name w:val="NumPar 2"/>
    <w:basedOn w:val="Normal"/>
    <w:next w:val="Text1"/>
    <w:rsid w:val="009B7138"/>
    <w:pPr>
      <w:numPr>
        <w:ilvl w:val="1"/>
        <w:numId w:val="49"/>
      </w:numPr>
    </w:pPr>
  </w:style>
  <w:style w:type="paragraph" w:customStyle="1" w:styleId="NumPar3">
    <w:name w:val="NumPar 3"/>
    <w:basedOn w:val="Normal"/>
    <w:next w:val="Text1"/>
    <w:rsid w:val="009B7138"/>
    <w:pPr>
      <w:numPr>
        <w:ilvl w:val="2"/>
        <w:numId w:val="49"/>
      </w:numPr>
    </w:pPr>
  </w:style>
  <w:style w:type="paragraph" w:customStyle="1" w:styleId="NumPar4">
    <w:name w:val="NumPar 4"/>
    <w:basedOn w:val="Normal"/>
    <w:next w:val="Text1"/>
    <w:rsid w:val="009B7138"/>
    <w:pPr>
      <w:numPr>
        <w:ilvl w:val="3"/>
        <w:numId w:val="49"/>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6"/>
      </w:numPr>
    </w:pPr>
  </w:style>
  <w:style w:type="paragraph" w:customStyle="1" w:styleId="Point1number">
    <w:name w:val="Point 1 (number)"/>
    <w:basedOn w:val="Normal"/>
    <w:rsid w:val="009B7138"/>
    <w:pPr>
      <w:numPr>
        <w:ilvl w:val="2"/>
        <w:numId w:val="36"/>
      </w:numPr>
    </w:pPr>
  </w:style>
  <w:style w:type="paragraph" w:customStyle="1" w:styleId="Point2number">
    <w:name w:val="Point 2 (number)"/>
    <w:basedOn w:val="Normal"/>
    <w:rsid w:val="009B7138"/>
    <w:pPr>
      <w:numPr>
        <w:ilvl w:val="4"/>
        <w:numId w:val="36"/>
      </w:numPr>
    </w:pPr>
  </w:style>
  <w:style w:type="paragraph" w:customStyle="1" w:styleId="Point3number">
    <w:name w:val="Point 3 (number)"/>
    <w:basedOn w:val="Normal"/>
    <w:rsid w:val="009B7138"/>
    <w:pPr>
      <w:numPr>
        <w:ilvl w:val="6"/>
        <w:numId w:val="36"/>
      </w:numPr>
    </w:pPr>
  </w:style>
  <w:style w:type="paragraph" w:customStyle="1" w:styleId="Point0letter">
    <w:name w:val="Point 0 (letter)"/>
    <w:basedOn w:val="Normal"/>
    <w:rsid w:val="009B7138"/>
    <w:pPr>
      <w:numPr>
        <w:ilvl w:val="1"/>
        <w:numId w:val="36"/>
      </w:numPr>
    </w:pPr>
  </w:style>
  <w:style w:type="paragraph" w:customStyle="1" w:styleId="Point1letter">
    <w:name w:val="Point 1 (letter)"/>
    <w:basedOn w:val="Normal"/>
    <w:rsid w:val="009B7138"/>
    <w:pPr>
      <w:numPr>
        <w:ilvl w:val="3"/>
        <w:numId w:val="36"/>
      </w:numPr>
    </w:pPr>
  </w:style>
  <w:style w:type="paragraph" w:customStyle="1" w:styleId="Point2letter">
    <w:name w:val="Point 2 (letter)"/>
    <w:basedOn w:val="Normal"/>
    <w:rsid w:val="009B7138"/>
    <w:pPr>
      <w:numPr>
        <w:ilvl w:val="5"/>
        <w:numId w:val="36"/>
      </w:numPr>
    </w:pPr>
  </w:style>
  <w:style w:type="paragraph" w:customStyle="1" w:styleId="Point3letter">
    <w:name w:val="Point 3 (letter)"/>
    <w:basedOn w:val="Normal"/>
    <w:rsid w:val="009B7138"/>
    <w:pPr>
      <w:numPr>
        <w:ilvl w:val="7"/>
        <w:numId w:val="36"/>
      </w:numPr>
    </w:pPr>
  </w:style>
  <w:style w:type="paragraph" w:customStyle="1" w:styleId="Point4letter">
    <w:name w:val="Point 4 (letter)"/>
    <w:basedOn w:val="Normal"/>
    <w:rsid w:val="009B7138"/>
    <w:pPr>
      <w:numPr>
        <w:ilvl w:val="8"/>
        <w:numId w:val="36"/>
      </w:numPr>
    </w:pPr>
  </w:style>
  <w:style w:type="paragraph" w:customStyle="1" w:styleId="Bullet0">
    <w:name w:val="Bullet 0"/>
    <w:basedOn w:val="Normal"/>
    <w:rsid w:val="009B7138"/>
    <w:pPr>
      <w:numPr>
        <w:numId w:val="37"/>
      </w:numPr>
    </w:pPr>
  </w:style>
  <w:style w:type="paragraph" w:customStyle="1" w:styleId="Bullet1">
    <w:name w:val="Bullet 1"/>
    <w:basedOn w:val="Normal"/>
    <w:rsid w:val="009B7138"/>
    <w:pPr>
      <w:numPr>
        <w:numId w:val="38"/>
      </w:numPr>
    </w:pPr>
  </w:style>
  <w:style w:type="paragraph" w:customStyle="1" w:styleId="Bullet2">
    <w:name w:val="Bullet 2"/>
    <w:basedOn w:val="Normal"/>
    <w:rsid w:val="009B7138"/>
    <w:pPr>
      <w:numPr>
        <w:numId w:val="39"/>
      </w:numPr>
    </w:pPr>
  </w:style>
  <w:style w:type="paragraph" w:customStyle="1" w:styleId="Bullet3">
    <w:name w:val="Bullet 3"/>
    <w:basedOn w:val="Normal"/>
    <w:rsid w:val="009B7138"/>
    <w:pPr>
      <w:numPr>
        <w:numId w:val="40"/>
      </w:numPr>
    </w:pPr>
  </w:style>
  <w:style w:type="paragraph" w:customStyle="1" w:styleId="Bullet4">
    <w:name w:val="Bullet 4"/>
    <w:basedOn w:val="Normal"/>
    <w:rsid w:val="009B7138"/>
    <w:pPr>
      <w:numPr>
        <w:numId w:val="41"/>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2"/>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9567D3"/>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9567D3"/>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9567D3"/>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9567D3"/>
    <w:pPr>
      <w:keepNext/>
      <w:tabs>
        <w:tab w:val="left" w:pos="1417"/>
      </w:tabs>
      <w:ind w:left="1417" w:hanging="1417"/>
      <w:outlineLvl w:val="4"/>
    </w:pPr>
  </w:style>
  <w:style w:type="paragraph" w:customStyle="1" w:styleId="ManualHeading6">
    <w:name w:val="Manual Heading 6"/>
    <w:basedOn w:val="Normal"/>
    <w:next w:val="Text2"/>
    <w:rsid w:val="009567D3"/>
    <w:pPr>
      <w:keepNext/>
      <w:tabs>
        <w:tab w:val="left" w:pos="1417"/>
      </w:tabs>
      <w:ind w:left="1417" w:hanging="1417"/>
      <w:outlineLvl w:val="5"/>
    </w:pPr>
  </w:style>
  <w:style w:type="paragraph" w:customStyle="1" w:styleId="ManualHeading7">
    <w:name w:val="Manual Heading 7"/>
    <w:basedOn w:val="Normal"/>
    <w:next w:val="Text2"/>
    <w:rsid w:val="009567D3"/>
    <w:pPr>
      <w:keepNext/>
      <w:tabs>
        <w:tab w:val="left" w:pos="1417"/>
      </w:tabs>
      <w:ind w:left="1417" w:hanging="1417"/>
      <w:outlineLvl w:val="6"/>
    </w:pPr>
  </w:style>
  <w:style w:type="paragraph" w:customStyle="1" w:styleId="Text5">
    <w:name w:val="Text 5"/>
    <w:basedOn w:val="Normal"/>
    <w:rsid w:val="009567D3"/>
    <w:pPr>
      <w:ind w:left="3118"/>
    </w:pPr>
  </w:style>
  <w:style w:type="paragraph" w:customStyle="1" w:styleId="Text6">
    <w:name w:val="Text 6"/>
    <w:basedOn w:val="Normal"/>
    <w:rsid w:val="009567D3"/>
    <w:pPr>
      <w:ind w:left="3685"/>
    </w:pPr>
  </w:style>
  <w:style w:type="paragraph" w:customStyle="1" w:styleId="Point5">
    <w:name w:val="Point 5"/>
    <w:basedOn w:val="Normal"/>
    <w:rsid w:val="009567D3"/>
    <w:pPr>
      <w:ind w:left="3685" w:hanging="567"/>
    </w:pPr>
  </w:style>
  <w:style w:type="paragraph" w:customStyle="1" w:styleId="Tiret5">
    <w:name w:val="Tiret 5"/>
    <w:basedOn w:val="Point5"/>
    <w:rsid w:val="009567D3"/>
    <w:pPr>
      <w:numPr>
        <w:numId w:val="46"/>
      </w:numPr>
    </w:pPr>
  </w:style>
  <w:style w:type="paragraph" w:customStyle="1" w:styleId="NumPar5">
    <w:name w:val="NumPar 5"/>
    <w:basedOn w:val="Normal"/>
    <w:next w:val="Text2"/>
    <w:rsid w:val="009567D3"/>
    <w:pPr>
      <w:numPr>
        <w:ilvl w:val="4"/>
        <w:numId w:val="49"/>
      </w:numPr>
    </w:pPr>
  </w:style>
  <w:style w:type="paragraph" w:customStyle="1" w:styleId="NumPar6">
    <w:name w:val="NumPar 6"/>
    <w:basedOn w:val="Normal"/>
    <w:next w:val="Text2"/>
    <w:rsid w:val="009567D3"/>
    <w:pPr>
      <w:numPr>
        <w:ilvl w:val="5"/>
        <w:numId w:val="49"/>
      </w:numPr>
    </w:pPr>
  </w:style>
  <w:style w:type="paragraph" w:customStyle="1" w:styleId="NumPar7">
    <w:name w:val="NumPar 7"/>
    <w:basedOn w:val="Normal"/>
    <w:next w:val="Text2"/>
    <w:rsid w:val="009567D3"/>
    <w:pPr>
      <w:numPr>
        <w:ilvl w:val="6"/>
        <w:numId w:val="49"/>
      </w:numPr>
    </w:pPr>
  </w:style>
  <w:style w:type="paragraph" w:customStyle="1" w:styleId="ManualNumPar5">
    <w:name w:val="Manual NumPar 5"/>
    <w:basedOn w:val="Normal"/>
    <w:next w:val="Text2"/>
    <w:rsid w:val="009567D3"/>
    <w:pPr>
      <w:ind w:left="1417" w:hanging="1417"/>
    </w:pPr>
  </w:style>
  <w:style w:type="paragraph" w:customStyle="1" w:styleId="ManualNumPar6">
    <w:name w:val="Manual NumPar 6"/>
    <w:basedOn w:val="Normal"/>
    <w:next w:val="Text2"/>
    <w:rsid w:val="009567D3"/>
    <w:pPr>
      <w:ind w:left="1417" w:hanging="1417"/>
    </w:pPr>
  </w:style>
  <w:style w:type="paragraph" w:customStyle="1" w:styleId="ManualNumPar7">
    <w:name w:val="Manual NumPar 7"/>
    <w:basedOn w:val="Normal"/>
    <w:next w:val="Text2"/>
    <w:rsid w:val="009567D3"/>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urovignettes.eu/portal/en/booking/book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56D22-3CEF-4888-B570-2EA010260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2024</Words>
  <Characters>11056</Characters>
  <Application>Microsoft Office Word</Application>
  <DocSecurity>0</DocSecurity>
  <Lines>197</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33</cp:revision>
  <dcterms:created xsi:type="dcterms:W3CDTF">2021-11-04T16:23:00Z</dcterms:created>
  <dcterms:modified xsi:type="dcterms:W3CDTF">2021-11-16T08:43:00Z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